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cs="Times New Roman (Body CS)"/>
          <w:color w:val="033636" w:themeColor="text2"/>
          <w:spacing w:val="0"/>
          <w:kern w:val="2"/>
          <w:sz w:val="22"/>
          <w:szCs w:val="22"/>
        </w:rPr>
        <w:id w:val="-1859646906"/>
        <w:docPartObj>
          <w:docPartGallery w:val="Cover Pages"/>
          <w:docPartUnique/>
        </w:docPartObj>
      </w:sdtPr>
      <w:sdtEndPr>
        <w:rPr>
          <w:rFonts w:eastAsiaTheme="majorEastAsia" w:cstheme="majorBidi"/>
          <w:color w:val="auto"/>
          <w:spacing w:val="-10"/>
          <w:kern w:val="28"/>
          <w:sz w:val="56"/>
          <w:szCs w:val="56"/>
        </w:rPr>
      </w:sdtEndPr>
      <w:sdtContent>
        <w:p w14:paraId="64B521C0" w14:textId="27AEBE00" w:rsidR="00FB0F16" w:rsidRDefault="004441CE" w:rsidP="00FB0F16">
          <w:pPr>
            <w:pStyle w:val="Title"/>
          </w:pPr>
          <w:r>
            <w:rPr>
              <w:noProof/>
            </w:rPr>
            <w:drawing>
              <wp:anchor distT="0" distB="0" distL="114300" distR="114300" simplePos="0" relativeHeight="251657216" behindDoc="1" locked="0" layoutInCell="1" allowOverlap="1" wp14:anchorId="25DE0A8F" wp14:editId="559C5420">
                <wp:simplePos x="0" y="0"/>
                <wp:positionH relativeFrom="page">
                  <wp:align>right</wp:align>
                </wp:positionH>
                <wp:positionV relativeFrom="paragraph">
                  <wp:posOffset>-935991</wp:posOffset>
                </wp:positionV>
                <wp:extent cx="7549384" cy="10678726"/>
                <wp:effectExtent l="0" t="0" r="0" b="889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9384" cy="10678726"/>
                        </a:xfrm>
                        <a:prstGeom prst="rect">
                          <a:avLst/>
                        </a:prstGeom>
                        <a:noFill/>
                      </pic:spPr>
                    </pic:pic>
                  </a:graphicData>
                </a:graphic>
                <wp14:sizeRelH relativeFrom="margin">
                  <wp14:pctWidth>0</wp14:pctWidth>
                </wp14:sizeRelH>
                <wp14:sizeRelV relativeFrom="margin">
                  <wp14:pctHeight>0</wp14:pctHeight>
                </wp14:sizeRelV>
              </wp:anchor>
            </w:drawing>
          </w:r>
          <w:r w:rsidR="00FB0F16" w:rsidRPr="00FB0F16">
            <w:t>National Microbial Genomics</w:t>
          </w:r>
          <w:r>
            <w:t xml:space="preserve"> </w:t>
          </w:r>
          <w:r w:rsidR="00FB0F16" w:rsidRPr="00FB0F16">
            <w:t xml:space="preserve">Framework for Public Health </w:t>
          </w:r>
        </w:p>
      </w:sdtContent>
    </w:sdt>
    <w:p w14:paraId="2382891E" w14:textId="697D2CB9" w:rsidR="00BD640A" w:rsidRDefault="00FB0F16" w:rsidP="0047616C">
      <w:pPr>
        <w:pStyle w:val="Title"/>
      </w:pPr>
      <w:r>
        <w:t>202</w:t>
      </w:r>
      <w:r w:rsidR="054F709E">
        <w:t>5</w:t>
      </w:r>
      <w:r>
        <w:t>–202</w:t>
      </w:r>
      <w:r w:rsidR="502D9F43">
        <w:t>7</w:t>
      </w:r>
      <w:r>
        <w:br w:type="page"/>
      </w:r>
    </w:p>
    <w:p w14:paraId="78572DCA" w14:textId="77777777" w:rsidR="00C14BF9" w:rsidRPr="00C14BF9" w:rsidRDefault="00C14BF9" w:rsidP="000D78AF">
      <w:pPr>
        <w:pStyle w:val="NormalWeb"/>
        <w:rPr>
          <w:rFonts w:ascii="Arial" w:hAnsi="Arial" w:cs="Arial"/>
          <w:color w:val="000000"/>
          <w:sz w:val="18"/>
          <w:szCs w:val="18"/>
        </w:rPr>
      </w:pPr>
      <w:r w:rsidRPr="00C14BF9">
        <w:rPr>
          <w:rFonts w:ascii="Arial" w:hAnsi="Arial" w:cs="Arial"/>
          <w:color w:val="000000"/>
          <w:sz w:val="18"/>
          <w:szCs w:val="18"/>
        </w:rPr>
        <w:lastRenderedPageBreak/>
        <w:t>© Commonwealth of Australia as represented by the Australian Centre for Disease Control</w:t>
      </w:r>
    </w:p>
    <w:p w14:paraId="43849CB6" w14:textId="6BE83BC1" w:rsidR="00C14BF9" w:rsidRPr="00C14BF9" w:rsidRDefault="00C14BF9" w:rsidP="00E42A76">
      <w:pPr>
        <w:pStyle w:val="NormalWeb"/>
        <w:rPr>
          <w:rFonts w:ascii="Arial" w:hAnsi="Arial" w:cs="Arial"/>
          <w:color w:val="000000"/>
          <w:sz w:val="18"/>
          <w:szCs w:val="18"/>
        </w:rPr>
      </w:pPr>
      <w:r w:rsidRPr="729FC07A">
        <w:rPr>
          <w:rFonts w:ascii="Arial" w:hAnsi="Arial" w:cs="Arial"/>
          <w:color w:val="000000" w:themeColor="text1"/>
          <w:sz w:val="18"/>
          <w:szCs w:val="18"/>
        </w:rPr>
        <w:t xml:space="preserve">Title: </w:t>
      </w:r>
      <w:r w:rsidR="00E42A76" w:rsidRPr="729FC07A">
        <w:rPr>
          <w:rFonts w:ascii="Arial" w:hAnsi="Arial" w:cs="Arial"/>
          <w:color w:val="000000" w:themeColor="text1"/>
          <w:sz w:val="18"/>
          <w:szCs w:val="18"/>
        </w:rPr>
        <w:t>National Microbial Genomics Framework for Public Health 202</w:t>
      </w:r>
      <w:r w:rsidR="26896856" w:rsidRPr="729FC07A">
        <w:rPr>
          <w:rFonts w:ascii="Arial" w:hAnsi="Arial" w:cs="Arial"/>
          <w:color w:val="000000" w:themeColor="text1"/>
          <w:sz w:val="18"/>
          <w:szCs w:val="18"/>
        </w:rPr>
        <w:t>5</w:t>
      </w:r>
      <w:r w:rsidR="00E42A76" w:rsidRPr="729FC07A">
        <w:rPr>
          <w:rFonts w:ascii="Arial" w:hAnsi="Arial" w:cs="Arial"/>
          <w:color w:val="000000" w:themeColor="text1"/>
          <w:sz w:val="18"/>
          <w:szCs w:val="18"/>
        </w:rPr>
        <w:t>–202</w:t>
      </w:r>
      <w:r w:rsidR="2F09943D" w:rsidRPr="729FC07A">
        <w:rPr>
          <w:rFonts w:ascii="Arial" w:hAnsi="Arial" w:cs="Arial"/>
          <w:color w:val="000000" w:themeColor="text1"/>
          <w:sz w:val="18"/>
          <w:szCs w:val="18"/>
        </w:rPr>
        <w:t>7</w:t>
      </w:r>
    </w:p>
    <w:p w14:paraId="3D19371F" w14:textId="77777777" w:rsidR="00C14BF9" w:rsidRPr="00C14BF9" w:rsidRDefault="00C14BF9" w:rsidP="000D78AF">
      <w:pPr>
        <w:pStyle w:val="NormalWeb"/>
        <w:rPr>
          <w:rFonts w:ascii="Arial" w:hAnsi="Arial" w:cs="Arial"/>
          <w:b/>
          <w:bCs/>
          <w:color w:val="000000"/>
          <w:sz w:val="18"/>
          <w:szCs w:val="18"/>
        </w:rPr>
      </w:pPr>
      <w:r w:rsidRPr="00C14BF9">
        <w:rPr>
          <w:rFonts w:ascii="Arial" w:hAnsi="Arial" w:cs="Arial"/>
          <w:b/>
          <w:bCs/>
          <w:color w:val="000000"/>
          <w:sz w:val="18"/>
          <w:szCs w:val="18"/>
        </w:rPr>
        <w:t>Creative Commons Licence</w:t>
      </w:r>
    </w:p>
    <w:p w14:paraId="0B64833F" w14:textId="77777777" w:rsidR="00C14BF9" w:rsidRPr="00C14BF9" w:rsidRDefault="00C14BF9" w:rsidP="000D78AF">
      <w:pPr>
        <w:pStyle w:val="Copyrightversotext"/>
      </w:pPr>
      <w:r w:rsidRPr="00C14BF9">
        <w:t>This publication is licensed under the Creative Commons Attribution 4.0 International Public License available from https://creativecommons.org/licenses/by/4.0/legalcode (“Licence”). You must read and understand the Licence before using any material from this publication.</w:t>
      </w:r>
    </w:p>
    <w:p w14:paraId="2A0BB957" w14:textId="77777777" w:rsidR="00C14BF9" w:rsidRPr="00C14BF9" w:rsidRDefault="00C14BF9" w:rsidP="000D78AF">
      <w:pPr>
        <w:pStyle w:val="NormalWeb"/>
        <w:rPr>
          <w:rFonts w:ascii="Arial" w:hAnsi="Arial" w:cs="Arial"/>
          <w:b/>
          <w:bCs/>
          <w:color w:val="000000"/>
          <w:sz w:val="18"/>
          <w:szCs w:val="18"/>
        </w:rPr>
      </w:pPr>
      <w:r w:rsidRPr="00C14BF9">
        <w:rPr>
          <w:rFonts w:ascii="Arial" w:hAnsi="Arial" w:cs="Arial"/>
          <w:b/>
          <w:bCs/>
          <w:color w:val="000000"/>
          <w:sz w:val="18"/>
          <w:szCs w:val="18"/>
        </w:rPr>
        <w:t>Restrictions</w:t>
      </w:r>
    </w:p>
    <w:p w14:paraId="1ED213F3" w14:textId="77777777" w:rsidR="00C14BF9" w:rsidRPr="00C14BF9" w:rsidRDefault="00C14BF9" w:rsidP="000D78AF">
      <w:pPr>
        <w:pStyle w:val="Copyrightversotext"/>
      </w:pPr>
      <w:r w:rsidRPr="00C14BF9">
        <w:t>The Licence may not give you all the permissions necessary for your intended use. For example, other rights (such as publicity, privacy and moral rights) may limit how you use the material found in this publication.</w:t>
      </w:r>
    </w:p>
    <w:p w14:paraId="7C5426D8" w14:textId="77777777" w:rsidR="00C14BF9" w:rsidRPr="00C14BF9" w:rsidRDefault="00C14BF9" w:rsidP="000D78AF">
      <w:pPr>
        <w:pStyle w:val="NormalWeb"/>
        <w:rPr>
          <w:rFonts w:ascii="Arial" w:hAnsi="Arial" w:cs="Arial"/>
          <w:color w:val="000000"/>
          <w:sz w:val="18"/>
          <w:szCs w:val="18"/>
        </w:rPr>
      </w:pPr>
      <w:r w:rsidRPr="00C14BF9">
        <w:rPr>
          <w:rFonts w:ascii="Arial" w:hAnsi="Arial" w:cs="Arial"/>
          <w:color w:val="000000"/>
          <w:sz w:val="18"/>
          <w:szCs w:val="18"/>
        </w:rPr>
        <w:t>The Licence does not cover, and there is no permission given for, use of any of the following material found in this publication:</w:t>
      </w:r>
    </w:p>
    <w:p w14:paraId="436316F1" w14:textId="77777777" w:rsidR="00C14BF9" w:rsidRPr="00C14BF9" w:rsidRDefault="00C14BF9" w:rsidP="006C7957">
      <w:pPr>
        <w:pStyle w:val="NormalWeb"/>
        <w:numPr>
          <w:ilvl w:val="0"/>
          <w:numId w:val="1"/>
        </w:numPr>
        <w:rPr>
          <w:rFonts w:ascii="Arial" w:hAnsi="Arial" w:cs="Arial"/>
          <w:color w:val="000000"/>
          <w:sz w:val="18"/>
          <w:szCs w:val="18"/>
        </w:rPr>
      </w:pPr>
      <w:r w:rsidRPr="00C14BF9">
        <w:rPr>
          <w:rFonts w:ascii="Arial" w:hAnsi="Arial" w:cs="Arial"/>
          <w:color w:val="000000"/>
          <w:sz w:val="18"/>
          <w:szCs w:val="18"/>
        </w:rPr>
        <w:t>the Commonwealth Coat of Arms. (by way of information, the terms under which the Coat of Arms may be used can be found on the Department of Prime Minister and Cabinet website</w:t>
      </w:r>
    </w:p>
    <w:p w14:paraId="4B73F9BC" w14:textId="77777777" w:rsidR="00C14BF9" w:rsidRPr="00C14BF9" w:rsidRDefault="00C14BF9" w:rsidP="006C7957">
      <w:pPr>
        <w:pStyle w:val="NormalWeb"/>
        <w:numPr>
          <w:ilvl w:val="0"/>
          <w:numId w:val="1"/>
        </w:numPr>
        <w:rPr>
          <w:rFonts w:ascii="Arial" w:hAnsi="Arial" w:cs="Arial"/>
          <w:color w:val="000000"/>
          <w:sz w:val="18"/>
          <w:szCs w:val="18"/>
        </w:rPr>
      </w:pPr>
      <w:r w:rsidRPr="00C14BF9">
        <w:rPr>
          <w:rFonts w:ascii="Arial" w:hAnsi="Arial" w:cs="Arial"/>
          <w:color w:val="000000"/>
          <w:sz w:val="18"/>
          <w:szCs w:val="18"/>
        </w:rPr>
        <w:t>any logos and trademarks;</w:t>
      </w:r>
    </w:p>
    <w:p w14:paraId="3B408780" w14:textId="77777777" w:rsidR="00C14BF9" w:rsidRPr="00C14BF9" w:rsidRDefault="00C14BF9" w:rsidP="006C7957">
      <w:pPr>
        <w:pStyle w:val="NormalWeb"/>
        <w:numPr>
          <w:ilvl w:val="0"/>
          <w:numId w:val="1"/>
        </w:numPr>
        <w:rPr>
          <w:rFonts w:ascii="Arial" w:hAnsi="Arial" w:cs="Arial"/>
          <w:color w:val="000000"/>
          <w:sz w:val="18"/>
          <w:szCs w:val="18"/>
        </w:rPr>
      </w:pPr>
      <w:r w:rsidRPr="00C14BF9">
        <w:rPr>
          <w:rFonts w:ascii="Arial" w:hAnsi="Arial" w:cs="Arial"/>
          <w:color w:val="000000"/>
          <w:sz w:val="18"/>
          <w:szCs w:val="18"/>
        </w:rPr>
        <w:t>any photographs and images;</w:t>
      </w:r>
    </w:p>
    <w:p w14:paraId="359B0A0D" w14:textId="77777777" w:rsidR="00C14BF9" w:rsidRPr="00C14BF9" w:rsidRDefault="00C14BF9" w:rsidP="006C7957">
      <w:pPr>
        <w:pStyle w:val="NormalWeb"/>
        <w:numPr>
          <w:ilvl w:val="0"/>
          <w:numId w:val="1"/>
        </w:numPr>
        <w:rPr>
          <w:rFonts w:ascii="Arial" w:hAnsi="Arial" w:cs="Arial"/>
          <w:color w:val="000000"/>
          <w:sz w:val="18"/>
          <w:szCs w:val="18"/>
        </w:rPr>
      </w:pPr>
      <w:r w:rsidRPr="00C14BF9">
        <w:rPr>
          <w:rFonts w:ascii="Arial" w:hAnsi="Arial" w:cs="Arial"/>
          <w:color w:val="000000"/>
          <w:sz w:val="18"/>
          <w:szCs w:val="18"/>
        </w:rPr>
        <w:t>any signatures; and</w:t>
      </w:r>
    </w:p>
    <w:p w14:paraId="17DD5251" w14:textId="18A3B7FC" w:rsidR="00C14BF9" w:rsidRPr="00C14BF9" w:rsidRDefault="00C14BF9" w:rsidP="006C7957">
      <w:pPr>
        <w:pStyle w:val="NormalWeb"/>
        <w:numPr>
          <w:ilvl w:val="0"/>
          <w:numId w:val="1"/>
        </w:numPr>
        <w:rPr>
          <w:rFonts w:ascii="Arial" w:hAnsi="Arial" w:cs="Arial"/>
          <w:color w:val="000000"/>
          <w:sz w:val="18"/>
          <w:szCs w:val="18"/>
        </w:rPr>
      </w:pPr>
      <w:r w:rsidRPr="00C14BF9">
        <w:rPr>
          <w:rFonts w:ascii="Arial" w:hAnsi="Arial" w:cs="Arial"/>
          <w:color w:val="000000"/>
          <w:sz w:val="18"/>
          <w:szCs w:val="18"/>
        </w:rPr>
        <w:t>any material belonging to third parties. The third party elements must be included here or have a footnote reference throughout the document showing where they are</w:t>
      </w:r>
      <w:r w:rsidR="00AD192D">
        <w:rPr>
          <w:rFonts w:ascii="Arial" w:hAnsi="Arial" w:cs="Arial"/>
          <w:color w:val="000000"/>
          <w:sz w:val="18"/>
          <w:szCs w:val="18"/>
        </w:rPr>
        <w:t>.</w:t>
      </w:r>
    </w:p>
    <w:p w14:paraId="20ABACBE" w14:textId="77777777" w:rsidR="00C14BF9" w:rsidRPr="00C14BF9" w:rsidRDefault="00C14BF9" w:rsidP="000D78AF">
      <w:pPr>
        <w:pStyle w:val="NormalWeb"/>
        <w:rPr>
          <w:rFonts w:ascii="Arial" w:hAnsi="Arial" w:cs="Arial"/>
          <w:b/>
          <w:bCs/>
          <w:color w:val="000000"/>
          <w:sz w:val="18"/>
          <w:szCs w:val="18"/>
        </w:rPr>
      </w:pPr>
      <w:r w:rsidRPr="00C14BF9">
        <w:rPr>
          <w:rFonts w:ascii="Arial" w:hAnsi="Arial" w:cs="Arial"/>
          <w:b/>
          <w:bCs/>
          <w:color w:val="000000"/>
          <w:sz w:val="18"/>
          <w:szCs w:val="18"/>
        </w:rPr>
        <w:t>Attribution</w:t>
      </w:r>
    </w:p>
    <w:p w14:paraId="750EBB27" w14:textId="77777777" w:rsidR="00C14BF9" w:rsidRPr="00C14BF9" w:rsidRDefault="00C14BF9" w:rsidP="000D78AF">
      <w:pPr>
        <w:pStyle w:val="Copyrightversotext"/>
      </w:pPr>
      <w:r w:rsidRPr="00C14BF9">
        <w:t>Without limiting your obligations under the Licence, the Department of Health and Aged Care requests that you attribute this publication in your work. Any reasonable form of words may be used provided that you:</w:t>
      </w:r>
    </w:p>
    <w:p w14:paraId="512EC7F8" w14:textId="77777777" w:rsidR="00C14BF9" w:rsidRPr="00C14BF9" w:rsidRDefault="00C14BF9" w:rsidP="006C7957">
      <w:pPr>
        <w:pStyle w:val="Copyrightversotext"/>
        <w:numPr>
          <w:ilvl w:val="0"/>
          <w:numId w:val="2"/>
        </w:numPr>
      </w:pPr>
      <w:r w:rsidRPr="00C14BF9">
        <w:t>include a reference to this publication and where, practicable, the relevant page numbers;</w:t>
      </w:r>
    </w:p>
    <w:p w14:paraId="0ABA583A" w14:textId="77777777" w:rsidR="00C14BF9" w:rsidRPr="00C14BF9" w:rsidRDefault="00C14BF9" w:rsidP="006C7957">
      <w:pPr>
        <w:pStyle w:val="Copyrightversotext"/>
        <w:numPr>
          <w:ilvl w:val="0"/>
          <w:numId w:val="2"/>
        </w:numPr>
      </w:pPr>
      <w:r w:rsidRPr="00C14BF9">
        <w:t>make it clear that you have permission to use the material under the Creative Commons Attribution 4.0 International Public License;</w:t>
      </w:r>
    </w:p>
    <w:p w14:paraId="29D76876" w14:textId="77777777" w:rsidR="00C14BF9" w:rsidRPr="00C14BF9" w:rsidRDefault="00C14BF9" w:rsidP="006C7957">
      <w:pPr>
        <w:pStyle w:val="Copyrightversotext"/>
        <w:numPr>
          <w:ilvl w:val="0"/>
          <w:numId w:val="2"/>
        </w:numPr>
      </w:pPr>
      <w:r w:rsidRPr="00C14BF9">
        <w:t>make it clear whether or not you have changed the material used from this publication;</w:t>
      </w:r>
    </w:p>
    <w:p w14:paraId="47CF43F8" w14:textId="77777777" w:rsidR="00C14BF9" w:rsidRPr="00C14BF9" w:rsidRDefault="00C14BF9" w:rsidP="006C7957">
      <w:pPr>
        <w:pStyle w:val="Copyrightversotext"/>
        <w:numPr>
          <w:ilvl w:val="0"/>
          <w:numId w:val="2"/>
        </w:numPr>
      </w:pPr>
      <w:r w:rsidRPr="00C14BF9">
        <w:t>include a copyright notice in relation to the material used. In the case of no change to the material, the words “© Commonwealth of Australia (Australian Centre for Disease Control) 20XX” may be used. In the case where the material has been changed or adapted, the words: “Based on Commonwealth of Australia (Australian Centre for Disease Control) material” may be used; and</w:t>
      </w:r>
    </w:p>
    <w:p w14:paraId="756F5769" w14:textId="77777777" w:rsidR="00C14BF9" w:rsidRPr="00C14BF9" w:rsidRDefault="00C14BF9" w:rsidP="006C7957">
      <w:pPr>
        <w:pStyle w:val="Copyrightversotext"/>
        <w:numPr>
          <w:ilvl w:val="0"/>
          <w:numId w:val="2"/>
        </w:numPr>
      </w:pPr>
      <w:r w:rsidRPr="00C14BF9">
        <w:t>do not suggest that the Australian Centre for Disease Control endorses you or your use of the material.</w:t>
      </w:r>
    </w:p>
    <w:p w14:paraId="4B793A93" w14:textId="77777777" w:rsidR="00C14BF9" w:rsidRPr="00C14BF9" w:rsidRDefault="00C14BF9" w:rsidP="000D78AF">
      <w:pPr>
        <w:pStyle w:val="NormalWeb"/>
        <w:rPr>
          <w:rFonts w:ascii="Arial" w:hAnsi="Arial" w:cs="Arial"/>
          <w:b/>
          <w:bCs/>
          <w:color w:val="000000"/>
          <w:sz w:val="18"/>
          <w:szCs w:val="18"/>
        </w:rPr>
      </w:pPr>
      <w:r w:rsidRPr="00C14BF9">
        <w:rPr>
          <w:rFonts w:ascii="Arial" w:hAnsi="Arial" w:cs="Arial"/>
          <w:b/>
          <w:bCs/>
          <w:color w:val="000000"/>
          <w:sz w:val="18"/>
          <w:szCs w:val="18"/>
        </w:rPr>
        <w:t>Enquiries</w:t>
      </w:r>
    </w:p>
    <w:p w14:paraId="04C8F4BE" w14:textId="77777777" w:rsidR="00C14BF9" w:rsidRDefault="00C14BF9" w:rsidP="000D78AF">
      <w:pPr>
        <w:pStyle w:val="Copyrightversotext"/>
      </w:pPr>
      <w:r w:rsidRPr="00C14BF9">
        <w:t xml:space="preserve">Enquiries regarding any other use of this publication should be addressed to the Branch Manager, Communication Branch, Australian Centre for Disease Control, GPO Box 9848, Canberra ACT 2601, or via e-mail to </w:t>
      </w:r>
      <w:hyperlink r:id="rId12" w:history="1">
        <w:r w:rsidRPr="00C14BF9">
          <w:rPr>
            <w:rStyle w:val="Hyperlink"/>
          </w:rPr>
          <w:t>copyright@health.gov.au</w:t>
        </w:r>
      </w:hyperlink>
    </w:p>
    <w:p w14:paraId="2C61E09C" w14:textId="7EB2AC2E" w:rsidR="001D2255" w:rsidRDefault="00C14BF9">
      <w:pPr>
        <w:spacing w:before="0" w:after="0" w:line="240" w:lineRule="auto"/>
      </w:pPr>
      <w:r>
        <w:br w:type="page"/>
      </w:r>
    </w:p>
    <w:p w14:paraId="278469D5" w14:textId="6AAECEB1" w:rsidR="001D2255" w:rsidRDefault="001D2255" w:rsidP="001D2255">
      <w:pPr>
        <w:pStyle w:val="Heading1"/>
      </w:pPr>
      <w:bookmarkStart w:id="0" w:name="_Toc191899390"/>
      <w:r>
        <w:lastRenderedPageBreak/>
        <w:t>Foreword</w:t>
      </w:r>
      <w:bookmarkEnd w:id="0"/>
    </w:p>
    <w:p w14:paraId="39EE9FE6" w14:textId="1ADD7EAE" w:rsidR="00701835" w:rsidRDefault="00701835" w:rsidP="00572441">
      <w:pPr>
        <w:rPr>
          <w:sz w:val="22"/>
          <w:szCs w:val="22"/>
        </w:rPr>
      </w:pPr>
      <w:bookmarkStart w:id="1" w:name="_Hlk187926564"/>
    </w:p>
    <w:p w14:paraId="0D58E28E" w14:textId="77777777" w:rsidR="006121EF" w:rsidRDefault="006121EF" w:rsidP="00572441">
      <w:pPr>
        <w:rPr>
          <w:sz w:val="22"/>
          <w:szCs w:val="22"/>
        </w:rPr>
      </w:pPr>
    </w:p>
    <w:p w14:paraId="00D554EF" w14:textId="7538566F" w:rsidR="00572441" w:rsidRDefault="00825AA9" w:rsidP="00572441">
      <w:pPr>
        <w:rPr>
          <w:sz w:val="22"/>
          <w:szCs w:val="22"/>
        </w:rPr>
      </w:pPr>
      <w:r>
        <w:rPr>
          <w:sz w:val="22"/>
          <w:szCs w:val="22"/>
        </w:rPr>
        <w:t>Microbial genomics</w:t>
      </w:r>
      <w:r w:rsidRPr="00825AA9">
        <w:rPr>
          <w:sz w:val="22"/>
          <w:szCs w:val="22"/>
        </w:rPr>
        <w:t xml:space="preserve"> is a powerful tool </w:t>
      </w:r>
      <w:r w:rsidR="0017244C">
        <w:rPr>
          <w:sz w:val="22"/>
          <w:szCs w:val="22"/>
        </w:rPr>
        <w:t xml:space="preserve">to help us </w:t>
      </w:r>
      <w:r w:rsidR="007135EC">
        <w:rPr>
          <w:sz w:val="22"/>
          <w:szCs w:val="22"/>
        </w:rPr>
        <w:t>better</w:t>
      </w:r>
      <w:r w:rsidR="00531B25">
        <w:rPr>
          <w:sz w:val="22"/>
          <w:szCs w:val="22"/>
        </w:rPr>
        <w:t xml:space="preserve"> understand</w:t>
      </w:r>
      <w:r w:rsidRPr="00825AA9">
        <w:rPr>
          <w:sz w:val="22"/>
          <w:szCs w:val="22"/>
        </w:rPr>
        <w:t xml:space="preserve"> infectious disease</w:t>
      </w:r>
      <w:r w:rsidR="007135EC">
        <w:rPr>
          <w:sz w:val="22"/>
          <w:szCs w:val="22"/>
        </w:rPr>
        <w:t>s</w:t>
      </w:r>
      <w:r w:rsidR="0017244C">
        <w:rPr>
          <w:sz w:val="22"/>
          <w:szCs w:val="22"/>
        </w:rPr>
        <w:t>,</w:t>
      </w:r>
      <w:r w:rsidR="006C37BE">
        <w:rPr>
          <w:sz w:val="22"/>
          <w:szCs w:val="22"/>
        </w:rPr>
        <w:t xml:space="preserve"> </w:t>
      </w:r>
      <w:r w:rsidRPr="00825AA9">
        <w:rPr>
          <w:sz w:val="22"/>
          <w:szCs w:val="22"/>
        </w:rPr>
        <w:t>improve public health surveillance</w:t>
      </w:r>
      <w:r w:rsidR="00531B25">
        <w:rPr>
          <w:sz w:val="22"/>
          <w:szCs w:val="22"/>
        </w:rPr>
        <w:t xml:space="preserve">, </w:t>
      </w:r>
      <w:r w:rsidR="0017244C">
        <w:rPr>
          <w:sz w:val="22"/>
          <w:szCs w:val="22"/>
        </w:rPr>
        <w:t>strengthen</w:t>
      </w:r>
      <w:r w:rsidR="0017244C" w:rsidRPr="00825AA9">
        <w:rPr>
          <w:sz w:val="22"/>
          <w:szCs w:val="22"/>
        </w:rPr>
        <w:t xml:space="preserve"> </w:t>
      </w:r>
      <w:r w:rsidRPr="00825AA9">
        <w:rPr>
          <w:sz w:val="22"/>
          <w:szCs w:val="22"/>
        </w:rPr>
        <w:t>public health decision-making</w:t>
      </w:r>
      <w:r w:rsidR="0017244C">
        <w:rPr>
          <w:sz w:val="22"/>
          <w:szCs w:val="22"/>
        </w:rPr>
        <w:t>,</w:t>
      </w:r>
      <w:r w:rsidR="00531B25">
        <w:rPr>
          <w:sz w:val="22"/>
          <w:szCs w:val="22"/>
        </w:rPr>
        <w:t xml:space="preserve"> and design vaccines and other treatments. </w:t>
      </w:r>
      <w:r w:rsidR="00DE4ADF">
        <w:rPr>
          <w:sz w:val="22"/>
          <w:szCs w:val="22"/>
        </w:rPr>
        <w:t>During</w:t>
      </w:r>
      <w:r w:rsidR="00572441" w:rsidRPr="00572441">
        <w:rPr>
          <w:sz w:val="22"/>
          <w:szCs w:val="22"/>
        </w:rPr>
        <w:t xml:space="preserve"> the COVID-19 pandemic, microbial genomics was essential </w:t>
      </w:r>
      <w:r w:rsidR="00701835">
        <w:rPr>
          <w:sz w:val="22"/>
          <w:szCs w:val="22"/>
        </w:rPr>
        <w:t>in</w:t>
      </w:r>
      <w:r w:rsidR="00572441" w:rsidRPr="00572441">
        <w:rPr>
          <w:sz w:val="22"/>
          <w:szCs w:val="22"/>
        </w:rPr>
        <w:t xml:space="preserve"> detecti</w:t>
      </w:r>
      <w:r w:rsidR="00701835">
        <w:rPr>
          <w:sz w:val="22"/>
          <w:szCs w:val="22"/>
        </w:rPr>
        <w:t>ng</w:t>
      </w:r>
      <w:r w:rsidR="00572441" w:rsidRPr="00572441">
        <w:rPr>
          <w:sz w:val="22"/>
          <w:szCs w:val="22"/>
        </w:rPr>
        <w:t xml:space="preserve"> SARS-CoV-2 variants of concern</w:t>
      </w:r>
      <w:r w:rsidR="0017244C">
        <w:rPr>
          <w:sz w:val="22"/>
          <w:szCs w:val="22"/>
        </w:rPr>
        <w:t>,</w:t>
      </w:r>
      <w:r w:rsidR="00701835">
        <w:rPr>
          <w:sz w:val="22"/>
          <w:szCs w:val="22"/>
        </w:rPr>
        <w:t xml:space="preserve"> </w:t>
      </w:r>
      <w:r w:rsidR="00572441" w:rsidRPr="00572441">
        <w:rPr>
          <w:sz w:val="22"/>
          <w:szCs w:val="22"/>
        </w:rPr>
        <w:t>inform</w:t>
      </w:r>
      <w:r w:rsidR="0017244C">
        <w:rPr>
          <w:sz w:val="22"/>
          <w:szCs w:val="22"/>
        </w:rPr>
        <w:t>ing</w:t>
      </w:r>
      <w:r w:rsidR="00572441" w:rsidRPr="00572441">
        <w:rPr>
          <w:sz w:val="22"/>
          <w:szCs w:val="22"/>
        </w:rPr>
        <w:t xml:space="preserve"> public health </w:t>
      </w:r>
      <w:r w:rsidR="0017244C">
        <w:rPr>
          <w:sz w:val="22"/>
          <w:szCs w:val="22"/>
        </w:rPr>
        <w:t>policy</w:t>
      </w:r>
      <w:r w:rsidR="00572441" w:rsidRPr="00572441">
        <w:rPr>
          <w:sz w:val="22"/>
          <w:szCs w:val="22"/>
        </w:rPr>
        <w:t xml:space="preserve"> and </w:t>
      </w:r>
      <w:r w:rsidR="00701835">
        <w:rPr>
          <w:sz w:val="22"/>
          <w:szCs w:val="22"/>
        </w:rPr>
        <w:t xml:space="preserve">Australia’s </w:t>
      </w:r>
      <w:r w:rsidR="00572441" w:rsidRPr="00572441">
        <w:rPr>
          <w:sz w:val="22"/>
          <w:szCs w:val="22"/>
        </w:rPr>
        <w:t xml:space="preserve">response. </w:t>
      </w:r>
      <w:r w:rsidR="00531B25">
        <w:rPr>
          <w:sz w:val="22"/>
          <w:szCs w:val="22"/>
        </w:rPr>
        <w:t>I</w:t>
      </w:r>
      <w:r w:rsidR="00531B25" w:rsidRPr="4CBC00D6">
        <w:rPr>
          <w:sz w:val="22"/>
          <w:szCs w:val="22"/>
        </w:rPr>
        <w:t>n Australia</w:t>
      </w:r>
      <w:r w:rsidR="00531B25" w:rsidRPr="00572441">
        <w:rPr>
          <w:sz w:val="22"/>
          <w:szCs w:val="22"/>
        </w:rPr>
        <w:t xml:space="preserve"> </w:t>
      </w:r>
      <w:r w:rsidR="00531B25">
        <w:rPr>
          <w:sz w:val="22"/>
          <w:szCs w:val="22"/>
        </w:rPr>
        <w:t>w</w:t>
      </w:r>
      <w:r w:rsidR="5D7DD275" w:rsidRPr="49338043">
        <w:rPr>
          <w:sz w:val="22"/>
          <w:szCs w:val="22"/>
        </w:rPr>
        <w:t xml:space="preserve">e are </w:t>
      </w:r>
      <w:r w:rsidR="00572441" w:rsidRPr="00572441">
        <w:rPr>
          <w:sz w:val="22"/>
          <w:szCs w:val="22"/>
        </w:rPr>
        <w:t>fortunate</w:t>
      </w:r>
      <w:r w:rsidR="5D7DD275" w:rsidRPr="4CBC00D6">
        <w:rPr>
          <w:sz w:val="22"/>
          <w:szCs w:val="22"/>
        </w:rPr>
        <w:t xml:space="preserve"> </w:t>
      </w:r>
      <w:r w:rsidR="00572441" w:rsidRPr="00572441">
        <w:rPr>
          <w:sz w:val="22"/>
          <w:szCs w:val="22"/>
        </w:rPr>
        <w:t xml:space="preserve">to be supported by </w:t>
      </w:r>
      <w:r w:rsidR="00701835">
        <w:rPr>
          <w:sz w:val="22"/>
          <w:szCs w:val="22"/>
        </w:rPr>
        <w:t xml:space="preserve">world renowned </w:t>
      </w:r>
      <w:r w:rsidR="00572441" w:rsidRPr="00572441">
        <w:rPr>
          <w:sz w:val="22"/>
          <w:szCs w:val="22"/>
        </w:rPr>
        <w:t xml:space="preserve">experts and an extensive network of public and private laboratories with the capability, capacity and appropriate accreditation to </w:t>
      </w:r>
      <w:r w:rsidR="00531B25">
        <w:rPr>
          <w:sz w:val="22"/>
          <w:szCs w:val="22"/>
        </w:rPr>
        <w:t>put microbial genomics to its best use</w:t>
      </w:r>
      <w:r w:rsidR="00572441" w:rsidRPr="00572441">
        <w:rPr>
          <w:sz w:val="22"/>
          <w:szCs w:val="22"/>
        </w:rPr>
        <w:t xml:space="preserve">. </w:t>
      </w:r>
    </w:p>
    <w:p w14:paraId="4C965B99" w14:textId="4517DE9D" w:rsidR="00105458" w:rsidRPr="00572441" w:rsidRDefault="003A7C2B" w:rsidP="00105458">
      <w:pPr>
        <w:rPr>
          <w:rFonts w:ascii="Calibri" w:hAnsi="Calibri"/>
          <w:sz w:val="22"/>
          <w:szCs w:val="22"/>
        </w:rPr>
      </w:pPr>
      <w:r>
        <w:rPr>
          <w:sz w:val="22"/>
          <w:szCs w:val="22"/>
        </w:rPr>
        <w:t>T</w:t>
      </w:r>
      <w:r w:rsidRPr="00572441">
        <w:rPr>
          <w:sz w:val="22"/>
          <w:szCs w:val="22"/>
        </w:rPr>
        <w:t xml:space="preserve">his </w:t>
      </w:r>
      <w:r w:rsidR="00531B25">
        <w:rPr>
          <w:sz w:val="22"/>
          <w:szCs w:val="22"/>
        </w:rPr>
        <w:t xml:space="preserve">national </w:t>
      </w:r>
      <w:r w:rsidRPr="00572441">
        <w:rPr>
          <w:sz w:val="22"/>
          <w:szCs w:val="22"/>
        </w:rPr>
        <w:t>framework</w:t>
      </w:r>
      <w:r w:rsidR="00531B25">
        <w:rPr>
          <w:sz w:val="22"/>
          <w:szCs w:val="22"/>
        </w:rPr>
        <w:t xml:space="preserve"> for microbial genomics</w:t>
      </w:r>
      <w:r w:rsidR="0017244C">
        <w:rPr>
          <w:sz w:val="22"/>
          <w:szCs w:val="22"/>
        </w:rPr>
        <w:t>,</w:t>
      </w:r>
      <w:r w:rsidR="00531B25">
        <w:rPr>
          <w:sz w:val="22"/>
          <w:szCs w:val="22"/>
        </w:rPr>
        <w:t xml:space="preserve"> </w:t>
      </w:r>
      <w:r w:rsidR="0017244C" w:rsidRPr="00572441">
        <w:rPr>
          <w:sz w:val="22"/>
          <w:szCs w:val="22"/>
        </w:rPr>
        <w:t>endorsed by the Australian Health Protection Committee</w:t>
      </w:r>
      <w:r w:rsidR="0017244C">
        <w:rPr>
          <w:sz w:val="22"/>
          <w:szCs w:val="22"/>
        </w:rPr>
        <w:t xml:space="preserve">, </w:t>
      </w:r>
      <w:r w:rsidR="00531B25">
        <w:rPr>
          <w:sz w:val="22"/>
          <w:szCs w:val="22"/>
        </w:rPr>
        <w:t>is now in its</w:t>
      </w:r>
      <w:r w:rsidR="00531B25" w:rsidRPr="00572441">
        <w:rPr>
          <w:sz w:val="22"/>
          <w:szCs w:val="22"/>
        </w:rPr>
        <w:t xml:space="preserve"> </w:t>
      </w:r>
      <w:r w:rsidR="00531B25">
        <w:rPr>
          <w:sz w:val="22"/>
          <w:szCs w:val="22"/>
        </w:rPr>
        <w:t>second</w:t>
      </w:r>
      <w:r w:rsidR="00531B25" w:rsidRPr="00572441">
        <w:rPr>
          <w:sz w:val="22"/>
          <w:szCs w:val="22"/>
        </w:rPr>
        <w:t xml:space="preserve"> iteration</w:t>
      </w:r>
      <w:r w:rsidR="00531B25">
        <w:rPr>
          <w:sz w:val="22"/>
          <w:szCs w:val="22"/>
        </w:rPr>
        <w:t>.</w:t>
      </w:r>
      <w:r w:rsidR="0017244C">
        <w:rPr>
          <w:sz w:val="22"/>
          <w:szCs w:val="22"/>
        </w:rPr>
        <w:t xml:space="preserve"> </w:t>
      </w:r>
      <w:r w:rsidR="00531B25">
        <w:rPr>
          <w:sz w:val="22"/>
          <w:szCs w:val="22"/>
        </w:rPr>
        <w:t xml:space="preserve">The framework </w:t>
      </w:r>
      <w:r w:rsidR="00105458" w:rsidRPr="00572441">
        <w:rPr>
          <w:sz w:val="22"/>
          <w:szCs w:val="22"/>
        </w:rPr>
        <w:t xml:space="preserve">reinforces </w:t>
      </w:r>
      <w:r w:rsidR="00531B25">
        <w:rPr>
          <w:sz w:val="22"/>
          <w:szCs w:val="22"/>
        </w:rPr>
        <w:t>our</w:t>
      </w:r>
      <w:r w:rsidR="00105458" w:rsidRPr="00572441">
        <w:rPr>
          <w:sz w:val="22"/>
          <w:szCs w:val="22"/>
        </w:rPr>
        <w:t xml:space="preserve"> </w:t>
      </w:r>
      <w:r w:rsidR="00105458" w:rsidRPr="2595F21E">
        <w:rPr>
          <w:sz w:val="22"/>
          <w:szCs w:val="22"/>
        </w:rPr>
        <w:t xml:space="preserve">collaborative commitment </w:t>
      </w:r>
      <w:r w:rsidR="00547E55">
        <w:rPr>
          <w:sz w:val="22"/>
          <w:szCs w:val="22"/>
        </w:rPr>
        <w:t>to</w:t>
      </w:r>
      <w:r w:rsidR="00105458" w:rsidRPr="2595F21E">
        <w:rPr>
          <w:sz w:val="22"/>
          <w:szCs w:val="22"/>
        </w:rPr>
        <w:t xml:space="preserve"> integrating microbial genomics into the Australian laboratory and public health system</w:t>
      </w:r>
      <w:r w:rsidR="00105458" w:rsidRPr="00572441">
        <w:rPr>
          <w:sz w:val="22"/>
          <w:szCs w:val="22"/>
        </w:rPr>
        <w:t>.</w:t>
      </w:r>
      <w:r w:rsidR="00701835">
        <w:rPr>
          <w:sz w:val="22"/>
          <w:szCs w:val="22"/>
        </w:rPr>
        <w:t xml:space="preserve"> This will ensure this technology is effectively </w:t>
      </w:r>
      <w:r w:rsidR="00531B25">
        <w:rPr>
          <w:sz w:val="22"/>
          <w:szCs w:val="22"/>
        </w:rPr>
        <w:t>used</w:t>
      </w:r>
      <w:r w:rsidR="00701835">
        <w:rPr>
          <w:sz w:val="22"/>
          <w:szCs w:val="22"/>
        </w:rPr>
        <w:t xml:space="preserve"> </w:t>
      </w:r>
      <w:r w:rsidR="00531B25">
        <w:rPr>
          <w:sz w:val="22"/>
          <w:szCs w:val="22"/>
        </w:rPr>
        <w:t>throughout</w:t>
      </w:r>
      <w:r w:rsidR="00701835">
        <w:rPr>
          <w:sz w:val="22"/>
          <w:szCs w:val="22"/>
        </w:rPr>
        <w:t xml:space="preserve"> Australia</w:t>
      </w:r>
      <w:r w:rsidR="0017244C">
        <w:rPr>
          <w:sz w:val="22"/>
          <w:szCs w:val="22"/>
        </w:rPr>
        <w:t>,</w:t>
      </w:r>
      <w:r w:rsidR="00701835">
        <w:rPr>
          <w:sz w:val="22"/>
          <w:szCs w:val="22"/>
        </w:rPr>
        <w:t xml:space="preserve"> enabl</w:t>
      </w:r>
      <w:r w:rsidR="0017244C">
        <w:rPr>
          <w:sz w:val="22"/>
          <w:szCs w:val="22"/>
        </w:rPr>
        <w:t>ing</w:t>
      </w:r>
      <w:r w:rsidR="00701835">
        <w:rPr>
          <w:sz w:val="22"/>
          <w:szCs w:val="22"/>
        </w:rPr>
        <w:t xml:space="preserve"> Australia to better respond to public health threats.</w:t>
      </w:r>
    </w:p>
    <w:p w14:paraId="51D2C6AF" w14:textId="2CAD7A51" w:rsidR="00055DDE" w:rsidRPr="00572441" w:rsidRDefault="00DE4ADF" w:rsidP="00055DDE">
      <w:pPr>
        <w:rPr>
          <w:sz w:val="22"/>
          <w:szCs w:val="22"/>
        </w:rPr>
      </w:pPr>
      <w:r>
        <w:rPr>
          <w:sz w:val="22"/>
          <w:szCs w:val="22"/>
        </w:rPr>
        <w:t>S</w:t>
      </w:r>
      <w:r w:rsidR="00055DDE" w:rsidRPr="2595F21E">
        <w:rPr>
          <w:sz w:val="22"/>
          <w:szCs w:val="22"/>
        </w:rPr>
        <w:t xml:space="preserve">trong collaborative relationships between national, state and territory governments, medical laboratory professionals, researchers and health professionals </w:t>
      </w:r>
      <w:r w:rsidR="009565CF" w:rsidRPr="009565CF">
        <w:rPr>
          <w:sz w:val="22"/>
          <w:szCs w:val="22"/>
        </w:rPr>
        <w:t xml:space="preserve">remain </w:t>
      </w:r>
      <w:r w:rsidR="007135EC">
        <w:rPr>
          <w:sz w:val="22"/>
          <w:szCs w:val="22"/>
        </w:rPr>
        <w:t>crucial</w:t>
      </w:r>
      <w:r w:rsidR="00055DDE" w:rsidRPr="2595F21E">
        <w:rPr>
          <w:sz w:val="22"/>
          <w:szCs w:val="22"/>
        </w:rPr>
        <w:t xml:space="preserve"> </w:t>
      </w:r>
      <w:r w:rsidR="0017244C">
        <w:rPr>
          <w:sz w:val="22"/>
          <w:szCs w:val="22"/>
        </w:rPr>
        <w:t>to</w:t>
      </w:r>
      <w:r w:rsidR="00055DDE" w:rsidRPr="2595F21E">
        <w:rPr>
          <w:sz w:val="22"/>
          <w:szCs w:val="22"/>
        </w:rPr>
        <w:t xml:space="preserve"> the</w:t>
      </w:r>
      <w:r w:rsidR="0017244C">
        <w:rPr>
          <w:sz w:val="22"/>
          <w:szCs w:val="22"/>
        </w:rPr>
        <w:t xml:space="preserve"> successful</w:t>
      </w:r>
      <w:r w:rsidR="00055DDE" w:rsidRPr="2595F21E">
        <w:rPr>
          <w:sz w:val="22"/>
          <w:szCs w:val="22"/>
        </w:rPr>
        <w:t xml:space="preserve"> implementation of microbial genomics safe</w:t>
      </w:r>
      <w:r w:rsidR="0017244C">
        <w:rPr>
          <w:sz w:val="22"/>
          <w:szCs w:val="22"/>
        </w:rPr>
        <w:t>ly</w:t>
      </w:r>
      <w:r w:rsidR="00055DDE" w:rsidRPr="2595F21E">
        <w:rPr>
          <w:sz w:val="22"/>
          <w:szCs w:val="22"/>
        </w:rPr>
        <w:t>, ethical</w:t>
      </w:r>
      <w:r w:rsidR="0017244C">
        <w:rPr>
          <w:sz w:val="22"/>
          <w:szCs w:val="22"/>
        </w:rPr>
        <w:t>ly</w:t>
      </w:r>
      <w:r w:rsidR="00055DDE" w:rsidRPr="2595F21E">
        <w:rPr>
          <w:sz w:val="22"/>
          <w:szCs w:val="22"/>
        </w:rPr>
        <w:t xml:space="preserve"> and equitabl</w:t>
      </w:r>
      <w:r w:rsidR="0017244C">
        <w:rPr>
          <w:sz w:val="22"/>
          <w:szCs w:val="22"/>
        </w:rPr>
        <w:t>y</w:t>
      </w:r>
      <w:r w:rsidR="00055DDE" w:rsidRPr="2595F21E">
        <w:rPr>
          <w:sz w:val="22"/>
          <w:szCs w:val="22"/>
        </w:rPr>
        <w:t>.</w:t>
      </w:r>
      <w:r w:rsidR="00055DDE" w:rsidRPr="00572441">
        <w:rPr>
          <w:sz w:val="22"/>
          <w:szCs w:val="22"/>
        </w:rPr>
        <w:t xml:space="preserve"> </w:t>
      </w:r>
      <w:r w:rsidR="00026314">
        <w:rPr>
          <w:sz w:val="22"/>
          <w:szCs w:val="22"/>
        </w:rPr>
        <w:t xml:space="preserve"> </w:t>
      </w:r>
    </w:p>
    <w:p w14:paraId="1BBEB590" w14:textId="432651BD" w:rsidR="00572441" w:rsidRPr="00572441" w:rsidRDefault="00F83700" w:rsidP="00572441">
      <w:pPr>
        <w:rPr>
          <w:sz w:val="22"/>
          <w:szCs w:val="22"/>
        </w:rPr>
      </w:pPr>
      <w:r w:rsidRPr="00EE6BFB">
        <w:rPr>
          <w:noProof/>
          <w:sz w:val="22"/>
          <w:szCs w:val="22"/>
        </w:rPr>
        <w:drawing>
          <wp:anchor distT="0" distB="0" distL="114300" distR="114300" simplePos="0" relativeHeight="251659264" behindDoc="1" locked="0" layoutInCell="1" allowOverlap="1" wp14:anchorId="6F5E80F4" wp14:editId="0606B524">
            <wp:simplePos x="0" y="0"/>
            <wp:positionH relativeFrom="margin">
              <wp:align>right</wp:align>
            </wp:positionH>
            <wp:positionV relativeFrom="paragraph">
              <wp:posOffset>472614</wp:posOffset>
            </wp:positionV>
            <wp:extent cx="1769110" cy="1947545"/>
            <wp:effectExtent l="0" t="0" r="2540" b="0"/>
            <wp:wrapTight wrapText="bothSides">
              <wp:wrapPolygon edited="0">
                <wp:start x="0" y="0"/>
                <wp:lineTo x="0" y="21339"/>
                <wp:lineTo x="21398" y="21339"/>
                <wp:lineTo x="21398" y="0"/>
                <wp:lineTo x="0" y="0"/>
              </wp:wrapPolygon>
            </wp:wrapTight>
            <wp:docPr id="259985130" name="Picture 4" descr="Headshot of Anthony Law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85130" name="Picture 4" descr="Headshot of Anthony Lawl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9110" cy="194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2441" w:rsidRPr="7A2055BD">
        <w:rPr>
          <w:sz w:val="22"/>
          <w:szCs w:val="22"/>
        </w:rPr>
        <w:t>I would like to acknowledge those who have contributed to the development of this framework</w:t>
      </w:r>
      <w:r w:rsidR="00701835">
        <w:rPr>
          <w:sz w:val="22"/>
          <w:szCs w:val="22"/>
        </w:rPr>
        <w:t xml:space="preserve">, including </w:t>
      </w:r>
      <w:r w:rsidR="00572441" w:rsidRPr="4537ABA1">
        <w:rPr>
          <w:sz w:val="22"/>
          <w:szCs w:val="22"/>
        </w:rPr>
        <w:t>the</w:t>
      </w:r>
      <w:r w:rsidR="00572441" w:rsidRPr="00572441">
        <w:rPr>
          <w:sz w:val="22"/>
          <w:szCs w:val="22"/>
        </w:rPr>
        <w:t xml:space="preserve"> Communicable Diseases Genomics Network</w:t>
      </w:r>
      <w:r w:rsidR="1014063D" w:rsidRPr="690392F7">
        <w:rPr>
          <w:sz w:val="22"/>
          <w:szCs w:val="22"/>
        </w:rPr>
        <w:t xml:space="preserve">, the Public Health </w:t>
      </w:r>
      <w:r w:rsidR="1014063D" w:rsidRPr="0C106E0C">
        <w:rPr>
          <w:sz w:val="22"/>
          <w:szCs w:val="22"/>
        </w:rPr>
        <w:t xml:space="preserve">Laboratory Network, and the Communicable </w:t>
      </w:r>
      <w:r w:rsidR="1014063D" w:rsidRPr="020F74DC">
        <w:rPr>
          <w:sz w:val="22"/>
          <w:szCs w:val="22"/>
        </w:rPr>
        <w:t xml:space="preserve">Diseases </w:t>
      </w:r>
      <w:r w:rsidR="1014063D" w:rsidRPr="2A22F2C6">
        <w:rPr>
          <w:sz w:val="22"/>
          <w:szCs w:val="22"/>
        </w:rPr>
        <w:t>Network Australia</w:t>
      </w:r>
      <w:r w:rsidR="00572441" w:rsidRPr="00572441">
        <w:rPr>
          <w:sz w:val="22"/>
          <w:szCs w:val="22"/>
        </w:rPr>
        <w:t xml:space="preserve">. </w:t>
      </w:r>
    </w:p>
    <w:bookmarkEnd w:id="1"/>
    <w:p w14:paraId="24814FD8" w14:textId="2A275CF8" w:rsidR="0096740A" w:rsidRDefault="0096740A" w:rsidP="00572441">
      <w:pPr>
        <w:rPr>
          <w:sz w:val="22"/>
          <w:szCs w:val="22"/>
        </w:rPr>
      </w:pPr>
    </w:p>
    <w:p w14:paraId="17860FCC" w14:textId="56CEA90A" w:rsidR="00EE6BFB" w:rsidRPr="00EE6BFB" w:rsidRDefault="00EE6BFB" w:rsidP="00EE6BFB">
      <w:pPr>
        <w:spacing w:before="120" w:after="120"/>
        <w:rPr>
          <w:sz w:val="22"/>
          <w:szCs w:val="22"/>
        </w:rPr>
      </w:pPr>
      <w:r w:rsidRPr="00EE6BFB">
        <w:rPr>
          <w:noProof/>
          <w:sz w:val="22"/>
          <w:szCs w:val="22"/>
        </w:rPr>
        <w:drawing>
          <wp:inline distT="0" distB="0" distL="0" distR="0" wp14:anchorId="15E716CF" wp14:editId="09A73604">
            <wp:extent cx="1484415" cy="630437"/>
            <wp:effectExtent l="0" t="0" r="1905" b="0"/>
            <wp:docPr id="1817070201" name="Picture 2" descr="Professor Anthony Lawl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70201" name="Picture 2" descr="Professor Anthony Lawler's sig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0986" cy="637475"/>
                    </a:xfrm>
                    <a:prstGeom prst="rect">
                      <a:avLst/>
                    </a:prstGeom>
                    <a:noFill/>
                    <a:ln>
                      <a:noFill/>
                    </a:ln>
                  </pic:spPr>
                </pic:pic>
              </a:graphicData>
            </a:graphic>
          </wp:inline>
        </w:drawing>
      </w:r>
    </w:p>
    <w:p w14:paraId="5D62CA61" w14:textId="0D18C208" w:rsidR="00EE6BFB" w:rsidRPr="00EE6BFB" w:rsidRDefault="00EE6BFB" w:rsidP="00EE6BFB">
      <w:pPr>
        <w:spacing w:before="120" w:after="120"/>
        <w:rPr>
          <w:sz w:val="22"/>
          <w:szCs w:val="22"/>
        </w:rPr>
      </w:pPr>
    </w:p>
    <w:p w14:paraId="2E438B03" w14:textId="74F6D2A4" w:rsidR="00572441" w:rsidRPr="00572441" w:rsidRDefault="00572441" w:rsidP="00701835">
      <w:pPr>
        <w:spacing w:before="0" w:after="0"/>
        <w:rPr>
          <w:sz w:val="22"/>
          <w:szCs w:val="22"/>
        </w:rPr>
      </w:pPr>
      <w:r w:rsidRPr="00572441">
        <w:rPr>
          <w:sz w:val="22"/>
          <w:szCs w:val="22"/>
        </w:rPr>
        <w:t xml:space="preserve">Professor </w:t>
      </w:r>
      <w:r w:rsidR="002902B2">
        <w:rPr>
          <w:sz w:val="22"/>
          <w:szCs w:val="22"/>
        </w:rPr>
        <w:t>Anth</w:t>
      </w:r>
      <w:r w:rsidR="007251EE">
        <w:rPr>
          <w:sz w:val="22"/>
          <w:szCs w:val="22"/>
        </w:rPr>
        <w:t>ony Lawler</w:t>
      </w:r>
    </w:p>
    <w:p w14:paraId="7038B29A" w14:textId="31FE1F96" w:rsidR="00572441" w:rsidRPr="00572441" w:rsidRDefault="00572441" w:rsidP="00701835">
      <w:pPr>
        <w:spacing w:before="0" w:after="0"/>
        <w:rPr>
          <w:sz w:val="22"/>
          <w:szCs w:val="22"/>
        </w:rPr>
      </w:pPr>
      <w:r w:rsidRPr="00572441">
        <w:rPr>
          <w:sz w:val="22"/>
          <w:szCs w:val="22"/>
        </w:rPr>
        <w:t>Chief Medical Officer</w:t>
      </w:r>
      <w:r w:rsidR="00EE6BFB">
        <w:rPr>
          <w:sz w:val="22"/>
          <w:szCs w:val="22"/>
        </w:rPr>
        <w:t xml:space="preserve"> </w:t>
      </w:r>
      <w:r w:rsidR="009F6FFB">
        <w:rPr>
          <w:sz w:val="22"/>
          <w:szCs w:val="22"/>
        </w:rPr>
        <w:t>&amp;</w:t>
      </w:r>
      <w:r w:rsidR="00EE6BFB">
        <w:rPr>
          <w:sz w:val="22"/>
          <w:szCs w:val="22"/>
        </w:rPr>
        <w:t xml:space="preserve"> </w:t>
      </w:r>
      <w:r w:rsidR="00EE6BFB" w:rsidRPr="00EE6BFB">
        <w:rPr>
          <w:sz w:val="22"/>
          <w:szCs w:val="22"/>
        </w:rPr>
        <w:t>Deputy Secretary Health Products Regulation Group</w:t>
      </w:r>
    </w:p>
    <w:p w14:paraId="149591B3" w14:textId="5466B340" w:rsidR="00DC5D9F" w:rsidRDefault="00665D24" w:rsidP="00701835">
      <w:pPr>
        <w:spacing w:before="0" w:after="0"/>
        <w:rPr>
          <w:sz w:val="22"/>
          <w:szCs w:val="22"/>
        </w:rPr>
      </w:pPr>
      <w:r>
        <w:rPr>
          <w:sz w:val="22"/>
          <w:szCs w:val="22"/>
        </w:rPr>
        <w:t xml:space="preserve">Australian Government </w:t>
      </w:r>
      <w:r w:rsidR="00572441" w:rsidRPr="00572441">
        <w:rPr>
          <w:sz w:val="22"/>
          <w:szCs w:val="22"/>
        </w:rPr>
        <w:t>Department of Health and Aged Care</w:t>
      </w:r>
    </w:p>
    <w:p w14:paraId="02F76FA0" w14:textId="77777777" w:rsidR="00DC5D9F" w:rsidRDefault="00DC5D9F">
      <w:pPr>
        <w:spacing w:before="0" w:after="0" w:line="240" w:lineRule="auto"/>
        <w:rPr>
          <w:sz w:val="22"/>
          <w:szCs w:val="22"/>
        </w:rPr>
      </w:pPr>
      <w:r>
        <w:rPr>
          <w:sz w:val="22"/>
          <w:szCs w:val="22"/>
        </w:rPr>
        <w:br w:type="page"/>
      </w:r>
    </w:p>
    <w:p w14:paraId="7C37ECEC" w14:textId="386184FA" w:rsidR="00572441" w:rsidRPr="0027520B" w:rsidRDefault="00BF394D" w:rsidP="0027520B">
      <w:pPr>
        <w:pStyle w:val="Heading1"/>
      </w:pPr>
      <w:bookmarkStart w:id="2" w:name="_Toc191899391"/>
      <w:r>
        <w:rPr>
          <w:noProof/>
        </w:rPr>
        <w:lastRenderedPageBreak/>
        <w:drawing>
          <wp:anchor distT="0" distB="0" distL="114300" distR="114300" simplePos="0" relativeHeight="251661312" behindDoc="1" locked="0" layoutInCell="1" allowOverlap="1" wp14:anchorId="675BFA94" wp14:editId="7267794C">
            <wp:simplePos x="0" y="0"/>
            <wp:positionH relativeFrom="page">
              <wp:align>right</wp:align>
            </wp:positionH>
            <wp:positionV relativeFrom="page">
              <wp:align>top</wp:align>
            </wp:positionV>
            <wp:extent cx="7543433" cy="10689004"/>
            <wp:effectExtent l="0" t="0" r="635" b="0"/>
            <wp:wrapTight wrapText="bothSides">
              <wp:wrapPolygon edited="0">
                <wp:start x="0" y="0"/>
                <wp:lineTo x="0" y="21558"/>
                <wp:lineTo x="21547" y="21558"/>
                <wp:lineTo x="21547" y="0"/>
                <wp:lineTo x="0" y="0"/>
              </wp:wrapPolygon>
            </wp:wrapTight>
            <wp:docPr id="1048104748" name="Picture 2" descr="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04748" name="Picture 2" descr="Overview"/>
                    <pic:cNvPicPr/>
                  </pic:nvPicPr>
                  <pic:blipFill>
                    <a:blip r:embed="rId15">
                      <a:extLst>
                        <a:ext uri="{28A0092B-C50C-407E-A947-70E740481C1C}">
                          <a14:useLocalDpi xmlns:a14="http://schemas.microsoft.com/office/drawing/2010/main" val="0"/>
                        </a:ext>
                      </a:extLst>
                    </a:blip>
                    <a:stretch>
                      <a:fillRect/>
                    </a:stretch>
                  </pic:blipFill>
                  <pic:spPr>
                    <a:xfrm>
                      <a:off x="0" y="0"/>
                      <a:ext cx="7543433" cy="10689004"/>
                    </a:xfrm>
                    <a:prstGeom prst="rect">
                      <a:avLst/>
                    </a:prstGeom>
                  </pic:spPr>
                </pic:pic>
              </a:graphicData>
            </a:graphic>
            <wp14:sizeRelH relativeFrom="margin">
              <wp14:pctWidth>0</wp14:pctWidth>
            </wp14:sizeRelH>
            <wp14:sizeRelV relativeFrom="margin">
              <wp14:pctHeight>0</wp14:pctHeight>
            </wp14:sizeRelV>
          </wp:anchor>
        </w:drawing>
      </w:r>
      <w:r>
        <w:t>Overview</w:t>
      </w:r>
      <w:bookmarkEnd w:id="2"/>
    </w:p>
    <w:sdt>
      <w:sdtPr>
        <w:rPr>
          <w:rFonts w:ascii="Arial" w:eastAsiaTheme="minorEastAsia" w:hAnsi="Arial" w:cstheme="minorBidi"/>
          <w:b w:val="0"/>
          <w:bCs w:val="0"/>
          <w:color w:val="auto"/>
          <w:kern w:val="2"/>
          <w:sz w:val="24"/>
          <w:szCs w:val="24"/>
          <w:lang w:val="en-AU"/>
          <w14:ligatures w14:val="standardContextual"/>
        </w:rPr>
        <w:id w:val="-294442415"/>
        <w:docPartObj>
          <w:docPartGallery w:val="Table of Contents"/>
          <w:docPartUnique/>
        </w:docPartObj>
      </w:sdtPr>
      <w:sdtEndPr/>
      <w:sdtContent>
        <w:p w14:paraId="41F2945E" w14:textId="77777777" w:rsidR="00F40769" w:rsidRDefault="00F40769">
          <w:pPr>
            <w:pStyle w:val="TOCHeading"/>
          </w:pPr>
          <w:r>
            <w:t>Table of Contents</w:t>
          </w:r>
        </w:p>
        <w:p w14:paraId="5A416F8F" w14:textId="5C26AC7C" w:rsidR="003E3889" w:rsidRDefault="007109F7">
          <w:pPr>
            <w:pStyle w:val="TOC1"/>
            <w:tabs>
              <w:tab w:val="right" w:leader="dot" w:pos="9482"/>
            </w:tabs>
            <w:rPr>
              <w:rFonts w:eastAsiaTheme="minorEastAsia" w:cstheme="minorBidi"/>
              <w:b w:val="0"/>
              <w:bCs w:val="0"/>
              <w:iCs w:val="0"/>
              <w:noProof/>
              <w:lang w:eastAsia="en-AU"/>
            </w:rPr>
          </w:pPr>
          <w:r>
            <w:rPr>
              <w:b w:val="0"/>
              <w:bCs w:val="0"/>
            </w:rPr>
            <w:fldChar w:fldCharType="begin"/>
          </w:r>
          <w:r>
            <w:rPr>
              <w:b w:val="0"/>
              <w:bCs w:val="0"/>
            </w:rPr>
            <w:instrText xml:space="preserve"> TOC \o "1-4" \h \z \u </w:instrText>
          </w:r>
          <w:r>
            <w:rPr>
              <w:b w:val="0"/>
              <w:bCs w:val="0"/>
            </w:rPr>
            <w:fldChar w:fldCharType="separate"/>
          </w:r>
          <w:hyperlink w:anchor="_Toc191899390" w:history="1">
            <w:r w:rsidR="003E3889" w:rsidRPr="008311BB">
              <w:rPr>
                <w:rStyle w:val="Hyperlink"/>
                <w:noProof/>
              </w:rPr>
              <w:t>Foreword</w:t>
            </w:r>
            <w:r w:rsidR="003E3889">
              <w:rPr>
                <w:noProof/>
                <w:webHidden/>
              </w:rPr>
              <w:tab/>
            </w:r>
            <w:r w:rsidR="003E3889">
              <w:rPr>
                <w:noProof/>
                <w:webHidden/>
              </w:rPr>
              <w:fldChar w:fldCharType="begin"/>
            </w:r>
            <w:r w:rsidR="003E3889">
              <w:rPr>
                <w:noProof/>
                <w:webHidden/>
              </w:rPr>
              <w:instrText xml:space="preserve"> PAGEREF _Toc191899390 \h </w:instrText>
            </w:r>
            <w:r w:rsidR="003E3889">
              <w:rPr>
                <w:noProof/>
                <w:webHidden/>
              </w:rPr>
            </w:r>
            <w:r w:rsidR="003E3889">
              <w:rPr>
                <w:noProof/>
                <w:webHidden/>
              </w:rPr>
              <w:fldChar w:fldCharType="separate"/>
            </w:r>
            <w:r w:rsidR="003317BC">
              <w:rPr>
                <w:noProof/>
                <w:webHidden/>
              </w:rPr>
              <w:t>2</w:t>
            </w:r>
            <w:r w:rsidR="003E3889">
              <w:rPr>
                <w:noProof/>
                <w:webHidden/>
              </w:rPr>
              <w:fldChar w:fldCharType="end"/>
            </w:r>
          </w:hyperlink>
        </w:p>
        <w:p w14:paraId="1B61ACD7" w14:textId="37A080EE" w:rsidR="003E3889" w:rsidRDefault="003E3889">
          <w:pPr>
            <w:pStyle w:val="TOC1"/>
            <w:tabs>
              <w:tab w:val="right" w:leader="dot" w:pos="9482"/>
            </w:tabs>
            <w:rPr>
              <w:rFonts w:eastAsiaTheme="minorEastAsia" w:cstheme="minorBidi"/>
              <w:b w:val="0"/>
              <w:bCs w:val="0"/>
              <w:iCs w:val="0"/>
              <w:noProof/>
              <w:lang w:eastAsia="en-AU"/>
            </w:rPr>
          </w:pPr>
          <w:hyperlink w:anchor="_Toc191899391" w:history="1">
            <w:r w:rsidRPr="008311BB">
              <w:rPr>
                <w:rStyle w:val="Hyperlink"/>
                <w:noProof/>
              </w:rPr>
              <w:t>Overview</w:t>
            </w:r>
            <w:r>
              <w:rPr>
                <w:noProof/>
                <w:webHidden/>
              </w:rPr>
              <w:tab/>
            </w:r>
            <w:r>
              <w:rPr>
                <w:noProof/>
                <w:webHidden/>
              </w:rPr>
              <w:fldChar w:fldCharType="begin"/>
            </w:r>
            <w:r>
              <w:rPr>
                <w:noProof/>
                <w:webHidden/>
              </w:rPr>
              <w:instrText xml:space="preserve"> PAGEREF _Toc191899391 \h </w:instrText>
            </w:r>
            <w:r>
              <w:rPr>
                <w:noProof/>
                <w:webHidden/>
              </w:rPr>
            </w:r>
            <w:r>
              <w:rPr>
                <w:noProof/>
                <w:webHidden/>
              </w:rPr>
              <w:fldChar w:fldCharType="separate"/>
            </w:r>
            <w:r w:rsidR="003317BC">
              <w:rPr>
                <w:noProof/>
                <w:webHidden/>
              </w:rPr>
              <w:t>3</w:t>
            </w:r>
            <w:r>
              <w:rPr>
                <w:noProof/>
                <w:webHidden/>
              </w:rPr>
              <w:fldChar w:fldCharType="end"/>
            </w:r>
          </w:hyperlink>
        </w:p>
        <w:p w14:paraId="0D306DE1" w14:textId="5BC924A7" w:rsidR="003E3889" w:rsidRDefault="003E3889">
          <w:pPr>
            <w:pStyle w:val="TOC1"/>
            <w:tabs>
              <w:tab w:val="right" w:leader="dot" w:pos="9482"/>
            </w:tabs>
            <w:rPr>
              <w:rFonts w:eastAsiaTheme="minorEastAsia" w:cstheme="minorBidi"/>
              <w:b w:val="0"/>
              <w:bCs w:val="0"/>
              <w:iCs w:val="0"/>
              <w:noProof/>
              <w:lang w:eastAsia="en-AU"/>
            </w:rPr>
          </w:pPr>
          <w:hyperlink w:anchor="_Toc191899392" w:history="1">
            <w:r w:rsidRPr="008311BB">
              <w:rPr>
                <w:rStyle w:val="Hyperlink"/>
                <w:noProof/>
              </w:rPr>
              <w:t>Glossary of key technical terms</w:t>
            </w:r>
            <w:r>
              <w:rPr>
                <w:noProof/>
                <w:webHidden/>
              </w:rPr>
              <w:tab/>
            </w:r>
            <w:r>
              <w:rPr>
                <w:noProof/>
                <w:webHidden/>
              </w:rPr>
              <w:fldChar w:fldCharType="begin"/>
            </w:r>
            <w:r>
              <w:rPr>
                <w:noProof/>
                <w:webHidden/>
              </w:rPr>
              <w:instrText xml:space="preserve"> PAGEREF _Toc191899392 \h </w:instrText>
            </w:r>
            <w:r>
              <w:rPr>
                <w:noProof/>
                <w:webHidden/>
              </w:rPr>
            </w:r>
            <w:r>
              <w:rPr>
                <w:noProof/>
                <w:webHidden/>
              </w:rPr>
              <w:fldChar w:fldCharType="separate"/>
            </w:r>
            <w:r w:rsidR="003317BC">
              <w:rPr>
                <w:noProof/>
                <w:webHidden/>
              </w:rPr>
              <w:t>6</w:t>
            </w:r>
            <w:r>
              <w:rPr>
                <w:noProof/>
                <w:webHidden/>
              </w:rPr>
              <w:fldChar w:fldCharType="end"/>
            </w:r>
          </w:hyperlink>
        </w:p>
        <w:p w14:paraId="15F405F1" w14:textId="02D21A58" w:rsidR="003E3889" w:rsidRDefault="003E3889">
          <w:pPr>
            <w:pStyle w:val="TOC1"/>
            <w:tabs>
              <w:tab w:val="right" w:leader="dot" w:pos="9482"/>
            </w:tabs>
            <w:rPr>
              <w:rFonts w:eastAsiaTheme="minorEastAsia" w:cstheme="minorBidi"/>
              <w:b w:val="0"/>
              <w:bCs w:val="0"/>
              <w:iCs w:val="0"/>
              <w:noProof/>
              <w:lang w:eastAsia="en-AU"/>
            </w:rPr>
          </w:pPr>
          <w:hyperlink w:anchor="_Toc191899393" w:history="1">
            <w:r w:rsidRPr="008311BB">
              <w:rPr>
                <w:rStyle w:val="Hyperlink"/>
                <w:noProof/>
              </w:rPr>
              <w:t>Acronyms and abbreviations</w:t>
            </w:r>
            <w:r>
              <w:rPr>
                <w:noProof/>
                <w:webHidden/>
              </w:rPr>
              <w:tab/>
            </w:r>
            <w:r>
              <w:rPr>
                <w:noProof/>
                <w:webHidden/>
              </w:rPr>
              <w:fldChar w:fldCharType="begin"/>
            </w:r>
            <w:r>
              <w:rPr>
                <w:noProof/>
                <w:webHidden/>
              </w:rPr>
              <w:instrText xml:space="preserve"> PAGEREF _Toc191899393 \h </w:instrText>
            </w:r>
            <w:r>
              <w:rPr>
                <w:noProof/>
                <w:webHidden/>
              </w:rPr>
            </w:r>
            <w:r>
              <w:rPr>
                <w:noProof/>
                <w:webHidden/>
              </w:rPr>
              <w:fldChar w:fldCharType="separate"/>
            </w:r>
            <w:r w:rsidR="003317BC">
              <w:rPr>
                <w:noProof/>
                <w:webHidden/>
              </w:rPr>
              <w:t>9</w:t>
            </w:r>
            <w:r>
              <w:rPr>
                <w:noProof/>
                <w:webHidden/>
              </w:rPr>
              <w:fldChar w:fldCharType="end"/>
            </w:r>
          </w:hyperlink>
        </w:p>
        <w:p w14:paraId="4D94A0AD" w14:textId="0465B358" w:rsidR="003E3889" w:rsidRDefault="003E3889">
          <w:pPr>
            <w:pStyle w:val="TOC1"/>
            <w:tabs>
              <w:tab w:val="right" w:leader="dot" w:pos="9482"/>
            </w:tabs>
            <w:rPr>
              <w:rFonts w:eastAsiaTheme="minorEastAsia" w:cstheme="minorBidi"/>
              <w:b w:val="0"/>
              <w:bCs w:val="0"/>
              <w:iCs w:val="0"/>
              <w:noProof/>
              <w:lang w:eastAsia="en-AU"/>
            </w:rPr>
          </w:pPr>
          <w:hyperlink w:anchor="_Toc191899394" w:history="1">
            <w:r w:rsidRPr="008311BB">
              <w:rPr>
                <w:rStyle w:val="Hyperlink"/>
                <w:noProof/>
              </w:rPr>
              <w:t>Background</w:t>
            </w:r>
            <w:r>
              <w:rPr>
                <w:noProof/>
                <w:webHidden/>
              </w:rPr>
              <w:tab/>
            </w:r>
            <w:r>
              <w:rPr>
                <w:noProof/>
                <w:webHidden/>
              </w:rPr>
              <w:fldChar w:fldCharType="begin"/>
            </w:r>
            <w:r>
              <w:rPr>
                <w:noProof/>
                <w:webHidden/>
              </w:rPr>
              <w:instrText xml:space="preserve"> PAGEREF _Toc191899394 \h </w:instrText>
            </w:r>
            <w:r>
              <w:rPr>
                <w:noProof/>
                <w:webHidden/>
              </w:rPr>
            </w:r>
            <w:r>
              <w:rPr>
                <w:noProof/>
                <w:webHidden/>
              </w:rPr>
              <w:fldChar w:fldCharType="separate"/>
            </w:r>
            <w:r w:rsidR="003317BC">
              <w:rPr>
                <w:noProof/>
                <w:webHidden/>
              </w:rPr>
              <w:t>11</w:t>
            </w:r>
            <w:r>
              <w:rPr>
                <w:noProof/>
                <w:webHidden/>
              </w:rPr>
              <w:fldChar w:fldCharType="end"/>
            </w:r>
          </w:hyperlink>
        </w:p>
        <w:p w14:paraId="59E4FA8B" w14:textId="60D62D7B" w:rsidR="003E3889" w:rsidRDefault="003E3889">
          <w:pPr>
            <w:pStyle w:val="TOC1"/>
            <w:tabs>
              <w:tab w:val="right" w:leader="dot" w:pos="9482"/>
            </w:tabs>
            <w:rPr>
              <w:rFonts w:eastAsiaTheme="minorEastAsia" w:cstheme="minorBidi"/>
              <w:b w:val="0"/>
              <w:bCs w:val="0"/>
              <w:iCs w:val="0"/>
              <w:noProof/>
              <w:lang w:eastAsia="en-AU"/>
            </w:rPr>
          </w:pPr>
          <w:hyperlink w:anchor="_Toc191899395" w:history="1">
            <w:r w:rsidRPr="008311BB">
              <w:rPr>
                <w:rStyle w:val="Hyperlink"/>
                <w:noProof/>
              </w:rPr>
              <w:t>Purpose</w:t>
            </w:r>
            <w:r>
              <w:rPr>
                <w:noProof/>
                <w:webHidden/>
              </w:rPr>
              <w:tab/>
            </w:r>
            <w:r>
              <w:rPr>
                <w:noProof/>
                <w:webHidden/>
              </w:rPr>
              <w:fldChar w:fldCharType="begin"/>
            </w:r>
            <w:r>
              <w:rPr>
                <w:noProof/>
                <w:webHidden/>
              </w:rPr>
              <w:instrText xml:space="preserve"> PAGEREF _Toc191899395 \h </w:instrText>
            </w:r>
            <w:r>
              <w:rPr>
                <w:noProof/>
                <w:webHidden/>
              </w:rPr>
            </w:r>
            <w:r>
              <w:rPr>
                <w:noProof/>
                <w:webHidden/>
              </w:rPr>
              <w:fldChar w:fldCharType="separate"/>
            </w:r>
            <w:r w:rsidR="003317BC">
              <w:rPr>
                <w:noProof/>
                <w:webHidden/>
              </w:rPr>
              <w:t>14</w:t>
            </w:r>
            <w:r>
              <w:rPr>
                <w:noProof/>
                <w:webHidden/>
              </w:rPr>
              <w:fldChar w:fldCharType="end"/>
            </w:r>
          </w:hyperlink>
        </w:p>
        <w:p w14:paraId="406C7D57" w14:textId="583F38EE" w:rsidR="003E3889" w:rsidRDefault="003E3889">
          <w:pPr>
            <w:pStyle w:val="TOC2"/>
            <w:tabs>
              <w:tab w:val="right" w:leader="dot" w:pos="9482"/>
            </w:tabs>
            <w:rPr>
              <w:rFonts w:eastAsiaTheme="minorEastAsia" w:cstheme="minorBidi"/>
              <w:b w:val="0"/>
              <w:bCs w:val="0"/>
              <w:noProof/>
              <w:sz w:val="24"/>
              <w:szCs w:val="24"/>
              <w:lang w:eastAsia="en-AU"/>
            </w:rPr>
          </w:pPr>
          <w:hyperlink w:anchor="_Toc191899396" w:history="1">
            <w:r w:rsidRPr="008311BB">
              <w:rPr>
                <w:rStyle w:val="Hyperlink"/>
                <w:noProof/>
              </w:rPr>
              <w:t>Vision</w:t>
            </w:r>
            <w:r>
              <w:rPr>
                <w:noProof/>
                <w:webHidden/>
              </w:rPr>
              <w:tab/>
            </w:r>
            <w:r>
              <w:rPr>
                <w:noProof/>
                <w:webHidden/>
              </w:rPr>
              <w:fldChar w:fldCharType="begin"/>
            </w:r>
            <w:r>
              <w:rPr>
                <w:noProof/>
                <w:webHidden/>
              </w:rPr>
              <w:instrText xml:space="preserve"> PAGEREF _Toc191899396 \h </w:instrText>
            </w:r>
            <w:r>
              <w:rPr>
                <w:noProof/>
                <w:webHidden/>
              </w:rPr>
            </w:r>
            <w:r>
              <w:rPr>
                <w:noProof/>
                <w:webHidden/>
              </w:rPr>
              <w:fldChar w:fldCharType="separate"/>
            </w:r>
            <w:r w:rsidR="003317BC">
              <w:rPr>
                <w:noProof/>
                <w:webHidden/>
              </w:rPr>
              <w:t>14</w:t>
            </w:r>
            <w:r>
              <w:rPr>
                <w:noProof/>
                <w:webHidden/>
              </w:rPr>
              <w:fldChar w:fldCharType="end"/>
            </w:r>
          </w:hyperlink>
        </w:p>
        <w:p w14:paraId="1D113A17" w14:textId="71A0D5B9" w:rsidR="003E3889" w:rsidRDefault="003E3889">
          <w:pPr>
            <w:pStyle w:val="TOC2"/>
            <w:tabs>
              <w:tab w:val="right" w:leader="dot" w:pos="9482"/>
            </w:tabs>
            <w:rPr>
              <w:rFonts w:eastAsiaTheme="minorEastAsia" w:cstheme="minorBidi"/>
              <w:b w:val="0"/>
              <w:bCs w:val="0"/>
              <w:noProof/>
              <w:sz w:val="24"/>
              <w:szCs w:val="24"/>
              <w:lang w:eastAsia="en-AU"/>
            </w:rPr>
          </w:pPr>
          <w:hyperlink w:anchor="_Toc191899397" w:history="1">
            <w:r w:rsidRPr="008311BB">
              <w:rPr>
                <w:rStyle w:val="Hyperlink"/>
                <w:noProof/>
              </w:rPr>
              <w:t>Audience</w:t>
            </w:r>
            <w:r>
              <w:rPr>
                <w:noProof/>
                <w:webHidden/>
              </w:rPr>
              <w:tab/>
            </w:r>
            <w:r>
              <w:rPr>
                <w:noProof/>
                <w:webHidden/>
              </w:rPr>
              <w:fldChar w:fldCharType="begin"/>
            </w:r>
            <w:r>
              <w:rPr>
                <w:noProof/>
                <w:webHidden/>
              </w:rPr>
              <w:instrText xml:space="preserve"> PAGEREF _Toc191899397 \h </w:instrText>
            </w:r>
            <w:r>
              <w:rPr>
                <w:noProof/>
                <w:webHidden/>
              </w:rPr>
            </w:r>
            <w:r>
              <w:rPr>
                <w:noProof/>
                <w:webHidden/>
              </w:rPr>
              <w:fldChar w:fldCharType="separate"/>
            </w:r>
            <w:r w:rsidR="003317BC">
              <w:rPr>
                <w:noProof/>
                <w:webHidden/>
              </w:rPr>
              <w:t>15</w:t>
            </w:r>
            <w:r>
              <w:rPr>
                <w:noProof/>
                <w:webHidden/>
              </w:rPr>
              <w:fldChar w:fldCharType="end"/>
            </w:r>
          </w:hyperlink>
        </w:p>
        <w:p w14:paraId="38EE42C6" w14:textId="61289F72" w:rsidR="003E3889" w:rsidRDefault="003E3889">
          <w:pPr>
            <w:pStyle w:val="TOC2"/>
            <w:tabs>
              <w:tab w:val="right" w:leader="dot" w:pos="9482"/>
            </w:tabs>
            <w:rPr>
              <w:rFonts w:eastAsiaTheme="minorEastAsia" w:cstheme="minorBidi"/>
              <w:b w:val="0"/>
              <w:bCs w:val="0"/>
              <w:noProof/>
              <w:sz w:val="24"/>
              <w:szCs w:val="24"/>
              <w:lang w:eastAsia="en-AU"/>
            </w:rPr>
          </w:pPr>
          <w:hyperlink w:anchor="_Toc191899398" w:history="1">
            <w:r w:rsidRPr="008311BB">
              <w:rPr>
                <w:rStyle w:val="Hyperlink"/>
                <w:noProof/>
              </w:rPr>
              <w:t>Timeframe</w:t>
            </w:r>
            <w:r>
              <w:rPr>
                <w:noProof/>
                <w:webHidden/>
              </w:rPr>
              <w:tab/>
            </w:r>
            <w:r>
              <w:rPr>
                <w:noProof/>
                <w:webHidden/>
              </w:rPr>
              <w:fldChar w:fldCharType="begin"/>
            </w:r>
            <w:r>
              <w:rPr>
                <w:noProof/>
                <w:webHidden/>
              </w:rPr>
              <w:instrText xml:space="preserve"> PAGEREF _Toc191899398 \h </w:instrText>
            </w:r>
            <w:r>
              <w:rPr>
                <w:noProof/>
                <w:webHidden/>
              </w:rPr>
            </w:r>
            <w:r>
              <w:rPr>
                <w:noProof/>
                <w:webHidden/>
              </w:rPr>
              <w:fldChar w:fldCharType="separate"/>
            </w:r>
            <w:r w:rsidR="003317BC">
              <w:rPr>
                <w:noProof/>
                <w:webHidden/>
              </w:rPr>
              <w:t>15</w:t>
            </w:r>
            <w:r>
              <w:rPr>
                <w:noProof/>
                <w:webHidden/>
              </w:rPr>
              <w:fldChar w:fldCharType="end"/>
            </w:r>
          </w:hyperlink>
        </w:p>
        <w:p w14:paraId="2784652C" w14:textId="4FE8C011" w:rsidR="003E3889" w:rsidRDefault="003E3889">
          <w:pPr>
            <w:pStyle w:val="TOC2"/>
            <w:tabs>
              <w:tab w:val="right" w:leader="dot" w:pos="9482"/>
            </w:tabs>
            <w:rPr>
              <w:rFonts w:eastAsiaTheme="minorEastAsia" w:cstheme="minorBidi"/>
              <w:b w:val="0"/>
              <w:bCs w:val="0"/>
              <w:noProof/>
              <w:sz w:val="24"/>
              <w:szCs w:val="24"/>
              <w:lang w:eastAsia="en-AU"/>
            </w:rPr>
          </w:pPr>
          <w:hyperlink w:anchor="_Toc191899399" w:history="1">
            <w:r w:rsidRPr="008311BB">
              <w:rPr>
                <w:rStyle w:val="Hyperlink"/>
                <w:noProof/>
              </w:rPr>
              <w:t>Sector consultation</w:t>
            </w:r>
            <w:r>
              <w:rPr>
                <w:noProof/>
                <w:webHidden/>
              </w:rPr>
              <w:tab/>
            </w:r>
            <w:r>
              <w:rPr>
                <w:noProof/>
                <w:webHidden/>
              </w:rPr>
              <w:fldChar w:fldCharType="begin"/>
            </w:r>
            <w:r>
              <w:rPr>
                <w:noProof/>
                <w:webHidden/>
              </w:rPr>
              <w:instrText xml:space="preserve"> PAGEREF _Toc191899399 \h </w:instrText>
            </w:r>
            <w:r>
              <w:rPr>
                <w:noProof/>
                <w:webHidden/>
              </w:rPr>
            </w:r>
            <w:r>
              <w:rPr>
                <w:noProof/>
                <w:webHidden/>
              </w:rPr>
              <w:fldChar w:fldCharType="separate"/>
            </w:r>
            <w:r w:rsidR="003317BC">
              <w:rPr>
                <w:noProof/>
                <w:webHidden/>
              </w:rPr>
              <w:t>15</w:t>
            </w:r>
            <w:r>
              <w:rPr>
                <w:noProof/>
                <w:webHidden/>
              </w:rPr>
              <w:fldChar w:fldCharType="end"/>
            </w:r>
          </w:hyperlink>
        </w:p>
        <w:p w14:paraId="1D2A0827" w14:textId="0C877649" w:rsidR="003E3889" w:rsidRDefault="003E3889">
          <w:pPr>
            <w:pStyle w:val="TOC2"/>
            <w:tabs>
              <w:tab w:val="right" w:leader="dot" w:pos="9482"/>
            </w:tabs>
            <w:rPr>
              <w:rFonts w:eastAsiaTheme="minorEastAsia" w:cstheme="minorBidi"/>
              <w:b w:val="0"/>
              <w:bCs w:val="0"/>
              <w:noProof/>
              <w:sz w:val="24"/>
              <w:szCs w:val="24"/>
              <w:lang w:eastAsia="en-AU"/>
            </w:rPr>
          </w:pPr>
          <w:hyperlink w:anchor="_Toc191899400" w:history="1">
            <w:r w:rsidRPr="008311BB">
              <w:rPr>
                <w:rStyle w:val="Hyperlink"/>
                <w:noProof/>
              </w:rPr>
              <w:t>Guiding principles</w:t>
            </w:r>
            <w:r>
              <w:rPr>
                <w:noProof/>
                <w:webHidden/>
              </w:rPr>
              <w:tab/>
            </w:r>
            <w:r>
              <w:rPr>
                <w:noProof/>
                <w:webHidden/>
              </w:rPr>
              <w:fldChar w:fldCharType="begin"/>
            </w:r>
            <w:r>
              <w:rPr>
                <w:noProof/>
                <w:webHidden/>
              </w:rPr>
              <w:instrText xml:space="preserve"> PAGEREF _Toc191899400 \h </w:instrText>
            </w:r>
            <w:r>
              <w:rPr>
                <w:noProof/>
                <w:webHidden/>
              </w:rPr>
            </w:r>
            <w:r>
              <w:rPr>
                <w:noProof/>
                <w:webHidden/>
              </w:rPr>
              <w:fldChar w:fldCharType="separate"/>
            </w:r>
            <w:r w:rsidR="003317BC">
              <w:rPr>
                <w:noProof/>
                <w:webHidden/>
              </w:rPr>
              <w:t>15</w:t>
            </w:r>
            <w:r>
              <w:rPr>
                <w:noProof/>
                <w:webHidden/>
              </w:rPr>
              <w:fldChar w:fldCharType="end"/>
            </w:r>
          </w:hyperlink>
        </w:p>
        <w:p w14:paraId="7087785D" w14:textId="554CFE23" w:rsidR="003E3889" w:rsidRDefault="003E3889">
          <w:pPr>
            <w:pStyle w:val="TOC2"/>
            <w:tabs>
              <w:tab w:val="right" w:leader="dot" w:pos="9482"/>
            </w:tabs>
            <w:rPr>
              <w:rFonts w:eastAsiaTheme="minorEastAsia" w:cstheme="minorBidi"/>
              <w:b w:val="0"/>
              <w:bCs w:val="0"/>
              <w:noProof/>
              <w:sz w:val="24"/>
              <w:szCs w:val="24"/>
              <w:lang w:eastAsia="en-AU"/>
            </w:rPr>
          </w:pPr>
          <w:hyperlink w:anchor="_Toc191899401" w:history="1">
            <w:r w:rsidRPr="008311BB">
              <w:rPr>
                <w:rStyle w:val="Hyperlink"/>
                <w:noProof/>
              </w:rPr>
              <w:t>Enablers</w:t>
            </w:r>
            <w:r>
              <w:rPr>
                <w:noProof/>
                <w:webHidden/>
              </w:rPr>
              <w:tab/>
            </w:r>
            <w:r>
              <w:rPr>
                <w:noProof/>
                <w:webHidden/>
              </w:rPr>
              <w:fldChar w:fldCharType="begin"/>
            </w:r>
            <w:r>
              <w:rPr>
                <w:noProof/>
                <w:webHidden/>
              </w:rPr>
              <w:instrText xml:space="preserve"> PAGEREF _Toc191899401 \h </w:instrText>
            </w:r>
            <w:r>
              <w:rPr>
                <w:noProof/>
                <w:webHidden/>
              </w:rPr>
            </w:r>
            <w:r>
              <w:rPr>
                <w:noProof/>
                <w:webHidden/>
              </w:rPr>
              <w:fldChar w:fldCharType="separate"/>
            </w:r>
            <w:r w:rsidR="003317BC">
              <w:rPr>
                <w:noProof/>
                <w:webHidden/>
              </w:rPr>
              <w:t>16</w:t>
            </w:r>
            <w:r>
              <w:rPr>
                <w:noProof/>
                <w:webHidden/>
              </w:rPr>
              <w:fldChar w:fldCharType="end"/>
            </w:r>
          </w:hyperlink>
        </w:p>
        <w:p w14:paraId="18216A78" w14:textId="76C4D6A5" w:rsidR="003E3889" w:rsidRDefault="003E3889">
          <w:pPr>
            <w:pStyle w:val="TOC1"/>
            <w:tabs>
              <w:tab w:val="right" w:leader="dot" w:pos="9482"/>
            </w:tabs>
            <w:rPr>
              <w:rFonts w:eastAsiaTheme="minorEastAsia" w:cstheme="minorBidi"/>
              <w:b w:val="0"/>
              <w:bCs w:val="0"/>
              <w:iCs w:val="0"/>
              <w:noProof/>
              <w:lang w:eastAsia="en-AU"/>
            </w:rPr>
          </w:pPr>
          <w:hyperlink w:anchor="_Toc191899402" w:history="1">
            <w:r w:rsidRPr="008311BB">
              <w:rPr>
                <w:rStyle w:val="Hyperlink"/>
                <w:noProof/>
              </w:rPr>
              <w:t>Strategic context</w:t>
            </w:r>
            <w:r>
              <w:rPr>
                <w:noProof/>
                <w:webHidden/>
              </w:rPr>
              <w:tab/>
            </w:r>
            <w:r>
              <w:rPr>
                <w:noProof/>
                <w:webHidden/>
              </w:rPr>
              <w:fldChar w:fldCharType="begin"/>
            </w:r>
            <w:r>
              <w:rPr>
                <w:noProof/>
                <w:webHidden/>
              </w:rPr>
              <w:instrText xml:space="preserve"> PAGEREF _Toc191899402 \h </w:instrText>
            </w:r>
            <w:r>
              <w:rPr>
                <w:noProof/>
                <w:webHidden/>
              </w:rPr>
            </w:r>
            <w:r>
              <w:rPr>
                <w:noProof/>
                <w:webHidden/>
              </w:rPr>
              <w:fldChar w:fldCharType="separate"/>
            </w:r>
            <w:r w:rsidR="003317BC">
              <w:rPr>
                <w:noProof/>
                <w:webHidden/>
              </w:rPr>
              <w:t>18</w:t>
            </w:r>
            <w:r>
              <w:rPr>
                <w:noProof/>
                <w:webHidden/>
              </w:rPr>
              <w:fldChar w:fldCharType="end"/>
            </w:r>
          </w:hyperlink>
        </w:p>
        <w:p w14:paraId="54FE399C" w14:textId="4F68641E" w:rsidR="003E3889" w:rsidRDefault="003E3889">
          <w:pPr>
            <w:pStyle w:val="TOC1"/>
            <w:tabs>
              <w:tab w:val="right" w:leader="dot" w:pos="9482"/>
            </w:tabs>
            <w:rPr>
              <w:rFonts w:eastAsiaTheme="minorEastAsia" w:cstheme="minorBidi"/>
              <w:b w:val="0"/>
              <w:bCs w:val="0"/>
              <w:iCs w:val="0"/>
              <w:noProof/>
              <w:lang w:eastAsia="en-AU"/>
            </w:rPr>
          </w:pPr>
          <w:hyperlink w:anchor="_Toc191899403" w:history="1">
            <w:r w:rsidRPr="008311BB">
              <w:rPr>
                <w:rStyle w:val="Hyperlink"/>
                <w:noProof/>
              </w:rPr>
              <w:t>Implementation</w:t>
            </w:r>
            <w:r>
              <w:rPr>
                <w:noProof/>
                <w:webHidden/>
              </w:rPr>
              <w:tab/>
            </w:r>
            <w:r>
              <w:rPr>
                <w:noProof/>
                <w:webHidden/>
              </w:rPr>
              <w:fldChar w:fldCharType="begin"/>
            </w:r>
            <w:r>
              <w:rPr>
                <w:noProof/>
                <w:webHidden/>
              </w:rPr>
              <w:instrText xml:space="preserve"> PAGEREF _Toc191899403 \h </w:instrText>
            </w:r>
            <w:r>
              <w:rPr>
                <w:noProof/>
                <w:webHidden/>
              </w:rPr>
            </w:r>
            <w:r>
              <w:rPr>
                <w:noProof/>
                <w:webHidden/>
              </w:rPr>
              <w:fldChar w:fldCharType="separate"/>
            </w:r>
            <w:r w:rsidR="003317BC">
              <w:rPr>
                <w:noProof/>
                <w:webHidden/>
              </w:rPr>
              <w:t>20</w:t>
            </w:r>
            <w:r>
              <w:rPr>
                <w:noProof/>
                <w:webHidden/>
              </w:rPr>
              <w:fldChar w:fldCharType="end"/>
            </w:r>
          </w:hyperlink>
        </w:p>
        <w:p w14:paraId="37F50278" w14:textId="0A4520DA" w:rsidR="003E3889" w:rsidRDefault="003E3889">
          <w:pPr>
            <w:pStyle w:val="TOC2"/>
            <w:tabs>
              <w:tab w:val="right" w:leader="dot" w:pos="9482"/>
            </w:tabs>
            <w:rPr>
              <w:rFonts w:eastAsiaTheme="minorEastAsia" w:cstheme="minorBidi"/>
              <w:b w:val="0"/>
              <w:bCs w:val="0"/>
              <w:noProof/>
              <w:sz w:val="24"/>
              <w:szCs w:val="24"/>
              <w:lang w:eastAsia="en-AU"/>
            </w:rPr>
          </w:pPr>
          <w:hyperlink w:anchor="_Toc191899404" w:history="1">
            <w:r w:rsidRPr="008311BB">
              <w:rPr>
                <w:rStyle w:val="Hyperlink"/>
                <w:noProof/>
              </w:rPr>
              <w:t>Monitoring Outcomes</w:t>
            </w:r>
            <w:r>
              <w:rPr>
                <w:noProof/>
                <w:webHidden/>
              </w:rPr>
              <w:tab/>
            </w:r>
            <w:r>
              <w:rPr>
                <w:noProof/>
                <w:webHidden/>
              </w:rPr>
              <w:fldChar w:fldCharType="begin"/>
            </w:r>
            <w:r>
              <w:rPr>
                <w:noProof/>
                <w:webHidden/>
              </w:rPr>
              <w:instrText xml:space="preserve"> PAGEREF _Toc191899404 \h </w:instrText>
            </w:r>
            <w:r>
              <w:rPr>
                <w:noProof/>
                <w:webHidden/>
              </w:rPr>
            </w:r>
            <w:r>
              <w:rPr>
                <w:noProof/>
                <w:webHidden/>
              </w:rPr>
              <w:fldChar w:fldCharType="separate"/>
            </w:r>
            <w:r w:rsidR="003317BC">
              <w:rPr>
                <w:noProof/>
                <w:webHidden/>
              </w:rPr>
              <w:t>20</w:t>
            </w:r>
            <w:r>
              <w:rPr>
                <w:noProof/>
                <w:webHidden/>
              </w:rPr>
              <w:fldChar w:fldCharType="end"/>
            </w:r>
          </w:hyperlink>
        </w:p>
        <w:p w14:paraId="4D6C858B" w14:textId="31E8C239" w:rsidR="003E3889" w:rsidRDefault="003E3889">
          <w:pPr>
            <w:pStyle w:val="TOC2"/>
            <w:tabs>
              <w:tab w:val="right" w:leader="dot" w:pos="9482"/>
            </w:tabs>
            <w:rPr>
              <w:rFonts w:eastAsiaTheme="minorEastAsia" w:cstheme="minorBidi"/>
              <w:b w:val="0"/>
              <w:bCs w:val="0"/>
              <w:noProof/>
              <w:sz w:val="24"/>
              <w:szCs w:val="24"/>
              <w:lang w:eastAsia="en-AU"/>
            </w:rPr>
          </w:pPr>
          <w:hyperlink w:anchor="_Toc191899405" w:history="1">
            <w:r w:rsidRPr="008311BB">
              <w:rPr>
                <w:rStyle w:val="Hyperlink"/>
                <w:noProof/>
              </w:rPr>
              <w:t>Indicative action timeframes</w:t>
            </w:r>
            <w:r>
              <w:rPr>
                <w:noProof/>
                <w:webHidden/>
              </w:rPr>
              <w:tab/>
            </w:r>
            <w:r>
              <w:rPr>
                <w:noProof/>
                <w:webHidden/>
              </w:rPr>
              <w:fldChar w:fldCharType="begin"/>
            </w:r>
            <w:r>
              <w:rPr>
                <w:noProof/>
                <w:webHidden/>
              </w:rPr>
              <w:instrText xml:space="preserve"> PAGEREF _Toc191899405 \h </w:instrText>
            </w:r>
            <w:r>
              <w:rPr>
                <w:noProof/>
                <w:webHidden/>
              </w:rPr>
            </w:r>
            <w:r>
              <w:rPr>
                <w:noProof/>
                <w:webHidden/>
              </w:rPr>
              <w:fldChar w:fldCharType="separate"/>
            </w:r>
            <w:r w:rsidR="003317BC">
              <w:rPr>
                <w:noProof/>
                <w:webHidden/>
              </w:rPr>
              <w:t>20</w:t>
            </w:r>
            <w:r>
              <w:rPr>
                <w:noProof/>
                <w:webHidden/>
              </w:rPr>
              <w:fldChar w:fldCharType="end"/>
            </w:r>
          </w:hyperlink>
        </w:p>
        <w:p w14:paraId="574BF811" w14:textId="627D40C1" w:rsidR="003E3889" w:rsidRDefault="003E3889">
          <w:pPr>
            <w:pStyle w:val="TOC2"/>
            <w:tabs>
              <w:tab w:val="right" w:leader="dot" w:pos="9482"/>
            </w:tabs>
            <w:rPr>
              <w:rFonts w:eastAsiaTheme="minorEastAsia" w:cstheme="minorBidi"/>
              <w:b w:val="0"/>
              <w:bCs w:val="0"/>
              <w:noProof/>
              <w:sz w:val="24"/>
              <w:szCs w:val="24"/>
              <w:lang w:eastAsia="en-AU"/>
            </w:rPr>
          </w:pPr>
          <w:hyperlink w:anchor="_Toc191899406" w:history="1">
            <w:r w:rsidRPr="008311BB">
              <w:rPr>
                <w:rStyle w:val="Hyperlink"/>
                <w:noProof/>
              </w:rPr>
              <w:t>Priority key</w:t>
            </w:r>
            <w:r>
              <w:rPr>
                <w:noProof/>
                <w:webHidden/>
              </w:rPr>
              <w:tab/>
            </w:r>
            <w:r>
              <w:rPr>
                <w:noProof/>
                <w:webHidden/>
              </w:rPr>
              <w:fldChar w:fldCharType="begin"/>
            </w:r>
            <w:r>
              <w:rPr>
                <w:noProof/>
                <w:webHidden/>
              </w:rPr>
              <w:instrText xml:space="preserve"> PAGEREF _Toc191899406 \h </w:instrText>
            </w:r>
            <w:r>
              <w:rPr>
                <w:noProof/>
                <w:webHidden/>
              </w:rPr>
            </w:r>
            <w:r>
              <w:rPr>
                <w:noProof/>
                <w:webHidden/>
              </w:rPr>
              <w:fldChar w:fldCharType="separate"/>
            </w:r>
            <w:r w:rsidR="003317BC">
              <w:rPr>
                <w:noProof/>
                <w:webHidden/>
              </w:rPr>
              <w:t>21</w:t>
            </w:r>
            <w:r>
              <w:rPr>
                <w:noProof/>
                <w:webHidden/>
              </w:rPr>
              <w:fldChar w:fldCharType="end"/>
            </w:r>
          </w:hyperlink>
        </w:p>
        <w:p w14:paraId="18788476" w14:textId="3DD37E08" w:rsidR="003E3889" w:rsidRDefault="003E3889">
          <w:pPr>
            <w:pStyle w:val="TOC2"/>
            <w:tabs>
              <w:tab w:val="right" w:leader="dot" w:pos="9482"/>
            </w:tabs>
            <w:rPr>
              <w:rFonts w:eastAsiaTheme="minorEastAsia" w:cstheme="minorBidi"/>
              <w:b w:val="0"/>
              <w:bCs w:val="0"/>
              <w:noProof/>
              <w:sz w:val="24"/>
              <w:szCs w:val="24"/>
              <w:lang w:eastAsia="en-AU"/>
            </w:rPr>
          </w:pPr>
          <w:hyperlink w:anchor="_Toc191899407" w:history="1">
            <w:r w:rsidRPr="008311BB">
              <w:rPr>
                <w:rStyle w:val="Hyperlink"/>
                <w:noProof/>
              </w:rPr>
              <w:t>Roles and responsibilities</w:t>
            </w:r>
            <w:r>
              <w:rPr>
                <w:noProof/>
                <w:webHidden/>
              </w:rPr>
              <w:tab/>
            </w:r>
            <w:r>
              <w:rPr>
                <w:noProof/>
                <w:webHidden/>
              </w:rPr>
              <w:fldChar w:fldCharType="begin"/>
            </w:r>
            <w:r>
              <w:rPr>
                <w:noProof/>
                <w:webHidden/>
              </w:rPr>
              <w:instrText xml:space="preserve"> PAGEREF _Toc191899407 \h </w:instrText>
            </w:r>
            <w:r>
              <w:rPr>
                <w:noProof/>
                <w:webHidden/>
              </w:rPr>
            </w:r>
            <w:r>
              <w:rPr>
                <w:noProof/>
                <w:webHidden/>
              </w:rPr>
              <w:fldChar w:fldCharType="separate"/>
            </w:r>
            <w:r w:rsidR="003317BC">
              <w:rPr>
                <w:noProof/>
                <w:webHidden/>
              </w:rPr>
              <w:t>21</w:t>
            </w:r>
            <w:r>
              <w:rPr>
                <w:noProof/>
                <w:webHidden/>
              </w:rPr>
              <w:fldChar w:fldCharType="end"/>
            </w:r>
          </w:hyperlink>
        </w:p>
        <w:p w14:paraId="627E6600" w14:textId="3498CCA6" w:rsidR="003E3889" w:rsidRDefault="003E3889">
          <w:pPr>
            <w:pStyle w:val="TOC2"/>
            <w:tabs>
              <w:tab w:val="right" w:leader="dot" w:pos="9482"/>
            </w:tabs>
            <w:rPr>
              <w:rFonts w:eastAsiaTheme="minorEastAsia" w:cstheme="minorBidi"/>
              <w:b w:val="0"/>
              <w:bCs w:val="0"/>
              <w:noProof/>
              <w:sz w:val="24"/>
              <w:szCs w:val="24"/>
              <w:lang w:eastAsia="en-AU"/>
            </w:rPr>
          </w:pPr>
          <w:hyperlink w:anchor="_Toc191899408" w:history="1">
            <w:r w:rsidRPr="008311BB">
              <w:rPr>
                <w:rStyle w:val="Hyperlink"/>
                <w:noProof/>
              </w:rPr>
              <w:t>Governance</w:t>
            </w:r>
            <w:r>
              <w:rPr>
                <w:noProof/>
                <w:webHidden/>
              </w:rPr>
              <w:tab/>
            </w:r>
            <w:r>
              <w:rPr>
                <w:noProof/>
                <w:webHidden/>
              </w:rPr>
              <w:fldChar w:fldCharType="begin"/>
            </w:r>
            <w:r>
              <w:rPr>
                <w:noProof/>
                <w:webHidden/>
              </w:rPr>
              <w:instrText xml:space="preserve"> PAGEREF _Toc191899408 \h </w:instrText>
            </w:r>
            <w:r>
              <w:rPr>
                <w:noProof/>
                <w:webHidden/>
              </w:rPr>
            </w:r>
            <w:r>
              <w:rPr>
                <w:noProof/>
                <w:webHidden/>
              </w:rPr>
              <w:fldChar w:fldCharType="separate"/>
            </w:r>
            <w:r w:rsidR="003317BC">
              <w:rPr>
                <w:noProof/>
                <w:webHidden/>
              </w:rPr>
              <w:t>22</w:t>
            </w:r>
            <w:r>
              <w:rPr>
                <w:noProof/>
                <w:webHidden/>
              </w:rPr>
              <w:fldChar w:fldCharType="end"/>
            </w:r>
          </w:hyperlink>
        </w:p>
        <w:p w14:paraId="261C049D" w14:textId="5DACB57F" w:rsidR="003E3889" w:rsidRDefault="003E3889">
          <w:pPr>
            <w:pStyle w:val="TOC2"/>
            <w:tabs>
              <w:tab w:val="right" w:leader="dot" w:pos="9482"/>
            </w:tabs>
            <w:rPr>
              <w:rFonts w:eastAsiaTheme="minorEastAsia" w:cstheme="minorBidi"/>
              <w:b w:val="0"/>
              <w:bCs w:val="0"/>
              <w:noProof/>
              <w:sz w:val="24"/>
              <w:szCs w:val="24"/>
              <w:lang w:eastAsia="en-AU"/>
            </w:rPr>
          </w:pPr>
          <w:hyperlink w:anchor="_Toc191899409" w:history="1">
            <w:r w:rsidRPr="008311BB">
              <w:rPr>
                <w:rStyle w:val="Hyperlink"/>
                <w:noProof/>
              </w:rPr>
              <w:t>Accountability - measuring and reporting</w:t>
            </w:r>
            <w:r>
              <w:rPr>
                <w:noProof/>
                <w:webHidden/>
              </w:rPr>
              <w:tab/>
            </w:r>
            <w:r>
              <w:rPr>
                <w:noProof/>
                <w:webHidden/>
              </w:rPr>
              <w:fldChar w:fldCharType="begin"/>
            </w:r>
            <w:r>
              <w:rPr>
                <w:noProof/>
                <w:webHidden/>
              </w:rPr>
              <w:instrText xml:space="preserve"> PAGEREF _Toc191899409 \h </w:instrText>
            </w:r>
            <w:r>
              <w:rPr>
                <w:noProof/>
                <w:webHidden/>
              </w:rPr>
            </w:r>
            <w:r>
              <w:rPr>
                <w:noProof/>
                <w:webHidden/>
              </w:rPr>
              <w:fldChar w:fldCharType="separate"/>
            </w:r>
            <w:r w:rsidR="003317BC">
              <w:rPr>
                <w:noProof/>
                <w:webHidden/>
              </w:rPr>
              <w:t>23</w:t>
            </w:r>
            <w:r>
              <w:rPr>
                <w:noProof/>
                <w:webHidden/>
              </w:rPr>
              <w:fldChar w:fldCharType="end"/>
            </w:r>
          </w:hyperlink>
        </w:p>
        <w:p w14:paraId="1BE9C31E" w14:textId="49D868F5" w:rsidR="003E3889" w:rsidRDefault="003E3889">
          <w:pPr>
            <w:pStyle w:val="TOC1"/>
            <w:tabs>
              <w:tab w:val="right" w:leader="dot" w:pos="9482"/>
            </w:tabs>
            <w:rPr>
              <w:rFonts w:eastAsiaTheme="minorEastAsia" w:cstheme="minorBidi"/>
              <w:b w:val="0"/>
              <w:bCs w:val="0"/>
              <w:iCs w:val="0"/>
              <w:noProof/>
              <w:lang w:eastAsia="en-AU"/>
            </w:rPr>
          </w:pPr>
          <w:hyperlink w:anchor="_Toc191899410" w:history="1">
            <w:r w:rsidRPr="008311BB">
              <w:rPr>
                <w:rStyle w:val="Hyperlink"/>
                <w:noProof/>
              </w:rPr>
              <w:t>Strategic priorities</w:t>
            </w:r>
            <w:r>
              <w:rPr>
                <w:noProof/>
                <w:webHidden/>
              </w:rPr>
              <w:tab/>
            </w:r>
            <w:r>
              <w:rPr>
                <w:noProof/>
                <w:webHidden/>
              </w:rPr>
              <w:fldChar w:fldCharType="begin"/>
            </w:r>
            <w:r>
              <w:rPr>
                <w:noProof/>
                <w:webHidden/>
              </w:rPr>
              <w:instrText xml:space="preserve"> PAGEREF _Toc191899410 \h </w:instrText>
            </w:r>
            <w:r>
              <w:rPr>
                <w:noProof/>
                <w:webHidden/>
              </w:rPr>
            </w:r>
            <w:r>
              <w:rPr>
                <w:noProof/>
                <w:webHidden/>
              </w:rPr>
              <w:fldChar w:fldCharType="separate"/>
            </w:r>
            <w:r w:rsidR="003317BC">
              <w:rPr>
                <w:noProof/>
                <w:webHidden/>
              </w:rPr>
              <w:t>24</w:t>
            </w:r>
            <w:r>
              <w:rPr>
                <w:noProof/>
                <w:webHidden/>
              </w:rPr>
              <w:fldChar w:fldCharType="end"/>
            </w:r>
          </w:hyperlink>
        </w:p>
        <w:p w14:paraId="71EF25B2" w14:textId="31511059" w:rsidR="003E3889" w:rsidRDefault="003E3889">
          <w:pPr>
            <w:pStyle w:val="TOC2"/>
            <w:tabs>
              <w:tab w:val="right" w:leader="dot" w:pos="9482"/>
            </w:tabs>
            <w:rPr>
              <w:rFonts w:eastAsiaTheme="minorEastAsia" w:cstheme="minorBidi"/>
              <w:b w:val="0"/>
              <w:bCs w:val="0"/>
              <w:noProof/>
              <w:sz w:val="24"/>
              <w:szCs w:val="24"/>
              <w:lang w:eastAsia="en-AU"/>
            </w:rPr>
          </w:pPr>
          <w:hyperlink w:anchor="_Toc191899411" w:history="1">
            <w:r w:rsidRPr="008311BB">
              <w:rPr>
                <w:rStyle w:val="Hyperlink"/>
                <w:noProof/>
              </w:rPr>
              <w:t>Strategic Priority 1 — Harmonised National Approach</w:t>
            </w:r>
            <w:r>
              <w:rPr>
                <w:noProof/>
                <w:webHidden/>
              </w:rPr>
              <w:tab/>
            </w:r>
            <w:r>
              <w:rPr>
                <w:noProof/>
                <w:webHidden/>
              </w:rPr>
              <w:fldChar w:fldCharType="begin"/>
            </w:r>
            <w:r>
              <w:rPr>
                <w:noProof/>
                <w:webHidden/>
              </w:rPr>
              <w:instrText xml:space="preserve"> PAGEREF _Toc191899411 \h </w:instrText>
            </w:r>
            <w:r>
              <w:rPr>
                <w:noProof/>
                <w:webHidden/>
              </w:rPr>
            </w:r>
            <w:r>
              <w:rPr>
                <w:noProof/>
                <w:webHidden/>
              </w:rPr>
              <w:fldChar w:fldCharType="separate"/>
            </w:r>
            <w:r w:rsidR="003317BC">
              <w:rPr>
                <w:noProof/>
                <w:webHidden/>
              </w:rPr>
              <w:t>26</w:t>
            </w:r>
            <w:r>
              <w:rPr>
                <w:noProof/>
                <w:webHidden/>
              </w:rPr>
              <w:fldChar w:fldCharType="end"/>
            </w:r>
          </w:hyperlink>
        </w:p>
        <w:p w14:paraId="7E8608A8" w14:textId="53B45D21" w:rsidR="003E3889" w:rsidRDefault="003E3889">
          <w:pPr>
            <w:pStyle w:val="TOC3"/>
            <w:tabs>
              <w:tab w:val="right" w:leader="dot" w:pos="9482"/>
            </w:tabs>
            <w:rPr>
              <w:rFonts w:eastAsiaTheme="minorEastAsia" w:cstheme="minorBidi"/>
              <w:noProof/>
              <w:sz w:val="24"/>
              <w:szCs w:val="24"/>
              <w:lang w:eastAsia="en-AU"/>
            </w:rPr>
          </w:pPr>
          <w:hyperlink w:anchor="_Toc191899412" w:history="1">
            <w:r w:rsidRPr="008311BB">
              <w:rPr>
                <w:rStyle w:val="Hyperlink"/>
                <w:noProof/>
              </w:rPr>
              <w:t>Prior and current activities</w:t>
            </w:r>
            <w:r>
              <w:rPr>
                <w:noProof/>
                <w:webHidden/>
              </w:rPr>
              <w:tab/>
            </w:r>
            <w:r>
              <w:rPr>
                <w:noProof/>
                <w:webHidden/>
              </w:rPr>
              <w:fldChar w:fldCharType="begin"/>
            </w:r>
            <w:r>
              <w:rPr>
                <w:noProof/>
                <w:webHidden/>
              </w:rPr>
              <w:instrText xml:space="preserve"> PAGEREF _Toc191899412 \h </w:instrText>
            </w:r>
            <w:r>
              <w:rPr>
                <w:noProof/>
                <w:webHidden/>
              </w:rPr>
            </w:r>
            <w:r>
              <w:rPr>
                <w:noProof/>
                <w:webHidden/>
              </w:rPr>
              <w:fldChar w:fldCharType="separate"/>
            </w:r>
            <w:r w:rsidR="003317BC">
              <w:rPr>
                <w:noProof/>
                <w:webHidden/>
              </w:rPr>
              <w:t>27</w:t>
            </w:r>
            <w:r>
              <w:rPr>
                <w:noProof/>
                <w:webHidden/>
              </w:rPr>
              <w:fldChar w:fldCharType="end"/>
            </w:r>
          </w:hyperlink>
        </w:p>
        <w:p w14:paraId="770723EB" w14:textId="578FEBC2" w:rsidR="003E3889" w:rsidRDefault="003E3889">
          <w:pPr>
            <w:pStyle w:val="TOC3"/>
            <w:tabs>
              <w:tab w:val="right" w:leader="dot" w:pos="9482"/>
            </w:tabs>
            <w:rPr>
              <w:rFonts w:eastAsiaTheme="minorEastAsia" w:cstheme="minorBidi"/>
              <w:noProof/>
              <w:sz w:val="24"/>
              <w:szCs w:val="24"/>
              <w:lang w:eastAsia="en-AU"/>
            </w:rPr>
          </w:pPr>
          <w:hyperlink w:anchor="_Toc191899413" w:history="1">
            <w:r w:rsidRPr="008311BB">
              <w:rPr>
                <w:rStyle w:val="Hyperlink"/>
                <w:noProof/>
              </w:rPr>
              <w:t>Outcome 1.1 — Enhanced harmonised policies and procedures</w:t>
            </w:r>
            <w:r>
              <w:rPr>
                <w:noProof/>
                <w:webHidden/>
              </w:rPr>
              <w:tab/>
            </w:r>
            <w:r>
              <w:rPr>
                <w:noProof/>
                <w:webHidden/>
              </w:rPr>
              <w:fldChar w:fldCharType="begin"/>
            </w:r>
            <w:r>
              <w:rPr>
                <w:noProof/>
                <w:webHidden/>
              </w:rPr>
              <w:instrText xml:space="preserve"> PAGEREF _Toc191899413 \h </w:instrText>
            </w:r>
            <w:r>
              <w:rPr>
                <w:noProof/>
                <w:webHidden/>
              </w:rPr>
            </w:r>
            <w:r>
              <w:rPr>
                <w:noProof/>
                <w:webHidden/>
              </w:rPr>
              <w:fldChar w:fldCharType="separate"/>
            </w:r>
            <w:r w:rsidR="003317BC">
              <w:rPr>
                <w:noProof/>
                <w:webHidden/>
              </w:rPr>
              <w:t>29</w:t>
            </w:r>
            <w:r>
              <w:rPr>
                <w:noProof/>
                <w:webHidden/>
              </w:rPr>
              <w:fldChar w:fldCharType="end"/>
            </w:r>
          </w:hyperlink>
        </w:p>
        <w:p w14:paraId="67F9D732" w14:textId="08D168FB" w:rsidR="003E3889" w:rsidRDefault="003E3889">
          <w:pPr>
            <w:pStyle w:val="TOC3"/>
            <w:tabs>
              <w:tab w:val="right" w:leader="dot" w:pos="9482"/>
            </w:tabs>
            <w:rPr>
              <w:rFonts w:eastAsiaTheme="minorEastAsia" w:cstheme="minorBidi"/>
              <w:noProof/>
              <w:sz w:val="24"/>
              <w:szCs w:val="24"/>
              <w:lang w:eastAsia="en-AU"/>
            </w:rPr>
          </w:pPr>
          <w:hyperlink w:anchor="_Toc191899414" w:history="1">
            <w:r w:rsidRPr="008311BB">
              <w:rPr>
                <w:rStyle w:val="Hyperlink"/>
                <w:noProof/>
              </w:rPr>
              <w:t>Outcome 1.2 — Harmonised and ethical methods</w:t>
            </w:r>
            <w:r>
              <w:rPr>
                <w:noProof/>
                <w:webHidden/>
              </w:rPr>
              <w:tab/>
            </w:r>
            <w:r>
              <w:rPr>
                <w:noProof/>
                <w:webHidden/>
              </w:rPr>
              <w:fldChar w:fldCharType="begin"/>
            </w:r>
            <w:r>
              <w:rPr>
                <w:noProof/>
                <w:webHidden/>
              </w:rPr>
              <w:instrText xml:space="preserve"> PAGEREF _Toc191899414 \h </w:instrText>
            </w:r>
            <w:r>
              <w:rPr>
                <w:noProof/>
                <w:webHidden/>
              </w:rPr>
            </w:r>
            <w:r>
              <w:rPr>
                <w:noProof/>
                <w:webHidden/>
              </w:rPr>
              <w:fldChar w:fldCharType="separate"/>
            </w:r>
            <w:r w:rsidR="003317BC">
              <w:rPr>
                <w:noProof/>
                <w:webHidden/>
              </w:rPr>
              <w:t>31</w:t>
            </w:r>
            <w:r>
              <w:rPr>
                <w:noProof/>
                <w:webHidden/>
              </w:rPr>
              <w:fldChar w:fldCharType="end"/>
            </w:r>
          </w:hyperlink>
        </w:p>
        <w:p w14:paraId="76C1777F" w14:textId="110FEDA0" w:rsidR="003E3889" w:rsidRDefault="003E3889">
          <w:pPr>
            <w:pStyle w:val="TOC3"/>
            <w:tabs>
              <w:tab w:val="right" w:leader="dot" w:pos="9482"/>
            </w:tabs>
            <w:rPr>
              <w:rFonts w:eastAsiaTheme="minorEastAsia" w:cstheme="minorBidi"/>
              <w:noProof/>
              <w:sz w:val="24"/>
              <w:szCs w:val="24"/>
              <w:lang w:eastAsia="en-AU"/>
            </w:rPr>
          </w:pPr>
          <w:hyperlink w:anchor="_Toc191899415" w:history="1">
            <w:r w:rsidRPr="008311BB">
              <w:rPr>
                <w:rStyle w:val="Hyperlink"/>
                <w:noProof/>
              </w:rPr>
              <w:t>Outcome 1.3 — Established quality services</w:t>
            </w:r>
            <w:r>
              <w:rPr>
                <w:noProof/>
                <w:webHidden/>
              </w:rPr>
              <w:tab/>
            </w:r>
            <w:r>
              <w:rPr>
                <w:noProof/>
                <w:webHidden/>
              </w:rPr>
              <w:fldChar w:fldCharType="begin"/>
            </w:r>
            <w:r>
              <w:rPr>
                <w:noProof/>
                <w:webHidden/>
              </w:rPr>
              <w:instrText xml:space="preserve"> PAGEREF _Toc191899415 \h </w:instrText>
            </w:r>
            <w:r>
              <w:rPr>
                <w:noProof/>
                <w:webHidden/>
              </w:rPr>
            </w:r>
            <w:r>
              <w:rPr>
                <w:noProof/>
                <w:webHidden/>
              </w:rPr>
              <w:fldChar w:fldCharType="separate"/>
            </w:r>
            <w:r w:rsidR="003317BC">
              <w:rPr>
                <w:noProof/>
                <w:webHidden/>
              </w:rPr>
              <w:t>32</w:t>
            </w:r>
            <w:r>
              <w:rPr>
                <w:noProof/>
                <w:webHidden/>
              </w:rPr>
              <w:fldChar w:fldCharType="end"/>
            </w:r>
          </w:hyperlink>
        </w:p>
        <w:p w14:paraId="77123746" w14:textId="621DA4F2" w:rsidR="003E3889" w:rsidRDefault="003E3889">
          <w:pPr>
            <w:pStyle w:val="TOC3"/>
            <w:tabs>
              <w:tab w:val="right" w:leader="dot" w:pos="9482"/>
            </w:tabs>
            <w:rPr>
              <w:rFonts w:eastAsiaTheme="minorEastAsia" w:cstheme="minorBidi"/>
              <w:noProof/>
              <w:sz w:val="24"/>
              <w:szCs w:val="24"/>
              <w:lang w:eastAsia="en-AU"/>
            </w:rPr>
          </w:pPr>
          <w:hyperlink w:anchor="_Toc191899416" w:history="1">
            <w:r w:rsidRPr="008311BB">
              <w:rPr>
                <w:rStyle w:val="Hyperlink"/>
                <w:noProof/>
              </w:rPr>
              <w:t>Outcome 1.4 — Harmonised approaches across the One Health sector</w:t>
            </w:r>
            <w:r>
              <w:rPr>
                <w:noProof/>
                <w:webHidden/>
              </w:rPr>
              <w:tab/>
            </w:r>
            <w:r>
              <w:rPr>
                <w:noProof/>
                <w:webHidden/>
              </w:rPr>
              <w:fldChar w:fldCharType="begin"/>
            </w:r>
            <w:r>
              <w:rPr>
                <w:noProof/>
                <w:webHidden/>
              </w:rPr>
              <w:instrText xml:space="preserve"> PAGEREF _Toc191899416 \h </w:instrText>
            </w:r>
            <w:r>
              <w:rPr>
                <w:noProof/>
                <w:webHidden/>
              </w:rPr>
            </w:r>
            <w:r>
              <w:rPr>
                <w:noProof/>
                <w:webHidden/>
              </w:rPr>
              <w:fldChar w:fldCharType="separate"/>
            </w:r>
            <w:r w:rsidR="003317BC">
              <w:rPr>
                <w:noProof/>
                <w:webHidden/>
              </w:rPr>
              <w:t>33</w:t>
            </w:r>
            <w:r>
              <w:rPr>
                <w:noProof/>
                <w:webHidden/>
              </w:rPr>
              <w:fldChar w:fldCharType="end"/>
            </w:r>
          </w:hyperlink>
        </w:p>
        <w:p w14:paraId="10DF6740" w14:textId="0FDC7171" w:rsidR="003E3889" w:rsidRDefault="003E3889">
          <w:pPr>
            <w:pStyle w:val="TOC2"/>
            <w:tabs>
              <w:tab w:val="right" w:leader="dot" w:pos="9482"/>
            </w:tabs>
            <w:rPr>
              <w:rFonts w:eastAsiaTheme="minorEastAsia" w:cstheme="minorBidi"/>
              <w:b w:val="0"/>
              <w:bCs w:val="0"/>
              <w:noProof/>
              <w:sz w:val="24"/>
              <w:szCs w:val="24"/>
              <w:lang w:eastAsia="en-AU"/>
            </w:rPr>
          </w:pPr>
          <w:hyperlink w:anchor="_Toc191899417" w:history="1">
            <w:r w:rsidRPr="008311BB">
              <w:rPr>
                <w:rStyle w:val="Hyperlink"/>
                <w:noProof/>
              </w:rPr>
              <w:t>Strategic Priority 2 — Technology and Data Governance</w:t>
            </w:r>
            <w:r>
              <w:rPr>
                <w:noProof/>
                <w:webHidden/>
              </w:rPr>
              <w:tab/>
            </w:r>
            <w:r>
              <w:rPr>
                <w:noProof/>
                <w:webHidden/>
              </w:rPr>
              <w:fldChar w:fldCharType="begin"/>
            </w:r>
            <w:r>
              <w:rPr>
                <w:noProof/>
                <w:webHidden/>
              </w:rPr>
              <w:instrText xml:space="preserve"> PAGEREF _Toc191899417 \h </w:instrText>
            </w:r>
            <w:r>
              <w:rPr>
                <w:noProof/>
                <w:webHidden/>
              </w:rPr>
            </w:r>
            <w:r>
              <w:rPr>
                <w:noProof/>
                <w:webHidden/>
              </w:rPr>
              <w:fldChar w:fldCharType="separate"/>
            </w:r>
            <w:r w:rsidR="003317BC">
              <w:rPr>
                <w:noProof/>
                <w:webHidden/>
              </w:rPr>
              <w:t>34</w:t>
            </w:r>
            <w:r>
              <w:rPr>
                <w:noProof/>
                <w:webHidden/>
              </w:rPr>
              <w:fldChar w:fldCharType="end"/>
            </w:r>
          </w:hyperlink>
        </w:p>
        <w:p w14:paraId="6588CE9A" w14:textId="5D10E41C" w:rsidR="003E3889" w:rsidRDefault="003E3889">
          <w:pPr>
            <w:pStyle w:val="TOC3"/>
            <w:tabs>
              <w:tab w:val="right" w:leader="dot" w:pos="9482"/>
            </w:tabs>
            <w:rPr>
              <w:rFonts w:eastAsiaTheme="minorEastAsia" w:cstheme="minorBidi"/>
              <w:noProof/>
              <w:sz w:val="24"/>
              <w:szCs w:val="24"/>
              <w:lang w:eastAsia="en-AU"/>
            </w:rPr>
          </w:pPr>
          <w:hyperlink w:anchor="_Toc191899418" w:history="1">
            <w:r w:rsidRPr="008311BB">
              <w:rPr>
                <w:rStyle w:val="Hyperlink"/>
                <w:noProof/>
              </w:rPr>
              <w:t>Prior and current activities</w:t>
            </w:r>
            <w:r>
              <w:rPr>
                <w:noProof/>
                <w:webHidden/>
              </w:rPr>
              <w:tab/>
            </w:r>
            <w:r>
              <w:rPr>
                <w:noProof/>
                <w:webHidden/>
              </w:rPr>
              <w:fldChar w:fldCharType="begin"/>
            </w:r>
            <w:r>
              <w:rPr>
                <w:noProof/>
                <w:webHidden/>
              </w:rPr>
              <w:instrText xml:space="preserve"> PAGEREF _Toc191899418 \h </w:instrText>
            </w:r>
            <w:r>
              <w:rPr>
                <w:noProof/>
                <w:webHidden/>
              </w:rPr>
            </w:r>
            <w:r>
              <w:rPr>
                <w:noProof/>
                <w:webHidden/>
              </w:rPr>
              <w:fldChar w:fldCharType="separate"/>
            </w:r>
            <w:r w:rsidR="003317BC">
              <w:rPr>
                <w:noProof/>
                <w:webHidden/>
              </w:rPr>
              <w:t>35</w:t>
            </w:r>
            <w:r>
              <w:rPr>
                <w:noProof/>
                <w:webHidden/>
              </w:rPr>
              <w:fldChar w:fldCharType="end"/>
            </w:r>
          </w:hyperlink>
        </w:p>
        <w:p w14:paraId="4C6AC74E" w14:textId="224C7A58" w:rsidR="003E3889" w:rsidRDefault="003E3889">
          <w:pPr>
            <w:pStyle w:val="TOC3"/>
            <w:tabs>
              <w:tab w:val="right" w:leader="dot" w:pos="9482"/>
            </w:tabs>
            <w:rPr>
              <w:rFonts w:eastAsiaTheme="minorEastAsia" w:cstheme="minorBidi"/>
              <w:noProof/>
              <w:sz w:val="24"/>
              <w:szCs w:val="24"/>
              <w:lang w:eastAsia="en-AU"/>
            </w:rPr>
          </w:pPr>
          <w:hyperlink w:anchor="_Toc191899419" w:history="1">
            <w:r w:rsidRPr="008311BB">
              <w:rPr>
                <w:rStyle w:val="Hyperlink"/>
                <w:noProof/>
              </w:rPr>
              <w:t>Outcome 2.1 — Enhanced technology</w:t>
            </w:r>
            <w:r>
              <w:rPr>
                <w:noProof/>
                <w:webHidden/>
              </w:rPr>
              <w:tab/>
            </w:r>
            <w:r>
              <w:rPr>
                <w:noProof/>
                <w:webHidden/>
              </w:rPr>
              <w:fldChar w:fldCharType="begin"/>
            </w:r>
            <w:r>
              <w:rPr>
                <w:noProof/>
                <w:webHidden/>
              </w:rPr>
              <w:instrText xml:space="preserve"> PAGEREF _Toc191899419 \h </w:instrText>
            </w:r>
            <w:r>
              <w:rPr>
                <w:noProof/>
                <w:webHidden/>
              </w:rPr>
            </w:r>
            <w:r>
              <w:rPr>
                <w:noProof/>
                <w:webHidden/>
              </w:rPr>
              <w:fldChar w:fldCharType="separate"/>
            </w:r>
            <w:r w:rsidR="003317BC">
              <w:rPr>
                <w:noProof/>
                <w:webHidden/>
              </w:rPr>
              <w:t>37</w:t>
            </w:r>
            <w:r>
              <w:rPr>
                <w:noProof/>
                <w:webHidden/>
              </w:rPr>
              <w:fldChar w:fldCharType="end"/>
            </w:r>
          </w:hyperlink>
        </w:p>
        <w:p w14:paraId="376CE19D" w14:textId="39B075E8" w:rsidR="003E3889" w:rsidRDefault="003E3889">
          <w:pPr>
            <w:pStyle w:val="TOC3"/>
            <w:tabs>
              <w:tab w:val="right" w:leader="dot" w:pos="9482"/>
            </w:tabs>
            <w:rPr>
              <w:rFonts w:eastAsiaTheme="minorEastAsia" w:cstheme="minorBidi"/>
              <w:noProof/>
              <w:sz w:val="24"/>
              <w:szCs w:val="24"/>
              <w:lang w:eastAsia="en-AU"/>
            </w:rPr>
          </w:pPr>
          <w:hyperlink w:anchor="_Toc191899420" w:history="1">
            <w:r w:rsidRPr="008311BB">
              <w:rPr>
                <w:rStyle w:val="Hyperlink"/>
                <w:noProof/>
              </w:rPr>
              <w:t>Outcome 2.2 — Enhanced data sharing and governance</w:t>
            </w:r>
            <w:r>
              <w:rPr>
                <w:noProof/>
                <w:webHidden/>
              </w:rPr>
              <w:tab/>
            </w:r>
            <w:r>
              <w:rPr>
                <w:noProof/>
                <w:webHidden/>
              </w:rPr>
              <w:fldChar w:fldCharType="begin"/>
            </w:r>
            <w:r>
              <w:rPr>
                <w:noProof/>
                <w:webHidden/>
              </w:rPr>
              <w:instrText xml:space="preserve"> PAGEREF _Toc191899420 \h </w:instrText>
            </w:r>
            <w:r>
              <w:rPr>
                <w:noProof/>
                <w:webHidden/>
              </w:rPr>
            </w:r>
            <w:r>
              <w:rPr>
                <w:noProof/>
                <w:webHidden/>
              </w:rPr>
              <w:fldChar w:fldCharType="separate"/>
            </w:r>
            <w:r w:rsidR="003317BC">
              <w:rPr>
                <w:noProof/>
                <w:webHidden/>
              </w:rPr>
              <w:t>38</w:t>
            </w:r>
            <w:r>
              <w:rPr>
                <w:noProof/>
                <w:webHidden/>
              </w:rPr>
              <w:fldChar w:fldCharType="end"/>
            </w:r>
          </w:hyperlink>
        </w:p>
        <w:p w14:paraId="67181B8D" w14:textId="6B8AA53D" w:rsidR="003E3889" w:rsidRDefault="003E3889">
          <w:pPr>
            <w:pStyle w:val="TOC3"/>
            <w:tabs>
              <w:tab w:val="right" w:leader="dot" w:pos="9482"/>
            </w:tabs>
            <w:rPr>
              <w:rFonts w:eastAsiaTheme="minorEastAsia" w:cstheme="minorBidi"/>
              <w:noProof/>
              <w:sz w:val="24"/>
              <w:szCs w:val="24"/>
              <w:lang w:eastAsia="en-AU"/>
            </w:rPr>
          </w:pPr>
          <w:hyperlink w:anchor="_Toc191899421" w:history="1">
            <w:r w:rsidRPr="008311BB">
              <w:rPr>
                <w:rStyle w:val="Hyperlink"/>
                <w:noProof/>
              </w:rPr>
              <w:t>Outcome 2.3 — Enhanced data storage and use</w:t>
            </w:r>
            <w:r>
              <w:rPr>
                <w:noProof/>
                <w:webHidden/>
              </w:rPr>
              <w:tab/>
            </w:r>
            <w:r>
              <w:rPr>
                <w:noProof/>
                <w:webHidden/>
              </w:rPr>
              <w:fldChar w:fldCharType="begin"/>
            </w:r>
            <w:r>
              <w:rPr>
                <w:noProof/>
                <w:webHidden/>
              </w:rPr>
              <w:instrText xml:space="preserve"> PAGEREF _Toc191899421 \h </w:instrText>
            </w:r>
            <w:r>
              <w:rPr>
                <w:noProof/>
                <w:webHidden/>
              </w:rPr>
            </w:r>
            <w:r>
              <w:rPr>
                <w:noProof/>
                <w:webHidden/>
              </w:rPr>
              <w:fldChar w:fldCharType="separate"/>
            </w:r>
            <w:r w:rsidR="003317BC">
              <w:rPr>
                <w:noProof/>
                <w:webHidden/>
              </w:rPr>
              <w:t>40</w:t>
            </w:r>
            <w:r>
              <w:rPr>
                <w:noProof/>
                <w:webHidden/>
              </w:rPr>
              <w:fldChar w:fldCharType="end"/>
            </w:r>
          </w:hyperlink>
        </w:p>
        <w:p w14:paraId="22E5D00F" w14:textId="21052FBA" w:rsidR="003E3889" w:rsidRDefault="003E3889">
          <w:pPr>
            <w:pStyle w:val="TOC3"/>
            <w:tabs>
              <w:tab w:val="right" w:leader="dot" w:pos="9482"/>
            </w:tabs>
            <w:rPr>
              <w:rFonts w:eastAsiaTheme="minorEastAsia" w:cstheme="minorBidi"/>
              <w:noProof/>
              <w:sz w:val="24"/>
              <w:szCs w:val="24"/>
              <w:lang w:eastAsia="en-AU"/>
            </w:rPr>
          </w:pPr>
          <w:hyperlink w:anchor="_Toc191899422" w:history="1">
            <w:r w:rsidRPr="008311BB">
              <w:rPr>
                <w:rStyle w:val="Hyperlink"/>
                <w:noProof/>
              </w:rPr>
              <w:t>Outcome 2.4 — Enhanced technology and data governance across the One Health sector</w:t>
            </w:r>
            <w:r>
              <w:rPr>
                <w:noProof/>
                <w:webHidden/>
              </w:rPr>
              <w:tab/>
            </w:r>
            <w:r>
              <w:rPr>
                <w:noProof/>
                <w:webHidden/>
              </w:rPr>
              <w:fldChar w:fldCharType="begin"/>
            </w:r>
            <w:r>
              <w:rPr>
                <w:noProof/>
                <w:webHidden/>
              </w:rPr>
              <w:instrText xml:space="preserve"> PAGEREF _Toc191899422 \h </w:instrText>
            </w:r>
            <w:r>
              <w:rPr>
                <w:noProof/>
                <w:webHidden/>
              </w:rPr>
            </w:r>
            <w:r>
              <w:rPr>
                <w:noProof/>
                <w:webHidden/>
              </w:rPr>
              <w:fldChar w:fldCharType="separate"/>
            </w:r>
            <w:r w:rsidR="003317BC">
              <w:rPr>
                <w:noProof/>
                <w:webHidden/>
              </w:rPr>
              <w:t>41</w:t>
            </w:r>
            <w:r>
              <w:rPr>
                <w:noProof/>
                <w:webHidden/>
              </w:rPr>
              <w:fldChar w:fldCharType="end"/>
            </w:r>
          </w:hyperlink>
        </w:p>
        <w:p w14:paraId="656B8F23" w14:textId="511DC3A0" w:rsidR="003E3889" w:rsidRDefault="003E3889">
          <w:pPr>
            <w:pStyle w:val="TOC2"/>
            <w:tabs>
              <w:tab w:val="right" w:leader="dot" w:pos="9482"/>
            </w:tabs>
            <w:rPr>
              <w:rFonts w:eastAsiaTheme="minorEastAsia" w:cstheme="minorBidi"/>
              <w:b w:val="0"/>
              <w:bCs w:val="0"/>
              <w:noProof/>
              <w:sz w:val="24"/>
              <w:szCs w:val="24"/>
              <w:lang w:eastAsia="en-AU"/>
            </w:rPr>
          </w:pPr>
          <w:hyperlink w:anchor="_Toc191899423" w:history="1">
            <w:r w:rsidRPr="008311BB">
              <w:rPr>
                <w:rStyle w:val="Hyperlink"/>
                <w:noProof/>
              </w:rPr>
              <w:t>Strategic Priority 3 — Integration into Public Health</w:t>
            </w:r>
            <w:r>
              <w:rPr>
                <w:noProof/>
                <w:webHidden/>
              </w:rPr>
              <w:tab/>
            </w:r>
            <w:r>
              <w:rPr>
                <w:noProof/>
                <w:webHidden/>
              </w:rPr>
              <w:fldChar w:fldCharType="begin"/>
            </w:r>
            <w:r>
              <w:rPr>
                <w:noProof/>
                <w:webHidden/>
              </w:rPr>
              <w:instrText xml:space="preserve"> PAGEREF _Toc191899423 \h </w:instrText>
            </w:r>
            <w:r>
              <w:rPr>
                <w:noProof/>
                <w:webHidden/>
              </w:rPr>
            </w:r>
            <w:r>
              <w:rPr>
                <w:noProof/>
                <w:webHidden/>
              </w:rPr>
              <w:fldChar w:fldCharType="separate"/>
            </w:r>
            <w:r w:rsidR="003317BC">
              <w:rPr>
                <w:noProof/>
                <w:webHidden/>
              </w:rPr>
              <w:t>42</w:t>
            </w:r>
            <w:r>
              <w:rPr>
                <w:noProof/>
                <w:webHidden/>
              </w:rPr>
              <w:fldChar w:fldCharType="end"/>
            </w:r>
          </w:hyperlink>
        </w:p>
        <w:p w14:paraId="6A5F1AB0" w14:textId="15423704" w:rsidR="003E3889" w:rsidRDefault="003E3889">
          <w:pPr>
            <w:pStyle w:val="TOC3"/>
            <w:tabs>
              <w:tab w:val="right" w:leader="dot" w:pos="9482"/>
            </w:tabs>
            <w:rPr>
              <w:rFonts w:eastAsiaTheme="minorEastAsia" w:cstheme="minorBidi"/>
              <w:noProof/>
              <w:sz w:val="24"/>
              <w:szCs w:val="24"/>
              <w:lang w:eastAsia="en-AU"/>
            </w:rPr>
          </w:pPr>
          <w:hyperlink w:anchor="_Toc191899424" w:history="1">
            <w:r w:rsidRPr="008311BB">
              <w:rPr>
                <w:rStyle w:val="Hyperlink"/>
                <w:noProof/>
              </w:rPr>
              <w:t>Prior and current activities</w:t>
            </w:r>
            <w:r>
              <w:rPr>
                <w:noProof/>
                <w:webHidden/>
              </w:rPr>
              <w:tab/>
            </w:r>
            <w:r>
              <w:rPr>
                <w:noProof/>
                <w:webHidden/>
              </w:rPr>
              <w:fldChar w:fldCharType="begin"/>
            </w:r>
            <w:r>
              <w:rPr>
                <w:noProof/>
                <w:webHidden/>
              </w:rPr>
              <w:instrText xml:space="preserve"> PAGEREF _Toc191899424 \h </w:instrText>
            </w:r>
            <w:r>
              <w:rPr>
                <w:noProof/>
                <w:webHidden/>
              </w:rPr>
            </w:r>
            <w:r>
              <w:rPr>
                <w:noProof/>
                <w:webHidden/>
              </w:rPr>
              <w:fldChar w:fldCharType="separate"/>
            </w:r>
            <w:r w:rsidR="003317BC">
              <w:rPr>
                <w:noProof/>
                <w:webHidden/>
              </w:rPr>
              <w:t>43</w:t>
            </w:r>
            <w:r>
              <w:rPr>
                <w:noProof/>
                <w:webHidden/>
              </w:rPr>
              <w:fldChar w:fldCharType="end"/>
            </w:r>
          </w:hyperlink>
        </w:p>
        <w:p w14:paraId="5D8FBE22" w14:textId="08BC5AE8" w:rsidR="003E3889" w:rsidRDefault="003E3889">
          <w:pPr>
            <w:pStyle w:val="TOC3"/>
            <w:tabs>
              <w:tab w:val="right" w:leader="dot" w:pos="9482"/>
            </w:tabs>
            <w:rPr>
              <w:rFonts w:eastAsiaTheme="minorEastAsia" w:cstheme="minorBidi"/>
              <w:noProof/>
              <w:sz w:val="24"/>
              <w:szCs w:val="24"/>
              <w:lang w:eastAsia="en-AU"/>
            </w:rPr>
          </w:pPr>
          <w:hyperlink w:anchor="_Toc191899425" w:history="1">
            <w:r w:rsidRPr="008311BB">
              <w:rPr>
                <w:rStyle w:val="Hyperlink"/>
                <w:noProof/>
              </w:rPr>
              <w:t>Outcome 3.1 — Microbial genomics integrated into public health reporting and systems</w:t>
            </w:r>
            <w:r>
              <w:rPr>
                <w:noProof/>
                <w:webHidden/>
              </w:rPr>
              <w:tab/>
            </w:r>
            <w:r>
              <w:rPr>
                <w:noProof/>
                <w:webHidden/>
              </w:rPr>
              <w:fldChar w:fldCharType="begin"/>
            </w:r>
            <w:r>
              <w:rPr>
                <w:noProof/>
                <w:webHidden/>
              </w:rPr>
              <w:instrText xml:space="preserve"> PAGEREF _Toc191899425 \h </w:instrText>
            </w:r>
            <w:r>
              <w:rPr>
                <w:noProof/>
                <w:webHidden/>
              </w:rPr>
            </w:r>
            <w:r>
              <w:rPr>
                <w:noProof/>
                <w:webHidden/>
              </w:rPr>
              <w:fldChar w:fldCharType="separate"/>
            </w:r>
            <w:r w:rsidR="003317BC">
              <w:rPr>
                <w:noProof/>
                <w:webHidden/>
              </w:rPr>
              <w:t>45</w:t>
            </w:r>
            <w:r>
              <w:rPr>
                <w:noProof/>
                <w:webHidden/>
              </w:rPr>
              <w:fldChar w:fldCharType="end"/>
            </w:r>
          </w:hyperlink>
        </w:p>
        <w:p w14:paraId="6E7E0347" w14:textId="18D6B899" w:rsidR="003E3889" w:rsidRDefault="003E3889">
          <w:pPr>
            <w:pStyle w:val="TOC3"/>
            <w:tabs>
              <w:tab w:val="right" w:leader="dot" w:pos="9482"/>
            </w:tabs>
            <w:rPr>
              <w:rFonts w:eastAsiaTheme="minorEastAsia" w:cstheme="minorBidi"/>
              <w:noProof/>
              <w:sz w:val="24"/>
              <w:szCs w:val="24"/>
              <w:lang w:eastAsia="en-AU"/>
            </w:rPr>
          </w:pPr>
          <w:hyperlink w:anchor="_Toc191899426" w:history="1">
            <w:r w:rsidRPr="008311BB">
              <w:rPr>
                <w:rStyle w:val="Hyperlink"/>
                <w:noProof/>
              </w:rPr>
              <w:t>Outcome 3.2 — Priority organisms of national significance identified</w:t>
            </w:r>
            <w:r>
              <w:rPr>
                <w:noProof/>
                <w:webHidden/>
              </w:rPr>
              <w:tab/>
            </w:r>
            <w:r>
              <w:rPr>
                <w:noProof/>
                <w:webHidden/>
              </w:rPr>
              <w:fldChar w:fldCharType="begin"/>
            </w:r>
            <w:r>
              <w:rPr>
                <w:noProof/>
                <w:webHidden/>
              </w:rPr>
              <w:instrText xml:space="preserve"> PAGEREF _Toc191899426 \h </w:instrText>
            </w:r>
            <w:r>
              <w:rPr>
                <w:noProof/>
                <w:webHidden/>
              </w:rPr>
            </w:r>
            <w:r>
              <w:rPr>
                <w:noProof/>
                <w:webHidden/>
              </w:rPr>
              <w:fldChar w:fldCharType="separate"/>
            </w:r>
            <w:r w:rsidR="003317BC">
              <w:rPr>
                <w:noProof/>
                <w:webHidden/>
              </w:rPr>
              <w:t>46</w:t>
            </w:r>
            <w:r>
              <w:rPr>
                <w:noProof/>
                <w:webHidden/>
              </w:rPr>
              <w:fldChar w:fldCharType="end"/>
            </w:r>
          </w:hyperlink>
        </w:p>
        <w:p w14:paraId="7350AE54" w14:textId="10B3B659" w:rsidR="003E3889" w:rsidRDefault="003E3889">
          <w:pPr>
            <w:pStyle w:val="TOC3"/>
            <w:tabs>
              <w:tab w:val="right" w:leader="dot" w:pos="9482"/>
            </w:tabs>
            <w:rPr>
              <w:rFonts w:eastAsiaTheme="minorEastAsia" w:cstheme="minorBidi"/>
              <w:noProof/>
              <w:sz w:val="24"/>
              <w:szCs w:val="24"/>
              <w:lang w:eastAsia="en-AU"/>
            </w:rPr>
          </w:pPr>
          <w:hyperlink w:anchor="_Toc191899427" w:history="1">
            <w:r w:rsidRPr="008311BB">
              <w:rPr>
                <w:rStyle w:val="Hyperlink"/>
                <w:noProof/>
              </w:rPr>
              <w:t>Outcome 3.3 — Prioritised public health research and innovation</w:t>
            </w:r>
            <w:r>
              <w:rPr>
                <w:noProof/>
                <w:webHidden/>
              </w:rPr>
              <w:tab/>
            </w:r>
            <w:r>
              <w:rPr>
                <w:noProof/>
                <w:webHidden/>
              </w:rPr>
              <w:fldChar w:fldCharType="begin"/>
            </w:r>
            <w:r>
              <w:rPr>
                <w:noProof/>
                <w:webHidden/>
              </w:rPr>
              <w:instrText xml:space="preserve"> PAGEREF _Toc191899427 \h </w:instrText>
            </w:r>
            <w:r>
              <w:rPr>
                <w:noProof/>
                <w:webHidden/>
              </w:rPr>
            </w:r>
            <w:r>
              <w:rPr>
                <w:noProof/>
                <w:webHidden/>
              </w:rPr>
              <w:fldChar w:fldCharType="separate"/>
            </w:r>
            <w:r w:rsidR="003317BC">
              <w:rPr>
                <w:noProof/>
                <w:webHidden/>
              </w:rPr>
              <w:t>47</w:t>
            </w:r>
            <w:r>
              <w:rPr>
                <w:noProof/>
                <w:webHidden/>
              </w:rPr>
              <w:fldChar w:fldCharType="end"/>
            </w:r>
          </w:hyperlink>
        </w:p>
        <w:p w14:paraId="793CD050" w14:textId="64C29521" w:rsidR="003E3889" w:rsidRDefault="003E3889">
          <w:pPr>
            <w:pStyle w:val="TOC3"/>
            <w:tabs>
              <w:tab w:val="right" w:leader="dot" w:pos="9482"/>
            </w:tabs>
            <w:rPr>
              <w:rFonts w:eastAsiaTheme="minorEastAsia" w:cstheme="minorBidi"/>
              <w:noProof/>
              <w:sz w:val="24"/>
              <w:szCs w:val="24"/>
              <w:lang w:eastAsia="en-AU"/>
            </w:rPr>
          </w:pPr>
          <w:hyperlink w:anchor="_Toc191899428" w:history="1">
            <w:r w:rsidRPr="008311BB">
              <w:rPr>
                <w:rStyle w:val="Hyperlink"/>
                <w:noProof/>
              </w:rPr>
              <w:t>Outcome 3.4 — Microbial genomics integrated into One Health sector reporting and systems</w:t>
            </w:r>
            <w:r>
              <w:rPr>
                <w:noProof/>
                <w:webHidden/>
              </w:rPr>
              <w:tab/>
            </w:r>
            <w:r>
              <w:rPr>
                <w:noProof/>
                <w:webHidden/>
              </w:rPr>
              <w:fldChar w:fldCharType="begin"/>
            </w:r>
            <w:r>
              <w:rPr>
                <w:noProof/>
                <w:webHidden/>
              </w:rPr>
              <w:instrText xml:space="preserve"> PAGEREF _Toc191899428 \h </w:instrText>
            </w:r>
            <w:r>
              <w:rPr>
                <w:noProof/>
                <w:webHidden/>
              </w:rPr>
            </w:r>
            <w:r>
              <w:rPr>
                <w:noProof/>
                <w:webHidden/>
              </w:rPr>
              <w:fldChar w:fldCharType="separate"/>
            </w:r>
            <w:r w:rsidR="003317BC">
              <w:rPr>
                <w:noProof/>
                <w:webHidden/>
              </w:rPr>
              <w:t>48</w:t>
            </w:r>
            <w:r>
              <w:rPr>
                <w:noProof/>
                <w:webHidden/>
              </w:rPr>
              <w:fldChar w:fldCharType="end"/>
            </w:r>
          </w:hyperlink>
        </w:p>
        <w:p w14:paraId="2D107A62" w14:textId="093BFCC3" w:rsidR="003E3889" w:rsidRDefault="003E3889">
          <w:pPr>
            <w:pStyle w:val="TOC2"/>
            <w:tabs>
              <w:tab w:val="right" w:leader="dot" w:pos="9482"/>
            </w:tabs>
            <w:rPr>
              <w:rFonts w:eastAsiaTheme="minorEastAsia" w:cstheme="minorBidi"/>
              <w:b w:val="0"/>
              <w:bCs w:val="0"/>
              <w:noProof/>
              <w:sz w:val="24"/>
              <w:szCs w:val="24"/>
              <w:lang w:eastAsia="en-AU"/>
            </w:rPr>
          </w:pPr>
          <w:hyperlink w:anchor="_Toc191899429" w:history="1">
            <w:r w:rsidRPr="008311BB">
              <w:rPr>
                <w:rStyle w:val="Hyperlink"/>
                <w:noProof/>
              </w:rPr>
              <w:t>Strategic Priority 4 — Access and Workforce</w:t>
            </w:r>
            <w:r>
              <w:rPr>
                <w:noProof/>
                <w:webHidden/>
              </w:rPr>
              <w:tab/>
            </w:r>
            <w:r>
              <w:rPr>
                <w:noProof/>
                <w:webHidden/>
              </w:rPr>
              <w:fldChar w:fldCharType="begin"/>
            </w:r>
            <w:r>
              <w:rPr>
                <w:noProof/>
                <w:webHidden/>
              </w:rPr>
              <w:instrText xml:space="preserve"> PAGEREF _Toc191899429 \h </w:instrText>
            </w:r>
            <w:r>
              <w:rPr>
                <w:noProof/>
                <w:webHidden/>
              </w:rPr>
            </w:r>
            <w:r>
              <w:rPr>
                <w:noProof/>
                <w:webHidden/>
              </w:rPr>
              <w:fldChar w:fldCharType="separate"/>
            </w:r>
            <w:r w:rsidR="003317BC">
              <w:rPr>
                <w:noProof/>
                <w:webHidden/>
              </w:rPr>
              <w:t>49</w:t>
            </w:r>
            <w:r>
              <w:rPr>
                <w:noProof/>
                <w:webHidden/>
              </w:rPr>
              <w:fldChar w:fldCharType="end"/>
            </w:r>
          </w:hyperlink>
        </w:p>
        <w:p w14:paraId="6C33DC0A" w14:textId="409D204B" w:rsidR="003E3889" w:rsidRDefault="003E3889">
          <w:pPr>
            <w:pStyle w:val="TOC3"/>
            <w:tabs>
              <w:tab w:val="right" w:leader="dot" w:pos="9482"/>
            </w:tabs>
            <w:rPr>
              <w:rFonts w:eastAsiaTheme="minorEastAsia" w:cstheme="minorBidi"/>
              <w:noProof/>
              <w:sz w:val="24"/>
              <w:szCs w:val="24"/>
              <w:lang w:eastAsia="en-AU"/>
            </w:rPr>
          </w:pPr>
          <w:hyperlink w:anchor="_Toc191899430" w:history="1">
            <w:r w:rsidRPr="008311BB">
              <w:rPr>
                <w:rStyle w:val="Hyperlink"/>
                <w:noProof/>
              </w:rPr>
              <w:t>Prior and current activities</w:t>
            </w:r>
            <w:r>
              <w:rPr>
                <w:noProof/>
                <w:webHidden/>
              </w:rPr>
              <w:tab/>
            </w:r>
            <w:r>
              <w:rPr>
                <w:noProof/>
                <w:webHidden/>
              </w:rPr>
              <w:fldChar w:fldCharType="begin"/>
            </w:r>
            <w:r>
              <w:rPr>
                <w:noProof/>
                <w:webHidden/>
              </w:rPr>
              <w:instrText xml:space="preserve"> PAGEREF _Toc191899430 \h </w:instrText>
            </w:r>
            <w:r>
              <w:rPr>
                <w:noProof/>
                <w:webHidden/>
              </w:rPr>
            </w:r>
            <w:r>
              <w:rPr>
                <w:noProof/>
                <w:webHidden/>
              </w:rPr>
              <w:fldChar w:fldCharType="separate"/>
            </w:r>
            <w:r w:rsidR="003317BC">
              <w:rPr>
                <w:noProof/>
                <w:webHidden/>
              </w:rPr>
              <w:t>50</w:t>
            </w:r>
            <w:r>
              <w:rPr>
                <w:noProof/>
                <w:webHidden/>
              </w:rPr>
              <w:fldChar w:fldCharType="end"/>
            </w:r>
          </w:hyperlink>
        </w:p>
        <w:p w14:paraId="1C8D4EB1" w14:textId="2440E142" w:rsidR="003E3889" w:rsidRDefault="003E3889">
          <w:pPr>
            <w:pStyle w:val="TOC3"/>
            <w:tabs>
              <w:tab w:val="right" w:leader="dot" w:pos="9482"/>
            </w:tabs>
            <w:rPr>
              <w:rFonts w:eastAsiaTheme="minorEastAsia" w:cstheme="minorBidi"/>
              <w:noProof/>
              <w:sz w:val="24"/>
              <w:szCs w:val="24"/>
              <w:lang w:eastAsia="en-AU"/>
            </w:rPr>
          </w:pPr>
          <w:hyperlink w:anchor="_Toc191899431" w:history="1">
            <w:r w:rsidRPr="008311BB">
              <w:rPr>
                <w:rStyle w:val="Hyperlink"/>
                <w:noProof/>
              </w:rPr>
              <w:t>Outcome 4.1 — Enhanced capacity and capability</w:t>
            </w:r>
            <w:r>
              <w:rPr>
                <w:noProof/>
                <w:webHidden/>
              </w:rPr>
              <w:tab/>
            </w:r>
            <w:r>
              <w:rPr>
                <w:noProof/>
                <w:webHidden/>
              </w:rPr>
              <w:fldChar w:fldCharType="begin"/>
            </w:r>
            <w:r>
              <w:rPr>
                <w:noProof/>
                <w:webHidden/>
              </w:rPr>
              <w:instrText xml:space="preserve"> PAGEREF _Toc191899431 \h </w:instrText>
            </w:r>
            <w:r>
              <w:rPr>
                <w:noProof/>
                <w:webHidden/>
              </w:rPr>
            </w:r>
            <w:r>
              <w:rPr>
                <w:noProof/>
                <w:webHidden/>
              </w:rPr>
              <w:fldChar w:fldCharType="separate"/>
            </w:r>
            <w:r w:rsidR="003317BC">
              <w:rPr>
                <w:noProof/>
                <w:webHidden/>
              </w:rPr>
              <w:t>52</w:t>
            </w:r>
            <w:r>
              <w:rPr>
                <w:noProof/>
                <w:webHidden/>
              </w:rPr>
              <w:fldChar w:fldCharType="end"/>
            </w:r>
          </w:hyperlink>
        </w:p>
        <w:p w14:paraId="741094DE" w14:textId="0BECB3BC" w:rsidR="003E3889" w:rsidRDefault="003E3889">
          <w:pPr>
            <w:pStyle w:val="TOC3"/>
            <w:tabs>
              <w:tab w:val="right" w:leader="dot" w:pos="9482"/>
            </w:tabs>
            <w:rPr>
              <w:rFonts w:eastAsiaTheme="minorEastAsia" w:cstheme="minorBidi"/>
              <w:noProof/>
              <w:sz w:val="24"/>
              <w:szCs w:val="24"/>
              <w:lang w:eastAsia="en-AU"/>
            </w:rPr>
          </w:pPr>
          <w:hyperlink w:anchor="_Toc191899432" w:history="1">
            <w:r w:rsidRPr="008311BB">
              <w:rPr>
                <w:rStyle w:val="Hyperlink"/>
                <w:noProof/>
              </w:rPr>
              <w:t>Outcome 4.2 — Enhanced workforce</w:t>
            </w:r>
            <w:r>
              <w:rPr>
                <w:noProof/>
                <w:webHidden/>
              </w:rPr>
              <w:tab/>
            </w:r>
            <w:r>
              <w:rPr>
                <w:noProof/>
                <w:webHidden/>
              </w:rPr>
              <w:fldChar w:fldCharType="begin"/>
            </w:r>
            <w:r>
              <w:rPr>
                <w:noProof/>
                <w:webHidden/>
              </w:rPr>
              <w:instrText xml:space="preserve"> PAGEREF _Toc191899432 \h </w:instrText>
            </w:r>
            <w:r>
              <w:rPr>
                <w:noProof/>
                <w:webHidden/>
              </w:rPr>
            </w:r>
            <w:r>
              <w:rPr>
                <w:noProof/>
                <w:webHidden/>
              </w:rPr>
              <w:fldChar w:fldCharType="separate"/>
            </w:r>
            <w:r w:rsidR="003317BC">
              <w:rPr>
                <w:noProof/>
                <w:webHidden/>
              </w:rPr>
              <w:t>53</w:t>
            </w:r>
            <w:r>
              <w:rPr>
                <w:noProof/>
                <w:webHidden/>
              </w:rPr>
              <w:fldChar w:fldCharType="end"/>
            </w:r>
          </w:hyperlink>
        </w:p>
        <w:p w14:paraId="3B2C0E2C" w14:textId="3436EA70" w:rsidR="003E3889" w:rsidRDefault="003E3889">
          <w:pPr>
            <w:pStyle w:val="TOC2"/>
            <w:tabs>
              <w:tab w:val="right" w:leader="dot" w:pos="9482"/>
            </w:tabs>
            <w:rPr>
              <w:rFonts w:eastAsiaTheme="minorEastAsia" w:cstheme="minorBidi"/>
              <w:b w:val="0"/>
              <w:bCs w:val="0"/>
              <w:noProof/>
              <w:sz w:val="24"/>
              <w:szCs w:val="24"/>
              <w:lang w:eastAsia="en-AU"/>
            </w:rPr>
          </w:pPr>
          <w:hyperlink w:anchor="_Toc191899433" w:history="1">
            <w:r w:rsidRPr="008311BB">
              <w:rPr>
                <w:rStyle w:val="Hyperlink"/>
                <w:noProof/>
              </w:rPr>
              <w:t>Strategic Priority 5 — Financing</w:t>
            </w:r>
            <w:r>
              <w:rPr>
                <w:noProof/>
                <w:webHidden/>
              </w:rPr>
              <w:tab/>
            </w:r>
            <w:r>
              <w:rPr>
                <w:noProof/>
                <w:webHidden/>
              </w:rPr>
              <w:fldChar w:fldCharType="begin"/>
            </w:r>
            <w:r>
              <w:rPr>
                <w:noProof/>
                <w:webHidden/>
              </w:rPr>
              <w:instrText xml:space="preserve"> PAGEREF _Toc191899433 \h </w:instrText>
            </w:r>
            <w:r>
              <w:rPr>
                <w:noProof/>
                <w:webHidden/>
              </w:rPr>
            </w:r>
            <w:r>
              <w:rPr>
                <w:noProof/>
                <w:webHidden/>
              </w:rPr>
              <w:fldChar w:fldCharType="separate"/>
            </w:r>
            <w:r w:rsidR="003317BC">
              <w:rPr>
                <w:noProof/>
                <w:webHidden/>
              </w:rPr>
              <w:t>55</w:t>
            </w:r>
            <w:r>
              <w:rPr>
                <w:noProof/>
                <w:webHidden/>
              </w:rPr>
              <w:fldChar w:fldCharType="end"/>
            </w:r>
          </w:hyperlink>
        </w:p>
        <w:p w14:paraId="24287BD6" w14:textId="7AF03F4A" w:rsidR="003E3889" w:rsidRDefault="003E3889">
          <w:pPr>
            <w:pStyle w:val="TOC3"/>
            <w:tabs>
              <w:tab w:val="right" w:leader="dot" w:pos="9482"/>
            </w:tabs>
            <w:rPr>
              <w:rFonts w:eastAsiaTheme="minorEastAsia" w:cstheme="minorBidi"/>
              <w:noProof/>
              <w:sz w:val="24"/>
              <w:szCs w:val="24"/>
              <w:lang w:eastAsia="en-AU"/>
            </w:rPr>
          </w:pPr>
          <w:hyperlink w:anchor="_Toc191899434" w:history="1">
            <w:r w:rsidRPr="008311BB">
              <w:rPr>
                <w:rStyle w:val="Hyperlink"/>
                <w:noProof/>
              </w:rPr>
              <w:t>Prior and current activities</w:t>
            </w:r>
            <w:r>
              <w:rPr>
                <w:noProof/>
                <w:webHidden/>
              </w:rPr>
              <w:tab/>
            </w:r>
            <w:r>
              <w:rPr>
                <w:noProof/>
                <w:webHidden/>
              </w:rPr>
              <w:fldChar w:fldCharType="begin"/>
            </w:r>
            <w:r>
              <w:rPr>
                <w:noProof/>
                <w:webHidden/>
              </w:rPr>
              <w:instrText xml:space="preserve"> PAGEREF _Toc191899434 \h </w:instrText>
            </w:r>
            <w:r>
              <w:rPr>
                <w:noProof/>
                <w:webHidden/>
              </w:rPr>
            </w:r>
            <w:r>
              <w:rPr>
                <w:noProof/>
                <w:webHidden/>
              </w:rPr>
              <w:fldChar w:fldCharType="separate"/>
            </w:r>
            <w:r w:rsidR="003317BC">
              <w:rPr>
                <w:noProof/>
                <w:webHidden/>
              </w:rPr>
              <w:t>56</w:t>
            </w:r>
            <w:r>
              <w:rPr>
                <w:noProof/>
                <w:webHidden/>
              </w:rPr>
              <w:fldChar w:fldCharType="end"/>
            </w:r>
          </w:hyperlink>
        </w:p>
        <w:p w14:paraId="40239004" w14:textId="6B425C77" w:rsidR="003E3889" w:rsidRDefault="003E3889">
          <w:pPr>
            <w:pStyle w:val="TOC3"/>
            <w:tabs>
              <w:tab w:val="right" w:leader="dot" w:pos="9482"/>
            </w:tabs>
            <w:rPr>
              <w:rFonts w:eastAsiaTheme="minorEastAsia" w:cstheme="minorBidi"/>
              <w:noProof/>
              <w:sz w:val="24"/>
              <w:szCs w:val="24"/>
              <w:lang w:eastAsia="en-AU"/>
            </w:rPr>
          </w:pPr>
          <w:hyperlink w:anchor="_Toc191899435" w:history="1">
            <w:r w:rsidRPr="008311BB">
              <w:rPr>
                <w:rStyle w:val="Hyperlink"/>
                <w:noProof/>
              </w:rPr>
              <w:t>Outcome 5.1 — Established sustainable funding model</w:t>
            </w:r>
            <w:r>
              <w:rPr>
                <w:noProof/>
                <w:webHidden/>
              </w:rPr>
              <w:tab/>
            </w:r>
            <w:r>
              <w:rPr>
                <w:noProof/>
                <w:webHidden/>
              </w:rPr>
              <w:fldChar w:fldCharType="begin"/>
            </w:r>
            <w:r>
              <w:rPr>
                <w:noProof/>
                <w:webHidden/>
              </w:rPr>
              <w:instrText xml:space="preserve"> PAGEREF _Toc191899435 \h </w:instrText>
            </w:r>
            <w:r>
              <w:rPr>
                <w:noProof/>
                <w:webHidden/>
              </w:rPr>
            </w:r>
            <w:r>
              <w:rPr>
                <w:noProof/>
                <w:webHidden/>
              </w:rPr>
              <w:fldChar w:fldCharType="separate"/>
            </w:r>
            <w:r w:rsidR="003317BC">
              <w:rPr>
                <w:noProof/>
                <w:webHidden/>
              </w:rPr>
              <w:t>57</w:t>
            </w:r>
            <w:r>
              <w:rPr>
                <w:noProof/>
                <w:webHidden/>
              </w:rPr>
              <w:fldChar w:fldCharType="end"/>
            </w:r>
          </w:hyperlink>
        </w:p>
        <w:p w14:paraId="2F58CA09" w14:textId="5FCD29E6" w:rsidR="003E3889" w:rsidRDefault="003E3889">
          <w:pPr>
            <w:pStyle w:val="TOC3"/>
            <w:tabs>
              <w:tab w:val="right" w:leader="dot" w:pos="9482"/>
            </w:tabs>
            <w:rPr>
              <w:rFonts w:eastAsiaTheme="minorEastAsia" w:cstheme="minorBidi"/>
              <w:noProof/>
              <w:sz w:val="24"/>
              <w:szCs w:val="24"/>
              <w:lang w:eastAsia="en-AU"/>
            </w:rPr>
          </w:pPr>
          <w:hyperlink w:anchor="_Toc191899436" w:history="1">
            <w:r w:rsidRPr="008311BB">
              <w:rPr>
                <w:rStyle w:val="Hyperlink"/>
                <w:noProof/>
              </w:rPr>
              <w:t>Outcome 5.2 — Established cost-effective model</w:t>
            </w:r>
            <w:r>
              <w:rPr>
                <w:noProof/>
                <w:webHidden/>
              </w:rPr>
              <w:tab/>
            </w:r>
            <w:r>
              <w:rPr>
                <w:noProof/>
                <w:webHidden/>
              </w:rPr>
              <w:fldChar w:fldCharType="begin"/>
            </w:r>
            <w:r>
              <w:rPr>
                <w:noProof/>
                <w:webHidden/>
              </w:rPr>
              <w:instrText xml:space="preserve"> PAGEREF _Toc191899436 \h </w:instrText>
            </w:r>
            <w:r>
              <w:rPr>
                <w:noProof/>
                <w:webHidden/>
              </w:rPr>
            </w:r>
            <w:r>
              <w:rPr>
                <w:noProof/>
                <w:webHidden/>
              </w:rPr>
              <w:fldChar w:fldCharType="separate"/>
            </w:r>
            <w:r w:rsidR="003317BC">
              <w:rPr>
                <w:noProof/>
                <w:webHidden/>
              </w:rPr>
              <w:t>58</w:t>
            </w:r>
            <w:r>
              <w:rPr>
                <w:noProof/>
                <w:webHidden/>
              </w:rPr>
              <w:fldChar w:fldCharType="end"/>
            </w:r>
          </w:hyperlink>
        </w:p>
        <w:p w14:paraId="7C4B9A46" w14:textId="4C415D99" w:rsidR="003E3889" w:rsidRDefault="003E3889">
          <w:pPr>
            <w:pStyle w:val="TOC2"/>
            <w:tabs>
              <w:tab w:val="right" w:leader="dot" w:pos="9482"/>
            </w:tabs>
            <w:rPr>
              <w:rFonts w:eastAsiaTheme="minorEastAsia" w:cstheme="minorBidi"/>
              <w:b w:val="0"/>
              <w:bCs w:val="0"/>
              <w:noProof/>
              <w:sz w:val="24"/>
              <w:szCs w:val="24"/>
              <w:lang w:eastAsia="en-AU"/>
            </w:rPr>
          </w:pPr>
          <w:hyperlink w:anchor="_Toc191899437" w:history="1">
            <w:r w:rsidRPr="008311BB">
              <w:rPr>
                <w:rStyle w:val="Hyperlink"/>
                <w:noProof/>
              </w:rPr>
              <w:t>Future directions</w:t>
            </w:r>
            <w:r>
              <w:rPr>
                <w:noProof/>
                <w:webHidden/>
              </w:rPr>
              <w:tab/>
            </w:r>
            <w:r>
              <w:rPr>
                <w:noProof/>
                <w:webHidden/>
              </w:rPr>
              <w:fldChar w:fldCharType="begin"/>
            </w:r>
            <w:r>
              <w:rPr>
                <w:noProof/>
                <w:webHidden/>
              </w:rPr>
              <w:instrText xml:space="preserve"> PAGEREF _Toc191899437 \h </w:instrText>
            </w:r>
            <w:r>
              <w:rPr>
                <w:noProof/>
                <w:webHidden/>
              </w:rPr>
            </w:r>
            <w:r>
              <w:rPr>
                <w:noProof/>
                <w:webHidden/>
              </w:rPr>
              <w:fldChar w:fldCharType="separate"/>
            </w:r>
            <w:r w:rsidR="003317BC">
              <w:rPr>
                <w:noProof/>
                <w:webHidden/>
              </w:rPr>
              <w:t>59</w:t>
            </w:r>
            <w:r>
              <w:rPr>
                <w:noProof/>
                <w:webHidden/>
              </w:rPr>
              <w:fldChar w:fldCharType="end"/>
            </w:r>
          </w:hyperlink>
        </w:p>
        <w:p w14:paraId="7B6A7BEB" w14:textId="4B8D064D" w:rsidR="003E3889" w:rsidRDefault="003E3889">
          <w:pPr>
            <w:pStyle w:val="TOC1"/>
            <w:tabs>
              <w:tab w:val="right" w:leader="dot" w:pos="9482"/>
            </w:tabs>
            <w:rPr>
              <w:rFonts w:eastAsiaTheme="minorEastAsia" w:cstheme="minorBidi"/>
              <w:b w:val="0"/>
              <w:bCs w:val="0"/>
              <w:iCs w:val="0"/>
              <w:noProof/>
              <w:lang w:eastAsia="en-AU"/>
            </w:rPr>
          </w:pPr>
          <w:hyperlink w:anchor="_Toc191899438" w:history="1">
            <w:r w:rsidRPr="008311BB">
              <w:rPr>
                <w:rStyle w:val="Hyperlink"/>
                <w:noProof/>
              </w:rPr>
              <w:t>Annex A</w:t>
            </w:r>
            <w:r>
              <w:rPr>
                <w:noProof/>
                <w:webHidden/>
              </w:rPr>
              <w:tab/>
            </w:r>
            <w:r>
              <w:rPr>
                <w:noProof/>
                <w:webHidden/>
              </w:rPr>
              <w:fldChar w:fldCharType="begin"/>
            </w:r>
            <w:r>
              <w:rPr>
                <w:noProof/>
                <w:webHidden/>
              </w:rPr>
              <w:instrText xml:space="preserve"> PAGEREF _Toc191899438 \h </w:instrText>
            </w:r>
            <w:r>
              <w:rPr>
                <w:noProof/>
                <w:webHidden/>
              </w:rPr>
            </w:r>
            <w:r>
              <w:rPr>
                <w:noProof/>
                <w:webHidden/>
              </w:rPr>
              <w:fldChar w:fldCharType="separate"/>
            </w:r>
            <w:r w:rsidR="003317BC">
              <w:rPr>
                <w:noProof/>
                <w:webHidden/>
              </w:rPr>
              <w:t>60</w:t>
            </w:r>
            <w:r>
              <w:rPr>
                <w:noProof/>
                <w:webHidden/>
              </w:rPr>
              <w:fldChar w:fldCharType="end"/>
            </w:r>
          </w:hyperlink>
        </w:p>
        <w:p w14:paraId="3F20D664" w14:textId="7BEA3556" w:rsidR="003E3889" w:rsidRDefault="003E3889">
          <w:pPr>
            <w:pStyle w:val="TOC2"/>
            <w:tabs>
              <w:tab w:val="right" w:leader="dot" w:pos="9482"/>
            </w:tabs>
            <w:rPr>
              <w:rFonts w:eastAsiaTheme="minorEastAsia" w:cstheme="minorBidi"/>
              <w:b w:val="0"/>
              <w:bCs w:val="0"/>
              <w:noProof/>
              <w:sz w:val="24"/>
              <w:szCs w:val="24"/>
              <w:lang w:eastAsia="en-AU"/>
            </w:rPr>
          </w:pPr>
          <w:hyperlink w:anchor="_Toc191899439" w:history="1">
            <w:r w:rsidRPr="008311BB">
              <w:rPr>
                <w:rStyle w:val="Hyperlink"/>
                <w:noProof/>
              </w:rPr>
              <w:t>National developments</w:t>
            </w:r>
            <w:r>
              <w:rPr>
                <w:noProof/>
                <w:webHidden/>
              </w:rPr>
              <w:tab/>
            </w:r>
            <w:r>
              <w:rPr>
                <w:noProof/>
                <w:webHidden/>
              </w:rPr>
              <w:fldChar w:fldCharType="begin"/>
            </w:r>
            <w:r>
              <w:rPr>
                <w:noProof/>
                <w:webHidden/>
              </w:rPr>
              <w:instrText xml:space="preserve"> PAGEREF _Toc191899439 \h </w:instrText>
            </w:r>
            <w:r>
              <w:rPr>
                <w:noProof/>
                <w:webHidden/>
              </w:rPr>
            </w:r>
            <w:r>
              <w:rPr>
                <w:noProof/>
                <w:webHidden/>
              </w:rPr>
              <w:fldChar w:fldCharType="separate"/>
            </w:r>
            <w:r w:rsidR="003317BC">
              <w:rPr>
                <w:noProof/>
                <w:webHidden/>
              </w:rPr>
              <w:t>60</w:t>
            </w:r>
            <w:r>
              <w:rPr>
                <w:noProof/>
                <w:webHidden/>
              </w:rPr>
              <w:fldChar w:fldCharType="end"/>
            </w:r>
          </w:hyperlink>
        </w:p>
        <w:p w14:paraId="69CD8315" w14:textId="097E43B3" w:rsidR="003E3889" w:rsidRDefault="003E3889">
          <w:pPr>
            <w:pStyle w:val="TOC3"/>
            <w:tabs>
              <w:tab w:val="right" w:leader="dot" w:pos="9482"/>
            </w:tabs>
            <w:rPr>
              <w:rFonts w:eastAsiaTheme="minorEastAsia" w:cstheme="minorBidi"/>
              <w:noProof/>
              <w:sz w:val="24"/>
              <w:szCs w:val="24"/>
              <w:lang w:eastAsia="en-AU"/>
            </w:rPr>
          </w:pPr>
          <w:hyperlink w:anchor="_Toc191899440" w:history="1">
            <w:r w:rsidRPr="008311BB">
              <w:rPr>
                <w:rStyle w:val="Hyperlink"/>
                <w:noProof/>
              </w:rPr>
              <w:t>Communicable Diseases Genomics Network</w:t>
            </w:r>
            <w:r>
              <w:rPr>
                <w:noProof/>
                <w:webHidden/>
              </w:rPr>
              <w:tab/>
            </w:r>
            <w:r>
              <w:rPr>
                <w:noProof/>
                <w:webHidden/>
              </w:rPr>
              <w:fldChar w:fldCharType="begin"/>
            </w:r>
            <w:r>
              <w:rPr>
                <w:noProof/>
                <w:webHidden/>
              </w:rPr>
              <w:instrText xml:space="preserve"> PAGEREF _Toc191899440 \h </w:instrText>
            </w:r>
            <w:r>
              <w:rPr>
                <w:noProof/>
                <w:webHidden/>
              </w:rPr>
            </w:r>
            <w:r>
              <w:rPr>
                <w:noProof/>
                <w:webHidden/>
              </w:rPr>
              <w:fldChar w:fldCharType="separate"/>
            </w:r>
            <w:r w:rsidR="003317BC">
              <w:rPr>
                <w:noProof/>
                <w:webHidden/>
              </w:rPr>
              <w:t>60</w:t>
            </w:r>
            <w:r>
              <w:rPr>
                <w:noProof/>
                <w:webHidden/>
              </w:rPr>
              <w:fldChar w:fldCharType="end"/>
            </w:r>
          </w:hyperlink>
        </w:p>
        <w:p w14:paraId="0C2AA4C8" w14:textId="0077BE57" w:rsidR="003E3889" w:rsidRDefault="003E3889">
          <w:pPr>
            <w:pStyle w:val="TOC3"/>
            <w:tabs>
              <w:tab w:val="right" w:leader="dot" w:pos="9482"/>
            </w:tabs>
            <w:rPr>
              <w:rFonts w:eastAsiaTheme="minorEastAsia" w:cstheme="minorBidi"/>
              <w:noProof/>
              <w:sz w:val="24"/>
              <w:szCs w:val="24"/>
              <w:lang w:eastAsia="en-AU"/>
            </w:rPr>
          </w:pPr>
          <w:hyperlink w:anchor="_Toc191899441" w:history="1">
            <w:r w:rsidRPr="008311BB">
              <w:rPr>
                <w:rStyle w:val="Hyperlink"/>
                <w:noProof/>
              </w:rPr>
              <w:t>Microbial genomics and the COVID-19 response</w:t>
            </w:r>
            <w:r>
              <w:rPr>
                <w:noProof/>
                <w:webHidden/>
              </w:rPr>
              <w:tab/>
            </w:r>
            <w:r>
              <w:rPr>
                <w:noProof/>
                <w:webHidden/>
              </w:rPr>
              <w:fldChar w:fldCharType="begin"/>
            </w:r>
            <w:r>
              <w:rPr>
                <w:noProof/>
                <w:webHidden/>
              </w:rPr>
              <w:instrText xml:space="preserve"> PAGEREF _Toc191899441 \h </w:instrText>
            </w:r>
            <w:r>
              <w:rPr>
                <w:noProof/>
                <w:webHidden/>
              </w:rPr>
            </w:r>
            <w:r>
              <w:rPr>
                <w:noProof/>
                <w:webHidden/>
              </w:rPr>
              <w:fldChar w:fldCharType="separate"/>
            </w:r>
            <w:r w:rsidR="003317BC">
              <w:rPr>
                <w:noProof/>
                <w:webHidden/>
              </w:rPr>
              <w:t>61</w:t>
            </w:r>
            <w:r>
              <w:rPr>
                <w:noProof/>
                <w:webHidden/>
              </w:rPr>
              <w:fldChar w:fldCharType="end"/>
            </w:r>
          </w:hyperlink>
        </w:p>
        <w:p w14:paraId="5B005290" w14:textId="4B0A0217" w:rsidR="003E3889" w:rsidRDefault="003E3889">
          <w:pPr>
            <w:pStyle w:val="TOC4"/>
            <w:tabs>
              <w:tab w:val="right" w:leader="dot" w:pos="9482"/>
            </w:tabs>
            <w:rPr>
              <w:rFonts w:eastAsiaTheme="minorEastAsia" w:cstheme="minorBidi"/>
              <w:noProof/>
              <w:sz w:val="24"/>
              <w:szCs w:val="24"/>
              <w:lang w:eastAsia="en-AU"/>
            </w:rPr>
          </w:pPr>
          <w:hyperlink w:anchor="_Toc191899442" w:history="1">
            <w:r w:rsidRPr="008311BB">
              <w:rPr>
                <w:rStyle w:val="Hyperlink"/>
                <w:noProof/>
              </w:rPr>
              <w:t>SARS-CoV-2 Variants of Concern</w:t>
            </w:r>
            <w:r>
              <w:rPr>
                <w:noProof/>
                <w:webHidden/>
              </w:rPr>
              <w:tab/>
            </w:r>
            <w:r>
              <w:rPr>
                <w:noProof/>
                <w:webHidden/>
              </w:rPr>
              <w:fldChar w:fldCharType="begin"/>
            </w:r>
            <w:r>
              <w:rPr>
                <w:noProof/>
                <w:webHidden/>
              </w:rPr>
              <w:instrText xml:space="preserve"> PAGEREF _Toc191899442 \h </w:instrText>
            </w:r>
            <w:r>
              <w:rPr>
                <w:noProof/>
                <w:webHidden/>
              </w:rPr>
            </w:r>
            <w:r>
              <w:rPr>
                <w:noProof/>
                <w:webHidden/>
              </w:rPr>
              <w:fldChar w:fldCharType="separate"/>
            </w:r>
            <w:r w:rsidR="003317BC">
              <w:rPr>
                <w:noProof/>
                <w:webHidden/>
              </w:rPr>
              <w:t>62</w:t>
            </w:r>
            <w:r>
              <w:rPr>
                <w:noProof/>
                <w:webHidden/>
              </w:rPr>
              <w:fldChar w:fldCharType="end"/>
            </w:r>
          </w:hyperlink>
        </w:p>
        <w:p w14:paraId="366C4A36" w14:textId="2606C01A" w:rsidR="003E3889" w:rsidRDefault="003E3889">
          <w:pPr>
            <w:pStyle w:val="TOC4"/>
            <w:tabs>
              <w:tab w:val="right" w:leader="dot" w:pos="9482"/>
            </w:tabs>
            <w:rPr>
              <w:rFonts w:eastAsiaTheme="minorEastAsia" w:cstheme="minorBidi"/>
              <w:noProof/>
              <w:sz w:val="24"/>
              <w:szCs w:val="24"/>
              <w:lang w:eastAsia="en-AU"/>
            </w:rPr>
          </w:pPr>
          <w:hyperlink w:anchor="_Toc191899443" w:history="1">
            <w:r w:rsidRPr="008311BB">
              <w:rPr>
                <w:rStyle w:val="Hyperlink"/>
                <w:noProof/>
              </w:rPr>
              <w:t>WGS Proficiency Testing for SARS-CoV-2</w:t>
            </w:r>
            <w:r>
              <w:rPr>
                <w:noProof/>
                <w:webHidden/>
              </w:rPr>
              <w:tab/>
            </w:r>
            <w:r>
              <w:rPr>
                <w:noProof/>
                <w:webHidden/>
              </w:rPr>
              <w:fldChar w:fldCharType="begin"/>
            </w:r>
            <w:r>
              <w:rPr>
                <w:noProof/>
                <w:webHidden/>
              </w:rPr>
              <w:instrText xml:space="preserve"> PAGEREF _Toc191899443 \h </w:instrText>
            </w:r>
            <w:r>
              <w:rPr>
                <w:noProof/>
                <w:webHidden/>
              </w:rPr>
            </w:r>
            <w:r>
              <w:rPr>
                <w:noProof/>
                <w:webHidden/>
              </w:rPr>
              <w:fldChar w:fldCharType="separate"/>
            </w:r>
            <w:r w:rsidR="003317BC">
              <w:rPr>
                <w:noProof/>
                <w:webHidden/>
              </w:rPr>
              <w:t>63</w:t>
            </w:r>
            <w:r>
              <w:rPr>
                <w:noProof/>
                <w:webHidden/>
              </w:rPr>
              <w:fldChar w:fldCharType="end"/>
            </w:r>
          </w:hyperlink>
        </w:p>
        <w:p w14:paraId="7367C2AB" w14:textId="7E63E0F0" w:rsidR="003E3889" w:rsidRDefault="003E3889">
          <w:pPr>
            <w:pStyle w:val="TOC3"/>
            <w:tabs>
              <w:tab w:val="right" w:leader="dot" w:pos="9482"/>
            </w:tabs>
            <w:rPr>
              <w:rFonts w:eastAsiaTheme="minorEastAsia" w:cstheme="minorBidi"/>
              <w:noProof/>
              <w:sz w:val="24"/>
              <w:szCs w:val="24"/>
              <w:lang w:eastAsia="en-AU"/>
            </w:rPr>
          </w:pPr>
          <w:hyperlink w:anchor="_Toc191899444" w:history="1">
            <w:r w:rsidRPr="008311BB">
              <w:rPr>
                <w:rStyle w:val="Hyperlink"/>
                <w:noProof/>
              </w:rPr>
              <w:t>AusTrakka</w:t>
            </w:r>
            <w:r>
              <w:rPr>
                <w:noProof/>
                <w:webHidden/>
              </w:rPr>
              <w:tab/>
            </w:r>
            <w:r>
              <w:rPr>
                <w:noProof/>
                <w:webHidden/>
              </w:rPr>
              <w:fldChar w:fldCharType="begin"/>
            </w:r>
            <w:r>
              <w:rPr>
                <w:noProof/>
                <w:webHidden/>
              </w:rPr>
              <w:instrText xml:space="preserve"> PAGEREF _Toc191899444 \h </w:instrText>
            </w:r>
            <w:r>
              <w:rPr>
                <w:noProof/>
                <w:webHidden/>
              </w:rPr>
            </w:r>
            <w:r>
              <w:rPr>
                <w:noProof/>
                <w:webHidden/>
              </w:rPr>
              <w:fldChar w:fldCharType="separate"/>
            </w:r>
            <w:r w:rsidR="003317BC">
              <w:rPr>
                <w:noProof/>
                <w:webHidden/>
              </w:rPr>
              <w:t>63</w:t>
            </w:r>
            <w:r>
              <w:rPr>
                <w:noProof/>
                <w:webHidden/>
              </w:rPr>
              <w:fldChar w:fldCharType="end"/>
            </w:r>
          </w:hyperlink>
        </w:p>
        <w:p w14:paraId="6EA41E24" w14:textId="5727026C" w:rsidR="003E3889" w:rsidRDefault="003E3889">
          <w:pPr>
            <w:pStyle w:val="TOC3"/>
            <w:tabs>
              <w:tab w:val="right" w:leader="dot" w:pos="9482"/>
            </w:tabs>
            <w:rPr>
              <w:rFonts w:eastAsiaTheme="minorEastAsia" w:cstheme="minorBidi"/>
              <w:noProof/>
              <w:sz w:val="24"/>
              <w:szCs w:val="24"/>
              <w:lang w:eastAsia="en-AU"/>
            </w:rPr>
          </w:pPr>
          <w:hyperlink w:anchor="_Toc191899445" w:history="1">
            <w:r w:rsidRPr="008311BB">
              <w:rPr>
                <w:rStyle w:val="Hyperlink"/>
                <w:noProof/>
              </w:rPr>
              <w:t>Translational research initiatives</w:t>
            </w:r>
            <w:r>
              <w:rPr>
                <w:noProof/>
                <w:webHidden/>
              </w:rPr>
              <w:tab/>
            </w:r>
            <w:r>
              <w:rPr>
                <w:noProof/>
                <w:webHidden/>
              </w:rPr>
              <w:fldChar w:fldCharType="begin"/>
            </w:r>
            <w:r>
              <w:rPr>
                <w:noProof/>
                <w:webHidden/>
              </w:rPr>
              <w:instrText xml:space="preserve"> PAGEREF _Toc191899445 \h </w:instrText>
            </w:r>
            <w:r>
              <w:rPr>
                <w:noProof/>
                <w:webHidden/>
              </w:rPr>
            </w:r>
            <w:r>
              <w:rPr>
                <w:noProof/>
                <w:webHidden/>
              </w:rPr>
              <w:fldChar w:fldCharType="separate"/>
            </w:r>
            <w:r w:rsidR="003317BC">
              <w:rPr>
                <w:noProof/>
                <w:webHidden/>
              </w:rPr>
              <w:t>66</w:t>
            </w:r>
            <w:r>
              <w:rPr>
                <w:noProof/>
                <w:webHidden/>
              </w:rPr>
              <w:fldChar w:fldCharType="end"/>
            </w:r>
          </w:hyperlink>
        </w:p>
        <w:p w14:paraId="29254D61" w14:textId="7D5712B3" w:rsidR="003E3889" w:rsidRDefault="003E3889">
          <w:pPr>
            <w:pStyle w:val="TOC4"/>
            <w:tabs>
              <w:tab w:val="right" w:leader="dot" w:pos="9482"/>
            </w:tabs>
            <w:rPr>
              <w:rFonts w:eastAsiaTheme="minorEastAsia" w:cstheme="minorBidi"/>
              <w:noProof/>
              <w:sz w:val="24"/>
              <w:szCs w:val="24"/>
              <w:lang w:eastAsia="en-AU"/>
            </w:rPr>
          </w:pPr>
          <w:hyperlink w:anchor="_Toc191899446" w:history="1">
            <w:r w:rsidRPr="008311BB">
              <w:rPr>
                <w:rStyle w:val="Hyperlink"/>
                <w:noProof/>
              </w:rPr>
              <w:t>AusPathoGen</w:t>
            </w:r>
            <w:r>
              <w:rPr>
                <w:noProof/>
                <w:webHidden/>
              </w:rPr>
              <w:tab/>
            </w:r>
            <w:r>
              <w:rPr>
                <w:noProof/>
                <w:webHidden/>
              </w:rPr>
              <w:fldChar w:fldCharType="begin"/>
            </w:r>
            <w:r>
              <w:rPr>
                <w:noProof/>
                <w:webHidden/>
              </w:rPr>
              <w:instrText xml:space="preserve"> PAGEREF _Toc191899446 \h </w:instrText>
            </w:r>
            <w:r>
              <w:rPr>
                <w:noProof/>
                <w:webHidden/>
              </w:rPr>
            </w:r>
            <w:r>
              <w:rPr>
                <w:noProof/>
                <w:webHidden/>
              </w:rPr>
              <w:fldChar w:fldCharType="separate"/>
            </w:r>
            <w:r w:rsidR="003317BC">
              <w:rPr>
                <w:noProof/>
                <w:webHidden/>
              </w:rPr>
              <w:t>66</w:t>
            </w:r>
            <w:r>
              <w:rPr>
                <w:noProof/>
                <w:webHidden/>
              </w:rPr>
              <w:fldChar w:fldCharType="end"/>
            </w:r>
          </w:hyperlink>
        </w:p>
        <w:p w14:paraId="17165749" w14:textId="7F6CEA49" w:rsidR="003E3889" w:rsidRDefault="003E3889">
          <w:pPr>
            <w:pStyle w:val="TOC4"/>
            <w:tabs>
              <w:tab w:val="right" w:leader="dot" w:pos="9482"/>
            </w:tabs>
            <w:rPr>
              <w:rFonts w:eastAsiaTheme="minorEastAsia" w:cstheme="minorBidi"/>
              <w:noProof/>
              <w:sz w:val="24"/>
              <w:szCs w:val="24"/>
              <w:lang w:eastAsia="en-AU"/>
            </w:rPr>
          </w:pPr>
          <w:hyperlink w:anchor="_Toc191899447" w:history="1">
            <w:r w:rsidRPr="008311BB">
              <w:rPr>
                <w:rStyle w:val="Hyperlink"/>
                <w:noProof/>
              </w:rPr>
              <w:t>H2Seq</w:t>
            </w:r>
            <w:r>
              <w:rPr>
                <w:noProof/>
                <w:webHidden/>
              </w:rPr>
              <w:tab/>
            </w:r>
            <w:r>
              <w:rPr>
                <w:noProof/>
                <w:webHidden/>
              </w:rPr>
              <w:fldChar w:fldCharType="begin"/>
            </w:r>
            <w:r>
              <w:rPr>
                <w:noProof/>
                <w:webHidden/>
              </w:rPr>
              <w:instrText xml:space="preserve"> PAGEREF _Toc191899447 \h </w:instrText>
            </w:r>
            <w:r>
              <w:rPr>
                <w:noProof/>
                <w:webHidden/>
              </w:rPr>
            </w:r>
            <w:r>
              <w:rPr>
                <w:noProof/>
                <w:webHidden/>
              </w:rPr>
              <w:fldChar w:fldCharType="separate"/>
            </w:r>
            <w:r w:rsidR="003317BC">
              <w:rPr>
                <w:noProof/>
                <w:webHidden/>
              </w:rPr>
              <w:t>67</w:t>
            </w:r>
            <w:r>
              <w:rPr>
                <w:noProof/>
                <w:webHidden/>
              </w:rPr>
              <w:fldChar w:fldCharType="end"/>
            </w:r>
          </w:hyperlink>
        </w:p>
        <w:p w14:paraId="4F1F4537" w14:textId="0C308FFD" w:rsidR="003E3889" w:rsidRDefault="003E3889">
          <w:pPr>
            <w:pStyle w:val="TOC4"/>
            <w:tabs>
              <w:tab w:val="right" w:leader="dot" w:pos="9482"/>
            </w:tabs>
            <w:rPr>
              <w:rFonts w:eastAsiaTheme="minorEastAsia" w:cstheme="minorBidi"/>
              <w:noProof/>
              <w:sz w:val="24"/>
              <w:szCs w:val="24"/>
              <w:lang w:eastAsia="en-AU"/>
            </w:rPr>
          </w:pPr>
          <w:hyperlink w:anchor="_Toc191899448" w:history="1">
            <w:r w:rsidRPr="008311BB">
              <w:rPr>
                <w:rStyle w:val="Hyperlink"/>
                <w:noProof/>
              </w:rPr>
              <w:t>Metagenomics Platform (Meta-GP)</w:t>
            </w:r>
            <w:r>
              <w:rPr>
                <w:noProof/>
                <w:webHidden/>
              </w:rPr>
              <w:tab/>
            </w:r>
            <w:r>
              <w:rPr>
                <w:noProof/>
                <w:webHidden/>
              </w:rPr>
              <w:fldChar w:fldCharType="begin"/>
            </w:r>
            <w:r>
              <w:rPr>
                <w:noProof/>
                <w:webHidden/>
              </w:rPr>
              <w:instrText xml:space="preserve"> PAGEREF _Toc191899448 \h </w:instrText>
            </w:r>
            <w:r>
              <w:rPr>
                <w:noProof/>
                <w:webHidden/>
              </w:rPr>
            </w:r>
            <w:r>
              <w:rPr>
                <w:noProof/>
                <w:webHidden/>
              </w:rPr>
              <w:fldChar w:fldCharType="separate"/>
            </w:r>
            <w:r w:rsidR="003317BC">
              <w:rPr>
                <w:noProof/>
                <w:webHidden/>
              </w:rPr>
              <w:t>68</w:t>
            </w:r>
            <w:r>
              <w:rPr>
                <w:noProof/>
                <w:webHidden/>
              </w:rPr>
              <w:fldChar w:fldCharType="end"/>
            </w:r>
          </w:hyperlink>
        </w:p>
        <w:p w14:paraId="7DAF2392" w14:textId="1D6E8CE8" w:rsidR="003E3889" w:rsidRDefault="003E3889">
          <w:pPr>
            <w:pStyle w:val="TOC2"/>
            <w:tabs>
              <w:tab w:val="right" w:leader="dot" w:pos="9482"/>
            </w:tabs>
            <w:rPr>
              <w:rFonts w:eastAsiaTheme="minorEastAsia" w:cstheme="minorBidi"/>
              <w:b w:val="0"/>
              <w:bCs w:val="0"/>
              <w:noProof/>
              <w:sz w:val="24"/>
              <w:szCs w:val="24"/>
              <w:lang w:eastAsia="en-AU"/>
            </w:rPr>
          </w:pPr>
          <w:hyperlink w:anchor="_Toc191899449" w:history="1">
            <w:r w:rsidRPr="008311BB">
              <w:rPr>
                <w:rStyle w:val="Hyperlink"/>
                <w:noProof/>
              </w:rPr>
              <w:t>International developments</w:t>
            </w:r>
            <w:r>
              <w:rPr>
                <w:noProof/>
                <w:webHidden/>
              </w:rPr>
              <w:tab/>
            </w:r>
            <w:r>
              <w:rPr>
                <w:noProof/>
                <w:webHidden/>
              </w:rPr>
              <w:fldChar w:fldCharType="begin"/>
            </w:r>
            <w:r>
              <w:rPr>
                <w:noProof/>
                <w:webHidden/>
              </w:rPr>
              <w:instrText xml:space="preserve"> PAGEREF _Toc191899449 \h </w:instrText>
            </w:r>
            <w:r>
              <w:rPr>
                <w:noProof/>
                <w:webHidden/>
              </w:rPr>
            </w:r>
            <w:r>
              <w:rPr>
                <w:noProof/>
                <w:webHidden/>
              </w:rPr>
              <w:fldChar w:fldCharType="separate"/>
            </w:r>
            <w:r w:rsidR="003317BC">
              <w:rPr>
                <w:noProof/>
                <w:webHidden/>
              </w:rPr>
              <w:t>68</w:t>
            </w:r>
            <w:r>
              <w:rPr>
                <w:noProof/>
                <w:webHidden/>
              </w:rPr>
              <w:fldChar w:fldCharType="end"/>
            </w:r>
          </w:hyperlink>
        </w:p>
        <w:p w14:paraId="42F49B04" w14:textId="34A4665D" w:rsidR="003E3889" w:rsidRDefault="003E3889">
          <w:pPr>
            <w:pStyle w:val="TOC3"/>
            <w:tabs>
              <w:tab w:val="right" w:leader="dot" w:pos="9482"/>
            </w:tabs>
            <w:rPr>
              <w:rFonts w:eastAsiaTheme="minorEastAsia" w:cstheme="minorBidi"/>
              <w:noProof/>
              <w:sz w:val="24"/>
              <w:szCs w:val="24"/>
              <w:lang w:eastAsia="en-AU"/>
            </w:rPr>
          </w:pPr>
          <w:hyperlink w:anchor="_Toc191899450" w:history="1">
            <w:r w:rsidRPr="008311BB">
              <w:rPr>
                <w:rStyle w:val="Hyperlink"/>
                <w:noProof/>
              </w:rPr>
              <w:t>World Health Organization</w:t>
            </w:r>
            <w:r>
              <w:rPr>
                <w:noProof/>
                <w:webHidden/>
              </w:rPr>
              <w:tab/>
            </w:r>
            <w:r>
              <w:rPr>
                <w:noProof/>
                <w:webHidden/>
              </w:rPr>
              <w:fldChar w:fldCharType="begin"/>
            </w:r>
            <w:r>
              <w:rPr>
                <w:noProof/>
                <w:webHidden/>
              </w:rPr>
              <w:instrText xml:space="preserve"> PAGEREF _Toc191899450 \h </w:instrText>
            </w:r>
            <w:r>
              <w:rPr>
                <w:noProof/>
                <w:webHidden/>
              </w:rPr>
            </w:r>
            <w:r>
              <w:rPr>
                <w:noProof/>
                <w:webHidden/>
              </w:rPr>
              <w:fldChar w:fldCharType="separate"/>
            </w:r>
            <w:r w:rsidR="003317BC">
              <w:rPr>
                <w:noProof/>
                <w:webHidden/>
              </w:rPr>
              <w:t>69</w:t>
            </w:r>
            <w:r>
              <w:rPr>
                <w:noProof/>
                <w:webHidden/>
              </w:rPr>
              <w:fldChar w:fldCharType="end"/>
            </w:r>
          </w:hyperlink>
        </w:p>
        <w:p w14:paraId="3CEBAF69" w14:textId="3C2C05E4" w:rsidR="003E3889" w:rsidRDefault="003E3889">
          <w:pPr>
            <w:pStyle w:val="TOC3"/>
            <w:tabs>
              <w:tab w:val="right" w:leader="dot" w:pos="9482"/>
            </w:tabs>
            <w:rPr>
              <w:rFonts w:eastAsiaTheme="minorEastAsia" w:cstheme="minorBidi"/>
              <w:noProof/>
              <w:sz w:val="24"/>
              <w:szCs w:val="24"/>
              <w:lang w:eastAsia="en-AU"/>
            </w:rPr>
          </w:pPr>
          <w:hyperlink w:anchor="_Toc191899451" w:history="1">
            <w:r w:rsidRPr="008311BB">
              <w:rPr>
                <w:rStyle w:val="Hyperlink"/>
                <w:noProof/>
              </w:rPr>
              <w:t>The Quadrilateral Security Dialogue and the G20</w:t>
            </w:r>
            <w:r>
              <w:rPr>
                <w:noProof/>
                <w:webHidden/>
              </w:rPr>
              <w:tab/>
            </w:r>
            <w:r>
              <w:rPr>
                <w:noProof/>
                <w:webHidden/>
              </w:rPr>
              <w:fldChar w:fldCharType="begin"/>
            </w:r>
            <w:r>
              <w:rPr>
                <w:noProof/>
                <w:webHidden/>
              </w:rPr>
              <w:instrText xml:space="preserve"> PAGEREF _Toc191899451 \h </w:instrText>
            </w:r>
            <w:r>
              <w:rPr>
                <w:noProof/>
                <w:webHidden/>
              </w:rPr>
            </w:r>
            <w:r>
              <w:rPr>
                <w:noProof/>
                <w:webHidden/>
              </w:rPr>
              <w:fldChar w:fldCharType="separate"/>
            </w:r>
            <w:r w:rsidR="003317BC">
              <w:rPr>
                <w:noProof/>
                <w:webHidden/>
              </w:rPr>
              <w:t>72</w:t>
            </w:r>
            <w:r>
              <w:rPr>
                <w:noProof/>
                <w:webHidden/>
              </w:rPr>
              <w:fldChar w:fldCharType="end"/>
            </w:r>
          </w:hyperlink>
        </w:p>
        <w:p w14:paraId="38B52982" w14:textId="706FA324" w:rsidR="003E3889" w:rsidRDefault="003E3889">
          <w:pPr>
            <w:pStyle w:val="TOC3"/>
            <w:tabs>
              <w:tab w:val="right" w:leader="dot" w:pos="9482"/>
            </w:tabs>
            <w:rPr>
              <w:rFonts w:eastAsiaTheme="minorEastAsia" w:cstheme="minorBidi"/>
              <w:noProof/>
              <w:sz w:val="24"/>
              <w:szCs w:val="24"/>
              <w:lang w:eastAsia="en-AU"/>
            </w:rPr>
          </w:pPr>
          <w:hyperlink w:anchor="_Toc191899452" w:history="1">
            <w:r w:rsidRPr="008311BB">
              <w:rPr>
                <w:rStyle w:val="Hyperlink"/>
                <w:noProof/>
              </w:rPr>
              <w:t>Centre for Pathogen Genomics</w:t>
            </w:r>
            <w:r>
              <w:rPr>
                <w:noProof/>
                <w:webHidden/>
              </w:rPr>
              <w:tab/>
            </w:r>
            <w:r>
              <w:rPr>
                <w:noProof/>
                <w:webHidden/>
              </w:rPr>
              <w:fldChar w:fldCharType="begin"/>
            </w:r>
            <w:r>
              <w:rPr>
                <w:noProof/>
                <w:webHidden/>
              </w:rPr>
              <w:instrText xml:space="preserve"> PAGEREF _Toc191899452 \h </w:instrText>
            </w:r>
            <w:r>
              <w:rPr>
                <w:noProof/>
                <w:webHidden/>
              </w:rPr>
            </w:r>
            <w:r>
              <w:rPr>
                <w:noProof/>
                <w:webHidden/>
              </w:rPr>
              <w:fldChar w:fldCharType="separate"/>
            </w:r>
            <w:r w:rsidR="003317BC">
              <w:rPr>
                <w:noProof/>
                <w:webHidden/>
              </w:rPr>
              <w:t>72</w:t>
            </w:r>
            <w:r>
              <w:rPr>
                <w:noProof/>
                <w:webHidden/>
              </w:rPr>
              <w:fldChar w:fldCharType="end"/>
            </w:r>
          </w:hyperlink>
        </w:p>
        <w:p w14:paraId="19063C51" w14:textId="7BB6C86B" w:rsidR="003E3889" w:rsidRDefault="003E3889">
          <w:pPr>
            <w:pStyle w:val="TOC3"/>
            <w:tabs>
              <w:tab w:val="right" w:leader="dot" w:pos="9482"/>
            </w:tabs>
            <w:rPr>
              <w:rFonts w:eastAsiaTheme="minorEastAsia" w:cstheme="minorBidi"/>
              <w:noProof/>
              <w:sz w:val="24"/>
              <w:szCs w:val="24"/>
              <w:lang w:eastAsia="en-AU"/>
            </w:rPr>
          </w:pPr>
          <w:hyperlink w:anchor="_Toc191899453" w:history="1">
            <w:r w:rsidRPr="008311BB">
              <w:rPr>
                <w:rStyle w:val="Hyperlink"/>
                <w:noProof/>
              </w:rPr>
              <w:t>United Kingdom</w:t>
            </w:r>
            <w:r>
              <w:rPr>
                <w:noProof/>
                <w:webHidden/>
              </w:rPr>
              <w:tab/>
            </w:r>
            <w:r>
              <w:rPr>
                <w:noProof/>
                <w:webHidden/>
              </w:rPr>
              <w:fldChar w:fldCharType="begin"/>
            </w:r>
            <w:r>
              <w:rPr>
                <w:noProof/>
                <w:webHidden/>
              </w:rPr>
              <w:instrText xml:space="preserve"> PAGEREF _Toc191899453 \h </w:instrText>
            </w:r>
            <w:r>
              <w:rPr>
                <w:noProof/>
                <w:webHidden/>
              </w:rPr>
            </w:r>
            <w:r>
              <w:rPr>
                <w:noProof/>
                <w:webHidden/>
              </w:rPr>
              <w:fldChar w:fldCharType="separate"/>
            </w:r>
            <w:r w:rsidR="003317BC">
              <w:rPr>
                <w:noProof/>
                <w:webHidden/>
              </w:rPr>
              <w:t>73</w:t>
            </w:r>
            <w:r>
              <w:rPr>
                <w:noProof/>
                <w:webHidden/>
              </w:rPr>
              <w:fldChar w:fldCharType="end"/>
            </w:r>
          </w:hyperlink>
        </w:p>
        <w:p w14:paraId="1F44ABF8" w14:textId="0DCFB23D" w:rsidR="003E3889" w:rsidRDefault="003E3889">
          <w:pPr>
            <w:pStyle w:val="TOC3"/>
            <w:tabs>
              <w:tab w:val="right" w:leader="dot" w:pos="9482"/>
            </w:tabs>
            <w:rPr>
              <w:rFonts w:eastAsiaTheme="minorEastAsia" w:cstheme="minorBidi"/>
              <w:noProof/>
              <w:sz w:val="24"/>
              <w:szCs w:val="24"/>
              <w:lang w:eastAsia="en-AU"/>
            </w:rPr>
          </w:pPr>
          <w:hyperlink w:anchor="_Toc191899454" w:history="1">
            <w:r w:rsidRPr="008311BB">
              <w:rPr>
                <w:rStyle w:val="Hyperlink"/>
                <w:noProof/>
              </w:rPr>
              <w:t>Canada</w:t>
            </w:r>
            <w:r>
              <w:rPr>
                <w:noProof/>
                <w:webHidden/>
              </w:rPr>
              <w:tab/>
            </w:r>
            <w:r>
              <w:rPr>
                <w:noProof/>
                <w:webHidden/>
              </w:rPr>
              <w:fldChar w:fldCharType="begin"/>
            </w:r>
            <w:r>
              <w:rPr>
                <w:noProof/>
                <w:webHidden/>
              </w:rPr>
              <w:instrText xml:space="preserve"> PAGEREF _Toc191899454 \h </w:instrText>
            </w:r>
            <w:r>
              <w:rPr>
                <w:noProof/>
                <w:webHidden/>
              </w:rPr>
            </w:r>
            <w:r>
              <w:rPr>
                <w:noProof/>
                <w:webHidden/>
              </w:rPr>
              <w:fldChar w:fldCharType="separate"/>
            </w:r>
            <w:r w:rsidR="003317BC">
              <w:rPr>
                <w:noProof/>
                <w:webHidden/>
              </w:rPr>
              <w:t>75</w:t>
            </w:r>
            <w:r>
              <w:rPr>
                <w:noProof/>
                <w:webHidden/>
              </w:rPr>
              <w:fldChar w:fldCharType="end"/>
            </w:r>
          </w:hyperlink>
        </w:p>
        <w:p w14:paraId="288619F1" w14:textId="2EA02330" w:rsidR="003E3889" w:rsidRDefault="003E3889">
          <w:pPr>
            <w:pStyle w:val="TOC3"/>
            <w:tabs>
              <w:tab w:val="right" w:leader="dot" w:pos="9482"/>
            </w:tabs>
            <w:rPr>
              <w:rFonts w:eastAsiaTheme="minorEastAsia" w:cstheme="minorBidi"/>
              <w:noProof/>
              <w:sz w:val="24"/>
              <w:szCs w:val="24"/>
              <w:lang w:eastAsia="en-AU"/>
            </w:rPr>
          </w:pPr>
          <w:hyperlink w:anchor="_Toc191899455" w:history="1">
            <w:r w:rsidRPr="008311BB">
              <w:rPr>
                <w:rStyle w:val="Hyperlink"/>
                <w:noProof/>
              </w:rPr>
              <w:t>United States</w:t>
            </w:r>
            <w:r>
              <w:rPr>
                <w:noProof/>
                <w:webHidden/>
              </w:rPr>
              <w:tab/>
            </w:r>
            <w:r>
              <w:rPr>
                <w:noProof/>
                <w:webHidden/>
              </w:rPr>
              <w:fldChar w:fldCharType="begin"/>
            </w:r>
            <w:r>
              <w:rPr>
                <w:noProof/>
                <w:webHidden/>
              </w:rPr>
              <w:instrText xml:space="preserve"> PAGEREF _Toc191899455 \h </w:instrText>
            </w:r>
            <w:r>
              <w:rPr>
                <w:noProof/>
                <w:webHidden/>
              </w:rPr>
            </w:r>
            <w:r>
              <w:rPr>
                <w:noProof/>
                <w:webHidden/>
              </w:rPr>
              <w:fldChar w:fldCharType="separate"/>
            </w:r>
            <w:r w:rsidR="003317BC">
              <w:rPr>
                <w:noProof/>
                <w:webHidden/>
              </w:rPr>
              <w:t>75</w:t>
            </w:r>
            <w:r>
              <w:rPr>
                <w:noProof/>
                <w:webHidden/>
              </w:rPr>
              <w:fldChar w:fldCharType="end"/>
            </w:r>
          </w:hyperlink>
        </w:p>
        <w:p w14:paraId="3B9E0C04" w14:textId="5A8BD262" w:rsidR="003E3889" w:rsidRDefault="003E3889">
          <w:pPr>
            <w:pStyle w:val="TOC3"/>
            <w:tabs>
              <w:tab w:val="right" w:leader="dot" w:pos="9482"/>
            </w:tabs>
            <w:rPr>
              <w:rFonts w:eastAsiaTheme="minorEastAsia" w:cstheme="minorBidi"/>
              <w:noProof/>
              <w:sz w:val="24"/>
              <w:szCs w:val="24"/>
              <w:lang w:eastAsia="en-AU"/>
            </w:rPr>
          </w:pPr>
          <w:hyperlink w:anchor="_Toc191899456" w:history="1">
            <w:r w:rsidRPr="008311BB">
              <w:rPr>
                <w:rStyle w:val="Hyperlink"/>
                <w:noProof/>
              </w:rPr>
              <w:t>Singapore</w:t>
            </w:r>
            <w:r>
              <w:rPr>
                <w:noProof/>
                <w:webHidden/>
              </w:rPr>
              <w:tab/>
            </w:r>
            <w:r>
              <w:rPr>
                <w:noProof/>
                <w:webHidden/>
              </w:rPr>
              <w:fldChar w:fldCharType="begin"/>
            </w:r>
            <w:r>
              <w:rPr>
                <w:noProof/>
                <w:webHidden/>
              </w:rPr>
              <w:instrText xml:space="preserve"> PAGEREF _Toc191899456 \h </w:instrText>
            </w:r>
            <w:r>
              <w:rPr>
                <w:noProof/>
                <w:webHidden/>
              </w:rPr>
            </w:r>
            <w:r>
              <w:rPr>
                <w:noProof/>
                <w:webHidden/>
              </w:rPr>
              <w:fldChar w:fldCharType="separate"/>
            </w:r>
            <w:r w:rsidR="003317BC">
              <w:rPr>
                <w:noProof/>
                <w:webHidden/>
              </w:rPr>
              <w:t>76</w:t>
            </w:r>
            <w:r>
              <w:rPr>
                <w:noProof/>
                <w:webHidden/>
              </w:rPr>
              <w:fldChar w:fldCharType="end"/>
            </w:r>
          </w:hyperlink>
        </w:p>
        <w:p w14:paraId="62B154D8" w14:textId="393FCAA6" w:rsidR="00F40769" w:rsidRPr="00F40769" w:rsidRDefault="007109F7" w:rsidP="00F40769">
          <w:pPr>
            <w:rPr>
              <w:b/>
              <w:bCs/>
              <w:noProof/>
            </w:rPr>
          </w:pPr>
          <w:r>
            <w:rPr>
              <w:rFonts w:asciiTheme="minorHAnsi" w:hAnsiTheme="minorHAnsi" w:cstheme="minorHAnsi"/>
              <w:b/>
              <w:bCs/>
            </w:rPr>
            <w:fldChar w:fldCharType="end"/>
          </w:r>
        </w:p>
      </w:sdtContent>
    </w:sdt>
    <w:p w14:paraId="07344129" w14:textId="77777777" w:rsidR="00134956" w:rsidRPr="009814D7" w:rsidRDefault="00134956" w:rsidP="00134956">
      <w:pPr>
        <w:pStyle w:val="Heading1"/>
      </w:pPr>
      <w:bookmarkStart w:id="3" w:name="_Toc966287038"/>
      <w:bookmarkStart w:id="4" w:name="_Toc1105666892"/>
      <w:bookmarkStart w:id="5" w:name="_Toc191899392"/>
      <w:r>
        <w:lastRenderedPageBreak/>
        <w:t>Glossary of key technical terms</w:t>
      </w:r>
      <w:bookmarkEnd w:id="3"/>
      <w:bookmarkEnd w:id="4"/>
      <w:bookmarkEnd w:id="5"/>
    </w:p>
    <w:p w14:paraId="054E13B8" w14:textId="63DCE973" w:rsidR="003F5476" w:rsidRPr="00FA60E1" w:rsidRDefault="00F56970" w:rsidP="00F56970">
      <w:pPr>
        <w:spacing w:line="240" w:lineRule="auto"/>
      </w:pPr>
      <w:r>
        <w:t>For the purposes of the National Microbial Genomics Framework for Public Health 202</w:t>
      </w:r>
      <w:r w:rsidR="505E73A7">
        <w:t>5</w:t>
      </w:r>
      <w:r>
        <w:t>-202</w:t>
      </w:r>
      <w:r w:rsidR="6344C226">
        <w:t>7</w:t>
      </w:r>
      <w:r>
        <w:t>, key terms are defined as follows.</w:t>
      </w:r>
    </w:p>
    <w:tbl>
      <w:tblPr>
        <w:tblStyle w:val="TableGrid"/>
        <w:tblW w:w="0" w:type="auto"/>
        <w:tblInd w:w="108" w:type="dxa"/>
        <w:tblBorders>
          <w:top w:val="none" w:sz="0" w:space="0" w:color="auto"/>
          <w:bottom w:val="none" w:sz="0" w:space="0" w:color="auto"/>
          <w:insideH w:val="none" w:sz="0" w:space="0" w:color="auto"/>
        </w:tblBorders>
        <w:tblLook w:val="04A0" w:firstRow="1" w:lastRow="0" w:firstColumn="1" w:lastColumn="0" w:noHBand="0" w:noVBand="1"/>
        <w:tblDescription w:val="Glossary of key technical terms to be read left to right, top to bottom"/>
      </w:tblPr>
      <w:tblGrid>
        <w:gridCol w:w="2727"/>
        <w:gridCol w:w="6204"/>
      </w:tblGrid>
      <w:tr w:rsidR="00F56970" w:rsidRPr="0053406C" w14:paraId="2FCAD92C" w14:textId="77777777" w:rsidTr="006C7957">
        <w:trPr>
          <w:cnfStyle w:val="100000000000" w:firstRow="1" w:lastRow="0" w:firstColumn="0" w:lastColumn="0" w:oddVBand="0" w:evenVBand="0" w:oddHBand="0" w:evenHBand="0" w:firstRowFirstColumn="0" w:firstRowLastColumn="0" w:lastRowFirstColumn="0" w:lastRowLastColumn="0"/>
        </w:trPr>
        <w:tc>
          <w:tcPr>
            <w:tcW w:w="2727" w:type="dxa"/>
            <w:shd w:val="clear" w:color="auto" w:fill="auto"/>
          </w:tcPr>
          <w:p w14:paraId="06BEEF93" w14:textId="77777777" w:rsidR="00F56970" w:rsidRPr="0053406C" w:rsidRDefault="00F56970">
            <w:pPr>
              <w:spacing w:line="240" w:lineRule="auto"/>
              <w:rPr>
                <w:rFonts w:cs="Arial"/>
                <w:b/>
                <w:sz w:val="24"/>
                <w:szCs w:val="24"/>
              </w:rPr>
            </w:pPr>
            <w:r w:rsidRPr="0053406C">
              <w:rPr>
                <w:rFonts w:cs="Arial"/>
                <w:b/>
                <w:sz w:val="24"/>
                <w:szCs w:val="24"/>
              </w:rPr>
              <w:t>Term</w:t>
            </w:r>
          </w:p>
        </w:tc>
        <w:tc>
          <w:tcPr>
            <w:tcW w:w="6204" w:type="dxa"/>
            <w:shd w:val="clear" w:color="auto" w:fill="auto"/>
          </w:tcPr>
          <w:p w14:paraId="65F980B0" w14:textId="77777777" w:rsidR="00F56970" w:rsidRPr="0053406C" w:rsidRDefault="00F56970">
            <w:pPr>
              <w:spacing w:line="240" w:lineRule="auto"/>
              <w:rPr>
                <w:rFonts w:cs="Arial"/>
                <w:b/>
                <w:sz w:val="24"/>
                <w:szCs w:val="24"/>
              </w:rPr>
            </w:pPr>
            <w:r w:rsidRPr="0053406C">
              <w:rPr>
                <w:rFonts w:cs="Arial"/>
                <w:b/>
                <w:sz w:val="24"/>
                <w:szCs w:val="24"/>
              </w:rPr>
              <w:t>Definition</w:t>
            </w:r>
          </w:p>
        </w:tc>
      </w:tr>
      <w:tr w:rsidR="00F56970" w:rsidRPr="0053406C" w14:paraId="7F329971" w14:textId="77777777" w:rsidTr="006C7957">
        <w:trPr>
          <w:cnfStyle w:val="000000100000" w:firstRow="0" w:lastRow="0" w:firstColumn="0" w:lastColumn="0" w:oddVBand="0" w:evenVBand="0" w:oddHBand="1" w:evenHBand="0" w:firstRowFirstColumn="0" w:firstRowLastColumn="0" w:lastRowFirstColumn="0" w:lastRowLastColumn="0"/>
        </w:trPr>
        <w:tc>
          <w:tcPr>
            <w:tcW w:w="2727" w:type="dxa"/>
          </w:tcPr>
          <w:p w14:paraId="13FA42C8" w14:textId="77777777" w:rsidR="00F56970" w:rsidRPr="0053406C" w:rsidRDefault="00F56970">
            <w:pPr>
              <w:spacing w:line="240" w:lineRule="auto"/>
              <w:rPr>
                <w:rFonts w:cs="Arial"/>
                <w:sz w:val="24"/>
                <w:szCs w:val="24"/>
              </w:rPr>
            </w:pPr>
            <w:r w:rsidRPr="0053406C">
              <w:rPr>
                <w:rFonts w:cs="Arial"/>
                <w:sz w:val="24"/>
                <w:szCs w:val="24"/>
              </w:rPr>
              <w:t xml:space="preserve">Bioinformatics </w:t>
            </w:r>
          </w:p>
        </w:tc>
        <w:tc>
          <w:tcPr>
            <w:tcW w:w="6204" w:type="dxa"/>
          </w:tcPr>
          <w:p w14:paraId="02E0A550" w14:textId="77777777" w:rsidR="00F56970" w:rsidRPr="0053406C" w:rsidRDefault="00F56970">
            <w:pPr>
              <w:spacing w:line="240" w:lineRule="auto"/>
              <w:rPr>
                <w:rFonts w:cs="Arial"/>
                <w:b/>
                <w:sz w:val="24"/>
                <w:szCs w:val="24"/>
              </w:rPr>
            </w:pPr>
            <w:r w:rsidRPr="0053406C">
              <w:rPr>
                <w:rFonts w:cs="Arial"/>
                <w:sz w:val="24"/>
                <w:szCs w:val="24"/>
              </w:rPr>
              <w:t>The use of algorithms and software to analyse sequencing data.</w:t>
            </w:r>
          </w:p>
        </w:tc>
      </w:tr>
      <w:tr w:rsidR="00F56970" w:rsidRPr="0053406C" w14:paraId="1C5FB591" w14:textId="77777777" w:rsidTr="006C7957">
        <w:tc>
          <w:tcPr>
            <w:tcW w:w="2727" w:type="dxa"/>
          </w:tcPr>
          <w:p w14:paraId="53358AC6" w14:textId="77777777" w:rsidR="00F56970" w:rsidRPr="0053406C" w:rsidRDefault="00F56970">
            <w:pPr>
              <w:spacing w:line="240" w:lineRule="auto"/>
              <w:rPr>
                <w:rFonts w:cs="Arial"/>
                <w:sz w:val="24"/>
                <w:szCs w:val="24"/>
              </w:rPr>
            </w:pPr>
            <w:r w:rsidRPr="0053406C">
              <w:rPr>
                <w:rFonts w:cs="Arial"/>
                <w:sz w:val="24"/>
                <w:szCs w:val="24"/>
              </w:rPr>
              <w:t xml:space="preserve">DNA </w:t>
            </w:r>
          </w:p>
        </w:tc>
        <w:tc>
          <w:tcPr>
            <w:tcW w:w="6204" w:type="dxa"/>
          </w:tcPr>
          <w:p w14:paraId="4819AF1D" w14:textId="77777777" w:rsidR="00F56970" w:rsidRPr="0053406C" w:rsidRDefault="00F56970">
            <w:pPr>
              <w:spacing w:line="240" w:lineRule="auto"/>
              <w:rPr>
                <w:rFonts w:cs="Arial"/>
                <w:b/>
                <w:sz w:val="24"/>
                <w:szCs w:val="24"/>
              </w:rPr>
            </w:pPr>
            <w:r w:rsidRPr="0053406C">
              <w:rPr>
                <w:rFonts w:cs="Arial"/>
                <w:sz w:val="24"/>
                <w:szCs w:val="24"/>
              </w:rPr>
              <w:t>Deoxyribonucleic acid — material which is present in nearly all living organisms as the main constituent of genomes. It is the carrier of genetic information.</w:t>
            </w:r>
          </w:p>
        </w:tc>
      </w:tr>
      <w:tr w:rsidR="00F56970" w:rsidRPr="0053406C" w14:paraId="2C78FBB1" w14:textId="77777777" w:rsidTr="006C7957">
        <w:trPr>
          <w:cnfStyle w:val="000000100000" w:firstRow="0" w:lastRow="0" w:firstColumn="0" w:lastColumn="0" w:oddVBand="0" w:evenVBand="0" w:oddHBand="1" w:evenHBand="0" w:firstRowFirstColumn="0" w:firstRowLastColumn="0" w:lastRowFirstColumn="0" w:lastRowLastColumn="0"/>
        </w:trPr>
        <w:tc>
          <w:tcPr>
            <w:tcW w:w="2727" w:type="dxa"/>
          </w:tcPr>
          <w:p w14:paraId="1EC540D6" w14:textId="77777777" w:rsidR="00F56970" w:rsidRPr="0053406C" w:rsidRDefault="00F56970">
            <w:pPr>
              <w:spacing w:line="240" w:lineRule="auto"/>
              <w:rPr>
                <w:rFonts w:cs="Arial"/>
                <w:sz w:val="24"/>
                <w:szCs w:val="24"/>
              </w:rPr>
            </w:pPr>
            <w:r w:rsidRPr="0053406C">
              <w:rPr>
                <w:rFonts w:cs="Arial"/>
                <w:sz w:val="24"/>
                <w:szCs w:val="24"/>
              </w:rPr>
              <w:t xml:space="preserve">Efficiency </w:t>
            </w:r>
          </w:p>
        </w:tc>
        <w:tc>
          <w:tcPr>
            <w:tcW w:w="6204" w:type="dxa"/>
          </w:tcPr>
          <w:p w14:paraId="10551E52" w14:textId="77777777" w:rsidR="00F56970" w:rsidRPr="0053406C" w:rsidRDefault="00F56970">
            <w:pPr>
              <w:spacing w:line="240" w:lineRule="auto"/>
              <w:rPr>
                <w:rFonts w:cs="Arial"/>
                <w:b/>
                <w:sz w:val="24"/>
                <w:szCs w:val="24"/>
              </w:rPr>
            </w:pPr>
            <w:r w:rsidRPr="0053406C">
              <w:rPr>
                <w:rFonts w:cs="Arial"/>
                <w:sz w:val="24"/>
                <w:szCs w:val="24"/>
              </w:rPr>
              <w:t>A measure of whether health care resources are being used to get the best value for money. Includes technical, productive, and allocative efficiency.</w:t>
            </w:r>
          </w:p>
        </w:tc>
      </w:tr>
      <w:tr w:rsidR="00F56970" w:rsidRPr="0053406C" w14:paraId="5A50EE07" w14:textId="77777777" w:rsidTr="006C7957">
        <w:tc>
          <w:tcPr>
            <w:tcW w:w="2727" w:type="dxa"/>
          </w:tcPr>
          <w:p w14:paraId="385C8F37" w14:textId="77777777" w:rsidR="00F56970" w:rsidRPr="0053406C" w:rsidRDefault="00F56970">
            <w:pPr>
              <w:spacing w:line="240" w:lineRule="auto"/>
              <w:rPr>
                <w:rFonts w:cs="Arial"/>
                <w:sz w:val="24"/>
                <w:szCs w:val="24"/>
              </w:rPr>
            </w:pPr>
            <w:r w:rsidRPr="0053406C">
              <w:rPr>
                <w:rFonts w:cs="Arial"/>
                <w:sz w:val="24"/>
                <w:szCs w:val="24"/>
              </w:rPr>
              <w:t xml:space="preserve">Gene </w:t>
            </w:r>
          </w:p>
        </w:tc>
        <w:tc>
          <w:tcPr>
            <w:tcW w:w="6204" w:type="dxa"/>
          </w:tcPr>
          <w:p w14:paraId="51EF099F" w14:textId="77777777" w:rsidR="00F56970" w:rsidRPr="0053406C" w:rsidRDefault="00F56970">
            <w:pPr>
              <w:spacing w:line="240" w:lineRule="auto"/>
              <w:rPr>
                <w:rFonts w:cs="Arial"/>
                <w:b/>
                <w:sz w:val="24"/>
                <w:szCs w:val="24"/>
              </w:rPr>
            </w:pPr>
            <w:r w:rsidRPr="0053406C">
              <w:rPr>
                <w:rFonts w:cs="Arial"/>
                <w:sz w:val="24"/>
                <w:szCs w:val="24"/>
              </w:rPr>
              <w:t>The basic physical and functional unit of heredity. Genes, which are made up of DNA, act as instructions to make molecules called proteins.</w:t>
            </w:r>
          </w:p>
        </w:tc>
      </w:tr>
      <w:tr w:rsidR="00F56970" w:rsidRPr="0053406C" w14:paraId="3B092C3D" w14:textId="77777777" w:rsidTr="006C7957">
        <w:trPr>
          <w:cnfStyle w:val="000000100000" w:firstRow="0" w:lastRow="0" w:firstColumn="0" w:lastColumn="0" w:oddVBand="0" w:evenVBand="0" w:oddHBand="1" w:evenHBand="0" w:firstRowFirstColumn="0" w:firstRowLastColumn="0" w:lastRowFirstColumn="0" w:lastRowLastColumn="0"/>
        </w:trPr>
        <w:tc>
          <w:tcPr>
            <w:tcW w:w="2727" w:type="dxa"/>
          </w:tcPr>
          <w:p w14:paraId="6DC87781" w14:textId="77777777" w:rsidR="00F56970" w:rsidRPr="0053406C" w:rsidRDefault="00F56970">
            <w:pPr>
              <w:spacing w:line="240" w:lineRule="auto"/>
              <w:rPr>
                <w:rFonts w:cs="Arial"/>
                <w:sz w:val="24"/>
                <w:szCs w:val="24"/>
              </w:rPr>
            </w:pPr>
            <w:r w:rsidRPr="0053406C">
              <w:rPr>
                <w:rFonts w:cs="Arial"/>
                <w:sz w:val="24"/>
                <w:szCs w:val="24"/>
              </w:rPr>
              <w:t xml:space="preserve">Genome </w:t>
            </w:r>
          </w:p>
        </w:tc>
        <w:tc>
          <w:tcPr>
            <w:tcW w:w="6204" w:type="dxa"/>
          </w:tcPr>
          <w:p w14:paraId="3E9D7E75" w14:textId="77777777" w:rsidR="00F56970" w:rsidRPr="0053406C" w:rsidRDefault="00F56970">
            <w:pPr>
              <w:spacing w:line="240" w:lineRule="auto"/>
              <w:rPr>
                <w:rFonts w:cs="Arial"/>
                <w:b/>
                <w:sz w:val="24"/>
                <w:szCs w:val="24"/>
              </w:rPr>
            </w:pPr>
            <w:r w:rsidRPr="0053406C">
              <w:rPr>
                <w:rFonts w:cs="Arial"/>
                <w:sz w:val="24"/>
                <w:szCs w:val="24"/>
              </w:rPr>
              <w:t>The complete set of genetic information in an organism.</w:t>
            </w:r>
          </w:p>
        </w:tc>
      </w:tr>
      <w:tr w:rsidR="00F56970" w:rsidRPr="0053406C" w14:paraId="30E80FDD" w14:textId="77777777" w:rsidTr="006C7957">
        <w:tc>
          <w:tcPr>
            <w:tcW w:w="2727" w:type="dxa"/>
          </w:tcPr>
          <w:p w14:paraId="69F302EA" w14:textId="77777777" w:rsidR="00F56970" w:rsidRPr="0053406C" w:rsidRDefault="00F56970">
            <w:pPr>
              <w:spacing w:line="240" w:lineRule="auto"/>
              <w:rPr>
                <w:rFonts w:cs="Arial"/>
                <w:sz w:val="24"/>
                <w:szCs w:val="24"/>
              </w:rPr>
            </w:pPr>
            <w:r w:rsidRPr="0053406C">
              <w:rPr>
                <w:rFonts w:cs="Arial"/>
                <w:sz w:val="24"/>
                <w:szCs w:val="24"/>
              </w:rPr>
              <w:t xml:space="preserve">Genomics </w:t>
            </w:r>
          </w:p>
        </w:tc>
        <w:tc>
          <w:tcPr>
            <w:tcW w:w="6204" w:type="dxa"/>
          </w:tcPr>
          <w:p w14:paraId="2AC3B449" w14:textId="12F87227" w:rsidR="00F56970" w:rsidRPr="0053406C" w:rsidRDefault="00F56970">
            <w:pPr>
              <w:spacing w:line="240" w:lineRule="auto"/>
              <w:rPr>
                <w:rFonts w:cs="Arial"/>
                <w:b/>
                <w:sz w:val="24"/>
                <w:szCs w:val="24"/>
              </w:rPr>
            </w:pPr>
            <w:r w:rsidRPr="0053406C">
              <w:rPr>
                <w:rFonts w:cs="Arial"/>
                <w:sz w:val="24"/>
                <w:szCs w:val="24"/>
              </w:rPr>
              <w:t xml:space="preserve">The application of genome-based knowledge through the study of genes and other genetic information, their functions, and </w:t>
            </w:r>
            <w:r w:rsidR="3CE2D3AE" w:rsidRPr="16D74527">
              <w:rPr>
                <w:rFonts w:cs="Arial"/>
                <w:sz w:val="24"/>
                <w:szCs w:val="24"/>
              </w:rPr>
              <w:t xml:space="preserve">its </w:t>
            </w:r>
            <w:r w:rsidRPr="0053406C">
              <w:rPr>
                <w:rFonts w:cs="Arial"/>
                <w:sz w:val="24"/>
                <w:szCs w:val="24"/>
              </w:rPr>
              <w:t>interrelationships for the benefit of human health.</w:t>
            </w:r>
          </w:p>
        </w:tc>
      </w:tr>
      <w:tr w:rsidR="00F56970" w:rsidRPr="0053406C" w14:paraId="766E80DE" w14:textId="77777777" w:rsidTr="006C7957">
        <w:trPr>
          <w:cnfStyle w:val="000000100000" w:firstRow="0" w:lastRow="0" w:firstColumn="0" w:lastColumn="0" w:oddVBand="0" w:evenVBand="0" w:oddHBand="1" w:evenHBand="0" w:firstRowFirstColumn="0" w:firstRowLastColumn="0" w:lastRowFirstColumn="0" w:lastRowLastColumn="0"/>
        </w:trPr>
        <w:tc>
          <w:tcPr>
            <w:tcW w:w="2727" w:type="dxa"/>
          </w:tcPr>
          <w:p w14:paraId="51B565BB" w14:textId="77777777" w:rsidR="00F56970" w:rsidRPr="0053406C" w:rsidRDefault="00F56970">
            <w:pPr>
              <w:spacing w:line="240" w:lineRule="auto"/>
              <w:rPr>
                <w:rFonts w:cs="Arial"/>
                <w:sz w:val="24"/>
                <w:szCs w:val="24"/>
              </w:rPr>
            </w:pPr>
            <w:r w:rsidRPr="0053406C">
              <w:rPr>
                <w:rFonts w:cs="Arial"/>
                <w:sz w:val="24"/>
                <w:szCs w:val="24"/>
              </w:rPr>
              <w:t xml:space="preserve">Genomic data </w:t>
            </w:r>
          </w:p>
        </w:tc>
        <w:tc>
          <w:tcPr>
            <w:tcW w:w="6204" w:type="dxa"/>
          </w:tcPr>
          <w:p w14:paraId="370C859C" w14:textId="77777777" w:rsidR="00F56970" w:rsidRPr="0053406C" w:rsidRDefault="00F56970">
            <w:pPr>
              <w:spacing w:line="240" w:lineRule="auto"/>
              <w:rPr>
                <w:rFonts w:cs="Arial"/>
                <w:b/>
                <w:sz w:val="24"/>
                <w:szCs w:val="24"/>
              </w:rPr>
            </w:pPr>
            <w:r w:rsidRPr="0053406C">
              <w:rPr>
                <w:rFonts w:cs="Arial"/>
                <w:sz w:val="24"/>
                <w:szCs w:val="24"/>
              </w:rPr>
              <w:t>Refers to data produced from nucleic acid sequencing of a genome.</w:t>
            </w:r>
          </w:p>
        </w:tc>
      </w:tr>
      <w:tr w:rsidR="00F56970" w:rsidRPr="0053406C" w14:paraId="4FF8D05E" w14:textId="77777777" w:rsidTr="006C7957">
        <w:tc>
          <w:tcPr>
            <w:tcW w:w="2727" w:type="dxa"/>
          </w:tcPr>
          <w:p w14:paraId="0852C4A1" w14:textId="77777777" w:rsidR="00F56970" w:rsidRPr="0053406C" w:rsidRDefault="00F56970">
            <w:pPr>
              <w:spacing w:line="240" w:lineRule="auto"/>
              <w:rPr>
                <w:rFonts w:cs="Arial"/>
                <w:sz w:val="24"/>
                <w:szCs w:val="24"/>
              </w:rPr>
            </w:pPr>
            <w:r w:rsidRPr="0053406C">
              <w:rPr>
                <w:rFonts w:cs="Arial"/>
                <w:sz w:val="24"/>
                <w:szCs w:val="24"/>
              </w:rPr>
              <w:t xml:space="preserve">Genomic services </w:t>
            </w:r>
          </w:p>
        </w:tc>
        <w:tc>
          <w:tcPr>
            <w:tcW w:w="6204" w:type="dxa"/>
          </w:tcPr>
          <w:p w14:paraId="6A4E1141" w14:textId="77777777" w:rsidR="00F56970" w:rsidRPr="0053406C" w:rsidRDefault="00F56970">
            <w:pPr>
              <w:spacing w:line="240" w:lineRule="auto"/>
              <w:rPr>
                <w:rFonts w:cs="Arial"/>
                <w:sz w:val="24"/>
                <w:szCs w:val="24"/>
              </w:rPr>
            </w:pPr>
            <w:r w:rsidRPr="0053406C">
              <w:rPr>
                <w:rFonts w:cs="Arial"/>
                <w:sz w:val="24"/>
                <w:szCs w:val="24"/>
              </w:rPr>
              <w:t>Genome sequencing and analysis available for research, screening, diagnostic purposes, and treatment decision-making.</w:t>
            </w:r>
          </w:p>
        </w:tc>
      </w:tr>
      <w:tr w:rsidR="00F56970" w:rsidRPr="0053406C" w14:paraId="2785821C" w14:textId="77777777" w:rsidTr="006C7957">
        <w:trPr>
          <w:cnfStyle w:val="000000100000" w:firstRow="0" w:lastRow="0" w:firstColumn="0" w:lastColumn="0" w:oddVBand="0" w:evenVBand="0" w:oddHBand="1" w:evenHBand="0" w:firstRowFirstColumn="0" w:firstRowLastColumn="0" w:lastRowFirstColumn="0" w:lastRowLastColumn="0"/>
        </w:trPr>
        <w:tc>
          <w:tcPr>
            <w:tcW w:w="2727" w:type="dxa"/>
          </w:tcPr>
          <w:p w14:paraId="175E7341" w14:textId="77777777" w:rsidR="00F56970" w:rsidRPr="0053406C" w:rsidRDefault="00F56970">
            <w:pPr>
              <w:spacing w:line="240" w:lineRule="auto"/>
              <w:rPr>
                <w:rFonts w:cs="Arial"/>
                <w:sz w:val="24"/>
                <w:szCs w:val="24"/>
              </w:rPr>
            </w:pPr>
            <w:r w:rsidRPr="0053406C">
              <w:rPr>
                <w:rFonts w:cs="Arial"/>
                <w:sz w:val="24"/>
                <w:szCs w:val="24"/>
              </w:rPr>
              <w:lastRenderedPageBreak/>
              <w:t>Genomic surveillance</w:t>
            </w:r>
          </w:p>
        </w:tc>
        <w:tc>
          <w:tcPr>
            <w:tcW w:w="6204" w:type="dxa"/>
          </w:tcPr>
          <w:p w14:paraId="1D783492" w14:textId="18BDA59B" w:rsidR="00F56970" w:rsidRPr="0053406C" w:rsidRDefault="00F56970">
            <w:pPr>
              <w:spacing w:line="240" w:lineRule="auto"/>
              <w:rPr>
                <w:rFonts w:cs="Arial"/>
                <w:sz w:val="24"/>
                <w:szCs w:val="24"/>
              </w:rPr>
            </w:pPr>
            <w:r w:rsidRPr="0053406C">
              <w:rPr>
                <w:rFonts w:cs="Arial"/>
                <w:sz w:val="24"/>
                <w:szCs w:val="24"/>
              </w:rPr>
              <w:t xml:space="preserve">Involves the use of genomic data to monitor pathogen variants, evolution, transmission, and dissemination, including </w:t>
            </w:r>
            <w:r w:rsidR="7EC258FE" w:rsidRPr="16D74527">
              <w:rPr>
                <w:rFonts w:cs="Arial"/>
                <w:sz w:val="24"/>
                <w:szCs w:val="24"/>
              </w:rPr>
              <w:t xml:space="preserve">the </w:t>
            </w:r>
            <w:r w:rsidRPr="0053406C">
              <w:rPr>
                <w:rFonts w:cs="Arial"/>
                <w:sz w:val="24"/>
                <w:szCs w:val="24"/>
              </w:rPr>
              <w:t>distribution and evolution of antimicrobial resistance determinants and lineages. This type of surveillance involves applying the principles of evolutionary biology to determine the relatedness of pathogens.</w:t>
            </w:r>
          </w:p>
        </w:tc>
      </w:tr>
      <w:tr w:rsidR="00F56970" w:rsidRPr="0053406C" w14:paraId="35EA4264" w14:textId="77777777" w:rsidTr="006C7957">
        <w:tc>
          <w:tcPr>
            <w:tcW w:w="2727" w:type="dxa"/>
          </w:tcPr>
          <w:p w14:paraId="1AB47DB3" w14:textId="7C43C551" w:rsidR="00F56970" w:rsidRPr="0053406C" w:rsidRDefault="00F56970" w:rsidP="00E42A76">
            <w:pPr>
              <w:spacing w:line="240" w:lineRule="auto"/>
              <w:rPr>
                <w:rFonts w:cs="Arial"/>
                <w:sz w:val="24"/>
                <w:szCs w:val="24"/>
              </w:rPr>
            </w:pPr>
            <w:r w:rsidRPr="0053406C">
              <w:rPr>
                <w:rFonts w:cs="Arial"/>
                <w:sz w:val="24"/>
                <w:szCs w:val="24"/>
              </w:rPr>
              <w:t xml:space="preserve">Governance </w:t>
            </w:r>
          </w:p>
        </w:tc>
        <w:tc>
          <w:tcPr>
            <w:tcW w:w="6204" w:type="dxa"/>
          </w:tcPr>
          <w:p w14:paraId="50BB20E8" w14:textId="0A731F94" w:rsidR="00F56970" w:rsidRPr="0053406C" w:rsidRDefault="00F56970" w:rsidP="00E42A76">
            <w:pPr>
              <w:spacing w:line="240" w:lineRule="auto"/>
              <w:rPr>
                <w:rFonts w:cs="Arial"/>
                <w:sz w:val="24"/>
                <w:szCs w:val="24"/>
              </w:rPr>
            </w:pPr>
            <w:r w:rsidRPr="0053406C">
              <w:rPr>
                <w:rFonts w:cs="Arial"/>
                <w:sz w:val="24"/>
                <w:szCs w:val="24"/>
              </w:rPr>
              <w:t>The structures and processes by which the health system is regulated, directed, and controlled. It includes the obligations of stewardship—ensuring that the system is well sustained for the future as well as serving the needs of the present.</w:t>
            </w:r>
          </w:p>
        </w:tc>
      </w:tr>
      <w:tr w:rsidR="00E42A76" w:rsidRPr="0053406C" w14:paraId="0E40A250" w14:textId="77777777" w:rsidTr="006C7957">
        <w:trPr>
          <w:cnfStyle w:val="000000100000" w:firstRow="0" w:lastRow="0" w:firstColumn="0" w:lastColumn="0" w:oddVBand="0" w:evenVBand="0" w:oddHBand="1" w:evenHBand="0" w:firstRowFirstColumn="0" w:firstRowLastColumn="0" w:lastRowFirstColumn="0" w:lastRowLastColumn="0"/>
        </w:trPr>
        <w:tc>
          <w:tcPr>
            <w:tcW w:w="2727" w:type="dxa"/>
          </w:tcPr>
          <w:p w14:paraId="0301A9F8" w14:textId="6520FEBC" w:rsidR="00E42A76" w:rsidRPr="0053406C" w:rsidRDefault="00E42A76">
            <w:pPr>
              <w:spacing w:line="240" w:lineRule="auto"/>
              <w:rPr>
                <w:rFonts w:cs="Arial"/>
              </w:rPr>
            </w:pPr>
            <w:r w:rsidRPr="0053406C">
              <w:rPr>
                <w:rFonts w:cs="Arial"/>
                <w:sz w:val="24"/>
                <w:szCs w:val="24"/>
              </w:rPr>
              <w:t>Lineage</w:t>
            </w:r>
          </w:p>
        </w:tc>
        <w:tc>
          <w:tcPr>
            <w:tcW w:w="6204" w:type="dxa"/>
          </w:tcPr>
          <w:p w14:paraId="71E2360E" w14:textId="648602E7" w:rsidR="00E42A76" w:rsidRPr="0053406C" w:rsidRDefault="00E42A76" w:rsidP="00E42A76">
            <w:pPr>
              <w:spacing w:line="240" w:lineRule="auto"/>
              <w:rPr>
                <w:rFonts w:cs="Arial"/>
              </w:rPr>
            </w:pPr>
            <w:r w:rsidRPr="0053406C">
              <w:rPr>
                <w:rFonts w:cs="Arial"/>
                <w:sz w:val="24"/>
                <w:szCs w:val="24"/>
              </w:rPr>
              <w:t>A group of closely related organisms, such as viruses, with a common ancestor (within the same species).</w:t>
            </w:r>
          </w:p>
        </w:tc>
      </w:tr>
      <w:tr w:rsidR="00F56970" w:rsidRPr="0053406C" w14:paraId="47D385EA" w14:textId="77777777" w:rsidTr="006C7957">
        <w:tc>
          <w:tcPr>
            <w:tcW w:w="2727" w:type="dxa"/>
          </w:tcPr>
          <w:p w14:paraId="7701D58F" w14:textId="77777777" w:rsidR="00F56970" w:rsidRPr="0053406C" w:rsidRDefault="00F56970">
            <w:pPr>
              <w:spacing w:line="240" w:lineRule="auto"/>
              <w:rPr>
                <w:rFonts w:cs="Arial"/>
                <w:sz w:val="24"/>
                <w:szCs w:val="24"/>
              </w:rPr>
            </w:pPr>
            <w:r w:rsidRPr="0053406C">
              <w:rPr>
                <w:rFonts w:cs="Arial"/>
                <w:sz w:val="24"/>
                <w:szCs w:val="24"/>
              </w:rPr>
              <w:t xml:space="preserve">Metadata </w:t>
            </w:r>
          </w:p>
        </w:tc>
        <w:tc>
          <w:tcPr>
            <w:tcW w:w="6204" w:type="dxa"/>
          </w:tcPr>
          <w:p w14:paraId="1C6AC9FC" w14:textId="77777777" w:rsidR="00F56970" w:rsidRPr="0053406C" w:rsidRDefault="00F56970">
            <w:pPr>
              <w:spacing w:line="240" w:lineRule="auto"/>
              <w:rPr>
                <w:rFonts w:cs="Arial"/>
                <w:sz w:val="24"/>
                <w:szCs w:val="24"/>
              </w:rPr>
            </w:pPr>
            <w:r w:rsidRPr="0053406C">
              <w:rPr>
                <w:rFonts w:cs="Arial"/>
                <w:sz w:val="24"/>
                <w:szCs w:val="24"/>
              </w:rPr>
              <w:t>A set of data that describes and gives information about other data.</w:t>
            </w:r>
          </w:p>
        </w:tc>
      </w:tr>
      <w:tr w:rsidR="00F56970" w:rsidRPr="0053406C" w14:paraId="2EA45DC0" w14:textId="77777777" w:rsidTr="006C7957">
        <w:trPr>
          <w:cnfStyle w:val="000000100000" w:firstRow="0" w:lastRow="0" w:firstColumn="0" w:lastColumn="0" w:oddVBand="0" w:evenVBand="0" w:oddHBand="1" w:evenHBand="0" w:firstRowFirstColumn="0" w:firstRowLastColumn="0" w:lastRowFirstColumn="0" w:lastRowLastColumn="0"/>
        </w:trPr>
        <w:tc>
          <w:tcPr>
            <w:tcW w:w="2727" w:type="dxa"/>
          </w:tcPr>
          <w:p w14:paraId="5992064D" w14:textId="3247073F" w:rsidR="00F56970" w:rsidRPr="0053406C" w:rsidRDefault="00F56970" w:rsidP="00E42A76">
            <w:pPr>
              <w:spacing w:line="240" w:lineRule="auto"/>
              <w:rPr>
                <w:rFonts w:cs="Arial"/>
                <w:sz w:val="24"/>
                <w:szCs w:val="24"/>
              </w:rPr>
            </w:pPr>
            <w:r w:rsidRPr="0053406C">
              <w:rPr>
                <w:rFonts w:cs="Arial"/>
                <w:sz w:val="24"/>
                <w:szCs w:val="24"/>
              </w:rPr>
              <w:t>Metagenomics</w:t>
            </w:r>
          </w:p>
        </w:tc>
        <w:tc>
          <w:tcPr>
            <w:tcW w:w="6204" w:type="dxa"/>
          </w:tcPr>
          <w:p w14:paraId="32101939" w14:textId="12901992" w:rsidR="00F56970" w:rsidRPr="0053406C" w:rsidRDefault="00F56970">
            <w:pPr>
              <w:spacing w:line="240" w:lineRule="auto"/>
              <w:rPr>
                <w:rFonts w:cs="Arial"/>
                <w:sz w:val="24"/>
                <w:szCs w:val="24"/>
              </w:rPr>
            </w:pPr>
            <w:r w:rsidRPr="0053406C">
              <w:rPr>
                <w:rFonts w:cs="Arial"/>
                <w:sz w:val="24"/>
                <w:szCs w:val="24"/>
              </w:rPr>
              <w:t>The study of all genetic material recovered from an environmental or clinical sample. Metagenomics is often used to study a specific community of microorganisms, or to identify an unknown microbial agent(s).</w:t>
            </w:r>
          </w:p>
        </w:tc>
      </w:tr>
      <w:tr w:rsidR="00E42A76" w:rsidRPr="0053406C" w14:paraId="40FD3C7E" w14:textId="77777777" w:rsidTr="006C7957">
        <w:tc>
          <w:tcPr>
            <w:tcW w:w="2727" w:type="dxa"/>
          </w:tcPr>
          <w:p w14:paraId="004959CF" w14:textId="567615BE" w:rsidR="00E42A76" w:rsidRPr="0053406C" w:rsidRDefault="00E42A76">
            <w:pPr>
              <w:spacing w:line="240" w:lineRule="auto"/>
              <w:rPr>
                <w:rFonts w:cs="Arial"/>
              </w:rPr>
            </w:pPr>
            <w:r w:rsidRPr="0053406C">
              <w:rPr>
                <w:rFonts w:cs="Arial"/>
                <w:sz w:val="24"/>
                <w:szCs w:val="24"/>
              </w:rPr>
              <w:t>Microbe</w:t>
            </w:r>
          </w:p>
        </w:tc>
        <w:tc>
          <w:tcPr>
            <w:tcW w:w="6204" w:type="dxa"/>
          </w:tcPr>
          <w:p w14:paraId="19071D56" w14:textId="3D31C085" w:rsidR="00E42A76" w:rsidRPr="0053406C" w:rsidRDefault="00E42A76">
            <w:pPr>
              <w:spacing w:line="240" w:lineRule="auto"/>
              <w:rPr>
                <w:rFonts w:cs="Arial"/>
              </w:rPr>
            </w:pPr>
            <w:r w:rsidRPr="0053406C">
              <w:rPr>
                <w:rFonts w:cs="Arial"/>
                <w:sz w:val="24"/>
                <w:szCs w:val="24"/>
              </w:rPr>
              <w:t>A microorganism, such as bacteria, virus, or fungi, that can be seen only through a microscope.</w:t>
            </w:r>
          </w:p>
        </w:tc>
      </w:tr>
      <w:tr w:rsidR="00F56970" w:rsidRPr="0053406C" w14:paraId="3524C042" w14:textId="77777777" w:rsidTr="006C7957">
        <w:trPr>
          <w:cnfStyle w:val="000000100000" w:firstRow="0" w:lastRow="0" w:firstColumn="0" w:lastColumn="0" w:oddVBand="0" w:evenVBand="0" w:oddHBand="1" w:evenHBand="0" w:firstRowFirstColumn="0" w:firstRowLastColumn="0" w:lastRowFirstColumn="0" w:lastRowLastColumn="0"/>
        </w:trPr>
        <w:tc>
          <w:tcPr>
            <w:tcW w:w="2727" w:type="dxa"/>
          </w:tcPr>
          <w:p w14:paraId="72AD5182" w14:textId="77777777" w:rsidR="00F56970" w:rsidRPr="0053406C" w:rsidRDefault="00F56970">
            <w:pPr>
              <w:spacing w:line="240" w:lineRule="auto"/>
              <w:rPr>
                <w:rFonts w:cs="Arial"/>
                <w:sz w:val="24"/>
                <w:szCs w:val="24"/>
              </w:rPr>
            </w:pPr>
            <w:r w:rsidRPr="0053406C">
              <w:rPr>
                <w:rFonts w:cs="Arial"/>
                <w:sz w:val="24"/>
                <w:szCs w:val="24"/>
              </w:rPr>
              <w:t>Microbial genomics</w:t>
            </w:r>
          </w:p>
        </w:tc>
        <w:tc>
          <w:tcPr>
            <w:tcW w:w="6204" w:type="dxa"/>
          </w:tcPr>
          <w:p w14:paraId="7E1CE25B" w14:textId="77777777" w:rsidR="00F56970" w:rsidRPr="0053406C" w:rsidRDefault="00F56970">
            <w:pPr>
              <w:spacing w:line="240" w:lineRule="auto"/>
              <w:rPr>
                <w:rFonts w:cs="Arial"/>
                <w:sz w:val="24"/>
                <w:szCs w:val="24"/>
              </w:rPr>
            </w:pPr>
            <w:r w:rsidRPr="0053406C">
              <w:rPr>
                <w:rFonts w:cs="Arial"/>
                <w:sz w:val="24"/>
                <w:szCs w:val="24"/>
              </w:rPr>
              <w:t>The genomic study of microbes or microorganisms.</w:t>
            </w:r>
          </w:p>
        </w:tc>
      </w:tr>
      <w:tr w:rsidR="00F56970" w:rsidRPr="0053406C" w14:paraId="282D37E9" w14:textId="77777777" w:rsidTr="006C7957">
        <w:tc>
          <w:tcPr>
            <w:tcW w:w="2727" w:type="dxa"/>
          </w:tcPr>
          <w:p w14:paraId="5DF07FE9" w14:textId="77777777" w:rsidR="00F56970" w:rsidRPr="0053406C" w:rsidRDefault="00F56970">
            <w:pPr>
              <w:spacing w:line="240" w:lineRule="auto"/>
              <w:rPr>
                <w:rFonts w:cs="Arial"/>
                <w:sz w:val="24"/>
                <w:szCs w:val="24"/>
              </w:rPr>
            </w:pPr>
            <w:r w:rsidRPr="0053406C">
              <w:rPr>
                <w:rFonts w:cs="Arial"/>
                <w:sz w:val="24"/>
                <w:szCs w:val="24"/>
              </w:rPr>
              <w:t>One Health</w:t>
            </w:r>
          </w:p>
        </w:tc>
        <w:tc>
          <w:tcPr>
            <w:tcW w:w="6204" w:type="dxa"/>
          </w:tcPr>
          <w:p w14:paraId="6E6808F9" w14:textId="77777777" w:rsidR="00F56970" w:rsidRPr="0053406C" w:rsidRDefault="00F56970">
            <w:pPr>
              <w:spacing w:line="240" w:lineRule="auto"/>
              <w:rPr>
                <w:rFonts w:cs="Arial"/>
                <w:sz w:val="24"/>
                <w:szCs w:val="24"/>
              </w:rPr>
            </w:pPr>
            <w:r w:rsidRPr="0053406C">
              <w:rPr>
                <w:rFonts w:cs="Arial"/>
                <w:sz w:val="24"/>
                <w:szCs w:val="24"/>
              </w:rPr>
              <w:t>An approach to designing and implementing programs, policies, legislation, and research in which animal, human and environmental sectors communicate and work together to achieve better public health outcomes.</w:t>
            </w:r>
          </w:p>
        </w:tc>
      </w:tr>
      <w:tr w:rsidR="00F56970" w:rsidRPr="0053406C" w14:paraId="6355BFC4" w14:textId="77777777" w:rsidTr="006C7957">
        <w:trPr>
          <w:cnfStyle w:val="000000100000" w:firstRow="0" w:lastRow="0" w:firstColumn="0" w:lastColumn="0" w:oddVBand="0" w:evenVBand="0" w:oddHBand="1" w:evenHBand="0" w:firstRowFirstColumn="0" w:firstRowLastColumn="0" w:lastRowFirstColumn="0" w:lastRowLastColumn="0"/>
        </w:trPr>
        <w:tc>
          <w:tcPr>
            <w:tcW w:w="2727" w:type="dxa"/>
          </w:tcPr>
          <w:p w14:paraId="08848B88" w14:textId="0FDFA623" w:rsidR="00F56970" w:rsidRPr="0053406C" w:rsidRDefault="00F56970">
            <w:pPr>
              <w:spacing w:line="240" w:lineRule="auto"/>
              <w:rPr>
                <w:rFonts w:cs="Arial"/>
                <w:sz w:val="24"/>
                <w:szCs w:val="24"/>
              </w:rPr>
            </w:pPr>
            <w:r w:rsidRPr="0053406C">
              <w:rPr>
                <w:rFonts w:cs="Arial"/>
                <w:sz w:val="24"/>
                <w:szCs w:val="24"/>
              </w:rPr>
              <w:t>Pathogen</w:t>
            </w:r>
          </w:p>
        </w:tc>
        <w:tc>
          <w:tcPr>
            <w:tcW w:w="6204" w:type="dxa"/>
          </w:tcPr>
          <w:p w14:paraId="21AF762F" w14:textId="3336C48B" w:rsidR="00733992" w:rsidRPr="0053406C" w:rsidRDefault="00F56970">
            <w:pPr>
              <w:spacing w:line="240" w:lineRule="auto"/>
              <w:rPr>
                <w:rFonts w:cs="Arial"/>
                <w:sz w:val="24"/>
                <w:szCs w:val="24"/>
              </w:rPr>
            </w:pPr>
            <w:r w:rsidRPr="0053406C">
              <w:rPr>
                <w:rFonts w:cs="Arial"/>
                <w:sz w:val="24"/>
                <w:szCs w:val="24"/>
              </w:rPr>
              <w:t>An organism that can cause disease.</w:t>
            </w:r>
          </w:p>
        </w:tc>
      </w:tr>
      <w:tr w:rsidR="00E42A76" w:rsidRPr="0053406C" w14:paraId="44F73661" w14:textId="77777777" w:rsidTr="006C7957">
        <w:tc>
          <w:tcPr>
            <w:tcW w:w="2727" w:type="dxa"/>
          </w:tcPr>
          <w:p w14:paraId="0D693057" w14:textId="1FD0D4D8" w:rsidR="00E42A76" w:rsidRPr="0053406C" w:rsidRDefault="00E42A76">
            <w:pPr>
              <w:spacing w:line="240" w:lineRule="auto"/>
              <w:rPr>
                <w:rFonts w:cs="Arial"/>
              </w:rPr>
            </w:pPr>
            <w:r w:rsidRPr="0053406C">
              <w:rPr>
                <w:rFonts w:cs="Arial"/>
                <w:sz w:val="24"/>
                <w:szCs w:val="24"/>
              </w:rPr>
              <w:lastRenderedPageBreak/>
              <w:t>Pathogen genomics</w:t>
            </w:r>
          </w:p>
        </w:tc>
        <w:tc>
          <w:tcPr>
            <w:tcW w:w="6204" w:type="dxa"/>
          </w:tcPr>
          <w:p w14:paraId="17702990" w14:textId="6BF75327" w:rsidR="00E42A76" w:rsidRPr="0053406C" w:rsidRDefault="00E42A76">
            <w:pPr>
              <w:spacing w:line="240" w:lineRule="auto"/>
              <w:rPr>
                <w:rFonts w:cs="Arial"/>
              </w:rPr>
            </w:pPr>
            <w:r w:rsidRPr="0053406C">
              <w:rPr>
                <w:rFonts w:cs="Arial"/>
                <w:sz w:val="24"/>
                <w:szCs w:val="24"/>
              </w:rPr>
              <w:t>The genomic study of a pathogen, a category of microbial genomics.</w:t>
            </w:r>
          </w:p>
        </w:tc>
      </w:tr>
      <w:tr w:rsidR="00F56970" w:rsidRPr="0053406C" w14:paraId="5B79B1BA" w14:textId="77777777" w:rsidTr="006C7957">
        <w:trPr>
          <w:cnfStyle w:val="000000100000" w:firstRow="0" w:lastRow="0" w:firstColumn="0" w:lastColumn="0" w:oddVBand="0" w:evenVBand="0" w:oddHBand="1" w:evenHBand="0" w:firstRowFirstColumn="0" w:firstRowLastColumn="0" w:lastRowFirstColumn="0" w:lastRowLastColumn="0"/>
        </w:trPr>
        <w:tc>
          <w:tcPr>
            <w:tcW w:w="2727" w:type="dxa"/>
          </w:tcPr>
          <w:p w14:paraId="6BAAA21C" w14:textId="77777777" w:rsidR="00F56970" w:rsidRPr="0053406C" w:rsidRDefault="00F56970">
            <w:pPr>
              <w:spacing w:line="240" w:lineRule="auto"/>
              <w:rPr>
                <w:rFonts w:cs="Arial"/>
                <w:sz w:val="24"/>
                <w:szCs w:val="24"/>
              </w:rPr>
            </w:pPr>
            <w:r w:rsidRPr="0053406C">
              <w:rPr>
                <w:rFonts w:cs="Arial"/>
                <w:sz w:val="24"/>
                <w:szCs w:val="24"/>
              </w:rPr>
              <w:t>Real-time</w:t>
            </w:r>
          </w:p>
        </w:tc>
        <w:tc>
          <w:tcPr>
            <w:tcW w:w="6204" w:type="dxa"/>
          </w:tcPr>
          <w:p w14:paraId="0C19F932" w14:textId="77777777" w:rsidR="00F56970" w:rsidRPr="0053406C" w:rsidRDefault="00F56970">
            <w:pPr>
              <w:spacing w:line="240" w:lineRule="auto"/>
              <w:rPr>
                <w:rFonts w:cs="Arial"/>
                <w:sz w:val="24"/>
                <w:szCs w:val="24"/>
              </w:rPr>
            </w:pPr>
            <w:r w:rsidRPr="0053406C">
              <w:rPr>
                <w:rFonts w:cs="Arial"/>
                <w:sz w:val="24"/>
                <w:szCs w:val="24"/>
              </w:rPr>
              <w:t>The actual time during which a process or event occurs.</w:t>
            </w:r>
          </w:p>
        </w:tc>
      </w:tr>
      <w:tr w:rsidR="00F56970" w:rsidRPr="0053406C" w14:paraId="60676D7A" w14:textId="77777777" w:rsidTr="006C7957">
        <w:tc>
          <w:tcPr>
            <w:tcW w:w="2727" w:type="dxa"/>
          </w:tcPr>
          <w:p w14:paraId="1C2DD934" w14:textId="1167A06A" w:rsidR="00F56970" w:rsidRPr="0053406C" w:rsidRDefault="00F56970" w:rsidP="00E42A76">
            <w:pPr>
              <w:spacing w:line="240" w:lineRule="auto"/>
              <w:rPr>
                <w:rFonts w:cs="Arial"/>
                <w:sz w:val="24"/>
                <w:szCs w:val="24"/>
              </w:rPr>
            </w:pPr>
            <w:r w:rsidRPr="0053406C">
              <w:rPr>
                <w:rFonts w:cs="Arial"/>
                <w:sz w:val="24"/>
                <w:szCs w:val="24"/>
              </w:rPr>
              <w:t>RNA</w:t>
            </w:r>
          </w:p>
        </w:tc>
        <w:tc>
          <w:tcPr>
            <w:tcW w:w="6204" w:type="dxa"/>
          </w:tcPr>
          <w:p w14:paraId="5D4CA51F" w14:textId="2FC2902F" w:rsidR="00F56970" w:rsidRPr="0053406C" w:rsidRDefault="00F56970" w:rsidP="00E42A76">
            <w:pPr>
              <w:spacing w:line="240" w:lineRule="auto"/>
              <w:rPr>
                <w:rFonts w:cs="Arial"/>
                <w:sz w:val="24"/>
                <w:szCs w:val="24"/>
              </w:rPr>
            </w:pPr>
            <w:r w:rsidRPr="0053406C">
              <w:rPr>
                <w:rFonts w:cs="Arial"/>
                <w:sz w:val="24"/>
                <w:szCs w:val="24"/>
              </w:rPr>
              <w:t>Ribonucleic acid — a nucleic acid present in all living cells. Its principal role is to act as a messenger carrying instructions from DNA to initiate and control the synthesis of proteins, although in some viruses RNA rather than DNA carries the genetic information.</w:t>
            </w:r>
          </w:p>
        </w:tc>
      </w:tr>
      <w:tr w:rsidR="00E42A76" w:rsidRPr="0053406C" w14:paraId="39254C95" w14:textId="77777777" w:rsidTr="006C7957">
        <w:trPr>
          <w:cnfStyle w:val="000000100000" w:firstRow="0" w:lastRow="0" w:firstColumn="0" w:lastColumn="0" w:oddVBand="0" w:evenVBand="0" w:oddHBand="1" w:evenHBand="0" w:firstRowFirstColumn="0" w:firstRowLastColumn="0" w:lastRowFirstColumn="0" w:lastRowLastColumn="0"/>
        </w:trPr>
        <w:tc>
          <w:tcPr>
            <w:tcW w:w="2727" w:type="dxa"/>
          </w:tcPr>
          <w:p w14:paraId="7D491E32" w14:textId="3893C43B" w:rsidR="00E42A76" w:rsidRPr="0053406C" w:rsidRDefault="00E42A76">
            <w:pPr>
              <w:spacing w:line="240" w:lineRule="auto"/>
              <w:rPr>
                <w:rFonts w:cs="Arial"/>
              </w:rPr>
            </w:pPr>
            <w:r w:rsidRPr="0053406C">
              <w:rPr>
                <w:rFonts w:cs="Arial"/>
                <w:sz w:val="24"/>
                <w:szCs w:val="24"/>
              </w:rPr>
              <w:t>Variant</w:t>
            </w:r>
          </w:p>
        </w:tc>
        <w:tc>
          <w:tcPr>
            <w:tcW w:w="6204" w:type="dxa"/>
          </w:tcPr>
          <w:p w14:paraId="79186D48" w14:textId="11AC8DE0" w:rsidR="00E42A76" w:rsidRPr="0053406C" w:rsidRDefault="00E42A76" w:rsidP="00E42A76">
            <w:pPr>
              <w:spacing w:line="240" w:lineRule="auto"/>
              <w:rPr>
                <w:rFonts w:cs="Arial"/>
              </w:rPr>
            </w:pPr>
            <w:r w:rsidRPr="0053406C">
              <w:rPr>
                <w:rFonts w:cs="Arial"/>
                <w:sz w:val="24"/>
                <w:szCs w:val="24"/>
              </w:rPr>
              <w:t>An organism that is genetically distinct from a main strain, but not sufficiently different to be termed a distinct strain.</w:t>
            </w:r>
          </w:p>
        </w:tc>
      </w:tr>
      <w:tr w:rsidR="00F56970" w:rsidRPr="0053406C" w14:paraId="31C5C52A" w14:textId="77777777" w:rsidTr="006C7957">
        <w:tc>
          <w:tcPr>
            <w:tcW w:w="2727" w:type="dxa"/>
          </w:tcPr>
          <w:p w14:paraId="7ADFCBA4" w14:textId="77777777" w:rsidR="00F56970" w:rsidRPr="0053406C" w:rsidRDefault="00F56970">
            <w:pPr>
              <w:spacing w:line="240" w:lineRule="auto"/>
              <w:rPr>
                <w:rFonts w:cs="Arial"/>
                <w:sz w:val="24"/>
                <w:szCs w:val="24"/>
              </w:rPr>
            </w:pPr>
            <w:r w:rsidRPr="0053406C">
              <w:rPr>
                <w:rFonts w:cs="Arial"/>
                <w:sz w:val="24"/>
                <w:szCs w:val="24"/>
              </w:rPr>
              <w:t xml:space="preserve">Whole genome sequencing </w:t>
            </w:r>
          </w:p>
        </w:tc>
        <w:tc>
          <w:tcPr>
            <w:tcW w:w="6204" w:type="dxa"/>
          </w:tcPr>
          <w:p w14:paraId="7694491D" w14:textId="77777777" w:rsidR="00F56970" w:rsidRPr="0053406C" w:rsidRDefault="00F56970">
            <w:pPr>
              <w:spacing w:line="240" w:lineRule="auto"/>
              <w:rPr>
                <w:rFonts w:cs="Arial"/>
                <w:sz w:val="24"/>
                <w:szCs w:val="24"/>
              </w:rPr>
            </w:pPr>
            <w:r w:rsidRPr="0053406C">
              <w:rPr>
                <w:rFonts w:cs="Arial"/>
                <w:sz w:val="24"/>
                <w:szCs w:val="24"/>
              </w:rPr>
              <w:t>A laboratory process to determine the complete DNA sequence of an organism’s genome.</w:t>
            </w:r>
          </w:p>
        </w:tc>
      </w:tr>
    </w:tbl>
    <w:p w14:paraId="0B2997D4" w14:textId="77777777" w:rsidR="00F56970" w:rsidRPr="00FA60E1" w:rsidRDefault="00F56970" w:rsidP="00F56970">
      <w:pPr>
        <w:spacing w:line="240" w:lineRule="auto"/>
      </w:pPr>
      <w:r w:rsidRPr="00FA60E1">
        <w:br w:type="page"/>
      </w:r>
    </w:p>
    <w:p w14:paraId="467AE847" w14:textId="77777777" w:rsidR="002D5FE4" w:rsidRPr="009814D7" w:rsidRDefault="002D5FE4" w:rsidP="002D5FE4">
      <w:pPr>
        <w:pStyle w:val="Heading1"/>
      </w:pPr>
      <w:bookmarkStart w:id="6" w:name="_Toc530994569"/>
      <w:bookmarkStart w:id="7" w:name="_Toc11404099"/>
      <w:bookmarkStart w:id="8" w:name="_Toc135494133"/>
      <w:bookmarkStart w:id="9" w:name="_Toc1196151248"/>
      <w:bookmarkStart w:id="10" w:name="_Toc693286715"/>
      <w:bookmarkStart w:id="11" w:name="_Toc191899393"/>
      <w:r>
        <w:lastRenderedPageBreak/>
        <w:t>Acronyms</w:t>
      </w:r>
      <w:bookmarkEnd w:id="6"/>
      <w:r>
        <w:t xml:space="preserve"> and abbreviations</w:t>
      </w:r>
      <w:bookmarkEnd w:id="7"/>
      <w:bookmarkEnd w:id="8"/>
      <w:bookmarkEnd w:id="9"/>
      <w:bookmarkEnd w:id="10"/>
      <w:bookmarkEnd w:id="11"/>
    </w:p>
    <w:tbl>
      <w:tblPr>
        <w:tblW w:w="9390" w:type="dxa"/>
        <w:tblInd w:w="108" w:type="dxa"/>
        <w:tblBorders>
          <w:top w:val="nil"/>
          <w:left w:val="nil"/>
          <w:bottom w:val="nil"/>
          <w:right w:val="nil"/>
        </w:tblBorders>
        <w:tblLayout w:type="fixed"/>
        <w:tblLook w:val="0000" w:firstRow="0" w:lastRow="0" w:firstColumn="0" w:lastColumn="0" w:noHBand="0" w:noVBand="0"/>
      </w:tblPr>
      <w:tblGrid>
        <w:gridCol w:w="2268"/>
        <w:gridCol w:w="7122"/>
      </w:tblGrid>
      <w:tr w:rsidR="0042531D" w:rsidRPr="00B263B0" w14:paraId="232C707A" w14:textId="77777777" w:rsidTr="00D72355">
        <w:trPr>
          <w:trHeight w:val="120"/>
        </w:trPr>
        <w:tc>
          <w:tcPr>
            <w:tcW w:w="2268" w:type="dxa"/>
          </w:tcPr>
          <w:p w14:paraId="3D724841" w14:textId="77777777" w:rsidR="0042531D" w:rsidRPr="00FA60E1" w:rsidRDefault="0042531D">
            <w:pPr>
              <w:spacing w:line="240" w:lineRule="auto"/>
              <w:rPr>
                <w:b/>
              </w:rPr>
            </w:pPr>
            <w:r w:rsidRPr="00FA60E1">
              <w:rPr>
                <w:b/>
              </w:rPr>
              <w:t>Acronym</w:t>
            </w:r>
          </w:p>
        </w:tc>
        <w:tc>
          <w:tcPr>
            <w:tcW w:w="7122" w:type="dxa"/>
          </w:tcPr>
          <w:p w14:paraId="644AC31F" w14:textId="77777777" w:rsidR="0042531D" w:rsidRPr="00FA60E1" w:rsidRDefault="0042531D">
            <w:pPr>
              <w:spacing w:line="240" w:lineRule="auto"/>
              <w:rPr>
                <w:b/>
              </w:rPr>
            </w:pPr>
            <w:r w:rsidRPr="00FA60E1">
              <w:rPr>
                <w:b/>
              </w:rPr>
              <w:t>Meaning</w:t>
            </w:r>
          </w:p>
        </w:tc>
      </w:tr>
      <w:tr w:rsidR="0042531D" w:rsidRPr="001E4E7D" w14:paraId="5473175B" w14:textId="77777777" w:rsidTr="00D72355">
        <w:trPr>
          <w:trHeight w:val="135"/>
        </w:trPr>
        <w:tc>
          <w:tcPr>
            <w:tcW w:w="2268" w:type="dxa"/>
          </w:tcPr>
          <w:p w14:paraId="0B9611AF" w14:textId="6602A561" w:rsidR="0042531D" w:rsidRPr="00FA60E1" w:rsidRDefault="0042531D">
            <w:pPr>
              <w:spacing w:line="240" w:lineRule="auto"/>
              <w:rPr>
                <w:b/>
              </w:rPr>
            </w:pPr>
            <w:r w:rsidRPr="00FA60E1">
              <w:rPr>
                <w:b/>
              </w:rPr>
              <w:t>AHPC</w:t>
            </w:r>
          </w:p>
        </w:tc>
        <w:tc>
          <w:tcPr>
            <w:tcW w:w="7122" w:type="dxa"/>
          </w:tcPr>
          <w:p w14:paraId="17312C09" w14:textId="1497D362" w:rsidR="0042531D" w:rsidRPr="00FA60E1" w:rsidRDefault="0042531D">
            <w:pPr>
              <w:spacing w:line="240" w:lineRule="auto"/>
            </w:pPr>
            <w:r w:rsidRPr="00FA60E1">
              <w:t>Australian Health Protection Committee</w:t>
            </w:r>
          </w:p>
        </w:tc>
      </w:tr>
      <w:tr w:rsidR="0042531D" w:rsidRPr="001E4E7D" w14:paraId="07CFB6E0" w14:textId="77777777" w:rsidTr="00D72355">
        <w:trPr>
          <w:trHeight w:val="110"/>
        </w:trPr>
        <w:tc>
          <w:tcPr>
            <w:tcW w:w="2268" w:type="dxa"/>
          </w:tcPr>
          <w:p w14:paraId="5E53DFD7" w14:textId="77777777" w:rsidR="0042531D" w:rsidRPr="00FA60E1" w:rsidRDefault="0042531D">
            <w:pPr>
              <w:spacing w:line="240" w:lineRule="auto"/>
              <w:rPr>
                <w:b/>
              </w:rPr>
            </w:pPr>
            <w:r w:rsidRPr="00FA60E1">
              <w:rPr>
                <w:b/>
              </w:rPr>
              <w:t>AMR</w:t>
            </w:r>
          </w:p>
        </w:tc>
        <w:tc>
          <w:tcPr>
            <w:tcW w:w="7122" w:type="dxa"/>
          </w:tcPr>
          <w:p w14:paraId="52BF1684" w14:textId="77777777" w:rsidR="0042531D" w:rsidRPr="00FA60E1" w:rsidRDefault="0042531D">
            <w:pPr>
              <w:spacing w:line="240" w:lineRule="auto"/>
            </w:pPr>
            <w:r w:rsidRPr="00FA60E1">
              <w:t>Antimicrobial resistance</w:t>
            </w:r>
          </w:p>
        </w:tc>
      </w:tr>
      <w:tr w:rsidR="0042531D" w:rsidRPr="001E4E7D" w14:paraId="7E5CC2A4" w14:textId="77777777" w:rsidTr="00D72355">
        <w:trPr>
          <w:trHeight w:val="110"/>
        </w:trPr>
        <w:tc>
          <w:tcPr>
            <w:tcW w:w="2268" w:type="dxa"/>
          </w:tcPr>
          <w:p w14:paraId="6A838E14" w14:textId="77777777" w:rsidR="0042531D" w:rsidRPr="00FA60E1" w:rsidRDefault="0042531D">
            <w:pPr>
              <w:spacing w:line="240" w:lineRule="auto"/>
              <w:rPr>
                <w:b/>
              </w:rPr>
            </w:pPr>
            <w:r w:rsidRPr="00FA60E1">
              <w:rPr>
                <w:b/>
              </w:rPr>
              <w:t>CDGN</w:t>
            </w:r>
          </w:p>
        </w:tc>
        <w:tc>
          <w:tcPr>
            <w:tcW w:w="7122" w:type="dxa"/>
          </w:tcPr>
          <w:p w14:paraId="53EE771F" w14:textId="77777777" w:rsidR="0042531D" w:rsidRPr="00FA60E1" w:rsidRDefault="0042531D">
            <w:pPr>
              <w:spacing w:line="240" w:lineRule="auto"/>
            </w:pPr>
            <w:r w:rsidRPr="00FA60E1">
              <w:t>Communicable Diseases Genomics Network</w:t>
            </w:r>
          </w:p>
        </w:tc>
      </w:tr>
      <w:tr w:rsidR="0042531D" w:rsidRPr="001E4E7D" w14:paraId="52CAE539" w14:textId="77777777" w:rsidTr="00D72355">
        <w:trPr>
          <w:trHeight w:val="110"/>
        </w:trPr>
        <w:tc>
          <w:tcPr>
            <w:tcW w:w="2268" w:type="dxa"/>
          </w:tcPr>
          <w:p w14:paraId="47A3FA60" w14:textId="77777777" w:rsidR="0042531D" w:rsidRPr="00FA60E1" w:rsidRDefault="0042531D">
            <w:pPr>
              <w:spacing w:line="240" w:lineRule="auto"/>
              <w:rPr>
                <w:b/>
              </w:rPr>
            </w:pPr>
            <w:r w:rsidRPr="00FA60E1">
              <w:rPr>
                <w:b/>
              </w:rPr>
              <w:t>CDNA</w:t>
            </w:r>
          </w:p>
        </w:tc>
        <w:tc>
          <w:tcPr>
            <w:tcW w:w="7122" w:type="dxa"/>
          </w:tcPr>
          <w:p w14:paraId="78C904D2" w14:textId="77777777" w:rsidR="0042531D" w:rsidRPr="00FA60E1" w:rsidRDefault="0042531D">
            <w:pPr>
              <w:spacing w:line="240" w:lineRule="auto"/>
            </w:pPr>
            <w:r w:rsidRPr="00FA60E1">
              <w:t>Communicable Diseases Network Australia</w:t>
            </w:r>
          </w:p>
        </w:tc>
      </w:tr>
      <w:tr w:rsidR="0042531D" w:rsidRPr="001E4E7D" w14:paraId="6D62BA2C" w14:textId="77777777" w:rsidTr="00D72355">
        <w:trPr>
          <w:trHeight w:val="110"/>
        </w:trPr>
        <w:tc>
          <w:tcPr>
            <w:tcW w:w="2268" w:type="dxa"/>
          </w:tcPr>
          <w:p w14:paraId="4CC89C24" w14:textId="77777777" w:rsidR="0042531D" w:rsidRPr="00FA60E1" w:rsidRDefault="0042531D">
            <w:pPr>
              <w:spacing w:line="240" w:lineRule="auto"/>
              <w:rPr>
                <w:b/>
              </w:rPr>
            </w:pPr>
            <w:r w:rsidRPr="00FA60E1">
              <w:rPr>
                <w:b/>
              </w:rPr>
              <w:t>COVID-19</w:t>
            </w:r>
          </w:p>
        </w:tc>
        <w:tc>
          <w:tcPr>
            <w:tcW w:w="7122" w:type="dxa"/>
          </w:tcPr>
          <w:p w14:paraId="471AE227" w14:textId="77777777" w:rsidR="0042531D" w:rsidRPr="00FA60E1" w:rsidRDefault="0042531D">
            <w:pPr>
              <w:spacing w:line="240" w:lineRule="auto"/>
            </w:pPr>
            <w:r w:rsidRPr="00FA60E1">
              <w:t>Coronavirus disease 2019</w:t>
            </w:r>
          </w:p>
        </w:tc>
      </w:tr>
      <w:tr w:rsidR="0042531D" w:rsidRPr="001E4E7D" w14:paraId="55303774" w14:textId="77777777" w:rsidTr="00D72355">
        <w:trPr>
          <w:trHeight w:val="110"/>
        </w:trPr>
        <w:tc>
          <w:tcPr>
            <w:tcW w:w="2268" w:type="dxa"/>
          </w:tcPr>
          <w:p w14:paraId="7F8D192D" w14:textId="77777777" w:rsidR="0042531D" w:rsidRPr="00FA60E1" w:rsidRDefault="0042531D">
            <w:pPr>
              <w:spacing w:line="240" w:lineRule="auto"/>
              <w:rPr>
                <w:b/>
              </w:rPr>
            </w:pPr>
            <w:r w:rsidRPr="00FA60E1">
              <w:rPr>
                <w:b/>
              </w:rPr>
              <w:t>DNA</w:t>
            </w:r>
          </w:p>
        </w:tc>
        <w:tc>
          <w:tcPr>
            <w:tcW w:w="7122" w:type="dxa"/>
          </w:tcPr>
          <w:p w14:paraId="630BC277" w14:textId="77777777" w:rsidR="0042531D" w:rsidRPr="00FA60E1" w:rsidRDefault="0042531D">
            <w:pPr>
              <w:spacing w:line="240" w:lineRule="auto"/>
            </w:pPr>
            <w:r w:rsidRPr="00FA60E1">
              <w:t>Deoxyribonucleic acid</w:t>
            </w:r>
          </w:p>
        </w:tc>
      </w:tr>
      <w:tr w:rsidR="0042531D" w:rsidRPr="001E4E7D" w14:paraId="4B463FE2" w14:textId="77777777" w:rsidTr="00D72355">
        <w:trPr>
          <w:trHeight w:val="110"/>
        </w:trPr>
        <w:tc>
          <w:tcPr>
            <w:tcW w:w="2268" w:type="dxa"/>
          </w:tcPr>
          <w:p w14:paraId="35CC5062" w14:textId="77777777" w:rsidR="0042531D" w:rsidRPr="00FA60E1" w:rsidRDefault="0042531D">
            <w:pPr>
              <w:spacing w:line="240" w:lineRule="auto"/>
              <w:rPr>
                <w:b/>
              </w:rPr>
            </w:pPr>
            <w:r w:rsidRPr="00FA60E1">
              <w:rPr>
                <w:b/>
              </w:rPr>
              <w:t>EMPaCT</w:t>
            </w:r>
          </w:p>
        </w:tc>
        <w:tc>
          <w:tcPr>
            <w:tcW w:w="7122" w:type="dxa"/>
          </w:tcPr>
          <w:p w14:paraId="7A348103" w14:textId="77777777" w:rsidR="0042531D" w:rsidRPr="00FA60E1" w:rsidRDefault="0042531D">
            <w:pPr>
              <w:spacing w:line="240" w:lineRule="auto"/>
            </w:pPr>
            <w:r w:rsidRPr="00FA60E1">
              <w:t>Emerging Molecular Pathogen Characterisation Technologies</w:t>
            </w:r>
          </w:p>
        </w:tc>
      </w:tr>
      <w:tr w:rsidR="0042531D" w:rsidRPr="001E4E7D" w14:paraId="6091252E" w14:textId="77777777" w:rsidTr="00D72355">
        <w:trPr>
          <w:trHeight w:val="110"/>
        </w:trPr>
        <w:tc>
          <w:tcPr>
            <w:tcW w:w="2268" w:type="dxa"/>
          </w:tcPr>
          <w:p w14:paraId="2B92FA66" w14:textId="77777777" w:rsidR="0042531D" w:rsidRPr="00FA60E1" w:rsidRDefault="0042531D">
            <w:pPr>
              <w:spacing w:line="240" w:lineRule="auto"/>
              <w:rPr>
                <w:b/>
              </w:rPr>
            </w:pPr>
            <w:r w:rsidRPr="00FA60E1">
              <w:rPr>
                <w:b/>
              </w:rPr>
              <w:t>HCEF</w:t>
            </w:r>
          </w:p>
        </w:tc>
        <w:tc>
          <w:tcPr>
            <w:tcW w:w="7122" w:type="dxa"/>
          </w:tcPr>
          <w:p w14:paraId="409CF5DE" w14:textId="77777777" w:rsidR="0042531D" w:rsidRPr="00FA60E1" w:rsidRDefault="0042531D">
            <w:pPr>
              <w:spacing w:line="240" w:lineRule="auto"/>
            </w:pPr>
            <w:r w:rsidRPr="00FA60E1">
              <w:t>Health Chief Executives Forum</w:t>
            </w:r>
          </w:p>
        </w:tc>
      </w:tr>
      <w:tr w:rsidR="0042531D" w:rsidRPr="001E4E7D" w14:paraId="644B5073" w14:textId="77777777" w:rsidTr="00D72355">
        <w:trPr>
          <w:trHeight w:val="110"/>
        </w:trPr>
        <w:tc>
          <w:tcPr>
            <w:tcW w:w="2268" w:type="dxa"/>
          </w:tcPr>
          <w:p w14:paraId="3B4C4641" w14:textId="77777777" w:rsidR="0042531D" w:rsidRPr="00FA60E1" w:rsidRDefault="0042531D">
            <w:pPr>
              <w:spacing w:line="240" w:lineRule="auto"/>
              <w:rPr>
                <w:b/>
              </w:rPr>
            </w:pPr>
            <w:r w:rsidRPr="00FA60E1">
              <w:rPr>
                <w:b/>
              </w:rPr>
              <w:t>Health</w:t>
            </w:r>
          </w:p>
        </w:tc>
        <w:tc>
          <w:tcPr>
            <w:tcW w:w="7122" w:type="dxa"/>
          </w:tcPr>
          <w:p w14:paraId="782FFEB5" w14:textId="77777777" w:rsidR="0042531D" w:rsidRPr="00FA60E1" w:rsidRDefault="0042531D">
            <w:pPr>
              <w:spacing w:line="240" w:lineRule="auto"/>
            </w:pPr>
            <w:r w:rsidRPr="00FA60E1">
              <w:t>Australian Government Department of Health and Aged Care</w:t>
            </w:r>
          </w:p>
        </w:tc>
      </w:tr>
      <w:tr w:rsidR="0042531D" w:rsidRPr="001E4E7D" w14:paraId="60530ABB" w14:textId="77777777" w:rsidTr="00D72355">
        <w:trPr>
          <w:trHeight w:val="110"/>
        </w:trPr>
        <w:tc>
          <w:tcPr>
            <w:tcW w:w="2268" w:type="dxa"/>
          </w:tcPr>
          <w:p w14:paraId="1AB6ABE5" w14:textId="77777777" w:rsidR="0042531D" w:rsidRPr="00FA60E1" w:rsidRDefault="0042531D">
            <w:pPr>
              <w:spacing w:line="240" w:lineRule="auto"/>
              <w:rPr>
                <w:b/>
              </w:rPr>
            </w:pPr>
            <w:r w:rsidRPr="00FA60E1">
              <w:rPr>
                <w:b/>
              </w:rPr>
              <w:t>MRFF</w:t>
            </w:r>
          </w:p>
        </w:tc>
        <w:tc>
          <w:tcPr>
            <w:tcW w:w="7122" w:type="dxa"/>
          </w:tcPr>
          <w:p w14:paraId="6CED228A" w14:textId="77777777" w:rsidR="0042531D" w:rsidRPr="00FA60E1" w:rsidRDefault="0042531D">
            <w:pPr>
              <w:spacing w:line="240" w:lineRule="auto"/>
            </w:pPr>
            <w:r w:rsidRPr="00FA60E1">
              <w:t>Medical Research Future Fund</w:t>
            </w:r>
          </w:p>
        </w:tc>
      </w:tr>
      <w:tr w:rsidR="0042531D" w14:paraId="07400ACB" w14:textId="77777777" w:rsidTr="00D72355">
        <w:trPr>
          <w:trHeight w:val="110"/>
        </w:trPr>
        <w:tc>
          <w:tcPr>
            <w:tcW w:w="2268" w:type="dxa"/>
          </w:tcPr>
          <w:p w14:paraId="49A5B2BC" w14:textId="77777777" w:rsidR="0042531D" w:rsidRPr="00FA60E1" w:rsidRDefault="0042531D">
            <w:pPr>
              <w:spacing w:line="240" w:lineRule="auto"/>
              <w:rPr>
                <w:b/>
              </w:rPr>
            </w:pPr>
            <w:r w:rsidRPr="00FA60E1">
              <w:rPr>
                <w:b/>
              </w:rPr>
              <w:t>PHL</w:t>
            </w:r>
          </w:p>
        </w:tc>
        <w:tc>
          <w:tcPr>
            <w:tcW w:w="7122" w:type="dxa"/>
          </w:tcPr>
          <w:p w14:paraId="74C6BCA5" w14:textId="77777777" w:rsidR="0042531D" w:rsidRPr="00FA60E1" w:rsidRDefault="0042531D">
            <w:pPr>
              <w:spacing w:line="240" w:lineRule="auto"/>
            </w:pPr>
            <w:r w:rsidRPr="00FA60E1">
              <w:t>Public Health Laboratory</w:t>
            </w:r>
          </w:p>
        </w:tc>
      </w:tr>
      <w:tr w:rsidR="0042531D" w:rsidRPr="001E4E7D" w14:paraId="067B18CA" w14:textId="77777777" w:rsidTr="00D72355">
        <w:trPr>
          <w:trHeight w:val="110"/>
        </w:trPr>
        <w:tc>
          <w:tcPr>
            <w:tcW w:w="2268" w:type="dxa"/>
          </w:tcPr>
          <w:p w14:paraId="3EEAC32C" w14:textId="77777777" w:rsidR="0042531D" w:rsidRPr="00FA60E1" w:rsidRDefault="0042531D">
            <w:pPr>
              <w:spacing w:line="240" w:lineRule="auto"/>
              <w:rPr>
                <w:b/>
              </w:rPr>
            </w:pPr>
            <w:r w:rsidRPr="00FA60E1">
              <w:rPr>
                <w:b/>
              </w:rPr>
              <w:t>PHLN</w:t>
            </w:r>
          </w:p>
        </w:tc>
        <w:tc>
          <w:tcPr>
            <w:tcW w:w="7122" w:type="dxa"/>
          </w:tcPr>
          <w:p w14:paraId="4F4E3604" w14:textId="77777777" w:rsidR="0042531D" w:rsidRPr="00FA60E1" w:rsidRDefault="0042531D">
            <w:pPr>
              <w:spacing w:line="240" w:lineRule="auto"/>
            </w:pPr>
            <w:r w:rsidRPr="00FA60E1">
              <w:t>Public Health Laboratory Network</w:t>
            </w:r>
          </w:p>
        </w:tc>
      </w:tr>
      <w:tr w:rsidR="0042531D" w:rsidRPr="001E4E7D" w14:paraId="2AB77E58" w14:textId="77777777" w:rsidTr="00D72355">
        <w:trPr>
          <w:trHeight w:val="110"/>
        </w:trPr>
        <w:tc>
          <w:tcPr>
            <w:tcW w:w="2268" w:type="dxa"/>
          </w:tcPr>
          <w:p w14:paraId="3B72AEFC" w14:textId="77777777" w:rsidR="0042531D" w:rsidRPr="00FA60E1" w:rsidRDefault="0042531D">
            <w:pPr>
              <w:spacing w:line="240" w:lineRule="auto"/>
              <w:rPr>
                <w:b/>
              </w:rPr>
            </w:pPr>
            <w:r w:rsidRPr="00FA60E1">
              <w:rPr>
                <w:b/>
              </w:rPr>
              <w:t>PHU</w:t>
            </w:r>
          </w:p>
        </w:tc>
        <w:tc>
          <w:tcPr>
            <w:tcW w:w="7122" w:type="dxa"/>
          </w:tcPr>
          <w:p w14:paraId="39AFDCD4" w14:textId="77777777" w:rsidR="0042531D" w:rsidRPr="00FA60E1" w:rsidRDefault="0042531D">
            <w:pPr>
              <w:spacing w:line="240" w:lineRule="auto"/>
            </w:pPr>
            <w:r w:rsidRPr="00FA60E1">
              <w:t>Public Health Unit</w:t>
            </w:r>
          </w:p>
        </w:tc>
      </w:tr>
      <w:tr w:rsidR="0042531D" w:rsidRPr="001E4E7D" w14:paraId="1FF6B805" w14:textId="77777777" w:rsidTr="00D72355">
        <w:trPr>
          <w:trHeight w:val="110"/>
        </w:trPr>
        <w:tc>
          <w:tcPr>
            <w:tcW w:w="2268" w:type="dxa"/>
          </w:tcPr>
          <w:p w14:paraId="5C76BAD4" w14:textId="77777777" w:rsidR="0042531D" w:rsidRPr="00FA60E1" w:rsidRDefault="0042531D">
            <w:pPr>
              <w:spacing w:line="240" w:lineRule="auto"/>
              <w:rPr>
                <w:b/>
              </w:rPr>
            </w:pPr>
            <w:r w:rsidRPr="00FA60E1">
              <w:rPr>
                <w:b/>
              </w:rPr>
              <w:t>PTP</w:t>
            </w:r>
          </w:p>
        </w:tc>
        <w:tc>
          <w:tcPr>
            <w:tcW w:w="7122" w:type="dxa"/>
          </w:tcPr>
          <w:p w14:paraId="51EA2E15" w14:textId="77777777" w:rsidR="0042531D" w:rsidRPr="00FA60E1" w:rsidRDefault="0042531D">
            <w:pPr>
              <w:spacing w:line="240" w:lineRule="auto"/>
            </w:pPr>
            <w:r w:rsidRPr="00FA60E1">
              <w:t>Proficiency Testing Program</w:t>
            </w:r>
          </w:p>
        </w:tc>
      </w:tr>
      <w:tr w:rsidR="0042531D" w:rsidRPr="001E4E7D" w14:paraId="55CF2DD6" w14:textId="77777777" w:rsidTr="00D72355">
        <w:trPr>
          <w:trHeight w:val="110"/>
        </w:trPr>
        <w:tc>
          <w:tcPr>
            <w:tcW w:w="2268" w:type="dxa"/>
          </w:tcPr>
          <w:p w14:paraId="56FE49DE" w14:textId="77777777" w:rsidR="0042531D" w:rsidRPr="00FA60E1" w:rsidRDefault="0042531D">
            <w:pPr>
              <w:spacing w:line="240" w:lineRule="auto"/>
              <w:rPr>
                <w:b/>
              </w:rPr>
            </w:pPr>
            <w:r w:rsidRPr="00FA60E1">
              <w:rPr>
                <w:b/>
              </w:rPr>
              <w:t>RCPA QAP</w:t>
            </w:r>
          </w:p>
        </w:tc>
        <w:tc>
          <w:tcPr>
            <w:tcW w:w="7122" w:type="dxa"/>
          </w:tcPr>
          <w:p w14:paraId="7464B05F" w14:textId="77777777" w:rsidR="0042531D" w:rsidRPr="00FA60E1" w:rsidRDefault="0042531D">
            <w:pPr>
              <w:spacing w:line="240" w:lineRule="auto"/>
            </w:pPr>
            <w:r w:rsidRPr="00FA60E1">
              <w:t>The Royal College of Pathologists of Australasia Quality Assurance Programs</w:t>
            </w:r>
          </w:p>
        </w:tc>
      </w:tr>
      <w:tr w:rsidR="0042531D" w:rsidRPr="001E4E7D" w14:paraId="5B0299FF" w14:textId="77777777" w:rsidTr="00D72355">
        <w:trPr>
          <w:trHeight w:val="110"/>
        </w:trPr>
        <w:tc>
          <w:tcPr>
            <w:tcW w:w="2268" w:type="dxa"/>
          </w:tcPr>
          <w:p w14:paraId="081E585E" w14:textId="77777777" w:rsidR="0042531D" w:rsidRPr="00FA60E1" w:rsidRDefault="0042531D">
            <w:pPr>
              <w:spacing w:line="240" w:lineRule="auto"/>
              <w:rPr>
                <w:b/>
              </w:rPr>
            </w:pPr>
            <w:r w:rsidRPr="00FA60E1">
              <w:rPr>
                <w:b/>
              </w:rPr>
              <w:lastRenderedPageBreak/>
              <w:t>UKHSA</w:t>
            </w:r>
          </w:p>
        </w:tc>
        <w:tc>
          <w:tcPr>
            <w:tcW w:w="7122" w:type="dxa"/>
          </w:tcPr>
          <w:p w14:paraId="0F30B7A9" w14:textId="1BC7699E" w:rsidR="0042531D" w:rsidRPr="00FA60E1" w:rsidRDefault="0042531D">
            <w:pPr>
              <w:spacing w:line="240" w:lineRule="auto"/>
            </w:pPr>
            <w:r w:rsidRPr="00FA60E1">
              <w:t>United Kingdom Health Security Agency</w:t>
            </w:r>
          </w:p>
        </w:tc>
      </w:tr>
      <w:tr w:rsidR="16D74527" w14:paraId="52789B59" w14:textId="77777777" w:rsidTr="16D74527">
        <w:trPr>
          <w:trHeight w:val="110"/>
        </w:trPr>
        <w:tc>
          <w:tcPr>
            <w:tcW w:w="2268" w:type="dxa"/>
          </w:tcPr>
          <w:p w14:paraId="0748C9B1" w14:textId="520796A9" w:rsidR="16D74527" w:rsidRDefault="16D74527" w:rsidP="16D74527">
            <w:pPr>
              <w:spacing w:line="240" w:lineRule="auto"/>
              <w:rPr>
                <w:b/>
                <w:bCs/>
              </w:rPr>
            </w:pPr>
            <w:r w:rsidRPr="16D74527">
              <w:rPr>
                <w:b/>
                <w:bCs/>
              </w:rPr>
              <w:t>US CDC</w:t>
            </w:r>
          </w:p>
        </w:tc>
        <w:tc>
          <w:tcPr>
            <w:tcW w:w="7122" w:type="dxa"/>
          </w:tcPr>
          <w:p w14:paraId="01A7F508" w14:textId="77777777" w:rsidR="16D74527" w:rsidRDefault="16D74527" w:rsidP="16D74527">
            <w:pPr>
              <w:spacing w:line="240" w:lineRule="auto"/>
            </w:pPr>
            <w:r>
              <w:t>United States Centers for Disease Control and Prevention</w:t>
            </w:r>
          </w:p>
        </w:tc>
      </w:tr>
      <w:tr w:rsidR="0042531D" w:rsidRPr="001E4E7D" w14:paraId="3779DE3F" w14:textId="77777777" w:rsidTr="00D72355">
        <w:trPr>
          <w:trHeight w:val="110"/>
        </w:trPr>
        <w:tc>
          <w:tcPr>
            <w:tcW w:w="2268" w:type="dxa"/>
          </w:tcPr>
          <w:p w14:paraId="0DDAB00B" w14:textId="77777777" w:rsidR="0042531D" w:rsidRPr="00FA60E1" w:rsidRDefault="0042531D">
            <w:pPr>
              <w:spacing w:line="240" w:lineRule="auto"/>
              <w:rPr>
                <w:b/>
              </w:rPr>
            </w:pPr>
            <w:r w:rsidRPr="00FA60E1">
              <w:rPr>
                <w:b/>
              </w:rPr>
              <w:t>WGS</w:t>
            </w:r>
          </w:p>
        </w:tc>
        <w:tc>
          <w:tcPr>
            <w:tcW w:w="7122" w:type="dxa"/>
          </w:tcPr>
          <w:p w14:paraId="19A058C3" w14:textId="721389C8" w:rsidR="0042531D" w:rsidRPr="00FA60E1" w:rsidRDefault="0042531D">
            <w:pPr>
              <w:spacing w:line="240" w:lineRule="auto"/>
            </w:pPr>
            <w:r w:rsidRPr="00FA60E1">
              <w:t>Whole genome sequencing</w:t>
            </w:r>
            <w:r w:rsidR="30F4E346">
              <w:t xml:space="preserve"> </w:t>
            </w:r>
          </w:p>
        </w:tc>
      </w:tr>
    </w:tbl>
    <w:p w14:paraId="5761D57B" w14:textId="607A5805" w:rsidR="00367EB5" w:rsidRDefault="0038186B" w:rsidP="00367EB5">
      <w:pPr>
        <w:pStyle w:val="Heading1"/>
      </w:pPr>
      <w:bookmarkStart w:id="12" w:name="_Toc135494134"/>
      <w:bookmarkStart w:id="13" w:name="_Toc1582140637"/>
      <w:bookmarkStart w:id="14" w:name="_Toc30720624"/>
      <w:bookmarkStart w:id="15" w:name="_Toc191899394"/>
      <w:r>
        <w:lastRenderedPageBreak/>
        <w:t>Background</w:t>
      </w:r>
      <w:bookmarkEnd w:id="12"/>
      <w:bookmarkEnd w:id="13"/>
      <w:bookmarkEnd w:id="14"/>
      <w:bookmarkEnd w:id="15"/>
      <w:r>
        <w:t xml:space="preserve"> </w:t>
      </w:r>
    </w:p>
    <w:p w14:paraId="53B6085F" w14:textId="3DD315CC" w:rsidR="007921AB" w:rsidRPr="00FA60E1" w:rsidRDefault="007921AB" w:rsidP="00733880">
      <w:r w:rsidRPr="00FA60E1">
        <w:t xml:space="preserve">The genome of a microbe reveals its identity and ancestry, </w:t>
      </w:r>
      <w:r w:rsidRPr="00AE731B">
        <w:t>how it differs from other microbes,</w:t>
      </w:r>
      <w:r w:rsidRPr="00FA60E1">
        <w:rPr>
          <w:rFonts w:ascii="Calibri" w:eastAsia="Calibri" w:hAnsi="Calibri" w:cs="Calibri"/>
        </w:rPr>
        <w:t xml:space="preserve"> </w:t>
      </w:r>
      <w:r w:rsidRPr="00FA60E1">
        <w:t>the ways in which it infects humans, and how it may evade antibiotic and other existing treatment and/or the immune system. Microbial genomics is the study and application of genome sequencing technologies to characterise and analyse microorganisms, including pathogens. It is a powerful and critical tool for the investigation and management of infectious diseases and can be used to improve public health surveillance and inform public health decision-making.</w:t>
      </w:r>
    </w:p>
    <w:p w14:paraId="0DDBC1F3" w14:textId="685A339A" w:rsidR="007921AB" w:rsidRPr="00FA60E1" w:rsidRDefault="007921AB" w:rsidP="00AE731B">
      <w:pPr>
        <w:rPr>
          <w:rFonts w:eastAsiaTheme="minorEastAsia"/>
        </w:rPr>
      </w:pPr>
      <w:r w:rsidRPr="4F50332C">
        <w:rPr>
          <w:rFonts w:eastAsiaTheme="minorEastAsia"/>
        </w:rPr>
        <w:t xml:space="preserve">Several potential public health benefits of microbial genomics are identified and will be expanded on in this </w:t>
      </w:r>
      <w:r w:rsidR="004936B2">
        <w:rPr>
          <w:rFonts w:eastAsiaTheme="minorEastAsia"/>
        </w:rPr>
        <w:t>f</w:t>
      </w:r>
      <w:r w:rsidRPr="4F50332C">
        <w:rPr>
          <w:rFonts w:eastAsiaTheme="minorEastAsia"/>
        </w:rPr>
        <w:t>ramework, including the ability to:</w:t>
      </w:r>
    </w:p>
    <w:p w14:paraId="42AC4505" w14:textId="77777777" w:rsidR="007921AB" w:rsidRPr="00AE731B" w:rsidRDefault="007921AB" w:rsidP="006C7957">
      <w:pPr>
        <w:pStyle w:val="ListParagraph"/>
        <w:numPr>
          <w:ilvl w:val="0"/>
          <w:numId w:val="23"/>
        </w:numPr>
      </w:pPr>
      <w:r w:rsidRPr="00AE731B">
        <w:t>inform public health and infection control and prevention actions for surveillance and outbreak investigations and health care service planning</w:t>
      </w:r>
    </w:p>
    <w:p w14:paraId="65E09E11" w14:textId="30A94EF0" w:rsidR="007921AB" w:rsidRPr="00AE731B" w:rsidRDefault="007921AB" w:rsidP="006C7957">
      <w:pPr>
        <w:pStyle w:val="ListParagraph"/>
        <w:numPr>
          <w:ilvl w:val="0"/>
          <w:numId w:val="23"/>
        </w:numPr>
      </w:pPr>
      <w:r>
        <w:t xml:space="preserve">provide high-resolution, </w:t>
      </w:r>
      <w:r w:rsidR="00AC1086">
        <w:t>national,</w:t>
      </w:r>
      <w:r>
        <w:t xml:space="preserve"> and international compatible typing and characterisation data for communicable disease surveillance and bio-threat detection</w:t>
      </w:r>
    </w:p>
    <w:p w14:paraId="751CD66D" w14:textId="77777777" w:rsidR="007921AB" w:rsidRPr="00AE731B" w:rsidRDefault="007921AB" w:rsidP="006C7957">
      <w:pPr>
        <w:pStyle w:val="ListParagraph"/>
        <w:numPr>
          <w:ilvl w:val="0"/>
          <w:numId w:val="23"/>
        </w:numPr>
      </w:pPr>
      <w:r w:rsidRPr="00AE731B">
        <w:t>monitor changes in epidemiological parameters, pathogen lineages and other characteristics to inform understandings of disease transmission and risk</w:t>
      </w:r>
    </w:p>
    <w:p w14:paraId="6E5B1525" w14:textId="58DE4492" w:rsidR="007921AB" w:rsidRPr="00AE731B" w:rsidRDefault="007921AB" w:rsidP="5E750FAC">
      <w:pPr>
        <w:pStyle w:val="ListParagraph"/>
        <w:numPr>
          <w:ilvl w:val="0"/>
          <w:numId w:val="23"/>
        </w:numPr>
      </w:pPr>
      <w:r w:rsidRPr="00AE731B">
        <w:t>rapidly detect, characterise, and monitor emerging pathogens or new mechanisms of antimicrobial resistance</w:t>
      </w:r>
      <w:r w:rsidR="00902EAC">
        <w:t xml:space="preserve"> (AMR)</w:t>
      </w:r>
    </w:p>
    <w:p w14:paraId="5F01F776" w14:textId="44791E15" w:rsidR="14CA325A" w:rsidRDefault="14CA325A" w:rsidP="5E750FAC">
      <w:pPr>
        <w:pStyle w:val="ListParagraph"/>
        <w:numPr>
          <w:ilvl w:val="0"/>
          <w:numId w:val="23"/>
        </w:numPr>
      </w:pPr>
      <w:r>
        <w:t>work collaborat</w:t>
      </w:r>
      <w:r w:rsidR="11FC82BD">
        <w:t>iv</w:t>
      </w:r>
      <w:r>
        <w:t xml:space="preserve">ely across the One Health sector </w:t>
      </w:r>
      <w:r w:rsidR="0ED81F11">
        <w:t xml:space="preserve">using genomic sequencing to </w:t>
      </w:r>
      <w:r w:rsidR="58AB1AEB">
        <w:t xml:space="preserve">enhance </w:t>
      </w:r>
      <w:r>
        <w:t>outbreak investigations</w:t>
      </w:r>
    </w:p>
    <w:p w14:paraId="37472EE4" w14:textId="77777777" w:rsidR="007921AB" w:rsidRPr="00AE731B" w:rsidRDefault="007921AB" w:rsidP="5E750FAC">
      <w:pPr>
        <w:pStyle w:val="ListParagraph"/>
        <w:numPr>
          <w:ilvl w:val="0"/>
          <w:numId w:val="23"/>
        </w:numPr>
      </w:pPr>
      <w:r w:rsidRPr="00AE731B">
        <w:t>monitor and predict the effectiveness of treatments and vaccines for communicable disease pathogens</w:t>
      </w:r>
    </w:p>
    <w:p w14:paraId="40DEC3CF" w14:textId="77777777" w:rsidR="007921AB" w:rsidRPr="00AE731B" w:rsidRDefault="007921AB" w:rsidP="006C7957">
      <w:pPr>
        <w:pStyle w:val="ListParagraph"/>
        <w:numPr>
          <w:ilvl w:val="0"/>
          <w:numId w:val="23"/>
        </w:numPr>
      </w:pPr>
      <w:r w:rsidRPr="00AE731B">
        <w:t>inform therapeutics and vaccine development and continuing susceptibility to existing treatment and vaccines</w:t>
      </w:r>
    </w:p>
    <w:p w14:paraId="3D0AB404" w14:textId="4E462F67" w:rsidR="007921AB" w:rsidRPr="00AE731B" w:rsidRDefault="007921AB" w:rsidP="006C7957">
      <w:pPr>
        <w:pStyle w:val="ListParagraph"/>
        <w:numPr>
          <w:ilvl w:val="0"/>
          <w:numId w:val="23"/>
        </w:numPr>
      </w:pPr>
      <w:r w:rsidRPr="00AE731B">
        <w:t>assist in informing agricultural and water management practices and determining the persistence of microbes in the environment</w:t>
      </w:r>
    </w:p>
    <w:p w14:paraId="5EA8D2CB" w14:textId="77777777" w:rsidR="007921AB" w:rsidRPr="00AE731B" w:rsidRDefault="007921AB" w:rsidP="006C7957">
      <w:pPr>
        <w:pStyle w:val="ListParagraph"/>
        <w:numPr>
          <w:ilvl w:val="0"/>
          <w:numId w:val="23"/>
        </w:numPr>
      </w:pPr>
      <w:r w:rsidRPr="00AE731B">
        <w:t>inform law enforcement investigations associated with microbial genomic forensic elements.</w:t>
      </w:r>
    </w:p>
    <w:p w14:paraId="0ECC2453" w14:textId="77777777" w:rsidR="007921AB" w:rsidRPr="00FA60E1" w:rsidRDefault="007921AB" w:rsidP="00AE731B">
      <w:pPr>
        <w:contextualSpacing/>
        <w:rPr>
          <w:rFonts w:eastAsiaTheme="minorEastAsia"/>
        </w:rPr>
      </w:pPr>
      <w:r w:rsidRPr="00FA60E1">
        <w:rPr>
          <w:rFonts w:eastAsiaTheme="minorEastAsia"/>
        </w:rPr>
        <w:t xml:space="preserve">Noting its utility, integration of whole genome sequencing (WGS) into public health has been gradually building over many years. However, like any integration, there are </w:t>
      </w:r>
      <w:r w:rsidRPr="00FA60E1">
        <w:rPr>
          <w:rFonts w:eastAsiaTheme="minorEastAsia"/>
        </w:rPr>
        <w:lastRenderedPageBreak/>
        <w:t>challenges that impact the implementation of microbial genomics technology in Australia, including the following:</w:t>
      </w:r>
    </w:p>
    <w:p w14:paraId="489A3BE6" w14:textId="426908FD" w:rsidR="007921AB" w:rsidRPr="00AE731B" w:rsidRDefault="007921AB" w:rsidP="006C7957">
      <w:pPr>
        <w:pStyle w:val="ListParagraph"/>
        <w:numPr>
          <w:ilvl w:val="0"/>
          <w:numId w:val="23"/>
        </w:numPr>
      </w:pPr>
      <w:r w:rsidRPr="00AE731B">
        <w:t>There are differences in jurisdictional capacity, expectations, methodology, instrumentation, governance structures and requirements for microbial genomic technologies, information, and funding for pathogen genomic services within both the public health laboratories (PHLs) and public health units (PHUs).</w:t>
      </w:r>
    </w:p>
    <w:p w14:paraId="5FF8C5C9" w14:textId="126DCA30" w:rsidR="007921AB" w:rsidRPr="00AE731B" w:rsidRDefault="007921AB" w:rsidP="006C7957">
      <w:pPr>
        <w:pStyle w:val="ListParagraph"/>
        <w:numPr>
          <w:ilvl w:val="0"/>
          <w:numId w:val="23"/>
        </w:numPr>
      </w:pPr>
      <w:r w:rsidRPr="00AE731B">
        <w:t>There is no endorsed approach for PHLs and PHUs to fully integrate microbial genomics data and metadata into existing surveillance systems, networks, and other infrastructure (for example, CARalert, AusTrakka, and the National Notifiable Diseases Surveillance System).</w:t>
      </w:r>
    </w:p>
    <w:p w14:paraId="65C8AB0D" w14:textId="48CCC4BA" w:rsidR="007921AB" w:rsidRPr="00FA60E1" w:rsidRDefault="007921AB" w:rsidP="006C7957">
      <w:pPr>
        <w:pStyle w:val="ListParagraph"/>
        <w:numPr>
          <w:ilvl w:val="0"/>
          <w:numId w:val="23"/>
        </w:numPr>
      </w:pPr>
      <w:r w:rsidRPr="00AE731B">
        <w:t xml:space="preserve">There is a need to standardise reporting on WGS which </w:t>
      </w:r>
      <w:r>
        <w:t>is collected in laboratory information management and public health surveillance systems.</w:t>
      </w:r>
    </w:p>
    <w:p w14:paraId="5E56F54D" w14:textId="5B8A44FA" w:rsidR="007921AB" w:rsidRPr="00AE731B" w:rsidRDefault="007921AB" w:rsidP="006C7957">
      <w:pPr>
        <w:pStyle w:val="ListParagraph"/>
        <w:numPr>
          <w:ilvl w:val="0"/>
          <w:numId w:val="23"/>
        </w:numPr>
      </w:pPr>
      <w:r w:rsidRPr="00AE731B">
        <w:t>There is an essential need to undertake more extensive workforce planning and training in pathogen genomics for roles including, pathologists, medical, and environmental laboratory scientists, bioinformaticians, epidemiologists, data scientists and software developers.</w:t>
      </w:r>
    </w:p>
    <w:p w14:paraId="490D742C" w14:textId="6505BF3C" w:rsidR="007921AB" w:rsidRPr="00FA60E1" w:rsidRDefault="007921AB" w:rsidP="006C7957">
      <w:pPr>
        <w:pStyle w:val="ListParagraph"/>
        <w:numPr>
          <w:ilvl w:val="0"/>
          <w:numId w:val="23"/>
        </w:numPr>
      </w:pPr>
      <w:r w:rsidRPr="00AE731B">
        <w:t xml:space="preserve">There is limited genomic-related infrastructure with sustainable funding models </w:t>
      </w:r>
      <w:r>
        <w:t>to support public health implementation.</w:t>
      </w:r>
    </w:p>
    <w:p w14:paraId="242E96B9" w14:textId="156D702C" w:rsidR="007921AB" w:rsidRPr="00AE731B" w:rsidRDefault="007921AB" w:rsidP="006C7957">
      <w:pPr>
        <w:pStyle w:val="ListParagraph"/>
        <w:numPr>
          <w:ilvl w:val="0"/>
          <w:numId w:val="23"/>
        </w:numPr>
      </w:pPr>
      <w:r w:rsidRPr="00AE731B">
        <w:t>There is a need to expand upon developed policies and procedures to enable rapid national genomics data sharing and analysis to enhance public health surveillance and responses beyond COVID-19 and across the human, animal, and environmental health sectors.</w:t>
      </w:r>
    </w:p>
    <w:p w14:paraId="2A590FC6" w14:textId="7E0D81F5" w:rsidR="007921AB" w:rsidRPr="00AE731B" w:rsidRDefault="007921AB" w:rsidP="006C7957">
      <w:pPr>
        <w:pStyle w:val="ListParagraph"/>
        <w:numPr>
          <w:ilvl w:val="0"/>
          <w:numId w:val="23"/>
        </w:numPr>
      </w:pPr>
      <w:r w:rsidRPr="00AE731B">
        <w:t>There is a need to develop and strengthen national standards and definitions of quality practices to assist accreditation of microbial genomics analysis in Australia.</w:t>
      </w:r>
    </w:p>
    <w:p w14:paraId="35BEED3B" w14:textId="77777777" w:rsidR="007921AB" w:rsidRPr="00FA60E1" w:rsidRDefault="007921AB" w:rsidP="00AE731B">
      <w:pPr>
        <w:contextualSpacing/>
        <w:rPr>
          <w:rFonts w:eastAsiaTheme="minorEastAsia"/>
        </w:rPr>
      </w:pPr>
      <w:r w:rsidRPr="4F50332C">
        <w:rPr>
          <w:rFonts w:eastAsiaTheme="minorEastAsia"/>
        </w:rPr>
        <w:t xml:space="preserve">Failing to address these challenges and areas of interest could result in </w:t>
      </w:r>
      <w:r w:rsidRPr="00925829">
        <w:rPr>
          <w:rFonts w:eastAsiaTheme="minorEastAsia"/>
        </w:rPr>
        <w:t>the potential utility of microbial genomics being not fully realised.</w:t>
      </w:r>
    </w:p>
    <w:p w14:paraId="240E9D64" w14:textId="304E1FFF" w:rsidR="007921AB" w:rsidRPr="00FA60E1" w:rsidRDefault="007921AB" w:rsidP="007B687B">
      <w:pPr>
        <w:pStyle w:val="StyleAfter8pt"/>
        <w:rPr>
          <w:rFonts w:eastAsiaTheme="minorEastAsia"/>
        </w:rPr>
      </w:pPr>
      <w:r w:rsidRPr="4F50332C">
        <w:rPr>
          <w:rFonts w:eastAsiaTheme="minorEastAsia"/>
        </w:rPr>
        <w:t xml:space="preserve">Early work undertaken by the Communicable Diseases Genomics Network (CDGN), an Expert Reference Panel of Australia’s Public Health Laboratory Network (PHLN), identified the need to formally establish a nationally agreed and consistent microbial genomics system, to better support coordination and implementation of microbial genomics into Australian </w:t>
      </w:r>
      <w:r w:rsidR="001F4E2D">
        <w:rPr>
          <w:rFonts w:eastAsiaTheme="minorEastAsia"/>
        </w:rPr>
        <w:t>PHLs</w:t>
      </w:r>
      <w:r w:rsidRPr="4F50332C">
        <w:rPr>
          <w:rFonts w:eastAsiaTheme="minorEastAsia"/>
        </w:rPr>
        <w:t>. Acknowledging the variable capability and challenges that existed, it was determined that a national strategic framework would be the most appropriate mechanism to help drive this work forward.</w:t>
      </w:r>
    </w:p>
    <w:p w14:paraId="4DB5FB93" w14:textId="7E23D788" w:rsidR="007921AB" w:rsidRPr="00790C79" w:rsidRDefault="007921AB" w:rsidP="007B687B">
      <w:pPr>
        <w:pStyle w:val="StyleAfter8pt"/>
        <w:rPr>
          <w:rFonts w:eastAsiaTheme="minorEastAsia"/>
        </w:rPr>
      </w:pPr>
      <w:r w:rsidRPr="4F50332C">
        <w:rPr>
          <w:rFonts w:eastAsiaTheme="minorEastAsia"/>
        </w:rPr>
        <w:t xml:space="preserve">In </w:t>
      </w:r>
      <w:r w:rsidRPr="00790C79">
        <w:rPr>
          <w:rFonts w:eastAsiaTheme="minorEastAsia"/>
        </w:rPr>
        <w:t>2019, the</w:t>
      </w:r>
      <w:r w:rsidRPr="00790C79">
        <w:rPr>
          <w:rFonts w:eastAsiaTheme="minorEastAsia"/>
          <w:i/>
          <w:iCs/>
        </w:rPr>
        <w:t xml:space="preserve"> </w:t>
      </w:r>
      <w:hyperlink r:id="rId16">
        <w:r w:rsidRPr="00790C79">
          <w:rPr>
            <w:rStyle w:val="Hyperlink"/>
            <w:rFonts w:eastAsiaTheme="minorEastAsia"/>
            <w:i/>
            <w:iCs/>
            <w:color w:val="auto"/>
          </w:rPr>
          <w:t>National Microbial Genomics Framework 2019-2022</w:t>
        </w:r>
      </w:hyperlink>
      <w:r w:rsidRPr="00790C79">
        <w:rPr>
          <w:rFonts w:eastAsiaTheme="minorEastAsia"/>
        </w:rPr>
        <w:t xml:space="preserve"> (the 2019-2022 Framework) was published as the first national strategic document for microbial </w:t>
      </w:r>
      <w:r w:rsidRPr="00790C79">
        <w:rPr>
          <w:rFonts w:eastAsiaTheme="minorEastAsia"/>
        </w:rPr>
        <w:lastRenderedPageBreak/>
        <w:t xml:space="preserve">genomics in Australia. </w:t>
      </w:r>
      <w:r w:rsidR="007511BD" w:rsidRPr="00790C79">
        <w:rPr>
          <w:rFonts w:eastAsiaTheme="minorEastAsia"/>
        </w:rPr>
        <w:t xml:space="preserve">The 2019-2022 Framework placed a strong focus on issues that would benefit from collaboration across all jurisdictions and between PHLs </w:t>
      </w:r>
      <w:r w:rsidR="007511BD" w:rsidRPr="323D9759">
        <w:rPr>
          <w:rFonts w:eastAsiaTheme="minorEastAsia"/>
        </w:rPr>
        <w:t>and PHUs specifically.</w:t>
      </w:r>
      <w:r w:rsidR="00A20A91">
        <w:rPr>
          <w:rFonts w:eastAsiaTheme="minorEastAsia"/>
        </w:rPr>
        <w:t xml:space="preserve"> </w:t>
      </w:r>
    </w:p>
    <w:p w14:paraId="48C31BE6" w14:textId="4F01FE69" w:rsidR="007921AB" w:rsidRPr="00FA60E1" w:rsidRDefault="007921AB" w:rsidP="007B687B">
      <w:pPr>
        <w:pStyle w:val="StyleAfter8pt"/>
        <w:rPr>
          <w:rFonts w:eastAsiaTheme="minorEastAsia"/>
        </w:rPr>
      </w:pPr>
      <w:r w:rsidRPr="00790C79">
        <w:rPr>
          <w:rFonts w:eastAsiaTheme="minorEastAsia"/>
        </w:rPr>
        <w:t xml:space="preserve">The 2019-2022 Framework was consistent with, and complementary to, the </w:t>
      </w:r>
      <w:hyperlink r:id="rId17">
        <w:r w:rsidRPr="00790C79">
          <w:rPr>
            <w:rStyle w:val="Hyperlink"/>
            <w:rFonts w:eastAsiaTheme="minorEastAsia"/>
            <w:i/>
            <w:iCs/>
            <w:color w:val="auto"/>
          </w:rPr>
          <w:t>National Health Genomics Policy Framework 2018-2021</w:t>
        </w:r>
      </w:hyperlink>
      <w:r w:rsidR="00B739A0">
        <w:rPr>
          <w:rStyle w:val="Hyperlink"/>
          <w:rFonts w:eastAsiaTheme="minorEastAsia"/>
          <w:i/>
          <w:iCs/>
          <w:color w:val="auto"/>
        </w:rPr>
        <w:t>.</w:t>
      </w:r>
      <w:r w:rsidRPr="00790C79">
        <w:rPr>
          <w:rFonts w:eastAsiaTheme="minorEastAsia"/>
        </w:rPr>
        <w:t xml:space="preserve"> </w:t>
      </w:r>
      <w:r w:rsidRPr="323D9759">
        <w:rPr>
          <w:rFonts w:eastAsiaTheme="minorEastAsia"/>
        </w:rPr>
        <w:t xml:space="preserve">The Australian Government is currently working with states and territories through the newly established Health Technology and Genomics Collaboration to update and refresh the lapsed </w:t>
      </w:r>
      <w:r w:rsidRPr="00B1231E">
        <w:rPr>
          <w:rFonts w:eastAsiaTheme="minorEastAsia"/>
        </w:rPr>
        <w:t>National Health Genomics Policy Framework</w:t>
      </w:r>
      <w:r w:rsidRPr="323D9759">
        <w:rPr>
          <w:rFonts w:eastAsiaTheme="minorEastAsia"/>
        </w:rPr>
        <w:t xml:space="preserve"> and Implementation Plan.</w:t>
      </w:r>
    </w:p>
    <w:p w14:paraId="550C765C" w14:textId="72EAD08E" w:rsidR="007921AB" w:rsidRPr="00FA60E1" w:rsidRDefault="007921AB" w:rsidP="007B687B">
      <w:pPr>
        <w:pStyle w:val="StyleAfter8pt"/>
        <w:rPr>
          <w:rFonts w:eastAsiaTheme="minorEastAsia"/>
        </w:rPr>
      </w:pPr>
      <w:r w:rsidRPr="323D9759">
        <w:rPr>
          <w:rFonts w:eastAsiaTheme="minorEastAsia"/>
        </w:rPr>
        <w:t>An associated implementation plan (the Plan) which operationalised the 2019-2022 Framework was endorsed by the Australian Health Protection Committee (AHPC)</w:t>
      </w:r>
      <w:r w:rsidRPr="323D9759">
        <w:rPr>
          <w:rStyle w:val="FootnoteReference"/>
          <w:rFonts w:eastAsiaTheme="minorEastAsia"/>
        </w:rPr>
        <w:footnoteReference w:id="2"/>
      </w:r>
      <w:r w:rsidRPr="323D9759">
        <w:rPr>
          <w:rFonts w:eastAsiaTheme="minorEastAsia"/>
        </w:rPr>
        <w:t xml:space="preserve"> in early 2021. The purpose of the Plan was to identify actions, responsibilities, timeframes, priorities, and resourcing requirements for the integration of microbial genomics into the Australian public health system.</w:t>
      </w:r>
    </w:p>
    <w:p w14:paraId="1DCE7C5F" w14:textId="0BB97706" w:rsidR="008C6BF4" w:rsidRDefault="007921AB" w:rsidP="00AE731B">
      <w:pPr>
        <w:rPr>
          <w:rFonts w:eastAsiaTheme="minorEastAsia"/>
        </w:rPr>
      </w:pPr>
      <w:r w:rsidRPr="4F50332C">
        <w:rPr>
          <w:rFonts w:eastAsiaTheme="minorEastAsia"/>
        </w:rPr>
        <w:t>Since initial publication, the application of genomic surveillance to support outbreak response has accelerated the development of a nationally coordinated approach to sequencing and analysis. For more information, please refer to Annex A.</w:t>
      </w:r>
    </w:p>
    <w:p w14:paraId="6517E331" w14:textId="77777777" w:rsidR="008C6BF4" w:rsidRDefault="008C6BF4">
      <w:pPr>
        <w:spacing w:before="0" w:after="0" w:line="240" w:lineRule="auto"/>
        <w:rPr>
          <w:rFonts w:eastAsiaTheme="minorEastAsia"/>
        </w:rPr>
      </w:pPr>
      <w:r>
        <w:rPr>
          <w:rFonts w:eastAsiaTheme="minorEastAsia"/>
        </w:rPr>
        <w:br w:type="page"/>
      </w:r>
    </w:p>
    <w:p w14:paraId="6E3BB970" w14:textId="08CA2D8F" w:rsidR="008C6BF4" w:rsidRDefault="004A3698" w:rsidP="008C6BF4">
      <w:pPr>
        <w:pStyle w:val="Heading1"/>
      </w:pPr>
      <w:bookmarkStart w:id="16" w:name="_Toc135494135"/>
      <w:bookmarkStart w:id="17" w:name="_Toc178614339"/>
      <w:bookmarkStart w:id="18" w:name="_Toc427793210"/>
      <w:bookmarkStart w:id="19" w:name="_Toc191899395"/>
      <w:r>
        <w:lastRenderedPageBreak/>
        <w:t>Purpose</w:t>
      </w:r>
      <w:bookmarkEnd w:id="16"/>
      <w:bookmarkEnd w:id="17"/>
      <w:bookmarkEnd w:id="18"/>
      <w:bookmarkEnd w:id="19"/>
      <w:r>
        <w:t xml:space="preserve"> </w:t>
      </w:r>
    </w:p>
    <w:p w14:paraId="6D43BF97" w14:textId="211EE00B" w:rsidR="004857EE" w:rsidRPr="00FA60E1" w:rsidRDefault="004857EE" w:rsidP="007B687B">
      <w:pPr>
        <w:pStyle w:val="StyleAfter8pt"/>
        <w:rPr>
          <w:rFonts w:eastAsiaTheme="minorEastAsia"/>
        </w:rPr>
      </w:pPr>
      <w:r w:rsidRPr="5B245CE6">
        <w:rPr>
          <w:rFonts w:eastAsiaTheme="minorEastAsia"/>
        </w:rPr>
        <w:t xml:space="preserve">The purpose of the </w:t>
      </w:r>
      <w:r w:rsidRPr="00D74780">
        <w:rPr>
          <w:i/>
          <w:iCs/>
        </w:rPr>
        <w:t>National Microbial Genomics Framework</w:t>
      </w:r>
      <w:r w:rsidRPr="00D74780">
        <w:rPr>
          <w:rFonts w:eastAsiaTheme="minorEastAsia"/>
          <w:i/>
          <w:iCs/>
        </w:rPr>
        <w:t xml:space="preserve"> for Public Health 202</w:t>
      </w:r>
      <w:r w:rsidR="00C65FA2">
        <w:rPr>
          <w:rFonts w:eastAsiaTheme="minorEastAsia"/>
          <w:i/>
          <w:iCs/>
        </w:rPr>
        <w:t>5</w:t>
      </w:r>
      <w:r w:rsidRPr="00D74780">
        <w:rPr>
          <w:rFonts w:eastAsiaTheme="minorEastAsia"/>
          <w:i/>
          <w:iCs/>
        </w:rPr>
        <w:t>-202</w:t>
      </w:r>
      <w:r w:rsidR="00C65FA2">
        <w:rPr>
          <w:rFonts w:eastAsiaTheme="minorEastAsia"/>
          <w:i/>
          <w:iCs/>
        </w:rPr>
        <w:t>7</w:t>
      </w:r>
      <w:r w:rsidRPr="5B245CE6">
        <w:rPr>
          <w:rFonts w:eastAsiaTheme="minorEastAsia"/>
        </w:rPr>
        <w:t xml:space="preserve"> (the Framework) is to provide a consistent, national, and strategic view for integrating microbial genomics into the Australian public health system, and identify microbial genomics policy issues and challenges that need to be addressed. The Framework is a high-level document that takes into consideration the various domestic and international public health surveillance plans and strategies, which have public health and genomics intersections.</w:t>
      </w:r>
    </w:p>
    <w:p w14:paraId="0C4EF0E9" w14:textId="6B75A132" w:rsidR="004857EE" w:rsidRPr="00FA60E1" w:rsidRDefault="004857EE" w:rsidP="002A1180">
      <w:pPr>
        <w:rPr>
          <w:rFonts w:eastAsiaTheme="minorEastAsia"/>
        </w:rPr>
      </w:pPr>
      <w:r w:rsidRPr="00FA60E1">
        <w:rPr>
          <w:rFonts w:eastAsiaTheme="minorEastAsia"/>
        </w:rPr>
        <w:t>Specifically, the Framework:</w:t>
      </w:r>
      <w:r w:rsidR="00DF7669">
        <w:rPr>
          <w:rFonts w:eastAsiaTheme="minorEastAsia"/>
        </w:rPr>
        <w:t xml:space="preserve"> </w:t>
      </w:r>
    </w:p>
    <w:p w14:paraId="4B7CE07A" w14:textId="77777777" w:rsidR="004857EE" w:rsidRPr="00122411" w:rsidRDefault="004857EE" w:rsidP="006C7957">
      <w:pPr>
        <w:pStyle w:val="ListParagraph"/>
        <w:numPr>
          <w:ilvl w:val="0"/>
          <w:numId w:val="23"/>
        </w:numPr>
      </w:pPr>
      <w:r w:rsidRPr="00122411">
        <w:t>continues to support better coordination and consistency of action between PHLs and PHUs to ensure the benefits of microbial genomics are harnessed in an efficient, effective, ethical, and equitable way</w:t>
      </w:r>
    </w:p>
    <w:p w14:paraId="10BC8D40" w14:textId="77777777" w:rsidR="004857EE" w:rsidRPr="00122411" w:rsidRDefault="004857EE" w:rsidP="006C7957">
      <w:pPr>
        <w:pStyle w:val="ListParagraph"/>
        <w:numPr>
          <w:ilvl w:val="0"/>
          <w:numId w:val="23"/>
        </w:numPr>
      </w:pPr>
      <w:r w:rsidRPr="00122411">
        <w:t>provides high-level guidance for the continued progress towards a nationally agreed microbial genomics system that allows organisms of public health importance to be identified within the auspice of a robust quality management system</w:t>
      </w:r>
    </w:p>
    <w:p w14:paraId="2C839D6D" w14:textId="77777777" w:rsidR="004857EE" w:rsidRPr="00122411" w:rsidRDefault="004857EE" w:rsidP="006C7957">
      <w:pPr>
        <w:pStyle w:val="ListParagraph"/>
        <w:numPr>
          <w:ilvl w:val="0"/>
          <w:numId w:val="23"/>
        </w:numPr>
      </w:pPr>
      <w:r w:rsidRPr="00122411">
        <w:t>highlights that development of both domestic and international linkages for information sharing and communication are essential to drive this important public health initiative</w:t>
      </w:r>
    </w:p>
    <w:p w14:paraId="503B3BE2" w14:textId="759557AF" w:rsidR="004857EE" w:rsidRPr="00122411" w:rsidRDefault="004857EE" w:rsidP="006C7957">
      <w:pPr>
        <w:pStyle w:val="ListParagraph"/>
        <w:numPr>
          <w:ilvl w:val="0"/>
          <w:numId w:val="23"/>
        </w:numPr>
      </w:pPr>
      <w:r w:rsidRPr="00122411">
        <w:t>prioritises issues for consideration and indicates where further work is needed, while also recognising that stakeholders have a role in addressing issues independently</w:t>
      </w:r>
    </w:p>
    <w:p w14:paraId="0B752C6A" w14:textId="77777777" w:rsidR="004857EE" w:rsidRPr="00122411" w:rsidRDefault="004857EE" w:rsidP="006C7957">
      <w:pPr>
        <w:pStyle w:val="ListParagraph"/>
        <w:numPr>
          <w:ilvl w:val="0"/>
          <w:numId w:val="23"/>
        </w:numPr>
      </w:pPr>
      <w:r w:rsidRPr="00122411">
        <w:t xml:space="preserve">identifies other emerging issues, in light of rapid developments in sequencing technology, and increased stakeholder access and engagement. </w:t>
      </w:r>
    </w:p>
    <w:p w14:paraId="1F1926BC" w14:textId="4786D5AF" w:rsidR="004857EE" w:rsidRPr="00515A57" w:rsidRDefault="00515A57" w:rsidP="00AD2E7F">
      <w:pPr>
        <w:pStyle w:val="Heading2"/>
        <w:rPr>
          <w:rFonts w:eastAsiaTheme="minorEastAsia"/>
        </w:rPr>
      </w:pPr>
      <w:bookmarkStart w:id="20" w:name="_Toc135494136"/>
      <w:bookmarkStart w:id="21" w:name="_Toc1432505364"/>
      <w:bookmarkStart w:id="22" w:name="_Toc993687997"/>
      <w:bookmarkStart w:id="23" w:name="_Toc191899396"/>
      <w:r w:rsidRPr="25477CAA">
        <w:rPr>
          <w:rFonts w:eastAsiaTheme="minorEastAsia"/>
        </w:rPr>
        <w:t>Vision</w:t>
      </w:r>
      <w:bookmarkEnd w:id="20"/>
      <w:bookmarkEnd w:id="21"/>
      <w:bookmarkEnd w:id="22"/>
      <w:bookmarkEnd w:id="23"/>
    </w:p>
    <w:p w14:paraId="209D0441" w14:textId="09A5ACB3" w:rsidR="00641E61" w:rsidRPr="00FA60E1" w:rsidRDefault="00641E61" w:rsidP="00AD2E7F">
      <w:pPr>
        <w:rPr>
          <w:rFonts w:eastAsiaTheme="minorEastAsia"/>
        </w:rPr>
      </w:pPr>
      <w:r w:rsidRPr="00FA60E1">
        <w:rPr>
          <w:rFonts w:eastAsiaTheme="minorEastAsia"/>
        </w:rPr>
        <w:t>To protect the health of all Australians from communicable disease and biological agent threats (including foodborne, zoonotic, and environmental) through:</w:t>
      </w:r>
    </w:p>
    <w:p w14:paraId="42B8E2B1" w14:textId="612CA09C" w:rsidR="00641E61" w:rsidRPr="00122411" w:rsidRDefault="002C5770" w:rsidP="4948F0E7">
      <w:pPr>
        <w:pStyle w:val="ListParagraph"/>
        <w:numPr>
          <w:ilvl w:val="0"/>
          <w:numId w:val="23"/>
        </w:numPr>
      </w:pPr>
      <w:r>
        <w:t xml:space="preserve">the </w:t>
      </w:r>
      <w:r w:rsidR="00641E61" w:rsidRPr="00122411">
        <w:t xml:space="preserve">equitable and sustainable access to near real-time microbial genomics sequencing, nationally coordinated </w:t>
      </w:r>
      <w:r w:rsidR="00A24A7B" w:rsidRPr="00122411">
        <w:t>analysis,</w:t>
      </w:r>
      <w:r w:rsidR="00641E61" w:rsidRPr="00122411">
        <w:t xml:space="preserve"> and reporting </w:t>
      </w:r>
    </w:p>
    <w:p w14:paraId="49DD792A" w14:textId="7720815C" w:rsidR="00641E61" w:rsidRPr="00122411" w:rsidRDefault="002C5770" w:rsidP="4948F0E7">
      <w:pPr>
        <w:pStyle w:val="ListParagraph"/>
        <w:numPr>
          <w:ilvl w:val="0"/>
          <w:numId w:val="23"/>
        </w:numPr>
      </w:pPr>
      <w:r>
        <w:t xml:space="preserve">the </w:t>
      </w:r>
      <w:r w:rsidR="00641E61" w:rsidRPr="00122411">
        <w:t>generation of critical research evidence and development of methods</w:t>
      </w:r>
    </w:p>
    <w:p w14:paraId="507E2A6E" w14:textId="7D51D7EC" w:rsidR="00641E61" w:rsidRPr="00122411" w:rsidRDefault="6117BC27" w:rsidP="5A36DD3A">
      <w:pPr>
        <w:pStyle w:val="ListParagraph"/>
        <w:numPr>
          <w:ilvl w:val="0"/>
          <w:numId w:val="23"/>
        </w:numPr>
      </w:pPr>
      <w:r>
        <w:t>continu</w:t>
      </w:r>
      <w:r w:rsidR="00005A54">
        <w:t xml:space="preserve">ed </w:t>
      </w:r>
      <w:r w:rsidR="5841BCE4">
        <w:t>efforts</w:t>
      </w:r>
      <w:r>
        <w:t xml:space="preserve"> towards </w:t>
      </w:r>
      <w:r w:rsidR="73549557">
        <w:t>timely, responsible, and transparent, bi-directional data sharing and integration into public health surveillance systems</w:t>
      </w:r>
    </w:p>
    <w:p w14:paraId="132EA690" w14:textId="3C1856C4" w:rsidR="00641E61" w:rsidRPr="00122411" w:rsidRDefault="00641E61" w:rsidP="006C7957">
      <w:pPr>
        <w:pStyle w:val="ListParagraph"/>
        <w:numPr>
          <w:ilvl w:val="0"/>
          <w:numId w:val="23"/>
        </w:numPr>
      </w:pPr>
      <w:r w:rsidRPr="00122411">
        <w:lastRenderedPageBreak/>
        <w:t>the continued evolution of use in routine surveillance for pathogens of public health significance.</w:t>
      </w:r>
    </w:p>
    <w:p w14:paraId="04445215" w14:textId="77777777" w:rsidR="00D86074" w:rsidRPr="009814D7" w:rsidRDefault="00D86074" w:rsidP="00AD2E7F">
      <w:pPr>
        <w:pStyle w:val="Heading2"/>
        <w:rPr>
          <w:rFonts w:eastAsiaTheme="minorEastAsia"/>
        </w:rPr>
      </w:pPr>
      <w:bookmarkStart w:id="24" w:name="_Toc135494138"/>
      <w:bookmarkStart w:id="25" w:name="_Toc1816326145"/>
      <w:bookmarkStart w:id="26" w:name="_Toc1616369669"/>
      <w:bookmarkStart w:id="27" w:name="_Toc191899397"/>
      <w:r w:rsidRPr="25477CAA">
        <w:rPr>
          <w:rFonts w:eastAsiaTheme="minorEastAsia"/>
        </w:rPr>
        <w:t>Audience</w:t>
      </w:r>
      <w:bookmarkEnd w:id="24"/>
      <w:bookmarkEnd w:id="25"/>
      <w:bookmarkEnd w:id="26"/>
      <w:bookmarkEnd w:id="27"/>
    </w:p>
    <w:p w14:paraId="48A3E710" w14:textId="62C1D374" w:rsidR="00A91840" w:rsidRDefault="00A91840" w:rsidP="00AD2E7F">
      <w:pPr>
        <w:rPr>
          <w:rFonts w:eastAsiaTheme="minorEastAsia"/>
        </w:rPr>
      </w:pPr>
      <w:r w:rsidRPr="4F50332C">
        <w:rPr>
          <w:rFonts w:eastAsiaTheme="minorEastAsia"/>
        </w:rPr>
        <w:t xml:space="preserve">This </w:t>
      </w:r>
      <w:r w:rsidR="004936B2">
        <w:rPr>
          <w:rFonts w:eastAsiaTheme="minorEastAsia"/>
        </w:rPr>
        <w:t>f</w:t>
      </w:r>
      <w:r w:rsidRPr="4F50332C">
        <w:rPr>
          <w:rFonts w:eastAsiaTheme="minorEastAsia"/>
        </w:rPr>
        <w:t>ramework is designed as a tool to provide guidance for the development, implementation and funding of microbial genomic related policies, strategies, actions, and services. The Framework is directed at decision-makers, funders and policymakers at state, territory, and national health service levels.</w:t>
      </w:r>
    </w:p>
    <w:p w14:paraId="0BA159E6" w14:textId="77777777" w:rsidR="00B80C1E" w:rsidRPr="009814D7" w:rsidRDefault="00B80C1E" w:rsidP="00AD2E7F">
      <w:pPr>
        <w:pStyle w:val="Heading2"/>
        <w:rPr>
          <w:rFonts w:eastAsiaTheme="minorEastAsia"/>
        </w:rPr>
      </w:pPr>
      <w:bookmarkStart w:id="28" w:name="_Toc135494139"/>
      <w:bookmarkStart w:id="29" w:name="_Toc1860254477"/>
      <w:bookmarkStart w:id="30" w:name="_Toc2145571351"/>
      <w:bookmarkStart w:id="31" w:name="_Toc191899398"/>
      <w:r w:rsidRPr="25477CAA">
        <w:rPr>
          <w:rFonts w:eastAsiaTheme="minorEastAsia"/>
        </w:rPr>
        <w:t>Timeframe</w:t>
      </w:r>
      <w:bookmarkEnd w:id="28"/>
      <w:bookmarkEnd w:id="29"/>
      <w:bookmarkEnd w:id="30"/>
      <w:bookmarkEnd w:id="31"/>
    </w:p>
    <w:p w14:paraId="2F8DA3D0" w14:textId="065592AF" w:rsidR="00AA3DE3" w:rsidRPr="00FA60E1" w:rsidRDefault="5C12C3E7" w:rsidP="1891A9DC">
      <w:pPr>
        <w:rPr>
          <w:rFonts w:eastAsiaTheme="minorEastAsia"/>
        </w:rPr>
      </w:pPr>
      <w:r w:rsidRPr="1891A9DC">
        <w:rPr>
          <w:rFonts w:eastAsiaTheme="minorEastAsia"/>
        </w:rPr>
        <w:t>The timeframe of the Framework is t</w:t>
      </w:r>
      <w:r w:rsidR="745B73DD" w:rsidRPr="1891A9DC">
        <w:rPr>
          <w:rFonts w:eastAsiaTheme="minorEastAsia"/>
        </w:rPr>
        <w:t xml:space="preserve">hree </w:t>
      </w:r>
      <w:r w:rsidRPr="1891A9DC">
        <w:rPr>
          <w:rFonts w:eastAsiaTheme="minorEastAsia"/>
        </w:rPr>
        <w:t>years, with a review anticipated in 202</w:t>
      </w:r>
      <w:r w:rsidR="1F5C3CAC" w:rsidRPr="1891A9DC">
        <w:rPr>
          <w:rFonts w:eastAsiaTheme="minorEastAsia"/>
        </w:rPr>
        <w:t>6</w:t>
      </w:r>
      <w:r w:rsidRPr="1891A9DC">
        <w:rPr>
          <w:rFonts w:eastAsiaTheme="minorEastAsia"/>
        </w:rPr>
        <w:t xml:space="preserve"> to inform the next iteration and to align with the establishment of the </w:t>
      </w:r>
      <w:r w:rsidR="339E3F3E" w:rsidRPr="1891A9DC">
        <w:rPr>
          <w:rFonts w:eastAsiaTheme="minorEastAsia"/>
        </w:rPr>
        <w:t xml:space="preserve">standalone </w:t>
      </w:r>
      <w:r w:rsidRPr="1891A9DC">
        <w:rPr>
          <w:rFonts w:eastAsiaTheme="minorEastAsia"/>
        </w:rPr>
        <w:t>Australian Centre for Disease Control (Australian CDC).</w:t>
      </w:r>
    </w:p>
    <w:p w14:paraId="1E4659E8" w14:textId="77777777" w:rsidR="003B3C1F" w:rsidRPr="009814D7" w:rsidRDefault="003B3C1F" w:rsidP="00AD2E7F">
      <w:pPr>
        <w:pStyle w:val="Heading2"/>
        <w:rPr>
          <w:rFonts w:eastAsiaTheme="minorEastAsia"/>
        </w:rPr>
      </w:pPr>
      <w:bookmarkStart w:id="32" w:name="_Toc135494140"/>
      <w:bookmarkStart w:id="33" w:name="_Toc1761785041"/>
      <w:bookmarkStart w:id="34" w:name="_Toc1633285755"/>
      <w:bookmarkStart w:id="35" w:name="_Toc191899399"/>
      <w:r w:rsidRPr="25477CAA">
        <w:rPr>
          <w:rFonts w:eastAsiaTheme="minorEastAsia"/>
        </w:rPr>
        <w:t>Sector consultation</w:t>
      </w:r>
      <w:bookmarkEnd w:id="32"/>
      <w:bookmarkEnd w:id="33"/>
      <w:bookmarkEnd w:id="34"/>
      <w:bookmarkEnd w:id="35"/>
    </w:p>
    <w:p w14:paraId="3F66E17E" w14:textId="77777777" w:rsidR="001A2922" w:rsidRPr="00254AE5" w:rsidRDefault="001A2922" w:rsidP="00AD2E7F">
      <w:pPr>
        <w:pStyle w:val="BodyText"/>
        <w:spacing w:after="240"/>
        <w:ind w:right="281"/>
        <w:rPr>
          <w:rFonts w:ascii="Arial" w:eastAsiaTheme="minorEastAsia" w:hAnsi="Arial" w:cs="Arial"/>
        </w:rPr>
      </w:pPr>
      <w:r w:rsidRPr="00254AE5">
        <w:rPr>
          <w:rFonts w:ascii="Arial" w:eastAsiaTheme="minorEastAsia" w:hAnsi="Arial" w:cs="Arial"/>
        </w:rPr>
        <w:t>A broad range of stakeholders were identified and consulted during the development of the Framework. This included expert advisory groups under the Australian Government Health Chief Executives Forum (HCEF) committee structure, as well as additional experts, captured through an open public consultation process, which included those from public health and clinical service delivery, research, and private pathology.</w:t>
      </w:r>
    </w:p>
    <w:p w14:paraId="797F8250" w14:textId="77777777" w:rsidR="001610ED" w:rsidRPr="009814D7" w:rsidRDefault="7A8C5A99" w:rsidP="1891A9DC">
      <w:pPr>
        <w:pStyle w:val="Heading2"/>
        <w:rPr>
          <w:rFonts w:eastAsiaTheme="minorEastAsia"/>
        </w:rPr>
      </w:pPr>
      <w:bookmarkStart w:id="36" w:name="_Toc135494141"/>
      <w:bookmarkStart w:id="37" w:name="_Toc714707635"/>
      <w:bookmarkStart w:id="38" w:name="_Toc1711303"/>
      <w:bookmarkStart w:id="39" w:name="_Toc191899400"/>
      <w:r w:rsidRPr="1891A9DC">
        <w:rPr>
          <w:rFonts w:eastAsiaTheme="minorEastAsia"/>
        </w:rPr>
        <w:t>Guiding principles</w:t>
      </w:r>
      <w:bookmarkEnd w:id="36"/>
      <w:bookmarkEnd w:id="37"/>
      <w:bookmarkEnd w:id="38"/>
      <w:bookmarkEnd w:id="39"/>
    </w:p>
    <w:p w14:paraId="600E4DBA" w14:textId="4577EAFA" w:rsidR="00FF0261" w:rsidRPr="00FA60E1" w:rsidRDefault="00FF0261" w:rsidP="000F2315">
      <w:pPr>
        <w:rPr>
          <w:rFonts w:eastAsiaTheme="minorEastAsia"/>
        </w:rPr>
      </w:pPr>
      <w:r w:rsidRPr="4F50332C">
        <w:rPr>
          <w:rFonts w:eastAsiaTheme="minorEastAsia"/>
        </w:rPr>
        <w:t>The development of the Framework was supported by the following guiding principles</w:t>
      </w:r>
      <w:r w:rsidR="001F4E2D">
        <w:rPr>
          <w:rFonts w:eastAsiaTheme="minorEastAsia"/>
        </w:rPr>
        <w:t>:</w:t>
      </w:r>
    </w:p>
    <w:p w14:paraId="1FC8B064" w14:textId="77777777" w:rsidR="00FF0261" w:rsidRPr="00FA60E1" w:rsidRDefault="00FF0261" w:rsidP="000F2315">
      <w:pPr>
        <w:pStyle w:val="ListParagraph"/>
        <w:numPr>
          <w:ilvl w:val="0"/>
          <w:numId w:val="11"/>
        </w:numPr>
        <w:rPr>
          <w:rFonts w:eastAsiaTheme="minorEastAsia"/>
          <w:b/>
        </w:rPr>
      </w:pPr>
      <w:r w:rsidRPr="00FA60E1">
        <w:rPr>
          <w:rFonts w:eastAsiaTheme="minorEastAsia"/>
          <w:b/>
        </w:rPr>
        <w:t>National approach.</w:t>
      </w:r>
    </w:p>
    <w:p w14:paraId="2482C87E" w14:textId="77777777" w:rsidR="004C4846" w:rsidRDefault="00FF0261" w:rsidP="004C4846">
      <w:pPr>
        <w:pStyle w:val="ListParagraph"/>
        <w:rPr>
          <w:rFonts w:eastAsiaTheme="minorEastAsia"/>
        </w:rPr>
      </w:pPr>
      <w:r w:rsidRPr="1891A9DC">
        <w:rPr>
          <w:rFonts w:eastAsiaTheme="minorEastAsia"/>
        </w:rPr>
        <w:t xml:space="preserve">Developed jointly by Australian and state/territory governments, with the Framework facilitating </w:t>
      </w:r>
      <w:r w:rsidR="42100A13" w:rsidRPr="1891A9DC">
        <w:rPr>
          <w:rFonts w:eastAsiaTheme="minorEastAsia"/>
        </w:rPr>
        <w:t xml:space="preserve">equitable </w:t>
      </w:r>
      <w:r w:rsidRPr="1891A9DC">
        <w:rPr>
          <w:rFonts w:eastAsiaTheme="minorEastAsia"/>
        </w:rPr>
        <w:t>national coordination, government priority setting and decision-making.</w:t>
      </w:r>
    </w:p>
    <w:p w14:paraId="1E6A46B0" w14:textId="0ACE398F" w:rsidR="00FF0261" w:rsidRPr="00FA60E1" w:rsidRDefault="00CF291A" w:rsidP="009C3255">
      <w:pPr>
        <w:pStyle w:val="ListParagraph"/>
        <w:numPr>
          <w:ilvl w:val="0"/>
          <w:numId w:val="11"/>
        </w:numPr>
        <w:rPr>
          <w:rFonts w:eastAsiaTheme="minorEastAsia"/>
          <w:b/>
        </w:rPr>
      </w:pPr>
      <w:r w:rsidRPr="4948F0E7">
        <w:rPr>
          <w:rFonts w:eastAsiaTheme="minorEastAsia"/>
          <w:b/>
          <w:bCs/>
        </w:rPr>
        <w:t>S</w:t>
      </w:r>
      <w:r w:rsidR="00FF0261" w:rsidRPr="4948F0E7">
        <w:rPr>
          <w:rFonts w:eastAsiaTheme="minorEastAsia"/>
          <w:b/>
          <w:bCs/>
        </w:rPr>
        <w:t>trategic framework.</w:t>
      </w:r>
    </w:p>
    <w:p w14:paraId="6E268C94" w14:textId="37084034" w:rsidR="00B429ED" w:rsidRDefault="00FF0261" w:rsidP="000F2315">
      <w:pPr>
        <w:pStyle w:val="ListParagraph"/>
        <w:rPr>
          <w:rFonts w:eastAsiaTheme="minorEastAsia"/>
        </w:rPr>
      </w:pPr>
      <w:r w:rsidRPr="4F50332C">
        <w:rPr>
          <w:rFonts w:eastAsiaTheme="minorEastAsia"/>
        </w:rPr>
        <w:t>Identification of themes, principles, and considerations for embedding consistency and national coordination as enablers for more efficient, equitable, and effective utilisation of microbial genomics. The Framework is overarching and aligns with existing, or to be developed, regulation, guidelines, and discussion papers addressing specific microbial genomics issues.</w:t>
      </w:r>
    </w:p>
    <w:p w14:paraId="5293EA0C" w14:textId="77777777" w:rsidR="00B429ED" w:rsidRDefault="00B429ED">
      <w:pPr>
        <w:spacing w:before="0" w:after="0" w:line="240" w:lineRule="auto"/>
        <w:rPr>
          <w:rFonts w:eastAsiaTheme="minorEastAsia"/>
        </w:rPr>
      </w:pPr>
      <w:r>
        <w:rPr>
          <w:rFonts w:eastAsiaTheme="minorEastAsia"/>
        </w:rPr>
        <w:br w:type="page"/>
      </w:r>
    </w:p>
    <w:p w14:paraId="10664913" w14:textId="772B0BE1" w:rsidR="00FF0261" w:rsidRPr="00FA60E1" w:rsidRDefault="00FF0261" w:rsidP="000F2315">
      <w:pPr>
        <w:pStyle w:val="ListParagraph"/>
        <w:numPr>
          <w:ilvl w:val="0"/>
          <w:numId w:val="11"/>
        </w:numPr>
        <w:rPr>
          <w:rFonts w:eastAsiaTheme="minorEastAsia"/>
          <w:b/>
        </w:rPr>
      </w:pPr>
      <w:r w:rsidRPr="00FA60E1">
        <w:rPr>
          <w:rFonts w:eastAsiaTheme="minorEastAsia"/>
          <w:b/>
        </w:rPr>
        <w:lastRenderedPageBreak/>
        <w:t>System-focused.</w:t>
      </w:r>
    </w:p>
    <w:p w14:paraId="3F0E0EE8" w14:textId="38060A31" w:rsidR="00FF0261" w:rsidRPr="00FA60E1" w:rsidRDefault="00FF0261" w:rsidP="000F2315">
      <w:pPr>
        <w:pStyle w:val="ListParagraph"/>
        <w:rPr>
          <w:rFonts w:eastAsiaTheme="minorEastAsia"/>
        </w:rPr>
      </w:pPr>
      <w:r w:rsidRPr="4F50332C">
        <w:rPr>
          <w:rFonts w:eastAsiaTheme="minorEastAsia"/>
        </w:rPr>
        <w:t>An understanding of what the system can deliver and consideration of how a change within one system domain</w:t>
      </w:r>
      <w:r w:rsidR="001F4E2D">
        <w:rPr>
          <w:rFonts w:eastAsiaTheme="minorEastAsia"/>
        </w:rPr>
        <w:t xml:space="preserve"> </w:t>
      </w:r>
      <w:r w:rsidR="001F4E2D" w:rsidRPr="4F50332C">
        <w:rPr>
          <w:rFonts w:eastAsiaTheme="minorEastAsia"/>
        </w:rPr>
        <w:t>can impact, interact with, and change the other domains and affect the entire system</w:t>
      </w:r>
      <w:r w:rsidR="00A37B12">
        <w:rPr>
          <w:rFonts w:eastAsiaTheme="minorEastAsia"/>
        </w:rPr>
        <w:t>. Domains</w:t>
      </w:r>
      <w:r w:rsidRPr="4F50332C">
        <w:rPr>
          <w:rFonts w:eastAsiaTheme="minorEastAsia"/>
        </w:rPr>
        <w:t xml:space="preserve"> includ</w:t>
      </w:r>
      <w:r w:rsidR="00A37B12">
        <w:rPr>
          <w:rFonts w:eastAsiaTheme="minorEastAsia"/>
        </w:rPr>
        <w:t>e</w:t>
      </w:r>
      <w:r w:rsidRPr="4F50332C">
        <w:rPr>
          <w:rFonts w:eastAsiaTheme="minorEastAsia"/>
        </w:rPr>
        <w:t>:</w:t>
      </w:r>
    </w:p>
    <w:p w14:paraId="195EAC2E" w14:textId="77777777" w:rsidR="00FF0261" w:rsidRPr="00AD2E7F" w:rsidRDefault="00FF0261" w:rsidP="00732ECA">
      <w:pPr>
        <w:pStyle w:val="ListParagraph"/>
        <w:numPr>
          <w:ilvl w:val="1"/>
          <w:numId w:val="47"/>
        </w:numPr>
      </w:pPr>
      <w:r w:rsidRPr="00AD2E7F">
        <w:t>leadership and governance</w:t>
      </w:r>
    </w:p>
    <w:p w14:paraId="600028A4" w14:textId="77777777" w:rsidR="00FF0261" w:rsidRPr="00AD2E7F" w:rsidRDefault="00FF0261" w:rsidP="00732ECA">
      <w:pPr>
        <w:pStyle w:val="ListParagraph"/>
        <w:numPr>
          <w:ilvl w:val="1"/>
          <w:numId w:val="47"/>
        </w:numPr>
      </w:pPr>
      <w:r w:rsidRPr="00AD2E7F">
        <w:t>system financing</w:t>
      </w:r>
    </w:p>
    <w:p w14:paraId="012403CF" w14:textId="77777777" w:rsidR="00FF0261" w:rsidRPr="00AD2E7F" w:rsidRDefault="00FF0261" w:rsidP="00732ECA">
      <w:pPr>
        <w:pStyle w:val="ListParagraph"/>
        <w:numPr>
          <w:ilvl w:val="1"/>
          <w:numId w:val="47"/>
        </w:numPr>
      </w:pPr>
      <w:r w:rsidRPr="00AD2E7F">
        <w:t>human resources (workforce)</w:t>
      </w:r>
    </w:p>
    <w:p w14:paraId="5DB2C2B6" w14:textId="47D5629C" w:rsidR="00FF0261" w:rsidRPr="00AD2E7F" w:rsidRDefault="00FF0261" w:rsidP="00732ECA">
      <w:pPr>
        <w:pStyle w:val="ListParagraph"/>
        <w:numPr>
          <w:ilvl w:val="1"/>
          <w:numId w:val="47"/>
        </w:numPr>
      </w:pPr>
      <w:r w:rsidRPr="00AD2E7F">
        <w:t>information systems</w:t>
      </w:r>
    </w:p>
    <w:p w14:paraId="2DE4A7E5" w14:textId="5A79A3CC" w:rsidR="00FF0261" w:rsidRPr="00AD2E7F" w:rsidRDefault="00FF0261" w:rsidP="00732ECA">
      <w:pPr>
        <w:pStyle w:val="ListParagraph"/>
        <w:numPr>
          <w:ilvl w:val="1"/>
          <w:numId w:val="47"/>
        </w:numPr>
      </w:pPr>
      <w:r w:rsidRPr="00AD2E7F">
        <w:t>service delivery</w:t>
      </w:r>
      <w:r w:rsidR="001F4E2D">
        <w:t>.</w:t>
      </w:r>
    </w:p>
    <w:p w14:paraId="684EBCF6" w14:textId="48E6D4AC" w:rsidR="009B50F3" w:rsidRDefault="00FF0261" w:rsidP="000F2315">
      <w:pPr>
        <w:pStyle w:val="ListParagraph"/>
        <w:rPr>
          <w:rFonts w:eastAsiaTheme="minorEastAsia"/>
        </w:rPr>
      </w:pPr>
      <w:r w:rsidRPr="4F50332C">
        <w:rPr>
          <w:rFonts w:eastAsiaTheme="minorEastAsia"/>
        </w:rPr>
        <w:t>This system is considered within the context of existing capacity and controls to remain consistent with and eventually embedded into communicable diseases surveillance infrastructure.</w:t>
      </w:r>
    </w:p>
    <w:p w14:paraId="02623460" w14:textId="77777777" w:rsidR="00FF0261" w:rsidRPr="00FA60E1" w:rsidRDefault="00FF0261" w:rsidP="000F2315">
      <w:pPr>
        <w:pStyle w:val="ListParagraph"/>
        <w:numPr>
          <w:ilvl w:val="0"/>
          <w:numId w:val="11"/>
        </w:numPr>
        <w:rPr>
          <w:rFonts w:eastAsiaTheme="minorEastAsia"/>
          <w:b/>
        </w:rPr>
      </w:pPr>
      <w:bookmarkStart w:id="40" w:name="_Hlk149663016"/>
      <w:r w:rsidRPr="00FA60E1">
        <w:rPr>
          <w:rFonts w:eastAsiaTheme="minorEastAsia"/>
          <w:b/>
        </w:rPr>
        <w:t>Evidence-informed public policy.</w:t>
      </w:r>
    </w:p>
    <w:bookmarkEnd w:id="40"/>
    <w:p w14:paraId="0C7FFC74" w14:textId="7A832A5B" w:rsidR="00FF0261" w:rsidRPr="00FA60E1" w:rsidRDefault="00FF0261" w:rsidP="000F2315">
      <w:pPr>
        <w:pStyle w:val="ListParagraph"/>
        <w:rPr>
          <w:rFonts w:eastAsiaTheme="minorEastAsia"/>
        </w:rPr>
      </w:pPr>
      <w:r w:rsidRPr="00FA60E1">
        <w:rPr>
          <w:rFonts w:eastAsiaTheme="minorEastAsia"/>
        </w:rPr>
        <w:t>Ensur</w:t>
      </w:r>
      <w:r w:rsidR="004C6C92">
        <w:rPr>
          <w:rFonts w:eastAsiaTheme="minorEastAsia"/>
        </w:rPr>
        <w:t>es</w:t>
      </w:r>
      <w:r w:rsidRPr="00FA60E1">
        <w:rPr>
          <w:rFonts w:eastAsiaTheme="minorEastAsia"/>
        </w:rPr>
        <w:t xml:space="preserve"> that the best available research and information is used to guide decisions at all stages of policy processes. </w:t>
      </w:r>
    </w:p>
    <w:p w14:paraId="3CFE3B78" w14:textId="77777777" w:rsidR="00FF0261" w:rsidRPr="00FA60E1" w:rsidRDefault="00FF0261" w:rsidP="000F2315">
      <w:pPr>
        <w:pStyle w:val="ListParagraph"/>
        <w:numPr>
          <w:ilvl w:val="0"/>
          <w:numId w:val="11"/>
        </w:numPr>
        <w:rPr>
          <w:rFonts w:eastAsiaTheme="minorEastAsia"/>
          <w:b/>
        </w:rPr>
      </w:pPr>
      <w:bookmarkStart w:id="41" w:name="_Hlk149663043"/>
      <w:r w:rsidRPr="00FA60E1">
        <w:rPr>
          <w:rFonts w:eastAsiaTheme="minorEastAsia"/>
          <w:b/>
        </w:rPr>
        <w:t>Flexible to keep up with scientific advances.</w:t>
      </w:r>
    </w:p>
    <w:bookmarkEnd w:id="41"/>
    <w:p w14:paraId="003C515D" w14:textId="77777777" w:rsidR="00FF0261" w:rsidRPr="00FA60E1" w:rsidRDefault="00FF0261" w:rsidP="000F2315">
      <w:pPr>
        <w:pStyle w:val="ListParagraph"/>
        <w:rPr>
          <w:rFonts w:eastAsiaTheme="minorEastAsia"/>
        </w:rPr>
      </w:pPr>
      <w:r w:rsidRPr="4F50332C">
        <w:rPr>
          <w:rFonts w:eastAsiaTheme="minorEastAsia"/>
        </w:rPr>
        <w:t>Will contain flexibility to enable it to be adapted to reflect the evolving nature of microbial genomics technology. It considers the latest scientific findings, advances, and potential shifts in microbial genomics policy issues and challenges.</w:t>
      </w:r>
    </w:p>
    <w:p w14:paraId="0BEE253C" w14:textId="77777777" w:rsidR="00FF0261" w:rsidRPr="00FA60E1" w:rsidRDefault="00FF0261" w:rsidP="000F2315">
      <w:pPr>
        <w:pStyle w:val="ListParagraph"/>
        <w:numPr>
          <w:ilvl w:val="0"/>
          <w:numId w:val="11"/>
        </w:numPr>
        <w:rPr>
          <w:rFonts w:eastAsiaTheme="minorEastAsia"/>
          <w:b/>
        </w:rPr>
      </w:pPr>
      <w:r w:rsidRPr="00FA60E1">
        <w:rPr>
          <w:rFonts w:eastAsiaTheme="minorEastAsia"/>
          <w:b/>
        </w:rPr>
        <w:t>Identifies priority areas.</w:t>
      </w:r>
    </w:p>
    <w:p w14:paraId="4A172E30" w14:textId="746851D0" w:rsidR="00FF0261" w:rsidRPr="00FA60E1" w:rsidRDefault="00741975" w:rsidP="000F2315">
      <w:pPr>
        <w:pStyle w:val="ListParagraph"/>
        <w:rPr>
          <w:rFonts w:eastAsiaTheme="minorEastAsia"/>
        </w:rPr>
      </w:pPr>
      <w:r>
        <w:rPr>
          <w:rFonts w:eastAsiaTheme="minorEastAsia"/>
        </w:rPr>
        <w:t>P</w:t>
      </w:r>
      <w:r w:rsidR="00FF0261" w:rsidRPr="4F50332C">
        <w:rPr>
          <w:rFonts w:eastAsiaTheme="minorEastAsia"/>
        </w:rPr>
        <w:t>rioritis</w:t>
      </w:r>
      <w:r>
        <w:rPr>
          <w:rFonts w:eastAsiaTheme="minorEastAsia"/>
        </w:rPr>
        <w:t>es</w:t>
      </w:r>
      <w:r w:rsidR="00FF0261" w:rsidRPr="4F50332C">
        <w:rPr>
          <w:rFonts w:eastAsiaTheme="minorEastAsia"/>
        </w:rPr>
        <w:t xml:space="preserve"> the microbial genomics policy issues and challenges that need to be addressed and identifies directions for change, opportunities for action and areas that require further work.</w:t>
      </w:r>
    </w:p>
    <w:p w14:paraId="0954323D" w14:textId="068BD30C" w:rsidR="00FF0261" w:rsidRPr="009814D7" w:rsidRDefault="006E5D49" w:rsidP="00AD2E7F">
      <w:pPr>
        <w:pStyle w:val="Heading2"/>
        <w:rPr>
          <w:rFonts w:eastAsiaTheme="minorEastAsia"/>
        </w:rPr>
      </w:pPr>
      <w:bookmarkStart w:id="42" w:name="_Toc135494142"/>
      <w:bookmarkStart w:id="43" w:name="_Toc662584142"/>
      <w:bookmarkStart w:id="44" w:name="_Toc1160391920"/>
      <w:bookmarkStart w:id="45" w:name="_Toc191899401"/>
      <w:r w:rsidRPr="25477CAA">
        <w:rPr>
          <w:rFonts w:eastAsiaTheme="minorEastAsia"/>
        </w:rPr>
        <w:t>Enablers</w:t>
      </w:r>
      <w:bookmarkEnd w:id="42"/>
      <w:bookmarkEnd w:id="43"/>
      <w:bookmarkEnd w:id="44"/>
      <w:bookmarkEnd w:id="45"/>
    </w:p>
    <w:p w14:paraId="6163E3D6" w14:textId="77777777" w:rsidR="00571C0A" w:rsidRPr="00791802" w:rsidRDefault="00571C0A" w:rsidP="00AD2E7F">
      <w:pPr>
        <w:rPr>
          <w:rFonts w:eastAsiaTheme="minorEastAsia"/>
        </w:rPr>
      </w:pPr>
      <w:r w:rsidRPr="00791802">
        <w:rPr>
          <w:rFonts w:eastAsiaTheme="minorEastAsia"/>
        </w:rPr>
        <w:t>To help guide decision-makers, funders, and policymakers in successfully implementing the Framework, three key enablers have been identified:</w:t>
      </w:r>
    </w:p>
    <w:p w14:paraId="59B2248C" w14:textId="77777777" w:rsidR="001F4E2D" w:rsidRPr="001F4E2D" w:rsidRDefault="00571C0A" w:rsidP="001F4E2D">
      <w:pPr>
        <w:pStyle w:val="ListParagraph"/>
        <w:numPr>
          <w:ilvl w:val="0"/>
          <w:numId w:val="12"/>
        </w:numPr>
        <w:rPr>
          <w:rFonts w:eastAsiaTheme="minorEastAsia"/>
        </w:rPr>
      </w:pPr>
      <w:r w:rsidRPr="18BAFD13">
        <w:rPr>
          <w:rFonts w:eastAsiaTheme="minorEastAsia"/>
          <w:b/>
          <w:bCs/>
        </w:rPr>
        <w:t>Collaborative governance and leadership.</w:t>
      </w:r>
    </w:p>
    <w:p w14:paraId="50286C3F" w14:textId="6F6390AD" w:rsidR="00571C0A" w:rsidRPr="001F4E2D" w:rsidRDefault="00571C0A" w:rsidP="001F4E2D">
      <w:pPr>
        <w:pStyle w:val="ListParagraph"/>
        <w:rPr>
          <w:rFonts w:eastAsiaTheme="minorEastAsia"/>
        </w:rPr>
      </w:pPr>
      <w:r w:rsidRPr="001F4E2D">
        <w:rPr>
          <w:rFonts w:eastAsiaTheme="minorEastAsia"/>
        </w:rPr>
        <w:t xml:space="preserve">Joint national and jurisdictional leadership which involves close engagement with the core drivers of the Framework’s implementation, including the Australian </w:t>
      </w:r>
      <w:r w:rsidRPr="001F4E2D">
        <w:rPr>
          <w:rFonts w:eastAsiaTheme="minorEastAsia"/>
        </w:rPr>
        <w:lastRenderedPageBreak/>
        <w:t>Government, states, territories, and other identified leads such as relevant government expert advisory groups.</w:t>
      </w:r>
    </w:p>
    <w:p w14:paraId="6B338901" w14:textId="77777777" w:rsidR="001F4E2D" w:rsidRPr="001F4E2D" w:rsidRDefault="00571C0A" w:rsidP="006C7957">
      <w:pPr>
        <w:pStyle w:val="ListParagraph"/>
        <w:numPr>
          <w:ilvl w:val="0"/>
          <w:numId w:val="12"/>
        </w:numPr>
        <w:rPr>
          <w:rFonts w:eastAsiaTheme="minorEastAsia"/>
        </w:rPr>
      </w:pPr>
      <w:r w:rsidRPr="4F50332C">
        <w:rPr>
          <w:rFonts w:eastAsiaTheme="minorEastAsia"/>
          <w:b/>
          <w:bCs/>
        </w:rPr>
        <w:t>Stakeholder engagement and action.</w:t>
      </w:r>
    </w:p>
    <w:p w14:paraId="1DF850C3" w14:textId="27A11F1E" w:rsidR="00571C0A" w:rsidRPr="00791802" w:rsidRDefault="00571C0A" w:rsidP="001F4E2D">
      <w:pPr>
        <w:pStyle w:val="ListParagraph"/>
        <w:rPr>
          <w:rFonts w:eastAsiaTheme="minorEastAsia"/>
        </w:rPr>
      </w:pPr>
      <w:r w:rsidRPr="4F50332C">
        <w:rPr>
          <w:rFonts w:eastAsiaTheme="minorEastAsia"/>
        </w:rPr>
        <w:t>Actively engage and cooperate with public health, research, clinical diagnostic, animal, and environmental laboratories, communicable disease control units, universities, industry, regulatory bodies, relevant networks, and training and quality assurance programs.</w:t>
      </w:r>
    </w:p>
    <w:p w14:paraId="3D2343F1" w14:textId="77777777" w:rsidR="00571C0A" w:rsidRPr="00791802" w:rsidRDefault="00571C0A" w:rsidP="006C7957">
      <w:pPr>
        <w:pStyle w:val="ListParagraph"/>
        <w:numPr>
          <w:ilvl w:val="0"/>
          <w:numId w:val="12"/>
        </w:numPr>
        <w:rPr>
          <w:rFonts w:eastAsiaTheme="minorEastAsia"/>
          <w:b/>
          <w:bCs/>
        </w:rPr>
      </w:pPr>
      <w:r w:rsidRPr="4F50332C">
        <w:rPr>
          <w:rFonts w:eastAsiaTheme="minorEastAsia"/>
          <w:b/>
          <w:bCs/>
        </w:rPr>
        <w:t>National and international partnerships.</w:t>
      </w:r>
    </w:p>
    <w:p w14:paraId="78CF918E" w14:textId="5DF52FBD" w:rsidR="00BB053E" w:rsidRPr="009D6A41" w:rsidRDefault="00571C0A" w:rsidP="009D6A41">
      <w:pPr>
        <w:pStyle w:val="ListParagraph"/>
        <w:rPr>
          <w:rFonts w:eastAsiaTheme="minorEastAsia"/>
        </w:rPr>
      </w:pPr>
      <w:r w:rsidRPr="4F50332C">
        <w:rPr>
          <w:rFonts w:eastAsiaTheme="minorEastAsia"/>
        </w:rPr>
        <w:t>Establish and maintain genomics collaborations for information sharing, capacity and capability building, with overarching, collective goal progression and attainment between relevant domestic and international entities and initiatives.</w:t>
      </w:r>
    </w:p>
    <w:p w14:paraId="1385AF98" w14:textId="77777777" w:rsidR="00EB13DC" w:rsidRDefault="00EB13DC" w:rsidP="00EB13DC">
      <w:pPr>
        <w:pStyle w:val="Heading1"/>
      </w:pPr>
      <w:bookmarkStart w:id="46" w:name="_Toc135494143"/>
      <w:bookmarkStart w:id="47" w:name="_Toc1674358206"/>
      <w:bookmarkStart w:id="48" w:name="_Toc1072410070"/>
      <w:bookmarkStart w:id="49" w:name="_Toc191899402"/>
      <w:r>
        <w:lastRenderedPageBreak/>
        <w:t>Strategic context</w:t>
      </w:r>
      <w:bookmarkEnd w:id="46"/>
      <w:bookmarkEnd w:id="47"/>
      <w:bookmarkEnd w:id="48"/>
      <w:bookmarkEnd w:id="49"/>
    </w:p>
    <w:p w14:paraId="3ABFBEF8" w14:textId="1763E6B3" w:rsidR="002929A6" w:rsidRDefault="002929A6" w:rsidP="00AD2E7F">
      <w:pPr>
        <w:rPr>
          <w:rFonts w:eastAsiaTheme="minorEastAsia"/>
        </w:rPr>
      </w:pPr>
      <w:r w:rsidRPr="77E5A127">
        <w:rPr>
          <w:rFonts w:eastAsiaTheme="minorEastAsia"/>
        </w:rPr>
        <w:t xml:space="preserve">Microbial genomics continues to enhance the diagnosis, surveillance, control, and </w:t>
      </w:r>
      <w:r w:rsidRPr="00EF6E34">
        <w:rPr>
          <w:rFonts w:eastAsiaTheme="minorEastAsia"/>
        </w:rPr>
        <w:t>understanding</w:t>
      </w:r>
      <w:r w:rsidRPr="77E5A127">
        <w:rPr>
          <w:rFonts w:eastAsiaTheme="minorEastAsia"/>
        </w:rPr>
        <w:t xml:space="preserve"> of communicable diseases and </w:t>
      </w:r>
      <w:r w:rsidR="00902EAC">
        <w:rPr>
          <w:rFonts w:eastAsiaTheme="minorEastAsia"/>
        </w:rPr>
        <w:t>AMR</w:t>
      </w:r>
      <w:r w:rsidRPr="77E5A127">
        <w:rPr>
          <w:rFonts w:eastAsiaTheme="minorEastAsia"/>
        </w:rPr>
        <w:t>. Strengthening Australia’s existing national genome sequencing capability and capacity, including workforce, and exploring potential ways for cross-sectoral and microbial-agnostic approaches to data sharing and analysis is essential for disease preparedness.</w:t>
      </w:r>
    </w:p>
    <w:p w14:paraId="690E0FDA" w14:textId="562369F6" w:rsidR="002929A6" w:rsidRPr="00946644" w:rsidRDefault="002929A6" w:rsidP="00AD2E7F">
      <w:pPr>
        <w:rPr>
          <w:rFonts w:eastAsiaTheme="minorEastAsia"/>
        </w:rPr>
      </w:pPr>
      <w:r w:rsidRPr="00946644">
        <w:rPr>
          <w:rFonts w:eastAsiaTheme="minorEastAsia"/>
        </w:rPr>
        <w:t xml:space="preserve">The One Health principle underpins this renewed Framework, recognising that the health of humans, animals, and the environment are all inter-connected, and there are opportunities to harness expertise across sectors to strengthen response activities. In this </w:t>
      </w:r>
      <w:r w:rsidR="004936B2">
        <w:rPr>
          <w:rFonts w:eastAsiaTheme="minorEastAsia"/>
        </w:rPr>
        <w:t>f</w:t>
      </w:r>
      <w:r w:rsidRPr="00946644">
        <w:rPr>
          <w:rFonts w:eastAsiaTheme="minorEastAsia"/>
        </w:rPr>
        <w:t>ramework, consideration is given to current challenges and initial opportunities that could arise from collaboration to improve testing and genomic surveillance procedures, to ensure Australia is prepared to address priority public health and animal health challenges into the future.</w:t>
      </w:r>
    </w:p>
    <w:p w14:paraId="5B82FD47" w14:textId="77777777" w:rsidR="002929A6" w:rsidRPr="00946644" w:rsidRDefault="002929A6" w:rsidP="00AD2E7F">
      <w:pPr>
        <w:rPr>
          <w:rFonts w:eastAsiaTheme="minorEastAsia"/>
        </w:rPr>
      </w:pPr>
      <w:r w:rsidRPr="00946644">
        <w:rPr>
          <w:rFonts w:eastAsiaTheme="minorEastAsia"/>
        </w:rPr>
        <w:t>Key challenges and considerations when considering the One Health principle in the Framework include:</w:t>
      </w:r>
    </w:p>
    <w:p w14:paraId="4B3B79E3" w14:textId="77777777" w:rsidR="002929A6" w:rsidRPr="00946644" w:rsidRDefault="002929A6" w:rsidP="006C7957">
      <w:pPr>
        <w:pStyle w:val="ListParagraph"/>
        <w:numPr>
          <w:ilvl w:val="0"/>
          <w:numId w:val="14"/>
        </w:numPr>
        <w:rPr>
          <w:rFonts w:eastAsiaTheme="minorEastAsia"/>
        </w:rPr>
      </w:pPr>
      <w:r w:rsidRPr="4F50332C">
        <w:rPr>
          <w:rFonts w:eastAsiaTheme="minorEastAsia"/>
        </w:rPr>
        <w:t>variation in the drivers and objectives of sample and data collection, impacting surveillance goals across sectors</w:t>
      </w:r>
    </w:p>
    <w:p w14:paraId="43BFE549" w14:textId="77777777" w:rsidR="002929A6" w:rsidRPr="00946644" w:rsidRDefault="002929A6" w:rsidP="006C7957">
      <w:pPr>
        <w:pStyle w:val="ListParagraph"/>
        <w:numPr>
          <w:ilvl w:val="0"/>
          <w:numId w:val="14"/>
        </w:numPr>
        <w:rPr>
          <w:rFonts w:eastAsiaTheme="minorEastAsia"/>
        </w:rPr>
      </w:pPr>
      <w:r w:rsidRPr="00946644">
        <w:rPr>
          <w:rFonts w:eastAsiaTheme="minorEastAsia"/>
        </w:rPr>
        <w:t>differing maturity in genomic sequencing capabilities and pathogen surveillance systems, with consideration for how to improve networking and resourcing to bridge these gaps</w:t>
      </w:r>
    </w:p>
    <w:p w14:paraId="33CC09F8" w14:textId="068B460F" w:rsidR="002929A6" w:rsidRPr="00946644" w:rsidRDefault="002929A6" w:rsidP="006C7957">
      <w:pPr>
        <w:pStyle w:val="ListParagraph"/>
        <w:numPr>
          <w:ilvl w:val="0"/>
          <w:numId w:val="14"/>
        </w:numPr>
        <w:rPr>
          <w:rFonts w:eastAsiaTheme="minorEastAsia"/>
        </w:rPr>
      </w:pPr>
      <w:r w:rsidRPr="4F50332C">
        <w:rPr>
          <w:rFonts w:eastAsiaTheme="minorEastAsia"/>
        </w:rPr>
        <w:t>sensitivities surrounding data and data sharing within and between sectors, impacting the consolidation of genomic information at a national level</w:t>
      </w:r>
    </w:p>
    <w:p w14:paraId="35A750E0" w14:textId="77777777" w:rsidR="002929A6" w:rsidRPr="00946644" w:rsidRDefault="002929A6" w:rsidP="006C7957">
      <w:pPr>
        <w:pStyle w:val="ListParagraph"/>
        <w:numPr>
          <w:ilvl w:val="0"/>
          <w:numId w:val="14"/>
        </w:numPr>
        <w:rPr>
          <w:rFonts w:eastAsiaTheme="minorEastAsia"/>
        </w:rPr>
      </w:pPr>
      <w:r w:rsidRPr="00946644">
        <w:rPr>
          <w:rFonts w:eastAsiaTheme="minorEastAsia"/>
        </w:rPr>
        <w:t>differing levels of integration between jurisdictions across and within One Health sectors.</w:t>
      </w:r>
    </w:p>
    <w:p w14:paraId="6ED67CC9" w14:textId="53C6AD09" w:rsidR="002929A6" w:rsidRPr="00946644" w:rsidRDefault="002929A6" w:rsidP="00AD2E7F">
      <w:pPr>
        <w:rPr>
          <w:rFonts w:eastAsiaTheme="minorEastAsia"/>
        </w:rPr>
      </w:pPr>
      <w:r w:rsidRPr="18BAFD13">
        <w:rPr>
          <w:rFonts w:eastAsiaTheme="minorEastAsia"/>
        </w:rPr>
        <w:t xml:space="preserve">Funding mechanisms are also reflected within this framework. In Australia, states and territories are responsible for providing microbial WGS capability for the purposes of diagnosis and clinical patient management. Support for surveillance and research is cost-shared between states and territories and the federal government, and the levels of available resources and investments vary between sectors and depend on the objective of the activity. This framework aims to acknowledge the respective responsibilities of state, </w:t>
      </w:r>
      <w:r w:rsidR="00D61A45" w:rsidRPr="18BAFD13">
        <w:rPr>
          <w:rFonts w:eastAsiaTheme="minorEastAsia"/>
        </w:rPr>
        <w:t>territory,</w:t>
      </w:r>
      <w:r w:rsidRPr="18BAFD13">
        <w:rPr>
          <w:rFonts w:eastAsiaTheme="minorEastAsia"/>
        </w:rPr>
        <w:t xml:space="preserve"> and federal governments, while outlining the need for a collaborative effort to address gaps and further drive national value. </w:t>
      </w:r>
    </w:p>
    <w:p w14:paraId="357E1BF0" w14:textId="77777777" w:rsidR="002929A6" w:rsidRPr="00946644" w:rsidRDefault="002929A6" w:rsidP="00AD2E7F">
      <w:pPr>
        <w:rPr>
          <w:rFonts w:eastAsiaTheme="minorEastAsia"/>
        </w:rPr>
      </w:pPr>
      <w:r w:rsidRPr="18BAFD13">
        <w:rPr>
          <w:rFonts w:eastAsiaTheme="minorEastAsia"/>
        </w:rPr>
        <w:t xml:space="preserve">Consideration has been given as to how this framework may evolve and be integrated into </w:t>
      </w:r>
      <w:r>
        <w:rPr>
          <w:rFonts w:eastAsiaTheme="minorEastAsia"/>
        </w:rPr>
        <w:t xml:space="preserve">the establishment of </w:t>
      </w:r>
      <w:r w:rsidRPr="18BAFD13">
        <w:rPr>
          <w:rFonts w:eastAsiaTheme="minorEastAsia"/>
        </w:rPr>
        <w:t xml:space="preserve">the </w:t>
      </w:r>
      <w:r>
        <w:rPr>
          <w:rFonts w:eastAsiaTheme="minorEastAsia"/>
        </w:rPr>
        <w:t xml:space="preserve">standalone </w:t>
      </w:r>
      <w:r w:rsidRPr="18BAFD13">
        <w:rPr>
          <w:rFonts w:eastAsiaTheme="minorEastAsia"/>
        </w:rPr>
        <w:t xml:space="preserve">Australian CDC. This is to ensure the challenges, vulnerabilities and areas for improvement identified throughout this process </w:t>
      </w:r>
      <w:r w:rsidRPr="18BAFD13">
        <w:rPr>
          <w:rFonts w:eastAsiaTheme="minorEastAsia"/>
        </w:rPr>
        <w:lastRenderedPageBreak/>
        <w:t>(including lessons from the COVID-19 pandemic) are explored and supported by sustainable funding mechanisms. The Framework seeks to align with the objectives of the Australian CDC</w:t>
      </w:r>
      <w:r w:rsidRPr="18BAFD13">
        <w:rPr>
          <w:rStyle w:val="FootnoteReference"/>
          <w:rFonts w:eastAsiaTheme="minorEastAsia"/>
        </w:rPr>
        <w:footnoteReference w:id="3"/>
      </w:r>
      <w:r w:rsidRPr="18BAFD13">
        <w:rPr>
          <w:rFonts w:eastAsiaTheme="minorEastAsia"/>
        </w:rPr>
        <w:t>, such as:</w:t>
      </w:r>
    </w:p>
    <w:p w14:paraId="420295D6" w14:textId="77777777" w:rsidR="002929A6" w:rsidRPr="00946644" w:rsidRDefault="002929A6" w:rsidP="006C7957">
      <w:pPr>
        <w:pStyle w:val="ListParagraph"/>
        <w:numPr>
          <w:ilvl w:val="0"/>
          <w:numId w:val="13"/>
        </w:numPr>
        <w:rPr>
          <w:rFonts w:eastAsiaTheme="minorEastAsia"/>
        </w:rPr>
      </w:pPr>
      <w:r w:rsidRPr="4F50332C">
        <w:rPr>
          <w:rFonts w:eastAsiaTheme="minorEastAsia"/>
        </w:rPr>
        <w:t>increase independence and strengthen evidence-based and transparent decision-making to maintain trust</w:t>
      </w:r>
    </w:p>
    <w:p w14:paraId="783B0FCD" w14:textId="77777777" w:rsidR="002929A6" w:rsidRPr="00946644" w:rsidRDefault="002929A6" w:rsidP="006C7957">
      <w:pPr>
        <w:pStyle w:val="ListParagraph"/>
        <w:numPr>
          <w:ilvl w:val="0"/>
          <w:numId w:val="13"/>
        </w:numPr>
        <w:rPr>
          <w:rFonts w:eastAsiaTheme="minorEastAsia"/>
        </w:rPr>
      </w:pPr>
      <w:r w:rsidRPr="4F50332C">
        <w:rPr>
          <w:rFonts w:eastAsiaTheme="minorEastAsia"/>
        </w:rPr>
        <w:t>improve national coordination of effort and efficiencies, with stronger partnerships, including across Commonwealth agencies and between jurisdictions</w:t>
      </w:r>
    </w:p>
    <w:p w14:paraId="0CDA1C3E" w14:textId="77777777" w:rsidR="002929A6" w:rsidRPr="00946644" w:rsidRDefault="002929A6" w:rsidP="006C7957">
      <w:pPr>
        <w:pStyle w:val="ListParagraph"/>
        <w:numPr>
          <w:ilvl w:val="0"/>
          <w:numId w:val="13"/>
        </w:numPr>
        <w:rPr>
          <w:rFonts w:eastAsiaTheme="minorEastAsia"/>
        </w:rPr>
      </w:pPr>
      <w:r w:rsidRPr="4F50332C">
        <w:rPr>
          <w:rFonts w:eastAsiaTheme="minorEastAsia"/>
        </w:rPr>
        <w:t xml:space="preserve">support national action through enhanced national capabilities, underpinned by the distinct and complementary roles and responsibilities of jurisdictions and the Commonwealth </w:t>
      </w:r>
    </w:p>
    <w:p w14:paraId="267A383D" w14:textId="0CD2826D" w:rsidR="002929A6" w:rsidRPr="005B304E" w:rsidRDefault="002929A6" w:rsidP="005B304E">
      <w:pPr>
        <w:numPr>
          <w:ilvl w:val="0"/>
          <w:numId w:val="15"/>
        </w:numPr>
      </w:pPr>
      <w:r w:rsidRPr="005B304E">
        <w:t xml:space="preserve">enhance international connections </w:t>
      </w:r>
    </w:p>
    <w:p w14:paraId="39CC3B1A" w14:textId="2C1ABA15" w:rsidR="002929A6" w:rsidRPr="005B304E" w:rsidRDefault="002929A6" w:rsidP="005B304E">
      <w:pPr>
        <w:numPr>
          <w:ilvl w:val="0"/>
          <w:numId w:val="15"/>
        </w:numPr>
      </w:pPr>
      <w:r w:rsidRPr="005B304E">
        <w:t xml:space="preserve">increase and productively </w:t>
      </w:r>
      <w:r w:rsidR="00AE2BAB" w:rsidRPr="005B304E">
        <w:t>use</w:t>
      </w:r>
      <w:r w:rsidRPr="005B304E">
        <w:t xml:space="preserve"> resources to support preparedness and response across all jurisdictions, including nationally. </w:t>
      </w:r>
    </w:p>
    <w:p w14:paraId="6B041E19" w14:textId="3188D1CA" w:rsidR="002929A6" w:rsidRPr="00946644" w:rsidRDefault="002929A6" w:rsidP="00AD2E7F">
      <w:pPr>
        <w:rPr>
          <w:rFonts w:eastAsiaTheme="minorEastAsia"/>
        </w:rPr>
      </w:pPr>
      <w:r w:rsidRPr="4F50332C">
        <w:rPr>
          <w:rFonts w:eastAsiaTheme="minorEastAsia"/>
        </w:rPr>
        <w:t xml:space="preserve">While diagnostic applications in the clinical space are largely within its early stages, it is anticipated that there will be a rapid emergence of genomics-based diagnostic applications in the coming years. As such, this has been reflected in the Framework. </w:t>
      </w:r>
    </w:p>
    <w:p w14:paraId="2D0EF95F" w14:textId="543E6F02" w:rsidR="00EB13DC" w:rsidRPr="009D6A41" w:rsidRDefault="002929A6" w:rsidP="00EB13DC">
      <w:pPr>
        <w:rPr>
          <w:rFonts w:eastAsiaTheme="minorEastAsia"/>
        </w:rPr>
      </w:pPr>
      <w:r w:rsidRPr="00946644">
        <w:rPr>
          <w:rFonts w:eastAsiaTheme="minorEastAsia"/>
        </w:rPr>
        <w:t xml:space="preserve">Finally, this framework seeks to drive national effort on agreed priorities of coordinated sequencing activities across Australia for priority pathogens regardless of organism type—bacterial, viral, fungal, or parasitic. The Framework provides an opportunity to act on divergent approaches to implementing microbial sequencing before they form impediments to successful integration of microbial genomics into the Australian health system. To provide further context, national and international developments can be found in </w:t>
      </w:r>
      <w:r w:rsidRPr="00946644">
        <w:rPr>
          <w:rFonts w:eastAsiaTheme="minorEastAsia"/>
        </w:rPr>
        <w:fldChar w:fldCharType="begin"/>
      </w:r>
      <w:r w:rsidRPr="00946644">
        <w:rPr>
          <w:rFonts w:eastAsiaTheme="minorEastAsia"/>
        </w:rPr>
        <w:instrText xml:space="preserve"> REF _Ref150282346 \h </w:instrText>
      </w:r>
      <w:r w:rsidR="00AD2E7F">
        <w:rPr>
          <w:rFonts w:eastAsiaTheme="minorEastAsia"/>
        </w:rPr>
        <w:instrText xml:space="preserve"> \* MERGEFORMAT </w:instrText>
      </w:r>
      <w:r w:rsidRPr="00946644">
        <w:rPr>
          <w:rFonts w:eastAsiaTheme="minorEastAsia"/>
        </w:rPr>
      </w:r>
      <w:r w:rsidRPr="00946644">
        <w:rPr>
          <w:rFonts w:eastAsiaTheme="minorEastAsia"/>
        </w:rPr>
        <w:fldChar w:fldCharType="separate"/>
      </w:r>
      <w:r w:rsidR="003317BC">
        <w:t>Annex A</w:t>
      </w:r>
      <w:r w:rsidRPr="00946644">
        <w:rPr>
          <w:rFonts w:eastAsiaTheme="minorEastAsia"/>
        </w:rPr>
        <w:fldChar w:fldCharType="end"/>
      </w:r>
      <w:r w:rsidRPr="00946644">
        <w:rPr>
          <w:rFonts w:eastAsiaTheme="minorEastAsia"/>
        </w:rPr>
        <w:t>.</w:t>
      </w:r>
    </w:p>
    <w:p w14:paraId="3E0DA870" w14:textId="08672076" w:rsidR="00BB053E" w:rsidRDefault="00AD283D" w:rsidP="00BB053E">
      <w:pPr>
        <w:pStyle w:val="Heading1"/>
      </w:pPr>
      <w:bookmarkStart w:id="50" w:name="_Toc135494159"/>
      <w:bookmarkStart w:id="51" w:name="_Toc2074898730"/>
      <w:bookmarkStart w:id="52" w:name="_Toc921627509"/>
      <w:bookmarkStart w:id="53" w:name="_Toc191899403"/>
      <w:r>
        <w:lastRenderedPageBreak/>
        <w:t>Implement</w:t>
      </w:r>
      <w:bookmarkEnd w:id="50"/>
      <w:r>
        <w:t>ation</w:t>
      </w:r>
      <w:bookmarkEnd w:id="51"/>
      <w:bookmarkEnd w:id="52"/>
      <w:bookmarkEnd w:id="53"/>
      <w:r>
        <w:t xml:space="preserve"> </w:t>
      </w:r>
    </w:p>
    <w:p w14:paraId="228A879C" w14:textId="1EAC3187" w:rsidR="00871BD9" w:rsidRPr="009D0B69" w:rsidRDefault="00871BD9" w:rsidP="00AD2E7F">
      <w:pPr>
        <w:rPr>
          <w:rFonts w:eastAsiaTheme="minorEastAsia"/>
        </w:rPr>
      </w:pPr>
      <w:r w:rsidRPr="44B6643F">
        <w:rPr>
          <w:rFonts w:eastAsiaTheme="minorEastAsia"/>
        </w:rPr>
        <w:t xml:space="preserve">This framework sets out how the Australian Government </w:t>
      </w:r>
      <w:r w:rsidR="00EA65A4" w:rsidRPr="44B6643F">
        <w:rPr>
          <w:rFonts w:eastAsiaTheme="minorEastAsia"/>
        </w:rPr>
        <w:t xml:space="preserve">will work collaboratively </w:t>
      </w:r>
      <w:r w:rsidRPr="44B6643F">
        <w:rPr>
          <w:rFonts w:eastAsiaTheme="minorEastAsia"/>
        </w:rPr>
        <w:t xml:space="preserve">with the states and territories to </w:t>
      </w:r>
      <w:r w:rsidR="005653AE">
        <w:rPr>
          <w:rFonts w:eastAsiaTheme="minorEastAsia"/>
        </w:rPr>
        <w:t xml:space="preserve">better </w:t>
      </w:r>
      <w:r w:rsidRPr="44B6643F">
        <w:rPr>
          <w:rFonts w:eastAsiaTheme="minorEastAsia"/>
        </w:rPr>
        <w:t xml:space="preserve">integrate microbial genomic approaches into public health. The Framework includes actions, responsibilities, timeframes, priorities, and resourcing to measure the progress and success of the Framework and allows for the monitoring of national and jurisdictional progress against activities and milestones. While the Framework outlines an agreed national policy approach to </w:t>
      </w:r>
      <w:r w:rsidR="0005529C">
        <w:rPr>
          <w:rFonts w:eastAsiaTheme="minorEastAsia"/>
        </w:rPr>
        <w:t xml:space="preserve">integrating </w:t>
      </w:r>
      <w:r w:rsidRPr="44B6643F">
        <w:rPr>
          <w:rFonts w:eastAsiaTheme="minorEastAsia"/>
        </w:rPr>
        <w:t xml:space="preserve">microbial genomics into public health, it does not identify all the specific actions needed to take the </w:t>
      </w:r>
      <w:r w:rsidR="004936B2">
        <w:rPr>
          <w:rFonts w:eastAsiaTheme="minorEastAsia"/>
        </w:rPr>
        <w:t>F</w:t>
      </w:r>
      <w:r w:rsidRPr="44B6643F">
        <w:rPr>
          <w:rFonts w:eastAsiaTheme="minorEastAsia"/>
        </w:rPr>
        <w:t>ramework forward. The Framework refers to ‘actions’ as those that monitor/evaluate implementation, and ‘outcomes’ as implementation activities.</w:t>
      </w:r>
    </w:p>
    <w:p w14:paraId="264B9E89" w14:textId="395FB4C9" w:rsidR="00BB053E" w:rsidRDefault="00871BD9" w:rsidP="00AD2E7F">
      <w:pPr>
        <w:rPr>
          <w:rFonts w:eastAsiaTheme="minorEastAsia"/>
        </w:rPr>
      </w:pPr>
      <w:r w:rsidRPr="44B6643F">
        <w:rPr>
          <w:rFonts w:eastAsiaTheme="minorEastAsia"/>
        </w:rPr>
        <w:t>The Framework acknowledges that involving all governments and One Health sectors is key to harnessing the power and subsequent health benefits of microbial genomics. This Framework encompasses a plan to operationalise priority outcomes. It proposes strategic projects and actions that will drive results over the longer term and high-priority actions for the short term. As the Framework has a long-term vision, some actions are expected to go beyond its two-year duration.</w:t>
      </w:r>
    </w:p>
    <w:p w14:paraId="1EB3DD17" w14:textId="36BC4ABD" w:rsidR="00EB1556" w:rsidRDefault="001F1F51" w:rsidP="0083434A">
      <w:pPr>
        <w:pStyle w:val="Heading2"/>
      </w:pPr>
      <w:bookmarkStart w:id="54" w:name="_Toc191899404"/>
      <w:r w:rsidRPr="001F1F51">
        <w:t>Monitoring Outcomes</w:t>
      </w:r>
      <w:bookmarkEnd w:id="54"/>
    </w:p>
    <w:p w14:paraId="2FF4B6B7" w14:textId="0AA85BB0" w:rsidR="00F36DF3" w:rsidRPr="00F36DF3" w:rsidRDefault="249EC1C1" w:rsidP="00AD2E7F">
      <w:r>
        <w:t>It is intended that every t</w:t>
      </w:r>
      <w:r w:rsidR="3DDEA296">
        <w:t xml:space="preserve">hree </w:t>
      </w:r>
      <w:r>
        <w:t>years the Australian Government</w:t>
      </w:r>
      <w:r w:rsidR="674A9158">
        <w:t>,</w:t>
      </w:r>
      <w:r>
        <w:t xml:space="preserve"> with the states and territories</w:t>
      </w:r>
      <w:r w:rsidR="674A9158">
        <w:t>,</w:t>
      </w:r>
      <w:r>
        <w:t xml:space="preserve"> will evaluate the activity outcomes described in the Framework, including the cost-effectiveness, key achievements, sustainability, and challenges of integrating microbial genomics into the Australian public health system. Led by the Australian CDC, this evaluation will be supported by other initiatives such as the </w:t>
      </w:r>
      <w:hyperlink r:id="rId18">
        <w:r w:rsidRPr="6E48CD73">
          <w:rPr>
            <w:rStyle w:val="Hyperlink"/>
            <w:color w:val="auto"/>
          </w:rPr>
          <w:t>AusPathoGen Program</w:t>
        </w:r>
      </w:hyperlink>
      <w:r>
        <w:t xml:space="preserve">, which aims to evaluate the large-scale integration of pathogen genomics, epidemiological and surveillance data at the public health interface. This includes evaluation of the utility and cost-effectiveness of genomics-based public health responses. </w:t>
      </w:r>
    </w:p>
    <w:p w14:paraId="504A9D5D" w14:textId="77777777" w:rsidR="00D7585D" w:rsidRPr="009814D7" w:rsidRDefault="00D7585D" w:rsidP="0083434A">
      <w:pPr>
        <w:pStyle w:val="Heading2"/>
      </w:pPr>
      <w:bookmarkStart w:id="55" w:name="_Toc135494161"/>
      <w:bookmarkStart w:id="56" w:name="_Toc126092124"/>
      <w:bookmarkStart w:id="57" w:name="_Toc1693088938"/>
      <w:bookmarkStart w:id="58" w:name="_Toc191899405"/>
      <w:r>
        <w:t>Indicative action timeframes</w:t>
      </w:r>
      <w:bookmarkEnd w:id="55"/>
      <w:bookmarkEnd w:id="56"/>
      <w:bookmarkEnd w:id="57"/>
      <w:bookmarkEnd w:id="58"/>
    </w:p>
    <w:p w14:paraId="48F2A411" w14:textId="77777777" w:rsidR="00F85717" w:rsidRDefault="00F85717" w:rsidP="00AD2E7F">
      <w:pPr>
        <w:rPr>
          <w:lang w:bidi="en-AU"/>
        </w:rPr>
      </w:pPr>
      <w:r w:rsidRPr="00F85717">
        <w:rPr>
          <w:lang w:bidi="en-AU"/>
        </w:rPr>
        <w:t>Indicative timeframes proposed for each activity are:</w:t>
      </w:r>
    </w:p>
    <w:p w14:paraId="1F8CFFF0" w14:textId="70D9226B" w:rsidR="00F85717" w:rsidRPr="00F85717" w:rsidRDefault="73BEB8D7" w:rsidP="006C7957">
      <w:pPr>
        <w:numPr>
          <w:ilvl w:val="0"/>
          <w:numId w:val="15"/>
        </w:numPr>
      </w:pPr>
      <w:r>
        <w:t>short-term (</w:t>
      </w:r>
      <w:r w:rsidR="3EF5ED3C">
        <w:t>0</w:t>
      </w:r>
      <w:r>
        <w:t xml:space="preserve"> </w:t>
      </w:r>
      <w:r w:rsidR="73F9F04F">
        <w:t xml:space="preserve">– </w:t>
      </w:r>
      <w:r>
        <w:t>1</w:t>
      </w:r>
      <w:r w:rsidR="2AA00D8F">
        <w:t>.5</w:t>
      </w:r>
      <w:r>
        <w:t xml:space="preserve"> year</w:t>
      </w:r>
      <w:r w:rsidR="2C6DCD1D">
        <w:t>s</w:t>
      </w:r>
      <w:r>
        <w:t>)</w:t>
      </w:r>
    </w:p>
    <w:p w14:paraId="7F4352E8" w14:textId="68172F92" w:rsidR="00F85717" w:rsidRPr="00F85717" w:rsidRDefault="73BEB8D7" w:rsidP="006C7957">
      <w:pPr>
        <w:numPr>
          <w:ilvl w:val="0"/>
          <w:numId w:val="15"/>
        </w:numPr>
      </w:pPr>
      <w:r>
        <w:t>medium-term (1</w:t>
      </w:r>
      <w:r w:rsidR="22D69804">
        <w:t>.5</w:t>
      </w:r>
      <w:r>
        <w:t xml:space="preserve"> – </w:t>
      </w:r>
      <w:r w:rsidR="72B922E8">
        <w:t>3</w:t>
      </w:r>
      <w:r>
        <w:t xml:space="preserve"> years),</w:t>
      </w:r>
    </w:p>
    <w:p w14:paraId="54D07B60" w14:textId="02E23E22" w:rsidR="00F85717" w:rsidRPr="00F85717" w:rsidRDefault="73BEB8D7" w:rsidP="006C7957">
      <w:pPr>
        <w:numPr>
          <w:ilvl w:val="0"/>
          <w:numId w:val="15"/>
        </w:numPr>
      </w:pPr>
      <w:r>
        <w:t xml:space="preserve">long-term (more than </w:t>
      </w:r>
      <w:r w:rsidR="156AE0B5">
        <w:t>3</w:t>
      </w:r>
      <w:r>
        <w:t xml:space="preserve"> years)</w:t>
      </w:r>
    </w:p>
    <w:p w14:paraId="6232BCAE" w14:textId="37B7B7E5" w:rsidR="006B2380" w:rsidRPr="00F85717" w:rsidRDefault="00F85717" w:rsidP="006C7957">
      <w:pPr>
        <w:numPr>
          <w:ilvl w:val="0"/>
          <w:numId w:val="15"/>
        </w:numPr>
      </w:pPr>
      <w:r w:rsidRPr="00F85717">
        <w:t xml:space="preserve">ongoing. </w:t>
      </w:r>
    </w:p>
    <w:p w14:paraId="64C10051" w14:textId="1C1E38E5" w:rsidR="00F85717" w:rsidRPr="00F85717" w:rsidRDefault="00F85717" w:rsidP="00AD2E7F">
      <w:pPr>
        <w:rPr>
          <w:lang w:bidi="en-AU"/>
        </w:rPr>
      </w:pPr>
      <w:r w:rsidRPr="00F85717">
        <w:rPr>
          <w:lang w:bidi="en-AU"/>
        </w:rPr>
        <w:lastRenderedPageBreak/>
        <w:t>Timeframes show the expected length of time needed to complete the proposed activity. Some activities flagged as long-term are ongoing and likely to go beyond the duration of this iteration of the Framework.</w:t>
      </w:r>
    </w:p>
    <w:p w14:paraId="377A51CD" w14:textId="77777777" w:rsidR="00925CAE" w:rsidRPr="009814D7" w:rsidRDefault="00925CAE" w:rsidP="0083434A">
      <w:pPr>
        <w:pStyle w:val="Heading2"/>
      </w:pPr>
      <w:bookmarkStart w:id="59" w:name="_Toc135494162"/>
      <w:bookmarkStart w:id="60" w:name="_Toc1219082675"/>
      <w:bookmarkStart w:id="61" w:name="_Toc1266550598"/>
      <w:bookmarkStart w:id="62" w:name="_Toc191899406"/>
      <w:r>
        <w:t>Priority key</w:t>
      </w:r>
      <w:bookmarkEnd w:id="59"/>
      <w:bookmarkEnd w:id="60"/>
      <w:bookmarkEnd w:id="61"/>
      <w:bookmarkEnd w:id="62"/>
    </w:p>
    <w:p w14:paraId="5189D8A0" w14:textId="77777777" w:rsidR="001C5ED8" w:rsidRPr="001C5ED8" w:rsidRDefault="001C5ED8" w:rsidP="00AD2E7F">
      <w:pPr>
        <w:rPr>
          <w:lang w:bidi="en-AU"/>
        </w:rPr>
      </w:pPr>
      <w:r w:rsidRPr="001C5ED8">
        <w:rPr>
          <w:lang w:bidi="en-AU"/>
        </w:rPr>
        <w:t xml:space="preserve">Indicative priorities proposed for each activity are: </w:t>
      </w:r>
    </w:p>
    <w:p w14:paraId="3048560A" w14:textId="77777777" w:rsidR="001C5ED8" w:rsidRPr="001C5ED8" w:rsidRDefault="001C5ED8" w:rsidP="006C7957">
      <w:pPr>
        <w:numPr>
          <w:ilvl w:val="0"/>
          <w:numId w:val="16"/>
        </w:numPr>
        <w:rPr>
          <w:lang w:bidi="en-AU"/>
        </w:rPr>
      </w:pPr>
      <w:r w:rsidRPr="001C5ED8">
        <w:rPr>
          <w:lang w:bidi="en-AU"/>
        </w:rPr>
        <w:t xml:space="preserve">low </w:t>
      </w:r>
    </w:p>
    <w:p w14:paraId="6219850A" w14:textId="2462FA52" w:rsidR="001C5ED8" w:rsidRPr="001C5ED8" w:rsidRDefault="001C5ED8" w:rsidP="006C7957">
      <w:pPr>
        <w:numPr>
          <w:ilvl w:val="0"/>
          <w:numId w:val="16"/>
        </w:numPr>
        <w:rPr>
          <w:lang w:bidi="en-AU"/>
        </w:rPr>
      </w:pPr>
      <w:r w:rsidRPr="001C5ED8">
        <w:rPr>
          <w:lang w:bidi="en-AU"/>
        </w:rPr>
        <w:t>medium</w:t>
      </w:r>
    </w:p>
    <w:p w14:paraId="0811AE72" w14:textId="0AC5BFC7" w:rsidR="001C5ED8" w:rsidRPr="001C5ED8" w:rsidRDefault="001C5ED8" w:rsidP="006C7957">
      <w:pPr>
        <w:numPr>
          <w:ilvl w:val="0"/>
          <w:numId w:val="16"/>
        </w:numPr>
        <w:rPr>
          <w:lang w:bidi="en-AU"/>
        </w:rPr>
      </w:pPr>
      <w:r w:rsidRPr="001C5ED8">
        <w:rPr>
          <w:lang w:bidi="en-AU"/>
        </w:rPr>
        <w:t>high</w:t>
      </w:r>
      <w:r w:rsidR="000755BB">
        <w:rPr>
          <w:lang w:bidi="en-AU"/>
        </w:rPr>
        <w:t>.</w:t>
      </w:r>
    </w:p>
    <w:p w14:paraId="295E0EC7" w14:textId="77777777" w:rsidR="001C5ED8" w:rsidRPr="001C5ED8" w:rsidRDefault="001C5ED8" w:rsidP="00AD2E7F">
      <w:pPr>
        <w:rPr>
          <w:lang w:bidi="en-AU"/>
        </w:rPr>
      </w:pPr>
      <w:r w:rsidRPr="001C5ED8">
        <w:rPr>
          <w:lang w:bidi="en-AU"/>
        </w:rPr>
        <w:t>The level of priority is determined through consideration of the:</w:t>
      </w:r>
    </w:p>
    <w:p w14:paraId="1869A716" w14:textId="77777777" w:rsidR="001C5ED8" w:rsidRPr="001C5ED8" w:rsidRDefault="001C5ED8" w:rsidP="006C7957">
      <w:pPr>
        <w:numPr>
          <w:ilvl w:val="0"/>
          <w:numId w:val="17"/>
        </w:numPr>
        <w:rPr>
          <w:lang w:bidi="en-AU"/>
        </w:rPr>
      </w:pPr>
      <w:r w:rsidRPr="001C5ED8">
        <w:rPr>
          <w:lang w:bidi="en-AU"/>
        </w:rPr>
        <w:t>need (based on stakeholder feedback) for implementation</w:t>
      </w:r>
    </w:p>
    <w:p w14:paraId="283BB2B6" w14:textId="3C764A1C" w:rsidR="001C5ED8" w:rsidRPr="001C5ED8" w:rsidRDefault="001C5ED8" w:rsidP="006C7957">
      <w:pPr>
        <w:numPr>
          <w:ilvl w:val="0"/>
          <w:numId w:val="17"/>
        </w:numPr>
        <w:rPr>
          <w:lang w:bidi="en-AU"/>
        </w:rPr>
      </w:pPr>
      <w:r w:rsidRPr="001C5ED8">
        <w:rPr>
          <w:lang w:bidi="en-AU"/>
        </w:rPr>
        <w:t>sequential need for an activity</w:t>
      </w:r>
    </w:p>
    <w:p w14:paraId="1543C10B" w14:textId="77777777" w:rsidR="001C5ED8" w:rsidRPr="001C5ED8" w:rsidRDefault="001C5ED8" w:rsidP="006C7957">
      <w:pPr>
        <w:numPr>
          <w:ilvl w:val="0"/>
          <w:numId w:val="17"/>
        </w:numPr>
        <w:rPr>
          <w:lang w:bidi="en-AU"/>
        </w:rPr>
      </w:pPr>
      <w:r w:rsidRPr="001C5ED8">
        <w:rPr>
          <w:lang w:bidi="en-AU"/>
        </w:rPr>
        <w:t>beneficial influence or impact the action will have on national capacity, capability, and utilisation of microbial genomics in the public health system.</w:t>
      </w:r>
    </w:p>
    <w:p w14:paraId="0D635058" w14:textId="77777777" w:rsidR="002351D8" w:rsidRPr="009814D7" w:rsidRDefault="002351D8" w:rsidP="002351D8">
      <w:pPr>
        <w:pStyle w:val="Heading2"/>
        <w:rPr>
          <w:rFonts w:ascii="Calibri" w:hAnsi="Calibri"/>
          <w:sz w:val="28"/>
          <w:szCs w:val="28"/>
          <w:lang w:eastAsia="en-AU"/>
        </w:rPr>
      </w:pPr>
      <w:bookmarkStart w:id="63" w:name="_Toc135494163"/>
      <w:bookmarkStart w:id="64" w:name="_Toc1150086616"/>
      <w:bookmarkStart w:id="65" w:name="_Toc762166322"/>
      <w:bookmarkStart w:id="66" w:name="_Toc191899407"/>
      <w:r>
        <w:t>Roles and responsibilities</w:t>
      </w:r>
      <w:bookmarkEnd w:id="63"/>
      <w:bookmarkEnd w:id="64"/>
      <w:bookmarkEnd w:id="65"/>
      <w:bookmarkEnd w:id="66"/>
    </w:p>
    <w:p w14:paraId="76F0310F" w14:textId="10298664" w:rsidR="006822EA" w:rsidRPr="006822EA" w:rsidRDefault="006822EA" w:rsidP="00AD2E7F">
      <w:pPr>
        <w:rPr>
          <w:rFonts w:eastAsiaTheme="minorEastAsia"/>
          <w:lang w:bidi="en-AU"/>
        </w:rPr>
      </w:pPr>
      <w:r w:rsidRPr="006822EA">
        <w:rPr>
          <w:rFonts w:eastAsiaTheme="minorEastAsia"/>
          <w:lang w:bidi="en-AU"/>
        </w:rPr>
        <w:t>Each level of government has specific roles and responsibilities across the range of health policies and programs that involve, or are becoming increasingly influenced by, microbial genomics. The Framework does not change the nature of these roles and responsibilities but looks to create a more cohesive approach across all governments. The Framework recognises that coordinated and thorough planning is needed between all levels of government and across the laboratory and public health sectors. The Framework embodies this approach, with all levels of government involved in both its development and implementation.</w:t>
      </w:r>
    </w:p>
    <w:p w14:paraId="7796F9B1" w14:textId="35CB0B16" w:rsidR="006822EA" w:rsidRPr="006822EA" w:rsidRDefault="006822EA" w:rsidP="00AD2E7F">
      <w:pPr>
        <w:rPr>
          <w:rFonts w:eastAsiaTheme="minorEastAsia"/>
        </w:rPr>
      </w:pPr>
      <w:r w:rsidRPr="006822EA">
        <w:rPr>
          <w:rFonts w:eastAsiaTheme="minorEastAsia"/>
        </w:rPr>
        <w:t>The Framework is the responsibility of the federal, state and territory governments under HCEF governance arrangements</w:t>
      </w:r>
      <w:r w:rsidR="00025AC6" w:rsidRPr="006822EA">
        <w:rPr>
          <w:rFonts w:eastAsiaTheme="minorEastAsia"/>
          <w:vertAlign w:val="superscript"/>
        </w:rPr>
        <w:footnoteReference w:id="4"/>
      </w:r>
      <w:r w:rsidRPr="006822EA">
        <w:rPr>
          <w:rFonts w:eastAsiaTheme="minorEastAsia"/>
        </w:rPr>
        <w:t>. The work and cooperation of pathology, animal, and environmental laboratories, public health authorities, research organisations and educational leaders is essential to achieving the Framework’s overall vision.</w:t>
      </w:r>
    </w:p>
    <w:p w14:paraId="77CCE078" w14:textId="77777777" w:rsidR="006822EA" w:rsidRPr="006822EA" w:rsidRDefault="006822EA" w:rsidP="00AD2E7F">
      <w:pPr>
        <w:rPr>
          <w:rFonts w:eastAsiaTheme="minorEastAsia"/>
        </w:rPr>
      </w:pPr>
      <w:r w:rsidRPr="006822EA">
        <w:rPr>
          <w:rFonts w:eastAsiaTheme="minorEastAsia"/>
        </w:rPr>
        <w:t xml:space="preserve">In the proposed implementation activities, ‘National Action’ infers the collective responsibility of states, territories, and the Australian Government. Where an Action Lead </w:t>
      </w:r>
      <w:r w:rsidRPr="006822EA">
        <w:rPr>
          <w:rFonts w:eastAsiaTheme="minorEastAsia"/>
        </w:rPr>
        <w:lastRenderedPageBreak/>
        <w:t>references ‘All’, this infers the collective responsibility of states, territories, the Australian Government, and relevant committees.</w:t>
      </w:r>
    </w:p>
    <w:p w14:paraId="1427DE57" w14:textId="1208DC24" w:rsidR="00170EAF" w:rsidRPr="009814D7" w:rsidRDefault="4EF2AF22" w:rsidP="00AD2E7F">
      <w:pPr>
        <w:pStyle w:val="Heading2"/>
      </w:pPr>
      <w:bookmarkStart w:id="67" w:name="_Toc135494164"/>
      <w:bookmarkStart w:id="68" w:name="_Toc1417265384"/>
      <w:bookmarkStart w:id="69" w:name="_Toc419371062"/>
      <w:bookmarkStart w:id="70" w:name="_Toc191899408"/>
      <w:r>
        <w:t>Governance</w:t>
      </w:r>
      <w:bookmarkEnd w:id="67"/>
      <w:bookmarkEnd w:id="68"/>
      <w:bookmarkEnd w:id="69"/>
      <w:bookmarkEnd w:id="70"/>
    </w:p>
    <w:p w14:paraId="6D3FD5D0" w14:textId="05F840FD" w:rsidR="006B2380" w:rsidRPr="00716A01" w:rsidRDefault="0EEA8B3D" w:rsidP="5A36DD3A">
      <w:pPr>
        <w:rPr>
          <w:rFonts w:eastAsiaTheme="minorEastAsia"/>
          <w:lang w:bidi="en-AU"/>
        </w:rPr>
      </w:pPr>
      <w:r w:rsidRPr="5A36DD3A">
        <w:rPr>
          <w:rFonts w:eastAsiaTheme="minorEastAsia"/>
          <w:lang w:bidi="en-AU"/>
        </w:rPr>
        <w:t>Governance is key for driving and coordinating implementation of the Framework. To ensure the Australian Government and state and territory governments are involved, and work is progressed in a cohesive way, it is appropriate for the governance arrangements to be situated under the HCEF structure.</w:t>
      </w:r>
      <w:r w:rsidR="3F9C684E" w:rsidRPr="5A36DD3A">
        <w:rPr>
          <w:rFonts w:eastAsiaTheme="minorEastAsia"/>
          <w:lang w:bidi="en-AU"/>
        </w:rPr>
        <w:t xml:space="preserve"> </w:t>
      </w:r>
      <w:r w:rsidR="647DC024" w:rsidRPr="5A36DD3A">
        <w:rPr>
          <w:rFonts w:eastAsiaTheme="minorEastAsia"/>
          <w:lang w:bidi="en-AU"/>
        </w:rPr>
        <w:t>In addition, wh</w:t>
      </w:r>
      <w:r w:rsidR="6E0170C8" w:rsidRPr="5A36DD3A">
        <w:rPr>
          <w:rFonts w:eastAsiaTheme="minorEastAsia"/>
          <w:lang w:bidi="en-AU"/>
        </w:rPr>
        <w:t>ile</w:t>
      </w:r>
      <w:r w:rsidR="647DC024" w:rsidRPr="5A36DD3A">
        <w:rPr>
          <w:rFonts w:eastAsiaTheme="minorEastAsia"/>
          <w:lang w:bidi="en-AU"/>
        </w:rPr>
        <w:t xml:space="preserve"> </w:t>
      </w:r>
      <w:r w:rsidR="3246F164" w:rsidRPr="5A36DD3A">
        <w:rPr>
          <w:rFonts w:eastAsiaTheme="minorEastAsia"/>
          <w:lang w:bidi="en-AU"/>
        </w:rPr>
        <w:t>lead</w:t>
      </w:r>
      <w:r w:rsidR="144ADDA2" w:rsidRPr="5A36DD3A">
        <w:rPr>
          <w:rFonts w:eastAsiaTheme="minorEastAsia"/>
          <w:lang w:bidi="en-AU"/>
        </w:rPr>
        <w:t xml:space="preserve"> groups are identified against </w:t>
      </w:r>
      <w:r w:rsidR="58AAF48C" w:rsidRPr="5A36DD3A">
        <w:rPr>
          <w:rFonts w:eastAsiaTheme="minorEastAsia"/>
          <w:lang w:bidi="en-AU"/>
        </w:rPr>
        <w:t>specific responsibilities and actions</w:t>
      </w:r>
      <w:r w:rsidR="530541A4" w:rsidRPr="5A36DD3A">
        <w:rPr>
          <w:rFonts w:eastAsiaTheme="minorEastAsia"/>
          <w:lang w:bidi="en-AU"/>
        </w:rPr>
        <w:t xml:space="preserve">, in practice </w:t>
      </w:r>
      <w:r w:rsidR="7884BDC9" w:rsidRPr="5A36DD3A">
        <w:rPr>
          <w:rFonts w:eastAsiaTheme="minorEastAsia"/>
          <w:lang w:bidi="en-AU"/>
        </w:rPr>
        <w:t xml:space="preserve">these will be completed in partnership with all relevant committees </w:t>
      </w:r>
      <w:r w:rsidR="7270D48D" w:rsidRPr="5A36DD3A">
        <w:rPr>
          <w:rFonts w:eastAsiaTheme="minorEastAsia"/>
          <w:lang w:bidi="en-AU"/>
        </w:rPr>
        <w:t xml:space="preserve">and in consultation </w:t>
      </w:r>
      <w:r w:rsidR="7884BDC9" w:rsidRPr="5A36DD3A">
        <w:rPr>
          <w:rFonts w:eastAsiaTheme="minorEastAsia"/>
          <w:lang w:bidi="en-AU"/>
        </w:rPr>
        <w:t>with state and territor</w:t>
      </w:r>
      <w:r w:rsidR="7270D48D" w:rsidRPr="5A36DD3A">
        <w:rPr>
          <w:rFonts w:eastAsiaTheme="minorEastAsia"/>
          <w:lang w:bidi="en-AU"/>
        </w:rPr>
        <w:t>y governments</w:t>
      </w:r>
      <w:r w:rsidR="7884BDC9" w:rsidRPr="5A36DD3A">
        <w:rPr>
          <w:rFonts w:eastAsiaTheme="minorEastAsia"/>
          <w:lang w:bidi="en-AU"/>
        </w:rPr>
        <w:t xml:space="preserve"> and the Commonwealth, where applicable</w:t>
      </w:r>
      <w:r w:rsidR="6E69E4E8" w:rsidRPr="5A36DD3A">
        <w:rPr>
          <w:rFonts w:eastAsiaTheme="minorEastAsia"/>
          <w:lang w:bidi="en-AU"/>
        </w:rPr>
        <w:t>, whilst also</w:t>
      </w:r>
      <w:r w:rsidR="0C4FEEBA" w:rsidRPr="5A36DD3A">
        <w:rPr>
          <w:rFonts w:eastAsiaTheme="minorEastAsia"/>
          <w:lang w:bidi="en-AU"/>
        </w:rPr>
        <w:t xml:space="preserve"> ensuring that approval pathways are adhered to</w:t>
      </w:r>
      <w:r w:rsidR="7884BDC9" w:rsidRPr="5A36DD3A">
        <w:rPr>
          <w:rFonts w:eastAsiaTheme="minorEastAsia"/>
          <w:lang w:bidi="en-AU"/>
        </w:rPr>
        <w:t>.</w:t>
      </w:r>
    </w:p>
    <w:tbl>
      <w:tblPr>
        <w:tblStyle w:val="TableGrid"/>
        <w:tblW w:w="9665" w:type="dxa"/>
        <w:tblBorders>
          <w:bottom w:val="none" w:sz="0" w:space="0" w:color="auto"/>
        </w:tblBorders>
        <w:tblLook w:val="04A0" w:firstRow="1" w:lastRow="0" w:firstColumn="1" w:lastColumn="0" w:noHBand="0" w:noVBand="1"/>
        <w:tblCaption w:val="Governance Arrangements"/>
        <w:tblDescription w:val="Outlines the governance arrangements under the Australian Health Ministers' Advisory Committee (or equivalent) structure. This table describes the actions, roles and lead responsibilities for the specified committees, and timeframes for implementation."/>
      </w:tblPr>
      <w:tblGrid>
        <w:gridCol w:w="3510"/>
        <w:gridCol w:w="2342"/>
        <w:gridCol w:w="1630"/>
        <w:gridCol w:w="2183"/>
      </w:tblGrid>
      <w:tr w:rsidR="00963FFD" w:rsidRPr="001A27BF" w14:paraId="6612A4C5" w14:textId="77777777" w:rsidTr="5A36DD3A">
        <w:trPr>
          <w:cnfStyle w:val="100000000000" w:firstRow="1" w:lastRow="0" w:firstColumn="0" w:lastColumn="0" w:oddVBand="0" w:evenVBand="0" w:oddHBand="0" w:evenHBand="0" w:firstRowFirstColumn="0" w:firstRowLastColumn="0" w:lastRowFirstColumn="0" w:lastRowLastColumn="0"/>
          <w:tblHeader/>
        </w:trPr>
        <w:tc>
          <w:tcPr>
            <w:tcW w:w="3510" w:type="dxa"/>
          </w:tcPr>
          <w:p w14:paraId="000C4982" w14:textId="509DE25F" w:rsidR="00963FFD" w:rsidRPr="001A27BF" w:rsidRDefault="00963FFD" w:rsidP="005F4946">
            <w:pPr>
              <w:spacing w:line="240" w:lineRule="auto"/>
              <w:rPr>
                <w:rFonts w:ascii="Times New Roman"/>
              </w:rPr>
            </w:pPr>
            <w:r w:rsidRPr="001A27BF">
              <w:rPr>
                <w:b/>
              </w:rPr>
              <w:t>Action</w:t>
            </w:r>
          </w:p>
        </w:tc>
        <w:tc>
          <w:tcPr>
            <w:tcW w:w="2342" w:type="dxa"/>
          </w:tcPr>
          <w:p w14:paraId="726CA158" w14:textId="54022EDA" w:rsidR="00963FFD" w:rsidRPr="001A27BF" w:rsidRDefault="00963FFD" w:rsidP="005F4946">
            <w:pPr>
              <w:spacing w:line="240" w:lineRule="auto"/>
              <w:rPr>
                <w:b/>
              </w:rPr>
            </w:pPr>
            <w:r w:rsidRPr="001A27BF">
              <w:rPr>
                <w:b/>
              </w:rPr>
              <w:t>Roles</w:t>
            </w:r>
          </w:p>
        </w:tc>
        <w:tc>
          <w:tcPr>
            <w:tcW w:w="1630" w:type="dxa"/>
          </w:tcPr>
          <w:p w14:paraId="4C7691C0" w14:textId="77777777" w:rsidR="00963FFD" w:rsidRPr="001A27BF" w:rsidRDefault="00963FFD" w:rsidP="005F4946">
            <w:pPr>
              <w:spacing w:line="240" w:lineRule="auto"/>
              <w:rPr>
                <w:rFonts w:ascii="Times New Roman"/>
              </w:rPr>
            </w:pPr>
            <w:r w:rsidRPr="001A27BF">
              <w:rPr>
                <w:b/>
              </w:rPr>
              <w:t>Timeframe</w:t>
            </w:r>
          </w:p>
        </w:tc>
        <w:tc>
          <w:tcPr>
            <w:tcW w:w="2183" w:type="dxa"/>
          </w:tcPr>
          <w:p w14:paraId="7BC23FB3" w14:textId="129F680B" w:rsidR="00963FFD" w:rsidRPr="001A27BF" w:rsidRDefault="4FDBB4CB" w:rsidP="005F4946">
            <w:pPr>
              <w:spacing w:line="240" w:lineRule="auto"/>
              <w:rPr>
                <w:rFonts w:ascii="Times New Roman"/>
              </w:rPr>
            </w:pPr>
            <w:r w:rsidRPr="5A36DD3A">
              <w:rPr>
                <w:b/>
                <w:bCs/>
              </w:rPr>
              <w:t>Lead Responsibility</w:t>
            </w:r>
            <w:r w:rsidR="00762F1C">
              <w:rPr>
                <w:rStyle w:val="FootnoteReference"/>
                <w:b/>
              </w:rPr>
              <w:footnoteReference w:id="5"/>
            </w:r>
          </w:p>
        </w:tc>
      </w:tr>
      <w:tr w:rsidR="00963FFD" w:rsidRPr="001A27BF" w14:paraId="76579AF1" w14:textId="77777777" w:rsidTr="5A36DD3A">
        <w:trPr>
          <w:cnfStyle w:val="000000100000" w:firstRow="0" w:lastRow="0" w:firstColumn="0" w:lastColumn="0" w:oddVBand="0" w:evenVBand="0" w:oddHBand="1" w:evenHBand="0" w:firstRowFirstColumn="0" w:firstRowLastColumn="0" w:lastRowFirstColumn="0" w:lastRowLastColumn="0"/>
        </w:trPr>
        <w:tc>
          <w:tcPr>
            <w:tcW w:w="3510" w:type="dxa"/>
          </w:tcPr>
          <w:p w14:paraId="74480563" w14:textId="51A6332D" w:rsidR="00963FFD" w:rsidRPr="001A27BF" w:rsidRDefault="00963FFD">
            <w:pPr>
              <w:spacing w:line="240" w:lineRule="auto"/>
            </w:pPr>
            <w:r w:rsidRPr="001A27BF">
              <w:rPr>
                <w:b/>
              </w:rPr>
              <w:t xml:space="preserve">Action i: </w:t>
            </w:r>
            <w:r w:rsidRPr="001A27BF">
              <w:t>The Australian Government and state and territory governments will continue to support governance arrangements through the HCEF structure. AHPC will provide advice on the implementation of the Framework, ensuring ongoing national consistency and transparency.</w:t>
            </w:r>
          </w:p>
        </w:tc>
        <w:tc>
          <w:tcPr>
            <w:tcW w:w="2342" w:type="dxa"/>
          </w:tcPr>
          <w:p w14:paraId="0A038F6B" w14:textId="77777777" w:rsidR="00963FFD" w:rsidRPr="001A27BF" w:rsidRDefault="00963FFD">
            <w:r>
              <w:t>Australian CDC will monitor this progress.</w:t>
            </w:r>
          </w:p>
        </w:tc>
        <w:tc>
          <w:tcPr>
            <w:tcW w:w="1630" w:type="dxa"/>
          </w:tcPr>
          <w:p w14:paraId="45A1B770" w14:textId="77777777" w:rsidR="00963FFD" w:rsidRPr="001A27BF" w:rsidRDefault="00963FFD">
            <w:pPr>
              <w:spacing w:line="240" w:lineRule="auto"/>
              <w:rPr>
                <w:rFonts w:ascii="Times New Roman"/>
              </w:rPr>
            </w:pPr>
            <w:r w:rsidRPr="001A27BF">
              <w:t>Ongoing</w:t>
            </w:r>
          </w:p>
        </w:tc>
        <w:tc>
          <w:tcPr>
            <w:tcW w:w="2183" w:type="dxa"/>
          </w:tcPr>
          <w:p w14:paraId="68072D09" w14:textId="30BA64D7" w:rsidR="00963FFD" w:rsidRPr="001A27BF" w:rsidRDefault="00963FFD">
            <w:pPr>
              <w:spacing w:line="240" w:lineRule="auto"/>
              <w:rPr>
                <w:rFonts w:ascii="Times New Roman"/>
              </w:rPr>
            </w:pPr>
            <w:r>
              <w:t>Australian CDC</w:t>
            </w:r>
            <w:r w:rsidRPr="5236FCCA">
              <w:rPr>
                <w:rStyle w:val="FootnoteReference"/>
              </w:rPr>
              <w:footnoteReference w:id="6"/>
            </w:r>
            <w:r>
              <w:t xml:space="preserve"> and relevant </w:t>
            </w:r>
            <w:r w:rsidR="000852F1">
              <w:t>AHPC sub-</w:t>
            </w:r>
            <w:r>
              <w:t>committees</w:t>
            </w:r>
          </w:p>
        </w:tc>
      </w:tr>
      <w:tr w:rsidR="00963FFD" w:rsidRPr="001A27BF" w14:paraId="0D6CFA68" w14:textId="77777777" w:rsidTr="5A36DD3A">
        <w:tc>
          <w:tcPr>
            <w:tcW w:w="3510" w:type="dxa"/>
          </w:tcPr>
          <w:p w14:paraId="19E0063D" w14:textId="65515A75" w:rsidR="00963FFD" w:rsidRPr="001A27BF" w:rsidRDefault="56E2855B">
            <w:pPr>
              <w:spacing w:line="240" w:lineRule="auto"/>
            </w:pPr>
            <w:r w:rsidRPr="7CF82925">
              <w:rPr>
                <w:b/>
                <w:bCs/>
              </w:rPr>
              <w:t xml:space="preserve">Action ii: </w:t>
            </w:r>
            <w:r w:rsidRPr="001A27BF">
              <w:t>The Australian Government and state and territory governments will evaluate the Framework</w:t>
            </w:r>
            <w:r w:rsidR="00963FFD" w:rsidRPr="001A27BF">
              <w:rPr>
                <w:rStyle w:val="FootnoteReference"/>
              </w:rPr>
              <w:footnoteReference w:id="7"/>
            </w:r>
            <w:r w:rsidRPr="001A27BF">
              <w:t>. This evaluation will begin in 202</w:t>
            </w:r>
            <w:r w:rsidR="23C6A780" w:rsidRPr="001A27BF">
              <w:t>6</w:t>
            </w:r>
            <w:r w:rsidRPr="001A27BF">
              <w:t xml:space="preserve"> to inform the future directions of microbial genomics policy.</w:t>
            </w:r>
          </w:p>
        </w:tc>
        <w:tc>
          <w:tcPr>
            <w:tcW w:w="2342" w:type="dxa"/>
          </w:tcPr>
          <w:p w14:paraId="425C2136" w14:textId="77777777" w:rsidR="00963FFD" w:rsidRPr="001A27BF" w:rsidRDefault="00963FFD">
            <w:r>
              <w:t>Australian CDC will lead an evaluation, including the development of an evaluation plan.</w:t>
            </w:r>
          </w:p>
        </w:tc>
        <w:tc>
          <w:tcPr>
            <w:tcW w:w="1630" w:type="dxa"/>
          </w:tcPr>
          <w:p w14:paraId="6372E04B" w14:textId="77777777" w:rsidR="00963FFD" w:rsidRPr="001A27BF" w:rsidRDefault="00963FFD">
            <w:pPr>
              <w:spacing w:line="240" w:lineRule="auto"/>
              <w:rPr>
                <w:rFonts w:ascii="Times New Roman"/>
              </w:rPr>
            </w:pPr>
            <w:r w:rsidRPr="001A27BF">
              <w:t>Medium-term</w:t>
            </w:r>
          </w:p>
        </w:tc>
        <w:tc>
          <w:tcPr>
            <w:tcW w:w="2183" w:type="dxa"/>
          </w:tcPr>
          <w:p w14:paraId="4913889E" w14:textId="77777777" w:rsidR="00963FFD" w:rsidRPr="001A27BF" w:rsidRDefault="00963FFD">
            <w:pPr>
              <w:spacing w:line="240" w:lineRule="auto"/>
              <w:rPr>
                <w:rFonts w:ascii="Times New Roman"/>
              </w:rPr>
            </w:pPr>
            <w:r>
              <w:t>Australian CDC</w:t>
            </w:r>
          </w:p>
        </w:tc>
      </w:tr>
    </w:tbl>
    <w:p w14:paraId="32E58289" w14:textId="77777777" w:rsidR="00A46C0C" w:rsidRPr="009814D7" w:rsidRDefault="00A46C0C" w:rsidP="00A46C0C">
      <w:pPr>
        <w:pStyle w:val="Heading2"/>
      </w:pPr>
      <w:bookmarkStart w:id="71" w:name="_Toc135494165"/>
      <w:bookmarkStart w:id="72" w:name="_Toc234947415"/>
      <w:bookmarkStart w:id="73" w:name="_Toc587683679"/>
      <w:bookmarkStart w:id="74" w:name="_Toc191899409"/>
      <w:r>
        <w:lastRenderedPageBreak/>
        <w:t>Accountability - measuring and reporting</w:t>
      </w:r>
      <w:bookmarkEnd w:id="71"/>
      <w:bookmarkEnd w:id="72"/>
      <w:bookmarkEnd w:id="73"/>
      <w:bookmarkEnd w:id="74"/>
    </w:p>
    <w:p w14:paraId="59A99BF3" w14:textId="58194A54" w:rsidR="006B2380" w:rsidRPr="00F53756" w:rsidRDefault="00F53756" w:rsidP="00AD2E7F">
      <w:pPr>
        <w:rPr>
          <w:rFonts w:eastAsiaTheme="minorEastAsia"/>
          <w:lang w:bidi="en-AU"/>
        </w:rPr>
      </w:pPr>
      <w:r w:rsidRPr="00F53756">
        <w:rPr>
          <w:rFonts w:eastAsiaTheme="minorEastAsia"/>
          <w:lang w:bidi="en-AU"/>
        </w:rPr>
        <w:t xml:space="preserve">Accountability requires appropriate risk management frameworks to promote the efficient, effective, economical, and ethical use of public resources. The development of a national system performance framework will ensure implementation activities remain fit for purpose and achieve the defined objectives within the proposed timeframes. </w:t>
      </w:r>
    </w:p>
    <w:tbl>
      <w:tblPr>
        <w:tblStyle w:val="TableGrid"/>
        <w:tblW w:w="9947" w:type="dxa"/>
        <w:tblLook w:val="04A0" w:firstRow="1" w:lastRow="0" w:firstColumn="1" w:lastColumn="0" w:noHBand="0" w:noVBand="1"/>
        <w:tblCaption w:val="Accountability - measuring and reporting"/>
        <w:tblDescription w:val="Outlines the national processes in place to report, measure and monitor the progress of the Implementation Plan."/>
      </w:tblPr>
      <w:tblGrid>
        <w:gridCol w:w="3510"/>
        <w:gridCol w:w="2410"/>
        <w:gridCol w:w="1843"/>
        <w:gridCol w:w="2184"/>
      </w:tblGrid>
      <w:tr w:rsidR="00F53756" w:rsidRPr="00F53756" w14:paraId="702EE98B" w14:textId="77777777" w:rsidTr="00ED7D77">
        <w:trPr>
          <w:cnfStyle w:val="100000000000" w:firstRow="1" w:lastRow="0" w:firstColumn="0" w:lastColumn="0" w:oddVBand="0" w:evenVBand="0" w:oddHBand="0" w:evenHBand="0" w:firstRowFirstColumn="0" w:firstRowLastColumn="0" w:lastRowFirstColumn="0" w:lastRowLastColumn="0"/>
          <w:tblHeader/>
        </w:trPr>
        <w:tc>
          <w:tcPr>
            <w:tcW w:w="3510" w:type="dxa"/>
          </w:tcPr>
          <w:p w14:paraId="4407BCA0" w14:textId="4F30D46E" w:rsidR="00F53756" w:rsidRPr="00F53756" w:rsidRDefault="00F53756" w:rsidP="00F53756">
            <w:pPr>
              <w:spacing w:line="240" w:lineRule="auto"/>
              <w:rPr>
                <w:rFonts w:eastAsiaTheme="minorEastAsia"/>
                <w:lang w:bidi="en-AU"/>
              </w:rPr>
            </w:pPr>
            <w:r w:rsidRPr="00F53756">
              <w:rPr>
                <w:rFonts w:eastAsiaTheme="minorEastAsia"/>
                <w:b/>
                <w:lang w:bidi="en-AU"/>
              </w:rPr>
              <w:t>Action</w:t>
            </w:r>
          </w:p>
        </w:tc>
        <w:tc>
          <w:tcPr>
            <w:tcW w:w="2410" w:type="dxa"/>
          </w:tcPr>
          <w:p w14:paraId="77DC1672" w14:textId="77777777" w:rsidR="00F53756" w:rsidRPr="00F53756" w:rsidRDefault="00F53756" w:rsidP="00F53756">
            <w:pPr>
              <w:spacing w:line="240" w:lineRule="auto"/>
              <w:rPr>
                <w:rFonts w:eastAsiaTheme="minorEastAsia"/>
                <w:b/>
                <w:lang w:bidi="en-AU"/>
              </w:rPr>
            </w:pPr>
            <w:r w:rsidRPr="00F53756">
              <w:rPr>
                <w:rFonts w:eastAsiaTheme="minorEastAsia"/>
                <w:b/>
                <w:lang w:bidi="en-AU"/>
              </w:rPr>
              <w:t xml:space="preserve">Roles </w:t>
            </w:r>
          </w:p>
        </w:tc>
        <w:tc>
          <w:tcPr>
            <w:tcW w:w="1843" w:type="dxa"/>
          </w:tcPr>
          <w:p w14:paraId="515608D3" w14:textId="77777777" w:rsidR="00F53756" w:rsidRPr="00F53756" w:rsidRDefault="00F53756" w:rsidP="00F53756">
            <w:pPr>
              <w:spacing w:line="240" w:lineRule="auto"/>
              <w:rPr>
                <w:rFonts w:eastAsiaTheme="minorEastAsia"/>
                <w:lang w:bidi="en-AU"/>
              </w:rPr>
            </w:pPr>
            <w:r w:rsidRPr="00F53756">
              <w:rPr>
                <w:rFonts w:eastAsiaTheme="minorEastAsia"/>
                <w:b/>
                <w:lang w:bidi="en-AU"/>
              </w:rPr>
              <w:t>Timeframe</w:t>
            </w:r>
          </w:p>
        </w:tc>
        <w:tc>
          <w:tcPr>
            <w:tcW w:w="2184" w:type="dxa"/>
          </w:tcPr>
          <w:p w14:paraId="6C9D78C4" w14:textId="77777777" w:rsidR="00F53756" w:rsidRPr="00F53756" w:rsidRDefault="00F53756" w:rsidP="00F53756">
            <w:pPr>
              <w:spacing w:line="240" w:lineRule="auto"/>
              <w:rPr>
                <w:rFonts w:eastAsiaTheme="minorEastAsia"/>
                <w:lang w:bidi="en-AU"/>
              </w:rPr>
            </w:pPr>
            <w:r w:rsidRPr="00F53756">
              <w:rPr>
                <w:rFonts w:eastAsiaTheme="minorEastAsia"/>
                <w:b/>
                <w:lang w:bidi="en-AU"/>
              </w:rPr>
              <w:t>Lead Responsibility</w:t>
            </w:r>
          </w:p>
        </w:tc>
      </w:tr>
      <w:tr w:rsidR="00F53756" w:rsidRPr="00F53756" w14:paraId="05DF059D" w14:textId="77777777">
        <w:trPr>
          <w:cnfStyle w:val="000000100000" w:firstRow="0" w:lastRow="0" w:firstColumn="0" w:lastColumn="0" w:oddVBand="0" w:evenVBand="0" w:oddHBand="1" w:evenHBand="0" w:firstRowFirstColumn="0" w:firstRowLastColumn="0" w:lastRowFirstColumn="0" w:lastRowLastColumn="0"/>
        </w:trPr>
        <w:tc>
          <w:tcPr>
            <w:tcW w:w="3510" w:type="dxa"/>
          </w:tcPr>
          <w:p w14:paraId="52C25A87" w14:textId="77777777" w:rsidR="00F53756" w:rsidRPr="00F53756" w:rsidRDefault="00F53756" w:rsidP="00F53756">
            <w:pPr>
              <w:spacing w:line="240" w:lineRule="auto"/>
              <w:rPr>
                <w:rFonts w:eastAsiaTheme="minorEastAsia"/>
                <w:lang w:bidi="en-AU"/>
              </w:rPr>
            </w:pPr>
            <w:r w:rsidRPr="00F53756">
              <w:rPr>
                <w:rFonts w:eastAsiaTheme="minorEastAsia"/>
                <w:b/>
                <w:bCs/>
                <w:lang w:bidi="en-AU"/>
              </w:rPr>
              <w:t xml:space="preserve">Action iii: </w:t>
            </w:r>
            <w:r w:rsidRPr="00F53756">
              <w:rPr>
                <w:rFonts w:eastAsiaTheme="minorEastAsia"/>
                <w:lang w:bidi="en-AU"/>
              </w:rPr>
              <w:t>Develop a mid-cycle report on implementation progress of the Framework.</w:t>
            </w:r>
          </w:p>
        </w:tc>
        <w:tc>
          <w:tcPr>
            <w:tcW w:w="2410" w:type="dxa"/>
          </w:tcPr>
          <w:p w14:paraId="0517CF94" w14:textId="77777777" w:rsidR="00F53756" w:rsidRPr="00F53756" w:rsidRDefault="00F53756" w:rsidP="00F53756">
            <w:pPr>
              <w:spacing w:line="240" w:lineRule="auto"/>
              <w:rPr>
                <w:rFonts w:eastAsiaTheme="minorEastAsia"/>
                <w:lang w:bidi="en-AU"/>
              </w:rPr>
            </w:pPr>
            <w:r w:rsidRPr="00F53756">
              <w:rPr>
                <w:rFonts w:eastAsiaTheme="minorEastAsia"/>
                <w:lang w:bidi="en-AU"/>
              </w:rPr>
              <w:t>Australian CDC in collaboration with relevant committees and networks.</w:t>
            </w:r>
          </w:p>
        </w:tc>
        <w:tc>
          <w:tcPr>
            <w:tcW w:w="1843" w:type="dxa"/>
          </w:tcPr>
          <w:p w14:paraId="7D830EC5" w14:textId="77777777" w:rsidR="00F53756" w:rsidRPr="00F53756" w:rsidRDefault="00F53756" w:rsidP="00F53756">
            <w:pPr>
              <w:spacing w:line="240" w:lineRule="auto"/>
              <w:rPr>
                <w:rFonts w:eastAsiaTheme="minorEastAsia"/>
                <w:lang w:bidi="en-AU"/>
              </w:rPr>
            </w:pPr>
            <w:r w:rsidRPr="00F53756">
              <w:rPr>
                <w:rFonts w:eastAsiaTheme="minorEastAsia"/>
                <w:lang w:bidi="en-AU"/>
              </w:rPr>
              <w:t>Short-term</w:t>
            </w:r>
          </w:p>
        </w:tc>
        <w:tc>
          <w:tcPr>
            <w:tcW w:w="2184" w:type="dxa"/>
          </w:tcPr>
          <w:p w14:paraId="27DA89A3" w14:textId="77777777" w:rsidR="00F53756" w:rsidRPr="00F53756" w:rsidRDefault="00F53756" w:rsidP="00F53756">
            <w:pPr>
              <w:spacing w:line="240" w:lineRule="auto"/>
              <w:rPr>
                <w:rFonts w:eastAsiaTheme="minorEastAsia"/>
                <w:lang w:bidi="en-AU"/>
              </w:rPr>
            </w:pPr>
            <w:r w:rsidRPr="00F53756">
              <w:rPr>
                <w:rFonts w:eastAsiaTheme="minorEastAsia"/>
                <w:lang w:bidi="en-AU"/>
              </w:rPr>
              <w:t>Australian CDC and relevant committees</w:t>
            </w:r>
          </w:p>
        </w:tc>
      </w:tr>
      <w:tr w:rsidR="00F53756" w:rsidRPr="00F53756" w14:paraId="06DDEC04" w14:textId="77777777">
        <w:tc>
          <w:tcPr>
            <w:tcW w:w="3510" w:type="dxa"/>
          </w:tcPr>
          <w:p w14:paraId="57E711E1" w14:textId="77777777" w:rsidR="00F53756" w:rsidRPr="00F53756" w:rsidRDefault="00F53756" w:rsidP="00F53756">
            <w:pPr>
              <w:spacing w:line="240" w:lineRule="auto"/>
              <w:rPr>
                <w:rFonts w:eastAsiaTheme="minorEastAsia"/>
                <w:b/>
                <w:bCs/>
                <w:lang w:bidi="en-AU"/>
              </w:rPr>
            </w:pPr>
            <w:r w:rsidRPr="00F53756">
              <w:rPr>
                <w:rFonts w:eastAsiaTheme="minorEastAsia"/>
                <w:b/>
                <w:bCs/>
                <w:lang w:bidi="en-AU"/>
              </w:rPr>
              <w:t xml:space="preserve">Action iv: </w:t>
            </w:r>
            <w:r w:rsidRPr="00F53756">
              <w:rPr>
                <w:rFonts w:eastAsiaTheme="minorEastAsia"/>
                <w:lang w:bidi="en-AU"/>
              </w:rPr>
              <w:t>Develop a national system performance framework (with high-level indicators to show goals have been met). This will monitor whether public health microbial genomics is being embedded in the laboratory and public health sectors in an equitable and efficient way. Development and future inclusion of ethical and cost-effectiveness indicators will be encouraged.</w:t>
            </w:r>
          </w:p>
        </w:tc>
        <w:tc>
          <w:tcPr>
            <w:tcW w:w="2410" w:type="dxa"/>
          </w:tcPr>
          <w:p w14:paraId="56A5C745" w14:textId="77777777" w:rsidR="00F53756" w:rsidRPr="00F53756" w:rsidRDefault="00F53756" w:rsidP="00F53756">
            <w:pPr>
              <w:spacing w:line="240" w:lineRule="auto"/>
              <w:rPr>
                <w:rFonts w:eastAsiaTheme="minorEastAsia"/>
                <w:lang w:bidi="en-AU"/>
              </w:rPr>
            </w:pPr>
            <w:r w:rsidRPr="00F53756">
              <w:rPr>
                <w:rFonts w:eastAsiaTheme="minorEastAsia"/>
                <w:lang w:bidi="en-AU"/>
              </w:rPr>
              <w:t>Australian CDC to support development of a performance framework in consultation with relevant committees and networks.</w:t>
            </w:r>
          </w:p>
        </w:tc>
        <w:tc>
          <w:tcPr>
            <w:tcW w:w="1843" w:type="dxa"/>
          </w:tcPr>
          <w:p w14:paraId="30DA7670" w14:textId="77777777" w:rsidR="00F53756" w:rsidRPr="00F53756" w:rsidRDefault="00F53756" w:rsidP="00F53756">
            <w:pPr>
              <w:spacing w:line="240" w:lineRule="auto"/>
              <w:rPr>
                <w:rFonts w:eastAsiaTheme="minorEastAsia"/>
                <w:lang w:bidi="en-AU"/>
              </w:rPr>
            </w:pPr>
            <w:r w:rsidRPr="00F53756">
              <w:rPr>
                <w:rFonts w:eastAsiaTheme="minorEastAsia"/>
                <w:lang w:bidi="en-AU"/>
              </w:rPr>
              <w:t>Medium-term</w:t>
            </w:r>
          </w:p>
        </w:tc>
        <w:tc>
          <w:tcPr>
            <w:tcW w:w="2184" w:type="dxa"/>
          </w:tcPr>
          <w:p w14:paraId="47FE6E65" w14:textId="77777777" w:rsidR="00F53756" w:rsidRPr="00F53756" w:rsidRDefault="00F53756" w:rsidP="00F53756">
            <w:pPr>
              <w:spacing w:line="240" w:lineRule="auto"/>
              <w:rPr>
                <w:rFonts w:eastAsiaTheme="minorEastAsia"/>
                <w:lang w:bidi="en-AU"/>
              </w:rPr>
            </w:pPr>
            <w:r w:rsidRPr="00F53756">
              <w:rPr>
                <w:rFonts w:eastAsiaTheme="minorEastAsia"/>
                <w:lang w:bidi="en-AU"/>
              </w:rPr>
              <w:t>Australian CDC, AusPathoGen, and relevant committees and networks</w:t>
            </w:r>
          </w:p>
        </w:tc>
      </w:tr>
      <w:tr w:rsidR="00F53756" w:rsidRPr="00F53756" w14:paraId="7CA0A00C" w14:textId="77777777">
        <w:trPr>
          <w:cnfStyle w:val="000000100000" w:firstRow="0" w:lastRow="0" w:firstColumn="0" w:lastColumn="0" w:oddVBand="0" w:evenVBand="0" w:oddHBand="1" w:evenHBand="0" w:firstRowFirstColumn="0" w:firstRowLastColumn="0" w:lastRowFirstColumn="0" w:lastRowLastColumn="0"/>
        </w:trPr>
        <w:tc>
          <w:tcPr>
            <w:tcW w:w="3510" w:type="dxa"/>
          </w:tcPr>
          <w:p w14:paraId="0AB40855" w14:textId="77777777" w:rsidR="00F53756" w:rsidRPr="00F53756" w:rsidRDefault="00F53756" w:rsidP="00F53756">
            <w:pPr>
              <w:spacing w:line="240" w:lineRule="auto"/>
              <w:rPr>
                <w:rFonts w:eastAsiaTheme="minorEastAsia"/>
                <w:b/>
                <w:lang w:bidi="en-AU"/>
              </w:rPr>
            </w:pPr>
            <w:r w:rsidRPr="00F53756">
              <w:rPr>
                <w:rFonts w:eastAsiaTheme="minorEastAsia"/>
                <w:b/>
                <w:iCs/>
                <w:lang w:bidi="en-AU"/>
              </w:rPr>
              <w:t xml:space="preserve">Action v: </w:t>
            </w:r>
            <w:r w:rsidRPr="00F53756">
              <w:rPr>
                <w:rFonts w:eastAsiaTheme="minorEastAsia"/>
                <w:iCs/>
                <w:lang w:bidi="en-AU"/>
              </w:rPr>
              <w:t>The Australian Government and state and territory governments will individually develop action plans to inform appropriate implementation pathways.</w:t>
            </w:r>
          </w:p>
        </w:tc>
        <w:tc>
          <w:tcPr>
            <w:tcW w:w="2410" w:type="dxa"/>
          </w:tcPr>
          <w:p w14:paraId="37B0652B" w14:textId="77777777" w:rsidR="00F53756" w:rsidRPr="00F53756" w:rsidRDefault="00F53756" w:rsidP="00F53756">
            <w:pPr>
              <w:spacing w:line="240" w:lineRule="auto"/>
              <w:rPr>
                <w:rFonts w:eastAsiaTheme="minorEastAsia"/>
                <w:lang w:bidi="en-AU"/>
              </w:rPr>
            </w:pPr>
            <w:r w:rsidRPr="00F53756">
              <w:rPr>
                <w:rFonts w:eastAsiaTheme="minorEastAsia"/>
                <w:lang w:bidi="en-AU"/>
              </w:rPr>
              <w:t xml:space="preserve">Australian CDC, and state and territories will individually lead their own action plans. </w:t>
            </w:r>
          </w:p>
        </w:tc>
        <w:tc>
          <w:tcPr>
            <w:tcW w:w="1843" w:type="dxa"/>
          </w:tcPr>
          <w:p w14:paraId="0525F69F" w14:textId="77777777" w:rsidR="00F53756" w:rsidRPr="00F53756" w:rsidRDefault="00F53756" w:rsidP="00F53756">
            <w:pPr>
              <w:spacing w:line="240" w:lineRule="auto"/>
              <w:rPr>
                <w:rFonts w:eastAsiaTheme="minorEastAsia"/>
                <w:lang w:bidi="en-AU"/>
              </w:rPr>
            </w:pPr>
            <w:r w:rsidRPr="00F53756">
              <w:rPr>
                <w:rFonts w:eastAsiaTheme="minorEastAsia"/>
                <w:lang w:bidi="en-AU"/>
              </w:rPr>
              <w:t>Medium-term</w:t>
            </w:r>
          </w:p>
        </w:tc>
        <w:tc>
          <w:tcPr>
            <w:tcW w:w="2184" w:type="dxa"/>
          </w:tcPr>
          <w:p w14:paraId="1C72D6A1" w14:textId="77777777" w:rsidR="00F53756" w:rsidRPr="00F53756" w:rsidRDefault="00F53756" w:rsidP="00F53756">
            <w:pPr>
              <w:spacing w:line="240" w:lineRule="auto"/>
              <w:rPr>
                <w:rFonts w:eastAsiaTheme="minorEastAsia"/>
                <w:lang w:bidi="en-AU"/>
              </w:rPr>
            </w:pPr>
            <w:r w:rsidRPr="00F53756">
              <w:rPr>
                <w:rFonts w:eastAsiaTheme="minorEastAsia"/>
                <w:lang w:bidi="en-AU"/>
              </w:rPr>
              <w:t>Australian CDC, and state and territories</w:t>
            </w:r>
          </w:p>
        </w:tc>
      </w:tr>
    </w:tbl>
    <w:p w14:paraId="0AE739A9" w14:textId="2E6C0843" w:rsidR="00414394" w:rsidRPr="009814D7" w:rsidRDefault="00414394" w:rsidP="00414394">
      <w:pPr>
        <w:pStyle w:val="Heading1"/>
      </w:pPr>
      <w:bookmarkStart w:id="75" w:name="_Toc530994576"/>
      <w:bookmarkStart w:id="76" w:name="_Toc11404106"/>
      <w:bookmarkStart w:id="77" w:name="_Toc135494166"/>
      <w:bookmarkStart w:id="78" w:name="_Toc800004665"/>
      <w:bookmarkStart w:id="79" w:name="_Toc2124260391"/>
      <w:bookmarkStart w:id="80" w:name="_Toc191899410"/>
      <w:r>
        <w:lastRenderedPageBreak/>
        <w:t>Strategic priorities</w:t>
      </w:r>
      <w:bookmarkEnd w:id="75"/>
      <w:bookmarkEnd w:id="76"/>
      <w:bookmarkEnd w:id="77"/>
      <w:bookmarkEnd w:id="78"/>
      <w:bookmarkEnd w:id="79"/>
      <w:bookmarkEnd w:id="80"/>
    </w:p>
    <w:p w14:paraId="270AC939" w14:textId="77777777" w:rsidR="006B2380" w:rsidRPr="00976F29" w:rsidRDefault="006B2380" w:rsidP="00AA5955">
      <w:r>
        <w:t>The Framework outlines five strategic priorities that aim to:</w:t>
      </w:r>
    </w:p>
    <w:p w14:paraId="63D64641" w14:textId="77777777" w:rsidR="006B2380" w:rsidRPr="00976F29" w:rsidRDefault="006B2380" w:rsidP="006C7957">
      <w:pPr>
        <w:pStyle w:val="ListParagraph"/>
        <w:numPr>
          <w:ilvl w:val="0"/>
          <w:numId w:val="20"/>
        </w:numPr>
      </w:pPr>
      <w:r w:rsidRPr="00976F29">
        <w:t xml:space="preserve">prioritise key microbial genomics policy issues and challenges </w:t>
      </w:r>
    </w:p>
    <w:p w14:paraId="2E520E72" w14:textId="77777777" w:rsidR="006B2380" w:rsidRPr="00976F29" w:rsidRDefault="006B2380" w:rsidP="006C7957">
      <w:pPr>
        <w:pStyle w:val="ListParagraph"/>
        <w:numPr>
          <w:ilvl w:val="0"/>
          <w:numId w:val="20"/>
        </w:numPr>
      </w:pPr>
      <w:r w:rsidRPr="00976F29">
        <w:t>provide directions for change</w:t>
      </w:r>
    </w:p>
    <w:p w14:paraId="1D00F54C" w14:textId="2105F103" w:rsidR="006B2380" w:rsidRPr="00976F29" w:rsidRDefault="006B2380" w:rsidP="006C7957">
      <w:pPr>
        <w:pStyle w:val="ListParagraph"/>
        <w:numPr>
          <w:ilvl w:val="0"/>
          <w:numId w:val="20"/>
        </w:numPr>
      </w:pPr>
      <w:r w:rsidRPr="00976F29">
        <w:t>highlight opportunities for action</w:t>
      </w:r>
    </w:p>
    <w:p w14:paraId="48CF1BD5" w14:textId="77777777" w:rsidR="006B2380" w:rsidRPr="00976F29" w:rsidRDefault="006B2380" w:rsidP="006C7957">
      <w:pPr>
        <w:pStyle w:val="ListParagraph"/>
        <w:numPr>
          <w:ilvl w:val="0"/>
          <w:numId w:val="20"/>
        </w:numPr>
      </w:pPr>
      <w:r w:rsidRPr="00976F29">
        <w:t xml:space="preserve">identify areas that require further work. </w:t>
      </w:r>
    </w:p>
    <w:p w14:paraId="4C6B8F33" w14:textId="77777777" w:rsidR="006B2380" w:rsidRPr="00976F29" w:rsidRDefault="006B2380" w:rsidP="00AA5955">
      <w:r w:rsidRPr="00976F29">
        <w:t>The priority areas are not necessarily discrete and there will be interrelationships and interdependencies. The five strategic priorities are as follows:</w:t>
      </w:r>
    </w:p>
    <w:p w14:paraId="14138E2C" w14:textId="3A445954" w:rsidR="006B2380" w:rsidRPr="0036239B" w:rsidRDefault="006B2380" w:rsidP="00AA5955">
      <w:pPr>
        <w:rPr>
          <w:b/>
          <w:iCs/>
        </w:rPr>
      </w:pPr>
      <w:r w:rsidRPr="0036239B">
        <w:rPr>
          <w:b/>
          <w:iCs/>
        </w:rPr>
        <w:t>Strategic Priority 1</w:t>
      </w:r>
      <w:r w:rsidR="001F4E2D">
        <w:rPr>
          <w:b/>
          <w:iCs/>
        </w:rPr>
        <w:t xml:space="preserve"> </w:t>
      </w:r>
      <w:r w:rsidRPr="0036239B">
        <w:rPr>
          <w:b/>
          <w:iCs/>
        </w:rPr>
        <w:t>—</w:t>
      </w:r>
      <w:r w:rsidR="001F4E2D">
        <w:rPr>
          <w:b/>
          <w:iCs/>
        </w:rPr>
        <w:t xml:space="preserve"> </w:t>
      </w:r>
      <w:r w:rsidR="000A1838">
        <w:rPr>
          <w:b/>
          <w:iCs/>
        </w:rPr>
        <w:t>Harmonised</w:t>
      </w:r>
      <w:r w:rsidR="000A1838" w:rsidRPr="0036239B">
        <w:rPr>
          <w:b/>
          <w:iCs/>
        </w:rPr>
        <w:t xml:space="preserve"> </w:t>
      </w:r>
      <w:r w:rsidRPr="0036239B">
        <w:rPr>
          <w:b/>
          <w:iCs/>
        </w:rPr>
        <w:t>National Approach</w:t>
      </w:r>
    </w:p>
    <w:p w14:paraId="4D41E31C" w14:textId="2C93128D" w:rsidR="006B2380" w:rsidRPr="0036239B" w:rsidRDefault="006B2380" w:rsidP="006C7957">
      <w:pPr>
        <w:pStyle w:val="ListParagraph"/>
        <w:numPr>
          <w:ilvl w:val="0"/>
          <w:numId w:val="18"/>
        </w:numPr>
        <w:rPr>
          <w:iCs/>
        </w:rPr>
      </w:pPr>
      <w:r w:rsidRPr="0036239B">
        <w:rPr>
          <w:iCs/>
        </w:rPr>
        <w:t xml:space="preserve">Enhance governance arrangements to drive </w:t>
      </w:r>
      <w:r w:rsidR="000A1838">
        <w:rPr>
          <w:iCs/>
        </w:rPr>
        <w:t>harmonisation</w:t>
      </w:r>
      <w:r w:rsidR="000A1838" w:rsidRPr="0036239B">
        <w:rPr>
          <w:iCs/>
        </w:rPr>
        <w:t xml:space="preserve"> </w:t>
      </w:r>
      <w:r w:rsidRPr="0036239B">
        <w:rPr>
          <w:iCs/>
        </w:rPr>
        <w:t>on microbial genomics matters of national significance, including rapid national data sharing.</w:t>
      </w:r>
    </w:p>
    <w:p w14:paraId="73B27AB1" w14:textId="7BD3C3AE" w:rsidR="006B2380" w:rsidRPr="0036239B" w:rsidRDefault="006B2380" w:rsidP="006C7957">
      <w:pPr>
        <w:pStyle w:val="ListParagraph"/>
        <w:numPr>
          <w:ilvl w:val="0"/>
          <w:numId w:val="18"/>
        </w:numPr>
        <w:rPr>
          <w:iCs/>
        </w:rPr>
      </w:pPr>
      <w:r w:rsidRPr="0036239B">
        <w:rPr>
          <w:iCs/>
        </w:rPr>
        <w:t xml:space="preserve">Grow and apply microbial genomic knowledge that is evidence-based, </w:t>
      </w:r>
      <w:r w:rsidR="000A1838">
        <w:rPr>
          <w:iCs/>
        </w:rPr>
        <w:t>harmonised</w:t>
      </w:r>
      <w:r w:rsidRPr="0036239B">
        <w:rPr>
          <w:iCs/>
        </w:rPr>
        <w:t>, and of high quality.</w:t>
      </w:r>
    </w:p>
    <w:p w14:paraId="756BB770" w14:textId="581D314C" w:rsidR="006B2380" w:rsidRPr="0036239B" w:rsidRDefault="006B2380" w:rsidP="00AA5955">
      <w:pPr>
        <w:rPr>
          <w:b/>
          <w:iCs/>
        </w:rPr>
      </w:pPr>
      <w:r w:rsidRPr="0036239B">
        <w:rPr>
          <w:b/>
          <w:iCs/>
        </w:rPr>
        <w:t>Strategic Priority 2</w:t>
      </w:r>
      <w:r w:rsidR="001F4E2D">
        <w:rPr>
          <w:b/>
          <w:iCs/>
        </w:rPr>
        <w:t xml:space="preserve"> </w:t>
      </w:r>
      <w:r w:rsidRPr="0036239B">
        <w:rPr>
          <w:b/>
          <w:iCs/>
        </w:rPr>
        <w:t>—</w:t>
      </w:r>
      <w:r w:rsidR="001F4E2D">
        <w:rPr>
          <w:b/>
          <w:iCs/>
        </w:rPr>
        <w:t xml:space="preserve"> </w:t>
      </w:r>
      <w:r w:rsidRPr="0036239B">
        <w:rPr>
          <w:b/>
          <w:iCs/>
        </w:rPr>
        <w:t>Technology and Data Governance</w:t>
      </w:r>
    </w:p>
    <w:p w14:paraId="40693C06" w14:textId="12729A90" w:rsidR="006B2380" w:rsidRPr="0036239B" w:rsidRDefault="006B2380" w:rsidP="006C7957">
      <w:pPr>
        <w:pStyle w:val="ListParagraph"/>
        <w:numPr>
          <w:ilvl w:val="0"/>
          <w:numId w:val="18"/>
        </w:numPr>
        <w:rPr>
          <w:iCs/>
        </w:rPr>
      </w:pPr>
      <w:r w:rsidRPr="0036239B">
        <w:rPr>
          <w:iCs/>
        </w:rPr>
        <w:t>Establish and enhance nationally agreed data governance arrangements.</w:t>
      </w:r>
    </w:p>
    <w:p w14:paraId="2030813B" w14:textId="2141CC21" w:rsidR="006B2380" w:rsidRPr="0036239B" w:rsidRDefault="006B2380" w:rsidP="006C7957">
      <w:pPr>
        <w:pStyle w:val="ListParagraph"/>
        <w:numPr>
          <w:ilvl w:val="0"/>
          <w:numId w:val="18"/>
        </w:numPr>
        <w:rPr>
          <w:iCs/>
        </w:rPr>
      </w:pPr>
      <w:r w:rsidRPr="0036239B">
        <w:rPr>
          <w:iCs/>
        </w:rPr>
        <w:t xml:space="preserve">Promote </w:t>
      </w:r>
      <w:r w:rsidR="00E2013D">
        <w:rPr>
          <w:iCs/>
        </w:rPr>
        <w:t>and practice</w:t>
      </w:r>
      <w:r w:rsidRPr="0036239B">
        <w:rPr>
          <w:iCs/>
        </w:rPr>
        <w:t xml:space="preserve"> ethical and equitable data sharing and understanding the risks (or perceived risks) that it may entail.</w:t>
      </w:r>
    </w:p>
    <w:p w14:paraId="7FDA801C" w14:textId="77777777" w:rsidR="006B2380" w:rsidRPr="0036239B" w:rsidRDefault="006B2380" w:rsidP="006C7957">
      <w:pPr>
        <w:pStyle w:val="ListParagraph"/>
        <w:numPr>
          <w:ilvl w:val="0"/>
          <w:numId w:val="18"/>
        </w:numPr>
        <w:rPr>
          <w:iCs/>
        </w:rPr>
      </w:pPr>
      <w:r w:rsidRPr="0036239B">
        <w:rPr>
          <w:iCs/>
        </w:rPr>
        <w:t>Strengthen high-performance computing infrastructure to support data storage and sharing that can adapt to enhance microbial genomics technologies.</w:t>
      </w:r>
    </w:p>
    <w:p w14:paraId="2DB5C293" w14:textId="5729AE6A" w:rsidR="006B2380" w:rsidRPr="0036239B" w:rsidRDefault="006B2380" w:rsidP="00AA5955">
      <w:pPr>
        <w:rPr>
          <w:b/>
          <w:iCs/>
        </w:rPr>
      </w:pPr>
      <w:r w:rsidRPr="0036239B">
        <w:rPr>
          <w:b/>
          <w:iCs/>
        </w:rPr>
        <w:t>Strategic Priority 3</w:t>
      </w:r>
      <w:r w:rsidR="001F4E2D">
        <w:rPr>
          <w:b/>
          <w:iCs/>
        </w:rPr>
        <w:t xml:space="preserve"> </w:t>
      </w:r>
      <w:r w:rsidRPr="0036239B">
        <w:rPr>
          <w:b/>
          <w:iCs/>
        </w:rPr>
        <w:t>—</w:t>
      </w:r>
      <w:r w:rsidR="001F4E2D">
        <w:rPr>
          <w:b/>
          <w:iCs/>
        </w:rPr>
        <w:t xml:space="preserve"> </w:t>
      </w:r>
      <w:r w:rsidRPr="0036239B">
        <w:rPr>
          <w:b/>
          <w:iCs/>
        </w:rPr>
        <w:t>Integration into Public Health</w:t>
      </w:r>
    </w:p>
    <w:p w14:paraId="30F65C97" w14:textId="77777777" w:rsidR="006B2380" w:rsidRPr="0036239B" w:rsidRDefault="006B2380" w:rsidP="006C7957">
      <w:pPr>
        <w:pStyle w:val="ListParagraph"/>
        <w:numPr>
          <w:ilvl w:val="0"/>
          <w:numId w:val="18"/>
        </w:numPr>
        <w:rPr>
          <w:iCs/>
        </w:rPr>
      </w:pPr>
      <w:r w:rsidRPr="0036239B">
        <w:rPr>
          <w:iCs/>
        </w:rPr>
        <w:t>Enhance collaboration and strong linkages, as appropriate, between Australian laboratories (including human diagnostic and One Health laboratories) and PHUs to ensure the value of microbial genomics technology is recognised.</w:t>
      </w:r>
    </w:p>
    <w:p w14:paraId="764AE8DD" w14:textId="77777777" w:rsidR="006B2380" w:rsidRPr="0036239B" w:rsidRDefault="006B2380" w:rsidP="006C7957">
      <w:pPr>
        <w:pStyle w:val="ListParagraph"/>
        <w:numPr>
          <w:ilvl w:val="0"/>
          <w:numId w:val="18"/>
        </w:numPr>
        <w:rPr>
          <w:iCs/>
        </w:rPr>
      </w:pPr>
      <w:r w:rsidRPr="0036239B">
        <w:rPr>
          <w:iCs/>
        </w:rPr>
        <w:t>Promote consistent national reporting structures that are compatible with public health surveillance systems.</w:t>
      </w:r>
    </w:p>
    <w:p w14:paraId="1C56AFED" w14:textId="77777777" w:rsidR="001F3765" w:rsidRDefault="001F3765">
      <w:pPr>
        <w:spacing w:before="0" w:after="0" w:line="240" w:lineRule="auto"/>
        <w:rPr>
          <w:b/>
          <w:iCs/>
        </w:rPr>
      </w:pPr>
      <w:r>
        <w:rPr>
          <w:b/>
          <w:iCs/>
        </w:rPr>
        <w:br w:type="page"/>
      </w:r>
    </w:p>
    <w:p w14:paraId="19BD178A" w14:textId="40658936" w:rsidR="006B2380" w:rsidRPr="0036239B" w:rsidRDefault="006B2380" w:rsidP="00AA5955">
      <w:pPr>
        <w:rPr>
          <w:b/>
          <w:iCs/>
        </w:rPr>
      </w:pPr>
      <w:r w:rsidRPr="0036239B">
        <w:rPr>
          <w:b/>
          <w:iCs/>
        </w:rPr>
        <w:lastRenderedPageBreak/>
        <w:t>Strategic Priority 4</w:t>
      </w:r>
      <w:r w:rsidR="001F4E2D">
        <w:rPr>
          <w:b/>
          <w:iCs/>
        </w:rPr>
        <w:t xml:space="preserve"> </w:t>
      </w:r>
      <w:r w:rsidRPr="0036239B">
        <w:rPr>
          <w:b/>
          <w:iCs/>
        </w:rPr>
        <w:t>—</w:t>
      </w:r>
      <w:r w:rsidR="001F4E2D">
        <w:rPr>
          <w:b/>
          <w:iCs/>
        </w:rPr>
        <w:t xml:space="preserve"> </w:t>
      </w:r>
      <w:r w:rsidRPr="0036239B">
        <w:rPr>
          <w:b/>
          <w:iCs/>
        </w:rPr>
        <w:t>Access and Workforce</w:t>
      </w:r>
    </w:p>
    <w:p w14:paraId="063CC2D5" w14:textId="77777777" w:rsidR="006B2380" w:rsidRPr="0036239B" w:rsidRDefault="006B2380" w:rsidP="006C7957">
      <w:pPr>
        <w:pStyle w:val="ListParagraph"/>
        <w:numPr>
          <w:ilvl w:val="0"/>
          <w:numId w:val="18"/>
        </w:numPr>
        <w:rPr>
          <w:iCs/>
        </w:rPr>
      </w:pPr>
      <w:r w:rsidRPr="0036239B">
        <w:rPr>
          <w:iCs/>
        </w:rPr>
        <w:t>Enhance and maintain a competent multidisciplinary microbial genomics workforce.</w:t>
      </w:r>
    </w:p>
    <w:p w14:paraId="640B139C" w14:textId="77777777" w:rsidR="006B2380" w:rsidRPr="0036239B" w:rsidRDefault="006B2380" w:rsidP="006C7957">
      <w:pPr>
        <w:pStyle w:val="ListParagraph"/>
        <w:numPr>
          <w:ilvl w:val="0"/>
          <w:numId w:val="18"/>
        </w:numPr>
        <w:rPr>
          <w:iCs/>
        </w:rPr>
      </w:pPr>
      <w:r w:rsidRPr="0036239B">
        <w:rPr>
          <w:iCs/>
        </w:rPr>
        <w:t>Enhance equity in microbial genomics capacity and capability across jurisdictions.</w:t>
      </w:r>
    </w:p>
    <w:p w14:paraId="3F08CB7A" w14:textId="48918CDE" w:rsidR="006B2380" w:rsidRPr="0036239B" w:rsidRDefault="006B2380" w:rsidP="00AA5955">
      <w:pPr>
        <w:rPr>
          <w:b/>
          <w:iCs/>
        </w:rPr>
      </w:pPr>
      <w:r w:rsidRPr="0036239B">
        <w:rPr>
          <w:b/>
          <w:iCs/>
        </w:rPr>
        <w:t>Strategic Priority 5</w:t>
      </w:r>
      <w:r w:rsidR="001F4E2D">
        <w:rPr>
          <w:b/>
          <w:iCs/>
        </w:rPr>
        <w:t xml:space="preserve"> </w:t>
      </w:r>
      <w:r w:rsidRPr="0036239B">
        <w:rPr>
          <w:b/>
          <w:iCs/>
        </w:rPr>
        <w:t>—</w:t>
      </w:r>
      <w:r w:rsidR="001F4E2D">
        <w:rPr>
          <w:b/>
          <w:iCs/>
        </w:rPr>
        <w:t xml:space="preserve"> </w:t>
      </w:r>
      <w:r w:rsidRPr="0036239B">
        <w:rPr>
          <w:b/>
          <w:iCs/>
        </w:rPr>
        <w:t>Financing</w:t>
      </w:r>
    </w:p>
    <w:p w14:paraId="4F72E1AF" w14:textId="77777777" w:rsidR="006B2380" w:rsidRPr="00976F29" w:rsidRDefault="006B2380" w:rsidP="006C7957">
      <w:pPr>
        <w:pStyle w:val="ListParagraph"/>
        <w:numPr>
          <w:ilvl w:val="0"/>
          <w:numId w:val="18"/>
        </w:numPr>
      </w:pPr>
      <w:r>
        <w:t>Ensure the funding model applied to microbial genomics considers the substantial establishment costs is cost-effective and sustainable into the future.</w:t>
      </w:r>
    </w:p>
    <w:p w14:paraId="55C6804D" w14:textId="77777777" w:rsidR="006B2380" w:rsidRPr="00F5430B" w:rsidRDefault="006B2380" w:rsidP="002E4ECE">
      <w:r w:rsidRPr="00F5430B">
        <w:t>The following values underpin the strategic priorities of the Framework:</w:t>
      </w:r>
    </w:p>
    <w:p w14:paraId="3B34DAD2" w14:textId="77777777" w:rsidR="006B2380" w:rsidRPr="002E4ECE" w:rsidRDefault="006B2380" w:rsidP="002E4ECE">
      <w:pPr>
        <w:pStyle w:val="ListParagraph"/>
        <w:numPr>
          <w:ilvl w:val="0"/>
          <w:numId w:val="18"/>
        </w:numPr>
        <w:rPr>
          <w:iCs/>
        </w:rPr>
      </w:pPr>
      <w:r w:rsidRPr="002E4ECE">
        <w:rPr>
          <w:iCs/>
        </w:rPr>
        <w:t>The application of microbial genomic knowledge is ethically, legally, and socially responsible.</w:t>
      </w:r>
    </w:p>
    <w:p w14:paraId="75BB83C0" w14:textId="77777777" w:rsidR="006B2380" w:rsidRPr="002E4ECE" w:rsidRDefault="006B2380" w:rsidP="002E4ECE">
      <w:pPr>
        <w:pStyle w:val="ListParagraph"/>
        <w:numPr>
          <w:ilvl w:val="0"/>
          <w:numId w:val="18"/>
        </w:numPr>
        <w:rPr>
          <w:iCs/>
        </w:rPr>
      </w:pPr>
      <w:r w:rsidRPr="002E4ECE">
        <w:rPr>
          <w:iCs/>
        </w:rPr>
        <w:t>Access to microbial genomics information is equitable within and between the jurisdictions and the Australian Government.</w:t>
      </w:r>
    </w:p>
    <w:p w14:paraId="35BA584F" w14:textId="304E78F6" w:rsidR="0036239B" w:rsidRPr="002E4ECE" w:rsidRDefault="006B2380" w:rsidP="002E4ECE">
      <w:pPr>
        <w:pStyle w:val="ListParagraph"/>
        <w:numPr>
          <w:ilvl w:val="0"/>
          <w:numId w:val="18"/>
        </w:numPr>
        <w:rPr>
          <w:iCs/>
        </w:rPr>
      </w:pPr>
      <w:r w:rsidRPr="002E4ECE">
        <w:rPr>
          <w:iCs/>
        </w:rPr>
        <w:t>The application of microbial genomics knowledge to improve public health outcomes is supported and informed by evidence and research.</w:t>
      </w:r>
    </w:p>
    <w:p w14:paraId="10E4B05C" w14:textId="72AFA985" w:rsidR="006B2380" w:rsidRPr="00F5430B" w:rsidRDefault="0036239B" w:rsidP="0036239B">
      <w:pPr>
        <w:spacing w:before="0" w:after="0" w:line="240" w:lineRule="auto"/>
      </w:pPr>
      <w:r>
        <w:br w:type="page"/>
      </w:r>
    </w:p>
    <w:p w14:paraId="0827430C" w14:textId="086843A4" w:rsidR="009B3A42" w:rsidRPr="009814D7" w:rsidRDefault="006B0DE5" w:rsidP="00AA5955">
      <w:pPr>
        <w:pStyle w:val="Heading2"/>
      </w:pPr>
      <w:bookmarkStart w:id="81" w:name="_Toc135494167"/>
      <w:bookmarkStart w:id="82" w:name="_Toc130982879"/>
      <w:bookmarkStart w:id="83" w:name="_Toc1882486386"/>
      <w:bookmarkStart w:id="84" w:name="_Toc191899411"/>
      <w:r>
        <w:lastRenderedPageBreak/>
        <w:t>Strategic Priority 1</w:t>
      </w:r>
      <w:r w:rsidR="00B55164">
        <w:t xml:space="preserve"> </w:t>
      </w:r>
      <w:r>
        <w:t>—</w:t>
      </w:r>
      <w:r w:rsidR="00B55164">
        <w:t xml:space="preserve"> </w:t>
      </w:r>
      <w:r w:rsidR="00794609">
        <w:t>Harmonised</w:t>
      </w:r>
      <w:r>
        <w:t xml:space="preserve"> National Approach</w:t>
      </w:r>
      <w:bookmarkEnd w:id="81"/>
      <w:bookmarkEnd w:id="82"/>
      <w:bookmarkEnd w:id="83"/>
      <w:bookmarkEnd w:id="84"/>
      <w:r>
        <w:t xml:space="preserve"> </w:t>
      </w:r>
    </w:p>
    <w:p w14:paraId="2E132310" w14:textId="458DB72B" w:rsidR="00AB0430" w:rsidRDefault="00CC79F0" w:rsidP="00CB37E7">
      <w:pPr>
        <w:spacing w:before="0" w:after="0"/>
      </w:pPr>
      <w:r w:rsidRPr="00CC79F0">
        <w:t xml:space="preserve">Despite rapid advancements and strong jurisdictional collaboration to strengthen microbial genomic capability, some jurisdictional differences remain in laboratory workflow and specimen processing, public health microbiology service reimbursement, and epidemiological typing and characterisation for the purposes of surveillance. These result in national variability in capability, testing practices, turnaround times and reporting. </w:t>
      </w:r>
    </w:p>
    <w:p w14:paraId="60135774" w14:textId="540C6943" w:rsidR="00CC79F0" w:rsidRPr="00CC79F0" w:rsidRDefault="00CC79F0" w:rsidP="00DD5955">
      <w:pPr>
        <w:spacing w:after="0"/>
      </w:pPr>
      <w:r w:rsidRPr="00CC79F0">
        <w:t>Without continued progress towards</w:t>
      </w:r>
      <w:r w:rsidR="00844720">
        <w:t xml:space="preserve"> better</w:t>
      </w:r>
      <w:r w:rsidRPr="00CC79F0">
        <w:t xml:space="preserve"> national coordination and </w:t>
      </w:r>
      <w:r w:rsidR="00ED63C9">
        <w:t xml:space="preserve">greater </w:t>
      </w:r>
      <w:r w:rsidRPr="00CC79F0">
        <w:t>standardisation of microbial genomic practices, some of the key risks include, but are not limited to:</w:t>
      </w:r>
    </w:p>
    <w:p w14:paraId="610ED7BA" w14:textId="77777777" w:rsidR="00CC79F0" w:rsidRPr="00CC79F0" w:rsidRDefault="00CC79F0" w:rsidP="006C7957">
      <w:pPr>
        <w:pStyle w:val="ListParagraph"/>
        <w:numPr>
          <w:ilvl w:val="0"/>
          <w:numId w:val="18"/>
        </w:numPr>
        <w:rPr>
          <w:iCs/>
        </w:rPr>
      </w:pPr>
      <w:r w:rsidRPr="00CC79F0">
        <w:rPr>
          <w:iCs/>
        </w:rPr>
        <w:t>increased burden of disease due to the reduced ability to rapidly identify and characterise emerging infectious disease threats</w:t>
      </w:r>
    </w:p>
    <w:p w14:paraId="1176EB91" w14:textId="62BA1FA0" w:rsidR="00CC79F0" w:rsidRPr="00CC79F0" w:rsidRDefault="00CC79F0" w:rsidP="006C7957">
      <w:pPr>
        <w:pStyle w:val="ListParagraph"/>
        <w:numPr>
          <w:ilvl w:val="0"/>
          <w:numId w:val="18"/>
        </w:numPr>
        <w:rPr>
          <w:iCs/>
        </w:rPr>
      </w:pPr>
      <w:r w:rsidRPr="00CC79F0">
        <w:rPr>
          <w:iCs/>
        </w:rPr>
        <w:t>reduced impact of surveillance on public health measures due to a limited understanding of disease spread, particularly across jurisdictions</w:t>
      </w:r>
    </w:p>
    <w:p w14:paraId="1A37C9DB" w14:textId="55051913" w:rsidR="00CC79F0" w:rsidRPr="00CC79F0" w:rsidRDefault="00CC79F0" w:rsidP="006C7957">
      <w:pPr>
        <w:pStyle w:val="ListParagraph"/>
        <w:numPr>
          <w:ilvl w:val="0"/>
          <w:numId w:val="18"/>
        </w:numPr>
        <w:rPr>
          <w:iCs/>
        </w:rPr>
      </w:pPr>
      <w:r w:rsidRPr="00CC79F0">
        <w:rPr>
          <w:iCs/>
        </w:rPr>
        <w:t>inconsistency with global best practice for preparedness and response to infectious diseases due to lack of collation and curation of national-level genomic data</w:t>
      </w:r>
    </w:p>
    <w:p w14:paraId="6947A887" w14:textId="683F1CAB" w:rsidR="00CC79F0" w:rsidRPr="00CC79F0" w:rsidRDefault="00CC79F0" w:rsidP="006C7957">
      <w:pPr>
        <w:pStyle w:val="ListParagraph"/>
        <w:numPr>
          <w:ilvl w:val="0"/>
          <w:numId w:val="18"/>
        </w:numPr>
        <w:rPr>
          <w:iCs/>
        </w:rPr>
      </w:pPr>
      <w:r w:rsidRPr="00CC79F0">
        <w:rPr>
          <w:iCs/>
        </w:rPr>
        <w:t>protracted turnaround times for test results if needing to seek other jurisdiction</w:t>
      </w:r>
      <w:r w:rsidR="00A1649D">
        <w:rPr>
          <w:iCs/>
        </w:rPr>
        <w:t>al</w:t>
      </w:r>
      <w:r w:rsidRPr="00CC79F0">
        <w:rPr>
          <w:iCs/>
        </w:rPr>
        <w:t xml:space="preserve"> assistance </w:t>
      </w:r>
      <w:r w:rsidR="00A1649D">
        <w:rPr>
          <w:iCs/>
        </w:rPr>
        <w:t>when there is a</w:t>
      </w:r>
      <w:r w:rsidRPr="00CC79F0">
        <w:rPr>
          <w:iCs/>
        </w:rPr>
        <w:t xml:space="preserve"> gap in capability.</w:t>
      </w:r>
    </w:p>
    <w:p w14:paraId="4B91EC71" w14:textId="77777777" w:rsidR="00CC79F0" w:rsidRPr="00CC79F0" w:rsidRDefault="00CC79F0" w:rsidP="00FE2D5C">
      <w:pPr>
        <w:spacing w:before="0" w:after="0"/>
      </w:pPr>
      <w:r w:rsidRPr="00CC79F0">
        <w:t xml:space="preserve">In Australia, the current barriers that need to be addressed to support progress towards this strategic priority include: </w:t>
      </w:r>
    </w:p>
    <w:p w14:paraId="3828784D" w14:textId="1C6754D6" w:rsidR="00CC79F0" w:rsidRPr="00CC79F0" w:rsidRDefault="00CC79F0" w:rsidP="006C7957">
      <w:pPr>
        <w:pStyle w:val="ListParagraph"/>
        <w:numPr>
          <w:ilvl w:val="0"/>
          <w:numId w:val="18"/>
        </w:numPr>
        <w:rPr>
          <w:iCs/>
        </w:rPr>
      </w:pPr>
      <w:r w:rsidRPr="00CC79F0">
        <w:rPr>
          <w:iCs/>
        </w:rPr>
        <w:t xml:space="preserve">limited ability to compare analyses due to </w:t>
      </w:r>
      <w:r w:rsidR="00660BF9">
        <w:rPr>
          <w:iCs/>
        </w:rPr>
        <w:t>incompatible</w:t>
      </w:r>
      <w:r w:rsidR="00660BF9" w:rsidRPr="00CC79F0">
        <w:rPr>
          <w:iCs/>
        </w:rPr>
        <w:t xml:space="preserve"> </w:t>
      </w:r>
      <w:r w:rsidR="00E91AAA">
        <w:rPr>
          <w:iCs/>
        </w:rPr>
        <w:t>nomenclature</w:t>
      </w:r>
    </w:p>
    <w:p w14:paraId="039C063B" w14:textId="5F059FB0" w:rsidR="00CC79F0" w:rsidRPr="00CC79F0" w:rsidRDefault="00CC79F0" w:rsidP="006C7957">
      <w:pPr>
        <w:pStyle w:val="ListParagraph"/>
        <w:numPr>
          <w:ilvl w:val="0"/>
          <w:numId w:val="18"/>
        </w:numPr>
        <w:rPr>
          <w:iCs/>
        </w:rPr>
      </w:pPr>
      <w:r w:rsidRPr="00CC79F0">
        <w:rPr>
          <w:iCs/>
        </w:rPr>
        <w:t>inconsistency in the application of microbial genomics in public health and bio</w:t>
      </w:r>
      <w:r w:rsidR="001F4E2D">
        <w:rPr>
          <w:iCs/>
        </w:rPr>
        <w:noBreakHyphen/>
      </w:r>
      <w:r w:rsidRPr="00CC79F0">
        <w:rPr>
          <w:iCs/>
        </w:rPr>
        <w:t>threat issues</w:t>
      </w:r>
    </w:p>
    <w:p w14:paraId="13A7BA43" w14:textId="3F9FBE87" w:rsidR="00CC79F0" w:rsidRPr="00CC79F0" w:rsidRDefault="00CC79F0" w:rsidP="006C7957">
      <w:pPr>
        <w:pStyle w:val="ListParagraph"/>
        <w:numPr>
          <w:ilvl w:val="0"/>
          <w:numId w:val="18"/>
        </w:numPr>
        <w:rPr>
          <w:iCs/>
        </w:rPr>
      </w:pPr>
      <w:r w:rsidRPr="00CC79F0">
        <w:rPr>
          <w:iCs/>
        </w:rPr>
        <w:t>fragmentation in data collection and storage</w:t>
      </w:r>
    </w:p>
    <w:p w14:paraId="24A151FE" w14:textId="3B4CD629" w:rsidR="00CC79F0" w:rsidRPr="00CC79F0" w:rsidRDefault="00CC79F0" w:rsidP="006C7957">
      <w:pPr>
        <w:pStyle w:val="ListParagraph"/>
        <w:numPr>
          <w:ilvl w:val="0"/>
          <w:numId w:val="18"/>
        </w:numPr>
        <w:rPr>
          <w:iCs/>
        </w:rPr>
      </w:pPr>
      <w:r w:rsidRPr="00CC79F0">
        <w:rPr>
          <w:iCs/>
        </w:rPr>
        <w:t xml:space="preserve">lack of consistency in data analysis and output, </w:t>
      </w:r>
      <w:r w:rsidR="001F4E2D">
        <w:rPr>
          <w:iCs/>
        </w:rPr>
        <w:t>as well as</w:t>
      </w:r>
      <w:r w:rsidRPr="00CC79F0">
        <w:rPr>
          <w:iCs/>
        </w:rPr>
        <w:t xml:space="preserve"> integration into surveillance, investigation, and response efforts.</w:t>
      </w:r>
    </w:p>
    <w:p w14:paraId="505283CD" w14:textId="77777777" w:rsidR="00CC79F0" w:rsidRPr="00CC79F0" w:rsidRDefault="00CC79F0" w:rsidP="00FE2D5C">
      <w:pPr>
        <w:spacing w:before="0" w:after="0"/>
      </w:pPr>
      <w:r w:rsidRPr="00CC79F0">
        <w:t xml:space="preserve">Some of the key challenges in achieving nationally consistent laboratory-based surveillance have been highlighted in the </w:t>
      </w:r>
      <w:hyperlink r:id="rId19" w:history="1">
        <w:r w:rsidRPr="00CC79F0">
          <w:rPr>
            <w:rStyle w:val="Hyperlink"/>
            <w:i/>
            <w:color w:val="auto"/>
          </w:rPr>
          <w:t>National Framework for Communicable Disease Control</w:t>
        </w:r>
      </w:hyperlink>
      <w:r w:rsidRPr="00CC79F0">
        <w:t>. These include:</w:t>
      </w:r>
    </w:p>
    <w:p w14:paraId="08972891" w14:textId="77777777" w:rsidR="00CC79F0" w:rsidRPr="00CC79F0" w:rsidRDefault="00CC79F0" w:rsidP="006C7957">
      <w:pPr>
        <w:pStyle w:val="ListParagraph"/>
        <w:numPr>
          <w:ilvl w:val="0"/>
          <w:numId w:val="18"/>
        </w:numPr>
        <w:rPr>
          <w:iCs/>
        </w:rPr>
      </w:pPr>
      <w:r w:rsidRPr="00CC79F0">
        <w:rPr>
          <w:iCs/>
        </w:rPr>
        <w:t>aligning governance and reporting models for PHLs and national centres</w:t>
      </w:r>
    </w:p>
    <w:p w14:paraId="29FBF507" w14:textId="77777777" w:rsidR="00CC79F0" w:rsidRPr="00CC79F0" w:rsidRDefault="00CC79F0" w:rsidP="006C7957">
      <w:pPr>
        <w:pStyle w:val="ListParagraph"/>
        <w:numPr>
          <w:ilvl w:val="0"/>
          <w:numId w:val="18"/>
        </w:numPr>
        <w:rPr>
          <w:iCs/>
        </w:rPr>
      </w:pPr>
      <w:r w:rsidRPr="00CC79F0">
        <w:rPr>
          <w:iCs/>
        </w:rPr>
        <w:lastRenderedPageBreak/>
        <w:t>harmonising laboratory-based surveillance methods between jurisdictional public health reference laboratories</w:t>
      </w:r>
    </w:p>
    <w:p w14:paraId="41F3E9C8" w14:textId="77777777" w:rsidR="00CC79F0" w:rsidRPr="00CC79F0" w:rsidRDefault="00CC79F0" w:rsidP="006C7957">
      <w:pPr>
        <w:pStyle w:val="ListParagraph"/>
        <w:numPr>
          <w:ilvl w:val="0"/>
          <w:numId w:val="18"/>
        </w:numPr>
        <w:rPr>
          <w:iCs/>
        </w:rPr>
      </w:pPr>
      <w:r w:rsidRPr="00CC79F0">
        <w:rPr>
          <w:iCs/>
        </w:rPr>
        <w:t>agreeing on ethical and confidentiality principles</w:t>
      </w:r>
    </w:p>
    <w:p w14:paraId="455C6823" w14:textId="6E5D059A" w:rsidR="00CC79F0" w:rsidRPr="00CC79F0" w:rsidRDefault="00CC79F0" w:rsidP="006C7957">
      <w:pPr>
        <w:pStyle w:val="ListParagraph"/>
        <w:numPr>
          <w:ilvl w:val="0"/>
          <w:numId w:val="18"/>
        </w:numPr>
        <w:rPr>
          <w:iCs/>
        </w:rPr>
      </w:pPr>
      <w:r w:rsidRPr="00CC79F0">
        <w:rPr>
          <w:iCs/>
        </w:rPr>
        <w:t>improving information sharing between laboratories, public health authorities and clinicians</w:t>
      </w:r>
    </w:p>
    <w:p w14:paraId="0513CF53" w14:textId="77777777" w:rsidR="00CC79F0" w:rsidRPr="00CC79F0" w:rsidRDefault="00CC79F0" w:rsidP="006C7957">
      <w:pPr>
        <w:pStyle w:val="ListParagraph"/>
        <w:numPr>
          <w:ilvl w:val="0"/>
          <w:numId w:val="18"/>
        </w:numPr>
        <w:rPr>
          <w:iCs/>
        </w:rPr>
      </w:pPr>
      <w:r w:rsidRPr="00CC79F0">
        <w:rPr>
          <w:iCs/>
        </w:rPr>
        <w:t>agreeing on sustainable financing mechanisms for PHL activities.</w:t>
      </w:r>
    </w:p>
    <w:p w14:paraId="3BE78F84" w14:textId="5718022C" w:rsidR="00CC79F0" w:rsidRPr="00CC79F0" w:rsidRDefault="00CC79F0" w:rsidP="00FE2D5C">
      <w:pPr>
        <w:spacing w:before="0" w:after="0"/>
        <w:rPr>
          <w:b/>
        </w:rPr>
      </w:pPr>
      <w:r w:rsidRPr="00CC79F0">
        <w:rPr>
          <w:b/>
        </w:rPr>
        <w:t>What does the future look like?</w:t>
      </w:r>
    </w:p>
    <w:p w14:paraId="3D797FBD" w14:textId="77777777" w:rsidR="00CC79F0" w:rsidRPr="00CC79F0" w:rsidRDefault="00CC79F0" w:rsidP="006C7957">
      <w:pPr>
        <w:pStyle w:val="ListParagraph"/>
        <w:numPr>
          <w:ilvl w:val="0"/>
          <w:numId w:val="18"/>
        </w:numPr>
        <w:rPr>
          <w:iCs/>
        </w:rPr>
      </w:pPr>
      <w:r w:rsidRPr="00CC79F0">
        <w:rPr>
          <w:iCs/>
        </w:rPr>
        <w:t>The application of microbial genomics to public health—infectious disease and biological agents of security concern control—is well understood by stakeholders.</w:t>
      </w:r>
    </w:p>
    <w:p w14:paraId="792645C1" w14:textId="77777777" w:rsidR="00CC79F0" w:rsidRPr="00CC79F0" w:rsidRDefault="00CC79F0" w:rsidP="006C7957">
      <w:pPr>
        <w:pStyle w:val="ListParagraph"/>
        <w:numPr>
          <w:ilvl w:val="0"/>
          <w:numId w:val="18"/>
        </w:numPr>
        <w:rPr>
          <w:iCs/>
        </w:rPr>
      </w:pPr>
      <w:r w:rsidRPr="00CC79F0">
        <w:rPr>
          <w:iCs/>
        </w:rPr>
        <w:t>A coordinated and consistent approach has been developed around the application of microbial genomics in public health practice, which increases efficiency and reduces duplication of effort.</w:t>
      </w:r>
    </w:p>
    <w:p w14:paraId="4C4F03FC" w14:textId="1BD39190" w:rsidR="00CC79F0" w:rsidRDefault="00CC79F0" w:rsidP="006C7957">
      <w:pPr>
        <w:pStyle w:val="ListParagraph"/>
        <w:numPr>
          <w:ilvl w:val="0"/>
          <w:numId w:val="18"/>
        </w:numPr>
        <w:rPr>
          <w:iCs/>
        </w:rPr>
      </w:pPr>
      <w:r w:rsidRPr="00CC79F0">
        <w:rPr>
          <w:iCs/>
        </w:rPr>
        <w:t xml:space="preserve">The approach has been adopted at a national level and is supported by all states and territories for communicable diseases and </w:t>
      </w:r>
      <w:r w:rsidR="00635946">
        <w:rPr>
          <w:iCs/>
        </w:rPr>
        <w:t>AMR</w:t>
      </w:r>
      <w:r w:rsidRPr="00CC79F0">
        <w:rPr>
          <w:iCs/>
        </w:rPr>
        <w:t>s of public health significance.</w:t>
      </w:r>
    </w:p>
    <w:p w14:paraId="278CF451" w14:textId="10524C09" w:rsidR="00C73263" w:rsidRPr="00CC79F0" w:rsidRDefault="00CA2A8F" w:rsidP="006C7957">
      <w:pPr>
        <w:pStyle w:val="ListParagraph"/>
        <w:numPr>
          <w:ilvl w:val="0"/>
          <w:numId w:val="18"/>
        </w:numPr>
        <w:rPr>
          <w:iCs/>
        </w:rPr>
      </w:pPr>
      <w:r>
        <w:rPr>
          <w:iCs/>
        </w:rPr>
        <w:t xml:space="preserve">A model </w:t>
      </w:r>
      <w:r w:rsidR="00BC5B2F">
        <w:rPr>
          <w:iCs/>
        </w:rPr>
        <w:t xml:space="preserve">has been established </w:t>
      </w:r>
      <w:r w:rsidR="007575D4">
        <w:rPr>
          <w:iCs/>
        </w:rPr>
        <w:t xml:space="preserve">that </w:t>
      </w:r>
      <w:r w:rsidR="003626DF">
        <w:rPr>
          <w:iCs/>
        </w:rPr>
        <w:t xml:space="preserve">ensures capacity and capability </w:t>
      </w:r>
      <w:r w:rsidR="00BC5B2F">
        <w:rPr>
          <w:iCs/>
        </w:rPr>
        <w:t>is maintained within</w:t>
      </w:r>
      <w:r w:rsidR="003626DF">
        <w:rPr>
          <w:iCs/>
        </w:rPr>
        <w:t xml:space="preserve"> PHLs</w:t>
      </w:r>
      <w:r w:rsidR="00D15969">
        <w:rPr>
          <w:iCs/>
        </w:rPr>
        <w:t xml:space="preserve"> and </w:t>
      </w:r>
      <w:r w:rsidR="00EB25EC">
        <w:rPr>
          <w:iCs/>
        </w:rPr>
        <w:t>opportunit</w:t>
      </w:r>
      <w:r w:rsidR="00987CA2">
        <w:rPr>
          <w:iCs/>
        </w:rPr>
        <w:t>ies</w:t>
      </w:r>
      <w:r w:rsidR="00EB25EC">
        <w:rPr>
          <w:iCs/>
        </w:rPr>
        <w:t xml:space="preserve"> </w:t>
      </w:r>
      <w:r w:rsidR="00BC5B2F">
        <w:rPr>
          <w:iCs/>
        </w:rPr>
        <w:t xml:space="preserve">are provided and promoted </w:t>
      </w:r>
      <w:r w:rsidR="00987CA2">
        <w:rPr>
          <w:iCs/>
        </w:rPr>
        <w:t>to share their expertise</w:t>
      </w:r>
      <w:r w:rsidR="006F421B">
        <w:rPr>
          <w:iCs/>
        </w:rPr>
        <w:t xml:space="preserve"> to inform </w:t>
      </w:r>
      <w:r w:rsidR="00BC5B2F">
        <w:rPr>
          <w:iCs/>
        </w:rPr>
        <w:t xml:space="preserve">and contribute to </w:t>
      </w:r>
      <w:r w:rsidR="006F421B">
        <w:rPr>
          <w:iCs/>
        </w:rPr>
        <w:t>nationally coordinated analyses</w:t>
      </w:r>
      <w:r w:rsidR="008F6E3D">
        <w:rPr>
          <w:iCs/>
        </w:rPr>
        <w:t xml:space="preserve"> and decision-making</w:t>
      </w:r>
      <w:r w:rsidR="006F421B">
        <w:rPr>
          <w:iCs/>
        </w:rPr>
        <w:t>.</w:t>
      </w:r>
      <w:r w:rsidR="00987CA2">
        <w:rPr>
          <w:iCs/>
        </w:rPr>
        <w:t xml:space="preserve"> </w:t>
      </w:r>
    </w:p>
    <w:p w14:paraId="0E58B297" w14:textId="4C30E0BB" w:rsidR="00CC79F0" w:rsidRPr="00CC79F0" w:rsidRDefault="00CC79F0" w:rsidP="006C7957">
      <w:pPr>
        <w:pStyle w:val="ListParagraph"/>
        <w:numPr>
          <w:ilvl w:val="0"/>
          <w:numId w:val="18"/>
        </w:numPr>
      </w:pPr>
      <w:r w:rsidRPr="00CC79F0">
        <w:rPr>
          <w:iCs/>
        </w:rPr>
        <w:t>The approach is sustainable and well supported by secure information technology (IT) infrastructure</w:t>
      </w:r>
      <w:r w:rsidRPr="00CC79F0">
        <w:t>, quality assurance pathways</w:t>
      </w:r>
      <w:r w:rsidR="00123F12">
        <w:t>,</w:t>
      </w:r>
      <w:r w:rsidRPr="00CC79F0">
        <w:t xml:space="preserve"> and appropriate financing.</w:t>
      </w:r>
    </w:p>
    <w:p w14:paraId="125910F7" w14:textId="77777777" w:rsidR="00FE0B24" w:rsidRPr="009814D7" w:rsidRDefault="00FE0B24" w:rsidP="00FE2D5C">
      <w:pPr>
        <w:pStyle w:val="Heading3"/>
      </w:pPr>
      <w:bookmarkStart w:id="85" w:name="_Toc135494168"/>
      <w:bookmarkStart w:id="86" w:name="_Toc1930229227"/>
      <w:bookmarkStart w:id="87" w:name="_Toc1738892854"/>
      <w:bookmarkStart w:id="88" w:name="_Toc191899412"/>
      <w:r>
        <w:t>Prior and current activities</w:t>
      </w:r>
      <w:bookmarkEnd w:id="85"/>
      <w:bookmarkEnd w:id="86"/>
      <w:bookmarkEnd w:id="87"/>
      <w:bookmarkEnd w:id="88"/>
    </w:p>
    <w:p w14:paraId="04514687" w14:textId="658509FE" w:rsidR="00652DB1" w:rsidRDefault="00652DB1" w:rsidP="00FE2D5C">
      <w:pPr>
        <w:spacing w:before="0" w:after="0"/>
        <w:rPr>
          <w:lang w:bidi="en-AU"/>
        </w:rPr>
      </w:pPr>
      <w:r w:rsidRPr="00652DB1">
        <w:rPr>
          <w:lang w:bidi="en-AU"/>
        </w:rPr>
        <w:t xml:space="preserve">Many initiatives to support the development of a </w:t>
      </w:r>
      <w:r w:rsidR="00794609">
        <w:rPr>
          <w:lang w:bidi="en-AU"/>
        </w:rPr>
        <w:t>harmonised</w:t>
      </w:r>
      <w:r w:rsidR="00794609" w:rsidRPr="00652DB1">
        <w:rPr>
          <w:lang w:bidi="en-AU"/>
        </w:rPr>
        <w:t xml:space="preserve"> </w:t>
      </w:r>
      <w:r w:rsidRPr="00652DB1">
        <w:rPr>
          <w:lang w:bidi="en-AU"/>
        </w:rPr>
        <w:t xml:space="preserve">national approach have been completed or are underway. The Australian Government and state and territory governments are supporting microbial genomics research and projects aimed at improving consistency and harmonisation, where appropriate, among PHL systems. The majority is being led by </w:t>
      </w:r>
      <w:r w:rsidR="00D70784" w:rsidRPr="00652DB1">
        <w:rPr>
          <w:lang w:bidi="en-AU"/>
        </w:rPr>
        <w:t>CDGN,</w:t>
      </w:r>
      <w:r w:rsidRPr="00652DB1">
        <w:rPr>
          <w:lang w:bidi="en-AU"/>
        </w:rPr>
        <w:t xml:space="preserve"> and the completed activities include:</w:t>
      </w:r>
    </w:p>
    <w:p w14:paraId="3D0B6E5A" w14:textId="77777777" w:rsidR="00652DB1" w:rsidRPr="00652DB1" w:rsidRDefault="00652DB1" w:rsidP="006C7957">
      <w:pPr>
        <w:pStyle w:val="ListParagraph"/>
        <w:numPr>
          <w:ilvl w:val="0"/>
          <w:numId w:val="18"/>
        </w:numPr>
        <w:rPr>
          <w:iCs/>
        </w:rPr>
      </w:pPr>
      <w:r w:rsidRPr="00652DB1">
        <w:rPr>
          <w:iCs/>
        </w:rPr>
        <w:t>the development of a national framework (including SARS-CoV-2 analysis protocols) based on international best practice to facilitate consistency in the use of microbial genomics for public health in Australia</w:t>
      </w:r>
    </w:p>
    <w:p w14:paraId="7A954D35" w14:textId="01ACC682" w:rsidR="00652DB1" w:rsidRPr="00FA3BD6" w:rsidRDefault="00652DB1" w:rsidP="006C7957">
      <w:pPr>
        <w:pStyle w:val="ListParagraph"/>
        <w:numPr>
          <w:ilvl w:val="0"/>
          <w:numId w:val="18"/>
        </w:numPr>
        <w:rPr>
          <w:iCs/>
        </w:rPr>
      </w:pPr>
      <w:r w:rsidRPr="00652DB1">
        <w:rPr>
          <w:iCs/>
        </w:rPr>
        <w:t xml:space="preserve">in 2020, establishing an agreement with the Royal College of Pathologists of Australasia Quality Assurance Programs (RCPA QAP) to support development, analysis, and reporting of proficiency testing </w:t>
      </w:r>
      <w:r w:rsidRPr="00FA3BD6">
        <w:rPr>
          <w:iCs/>
        </w:rPr>
        <w:t>programs for WGS, including supporting the analysis of the 2021 SARS-CoV-2 modules</w:t>
      </w:r>
    </w:p>
    <w:p w14:paraId="5E7A5943" w14:textId="16D80571" w:rsidR="00CC00C5" w:rsidRPr="001F4E2D" w:rsidRDefault="00652DB1" w:rsidP="002B50A9">
      <w:pPr>
        <w:pStyle w:val="ListParagraph"/>
        <w:numPr>
          <w:ilvl w:val="0"/>
          <w:numId w:val="18"/>
        </w:numPr>
        <w:spacing w:before="0" w:after="0" w:line="240" w:lineRule="auto"/>
        <w:rPr>
          <w:lang w:bidi="en-AU"/>
        </w:rPr>
      </w:pPr>
      <w:r w:rsidRPr="001F4E2D">
        <w:rPr>
          <w:iCs/>
        </w:rPr>
        <w:lastRenderedPageBreak/>
        <w:t xml:space="preserve">in 2021, developing the </w:t>
      </w:r>
      <w:hyperlink r:id="rId20" w:history="1">
        <w:r w:rsidR="0017252B" w:rsidRPr="001F4E2D">
          <w:rPr>
            <w:rStyle w:val="Hyperlink"/>
            <w:i/>
            <w:iCs/>
            <w:color w:val="auto"/>
          </w:rPr>
          <w:t>CDGN, PHLN and CDNA Sampling Strategy for SARS-CoV-2 Genomic Surveillance</w:t>
        </w:r>
      </w:hyperlink>
      <w:r w:rsidRPr="001F4E2D">
        <w:rPr>
          <w:iCs/>
        </w:rPr>
        <w:t>, so that Australia remained vigilant in responding to emerging variants.</w:t>
      </w:r>
    </w:p>
    <w:p w14:paraId="763F8287" w14:textId="53F7A4CE" w:rsidR="00652DB1" w:rsidRPr="00652DB1" w:rsidRDefault="00652DB1" w:rsidP="001F4E2D">
      <w:pPr>
        <w:spacing w:after="0"/>
        <w:rPr>
          <w:lang w:bidi="en-AU"/>
        </w:rPr>
      </w:pPr>
      <w:r w:rsidRPr="00652DB1">
        <w:rPr>
          <w:lang w:bidi="en-AU"/>
        </w:rPr>
        <w:t>The following activities are ongoing:</w:t>
      </w:r>
    </w:p>
    <w:p w14:paraId="7D7F73F8" w14:textId="77777777" w:rsidR="00652DB1" w:rsidRPr="00652DB1" w:rsidRDefault="00652DB1" w:rsidP="006C7957">
      <w:pPr>
        <w:pStyle w:val="ListParagraph"/>
        <w:numPr>
          <w:ilvl w:val="0"/>
          <w:numId w:val="18"/>
        </w:numPr>
        <w:rPr>
          <w:iCs/>
        </w:rPr>
      </w:pPr>
      <w:r w:rsidRPr="00652DB1">
        <w:rPr>
          <w:iCs/>
        </w:rPr>
        <w:t>CDGN continues to promote best practice sequencing methodologies, determined in consultation with internationally established best practices that are both cost and time effective, to garner the most value from microbial genomics sequencing to inform public health action.</w:t>
      </w:r>
    </w:p>
    <w:p w14:paraId="1D90E5E9" w14:textId="0DD7779E" w:rsidR="00652DB1" w:rsidRPr="00652DB1" w:rsidRDefault="00652DB1" w:rsidP="006C7957">
      <w:pPr>
        <w:pStyle w:val="ListParagraph"/>
        <w:numPr>
          <w:ilvl w:val="0"/>
          <w:numId w:val="18"/>
        </w:numPr>
        <w:rPr>
          <w:iCs/>
        </w:rPr>
      </w:pPr>
      <w:r w:rsidRPr="00652DB1">
        <w:rPr>
          <w:iCs/>
        </w:rPr>
        <w:t>CDGN also continues to provide support to laboratories with sequencing and analysis advice on a range of priority pathogens to ensure capability continues to be enhanced.</w:t>
      </w:r>
    </w:p>
    <w:p w14:paraId="2CA3D658" w14:textId="77777777" w:rsidR="00652DB1" w:rsidRPr="009151A0" w:rsidRDefault="00652DB1" w:rsidP="006C7957">
      <w:pPr>
        <w:pStyle w:val="ListParagraph"/>
        <w:numPr>
          <w:ilvl w:val="0"/>
          <w:numId w:val="18"/>
        </w:numPr>
        <w:rPr>
          <w:iCs/>
        </w:rPr>
      </w:pPr>
      <w:r w:rsidRPr="00652DB1">
        <w:rPr>
          <w:iCs/>
        </w:rPr>
        <w:t>The Salmonella and Listeria Working Group continues to facilitate a national transition to WGS of Salmonella and Listeria for routine public health testing.</w:t>
      </w:r>
    </w:p>
    <w:p w14:paraId="347E269E" w14:textId="5771324F" w:rsidR="00E3603A" w:rsidRDefault="00652DB1" w:rsidP="006C7957">
      <w:pPr>
        <w:pStyle w:val="ListParagraph"/>
        <w:numPr>
          <w:ilvl w:val="0"/>
          <w:numId w:val="18"/>
        </w:numPr>
        <w:rPr>
          <w:lang w:bidi="en-AU"/>
        </w:rPr>
      </w:pPr>
      <w:r w:rsidRPr="009151A0">
        <w:rPr>
          <w:iCs/>
        </w:rPr>
        <w:t>The Tuberculosis Working Group continues to coordinate and standardise approaches to sequencing, analysis, and reporting of Mycobacterium tuberculosis for public health.</w:t>
      </w:r>
      <w:r w:rsidR="00E3603A">
        <w:br w:type="page"/>
      </w:r>
    </w:p>
    <w:p w14:paraId="0F3BCEC4" w14:textId="6C1622C0" w:rsidR="0079107C" w:rsidRPr="009814D7" w:rsidRDefault="0079107C" w:rsidP="0079107C">
      <w:pPr>
        <w:pStyle w:val="Heading3"/>
      </w:pPr>
      <w:bookmarkStart w:id="89" w:name="_Toc135494169"/>
      <w:bookmarkStart w:id="90" w:name="_Toc1934588711"/>
      <w:bookmarkStart w:id="91" w:name="_Toc607097926"/>
      <w:bookmarkStart w:id="92" w:name="_Toc191899413"/>
      <w:r>
        <w:lastRenderedPageBreak/>
        <w:t>Outcome 1.1</w:t>
      </w:r>
      <w:r w:rsidR="00B55164">
        <w:t xml:space="preserve"> </w:t>
      </w:r>
      <w:r>
        <w:t>—</w:t>
      </w:r>
      <w:r w:rsidR="00B55164">
        <w:t xml:space="preserve"> </w:t>
      </w:r>
      <w:r>
        <w:t xml:space="preserve">Enhanced </w:t>
      </w:r>
      <w:r w:rsidR="00794609">
        <w:t xml:space="preserve">harmonised </w:t>
      </w:r>
      <w:r>
        <w:t>policies and procedures</w:t>
      </w:r>
      <w:bookmarkEnd w:id="89"/>
      <w:bookmarkEnd w:id="90"/>
      <w:bookmarkEnd w:id="91"/>
      <w:bookmarkEnd w:id="92"/>
    </w:p>
    <w:p w14:paraId="2B17F045" w14:textId="5D6A6745" w:rsidR="0075387F" w:rsidRPr="00F248DC" w:rsidRDefault="0075387F" w:rsidP="006C7957">
      <w:pPr>
        <w:pStyle w:val="ListParagraph"/>
        <w:numPr>
          <w:ilvl w:val="0"/>
          <w:numId w:val="21"/>
        </w:numPr>
        <w:spacing w:line="240" w:lineRule="auto"/>
      </w:pPr>
      <w:r w:rsidRPr="00F248DC">
        <w:t>Continue to develop</w:t>
      </w:r>
      <w:r w:rsidR="005B1846">
        <w:t xml:space="preserve"> and evaluate</w:t>
      </w:r>
      <w:r w:rsidRPr="00F248DC">
        <w:t xml:space="preserve"> common standards,</w:t>
      </w:r>
      <w:r w:rsidR="005B1846">
        <w:t xml:space="preserve"> principles,</w:t>
      </w:r>
      <w:r w:rsidRPr="00F248DC">
        <w:t xml:space="preserve"> </w:t>
      </w:r>
      <w:r w:rsidR="005B1846">
        <w:t xml:space="preserve">and </w:t>
      </w:r>
      <w:r w:rsidRPr="00F248DC">
        <w:t>nomenclature that are fit for purpose for public health surveillance and response.</w:t>
      </w:r>
    </w:p>
    <w:p w14:paraId="75195D10" w14:textId="443EB424" w:rsidR="0075387F" w:rsidRDefault="0075387F" w:rsidP="00090013">
      <w:pPr>
        <w:pStyle w:val="ListParagraph"/>
        <w:numPr>
          <w:ilvl w:val="0"/>
          <w:numId w:val="21"/>
        </w:numPr>
        <w:spacing w:line="240" w:lineRule="auto"/>
      </w:pPr>
      <w:r>
        <w:t>Progress towards a connected national genomic surveillance platform which hosts bioinformatics pipelines and a data repository that is available to all data custodians.</w:t>
      </w:r>
    </w:p>
    <w:tbl>
      <w:tblPr>
        <w:tblStyle w:val="TableGrid"/>
        <w:tblW w:w="10240" w:type="dxa"/>
        <w:tblInd w:w="-431" w:type="dxa"/>
        <w:tblLook w:val="04A0" w:firstRow="1" w:lastRow="0" w:firstColumn="1" w:lastColumn="0" w:noHBand="0" w:noVBand="1"/>
      </w:tblPr>
      <w:tblGrid>
        <w:gridCol w:w="6804"/>
        <w:gridCol w:w="1260"/>
        <w:gridCol w:w="1156"/>
        <w:gridCol w:w="1020"/>
      </w:tblGrid>
      <w:tr w:rsidR="00067378" w14:paraId="728556CF" w14:textId="77777777" w:rsidTr="7CC1F5DA">
        <w:trPr>
          <w:cnfStyle w:val="100000000000" w:firstRow="1" w:lastRow="0" w:firstColumn="0" w:lastColumn="0" w:oddVBand="0" w:evenVBand="0" w:oddHBand="0" w:evenHBand="0" w:firstRowFirstColumn="0" w:firstRowLastColumn="0" w:lastRowFirstColumn="0" w:lastRowLastColumn="0"/>
          <w:trHeight w:val="283"/>
        </w:trPr>
        <w:tc>
          <w:tcPr>
            <w:tcW w:w="6804" w:type="dxa"/>
          </w:tcPr>
          <w:p w14:paraId="69142B0B" w14:textId="77777777" w:rsidR="0075387F" w:rsidRPr="00F248DC" w:rsidRDefault="0075387F" w:rsidP="005A4CC7">
            <w:pPr>
              <w:spacing w:line="240" w:lineRule="auto"/>
              <w:rPr>
                <w:b/>
              </w:rPr>
            </w:pPr>
            <w:bookmarkStart w:id="93" w:name="_Hlk115165490"/>
            <w:r w:rsidRPr="00F248DC">
              <w:rPr>
                <w:b/>
              </w:rPr>
              <w:t>National Action</w:t>
            </w:r>
          </w:p>
        </w:tc>
        <w:tc>
          <w:tcPr>
            <w:tcW w:w="1260" w:type="dxa"/>
          </w:tcPr>
          <w:p w14:paraId="45C42521" w14:textId="77777777" w:rsidR="0075387F" w:rsidRPr="00F248DC" w:rsidRDefault="0075387F" w:rsidP="00B75E45">
            <w:pPr>
              <w:spacing w:line="240" w:lineRule="auto"/>
              <w:jc w:val="center"/>
              <w:rPr>
                <w:b/>
              </w:rPr>
            </w:pPr>
            <w:r w:rsidRPr="00F248DC">
              <w:rPr>
                <w:b/>
              </w:rPr>
              <w:t>Timeframe</w:t>
            </w:r>
          </w:p>
        </w:tc>
        <w:tc>
          <w:tcPr>
            <w:tcW w:w="1156" w:type="dxa"/>
          </w:tcPr>
          <w:p w14:paraId="10D13E8E" w14:textId="77777777" w:rsidR="0075387F" w:rsidRPr="00F248DC" w:rsidRDefault="0075387F" w:rsidP="00B75E45">
            <w:pPr>
              <w:spacing w:line="240" w:lineRule="auto"/>
              <w:jc w:val="center"/>
              <w:rPr>
                <w:b/>
              </w:rPr>
            </w:pPr>
            <w:r w:rsidRPr="00F248DC">
              <w:rPr>
                <w:b/>
              </w:rPr>
              <w:t>Lead</w:t>
            </w:r>
          </w:p>
        </w:tc>
        <w:tc>
          <w:tcPr>
            <w:tcW w:w="1020" w:type="dxa"/>
          </w:tcPr>
          <w:p w14:paraId="46597FB7" w14:textId="77777777" w:rsidR="0075387F" w:rsidRPr="00F248DC" w:rsidRDefault="0075387F" w:rsidP="00B75E45">
            <w:pPr>
              <w:spacing w:line="240" w:lineRule="auto"/>
              <w:jc w:val="center"/>
              <w:rPr>
                <w:b/>
              </w:rPr>
            </w:pPr>
            <w:r w:rsidRPr="00F248DC">
              <w:rPr>
                <w:b/>
              </w:rPr>
              <w:t>Priority</w:t>
            </w:r>
          </w:p>
        </w:tc>
      </w:tr>
      <w:tr w:rsidR="0075387F" w:rsidRPr="00EA7F8C" w14:paraId="1120BF4F" w14:textId="77777777" w:rsidTr="7CC1F5DA">
        <w:trPr>
          <w:cnfStyle w:val="000000100000" w:firstRow="0" w:lastRow="0" w:firstColumn="0" w:lastColumn="0" w:oddVBand="0" w:evenVBand="0" w:oddHBand="1" w:evenHBand="0" w:firstRowFirstColumn="0" w:firstRowLastColumn="0" w:lastRowFirstColumn="0" w:lastRowLastColumn="0"/>
          <w:trHeight w:val="300"/>
        </w:trPr>
        <w:tc>
          <w:tcPr>
            <w:tcW w:w="6804" w:type="dxa"/>
          </w:tcPr>
          <w:p w14:paraId="4507D7FE" w14:textId="77777777" w:rsidR="0075387F" w:rsidRPr="00F248DC" w:rsidRDefault="0075387F">
            <w:pPr>
              <w:spacing w:line="240" w:lineRule="auto"/>
            </w:pPr>
            <w:r w:rsidRPr="7CF82925">
              <w:rPr>
                <w:b/>
                <w:bCs/>
              </w:rPr>
              <w:t>1.1.1</w:t>
            </w:r>
            <w:r>
              <w:t xml:space="preserve"> Continue to ensure microbial genomics is considered in the context of any broader review of health technology and systems assessment to support national consistency, especially in the design of the new Australian CDC.</w:t>
            </w:r>
          </w:p>
        </w:tc>
        <w:tc>
          <w:tcPr>
            <w:tcW w:w="1260" w:type="dxa"/>
          </w:tcPr>
          <w:p w14:paraId="58F5F4C4" w14:textId="77777777" w:rsidR="0075387F" w:rsidRPr="00F248DC" w:rsidRDefault="0075387F" w:rsidP="004078DB">
            <w:pPr>
              <w:spacing w:line="240" w:lineRule="auto"/>
              <w:jc w:val="center"/>
            </w:pPr>
            <w:r w:rsidRPr="00F248DC">
              <w:t>Short</w:t>
            </w:r>
          </w:p>
        </w:tc>
        <w:tc>
          <w:tcPr>
            <w:tcW w:w="1156" w:type="dxa"/>
          </w:tcPr>
          <w:p w14:paraId="6EBBFB63" w14:textId="77777777" w:rsidR="0075387F" w:rsidRPr="00F248DC" w:rsidRDefault="0075387F" w:rsidP="004078DB">
            <w:pPr>
              <w:spacing w:line="240" w:lineRule="auto"/>
              <w:jc w:val="center"/>
            </w:pPr>
            <w:r>
              <w:t>Australian CDC</w:t>
            </w:r>
          </w:p>
        </w:tc>
        <w:tc>
          <w:tcPr>
            <w:tcW w:w="1020" w:type="dxa"/>
          </w:tcPr>
          <w:p w14:paraId="3CA7EC4B" w14:textId="77777777" w:rsidR="0075387F" w:rsidRPr="00F248DC" w:rsidRDefault="0075387F" w:rsidP="004078DB">
            <w:pPr>
              <w:spacing w:line="240" w:lineRule="auto"/>
              <w:jc w:val="center"/>
            </w:pPr>
            <w:r w:rsidRPr="00F248DC">
              <w:t>High</w:t>
            </w:r>
          </w:p>
        </w:tc>
      </w:tr>
      <w:tr w:rsidR="0075387F" w:rsidRPr="00EA7F8C" w14:paraId="4435D4BA" w14:textId="77777777" w:rsidTr="7CC1F5DA">
        <w:trPr>
          <w:trHeight w:val="300"/>
        </w:trPr>
        <w:tc>
          <w:tcPr>
            <w:tcW w:w="6804" w:type="dxa"/>
          </w:tcPr>
          <w:p w14:paraId="3057E6CF" w14:textId="77777777" w:rsidR="0075387F" w:rsidRPr="00F248DC" w:rsidRDefault="0075387F">
            <w:pPr>
              <w:spacing w:line="240" w:lineRule="auto"/>
            </w:pPr>
            <w:r w:rsidRPr="4F50332C">
              <w:rPr>
                <w:b/>
                <w:bCs/>
              </w:rPr>
              <w:t>1.1.2</w:t>
            </w:r>
            <w:r>
              <w:t xml:space="preserve"> Review and update relevant existing guidelines and standards or develop new ones (where appropriate) to ensure microbial genomics applications are:</w:t>
            </w:r>
          </w:p>
          <w:p w14:paraId="373E5403" w14:textId="77777777" w:rsidR="0075387F" w:rsidRPr="00F248DC" w:rsidRDefault="0075387F" w:rsidP="006C7957">
            <w:pPr>
              <w:pStyle w:val="ListParagraph"/>
              <w:numPr>
                <w:ilvl w:val="0"/>
                <w:numId w:val="22"/>
              </w:numPr>
              <w:spacing w:line="240" w:lineRule="auto"/>
            </w:pPr>
            <w:r w:rsidRPr="00F248DC">
              <w:t>evidence-based</w:t>
            </w:r>
          </w:p>
          <w:p w14:paraId="6D29D57F" w14:textId="7355C61C" w:rsidR="0075387F" w:rsidRPr="00F248DC" w:rsidRDefault="0075387F" w:rsidP="006C7957">
            <w:pPr>
              <w:pStyle w:val="ListParagraph"/>
              <w:numPr>
                <w:ilvl w:val="0"/>
                <w:numId w:val="22"/>
              </w:numPr>
              <w:spacing w:line="240" w:lineRule="auto"/>
            </w:pPr>
            <w:r w:rsidRPr="00F248DC">
              <w:t>nationally consistent (where appropriate)</w:t>
            </w:r>
          </w:p>
          <w:p w14:paraId="78F0643E" w14:textId="77777777" w:rsidR="0075387F" w:rsidRPr="00F248DC" w:rsidRDefault="0075387F" w:rsidP="006C7957">
            <w:pPr>
              <w:pStyle w:val="ListParagraph"/>
              <w:numPr>
                <w:ilvl w:val="0"/>
                <w:numId w:val="22"/>
              </w:numPr>
              <w:spacing w:line="240" w:lineRule="auto"/>
            </w:pPr>
            <w:r>
              <w:t>in line with agreed national approaches to testing and surveillance (for example, laboratory case definitions and Series of National Guidelines (SoNGs)), and research.</w:t>
            </w:r>
          </w:p>
        </w:tc>
        <w:tc>
          <w:tcPr>
            <w:tcW w:w="1260" w:type="dxa"/>
          </w:tcPr>
          <w:p w14:paraId="39428926" w14:textId="77777777" w:rsidR="0075387F" w:rsidRPr="00F248DC" w:rsidRDefault="0075387F" w:rsidP="004078DB">
            <w:pPr>
              <w:spacing w:line="240" w:lineRule="auto"/>
              <w:jc w:val="center"/>
            </w:pPr>
            <w:r w:rsidRPr="00F248DC">
              <w:t>Medium</w:t>
            </w:r>
          </w:p>
        </w:tc>
        <w:tc>
          <w:tcPr>
            <w:tcW w:w="1156" w:type="dxa"/>
          </w:tcPr>
          <w:p w14:paraId="48943C90" w14:textId="0217430D" w:rsidR="0075387F" w:rsidRPr="00F248DC" w:rsidRDefault="0075387F" w:rsidP="004078DB">
            <w:pPr>
              <w:spacing w:line="240" w:lineRule="auto"/>
              <w:jc w:val="center"/>
            </w:pPr>
            <w:r w:rsidRPr="00F248DC">
              <w:t>AHPC</w:t>
            </w:r>
          </w:p>
        </w:tc>
        <w:tc>
          <w:tcPr>
            <w:tcW w:w="1020" w:type="dxa"/>
          </w:tcPr>
          <w:p w14:paraId="79E43E45" w14:textId="77777777" w:rsidR="0075387F" w:rsidRPr="00F248DC" w:rsidRDefault="0075387F" w:rsidP="004078DB">
            <w:pPr>
              <w:spacing w:line="240" w:lineRule="auto"/>
              <w:jc w:val="center"/>
            </w:pPr>
            <w:r w:rsidRPr="00F248DC">
              <w:t>Medium</w:t>
            </w:r>
          </w:p>
        </w:tc>
      </w:tr>
      <w:tr w:rsidR="0075387F" w:rsidRPr="00EA7F8C" w14:paraId="44B865CA" w14:textId="77777777" w:rsidTr="7CC1F5DA">
        <w:trPr>
          <w:cnfStyle w:val="000000100000" w:firstRow="0" w:lastRow="0" w:firstColumn="0" w:lastColumn="0" w:oddVBand="0" w:evenVBand="0" w:oddHBand="1" w:evenHBand="0" w:firstRowFirstColumn="0" w:firstRowLastColumn="0" w:lastRowFirstColumn="0" w:lastRowLastColumn="0"/>
          <w:trHeight w:val="300"/>
        </w:trPr>
        <w:tc>
          <w:tcPr>
            <w:tcW w:w="6804" w:type="dxa"/>
          </w:tcPr>
          <w:p w14:paraId="602EC08E" w14:textId="77777777" w:rsidR="0075387F" w:rsidRPr="00F248DC" w:rsidRDefault="0075387F">
            <w:pPr>
              <w:spacing w:line="240" w:lineRule="auto"/>
            </w:pPr>
            <w:r w:rsidRPr="00F248DC">
              <w:rPr>
                <w:b/>
              </w:rPr>
              <w:t>1.1.3</w:t>
            </w:r>
            <w:r w:rsidRPr="00F248DC">
              <w:t xml:space="preserve"> Build on existing mechanisms, systems, and processes (where possible) to ensure nationally adopted supply of services and cohesive approaches to microbial genomics applications.</w:t>
            </w:r>
          </w:p>
        </w:tc>
        <w:tc>
          <w:tcPr>
            <w:tcW w:w="1260" w:type="dxa"/>
          </w:tcPr>
          <w:p w14:paraId="7C9DF162" w14:textId="77777777" w:rsidR="0075387F" w:rsidRPr="00F248DC" w:rsidRDefault="0075387F" w:rsidP="004078DB">
            <w:pPr>
              <w:spacing w:line="240" w:lineRule="auto"/>
              <w:jc w:val="center"/>
            </w:pPr>
            <w:r w:rsidRPr="00F248DC">
              <w:t>Medium</w:t>
            </w:r>
          </w:p>
        </w:tc>
        <w:tc>
          <w:tcPr>
            <w:tcW w:w="1156" w:type="dxa"/>
          </w:tcPr>
          <w:p w14:paraId="524228B9" w14:textId="77777777" w:rsidR="0075387F" w:rsidRPr="00F248DC" w:rsidRDefault="0075387F" w:rsidP="004078DB">
            <w:pPr>
              <w:spacing w:line="240" w:lineRule="auto"/>
              <w:jc w:val="center"/>
            </w:pPr>
            <w:r>
              <w:t>Australian CDC</w:t>
            </w:r>
          </w:p>
        </w:tc>
        <w:tc>
          <w:tcPr>
            <w:tcW w:w="1020" w:type="dxa"/>
          </w:tcPr>
          <w:p w14:paraId="4F211F3E" w14:textId="77777777" w:rsidR="0075387F" w:rsidRPr="00F248DC" w:rsidRDefault="0075387F" w:rsidP="004078DB">
            <w:pPr>
              <w:spacing w:line="240" w:lineRule="auto"/>
              <w:jc w:val="center"/>
            </w:pPr>
            <w:r w:rsidRPr="00F248DC">
              <w:t>Medium</w:t>
            </w:r>
          </w:p>
        </w:tc>
      </w:tr>
      <w:tr w:rsidR="0075387F" w:rsidRPr="00EA7F8C" w14:paraId="55CE7511" w14:textId="77777777" w:rsidTr="7CC1F5DA">
        <w:trPr>
          <w:trHeight w:val="300"/>
        </w:trPr>
        <w:tc>
          <w:tcPr>
            <w:tcW w:w="6804" w:type="dxa"/>
          </w:tcPr>
          <w:p w14:paraId="7125CF2C" w14:textId="3C69D393" w:rsidR="0075387F" w:rsidRPr="00F248DC" w:rsidRDefault="0075387F">
            <w:pPr>
              <w:spacing w:line="240" w:lineRule="auto"/>
            </w:pPr>
            <w:r w:rsidRPr="4F50332C">
              <w:rPr>
                <w:b/>
                <w:bCs/>
              </w:rPr>
              <w:t>1.1.4</w:t>
            </w:r>
            <w:r>
              <w:t xml:space="preserve"> </w:t>
            </w:r>
            <w:r w:rsidR="00A9783B">
              <w:t xml:space="preserve">In consultation with </w:t>
            </w:r>
            <w:r w:rsidR="00A9783B" w:rsidRPr="00A9783B">
              <w:t xml:space="preserve">relevant </w:t>
            </w:r>
            <w:r w:rsidR="00A9783B">
              <w:t xml:space="preserve">AHPC </w:t>
            </w:r>
            <w:r w:rsidR="00A9783B" w:rsidRPr="00A9783B">
              <w:t>sub-committees</w:t>
            </w:r>
            <w:r w:rsidR="00A9783B">
              <w:t>,</w:t>
            </w:r>
            <w:r w:rsidR="00A9783B" w:rsidRPr="00A9783B">
              <w:t xml:space="preserve"> </w:t>
            </w:r>
            <w:r w:rsidR="4E953007">
              <w:t>d</w:t>
            </w:r>
            <w:r>
              <w:t>evelop a consistent set of principles to</w:t>
            </w:r>
            <w:r w:rsidR="000C0DA8">
              <w:t xml:space="preserve"> guide</w:t>
            </w:r>
            <w:r>
              <w:t xml:space="preserve"> microbial genomics data analyses and reporting across jurisdictions</w:t>
            </w:r>
            <w:r w:rsidR="000C0DA8">
              <w:t>. This is intended</w:t>
            </w:r>
            <w:r>
              <w:t xml:space="preserve"> to </w:t>
            </w:r>
            <w:r w:rsidR="000C0DA8">
              <w:t>enable</w:t>
            </w:r>
            <w:r>
              <w:t xml:space="preserve"> </w:t>
            </w:r>
            <w:r w:rsidR="00DD552F">
              <w:t>harmonised and centralised</w:t>
            </w:r>
            <w:r>
              <w:t xml:space="preserve"> national analysis</w:t>
            </w:r>
            <w:r w:rsidR="00D50232">
              <w:rPr>
                <w:rStyle w:val="FootnoteReference"/>
              </w:rPr>
              <w:footnoteReference w:id="8"/>
            </w:r>
            <w:r w:rsidR="000C0DA8">
              <w:t xml:space="preserve"> </w:t>
            </w:r>
            <w:r w:rsidR="004F1632">
              <w:t>for multi-jurisdictional outbreaks and other national investigations,</w:t>
            </w:r>
            <w:r>
              <w:t xml:space="preserve"> </w:t>
            </w:r>
            <w:r w:rsidRPr="00A66934">
              <w:t xml:space="preserve">which </w:t>
            </w:r>
            <w:r>
              <w:t>encourages interoperability noting the challenges and approaches in analysis can depend on the organism.</w:t>
            </w:r>
          </w:p>
        </w:tc>
        <w:tc>
          <w:tcPr>
            <w:tcW w:w="1260" w:type="dxa"/>
          </w:tcPr>
          <w:p w14:paraId="5289AE30" w14:textId="77777777" w:rsidR="0075387F" w:rsidRPr="00F248DC" w:rsidRDefault="0075387F" w:rsidP="004078DB">
            <w:pPr>
              <w:spacing w:line="240" w:lineRule="auto"/>
              <w:jc w:val="center"/>
            </w:pPr>
            <w:r w:rsidRPr="00F248DC">
              <w:t>Ongoing</w:t>
            </w:r>
          </w:p>
        </w:tc>
        <w:tc>
          <w:tcPr>
            <w:tcW w:w="1156" w:type="dxa"/>
          </w:tcPr>
          <w:p w14:paraId="06EC542A" w14:textId="28979867" w:rsidR="0075387F" w:rsidRPr="00F248DC" w:rsidRDefault="1D44A7A0" w:rsidP="004078DB">
            <w:pPr>
              <w:spacing w:line="240" w:lineRule="auto"/>
              <w:jc w:val="center"/>
            </w:pPr>
            <w:r>
              <w:t>PHLN</w:t>
            </w:r>
          </w:p>
        </w:tc>
        <w:tc>
          <w:tcPr>
            <w:tcW w:w="1020" w:type="dxa"/>
          </w:tcPr>
          <w:p w14:paraId="336571E0" w14:textId="77777777" w:rsidR="0075387F" w:rsidRPr="00F248DC" w:rsidRDefault="0075387F" w:rsidP="004078DB">
            <w:pPr>
              <w:spacing w:line="240" w:lineRule="auto"/>
              <w:jc w:val="center"/>
            </w:pPr>
            <w:r w:rsidRPr="00F248DC">
              <w:t>High</w:t>
            </w:r>
          </w:p>
        </w:tc>
      </w:tr>
      <w:tr w:rsidR="0075387F" w:rsidRPr="00EA7F8C" w14:paraId="27AB13E5" w14:textId="77777777" w:rsidTr="7CC1F5DA">
        <w:trPr>
          <w:cnfStyle w:val="000000100000" w:firstRow="0" w:lastRow="0" w:firstColumn="0" w:lastColumn="0" w:oddVBand="0" w:evenVBand="0" w:oddHBand="1" w:evenHBand="0" w:firstRowFirstColumn="0" w:firstRowLastColumn="0" w:lastRowFirstColumn="0" w:lastRowLastColumn="0"/>
          <w:trHeight w:val="300"/>
        </w:trPr>
        <w:tc>
          <w:tcPr>
            <w:tcW w:w="6804" w:type="dxa"/>
          </w:tcPr>
          <w:p w14:paraId="6C6DED15" w14:textId="36E8DAA2" w:rsidR="0075387F" w:rsidRPr="00F248DC" w:rsidRDefault="5A77E5C5">
            <w:pPr>
              <w:spacing w:line="240" w:lineRule="auto"/>
            </w:pPr>
            <w:r w:rsidRPr="1891A9DC">
              <w:rPr>
                <w:b/>
                <w:bCs/>
              </w:rPr>
              <w:lastRenderedPageBreak/>
              <w:t>1.1.5</w:t>
            </w:r>
            <w:r>
              <w:t xml:space="preserve"> Continue to progress the development of </w:t>
            </w:r>
            <w:r w:rsidR="5206028F">
              <w:t>a</w:t>
            </w:r>
            <w:r w:rsidR="00813327" w:rsidDel="006A0856">
              <w:t xml:space="preserve"> </w:t>
            </w:r>
            <w:r w:rsidR="00813327">
              <w:t xml:space="preserve">national genomics surveillance </w:t>
            </w:r>
            <w:r>
              <w:t>platform for priority organisms of national public health concern.</w:t>
            </w:r>
          </w:p>
        </w:tc>
        <w:tc>
          <w:tcPr>
            <w:tcW w:w="1260" w:type="dxa"/>
          </w:tcPr>
          <w:p w14:paraId="502D2BA6" w14:textId="77777777" w:rsidR="0075387F" w:rsidRPr="00F248DC" w:rsidRDefault="0075387F" w:rsidP="004078DB">
            <w:pPr>
              <w:spacing w:line="240" w:lineRule="auto"/>
              <w:jc w:val="center"/>
            </w:pPr>
            <w:r w:rsidRPr="00F248DC">
              <w:t>Ongoing</w:t>
            </w:r>
          </w:p>
        </w:tc>
        <w:tc>
          <w:tcPr>
            <w:tcW w:w="1156" w:type="dxa"/>
          </w:tcPr>
          <w:p w14:paraId="6FF0643B" w14:textId="77777777" w:rsidR="0075387F" w:rsidRPr="00F248DC" w:rsidRDefault="0075387F" w:rsidP="004078DB">
            <w:pPr>
              <w:spacing w:line="240" w:lineRule="auto"/>
              <w:jc w:val="center"/>
            </w:pPr>
            <w:r>
              <w:t>Australian CDC</w:t>
            </w:r>
          </w:p>
        </w:tc>
        <w:tc>
          <w:tcPr>
            <w:tcW w:w="1020" w:type="dxa"/>
          </w:tcPr>
          <w:p w14:paraId="74421EF8" w14:textId="77777777" w:rsidR="0075387F" w:rsidRPr="00F248DC" w:rsidRDefault="0075387F" w:rsidP="004078DB">
            <w:pPr>
              <w:spacing w:line="240" w:lineRule="auto"/>
              <w:jc w:val="center"/>
            </w:pPr>
            <w:r w:rsidRPr="00F248DC">
              <w:t>High</w:t>
            </w:r>
          </w:p>
        </w:tc>
      </w:tr>
    </w:tbl>
    <w:p w14:paraId="274C9DAA" w14:textId="2C271AFE" w:rsidR="004D08B1" w:rsidRPr="001D2730" w:rsidRDefault="000A3E58" w:rsidP="001D2730">
      <w:pPr>
        <w:pStyle w:val="Heading3"/>
      </w:pPr>
      <w:bookmarkStart w:id="94" w:name="_Toc135494170"/>
      <w:bookmarkStart w:id="95" w:name="_Toc295563983"/>
      <w:bookmarkStart w:id="96" w:name="_Toc1412443736"/>
      <w:bookmarkEnd w:id="93"/>
      <w:r>
        <w:br w:type="page"/>
      </w:r>
      <w:bookmarkStart w:id="97" w:name="_Toc191899414"/>
      <w:r w:rsidR="004D08B1">
        <w:lastRenderedPageBreak/>
        <w:t>Outcome 1.2</w:t>
      </w:r>
      <w:r w:rsidR="00B55164">
        <w:t xml:space="preserve"> </w:t>
      </w:r>
      <w:r w:rsidR="004D08B1">
        <w:t>—</w:t>
      </w:r>
      <w:r w:rsidR="00B55164">
        <w:t xml:space="preserve"> </w:t>
      </w:r>
      <w:r w:rsidR="00511D79">
        <w:t>H</w:t>
      </w:r>
      <w:r w:rsidR="00201816">
        <w:t xml:space="preserve">armonised </w:t>
      </w:r>
      <w:r w:rsidR="00F434F0">
        <w:t xml:space="preserve">and ethical </w:t>
      </w:r>
      <w:r w:rsidR="00A72446">
        <w:t>methods</w:t>
      </w:r>
      <w:bookmarkEnd w:id="94"/>
      <w:bookmarkEnd w:id="95"/>
      <w:bookmarkEnd w:id="96"/>
      <w:bookmarkEnd w:id="97"/>
    </w:p>
    <w:p w14:paraId="49ED04FB" w14:textId="5E7CA2E6" w:rsidR="006A593A" w:rsidRPr="00CB60D7" w:rsidRDefault="008C7E0F" w:rsidP="006C7957">
      <w:pPr>
        <w:pStyle w:val="ListParagraph"/>
        <w:numPr>
          <w:ilvl w:val="0"/>
          <w:numId w:val="23"/>
        </w:numPr>
        <w:spacing w:line="240" w:lineRule="auto"/>
      </w:pPr>
      <w:r>
        <w:t xml:space="preserve">Promote the </w:t>
      </w:r>
      <w:r w:rsidR="00F7123A">
        <w:t>utility</w:t>
      </w:r>
      <w:r>
        <w:t xml:space="preserve"> of microbial genomics across sectors</w:t>
      </w:r>
      <w:r w:rsidR="006A593A" w:rsidRPr="00CB60D7">
        <w:t>.</w:t>
      </w:r>
    </w:p>
    <w:p w14:paraId="24E4F511" w14:textId="6E823668" w:rsidR="006A593A" w:rsidRPr="00CB60D7" w:rsidRDefault="00B002DF" w:rsidP="006C7957">
      <w:pPr>
        <w:pStyle w:val="ListParagraph"/>
        <w:numPr>
          <w:ilvl w:val="0"/>
          <w:numId w:val="23"/>
        </w:numPr>
        <w:spacing w:line="240" w:lineRule="auto"/>
      </w:pPr>
      <w:r>
        <w:t>Work with stakeholders to ascertain</w:t>
      </w:r>
      <w:r w:rsidR="009D53BD">
        <w:t xml:space="preserve"> </w:t>
      </w:r>
      <w:r w:rsidR="009D53BD" w:rsidRPr="00CB60D7">
        <w:t>ethical and/or legal issues associated with microbial genomics</w:t>
      </w:r>
      <w:r w:rsidR="006A593A" w:rsidRPr="00CB60D7">
        <w:t>.</w:t>
      </w:r>
    </w:p>
    <w:tbl>
      <w:tblPr>
        <w:tblStyle w:val="TableGrid"/>
        <w:tblW w:w="10207" w:type="dxa"/>
        <w:tblInd w:w="-431" w:type="dxa"/>
        <w:tblLook w:val="04A0" w:firstRow="1" w:lastRow="0" w:firstColumn="1" w:lastColumn="0" w:noHBand="0" w:noVBand="1"/>
      </w:tblPr>
      <w:tblGrid>
        <w:gridCol w:w="6054"/>
        <w:gridCol w:w="1465"/>
        <w:gridCol w:w="1358"/>
        <w:gridCol w:w="1330"/>
      </w:tblGrid>
      <w:tr w:rsidR="00067378" w:rsidRPr="00CB60D7" w14:paraId="05B02AA0" w14:textId="77777777" w:rsidTr="7CC1F5DA">
        <w:trPr>
          <w:cnfStyle w:val="100000000000" w:firstRow="1" w:lastRow="0" w:firstColumn="0" w:lastColumn="0" w:oddVBand="0" w:evenVBand="0" w:oddHBand="0" w:evenHBand="0" w:firstRowFirstColumn="0" w:firstRowLastColumn="0" w:lastRowFirstColumn="0" w:lastRowLastColumn="0"/>
          <w:trHeight w:val="283"/>
        </w:trPr>
        <w:tc>
          <w:tcPr>
            <w:tcW w:w="6054" w:type="dxa"/>
          </w:tcPr>
          <w:p w14:paraId="7F69EFEE" w14:textId="77777777" w:rsidR="006A593A" w:rsidRPr="00CB60D7" w:rsidRDefault="006A593A" w:rsidP="00086E5A">
            <w:pPr>
              <w:spacing w:line="240" w:lineRule="auto"/>
              <w:rPr>
                <w:b/>
              </w:rPr>
            </w:pPr>
            <w:bookmarkStart w:id="98" w:name="_Hlk115165846"/>
            <w:r w:rsidRPr="00CB60D7">
              <w:rPr>
                <w:b/>
              </w:rPr>
              <w:t>National Action</w:t>
            </w:r>
          </w:p>
        </w:tc>
        <w:tc>
          <w:tcPr>
            <w:tcW w:w="1465" w:type="dxa"/>
          </w:tcPr>
          <w:p w14:paraId="1E267DF7" w14:textId="77777777" w:rsidR="006A593A" w:rsidRPr="00B75E45" w:rsidRDefault="006A593A" w:rsidP="004078DB">
            <w:pPr>
              <w:spacing w:line="240" w:lineRule="auto"/>
              <w:jc w:val="center"/>
              <w:rPr>
                <w:b/>
              </w:rPr>
            </w:pPr>
            <w:r w:rsidRPr="00B75E45">
              <w:rPr>
                <w:b/>
              </w:rPr>
              <w:t>Timeframe</w:t>
            </w:r>
          </w:p>
        </w:tc>
        <w:tc>
          <w:tcPr>
            <w:tcW w:w="1358" w:type="dxa"/>
          </w:tcPr>
          <w:p w14:paraId="45BB33FD" w14:textId="77777777" w:rsidR="006A593A" w:rsidRPr="00B75E45" w:rsidRDefault="006A593A" w:rsidP="004078DB">
            <w:pPr>
              <w:spacing w:line="240" w:lineRule="auto"/>
              <w:jc w:val="center"/>
              <w:rPr>
                <w:b/>
              </w:rPr>
            </w:pPr>
            <w:r w:rsidRPr="00B75E45">
              <w:rPr>
                <w:b/>
              </w:rPr>
              <w:t>Lead</w:t>
            </w:r>
          </w:p>
        </w:tc>
        <w:tc>
          <w:tcPr>
            <w:tcW w:w="1330" w:type="dxa"/>
          </w:tcPr>
          <w:p w14:paraId="39C640C9" w14:textId="77777777" w:rsidR="006A593A" w:rsidRPr="00B75E45" w:rsidRDefault="006A593A" w:rsidP="004078DB">
            <w:pPr>
              <w:spacing w:line="240" w:lineRule="auto"/>
              <w:jc w:val="center"/>
              <w:rPr>
                <w:b/>
              </w:rPr>
            </w:pPr>
            <w:r w:rsidRPr="00B75E45">
              <w:rPr>
                <w:b/>
              </w:rPr>
              <w:t>Priority</w:t>
            </w:r>
          </w:p>
        </w:tc>
      </w:tr>
      <w:tr w:rsidR="00866B98" w:rsidRPr="00CB60D7" w14:paraId="03C0CC35" w14:textId="77777777" w:rsidTr="7CC1F5DA">
        <w:trPr>
          <w:cnfStyle w:val="000000100000" w:firstRow="0" w:lastRow="0" w:firstColumn="0" w:lastColumn="0" w:oddVBand="0" w:evenVBand="0" w:oddHBand="1" w:evenHBand="0" w:firstRowFirstColumn="0" w:firstRowLastColumn="0" w:lastRowFirstColumn="0" w:lastRowLastColumn="0"/>
          <w:trHeight w:val="300"/>
        </w:trPr>
        <w:tc>
          <w:tcPr>
            <w:tcW w:w="6054" w:type="dxa"/>
          </w:tcPr>
          <w:p w14:paraId="431B3A35" w14:textId="1746CBC1" w:rsidR="00866B98" w:rsidRPr="00CB60D7" w:rsidRDefault="00866B98" w:rsidP="00866B98">
            <w:pPr>
              <w:spacing w:line="240" w:lineRule="auto"/>
              <w:rPr>
                <w:b/>
              </w:rPr>
            </w:pPr>
            <w:r w:rsidRPr="00CB60D7">
              <w:rPr>
                <w:b/>
              </w:rPr>
              <w:t>1.2.</w:t>
            </w:r>
            <w:r>
              <w:rPr>
                <w:b/>
              </w:rPr>
              <w:t>1</w:t>
            </w:r>
            <w:r w:rsidRPr="00CB60D7">
              <w:t xml:space="preserve"> Involve health sector partners outside of core public health systems to promote awareness and understanding of microbial genomics and priority sample referral pathways, such as private pathology, remote area clinics, hospitals, and the general public</w:t>
            </w:r>
            <w:r>
              <w:t>, with support of PHUs</w:t>
            </w:r>
            <w:r w:rsidRPr="00CB60D7">
              <w:t>.</w:t>
            </w:r>
          </w:p>
        </w:tc>
        <w:tc>
          <w:tcPr>
            <w:tcW w:w="1465" w:type="dxa"/>
          </w:tcPr>
          <w:p w14:paraId="0694CB0A" w14:textId="36584ADC" w:rsidR="00866B98" w:rsidRPr="00CB60D7" w:rsidRDefault="00866B98" w:rsidP="00866B98">
            <w:pPr>
              <w:spacing w:line="240" w:lineRule="auto"/>
              <w:jc w:val="center"/>
            </w:pPr>
            <w:r w:rsidRPr="00CB60D7">
              <w:t>Medium</w:t>
            </w:r>
          </w:p>
        </w:tc>
        <w:tc>
          <w:tcPr>
            <w:tcW w:w="1358" w:type="dxa"/>
          </w:tcPr>
          <w:p w14:paraId="153DF290" w14:textId="743CA73F" w:rsidR="00866B98" w:rsidRPr="00CB60D7" w:rsidRDefault="00866B98" w:rsidP="00866B98">
            <w:pPr>
              <w:spacing w:line="240" w:lineRule="auto"/>
              <w:jc w:val="center"/>
            </w:pPr>
            <w:r>
              <w:t>CDGN</w:t>
            </w:r>
          </w:p>
        </w:tc>
        <w:tc>
          <w:tcPr>
            <w:tcW w:w="1330" w:type="dxa"/>
          </w:tcPr>
          <w:p w14:paraId="048F2D12" w14:textId="55E9071C" w:rsidR="00866B98" w:rsidRPr="00CB60D7" w:rsidRDefault="00866B98" w:rsidP="00866B98">
            <w:pPr>
              <w:spacing w:line="240" w:lineRule="auto"/>
              <w:jc w:val="center"/>
            </w:pPr>
            <w:r w:rsidRPr="00CB60D7">
              <w:t>Medium</w:t>
            </w:r>
          </w:p>
        </w:tc>
      </w:tr>
      <w:tr w:rsidR="00866B98" w:rsidRPr="00CB60D7" w14:paraId="22444C58" w14:textId="77777777" w:rsidTr="7CC1F5DA">
        <w:trPr>
          <w:trHeight w:val="300"/>
        </w:trPr>
        <w:tc>
          <w:tcPr>
            <w:tcW w:w="6054" w:type="dxa"/>
          </w:tcPr>
          <w:p w14:paraId="05619933" w14:textId="77777777" w:rsidR="00866B98" w:rsidRPr="00CB60D7" w:rsidRDefault="00866B98" w:rsidP="00866B98">
            <w:pPr>
              <w:spacing w:line="240" w:lineRule="auto"/>
            </w:pPr>
            <w:r w:rsidRPr="00CB60D7">
              <w:rPr>
                <w:b/>
              </w:rPr>
              <w:t>1.2.2</w:t>
            </w:r>
            <w:r w:rsidRPr="00CB60D7">
              <w:t xml:space="preserve"> Encourage engagement between governments, laboratories, PHUs and the research sector to discuss, discover, and address any ethical and/or legal issues associated with microbial genomics (especially metagenomics), as they are identified. </w:t>
            </w:r>
          </w:p>
        </w:tc>
        <w:tc>
          <w:tcPr>
            <w:tcW w:w="1465" w:type="dxa"/>
          </w:tcPr>
          <w:p w14:paraId="0C3EF5C6" w14:textId="77777777" w:rsidR="00866B98" w:rsidRPr="00CB60D7" w:rsidRDefault="00866B98" w:rsidP="00866B98">
            <w:pPr>
              <w:spacing w:line="240" w:lineRule="auto"/>
              <w:jc w:val="center"/>
            </w:pPr>
            <w:r w:rsidRPr="00CB60D7">
              <w:t>Medium</w:t>
            </w:r>
          </w:p>
        </w:tc>
        <w:tc>
          <w:tcPr>
            <w:tcW w:w="1358" w:type="dxa"/>
          </w:tcPr>
          <w:p w14:paraId="666761E7" w14:textId="77777777" w:rsidR="00866B98" w:rsidRPr="00CB60D7" w:rsidRDefault="00866B98" w:rsidP="00866B98">
            <w:pPr>
              <w:spacing w:line="240" w:lineRule="auto"/>
              <w:jc w:val="center"/>
            </w:pPr>
            <w:r w:rsidRPr="00CB60D7">
              <w:t>CDGN</w:t>
            </w:r>
          </w:p>
        </w:tc>
        <w:tc>
          <w:tcPr>
            <w:tcW w:w="1330" w:type="dxa"/>
          </w:tcPr>
          <w:p w14:paraId="2723C4DE" w14:textId="77777777" w:rsidR="00866B98" w:rsidRPr="00CB60D7" w:rsidRDefault="00866B98" w:rsidP="00866B98">
            <w:pPr>
              <w:spacing w:line="240" w:lineRule="auto"/>
              <w:jc w:val="center"/>
            </w:pPr>
            <w:r w:rsidRPr="00CB60D7">
              <w:t>Medium</w:t>
            </w:r>
          </w:p>
        </w:tc>
      </w:tr>
      <w:tr w:rsidR="004336D8" w:rsidRPr="00CB60D7" w14:paraId="4F8392FA" w14:textId="77777777" w:rsidTr="7CC1F5DA">
        <w:trPr>
          <w:cnfStyle w:val="000000100000" w:firstRow="0" w:lastRow="0" w:firstColumn="0" w:lastColumn="0" w:oddVBand="0" w:evenVBand="0" w:oddHBand="1" w:evenHBand="0" w:firstRowFirstColumn="0" w:firstRowLastColumn="0" w:lastRowFirstColumn="0" w:lastRowLastColumn="0"/>
          <w:trHeight w:val="300"/>
        </w:trPr>
        <w:tc>
          <w:tcPr>
            <w:tcW w:w="6054" w:type="dxa"/>
          </w:tcPr>
          <w:p w14:paraId="6E4BC7EB" w14:textId="303A6019" w:rsidR="004336D8" w:rsidRPr="00CB60D7" w:rsidRDefault="004336D8" w:rsidP="004336D8">
            <w:pPr>
              <w:spacing w:line="240" w:lineRule="auto"/>
              <w:rPr>
                <w:b/>
              </w:rPr>
            </w:pPr>
            <w:r>
              <w:rPr>
                <w:b/>
              </w:rPr>
              <w:t>1</w:t>
            </w:r>
            <w:r w:rsidRPr="009A5ECD">
              <w:rPr>
                <w:b/>
              </w:rPr>
              <w:t>.</w:t>
            </w:r>
            <w:r>
              <w:rPr>
                <w:b/>
              </w:rPr>
              <w:t>2</w:t>
            </w:r>
            <w:r w:rsidRPr="009A5ECD">
              <w:rPr>
                <w:b/>
              </w:rPr>
              <w:t>.</w:t>
            </w:r>
            <w:r>
              <w:rPr>
                <w:b/>
              </w:rPr>
              <w:t>3</w:t>
            </w:r>
            <w:r w:rsidRPr="009A5ECD">
              <w:t xml:space="preserve"> Maintain, develop, and promote processes to identify and monitor best practice in microbial genomics for public health action. </w:t>
            </w:r>
          </w:p>
        </w:tc>
        <w:tc>
          <w:tcPr>
            <w:tcW w:w="1465" w:type="dxa"/>
          </w:tcPr>
          <w:p w14:paraId="6C41838C" w14:textId="2225E9E6" w:rsidR="004336D8" w:rsidRPr="00CB60D7" w:rsidRDefault="004336D8" w:rsidP="004336D8">
            <w:pPr>
              <w:spacing w:line="240" w:lineRule="auto"/>
              <w:jc w:val="center"/>
            </w:pPr>
            <w:r w:rsidRPr="009A5ECD">
              <w:t>Medium</w:t>
            </w:r>
          </w:p>
        </w:tc>
        <w:tc>
          <w:tcPr>
            <w:tcW w:w="1358" w:type="dxa"/>
          </w:tcPr>
          <w:p w14:paraId="28607165" w14:textId="238AD67A" w:rsidR="004336D8" w:rsidRPr="00CB60D7" w:rsidRDefault="004336D8" w:rsidP="004336D8">
            <w:pPr>
              <w:spacing w:line="240" w:lineRule="auto"/>
              <w:jc w:val="center"/>
            </w:pPr>
            <w:r w:rsidRPr="009A5ECD">
              <w:t>CDGN</w:t>
            </w:r>
          </w:p>
        </w:tc>
        <w:tc>
          <w:tcPr>
            <w:tcW w:w="1330" w:type="dxa"/>
          </w:tcPr>
          <w:p w14:paraId="16EAF9F3" w14:textId="23075DC1" w:rsidR="004336D8" w:rsidRPr="00CB60D7" w:rsidRDefault="004336D8" w:rsidP="004336D8">
            <w:pPr>
              <w:spacing w:line="240" w:lineRule="auto"/>
              <w:jc w:val="center"/>
            </w:pPr>
            <w:r w:rsidRPr="009A5ECD">
              <w:t>Medium</w:t>
            </w:r>
          </w:p>
        </w:tc>
      </w:tr>
      <w:tr w:rsidR="00866B98" w:rsidRPr="00CB60D7" w14:paraId="6064B066" w14:textId="77777777" w:rsidTr="7CC1F5DA">
        <w:trPr>
          <w:trHeight w:val="300"/>
        </w:trPr>
        <w:tc>
          <w:tcPr>
            <w:tcW w:w="6054" w:type="dxa"/>
          </w:tcPr>
          <w:p w14:paraId="3131A1B0" w14:textId="5FDBFE2D" w:rsidR="00866B98" w:rsidRPr="00CB60D7" w:rsidRDefault="00866B98" w:rsidP="00866B98">
            <w:pPr>
              <w:spacing w:line="240" w:lineRule="auto"/>
            </w:pPr>
            <w:r w:rsidRPr="00CB60D7">
              <w:rPr>
                <w:b/>
              </w:rPr>
              <w:t>1.2.</w:t>
            </w:r>
            <w:r w:rsidR="004336D8">
              <w:rPr>
                <w:b/>
              </w:rPr>
              <w:t>4</w:t>
            </w:r>
            <w:r w:rsidRPr="00CB60D7">
              <w:t xml:space="preserve"> Continue to develop and promote laboratory guidelines and decision support tools to clearly describe appropriate use of genomics.</w:t>
            </w:r>
          </w:p>
        </w:tc>
        <w:tc>
          <w:tcPr>
            <w:tcW w:w="1465" w:type="dxa"/>
          </w:tcPr>
          <w:p w14:paraId="5814AEFC" w14:textId="51C2EE24" w:rsidR="00866B98" w:rsidRPr="00CB60D7" w:rsidRDefault="00866B98" w:rsidP="00866B98">
            <w:pPr>
              <w:spacing w:line="240" w:lineRule="auto"/>
              <w:jc w:val="center"/>
            </w:pPr>
            <w:r w:rsidRPr="00CB60D7">
              <w:t>Ongoing</w:t>
            </w:r>
          </w:p>
        </w:tc>
        <w:tc>
          <w:tcPr>
            <w:tcW w:w="1358" w:type="dxa"/>
          </w:tcPr>
          <w:p w14:paraId="2C89CF6B" w14:textId="3E36A9AE" w:rsidR="00866B98" w:rsidRPr="00CB60D7" w:rsidRDefault="00866B98" w:rsidP="00866B98">
            <w:pPr>
              <w:spacing w:line="240" w:lineRule="auto"/>
              <w:jc w:val="center"/>
            </w:pPr>
            <w:r w:rsidRPr="00CB60D7">
              <w:t>PHLN</w:t>
            </w:r>
          </w:p>
        </w:tc>
        <w:tc>
          <w:tcPr>
            <w:tcW w:w="1330" w:type="dxa"/>
          </w:tcPr>
          <w:p w14:paraId="3DE6F57E" w14:textId="52184071" w:rsidR="00866B98" w:rsidRPr="00CB60D7" w:rsidRDefault="00866B98" w:rsidP="00866B98">
            <w:pPr>
              <w:spacing w:line="240" w:lineRule="auto"/>
              <w:jc w:val="center"/>
            </w:pPr>
            <w:r w:rsidRPr="00CB60D7">
              <w:t>Medium</w:t>
            </w:r>
          </w:p>
        </w:tc>
      </w:tr>
    </w:tbl>
    <w:p w14:paraId="11D019CA" w14:textId="77777777" w:rsidR="006A593A" w:rsidRPr="00CB60D7" w:rsidRDefault="006A593A" w:rsidP="006A593A">
      <w:pPr>
        <w:spacing w:before="0" w:after="0" w:line="240" w:lineRule="auto"/>
        <w:rPr>
          <w:rFonts w:asciiTheme="majorHAnsi" w:hAnsiTheme="majorHAnsi" w:cs="Arial"/>
          <w:b/>
        </w:rPr>
      </w:pPr>
      <w:bookmarkStart w:id="99" w:name="_Toc155364506"/>
      <w:bookmarkEnd w:id="98"/>
      <w:r w:rsidRPr="009814D7">
        <w:rPr>
          <w:color w:val="00B0F0"/>
        </w:rPr>
        <w:br w:type="page"/>
      </w:r>
    </w:p>
    <w:p w14:paraId="0F74B239" w14:textId="33D5353E" w:rsidR="005A4CC7" w:rsidRPr="009814D7" w:rsidRDefault="002C2D82" w:rsidP="005A4CC7">
      <w:pPr>
        <w:pStyle w:val="Heading3"/>
      </w:pPr>
      <w:bookmarkStart w:id="100" w:name="_Toc135494171"/>
      <w:bookmarkStart w:id="101" w:name="_Toc1673240701"/>
      <w:bookmarkStart w:id="102" w:name="_Toc1910548871"/>
      <w:bookmarkStart w:id="103" w:name="_Toc191899415"/>
      <w:r>
        <w:lastRenderedPageBreak/>
        <w:t>Outcome 1.3</w:t>
      </w:r>
      <w:r w:rsidR="00B55164">
        <w:t xml:space="preserve"> </w:t>
      </w:r>
      <w:r>
        <w:t>—</w:t>
      </w:r>
      <w:r w:rsidR="00B55164">
        <w:t xml:space="preserve"> </w:t>
      </w:r>
      <w:r>
        <w:t>Establis</w:t>
      </w:r>
      <w:r w:rsidR="00B113D8">
        <w:t>hed</w:t>
      </w:r>
      <w:r>
        <w:t xml:space="preserve"> quality services</w:t>
      </w:r>
      <w:bookmarkEnd w:id="100"/>
      <w:bookmarkEnd w:id="101"/>
      <w:bookmarkEnd w:id="102"/>
      <w:bookmarkEnd w:id="103"/>
    </w:p>
    <w:p w14:paraId="15B649C8" w14:textId="77777777" w:rsidR="00B07C16" w:rsidRPr="00CB60D7" w:rsidRDefault="00B07C16" w:rsidP="006C7957">
      <w:pPr>
        <w:pStyle w:val="ListParagraph"/>
        <w:numPr>
          <w:ilvl w:val="0"/>
          <w:numId w:val="24"/>
        </w:numPr>
        <w:spacing w:line="240" w:lineRule="auto"/>
      </w:pPr>
      <w:r w:rsidRPr="00CB60D7">
        <w:t>Continue to develop quality assurance and proficiency testing programs (PTPs) specific to microbial genomics.</w:t>
      </w:r>
    </w:p>
    <w:p w14:paraId="0D39364E" w14:textId="77777777" w:rsidR="00B07C16" w:rsidRPr="00CB60D7" w:rsidRDefault="00B07C16" w:rsidP="006C7957">
      <w:pPr>
        <w:pStyle w:val="ListParagraph"/>
        <w:numPr>
          <w:ilvl w:val="0"/>
          <w:numId w:val="24"/>
        </w:numPr>
        <w:spacing w:line="240" w:lineRule="auto"/>
      </w:pPr>
      <w:r w:rsidRPr="00CB60D7">
        <w:t>Strengthen technical competence and integrity within organisations offering microbial genomics services for public health purposes.</w:t>
      </w:r>
    </w:p>
    <w:p w14:paraId="66E50E19" w14:textId="31D5B1B5" w:rsidR="00B07C16" w:rsidRPr="00CB60D7" w:rsidRDefault="00B07C16" w:rsidP="006C7957">
      <w:pPr>
        <w:pStyle w:val="ListParagraph"/>
        <w:numPr>
          <w:ilvl w:val="0"/>
          <w:numId w:val="24"/>
        </w:numPr>
        <w:spacing w:line="240" w:lineRule="auto"/>
      </w:pPr>
      <w:r w:rsidRPr="00CB60D7">
        <w:t>Promote sharing of sequence data nationally and to international repositories and/or directly with international laboratories upon request to inform detection and investigation of multi-jurisdictional and multi-country outbreaks.</w:t>
      </w:r>
    </w:p>
    <w:tbl>
      <w:tblPr>
        <w:tblStyle w:val="TableGrid"/>
        <w:tblW w:w="10259" w:type="dxa"/>
        <w:tblInd w:w="-431" w:type="dxa"/>
        <w:tblLook w:val="04A0" w:firstRow="1" w:lastRow="0" w:firstColumn="1" w:lastColumn="0" w:noHBand="0" w:noVBand="1"/>
      </w:tblPr>
      <w:tblGrid>
        <w:gridCol w:w="6661"/>
        <w:gridCol w:w="1273"/>
        <w:gridCol w:w="1350"/>
        <w:gridCol w:w="975"/>
      </w:tblGrid>
      <w:tr w:rsidR="00067378" w:rsidRPr="00CB60D7" w14:paraId="57509F17" w14:textId="77777777" w:rsidTr="7CC1F5DA">
        <w:trPr>
          <w:cnfStyle w:val="100000000000" w:firstRow="1" w:lastRow="0" w:firstColumn="0" w:lastColumn="0" w:oddVBand="0" w:evenVBand="0" w:oddHBand="0" w:evenHBand="0" w:firstRowFirstColumn="0" w:firstRowLastColumn="0" w:lastRowFirstColumn="0" w:lastRowLastColumn="0"/>
          <w:trHeight w:val="283"/>
        </w:trPr>
        <w:tc>
          <w:tcPr>
            <w:tcW w:w="6661" w:type="dxa"/>
          </w:tcPr>
          <w:p w14:paraId="41455F41" w14:textId="77777777" w:rsidR="00B07C16" w:rsidRPr="00CB60D7" w:rsidRDefault="00B07C16" w:rsidP="00B07C16">
            <w:pPr>
              <w:spacing w:line="240" w:lineRule="auto"/>
              <w:rPr>
                <w:b/>
              </w:rPr>
            </w:pPr>
            <w:r w:rsidRPr="00CB60D7">
              <w:rPr>
                <w:b/>
              </w:rPr>
              <w:t>National Action</w:t>
            </w:r>
          </w:p>
        </w:tc>
        <w:tc>
          <w:tcPr>
            <w:tcW w:w="1273" w:type="dxa"/>
          </w:tcPr>
          <w:p w14:paraId="1D6425FE" w14:textId="77777777" w:rsidR="00B07C16" w:rsidRPr="00CB60D7" w:rsidRDefault="00B07C16" w:rsidP="00F86EDD">
            <w:pPr>
              <w:spacing w:line="240" w:lineRule="auto"/>
              <w:jc w:val="center"/>
              <w:rPr>
                <w:b/>
              </w:rPr>
            </w:pPr>
            <w:r w:rsidRPr="00CB60D7">
              <w:rPr>
                <w:b/>
              </w:rPr>
              <w:t>Timeframe</w:t>
            </w:r>
          </w:p>
        </w:tc>
        <w:tc>
          <w:tcPr>
            <w:tcW w:w="1350" w:type="dxa"/>
          </w:tcPr>
          <w:p w14:paraId="261251E6" w14:textId="77777777" w:rsidR="00B07C16" w:rsidRPr="00CB60D7" w:rsidRDefault="00B07C16" w:rsidP="00F86EDD">
            <w:pPr>
              <w:spacing w:line="240" w:lineRule="auto"/>
              <w:jc w:val="center"/>
              <w:rPr>
                <w:b/>
              </w:rPr>
            </w:pPr>
            <w:r w:rsidRPr="00CB60D7">
              <w:rPr>
                <w:b/>
              </w:rPr>
              <w:t>Lead</w:t>
            </w:r>
          </w:p>
        </w:tc>
        <w:tc>
          <w:tcPr>
            <w:tcW w:w="975" w:type="dxa"/>
          </w:tcPr>
          <w:p w14:paraId="27DCA91E" w14:textId="77777777" w:rsidR="00B07C16" w:rsidRPr="00CB60D7" w:rsidRDefault="00B07C16" w:rsidP="00F86EDD">
            <w:pPr>
              <w:spacing w:line="240" w:lineRule="auto"/>
              <w:jc w:val="center"/>
              <w:rPr>
                <w:b/>
              </w:rPr>
            </w:pPr>
            <w:r w:rsidRPr="00CB60D7">
              <w:rPr>
                <w:b/>
              </w:rPr>
              <w:t>Priority</w:t>
            </w:r>
          </w:p>
        </w:tc>
      </w:tr>
      <w:tr w:rsidR="00B07C16" w:rsidRPr="00CB60D7" w14:paraId="2591CB5D" w14:textId="77777777" w:rsidTr="7CC1F5DA">
        <w:trPr>
          <w:cnfStyle w:val="000000100000" w:firstRow="0" w:lastRow="0" w:firstColumn="0" w:lastColumn="0" w:oddVBand="0" w:evenVBand="0" w:oddHBand="1" w:evenHBand="0" w:firstRowFirstColumn="0" w:firstRowLastColumn="0" w:lastRowFirstColumn="0" w:lastRowLastColumn="0"/>
          <w:trHeight w:val="300"/>
        </w:trPr>
        <w:tc>
          <w:tcPr>
            <w:tcW w:w="6661" w:type="dxa"/>
          </w:tcPr>
          <w:p w14:paraId="18D7755D" w14:textId="4693BA2F" w:rsidR="00B07C16" w:rsidRPr="00CB60D7" w:rsidRDefault="00B07C16">
            <w:pPr>
              <w:spacing w:line="240" w:lineRule="auto"/>
            </w:pPr>
            <w:r w:rsidRPr="4F50332C">
              <w:rPr>
                <w:b/>
                <w:bCs/>
              </w:rPr>
              <w:t>1.3.1</w:t>
            </w:r>
            <w:r>
              <w:t xml:space="preserve"> Continue to develop nationally consistent and best-practice protocols</w:t>
            </w:r>
            <w:r w:rsidR="00044358">
              <w:t xml:space="preserve">, with support of </w:t>
            </w:r>
            <w:r w:rsidR="00630958">
              <w:t xml:space="preserve">CDNA and </w:t>
            </w:r>
            <w:r w:rsidR="00044358">
              <w:t>CDGN</w:t>
            </w:r>
            <w:r>
              <w:t>. This includes providing input into the development of accreditation approaches for public health and One Health sequencing laboratories.</w:t>
            </w:r>
          </w:p>
        </w:tc>
        <w:tc>
          <w:tcPr>
            <w:tcW w:w="1273" w:type="dxa"/>
          </w:tcPr>
          <w:p w14:paraId="1CBE2B15" w14:textId="77777777" w:rsidR="00B07C16" w:rsidRPr="00CB60D7" w:rsidRDefault="00B07C16" w:rsidP="00F86EDD">
            <w:pPr>
              <w:spacing w:line="240" w:lineRule="auto"/>
              <w:jc w:val="center"/>
            </w:pPr>
            <w:r w:rsidRPr="00CB60D7">
              <w:t>Medium</w:t>
            </w:r>
          </w:p>
        </w:tc>
        <w:tc>
          <w:tcPr>
            <w:tcW w:w="1350" w:type="dxa"/>
          </w:tcPr>
          <w:p w14:paraId="4687843E" w14:textId="446F1C5C" w:rsidR="00B07C16" w:rsidRPr="00CB60D7" w:rsidRDefault="7AD1A594" w:rsidP="00F86EDD">
            <w:pPr>
              <w:spacing w:line="240" w:lineRule="auto"/>
              <w:jc w:val="center"/>
            </w:pPr>
            <w:r>
              <w:t>PHLN</w:t>
            </w:r>
          </w:p>
        </w:tc>
        <w:tc>
          <w:tcPr>
            <w:tcW w:w="975" w:type="dxa"/>
          </w:tcPr>
          <w:p w14:paraId="57E92087" w14:textId="77777777" w:rsidR="00B07C16" w:rsidRPr="00CB60D7" w:rsidRDefault="00B07C16" w:rsidP="00F86EDD">
            <w:pPr>
              <w:spacing w:line="240" w:lineRule="auto"/>
              <w:jc w:val="center"/>
            </w:pPr>
            <w:r w:rsidRPr="00CB60D7">
              <w:t>High</w:t>
            </w:r>
          </w:p>
        </w:tc>
      </w:tr>
      <w:tr w:rsidR="00B07C16" w:rsidRPr="00CB60D7" w14:paraId="5188D5C7" w14:textId="77777777" w:rsidTr="7CC1F5DA">
        <w:trPr>
          <w:trHeight w:val="300"/>
        </w:trPr>
        <w:tc>
          <w:tcPr>
            <w:tcW w:w="6661" w:type="dxa"/>
          </w:tcPr>
          <w:p w14:paraId="65336CF9" w14:textId="77777777" w:rsidR="00B07C16" w:rsidRPr="008D5E82" w:rsidRDefault="00B07C16">
            <w:pPr>
              <w:spacing w:line="240" w:lineRule="auto"/>
            </w:pPr>
            <w:r w:rsidRPr="008D5E82">
              <w:rPr>
                <w:b/>
              </w:rPr>
              <w:t>1.3.2</w:t>
            </w:r>
            <w:r w:rsidRPr="008D5E82">
              <w:t xml:space="preserve"> Continue to encourage the development and implementation of microbial genomics-related PTPs to enhance laboratory capability.</w:t>
            </w:r>
          </w:p>
        </w:tc>
        <w:tc>
          <w:tcPr>
            <w:tcW w:w="1273" w:type="dxa"/>
          </w:tcPr>
          <w:p w14:paraId="00E88386" w14:textId="77777777" w:rsidR="00B07C16" w:rsidRPr="008D5E82" w:rsidRDefault="00B07C16" w:rsidP="00F86EDD">
            <w:pPr>
              <w:spacing w:line="240" w:lineRule="auto"/>
              <w:jc w:val="center"/>
            </w:pPr>
            <w:r w:rsidRPr="008D5E82">
              <w:t>Ongoing</w:t>
            </w:r>
          </w:p>
        </w:tc>
        <w:tc>
          <w:tcPr>
            <w:tcW w:w="1350" w:type="dxa"/>
          </w:tcPr>
          <w:p w14:paraId="730A50D7" w14:textId="64E59B08" w:rsidR="00B07C16" w:rsidRPr="008D5E82" w:rsidRDefault="525DDAD0" w:rsidP="00F86EDD">
            <w:pPr>
              <w:spacing w:line="240" w:lineRule="auto"/>
              <w:jc w:val="center"/>
            </w:pPr>
            <w:r>
              <w:t>Relevant Laboratories and Relevant Entities</w:t>
            </w:r>
          </w:p>
        </w:tc>
        <w:tc>
          <w:tcPr>
            <w:tcW w:w="975" w:type="dxa"/>
          </w:tcPr>
          <w:p w14:paraId="6DCC4BE7" w14:textId="77777777" w:rsidR="00B07C16" w:rsidRPr="008D5E82" w:rsidRDefault="00B07C16" w:rsidP="00F86EDD">
            <w:pPr>
              <w:spacing w:line="240" w:lineRule="auto"/>
              <w:jc w:val="center"/>
            </w:pPr>
            <w:r w:rsidRPr="008D5E82">
              <w:t>High</w:t>
            </w:r>
          </w:p>
        </w:tc>
      </w:tr>
      <w:tr w:rsidR="00B07C16" w:rsidRPr="00CB60D7" w14:paraId="5500A93E" w14:textId="77777777" w:rsidTr="7CC1F5DA">
        <w:trPr>
          <w:cnfStyle w:val="000000100000" w:firstRow="0" w:lastRow="0" w:firstColumn="0" w:lastColumn="0" w:oddVBand="0" w:evenVBand="0" w:oddHBand="1" w:evenHBand="0" w:firstRowFirstColumn="0" w:firstRowLastColumn="0" w:lastRowFirstColumn="0" w:lastRowLastColumn="0"/>
          <w:trHeight w:val="300"/>
        </w:trPr>
        <w:tc>
          <w:tcPr>
            <w:tcW w:w="6661" w:type="dxa"/>
          </w:tcPr>
          <w:p w14:paraId="097E0CB0" w14:textId="73C0BEF3" w:rsidR="00B07C16" w:rsidRPr="00CB60D7" w:rsidRDefault="00B07C16">
            <w:pPr>
              <w:spacing w:line="240" w:lineRule="auto"/>
            </w:pPr>
            <w:r w:rsidRPr="4F50332C">
              <w:rPr>
                <w:b/>
                <w:bCs/>
              </w:rPr>
              <w:t>1.3.3</w:t>
            </w:r>
            <w:r>
              <w:t xml:space="preserve"> Participate in quality assurance programs to maintain key microbial genomics-related technical skills and share best practices and lessons learn</w:t>
            </w:r>
            <w:r w:rsidR="00F6025B">
              <w:t>ed</w:t>
            </w:r>
            <w:r>
              <w:t xml:space="preserve"> with other laboratories across One Health sectors. </w:t>
            </w:r>
          </w:p>
        </w:tc>
        <w:tc>
          <w:tcPr>
            <w:tcW w:w="1273" w:type="dxa"/>
          </w:tcPr>
          <w:p w14:paraId="43B963CD" w14:textId="77777777" w:rsidR="00B07C16" w:rsidRPr="00CB60D7" w:rsidRDefault="00B07C16" w:rsidP="00F86EDD">
            <w:pPr>
              <w:spacing w:line="240" w:lineRule="auto"/>
              <w:jc w:val="center"/>
            </w:pPr>
            <w:r w:rsidRPr="00CB60D7">
              <w:t>Ongoing</w:t>
            </w:r>
          </w:p>
        </w:tc>
        <w:tc>
          <w:tcPr>
            <w:tcW w:w="1350" w:type="dxa"/>
          </w:tcPr>
          <w:p w14:paraId="3A367B3A" w14:textId="6EC1B5DB" w:rsidR="00B07C16" w:rsidRPr="00CB60D7" w:rsidRDefault="00B07C16" w:rsidP="00F86EDD">
            <w:pPr>
              <w:spacing w:line="240" w:lineRule="auto"/>
              <w:jc w:val="center"/>
            </w:pPr>
            <w:r w:rsidRPr="00CB60D7">
              <w:t>Relevant Laboratories</w:t>
            </w:r>
          </w:p>
        </w:tc>
        <w:tc>
          <w:tcPr>
            <w:tcW w:w="975" w:type="dxa"/>
          </w:tcPr>
          <w:p w14:paraId="57222C0C" w14:textId="77777777" w:rsidR="00B07C16" w:rsidRPr="00CB60D7" w:rsidRDefault="00B07C16" w:rsidP="00F86EDD">
            <w:pPr>
              <w:spacing w:line="240" w:lineRule="auto"/>
              <w:jc w:val="center"/>
            </w:pPr>
            <w:r w:rsidRPr="00CB60D7">
              <w:t>High</w:t>
            </w:r>
          </w:p>
        </w:tc>
      </w:tr>
      <w:tr w:rsidR="00B07C16" w:rsidRPr="00CB60D7" w14:paraId="4D46236D" w14:textId="77777777" w:rsidTr="7CC1F5DA">
        <w:trPr>
          <w:trHeight w:val="300"/>
        </w:trPr>
        <w:tc>
          <w:tcPr>
            <w:tcW w:w="6661" w:type="dxa"/>
          </w:tcPr>
          <w:p w14:paraId="1569840C" w14:textId="77777777" w:rsidR="00B07C16" w:rsidRPr="00CB60D7" w:rsidRDefault="00B07C16">
            <w:pPr>
              <w:spacing w:line="240" w:lineRule="auto"/>
            </w:pPr>
            <w:r w:rsidRPr="00CB60D7">
              <w:rPr>
                <w:b/>
              </w:rPr>
              <w:t>1.3.4</w:t>
            </w:r>
            <w:r w:rsidRPr="00CB60D7">
              <w:t xml:space="preserve"> Generate high quality, locally relevant reference genomes for pathogens of public health significance in Australia. This is to be shared among jurisdictional laboratories across One Health sectors, and the wider international community.</w:t>
            </w:r>
          </w:p>
        </w:tc>
        <w:tc>
          <w:tcPr>
            <w:tcW w:w="1273" w:type="dxa"/>
          </w:tcPr>
          <w:p w14:paraId="0BFB6FA5" w14:textId="77777777" w:rsidR="00B07C16" w:rsidRPr="00CB60D7" w:rsidRDefault="00B07C16" w:rsidP="00F86EDD">
            <w:pPr>
              <w:spacing w:line="240" w:lineRule="auto"/>
              <w:jc w:val="center"/>
            </w:pPr>
            <w:r w:rsidRPr="00CB60D7">
              <w:t>Ongoing</w:t>
            </w:r>
          </w:p>
        </w:tc>
        <w:tc>
          <w:tcPr>
            <w:tcW w:w="1350" w:type="dxa"/>
          </w:tcPr>
          <w:p w14:paraId="47F6B1A8" w14:textId="186A7A7D" w:rsidR="00B07C16" w:rsidRPr="00CB60D7" w:rsidRDefault="00B07C16" w:rsidP="00F86EDD">
            <w:pPr>
              <w:spacing w:line="240" w:lineRule="auto"/>
              <w:jc w:val="center"/>
            </w:pPr>
            <w:r w:rsidRPr="00CB60D7">
              <w:t>Relevant Laboratories</w:t>
            </w:r>
          </w:p>
        </w:tc>
        <w:tc>
          <w:tcPr>
            <w:tcW w:w="975" w:type="dxa"/>
          </w:tcPr>
          <w:p w14:paraId="5E0A5405" w14:textId="77777777" w:rsidR="00B07C16" w:rsidRPr="00CB60D7" w:rsidRDefault="00B07C16" w:rsidP="00F86EDD">
            <w:pPr>
              <w:spacing w:line="240" w:lineRule="auto"/>
              <w:jc w:val="center"/>
            </w:pPr>
            <w:r w:rsidRPr="00CB60D7">
              <w:t>High</w:t>
            </w:r>
          </w:p>
        </w:tc>
      </w:tr>
    </w:tbl>
    <w:p w14:paraId="3296CC08" w14:textId="77777777" w:rsidR="00E06179" w:rsidRDefault="00E06179">
      <w:pPr>
        <w:spacing w:before="0" w:after="0" w:line="240" w:lineRule="auto"/>
      </w:pPr>
      <w:r>
        <w:br w:type="page"/>
      </w:r>
    </w:p>
    <w:p w14:paraId="13CD18EE" w14:textId="109119FB" w:rsidR="00647038" w:rsidRPr="00CB60D7" w:rsidRDefault="00647038" w:rsidP="00647038">
      <w:pPr>
        <w:pStyle w:val="Heading3"/>
      </w:pPr>
      <w:bookmarkStart w:id="104" w:name="_Toc1097161836"/>
      <w:bookmarkStart w:id="105" w:name="_Toc1553511081"/>
      <w:bookmarkStart w:id="106" w:name="_Toc191899416"/>
      <w:r>
        <w:lastRenderedPageBreak/>
        <w:t>Outcome 1.4</w:t>
      </w:r>
      <w:r w:rsidR="00B55164">
        <w:t xml:space="preserve"> </w:t>
      </w:r>
      <w:r>
        <w:t>—</w:t>
      </w:r>
      <w:r w:rsidR="00B55164">
        <w:t xml:space="preserve"> </w:t>
      </w:r>
      <w:r w:rsidR="00794609">
        <w:t xml:space="preserve">Harmonised </w:t>
      </w:r>
      <w:r>
        <w:t xml:space="preserve">approaches </w:t>
      </w:r>
      <w:bookmarkStart w:id="107" w:name="_Toc662667642"/>
      <w:bookmarkEnd w:id="104"/>
      <w:r>
        <w:t>across the One Health sector</w:t>
      </w:r>
      <w:bookmarkEnd w:id="105"/>
      <w:bookmarkEnd w:id="106"/>
      <w:bookmarkEnd w:id="107"/>
    </w:p>
    <w:p w14:paraId="10E660C2" w14:textId="77777777" w:rsidR="00F86027" w:rsidRPr="00CB60D7" w:rsidRDefault="00F86027" w:rsidP="006C7957">
      <w:pPr>
        <w:pStyle w:val="ListParagraph"/>
        <w:numPr>
          <w:ilvl w:val="0"/>
          <w:numId w:val="23"/>
        </w:numPr>
        <w:spacing w:line="240" w:lineRule="auto"/>
      </w:pPr>
      <w:r w:rsidRPr="00CB60D7">
        <w:t>Work with key stakeholders to develop nationally harmonised laboratory-based sequencing practices and guidelines to promote quality and interoperable One Health services.</w:t>
      </w:r>
    </w:p>
    <w:p w14:paraId="711AA56D" w14:textId="77777777" w:rsidR="00F86027" w:rsidRDefault="00F86027" w:rsidP="006C7957">
      <w:pPr>
        <w:pStyle w:val="ListParagraph"/>
        <w:numPr>
          <w:ilvl w:val="0"/>
          <w:numId w:val="23"/>
        </w:numPr>
        <w:spacing w:line="240" w:lineRule="auto"/>
      </w:pPr>
      <w:r w:rsidRPr="00CB60D7">
        <w:t>Work with key stakeholders to integrate One Health elements into quality assurance and proficiency testing programs specific to microbial genomics.</w:t>
      </w:r>
    </w:p>
    <w:tbl>
      <w:tblPr>
        <w:tblStyle w:val="TableGrid"/>
        <w:tblW w:w="0" w:type="auto"/>
        <w:tblInd w:w="-431" w:type="dxa"/>
        <w:tblLook w:val="04A0" w:firstRow="1" w:lastRow="0" w:firstColumn="1" w:lastColumn="0" w:noHBand="0" w:noVBand="1"/>
      </w:tblPr>
      <w:tblGrid>
        <w:gridCol w:w="5830"/>
        <w:gridCol w:w="1283"/>
        <w:gridCol w:w="1505"/>
        <w:gridCol w:w="1305"/>
      </w:tblGrid>
      <w:tr w:rsidR="00067378" w14:paraId="6D3F43D3" w14:textId="77777777" w:rsidTr="00C12B94">
        <w:trPr>
          <w:cnfStyle w:val="100000000000" w:firstRow="1" w:lastRow="0" w:firstColumn="0" w:lastColumn="0" w:oddVBand="0" w:evenVBand="0" w:oddHBand="0" w:evenHBand="0" w:firstRowFirstColumn="0" w:firstRowLastColumn="0" w:lastRowFirstColumn="0" w:lastRowLastColumn="0"/>
          <w:trHeight w:val="283"/>
        </w:trPr>
        <w:tc>
          <w:tcPr>
            <w:tcW w:w="5830" w:type="dxa"/>
          </w:tcPr>
          <w:p w14:paraId="26493438" w14:textId="77777777" w:rsidR="00F86027" w:rsidRPr="00DC5D33" w:rsidRDefault="00F86027" w:rsidP="00F86027">
            <w:pPr>
              <w:spacing w:line="240" w:lineRule="auto"/>
              <w:rPr>
                <w:b/>
              </w:rPr>
            </w:pPr>
            <w:r w:rsidRPr="00DC5D33">
              <w:rPr>
                <w:b/>
              </w:rPr>
              <w:t>National Action</w:t>
            </w:r>
          </w:p>
        </w:tc>
        <w:tc>
          <w:tcPr>
            <w:tcW w:w="1283" w:type="dxa"/>
          </w:tcPr>
          <w:p w14:paraId="6165184A" w14:textId="77777777" w:rsidR="00F86027" w:rsidRPr="00DC5D33" w:rsidRDefault="00F86027" w:rsidP="008D0CF9">
            <w:pPr>
              <w:spacing w:line="240" w:lineRule="auto"/>
              <w:jc w:val="center"/>
              <w:rPr>
                <w:b/>
              </w:rPr>
            </w:pPr>
            <w:r w:rsidRPr="00DC5D33">
              <w:rPr>
                <w:b/>
              </w:rPr>
              <w:t>Timeframe</w:t>
            </w:r>
          </w:p>
        </w:tc>
        <w:tc>
          <w:tcPr>
            <w:tcW w:w="1505" w:type="dxa"/>
          </w:tcPr>
          <w:p w14:paraId="7E61C7D0" w14:textId="77777777" w:rsidR="00F86027" w:rsidRPr="00DC5D33" w:rsidRDefault="00F86027" w:rsidP="008D0CF9">
            <w:pPr>
              <w:spacing w:line="240" w:lineRule="auto"/>
              <w:jc w:val="center"/>
              <w:rPr>
                <w:b/>
              </w:rPr>
            </w:pPr>
            <w:r w:rsidRPr="00DC5D33">
              <w:rPr>
                <w:b/>
              </w:rPr>
              <w:t>Lead</w:t>
            </w:r>
          </w:p>
        </w:tc>
        <w:tc>
          <w:tcPr>
            <w:tcW w:w="1305" w:type="dxa"/>
          </w:tcPr>
          <w:p w14:paraId="083B7D36" w14:textId="77777777" w:rsidR="00F86027" w:rsidRPr="00DC5D33" w:rsidRDefault="00F86027" w:rsidP="008D0CF9">
            <w:pPr>
              <w:spacing w:line="240" w:lineRule="auto"/>
              <w:jc w:val="center"/>
              <w:rPr>
                <w:b/>
              </w:rPr>
            </w:pPr>
            <w:r w:rsidRPr="00DC5D33">
              <w:rPr>
                <w:b/>
              </w:rPr>
              <w:t>Priority</w:t>
            </w:r>
          </w:p>
        </w:tc>
      </w:tr>
      <w:tr w:rsidR="00F86027" w14:paraId="480EB53A" w14:textId="77777777" w:rsidTr="00C12B94">
        <w:trPr>
          <w:cnfStyle w:val="000000100000" w:firstRow="0" w:lastRow="0" w:firstColumn="0" w:lastColumn="0" w:oddVBand="0" w:evenVBand="0" w:oddHBand="1" w:evenHBand="0" w:firstRowFirstColumn="0" w:firstRowLastColumn="0" w:lastRowFirstColumn="0" w:lastRowLastColumn="0"/>
          <w:trHeight w:val="300"/>
        </w:trPr>
        <w:tc>
          <w:tcPr>
            <w:tcW w:w="5830" w:type="dxa"/>
          </w:tcPr>
          <w:p w14:paraId="1D7DCAA7" w14:textId="77777777" w:rsidR="00F86027" w:rsidRPr="00DC5D33" w:rsidRDefault="00F86027">
            <w:pPr>
              <w:spacing w:line="240" w:lineRule="auto"/>
            </w:pPr>
            <w:r w:rsidRPr="4F50332C">
              <w:rPr>
                <w:b/>
                <w:bCs/>
              </w:rPr>
              <w:t xml:space="preserve">1.4.1 </w:t>
            </w:r>
            <w:r>
              <w:t>Identify and determine ways to enhance collaboration with One Health laboratory stakeholders with the aim of ensuring harmonisation of practices.</w:t>
            </w:r>
          </w:p>
        </w:tc>
        <w:tc>
          <w:tcPr>
            <w:tcW w:w="1283" w:type="dxa"/>
          </w:tcPr>
          <w:p w14:paraId="7DD429C7" w14:textId="77777777" w:rsidR="00F86027" w:rsidRPr="00DC5D33" w:rsidRDefault="00F86027" w:rsidP="008D0CF9">
            <w:pPr>
              <w:spacing w:line="240" w:lineRule="auto"/>
              <w:jc w:val="center"/>
            </w:pPr>
            <w:r w:rsidRPr="00DC5D33">
              <w:t>Short</w:t>
            </w:r>
          </w:p>
        </w:tc>
        <w:tc>
          <w:tcPr>
            <w:tcW w:w="1505" w:type="dxa"/>
          </w:tcPr>
          <w:p w14:paraId="4F53B193" w14:textId="77777777" w:rsidR="00F86027" w:rsidRPr="00DC5D33" w:rsidRDefault="00F86027" w:rsidP="008D0CF9">
            <w:pPr>
              <w:spacing w:line="240" w:lineRule="auto"/>
              <w:jc w:val="center"/>
            </w:pPr>
            <w:r>
              <w:t>Australian CDC</w:t>
            </w:r>
          </w:p>
        </w:tc>
        <w:tc>
          <w:tcPr>
            <w:tcW w:w="1305" w:type="dxa"/>
          </w:tcPr>
          <w:p w14:paraId="58D03F06" w14:textId="77777777" w:rsidR="00F86027" w:rsidRPr="00DC5D33" w:rsidRDefault="00F86027" w:rsidP="008D0CF9">
            <w:pPr>
              <w:spacing w:line="240" w:lineRule="auto"/>
              <w:jc w:val="center"/>
            </w:pPr>
            <w:r w:rsidRPr="00DC5D33">
              <w:t>High</w:t>
            </w:r>
          </w:p>
        </w:tc>
      </w:tr>
      <w:tr w:rsidR="00F642DC" w14:paraId="01845195" w14:textId="77777777" w:rsidTr="00C12B94">
        <w:trPr>
          <w:trHeight w:val="300"/>
        </w:trPr>
        <w:tc>
          <w:tcPr>
            <w:tcW w:w="5830" w:type="dxa"/>
          </w:tcPr>
          <w:p w14:paraId="53B3439E" w14:textId="750ACF92" w:rsidR="00F642DC" w:rsidRPr="44B6643F" w:rsidRDefault="00F642DC" w:rsidP="00F642DC">
            <w:pPr>
              <w:spacing w:line="240" w:lineRule="auto"/>
              <w:rPr>
                <w:b/>
                <w:bCs/>
              </w:rPr>
            </w:pPr>
            <w:r w:rsidRPr="597B9366">
              <w:rPr>
                <w:b/>
                <w:bCs/>
              </w:rPr>
              <w:t>1.4.</w:t>
            </w:r>
            <w:r w:rsidR="007477A1">
              <w:rPr>
                <w:b/>
                <w:bCs/>
              </w:rPr>
              <w:t>2</w:t>
            </w:r>
            <w:r w:rsidRPr="597B9366">
              <w:rPr>
                <w:b/>
                <w:bCs/>
              </w:rPr>
              <w:t xml:space="preserve"> </w:t>
            </w:r>
            <w:r>
              <w:t>Design and administer a triennial survey for relevant One Health laboratories and affiliates, to scope the current state and future opportunities for expanding national One Health microbial genomics capability and capacity. This will provide a practical evidence base for policymakers, discover areas for improvement, and disseminate best practices and lessons learn</w:t>
            </w:r>
            <w:r w:rsidR="0022693E">
              <w:t>ed</w:t>
            </w:r>
            <w:r>
              <w:t xml:space="preserve">. </w:t>
            </w:r>
          </w:p>
        </w:tc>
        <w:tc>
          <w:tcPr>
            <w:tcW w:w="1283" w:type="dxa"/>
          </w:tcPr>
          <w:p w14:paraId="1F35E6A2" w14:textId="1C11504E" w:rsidR="00F642DC" w:rsidRPr="00DC5D33" w:rsidRDefault="00F642DC" w:rsidP="00F642DC">
            <w:pPr>
              <w:spacing w:line="240" w:lineRule="auto"/>
              <w:jc w:val="center"/>
            </w:pPr>
            <w:r w:rsidRPr="008D5E82">
              <w:t>Medium</w:t>
            </w:r>
          </w:p>
        </w:tc>
        <w:tc>
          <w:tcPr>
            <w:tcW w:w="1505" w:type="dxa"/>
          </w:tcPr>
          <w:p w14:paraId="71DD8D58" w14:textId="5F4278E8" w:rsidR="00F642DC" w:rsidRDefault="00F642DC" w:rsidP="00F642DC">
            <w:pPr>
              <w:spacing w:line="240" w:lineRule="auto"/>
              <w:jc w:val="center"/>
            </w:pPr>
            <w:r w:rsidRPr="008D5E82">
              <w:t>Australian CDC</w:t>
            </w:r>
          </w:p>
        </w:tc>
        <w:tc>
          <w:tcPr>
            <w:tcW w:w="1305" w:type="dxa"/>
          </w:tcPr>
          <w:p w14:paraId="5B846785" w14:textId="14255272" w:rsidR="00F642DC" w:rsidRPr="00DC5D33" w:rsidRDefault="00F642DC" w:rsidP="00F642DC">
            <w:pPr>
              <w:spacing w:line="240" w:lineRule="auto"/>
              <w:jc w:val="center"/>
            </w:pPr>
            <w:r w:rsidRPr="008D5E82">
              <w:t>Medium</w:t>
            </w:r>
          </w:p>
        </w:tc>
      </w:tr>
      <w:tr w:rsidR="00F642DC" w14:paraId="1E180EE7" w14:textId="77777777" w:rsidTr="00C12B94">
        <w:trPr>
          <w:cnfStyle w:val="000000100000" w:firstRow="0" w:lastRow="0" w:firstColumn="0" w:lastColumn="0" w:oddVBand="0" w:evenVBand="0" w:oddHBand="1" w:evenHBand="0" w:firstRowFirstColumn="0" w:firstRowLastColumn="0" w:lastRowFirstColumn="0" w:lastRowLastColumn="0"/>
          <w:trHeight w:val="300"/>
        </w:trPr>
        <w:tc>
          <w:tcPr>
            <w:tcW w:w="5830" w:type="dxa"/>
          </w:tcPr>
          <w:p w14:paraId="774B490F" w14:textId="40C9EEEC" w:rsidR="00F642DC" w:rsidRPr="00DC5D33" w:rsidRDefault="00F642DC" w:rsidP="00F642DC">
            <w:pPr>
              <w:spacing w:line="240" w:lineRule="auto"/>
              <w:rPr>
                <w:b/>
                <w:bCs/>
              </w:rPr>
            </w:pPr>
            <w:r w:rsidRPr="44B6643F">
              <w:rPr>
                <w:b/>
                <w:bCs/>
              </w:rPr>
              <w:t>1.4.</w:t>
            </w:r>
            <w:r w:rsidR="007477A1">
              <w:rPr>
                <w:b/>
                <w:bCs/>
              </w:rPr>
              <w:t>3</w:t>
            </w:r>
            <w:r>
              <w:t xml:space="preserve"> Support the development of cross-sectoral laboratory guidelines and decision support tools to clearly describe appropriate referral and reporting practices, in line with a One Health approach. </w:t>
            </w:r>
          </w:p>
        </w:tc>
        <w:tc>
          <w:tcPr>
            <w:tcW w:w="1283" w:type="dxa"/>
          </w:tcPr>
          <w:p w14:paraId="1E3EC03C" w14:textId="77777777" w:rsidR="00F642DC" w:rsidRPr="00DC5D33" w:rsidRDefault="00F642DC" w:rsidP="00F642DC">
            <w:pPr>
              <w:spacing w:line="240" w:lineRule="auto"/>
              <w:jc w:val="center"/>
            </w:pPr>
            <w:r w:rsidRPr="00DC5D33">
              <w:t>Ongoing</w:t>
            </w:r>
          </w:p>
        </w:tc>
        <w:tc>
          <w:tcPr>
            <w:tcW w:w="1505" w:type="dxa"/>
          </w:tcPr>
          <w:p w14:paraId="686173F8" w14:textId="77777777" w:rsidR="00F642DC" w:rsidRPr="00DC5D33" w:rsidRDefault="00F642DC" w:rsidP="00F642DC">
            <w:pPr>
              <w:spacing w:line="240" w:lineRule="auto"/>
              <w:jc w:val="center"/>
            </w:pPr>
            <w:r>
              <w:t>Australian CDC</w:t>
            </w:r>
          </w:p>
        </w:tc>
        <w:tc>
          <w:tcPr>
            <w:tcW w:w="1305" w:type="dxa"/>
          </w:tcPr>
          <w:p w14:paraId="7DAAD771" w14:textId="77777777" w:rsidR="00F642DC" w:rsidRPr="00DC5D33" w:rsidRDefault="00F642DC" w:rsidP="00F642DC">
            <w:pPr>
              <w:spacing w:line="240" w:lineRule="auto"/>
              <w:jc w:val="center"/>
            </w:pPr>
            <w:r w:rsidRPr="00DC5D33">
              <w:t>Medium</w:t>
            </w:r>
          </w:p>
        </w:tc>
      </w:tr>
      <w:tr w:rsidR="00F642DC" w14:paraId="69B83AE5" w14:textId="77777777" w:rsidTr="00C12B94">
        <w:trPr>
          <w:trHeight w:val="300"/>
        </w:trPr>
        <w:tc>
          <w:tcPr>
            <w:tcW w:w="5830" w:type="dxa"/>
          </w:tcPr>
          <w:p w14:paraId="1C006958" w14:textId="293DD023" w:rsidR="00F642DC" w:rsidRPr="008D5E82" w:rsidRDefault="00F642DC" w:rsidP="00F642DC">
            <w:pPr>
              <w:spacing w:line="240" w:lineRule="auto"/>
            </w:pPr>
            <w:r w:rsidRPr="008D5E82">
              <w:rPr>
                <w:b/>
                <w:bCs/>
              </w:rPr>
              <w:t>1.4.</w:t>
            </w:r>
            <w:r w:rsidR="007477A1">
              <w:rPr>
                <w:b/>
                <w:bCs/>
              </w:rPr>
              <w:t>4</w:t>
            </w:r>
            <w:r w:rsidRPr="008D5E82">
              <w:rPr>
                <w:b/>
                <w:bCs/>
              </w:rPr>
              <w:t xml:space="preserve"> </w:t>
            </w:r>
            <w:r w:rsidRPr="008D5E82">
              <w:t>Explore opportunities to include One Health elements in microbial genomics-related quality assurance and PTPs offered to laboratories.</w:t>
            </w:r>
          </w:p>
        </w:tc>
        <w:tc>
          <w:tcPr>
            <w:tcW w:w="1283" w:type="dxa"/>
          </w:tcPr>
          <w:p w14:paraId="56D61C00" w14:textId="77777777" w:rsidR="00F642DC" w:rsidRPr="008D5E82" w:rsidRDefault="00F642DC" w:rsidP="00F642DC">
            <w:pPr>
              <w:spacing w:line="240" w:lineRule="auto"/>
              <w:jc w:val="center"/>
            </w:pPr>
            <w:r w:rsidRPr="008D5E82">
              <w:t>Ongoing</w:t>
            </w:r>
          </w:p>
        </w:tc>
        <w:tc>
          <w:tcPr>
            <w:tcW w:w="1505" w:type="dxa"/>
          </w:tcPr>
          <w:p w14:paraId="6EFD0D54" w14:textId="77777777" w:rsidR="00F642DC" w:rsidRPr="008D5E82" w:rsidRDefault="00F642DC" w:rsidP="00F642DC">
            <w:pPr>
              <w:spacing w:line="240" w:lineRule="auto"/>
              <w:jc w:val="center"/>
              <w:rPr>
                <w:rStyle w:val="FootnoteReference"/>
              </w:rPr>
            </w:pPr>
            <w:r w:rsidRPr="008D5E82">
              <w:t>All</w:t>
            </w:r>
          </w:p>
        </w:tc>
        <w:tc>
          <w:tcPr>
            <w:tcW w:w="1305" w:type="dxa"/>
          </w:tcPr>
          <w:p w14:paraId="7CF54DD7" w14:textId="4DC8B3CB" w:rsidR="00F642DC" w:rsidRPr="008D5E82" w:rsidRDefault="00F642DC" w:rsidP="00F642DC">
            <w:pPr>
              <w:spacing w:line="240" w:lineRule="auto"/>
              <w:jc w:val="center"/>
            </w:pPr>
            <w:r w:rsidRPr="008D5E82">
              <w:t>Medium</w:t>
            </w:r>
          </w:p>
        </w:tc>
      </w:tr>
    </w:tbl>
    <w:p w14:paraId="3A321D4A" w14:textId="77777777" w:rsidR="00B63EB8" w:rsidRDefault="00B63EB8">
      <w:pPr>
        <w:spacing w:before="0" w:after="0" w:line="240" w:lineRule="auto"/>
      </w:pPr>
      <w:r>
        <w:br w:type="page"/>
      </w:r>
    </w:p>
    <w:p w14:paraId="4F62565B" w14:textId="25D12ED8" w:rsidR="004B553A" w:rsidRPr="009814D7" w:rsidRDefault="004B553A" w:rsidP="004B553A">
      <w:pPr>
        <w:pStyle w:val="Heading2"/>
      </w:pPr>
      <w:bookmarkStart w:id="108" w:name="_Toc135494172"/>
      <w:bookmarkStart w:id="109" w:name="_Toc1590764878"/>
      <w:bookmarkStart w:id="110" w:name="_Toc1542560748"/>
      <w:bookmarkStart w:id="111" w:name="_Toc191899417"/>
      <w:r>
        <w:lastRenderedPageBreak/>
        <w:t>Strategic Priority 2</w:t>
      </w:r>
      <w:r w:rsidR="00B55164">
        <w:t xml:space="preserve"> </w:t>
      </w:r>
      <w:r>
        <w:t>—</w:t>
      </w:r>
      <w:r w:rsidR="00B55164">
        <w:t xml:space="preserve"> </w:t>
      </w:r>
      <w:r>
        <w:t>Technology and Data Governance</w:t>
      </w:r>
      <w:bookmarkEnd w:id="108"/>
      <w:bookmarkEnd w:id="109"/>
      <w:bookmarkEnd w:id="110"/>
      <w:bookmarkEnd w:id="111"/>
    </w:p>
    <w:p w14:paraId="3CC9FB45" w14:textId="77777777" w:rsidR="00466395" w:rsidRPr="00BC7EF1" w:rsidRDefault="00466395" w:rsidP="00FE2D5C">
      <w:r>
        <w:t xml:space="preserve">The public health community recognises the importance of nationally agreed data sharing to improve public health surveillance and response efforts. Identifying suitable approaches to data sharing that ensures sensitive data remains protected and crucial metadata is connected, remains an ongoing challenge. The aim is to achieve real-time sequencing and data exchange to enable both enhanced outbreak detection and response, and complement routine surveillance activities and technological advancements. </w:t>
      </w:r>
    </w:p>
    <w:p w14:paraId="2BB9636E" w14:textId="4C3BC6A4" w:rsidR="00466395" w:rsidRDefault="00466395" w:rsidP="00FE2D5C">
      <w:r>
        <w:t xml:space="preserve">International progress to address key issues relating to data governance, including equity of access and benefits arising from the sharing of data, is already being made. International standards and best practice models, including the </w:t>
      </w:r>
      <w:hyperlink r:id="rId21">
        <w:r w:rsidRPr="004B0034">
          <w:rPr>
            <w:i/>
            <w:iCs/>
            <w:u w:val="single"/>
          </w:rPr>
          <w:t>WHO data sharing principles (2022)</w:t>
        </w:r>
      </w:hyperlink>
      <w:r>
        <w:t xml:space="preserve">, and </w:t>
      </w:r>
      <w:hyperlink r:id="rId22">
        <w:r w:rsidRPr="004B0034">
          <w:rPr>
            <w:u w:val="single"/>
          </w:rPr>
          <w:t>International Health Regulations (IHR) (2005)</w:t>
        </w:r>
      </w:hyperlink>
      <w:r>
        <w:t xml:space="preserve">, are useful guidelines to help inform the implementation of activities to strengthen Australia’s data governance. Nationally, </w:t>
      </w:r>
      <w:r w:rsidR="00A804E2">
        <w:t xml:space="preserve">greater </w:t>
      </w:r>
      <w:r>
        <w:t>alignment of data governance activities with the DATA Scheme, Intergovernmental Agreement on Data Sharing, and other work of the Office of the National Data Commissioner, is imperative.</w:t>
      </w:r>
    </w:p>
    <w:p w14:paraId="065677A1" w14:textId="4B9A0D40" w:rsidR="004C3985" w:rsidRDefault="00466395" w:rsidP="00FE2D5C">
      <w:r w:rsidRPr="00BC7EF1">
        <w:t xml:space="preserve">The Framework acknowledges the </w:t>
      </w:r>
      <w:r w:rsidRPr="006054E2">
        <w:t xml:space="preserve">value of the </w:t>
      </w:r>
      <w:hyperlink r:id="rId23" w:history="1">
        <w:r w:rsidRPr="006054E2">
          <w:rPr>
            <w:rStyle w:val="Hyperlink"/>
            <w:color w:val="auto"/>
          </w:rPr>
          <w:t>FAIR Guiding Principles for scientific data management and stewardship</w:t>
        </w:r>
      </w:hyperlink>
      <w:r w:rsidRPr="006054E2">
        <w:t xml:space="preserve">, within the data governance </w:t>
      </w:r>
      <w:r w:rsidRPr="00BC7EF1">
        <w:t>discourse, in which its guidelines seek to improve the ‘Findability, Accessibility, Interoperability, and Reusability of digital assets’</w:t>
      </w:r>
      <w:r w:rsidR="002B0A1F" w:rsidRPr="00BC7EF1">
        <w:rPr>
          <w:rStyle w:val="FootnoteReference"/>
        </w:rPr>
        <w:footnoteReference w:id="9"/>
      </w:r>
      <w:r w:rsidRPr="00BC7EF1">
        <w:t xml:space="preserve">. While progress has been made to address these principles, effort is still required to ensure data sharing is routine and transparent across Australia. </w:t>
      </w:r>
    </w:p>
    <w:p w14:paraId="022832E1" w14:textId="540CB3B1" w:rsidR="00466395" w:rsidRDefault="00466395" w:rsidP="00FE2D5C">
      <w:r w:rsidRPr="00BC7EF1">
        <w:t>Australia must continue to support and strive for the timely sharing of data on trusted domestic and international repositories, in line with our international commitment to support pandemic preparedness and response initiatives. The value of genomic data, collected as part of genomic surveillance, for basic research and activities, aligned with the One Health approach, should be also acknowledged</w:t>
      </w:r>
      <w:r w:rsidRPr="00BC7EF1">
        <w:rPr>
          <w:rStyle w:val="FootnoteReference"/>
        </w:rPr>
        <w:footnoteReference w:id="10"/>
      </w:r>
      <w:r w:rsidRPr="00BC7EF1">
        <w:t xml:space="preserve">. </w:t>
      </w:r>
    </w:p>
    <w:p w14:paraId="5B3492E4" w14:textId="58EE9EF0" w:rsidR="00466395" w:rsidRPr="009A5ECD" w:rsidRDefault="00466395" w:rsidP="00FE2D5C">
      <w:r>
        <w:t xml:space="preserve">Jurisdictions continue to invest in developing standards, policies, and procedures to support infrastructure for capturing, analysing, and sharing microbial genomics data. However, inconsistencies remain in the technologies used and data governance practices (for example, data storage, </w:t>
      </w:r>
      <w:r w:rsidR="0094064F">
        <w:t>infrastructure,</w:t>
      </w:r>
      <w:r>
        <w:t xml:space="preserve"> and bioinformatics analyses), raising </w:t>
      </w:r>
      <w:r>
        <w:lastRenderedPageBreak/>
        <w:t>challenges for rapid sharing of data, particularly across One Health sectors. Legislative and regulatory constraints at both the Commonwealth and jurisdictional levels hinder the swift exchange of data and specimens. This impacts test reporting, validation, development, and the consistent maintenance of capacity and capability. Despite the urgency brought by the COVID-19 pandemic, the legislative and regulatory obstacles to data and specimen sharing remain unexplored, revealing previously overlooked system vulnerabilities. The Interim Australian CDC is currently undertaking thorough assessment of legislation and regulations from both the Commonwealth and jurisdictions affecting data and specimen sharing across One Health sectors, where it pertains to human health. By streamlining access to essential data and resources, we aim to facilitate smoother coordination and collaboration across health sectors.</w:t>
      </w:r>
    </w:p>
    <w:p w14:paraId="50C99473" w14:textId="77777777" w:rsidR="00466395" w:rsidRPr="002A7E2F" w:rsidRDefault="00466395" w:rsidP="00FE2D5C">
      <w:pPr>
        <w:pStyle w:val="Style1"/>
        <w:rPr>
          <w:sz w:val="24"/>
          <w:szCs w:val="24"/>
        </w:rPr>
      </w:pPr>
      <w:r w:rsidRPr="002A7E2F">
        <w:rPr>
          <w:sz w:val="24"/>
          <w:szCs w:val="24"/>
        </w:rPr>
        <w:t>What does the future look like?</w:t>
      </w:r>
    </w:p>
    <w:p w14:paraId="6050DFAF" w14:textId="77777777" w:rsidR="00466395" w:rsidRPr="00BC7EF1" w:rsidRDefault="00466395" w:rsidP="006C7957">
      <w:pPr>
        <w:pStyle w:val="ListParagraph"/>
        <w:numPr>
          <w:ilvl w:val="0"/>
          <w:numId w:val="23"/>
        </w:numPr>
      </w:pPr>
      <w:r w:rsidRPr="00BC7EF1">
        <w:t>A national data governance mechanism is in place to ensure real-time data sharing and data use in the nationally consistent application of microbial genomics in public health practice.</w:t>
      </w:r>
    </w:p>
    <w:p w14:paraId="19A22999" w14:textId="77777777" w:rsidR="00466395" w:rsidRPr="00BC7EF1" w:rsidRDefault="00466395" w:rsidP="006C7957">
      <w:pPr>
        <w:pStyle w:val="ListParagraph"/>
        <w:numPr>
          <w:ilvl w:val="0"/>
          <w:numId w:val="23"/>
        </w:numPr>
      </w:pPr>
      <w:r w:rsidRPr="00BC7EF1">
        <w:t>Secure systems and IT infrastructure is established to support current and future national and interoperable data sharing and storage requirements.</w:t>
      </w:r>
    </w:p>
    <w:p w14:paraId="58CDC27E" w14:textId="686658FF" w:rsidR="00CF356D" w:rsidRDefault="00466395" w:rsidP="006C7957">
      <w:pPr>
        <w:pStyle w:val="ListParagraph"/>
        <w:numPr>
          <w:ilvl w:val="0"/>
          <w:numId w:val="23"/>
        </w:numPr>
      </w:pPr>
      <w:r w:rsidRPr="00466395">
        <w:t>Microbial genomics reporting is seamlessly integrated into laboratory and public health information management systems, with clear governance and data sharing processes.</w:t>
      </w:r>
    </w:p>
    <w:p w14:paraId="0ACB6045" w14:textId="7018CAB1" w:rsidR="00CF356D" w:rsidRPr="009814D7" w:rsidRDefault="1E1C8E16" w:rsidP="00FE2D5C">
      <w:pPr>
        <w:pStyle w:val="Heading3"/>
      </w:pPr>
      <w:bookmarkStart w:id="112" w:name="_Toc191899418"/>
      <w:r>
        <w:t>Prior and current activities</w:t>
      </w:r>
      <w:bookmarkEnd w:id="112"/>
    </w:p>
    <w:p w14:paraId="397195CE" w14:textId="77777777" w:rsidR="00A3104E" w:rsidRPr="00A3104E" w:rsidRDefault="00A3104E" w:rsidP="00FE2D5C">
      <w:pPr>
        <w:spacing w:before="0" w:after="0"/>
        <w:rPr>
          <w:lang w:bidi="en-AU"/>
        </w:rPr>
      </w:pPr>
      <w:r w:rsidRPr="00A3104E">
        <w:rPr>
          <w:lang w:bidi="en-AU"/>
        </w:rPr>
        <w:t xml:space="preserve">Various initiatives are underway to address these challenges and improve data sharing between jurisdictions. These include the following completed activities: </w:t>
      </w:r>
    </w:p>
    <w:p w14:paraId="558CDD6C" w14:textId="77777777" w:rsidR="00A3104E" w:rsidRPr="00A3104E" w:rsidRDefault="00A3104E" w:rsidP="006C7957">
      <w:pPr>
        <w:pStyle w:val="ListParagraph"/>
        <w:numPr>
          <w:ilvl w:val="0"/>
          <w:numId w:val="23"/>
        </w:numPr>
      </w:pPr>
      <w:r w:rsidRPr="00A3104E">
        <w:t>establishment of the CDGN AusTrakka User Group to:</w:t>
      </w:r>
    </w:p>
    <w:p w14:paraId="18174D0E" w14:textId="77777777" w:rsidR="00A3104E" w:rsidRPr="00A3104E" w:rsidRDefault="00A3104E" w:rsidP="00732ECA">
      <w:pPr>
        <w:pStyle w:val="ListParagraph"/>
        <w:numPr>
          <w:ilvl w:val="0"/>
          <w:numId w:val="50"/>
        </w:numPr>
      </w:pPr>
      <w:r w:rsidRPr="00A3104E">
        <w:t>support platform optimisation</w:t>
      </w:r>
    </w:p>
    <w:p w14:paraId="50F3DD3D" w14:textId="77777777" w:rsidR="00A3104E" w:rsidRPr="00A3104E" w:rsidRDefault="00A3104E" w:rsidP="00732ECA">
      <w:pPr>
        <w:pStyle w:val="ListParagraph"/>
        <w:numPr>
          <w:ilvl w:val="0"/>
          <w:numId w:val="50"/>
        </w:numPr>
      </w:pPr>
      <w:r w:rsidRPr="00A3104E">
        <w:t>enhance, coordinate, and support jurisdictional capability and capacity in the implementation of WGS and metagenomics approaches</w:t>
      </w:r>
    </w:p>
    <w:p w14:paraId="367B4E1E" w14:textId="77777777" w:rsidR="00A3104E" w:rsidRPr="00A3104E" w:rsidRDefault="00A3104E" w:rsidP="00732ECA">
      <w:pPr>
        <w:pStyle w:val="ListParagraph"/>
        <w:numPr>
          <w:ilvl w:val="0"/>
          <w:numId w:val="50"/>
        </w:numPr>
      </w:pPr>
      <w:r w:rsidRPr="00A3104E">
        <w:t xml:space="preserve">develop procedures and policies allowing rapid national genomic data sharing and analysis, to enhance public health surveillance, outbreak detection and response </w:t>
      </w:r>
    </w:p>
    <w:p w14:paraId="3370B063" w14:textId="4ECA45B3" w:rsidR="00A3104E" w:rsidRPr="00A3104E" w:rsidRDefault="00A3104E" w:rsidP="00732ECA">
      <w:pPr>
        <w:pStyle w:val="ListParagraph"/>
        <w:numPr>
          <w:ilvl w:val="0"/>
          <w:numId w:val="50"/>
        </w:numPr>
      </w:pPr>
      <w:r w:rsidRPr="00A3104E">
        <w:t>maintain validated national microbial bioinformatics pipelines</w:t>
      </w:r>
    </w:p>
    <w:p w14:paraId="10DE681F" w14:textId="192A0FAE" w:rsidR="001629BE" w:rsidRDefault="00A3104E" w:rsidP="00732ECA">
      <w:pPr>
        <w:pStyle w:val="ListParagraph"/>
        <w:numPr>
          <w:ilvl w:val="0"/>
          <w:numId w:val="50"/>
        </w:numPr>
      </w:pPr>
      <w:r w:rsidRPr="00A3104E">
        <w:t>develop procedures and policies that allow for rapid national genomic data sharing and analysis through AusTrakka to enhance disease surveillance, outbreak detection and response</w:t>
      </w:r>
    </w:p>
    <w:p w14:paraId="71A4AE27" w14:textId="7A210973" w:rsidR="005B304E" w:rsidRDefault="00A3104E" w:rsidP="00090013">
      <w:pPr>
        <w:pStyle w:val="ListParagraph"/>
        <w:numPr>
          <w:ilvl w:val="0"/>
          <w:numId w:val="23"/>
        </w:numPr>
      </w:pPr>
      <w:r w:rsidRPr="00A3104E">
        <w:lastRenderedPageBreak/>
        <w:t>development of AusTrakka Version 2 that aims to be more agile and adaptable to multiple scenarios while maintaining safe data sharing, management, and visualisation.</w:t>
      </w:r>
    </w:p>
    <w:p w14:paraId="0A3A31C2" w14:textId="55B9F9FD" w:rsidR="00A3104E" w:rsidRPr="00A3104E" w:rsidRDefault="00A3104E" w:rsidP="00FE2D5C">
      <w:pPr>
        <w:spacing w:before="0" w:after="0"/>
        <w:rPr>
          <w:lang w:bidi="en-AU"/>
        </w:rPr>
      </w:pPr>
      <w:r w:rsidRPr="00A3104E">
        <w:rPr>
          <w:lang w:bidi="en-AU"/>
        </w:rPr>
        <w:t>The following activities are ongoing:</w:t>
      </w:r>
    </w:p>
    <w:p w14:paraId="75938443" w14:textId="77777777" w:rsidR="00A3104E" w:rsidRPr="00A3104E" w:rsidRDefault="00A3104E" w:rsidP="006C7957">
      <w:pPr>
        <w:pStyle w:val="ListParagraph"/>
        <w:numPr>
          <w:ilvl w:val="0"/>
          <w:numId w:val="23"/>
        </w:numPr>
      </w:pPr>
      <w:r w:rsidRPr="00A3104E">
        <w:t>Maintenance of data sharing agreements established by CDGN, signed by jurisdictions. These agreements establish trust for cooperative, safe, and equitable data sharing between CDGN and its associated laboratories.</w:t>
      </w:r>
    </w:p>
    <w:p w14:paraId="374605A9" w14:textId="77777777" w:rsidR="00A3104E" w:rsidRPr="00A3104E" w:rsidRDefault="00A3104E" w:rsidP="006C7957">
      <w:pPr>
        <w:pStyle w:val="ListParagraph"/>
        <w:numPr>
          <w:ilvl w:val="0"/>
          <w:numId w:val="23"/>
        </w:numPr>
      </w:pPr>
      <w:r w:rsidRPr="00A3104E">
        <w:t>Since January 2022, AusTrakka</w:t>
      </w:r>
      <w:r w:rsidRPr="00F80AE1">
        <w:rPr>
          <w:vertAlign w:val="superscript"/>
        </w:rPr>
        <w:footnoteReference w:id="11"/>
      </w:r>
      <w:r w:rsidRPr="00A3104E">
        <w:t xml:space="preserve"> has focused on developing scalability and sustainability of the platform for the introduction of new pathogens of public health interest, and the governance, data types and requirements that accompany it.</w:t>
      </w:r>
    </w:p>
    <w:p w14:paraId="14540009" w14:textId="77777777" w:rsidR="00A3104E" w:rsidRPr="00A3104E" w:rsidRDefault="00A3104E" w:rsidP="00073A6D">
      <w:pPr>
        <w:pStyle w:val="ListParagraph"/>
        <w:numPr>
          <w:ilvl w:val="0"/>
          <w:numId w:val="23"/>
        </w:numPr>
      </w:pPr>
      <w:r w:rsidRPr="00A3104E">
        <w:t>Development of operational and data governance structures for the ongoing management of AusTrakka for priority pathogens of public health significance.</w:t>
      </w:r>
    </w:p>
    <w:p w14:paraId="4016E6E3" w14:textId="3AA45481" w:rsidR="00706B99" w:rsidRDefault="00A3104E" w:rsidP="00073A6D">
      <w:pPr>
        <w:pStyle w:val="ListParagraph"/>
        <w:numPr>
          <w:ilvl w:val="0"/>
          <w:numId w:val="23"/>
        </w:numPr>
      </w:pPr>
      <w:r w:rsidRPr="00A3104E">
        <w:t xml:space="preserve">Given its success with COVID-19, AusTrakka is currently being explored as a mechanism for the national genomic investigation of </w:t>
      </w:r>
      <w:r w:rsidR="00FD7660" w:rsidRPr="0094638C">
        <w:t xml:space="preserve">Japanese encephalitis virus </w:t>
      </w:r>
      <w:r w:rsidRPr="00A3104E">
        <w:t xml:space="preserve">in Australia as a pilot One Health project. </w:t>
      </w:r>
    </w:p>
    <w:p w14:paraId="04BC3A1B" w14:textId="141AD656" w:rsidR="00DF6F3D" w:rsidRPr="00073A6D" w:rsidRDefault="00706B99" w:rsidP="00337198">
      <w:pPr>
        <w:pStyle w:val="ListParagraph"/>
        <w:numPr>
          <w:ilvl w:val="0"/>
          <w:numId w:val="23"/>
        </w:numPr>
      </w:pPr>
      <w:r>
        <w:t>W</w:t>
      </w:r>
      <w:r w:rsidR="00452757">
        <w:t xml:space="preserve">orking with AHPC and </w:t>
      </w:r>
      <w:r w:rsidR="00452757" w:rsidRPr="00F83417">
        <w:t>key stakeholders</w:t>
      </w:r>
      <w:r w:rsidR="00452757">
        <w:t xml:space="preserve"> on the d</w:t>
      </w:r>
      <w:r w:rsidR="00F83417" w:rsidRPr="00F83417">
        <w:t>evelo</w:t>
      </w:r>
      <w:r w:rsidR="00452757">
        <w:t>pment of</w:t>
      </w:r>
      <w:r w:rsidR="00F83417" w:rsidRPr="00F83417">
        <w:t xml:space="preserve"> a set of guiding principles and an aspirational “end-state” vision for </w:t>
      </w:r>
      <w:r w:rsidR="00C8555A">
        <w:t>Australia’s</w:t>
      </w:r>
      <w:r w:rsidR="00345245">
        <w:t xml:space="preserve"> national </w:t>
      </w:r>
      <w:r w:rsidR="008E26AE">
        <w:t>genomic surveillance</w:t>
      </w:r>
      <w:r w:rsidR="00934BBA">
        <w:t xml:space="preserve"> system</w:t>
      </w:r>
      <w:r w:rsidR="00F83417" w:rsidRPr="00F83417">
        <w:t xml:space="preserve"> </w:t>
      </w:r>
      <w:r w:rsidR="00A32417">
        <w:t xml:space="preserve">to ensure </w:t>
      </w:r>
      <w:r w:rsidR="008E26AE">
        <w:t>it</w:t>
      </w:r>
      <w:r w:rsidR="00F42C51">
        <w:t xml:space="preserve"> remains secure, fit-for-purpose and reflective of international best practice to support and enhance communicable disease surveillance investigations in Australia.</w:t>
      </w:r>
      <w:r w:rsidR="00DF6F3D">
        <w:br w:type="page"/>
      </w:r>
    </w:p>
    <w:p w14:paraId="1C664FDA" w14:textId="34AD7A95" w:rsidR="0057390F" w:rsidRPr="009814D7" w:rsidRDefault="0057390F" w:rsidP="0057390F">
      <w:pPr>
        <w:pStyle w:val="Heading3"/>
      </w:pPr>
      <w:bookmarkStart w:id="113" w:name="_Toc135494174"/>
      <w:bookmarkStart w:id="114" w:name="_Toc1501681001"/>
      <w:bookmarkStart w:id="115" w:name="_Toc1338368713"/>
      <w:bookmarkStart w:id="116" w:name="_Toc191899419"/>
      <w:r>
        <w:lastRenderedPageBreak/>
        <w:t>Outcome 2.1</w:t>
      </w:r>
      <w:r w:rsidR="00B55164">
        <w:t xml:space="preserve"> </w:t>
      </w:r>
      <w:r>
        <w:t>—</w:t>
      </w:r>
      <w:r w:rsidR="00B55164">
        <w:t xml:space="preserve"> </w:t>
      </w:r>
      <w:r w:rsidR="003A35EF">
        <w:t>Enhanced t</w:t>
      </w:r>
      <w:r>
        <w:t>echnology</w:t>
      </w:r>
      <w:bookmarkEnd w:id="113"/>
      <w:bookmarkEnd w:id="114"/>
      <w:bookmarkEnd w:id="115"/>
      <w:bookmarkEnd w:id="116"/>
    </w:p>
    <w:p w14:paraId="7755F11B" w14:textId="64294123" w:rsidR="0089300F" w:rsidRPr="009A5ECD" w:rsidRDefault="0089300F" w:rsidP="00732ECA">
      <w:pPr>
        <w:pStyle w:val="ListParagraph"/>
        <w:numPr>
          <w:ilvl w:val="0"/>
          <w:numId w:val="26"/>
        </w:numPr>
        <w:spacing w:line="240" w:lineRule="auto"/>
      </w:pPr>
      <w:r w:rsidRPr="009A5ECD">
        <w:t xml:space="preserve">Maintain </w:t>
      </w:r>
      <w:r w:rsidR="008F6E3D">
        <w:t xml:space="preserve">and </w:t>
      </w:r>
      <w:r w:rsidR="00001CBE">
        <w:t xml:space="preserve">enhance </w:t>
      </w:r>
      <w:r w:rsidRPr="009A5ECD">
        <w:t>comparable sequencing instruments across jurisdictions.</w:t>
      </w:r>
    </w:p>
    <w:p w14:paraId="370FA334" w14:textId="77777777" w:rsidR="0089300F" w:rsidRPr="009A5ECD" w:rsidRDefault="0089300F" w:rsidP="00732ECA">
      <w:pPr>
        <w:pStyle w:val="ListParagraph"/>
        <w:numPr>
          <w:ilvl w:val="0"/>
          <w:numId w:val="26"/>
        </w:numPr>
        <w:spacing w:line="240" w:lineRule="auto"/>
      </w:pPr>
      <w:r w:rsidRPr="009A5ECD">
        <w:t xml:space="preserve">Continue to develop and maintain high-performance computing infrastructure (and </w:t>
      </w:r>
      <w:r w:rsidRPr="0089300F">
        <w:t>other relevant types of existing and emerging technologies)</w:t>
      </w:r>
      <w:r w:rsidRPr="009A5ECD">
        <w:t xml:space="preserve"> to support data storage and sharing that can adapt to emerging microbial genomics technologies.</w:t>
      </w:r>
    </w:p>
    <w:tbl>
      <w:tblPr>
        <w:tblStyle w:val="TableGrid"/>
        <w:tblW w:w="10325" w:type="dxa"/>
        <w:tblInd w:w="-431" w:type="dxa"/>
        <w:tblLook w:val="04A0" w:firstRow="1" w:lastRow="0" w:firstColumn="1" w:lastColumn="0" w:noHBand="0" w:noVBand="1"/>
      </w:tblPr>
      <w:tblGrid>
        <w:gridCol w:w="6780"/>
        <w:gridCol w:w="1303"/>
        <w:gridCol w:w="1215"/>
        <w:gridCol w:w="1027"/>
      </w:tblGrid>
      <w:tr w:rsidR="00067378" w:rsidRPr="009A5ECD" w14:paraId="4D3F61DB" w14:textId="77777777" w:rsidTr="5A36DD3A">
        <w:trPr>
          <w:cnfStyle w:val="100000000000" w:firstRow="1" w:lastRow="0" w:firstColumn="0" w:lastColumn="0" w:oddVBand="0" w:evenVBand="0" w:oddHBand="0" w:evenHBand="0" w:firstRowFirstColumn="0" w:firstRowLastColumn="0" w:lastRowFirstColumn="0" w:lastRowLastColumn="0"/>
          <w:trHeight w:val="283"/>
        </w:trPr>
        <w:tc>
          <w:tcPr>
            <w:tcW w:w="6780" w:type="dxa"/>
          </w:tcPr>
          <w:p w14:paraId="62B3083A" w14:textId="77777777" w:rsidR="0089300F" w:rsidRPr="009A5ECD" w:rsidRDefault="0089300F">
            <w:pPr>
              <w:spacing w:line="240" w:lineRule="auto"/>
              <w:rPr>
                <w:b/>
              </w:rPr>
            </w:pPr>
            <w:r w:rsidRPr="009A5ECD">
              <w:rPr>
                <w:b/>
              </w:rPr>
              <w:t>National Action</w:t>
            </w:r>
          </w:p>
        </w:tc>
        <w:tc>
          <w:tcPr>
            <w:tcW w:w="1303" w:type="dxa"/>
          </w:tcPr>
          <w:p w14:paraId="094F9647" w14:textId="77777777" w:rsidR="0089300F" w:rsidRPr="009A5ECD" w:rsidRDefault="0089300F" w:rsidP="008D0CF9">
            <w:pPr>
              <w:spacing w:line="240" w:lineRule="auto"/>
              <w:jc w:val="center"/>
              <w:rPr>
                <w:b/>
              </w:rPr>
            </w:pPr>
            <w:r w:rsidRPr="009A5ECD">
              <w:rPr>
                <w:b/>
              </w:rPr>
              <w:t>Timeframe</w:t>
            </w:r>
          </w:p>
        </w:tc>
        <w:tc>
          <w:tcPr>
            <w:tcW w:w="1215" w:type="dxa"/>
          </w:tcPr>
          <w:p w14:paraId="4D44E946" w14:textId="77777777" w:rsidR="0089300F" w:rsidRPr="009A5ECD" w:rsidRDefault="0089300F" w:rsidP="008D0CF9">
            <w:pPr>
              <w:spacing w:line="240" w:lineRule="auto"/>
              <w:jc w:val="center"/>
              <w:rPr>
                <w:b/>
              </w:rPr>
            </w:pPr>
            <w:r w:rsidRPr="009A5ECD">
              <w:rPr>
                <w:b/>
              </w:rPr>
              <w:t>Lead</w:t>
            </w:r>
          </w:p>
        </w:tc>
        <w:tc>
          <w:tcPr>
            <w:tcW w:w="1027" w:type="dxa"/>
          </w:tcPr>
          <w:p w14:paraId="67B60735" w14:textId="77777777" w:rsidR="0089300F" w:rsidRPr="009A5ECD" w:rsidRDefault="0089300F" w:rsidP="008D0CF9">
            <w:pPr>
              <w:spacing w:line="240" w:lineRule="auto"/>
              <w:jc w:val="center"/>
              <w:rPr>
                <w:b/>
              </w:rPr>
            </w:pPr>
            <w:r w:rsidRPr="009A5ECD">
              <w:rPr>
                <w:b/>
              </w:rPr>
              <w:t>Priority</w:t>
            </w:r>
          </w:p>
        </w:tc>
      </w:tr>
      <w:tr w:rsidR="0089300F" w:rsidRPr="009A5ECD" w14:paraId="2850B24E" w14:textId="77777777" w:rsidTr="5A36DD3A">
        <w:trPr>
          <w:cnfStyle w:val="000000100000" w:firstRow="0" w:lastRow="0" w:firstColumn="0" w:lastColumn="0" w:oddVBand="0" w:evenVBand="0" w:oddHBand="1" w:evenHBand="0" w:firstRowFirstColumn="0" w:firstRowLastColumn="0" w:lastRowFirstColumn="0" w:lastRowLastColumn="0"/>
          <w:trHeight w:val="300"/>
        </w:trPr>
        <w:tc>
          <w:tcPr>
            <w:tcW w:w="6780" w:type="dxa"/>
          </w:tcPr>
          <w:p w14:paraId="6F41D9E7" w14:textId="77777777" w:rsidR="0089300F" w:rsidRPr="009A5ECD" w:rsidRDefault="0089300F">
            <w:pPr>
              <w:spacing w:line="240" w:lineRule="auto"/>
            </w:pPr>
            <w:r w:rsidRPr="4F50332C">
              <w:rPr>
                <w:b/>
                <w:bCs/>
              </w:rPr>
              <w:t>2.1.1</w:t>
            </w:r>
            <w:r>
              <w:t xml:space="preserve"> Map current One Health microbial genomic repositories and explore options to strengthen national coordination and interoperability. </w:t>
            </w:r>
          </w:p>
        </w:tc>
        <w:tc>
          <w:tcPr>
            <w:tcW w:w="1303" w:type="dxa"/>
          </w:tcPr>
          <w:p w14:paraId="4C515539" w14:textId="77777777" w:rsidR="0089300F" w:rsidRPr="009A5ECD" w:rsidRDefault="0089300F" w:rsidP="008D0CF9">
            <w:pPr>
              <w:spacing w:line="240" w:lineRule="auto"/>
              <w:jc w:val="center"/>
            </w:pPr>
            <w:r w:rsidRPr="009A5ECD">
              <w:t>Short</w:t>
            </w:r>
          </w:p>
        </w:tc>
        <w:tc>
          <w:tcPr>
            <w:tcW w:w="1215" w:type="dxa"/>
          </w:tcPr>
          <w:p w14:paraId="673F5188" w14:textId="77777777" w:rsidR="0089300F" w:rsidRPr="009A5ECD" w:rsidRDefault="0089300F" w:rsidP="008D0CF9">
            <w:pPr>
              <w:spacing w:line="240" w:lineRule="auto"/>
              <w:jc w:val="center"/>
            </w:pPr>
            <w:r>
              <w:t>Australian CDC</w:t>
            </w:r>
          </w:p>
        </w:tc>
        <w:tc>
          <w:tcPr>
            <w:tcW w:w="1027" w:type="dxa"/>
          </w:tcPr>
          <w:p w14:paraId="0327C8D8" w14:textId="77777777" w:rsidR="0089300F" w:rsidRPr="009A5ECD" w:rsidRDefault="0089300F" w:rsidP="008D0CF9">
            <w:pPr>
              <w:spacing w:line="240" w:lineRule="auto"/>
              <w:jc w:val="center"/>
            </w:pPr>
            <w:r w:rsidRPr="009A5ECD">
              <w:t>High</w:t>
            </w:r>
          </w:p>
        </w:tc>
      </w:tr>
      <w:tr w:rsidR="00123D9D" w:rsidRPr="009A5ECD" w14:paraId="5E051F0E" w14:textId="77777777" w:rsidTr="5A36DD3A">
        <w:trPr>
          <w:trHeight w:val="300"/>
        </w:trPr>
        <w:tc>
          <w:tcPr>
            <w:tcW w:w="6780" w:type="dxa"/>
          </w:tcPr>
          <w:p w14:paraId="072DF0A2" w14:textId="752450B8" w:rsidR="00123D9D" w:rsidRPr="5A36DD3A" w:rsidRDefault="00123D9D" w:rsidP="00123D9D">
            <w:pPr>
              <w:spacing w:line="240" w:lineRule="auto"/>
              <w:rPr>
                <w:b/>
                <w:bCs/>
              </w:rPr>
            </w:pPr>
            <w:r w:rsidRPr="5A36DD3A">
              <w:rPr>
                <w:b/>
                <w:bCs/>
              </w:rPr>
              <w:t>2.1.</w:t>
            </w:r>
            <w:r>
              <w:rPr>
                <w:b/>
                <w:bCs/>
              </w:rPr>
              <w:t>2</w:t>
            </w:r>
            <w:r>
              <w:t xml:space="preserve"> Advocate and support increases in microbial genomics, bioinformatics and genomic epidemiology capability and capacity in each jurisdiction.</w:t>
            </w:r>
          </w:p>
        </w:tc>
        <w:tc>
          <w:tcPr>
            <w:tcW w:w="1303" w:type="dxa"/>
          </w:tcPr>
          <w:p w14:paraId="0875302D" w14:textId="4F75A9DE" w:rsidR="00123D9D" w:rsidRPr="009A5ECD" w:rsidRDefault="00123D9D" w:rsidP="00123D9D">
            <w:pPr>
              <w:spacing w:line="240" w:lineRule="auto"/>
              <w:jc w:val="center"/>
            </w:pPr>
            <w:r w:rsidRPr="009A5ECD">
              <w:t>Medium</w:t>
            </w:r>
          </w:p>
        </w:tc>
        <w:tc>
          <w:tcPr>
            <w:tcW w:w="1215" w:type="dxa"/>
          </w:tcPr>
          <w:p w14:paraId="12C5E01A" w14:textId="700283C9" w:rsidR="00123D9D" w:rsidRDefault="00123D9D" w:rsidP="00123D9D">
            <w:pPr>
              <w:spacing w:line="240" w:lineRule="auto"/>
              <w:jc w:val="center"/>
            </w:pPr>
            <w:r>
              <w:t>Australian CDC</w:t>
            </w:r>
          </w:p>
        </w:tc>
        <w:tc>
          <w:tcPr>
            <w:tcW w:w="1027" w:type="dxa"/>
          </w:tcPr>
          <w:p w14:paraId="4C33104C" w14:textId="2B86A391" w:rsidR="00123D9D" w:rsidRPr="009A5ECD" w:rsidRDefault="00123D9D" w:rsidP="00123D9D">
            <w:pPr>
              <w:spacing w:line="240" w:lineRule="auto"/>
              <w:jc w:val="center"/>
            </w:pPr>
            <w:r w:rsidRPr="009A5ECD">
              <w:t>High</w:t>
            </w:r>
          </w:p>
        </w:tc>
      </w:tr>
      <w:tr w:rsidR="00123D9D" w:rsidRPr="009A5ECD" w14:paraId="6BFE4CA8" w14:textId="77777777" w:rsidTr="5A36DD3A">
        <w:trPr>
          <w:cnfStyle w:val="000000100000" w:firstRow="0" w:lastRow="0" w:firstColumn="0" w:lastColumn="0" w:oddVBand="0" w:evenVBand="0" w:oddHBand="1" w:evenHBand="0" w:firstRowFirstColumn="0" w:firstRowLastColumn="0" w:lastRowFirstColumn="0" w:lastRowLastColumn="0"/>
          <w:trHeight w:val="300"/>
        </w:trPr>
        <w:tc>
          <w:tcPr>
            <w:tcW w:w="6780" w:type="dxa"/>
          </w:tcPr>
          <w:p w14:paraId="7BE5D8EA" w14:textId="777B91BE" w:rsidR="00123D9D" w:rsidRPr="009A5ECD" w:rsidRDefault="00123D9D" w:rsidP="00123D9D">
            <w:pPr>
              <w:spacing w:line="240" w:lineRule="auto"/>
            </w:pPr>
            <w:r w:rsidRPr="5A36DD3A">
              <w:rPr>
                <w:b/>
                <w:bCs/>
              </w:rPr>
              <w:t>2.1.</w:t>
            </w:r>
            <w:r>
              <w:rPr>
                <w:b/>
                <w:bCs/>
              </w:rPr>
              <w:t>3</w:t>
            </w:r>
            <w:r>
              <w:t xml:space="preserve"> Enable and maintain access to nationally agreed minimum sequence quality metrics, and protocols for sequence quality control and analysis for priority pathogens, with support of CDNA and CDGN. </w:t>
            </w:r>
          </w:p>
        </w:tc>
        <w:tc>
          <w:tcPr>
            <w:tcW w:w="1303" w:type="dxa"/>
          </w:tcPr>
          <w:p w14:paraId="3BBF7E7F" w14:textId="77777777" w:rsidR="00123D9D" w:rsidRPr="009A5ECD" w:rsidRDefault="00123D9D" w:rsidP="00123D9D">
            <w:pPr>
              <w:spacing w:line="240" w:lineRule="auto"/>
              <w:jc w:val="center"/>
            </w:pPr>
            <w:r w:rsidRPr="009A5ECD">
              <w:t>Long</w:t>
            </w:r>
          </w:p>
        </w:tc>
        <w:tc>
          <w:tcPr>
            <w:tcW w:w="1215" w:type="dxa"/>
          </w:tcPr>
          <w:p w14:paraId="3C64A0C8" w14:textId="4358C815" w:rsidR="00123D9D" w:rsidRPr="009A5ECD" w:rsidRDefault="00123D9D" w:rsidP="00123D9D">
            <w:pPr>
              <w:spacing w:line="240" w:lineRule="auto"/>
              <w:jc w:val="center"/>
            </w:pPr>
            <w:r>
              <w:t>PHLN</w:t>
            </w:r>
          </w:p>
        </w:tc>
        <w:tc>
          <w:tcPr>
            <w:tcW w:w="1027" w:type="dxa"/>
          </w:tcPr>
          <w:p w14:paraId="7B78FFE7" w14:textId="77777777" w:rsidR="00123D9D" w:rsidRPr="009A5ECD" w:rsidRDefault="00123D9D" w:rsidP="00123D9D">
            <w:pPr>
              <w:spacing w:line="240" w:lineRule="auto"/>
              <w:jc w:val="center"/>
            </w:pPr>
            <w:r w:rsidRPr="009A5ECD">
              <w:t>High</w:t>
            </w:r>
          </w:p>
        </w:tc>
      </w:tr>
    </w:tbl>
    <w:p w14:paraId="29F7C622" w14:textId="64D26ABE" w:rsidR="00A83C59" w:rsidRDefault="00A83C59" w:rsidP="00A83C59">
      <w:pPr>
        <w:spacing w:before="0" w:after="0" w:line="240" w:lineRule="auto"/>
        <w:rPr>
          <w:b/>
          <w:bCs/>
          <w:color w:val="033636" w:themeColor="text2"/>
          <w:highlight w:val="lightGray"/>
        </w:rPr>
      </w:pPr>
      <w:r>
        <w:rPr>
          <w:highlight w:val="lightGray"/>
        </w:rPr>
        <w:br w:type="page"/>
      </w:r>
    </w:p>
    <w:p w14:paraId="5F6AC98B" w14:textId="29AE6E65" w:rsidR="009906EA" w:rsidRPr="009814D7" w:rsidRDefault="009906EA" w:rsidP="009906EA">
      <w:pPr>
        <w:pStyle w:val="Heading3"/>
      </w:pPr>
      <w:bookmarkStart w:id="117" w:name="_Toc135494175"/>
      <w:bookmarkStart w:id="118" w:name="_Toc30059924"/>
      <w:bookmarkStart w:id="119" w:name="_Toc1318349687"/>
      <w:bookmarkStart w:id="120" w:name="_Toc191899420"/>
      <w:r>
        <w:lastRenderedPageBreak/>
        <w:t>Outcome 2.2</w:t>
      </w:r>
      <w:r w:rsidR="003D1832">
        <w:t xml:space="preserve"> </w:t>
      </w:r>
      <w:r>
        <w:t>—</w:t>
      </w:r>
      <w:r w:rsidR="003D1832">
        <w:t xml:space="preserve"> </w:t>
      </w:r>
      <w:r w:rsidR="0086752E">
        <w:t>Enhanced d</w:t>
      </w:r>
      <w:r>
        <w:t>ata sharing</w:t>
      </w:r>
      <w:bookmarkEnd w:id="117"/>
      <w:bookmarkEnd w:id="118"/>
      <w:r>
        <w:t xml:space="preserve"> and governance</w:t>
      </w:r>
      <w:bookmarkEnd w:id="119"/>
      <w:bookmarkEnd w:id="120"/>
    </w:p>
    <w:p w14:paraId="1286E234" w14:textId="77777777" w:rsidR="00B90639" w:rsidRPr="009A5ECD" w:rsidRDefault="00B90639" w:rsidP="00732ECA">
      <w:pPr>
        <w:pStyle w:val="ListParagraph"/>
        <w:numPr>
          <w:ilvl w:val="0"/>
          <w:numId w:val="27"/>
        </w:numPr>
        <w:spacing w:line="240" w:lineRule="auto"/>
      </w:pPr>
      <w:r>
        <w:t>Maintain and enhance multi-directional, interoperable microbial genomic data and critical metadata sharing across Australian governments, One Health sectors, and internationally.</w:t>
      </w:r>
    </w:p>
    <w:p w14:paraId="5BA09811" w14:textId="77777777" w:rsidR="00B90639" w:rsidRPr="009A5ECD" w:rsidRDefault="00B90639" w:rsidP="00732ECA">
      <w:pPr>
        <w:pStyle w:val="ListParagraph"/>
        <w:numPr>
          <w:ilvl w:val="0"/>
          <w:numId w:val="27"/>
        </w:numPr>
        <w:spacing w:line="240" w:lineRule="auto"/>
      </w:pPr>
      <w:r w:rsidRPr="009A5ECD">
        <w:t>Ensure data sharing is compliant with the appropriate national and jurisdictional legislation, guidelines, and ethical frameworks.</w:t>
      </w:r>
    </w:p>
    <w:p w14:paraId="3AF6A057" w14:textId="77777777" w:rsidR="00B90639" w:rsidRPr="009A5ECD" w:rsidRDefault="00B90639" w:rsidP="00732ECA">
      <w:pPr>
        <w:pStyle w:val="ListParagraph"/>
        <w:numPr>
          <w:ilvl w:val="0"/>
          <w:numId w:val="27"/>
        </w:numPr>
        <w:spacing w:line="240" w:lineRule="auto"/>
      </w:pPr>
      <w:r w:rsidRPr="009A5ECD">
        <w:t>Review legislation and regulation at both state and federal levels to identify whether there are any impediments to implementation of microbial genomics, particularly in relation to data sharing.</w:t>
      </w:r>
    </w:p>
    <w:p w14:paraId="2271ED1E" w14:textId="77777777" w:rsidR="00B90639" w:rsidRPr="009A5ECD" w:rsidRDefault="00B90639" w:rsidP="00732ECA">
      <w:pPr>
        <w:pStyle w:val="ListParagraph"/>
        <w:numPr>
          <w:ilvl w:val="0"/>
          <w:numId w:val="27"/>
        </w:numPr>
        <w:spacing w:line="240" w:lineRule="auto"/>
      </w:pPr>
      <w:r w:rsidRPr="009A5ECD">
        <w:t>Ensure meaningful and appropriate recognition of data sources by both data custodian and data requester.</w:t>
      </w:r>
    </w:p>
    <w:p w14:paraId="07A264A1" w14:textId="77777777" w:rsidR="00B90639" w:rsidRDefault="00B90639" w:rsidP="00732ECA">
      <w:pPr>
        <w:pStyle w:val="ListParagraph"/>
        <w:numPr>
          <w:ilvl w:val="0"/>
          <w:numId w:val="27"/>
        </w:numPr>
        <w:spacing w:line="240" w:lineRule="auto"/>
      </w:pPr>
      <w:r w:rsidRPr="009A5ECD">
        <w:t>Establish and maintain trust between data sharing entities and encourage further data sharing among active and potential providers, including in a One Health context.</w:t>
      </w:r>
    </w:p>
    <w:tbl>
      <w:tblPr>
        <w:tblStyle w:val="TableGrid"/>
        <w:tblW w:w="10300" w:type="dxa"/>
        <w:tblInd w:w="-431" w:type="dxa"/>
        <w:tblLook w:val="04A0" w:firstRow="1" w:lastRow="0" w:firstColumn="1" w:lastColumn="0" w:noHBand="0" w:noVBand="1"/>
      </w:tblPr>
      <w:tblGrid>
        <w:gridCol w:w="6784"/>
        <w:gridCol w:w="1260"/>
        <w:gridCol w:w="1176"/>
        <w:gridCol w:w="1080"/>
      </w:tblGrid>
      <w:tr w:rsidR="00067378" w:rsidRPr="009A5ECD" w14:paraId="6BFA631E" w14:textId="77777777" w:rsidTr="5A36DD3A">
        <w:trPr>
          <w:cnfStyle w:val="100000000000" w:firstRow="1" w:lastRow="0" w:firstColumn="0" w:lastColumn="0" w:oddVBand="0" w:evenVBand="0" w:oddHBand="0" w:evenHBand="0" w:firstRowFirstColumn="0" w:firstRowLastColumn="0" w:lastRowFirstColumn="0" w:lastRowLastColumn="0"/>
          <w:trHeight w:val="283"/>
        </w:trPr>
        <w:tc>
          <w:tcPr>
            <w:tcW w:w="6784" w:type="dxa"/>
          </w:tcPr>
          <w:p w14:paraId="6D390066" w14:textId="77777777" w:rsidR="00B90639" w:rsidRPr="009A5ECD" w:rsidRDefault="00B90639">
            <w:pPr>
              <w:spacing w:line="240" w:lineRule="auto"/>
              <w:rPr>
                <w:b/>
              </w:rPr>
            </w:pPr>
            <w:r w:rsidRPr="009A5ECD">
              <w:rPr>
                <w:b/>
              </w:rPr>
              <w:t>National Action</w:t>
            </w:r>
          </w:p>
        </w:tc>
        <w:tc>
          <w:tcPr>
            <w:tcW w:w="1260" w:type="dxa"/>
          </w:tcPr>
          <w:p w14:paraId="3ED148F5" w14:textId="77777777" w:rsidR="00B90639" w:rsidRPr="009A5ECD" w:rsidRDefault="00B90639" w:rsidP="006B6CBF">
            <w:pPr>
              <w:spacing w:line="240" w:lineRule="auto"/>
              <w:jc w:val="center"/>
              <w:rPr>
                <w:b/>
              </w:rPr>
            </w:pPr>
            <w:r w:rsidRPr="009A5ECD">
              <w:rPr>
                <w:b/>
              </w:rPr>
              <w:t>Timeframe</w:t>
            </w:r>
          </w:p>
        </w:tc>
        <w:tc>
          <w:tcPr>
            <w:tcW w:w="1176" w:type="dxa"/>
          </w:tcPr>
          <w:p w14:paraId="7DE8BB3D" w14:textId="77777777" w:rsidR="00B90639" w:rsidRPr="009A5ECD" w:rsidRDefault="00B90639" w:rsidP="006B6CBF">
            <w:pPr>
              <w:spacing w:line="240" w:lineRule="auto"/>
              <w:jc w:val="center"/>
              <w:rPr>
                <w:b/>
              </w:rPr>
            </w:pPr>
            <w:r w:rsidRPr="009A5ECD">
              <w:rPr>
                <w:b/>
              </w:rPr>
              <w:t>Lead</w:t>
            </w:r>
          </w:p>
        </w:tc>
        <w:tc>
          <w:tcPr>
            <w:tcW w:w="1080" w:type="dxa"/>
          </w:tcPr>
          <w:p w14:paraId="64640400" w14:textId="77777777" w:rsidR="00B90639" w:rsidRPr="009A5ECD" w:rsidRDefault="00B90639" w:rsidP="006B6CBF">
            <w:pPr>
              <w:spacing w:line="240" w:lineRule="auto"/>
              <w:jc w:val="center"/>
              <w:rPr>
                <w:b/>
              </w:rPr>
            </w:pPr>
            <w:r w:rsidRPr="009A5ECD">
              <w:rPr>
                <w:b/>
              </w:rPr>
              <w:t>Priority</w:t>
            </w:r>
          </w:p>
        </w:tc>
      </w:tr>
      <w:tr w:rsidR="00B90639" w:rsidRPr="009A5ECD" w14:paraId="2ACF3364" w14:textId="77777777" w:rsidTr="5A36DD3A">
        <w:trPr>
          <w:cnfStyle w:val="000000100000" w:firstRow="0" w:lastRow="0" w:firstColumn="0" w:lastColumn="0" w:oddVBand="0" w:evenVBand="0" w:oddHBand="1" w:evenHBand="0" w:firstRowFirstColumn="0" w:firstRowLastColumn="0" w:lastRowFirstColumn="0" w:lastRowLastColumn="0"/>
          <w:trHeight w:val="300"/>
        </w:trPr>
        <w:tc>
          <w:tcPr>
            <w:tcW w:w="6784" w:type="dxa"/>
          </w:tcPr>
          <w:p w14:paraId="63C47233" w14:textId="20BE4A75" w:rsidR="00B90639" w:rsidRPr="009A5ECD" w:rsidRDefault="00B90639">
            <w:pPr>
              <w:spacing w:line="240" w:lineRule="auto"/>
            </w:pPr>
            <w:r w:rsidRPr="7CC1F5DA">
              <w:rPr>
                <w:b/>
                <w:bCs/>
              </w:rPr>
              <w:t>2.2.1</w:t>
            </w:r>
            <w:r>
              <w:t xml:space="preserve"> Endorse a national pathogen-agnostic data sharing framework and protocol for the sharing of sequencing data, epidemiological metadata, and/or microbial materials through </w:t>
            </w:r>
            <w:r w:rsidR="352C9CD6">
              <w:t xml:space="preserve">Australia’s nationally agreed genomics surveillance platform </w:t>
            </w:r>
            <w:r>
              <w:t>across the human public health sector.</w:t>
            </w:r>
          </w:p>
        </w:tc>
        <w:tc>
          <w:tcPr>
            <w:tcW w:w="1260" w:type="dxa"/>
          </w:tcPr>
          <w:p w14:paraId="025DFCAD" w14:textId="77777777" w:rsidR="00B90639" w:rsidRPr="009A5ECD" w:rsidRDefault="00B90639" w:rsidP="006B6CBF">
            <w:pPr>
              <w:spacing w:line="240" w:lineRule="auto"/>
              <w:jc w:val="center"/>
            </w:pPr>
            <w:r w:rsidRPr="009A5ECD">
              <w:t>Short</w:t>
            </w:r>
          </w:p>
        </w:tc>
        <w:tc>
          <w:tcPr>
            <w:tcW w:w="1176" w:type="dxa"/>
          </w:tcPr>
          <w:p w14:paraId="6AB32CC5" w14:textId="4573536D" w:rsidR="00B90639" w:rsidRPr="009A5ECD" w:rsidRDefault="0721EEE1" w:rsidP="006B6CBF">
            <w:pPr>
              <w:spacing w:line="240" w:lineRule="auto"/>
              <w:jc w:val="center"/>
              <w:rPr>
                <w:highlight w:val="yellow"/>
              </w:rPr>
            </w:pPr>
            <w:r>
              <w:t>Australian</w:t>
            </w:r>
            <w:r w:rsidR="024E82D0">
              <w:t xml:space="preserve"> CDC</w:t>
            </w:r>
          </w:p>
        </w:tc>
        <w:tc>
          <w:tcPr>
            <w:tcW w:w="1080" w:type="dxa"/>
          </w:tcPr>
          <w:p w14:paraId="76C97D0C" w14:textId="77777777" w:rsidR="00B90639" w:rsidRPr="009A5ECD" w:rsidRDefault="00B90639" w:rsidP="006B6CBF">
            <w:pPr>
              <w:spacing w:line="240" w:lineRule="auto"/>
              <w:jc w:val="center"/>
            </w:pPr>
            <w:r w:rsidRPr="009A5ECD">
              <w:t>High</w:t>
            </w:r>
          </w:p>
        </w:tc>
      </w:tr>
      <w:tr w:rsidR="000D530D" w:rsidRPr="009A5ECD" w14:paraId="1FAA16A5" w14:textId="77777777" w:rsidTr="5A36DD3A">
        <w:trPr>
          <w:trHeight w:val="300"/>
        </w:trPr>
        <w:tc>
          <w:tcPr>
            <w:tcW w:w="6784" w:type="dxa"/>
          </w:tcPr>
          <w:p w14:paraId="0C1A1E6E" w14:textId="697DA720" w:rsidR="000D530D" w:rsidRPr="7CC1F5DA" w:rsidRDefault="000D530D" w:rsidP="000D530D">
            <w:pPr>
              <w:spacing w:line="240" w:lineRule="auto"/>
              <w:rPr>
                <w:b/>
                <w:bCs/>
              </w:rPr>
            </w:pPr>
            <w:r w:rsidRPr="009A5ECD">
              <w:rPr>
                <w:b/>
              </w:rPr>
              <w:t>2.2.</w:t>
            </w:r>
            <w:r>
              <w:rPr>
                <w:b/>
              </w:rPr>
              <w:t>2</w:t>
            </w:r>
            <w:r w:rsidRPr="009A5ECD">
              <w:t xml:space="preserve"> Review legislation and regulation at both state/territory and federal levels to identify any impediments to implementation of microbial genomics for public health action, particularly in relation to data sharing.</w:t>
            </w:r>
          </w:p>
        </w:tc>
        <w:tc>
          <w:tcPr>
            <w:tcW w:w="1260" w:type="dxa"/>
          </w:tcPr>
          <w:p w14:paraId="610E0F71" w14:textId="07C401F0" w:rsidR="000D530D" w:rsidRPr="009A5ECD" w:rsidRDefault="000D530D" w:rsidP="000D530D">
            <w:pPr>
              <w:spacing w:line="240" w:lineRule="auto"/>
              <w:jc w:val="center"/>
            </w:pPr>
            <w:r w:rsidRPr="009A5ECD">
              <w:t>Short</w:t>
            </w:r>
          </w:p>
        </w:tc>
        <w:tc>
          <w:tcPr>
            <w:tcW w:w="1176" w:type="dxa"/>
          </w:tcPr>
          <w:p w14:paraId="737345B4" w14:textId="058B0F16" w:rsidR="000D530D" w:rsidRDefault="000D530D" w:rsidP="000D530D">
            <w:pPr>
              <w:spacing w:line="240" w:lineRule="auto"/>
              <w:jc w:val="center"/>
            </w:pPr>
            <w:r>
              <w:t>Australian CDC</w:t>
            </w:r>
          </w:p>
        </w:tc>
        <w:tc>
          <w:tcPr>
            <w:tcW w:w="1080" w:type="dxa"/>
          </w:tcPr>
          <w:p w14:paraId="2845FA8F" w14:textId="42CE69A0" w:rsidR="000D530D" w:rsidRPr="009A5ECD" w:rsidRDefault="000D530D" w:rsidP="000D530D">
            <w:pPr>
              <w:spacing w:line="240" w:lineRule="auto"/>
              <w:jc w:val="center"/>
            </w:pPr>
            <w:r w:rsidRPr="009A5ECD">
              <w:t>High</w:t>
            </w:r>
          </w:p>
        </w:tc>
      </w:tr>
      <w:tr w:rsidR="000D530D" w:rsidRPr="009A5ECD" w14:paraId="2E9B5058" w14:textId="77777777" w:rsidTr="5A36DD3A">
        <w:trPr>
          <w:cnfStyle w:val="000000100000" w:firstRow="0" w:lastRow="0" w:firstColumn="0" w:lastColumn="0" w:oddVBand="0" w:evenVBand="0" w:oddHBand="1" w:evenHBand="0" w:firstRowFirstColumn="0" w:firstRowLastColumn="0" w:lastRowFirstColumn="0" w:lastRowLastColumn="0"/>
          <w:trHeight w:val="300"/>
        </w:trPr>
        <w:tc>
          <w:tcPr>
            <w:tcW w:w="6784" w:type="dxa"/>
          </w:tcPr>
          <w:p w14:paraId="094B32F2" w14:textId="70CE8DB9" w:rsidR="000D530D" w:rsidRPr="7CC1F5DA" w:rsidRDefault="000D530D" w:rsidP="000D530D">
            <w:pPr>
              <w:spacing w:line="240" w:lineRule="auto"/>
              <w:rPr>
                <w:b/>
                <w:bCs/>
              </w:rPr>
            </w:pPr>
            <w:r w:rsidRPr="008D5E82">
              <w:rPr>
                <w:b/>
              </w:rPr>
              <w:t>2.2.</w:t>
            </w:r>
            <w:r>
              <w:rPr>
                <w:b/>
              </w:rPr>
              <w:t>3</w:t>
            </w:r>
            <w:r w:rsidRPr="008D5E82">
              <w:rPr>
                <w:b/>
              </w:rPr>
              <w:t xml:space="preserve"> </w:t>
            </w:r>
            <w:r w:rsidRPr="008D5E82">
              <w:t>Scope the feasibility of enhanced data integration and/or linkages as appropriate between PHLs and health departments’ data management systems and other relevant national databases and surveillance systems.</w:t>
            </w:r>
          </w:p>
        </w:tc>
        <w:tc>
          <w:tcPr>
            <w:tcW w:w="1260" w:type="dxa"/>
          </w:tcPr>
          <w:p w14:paraId="24EE267D" w14:textId="417A367B" w:rsidR="000D530D" w:rsidRPr="009A5ECD" w:rsidRDefault="000D530D" w:rsidP="000D530D">
            <w:pPr>
              <w:spacing w:line="240" w:lineRule="auto"/>
              <w:jc w:val="center"/>
            </w:pPr>
            <w:r w:rsidRPr="008D5E82">
              <w:t>Short</w:t>
            </w:r>
          </w:p>
        </w:tc>
        <w:tc>
          <w:tcPr>
            <w:tcW w:w="1176" w:type="dxa"/>
          </w:tcPr>
          <w:p w14:paraId="5F474234" w14:textId="0888DD89" w:rsidR="000D530D" w:rsidRDefault="000D530D" w:rsidP="000D530D">
            <w:pPr>
              <w:spacing w:line="240" w:lineRule="auto"/>
              <w:jc w:val="center"/>
            </w:pPr>
            <w:r w:rsidRPr="008D5E82">
              <w:t>Australian CDC</w:t>
            </w:r>
          </w:p>
        </w:tc>
        <w:tc>
          <w:tcPr>
            <w:tcW w:w="1080" w:type="dxa"/>
          </w:tcPr>
          <w:p w14:paraId="4BC3B8F4" w14:textId="05A783E0" w:rsidR="000D530D" w:rsidRPr="009A5ECD" w:rsidRDefault="000D530D" w:rsidP="000D530D">
            <w:pPr>
              <w:spacing w:line="240" w:lineRule="auto"/>
              <w:jc w:val="center"/>
            </w:pPr>
            <w:r w:rsidRPr="008D5E82">
              <w:t>High</w:t>
            </w:r>
          </w:p>
        </w:tc>
      </w:tr>
      <w:tr w:rsidR="002A6E38" w:rsidRPr="009A5ECD" w14:paraId="01935F44" w14:textId="77777777" w:rsidTr="5A36DD3A">
        <w:trPr>
          <w:trHeight w:val="300"/>
        </w:trPr>
        <w:tc>
          <w:tcPr>
            <w:tcW w:w="6784" w:type="dxa"/>
          </w:tcPr>
          <w:p w14:paraId="45761C0C" w14:textId="14A3C307" w:rsidR="002A6E38" w:rsidRPr="1891A9DC" w:rsidRDefault="002A6E38" w:rsidP="002A6E38">
            <w:pPr>
              <w:spacing w:line="240" w:lineRule="auto"/>
              <w:rPr>
                <w:b/>
                <w:bCs/>
              </w:rPr>
            </w:pPr>
            <w:r w:rsidRPr="1891A9DC">
              <w:rPr>
                <w:b/>
                <w:bCs/>
              </w:rPr>
              <w:t>2.2.</w:t>
            </w:r>
            <w:r>
              <w:rPr>
                <w:b/>
                <w:bCs/>
              </w:rPr>
              <w:t>4</w:t>
            </w:r>
            <w:r>
              <w:t xml:space="preserve"> Explore integrating microbial sequencing data into electronic health records to improve patient care and population health outcomes.</w:t>
            </w:r>
          </w:p>
        </w:tc>
        <w:tc>
          <w:tcPr>
            <w:tcW w:w="1260" w:type="dxa"/>
          </w:tcPr>
          <w:p w14:paraId="5F1EE42E" w14:textId="399F7D3A" w:rsidR="002A6E38" w:rsidRPr="009A5ECD" w:rsidRDefault="002A6E38" w:rsidP="002A6E38">
            <w:pPr>
              <w:spacing w:line="240" w:lineRule="auto"/>
              <w:jc w:val="center"/>
            </w:pPr>
            <w:r w:rsidRPr="009A5ECD">
              <w:t>Short</w:t>
            </w:r>
          </w:p>
        </w:tc>
        <w:tc>
          <w:tcPr>
            <w:tcW w:w="1176" w:type="dxa"/>
          </w:tcPr>
          <w:p w14:paraId="3F24A129" w14:textId="3693EB12" w:rsidR="002A6E38" w:rsidRDefault="002A6E38" w:rsidP="002A6E38">
            <w:pPr>
              <w:spacing w:line="240" w:lineRule="auto"/>
              <w:jc w:val="center"/>
            </w:pPr>
            <w:r>
              <w:t>Health</w:t>
            </w:r>
          </w:p>
        </w:tc>
        <w:tc>
          <w:tcPr>
            <w:tcW w:w="1080" w:type="dxa"/>
          </w:tcPr>
          <w:p w14:paraId="7B4783AC" w14:textId="63ADD293" w:rsidR="002A6E38" w:rsidRPr="009A5ECD" w:rsidRDefault="002A6E38" w:rsidP="002A6E38">
            <w:pPr>
              <w:spacing w:line="240" w:lineRule="auto"/>
              <w:jc w:val="center"/>
            </w:pPr>
            <w:r w:rsidRPr="009A5ECD">
              <w:t>Medium</w:t>
            </w:r>
          </w:p>
        </w:tc>
      </w:tr>
      <w:tr w:rsidR="002A6E38" w:rsidRPr="009A5ECD" w14:paraId="3C160A76" w14:textId="77777777" w:rsidTr="5A36DD3A">
        <w:trPr>
          <w:cnfStyle w:val="000000100000" w:firstRow="0" w:lastRow="0" w:firstColumn="0" w:lastColumn="0" w:oddVBand="0" w:evenVBand="0" w:oddHBand="1" w:evenHBand="0" w:firstRowFirstColumn="0" w:firstRowLastColumn="0" w:lastRowFirstColumn="0" w:lastRowLastColumn="0"/>
          <w:trHeight w:val="300"/>
        </w:trPr>
        <w:tc>
          <w:tcPr>
            <w:tcW w:w="6784" w:type="dxa"/>
          </w:tcPr>
          <w:p w14:paraId="1D147F20" w14:textId="657F6E72" w:rsidR="002A6E38" w:rsidRPr="1891A9DC" w:rsidRDefault="002A6E38" w:rsidP="002A6E38">
            <w:pPr>
              <w:spacing w:line="240" w:lineRule="auto"/>
              <w:rPr>
                <w:b/>
                <w:bCs/>
              </w:rPr>
            </w:pPr>
            <w:r w:rsidRPr="1891A9DC">
              <w:rPr>
                <w:b/>
                <w:bCs/>
              </w:rPr>
              <w:t>2.2.</w:t>
            </w:r>
            <w:r>
              <w:rPr>
                <w:b/>
                <w:bCs/>
              </w:rPr>
              <w:t>5</w:t>
            </w:r>
            <w:r w:rsidRPr="1891A9DC">
              <w:rPr>
                <w:b/>
                <w:bCs/>
              </w:rPr>
              <w:t xml:space="preserve"> </w:t>
            </w:r>
            <w:r>
              <w:t>Harmonise and where possible improve data governance and legal requirements between jurisdictions for sharing sequences and associated metadata.</w:t>
            </w:r>
          </w:p>
        </w:tc>
        <w:tc>
          <w:tcPr>
            <w:tcW w:w="1260" w:type="dxa"/>
          </w:tcPr>
          <w:p w14:paraId="365DC146" w14:textId="64F34970" w:rsidR="002A6E38" w:rsidRPr="009A5ECD" w:rsidRDefault="002A6E38" w:rsidP="002A6E38">
            <w:pPr>
              <w:spacing w:line="240" w:lineRule="auto"/>
              <w:jc w:val="center"/>
            </w:pPr>
            <w:r w:rsidRPr="009A5ECD">
              <w:t>Medium</w:t>
            </w:r>
          </w:p>
        </w:tc>
        <w:tc>
          <w:tcPr>
            <w:tcW w:w="1176" w:type="dxa"/>
          </w:tcPr>
          <w:p w14:paraId="45CC5B51" w14:textId="64553636" w:rsidR="002A6E38" w:rsidRDefault="002A6E38" w:rsidP="002A6E38">
            <w:pPr>
              <w:spacing w:line="240" w:lineRule="auto"/>
              <w:jc w:val="center"/>
            </w:pPr>
            <w:r>
              <w:t>Australian CDC</w:t>
            </w:r>
          </w:p>
        </w:tc>
        <w:tc>
          <w:tcPr>
            <w:tcW w:w="1080" w:type="dxa"/>
          </w:tcPr>
          <w:p w14:paraId="4BD817CE" w14:textId="340D9E5E" w:rsidR="002A6E38" w:rsidRPr="009A5ECD" w:rsidRDefault="002A6E38" w:rsidP="002A6E38">
            <w:pPr>
              <w:spacing w:line="240" w:lineRule="auto"/>
              <w:jc w:val="center"/>
            </w:pPr>
            <w:r w:rsidRPr="009A5ECD">
              <w:t>High</w:t>
            </w:r>
          </w:p>
        </w:tc>
      </w:tr>
      <w:tr w:rsidR="002A6E38" w:rsidRPr="009A5ECD" w14:paraId="7C1265C4" w14:textId="77777777" w:rsidTr="5A36DD3A">
        <w:trPr>
          <w:trHeight w:val="300"/>
        </w:trPr>
        <w:tc>
          <w:tcPr>
            <w:tcW w:w="6784" w:type="dxa"/>
          </w:tcPr>
          <w:p w14:paraId="69F34AE2" w14:textId="4172EEF5" w:rsidR="002A6E38" w:rsidRPr="009A5ECD" w:rsidRDefault="002A6E38" w:rsidP="002A6E38">
            <w:pPr>
              <w:spacing w:line="240" w:lineRule="auto"/>
            </w:pPr>
            <w:r w:rsidRPr="009A5ECD">
              <w:rPr>
                <w:b/>
              </w:rPr>
              <w:lastRenderedPageBreak/>
              <w:t>2.2.</w:t>
            </w:r>
            <w:r>
              <w:rPr>
                <w:b/>
              </w:rPr>
              <w:t>6</w:t>
            </w:r>
            <w:r w:rsidRPr="009A5ECD">
              <w:t xml:space="preserve"> Support sector engagement with international data sharing repositories to promote shared access to data for global harmonisation of data, surveillance and where appropriate, research.</w:t>
            </w:r>
          </w:p>
        </w:tc>
        <w:tc>
          <w:tcPr>
            <w:tcW w:w="1260" w:type="dxa"/>
          </w:tcPr>
          <w:p w14:paraId="358CABD9" w14:textId="77777777" w:rsidR="002A6E38" w:rsidRPr="009A5ECD" w:rsidRDefault="002A6E38" w:rsidP="002A6E38">
            <w:pPr>
              <w:spacing w:line="240" w:lineRule="auto"/>
              <w:jc w:val="center"/>
            </w:pPr>
            <w:r w:rsidRPr="009A5ECD">
              <w:t>Medium</w:t>
            </w:r>
          </w:p>
        </w:tc>
        <w:tc>
          <w:tcPr>
            <w:tcW w:w="1176" w:type="dxa"/>
          </w:tcPr>
          <w:p w14:paraId="70A98550" w14:textId="390A1DD8" w:rsidR="002A6E38" w:rsidRPr="009A5ECD" w:rsidRDefault="002A6E38" w:rsidP="002A6E38">
            <w:pPr>
              <w:spacing w:line="240" w:lineRule="auto"/>
              <w:jc w:val="center"/>
            </w:pPr>
            <w:r>
              <w:t>Australian CDC</w:t>
            </w:r>
          </w:p>
        </w:tc>
        <w:tc>
          <w:tcPr>
            <w:tcW w:w="1080" w:type="dxa"/>
          </w:tcPr>
          <w:p w14:paraId="326C33F7" w14:textId="77777777" w:rsidR="002A6E38" w:rsidRPr="009A5ECD" w:rsidRDefault="002A6E38" w:rsidP="002A6E38">
            <w:pPr>
              <w:spacing w:line="240" w:lineRule="auto"/>
              <w:jc w:val="center"/>
            </w:pPr>
            <w:r w:rsidRPr="009A5ECD">
              <w:t>Medium</w:t>
            </w:r>
          </w:p>
        </w:tc>
      </w:tr>
      <w:tr w:rsidR="002A6E38" w:rsidRPr="009A5ECD" w14:paraId="36771714" w14:textId="77777777" w:rsidTr="5A36DD3A">
        <w:trPr>
          <w:cnfStyle w:val="000000100000" w:firstRow="0" w:lastRow="0" w:firstColumn="0" w:lastColumn="0" w:oddVBand="0" w:evenVBand="0" w:oddHBand="1" w:evenHBand="0" w:firstRowFirstColumn="0" w:firstRowLastColumn="0" w:lastRowFirstColumn="0" w:lastRowLastColumn="0"/>
          <w:trHeight w:val="300"/>
        </w:trPr>
        <w:tc>
          <w:tcPr>
            <w:tcW w:w="6784" w:type="dxa"/>
          </w:tcPr>
          <w:p w14:paraId="68D704A4" w14:textId="27A690F3" w:rsidR="002A6E38" w:rsidRPr="009A5ECD" w:rsidRDefault="002A6E38" w:rsidP="002A6E38">
            <w:pPr>
              <w:spacing w:line="240" w:lineRule="auto"/>
            </w:pPr>
            <w:r w:rsidRPr="009A5ECD">
              <w:rPr>
                <w:b/>
              </w:rPr>
              <w:t>2.2.</w:t>
            </w:r>
            <w:r>
              <w:rPr>
                <w:b/>
              </w:rPr>
              <w:t>7</w:t>
            </w:r>
            <w:r w:rsidRPr="009A5ECD">
              <w:t xml:space="preserve"> Involve the clinical microbiology sector in key data sharing discussions across laboratories.</w:t>
            </w:r>
          </w:p>
        </w:tc>
        <w:tc>
          <w:tcPr>
            <w:tcW w:w="1260" w:type="dxa"/>
          </w:tcPr>
          <w:p w14:paraId="1BD9EBE9" w14:textId="77777777" w:rsidR="002A6E38" w:rsidRPr="009A5ECD" w:rsidRDefault="002A6E38" w:rsidP="002A6E38">
            <w:pPr>
              <w:spacing w:line="240" w:lineRule="auto"/>
              <w:jc w:val="center"/>
            </w:pPr>
            <w:r w:rsidRPr="009A5ECD">
              <w:t>Medium</w:t>
            </w:r>
          </w:p>
        </w:tc>
        <w:tc>
          <w:tcPr>
            <w:tcW w:w="1176" w:type="dxa"/>
          </w:tcPr>
          <w:p w14:paraId="123C0571" w14:textId="77777777" w:rsidR="002A6E38" w:rsidRPr="009A5ECD" w:rsidRDefault="002A6E38" w:rsidP="002A6E38">
            <w:pPr>
              <w:spacing w:line="240" w:lineRule="auto"/>
              <w:jc w:val="center"/>
            </w:pPr>
            <w:r>
              <w:t>Australian CDC</w:t>
            </w:r>
          </w:p>
        </w:tc>
        <w:tc>
          <w:tcPr>
            <w:tcW w:w="1080" w:type="dxa"/>
          </w:tcPr>
          <w:p w14:paraId="23A97195" w14:textId="77777777" w:rsidR="002A6E38" w:rsidRPr="009A5ECD" w:rsidRDefault="002A6E38" w:rsidP="002A6E38">
            <w:pPr>
              <w:spacing w:line="240" w:lineRule="auto"/>
              <w:jc w:val="center"/>
            </w:pPr>
            <w:r w:rsidRPr="009A5ECD">
              <w:t>Medium</w:t>
            </w:r>
          </w:p>
        </w:tc>
      </w:tr>
      <w:tr w:rsidR="002A6E38" w:rsidRPr="009A5ECD" w14:paraId="7DEBEDCF" w14:textId="77777777" w:rsidTr="5A36DD3A">
        <w:trPr>
          <w:trHeight w:val="300"/>
        </w:trPr>
        <w:tc>
          <w:tcPr>
            <w:tcW w:w="6784" w:type="dxa"/>
          </w:tcPr>
          <w:p w14:paraId="5F8608F6" w14:textId="10CEBED0" w:rsidR="002A6E38" w:rsidRPr="009A5ECD" w:rsidRDefault="002A6E38" w:rsidP="002A6E38">
            <w:pPr>
              <w:spacing w:line="240" w:lineRule="auto"/>
              <w:rPr>
                <w:b/>
              </w:rPr>
            </w:pPr>
            <w:r w:rsidRPr="009A5ECD">
              <w:rPr>
                <w:b/>
              </w:rPr>
              <w:t>2.2.</w:t>
            </w:r>
            <w:r>
              <w:rPr>
                <w:b/>
              </w:rPr>
              <w:t>8</w:t>
            </w:r>
            <w:r w:rsidRPr="009A5ECD">
              <w:rPr>
                <w:b/>
              </w:rPr>
              <w:t xml:space="preserve"> </w:t>
            </w:r>
            <w:r w:rsidRPr="009A5ECD">
              <w:t>Encourage the adoption of Open Science principles at organisational and jurisdictional levels.</w:t>
            </w:r>
          </w:p>
        </w:tc>
        <w:tc>
          <w:tcPr>
            <w:tcW w:w="1260" w:type="dxa"/>
          </w:tcPr>
          <w:p w14:paraId="34129E88" w14:textId="77777777" w:rsidR="002A6E38" w:rsidRPr="009A5ECD" w:rsidRDefault="002A6E38" w:rsidP="002A6E38">
            <w:pPr>
              <w:spacing w:line="240" w:lineRule="auto"/>
              <w:jc w:val="center"/>
            </w:pPr>
            <w:r w:rsidRPr="009A5ECD">
              <w:t>Long</w:t>
            </w:r>
          </w:p>
        </w:tc>
        <w:tc>
          <w:tcPr>
            <w:tcW w:w="1176" w:type="dxa"/>
          </w:tcPr>
          <w:p w14:paraId="4958A717" w14:textId="77777777" w:rsidR="002A6E38" w:rsidRPr="009A5ECD" w:rsidRDefault="002A6E38" w:rsidP="002A6E38">
            <w:pPr>
              <w:spacing w:line="240" w:lineRule="auto"/>
              <w:jc w:val="center"/>
            </w:pPr>
            <w:r w:rsidRPr="009A5ECD">
              <w:t>All</w:t>
            </w:r>
          </w:p>
        </w:tc>
        <w:tc>
          <w:tcPr>
            <w:tcW w:w="1080" w:type="dxa"/>
          </w:tcPr>
          <w:p w14:paraId="690EF578" w14:textId="77777777" w:rsidR="002A6E38" w:rsidRPr="009A5ECD" w:rsidRDefault="002A6E38" w:rsidP="002A6E38">
            <w:pPr>
              <w:spacing w:line="240" w:lineRule="auto"/>
              <w:jc w:val="center"/>
            </w:pPr>
            <w:r w:rsidRPr="009A5ECD">
              <w:t>Medium</w:t>
            </w:r>
          </w:p>
        </w:tc>
      </w:tr>
    </w:tbl>
    <w:p w14:paraId="38B427A3" w14:textId="4A113E11" w:rsidR="0089300F" w:rsidRDefault="0089300F" w:rsidP="0089300F">
      <w:pPr>
        <w:spacing w:before="0" w:after="0" w:line="240" w:lineRule="auto"/>
        <w:rPr>
          <w:b/>
          <w:bCs/>
          <w:color w:val="033636" w:themeColor="text2"/>
        </w:rPr>
      </w:pPr>
      <w:r>
        <w:br w:type="page"/>
      </w:r>
    </w:p>
    <w:p w14:paraId="0579FDE3" w14:textId="1CD15185" w:rsidR="002D51E7" w:rsidRPr="009814D7" w:rsidRDefault="002D51E7" w:rsidP="002D51E7">
      <w:pPr>
        <w:pStyle w:val="Heading3"/>
      </w:pPr>
      <w:bookmarkStart w:id="121" w:name="_Toc135494176"/>
      <w:bookmarkStart w:id="122" w:name="_Toc1887751420"/>
      <w:bookmarkStart w:id="123" w:name="_Toc557908389"/>
      <w:bookmarkStart w:id="124" w:name="_Toc191899421"/>
      <w:r>
        <w:lastRenderedPageBreak/>
        <w:t>Outcome 2.3</w:t>
      </w:r>
      <w:r w:rsidR="003D1832">
        <w:t xml:space="preserve"> </w:t>
      </w:r>
      <w:r>
        <w:t>—</w:t>
      </w:r>
      <w:r w:rsidR="003D1832">
        <w:t xml:space="preserve"> </w:t>
      </w:r>
      <w:r w:rsidR="0086752E">
        <w:t>Enhanced d</w:t>
      </w:r>
      <w:r>
        <w:t>ata storage</w:t>
      </w:r>
      <w:bookmarkEnd w:id="121"/>
      <w:bookmarkEnd w:id="122"/>
      <w:r>
        <w:t xml:space="preserve"> and use</w:t>
      </w:r>
      <w:bookmarkEnd w:id="123"/>
      <w:bookmarkEnd w:id="124"/>
    </w:p>
    <w:p w14:paraId="0EC35061" w14:textId="77777777" w:rsidR="00825B84" w:rsidRPr="009A5ECD" w:rsidRDefault="00825B84" w:rsidP="00732ECA">
      <w:pPr>
        <w:pStyle w:val="ListParagraph"/>
        <w:numPr>
          <w:ilvl w:val="0"/>
          <w:numId w:val="28"/>
        </w:numPr>
        <w:spacing w:line="240" w:lineRule="auto"/>
      </w:pPr>
      <w:r>
        <w:t xml:space="preserve">Continue to develop nationally agreed pathogen-agnostic standards and </w:t>
      </w:r>
      <w:r w:rsidRPr="00825B84">
        <w:t>minimum storage requirements</w:t>
      </w:r>
      <w:r w:rsidRPr="4F50332C">
        <w:rPr>
          <w:rFonts w:ascii="Calibri" w:eastAsia="Calibri" w:hAnsi="Calibri" w:cs="Calibri"/>
        </w:rPr>
        <w:t xml:space="preserve"> </w:t>
      </w:r>
      <w:r>
        <w:t>for data collection, safe storage, and privacy, with consideration to other One Health sector requirements.</w:t>
      </w:r>
    </w:p>
    <w:p w14:paraId="75EF4FA2" w14:textId="77777777" w:rsidR="00825B84" w:rsidRPr="009A5ECD" w:rsidRDefault="00825B84" w:rsidP="00732ECA">
      <w:pPr>
        <w:pStyle w:val="ListParagraph"/>
        <w:numPr>
          <w:ilvl w:val="0"/>
          <w:numId w:val="28"/>
        </w:numPr>
        <w:spacing w:line="240" w:lineRule="auto"/>
      </w:pPr>
      <w:r w:rsidRPr="009A5ECD">
        <w:t>Strengthen infrastructure to support secure storage of microbial genomic data.</w:t>
      </w:r>
    </w:p>
    <w:p w14:paraId="78CEF51B" w14:textId="77777777" w:rsidR="00825B84" w:rsidRPr="009A5ECD" w:rsidRDefault="00825B84" w:rsidP="00732ECA">
      <w:pPr>
        <w:pStyle w:val="ListParagraph"/>
        <w:numPr>
          <w:ilvl w:val="0"/>
          <w:numId w:val="28"/>
        </w:numPr>
        <w:spacing w:line="240" w:lineRule="auto"/>
      </w:pPr>
      <w:r w:rsidRPr="009A5ECD">
        <w:t>Maintain, develop, and promote common reporting standards for microbial genomics.</w:t>
      </w:r>
    </w:p>
    <w:tbl>
      <w:tblPr>
        <w:tblStyle w:val="TableGrid"/>
        <w:tblW w:w="10207" w:type="dxa"/>
        <w:tblInd w:w="-431" w:type="dxa"/>
        <w:tblLayout w:type="fixed"/>
        <w:tblLook w:val="04A0" w:firstRow="1" w:lastRow="0" w:firstColumn="1" w:lastColumn="0" w:noHBand="0" w:noVBand="1"/>
      </w:tblPr>
      <w:tblGrid>
        <w:gridCol w:w="6238"/>
        <w:gridCol w:w="1276"/>
        <w:gridCol w:w="1564"/>
        <w:gridCol w:w="1129"/>
      </w:tblGrid>
      <w:tr w:rsidR="00067378" w:rsidRPr="009A5ECD" w14:paraId="482863B2" w14:textId="77777777" w:rsidTr="7CC1F5DA">
        <w:trPr>
          <w:cnfStyle w:val="100000000000" w:firstRow="1" w:lastRow="0" w:firstColumn="0" w:lastColumn="0" w:oddVBand="0" w:evenVBand="0" w:oddHBand="0" w:evenHBand="0" w:firstRowFirstColumn="0" w:firstRowLastColumn="0" w:lastRowFirstColumn="0" w:lastRowLastColumn="0"/>
          <w:trHeight w:val="283"/>
        </w:trPr>
        <w:tc>
          <w:tcPr>
            <w:tcW w:w="6238" w:type="dxa"/>
          </w:tcPr>
          <w:p w14:paraId="6740CB07" w14:textId="77777777" w:rsidR="00825B84" w:rsidRPr="009A5ECD" w:rsidRDefault="00825B84" w:rsidP="0003063C">
            <w:pPr>
              <w:spacing w:line="240" w:lineRule="auto"/>
              <w:rPr>
                <w:b/>
              </w:rPr>
            </w:pPr>
            <w:r w:rsidRPr="009A5ECD">
              <w:rPr>
                <w:b/>
              </w:rPr>
              <w:t>National Action</w:t>
            </w:r>
          </w:p>
        </w:tc>
        <w:tc>
          <w:tcPr>
            <w:tcW w:w="1276" w:type="dxa"/>
          </w:tcPr>
          <w:p w14:paraId="3BB9AA41" w14:textId="77777777" w:rsidR="00825B84" w:rsidRPr="009A5ECD" w:rsidRDefault="00825B84" w:rsidP="00783200">
            <w:pPr>
              <w:spacing w:line="240" w:lineRule="auto"/>
              <w:jc w:val="center"/>
              <w:rPr>
                <w:b/>
              </w:rPr>
            </w:pPr>
            <w:r w:rsidRPr="009A5ECD">
              <w:rPr>
                <w:b/>
              </w:rPr>
              <w:t>Timeframe</w:t>
            </w:r>
          </w:p>
        </w:tc>
        <w:tc>
          <w:tcPr>
            <w:tcW w:w="1564" w:type="dxa"/>
          </w:tcPr>
          <w:p w14:paraId="5CC549DE" w14:textId="77777777" w:rsidR="00825B84" w:rsidRPr="009A5ECD" w:rsidRDefault="00825B84" w:rsidP="00783200">
            <w:pPr>
              <w:spacing w:line="240" w:lineRule="auto"/>
              <w:jc w:val="center"/>
              <w:rPr>
                <w:b/>
              </w:rPr>
            </w:pPr>
            <w:r w:rsidRPr="009A5ECD">
              <w:rPr>
                <w:b/>
              </w:rPr>
              <w:t>Lead</w:t>
            </w:r>
          </w:p>
        </w:tc>
        <w:tc>
          <w:tcPr>
            <w:tcW w:w="1129" w:type="dxa"/>
          </w:tcPr>
          <w:p w14:paraId="17AFA3B7" w14:textId="77777777" w:rsidR="00825B84" w:rsidRPr="009A5ECD" w:rsidRDefault="00825B84" w:rsidP="00783200">
            <w:pPr>
              <w:spacing w:line="240" w:lineRule="auto"/>
              <w:jc w:val="center"/>
              <w:rPr>
                <w:b/>
              </w:rPr>
            </w:pPr>
            <w:r w:rsidRPr="009A5ECD">
              <w:rPr>
                <w:b/>
              </w:rPr>
              <w:t>Priority</w:t>
            </w:r>
          </w:p>
        </w:tc>
      </w:tr>
      <w:tr w:rsidR="007327AC" w:rsidRPr="009A5ECD" w14:paraId="16DB3199" w14:textId="77777777" w:rsidTr="7CC1F5DA">
        <w:trPr>
          <w:cnfStyle w:val="000000100000" w:firstRow="0" w:lastRow="0" w:firstColumn="0" w:lastColumn="0" w:oddVBand="0" w:evenVBand="0" w:oddHBand="1" w:evenHBand="0" w:firstRowFirstColumn="0" w:firstRowLastColumn="0" w:lastRowFirstColumn="0" w:lastRowLastColumn="0"/>
        </w:trPr>
        <w:tc>
          <w:tcPr>
            <w:tcW w:w="6238" w:type="dxa"/>
          </w:tcPr>
          <w:p w14:paraId="50041E40" w14:textId="44CCBF4B" w:rsidR="007327AC" w:rsidRPr="00825B84" w:rsidRDefault="007327AC" w:rsidP="007327AC">
            <w:pPr>
              <w:spacing w:line="240" w:lineRule="auto"/>
              <w:rPr>
                <w:b/>
                <w:bCs/>
              </w:rPr>
            </w:pPr>
            <w:r w:rsidRPr="00825B84">
              <w:rPr>
                <w:b/>
                <w:bCs/>
              </w:rPr>
              <w:t>2.3.</w:t>
            </w:r>
            <w:r w:rsidR="006B3555">
              <w:rPr>
                <w:b/>
                <w:bCs/>
              </w:rPr>
              <w:t>1</w:t>
            </w:r>
            <w:r w:rsidRPr="00825B84">
              <w:t xml:space="preserve"> Define and communicate mutually agreed data custodianship standards to ensure data and associated metadata is used appropriately with relevant approvals for use sought.</w:t>
            </w:r>
          </w:p>
        </w:tc>
        <w:tc>
          <w:tcPr>
            <w:tcW w:w="1276" w:type="dxa"/>
          </w:tcPr>
          <w:p w14:paraId="49095AFC" w14:textId="0D42BA8D" w:rsidR="007327AC" w:rsidRPr="00825B84" w:rsidRDefault="007327AC" w:rsidP="007327AC">
            <w:pPr>
              <w:spacing w:line="240" w:lineRule="auto"/>
              <w:jc w:val="center"/>
            </w:pPr>
            <w:r w:rsidRPr="009A5ECD">
              <w:t>Short</w:t>
            </w:r>
          </w:p>
        </w:tc>
        <w:tc>
          <w:tcPr>
            <w:tcW w:w="1564" w:type="dxa"/>
          </w:tcPr>
          <w:p w14:paraId="06F4584E" w14:textId="53FB795B" w:rsidR="007327AC" w:rsidRPr="00825B84" w:rsidRDefault="007327AC" w:rsidP="007327AC">
            <w:pPr>
              <w:spacing w:line="240" w:lineRule="auto"/>
              <w:jc w:val="center"/>
            </w:pPr>
            <w:r w:rsidRPr="009A5ECD">
              <w:t>AHPC</w:t>
            </w:r>
          </w:p>
        </w:tc>
        <w:tc>
          <w:tcPr>
            <w:tcW w:w="1129" w:type="dxa"/>
          </w:tcPr>
          <w:p w14:paraId="66EC6B3F" w14:textId="716B727F" w:rsidR="007327AC" w:rsidRPr="00825B84" w:rsidRDefault="007327AC" w:rsidP="007327AC">
            <w:pPr>
              <w:spacing w:line="240" w:lineRule="auto"/>
              <w:jc w:val="center"/>
            </w:pPr>
            <w:r w:rsidRPr="009A5ECD">
              <w:t>High</w:t>
            </w:r>
          </w:p>
        </w:tc>
      </w:tr>
      <w:tr w:rsidR="007327AC" w:rsidRPr="009A5ECD" w14:paraId="47FDBF6E" w14:textId="77777777" w:rsidTr="7CC1F5DA">
        <w:tc>
          <w:tcPr>
            <w:tcW w:w="6238" w:type="dxa"/>
          </w:tcPr>
          <w:p w14:paraId="1B8298DC" w14:textId="148170B0" w:rsidR="007327AC" w:rsidRPr="009A5ECD" w:rsidRDefault="007327AC" w:rsidP="007327AC">
            <w:pPr>
              <w:spacing w:line="240" w:lineRule="auto"/>
              <w:rPr>
                <w:highlight w:val="yellow"/>
              </w:rPr>
            </w:pPr>
            <w:r w:rsidRPr="00825B84">
              <w:rPr>
                <w:b/>
                <w:bCs/>
              </w:rPr>
              <w:t>2.3.</w:t>
            </w:r>
            <w:r w:rsidR="006B3555">
              <w:rPr>
                <w:b/>
                <w:bCs/>
              </w:rPr>
              <w:t>2</w:t>
            </w:r>
            <w:r w:rsidRPr="00825B84">
              <w:t xml:space="preserve"> Support the defining of minimum pathogen-agnostic data security handling requirements and minimum storage requirements for microbial isolates </w:t>
            </w:r>
            <w:r>
              <w:t>to align</w:t>
            </w:r>
            <w:r w:rsidRPr="00825B84">
              <w:t xml:space="preserve"> with national and international standards and best-practice for microbial genomics data pipelines, systems, data sharing, and storage.</w:t>
            </w:r>
          </w:p>
        </w:tc>
        <w:tc>
          <w:tcPr>
            <w:tcW w:w="1276" w:type="dxa"/>
          </w:tcPr>
          <w:p w14:paraId="7C2EE471" w14:textId="77777777" w:rsidR="007327AC" w:rsidRPr="00825B84" w:rsidRDefault="007327AC" w:rsidP="007327AC">
            <w:pPr>
              <w:spacing w:line="240" w:lineRule="auto"/>
              <w:jc w:val="center"/>
            </w:pPr>
            <w:r w:rsidRPr="00825B84">
              <w:t>Medium</w:t>
            </w:r>
          </w:p>
        </w:tc>
        <w:tc>
          <w:tcPr>
            <w:tcW w:w="1564" w:type="dxa"/>
          </w:tcPr>
          <w:p w14:paraId="2DFECFEB" w14:textId="77777777" w:rsidR="007327AC" w:rsidRPr="009A5ECD" w:rsidRDefault="007327AC" w:rsidP="007327AC">
            <w:pPr>
              <w:spacing w:line="240" w:lineRule="auto"/>
              <w:jc w:val="center"/>
            </w:pPr>
            <w:r w:rsidRPr="00825B84">
              <w:t>Australian CDC</w:t>
            </w:r>
          </w:p>
        </w:tc>
        <w:tc>
          <w:tcPr>
            <w:tcW w:w="1129" w:type="dxa"/>
          </w:tcPr>
          <w:p w14:paraId="237B306E" w14:textId="77777777" w:rsidR="007327AC" w:rsidRPr="009A5ECD" w:rsidRDefault="007327AC" w:rsidP="007327AC">
            <w:pPr>
              <w:spacing w:line="240" w:lineRule="auto"/>
              <w:jc w:val="center"/>
            </w:pPr>
            <w:r w:rsidRPr="00825B84">
              <w:t>High</w:t>
            </w:r>
          </w:p>
        </w:tc>
      </w:tr>
      <w:tr w:rsidR="007327AC" w:rsidRPr="009A5ECD" w14:paraId="54F068BE" w14:textId="77777777" w:rsidTr="7CC1F5DA">
        <w:trPr>
          <w:cnfStyle w:val="000000100000" w:firstRow="0" w:lastRow="0" w:firstColumn="0" w:lastColumn="0" w:oddVBand="0" w:evenVBand="0" w:oddHBand="1" w:evenHBand="0" w:firstRowFirstColumn="0" w:firstRowLastColumn="0" w:lastRowFirstColumn="0" w:lastRowLastColumn="0"/>
        </w:trPr>
        <w:tc>
          <w:tcPr>
            <w:tcW w:w="6238" w:type="dxa"/>
          </w:tcPr>
          <w:p w14:paraId="6CA5C623" w14:textId="263A9E09" w:rsidR="007327AC" w:rsidRPr="00B32098" w:rsidRDefault="007327AC" w:rsidP="007327AC">
            <w:pPr>
              <w:spacing w:line="240" w:lineRule="auto"/>
              <w:rPr>
                <w:highlight w:val="yellow"/>
              </w:rPr>
            </w:pPr>
            <w:r w:rsidRPr="00825B84">
              <w:rPr>
                <w:b/>
                <w:bCs/>
              </w:rPr>
              <w:t>2.3.</w:t>
            </w:r>
            <w:r w:rsidR="006B3555">
              <w:rPr>
                <w:b/>
                <w:bCs/>
              </w:rPr>
              <w:t>3</w:t>
            </w:r>
            <w:r w:rsidRPr="00825B84">
              <w:t xml:space="preserve"> Explore options for </w:t>
            </w:r>
            <w:r>
              <w:t xml:space="preserve">the </w:t>
            </w:r>
            <w:r w:rsidRPr="00825B84">
              <w:t>development of nationally accessible and sustainable data storage and computational infrastructure, which are also accessible to appropriate One Health sector users.</w:t>
            </w:r>
          </w:p>
        </w:tc>
        <w:tc>
          <w:tcPr>
            <w:tcW w:w="1276" w:type="dxa"/>
          </w:tcPr>
          <w:p w14:paraId="2EAF0B20" w14:textId="64631735" w:rsidR="007327AC" w:rsidRPr="008D5E82" w:rsidRDefault="007327AC" w:rsidP="007327AC">
            <w:pPr>
              <w:spacing w:line="240" w:lineRule="auto"/>
              <w:jc w:val="center"/>
            </w:pPr>
            <w:r w:rsidRPr="00825B84">
              <w:t>Medium</w:t>
            </w:r>
          </w:p>
        </w:tc>
        <w:tc>
          <w:tcPr>
            <w:tcW w:w="1564" w:type="dxa"/>
          </w:tcPr>
          <w:p w14:paraId="0C4A9F5F" w14:textId="77777777" w:rsidR="007327AC" w:rsidRPr="00825B84" w:rsidRDefault="007327AC" w:rsidP="007327AC">
            <w:pPr>
              <w:spacing w:line="240" w:lineRule="auto"/>
              <w:jc w:val="center"/>
            </w:pPr>
            <w:r w:rsidRPr="00825B84">
              <w:t>Australian CDC</w:t>
            </w:r>
          </w:p>
        </w:tc>
        <w:tc>
          <w:tcPr>
            <w:tcW w:w="1129" w:type="dxa"/>
          </w:tcPr>
          <w:p w14:paraId="25D0C3B3" w14:textId="487E25A5" w:rsidR="007327AC" w:rsidRPr="008D5E82" w:rsidRDefault="007327AC" w:rsidP="007327AC">
            <w:pPr>
              <w:spacing w:line="240" w:lineRule="auto"/>
              <w:jc w:val="center"/>
            </w:pPr>
            <w:r w:rsidRPr="00825B84">
              <w:t>High</w:t>
            </w:r>
          </w:p>
        </w:tc>
      </w:tr>
      <w:tr w:rsidR="007327AC" w:rsidRPr="009A5ECD" w14:paraId="0FA93EAC" w14:textId="77777777" w:rsidTr="7CC1F5DA">
        <w:tc>
          <w:tcPr>
            <w:tcW w:w="6238" w:type="dxa"/>
          </w:tcPr>
          <w:p w14:paraId="41729103" w14:textId="332DF993" w:rsidR="007327AC" w:rsidRPr="009A5ECD" w:rsidRDefault="007327AC" w:rsidP="007327AC">
            <w:pPr>
              <w:spacing w:line="240" w:lineRule="auto"/>
              <w:rPr>
                <w:rStyle w:val="normaltextrun"/>
                <w:rFonts w:ascii="Calibri" w:eastAsiaTheme="majorEastAsia" w:hAnsi="Calibri" w:cs="Calibri"/>
                <w:b/>
              </w:rPr>
            </w:pPr>
            <w:r w:rsidRPr="009A5ECD">
              <w:rPr>
                <w:b/>
              </w:rPr>
              <w:t>2.3.</w:t>
            </w:r>
            <w:r w:rsidR="004336D8">
              <w:rPr>
                <w:b/>
              </w:rPr>
              <w:t>4</w:t>
            </w:r>
            <w:r w:rsidRPr="009A5ECD">
              <w:rPr>
                <w:b/>
              </w:rPr>
              <w:t xml:space="preserve"> </w:t>
            </w:r>
            <w:r w:rsidRPr="00637136">
              <w:rPr>
                <w:bCs/>
              </w:rPr>
              <w:t>With support of CDGN,</w:t>
            </w:r>
            <w:r>
              <w:rPr>
                <w:b/>
              </w:rPr>
              <w:t xml:space="preserve"> </w:t>
            </w:r>
            <w:r>
              <w:t>promote</w:t>
            </w:r>
            <w:r w:rsidRPr="009A5ECD">
              <w:t xml:space="preserve"> and maintain consistent national reporting standards to communicate microbial genomic data to end-users for public health action.</w:t>
            </w:r>
          </w:p>
        </w:tc>
        <w:tc>
          <w:tcPr>
            <w:tcW w:w="1276" w:type="dxa"/>
          </w:tcPr>
          <w:p w14:paraId="6331FA74" w14:textId="77777777" w:rsidR="007327AC" w:rsidRPr="009A5ECD" w:rsidRDefault="007327AC" w:rsidP="007327AC">
            <w:pPr>
              <w:spacing w:line="240" w:lineRule="auto"/>
              <w:jc w:val="center"/>
              <w:rPr>
                <w:rStyle w:val="normaltextrun"/>
                <w:rFonts w:ascii="Calibri" w:eastAsiaTheme="majorEastAsia" w:hAnsi="Calibri" w:cs="Calibri"/>
              </w:rPr>
            </w:pPr>
            <w:r w:rsidRPr="009A5ECD">
              <w:t>Long</w:t>
            </w:r>
          </w:p>
        </w:tc>
        <w:tc>
          <w:tcPr>
            <w:tcW w:w="1564" w:type="dxa"/>
          </w:tcPr>
          <w:p w14:paraId="0F62103B" w14:textId="2F102ED7" w:rsidR="007327AC" w:rsidRPr="009A5ECD" w:rsidRDefault="007327AC" w:rsidP="007327AC">
            <w:pPr>
              <w:spacing w:line="240" w:lineRule="auto"/>
              <w:jc w:val="center"/>
              <w:rPr>
                <w:rStyle w:val="normaltextrun"/>
                <w:rFonts w:ascii="Calibri" w:eastAsiaTheme="majorEastAsia" w:hAnsi="Calibri" w:cs="Calibri"/>
                <w:highlight w:val="yellow"/>
              </w:rPr>
            </w:pPr>
            <w:r>
              <w:t>CDNA, PHLN</w:t>
            </w:r>
          </w:p>
        </w:tc>
        <w:tc>
          <w:tcPr>
            <w:tcW w:w="1129" w:type="dxa"/>
          </w:tcPr>
          <w:p w14:paraId="401563FA" w14:textId="77777777" w:rsidR="007327AC" w:rsidRPr="009A5ECD" w:rsidRDefault="007327AC" w:rsidP="007327AC">
            <w:pPr>
              <w:spacing w:line="240" w:lineRule="auto"/>
              <w:jc w:val="center"/>
              <w:rPr>
                <w:rStyle w:val="normaltextrun"/>
                <w:rFonts w:ascii="Calibri" w:eastAsiaTheme="majorEastAsia" w:hAnsi="Calibri" w:cs="Calibri"/>
              </w:rPr>
            </w:pPr>
            <w:r w:rsidRPr="009A5ECD">
              <w:t>High</w:t>
            </w:r>
          </w:p>
        </w:tc>
      </w:tr>
    </w:tbl>
    <w:p w14:paraId="22A8D479" w14:textId="3F18768E" w:rsidR="005B378A" w:rsidRDefault="00A21D16" w:rsidP="005B378A">
      <w:pPr>
        <w:pStyle w:val="Heading3"/>
      </w:pPr>
      <w:r>
        <w:br w:type="page"/>
      </w:r>
      <w:bookmarkStart w:id="125" w:name="_Toc417166262"/>
      <w:bookmarkStart w:id="126" w:name="_Toc1335822609"/>
      <w:bookmarkStart w:id="127" w:name="_Toc191899422"/>
      <w:r w:rsidR="005B378A">
        <w:lastRenderedPageBreak/>
        <w:t>Outcome 2.4</w:t>
      </w:r>
      <w:r w:rsidR="003D1832">
        <w:t xml:space="preserve"> </w:t>
      </w:r>
      <w:r w:rsidR="005B378A">
        <w:t>—</w:t>
      </w:r>
      <w:r w:rsidR="003D1832">
        <w:t xml:space="preserve"> </w:t>
      </w:r>
      <w:r w:rsidR="0086752E">
        <w:t>Enhanced t</w:t>
      </w:r>
      <w:r w:rsidR="005B378A">
        <w:t>echnology and data governance across the One Health sector</w:t>
      </w:r>
      <w:bookmarkEnd w:id="125"/>
      <w:bookmarkEnd w:id="126"/>
      <w:bookmarkEnd w:id="127"/>
      <w:r w:rsidR="005B378A">
        <w:t xml:space="preserve"> </w:t>
      </w:r>
    </w:p>
    <w:p w14:paraId="7DCB8533" w14:textId="77777777" w:rsidR="000506EA" w:rsidRPr="009A5ECD" w:rsidRDefault="000506EA" w:rsidP="006C7957">
      <w:pPr>
        <w:pStyle w:val="ListParagraph"/>
        <w:numPr>
          <w:ilvl w:val="0"/>
          <w:numId w:val="23"/>
        </w:numPr>
        <w:spacing w:line="240" w:lineRule="auto"/>
      </w:pPr>
      <w:r w:rsidRPr="009A5ECD">
        <w:t>Encourage data sharing across the One Health sector.</w:t>
      </w:r>
    </w:p>
    <w:p w14:paraId="03C1EF4A" w14:textId="77777777" w:rsidR="000506EA" w:rsidRPr="009A5ECD" w:rsidRDefault="000506EA" w:rsidP="006C7957">
      <w:pPr>
        <w:pStyle w:val="ListParagraph"/>
        <w:numPr>
          <w:ilvl w:val="0"/>
          <w:numId w:val="23"/>
        </w:numPr>
        <w:spacing w:line="240" w:lineRule="auto"/>
      </w:pPr>
      <w:r w:rsidRPr="000506EA">
        <w:t>Develop nationally harmonised data governance guidelines to support data sharing across a One Health context.</w:t>
      </w:r>
    </w:p>
    <w:p w14:paraId="4205A3CD" w14:textId="77777777" w:rsidR="000506EA" w:rsidRPr="00CA0E3B" w:rsidRDefault="000506EA" w:rsidP="006C7957">
      <w:pPr>
        <w:pStyle w:val="ListParagraph"/>
        <w:numPr>
          <w:ilvl w:val="0"/>
          <w:numId w:val="23"/>
        </w:numPr>
        <w:spacing w:line="240" w:lineRule="auto"/>
        <w:rPr>
          <w:rFonts w:ascii="Calibri" w:hAnsi="Calibri"/>
        </w:rPr>
      </w:pPr>
      <w:r w:rsidRPr="009A5ECD">
        <w:t>Ensure the variances between One Health data privacy and security requirements is acknowledged, and adhered to throughout the data collection, handling, and storage process.</w:t>
      </w:r>
    </w:p>
    <w:tbl>
      <w:tblPr>
        <w:tblStyle w:val="TableGrid"/>
        <w:tblW w:w="0" w:type="auto"/>
        <w:tblInd w:w="-431" w:type="dxa"/>
        <w:tblLook w:val="04A0" w:firstRow="1" w:lastRow="0" w:firstColumn="1" w:lastColumn="0" w:noHBand="0" w:noVBand="1"/>
      </w:tblPr>
      <w:tblGrid>
        <w:gridCol w:w="5831"/>
        <w:gridCol w:w="1282"/>
        <w:gridCol w:w="1505"/>
        <w:gridCol w:w="1305"/>
      </w:tblGrid>
      <w:tr w:rsidR="00067378" w:rsidRPr="009A5ECD" w14:paraId="2D471706" w14:textId="77777777" w:rsidTr="00B20626">
        <w:trPr>
          <w:cnfStyle w:val="100000000000" w:firstRow="1" w:lastRow="0" w:firstColumn="0" w:lastColumn="0" w:oddVBand="0" w:evenVBand="0" w:oddHBand="0" w:evenHBand="0" w:firstRowFirstColumn="0" w:firstRowLastColumn="0" w:lastRowFirstColumn="0" w:lastRowLastColumn="0"/>
          <w:trHeight w:val="283"/>
        </w:trPr>
        <w:tc>
          <w:tcPr>
            <w:tcW w:w="5831" w:type="dxa"/>
          </w:tcPr>
          <w:p w14:paraId="6D69D8F8" w14:textId="77777777" w:rsidR="000506EA" w:rsidRPr="009A5ECD" w:rsidRDefault="000506EA">
            <w:pPr>
              <w:spacing w:line="240" w:lineRule="auto"/>
              <w:rPr>
                <w:b/>
              </w:rPr>
            </w:pPr>
            <w:r w:rsidRPr="009A5ECD">
              <w:rPr>
                <w:b/>
              </w:rPr>
              <w:t>National Action</w:t>
            </w:r>
          </w:p>
        </w:tc>
        <w:tc>
          <w:tcPr>
            <w:tcW w:w="1282" w:type="dxa"/>
          </w:tcPr>
          <w:p w14:paraId="10B598B5" w14:textId="77777777" w:rsidR="000506EA" w:rsidRPr="009A5ECD" w:rsidRDefault="000506EA" w:rsidP="00783200">
            <w:pPr>
              <w:spacing w:line="240" w:lineRule="auto"/>
              <w:jc w:val="center"/>
              <w:rPr>
                <w:b/>
              </w:rPr>
            </w:pPr>
            <w:r w:rsidRPr="009A5ECD">
              <w:rPr>
                <w:b/>
              </w:rPr>
              <w:t>Timeframe</w:t>
            </w:r>
          </w:p>
        </w:tc>
        <w:tc>
          <w:tcPr>
            <w:tcW w:w="1505" w:type="dxa"/>
          </w:tcPr>
          <w:p w14:paraId="21B01FE9" w14:textId="77777777" w:rsidR="000506EA" w:rsidRPr="009A5ECD" w:rsidRDefault="000506EA" w:rsidP="00783200">
            <w:pPr>
              <w:spacing w:line="240" w:lineRule="auto"/>
              <w:jc w:val="center"/>
              <w:rPr>
                <w:b/>
              </w:rPr>
            </w:pPr>
            <w:r w:rsidRPr="009A5ECD">
              <w:rPr>
                <w:b/>
              </w:rPr>
              <w:t>Lead</w:t>
            </w:r>
          </w:p>
        </w:tc>
        <w:tc>
          <w:tcPr>
            <w:tcW w:w="1305" w:type="dxa"/>
          </w:tcPr>
          <w:p w14:paraId="7CC50468" w14:textId="77777777" w:rsidR="000506EA" w:rsidRPr="009A5ECD" w:rsidRDefault="000506EA" w:rsidP="00783200">
            <w:pPr>
              <w:spacing w:line="240" w:lineRule="auto"/>
              <w:jc w:val="center"/>
              <w:rPr>
                <w:b/>
              </w:rPr>
            </w:pPr>
            <w:r w:rsidRPr="009A5ECD">
              <w:rPr>
                <w:b/>
              </w:rPr>
              <w:t>Priority</w:t>
            </w:r>
          </w:p>
        </w:tc>
      </w:tr>
      <w:tr w:rsidR="000506EA" w:rsidRPr="009A5ECD" w14:paraId="3592E9CD" w14:textId="77777777" w:rsidTr="00B20626">
        <w:trPr>
          <w:cnfStyle w:val="000000100000" w:firstRow="0" w:lastRow="0" w:firstColumn="0" w:lastColumn="0" w:oddVBand="0" w:evenVBand="0" w:oddHBand="1" w:evenHBand="0" w:firstRowFirstColumn="0" w:firstRowLastColumn="0" w:lastRowFirstColumn="0" w:lastRowLastColumn="0"/>
          <w:trHeight w:val="300"/>
        </w:trPr>
        <w:tc>
          <w:tcPr>
            <w:tcW w:w="5831" w:type="dxa"/>
          </w:tcPr>
          <w:p w14:paraId="6F363AB1" w14:textId="2B67F4B0" w:rsidR="000506EA" w:rsidRPr="009A5ECD" w:rsidRDefault="000506EA">
            <w:pPr>
              <w:spacing w:line="240" w:lineRule="auto"/>
              <w:rPr>
                <w:b/>
              </w:rPr>
            </w:pPr>
            <w:r w:rsidRPr="009A5ECD">
              <w:rPr>
                <w:b/>
              </w:rPr>
              <w:t xml:space="preserve">2.4.1 </w:t>
            </w:r>
            <w:r w:rsidR="4809FA0E">
              <w:t>A</w:t>
            </w:r>
            <w:r>
              <w:t>ssess</w:t>
            </w:r>
            <w:r w:rsidRPr="009A5ECD">
              <w:t xml:space="preserve"> the feasibility of national capture, analysis, and reporting of flavivirus sequences across the human, animal and environmental sectors, and action agreed next steps</w:t>
            </w:r>
            <w:r w:rsidR="165A54BD">
              <w:t>, as part of a One Health pilot project</w:t>
            </w:r>
            <w:r w:rsidRPr="009A5ECD">
              <w:t>.</w:t>
            </w:r>
          </w:p>
        </w:tc>
        <w:tc>
          <w:tcPr>
            <w:tcW w:w="1282" w:type="dxa"/>
          </w:tcPr>
          <w:p w14:paraId="0E768BD8" w14:textId="77777777" w:rsidR="000506EA" w:rsidRPr="009A5ECD" w:rsidRDefault="000506EA" w:rsidP="00783200">
            <w:pPr>
              <w:spacing w:line="240" w:lineRule="auto"/>
              <w:jc w:val="center"/>
            </w:pPr>
            <w:r w:rsidRPr="009A5ECD">
              <w:t>Medium</w:t>
            </w:r>
          </w:p>
        </w:tc>
        <w:tc>
          <w:tcPr>
            <w:tcW w:w="1505" w:type="dxa"/>
          </w:tcPr>
          <w:p w14:paraId="74DF948A" w14:textId="77777777" w:rsidR="000506EA" w:rsidRPr="009A5ECD" w:rsidRDefault="000506EA" w:rsidP="00783200">
            <w:pPr>
              <w:spacing w:line="240" w:lineRule="auto"/>
              <w:jc w:val="center"/>
            </w:pPr>
            <w:r>
              <w:t>Australian CDC</w:t>
            </w:r>
          </w:p>
        </w:tc>
        <w:tc>
          <w:tcPr>
            <w:tcW w:w="1305" w:type="dxa"/>
          </w:tcPr>
          <w:p w14:paraId="262F51C6" w14:textId="77777777" w:rsidR="00C64168" w:rsidRDefault="00C64168" w:rsidP="00783200">
            <w:pPr>
              <w:spacing w:line="240" w:lineRule="auto"/>
              <w:jc w:val="center"/>
            </w:pPr>
          </w:p>
          <w:p w14:paraId="31308B0C" w14:textId="77777777" w:rsidR="000506EA" w:rsidRDefault="000506EA" w:rsidP="00C64168">
            <w:pPr>
              <w:spacing w:line="240" w:lineRule="auto"/>
              <w:jc w:val="center"/>
            </w:pPr>
            <w:r w:rsidRPr="009A5ECD">
              <w:t>High</w:t>
            </w:r>
          </w:p>
          <w:p w14:paraId="3321DFC9" w14:textId="3EFC4C99" w:rsidR="00C64168" w:rsidRPr="009A5ECD" w:rsidRDefault="00C64168" w:rsidP="00C64168">
            <w:pPr>
              <w:spacing w:line="240" w:lineRule="auto"/>
              <w:jc w:val="center"/>
            </w:pPr>
          </w:p>
        </w:tc>
      </w:tr>
      <w:tr w:rsidR="006B3555" w:rsidRPr="009A5ECD" w14:paraId="36F128C6" w14:textId="77777777" w:rsidTr="00B20626">
        <w:trPr>
          <w:trHeight w:val="300"/>
        </w:trPr>
        <w:tc>
          <w:tcPr>
            <w:tcW w:w="5831" w:type="dxa"/>
          </w:tcPr>
          <w:p w14:paraId="345A3DD2" w14:textId="6E681221" w:rsidR="006B3555" w:rsidRPr="009A5ECD" w:rsidRDefault="006B3555" w:rsidP="006B3555">
            <w:pPr>
              <w:spacing w:line="240" w:lineRule="auto"/>
              <w:rPr>
                <w:b/>
              </w:rPr>
            </w:pPr>
            <w:r w:rsidRPr="009A5ECD">
              <w:rPr>
                <w:b/>
              </w:rPr>
              <w:t>2.4.</w:t>
            </w:r>
            <w:r>
              <w:rPr>
                <w:b/>
              </w:rPr>
              <w:t>2</w:t>
            </w:r>
            <w:r w:rsidRPr="009A5ECD">
              <w:t xml:space="preserve"> Develop and maintain a common process and guidelines for timely data and information sharing across One Health sectors in the event of a One Health emergency outbreak relevant to Australia.</w:t>
            </w:r>
          </w:p>
        </w:tc>
        <w:tc>
          <w:tcPr>
            <w:tcW w:w="1282" w:type="dxa"/>
          </w:tcPr>
          <w:p w14:paraId="05026E65" w14:textId="47C41673" w:rsidR="006B3555" w:rsidRPr="009A5ECD" w:rsidRDefault="006B3555" w:rsidP="006B3555">
            <w:pPr>
              <w:spacing w:line="240" w:lineRule="auto"/>
              <w:jc w:val="center"/>
            </w:pPr>
            <w:r w:rsidRPr="009A5ECD">
              <w:t>Medium</w:t>
            </w:r>
          </w:p>
        </w:tc>
        <w:tc>
          <w:tcPr>
            <w:tcW w:w="1505" w:type="dxa"/>
          </w:tcPr>
          <w:p w14:paraId="4951C8A5" w14:textId="489E22E7" w:rsidR="006B3555" w:rsidRPr="009A5ECD" w:rsidRDefault="006B3555" w:rsidP="006B3555">
            <w:pPr>
              <w:spacing w:line="240" w:lineRule="auto"/>
              <w:jc w:val="center"/>
            </w:pPr>
            <w:r>
              <w:t>Australian CDC</w:t>
            </w:r>
          </w:p>
        </w:tc>
        <w:tc>
          <w:tcPr>
            <w:tcW w:w="1305" w:type="dxa"/>
          </w:tcPr>
          <w:p w14:paraId="618B455F" w14:textId="75ADCBAF" w:rsidR="006B3555" w:rsidRPr="009A5ECD" w:rsidRDefault="006B3555" w:rsidP="006B3555">
            <w:pPr>
              <w:spacing w:line="240" w:lineRule="auto"/>
              <w:jc w:val="center"/>
            </w:pPr>
            <w:r w:rsidRPr="009A5ECD">
              <w:t>High</w:t>
            </w:r>
          </w:p>
        </w:tc>
      </w:tr>
      <w:tr w:rsidR="006B3555" w:rsidRPr="009A5ECD" w14:paraId="4AA7B33A" w14:textId="77777777" w:rsidTr="00B20626">
        <w:trPr>
          <w:cnfStyle w:val="000000100000" w:firstRow="0" w:lastRow="0" w:firstColumn="0" w:lastColumn="0" w:oddVBand="0" w:evenVBand="0" w:oddHBand="1" w:evenHBand="0" w:firstRowFirstColumn="0" w:firstRowLastColumn="0" w:lastRowFirstColumn="0" w:lastRowLastColumn="0"/>
          <w:trHeight w:val="300"/>
        </w:trPr>
        <w:tc>
          <w:tcPr>
            <w:tcW w:w="5831" w:type="dxa"/>
          </w:tcPr>
          <w:p w14:paraId="602037C2" w14:textId="0943C67E" w:rsidR="006B3555" w:rsidRPr="009A5ECD" w:rsidRDefault="006B3555" w:rsidP="006B3555">
            <w:pPr>
              <w:spacing w:line="240" w:lineRule="auto"/>
            </w:pPr>
            <w:r w:rsidRPr="009A5ECD">
              <w:rPr>
                <w:b/>
              </w:rPr>
              <w:t>2.4.</w:t>
            </w:r>
            <w:r>
              <w:rPr>
                <w:b/>
              </w:rPr>
              <w:t>3</w:t>
            </w:r>
            <w:r w:rsidRPr="009A5ECD">
              <w:t xml:space="preserve"> Following the evaluation of the One Health pilot project, develop nationally agreed standards for One Health data collection, safe storage, data sharing, custodianship, analyses, reporting and privacy requirements.</w:t>
            </w:r>
          </w:p>
        </w:tc>
        <w:tc>
          <w:tcPr>
            <w:tcW w:w="1282" w:type="dxa"/>
          </w:tcPr>
          <w:p w14:paraId="4F0808F5" w14:textId="77777777" w:rsidR="006B3555" w:rsidRPr="009A5ECD" w:rsidRDefault="006B3555" w:rsidP="006B3555">
            <w:pPr>
              <w:spacing w:line="240" w:lineRule="auto"/>
              <w:jc w:val="center"/>
            </w:pPr>
            <w:r w:rsidRPr="009A5ECD">
              <w:t>Medium</w:t>
            </w:r>
          </w:p>
        </w:tc>
        <w:tc>
          <w:tcPr>
            <w:tcW w:w="1505" w:type="dxa"/>
          </w:tcPr>
          <w:p w14:paraId="024C8609" w14:textId="77777777" w:rsidR="006B3555" w:rsidRPr="009A5ECD" w:rsidRDefault="006B3555" w:rsidP="006B3555">
            <w:pPr>
              <w:spacing w:line="240" w:lineRule="auto"/>
              <w:jc w:val="center"/>
            </w:pPr>
            <w:r w:rsidRPr="009A5ECD">
              <w:t>CDGN</w:t>
            </w:r>
          </w:p>
        </w:tc>
        <w:tc>
          <w:tcPr>
            <w:tcW w:w="1305" w:type="dxa"/>
          </w:tcPr>
          <w:p w14:paraId="4CBEB161" w14:textId="77777777" w:rsidR="006B3555" w:rsidRPr="009A5ECD" w:rsidRDefault="006B3555" w:rsidP="006B3555">
            <w:pPr>
              <w:spacing w:line="240" w:lineRule="auto"/>
              <w:jc w:val="center"/>
            </w:pPr>
            <w:r w:rsidRPr="009A5ECD">
              <w:t>Medium</w:t>
            </w:r>
          </w:p>
        </w:tc>
      </w:tr>
      <w:tr w:rsidR="006B3555" w:rsidRPr="009A5ECD" w14:paraId="62F47D7F" w14:textId="77777777" w:rsidTr="00B20626">
        <w:trPr>
          <w:trHeight w:val="300"/>
        </w:trPr>
        <w:tc>
          <w:tcPr>
            <w:tcW w:w="5831" w:type="dxa"/>
          </w:tcPr>
          <w:p w14:paraId="23B13CF8" w14:textId="77777777" w:rsidR="006B3555" w:rsidRPr="009A5ECD" w:rsidRDefault="006B3555" w:rsidP="006B3555">
            <w:pPr>
              <w:spacing w:line="240" w:lineRule="auto"/>
              <w:rPr>
                <w:rFonts w:ascii="Calibri" w:hAnsi="Calibri"/>
              </w:rPr>
            </w:pPr>
            <w:r w:rsidRPr="009A5ECD">
              <w:rPr>
                <w:b/>
              </w:rPr>
              <w:t xml:space="preserve">2.4.4 </w:t>
            </w:r>
            <w:r w:rsidRPr="009A5ECD">
              <w:t>Support the integration of microbial genomics data for non-human samples i.e., food, animal, and environmental into public health outbreak investigations.</w:t>
            </w:r>
          </w:p>
        </w:tc>
        <w:tc>
          <w:tcPr>
            <w:tcW w:w="1282" w:type="dxa"/>
          </w:tcPr>
          <w:p w14:paraId="617CB03D" w14:textId="77777777" w:rsidR="006B3555" w:rsidRPr="009A5ECD" w:rsidRDefault="006B3555" w:rsidP="006B3555">
            <w:pPr>
              <w:spacing w:line="240" w:lineRule="auto"/>
              <w:jc w:val="center"/>
            </w:pPr>
            <w:r w:rsidRPr="009A5ECD">
              <w:t>Medium</w:t>
            </w:r>
          </w:p>
        </w:tc>
        <w:tc>
          <w:tcPr>
            <w:tcW w:w="1505" w:type="dxa"/>
          </w:tcPr>
          <w:p w14:paraId="0781EC34" w14:textId="77777777" w:rsidR="006B3555" w:rsidRPr="009A5ECD" w:rsidRDefault="006B3555" w:rsidP="006B3555">
            <w:pPr>
              <w:spacing w:line="240" w:lineRule="auto"/>
              <w:jc w:val="center"/>
            </w:pPr>
            <w:r>
              <w:t>Australian CDC</w:t>
            </w:r>
          </w:p>
        </w:tc>
        <w:tc>
          <w:tcPr>
            <w:tcW w:w="1305" w:type="dxa"/>
          </w:tcPr>
          <w:p w14:paraId="1E4F4AC7" w14:textId="77777777" w:rsidR="006B3555" w:rsidRPr="009A5ECD" w:rsidRDefault="006B3555" w:rsidP="006B3555">
            <w:pPr>
              <w:spacing w:line="240" w:lineRule="auto"/>
              <w:jc w:val="center"/>
            </w:pPr>
            <w:r w:rsidRPr="009A5ECD">
              <w:t>Medium</w:t>
            </w:r>
          </w:p>
        </w:tc>
      </w:tr>
    </w:tbl>
    <w:p w14:paraId="307C8BA6" w14:textId="77777777" w:rsidR="005532CA" w:rsidRDefault="005532CA">
      <w:pPr>
        <w:spacing w:before="0" w:after="0" w:line="240" w:lineRule="auto"/>
      </w:pPr>
      <w:r>
        <w:br w:type="page"/>
      </w:r>
    </w:p>
    <w:p w14:paraId="483056FF" w14:textId="13A61C82" w:rsidR="00F27AC9" w:rsidRPr="009814D7" w:rsidRDefault="00F27AC9" w:rsidP="00F27AC9">
      <w:pPr>
        <w:pStyle w:val="Heading2"/>
      </w:pPr>
      <w:bookmarkStart w:id="128" w:name="_Toc176907142"/>
      <w:bookmarkStart w:id="129" w:name="_Toc191899423"/>
      <w:r>
        <w:lastRenderedPageBreak/>
        <w:t>Strategic Priority 3</w:t>
      </w:r>
      <w:r w:rsidR="003D1832">
        <w:t xml:space="preserve"> </w:t>
      </w:r>
      <w:r>
        <w:t>—</w:t>
      </w:r>
      <w:r w:rsidR="003D1832">
        <w:t xml:space="preserve"> </w:t>
      </w:r>
      <w:r>
        <w:t>Integration into Public Health</w:t>
      </w:r>
      <w:bookmarkEnd w:id="128"/>
      <w:bookmarkEnd w:id="129"/>
    </w:p>
    <w:p w14:paraId="1E3ADEB8" w14:textId="77777777" w:rsidR="009E2345" w:rsidRPr="009A5ECD" w:rsidRDefault="009E2345" w:rsidP="00FE2D5C">
      <w:r w:rsidRPr="009A5ECD">
        <w:t>The COVID-19 pandemic has demonstrated that genomic surveillance is a core pillar of a robust public health system. Microbial genomics generates a vast amount of useful data related to pathogen transmission, resistance, virulence, and evolution. This information enables rapid pathogen detection, identification, and characterisation that can be linked to information on clinical, demographic, and exposure details to form an enhanced picture of the outbreak.</w:t>
      </w:r>
    </w:p>
    <w:p w14:paraId="26463073" w14:textId="77777777" w:rsidR="001F4E2D" w:rsidRDefault="009E2345" w:rsidP="00FE2D5C">
      <w:r>
        <w:t>To achieve maximal public health impact, it is critical that genomic data is</w:t>
      </w:r>
      <w:r w:rsidR="001F4E2D">
        <w:t>:</w:t>
      </w:r>
    </w:p>
    <w:p w14:paraId="3D789DCC" w14:textId="77777777" w:rsidR="001F4E2D" w:rsidRDefault="009E2345" w:rsidP="001F4E2D">
      <w:pPr>
        <w:pStyle w:val="ListParagraph"/>
        <w:numPr>
          <w:ilvl w:val="0"/>
          <w:numId w:val="73"/>
        </w:numPr>
      </w:pPr>
      <w:r>
        <w:t>appropriately integrated and analysed with epidemiological and clinical data</w:t>
      </w:r>
    </w:p>
    <w:p w14:paraId="3F296940" w14:textId="77777777" w:rsidR="001F4E2D" w:rsidRDefault="009E2345" w:rsidP="001F4E2D">
      <w:pPr>
        <w:pStyle w:val="ListParagraph"/>
        <w:numPr>
          <w:ilvl w:val="0"/>
          <w:numId w:val="73"/>
        </w:numPr>
      </w:pPr>
      <w:r>
        <w:t>data and results are rapidly disseminated through bi-directional, interoperable data sharing or integrated systems</w:t>
      </w:r>
    </w:p>
    <w:p w14:paraId="537EEAD2" w14:textId="32B78D19" w:rsidR="009E2345" w:rsidRPr="009A5ECD" w:rsidRDefault="009E2345" w:rsidP="001F4E2D">
      <w:pPr>
        <w:pStyle w:val="ListParagraph"/>
        <w:numPr>
          <w:ilvl w:val="0"/>
          <w:numId w:val="73"/>
        </w:numPr>
      </w:pPr>
      <w:r>
        <w:t xml:space="preserve">those with expertise in genomic data are integrated into public health planning, response, and decision-making. </w:t>
      </w:r>
    </w:p>
    <w:p w14:paraId="47035A0C" w14:textId="77777777" w:rsidR="009E2345" w:rsidRPr="009A5ECD" w:rsidRDefault="009E2345" w:rsidP="00FE2D5C">
      <w:r w:rsidRPr="009A5ECD">
        <w:t xml:space="preserve">Conceptually, this is directly aligned with several of the key outcomes in the </w:t>
      </w:r>
      <w:hyperlink r:id="rId24" w:history="1">
        <w:r w:rsidRPr="00790C79">
          <w:rPr>
            <w:rStyle w:val="Hyperlink"/>
            <w:i/>
            <w:color w:val="auto"/>
          </w:rPr>
          <w:t>National Framework for Communicable Disease Control</w:t>
        </w:r>
      </w:hyperlink>
      <w:r w:rsidRPr="00790C79">
        <w:t xml:space="preserve">. </w:t>
      </w:r>
      <w:r w:rsidRPr="009A5ECD">
        <w:t>To fully achieve this aim requires ongoing strategic coordination and collaboration between existing groups and networks. It is critical that microbial genomics continues to integrate into existing surveillance mechanisms, as this would better enable proactive and coordinated gathering and sharing of information.</w:t>
      </w:r>
    </w:p>
    <w:p w14:paraId="66A25D71" w14:textId="77777777" w:rsidR="009E2345" w:rsidRPr="009A5ECD" w:rsidRDefault="009E2345" w:rsidP="00FE2D5C">
      <w:r w:rsidRPr="009A5ECD">
        <w:t xml:space="preserve">However, COVID-19 response activities have highlighted potential risks to the successful integration of complete data for public health response. Sequencing of positive SARS-CoV-2 samples has declined in Australia with many jurisdictions having indicated that there has, or will be, changes to the sequencing strategies for SARS-CoV-2. In those jurisdictions still sequencing, a targeted sequencing strategy is undertaken to achieve the most public health and clinical benefit. These changes are affecting the representativeness of sequences presented in current reporting. It is therefore no longer possible to say with certainty the exact proportions of SARS-CoV-2 variants circulating in Australia. </w:t>
      </w:r>
    </w:p>
    <w:p w14:paraId="7DE7A525" w14:textId="4BAAB848" w:rsidR="009E2345" w:rsidRPr="009A5ECD" w:rsidRDefault="009E2345" w:rsidP="00FE2D5C">
      <w:r w:rsidRPr="009A5ECD">
        <w:t xml:space="preserve">Reduced sequencing means there is diminished analysis of circulating SARS-CoV-2 </w:t>
      </w:r>
      <w:r w:rsidR="008D716D" w:rsidRPr="009A5ECD">
        <w:t>lineages,</w:t>
      </w:r>
      <w:r w:rsidRPr="009A5ECD">
        <w:t xml:space="preserve"> and this risks Australia’s ability to:</w:t>
      </w:r>
    </w:p>
    <w:p w14:paraId="3AB76844" w14:textId="033672CE" w:rsidR="009E2345" w:rsidRPr="009A5ECD" w:rsidRDefault="009E2345" w:rsidP="00732ECA">
      <w:pPr>
        <w:pStyle w:val="ListParagraph"/>
        <w:numPr>
          <w:ilvl w:val="0"/>
          <w:numId w:val="29"/>
        </w:numPr>
        <w:rPr>
          <w:rFonts w:ascii="Calibri" w:hAnsi="Calibri"/>
        </w:rPr>
      </w:pPr>
      <w:r w:rsidRPr="009A5ECD">
        <w:t>prepare and respond to new variants of concern (i.e., increased ability to evade the immune system</w:t>
      </w:r>
      <w:r w:rsidR="001F4E2D">
        <w:t xml:space="preserve"> or</w:t>
      </w:r>
      <w:r w:rsidRPr="009A5ECD">
        <w:t xml:space="preserve"> increased severity)</w:t>
      </w:r>
    </w:p>
    <w:p w14:paraId="2927BADE" w14:textId="77777777" w:rsidR="009E2345" w:rsidRPr="009A5ECD" w:rsidRDefault="009E2345" w:rsidP="00732ECA">
      <w:pPr>
        <w:pStyle w:val="ListParagraph"/>
        <w:numPr>
          <w:ilvl w:val="0"/>
          <w:numId w:val="29"/>
        </w:numPr>
        <w:rPr>
          <w:rFonts w:ascii="Calibri" w:hAnsi="Calibri"/>
        </w:rPr>
      </w:pPr>
      <w:r w:rsidRPr="009A5ECD">
        <w:lastRenderedPageBreak/>
        <w:t>select vaccinations that provide strong protection against common variants circulating in Australia</w:t>
      </w:r>
    </w:p>
    <w:p w14:paraId="74389908" w14:textId="7DA84F90" w:rsidR="009E2345" w:rsidRPr="009A5ECD" w:rsidRDefault="009E2345" w:rsidP="00732ECA">
      <w:pPr>
        <w:pStyle w:val="ListParagraph"/>
        <w:numPr>
          <w:ilvl w:val="0"/>
          <w:numId w:val="29"/>
        </w:numPr>
        <w:rPr>
          <w:rFonts w:ascii="Calibri" w:hAnsi="Calibri"/>
        </w:rPr>
      </w:pPr>
      <w:r w:rsidRPr="009A5ECD">
        <w:t>ensure diagnostic tests remain accurate at detecting current viral strains in Australia</w:t>
      </w:r>
    </w:p>
    <w:p w14:paraId="3A53C590" w14:textId="77777777" w:rsidR="009E2345" w:rsidRPr="009A5ECD" w:rsidRDefault="009E2345" w:rsidP="00732ECA">
      <w:pPr>
        <w:pStyle w:val="ListParagraph"/>
        <w:numPr>
          <w:ilvl w:val="0"/>
          <w:numId w:val="29"/>
        </w:numPr>
        <w:rPr>
          <w:rFonts w:ascii="Calibri" w:hAnsi="Calibri"/>
        </w:rPr>
      </w:pPr>
      <w:r w:rsidRPr="009A5ECD">
        <w:t>analyse mutations to understand how these may influence the behaviour of the infection.</w:t>
      </w:r>
    </w:p>
    <w:p w14:paraId="3ACEF051" w14:textId="77777777" w:rsidR="009E2345" w:rsidRPr="009A5ECD" w:rsidRDefault="009E2345" w:rsidP="00FE2D5C">
      <w:pPr>
        <w:keepLines/>
      </w:pPr>
      <w:r w:rsidRPr="009A5ECD">
        <w:t>When designing action plans, genomic surveillance objectives and sample needs should be considered when designing public health testing and surveillance strategies, with appropriate input from those with genomic surveillance expertise.</w:t>
      </w:r>
    </w:p>
    <w:p w14:paraId="2B5DC725" w14:textId="3C70C6EC" w:rsidR="009E2345" w:rsidRPr="009E2345" w:rsidRDefault="009E2345" w:rsidP="00FE2D5C">
      <w:pPr>
        <w:pStyle w:val="Style1"/>
        <w:rPr>
          <w:sz w:val="24"/>
          <w:szCs w:val="24"/>
        </w:rPr>
      </w:pPr>
      <w:r w:rsidRPr="009E2345">
        <w:rPr>
          <w:sz w:val="24"/>
          <w:szCs w:val="24"/>
        </w:rPr>
        <w:t>What does the future look like?</w:t>
      </w:r>
    </w:p>
    <w:p w14:paraId="47ADA737" w14:textId="32FCD35B" w:rsidR="009E2345" w:rsidRPr="009A5ECD" w:rsidRDefault="009E2345" w:rsidP="00732ECA">
      <w:pPr>
        <w:pStyle w:val="ListParagraph"/>
        <w:numPr>
          <w:ilvl w:val="0"/>
          <w:numId w:val="29"/>
        </w:numPr>
      </w:pPr>
      <w:bookmarkStart w:id="130" w:name="_Hlk159916732"/>
      <w:r w:rsidRPr="009A5ECD">
        <w:t>Bi</w:t>
      </w:r>
      <w:bookmarkEnd w:id="130"/>
      <w:r w:rsidRPr="009A5ECD">
        <w:t xml:space="preserve">-directional data flows which </w:t>
      </w:r>
      <w:r w:rsidR="008D716D" w:rsidRPr="009A5ECD">
        <w:t>enable</w:t>
      </w:r>
      <w:r w:rsidRPr="009A5ECD">
        <w:t xml:space="preserve"> integrated analysis, reporting, and visualisation of genomic, epidemiological, and other surveillance data, to best inform our understanding of disease burden, transmission, and risk.</w:t>
      </w:r>
    </w:p>
    <w:p w14:paraId="6BF4BB79" w14:textId="77777777" w:rsidR="009E2345" w:rsidRPr="009A5ECD" w:rsidRDefault="009E2345" w:rsidP="00732ECA">
      <w:pPr>
        <w:pStyle w:val="ListParagraph"/>
        <w:numPr>
          <w:ilvl w:val="0"/>
          <w:numId w:val="29"/>
        </w:numPr>
      </w:pPr>
      <w:r>
        <w:t>Microbial genomics, including wastewater surveillance, is fully integrated into national public health practice and response, and in a One Health context.</w:t>
      </w:r>
    </w:p>
    <w:p w14:paraId="26C910A3" w14:textId="77777777" w:rsidR="009E2345" w:rsidRPr="009A5ECD" w:rsidRDefault="009E2345" w:rsidP="00732ECA">
      <w:pPr>
        <w:pStyle w:val="ListParagraph"/>
        <w:numPr>
          <w:ilvl w:val="0"/>
          <w:numId w:val="29"/>
        </w:numPr>
      </w:pPr>
      <w:r w:rsidRPr="009A5ECD">
        <w:t>There is evidence from Australia that microbial genomics has contributed to improvements in disease understanding, including detection of outbreaks, and enabled timely response.</w:t>
      </w:r>
    </w:p>
    <w:p w14:paraId="0A90047A" w14:textId="77777777" w:rsidR="009E2345" w:rsidRPr="009A5ECD" w:rsidRDefault="009E2345" w:rsidP="00732ECA">
      <w:pPr>
        <w:pStyle w:val="ListParagraph"/>
        <w:numPr>
          <w:ilvl w:val="0"/>
          <w:numId w:val="29"/>
        </w:numPr>
      </w:pPr>
      <w:r w:rsidRPr="009A5ECD">
        <w:t>There is greater systematic collaboration with researchers and a process to maximise opportunities for improvement and expansion in the application of microbial genomics.</w:t>
      </w:r>
    </w:p>
    <w:p w14:paraId="3562800B" w14:textId="77777777" w:rsidR="0029072F" w:rsidRPr="009814D7" w:rsidRDefault="0029072F" w:rsidP="00FE2D5C">
      <w:pPr>
        <w:pStyle w:val="Heading3"/>
        <w:rPr>
          <w:rFonts w:ascii="Calibri" w:hAnsi="Calibri"/>
          <w:sz w:val="28"/>
          <w:szCs w:val="28"/>
          <w:lang w:eastAsia="en-AU"/>
        </w:rPr>
      </w:pPr>
      <w:bookmarkStart w:id="131" w:name="_Toc135494180"/>
      <w:bookmarkStart w:id="132" w:name="_Toc758053192"/>
      <w:bookmarkStart w:id="133" w:name="_Toc1943967755"/>
      <w:bookmarkStart w:id="134" w:name="_Toc191899424"/>
      <w:r>
        <w:t>Prior and current activities</w:t>
      </w:r>
      <w:bookmarkEnd w:id="131"/>
      <w:bookmarkEnd w:id="132"/>
      <w:bookmarkEnd w:id="133"/>
      <w:bookmarkEnd w:id="134"/>
    </w:p>
    <w:p w14:paraId="6741BD3C" w14:textId="77777777" w:rsidR="00111025" w:rsidRPr="00EC69E3" w:rsidRDefault="00111025" w:rsidP="00FE2D5C">
      <w:r w:rsidRPr="006C4E45">
        <w:t>There is a collective effort by the Australian Government and state and territory governments to prioritise microbial genomics integr</w:t>
      </w:r>
      <w:r w:rsidRPr="000A209E">
        <w:t xml:space="preserve">ation activities to improve public health outcomes. </w:t>
      </w:r>
      <w:r w:rsidRPr="00925829">
        <w:t xml:space="preserve">Completed </w:t>
      </w:r>
      <w:r w:rsidRPr="00EA3A01">
        <w:t>activities</w:t>
      </w:r>
      <w:r w:rsidRPr="00DB42D7">
        <w:t xml:space="preserve"> include</w:t>
      </w:r>
      <w:r w:rsidRPr="00470DAA">
        <w:t xml:space="preserve"> the following</w:t>
      </w:r>
      <w:r w:rsidRPr="002B2C06">
        <w:t xml:space="preserve">: </w:t>
      </w:r>
    </w:p>
    <w:p w14:paraId="60058BA6" w14:textId="3D0140D9" w:rsidR="00111025" w:rsidRPr="00111025" w:rsidRDefault="00111025" w:rsidP="00732ECA">
      <w:pPr>
        <w:pStyle w:val="ListParagraph"/>
        <w:numPr>
          <w:ilvl w:val="0"/>
          <w:numId w:val="29"/>
        </w:numPr>
      </w:pPr>
      <w:r>
        <w:t xml:space="preserve">in early 2021, </w:t>
      </w:r>
      <w:r w:rsidRPr="00111025">
        <w:t>CDNA endorsed the ongoing sharing of enhanced metadata in AusTrakka for SARS-CoV-2</w:t>
      </w:r>
    </w:p>
    <w:p w14:paraId="4FCB4BE0" w14:textId="77777777" w:rsidR="00111025" w:rsidRPr="00111025" w:rsidRDefault="00111025" w:rsidP="00732ECA">
      <w:pPr>
        <w:pStyle w:val="ListParagraph"/>
        <w:numPr>
          <w:ilvl w:val="0"/>
          <w:numId w:val="29"/>
        </w:numPr>
      </w:pPr>
      <w:r w:rsidRPr="00111025">
        <w:t xml:space="preserve">in June 2022, CDGN hosted symposia sessions at the Communicable Diseases and Immunisation Conference in Sydney, with a focus on the utility of genomics for COVID-19 and other public health pathogens. </w:t>
      </w:r>
    </w:p>
    <w:p w14:paraId="452AB1C8" w14:textId="77777777" w:rsidR="00111025" w:rsidRPr="009A5ECD" w:rsidRDefault="00111025" w:rsidP="00FE2D5C">
      <w:pPr>
        <w:ind w:right="284"/>
      </w:pPr>
      <w:r>
        <w:t>The following include ongoing activities:</w:t>
      </w:r>
    </w:p>
    <w:p w14:paraId="11F32498" w14:textId="77777777" w:rsidR="00111025" w:rsidRPr="00B41E5A" w:rsidRDefault="00111025" w:rsidP="00732ECA">
      <w:pPr>
        <w:pStyle w:val="ListParagraph"/>
        <w:numPr>
          <w:ilvl w:val="0"/>
          <w:numId w:val="29"/>
        </w:numPr>
      </w:pPr>
      <w:r w:rsidRPr="00111025">
        <w:lastRenderedPageBreak/>
        <w:t>CDGN continues to advise and interact with laboratory and public health networks, government, policy makers, and other relevant stakeholders on pathogens of public health interest, including SARS-CoV-2</w:t>
      </w:r>
    </w:p>
    <w:p w14:paraId="37CF9404" w14:textId="77777777" w:rsidR="00111025" w:rsidRPr="00B41E5A" w:rsidRDefault="00111025" w:rsidP="00732ECA">
      <w:pPr>
        <w:pStyle w:val="ListParagraph"/>
        <w:numPr>
          <w:ilvl w:val="0"/>
          <w:numId w:val="29"/>
        </w:numPr>
      </w:pPr>
      <w:r>
        <w:t>research opportunities continue to be explored through leading research bodies and consortiums focusing on a range of microbial genomics issues</w:t>
      </w:r>
    </w:p>
    <w:p w14:paraId="316E2B28" w14:textId="77777777" w:rsidR="00111025" w:rsidRPr="00B41E5A" w:rsidRDefault="00111025" w:rsidP="00732ECA">
      <w:pPr>
        <w:pStyle w:val="ListParagraph"/>
        <w:numPr>
          <w:ilvl w:val="0"/>
          <w:numId w:val="29"/>
        </w:numPr>
      </w:pPr>
      <w:r w:rsidRPr="009A5ECD">
        <w:t xml:space="preserve">states and territories continue to engage in collaborative research partnerships to ensure evidence-based integration of public health microbial genomics in Australia </w:t>
      </w:r>
    </w:p>
    <w:p w14:paraId="6A7A5EDE" w14:textId="7E246D85" w:rsidR="00111025" w:rsidRPr="00B41E5A" w:rsidRDefault="00111025" w:rsidP="00732ECA">
      <w:pPr>
        <w:pStyle w:val="ListParagraph"/>
        <w:numPr>
          <w:ilvl w:val="0"/>
          <w:numId w:val="29"/>
        </w:numPr>
      </w:pPr>
      <w:r w:rsidRPr="00B41E5A">
        <w:t>CDGN regularly contributes to national SARS-CoV-2 surveillance, providing national genomics surveillance reports from data analysed through the AusTrakka platform as part of the Australian National Disease Surveillance Plan for COVID</w:t>
      </w:r>
      <w:r w:rsidR="001F4E2D">
        <w:noBreakHyphen/>
      </w:r>
      <w:r w:rsidRPr="00B41E5A">
        <w:t>19</w:t>
      </w:r>
    </w:p>
    <w:p w14:paraId="73965378" w14:textId="77777777" w:rsidR="00111025" w:rsidRPr="00B41E5A" w:rsidRDefault="00111025" w:rsidP="00732ECA">
      <w:pPr>
        <w:pStyle w:val="ListParagraph"/>
        <w:numPr>
          <w:ilvl w:val="0"/>
          <w:numId w:val="29"/>
        </w:numPr>
      </w:pPr>
      <w:r w:rsidRPr="00B41E5A">
        <w:t xml:space="preserve">in March 2021, to support Australia’s national response to SARS-CoV-2 variants, activities were undertaken which include the: </w:t>
      </w:r>
    </w:p>
    <w:p w14:paraId="690D2737" w14:textId="77777777" w:rsidR="00111025" w:rsidRPr="00B41E5A" w:rsidRDefault="00111025" w:rsidP="00732ECA">
      <w:pPr>
        <w:pStyle w:val="ListParagraph"/>
        <w:numPr>
          <w:ilvl w:val="1"/>
          <w:numId w:val="51"/>
        </w:numPr>
      </w:pPr>
      <w:r w:rsidRPr="00B41E5A">
        <w:t>development and regular update of a Variant of Concern (VoC) literature summary document, a ‘live’ list of variants and mutations of concern or interest relevant to Australia for surveillance and reporting, based on available literature and international classifications</w:t>
      </w:r>
    </w:p>
    <w:p w14:paraId="38A6564D" w14:textId="77777777" w:rsidR="00111025" w:rsidRPr="00B41E5A" w:rsidRDefault="00111025" w:rsidP="00732ECA">
      <w:pPr>
        <w:pStyle w:val="ListParagraph"/>
        <w:numPr>
          <w:ilvl w:val="1"/>
          <w:numId w:val="51"/>
        </w:numPr>
      </w:pPr>
      <w:r w:rsidRPr="00B41E5A">
        <w:t>maintenance of the CDGN laboratory case definitions for SARS-CoV-2 VoC</w:t>
      </w:r>
    </w:p>
    <w:p w14:paraId="6049A256" w14:textId="4977BC75" w:rsidR="00111025" w:rsidRPr="00B41E5A" w:rsidRDefault="00111025" w:rsidP="00732ECA">
      <w:pPr>
        <w:pStyle w:val="ListParagraph"/>
        <w:numPr>
          <w:ilvl w:val="1"/>
          <w:numId w:val="51"/>
        </w:numPr>
      </w:pPr>
      <w:r w:rsidRPr="00B41E5A">
        <w:t xml:space="preserve">collaboration with the Department of Health and Aged Care to develop a </w:t>
      </w:r>
      <w:r w:rsidR="0036748C">
        <w:t>harmonised</w:t>
      </w:r>
      <w:r w:rsidR="0036748C" w:rsidRPr="00B41E5A">
        <w:t xml:space="preserve"> </w:t>
      </w:r>
      <w:r w:rsidRPr="00B41E5A">
        <w:t>approach for reporting SARS-CoV-2 variants and mutations across jurisdictions and nationally, to support the recording of SARS-CoV-2 variants in the National Notifiable Diseases Surveillance System</w:t>
      </w:r>
    </w:p>
    <w:p w14:paraId="03E59955" w14:textId="46A916FD" w:rsidR="00111025" w:rsidRPr="00B41E5A" w:rsidRDefault="00111025" w:rsidP="00732ECA">
      <w:pPr>
        <w:pStyle w:val="ListParagraph"/>
        <w:numPr>
          <w:ilvl w:val="1"/>
          <w:numId w:val="51"/>
        </w:numPr>
      </w:pPr>
      <w:r w:rsidRPr="00B41E5A">
        <w:t>ongoing review of the CDGN website to ensure content is accurate and align</w:t>
      </w:r>
      <w:r w:rsidR="00C24FE4">
        <w:t>s</w:t>
      </w:r>
      <w:r w:rsidRPr="00B41E5A">
        <w:t xml:space="preserve"> with leading international organisations (for example, WHO, UKHSA)</w:t>
      </w:r>
    </w:p>
    <w:p w14:paraId="1A380E6C" w14:textId="77777777" w:rsidR="00111025" w:rsidRPr="00B41E5A" w:rsidRDefault="00111025" w:rsidP="00732ECA">
      <w:pPr>
        <w:pStyle w:val="ListParagraph"/>
        <w:numPr>
          <w:ilvl w:val="1"/>
          <w:numId w:val="51"/>
        </w:numPr>
      </w:pPr>
      <w:r w:rsidRPr="00B41E5A">
        <w:t>monitoring of primers/probes to ensure they can accurately detect the virus and variants.</w:t>
      </w:r>
    </w:p>
    <w:p w14:paraId="11C2D8FA" w14:textId="31537C23" w:rsidR="00CB4A42" w:rsidRDefault="00CB4A42">
      <w:pPr>
        <w:spacing w:before="0" w:after="0" w:line="240" w:lineRule="auto"/>
        <w:rPr>
          <w:rFonts w:eastAsiaTheme="majorEastAsia" w:cstheme="majorBidi"/>
          <w:color w:val="033636" w:themeColor="text2"/>
          <w:szCs w:val="20"/>
        </w:rPr>
      </w:pPr>
      <w:r>
        <w:rPr>
          <w:szCs w:val="20"/>
        </w:rPr>
        <w:br w:type="page"/>
      </w:r>
    </w:p>
    <w:p w14:paraId="0057C8D8" w14:textId="037F697A" w:rsidR="00801E76" w:rsidRPr="009814D7" w:rsidRDefault="00801E76" w:rsidP="00801E76">
      <w:pPr>
        <w:pStyle w:val="Heading3"/>
      </w:pPr>
      <w:bookmarkStart w:id="135" w:name="_Toc135494181"/>
      <w:bookmarkStart w:id="136" w:name="_Toc1559089197"/>
      <w:bookmarkStart w:id="137" w:name="_Toc228211497"/>
      <w:bookmarkStart w:id="138" w:name="_Toc191899425"/>
      <w:r>
        <w:lastRenderedPageBreak/>
        <w:t>Outcome 3.1</w:t>
      </w:r>
      <w:r w:rsidR="003D1832">
        <w:t xml:space="preserve"> </w:t>
      </w:r>
      <w:r>
        <w:t>—</w:t>
      </w:r>
      <w:r w:rsidR="003D1832">
        <w:t xml:space="preserve"> </w:t>
      </w:r>
      <w:r w:rsidR="00AF7560">
        <w:t>M</w:t>
      </w:r>
      <w:r>
        <w:t xml:space="preserve">icrobial genomics </w:t>
      </w:r>
      <w:r w:rsidR="00AF7560">
        <w:t xml:space="preserve">integrated into </w:t>
      </w:r>
      <w:bookmarkEnd w:id="135"/>
      <w:bookmarkEnd w:id="136"/>
      <w:bookmarkEnd w:id="137"/>
      <w:r w:rsidR="0001270B">
        <w:t>public health reporting</w:t>
      </w:r>
      <w:r w:rsidR="00AF7560">
        <w:t xml:space="preserve"> and systems</w:t>
      </w:r>
      <w:bookmarkEnd w:id="138"/>
    </w:p>
    <w:p w14:paraId="41CC0EE7" w14:textId="77777777" w:rsidR="00BB352F" w:rsidRPr="009A5ECD" w:rsidRDefault="00BB352F" w:rsidP="00732ECA">
      <w:pPr>
        <w:pStyle w:val="ListParagraph"/>
        <w:numPr>
          <w:ilvl w:val="0"/>
          <w:numId w:val="29"/>
        </w:numPr>
        <w:spacing w:line="240" w:lineRule="auto"/>
      </w:pPr>
      <w:r w:rsidRPr="009A5ECD">
        <w:t>Facilitate integration with:</w:t>
      </w:r>
    </w:p>
    <w:p w14:paraId="4C64837E" w14:textId="0359D5BA" w:rsidR="00BB352F" w:rsidRPr="009A5ECD" w:rsidRDefault="00BB352F" w:rsidP="00732ECA">
      <w:pPr>
        <w:pStyle w:val="ListParagraph"/>
        <w:numPr>
          <w:ilvl w:val="1"/>
          <w:numId w:val="52"/>
        </w:numPr>
        <w:spacing w:line="240" w:lineRule="auto"/>
      </w:pPr>
      <w:r w:rsidRPr="009A5ECD">
        <w:t xml:space="preserve">epidemiological and </w:t>
      </w:r>
      <w:r w:rsidR="00635946">
        <w:t>AMR</w:t>
      </w:r>
      <w:r w:rsidRPr="009A5ECD">
        <w:t xml:space="preserve"> surveillance systems</w:t>
      </w:r>
    </w:p>
    <w:p w14:paraId="47154EDE" w14:textId="77777777" w:rsidR="00BB352F" w:rsidRPr="009A5ECD" w:rsidRDefault="00BB352F" w:rsidP="00732ECA">
      <w:pPr>
        <w:pStyle w:val="ListParagraph"/>
        <w:numPr>
          <w:ilvl w:val="1"/>
          <w:numId w:val="52"/>
        </w:numPr>
        <w:spacing w:line="240" w:lineRule="auto"/>
      </w:pPr>
      <w:r w:rsidRPr="009A5ECD">
        <w:t>laboratory information systems.</w:t>
      </w:r>
    </w:p>
    <w:p w14:paraId="177F692D" w14:textId="77777777" w:rsidR="00BB352F" w:rsidRPr="009A5ECD" w:rsidRDefault="00BB352F" w:rsidP="00732ECA">
      <w:pPr>
        <w:pStyle w:val="ListParagraph"/>
        <w:numPr>
          <w:ilvl w:val="0"/>
          <w:numId w:val="30"/>
        </w:numPr>
        <w:spacing w:line="240" w:lineRule="auto"/>
      </w:pPr>
      <w:r w:rsidRPr="009A5ECD">
        <w:t>Continue to ensure preparedness to rapidly detect and characterise emerging and/or newly imported pathogens and other bio-threats.</w:t>
      </w:r>
    </w:p>
    <w:tbl>
      <w:tblPr>
        <w:tblStyle w:val="TableGrid"/>
        <w:tblW w:w="10286" w:type="dxa"/>
        <w:tblInd w:w="-431" w:type="dxa"/>
        <w:tblLook w:val="04A0" w:firstRow="1" w:lastRow="0" w:firstColumn="1" w:lastColumn="0" w:noHBand="0" w:noVBand="1"/>
      </w:tblPr>
      <w:tblGrid>
        <w:gridCol w:w="6805"/>
        <w:gridCol w:w="1276"/>
        <w:gridCol w:w="1185"/>
        <w:gridCol w:w="1020"/>
      </w:tblGrid>
      <w:tr w:rsidR="000068DE" w:rsidRPr="009A5ECD" w14:paraId="0D9EA122" w14:textId="77777777" w:rsidTr="7CC1F5DA">
        <w:trPr>
          <w:cnfStyle w:val="100000000000" w:firstRow="1" w:lastRow="0" w:firstColumn="0" w:lastColumn="0" w:oddVBand="0" w:evenVBand="0" w:oddHBand="0" w:evenHBand="0" w:firstRowFirstColumn="0" w:firstRowLastColumn="0" w:lastRowFirstColumn="0" w:lastRowLastColumn="0"/>
          <w:trHeight w:val="283"/>
        </w:trPr>
        <w:tc>
          <w:tcPr>
            <w:tcW w:w="6805" w:type="dxa"/>
          </w:tcPr>
          <w:p w14:paraId="30A1D688" w14:textId="77777777" w:rsidR="00BB352F" w:rsidRPr="009A5ECD" w:rsidRDefault="00BB352F">
            <w:pPr>
              <w:spacing w:line="240" w:lineRule="auto"/>
              <w:rPr>
                <w:b/>
              </w:rPr>
            </w:pPr>
            <w:r w:rsidRPr="009A5ECD">
              <w:rPr>
                <w:b/>
              </w:rPr>
              <w:t>National Action</w:t>
            </w:r>
          </w:p>
        </w:tc>
        <w:tc>
          <w:tcPr>
            <w:tcW w:w="1276" w:type="dxa"/>
          </w:tcPr>
          <w:p w14:paraId="4BAFDB6C" w14:textId="77777777" w:rsidR="00BB352F" w:rsidRPr="009A5ECD" w:rsidRDefault="00BB352F" w:rsidP="00801E76">
            <w:pPr>
              <w:spacing w:line="240" w:lineRule="auto"/>
              <w:jc w:val="center"/>
              <w:rPr>
                <w:b/>
              </w:rPr>
            </w:pPr>
            <w:r w:rsidRPr="009A5ECD">
              <w:rPr>
                <w:b/>
              </w:rPr>
              <w:t>Timeframe</w:t>
            </w:r>
          </w:p>
        </w:tc>
        <w:tc>
          <w:tcPr>
            <w:tcW w:w="1185" w:type="dxa"/>
          </w:tcPr>
          <w:p w14:paraId="3481AB08" w14:textId="6B69DD8A" w:rsidR="00BB352F" w:rsidRPr="009A5ECD" w:rsidRDefault="00BB352F" w:rsidP="00801E76">
            <w:pPr>
              <w:spacing w:line="240" w:lineRule="auto"/>
              <w:jc w:val="center"/>
              <w:rPr>
                <w:b/>
              </w:rPr>
            </w:pPr>
            <w:r w:rsidRPr="009A5ECD">
              <w:rPr>
                <w:b/>
              </w:rPr>
              <w:t>Lead</w:t>
            </w:r>
          </w:p>
        </w:tc>
        <w:tc>
          <w:tcPr>
            <w:tcW w:w="1020" w:type="dxa"/>
          </w:tcPr>
          <w:p w14:paraId="6D8B21DA" w14:textId="77777777" w:rsidR="00BB352F" w:rsidRPr="009A5ECD" w:rsidRDefault="00BB352F" w:rsidP="00801E76">
            <w:pPr>
              <w:spacing w:line="240" w:lineRule="auto"/>
              <w:jc w:val="center"/>
              <w:rPr>
                <w:b/>
              </w:rPr>
            </w:pPr>
            <w:r w:rsidRPr="009A5ECD">
              <w:rPr>
                <w:b/>
              </w:rPr>
              <w:t>Priority</w:t>
            </w:r>
          </w:p>
        </w:tc>
      </w:tr>
      <w:tr w:rsidR="00BB352F" w:rsidRPr="009A5ECD" w14:paraId="3A956F0D" w14:textId="77777777" w:rsidTr="7CC1F5DA">
        <w:trPr>
          <w:cnfStyle w:val="000000100000" w:firstRow="0" w:lastRow="0" w:firstColumn="0" w:lastColumn="0" w:oddVBand="0" w:evenVBand="0" w:oddHBand="1" w:evenHBand="0" w:firstRowFirstColumn="0" w:firstRowLastColumn="0" w:lastRowFirstColumn="0" w:lastRowLastColumn="0"/>
          <w:trHeight w:val="300"/>
        </w:trPr>
        <w:tc>
          <w:tcPr>
            <w:tcW w:w="6805" w:type="dxa"/>
          </w:tcPr>
          <w:p w14:paraId="3E8AA5B5" w14:textId="77777777" w:rsidR="00BB352F" w:rsidRPr="009A5ECD" w:rsidRDefault="00BB352F">
            <w:pPr>
              <w:spacing w:line="240" w:lineRule="auto"/>
            </w:pPr>
            <w:r w:rsidRPr="18BAFD13">
              <w:rPr>
                <w:b/>
                <w:bCs/>
              </w:rPr>
              <w:t>3.1.1</w:t>
            </w:r>
            <w:r>
              <w:t xml:space="preserve"> Investigate how microbial genomics data and laboratory information management and epidemiological surveillance systems can be integrated or linked to support unified analysis and decision-making. Determine how systems can facilitate seamless notification and reporting pathways for effective and real-time public health action.</w:t>
            </w:r>
          </w:p>
        </w:tc>
        <w:tc>
          <w:tcPr>
            <w:tcW w:w="1276" w:type="dxa"/>
          </w:tcPr>
          <w:p w14:paraId="6803D996" w14:textId="77777777" w:rsidR="00BB352F" w:rsidRPr="009A5ECD" w:rsidRDefault="00BB352F" w:rsidP="00801E76">
            <w:pPr>
              <w:spacing w:line="240" w:lineRule="auto"/>
              <w:jc w:val="center"/>
            </w:pPr>
            <w:r w:rsidRPr="009A5ECD">
              <w:t>Medium</w:t>
            </w:r>
          </w:p>
        </w:tc>
        <w:tc>
          <w:tcPr>
            <w:tcW w:w="1185" w:type="dxa"/>
          </w:tcPr>
          <w:p w14:paraId="76BF2F3F" w14:textId="2962B87D" w:rsidR="00BB352F" w:rsidRPr="009A5ECD" w:rsidRDefault="3E8CB1ED" w:rsidP="00801E76">
            <w:pPr>
              <w:spacing w:line="240" w:lineRule="auto"/>
              <w:jc w:val="center"/>
              <w:rPr>
                <w:highlight w:val="yellow"/>
              </w:rPr>
            </w:pPr>
            <w:r>
              <w:t>All</w:t>
            </w:r>
          </w:p>
        </w:tc>
        <w:tc>
          <w:tcPr>
            <w:tcW w:w="1020" w:type="dxa"/>
          </w:tcPr>
          <w:p w14:paraId="1F848956" w14:textId="77777777" w:rsidR="00BB352F" w:rsidRPr="009A5ECD" w:rsidRDefault="00BB352F" w:rsidP="00801E76">
            <w:pPr>
              <w:spacing w:line="240" w:lineRule="auto"/>
              <w:jc w:val="center"/>
            </w:pPr>
            <w:r w:rsidRPr="009A5ECD">
              <w:t>High</w:t>
            </w:r>
          </w:p>
        </w:tc>
      </w:tr>
      <w:tr w:rsidR="00BB352F" w:rsidRPr="009A5ECD" w14:paraId="28F544E4" w14:textId="77777777" w:rsidTr="7CC1F5DA">
        <w:trPr>
          <w:trHeight w:val="300"/>
        </w:trPr>
        <w:tc>
          <w:tcPr>
            <w:tcW w:w="6805" w:type="dxa"/>
          </w:tcPr>
          <w:p w14:paraId="10702511" w14:textId="2AC80965" w:rsidR="00BB352F" w:rsidRPr="009A5ECD" w:rsidRDefault="00BB352F">
            <w:pPr>
              <w:spacing w:line="240" w:lineRule="auto"/>
              <w:rPr>
                <w:b/>
              </w:rPr>
            </w:pPr>
            <w:r w:rsidRPr="009A5ECD">
              <w:rPr>
                <w:b/>
              </w:rPr>
              <w:t>3.1.</w:t>
            </w:r>
            <w:r w:rsidR="001B1096">
              <w:rPr>
                <w:b/>
              </w:rPr>
              <w:t>2</w:t>
            </w:r>
            <w:r w:rsidRPr="009A5ECD">
              <w:t xml:space="preserve"> Support the development of methodologies for integrated analysis and reporting of genomic, epidemiological, and other surveillance data.</w:t>
            </w:r>
          </w:p>
        </w:tc>
        <w:tc>
          <w:tcPr>
            <w:tcW w:w="1276" w:type="dxa"/>
          </w:tcPr>
          <w:p w14:paraId="394AC1A9" w14:textId="77777777" w:rsidR="00BB352F" w:rsidRPr="009A5ECD" w:rsidRDefault="00BB352F" w:rsidP="00801E76">
            <w:pPr>
              <w:spacing w:line="240" w:lineRule="auto"/>
              <w:jc w:val="center"/>
            </w:pPr>
            <w:r w:rsidRPr="009A5ECD">
              <w:t>Medium</w:t>
            </w:r>
          </w:p>
        </w:tc>
        <w:tc>
          <w:tcPr>
            <w:tcW w:w="1185" w:type="dxa"/>
          </w:tcPr>
          <w:p w14:paraId="03F44AFD" w14:textId="77777777" w:rsidR="00BB352F" w:rsidRPr="009A5ECD" w:rsidRDefault="00BB352F" w:rsidP="00801E76">
            <w:pPr>
              <w:spacing w:line="240" w:lineRule="auto"/>
              <w:jc w:val="center"/>
              <w:rPr>
                <w:highlight w:val="yellow"/>
              </w:rPr>
            </w:pPr>
            <w:r w:rsidRPr="009A5ECD">
              <w:t>CDGN</w:t>
            </w:r>
          </w:p>
        </w:tc>
        <w:tc>
          <w:tcPr>
            <w:tcW w:w="1020" w:type="dxa"/>
          </w:tcPr>
          <w:p w14:paraId="4DED702D" w14:textId="77777777" w:rsidR="00BB352F" w:rsidRPr="009A5ECD" w:rsidRDefault="00BB352F" w:rsidP="00801E76">
            <w:pPr>
              <w:spacing w:line="240" w:lineRule="auto"/>
              <w:jc w:val="center"/>
            </w:pPr>
            <w:r w:rsidRPr="009A5ECD">
              <w:t>Medium</w:t>
            </w:r>
          </w:p>
        </w:tc>
      </w:tr>
      <w:tr w:rsidR="00BB352F" w:rsidRPr="009A5ECD" w14:paraId="387F89A2" w14:textId="77777777" w:rsidTr="7CC1F5DA">
        <w:trPr>
          <w:cnfStyle w:val="000000100000" w:firstRow="0" w:lastRow="0" w:firstColumn="0" w:lastColumn="0" w:oddVBand="0" w:evenVBand="0" w:oddHBand="1" w:evenHBand="0" w:firstRowFirstColumn="0" w:firstRowLastColumn="0" w:lastRowFirstColumn="0" w:lastRowLastColumn="0"/>
          <w:trHeight w:val="300"/>
        </w:trPr>
        <w:tc>
          <w:tcPr>
            <w:tcW w:w="6805" w:type="dxa"/>
          </w:tcPr>
          <w:p w14:paraId="6460B0CC" w14:textId="14687E1F" w:rsidR="00BB352F" w:rsidRPr="009A5ECD" w:rsidRDefault="00BB352F">
            <w:pPr>
              <w:spacing w:line="240" w:lineRule="auto"/>
            </w:pPr>
            <w:r w:rsidRPr="009A5ECD">
              <w:rPr>
                <w:b/>
              </w:rPr>
              <w:t>3.1.</w:t>
            </w:r>
            <w:r w:rsidR="001B1096">
              <w:rPr>
                <w:b/>
              </w:rPr>
              <w:t>3</w:t>
            </w:r>
            <w:r w:rsidRPr="009A5ECD">
              <w:t xml:space="preserve"> Develop exercises to test the use of microbial genomics in the event of a human disease outbreak. These will assess and look at strengths and opportunities to improve Australia’s integration of microbial genomics into public health responses.</w:t>
            </w:r>
          </w:p>
        </w:tc>
        <w:tc>
          <w:tcPr>
            <w:tcW w:w="1276" w:type="dxa"/>
          </w:tcPr>
          <w:p w14:paraId="6C6B775F" w14:textId="77777777" w:rsidR="00BB352F" w:rsidRPr="009A5ECD" w:rsidRDefault="00BB352F" w:rsidP="00801E76">
            <w:pPr>
              <w:spacing w:line="240" w:lineRule="auto"/>
              <w:jc w:val="center"/>
            </w:pPr>
            <w:r w:rsidRPr="009A5ECD">
              <w:t>Medium</w:t>
            </w:r>
          </w:p>
        </w:tc>
        <w:tc>
          <w:tcPr>
            <w:tcW w:w="1185" w:type="dxa"/>
          </w:tcPr>
          <w:p w14:paraId="71CF5B9D" w14:textId="77777777" w:rsidR="00BB352F" w:rsidRPr="009A5ECD" w:rsidRDefault="00BB352F" w:rsidP="00801E76">
            <w:pPr>
              <w:spacing w:line="240" w:lineRule="auto"/>
              <w:jc w:val="center"/>
            </w:pPr>
            <w:r w:rsidRPr="009A5ECD">
              <w:t>CDGN</w:t>
            </w:r>
          </w:p>
        </w:tc>
        <w:tc>
          <w:tcPr>
            <w:tcW w:w="1020" w:type="dxa"/>
          </w:tcPr>
          <w:p w14:paraId="3AFA89A6" w14:textId="77777777" w:rsidR="00BB352F" w:rsidRPr="009A5ECD" w:rsidRDefault="00BB352F" w:rsidP="00801E76">
            <w:pPr>
              <w:spacing w:line="240" w:lineRule="auto"/>
              <w:jc w:val="center"/>
            </w:pPr>
            <w:r w:rsidRPr="009A5ECD">
              <w:t>Medium</w:t>
            </w:r>
          </w:p>
        </w:tc>
      </w:tr>
      <w:tr w:rsidR="001B1096" w:rsidRPr="009A5ECD" w14:paraId="19117D8D" w14:textId="77777777" w:rsidTr="7CC1F5DA">
        <w:trPr>
          <w:trHeight w:val="300"/>
        </w:trPr>
        <w:tc>
          <w:tcPr>
            <w:tcW w:w="6805" w:type="dxa"/>
          </w:tcPr>
          <w:p w14:paraId="11291F7A" w14:textId="08512B19" w:rsidR="001B1096" w:rsidRPr="009A5ECD" w:rsidRDefault="001B1096" w:rsidP="001B1096">
            <w:pPr>
              <w:spacing w:line="240" w:lineRule="auto"/>
              <w:rPr>
                <w:b/>
              </w:rPr>
            </w:pPr>
            <w:r w:rsidRPr="009A5ECD">
              <w:rPr>
                <w:b/>
              </w:rPr>
              <w:t>3.1.</w:t>
            </w:r>
            <w:r>
              <w:rPr>
                <w:b/>
              </w:rPr>
              <w:t>4</w:t>
            </w:r>
            <w:r w:rsidRPr="009A5ECD">
              <w:t xml:space="preserve"> </w:t>
            </w:r>
            <w:r>
              <w:t>With support of CDGN, maintain</w:t>
            </w:r>
            <w:r w:rsidRPr="009A5ECD">
              <w:t xml:space="preserve"> consistent public health reporting standards and nomenclature for key pathogens of public health interest that effectively communicates data to end-users (e.g., clinicians</w:t>
            </w:r>
            <w:r w:rsidR="00995715">
              <w:t xml:space="preserve"> and</w:t>
            </w:r>
            <w:r w:rsidRPr="009A5ECD">
              <w:t xml:space="preserve"> public health authorities).</w:t>
            </w:r>
          </w:p>
        </w:tc>
        <w:tc>
          <w:tcPr>
            <w:tcW w:w="1276" w:type="dxa"/>
          </w:tcPr>
          <w:p w14:paraId="71A93BDF" w14:textId="1A87BA22" w:rsidR="001B1096" w:rsidRPr="009A5ECD" w:rsidRDefault="001B1096" w:rsidP="001B1096">
            <w:pPr>
              <w:spacing w:line="240" w:lineRule="auto"/>
              <w:jc w:val="center"/>
            </w:pPr>
            <w:r w:rsidRPr="009A5ECD">
              <w:t>Long</w:t>
            </w:r>
          </w:p>
        </w:tc>
        <w:tc>
          <w:tcPr>
            <w:tcW w:w="1185" w:type="dxa"/>
          </w:tcPr>
          <w:p w14:paraId="046ACED4" w14:textId="63FC6A0A" w:rsidR="001B1096" w:rsidRPr="009A5ECD" w:rsidRDefault="001B1096" w:rsidP="001B1096">
            <w:pPr>
              <w:spacing w:line="240" w:lineRule="auto"/>
              <w:jc w:val="center"/>
            </w:pPr>
            <w:r>
              <w:t>CDNA, PHLN</w:t>
            </w:r>
          </w:p>
        </w:tc>
        <w:tc>
          <w:tcPr>
            <w:tcW w:w="1020" w:type="dxa"/>
          </w:tcPr>
          <w:p w14:paraId="108D5563" w14:textId="657CEA9B" w:rsidR="001B1096" w:rsidRPr="009A5ECD" w:rsidRDefault="001B1096" w:rsidP="001B1096">
            <w:pPr>
              <w:spacing w:line="240" w:lineRule="auto"/>
              <w:jc w:val="center"/>
            </w:pPr>
            <w:r w:rsidRPr="009A5ECD">
              <w:t>High</w:t>
            </w:r>
          </w:p>
        </w:tc>
      </w:tr>
    </w:tbl>
    <w:p w14:paraId="0FCFEE03" w14:textId="77777777" w:rsidR="00BB352F" w:rsidRPr="009A5ECD" w:rsidRDefault="00BB352F" w:rsidP="00BB352F">
      <w:pPr>
        <w:spacing w:before="0" w:after="0" w:line="240" w:lineRule="auto"/>
        <w:rPr>
          <w:rFonts w:asciiTheme="majorHAnsi" w:hAnsiTheme="majorHAnsi" w:cs="Arial"/>
          <w:b/>
        </w:rPr>
      </w:pPr>
      <w:r w:rsidRPr="009814D7">
        <w:rPr>
          <w:color w:val="00B0F0"/>
        </w:rPr>
        <w:br w:type="page"/>
      </w:r>
    </w:p>
    <w:p w14:paraId="5EFF282C" w14:textId="285E35C4" w:rsidR="005478A8" w:rsidRPr="009814D7" w:rsidRDefault="005478A8" w:rsidP="005478A8">
      <w:pPr>
        <w:pStyle w:val="Heading3"/>
      </w:pPr>
      <w:bookmarkStart w:id="139" w:name="_Toc135494182"/>
      <w:bookmarkStart w:id="140" w:name="_Toc276482265"/>
      <w:bookmarkStart w:id="141" w:name="_Toc1351668888"/>
      <w:bookmarkStart w:id="142" w:name="_Toc191899426"/>
      <w:r>
        <w:lastRenderedPageBreak/>
        <w:t>Outcome 3.2</w:t>
      </w:r>
      <w:r w:rsidR="003D1832">
        <w:t xml:space="preserve"> </w:t>
      </w:r>
      <w:r>
        <w:t>—</w:t>
      </w:r>
      <w:r w:rsidR="003D1832">
        <w:t xml:space="preserve"> </w:t>
      </w:r>
      <w:r w:rsidR="00A1602C">
        <w:t>P</w:t>
      </w:r>
      <w:r>
        <w:t>riority organisms</w:t>
      </w:r>
      <w:bookmarkEnd w:id="139"/>
      <w:bookmarkEnd w:id="140"/>
      <w:r>
        <w:t xml:space="preserve"> of national significance</w:t>
      </w:r>
      <w:bookmarkEnd w:id="141"/>
      <w:r>
        <w:t xml:space="preserve"> </w:t>
      </w:r>
      <w:r w:rsidR="00A1602C">
        <w:t>identified</w:t>
      </w:r>
      <w:bookmarkEnd w:id="142"/>
    </w:p>
    <w:p w14:paraId="4165CB45" w14:textId="77777777" w:rsidR="00B56CCC" w:rsidRPr="00231CC4" w:rsidRDefault="00B56CCC" w:rsidP="00732ECA">
      <w:pPr>
        <w:pStyle w:val="ListParagraph"/>
        <w:numPr>
          <w:ilvl w:val="0"/>
          <w:numId w:val="31"/>
        </w:numPr>
        <w:spacing w:line="240" w:lineRule="auto"/>
      </w:pPr>
      <w:r w:rsidRPr="00231CC4">
        <w:t>Improve knowledge on what type of microbial genomics information improves public health disease control and response and how this is applied in relation to priority organisms, particularly its role in maintaining national health security and biosecurity.</w:t>
      </w:r>
    </w:p>
    <w:p w14:paraId="57BB5222" w14:textId="5C2DBA37" w:rsidR="00B56CCC" w:rsidRPr="00231CC4" w:rsidRDefault="00B56CCC" w:rsidP="00732ECA">
      <w:pPr>
        <w:pStyle w:val="ListParagraph"/>
        <w:numPr>
          <w:ilvl w:val="0"/>
          <w:numId w:val="31"/>
        </w:numPr>
        <w:spacing w:line="240" w:lineRule="auto"/>
      </w:pPr>
      <w:r w:rsidRPr="00231CC4">
        <w:t>Facilitate and encourage private microbiology laboratories to refer priority samples for sequencing and/or share microbial genomics related data for public health and surveillance purposes for priority organisms.</w:t>
      </w:r>
    </w:p>
    <w:tbl>
      <w:tblPr>
        <w:tblStyle w:val="TableGrid"/>
        <w:tblpPr w:leftFromText="180" w:rightFromText="180" w:vertAnchor="text" w:tblpY="1"/>
        <w:tblOverlap w:val="never"/>
        <w:tblW w:w="9869" w:type="dxa"/>
        <w:tblLook w:val="04A0" w:firstRow="1" w:lastRow="0" w:firstColumn="1" w:lastColumn="0" w:noHBand="0" w:noVBand="1"/>
      </w:tblPr>
      <w:tblGrid>
        <w:gridCol w:w="6094"/>
        <w:gridCol w:w="1269"/>
        <w:gridCol w:w="1575"/>
        <w:gridCol w:w="931"/>
      </w:tblGrid>
      <w:tr w:rsidR="00B56CCC" w:rsidRPr="00231CC4" w14:paraId="1C3C622D" w14:textId="77777777" w:rsidTr="5A36DD3A">
        <w:trPr>
          <w:cnfStyle w:val="100000000000" w:firstRow="1" w:lastRow="0" w:firstColumn="0" w:lastColumn="0" w:oddVBand="0" w:evenVBand="0" w:oddHBand="0" w:evenHBand="0" w:firstRowFirstColumn="0" w:firstRowLastColumn="0" w:lastRowFirstColumn="0" w:lastRowLastColumn="0"/>
          <w:trHeight w:val="283"/>
        </w:trPr>
        <w:tc>
          <w:tcPr>
            <w:tcW w:w="6094" w:type="dxa"/>
          </w:tcPr>
          <w:p w14:paraId="484AD3DE" w14:textId="77777777" w:rsidR="00B56CCC" w:rsidRPr="00231CC4" w:rsidRDefault="00B56CCC">
            <w:pPr>
              <w:spacing w:line="240" w:lineRule="auto"/>
              <w:rPr>
                <w:b/>
              </w:rPr>
            </w:pPr>
            <w:r w:rsidRPr="00231CC4">
              <w:rPr>
                <w:b/>
              </w:rPr>
              <w:t>National Action</w:t>
            </w:r>
          </w:p>
        </w:tc>
        <w:tc>
          <w:tcPr>
            <w:tcW w:w="1269" w:type="dxa"/>
          </w:tcPr>
          <w:p w14:paraId="79AECC9A" w14:textId="77777777" w:rsidR="00B56CCC" w:rsidRPr="00231CC4" w:rsidRDefault="00B56CCC" w:rsidP="00236724">
            <w:pPr>
              <w:spacing w:line="240" w:lineRule="auto"/>
              <w:jc w:val="center"/>
              <w:rPr>
                <w:b/>
              </w:rPr>
            </w:pPr>
            <w:r w:rsidRPr="00231CC4">
              <w:rPr>
                <w:b/>
              </w:rPr>
              <w:t>Timeframe</w:t>
            </w:r>
          </w:p>
        </w:tc>
        <w:tc>
          <w:tcPr>
            <w:tcW w:w="1575" w:type="dxa"/>
          </w:tcPr>
          <w:p w14:paraId="41EC31CC" w14:textId="11875512" w:rsidR="00B56CCC" w:rsidRPr="00231CC4" w:rsidRDefault="00B56CCC" w:rsidP="00236724">
            <w:pPr>
              <w:spacing w:line="240" w:lineRule="auto"/>
              <w:jc w:val="center"/>
              <w:rPr>
                <w:b/>
              </w:rPr>
            </w:pPr>
            <w:r w:rsidRPr="00231CC4">
              <w:rPr>
                <w:b/>
              </w:rPr>
              <w:t>Lead</w:t>
            </w:r>
          </w:p>
        </w:tc>
        <w:tc>
          <w:tcPr>
            <w:tcW w:w="931" w:type="dxa"/>
          </w:tcPr>
          <w:p w14:paraId="1D3F30B5" w14:textId="77777777" w:rsidR="00B56CCC" w:rsidRPr="00231CC4" w:rsidRDefault="00B56CCC" w:rsidP="00236724">
            <w:pPr>
              <w:spacing w:line="240" w:lineRule="auto"/>
              <w:jc w:val="center"/>
              <w:rPr>
                <w:b/>
              </w:rPr>
            </w:pPr>
            <w:r w:rsidRPr="00231CC4">
              <w:rPr>
                <w:b/>
              </w:rPr>
              <w:t>Priority</w:t>
            </w:r>
          </w:p>
        </w:tc>
      </w:tr>
      <w:tr w:rsidR="00B56CCC" w:rsidRPr="00231CC4" w14:paraId="5B0C8F08" w14:textId="77777777" w:rsidTr="5A36DD3A">
        <w:trPr>
          <w:cnfStyle w:val="000000100000" w:firstRow="0" w:lastRow="0" w:firstColumn="0" w:lastColumn="0" w:oddVBand="0" w:evenVBand="0" w:oddHBand="1" w:evenHBand="0" w:firstRowFirstColumn="0" w:firstRowLastColumn="0" w:lastRowFirstColumn="0" w:lastRowLastColumn="0"/>
          <w:trHeight w:val="300"/>
        </w:trPr>
        <w:tc>
          <w:tcPr>
            <w:tcW w:w="6094" w:type="dxa"/>
          </w:tcPr>
          <w:p w14:paraId="779F077E" w14:textId="7E1F1070" w:rsidR="00B56CCC" w:rsidRPr="00231CC4" w:rsidRDefault="00B56CCC">
            <w:pPr>
              <w:spacing w:line="240" w:lineRule="auto"/>
            </w:pPr>
            <w:r w:rsidRPr="00231CC4">
              <w:rPr>
                <w:b/>
              </w:rPr>
              <w:t xml:space="preserve">3.2.1 </w:t>
            </w:r>
            <w:r w:rsidRPr="00231CC4">
              <w:t xml:space="preserve">Ensure laboratories have the necessary information and resources for the rapid detection and characterisation of emerging and/or newly imported pathogens </w:t>
            </w:r>
            <w:r w:rsidR="00BA075D">
              <w:t xml:space="preserve">of public health concern </w:t>
            </w:r>
            <w:r w:rsidRPr="00231CC4">
              <w:t>and other bio-threats.</w:t>
            </w:r>
          </w:p>
        </w:tc>
        <w:tc>
          <w:tcPr>
            <w:tcW w:w="1269" w:type="dxa"/>
          </w:tcPr>
          <w:p w14:paraId="2AEF6243" w14:textId="77777777" w:rsidR="00B56CCC" w:rsidRPr="00231CC4" w:rsidRDefault="00B56CCC" w:rsidP="00236724">
            <w:pPr>
              <w:spacing w:line="240" w:lineRule="auto"/>
              <w:jc w:val="center"/>
            </w:pPr>
            <w:r w:rsidRPr="00231CC4">
              <w:t>Medium</w:t>
            </w:r>
          </w:p>
        </w:tc>
        <w:tc>
          <w:tcPr>
            <w:tcW w:w="1575" w:type="dxa"/>
          </w:tcPr>
          <w:p w14:paraId="667688CC" w14:textId="4136135D" w:rsidR="00B56CCC" w:rsidRPr="00231CC4" w:rsidRDefault="52475490" w:rsidP="002E3D49">
            <w:pPr>
              <w:spacing w:line="240" w:lineRule="auto"/>
              <w:jc w:val="center"/>
            </w:pPr>
            <w:r w:rsidRPr="5A36DD3A">
              <w:rPr>
                <w:rFonts w:eastAsia="Arial" w:cs="Arial"/>
                <w:color w:val="881798"/>
                <w:sz w:val="24"/>
                <w:szCs w:val="24"/>
              </w:rPr>
              <w:t xml:space="preserve"> </w:t>
            </w:r>
            <w:r w:rsidRPr="4948F0E7">
              <w:rPr>
                <w:rFonts w:eastAsia="Arial" w:cs="Arial"/>
              </w:rPr>
              <w:t>State and territory governments</w:t>
            </w:r>
            <w:r w:rsidR="03A26A58" w:rsidRPr="00A57C4C">
              <w:t>,</w:t>
            </w:r>
            <w:r w:rsidR="00D20E82">
              <w:t xml:space="preserve"> </w:t>
            </w:r>
            <w:r w:rsidR="00B56CCC">
              <w:t>Australian Government</w:t>
            </w:r>
          </w:p>
        </w:tc>
        <w:tc>
          <w:tcPr>
            <w:tcW w:w="931" w:type="dxa"/>
          </w:tcPr>
          <w:p w14:paraId="6C6ADF7C" w14:textId="77777777" w:rsidR="00B56CCC" w:rsidRPr="00231CC4" w:rsidRDefault="00B56CCC" w:rsidP="00236724">
            <w:pPr>
              <w:spacing w:line="240" w:lineRule="auto"/>
              <w:jc w:val="center"/>
            </w:pPr>
            <w:r w:rsidRPr="00231CC4">
              <w:t>High</w:t>
            </w:r>
          </w:p>
        </w:tc>
      </w:tr>
      <w:tr w:rsidR="00B56CCC" w:rsidRPr="00231CC4" w14:paraId="5A34A2A2" w14:textId="77777777" w:rsidTr="5A36DD3A">
        <w:trPr>
          <w:trHeight w:val="300"/>
        </w:trPr>
        <w:tc>
          <w:tcPr>
            <w:tcW w:w="6094" w:type="dxa"/>
          </w:tcPr>
          <w:p w14:paraId="0BD810D5" w14:textId="77777777" w:rsidR="00B56CCC" w:rsidRPr="00231CC4" w:rsidRDefault="00B56CCC">
            <w:pPr>
              <w:spacing w:line="240" w:lineRule="auto"/>
              <w:rPr>
                <w:b/>
                <w:bCs/>
              </w:rPr>
            </w:pPr>
            <w:r w:rsidRPr="4F50332C">
              <w:rPr>
                <w:b/>
                <w:bCs/>
              </w:rPr>
              <w:t>3.2.2</w:t>
            </w:r>
            <w:r>
              <w:t xml:space="preserve"> Drawing from national and international experience, regularly review list of pathogens of public health importance to enable priority sequencing to support and enhance pathogen detection and public health response. This should be decided through consultation and collaboration with relevant stakeholders and include defining appropriate objectives, sampling frames, stages of implementation and indicators of effective implementation.</w:t>
            </w:r>
          </w:p>
        </w:tc>
        <w:tc>
          <w:tcPr>
            <w:tcW w:w="1269" w:type="dxa"/>
          </w:tcPr>
          <w:p w14:paraId="7B0A7692" w14:textId="77777777" w:rsidR="00B56CCC" w:rsidRPr="00231CC4" w:rsidRDefault="00B56CCC" w:rsidP="00236724">
            <w:pPr>
              <w:spacing w:line="240" w:lineRule="auto"/>
              <w:jc w:val="center"/>
            </w:pPr>
            <w:r w:rsidRPr="00231CC4">
              <w:t>Ongoing</w:t>
            </w:r>
          </w:p>
        </w:tc>
        <w:tc>
          <w:tcPr>
            <w:tcW w:w="1575" w:type="dxa"/>
          </w:tcPr>
          <w:p w14:paraId="5B73ABE9" w14:textId="2D74416A" w:rsidR="00B56CCC" w:rsidRPr="00231CC4" w:rsidRDefault="141F31B1" w:rsidP="00236724">
            <w:pPr>
              <w:spacing w:line="240" w:lineRule="auto"/>
              <w:jc w:val="center"/>
            </w:pPr>
            <w:r>
              <w:t xml:space="preserve">CDNA, </w:t>
            </w:r>
            <w:r w:rsidR="00B56CCC">
              <w:t>Australian CDC</w:t>
            </w:r>
          </w:p>
        </w:tc>
        <w:tc>
          <w:tcPr>
            <w:tcW w:w="931" w:type="dxa"/>
          </w:tcPr>
          <w:p w14:paraId="7F96E0A2" w14:textId="77777777" w:rsidR="00B56CCC" w:rsidRPr="00231CC4" w:rsidRDefault="00B56CCC" w:rsidP="00236724">
            <w:pPr>
              <w:spacing w:line="240" w:lineRule="auto"/>
              <w:jc w:val="center"/>
            </w:pPr>
            <w:r w:rsidRPr="00231CC4">
              <w:t>Medium</w:t>
            </w:r>
          </w:p>
        </w:tc>
      </w:tr>
      <w:tr w:rsidR="00B56CCC" w:rsidRPr="00231CC4" w14:paraId="74BB797C" w14:textId="77777777" w:rsidTr="5A36DD3A">
        <w:trPr>
          <w:cnfStyle w:val="000000100000" w:firstRow="0" w:lastRow="0" w:firstColumn="0" w:lastColumn="0" w:oddVBand="0" w:evenVBand="0" w:oddHBand="1" w:evenHBand="0" w:firstRowFirstColumn="0" w:firstRowLastColumn="0" w:lastRowFirstColumn="0" w:lastRowLastColumn="0"/>
          <w:trHeight w:val="300"/>
        </w:trPr>
        <w:tc>
          <w:tcPr>
            <w:tcW w:w="6094" w:type="dxa"/>
          </w:tcPr>
          <w:p w14:paraId="304FFD64" w14:textId="77777777" w:rsidR="00B56CCC" w:rsidRPr="00231CC4" w:rsidRDefault="00B56CCC">
            <w:pPr>
              <w:spacing w:line="240" w:lineRule="auto"/>
            </w:pPr>
            <w:r w:rsidRPr="4F50332C">
              <w:rPr>
                <w:b/>
                <w:bCs/>
              </w:rPr>
              <w:t>3.2.3</w:t>
            </w:r>
            <w:r>
              <w:t xml:space="preserve"> Support the development of guidance and partnerships with human diagnostic pathology laboratories to share isolates of priority organisms for public health surveillance purposes.</w:t>
            </w:r>
          </w:p>
        </w:tc>
        <w:tc>
          <w:tcPr>
            <w:tcW w:w="1269" w:type="dxa"/>
          </w:tcPr>
          <w:p w14:paraId="07B8A552" w14:textId="77777777" w:rsidR="00B56CCC" w:rsidRPr="00231CC4" w:rsidRDefault="00B56CCC" w:rsidP="00236724">
            <w:pPr>
              <w:spacing w:line="240" w:lineRule="auto"/>
              <w:jc w:val="center"/>
            </w:pPr>
            <w:r w:rsidRPr="00231CC4">
              <w:t>Ongoing</w:t>
            </w:r>
          </w:p>
        </w:tc>
        <w:tc>
          <w:tcPr>
            <w:tcW w:w="1575" w:type="dxa"/>
          </w:tcPr>
          <w:p w14:paraId="51AAF2E9" w14:textId="0DB90BB7" w:rsidR="00B56CCC" w:rsidRPr="00231CC4" w:rsidRDefault="46C4D027" w:rsidP="004E4081">
            <w:pPr>
              <w:spacing w:line="240" w:lineRule="auto"/>
              <w:jc w:val="center"/>
            </w:pPr>
            <w:r w:rsidRPr="4948F0E7">
              <w:rPr>
                <w:rFonts w:eastAsia="Arial" w:cs="Arial"/>
              </w:rPr>
              <w:t>State and territory governments</w:t>
            </w:r>
            <w:r w:rsidRPr="00A57C4C">
              <w:rPr>
                <w:rFonts w:eastAsia="Arial" w:cs="Arial"/>
              </w:rPr>
              <w:t xml:space="preserve"> </w:t>
            </w:r>
          </w:p>
        </w:tc>
        <w:tc>
          <w:tcPr>
            <w:tcW w:w="931" w:type="dxa"/>
          </w:tcPr>
          <w:p w14:paraId="2635B05C" w14:textId="77777777" w:rsidR="00B56CCC" w:rsidRPr="00231CC4" w:rsidRDefault="00B56CCC" w:rsidP="00236724">
            <w:pPr>
              <w:spacing w:line="240" w:lineRule="auto"/>
              <w:jc w:val="center"/>
            </w:pPr>
            <w:r w:rsidRPr="00231CC4">
              <w:t>Medium</w:t>
            </w:r>
          </w:p>
        </w:tc>
      </w:tr>
    </w:tbl>
    <w:p w14:paraId="3294E999" w14:textId="77777777" w:rsidR="00236724" w:rsidRDefault="00236724">
      <w:pPr>
        <w:spacing w:before="0" w:after="0" w:line="240" w:lineRule="auto"/>
      </w:pPr>
      <w:r>
        <w:br w:type="page"/>
      </w:r>
    </w:p>
    <w:p w14:paraId="6FC745AB" w14:textId="03E9109E" w:rsidR="00B86E65" w:rsidRPr="009814D7" w:rsidRDefault="00B86E65" w:rsidP="00B86E65">
      <w:pPr>
        <w:pStyle w:val="Heading3"/>
      </w:pPr>
      <w:bookmarkStart w:id="143" w:name="_Toc135494183"/>
      <w:bookmarkStart w:id="144" w:name="_Toc1376259447"/>
      <w:bookmarkStart w:id="145" w:name="_Toc1237478558"/>
      <w:bookmarkStart w:id="146" w:name="_Toc191899427"/>
      <w:r>
        <w:lastRenderedPageBreak/>
        <w:t>Outcome 3.3</w:t>
      </w:r>
      <w:r w:rsidR="003D1832">
        <w:t xml:space="preserve"> </w:t>
      </w:r>
      <w:r>
        <w:t>—</w:t>
      </w:r>
      <w:r w:rsidR="003D1832">
        <w:t xml:space="preserve"> </w:t>
      </w:r>
      <w:r>
        <w:t>Prioritis</w:t>
      </w:r>
      <w:r w:rsidR="00A1602C">
        <w:t>ed</w:t>
      </w:r>
      <w:r>
        <w:t xml:space="preserve"> public health research</w:t>
      </w:r>
      <w:bookmarkEnd w:id="143"/>
      <w:bookmarkEnd w:id="144"/>
      <w:r>
        <w:t xml:space="preserve"> and innovation</w:t>
      </w:r>
      <w:bookmarkEnd w:id="145"/>
      <w:bookmarkEnd w:id="146"/>
    </w:p>
    <w:p w14:paraId="3786C69C" w14:textId="77777777" w:rsidR="00D22DB1" w:rsidRPr="00231CC4" w:rsidRDefault="00D22DB1" w:rsidP="00732ECA">
      <w:pPr>
        <w:pStyle w:val="ListParagraph"/>
        <w:numPr>
          <w:ilvl w:val="0"/>
          <w:numId w:val="32"/>
        </w:numPr>
        <w:spacing w:line="240" w:lineRule="auto"/>
      </w:pPr>
      <w:r>
        <w:t>Strengthen communication with microbial genomics researchers to identify gaps for improvement in infectious disease control for public health purposes.</w:t>
      </w:r>
    </w:p>
    <w:p w14:paraId="487E2AD5" w14:textId="77777777" w:rsidR="00D22DB1" w:rsidRPr="00231CC4" w:rsidRDefault="00D22DB1" w:rsidP="00732ECA">
      <w:pPr>
        <w:pStyle w:val="ListParagraph"/>
        <w:numPr>
          <w:ilvl w:val="0"/>
          <w:numId w:val="32"/>
        </w:numPr>
        <w:spacing w:line="240" w:lineRule="auto"/>
      </w:pPr>
      <w:r>
        <w:t>Maximise microbial genomics research opportunities to enhance public health outcomes.</w:t>
      </w:r>
    </w:p>
    <w:p w14:paraId="2B3E1741" w14:textId="77777777" w:rsidR="00D22DB1" w:rsidRPr="00231CC4" w:rsidRDefault="00D22DB1" w:rsidP="00732ECA">
      <w:pPr>
        <w:pStyle w:val="ListParagraph"/>
        <w:numPr>
          <w:ilvl w:val="0"/>
          <w:numId w:val="32"/>
        </w:numPr>
        <w:spacing w:line="240" w:lineRule="auto"/>
      </w:pPr>
      <w:r w:rsidRPr="00231CC4">
        <w:t>Ensure early identification of translational research priorities in microbial genomics.</w:t>
      </w:r>
    </w:p>
    <w:p w14:paraId="3E811472" w14:textId="55092EE6" w:rsidR="00D22DB1" w:rsidRPr="00231CC4" w:rsidRDefault="00D22DB1" w:rsidP="007C2AC4">
      <w:pPr>
        <w:pStyle w:val="StyleListParagraphBulletpointBulletsCVtextDotptF5ListPa"/>
        <w:numPr>
          <w:ilvl w:val="0"/>
          <w:numId w:val="32"/>
        </w:numPr>
      </w:pPr>
      <w:r w:rsidRPr="00231CC4">
        <w:t>Promote national and international collaboration and innovation across One Health laboratories, public health units and academia to keep pace with advances in microbial genomics technology, including non-culture-based approaches.</w:t>
      </w:r>
    </w:p>
    <w:tbl>
      <w:tblPr>
        <w:tblStyle w:val="TableGrid"/>
        <w:tblW w:w="10270" w:type="dxa"/>
        <w:tblInd w:w="-431" w:type="dxa"/>
        <w:tblLook w:val="04A0" w:firstRow="1" w:lastRow="0" w:firstColumn="1" w:lastColumn="0" w:noHBand="0" w:noVBand="1"/>
      </w:tblPr>
      <w:tblGrid>
        <w:gridCol w:w="6600"/>
        <w:gridCol w:w="1407"/>
        <w:gridCol w:w="1215"/>
        <w:gridCol w:w="1048"/>
      </w:tblGrid>
      <w:tr w:rsidR="000068DE" w:rsidRPr="00231CC4" w14:paraId="4BA2046F" w14:textId="77777777" w:rsidTr="00C73EB0">
        <w:trPr>
          <w:cnfStyle w:val="100000000000" w:firstRow="1" w:lastRow="0" w:firstColumn="0" w:lastColumn="0" w:oddVBand="0" w:evenVBand="0" w:oddHBand="0" w:evenHBand="0" w:firstRowFirstColumn="0" w:firstRowLastColumn="0" w:lastRowFirstColumn="0" w:lastRowLastColumn="0"/>
          <w:trHeight w:val="283"/>
        </w:trPr>
        <w:tc>
          <w:tcPr>
            <w:tcW w:w="6600" w:type="dxa"/>
          </w:tcPr>
          <w:p w14:paraId="78FA2B15" w14:textId="77777777" w:rsidR="00D22DB1" w:rsidRPr="00231CC4" w:rsidRDefault="00D22DB1">
            <w:pPr>
              <w:spacing w:line="240" w:lineRule="auto"/>
              <w:rPr>
                <w:b/>
              </w:rPr>
            </w:pPr>
            <w:r w:rsidRPr="00231CC4">
              <w:rPr>
                <w:b/>
              </w:rPr>
              <w:t>National Action</w:t>
            </w:r>
          </w:p>
        </w:tc>
        <w:tc>
          <w:tcPr>
            <w:tcW w:w="1407" w:type="dxa"/>
          </w:tcPr>
          <w:p w14:paraId="3053C462" w14:textId="77777777" w:rsidR="00D22DB1" w:rsidRPr="00231CC4" w:rsidRDefault="00D22DB1" w:rsidP="00D22DB1">
            <w:pPr>
              <w:spacing w:line="240" w:lineRule="auto"/>
              <w:jc w:val="center"/>
              <w:rPr>
                <w:b/>
              </w:rPr>
            </w:pPr>
            <w:r w:rsidRPr="00231CC4">
              <w:rPr>
                <w:b/>
              </w:rPr>
              <w:t>Timeframe</w:t>
            </w:r>
          </w:p>
        </w:tc>
        <w:tc>
          <w:tcPr>
            <w:tcW w:w="1215" w:type="dxa"/>
          </w:tcPr>
          <w:p w14:paraId="18A1B1E8" w14:textId="77777777" w:rsidR="00D22DB1" w:rsidRPr="00231CC4" w:rsidRDefault="00D22DB1" w:rsidP="00D22DB1">
            <w:pPr>
              <w:spacing w:line="240" w:lineRule="auto"/>
              <w:jc w:val="center"/>
              <w:rPr>
                <w:b/>
              </w:rPr>
            </w:pPr>
            <w:r w:rsidRPr="00231CC4">
              <w:rPr>
                <w:b/>
              </w:rPr>
              <w:t>Lead</w:t>
            </w:r>
          </w:p>
        </w:tc>
        <w:tc>
          <w:tcPr>
            <w:tcW w:w="1048" w:type="dxa"/>
          </w:tcPr>
          <w:p w14:paraId="0E32BDA4" w14:textId="77777777" w:rsidR="00D22DB1" w:rsidRPr="00231CC4" w:rsidRDefault="00D22DB1" w:rsidP="00D22DB1">
            <w:pPr>
              <w:spacing w:line="240" w:lineRule="auto"/>
              <w:jc w:val="center"/>
              <w:rPr>
                <w:b/>
              </w:rPr>
            </w:pPr>
            <w:r w:rsidRPr="00231CC4">
              <w:rPr>
                <w:b/>
              </w:rPr>
              <w:t>Priority</w:t>
            </w:r>
          </w:p>
        </w:tc>
      </w:tr>
      <w:tr w:rsidR="00C73EB0" w:rsidRPr="00231CC4" w14:paraId="2E1ED2C3" w14:textId="77777777" w:rsidTr="00C73EB0">
        <w:trPr>
          <w:cnfStyle w:val="000000100000" w:firstRow="0" w:lastRow="0" w:firstColumn="0" w:lastColumn="0" w:oddVBand="0" w:evenVBand="0" w:oddHBand="1" w:evenHBand="0" w:firstRowFirstColumn="0" w:firstRowLastColumn="0" w:lastRowFirstColumn="0" w:lastRowLastColumn="0"/>
          <w:trHeight w:val="300"/>
        </w:trPr>
        <w:tc>
          <w:tcPr>
            <w:tcW w:w="6600" w:type="dxa"/>
          </w:tcPr>
          <w:p w14:paraId="00CC2C55" w14:textId="2F4DD8B0" w:rsidR="00C73EB0" w:rsidRPr="00231CC4" w:rsidRDefault="00C73EB0" w:rsidP="00C73EB0">
            <w:pPr>
              <w:spacing w:line="240" w:lineRule="auto"/>
              <w:rPr>
                <w:b/>
              </w:rPr>
            </w:pPr>
            <w:r w:rsidRPr="00231CC4">
              <w:rPr>
                <w:b/>
              </w:rPr>
              <w:t>3.3.</w:t>
            </w:r>
            <w:r w:rsidR="00E60083">
              <w:rPr>
                <w:b/>
              </w:rPr>
              <w:t>1</w:t>
            </w:r>
            <w:r w:rsidRPr="00231CC4">
              <w:t xml:space="preserve"> </w:t>
            </w:r>
            <w:r>
              <w:t xml:space="preserve">Encourage </w:t>
            </w:r>
            <w:r w:rsidRPr="00231CC4">
              <w:t>translational research opportunities that can improve public health investigation, surveillance</w:t>
            </w:r>
            <w:r w:rsidR="00995715">
              <w:t xml:space="preserve"> and</w:t>
            </w:r>
            <w:r w:rsidRPr="00231CC4">
              <w:t xml:space="preserve"> response, and evaluate the public health integration and utility of microbial genomics through commissioning and consulting with relevant academic institutions (i.e., cutting-edge sequencing technologies, clinical metagenomics, application of machine learning/artificial intelligence methodologies, and mathematical modelling).</w:t>
            </w:r>
          </w:p>
        </w:tc>
        <w:tc>
          <w:tcPr>
            <w:tcW w:w="1407" w:type="dxa"/>
          </w:tcPr>
          <w:p w14:paraId="33CD56A0" w14:textId="0E7868F4" w:rsidR="00C73EB0" w:rsidRPr="00231CC4" w:rsidRDefault="00C73EB0" w:rsidP="00C73EB0">
            <w:pPr>
              <w:spacing w:line="240" w:lineRule="auto"/>
              <w:jc w:val="center"/>
            </w:pPr>
            <w:r w:rsidRPr="00231CC4">
              <w:t>Medium</w:t>
            </w:r>
          </w:p>
        </w:tc>
        <w:tc>
          <w:tcPr>
            <w:tcW w:w="1215" w:type="dxa"/>
          </w:tcPr>
          <w:p w14:paraId="6781163C" w14:textId="3C5F1123" w:rsidR="00C73EB0" w:rsidRPr="00231CC4" w:rsidRDefault="00C73EB0" w:rsidP="00C73EB0">
            <w:pPr>
              <w:spacing w:line="240" w:lineRule="auto"/>
              <w:jc w:val="center"/>
            </w:pPr>
            <w:r>
              <w:t>All</w:t>
            </w:r>
          </w:p>
        </w:tc>
        <w:tc>
          <w:tcPr>
            <w:tcW w:w="1048" w:type="dxa"/>
          </w:tcPr>
          <w:p w14:paraId="5E3EE688" w14:textId="262143E8" w:rsidR="00C73EB0" w:rsidRPr="00231CC4" w:rsidRDefault="00C73EB0" w:rsidP="00C73EB0">
            <w:pPr>
              <w:spacing w:line="240" w:lineRule="auto"/>
              <w:jc w:val="center"/>
            </w:pPr>
            <w:r w:rsidRPr="00231CC4">
              <w:t>High</w:t>
            </w:r>
          </w:p>
        </w:tc>
      </w:tr>
      <w:tr w:rsidR="00C73EB0" w:rsidRPr="00231CC4" w14:paraId="0CF4EBB7" w14:textId="77777777" w:rsidTr="00C73EB0">
        <w:trPr>
          <w:trHeight w:val="300"/>
        </w:trPr>
        <w:tc>
          <w:tcPr>
            <w:tcW w:w="6600" w:type="dxa"/>
          </w:tcPr>
          <w:p w14:paraId="58811306" w14:textId="5849D52C" w:rsidR="00C73EB0" w:rsidRPr="00231CC4" w:rsidRDefault="00C73EB0" w:rsidP="00C73EB0">
            <w:pPr>
              <w:spacing w:line="240" w:lineRule="auto"/>
            </w:pPr>
            <w:r w:rsidRPr="00231CC4">
              <w:rPr>
                <w:b/>
              </w:rPr>
              <w:t>3.3.</w:t>
            </w:r>
            <w:r w:rsidR="00E60083">
              <w:rPr>
                <w:b/>
              </w:rPr>
              <w:t>2</w:t>
            </w:r>
            <w:r w:rsidRPr="00231CC4">
              <w:t xml:space="preserve"> Map current public health microbial genomics</w:t>
            </w:r>
            <w:r w:rsidRPr="00231CC4">
              <w:rPr>
                <w:b/>
              </w:rPr>
              <w:t xml:space="preserve"> </w:t>
            </w:r>
            <w:r w:rsidRPr="00231CC4">
              <w:t>research activities and explore options to strengthen national coordination. This will inform the development of a national research agenda to guide sustainable and strategic research investment.</w:t>
            </w:r>
          </w:p>
        </w:tc>
        <w:tc>
          <w:tcPr>
            <w:tcW w:w="1407" w:type="dxa"/>
          </w:tcPr>
          <w:p w14:paraId="6AC3C07E" w14:textId="77777777" w:rsidR="00C73EB0" w:rsidRPr="00231CC4" w:rsidRDefault="00C73EB0" w:rsidP="00C73EB0">
            <w:pPr>
              <w:spacing w:line="240" w:lineRule="auto"/>
              <w:jc w:val="center"/>
            </w:pPr>
            <w:r w:rsidRPr="00231CC4">
              <w:t>Medium</w:t>
            </w:r>
          </w:p>
        </w:tc>
        <w:tc>
          <w:tcPr>
            <w:tcW w:w="1215" w:type="dxa"/>
          </w:tcPr>
          <w:p w14:paraId="72BC9084" w14:textId="77777777" w:rsidR="00C73EB0" w:rsidRPr="00231CC4" w:rsidRDefault="00C73EB0" w:rsidP="00C73EB0">
            <w:pPr>
              <w:spacing w:line="240" w:lineRule="auto"/>
              <w:jc w:val="center"/>
            </w:pPr>
            <w:r w:rsidRPr="00231CC4">
              <w:t>CDGN</w:t>
            </w:r>
          </w:p>
        </w:tc>
        <w:tc>
          <w:tcPr>
            <w:tcW w:w="1048" w:type="dxa"/>
          </w:tcPr>
          <w:p w14:paraId="470103A0" w14:textId="77777777" w:rsidR="00C73EB0" w:rsidRPr="00231CC4" w:rsidRDefault="00C73EB0" w:rsidP="00C73EB0">
            <w:pPr>
              <w:spacing w:line="240" w:lineRule="auto"/>
              <w:jc w:val="center"/>
            </w:pPr>
            <w:r w:rsidRPr="00231CC4">
              <w:t>Medium</w:t>
            </w:r>
          </w:p>
        </w:tc>
      </w:tr>
      <w:tr w:rsidR="00C73EB0" w:rsidRPr="00231CC4" w14:paraId="77877CBC" w14:textId="77777777" w:rsidTr="00C73EB0">
        <w:trPr>
          <w:cnfStyle w:val="000000100000" w:firstRow="0" w:lastRow="0" w:firstColumn="0" w:lastColumn="0" w:oddVBand="0" w:evenVBand="0" w:oddHBand="1" w:evenHBand="0" w:firstRowFirstColumn="0" w:firstRowLastColumn="0" w:lastRowFirstColumn="0" w:lastRowLastColumn="0"/>
          <w:trHeight w:val="300"/>
        </w:trPr>
        <w:tc>
          <w:tcPr>
            <w:tcW w:w="6600" w:type="dxa"/>
          </w:tcPr>
          <w:p w14:paraId="2B03961C" w14:textId="13F0D22E" w:rsidR="00C73EB0" w:rsidRPr="00231CC4" w:rsidRDefault="00C73EB0" w:rsidP="00C73EB0">
            <w:pPr>
              <w:spacing w:line="240" w:lineRule="auto"/>
            </w:pPr>
            <w:r w:rsidRPr="00231CC4">
              <w:rPr>
                <w:b/>
              </w:rPr>
              <w:t>3.3.</w:t>
            </w:r>
            <w:r w:rsidR="00E60083">
              <w:rPr>
                <w:b/>
              </w:rPr>
              <w:t>3</w:t>
            </w:r>
            <w:r w:rsidRPr="00231CC4">
              <w:t xml:space="preserve"> </w:t>
            </w:r>
            <w:r>
              <w:t>P</w:t>
            </w:r>
            <w:r w:rsidRPr="00231CC4">
              <w:t>romote</w:t>
            </w:r>
            <w:r>
              <w:t xml:space="preserve"> the development of</w:t>
            </w:r>
            <w:r w:rsidRPr="00231CC4">
              <w:t xml:space="preserve"> a national research agenda for microbial genomics for public health. Look at opportunities to link to Australian Government and state and territory government research priorities.</w:t>
            </w:r>
          </w:p>
        </w:tc>
        <w:tc>
          <w:tcPr>
            <w:tcW w:w="1407" w:type="dxa"/>
          </w:tcPr>
          <w:p w14:paraId="43A286B7" w14:textId="77777777" w:rsidR="00C73EB0" w:rsidRPr="00231CC4" w:rsidRDefault="00C73EB0" w:rsidP="00C73EB0">
            <w:pPr>
              <w:spacing w:line="240" w:lineRule="auto"/>
              <w:jc w:val="center"/>
            </w:pPr>
            <w:r w:rsidRPr="00231CC4">
              <w:t>Medium</w:t>
            </w:r>
          </w:p>
        </w:tc>
        <w:tc>
          <w:tcPr>
            <w:tcW w:w="1215" w:type="dxa"/>
          </w:tcPr>
          <w:p w14:paraId="4D16EC74" w14:textId="77777777" w:rsidR="00C73EB0" w:rsidRPr="00231CC4" w:rsidRDefault="00C73EB0" w:rsidP="00C73EB0">
            <w:pPr>
              <w:spacing w:line="240" w:lineRule="auto"/>
              <w:jc w:val="center"/>
              <w:rPr>
                <w:rFonts w:cstheme="minorBidi"/>
              </w:rPr>
            </w:pPr>
            <w:r>
              <w:rPr>
                <w:rFonts w:cstheme="minorBidi"/>
              </w:rPr>
              <w:t>Australian Government</w:t>
            </w:r>
          </w:p>
        </w:tc>
        <w:tc>
          <w:tcPr>
            <w:tcW w:w="1048" w:type="dxa"/>
          </w:tcPr>
          <w:p w14:paraId="0379ED0B" w14:textId="77777777" w:rsidR="00C73EB0" w:rsidRPr="00231CC4" w:rsidRDefault="00C73EB0" w:rsidP="00C73EB0">
            <w:pPr>
              <w:spacing w:line="240" w:lineRule="auto"/>
              <w:jc w:val="center"/>
            </w:pPr>
            <w:r w:rsidRPr="00231CC4">
              <w:t>Medium</w:t>
            </w:r>
          </w:p>
        </w:tc>
      </w:tr>
      <w:tr w:rsidR="00C73EB0" w:rsidRPr="00231CC4" w14:paraId="74B32169" w14:textId="77777777" w:rsidTr="00C73EB0">
        <w:trPr>
          <w:trHeight w:val="300"/>
        </w:trPr>
        <w:tc>
          <w:tcPr>
            <w:tcW w:w="6600" w:type="dxa"/>
          </w:tcPr>
          <w:p w14:paraId="0B350660" w14:textId="77777777" w:rsidR="00C73EB0" w:rsidRPr="00231CC4" w:rsidRDefault="00C73EB0" w:rsidP="00C73EB0">
            <w:pPr>
              <w:spacing w:line="240" w:lineRule="auto"/>
              <w:rPr>
                <w:b/>
              </w:rPr>
            </w:pPr>
            <w:r w:rsidRPr="00231CC4">
              <w:rPr>
                <w:b/>
              </w:rPr>
              <w:t>3.3.4</w:t>
            </w:r>
            <w:r w:rsidRPr="00231CC4">
              <w:t xml:space="preserve"> Foster One Health partnerships (both public and private) and stakeholder engagement to explore opportunities for partnerships, to support and encourage innovation in microbial genomics to improve public health outcomes.</w:t>
            </w:r>
          </w:p>
        </w:tc>
        <w:tc>
          <w:tcPr>
            <w:tcW w:w="1407" w:type="dxa"/>
          </w:tcPr>
          <w:p w14:paraId="0C42561D" w14:textId="77777777" w:rsidR="00C73EB0" w:rsidRPr="00231CC4" w:rsidRDefault="00C73EB0" w:rsidP="00C73EB0">
            <w:pPr>
              <w:spacing w:line="240" w:lineRule="auto"/>
              <w:jc w:val="center"/>
            </w:pPr>
            <w:r w:rsidRPr="00231CC4">
              <w:t>Medium</w:t>
            </w:r>
          </w:p>
        </w:tc>
        <w:tc>
          <w:tcPr>
            <w:tcW w:w="1215" w:type="dxa"/>
          </w:tcPr>
          <w:p w14:paraId="67EE43B7" w14:textId="77777777" w:rsidR="00C73EB0" w:rsidRPr="00231CC4" w:rsidRDefault="00C73EB0" w:rsidP="00C73EB0">
            <w:pPr>
              <w:spacing w:line="240" w:lineRule="auto"/>
              <w:jc w:val="center"/>
            </w:pPr>
            <w:r>
              <w:t>Australian CDC</w:t>
            </w:r>
          </w:p>
        </w:tc>
        <w:tc>
          <w:tcPr>
            <w:tcW w:w="1048" w:type="dxa"/>
          </w:tcPr>
          <w:p w14:paraId="3AA8B1A0" w14:textId="77777777" w:rsidR="00C73EB0" w:rsidRPr="00231CC4" w:rsidRDefault="00C73EB0" w:rsidP="00C73EB0">
            <w:pPr>
              <w:spacing w:line="240" w:lineRule="auto"/>
              <w:jc w:val="center"/>
            </w:pPr>
            <w:r w:rsidRPr="00231CC4">
              <w:t>Medium</w:t>
            </w:r>
          </w:p>
        </w:tc>
      </w:tr>
      <w:tr w:rsidR="00C73EB0" w:rsidRPr="00231CC4" w14:paraId="44AE6F1C" w14:textId="77777777" w:rsidTr="00C73EB0">
        <w:trPr>
          <w:cnfStyle w:val="000000100000" w:firstRow="0" w:lastRow="0" w:firstColumn="0" w:lastColumn="0" w:oddVBand="0" w:evenVBand="0" w:oddHBand="1" w:evenHBand="0" w:firstRowFirstColumn="0" w:firstRowLastColumn="0" w:lastRowFirstColumn="0" w:lastRowLastColumn="0"/>
          <w:trHeight w:val="300"/>
        </w:trPr>
        <w:tc>
          <w:tcPr>
            <w:tcW w:w="6600" w:type="dxa"/>
          </w:tcPr>
          <w:p w14:paraId="1715B4A1" w14:textId="77777777" w:rsidR="00C73EB0" w:rsidRPr="00231CC4" w:rsidRDefault="00C73EB0" w:rsidP="00C73EB0">
            <w:pPr>
              <w:spacing w:line="240" w:lineRule="auto"/>
              <w:rPr>
                <w:b/>
              </w:rPr>
            </w:pPr>
            <w:r w:rsidRPr="00231CC4">
              <w:rPr>
                <w:b/>
              </w:rPr>
              <w:t>3.3.5</w:t>
            </w:r>
            <w:r w:rsidRPr="00231CC4">
              <w:t xml:space="preserve"> Strengthen metagenomic capability for public health. Harness its ability to investigate unidentified pathogens in clinical isolates or the environment, where standard laboratory practices may fail to detect viruses.</w:t>
            </w:r>
          </w:p>
        </w:tc>
        <w:tc>
          <w:tcPr>
            <w:tcW w:w="1407" w:type="dxa"/>
          </w:tcPr>
          <w:p w14:paraId="36BF4527" w14:textId="77777777" w:rsidR="00C73EB0" w:rsidRPr="00231CC4" w:rsidRDefault="00C73EB0" w:rsidP="00C73EB0">
            <w:pPr>
              <w:spacing w:line="240" w:lineRule="auto"/>
              <w:jc w:val="center"/>
            </w:pPr>
            <w:r w:rsidRPr="00231CC4">
              <w:t>Long</w:t>
            </w:r>
          </w:p>
        </w:tc>
        <w:tc>
          <w:tcPr>
            <w:tcW w:w="1215" w:type="dxa"/>
          </w:tcPr>
          <w:p w14:paraId="62CCB9A4" w14:textId="77777777" w:rsidR="00C73EB0" w:rsidRPr="00231CC4" w:rsidRDefault="00C73EB0" w:rsidP="00C73EB0">
            <w:pPr>
              <w:spacing w:line="240" w:lineRule="auto"/>
              <w:jc w:val="center"/>
            </w:pPr>
            <w:r w:rsidRPr="00231CC4">
              <w:t>CDGN</w:t>
            </w:r>
          </w:p>
        </w:tc>
        <w:tc>
          <w:tcPr>
            <w:tcW w:w="1048" w:type="dxa"/>
          </w:tcPr>
          <w:p w14:paraId="62FAA590" w14:textId="77777777" w:rsidR="00C73EB0" w:rsidRPr="00231CC4" w:rsidRDefault="00C73EB0" w:rsidP="00C73EB0">
            <w:pPr>
              <w:spacing w:line="240" w:lineRule="auto"/>
              <w:jc w:val="center"/>
            </w:pPr>
            <w:r w:rsidRPr="00231CC4">
              <w:t>Low</w:t>
            </w:r>
          </w:p>
        </w:tc>
      </w:tr>
    </w:tbl>
    <w:p w14:paraId="588D7F86" w14:textId="77777777" w:rsidR="00D22DB1" w:rsidRDefault="00D22DB1">
      <w:pPr>
        <w:spacing w:before="0" w:after="0" w:line="240" w:lineRule="auto"/>
      </w:pPr>
      <w:r>
        <w:br w:type="page"/>
      </w:r>
    </w:p>
    <w:p w14:paraId="5778EB32" w14:textId="23E7B4D3" w:rsidR="00B55164" w:rsidRDefault="00B55164" w:rsidP="006608AE">
      <w:pPr>
        <w:pStyle w:val="Heading3"/>
      </w:pPr>
      <w:bookmarkStart w:id="147" w:name="_Toc191899428"/>
      <w:r w:rsidRPr="00B55164">
        <w:lastRenderedPageBreak/>
        <w:t>Outcome 3.4</w:t>
      </w:r>
      <w:r w:rsidR="003D1832">
        <w:t xml:space="preserve"> </w:t>
      </w:r>
      <w:r w:rsidRPr="00B55164">
        <w:t>—</w:t>
      </w:r>
      <w:r w:rsidR="003D1832">
        <w:t xml:space="preserve"> </w:t>
      </w:r>
      <w:r w:rsidR="00DD240D">
        <w:t xml:space="preserve">Microbial genomics integrated into </w:t>
      </w:r>
      <w:r w:rsidR="00BD1FE1">
        <w:t>One Health</w:t>
      </w:r>
      <w:r w:rsidRPr="00B55164">
        <w:t xml:space="preserve"> sector</w:t>
      </w:r>
      <w:r w:rsidR="008D3BE5">
        <w:t xml:space="preserve"> </w:t>
      </w:r>
      <w:r w:rsidR="008D3BE5" w:rsidRPr="008D3BE5">
        <w:t>reporting and</w:t>
      </w:r>
      <w:r w:rsidRPr="00B55164">
        <w:t xml:space="preserve"> </w:t>
      </w:r>
      <w:r w:rsidR="00467D3C">
        <w:t>systems</w:t>
      </w:r>
      <w:bookmarkEnd w:id="147"/>
    </w:p>
    <w:p w14:paraId="1B1E2E91" w14:textId="16D88744" w:rsidR="00055EF2" w:rsidRPr="00231CC4" w:rsidRDefault="00055EF2" w:rsidP="00AA77D4">
      <w:pPr>
        <w:pStyle w:val="ListParagraph"/>
        <w:numPr>
          <w:ilvl w:val="0"/>
          <w:numId w:val="23"/>
        </w:numPr>
        <w:spacing w:line="240" w:lineRule="auto"/>
      </w:pPr>
      <w:r w:rsidRPr="00231CC4">
        <w:t>Work with laboratory stakeholders to continue integrating microbial genomics sequencing across One Health sectors to strengthen surveillance activities.</w:t>
      </w:r>
    </w:p>
    <w:tbl>
      <w:tblPr>
        <w:tblStyle w:val="TableGrid"/>
        <w:tblW w:w="0" w:type="auto"/>
        <w:tblInd w:w="-431" w:type="dxa"/>
        <w:tblLook w:val="04A0" w:firstRow="1" w:lastRow="0" w:firstColumn="1" w:lastColumn="0" w:noHBand="0" w:noVBand="1"/>
      </w:tblPr>
      <w:tblGrid>
        <w:gridCol w:w="5831"/>
        <w:gridCol w:w="1282"/>
        <w:gridCol w:w="1505"/>
        <w:gridCol w:w="1305"/>
      </w:tblGrid>
      <w:tr w:rsidR="000068DE" w:rsidRPr="00231CC4" w14:paraId="459298E7" w14:textId="77777777" w:rsidTr="00177621">
        <w:trPr>
          <w:cnfStyle w:val="100000000000" w:firstRow="1" w:lastRow="0" w:firstColumn="0" w:lastColumn="0" w:oddVBand="0" w:evenVBand="0" w:oddHBand="0" w:evenHBand="0" w:firstRowFirstColumn="0" w:firstRowLastColumn="0" w:lastRowFirstColumn="0" w:lastRowLastColumn="0"/>
          <w:trHeight w:val="283"/>
        </w:trPr>
        <w:tc>
          <w:tcPr>
            <w:tcW w:w="5831" w:type="dxa"/>
          </w:tcPr>
          <w:p w14:paraId="6FED27BF" w14:textId="77777777" w:rsidR="00055EF2" w:rsidRPr="00231CC4" w:rsidRDefault="00055EF2">
            <w:pPr>
              <w:spacing w:line="240" w:lineRule="auto"/>
              <w:rPr>
                <w:b/>
              </w:rPr>
            </w:pPr>
            <w:r w:rsidRPr="00231CC4">
              <w:rPr>
                <w:b/>
              </w:rPr>
              <w:t>National Action</w:t>
            </w:r>
          </w:p>
        </w:tc>
        <w:tc>
          <w:tcPr>
            <w:tcW w:w="1282" w:type="dxa"/>
          </w:tcPr>
          <w:p w14:paraId="781AB7A1" w14:textId="77777777" w:rsidR="00055EF2" w:rsidRPr="00231CC4" w:rsidRDefault="00055EF2" w:rsidP="00055EF2">
            <w:pPr>
              <w:spacing w:line="240" w:lineRule="auto"/>
              <w:jc w:val="center"/>
              <w:rPr>
                <w:b/>
              </w:rPr>
            </w:pPr>
            <w:r w:rsidRPr="00231CC4">
              <w:rPr>
                <w:b/>
              </w:rPr>
              <w:t>Timeframe</w:t>
            </w:r>
          </w:p>
        </w:tc>
        <w:tc>
          <w:tcPr>
            <w:tcW w:w="1505" w:type="dxa"/>
          </w:tcPr>
          <w:p w14:paraId="34039566" w14:textId="77777777" w:rsidR="00055EF2" w:rsidRPr="00231CC4" w:rsidRDefault="00055EF2" w:rsidP="00055EF2">
            <w:pPr>
              <w:spacing w:line="240" w:lineRule="auto"/>
              <w:jc w:val="center"/>
              <w:rPr>
                <w:b/>
              </w:rPr>
            </w:pPr>
            <w:r w:rsidRPr="00231CC4">
              <w:rPr>
                <w:b/>
              </w:rPr>
              <w:t>Lead</w:t>
            </w:r>
          </w:p>
        </w:tc>
        <w:tc>
          <w:tcPr>
            <w:tcW w:w="1305" w:type="dxa"/>
          </w:tcPr>
          <w:p w14:paraId="088731EA" w14:textId="77777777" w:rsidR="00055EF2" w:rsidRPr="00231CC4" w:rsidRDefault="00055EF2" w:rsidP="00055EF2">
            <w:pPr>
              <w:spacing w:line="240" w:lineRule="auto"/>
              <w:jc w:val="center"/>
              <w:rPr>
                <w:b/>
              </w:rPr>
            </w:pPr>
            <w:r w:rsidRPr="00231CC4">
              <w:rPr>
                <w:b/>
              </w:rPr>
              <w:t>Priority</w:t>
            </w:r>
          </w:p>
        </w:tc>
      </w:tr>
      <w:tr w:rsidR="00055EF2" w:rsidRPr="00231CC4" w14:paraId="6AEB56F7" w14:textId="77777777" w:rsidTr="00177621">
        <w:trPr>
          <w:cnfStyle w:val="000000100000" w:firstRow="0" w:lastRow="0" w:firstColumn="0" w:lastColumn="0" w:oddVBand="0" w:evenVBand="0" w:oddHBand="1" w:evenHBand="0" w:firstRowFirstColumn="0" w:firstRowLastColumn="0" w:lastRowFirstColumn="0" w:lastRowLastColumn="0"/>
          <w:trHeight w:val="300"/>
        </w:trPr>
        <w:tc>
          <w:tcPr>
            <w:tcW w:w="5831" w:type="dxa"/>
          </w:tcPr>
          <w:p w14:paraId="3369F719" w14:textId="77777777" w:rsidR="00055EF2" w:rsidRPr="00231CC4" w:rsidRDefault="00055EF2">
            <w:pPr>
              <w:spacing w:line="240" w:lineRule="auto"/>
            </w:pPr>
            <w:r w:rsidRPr="00231CC4">
              <w:rPr>
                <w:b/>
              </w:rPr>
              <w:t>3.4.1</w:t>
            </w:r>
            <w:r w:rsidRPr="00231CC4">
              <w:t xml:space="preserve"> Using pilot implementation projects, such as that for zoonotic flaviviruses, look at the possibility of interoperable One Health routine microbial genomics sequencing and reporting for surveillance of priority organisms to measure and identify local transmissions for outbreak management and control.</w:t>
            </w:r>
          </w:p>
        </w:tc>
        <w:tc>
          <w:tcPr>
            <w:tcW w:w="1282" w:type="dxa"/>
          </w:tcPr>
          <w:p w14:paraId="03394278" w14:textId="77777777" w:rsidR="00055EF2" w:rsidRPr="00231CC4" w:rsidRDefault="00055EF2" w:rsidP="00055EF2">
            <w:pPr>
              <w:spacing w:line="240" w:lineRule="auto"/>
              <w:jc w:val="center"/>
            </w:pPr>
            <w:r w:rsidRPr="00231CC4">
              <w:t>Medium</w:t>
            </w:r>
          </w:p>
        </w:tc>
        <w:tc>
          <w:tcPr>
            <w:tcW w:w="1505" w:type="dxa"/>
          </w:tcPr>
          <w:p w14:paraId="46B7948A" w14:textId="77777777" w:rsidR="00055EF2" w:rsidRPr="00231CC4" w:rsidRDefault="00055EF2" w:rsidP="00055EF2">
            <w:pPr>
              <w:spacing w:line="240" w:lineRule="auto"/>
              <w:jc w:val="center"/>
            </w:pPr>
            <w:r>
              <w:t>Australian CDC</w:t>
            </w:r>
          </w:p>
        </w:tc>
        <w:tc>
          <w:tcPr>
            <w:tcW w:w="1305" w:type="dxa"/>
          </w:tcPr>
          <w:p w14:paraId="0BCA4CA7" w14:textId="77777777" w:rsidR="00055EF2" w:rsidRPr="00231CC4" w:rsidRDefault="00055EF2" w:rsidP="00055EF2">
            <w:pPr>
              <w:spacing w:line="240" w:lineRule="auto"/>
              <w:jc w:val="center"/>
            </w:pPr>
            <w:r w:rsidRPr="00231CC4">
              <w:t>Medium</w:t>
            </w:r>
          </w:p>
        </w:tc>
      </w:tr>
      <w:tr w:rsidR="00055EF2" w:rsidRPr="00231CC4" w14:paraId="3E55116F" w14:textId="77777777" w:rsidTr="00177621">
        <w:trPr>
          <w:trHeight w:val="300"/>
        </w:trPr>
        <w:tc>
          <w:tcPr>
            <w:tcW w:w="5831" w:type="dxa"/>
          </w:tcPr>
          <w:p w14:paraId="617439B0" w14:textId="77777777" w:rsidR="00055EF2" w:rsidRPr="00231CC4" w:rsidRDefault="00055EF2">
            <w:pPr>
              <w:spacing w:line="240" w:lineRule="auto"/>
            </w:pPr>
            <w:r w:rsidRPr="00231CC4">
              <w:rPr>
                <w:b/>
              </w:rPr>
              <w:t>3.4.2</w:t>
            </w:r>
            <w:r w:rsidRPr="00231CC4">
              <w:t xml:space="preserve"> Encourage the use of microbial genomics technology and the integration of genomics data from animal and environmental sources. </w:t>
            </w:r>
          </w:p>
        </w:tc>
        <w:tc>
          <w:tcPr>
            <w:tcW w:w="1282" w:type="dxa"/>
          </w:tcPr>
          <w:p w14:paraId="42D60DCC" w14:textId="77777777" w:rsidR="00055EF2" w:rsidRPr="00231CC4" w:rsidRDefault="00055EF2" w:rsidP="00055EF2">
            <w:pPr>
              <w:spacing w:line="240" w:lineRule="auto"/>
              <w:jc w:val="center"/>
            </w:pPr>
            <w:r w:rsidRPr="00231CC4">
              <w:t>Long</w:t>
            </w:r>
          </w:p>
        </w:tc>
        <w:tc>
          <w:tcPr>
            <w:tcW w:w="1505" w:type="dxa"/>
          </w:tcPr>
          <w:p w14:paraId="28DC246D" w14:textId="77777777" w:rsidR="00055EF2" w:rsidRPr="00231CC4" w:rsidRDefault="00055EF2" w:rsidP="00055EF2">
            <w:pPr>
              <w:spacing w:line="240" w:lineRule="auto"/>
              <w:jc w:val="center"/>
            </w:pPr>
            <w:r w:rsidRPr="00231CC4">
              <w:t>All</w:t>
            </w:r>
          </w:p>
        </w:tc>
        <w:tc>
          <w:tcPr>
            <w:tcW w:w="1305" w:type="dxa"/>
          </w:tcPr>
          <w:p w14:paraId="206E30DB" w14:textId="77777777" w:rsidR="00055EF2" w:rsidRPr="00231CC4" w:rsidRDefault="00055EF2" w:rsidP="00055EF2">
            <w:pPr>
              <w:spacing w:line="240" w:lineRule="auto"/>
              <w:jc w:val="center"/>
            </w:pPr>
            <w:r w:rsidRPr="00231CC4">
              <w:t>Medium</w:t>
            </w:r>
          </w:p>
        </w:tc>
      </w:tr>
      <w:tr w:rsidR="00055EF2" w:rsidRPr="00231CC4" w14:paraId="7A7877E0" w14:textId="77777777" w:rsidTr="00177621">
        <w:trPr>
          <w:cnfStyle w:val="000000100000" w:firstRow="0" w:lastRow="0" w:firstColumn="0" w:lastColumn="0" w:oddVBand="0" w:evenVBand="0" w:oddHBand="1" w:evenHBand="0" w:firstRowFirstColumn="0" w:firstRowLastColumn="0" w:lastRowFirstColumn="0" w:lastRowLastColumn="0"/>
          <w:trHeight w:val="300"/>
        </w:trPr>
        <w:tc>
          <w:tcPr>
            <w:tcW w:w="5831" w:type="dxa"/>
          </w:tcPr>
          <w:p w14:paraId="608A9AED" w14:textId="77777777" w:rsidR="00055EF2" w:rsidRPr="00231CC4" w:rsidRDefault="00055EF2">
            <w:pPr>
              <w:spacing w:line="240" w:lineRule="auto"/>
            </w:pPr>
            <w:r w:rsidRPr="00231CC4">
              <w:rPr>
                <w:b/>
              </w:rPr>
              <w:t>3.4.3</w:t>
            </w:r>
            <w:r w:rsidRPr="00231CC4">
              <w:t xml:space="preserve"> Support the development of guidance and partnerships with the One Health sector to share isolates of priority organisms for One Health surveillance purposes.</w:t>
            </w:r>
          </w:p>
        </w:tc>
        <w:tc>
          <w:tcPr>
            <w:tcW w:w="1282" w:type="dxa"/>
          </w:tcPr>
          <w:p w14:paraId="40665A80" w14:textId="77777777" w:rsidR="00055EF2" w:rsidRPr="00231CC4" w:rsidRDefault="00055EF2" w:rsidP="00055EF2">
            <w:pPr>
              <w:spacing w:line="240" w:lineRule="auto"/>
              <w:jc w:val="center"/>
            </w:pPr>
            <w:r w:rsidRPr="00231CC4">
              <w:t>Long</w:t>
            </w:r>
          </w:p>
        </w:tc>
        <w:tc>
          <w:tcPr>
            <w:tcW w:w="1505" w:type="dxa"/>
          </w:tcPr>
          <w:p w14:paraId="31AAC9A0" w14:textId="77777777" w:rsidR="00055EF2" w:rsidRPr="00231CC4" w:rsidRDefault="00055EF2" w:rsidP="00055EF2">
            <w:pPr>
              <w:spacing w:line="240" w:lineRule="auto"/>
              <w:jc w:val="center"/>
            </w:pPr>
            <w:r>
              <w:t>Australian CDC</w:t>
            </w:r>
          </w:p>
        </w:tc>
        <w:tc>
          <w:tcPr>
            <w:tcW w:w="1305" w:type="dxa"/>
          </w:tcPr>
          <w:p w14:paraId="0005D2E6" w14:textId="77777777" w:rsidR="00055EF2" w:rsidRPr="00231CC4" w:rsidRDefault="00055EF2" w:rsidP="00055EF2">
            <w:pPr>
              <w:spacing w:line="240" w:lineRule="auto"/>
              <w:jc w:val="center"/>
            </w:pPr>
            <w:r w:rsidRPr="00231CC4">
              <w:t>Medium</w:t>
            </w:r>
          </w:p>
        </w:tc>
      </w:tr>
    </w:tbl>
    <w:p w14:paraId="63D78C42" w14:textId="77777777" w:rsidR="00055EF2" w:rsidRDefault="00055EF2">
      <w:pPr>
        <w:spacing w:before="0" w:after="0" w:line="240" w:lineRule="auto"/>
      </w:pPr>
      <w:r>
        <w:br w:type="page"/>
      </w:r>
    </w:p>
    <w:p w14:paraId="4DFE5DEB" w14:textId="6F91C709" w:rsidR="00163C98" w:rsidRPr="00231CC4" w:rsidRDefault="00163C98" w:rsidP="00163C98">
      <w:pPr>
        <w:pStyle w:val="Heading2"/>
        <w:spacing w:line="240" w:lineRule="auto"/>
      </w:pPr>
      <w:bookmarkStart w:id="148" w:name="_Toc135494184"/>
      <w:bookmarkStart w:id="149" w:name="_Toc1220255048"/>
      <w:bookmarkStart w:id="150" w:name="_Toc1084621100"/>
      <w:bookmarkStart w:id="151" w:name="_Toc191899429"/>
      <w:r>
        <w:lastRenderedPageBreak/>
        <w:t>Strategic Priority 4 — Access and Workforce</w:t>
      </w:r>
      <w:bookmarkEnd w:id="148"/>
      <w:bookmarkEnd w:id="149"/>
      <w:bookmarkEnd w:id="150"/>
      <w:bookmarkEnd w:id="151"/>
    </w:p>
    <w:p w14:paraId="4808A589" w14:textId="1FE45F53" w:rsidR="000E1B9B" w:rsidRPr="000E1B9B" w:rsidRDefault="000E1B9B" w:rsidP="00FE2D5C">
      <w:r w:rsidRPr="000E1B9B">
        <w:t>Currently, public health microbiology services are provided by PHLs through a network of jurisdictional specialist microbiology laboratories. These PHLs include dedicated specialist (reference) facilities and laboratories co-located within hospital-based facilities. Depending on jurisdictional size (population and geographical spread) and capacity, PHLs provide a range of specialist functions, including:</w:t>
      </w:r>
    </w:p>
    <w:p w14:paraId="0EC361BF" w14:textId="77777777" w:rsidR="000E1B9B" w:rsidRPr="000E1B9B" w:rsidRDefault="000E1B9B" w:rsidP="006C7957">
      <w:pPr>
        <w:pStyle w:val="ListParagraph"/>
        <w:numPr>
          <w:ilvl w:val="0"/>
          <w:numId w:val="23"/>
        </w:numPr>
      </w:pPr>
      <w:r w:rsidRPr="000E1B9B">
        <w:t>detailed typing and characterisation of communicable disease pathogens, underpinning national surveillance for communicable diseases</w:t>
      </w:r>
    </w:p>
    <w:p w14:paraId="7889A237" w14:textId="77777777" w:rsidR="000E1B9B" w:rsidRPr="000E1B9B" w:rsidRDefault="000E1B9B" w:rsidP="006C7957">
      <w:pPr>
        <w:pStyle w:val="ListParagraph"/>
        <w:numPr>
          <w:ilvl w:val="0"/>
          <w:numId w:val="23"/>
        </w:numPr>
      </w:pPr>
      <w:r w:rsidRPr="000E1B9B">
        <w:t>laboratory contribution to outbreak investigation</w:t>
      </w:r>
    </w:p>
    <w:p w14:paraId="53212345" w14:textId="77777777" w:rsidR="000E1B9B" w:rsidRPr="000E1B9B" w:rsidRDefault="000E1B9B" w:rsidP="006C7957">
      <w:pPr>
        <w:pStyle w:val="ListParagraph"/>
        <w:numPr>
          <w:ilvl w:val="0"/>
          <w:numId w:val="23"/>
        </w:numPr>
      </w:pPr>
      <w:r w:rsidRPr="000E1B9B">
        <w:t>specialised microbial reference diagnostics and confirmatory testing</w:t>
      </w:r>
    </w:p>
    <w:p w14:paraId="395301AE" w14:textId="77777777" w:rsidR="000E1B9B" w:rsidRPr="000E1B9B" w:rsidRDefault="000E1B9B" w:rsidP="006C7957">
      <w:pPr>
        <w:pStyle w:val="ListParagraph"/>
        <w:numPr>
          <w:ilvl w:val="0"/>
          <w:numId w:val="23"/>
        </w:numPr>
      </w:pPr>
      <w:r w:rsidRPr="000E1B9B">
        <w:t>provision of medical and scientific advice to public health networks and authorities</w:t>
      </w:r>
    </w:p>
    <w:p w14:paraId="40745477" w14:textId="3B0E6024" w:rsidR="000E1B9B" w:rsidRPr="000E1B9B" w:rsidRDefault="000E1B9B" w:rsidP="006C7957">
      <w:pPr>
        <w:pStyle w:val="ListParagraph"/>
        <w:numPr>
          <w:ilvl w:val="0"/>
          <w:numId w:val="23"/>
        </w:numPr>
      </w:pPr>
      <w:r w:rsidRPr="000E1B9B">
        <w:t>state-based and national leadership in standardising the diagnosis and laboratory-based surveillance of communicable disease</w:t>
      </w:r>
    </w:p>
    <w:p w14:paraId="49D9346B" w14:textId="77777777" w:rsidR="000E1B9B" w:rsidRPr="000E1B9B" w:rsidRDefault="000E1B9B" w:rsidP="006C7957">
      <w:pPr>
        <w:pStyle w:val="ListParagraph"/>
        <w:numPr>
          <w:ilvl w:val="0"/>
          <w:numId w:val="23"/>
        </w:numPr>
      </w:pPr>
      <w:r w:rsidRPr="000E1B9B">
        <w:t>identification and application of new technological and scientific developments to public health microbiology practice.</w:t>
      </w:r>
    </w:p>
    <w:p w14:paraId="2CBCC8E2" w14:textId="50D1464A" w:rsidR="000E1B9B" w:rsidRDefault="000E1B9B" w:rsidP="00FE2D5C">
      <w:r w:rsidRPr="000E1B9B">
        <w:t xml:space="preserve">The introduction of microbial genomics in the Australian public health laboratory and public health sector more broadly presents a major workforce development challenge. There is a clear need to upskill the existing workforce through increasing capacity and capability in microbial genomics technologies, as well as bioinformatics. This will help build an appropriately skilled workforce that is literate in microbial genomics sequencing and analysis. </w:t>
      </w:r>
    </w:p>
    <w:p w14:paraId="61736209" w14:textId="77777777" w:rsidR="000E1B9B" w:rsidRDefault="000E1B9B" w:rsidP="00FE2D5C">
      <w:r w:rsidRPr="000E1B9B">
        <w:t>Despite rapid advances, there remains varying capacity and capability across jurisdictions regarding the implementation of microbial genomics in PHLs, in part due to resource and workforce prioritisation, and expense of equipment needed to fully integrate microbial genomic practices into the laboratory. From a workforce perspective, there also remains challenges in the provision and availability of education and training to support a microbial genomics literate workforce.</w:t>
      </w:r>
    </w:p>
    <w:p w14:paraId="2284EE9B" w14:textId="77777777" w:rsidR="000E1B9B" w:rsidRDefault="000E1B9B" w:rsidP="00FE2D5C">
      <w:r w:rsidRPr="000E1B9B">
        <w:t>To complicate implementation, the increased use of portable sequencing platforms and decentralised molecular diagnostic testing (including personal use in-vitro diagnostic devices) challenges the traditional model of clinical sample referral to PHLs for specialist typing and characterisation as part of surveillance activities. Common protocols and collaboration between the clinical space and PHLs will be key to ensuring quality and portability of genomic data across integrated laboratory information systems for surveillance purposes.</w:t>
      </w:r>
    </w:p>
    <w:p w14:paraId="60C26309" w14:textId="77777777" w:rsidR="000E1B9B" w:rsidRDefault="000E1B9B" w:rsidP="00FE2D5C">
      <w:r w:rsidRPr="000E1B9B">
        <w:lastRenderedPageBreak/>
        <w:t>A growing number of pathology providers in public and private sectors are considering different models of genomics testing for hospital infection control and antimicrobial stewardship. A workforce mapping exercise is needed to understand the specific gaps that need to be addressed to improve access to and build microbial genomics capability and capacity. The workforce mapping exercise should look at mechanisms for safe, equitable, efficient, effective, and informed service delivery. There is a pressing need for more bioinformaticians, computer scientists, genomic epidemiologists, translational genomics researchers, genomics-literate microbiologists, and data analysts. This will help meet the growing demand for microbial genomics in the public health system.</w:t>
      </w:r>
    </w:p>
    <w:p w14:paraId="1C5E28FD" w14:textId="1F781CEE" w:rsidR="000E1B9B" w:rsidRPr="000E1B9B" w:rsidRDefault="000E1B9B" w:rsidP="00FE2D5C">
      <w:r w:rsidRPr="000E1B9B">
        <w:t xml:space="preserve">The need for improved and standardised education opportunities, </w:t>
      </w:r>
      <w:r w:rsidR="00373651" w:rsidRPr="000E1B9B">
        <w:t>which</w:t>
      </w:r>
      <w:r w:rsidRPr="000E1B9B">
        <w:t xml:space="preserve"> cover microbial genomics for laboratory, clinical, public health, and government sector staff, is widely recognised as being critical to maximising the potential benefits of microbial genomics for public health action. </w:t>
      </w:r>
    </w:p>
    <w:p w14:paraId="219E1480" w14:textId="77777777" w:rsidR="000E1B9B" w:rsidRPr="000E1B9B" w:rsidRDefault="000E1B9B" w:rsidP="00FE2D5C">
      <w:pPr>
        <w:spacing w:before="0" w:after="0"/>
        <w:rPr>
          <w:b/>
          <w:bCs/>
        </w:rPr>
      </w:pPr>
      <w:r w:rsidRPr="000E1B9B">
        <w:rPr>
          <w:b/>
          <w:bCs/>
        </w:rPr>
        <w:t>What does the future look like?</w:t>
      </w:r>
    </w:p>
    <w:p w14:paraId="48853B1B" w14:textId="77777777" w:rsidR="000E1B9B" w:rsidRPr="000E1B9B" w:rsidRDefault="000E1B9B" w:rsidP="006C7957">
      <w:pPr>
        <w:pStyle w:val="ListParagraph"/>
        <w:numPr>
          <w:ilvl w:val="0"/>
          <w:numId w:val="23"/>
        </w:numPr>
      </w:pPr>
      <w:r w:rsidRPr="000E1B9B">
        <w:t xml:space="preserve">A robust, sustainable national microbial genomics capacity and capability has been established to meet public health needs, and referral of priority specimens for genomics characterisation is maintained. </w:t>
      </w:r>
    </w:p>
    <w:p w14:paraId="3A395506" w14:textId="77777777" w:rsidR="000E1B9B" w:rsidRPr="000E1B9B" w:rsidRDefault="000E1B9B" w:rsidP="006C7957">
      <w:pPr>
        <w:pStyle w:val="ListParagraph"/>
        <w:numPr>
          <w:ilvl w:val="0"/>
          <w:numId w:val="23"/>
        </w:numPr>
      </w:pPr>
      <w:r w:rsidRPr="000E1B9B">
        <w:t>Capacity and capability are well supported and is maintained through required expertise and workforce development.</w:t>
      </w:r>
    </w:p>
    <w:p w14:paraId="447F9554" w14:textId="77777777" w:rsidR="000E1B9B" w:rsidRPr="000E1B9B" w:rsidRDefault="000E1B9B" w:rsidP="006C7957">
      <w:pPr>
        <w:pStyle w:val="ListParagraph"/>
        <w:numPr>
          <w:ilvl w:val="0"/>
          <w:numId w:val="23"/>
        </w:numPr>
      </w:pPr>
      <w:r w:rsidRPr="000E1B9B">
        <w:t>Microbial genomics literacy is maintained across all relevant stakeholders and there is national support for innovation.</w:t>
      </w:r>
    </w:p>
    <w:p w14:paraId="6D90A2A9" w14:textId="77777777" w:rsidR="000E1B9B" w:rsidRPr="000E1B9B" w:rsidRDefault="000E1B9B" w:rsidP="006C7957">
      <w:pPr>
        <w:pStyle w:val="ListParagraph"/>
        <w:numPr>
          <w:ilvl w:val="0"/>
          <w:numId w:val="23"/>
        </w:numPr>
      </w:pPr>
      <w:r w:rsidRPr="000E1B9B">
        <w:t>The genomics workforce is supported throughout all stages of their careers, building a well-trained and microbial genomics literate workforce to meet the increasing demand for genomics services in Australia.</w:t>
      </w:r>
    </w:p>
    <w:p w14:paraId="53156924" w14:textId="77777777" w:rsidR="000E1B9B" w:rsidRPr="000E1B9B" w:rsidRDefault="000E1B9B" w:rsidP="00340E14">
      <w:pPr>
        <w:pStyle w:val="Heading3"/>
      </w:pPr>
      <w:bookmarkStart w:id="152" w:name="_Toc57196975"/>
      <w:bookmarkStart w:id="153" w:name="_Toc135494185"/>
      <w:bookmarkStart w:id="154" w:name="_Toc1808331917"/>
      <w:bookmarkStart w:id="155" w:name="_Toc27133178"/>
      <w:bookmarkStart w:id="156" w:name="_Toc191899430"/>
      <w:r w:rsidRPr="000E1B9B">
        <w:t>Prior and current activities</w:t>
      </w:r>
      <w:bookmarkEnd w:id="152"/>
      <w:bookmarkEnd w:id="153"/>
      <w:bookmarkEnd w:id="154"/>
      <w:bookmarkEnd w:id="155"/>
      <w:bookmarkEnd w:id="156"/>
    </w:p>
    <w:p w14:paraId="776F6916" w14:textId="77777777" w:rsidR="000E1B9B" w:rsidRDefault="000E1B9B" w:rsidP="00FE2D5C">
      <w:r w:rsidRPr="000E1B9B">
        <w:t xml:space="preserve">Invigorated by the COVID-19 pandemic, many Australian states and territories have acted to better understand how the workforce should evolve to support microbial genomics as an integral part of mainstream laboratory testing. However, most of these activities are still supported by existing resources and require sustainable funding to maintain the provision of training, workshops, and upskilling. This is particularly true for smaller jurisdictions with limited dedicated microbial genomics resources. </w:t>
      </w:r>
    </w:p>
    <w:p w14:paraId="081F5720" w14:textId="77777777" w:rsidR="000E1B9B" w:rsidRDefault="000E1B9B" w:rsidP="00FE2D5C">
      <w:r w:rsidRPr="000E1B9B">
        <w:t xml:space="preserve">Health continues to support the CDGN to provide coordination and bioinformatics support to jurisdictions that are developing capability and capacity. The network has used this funding to upskill laboratory staff and improve bioinformatics literacy across jurisdictions where there is limited dedicated bioinformaticians or bioinformatics expertise. This is also supported by the CDGN Teaching, Training and Curriculum Working Group. </w:t>
      </w:r>
    </w:p>
    <w:p w14:paraId="355E09EB" w14:textId="77777777" w:rsidR="000E1B9B" w:rsidRPr="000E1B9B" w:rsidRDefault="000E1B9B" w:rsidP="00FE2D5C">
      <w:r w:rsidRPr="000E1B9B">
        <w:lastRenderedPageBreak/>
        <w:t>The Interim Australian CDC is also progressing the development of a National Public Health Laboratory Strategy. While this is not microbial genomics-specific, it will assist to determine workforce needs more broadly in the public health laboratory system as a first step to understanding gaps and opportunities.</w:t>
      </w:r>
    </w:p>
    <w:p w14:paraId="73AF450C" w14:textId="77777777" w:rsidR="000E1B9B" w:rsidRPr="000E1B9B" w:rsidRDefault="000E1B9B" w:rsidP="000E1B9B">
      <w:pPr>
        <w:spacing w:before="0" w:after="0" w:line="240" w:lineRule="auto"/>
      </w:pPr>
      <w:r w:rsidRPr="000E1B9B">
        <w:br w:type="page"/>
      </w:r>
    </w:p>
    <w:p w14:paraId="3DA4A998" w14:textId="5486CF89" w:rsidR="00DB54DF" w:rsidRPr="00FE6C45" w:rsidRDefault="00DB54DF" w:rsidP="00DB54DF">
      <w:pPr>
        <w:pStyle w:val="Heading3"/>
        <w:spacing w:line="240" w:lineRule="auto"/>
      </w:pPr>
      <w:bookmarkStart w:id="157" w:name="_Toc135494186"/>
      <w:bookmarkStart w:id="158" w:name="_Toc765121919"/>
      <w:bookmarkStart w:id="159" w:name="_Toc1427607756"/>
      <w:bookmarkStart w:id="160" w:name="_Toc191899431"/>
      <w:r>
        <w:lastRenderedPageBreak/>
        <w:t>Outcome 4.1 — Enhanced capacity and capability</w:t>
      </w:r>
      <w:bookmarkEnd w:id="157"/>
      <w:bookmarkEnd w:id="158"/>
      <w:bookmarkEnd w:id="159"/>
      <w:bookmarkEnd w:id="160"/>
    </w:p>
    <w:p w14:paraId="1539A8F6" w14:textId="77777777" w:rsidR="00CC2334" w:rsidRPr="00CC2334" w:rsidRDefault="00CC2334" w:rsidP="006C7957">
      <w:pPr>
        <w:pStyle w:val="ListParagraph"/>
        <w:numPr>
          <w:ilvl w:val="0"/>
          <w:numId w:val="23"/>
        </w:numPr>
        <w:spacing w:line="240" w:lineRule="auto"/>
      </w:pPr>
      <w:r w:rsidRPr="00CC2334">
        <w:t>Assess, foster, establish, and maintain national microbial genomics capacity and capability.</w:t>
      </w:r>
    </w:p>
    <w:p w14:paraId="60139CD0" w14:textId="77777777" w:rsidR="00CC2334" w:rsidRPr="00CC2334" w:rsidRDefault="00CC2334" w:rsidP="006C7957">
      <w:pPr>
        <w:pStyle w:val="ListParagraph"/>
        <w:numPr>
          <w:ilvl w:val="0"/>
          <w:numId w:val="23"/>
        </w:numPr>
        <w:spacing w:line="240" w:lineRule="auto"/>
      </w:pPr>
      <w:r w:rsidRPr="00CC2334">
        <w:t>Ensure equitable access to capability, including high-performance computing infrastructure, for all jurisdictions.</w:t>
      </w:r>
    </w:p>
    <w:p w14:paraId="6B73C149" w14:textId="77777777" w:rsidR="00CC2334" w:rsidRPr="00CC2334" w:rsidRDefault="00CC2334" w:rsidP="006C7957">
      <w:pPr>
        <w:pStyle w:val="ListParagraph"/>
        <w:numPr>
          <w:ilvl w:val="0"/>
          <w:numId w:val="23"/>
        </w:numPr>
        <w:spacing w:line="240" w:lineRule="auto"/>
      </w:pPr>
      <w:r w:rsidRPr="00CC2334">
        <w:t>Develop bioinformatics expertise, noting that this cannot be generalised across organism types.</w:t>
      </w:r>
    </w:p>
    <w:p w14:paraId="4ECC92B7" w14:textId="2324C8DB" w:rsidR="00CC2334" w:rsidRPr="00CC2334" w:rsidRDefault="00CC2334" w:rsidP="00AA77D4">
      <w:pPr>
        <w:pStyle w:val="ListParagraph"/>
        <w:numPr>
          <w:ilvl w:val="0"/>
          <w:numId w:val="23"/>
        </w:numPr>
        <w:spacing w:line="240" w:lineRule="auto"/>
      </w:pPr>
      <w:r w:rsidRPr="00CC2334">
        <w:t>Maintain and build upon engagement with diagnostic laboratories and One Health laboratories.</w:t>
      </w:r>
    </w:p>
    <w:tbl>
      <w:tblPr>
        <w:tblStyle w:val="TableGrid"/>
        <w:tblW w:w="0" w:type="auto"/>
        <w:tblInd w:w="-431" w:type="dxa"/>
        <w:tblLook w:val="04A0" w:firstRow="1" w:lastRow="0" w:firstColumn="1" w:lastColumn="0" w:noHBand="0" w:noVBand="1"/>
      </w:tblPr>
      <w:tblGrid>
        <w:gridCol w:w="6067"/>
        <w:gridCol w:w="1261"/>
        <w:gridCol w:w="1264"/>
        <w:gridCol w:w="1331"/>
      </w:tblGrid>
      <w:tr w:rsidR="00835099" w:rsidRPr="00CC2334" w14:paraId="4A743D5E" w14:textId="77777777" w:rsidTr="00801780">
        <w:trPr>
          <w:cnfStyle w:val="100000000000" w:firstRow="1" w:lastRow="0" w:firstColumn="0" w:lastColumn="0" w:oddVBand="0" w:evenVBand="0" w:oddHBand="0" w:evenHBand="0" w:firstRowFirstColumn="0" w:firstRowLastColumn="0" w:lastRowFirstColumn="0" w:lastRowLastColumn="0"/>
          <w:trHeight w:val="283"/>
        </w:trPr>
        <w:tc>
          <w:tcPr>
            <w:tcW w:w="6067" w:type="dxa"/>
          </w:tcPr>
          <w:p w14:paraId="19255558" w14:textId="77777777" w:rsidR="00CC2334" w:rsidRPr="00CC2334" w:rsidRDefault="00CC2334" w:rsidP="00391683">
            <w:pPr>
              <w:pStyle w:val="Style10ptBoldBefore0ptAfter0ptLinespacingsing"/>
            </w:pPr>
            <w:r w:rsidRPr="00CC2334">
              <w:t>National Action</w:t>
            </w:r>
          </w:p>
        </w:tc>
        <w:tc>
          <w:tcPr>
            <w:tcW w:w="1261" w:type="dxa"/>
          </w:tcPr>
          <w:p w14:paraId="4847C2CC" w14:textId="77777777" w:rsidR="00CC2334" w:rsidRPr="00CC2334" w:rsidRDefault="00CC2334" w:rsidP="00391683">
            <w:pPr>
              <w:spacing w:line="240" w:lineRule="auto"/>
              <w:jc w:val="center"/>
              <w:rPr>
                <w:b/>
                <w:bCs/>
              </w:rPr>
            </w:pPr>
            <w:r w:rsidRPr="00CC2334">
              <w:rPr>
                <w:b/>
                <w:bCs/>
              </w:rPr>
              <w:t>Timeframe</w:t>
            </w:r>
          </w:p>
        </w:tc>
        <w:tc>
          <w:tcPr>
            <w:tcW w:w="1264" w:type="dxa"/>
          </w:tcPr>
          <w:p w14:paraId="0408DDEF" w14:textId="77777777" w:rsidR="00CC2334" w:rsidRPr="00CC2334" w:rsidRDefault="00CC2334" w:rsidP="00391683">
            <w:pPr>
              <w:spacing w:line="240" w:lineRule="auto"/>
              <w:jc w:val="center"/>
              <w:rPr>
                <w:b/>
                <w:bCs/>
              </w:rPr>
            </w:pPr>
            <w:r w:rsidRPr="00CC2334">
              <w:rPr>
                <w:b/>
                <w:bCs/>
              </w:rPr>
              <w:t>Lead</w:t>
            </w:r>
          </w:p>
        </w:tc>
        <w:tc>
          <w:tcPr>
            <w:tcW w:w="1331" w:type="dxa"/>
          </w:tcPr>
          <w:p w14:paraId="6336DAC9" w14:textId="77777777" w:rsidR="00CC2334" w:rsidRPr="00CC2334" w:rsidRDefault="00CC2334" w:rsidP="00391683">
            <w:pPr>
              <w:spacing w:line="240" w:lineRule="auto"/>
              <w:jc w:val="center"/>
              <w:rPr>
                <w:b/>
                <w:bCs/>
              </w:rPr>
            </w:pPr>
            <w:r w:rsidRPr="00CC2334">
              <w:rPr>
                <w:b/>
                <w:bCs/>
              </w:rPr>
              <w:t>Priority</w:t>
            </w:r>
          </w:p>
        </w:tc>
      </w:tr>
      <w:tr w:rsidR="00801780" w:rsidRPr="00CC2334" w14:paraId="1BF4A103" w14:textId="77777777" w:rsidTr="00801780">
        <w:trPr>
          <w:cnfStyle w:val="000000100000" w:firstRow="0" w:lastRow="0" w:firstColumn="0" w:lastColumn="0" w:oddVBand="0" w:evenVBand="0" w:oddHBand="1" w:evenHBand="0" w:firstRowFirstColumn="0" w:firstRowLastColumn="0" w:lastRowFirstColumn="0" w:lastRowLastColumn="0"/>
        </w:trPr>
        <w:tc>
          <w:tcPr>
            <w:tcW w:w="6067" w:type="dxa"/>
          </w:tcPr>
          <w:p w14:paraId="65909772" w14:textId="1C69DD05" w:rsidR="00801780" w:rsidRPr="00CC2334" w:rsidRDefault="00801780" w:rsidP="00801780">
            <w:pPr>
              <w:spacing w:line="240" w:lineRule="auto"/>
              <w:rPr>
                <w:b/>
                <w:bCs/>
              </w:rPr>
            </w:pPr>
            <w:r w:rsidRPr="00CC2334">
              <w:rPr>
                <w:b/>
                <w:bCs/>
              </w:rPr>
              <w:t>4.1.</w:t>
            </w:r>
            <w:r w:rsidR="00FC7C0C">
              <w:rPr>
                <w:b/>
                <w:bCs/>
              </w:rPr>
              <w:t>1</w:t>
            </w:r>
            <w:r w:rsidRPr="00CC2334">
              <w:rPr>
                <w:b/>
                <w:bCs/>
              </w:rPr>
              <w:t xml:space="preserve"> </w:t>
            </w:r>
            <w:r w:rsidRPr="00CC2334">
              <w:t>Provide outreach and education to end-users (e.g., public health decision-makers) about the availability and utility of genomic analysis.</w:t>
            </w:r>
          </w:p>
        </w:tc>
        <w:tc>
          <w:tcPr>
            <w:tcW w:w="1261" w:type="dxa"/>
          </w:tcPr>
          <w:p w14:paraId="770ECDFF" w14:textId="65BE652C" w:rsidR="00801780" w:rsidRPr="00CC2334" w:rsidRDefault="00801780" w:rsidP="00801780">
            <w:pPr>
              <w:spacing w:line="240" w:lineRule="auto"/>
              <w:jc w:val="center"/>
            </w:pPr>
            <w:r w:rsidRPr="00CC2334">
              <w:t>Short</w:t>
            </w:r>
          </w:p>
        </w:tc>
        <w:tc>
          <w:tcPr>
            <w:tcW w:w="1264" w:type="dxa"/>
          </w:tcPr>
          <w:p w14:paraId="0E01AAD2" w14:textId="543C261F" w:rsidR="00801780" w:rsidRPr="00CC2334" w:rsidRDefault="00801780" w:rsidP="00801780">
            <w:pPr>
              <w:spacing w:line="240" w:lineRule="auto"/>
              <w:jc w:val="center"/>
            </w:pPr>
            <w:r w:rsidRPr="00CC2334">
              <w:t>CDGN</w:t>
            </w:r>
          </w:p>
        </w:tc>
        <w:tc>
          <w:tcPr>
            <w:tcW w:w="1331" w:type="dxa"/>
          </w:tcPr>
          <w:p w14:paraId="71030571" w14:textId="228F44A3" w:rsidR="00801780" w:rsidRPr="00CC2334" w:rsidRDefault="00801780" w:rsidP="00801780">
            <w:pPr>
              <w:spacing w:line="240" w:lineRule="auto"/>
              <w:jc w:val="center"/>
            </w:pPr>
            <w:r w:rsidRPr="00CC2334">
              <w:t>Medium</w:t>
            </w:r>
          </w:p>
        </w:tc>
      </w:tr>
      <w:tr w:rsidR="00801780" w:rsidRPr="00CC2334" w14:paraId="62DB0101" w14:textId="77777777" w:rsidTr="00801780">
        <w:tc>
          <w:tcPr>
            <w:tcW w:w="6067" w:type="dxa"/>
          </w:tcPr>
          <w:p w14:paraId="1D953298" w14:textId="4B201AB7" w:rsidR="00801780" w:rsidRPr="00CC2334" w:rsidRDefault="00801780" w:rsidP="00801780">
            <w:pPr>
              <w:spacing w:line="240" w:lineRule="auto"/>
              <w:rPr>
                <w:b/>
                <w:bCs/>
              </w:rPr>
            </w:pPr>
            <w:r w:rsidRPr="00CC2334">
              <w:rPr>
                <w:b/>
                <w:bCs/>
              </w:rPr>
              <w:t>4.1.</w:t>
            </w:r>
            <w:r w:rsidR="00FC7C0C">
              <w:rPr>
                <w:b/>
                <w:bCs/>
              </w:rPr>
              <w:t>2</w:t>
            </w:r>
            <w:r w:rsidRPr="00CC2334">
              <w:rPr>
                <w:b/>
                <w:bCs/>
              </w:rPr>
              <w:t xml:space="preserve"> </w:t>
            </w:r>
            <w:r w:rsidRPr="00CC2334">
              <w:t>Establish explicit pathways for requesting genomic analysis to end-users.</w:t>
            </w:r>
          </w:p>
        </w:tc>
        <w:tc>
          <w:tcPr>
            <w:tcW w:w="1261" w:type="dxa"/>
          </w:tcPr>
          <w:p w14:paraId="7FC2B70D" w14:textId="1F958AA5" w:rsidR="00801780" w:rsidRPr="00CC2334" w:rsidRDefault="00801780" w:rsidP="00801780">
            <w:pPr>
              <w:spacing w:line="240" w:lineRule="auto"/>
              <w:jc w:val="center"/>
            </w:pPr>
            <w:r w:rsidRPr="00CC2334">
              <w:t>Short</w:t>
            </w:r>
          </w:p>
        </w:tc>
        <w:tc>
          <w:tcPr>
            <w:tcW w:w="1264" w:type="dxa"/>
          </w:tcPr>
          <w:p w14:paraId="6BF569A7" w14:textId="46F4A632" w:rsidR="00801780" w:rsidRPr="00CC2334" w:rsidRDefault="00801780" w:rsidP="00801780">
            <w:pPr>
              <w:spacing w:line="240" w:lineRule="auto"/>
              <w:jc w:val="center"/>
            </w:pPr>
            <w:r w:rsidRPr="00CC2334">
              <w:t>CDGN</w:t>
            </w:r>
          </w:p>
        </w:tc>
        <w:tc>
          <w:tcPr>
            <w:tcW w:w="1331" w:type="dxa"/>
          </w:tcPr>
          <w:p w14:paraId="40E3164B" w14:textId="3298A63B" w:rsidR="00801780" w:rsidRPr="00CC2334" w:rsidRDefault="00801780" w:rsidP="00801780">
            <w:pPr>
              <w:spacing w:line="240" w:lineRule="auto"/>
              <w:jc w:val="center"/>
            </w:pPr>
            <w:r w:rsidRPr="00CC2334">
              <w:t>Medium</w:t>
            </w:r>
          </w:p>
        </w:tc>
      </w:tr>
      <w:tr w:rsidR="00CC2334" w:rsidRPr="00CC2334" w14:paraId="1E6E5F82" w14:textId="77777777" w:rsidTr="00801780">
        <w:trPr>
          <w:cnfStyle w:val="000000100000" w:firstRow="0" w:lastRow="0" w:firstColumn="0" w:lastColumn="0" w:oddVBand="0" w:evenVBand="0" w:oddHBand="1" w:evenHBand="0" w:firstRowFirstColumn="0" w:firstRowLastColumn="0" w:lastRowFirstColumn="0" w:lastRowLastColumn="0"/>
        </w:trPr>
        <w:tc>
          <w:tcPr>
            <w:tcW w:w="6067" w:type="dxa"/>
          </w:tcPr>
          <w:p w14:paraId="3FAA5A9C" w14:textId="2CFEAE8E" w:rsidR="00CC2334" w:rsidRPr="00CC2334" w:rsidRDefault="00CC2334" w:rsidP="00391683">
            <w:pPr>
              <w:spacing w:line="240" w:lineRule="auto"/>
            </w:pPr>
            <w:r w:rsidRPr="00CC2334">
              <w:rPr>
                <w:b/>
                <w:bCs/>
              </w:rPr>
              <w:t>4.1.</w:t>
            </w:r>
            <w:r w:rsidR="00FC7C0C">
              <w:rPr>
                <w:b/>
                <w:bCs/>
              </w:rPr>
              <w:t>3</w:t>
            </w:r>
            <w:r w:rsidRPr="00CC2334">
              <w:t xml:space="preserve"> Foster bioinformatics and analytical support in public and private laboratories (including public hospital laboratories) across jurisdictions. Find improvement opportunities that may benefit from national coordination.</w:t>
            </w:r>
          </w:p>
        </w:tc>
        <w:tc>
          <w:tcPr>
            <w:tcW w:w="1261" w:type="dxa"/>
          </w:tcPr>
          <w:p w14:paraId="0562E59F" w14:textId="77777777" w:rsidR="00CC2334" w:rsidRPr="00CC2334" w:rsidRDefault="00CC2334" w:rsidP="00391683">
            <w:pPr>
              <w:spacing w:line="240" w:lineRule="auto"/>
              <w:jc w:val="center"/>
            </w:pPr>
            <w:r w:rsidRPr="00CC2334">
              <w:t>Medium</w:t>
            </w:r>
          </w:p>
        </w:tc>
        <w:tc>
          <w:tcPr>
            <w:tcW w:w="1264" w:type="dxa"/>
          </w:tcPr>
          <w:p w14:paraId="3E0FBB29" w14:textId="3F9AB7A2" w:rsidR="00CC2334" w:rsidRPr="00CC2334" w:rsidRDefault="00CC2334" w:rsidP="00391683">
            <w:pPr>
              <w:spacing w:line="240" w:lineRule="auto"/>
              <w:jc w:val="center"/>
            </w:pPr>
            <w:r>
              <w:t>CDGN</w:t>
            </w:r>
          </w:p>
        </w:tc>
        <w:tc>
          <w:tcPr>
            <w:tcW w:w="1331" w:type="dxa"/>
          </w:tcPr>
          <w:p w14:paraId="7C8BE8C9" w14:textId="77777777" w:rsidR="00CC2334" w:rsidRPr="00CC2334" w:rsidRDefault="00CC2334" w:rsidP="00391683">
            <w:pPr>
              <w:spacing w:line="240" w:lineRule="auto"/>
              <w:jc w:val="center"/>
            </w:pPr>
            <w:r w:rsidRPr="00CC2334">
              <w:t>High</w:t>
            </w:r>
          </w:p>
        </w:tc>
      </w:tr>
      <w:tr w:rsidR="00CC2334" w:rsidRPr="00CC2334" w14:paraId="71B5789F" w14:textId="77777777" w:rsidTr="00801780">
        <w:trPr>
          <w:trHeight w:val="300"/>
        </w:trPr>
        <w:tc>
          <w:tcPr>
            <w:tcW w:w="6067" w:type="dxa"/>
          </w:tcPr>
          <w:p w14:paraId="087808BA" w14:textId="37D26E25" w:rsidR="00CC2334" w:rsidRPr="00CC2334" w:rsidRDefault="47CD8E6F" w:rsidP="00391683">
            <w:pPr>
              <w:spacing w:line="240" w:lineRule="auto"/>
            </w:pPr>
            <w:r w:rsidRPr="5A36DD3A">
              <w:rPr>
                <w:b/>
                <w:bCs/>
              </w:rPr>
              <w:t>4.1.</w:t>
            </w:r>
            <w:r w:rsidR="00FC7C0C">
              <w:rPr>
                <w:b/>
                <w:bCs/>
              </w:rPr>
              <w:t>4</w:t>
            </w:r>
            <w:r>
              <w:t xml:space="preserve"> Continue to identify barriers to equity of access for laboratories (including across One Health sectors)</w:t>
            </w:r>
            <w:r w:rsidR="73382EFC">
              <w:t xml:space="preserve">, in collaboration with </w:t>
            </w:r>
            <w:r w:rsidR="60946821">
              <w:t>state and territory governments</w:t>
            </w:r>
            <w:r w:rsidR="73382EFC">
              <w:t>,</w:t>
            </w:r>
            <w:r>
              <w:t xml:space="preserve"> and develop a national approach to address these. Access is multidimensional and includes location, cost, availability, and appropriateness.</w:t>
            </w:r>
          </w:p>
        </w:tc>
        <w:tc>
          <w:tcPr>
            <w:tcW w:w="1261" w:type="dxa"/>
          </w:tcPr>
          <w:p w14:paraId="7FF3890E" w14:textId="77777777" w:rsidR="00CC2334" w:rsidRPr="00CC2334" w:rsidRDefault="00CC2334" w:rsidP="00391683">
            <w:pPr>
              <w:spacing w:line="240" w:lineRule="auto"/>
              <w:jc w:val="center"/>
            </w:pPr>
            <w:r w:rsidRPr="00CC2334">
              <w:t>Medium</w:t>
            </w:r>
          </w:p>
        </w:tc>
        <w:tc>
          <w:tcPr>
            <w:tcW w:w="1264" w:type="dxa"/>
          </w:tcPr>
          <w:p w14:paraId="3CDDD4D9" w14:textId="158F902C" w:rsidR="00CC2334" w:rsidRPr="00CC2334" w:rsidRDefault="47CD8E6F" w:rsidP="00391683">
            <w:pPr>
              <w:spacing w:line="240" w:lineRule="auto"/>
              <w:jc w:val="center"/>
            </w:pPr>
            <w:r>
              <w:t>Australian CDC</w:t>
            </w:r>
          </w:p>
        </w:tc>
        <w:tc>
          <w:tcPr>
            <w:tcW w:w="1331" w:type="dxa"/>
          </w:tcPr>
          <w:p w14:paraId="253B5EED" w14:textId="77777777" w:rsidR="00CC2334" w:rsidRPr="00CC2334" w:rsidRDefault="00CC2334" w:rsidP="00391683">
            <w:pPr>
              <w:spacing w:line="240" w:lineRule="auto"/>
              <w:jc w:val="center"/>
            </w:pPr>
            <w:r w:rsidRPr="00CC2334">
              <w:t>High</w:t>
            </w:r>
          </w:p>
        </w:tc>
      </w:tr>
      <w:tr w:rsidR="00801780" w:rsidRPr="00CC2334" w14:paraId="653F6046" w14:textId="77777777" w:rsidTr="00801780">
        <w:trPr>
          <w:cnfStyle w:val="000000100000" w:firstRow="0" w:lastRow="0" w:firstColumn="0" w:lastColumn="0" w:oddVBand="0" w:evenVBand="0" w:oddHBand="1" w:evenHBand="0" w:firstRowFirstColumn="0" w:firstRowLastColumn="0" w:lastRowFirstColumn="0" w:lastRowLastColumn="0"/>
          <w:trHeight w:val="300"/>
        </w:trPr>
        <w:tc>
          <w:tcPr>
            <w:tcW w:w="6067" w:type="dxa"/>
          </w:tcPr>
          <w:p w14:paraId="7EDCC07C" w14:textId="696CD648" w:rsidR="00801780" w:rsidRPr="5A36DD3A" w:rsidRDefault="00801780" w:rsidP="00801780">
            <w:pPr>
              <w:spacing w:line="240" w:lineRule="auto"/>
              <w:rPr>
                <w:b/>
                <w:bCs/>
              </w:rPr>
            </w:pPr>
            <w:r w:rsidRPr="00CC2334">
              <w:rPr>
                <w:b/>
                <w:bCs/>
              </w:rPr>
              <w:t>4.1.</w:t>
            </w:r>
            <w:r w:rsidR="00FC7C0C">
              <w:rPr>
                <w:b/>
                <w:bCs/>
              </w:rPr>
              <w:t>5</w:t>
            </w:r>
            <w:r w:rsidRPr="00CC2334">
              <w:rPr>
                <w:b/>
                <w:bCs/>
              </w:rPr>
              <w:t xml:space="preserve"> </w:t>
            </w:r>
            <w:r w:rsidRPr="00CC2334">
              <w:t>Define and provide adequate resourcing dedicated to establishing surge capacity and pandemic preparedness, across One Health sectors.</w:t>
            </w:r>
          </w:p>
        </w:tc>
        <w:tc>
          <w:tcPr>
            <w:tcW w:w="1261" w:type="dxa"/>
          </w:tcPr>
          <w:p w14:paraId="75D14F8D" w14:textId="09144B21" w:rsidR="00801780" w:rsidRPr="00CC2334" w:rsidRDefault="00801780" w:rsidP="00801780">
            <w:pPr>
              <w:spacing w:line="240" w:lineRule="auto"/>
              <w:jc w:val="center"/>
            </w:pPr>
            <w:r w:rsidRPr="00CC2334">
              <w:t>Long</w:t>
            </w:r>
          </w:p>
        </w:tc>
        <w:tc>
          <w:tcPr>
            <w:tcW w:w="1264" w:type="dxa"/>
          </w:tcPr>
          <w:p w14:paraId="79E5D3D3" w14:textId="6A92F180" w:rsidR="00801780" w:rsidRDefault="00801780" w:rsidP="00801780">
            <w:pPr>
              <w:spacing w:line="240" w:lineRule="auto"/>
              <w:jc w:val="center"/>
            </w:pPr>
            <w:r w:rsidRPr="00CC2334">
              <w:t>All</w:t>
            </w:r>
          </w:p>
        </w:tc>
        <w:tc>
          <w:tcPr>
            <w:tcW w:w="1331" w:type="dxa"/>
          </w:tcPr>
          <w:p w14:paraId="00FC2C62" w14:textId="2247A467" w:rsidR="00801780" w:rsidRPr="00CC2334" w:rsidRDefault="00801780" w:rsidP="00801780">
            <w:pPr>
              <w:spacing w:line="240" w:lineRule="auto"/>
              <w:jc w:val="center"/>
            </w:pPr>
            <w:r w:rsidRPr="00CC2334">
              <w:t>High</w:t>
            </w:r>
          </w:p>
        </w:tc>
      </w:tr>
    </w:tbl>
    <w:p w14:paraId="0CD831DD" w14:textId="40EAFF92" w:rsidR="00892600" w:rsidRDefault="00892600" w:rsidP="00EE261C">
      <w:pPr>
        <w:spacing w:before="0" w:after="0" w:line="240" w:lineRule="auto"/>
        <w:rPr>
          <w:b/>
          <w:bCs/>
          <w:color w:val="033636" w:themeColor="text2"/>
        </w:rPr>
      </w:pPr>
      <w:r>
        <w:br w:type="page"/>
      </w:r>
    </w:p>
    <w:p w14:paraId="3B4C28B9" w14:textId="0A89D900" w:rsidR="00817E91" w:rsidRPr="00FE6C45" w:rsidRDefault="00817E91" w:rsidP="00817E91">
      <w:pPr>
        <w:pStyle w:val="Heading3"/>
        <w:spacing w:line="240" w:lineRule="auto"/>
      </w:pPr>
      <w:bookmarkStart w:id="161" w:name="_Toc191899432"/>
      <w:bookmarkStart w:id="162" w:name="_Toc1127544763"/>
      <w:r>
        <w:lastRenderedPageBreak/>
        <w:t xml:space="preserve">Outcome 4.2 — </w:t>
      </w:r>
      <w:r w:rsidR="00535CE7">
        <w:t>Enhanced w</w:t>
      </w:r>
      <w:r>
        <w:t>orkforce</w:t>
      </w:r>
      <w:bookmarkEnd w:id="161"/>
      <w:r>
        <w:t xml:space="preserve"> </w:t>
      </w:r>
      <w:bookmarkEnd w:id="162"/>
    </w:p>
    <w:p w14:paraId="798AB425" w14:textId="77777777" w:rsidR="00D31694" w:rsidRPr="00FE6C45" w:rsidRDefault="00D31694" w:rsidP="00732ECA">
      <w:pPr>
        <w:pStyle w:val="ListParagraph"/>
        <w:numPr>
          <w:ilvl w:val="0"/>
          <w:numId w:val="33"/>
        </w:numPr>
        <w:spacing w:line="240" w:lineRule="auto"/>
      </w:pPr>
      <w:r w:rsidRPr="00FE6C45">
        <w:t>Building and maintaining a skilled, multi-disciplinary and cross-trained workforce.</w:t>
      </w:r>
    </w:p>
    <w:p w14:paraId="592DDE09" w14:textId="77777777" w:rsidR="00D31694" w:rsidRPr="00FE6C45" w:rsidRDefault="00D31694" w:rsidP="00732ECA">
      <w:pPr>
        <w:pStyle w:val="ListParagraph"/>
        <w:numPr>
          <w:ilvl w:val="0"/>
          <w:numId w:val="33"/>
        </w:numPr>
        <w:spacing w:line="240" w:lineRule="auto"/>
      </w:pPr>
      <w:r w:rsidRPr="00FE6C45">
        <w:t>Promote establishment, improvement, and maintenance of genomics literacy and related skills in both laboratory and non-laboratory settings (for example, public health clinicians and epidemiologists) through microbial genomics education, training, and quality assurance.</w:t>
      </w:r>
    </w:p>
    <w:p w14:paraId="4FABDD01" w14:textId="77777777" w:rsidR="00D31694" w:rsidRPr="00FE6C45" w:rsidRDefault="00D31694" w:rsidP="00732ECA">
      <w:pPr>
        <w:pStyle w:val="ListParagraph"/>
        <w:numPr>
          <w:ilvl w:val="0"/>
          <w:numId w:val="33"/>
        </w:numPr>
        <w:spacing w:line="240" w:lineRule="auto"/>
      </w:pPr>
      <w:r w:rsidRPr="00FE6C45">
        <w:t>Promote workforce training strategies and planning to ensure consistent and equal access to upskilling opportunities across jurisdictions and microbiology service providers.</w:t>
      </w:r>
    </w:p>
    <w:p w14:paraId="313D322D" w14:textId="78BE0241" w:rsidR="00D31694" w:rsidRPr="00FE6C45" w:rsidRDefault="00D31694" w:rsidP="00732ECA">
      <w:pPr>
        <w:pStyle w:val="ListParagraph"/>
        <w:numPr>
          <w:ilvl w:val="0"/>
          <w:numId w:val="33"/>
        </w:numPr>
        <w:spacing w:line="240" w:lineRule="auto"/>
      </w:pPr>
      <w:r w:rsidRPr="00FE6C45">
        <w:t>Facilitate collaboration, partnerships, and networks between professional colleges, industry, and societies to promote and support the sharing of knowledge.</w:t>
      </w:r>
    </w:p>
    <w:tbl>
      <w:tblPr>
        <w:tblStyle w:val="TableGrid"/>
        <w:tblW w:w="10122" w:type="dxa"/>
        <w:tblLook w:val="04A0" w:firstRow="1" w:lastRow="0" w:firstColumn="1" w:lastColumn="0" w:noHBand="0" w:noVBand="1"/>
      </w:tblPr>
      <w:tblGrid>
        <w:gridCol w:w="6663"/>
        <w:gridCol w:w="1276"/>
        <w:gridCol w:w="1148"/>
        <w:gridCol w:w="1035"/>
      </w:tblGrid>
      <w:tr w:rsidR="00D31694" w:rsidRPr="00FE6C45" w14:paraId="343D8072" w14:textId="77777777" w:rsidTr="00EC6C42">
        <w:trPr>
          <w:cnfStyle w:val="100000000000" w:firstRow="1" w:lastRow="0" w:firstColumn="0" w:lastColumn="0" w:oddVBand="0" w:evenVBand="0" w:oddHBand="0" w:evenHBand="0" w:firstRowFirstColumn="0" w:firstRowLastColumn="0" w:lastRowFirstColumn="0" w:lastRowLastColumn="0"/>
          <w:trHeight w:val="283"/>
        </w:trPr>
        <w:tc>
          <w:tcPr>
            <w:tcW w:w="6663" w:type="dxa"/>
          </w:tcPr>
          <w:p w14:paraId="13BAA3B2" w14:textId="77777777" w:rsidR="00D31694" w:rsidRPr="00FE6C45" w:rsidRDefault="00D31694">
            <w:pPr>
              <w:spacing w:line="240" w:lineRule="auto"/>
              <w:rPr>
                <w:b/>
                <w:bCs/>
              </w:rPr>
            </w:pPr>
            <w:r w:rsidRPr="00FE6C45">
              <w:rPr>
                <w:b/>
                <w:bCs/>
              </w:rPr>
              <w:t>National Action</w:t>
            </w:r>
          </w:p>
        </w:tc>
        <w:tc>
          <w:tcPr>
            <w:tcW w:w="1276" w:type="dxa"/>
          </w:tcPr>
          <w:p w14:paraId="7A2691BE" w14:textId="77777777" w:rsidR="00D31694" w:rsidRPr="00FE6C45" w:rsidRDefault="00D31694" w:rsidP="00D31694">
            <w:pPr>
              <w:spacing w:line="240" w:lineRule="auto"/>
              <w:jc w:val="center"/>
              <w:rPr>
                <w:b/>
                <w:bCs/>
              </w:rPr>
            </w:pPr>
            <w:r w:rsidRPr="00FE6C45">
              <w:rPr>
                <w:b/>
                <w:bCs/>
              </w:rPr>
              <w:t>Timeframe</w:t>
            </w:r>
          </w:p>
        </w:tc>
        <w:tc>
          <w:tcPr>
            <w:tcW w:w="1148" w:type="dxa"/>
          </w:tcPr>
          <w:p w14:paraId="34B21B10" w14:textId="77777777" w:rsidR="00D31694" w:rsidRPr="00FE6C45" w:rsidRDefault="00D31694" w:rsidP="00D31694">
            <w:pPr>
              <w:spacing w:line="240" w:lineRule="auto"/>
              <w:jc w:val="center"/>
              <w:rPr>
                <w:b/>
                <w:bCs/>
              </w:rPr>
            </w:pPr>
            <w:r w:rsidRPr="00FE6C45">
              <w:rPr>
                <w:b/>
                <w:bCs/>
              </w:rPr>
              <w:t>Lead</w:t>
            </w:r>
          </w:p>
        </w:tc>
        <w:tc>
          <w:tcPr>
            <w:tcW w:w="1035" w:type="dxa"/>
          </w:tcPr>
          <w:p w14:paraId="2FC5042A" w14:textId="77777777" w:rsidR="00D31694" w:rsidRPr="00FE6C45" w:rsidRDefault="00D31694" w:rsidP="00D31694">
            <w:pPr>
              <w:spacing w:line="240" w:lineRule="auto"/>
              <w:jc w:val="center"/>
              <w:rPr>
                <w:b/>
                <w:bCs/>
              </w:rPr>
            </w:pPr>
            <w:r w:rsidRPr="00FE6C45">
              <w:rPr>
                <w:b/>
                <w:bCs/>
              </w:rPr>
              <w:t>Priority</w:t>
            </w:r>
          </w:p>
        </w:tc>
      </w:tr>
      <w:tr w:rsidR="00180AAD" w:rsidRPr="00FE6C45" w14:paraId="3B9737C2" w14:textId="77777777" w:rsidTr="00EC6C42">
        <w:trPr>
          <w:cnfStyle w:val="000000100000" w:firstRow="0" w:lastRow="0" w:firstColumn="0" w:lastColumn="0" w:oddVBand="0" w:evenVBand="0" w:oddHBand="1" w:evenHBand="0" w:firstRowFirstColumn="0" w:firstRowLastColumn="0" w:lastRowFirstColumn="0" w:lastRowLastColumn="0"/>
          <w:trHeight w:val="300"/>
        </w:trPr>
        <w:tc>
          <w:tcPr>
            <w:tcW w:w="6663" w:type="dxa"/>
          </w:tcPr>
          <w:p w14:paraId="1984AE62" w14:textId="0C1DA28A" w:rsidR="00180AAD" w:rsidRPr="00FE6C45" w:rsidRDefault="00180AAD" w:rsidP="00180AAD">
            <w:pPr>
              <w:spacing w:line="240" w:lineRule="auto"/>
            </w:pPr>
            <w:r w:rsidRPr="00FE6C45">
              <w:rPr>
                <w:b/>
              </w:rPr>
              <w:t>4.2.</w:t>
            </w:r>
            <w:r w:rsidR="0001110F">
              <w:rPr>
                <w:b/>
              </w:rPr>
              <w:t>1</w:t>
            </w:r>
            <w:r w:rsidRPr="00FE6C45">
              <w:t xml:space="preserve"> Provide coordination and bioinformatics training and support across jurisdictions to ensure equitable sharing of practices, knowledge, and information to all jurisdictions, and help maintain </w:t>
            </w:r>
            <w:r w:rsidRPr="00BC6A7D">
              <w:t>a validated national microbial bioinformatics pipeline</w:t>
            </w:r>
            <w:r w:rsidRPr="00FE6C45">
              <w:t>.</w:t>
            </w:r>
          </w:p>
        </w:tc>
        <w:tc>
          <w:tcPr>
            <w:tcW w:w="1276" w:type="dxa"/>
          </w:tcPr>
          <w:p w14:paraId="122292B6" w14:textId="7DC9996D" w:rsidR="00180AAD" w:rsidRPr="00FE6C45" w:rsidRDefault="00180AAD" w:rsidP="00EB5EED">
            <w:pPr>
              <w:spacing w:line="240" w:lineRule="auto"/>
              <w:jc w:val="center"/>
            </w:pPr>
            <w:r w:rsidRPr="00FE6C45">
              <w:t>Medium</w:t>
            </w:r>
          </w:p>
        </w:tc>
        <w:tc>
          <w:tcPr>
            <w:tcW w:w="1148" w:type="dxa"/>
          </w:tcPr>
          <w:p w14:paraId="536310EE" w14:textId="3A0FDCCA" w:rsidR="00180AAD" w:rsidRPr="00FE6C45" w:rsidRDefault="00180AAD" w:rsidP="00EB5EED">
            <w:pPr>
              <w:spacing w:line="240" w:lineRule="auto"/>
              <w:jc w:val="center"/>
            </w:pPr>
            <w:r w:rsidRPr="00FE6C45">
              <w:t>CDGN</w:t>
            </w:r>
          </w:p>
        </w:tc>
        <w:tc>
          <w:tcPr>
            <w:tcW w:w="1035" w:type="dxa"/>
          </w:tcPr>
          <w:p w14:paraId="1A8D58E0" w14:textId="0D960455" w:rsidR="00180AAD" w:rsidRPr="00FE6C45" w:rsidRDefault="00180AAD" w:rsidP="00EB5EED">
            <w:pPr>
              <w:spacing w:line="240" w:lineRule="auto"/>
              <w:jc w:val="center"/>
            </w:pPr>
            <w:r w:rsidRPr="00FE6C45">
              <w:t>High</w:t>
            </w:r>
          </w:p>
        </w:tc>
      </w:tr>
      <w:tr w:rsidR="00180AAD" w:rsidRPr="00FE6C45" w14:paraId="02C80F09" w14:textId="77777777" w:rsidTr="00EC6C42">
        <w:trPr>
          <w:trHeight w:val="300"/>
        </w:trPr>
        <w:tc>
          <w:tcPr>
            <w:tcW w:w="6663" w:type="dxa"/>
          </w:tcPr>
          <w:p w14:paraId="3342D1AA" w14:textId="1CC776C4" w:rsidR="00180AAD" w:rsidRPr="00FE6C45" w:rsidRDefault="00180AAD" w:rsidP="00180AAD">
            <w:pPr>
              <w:spacing w:line="240" w:lineRule="auto"/>
            </w:pPr>
            <w:r w:rsidRPr="00FE6C45">
              <w:rPr>
                <w:b/>
              </w:rPr>
              <w:t>4.2.2</w:t>
            </w:r>
            <w:r w:rsidRPr="00FE6C45">
              <w:t xml:space="preserve"> Improve the microbial genomics literacy and capability of the health workforce</w:t>
            </w:r>
            <w:r>
              <w:t>,</w:t>
            </w:r>
            <w:r w:rsidRPr="00FE6C45">
              <w:t xml:space="preserve"> through the development, delivery, and ongoing maintenance of appropriate microbial genomics education, training, and skills.</w:t>
            </w:r>
          </w:p>
        </w:tc>
        <w:tc>
          <w:tcPr>
            <w:tcW w:w="1276" w:type="dxa"/>
          </w:tcPr>
          <w:p w14:paraId="2572257A" w14:textId="77777777" w:rsidR="00180AAD" w:rsidRPr="00FE6C45" w:rsidRDefault="00180AAD" w:rsidP="00EB5EED">
            <w:pPr>
              <w:spacing w:line="240" w:lineRule="auto"/>
              <w:jc w:val="center"/>
            </w:pPr>
            <w:r w:rsidRPr="00FE6C45">
              <w:t>Medium</w:t>
            </w:r>
          </w:p>
        </w:tc>
        <w:tc>
          <w:tcPr>
            <w:tcW w:w="1148" w:type="dxa"/>
          </w:tcPr>
          <w:p w14:paraId="27146E12" w14:textId="77777777" w:rsidR="00180AAD" w:rsidRPr="00FE6C45" w:rsidRDefault="00180AAD" w:rsidP="00EB5EED">
            <w:pPr>
              <w:spacing w:line="240" w:lineRule="auto"/>
              <w:jc w:val="center"/>
            </w:pPr>
            <w:r>
              <w:t>CDGN</w:t>
            </w:r>
          </w:p>
        </w:tc>
        <w:tc>
          <w:tcPr>
            <w:tcW w:w="1035" w:type="dxa"/>
          </w:tcPr>
          <w:p w14:paraId="26B6C606" w14:textId="77777777" w:rsidR="00180AAD" w:rsidRDefault="00180AAD" w:rsidP="00EB5EED">
            <w:pPr>
              <w:spacing w:line="240" w:lineRule="auto"/>
              <w:jc w:val="center"/>
            </w:pPr>
          </w:p>
          <w:p w14:paraId="55CF7D95" w14:textId="4A908E7A" w:rsidR="00180AAD" w:rsidRPr="00FE6C45" w:rsidRDefault="00180AAD" w:rsidP="00EB5EED">
            <w:pPr>
              <w:spacing w:line="240" w:lineRule="auto"/>
              <w:jc w:val="center"/>
            </w:pPr>
            <w:r w:rsidRPr="00FE6C45">
              <w:t>Medium</w:t>
            </w:r>
          </w:p>
          <w:p w14:paraId="14119D31" w14:textId="77777777" w:rsidR="00180AAD" w:rsidRPr="00FE6C45" w:rsidRDefault="00180AAD" w:rsidP="00EB5EED">
            <w:pPr>
              <w:spacing w:line="240" w:lineRule="auto"/>
              <w:jc w:val="center"/>
            </w:pPr>
          </w:p>
        </w:tc>
      </w:tr>
      <w:tr w:rsidR="00180AAD" w:rsidRPr="00FE6C45" w14:paraId="41B79DC4" w14:textId="77777777" w:rsidTr="00EC6C42">
        <w:trPr>
          <w:cnfStyle w:val="000000100000" w:firstRow="0" w:lastRow="0" w:firstColumn="0" w:lastColumn="0" w:oddVBand="0" w:evenVBand="0" w:oddHBand="1" w:evenHBand="0" w:firstRowFirstColumn="0" w:firstRowLastColumn="0" w:lastRowFirstColumn="0" w:lastRowLastColumn="0"/>
          <w:trHeight w:val="300"/>
        </w:trPr>
        <w:tc>
          <w:tcPr>
            <w:tcW w:w="6663" w:type="dxa"/>
          </w:tcPr>
          <w:p w14:paraId="4FF58284" w14:textId="77777777" w:rsidR="00180AAD" w:rsidRPr="00FE6C45" w:rsidRDefault="00180AAD" w:rsidP="00180AAD">
            <w:pPr>
              <w:spacing w:line="240" w:lineRule="auto"/>
            </w:pPr>
            <w:r w:rsidRPr="00FE6C45">
              <w:rPr>
                <w:b/>
              </w:rPr>
              <w:t>4.2.3</w:t>
            </w:r>
            <w:r w:rsidRPr="00FE6C45">
              <w:t xml:space="preserve"> Involve relevant professional bodies, colleges, industry, and tertiary education sectors, who oversee and inform workforce training to streamline public health microbial genomics curricula. Ensure a consistent approach to teaching and training of microbial genomic sequencing for use in public health.</w:t>
            </w:r>
          </w:p>
        </w:tc>
        <w:tc>
          <w:tcPr>
            <w:tcW w:w="1276" w:type="dxa"/>
          </w:tcPr>
          <w:p w14:paraId="189CEF47" w14:textId="77777777" w:rsidR="00180AAD" w:rsidRPr="00FE6C45" w:rsidRDefault="00180AAD" w:rsidP="00EB5EED">
            <w:pPr>
              <w:spacing w:line="240" w:lineRule="auto"/>
              <w:jc w:val="center"/>
            </w:pPr>
            <w:r w:rsidRPr="00FE6C45">
              <w:t>Medium</w:t>
            </w:r>
          </w:p>
        </w:tc>
        <w:tc>
          <w:tcPr>
            <w:tcW w:w="1148" w:type="dxa"/>
          </w:tcPr>
          <w:p w14:paraId="21378FB8" w14:textId="33D81E1B" w:rsidR="00180AAD" w:rsidRPr="00FE6C45" w:rsidRDefault="00180AAD" w:rsidP="00EB5EED">
            <w:pPr>
              <w:spacing w:line="240" w:lineRule="auto"/>
              <w:jc w:val="center"/>
            </w:pPr>
            <w:r>
              <w:t>CDGN,</w:t>
            </w:r>
            <w:r w:rsidR="00FA2457">
              <w:t xml:space="preserve"> </w:t>
            </w:r>
            <w:r>
              <w:t>RCPA,</w:t>
            </w:r>
            <w:r w:rsidR="00FA2457">
              <w:t xml:space="preserve"> </w:t>
            </w:r>
            <w:r>
              <w:t>Health</w:t>
            </w:r>
          </w:p>
        </w:tc>
        <w:tc>
          <w:tcPr>
            <w:tcW w:w="1035" w:type="dxa"/>
          </w:tcPr>
          <w:p w14:paraId="6B9156B0" w14:textId="77777777" w:rsidR="00180AAD" w:rsidRPr="00FE6C45" w:rsidRDefault="00180AAD" w:rsidP="00EB5EED">
            <w:pPr>
              <w:spacing w:line="240" w:lineRule="auto"/>
              <w:jc w:val="center"/>
            </w:pPr>
            <w:r w:rsidRPr="00FE6C45">
              <w:t>Medium</w:t>
            </w:r>
          </w:p>
        </w:tc>
      </w:tr>
      <w:tr w:rsidR="00180AAD" w:rsidRPr="00FE6C45" w14:paraId="50362C8A" w14:textId="77777777" w:rsidTr="00EC6C42">
        <w:trPr>
          <w:trHeight w:val="300"/>
        </w:trPr>
        <w:tc>
          <w:tcPr>
            <w:tcW w:w="6663" w:type="dxa"/>
          </w:tcPr>
          <w:p w14:paraId="3C2C3D8C" w14:textId="70776271" w:rsidR="00180AAD" w:rsidRPr="00FE6C45" w:rsidRDefault="00180AAD" w:rsidP="00180AAD">
            <w:pPr>
              <w:spacing w:line="240" w:lineRule="auto"/>
            </w:pPr>
            <w:r w:rsidRPr="4F50332C">
              <w:rPr>
                <w:b/>
                <w:bCs/>
              </w:rPr>
              <w:t>4.2.4</w:t>
            </w:r>
            <w:r>
              <w:t xml:space="preserve"> Involve relevant stakeholders, sectors, and subject matter experts to improve genomics health literacy. Share experiences and lessons learned and raise awareness of the integration of microbial genomics into the Australian public health system.</w:t>
            </w:r>
          </w:p>
        </w:tc>
        <w:tc>
          <w:tcPr>
            <w:tcW w:w="1276" w:type="dxa"/>
          </w:tcPr>
          <w:p w14:paraId="0841F96E" w14:textId="77777777" w:rsidR="00180AAD" w:rsidRPr="00FE6C45" w:rsidRDefault="00180AAD" w:rsidP="00EB5EED">
            <w:pPr>
              <w:spacing w:line="240" w:lineRule="auto"/>
              <w:jc w:val="center"/>
            </w:pPr>
            <w:r w:rsidRPr="00FE6C45">
              <w:t>Medium</w:t>
            </w:r>
          </w:p>
        </w:tc>
        <w:tc>
          <w:tcPr>
            <w:tcW w:w="1148" w:type="dxa"/>
          </w:tcPr>
          <w:p w14:paraId="660AB512" w14:textId="77777777" w:rsidR="00180AAD" w:rsidRPr="00FE6C45" w:rsidRDefault="00180AAD" w:rsidP="00EB5EED">
            <w:pPr>
              <w:spacing w:line="240" w:lineRule="auto"/>
              <w:jc w:val="center"/>
            </w:pPr>
            <w:r w:rsidRPr="00FE6C45">
              <w:t>CDGN</w:t>
            </w:r>
          </w:p>
        </w:tc>
        <w:tc>
          <w:tcPr>
            <w:tcW w:w="1035" w:type="dxa"/>
          </w:tcPr>
          <w:p w14:paraId="43D151A6" w14:textId="3CBBF2A9" w:rsidR="009B09B9" w:rsidRPr="00FE6C45" w:rsidRDefault="00180AAD" w:rsidP="00EB5EED">
            <w:pPr>
              <w:spacing w:line="240" w:lineRule="auto"/>
              <w:jc w:val="center"/>
            </w:pPr>
            <w:r w:rsidRPr="00FE6C45">
              <w:t>Medium</w:t>
            </w:r>
          </w:p>
        </w:tc>
      </w:tr>
      <w:tr w:rsidR="00180AAD" w:rsidRPr="009B09B9" w14:paraId="616A8075" w14:textId="77777777" w:rsidTr="00414E00">
        <w:trPr>
          <w:cnfStyle w:val="000000100000" w:firstRow="0" w:lastRow="0" w:firstColumn="0" w:lastColumn="0" w:oddVBand="0" w:evenVBand="0" w:oddHBand="1" w:evenHBand="0" w:firstRowFirstColumn="0" w:firstRowLastColumn="0" w:lastRowFirstColumn="0" w:lastRowLastColumn="0"/>
          <w:trHeight w:val="300"/>
        </w:trPr>
        <w:tc>
          <w:tcPr>
            <w:tcW w:w="6663" w:type="dxa"/>
            <w:shd w:val="clear" w:color="auto" w:fill="auto"/>
          </w:tcPr>
          <w:p w14:paraId="70F9F5FA" w14:textId="323F51C5" w:rsidR="00180AAD" w:rsidRPr="009B09B9" w:rsidRDefault="00180AAD" w:rsidP="00180AAD">
            <w:pPr>
              <w:spacing w:line="240" w:lineRule="auto"/>
              <w:rPr>
                <w:b/>
              </w:rPr>
            </w:pPr>
            <w:r w:rsidRPr="00FE6C45">
              <w:rPr>
                <w:b/>
              </w:rPr>
              <w:t>4.2.</w:t>
            </w:r>
            <w:r w:rsidR="0001110F">
              <w:rPr>
                <w:b/>
              </w:rPr>
              <w:t>5</w:t>
            </w:r>
            <w:r w:rsidRPr="009B09B9">
              <w:rPr>
                <w:b/>
              </w:rPr>
              <w:t xml:space="preserve"> </w:t>
            </w:r>
            <w:r w:rsidRPr="009B09B9">
              <w:rPr>
                <w:bCs/>
              </w:rPr>
              <w:t>Map the public health microbial genomics workforce initiatives underway and find opportunities to further develop the necessary capabilities. Also consider strategies to support the equitable supply and distribution of that workforce.</w:t>
            </w:r>
          </w:p>
        </w:tc>
        <w:tc>
          <w:tcPr>
            <w:tcW w:w="1276" w:type="dxa"/>
            <w:shd w:val="clear" w:color="auto" w:fill="auto"/>
          </w:tcPr>
          <w:p w14:paraId="405E70E8" w14:textId="77777777" w:rsidR="00180AAD" w:rsidRPr="009B09B9" w:rsidRDefault="00180AAD" w:rsidP="00EB5EED">
            <w:pPr>
              <w:spacing w:line="240" w:lineRule="auto"/>
              <w:jc w:val="center"/>
              <w:rPr>
                <w:bCs/>
              </w:rPr>
            </w:pPr>
            <w:r w:rsidRPr="009B09B9">
              <w:rPr>
                <w:bCs/>
              </w:rPr>
              <w:t>Medium</w:t>
            </w:r>
          </w:p>
        </w:tc>
        <w:tc>
          <w:tcPr>
            <w:tcW w:w="1148" w:type="dxa"/>
            <w:shd w:val="clear" w:color="auto" w:fill="auto"/>
          </w:tcPr>
          <w:p w14:paraId="021E3C24" w14:textId="77777777" w:rsidR="00180AAD" w:rsidRPr="009B09B9" w:rsidRDefault="00180AAD" w:rsidP="00EB5EED">
            <w:pPr>
              <w:spacing w:line="240" w:lineRule="auto"/>
              <w:jc w:val="center"/>
              <w:rPr>
                <w:bCs/>
              </w:rPr>
            </w:pPr>
            <w:r w:rsidRPr="009B09B9">
              <w:rPr>
                <w:bCs/>
              </w:rPr>
              <w:t>CDGN</w:t>
            </w:r>
          </w:p>
        </w:tc>
        <w:tc>
          <w:tcPr>
            <w:tcW w:w="1035" w:type="dxa"/>
            <w:shd w:val="clear" w:color="auto" w:fill="auto"/>
          </w:tcPr>
          <w:p w14:paraId="5CF5EBF8" w14:textId="77777777" w:rsidR="00180AAD" w:rsidRPr="009B09B9" w:rsidRDefault="00180AAD" w:rsidP="00EB5EED">
            <w:pPr>
              <w:spacing w:line="240" w:lineRule="auto"/>
              <w:jc w:val="center"/>
              <w:rPr>
                <w:bCs/>
              </w:rPr>
            </w:pPr>
            <w:r w:rsidRPr="009B09B9">
              <w:rPr>
                <w:bCs/>
              </w:rPr>
              <w:t>Medium</w:t>
            </w:r>
          </w:p>
        </w:tc>
      </w:tr>
      <w:tr w:rsidR="00180AAD" w:rsidRPr="00FE6C45" w14:paraId="5B48CB71" w14:textId="77777777" w:rsidTr="00EC6C42">
        <w:trPr>
          <w:trHeight w:val="300"/>
        </w:trPr>
        <w:tc>
          <w:tcPr>
            <w:tcW w:w="6663" w:type="dxa"/>
          </w:tcPr>
          <w:p w14:paraId="59B4D51D" w14:textId="73672298" w:rsidR="00180AAD" w:rsidRPr="00FE6C45" w:rsidRDefault="00180AAD" w:rsidP="00FA2457">
            <w:pPr>
              <w:spacing w:line="240" w:lineRule="auto"/>
              <w:rPr>
                <w:b/>
              </w:rPr>
            </w:pPr>
            <w:r w:rsidRPr="4F50332C">
              <w:rPr>
                <w:b/>
                <w:bCs/>
              </w:rPr>
              <w:lastRenderedPageBreak/>
              <w:t>4.2.</w:t>
            </w:r>
            <w:r w:rsidR="0001110F">
              <w:rPr>
                <w:b/>
                <w:bCs/>
              </w:rPr>
              <w:t>6</w:t>
            </w:r>
            <w:r>
              <w:t xml:space="preserve"> Maintain and develop a skilled and literate national public health microbial genomics workforce through the development of workforce strategies and planning.</w:t>
            </w:r>
          </w:p>
        </w:tc>
        <w:tc>
          <w:tcPr>
            <w:tcW w:w="1276" w:type="dxa"/>
          </w:tcPr>
          <w:p w14:paraId="09608D15" w14:textId="5397734E" w:rsidR="00180AAD" w:rsidRPr="00FE6C45" w:rsidRDefault="00180AAD" w:rsidP="00EB5EED">
            <w:pPr>
              <w:spacing w:line="240" w:lineRule="auto"/>
              <w:jc w:val="center"/>
            </w:pPr>
            <w:r w:rsidRPr="00FE6C45">
              <w:t>Long</w:t>
            </w:r>
          </w:p>
        </w:tc>
        <w:tc>
          <w:tcPr>
            <w:tcW w:w="1148" w:type="dxa"/>
          </w:tcPr>
          <w:p w14:paraId="58112669" w14:textId="742F5119" w:rsidR="00180AAD" w:rsidRPr="00FE6C45" w:rsidRDefault="00180AAD" w:rsidP="00EB5EED">
            <w:pPr>
              <w:spacing w:line="240" w:lineRule="auto"/>
              <w:jc w:val="center"/>
            </w:pPr>
            <w:r>
              <w:t>All</w:t>
            </w:r>
          </w:p>
        </w:tc>
        <w:tc>
          <w:tcPr>
            <w:tcW w:w="1035" w:type="dxa"/>
          </w:tcPr>
          <w:p w14:paraId="24FB646F" w14:textId="56471D26" w:rsidR="00180AAD" w:rsidRPr="00FE6C45" w:rsidRDefault="00180AAD" w:rsidP="00EB5EED">
            <w:pPr>
              <w:spacing w:line="240" w:lineRule="auto"/>
              <w:jc w:val="center"/>
            </w:pPr>
            <w:r w:rsidRPr="00FE6C45">
              <w:t>Medium</w:t>
            </w:r>
          </w:p>
        </w:tc>
      </w:tr>
    </w:tbl>
    <w:p w14:paraId="6DACAB68" w14:textId="41B28AFC" w:rsidR="008E40CC" w:rsidRDefault="008E40CC" w:rsidP="008E40CC">
      <w:pPr>
        <w:spacing w:before="0" w:after="0" w:line="240" w:lineRule="auto"/>
        <w:rPr>
          <w:b/>
          <w:bCs/>
          <w:color w:val="033636" w:themeColor="text2"/>
        </w:rPr>
      </w:pPr>
      <w:r>
        <w:br w:type="page"/>
      </w:r>
    </w:p>
    <w:p w14:paraId="101241D0" w14:textId="7F794300" w:rsidR="005234AD" w:rsidRPr="00FE6C45" w:rsidRDefault="005234AD" w:rsidP="005234AD">
      <w:pPr>
        <w:pStyle w:val="Heading2"/>
      </w:pPr>
      <w:bookmarkStart w:id="163" w:name="_Toc530994581"/>
      <w:bookmarkStart w:id="164" w:name="_Toc11404111"/>
      <w:bookmarkStart w:id="165" w:name="_Toc135494190"/>
      <w:bookmarkStart w:id="166" w:name="_Toc1878947107"/>
      <w:bookmarkStart w:id="167" w:name="_Toc1608963787"/>
      <w:bookmarkStart w:id="168" w:name="_Toc191899433"/>
      <w:r>
        <w:lastRenderedPageBreak/>
        <w:t>Strategic Priority 5 — Financing</w:t>
      </w:r>
      <w:bookmarkEnd w:id="163"/>
      <w:bookmarkEnd w:id="164"/>
      <w:bookmarkEnd w:id="165"/>
      <w:bookmarkEnd w:id="166"/>
      <w:bookmarkEnd w:id="167"/>
      <w:bookmarkEnd w:id="168"/>
    </w:p>
    <w:p w14:paraId="337E7686" w14:textId="77777777" w:rsidR="00D5709A" w:rsidRPr="00D5709A" w:rsidRDefault="00D5709A" w:rsidP="00FE2D5C">
      <w:pPr>
        <w:rPr>
          <w:rFonts w:cs="Arial"/>
        </w:rPr>
      </w:pPr>
      <w:r w:rsidRPr="00D5709A">
        <w:rPr>
          <w:rFonts w:cs="Arial"/>
        </w:rPr>
        <w:t>PHLs have identified common challenges to the routine implementation of microbial genomics in their laboratories. These include:</w:t>
      </w:r>
    </w:p>
    <w:p w14:paraId="1595D49D" w14:textId="77777777" w:rsidR="00D5709A" w:rsidRPr="00D5709A" w:rsidRDefault="00D5709A" w:rsidP="00732ECA">
      <w:pPr>
        <w:pStyle w:val="ListParagraph"/>
        <w:numPr>
          <w:ilvl w:val="0"/>
          <w:numId w:val="34"/>
        </w:numPr>
        <w:rPr>
          <w:rFonts w:cs="Arial"/>
        </w:rPr>
      </w:pPr>
      <w:r w:rsidRPr="00D5709A">
        <w:rPr>
          <w:rFonts w:cs="Arial"/>
        </w:rPr>
        <w:t>lack of sustainable funding for maintaining a microbial genomics service in PHLs post COVID-19, particularly in those that receive relatively low specimen numbers, noting also that public expectation regarding service delivery and fast turn-around times remains high</w:t>
      </w:r>
    </w:p>
    <w:p w14:paraId="300A4E06" w14:textId="5918DD9A" w:rsidR="00D5709A" w:rsidRPr="00D5709A" w:rsidRDefault="00D5709A" w:rsidP="00732ECA">
      <w:pPr>
        <w:pStyle w:val="ListParagraph"/>
        <w:numPr>
          <w:ilvl w:val="0"/>
          <w:numId w:val="34"/>
        </w:numPr>
        <w:rPr>
          <w:rFonts w:cs="Arial"/>
        </w:rPr>
      </w:pPr>
      <w:r w:rsidRPr="00D5709A">
        <w:rPr>
          <w:rFonts w:cs="Arial"/>
        </w:rPr>
        <w:t>limited bioinformatics, genomic epidemiology, data science and software engineer expertise in some jurisdictions</w:t>
      </w:r>
    </w:p>
    <w:p w14:paraId="165FFE7E" w14:textId="77777777" w:rsidR="00D5709A" w:rsidRPr="00D5709A" w:rsidRDefault="00D5709A" w:rsidP="00732ECA">
      <w:pPr>
        <w:pStyle w:val="ListParagraph"/>
        <w:numPr>
          <w:ilvl w:val="0"/>
          <w:numId w:val="34"/>
        </w:numPr>
        <w:rPr>
          <w:rFonts w:cs="Arial"/>
        </w:rPr>
      </w:pPr>
      <w:r w:rsidRPr="00D5709A">
        <w:rPr>
          <w:rFonts w:cs="Arial"/>
        </w:rPr>
        <w:t>limited infrastructure in some jurisdictions in relation to sequencing, data storage and computational capacity.</w:t>
      </w:r>
    </w:p>
    <w:p w14:paraId="7BB2F818" w14:textId="77777777" w:rsidR="00D5709A" w:rsidRPr="00D94F50" w:rsidRDefault="00D5709A" w:rsidP="00FE2D5C">
      <w:r w:rsidRPr="00D94F50">
        <w:t>The application of microbial genomics in public health has the potential to reduce the financial burden of infectious disease management and outbreak investigation and response. This is through earlier characterisation of outbreaks and implementation of public health intervention measures. Without sustainable funding, laboratories are limited in their capacity to provide microbial sequencing services for the purposes of clinical and/or public health value. Support for, and investment in, advancing technology is needed to drive innovation and capability in this rapidly evolving environment.</w:t>
      </w:r>
    </w:p>
    <w:p w14:paraId="2DC6321B" w14:textId="4FC3362A" w:rsidR="00D5709A" w:rsidRPr="00D94F50" w:rsidRDefault="00D5709A" w:rsidP="00FE2D5C">
      <w:r w:rsidRPr="00D94F50">
        <w:t>An evidence base to support the value of microbial genomics has now been established due to the COVID-19 pandemic, however further work needs to be progressed to understand the cost-effectiveness of microbial genomics in the Australian context for other pathogens of public interest. This can be done by exploring, evaluating, and reporting on economic evidence that supports the integration of microbial genomics into Australian laboratories. This is necessary to inform how a sustainable funding model could be established that considers the cost-effectiveness of services and acknowledges the clinical and/or public health applications of pathogen genomics.</w:t>
      </w:r>
    </w:p>
    <w:p w14:paraId="01BA5CE8" w14:textId="77777777" w:rsidR="00D5709A" w:rsidRPr="00D94F50" w:rsidRDefault="00D5709A" w:rsidP="00FE2D5C">
      <w:r w:rsidRPr="00D94F50">
        <w:t>While the added value of microbial genomic services for public health has been recognised, agreement needs to be reached between clinical and public health services regarding funding for service development and delivery, where the microbial genomics services have a dual clinical and public health benefit—for example, drug resistance and antimicrobial stewardship.</w:t>
      </w:r>
    </w:p>
    <w:p w14:paraId="1B844456" w14:textId="77777777" w:rsidR="00D5709A" w:rsidRPr="00D5709A" w:rsidRDefault="00D5709A" w:rsidP="00FE2D5C">
      <w:pPr>
        <w:pStyle w:val="Style1"/>
        <w:rPr>
          <w:rFonts w:ascii="Arial" w:hAnsi="Arial" w:cs="Arial"/>
          <w:sz w:val="24"/>
          <w:szCs w:val="24"/>
        </w:rPr>
      </w:pPr>
      <w:r w:rsidRPr="00D5709A">
        <w:rPr>
          <w:rFonts w:ascii="Arial" w:hAnsi="Arial" w:cs="Arial"/>
          <w:sz w:val="24"/>
          <w:szCs w:val="24"/>
        </w:rPr>
        <w:t>What does the future look like?</w:t>
      </w:r>
    </w:p>
    <w:p w14:paraId="3C3E52F6" w14:textId="77777777" w:rsidR="00D5709A" w:rsidRPr="00D5709A" w:rsidRDefault="00D5709A" w:rsidP="00732ECA">
      <w:pPr>
        <w:pStyle w:val="shadedbullets"/>
        <w:numPr>
          <w:ilvl w:val="0"/>
          <w:numId w:val="48"/>
        </w:numPr>
        <w:rPr>
          <w:rFonts w:ascii="Arial" w:hAnsi="Arial" w:cs="Arial"/>
          <w:sz w:val="24"/>
          <w:szCs w:val="24"/>
        </w:rPr>
      </w:pPr>
      <w:r w:rsidRPr="00D5709A">
        <w:rPr>
          <w:rFonts w:ascii="Arial" w:hAnsi="Arial" w:cs="Arial"/>
          <w:sz w:val="24"/>
          <w:szCs w:val="24"/>
        </w:rPr>
        <w:t>A sustainable funding model has been established, linked to broader public health laboratory testing, outbreak investigation and public health surveillance response.</w:t>
      </w:r>
    </w:p>
    <w:p w14:paraId="3E01784A" w14:textId="77777777" w:rsidR="00D5709A" w:rsidRPr="00D5709A" w:rsidRDefault="00D5709A" w:rsidP="00732ECA">
      <w:pPr>
        <w:pStyle w:val="shadedbullets"/>
        <w:numPr>
          <w:ilvl w:val="0"/>
          <w:numId w:val="48"/>
        </w:numPr>
        <w:rPr>
          <w:rFonts w:ascii="Arial" w:hAnsi="Arial" w:cs="Arial"/>
          <w:sz w:val="24"/>
          <w:szCs w:val="24"/>
        </w:rPr>
      </w:pPr>
      <w:r w:rsidRPr="00D5709A">
        <w:rPr>
          <w:rFonts w:ascii="Arial" w:hAnsi="Arial" w:cs="Arial"/>
          <w:sz w:val="24"/>
          <w:szCs w:val="24"/>
        </w:rPr>
        <w:lastRenderedPageBreak/>
        <w:t>The funding model is agile so it can respond to emerging technologies and expanding application of microbial genomics to public health.</w:t>
      </w:r>
    </w:p>
    <w:p w14:paraId="4E36E77F" w14:textId="77777777" w:rsidR="00D5709A" w:rsidRPr="00D5709A" w:rsidRDefault="00D5709A" w:rsidP="00FE2D5C">
      <w:pPr>
        <w:pStyle w:val="Heading3"/>
      </w:pPr>
      <w:bookmarkStart w:id="169" w:name="_Toc57196979"/>
      <w:bookmarkStart w:id="170" w:name="_Toc135494191"/>
      <w:bookmarkStart w:id="171" w:name="_Toc1093106215"/>
      <w:bookmarkStart w:id="172" w:name="_Toc12839711"/>
      <w:bookmarkStart w:id="173" w:name="_Toc191899434"/>
      <w:r w:rsidRPr="00D5709A">
        <w:t>Prior and current activities</w:t>
      </w:r>
      <w:bookmarkEnd w:id="169"/>
      <w:bookmarkEnd w:id="170"/>
      <w:bookmarkEnd w:id="171"/>
      <w:bookmarkEnd w:id="172"/>
      <w:bookmarkEnd w:id="173"/>
    </w:p>
    <w:p w14:paraId="2B5BE182" w14:textId="52B0D45C" w:rsidR="00D5709A" w:rsidRPr="00F876C3" w:rsidRDefault="00D5709A" w:rsidP="00F876C3">
      <w:pPr>
        <w:spacing w:line="240" w:lineRule="auto"/>
      </w:pPr>
      <w:r w:rsidRPr="00D5709A">
        <w:rPr>
          <w:rFonts w:eastAsia="Calibri" w:cs="Arial"/>
        </w:rPr>
        <w:t xml:space="preserve">The </w:t>
      </w:r>
      <w:r w:rsidR="00F876C3" w:rsidRPr="00FA60E1">
        <w:t>Medical Research Future Fund</w:t>
      </w:r>
      <w:r w:rsidR="00F876C3">
        <w:t xml:space="preserve"> (</w:t>
      </w:r>
      <w:r w:rsidRPr="00D5709A">
        <w:rPr>
          <w:rFonts w:eastAsia="Calibri" w:cs="Arial"/>
        </w:rPr>
        <w:t>MRFF</w:t>
      </w:r>
      <w:r w:rsidR="00F876C3">
        <w:rPr>
          <w:rFonts w:eastAsia="Calibri" w:cs="Arial"/>
        </w:rPr>
        <w:t>)</w:t>
      </w:r>
      <w:r w:rsidRPr="00D5709A">
        <w:rPr>
          <w:rFonts w:eastAsia="Calibri" w:cs="Arial"/>
        </w:rPr>
        <w:t>’s Genomics Health Futures Mission is investing $500.1 million in genomic research to improve testing and diagnosis for many diseases, help personalise treatment options to better target and improve health outcomes, and reduce unnecessary interventions and health costs for all Australians.</w:t>
      </w:r>
    </w:p>
    <w:p w14:paraId="7EE7010E" w14:textId="77777777" w:rsidR="00D5709A" w:rsidRPr="00D5709A" w:rsidRDefault="00D5709A" w:rsidP="007B687B">
      <w:pPr>
        <w:pStyle w:val="StyleAfter8pt"/>
        <w:rPr>
          <w:rFonts w:eastAsia="Calibri"/>
        </w:rPr>
      </w:pPr>
      <w:r w:rsidRPr="00D5709A">
        <w:rPr>
          <w:rFonts w:eastAsia="Calibri"/>
        </w:rPr>
        <w:t xml:space="preserve">The 2019 Genomics Health Futures Mission: Flagships - Pathogen Genomics grant opportunity provided $27 million over four years (from 2019-20 to 2022-23) to large scale pilot research studies into pathogen genomics late in the research and development pipeline. </w:t>
      </w:r>
    </w:p>
    <w:p w14:paraId="7F206533" w14:textId="77777777" w:rsidR="00D5709A" w:rsidRPr="00D5709A" w:rsidRDefault="00D5709A" w:rsidP="007B687B">
      <w:pPr>
        <w:pStyle w:val="StyleAfter8pt"/>
        <w:rPr>
          <w:rFonts w:eastAsia="Calibri"/>
        </w:rPr>
      </w:pPr>
      <w:r w:rsidRPr="00D5709A">
        <w:rPr>
          <w:rFonts w:eastAsia="Calibri"/>
        </w:rPr>
        <w:t xml:space="preserve">The following grants were awarded: </w:t>
      </w:r>
    </w:p>
    <w:p w14:paraId="18D7641E" w14:textId="77777777" w:rsidR="00D5709A" w:rsidRPr="00D5709A" w:rsidRDefault="00D5709A" w:rsidP="00732ECA">
      <w:pPr>
        <w:pStyle w:val="ListParagraph"/>
        <w:numPr>
          <w:ilvl w:val="0"/>
          <w:numId w:val="35"/>
        </w:numPr>
        <w:spacing w:after="160"/>
        <w:rPr>
          <w:rFonts w:eastAsia="Calibri" w:cs="Arial"/>
        </w:rPr>
      </w:pPr>
      <w:r w:rsidRPr="00D5709A">
        <w:rPr>
          <w:rFonts w:eastAsia="Calibri" w:cs="Arial"/>
        </w:rPr>
        <w:t>Meta-GP: Delivering a Clinical Metagenomics Platform for Australia</w:t>
      </w:r>
    </w:p>
    <w:p w14:paraId="1A289FDA" w14:textId="77777777" w:rsidR="00D5709A" w:rsidRPr="00D5709A" w:rsidRDefault="00D5709A" w:rsidP="00732ECA">
      <w:pPr>
        <w:pStyle w:val="ListParagraph"/>
        <w:numPr>
          <w:ilvl w:val="0"/>
          <w:numId w:val="35"/>
        </w:numPr>
        <w:spacing w:after="160"/>
        <w:rPr>
          <w:rFonts w:eastAsia="Calibri" w:cs="Arial"/>
        </w:rPr>
      </w:pPr>
      <w:r w:rsidRPr="00D5709A">
        <w:rPr>
          <w:rFonts w:eastAsia="Calibri" w:cs="Arial"/>
        </w:rPr>
        <w:t>H2Seq: Viral genomics for public health interventions in HIV and HCV</w:t>
      </w:r>
    </w:p>
    <w:p w14:paraId="23893694" w14:textId="29FA2FBE" w:rsidR="00D5709A" w:rsidRPr="00D5709A" w:rsidRDefault="00D5709A" w:rsidP="00732ECA">
      <w:pPr>
        <w:pStyle w:val="ListParagraph"/>
        <w:numPr>
          <w:ilvl w:val="0"/>
          <w:numId w:val="35"/>
        </w:numPr>
        <w:spacing w:after="160"/>
        <w:rPr>
          <w:rFonts w:eastAsia="Calibri" w:cs="Arial"/>
        </w:rPr>
      </w:pPr>
      <w:r w:rsidRPr="00D5709A">
        <w:rPr>
          <w:rFonts w:eastAsia="Calibri" w:cs="Arial"/>
        </w:rPr>
        <w:t xml:space="preserve">Genomics Digital Health and Machine Learning: the SuperbugAi Flagship </w:t>
      </w:r>
    </w:p>
    <w:p w14:paraId="61FF9113" w14:textId="77777777" w:rsidR="00D5709A" w:rsidRPr="00D5709A" w:rsidRDefault="00D5709A" w:rsidP="00732ECA">
      <w:pPr>
        <w:pStyle w:val="ListParagraph"/>
        <w:numPr>
          <w:ilvl w:val="0"/>
          <w:numId w:val="35"/>
        </w:numPr>
        <w:spacing w:after="160"/>
        <w:rPr>
          <w:rFonts w:eastAsia="Calibri" w:cs="Arial"/>
        </w:rPr>
      </w:pPr>
      <w:r w:rsidRPr="00D5709A">
        <w:rPr>
          <w:rFonts w:eastAsia="Calibri" w:cs="Arial"/>
        </w:rPr>
        <w:t>Precision Public Health in Australia through Integrated Pathogen Genomics (AusPathoGen).</w:t>
      </w:r>
    </w:p>
    <w:p w14:paraId="246D606B" w14:textId="43CD8CA1" w:rsidR="00D5709A" w:rsidRPr="00FE6C45" w:rsidRDefault="00D5709A" w:rsidP="00FE2D5C">
      <w:r w:rsidRPr="00FE6C45">
        <w:t>Starting in 2021, AusPathoGen is undertaking an economic evaluation of genomic</w:t>
      </w:r>
      <w:r w:rsidR="00181F34">
        <w:t>s</w:t>
      </w:r>
      <w:r w:rsidR="00D44A37">
        <w:noBreakHyphen/>
      </w:r>
      <w:r w:rsidRPr="00FE6C45">
        <w:t>based public health responses. The program aims to compare the incremental cost and effectiveness of WGS compared to current methods of testing and typing, and so assess the incremental cost effectiveness of WGS as the core tool for surveillance of these pathogens.</w:t>
      </w:r>
    </w:p>
    <w:p w14:paraId="2000A84E" w14:textId="74065F2F" w:rsidR="00D31694" w:rsidRDefault="00D31694" w:rsidP="00D31694">
      <w:pPr>
        <w:spacing w:before="0" w:after="0" w:line="240" w:lineRule="auto"/>
        <w:rPr>
          <w:b/>
          <w:bCs/>
          <w:color w:val="033636" w:themeColor="text2"/>
        </w:rPr>
      </w:pPr>
      <w:r>
        <w:br w:type="page"/>
      </w:r>
    </w:p>
    <w:p w14:paraId="69765CB6" w14:textId="7044A15C" w:rsidR="007E7C36" w:rsidRPr="00FE6C45" w:rsidRDefault="007E7C36" w:rsidP="007E7C36">
      <w:pPr>
        <w:pStyle w:val="Heading3"/>
      </w:pPr>
      <w:bookmarkStart w:id="174" w:name="_Toc135494192"/>
      <w:bookmarkStart w:id="175" w:name="_Toc1978414656"/>
      <w:bookmarkStart w:id="176" w:name="_Toc1268303323"/>
      <w:bookmarkStart w:id="177" w:name="_Toc191899435"/>
      <w:r>
        <w:lastRenderedPageBreak/>
        <w:t>Outcome 5.1 — Establish</w:t>
      </w:r>
      <w:r w:rsidR="00F37AA6">
        <w:t>ed</w:t>
      </w:r>
      <w:r>
        <w:t xml:space="preserve"> sustainable funding model</w:t>
      </w:r>
      <w:bookmarkEnd w:id="174"/>
      <w:bookmarkEnd w:id="175"/>
      <w:bookmarkEnd w:id="176"/>
      <w:bookmarkEnd w:id="177"/>
    </w:p>
    <w:p w14:paraId="4CE1AFE8" w14:textId="4031A376" w:rsidR="009902A6" w:rsidRPr="00FE6C45" w:rsidRDefault="009902A6" w:rsidP="00732ECA">
      <w:pPr>
        <w:pStyle w:val="ListParagraph"/>
        <w:numPr>
          <w:ilvl w:val="0"/>
          <w:numId w:val="36"/>
        </w:numPr>
        <w:spacing w:line="240" w:lineRule="auto"/>
      </w:pPr>
      <w:r w:rsidRPr="00FE6C45">
        <w:t>Develop a sustainable</w:t>
      </w:r>
      <w:r w:rsidR="007F40EC">
        <w:t xml:space="preserve"> and equitable</w:t>
      </w:r>
      <w:r w:rsidRPr="00FE6C45">
        <w:t xml:space="preserve"> funding model involving a partnership between the Australian Government and the states and territories.</w:t>
      </w:r>
    </w:p>
    <w:p w14:paraId="1717FC61" w14:textId="21C44A6B" w:rsidR="009902A6" w:rsidRPr="00FE6C45" w:rsidRDefault="009902A6" w:rsidP="00732ECA">
      <w:pPr>
        <w:pStyle w:val="ListParagraph"/>
        <w:numPr>
          <w:ilvl w:val="0"/>
          <w:numId w:val="36"/>
        </w:numPr>
        <w:spacing w:line="240" w:lineRule="auto"/>
      </w:pPr>
      <w:r w:rsidRPr="00FE6C45">
        <w:t>Improve flexibility to keep pace with advances in technology and the expanding role of microbial genomics.</w:t>
      </w:r>
    </w:p>
    <w:tbl>
      <w:tblPr>
        <w:tblStyle w:val="TableGrid"/>
        <w:tblW w:w="10152" w:type="dxa"/>
        <w:tblInd w:w="-431" w:type="dxa"/>
        <w:tblLook w:val="04A0" w:firstRow="1" w:lastRow="0" w:firstColumn="1" w:lastColumn="0" w:noHBand="0" w:noVBand="1"/>
      </w:tblPr>
      <w:tblGrid>
        <w:gridCol w:w="6663"/>
        <w:gridCol w:w="1276"/>
        <w:gridCol w:w="1148"/>
        <w:gridCol w:w="1065"/>
      </w:tblGrid>
      <w:tr w:rsidR="00835099" w:rsidRPr="00FE6C45" w14:paraId="73402714" w14:textId="77777777" w:rsidTr="5A36DD3A">
        <w:trPr>
          <w:cnfStyle w:val="100000000000" w:firstRow="1" w:lastRow="0" w:firstColumn="0" w:lastColumn="0" w:oddVBand="0" w:evenVBand="0" w:oddHBand="0" w:evenHBand="0" w:firstRowFirstColumn="0" w:firstRowLastColumn="0" w:lastRowFirstColumn="0" w:lastRowLastColumn="0"/>
          <w:trHeight w:val="283"/>
        </w:trPr>
        <w:tc>
          <w:tcPr>
            <w:tcW w:w="6663" w:type="dxa"/>
          </w:tcPr>
          <w:p w14:paraId="0E39D3E2" w14:textId="77777777" w:rsidR="009902A6" w:rsidRPr="00FE6C45" w:rsidRDefault="009902A6">
            <w:pPr>
              <w:spacing w:line="240" w:lineRule="auto"/>
              <w:rPr>
                <w:b/>
              </w:rPr>
            </w:pPr>
            <w:r w:rsidRPr="00FE6C45">
              <w:rPr>
                <w:b/>
              </w:rPr>
              <w:t>National Action</w:t>
            </w:r>
          </w:p>
        </w:tc>
        <w:tc>
          <w:tcPr>
            <w:tcW w:w="1276" w:type="dxa"/>
          </w:tcPr>
          <w:p w14:paraId="5B8232E2" w14:textId="77777777" w:rsidR="009902A6" w:rsidRPr="00FE6C45" w:rsidRDefault="009902A6" w:rsidP="009902A6">
            <w:pPr>
              <w:spacing w:line="240" w:lineRule="auto"/>
              <w:jc w:val="center"/>
              <w:rPr>
                <w:b/>
              </w:rPr>
            </w:pPr>
            <w:r w:rsidRPr="00FE6C45">
              <w:rPr>
                <w:b/>
              </w:rPr>
              <w:t>Timeframe</w:t>
            </w:r>
          </w:p>
        </w:tc>
        <w:tc>
          <w:tcPr>
            <w:tcW w:w="1148" w:type="dxa"/>
          </w:tcPr>
          <w:p w14:paraId="2CE6E145" w14:textId="77777777" w:rsidR="009902A6" w:rsidRPr="00FE6C45" w:rsidRDefault="009902A6" w:rsidP="009902A6">
            <w:pPr>
              <w:spacing w:line="240" w:lineRule="auto"/>
              <w:jc w:val="center"/>
              <w:rPr>
                <w:b/>
              </w:rPr>
            </w:pPr>
            <w:r w:rsidRPr="00FE6C45">
              <w:rPr>
                <w:b/>
              </w:rPr>
              <w:t>Lead</w:t>
            </w:r>
          </w:p>
        </w:tc>
        <w:tc>
          <w:tcPr>
            <w:tcW w:w="1065" w:type="dxa"/>
          </w:tcPr>
          <w:p w14:paraId="305CCD63" w14:textId="77777777" w:rsidR="009902A6" w:rsidRPr="00FE6C45" w:rsidRDefault="009902A6" w:rsidP="009902A6">
            <w:pPr>
              <w:spacing w:line="240" w:lineRule="auto"/>
              <w:jc w:val="center"/>
              <w:rPr>
                <w:b/>
              </w:rPr>
            </w:pPr>
            <w:r w:rsidRPr="00FE6C45">
              <w:rPr>
                <w:b/>
              </w:rPr>
              <w:t>Priority</w:t>
            </w:r>
          </w:p>
        </w:tc>
      </w:tr>
      <w:tr w:rsidR="000C76A2" w:rsidRPr="00FE6C45" w14:paraId="4106B668" w14:textId="77777777" w:rsidTr="5A36DD3A">
        <w:trPr>
          <w:cnfStyle w:val="000000100000" w:firstRow="0" w:lastRow="0" w:firstColumn="0" w:lastColumn="0" w:oddVBand="0" w:evenVBand="0" w:oddHBand="1" w:evenHBand="0" w:firstRowFirstColumn="0" w:firstRowLastColumn="0" w:lastRowFirstColumn="0" w:lastRowLastColumn="0"/>
          <w:trHeight w:val="300"/>
        </w:trPr>
        <w:tc>
          <w:tcPr>
            <w:tcW w:w="6663" w:type="dxa"/>
          </w:tcPr>
          <w:p w14:paraId="0B0F0ABF" w14:textId="46D790A3" w:rsidR="000C76A2" w:rsidRPr="4F50332C" w:rsidRDefault="000C76A2" w:rsidP="000C76A2">
            <w:pPr>
              <w:spacing w:line="240" w:lineRule="auto"/>
              <w:rPr>
                <w:b/>
                <w:bCs/>
              </w:rPr>
            </w:pPr>
            <w:r w:rsidRPr="5A36DD3A">
              <w:rPr>
                <w:b/>
                <w:bCs/>
              </w:rPr>
              <w:t>5.1</w:t>
            </w:r>
            <w:r w:rsidR="00C0767D">
              <w:rPr>
                <w:b/>
                <w:bCs/>
              </w:rPr>
              <w:t>.1</w:t>
            </w:r>
            <w:r w:rsidRPr="5A36DD3A">
              <w:rPr>
                <w:b/>
                <w:bCs/>
              </w:rPr>
              <w:t xml:space="preserve"> </w:t>
            </w:r>
            <w:r>
              <w:t>Continue to explore and advocate for funding opportunities for storing and managing pathogen sequence data.</w:t>
            </w:r>
          </w:p>
        </w:tc>
        <w:tc>
          <w:tcPr>
            <w:tcW w:w="1276" w:type="dxa"/>
          </w:tcPr>
          <w:p w14:paraId="5B1BE700" w14:textId="13E15080" w:rsidR="000C76A2" w:rsidRPr="00FE6C45" w:rsidRDefault="000C76A2" w:rsidP="000C76A2">
            <w:pPr>
              <w:spacing w:line="240" w:lineRule="auto"/>
              <w:jc w:val="center"/>
            </w:pPr>
            <w:r w:rsidRPr="00FE6C45">
              <w:t>Medium</w:t>
            </w:r>
          </w:p>
        </w:tc>
        <w:tc>
          <w:tcPr>
            <w:tcW w:w="1148" w:type="dxa"/>
          </w:tcPr>
          <w:p w14:paraId="5879CBE2" w14:textId="45D9E936" w:rsidR="000C76A2" w:rsidRPr="00FE6C45" w:rsidRDefault="000C76A2" w:rsidP="000C76A2">
            <w:pPr>
              <w:spacing w:line="240" w:lineRule="auto"/>
              <w:jc w:val="center"/>
            </w:pPr>
            <w:r w:rsidRPr="00FE6C45">
              <w:t>All</w:t>
            </w:r>
          </w:p>
        </w:tc>
        <w:tc>
          <w:tcPr>
            <w:tcW w:w="1065" w:type="dxa"/>
          </w:tcPr>
          <w:p w14:paraId="538F719F" w14:textId="53D4849F" w:rsidR="000C76A2" w:rsidRPr="00FE6C45" w:rsidRDefault="000C76A2" w:rsidP="000C76A2">
            <w:pPr>
              <w:spacing w:line="240" w:lineRule="auto"/>
              <w:jc w:val="center"/>
            </w:pPr>
            <w:r w:rsidRPr="00FE6C45">
              <w:t>High</w:t>
            </w:r>
          </w:p>
        </w:tc>
      </w:tr>
      <w:tr w:rsidR="009902A6" w:rsidRPr="00FE6C45" w14:paraId="1069A95A" w14:textId="77777777" w:rsidTr="5A36DD3A">
        <w:trPr>
          <w:trHeight w:val="300"/>
        </w:trPr>
        <w:tc>
          <w:tcPr>
            <w:tcW w:w="6663" w:type="dxa"/>
          </w:tcPr>
          <w:p w14:paraId="3440A2E8" w14:textId="3706CAFD" w:rsidR="009902A6" w:rsidRPr="00FE6C45" w:rsidRDefault="009902A6">
            <w:pPr>
              <w:spacing w:line="240" w:lineRule="auto"/>
            </w:pPr>
            <w:r w:rsidRPr="4F50332C">
              <w:rPr>
                <w:b/>
                <w:bCs/>
              </w:rPr>
              <w:t>5.1.</w:t>
            </w:r>
            <w:r w:rsidR="00C0767D">
              <w:rPr>
                <w:b/>
                <w:bCs/>
              </w:rPr>
              <w:t>2</w:t>
            </w:r>
            <w:r>
              <w:t xml:space="preserve"> Continue to explore and advocate for equitable financing and purchasing models to inform the appropriate integration of safe, effective, and cost-efficient public health microbial genomics delivery. This will be particularly important in the context of the establishment of the new Australian CDC.</w:t>
            </w:r>
          </w:p>
        </w:tc>
        <w:tc>
          <w:tcPr>
            <w:tcW w:w="1276" w:type="dxa"/>
          </w:tcPr>
          <w:p w14:paraId="2EB67127" w14:textId="77777777" w:rsidR="009902A6" w:rsidRPr="00FE6C45" w:rsidRDefault="009902A6" w:rsidP="009902A6">
            <w:pPr>
              <w:spacing w:line="240" w:lineRule="auto"/>
              <w:jc w:val="center"/>
            </w:pPr>
            <w:r w:rsidRPr="00FE6C45">
              <w:t>Medium</w:t>
            </w:r>
          </w:p>
        </w:tc>
        <w:tc>
          <w:tcPr>
            <w:tcW w:w="1148" w:type="dxa"/>
          </w:tcPr>
          <w:p w14:paraId="281FBAF6" w14:textId="77777777" w:rsidR="009902A6" w:rsidRPr="00FE6C45" w:rsidRDefault="009902A6" w:rsidP="009902A6">
            <w:pPr>
              <w:spacing w:line="240" w:lineRule="auto"/>
              <w:jc w:val="center"/>
            </w:pPr>
            <w:r w:rsidRPr="00FE6C45">
              <w:t>All</w:t>
            </w:r>
          </w:p>
        </w:tc>
        <w:tc>
          <w:tcPr>
            <w:tcW w:w="1065" w:type="dxa"/>
          </w:tcPr>
          <w:p w14:paraId="64544861" w14:textId="77777777" w:rsidR="009902A6" w:rsidRPr="00FE6C45" w:rsidRDefault="009902A6" w:rsidP="009902A6">
            <w:pPr>
              <w:spacing w:line="240" w:lineRule="auto"/>
              <w:jc w:val="center"/>
            </w:pPr>
            <w:r w:rsidRPr="00FE6C45">
              <w:t>Medium</w:t>
            </w:r>
          </w:p>
        </w:tc>
      </w:tr>
      <w:tr w:rsidR="00C0767D" w:rsidRPr="00FE6C45" w14:paraId="28469D6C" w14:textId="77777777" w:rsidTr="5A36DD3A">
        <w:trPr>
          <w:cnfStyle w:val="000000100000" w:firstRow="0" w:lastRow="0" w:firstColumn="0" w:lastColumn="0" w:oddVBand="0" w:evenVBand="0" w:oddHBand="1" w:evenHBand="0" w:firstRowFirstColumn="0" w:firstRowLastColumn="0" w:lastRowFirstColumn="0" w:lastRowLastColumn="0"/>
          <w:trHeight w:val="300"/>
        </w:trPr>
        <w:tc>
          <w:tcPr>
            <w:tcW w:w="6663" w:type="dxa"/>
          </w:tcPr>
          <w:p w14:paraId="4769524D" w14:textId="75159717" w:rsidR="00C0767D" w:rsidRPr="00FE6C45" w:rsidRDefault="00C0767D" w:rsidP="00C0767D">
            <w:pPr>
              <w:spacing w:line="240" w:lineRule="auto"/>
              <w:rPr>
                <w:b/>
              </w:rPr>
            </w:pPr>
            <w:r w:rsidRPr="00FE6C45">
              <w:rPr>
                <w:b/>
              </w:rPr>
              <w:t>5.1.3</w:t>
            </w:r>
            <w:r w:rsidRPr="00FE6C45">
              <w:t xml:space="preserve"> Develop robust business cases to seek funding opportunities required for the establishment, maintenance, and advancement of public health laboratory capacity and capability in microbial genomics.</w:t>
            </w:r>
          </w:p>
        </w:tc>
        <w:tc>
          <w:tcPr>
            <w:tcW w:w="1276" w:type="dxa"/>
          </w:tcPr>
          <w:p w14:paraId="2E872C9D" w14:textId="58523248" w:rsidR="00C0767D" w:rsidRPr="00FE6C45" w:rsidRDefault="00C0767D" w:rsidP="00C0767D">
            <w:pPr>
              <w:spacing w:line="240" w:lineRule="auto"/>
              <w:jc w:val="center"/>
            </w:pPr>
            <w:r w:rsidRPr="00FE6C45">
              <w:t>Long</w:t>
            </w:r>
          </w:p>
        </w:tc>
        <w:tc>
          <w:tcPr>
            <w:tcW w:w="1148" w:type="dxa"/>
          </w:tcPr>
          <w:p w14:paraId="12C7584E" w14:textId="645FE7C5" w:rsidR="00C0767D" w:rsidRPr="00FE6C45" w:rsidRDefault="00C0767D" w:rsidP="00C0767D">
            <w:pPr>
              <w:spacing w:line="240" w:lineRule="auto"/>
              <w:jc w:val="center"/>
            </w:pPr>
            <w:r>
              <w:t>All</w:t>
            </w:r>
          </w:p>
        </w:tc>
        <w:tc>
          <w:tcPr>
            <w:tcW w:w="1065" w:type="dxa"/>
          </w:tcPr>
          <w:p w14:paraId="049376F1" w14:textId="4E4B54D2" w:rsidR="00C0767D" w:rsidRPr="00FE6C45" w:rsidRDefault="00C0767D" w:rsidP="00C0767D">
            <w:pPr>
              <w:spacing w:line="240" w:lineRule="auto"/>
              <w:jc w:val="center"/>
            </w:pPr>
            <w:r w:rsidRPr="00FE6C45">
              <w:t>High</w:t>
            </w:r>
          </w:p>
        </w:tc>
      </w:tr>
      <w:tr w:rsidR="00C0767D" w:rsidRPr="00FE6C45" w14:paraId="6E2DFCB8" w14:textId="77777777" w:rsidTr="5A36DD3A">
        <w:trPr>
          <w:trHeight w:val="300"/>
        </w:trPr>
        <w:tc>
          <w:tcPr>
            <w:tcW w:w="6663" w:type="dxa"/>
          </w:tcPr>
          <w:p w14:paraId="40929BB1" w14:textId="7195F8D8" w:rsidR="00C0767D" w:rsidRPr="00FE6C45" w:rsidRDefault="00C0767D" w:rsidP="00C0767D">
            <w:pPr>
              <w:spacing w:line="240" w:lineRule="auto"/>
            </w:pPr>
            <w:r w:rsidRPr="00FE6C45">
              <w:rPr>
                <w:b/>
              </w:rPr>
              <w:t>5.1.</w:t>
            </w:r>
            <w:r>
              <w:rPr>
                <w:b/>
              </w:rPr>
              <w:t>4</w:t>
            </w:r>
            <w:r w:rsidRPr="00FE6C45">
              <w:t xml:space="preserve"> Investigate and advocate for sustainable funding opportunities at both the national and state and territory level, to enhance microbial sequencing capability and capacity. </w:t>
            </w:r>
          </w:p>
        </w:tc>
        <w:tc>
          <w:tcPr>
            <w:tcW w:w="1276" w:type="dxa"/>
          </w:tcPr>
          <w:p w14:paraId="536B9F67" w14:textId="77777777" w:rsidR="00C0767D" w:rsidRPr="00FE6C45" w:rsidRDefault="00C0767D" w:rsidP="00C0767D">
            <w:pPr>
              <w:spacing w:line="240" w:lineRule="auto"/>
              <w:jc w:val="center"/>
            </w:pPr>
            <w:r w:rsidRPr="00FE6C45">
              <w:t>Ongoing</w:t>
            </w:r>
          </w:p>
        </w:tc>
        <w:tc>
          <w:tcPr>
            <w:tcW w:w="1148" w:type="dxa"/>
          </w:tcPr>
          <w:p w14:paraId="62CF24E8" w14:textId="77777777" w:rsidR="00C0767D" w:rsidRPr="00FE6C45" w:rsidRDefault="00C0767D" w:rsidP="00C0767D">
            <w:pPr>
              <w:spacing w:line="240" w:lineRule="auto"/>
              <w:jc w:val="center"/>
            </w:pPr>
            <w:r w:rsidRPr="00FE6C45">
              <w:t>All</w:t>
            </w:r>
          </w:p>
        </w:tc>
        <w:tc>
          <w:tcPr>
            <w:tcW w:w="1065" w:type="dxa"/>
          </w:tcPr>
          <w:p w14:paraId="3FC7C71A" w14:textId="77777777" w:rsidR="00C0767D" w:rsidRPr="00FE6C45" w:rsidRDefault="00C0767D" w:rsidP="00C0767D">
            <w:pPr>
              <w:spacing w:line="240" w:lineRule="auto"/>
              <w:jc w:val="center"/>
            </w:pPr>
            <w:r w:rsidRPr="00FE6C45">
              <w:t>High</w:t>
            </w:r>
          </w:p>
        </w:tc>
      </w:tr>
    </w:tbl>
    <w:p w14:paraId="1198D407" w14:textId="18534097" w:rsidR="005904A9" w:rsidRDefault="005904A9" w:rsidP="005904A9">
      <w:pPr>
        <w:spacing w:before="0" w:after="0" w:line="240" w:lineRule="auto"/>
        <w:rPr>
          <w:b/>
          <w:bCs/>
          <w:color w:val="033636" w:themeColor="text2"/>
        </w:rPr>
      </w:pPr>
      <w:r>
        <w:br w:type="page"/>
      </w:r>
    </w:p>
    <w:p w14:paraId="36226680" w14:textId="66DDEE22" w:rsidR="005B1F88" w:rsidRPr="00FE6C45" w:rsidRDefault="005B1F88" w:rsidP="005B1F88">
      <w:pPr>
        <w:pStyle w:val="Heading3"/>
      </w:pPr>
      <w:bookmarkStart w:id="178" w:name="_Toc135494193"/>
      <w:bookmarkStart w:id="179" w:name="_Toc1592045680"/>
      <w:bookmarkStart w:id="180" w:name="_Toc1757020645"/>
      <w:bookmarkStart w:id="181" w:name="_Toc191899436"/>
      <w:r>
        <w:lastRenderedPageBreak/>
        <w:t>Outcome 5.2 — Establish</w:t>
      </w:r>
      <w:r w:rsidR="00F37AA6">
        <w:t>ed</w:t>
      </w:r>
      <w:r>
        <w:t xml:space="preserve"> cost-effective</w:t>
      </w:r>
      <w:bookmarkEnd w:id="178"/>
      <w:bookmarkEnd w:id="179"/>
      <w:bookmarkEnd w:id="180"/>
      <w:r w:rsidR="00C47EEE">
        <w:t xml:space="preserve"> model</w:t>
      </w:r>
      <w:bookmarkEnd w:id="181"/>
    </w:p>
    <w:p w14:paraId="3703565E" w14:textId="77777777" w:rsidR="000C3FFB" w:rsidRPr="00903261" w:rsidRDefault="000C3FFB" w:rsidP="00732ECA">
      <w:pPr>
        <w:pStyle w:val="ListParagraph"/>
        <w:numPr>
          <w:ilvl w:val="0"/>
          <w:numId w:val="37"/>
        </w:numPr>
        <w:spacing w:line="240" w:lineRule="auto"/>
      </w:pPr>
      <w:r w:rsidRPr="00903261">
        <w:t xml:space="preserve">Ensure the cost of introducing and maintaining microbial genomic technology results in savings accrued from improvement in patient care, </w:t>
      </w:r>
      <w:r w:rsidRPr="00BD76A0">
        <w:t>prompt public health</w:t>
      </w:r>
      <w:r w:rsidRPr="00903261">
        <w:rPr>
          <w:rFonts w:ascii="Calibri" w:eastAsia="Calibri" w:hAnsi="Calibri" w:cs="Calibri"/>
        </w:rPr>
        <w:t xml:space="preserve"> </w:t>
      </w:r>
      <w:r w:rsidRPr="000C3FFB">
        <w:t>interventions to infectious disease outbreaks</w:t>
      </w:r>
      <w:r w:rsidRPr="00903261">
        <w:t xml:space="preserve"> and replacement of existing technologies. Initial implementation will result in a short-term increase in costs while development of new workflow processes and replacement of outdated testing methods occur.</w:t>
      </w:r>
    </w:p>
    <w:p w14:paraId="42A0F677" w14:textId="554CA95E" w:rsidR="000C3FFB" w:rsidRPr="00903261" w:rsidRDefault="000C3FFB" w:rsidP="00732ECA">
      <w:pPr>
        <w:pStyle w:val="ListParagraph"/>
        <w:numPr>
          <w:ilvl w:val="0"/>
          <w:numId w:val="37"/>
        </w:numPr>
        <w:spacing w:line="240" w:lineRule="auto"/>
      </w:pPr>
      <w:r w:rsidRPr="00903261">
        <w:t>Establish a mechanism to regularly review risks and challenges associated with the integration of microbial genomics into public health.</w:t>
      </w:r>
    </w:p>
    <w:tbl>
      <w:tblPr>
        <w:tblStyle w:val="TableGrid"/>
        <w:tblW w:w="10207" w:type="dxa"/>
        <w:tblInd w:w="-431" w:type="dxa"/>
        <w:tblLook w:val="04A0" w:firstRow="1" w:lastRow="0" w:firstColumn="1" w:lastColumn="0" w:noHBand="0" w:noVBand="1"/>
      </w:tblPr>
      <w:tblGrid>
        <w:gridCol w:w="6402"/>
        <w:gridCol w:w="1273"/>
        <w:gridCol w:w="1185"/>
        <w:gridCol w:w="1347"/>
      </w:tblGrid>
      <w:tr w:rsidR="00835099" w:rsidRPr="00903261" w14:paraId="12766D7D" w14:textId="77777777" w:rsidTr="7CC1F5DA">
        <w:trPr>
          <w:cnfStyle w:val="100000000000" w:firstRow="1" w:lastRow="0" w:firstColumn="0" w:lastColumn="0" w:oddVBand="0" w:evenVBand="0" w:oddHBand="0" w:evenHBand="0" w:firstRowFirstColumn="0" w:firstRowLastColumn="0" w:lastRowFirstColumn="0" w:lastRowLastColumn="0"/>
          <w:trHeight w:val="283"/>
        </w:trPr>
        <w:tc>
          <w:tcPr>
            <w:tcW w:w="6402" w:type="dxa"/>
          </w:tcPr>
          <w:p w14:paraId="341C122A" w14:textId="77777777" w:rsidR="000C3FFB" w:rsidRPr="00903261" w:rsidRDefault="000C3FFB">
            <w:pPr>
              <w:spacing w:line="240" w:lineRule="auto"/>
              <w:rPr>
                <w:b/>
              </w:rPr>
            </w:pPr>
            <w:r w:rsidRPr="00903261">
              <w:rPr>
                <w:b/>
              </w:rPr>
              <w:t>National Action</w:t>
            </w:r>
          </w:p>
        </w:tc>
        <w:tc>
          <w:tcPr>
            <w:tcW w:w="1273" w:type="dxa"/>
          </w:tcPr>
          <w:p w14:paraId="33F1B46B" w14:textId="77777777" w:rsidR="000C3FFB" w:rsidRPr="000C3FFB" w:rsidRDefault="000C3FFB" w:rsidP="000C3FFB">
            <w:pPr>
              <w:spacing w:line="240" w:lineRule="auto"/>
              <w:jc w:val="center"/>
              <w:rPr>
                <w:b/>
              </w:rPr>
            </w:pPr>
            <w:r w:rsidRPr="000C3FFB">
              <w:rPr>
                <w:b/>
              </w:rPr>
              <w:t>Timeframe</w:t>
            </w:r>
          </w:p>
        </w:tc>
        <w:tc>
          <w:tcPr>
            <w:tcW w:w="1185" w:type="dxa"/>
          </w:tcPr>
          <w:p w14:paraId="5AA33A92" w14:textId="77777777" w:rsidR="000C3FFB" w:rsidRPr="000C3FFB" w:rsidRDefault="000C3FFB" w:rsidP="000C3FFB">
            <w:pPr>
              <w:spacing w:line="240" w:lineRule="auto"/>
              <w:jc w:val="center"/>
              <w:rPr>
                <w:b/>
              </w:rPr>
            </w:pPr>
            <w:r w:rsidRPr="000C3FFB">
              <w:rPr>
                <w:b/>
              </w:rPr>
              <w:t>Lead</w:t>
            </w:r>
          </w:p>
        </w:tc>
        <w:tc>
          <w:tcPr>
            <w:tcW w:w="1347" w:type="dxa"/>
          </w:tcPr>
          <w:p w14:paraId="430ADABD" w14:textId="77777777" w:rsidR="000C3FFB" w:rsidRPr="000C3FFB" w:rsidRDefault="000C3FFB" w:rsidP="000C3FFB">
            <w:pPr>
              <w:spacing w:line="240" w:lineRule="auto"/>
              <w:jc w:val="center"/>
              <w:rPr>
                <w:b/>
              </w:rPr>
            </w:pPr>
            <w:r w:rsidRPr="000C3FFB">
              <w:rPr>
                <w:b/>
              </w:rPr>
              <w:t>Priority</w:t>
            </w:r>
          </w:p>
        </w:tc>
      </w:tr>
      <w:tr w:rsidR="00485127" w:rsidRPr="00903261" w14:paraId="3FF1D51E" w14:textId="77777777" w:rsidTr="7CC1F5DA">
        <w:trPr>
          <w:cnfStyle w:val="000000100000" w:firstRow="0" w:lastRow="0" w:firstColumn="0" w:lastColumn="0" w:oddVBand="0" w:evenVBand="0" w:oddHBand="1" w:evenHBand="0" w:firstRowFirstColumn="0" w:firstRowLastColumn="0" w:lastRowFirstColumn="0" w:lastRowLastColumn="0"/>
          <w:trHeight w:val="300"/>
        </w:trPr>
        <w:tc>
          <w:tcPr>
            <w:tcW w:w="6402" w:type="dxa"/>
          </w:tcPr>
          <w:p w14:paraId="69CE2803" w14:textId="65E3C42B" w:rsidR="00485127" w:rsidRPr="1891A9DC" w:rsidRDefault="00485127" w:rsidP="00485127">
            <w:pPr>
              <w:spacing w:line="240" w:lineRule="auto"/>
              <w:rPr>
                <w:b/>
                <w:bCs/>
              </w:rPr>
            </w:pPr>
            <w:r w:rsidRPr="4F50332C">
              <w:rPr>
                <w:b/>
                <w:bCs/>
              </w:rPr>
              <w:t>5.2.</w:t>
            </w:r>
            <w:r>
              <w:rPr>
                <w:b/>
                <w:bCs/>
              </w:rPr>
              <w:t>1</w:t>
            </w:r>
            <w:r w:rsidRPr="4F50332C">
              <w:rPr>
                <w:b/>
                <w:bCs/>
              </w:rPr>
              <w:t xml:space="preserve"> </w:t>
            </w:r>
            <w:r>
              <w:t>Establishing a mechanism to regularly review risks and challenges associated with the integration of microbial genomics into public health.</w:t>
            </w:r>
          </w:p>
        </w:tc>
        <w:tc>
          <w:tcPr>
            <w:tcW w:w="1273" w:type="dxa"/>
          </w:tcPr>
          <w:p w14:paraId="24E1E6FD" w14:textId="087B7F59" w:rsidR="00485127" w:rsidRPr="000C3FFB" w:rsidRDefault="00485127" w:rsidP="00485127">
            <w:pPr>
              <w:spacing w:line="240" w:lineRule="auto"/>
              <w:jc w:val="center"/>
            </w:pPr>
            <w:r w:rsidRPr="000C3FFB">
              <w:t>Medium</w:t>
            </w:r>
          </w:p>
        </w:tc>
        <w:tc>
          <w:tcPr>
            <w:tcW w:w="1185" w:type="dxa"/>
          </w:tcPr>
          <w:p w14:paraId="096740F8" w14:textId="04D13D98" w:rsidR="00485127" w:rsidRDefault="00485127" w:rsidP="00485127">
            <w:pPr>
              <w:spacing w:line="240" w:lineRule="auto"/>
              <w:jc w:val="center"/>
            </w:pPr>
            <w:r w:rsidRPr="000C3FFB">
              <w:t>All</w:t>
            </w:r>
          </w:p>
        </w:tc>
        <w:tc>
          <w:tcPr>
            <w:tcW w:w="1347" w:type="dxa"/>
          </w:tcPr>
          <w:p w14:paraId="59342164" w14:textId="6A34B5E6" w:rsidR="00485127" w:rsidRPr="000C3FFB" w:rsidRDefault="00485127" w:rsidP="00485127">
            <w:pPr>
              <w:spacing w:line="240" w:lineRule="auto"/>
              <w:jc w:val="center"/>
            </w:pPr>
            <w:r w:rsidRPr="000C3FFB">
              <w:t>High</w:t>
            </w:r>
          </w:p>
        </w:tc>
      </w:tr>
      <w:tr w:rsidR="00485127" w:rsidRPr="00903261" w14:paraId="490E8687" w14:textId="77777777" w:rsidTr="7CC1F5DA">
        <w:trPr>
          <w:trHeight w:val="300"/>
        </w:trPr>
        <w:tc>
          <w:tcPr>
            <w:tcW w:w="6402" w:type="dxa"/>
          </w:tcPr>
          <w:p w14:paraId="236FBCA8" w14:textId="34526671" w:rsidR="00485127" w:rsidRPr="00903261" w:rsidRDefault="00485127" w:rsidP="00485127">
            <w:pPr>
              <w:spacing w:line="240" w:lineRule="auto"/>
            </w:pPr>
            <w:r w:rsidRPr="1891A9DC">
              <w:rPr>
                <w:b/>
                <w:bCs/>
              </w:rPr>
              <w:t>5.2.</w:t>
            </w:r>
            <w:r>
              <w:rPr>
                <w:b/>
                <w:bCs/>
              </w:rPr>
              <w:t>2</w:t>
            </w:r>
            <w:r>
              <w:t xml:space="preserve"> Review the value and cost-effectiveness of implemented microbial genomics services, with the support of CDNA, PHLN and CDGN.</w:t>
            </w:r>
          </w:p>
        </w:tc>
        <w:tc>
          <w:tcPr>
            <w:tcW w:w="1273" w:type="dxa"/>
          </w:tcPr>
          <w:p w14:paraId="10A53700" w14:textId="77777777" w:rsidR="00485127" w:rsidRPr="000C3FFB" w:rsidRDefault="00485127" w:rsidP="00485127">
            <w:pPr>
              <w:spacing w:line="240" w:lineRule="auto"/>
              <w:jc w:val="center"/>
            </w:pPr>
            <w:r w:rsidRPr="000C3FFB">
              <w:t>Medium</w:t>
            </w:r>
          </w:p>
        </w:tc>
        <w:tc>
          <w:tcPr>
            <w:tcW w:w="1185" w:type="dxa"/>
          </w:tcPr>
          <w:p w14:paraId="2D3BB6CB" w14:textId="3F8A1EB2" w:rsidR="00485127" w:rsidRPr="000C3FFB" w:rsidRDefault="00485127" w:rsidP="00485127">
            <w:pPr>
              <w:spacing w:line="240" w:lineRule="auto"/>
              <w:jc w:val="center"/>
            </w:pPr>
            <w:r>
              <w:t>Australian CDC</w:t>
            </w:r>
          </w:p>
        </w:tc>
        <w:tc>
          <w:tcPr>
            <w:tcW w:w="1347" w:type="dxa"/>
          </w:tcPr>
          <w:p w14:paraId="66E061A3" w14:textId="77777777" w:rsidR="00485127" w:rsidRPr="000C3FFB" w:rsidRDefault="00485127" w:rsidP="00485127">
            <w:pPr>
              <w:spacing w:line="240" w:lineRule="auto"/>
              <w:jc w:val="center"/>
            </w:pPr>
            <w:r w:rsidRPr="000C3FFB">
              <w:t>Medium</w:t>
            </w:r>
          </w:p>
        </w:tc>
      </w:tr>
      <w:tr w:rsidR="00485127" w:rsidRPr="00903261" w14:paraId="4D7BFDC0" w14:textId="77777777" w:rsidTr="7CC1F5DA">
        <w:trPr>
          <w:cnfStyle w:val="000000100000" w:firstRow="0" w:lastRow="0" w:firstColumn="0" w:lastColumn="0" w:oddVBand="0" w:evenVBand="0" w:oddHBand="1" w:evenHBand="0" w:firstRowFirstColumn="0" w:firstRowLastColumn="0" w:lastRowFirstColumn="0" w:lastRowLastColumn="0"/>
          <w:trHeight w:val="300"/>
        </w:trPr>
        <w:tc>
          <w:tcPr>
            <w:tcW w:w="6402" w:type="dxa"/>
          </w:tcPr>
          <w:p w14:paraId="4D4BBA7D" w14:textId="63A84665" w:rsidR="00485127" w:rsidRPr="00903261" w:rsidRDefault="00485127" w:rsidP="00485127">
            <w:pPr>
              <w:spacing w:line="240" w:lineRule="auto"/>
            </w:pPr>
            <w:r w:rsidRPr="00903261">
              <w:rPr>
                <w:b/>
              </w:rPr>
              <w:t>5.2.</w:t>
            </w:r>
            <w:r>
              <w:rPr>
                <w:b/>
              </w:rPr>
              <w:t>3</w:t>
            </w:r>
            <w:r w:rsidRPr="00903261">
              <w:t xml:space="preserve"> Develop partnerships, funding, and data sharing approaches for microbial genomics that promote</w:t>
            </w:r>
            <w:r>
              <w:t>s</w:t>
            </w:r>
            <w:r w:rsidRPr="00903261">
              <w:t xml:space="preserve"> access to safe, efficient, and cost-effective services, including for a One Health context both nationally and regionally, recognising that regional investment mutually benefits Australia.</w:t>
            </w:r>
          </w:p>
        </w:tc>
        <w:tc>
          <w:tcPr>
            <w:tcW w:w="1273" w:type="dxa"/>
          </w:tcPr>
          <w:p w14:paraId="6D3E3841" w14:textId="77777777" w:rsidR="00485127" w:rsidRPr="000C3FFB" w:rsidRDefault="00485127" w:rsidP="00485127">
            <w:pPr>
              <w:spacing w:line="240" w:lineRule="auto"/>
              <w:jc w:val="center"/>
            </w:pPr>
            <w:r w:rsidRPr="000C3FFB">
              <w:t>Medium</w:t>
            </w:r>
          </w:p>
        </w:tc>
        <w:tc>
          <w:tcPr>
            <w:tcW w:w="1185" w:type="dxa"/>
          </w:tcPr>
          <w:p w14:paraId="07011692" w14:textId="77777777" w:rsidR="00485127" w:rsidRPr="000C3FFB" w:rsidRDefault="00485127" w:rsidP="00485127">
            <w:pPr>
              <w:spacing w:line="240" w:lineRule="auto"/>
              <w:jc w:val="center"/>
            </w:pPr>
            <w:r w:rsidRPr="000C3FFB">
              <w:t>All</w:t>
            </w:r>
          </w:p>
        </w:tc>
        <w:tc>
          <w:tcPr>
            <w:tcW w:w="1347" w:type="dxa"/>
          </w:tcPr>
          <w:p w14:paraId="4FCB8361" w14:textId="77777777" w:rsidR="00485127" w:rsidRPr="000C3FFB" w:rsidRDefault="00485127" w:rsidP="00485127">
            <w:pPr>
              <w:spacing w:line="240" w:lineRule="auto"/>
              <w:jc w:val="center"/>
            </w:pPr>
            <w:r w:rsidRPr="000C3FFB">
              <w:t>Medium</w:t>
            </w:r>
          </w:p>
        </w:tc>
      </w:tr>
      <w:tr w:rsidR="00485127" w:rsidRPr="00903261" w14:paraId="0DF3F7F0" w14:textId="77777777" w:rsidTr="7CC1F5DA">
        <w:trPr>
          <w:trHeight w:val="300"/>
        </w:trPr>
        <w:tc>
          <w:tcPr>
            <w:tcW w:w="6402" w:type="dxa"/>
          </w:tcPr>
          <w:p w14:paraId="28C27C9A" w14:textId="5582BB66" w:rsidR="00485127" w:rsidRPr="00903261" w:rsidRDefault="00485127" w:rsidP="00485127">
            <w:pPr>
              <w:spacing w:line="240" w:lineRule="auto"/>
            </w:pPr>
            <w:r w:rsidRPr="00903261">
              <w:rPr>
                <w:b/>
              </w:rPr>
              <w:t>5.2.</w:t>
            </w:r>
            <w:r>
              <w:rPr>
                <w:b/>
              </w:rPr>
              <w:t>4</w:t>
            </w:r>
            <w:r w:rsidRPr="00903261">
              <w:t xml:space="preserve"> Collaborate across governments and stakeholders to maximise investment, reduce duplication of effort, and use resources efficiently.</w:t>
            </w:r>
          </w:p>
        </w:tc>
        <w:tc>
          <w:tcPr>
            <w:tcW w:w="1273" w:type="dxa"/>
          </w:tcPr>
          <w:p w14:paraId="4832EF38" w14:textId="77777777" w:rsidR="00485127" w:rsidRPr="000C3FFB" w:rsidRDefault="00485127" w:rsidP="00485127">
            <w:pPr>
              <w:spacing w:line="240" w:lineRule="auto"/>
              <w:jc w:val="center"/>
            </w:pPr>
            <w:r w:rsidRPr="000C3FFB">
              <w:t>Long</w:t>
            </w:r>
          </w:p>
        </w:tc>
        <w:tc>
          <w:tcPr>
            <w:tcW w:w="1185" w:type="dxa"/>
          </w:tcPr>
          <w:p w14:paraId="651017ED" w14:textId="77777777" w:rsidR="00485127" w:rsidRPr="000C3FFB" w:rsidRDefault="00485127" w:rsidP="00485127">
            <w:pPr>
              <w:spacing w:line="240" w:lineRule="auto"/>
              <w:jc w:val="center"/>
            </w:pPr>
            <w:r w:rsidRPr="000C3FFB">
              <w:t>All</w:t>
            </w:r>
          </w:p>
        </w:tc>
        <w:tc>
          <w:tcPr>
            <w:tcW w:w="1347" w:type="dxa"/>
          </w:tcPr>
          <w:p w14:paraId="3572BE1C" w14:textId="77777777" w:rsidR="00485127" w:rsidRPr="000C3FFB" w:rsidRDefault="00485127" w:rsidP="00485127">
            <w:pPr>
              <w:spacing w:line="240" w:lineRule="auto"/>
              <w:jc w:val="center"/>
            </w:pPr>
            <w:r w:rsidRPr="000C3FFB">
              <w:t>Medium</w:t>
            </w:r>
          </w:p>
        </w:tc>
      </w:tr>
    </w:tbl>
    <w:p w14:paraId="6F0ACD5E" w14:textId="77777777" w:rsidR="009902A6" w:rsidRDefault="009902A6">
      <w:pPr>
        <w:spacing w:before="0" w:after="0" w:line="240" w:lineRule="auto"/>
        <w:rPr>
          <w:b/>
          <w:bCs/>
          <w:color w:val="033636" w:themeColor="text2"/>
        </w:rPr>
      </w:pPr>
      <w:r>
        <w:br w:type="page"/>
      </w:r>
    </w:p>
    <w:p w14:paraId="43BE8411" w14:textId="77777777" w:rsidR="00C4170B" w:rsidRPr="00903261" w:rsidRDefault="00C4170B" w:rsidP="00C4170B">
      <w:pPr>
        <w:pStyle w:val="Heading2"/>
      </w:pPr>
      <w:bookmarkStart w:id="182" w:name="_Toc178870158"/>
      <w:bookmarkStart w:id="183" w:name="_Toc191899437"/>
      <w:r>
        <w:lastRenderedPageBreak/>
        <w:t>Future directions</w:t>
      </w:r>
      <w:bookmarkEnd w:id="182"/>
      <w:bookmarkEnd w:id="183"/>
    </w:p>
    <w:p w14:paraId="66422B43" w14:textId="4554A2AF" w:rsidR="007C44DF" w:rsidRPr="00903261" w:rsidRDefault="007C44DF" w:rsidP="00FE2D5C">
      <w:pPr>
        <w:ind w:right="284"/>
      </w:pPr>
      <w:r>
        <w:t xml:space="preserve">Now is the time to consider how microbial genomics data for public health could be more broadly integrated into both existing and developing animal and environmental (One Health), food safety, wastewater, and </w:t>
      </w:r>
      <w:r w:rsidR="00C62EC0">
        <w:t>AMR</w:t>
      </w:r>
      <w:r>
        <w:t xml:space="preserve"> surveillance systems and networks. Greater systemic collaboration with researchers, industry and private pathology is also required to boost opportunities for improvement and application of microbial genomics for public health action. By taking full advantage of microbial genomics for real-time diagnostics, this would enable the identification of priority organisms, which supports timely outbreak investigations and preparedness activities. </w:t>
      </w:r>
    </w:p>
    <w:p w14:paraId="598B8AE2" w14:textId="77777777" w:rsidR="007C44DF" w:rsidRDefault="007C44DF">
      <w:pPr>
        <w:spacing w:before="0" w:after="0" w:line="240" w:lineRule="auto"/>
      </w:pPr>
      <w:r>
        <w:br w:type="page"/>
      </w:r>
    </w:p>
    <w:p w14:paraId="23E0CFDD" w14:textId="74253EB8" w:rsidR="007C44DF" w:rsidRDefault="00A41A66" w:rsidP="007C44DF">
      <w:pPr>
        <w:pStyle w:val="Heading1"/>
      </w:pPr>
      <w:bookmarkStart w:id="184" w:name="_Toc65614062"/>
      <w:bookmarkStart w:id="185" w:name="_Ref150282346"/>
      <w:bookmarkStart w:id="186" w:name="_Toc278478129"/>
      <w:bookmarkStart w:id="187" w:name="_Toc191899438"/>
      <w:r>
        <w:lastRenderedPageBreak/>
        <w:t>Annex A</w:t>
      </w:r>
      <w:bookmarkEnd w:id="184"/>
      <w:bookmarkEnd w:id="185"/>
      <w:bookmarkEnd w:id="186"/>
      <w:bookmarkEnd w:id="187"/>
    </w:p>
    <w:p w14:paraId="06E1C41E" w14:textId="77777777" w:rsidR="00B00C07" w:rsidRPr="003B6D6E" w:rsidRDefault="00B00C07" w:rsidP="00B00C07">
      <w:pPr>
        <w:pStyle w:val="Heading2"/>
      </w:pPr>
      <w:bookmarkStart w:id="188" w:name="_Toc727236356"/>
      <w:bookmarkStart w:id="189" w:name="_Toc1672517625"/>
      <w:bookmarkStart w:id="190" w:name="_Toc191899439"/>
      <w:r>
        <w:t>National developments</w:t>
      </w:r>
      <w:bookmarkEnd w:id="188"/>
      <w:bookmarkEnd w:id="189"/>
      <w:bookmarkEnd w:id="190"/>
    </w:p>
    <w:p w14:paraId="17DCC0D9" w14:textId="27F8557F" w:rsidR="007702EE" w:rsidRPr="009E63D9" w:rsidRDefault="007702EE" w:rsidP="0050531A">
      <w:r w:rsidRPr="009E63D9">
        <w:t xml:space="preserve">Since the publication of the </w:t>
      </w:r>
      <w:r w:rsidRPr="009E63D9">
        <w:rPr>
          <w:i/>
        </w:rPr>
        <w:t xml:space="preserve">National Microbial Genomics Framework 2019-2022, </w:t>
      </w:r>
      <w:r w:rsidRPr="009E63D9">
        <w:t>the integration of microbial genomics in public health has been fast-tracked due to the COVID-19 pandemic. However, while activities over 2020-2022 were largely focused on the COVID-19 response, developments have been made in other critical areas including training and workforce and establishing sequencing pipelines and methods for other diseases and antimicrobial resistances of public health significance. This progress was largely due to, and facilitated by, the CDGN.</w:t>
      </w:r>
    </w:p>
    <w:p w14:paraId="24736D90" w14:textId="77777777" w:rsidR="008D2745" w:rsidRPr="003B6D6E" w:rsidRDefault="008D2745" w:rsidP="0050531A">
      <w:pPr>
        <w:pStyle w:val="Heading3"/>
      </w:pPr>
      <w:bookmarkStart w:id="191" w:name="_Toc135494145"/>
      <w:bookmarkStart w:id="192" w:name="_Toc163847521"/>
      <w:bookmarkStart w:id="193" w:name="_Toc659482502"/>
      <w:bookmarkStart w:id="194" w:name="_Toc191899440"/>
      <w:r>
        <w:t>Communicable Diseases Genomics Network</w:t>
      </w:r>
      <w:bookmarkEnd w:id="191"/>
      <w:bookmarkEnd w:id="192"/>
      <w:bookmarkEnd w:id="193"/>
      <w:bookmarkEnd w:id="194"/>
    </w:p>
    <w:p w14:paraId="5D5570F9" w14:textId="77777777" w:rsidR="00571D68" w:rsidRPr="009E63D9" w:rsidRDefault="00571D68" w:rsidP="0050531A">
      <w:r w:rsidRPr="009E63D9">
        <w:t xml:space="preserve">The CDGN was established in 2015 with an overarching aim of implementing genomics into clinical and public health microbiology in Australia. The CDGN includes representatives from PHLs across all jurisdictions in Australia, and New Zealand. </w:t>
      </w:r>
    </w:p>
    <w:p w14:paraId="31DBE17E" w14:textId="2FC4DA0B" w:rsidR="00571D68" w:rsidRPr="009E63D9" w:rsidRDefault="00571D68" w:rsidP="0050531A">
      <w:r>
        <w:t xml:space="preserve">CDGN’s vision is to advance public health in Australia and New Zealand through the implementation of microbial genomics to support communicable disease control activities. Since its establishment, CDGN continues to </w:t>
      </w:r>
      <w:r w:rsidRPr="4F50332C">
        <w:t xml:space="preserve">provide PHLN with technical advice on genomics and progress activities under this </w:t>
      </w:r>
      <w:r w:rsidR="004936B2">
        <w:t>f</w:t>
      </w:r>
      <w:r w:rsidRPr="4F50332C">
        <w:t>ramework.</w:t>
      </w:r>
    </w:p>
    <w:p w14:paraId="5B665ADD" w14:textId="77777777" w:rsidR="00571D68" w:rsidRPr="009E63D9" w:rsidRDefault="00571D68" w:rsidP="0050531A">
      <w:r w:rsidRPr="009E63D9">
        <w:t>To address the aims of the Network, CDGN has established several working groups covering the following topics:</w:t>
      </w:r>
    </w:p>
    <w:p w14:paraId="00B8C40E" w14:textId="77777777" w:rsidR="00571D68" w:rsidRPr="009E63D9" w:rsidRDefault="00571D68" w:rsidP="00732ECA">
      <w:pPr>
        <w:pStyle w:val="ListParagraph"/>
        <w:numPr>
          <w:ilvl w:val="0"/>
          <w:numId w:val="38"/>
        </w:numPr>
      </w:pPr>
      <w:r w:rsidRPr="009E63D9">
        <w:t>pathogen and topic-specific expert advisory groups, such as the SARS-CoV-2 variants of concern working group</w:t>
      </w:r>
    </w:p>
    <w:p w14:paraId="4B45F28D" w14:textId="77777777" w:rsidR="00571D68" w:rsidRPr="009E63D9" w:rsidRDefault="00571D68" w:rsidP="00732ECA">
      <w:pPr>
        <w:pStyle w:val="ListParagraph"/>
        <w:numPr>
          <w:ilvl w:val="0"/>
          <w:numId w:val="38"/>
        </w:numPr>
      </w:pPr>
      <w:r w:rsidRPr="009E63D9">
        <w:t>workforce training and curriculum development in microbial genomics</w:t>
      </w:r>
    </w:p>
    <w:p w14:paraId="5576DE2B" w14:textId="7E065AD8" w:rsidR="00571D68" w:rsidRPr="009E63D9" w:rsidRDefault="00571D68" w:rsidP="00732ECA">
      <w:pPr>
        <w:pStyle w:val="ListParagraph"/>
        <w:numPr>
          <w:ilvl w:val="0"/>
          <w:numId w:val="38"/>
        </w:numPr>
      </w:pPr>
      <w:r w:rsidRPr="009E63D9">
        <w:t>development of a secure platform for rapid, equitable and ethical data sharing (i.e., AusTrakka)</w:t>
      </w:r>
    </w:p>
    <w:p w14:paraId="4C35FFD9" w14:textId="77777777" w:rsidR="00571D68" w:rsidRPr="009E63D9" w:rsidRDefault="00571D68" w:rsidP="00732ECA">
      <w:pPr>
        <w:pStyle w:val="ListParagraph"/>
        <w:numPr>
          <w:ilvl w:val="0"/>
          <w:numId w:val="38"/>
        </w:numPr>
      </w:pPr>
      <w:r w:rsidRPr="009E63D9">
        <w:t>standardisation and implementation of genomic technologies in laboratories (including clinical metagenomics). This includes development and support for the RCPA QAP in microbial genomics.</w:t>
      </w:r>
    </w:p>
    <w:p w14:paraId="4EA4F4B5" w14:textId="3CE8399B" w:rsidR="00090013" w:rsidRDefault="00571D68" w:rsidP="0050531A">
      <w:pPr>
        <w:spacing w:before="0" w:after="0"/>
      </w:pPr>
      <w:r>
        <w:t>CDGN has also played a critical role in Australia’s response to COVID-19 and continues to actively monitor and report on domestic and international SARS-CoV-2 variants.</w:t>
      </w:r>
    </w:p>
    <w:p w14:paraId="33F6B2D2" w14:textId="77777777" w:rsidR="00090013" w:rsidRDefault="00090013">
      <w:pPr>
        <w:spacing w:before="0" w:after="0" w:line="240" w:lineRule="auto"/>
      </w:pPr>
      <w:r>
        <w:br w:type="page"/>
      </w:r>
    </w:p>
    <w:p w14:paraId="30FEDC16" w14:textId="7748461A" w:rsidR="002323EE" w:rsidRDefault="001159B1" w:rsidP="002323EE">
      <w:pPr>
        <w:pStyle w:val="BoxTextGreen"/>
        <w:rPr>
          <w:rFonts w:eastAsiaTheme="majorEastAsia" w:cstheme="majorBidi"/>
          <w:color w:val="033636" w:themeColor="text2"/>
          <w:sz w:val="32"/>
        </w:rPr>
      </w:pPr>
      <w:r w:rsidRPr="001159B1">
        <w:rPr>
          <w:rFonts w:eastAsiaTheme="majorEastAsia" w:cstheme="majorBidi"/>
          <w:color w:val="033636" w:themeColor="text2"/>
          <w:sz w:val="32"/>
        </w:rPr>
        <w:lastRenderedPageBreak/>
        <w:t>In Focus: CDGN Teaching and Training</w:t>
      </w:r>
    </w:p>
    <w:p w14:paraId="2DF0B272" w14:textId="77777777" w:rsidR="008F02AF" w:rsidRPr="008F02AF" w:rsidRDefault="008F02AF" w:rsidP="008F02AF">
      <w:pPr>
        <w:pStyle w:val="BoxTextGreen"/>
        <w:rPr>
          <w:b/>
        </w:rPr>
      </w:pPr>
      <w:r w:rsidRPr="008F02AF">
        <w:t xml:space="preserve">Since the formation of CDGN, teaching and training within the field of pathogen genomics for public health has been a central focus for the Network. CDGN’s teaching and training activities are undertaken by the Teaching, Training and Curriculum Working Group (TTC WG), established to enhance Australia’s genomics capacity through the promotion and implementation of high-quality teaching and training resources across all jurisdictions. The multidisciplinary working group is comprised of members from CDGN laboratories with expertise across microbial genomics, bioinformatics, medical microbiology, and genomic epidemiology, who meet monthly to progress key TTC WG activities. </w:t>
      </w:r>
    </w:p>
    <w:p w14:paraId="05FA79DD" w14:textId="77777777" w:rsidR="008F02AF" w:rsidRPr="008F02AF" w:rsidRDefault="008F02AF" w:rsidP="008F02AF">
      <w:pPr>
        <w:pStyle w:val="BoxTextGreen"/>
        <w:rPr>
          <w:b/>
        </w:rPr>
      </w:pPr>
      <w:r w:rsidRPr="008F02AF">
        <w:t>In 2021, the TTC WG developed a genomics-based end-to-end Training Framework to align training approaches nationally, informed by the group’s experience and expertise working within public health and clinical laboratories across Australia.</w:t>
      </w:r>
    </w:p>
    <w:p w14:paraId="63420DA4" w14:textId="0E7FA7C3" w:rsidR="001159B1" w:rsidRDefault="008F02AF" w:rsidP="002323EE">
      <w:pPr>
        <w:pStyle w:val="BoxTextGreen"/>
      </w:pPr>
      <w:r w:rsidRPr="008F02AF">
        <w:t>In 2022, the TTC WG translated the Training Framework into a three-part webinar series titled ‘</w:t>
      </w:r>
      <w:r w:rsidRPr="008F02AF">
        <w:rPr>
          <w:i/>
          <w:iCs/>
        </w:rPr>
        <w:t>Introduction to Pathogen Genomics for Public Health</w:t>
      </w:r>
      <w:r w:rsidRPr="008F02AF">
        <w:t xml:space="preserve">’, which was implemented across the year and covered wet-lab processes for WGS, bioinformatic analysis for clinical and public health, and WGS reporting considerations. Evaluation surveys from the webinar series found participants strongly valued “the up-to-date information on technology changes” and the explanation of “difficult information in a concise manner”. The TTC WG activities directly align with </w:t>
      </w:r>
      <w:r w:rsidR="00373651">
        <w:t>S</w:t>
      </w:r>
      <w:r w:rsidRPr="008F02AF">
        <w:t xml:space="preserve">trategic </w:t>
      </w:r>
      <w:r w:rsidR="00373651">
        <w:t>P</w:t>
      </w:r>
      <w:r w:rsidRPr="008F02AF">
        <w:t xml:space="preserve">riority 4 of the </w:t>
      </w:r>
      <w:r w:rsidR="003737BE" w:rsidRPr="003737BE">
        <w:t>Framework</w:t>
      </w:r>
      <w:r w:rsidRPr="008F02AF">
        <w:t>, which seeks to foster national microbial genomics capacity and capability and promote improvement and maintenance of genomics literacy in both laboratory and non-laboratory settings.</w:t>
      </w:r>
    </w:p>
    <w:p w14:paraId="5F885CE4" w14:textId="77777777" w:rsidR="00226F18" w:rsidRPr="003B6D6E" w:rsidRDefault="00226F18" w:rsidP="003273F4">
      <w:pPr>
        <w:pStyle w:val="Heading3"/>
      </w:pPr>
      <w:bookmarkStart w:id="195" w:name="_Toc518558317"/>
      <w:bookmarkStart w:id="196" w:name="_Toc191899441"/>
      <w:r>
        <w:t>Microbial genomics and the COVID-19 response</w:t>
      </w:r>
      <w:bookmarkEnd w:id="195"/>
      <w:bookmarkEnd w:id="196"/>
    </w:p>
    <w:p w14:paraId="24393C1A" w14:textId="77777777" w:rsidR="0004629E" w:rsidRPr="009E63D9" w:rsidRDefault="0004629E" w:rsidP="003273F4">
      <w:r>
        <w:t>Enhanced expertise was, and remains, essential to guide Australia’s national approach to SARS-CoV-2 genome sequencing and analysis to support the Australian Government’s response to the COVID-19 pandemic and its transition to management under standard communicable disease control measures. Microbial genomics has been recognised as an important public health tool that can enhance epidemiological investigation of COVID-19 cases by:</w:t>
      </w:r>
    </w:p>
    <w:p w14:paraId="42C3660C" w14:textId="77777777" w:rsidR="0004629E" w:rsidRPr="009E63D9" w:rsidRDefault="0004629E" w:rsidP="00732ECA">
      <w:pPr>
        <w:pStyle w:val="ListParagraph"/>
        <w:numPr>
          <w:ilvl w:val="0"/>
          <w:numId w:val="39"/>
        </w:numPr>
      </w:pPr>
      <w:r w:rsidRPr="009E63D9">
        <w:t>supporting the identification of the source of infection in cases arising without known epidemiological links</w:t>
      </w:r>
    </w:p>
    <w:p w14:paraId="5D2EA177" w14:textId="77777777" w:rsidR="0004629E" w:rsidRPr="009E63D9" w:rsidRDefault="0004629E" w:rsidP="00732ECA">
      <w:pPr>
        <w:pStyle w:val="ListParagraph"/>
        <w:numPr>
          <w:ilvl w:val="0"/>
          <w:numId w:val="39"/>
        </w:numPr>
      </w:pPr>
      <w:r w:rsidRPr="009E63D9">
        <w:t>supporting field investigations to identify and more precisely characterise outbreaks</w:t>
      </w:r>
    </w:p>
    <w:p w14:paraId="60F53A87" w14:textId="54D813F8" w:rsidR="0004629E" w:rsidRPr="009E63D9" w:rsidRDefault="0004629E" w:rsidP="00732ECA">
      <w:pPr>
        <w:pStyle w:val="ListParagraph"/>
        <w:numPr>
          <w:ilvl w:val="0"/>
          <w:numId w:val="39"/>
        </w:numPr>
      </w:pPr>
      <w:r w:rsidRPr="009E63D9">
        <w:t>identifying clusters of infection</w:t>
      </w:r>
    </w:p>
    <w:p w14:paraId="3AD34740" w14:textId="77777777" w:rsidR="0004629E" w:rsidRPr="009E63D9" w:rsidRDefault="0004629E" w:rsidP="00732ECA">
      <w:pPr>
        <w:pStyle w:val="ListParagraph"/>
        <w:numPr>
          <w:ilvl w:val="0"/>
          <w:numId w:val="39"/>
        </w:numPr>
      </w:pPr>
      <w:r w:rsidRPr="009E63D9">
        <w:lastRenderedPageBreak/>
        <w:t>defining possible transmission networks to enhance targeted implementation of public health measures and prevent or slow onward transmission.</w:t>
      </w:r>
    </w:p>
    <w:p w14:paraId="566145E7" w14:textId="45EF122E" w:rsidR="0004629E" w:rsidRPr="009E63D9" w:rsidRDefault="0004629E" w:rsidP="003273F4">
      <w:r>
        <w:t>Integration and implementation of a nationally coordinated approach to sequencing was accelerated and became a critical pillar in Australia’s public health response to the COVID-19 pandemic. The need to rapidly characterise SARS-CoV-2 lineages using genome sequencing was apparent early in the pandemic, due to the virus’s ability to quickly evolve and impact transmissibility, severity, immune evasion, and treatment efficacy.</w:t>
      </w:r>
    </w:p>
    <w:p w14:paraId="6CC39F15" w14:textId="68199B4E" w:rsidR="0004629E" w:rsidRPr="009E63D9" w:rsidRDefault="0004629E" w:rsidP="003273F4">
      <w:r>
        <w:t xml:space="preserve">With support of Australia’s collaborative network of </w:t>
      </w:r>
      <w:r w:rsidR="00FF3122">
        <w:t>PHLs</w:t>
      </w:r>
      <w:r>
        <w:t xml:space="preserve"> and CDGN, all states and territories were able to quickly increase their sequencing capability and capacity in the early stages of the pandemic. Over the course of the pandemic the outputs of sequencing analysis influenced decision-making in different ways; for example, informed decisions to introduce public health and social measures, such as mask wearing, social distancing, or lockdowns.</w:t>
      </w:r>
    </w:p>
    <w:p w14:paraId="27BAE59C" w14:textId="77777777" w:rsidR="0004629E" w:rsidRPr="009E63D9" w:rsidRDefault="0004629E" w:rsidP="003273F4">
      <w:r>
        <w:t>With increased sequencing capability arose the need for more effective management and harmonisation of sequencing information, and the establishment of a nationally coordinated approach to genomic surveillance. In early 2020, a nationally agreed approach to sequence and share minimal metadata for SARS-CoV-2 was established, led by CDGN. This included the development of a governance framework for data sharing, which was critically public health focussed and enabled custodianship of the data to remain with contributing sequencing laboratories.</w:t>
      </w:r>
    </w:p>
    <w:p w14:paraId="33381809" w14:textId="77777777" w:rsidR="00446BCD" w:rsidRPr="003B6D6E" w:rsidRDefault="00446BCD" w:rsidP="002D7B0D">
      <w:pPr>
        <w:pStyle w:val="Heading4"/>
      </w:pPr>
      <w:bookmarkStart w:id="197" w:name="_Toc1844801602"/>
      <w:bookmarkStart w:id="198" w:name="_Toc191899442"/>
      <w:r>
        <w:t>SARS-CoV-2 Variants of Concern</w:t>
      </w:r>
      <w:bookmarkEnd w:id="197"/>
      <w:bookmarkEnd w:id="198"/>
    </w:p>
    <w:p w14:paraId="480780C8" w14:textId="77777777" w:rsidR="00D25464" w:rsidRPr="009E63D9" w:rsidRDefault="00D25464" w:rsidP="003273F4">
      <w:r w:rsidRPr="4F50332C">
        <w:t xml:space="preserve">As SARS-CoV-2 variants began to emerge in late 2020, the international public health community rallied to determine the impact of circulating variants on current diagnostics and therapeutics, disease severity, and overall transmissibility. In response, CDGN identified the need for a dedicated taskforce to provide Australia with a nationally coordinated mechanism for understanding and responding to emerging variants. The CDGN multi-disciplinary Variant of Concern Working Group (VOC WG) was formed to address this need, comprising of medical microbiologists, virologists, bioinformaticians, genomic epidemiologists, phylodynamic modelers, and government representatives. </w:t>
      </w:r>
    </w:p>
    <w:p w14:paraId="53982289" w14:textId="77777777" w:rsidR="00995715" w:rsidRDefault="00D25464" w:rsidP="003273F4">
      <w:r w:rsidRPr="009E63D9">
        <w:t>The CDGN VOC WG has</w:t>
      </w:r>
      <w:r w:rsidR="00995715">
        <w:t>:</w:t>
      </w:r>
    </w:p>
    <w:p w14:paraId="00FC2973" w14:textId="77777777" w:rsidR="00995715" w:rsidRDefault="00D25464" w:rsidP="00995715">
      <w:pPr>
        <w:pStyle w:val="ListParagraph"/>
        <w:numPr>
          <w:ilvl w:val="0"/>
          <w:numId w:val="74"/>
        </w:numPr>
      </w:pPr>
      <w:r w:rsidRPr="009E63D9">
        <w:t>supported a nationally coordinated response to SARS-CoV-2 variants</w:t>
      </w:r>
    </w:p>
    <w:p w14:paraId="369AA195" w14:textId="77777777" w:rsidR="00995715" w:rsidRDefault="00D25464" w:rsidP="00995715">
      <w:pPr>
        <w:pStyle w:val="ListParagraph"/>
        <w:numPr>
          <w:ilvl w:val="0"/>
          <w:numId w:val="74"/>
        </w:numPr>
      </w:pPr>
      <w:r w:rsidRPr="009E63D9">
        <w:t>implemented near real-time genomic surveillance and consistent reporting of circulating lineages, particularly through regular publication of a VOC Literature Summary containing up to date information on lineages circulating nationally and globally</w:t>
      </w:r>
    </w:p>
    <w:p w14:paraId="50E5C149" w14:textId="77777777" w:rsidR="00995715" w:rsidRDefault="00D25464" w:rsidP="00995715">
      <w:pPr>
        <w:pStyle w:val="ListParagraph"/>
        <w:numPr>
          <w:ilvl w:val="0"/>
          <w:numId w:val="74"/>
        </w:numPr>
      </w:pPr>
      <w:r w:rsidRPr="009E63D9">
        <w:lastRenderedPageBreak/>
        <w:t>maint</w:t>
      </w:r>
      <w:r w:rsidR="00995715">
        <w:t>ained</w:t>
      </w:r>
      <w:r w:rsidRPr="009E63D9">
        <w:t xml:space="preserve"> a national VOC Laboratory Case Definition</w:t>
      </w:r>
    </w:p>
    <w:p w14:paraId="3B643CB9" w14:textId="77777777" w:rsidR="00995715" w:rsidRDefault="00995715" w:rsidP="00995715">
      <w:pPr>
        <w:pStyle w:val="ListParagraph"/>
        <w:numPr>
          <w:ilvl w:val="0"/>
          <w:numId w:val="74"/>
        </w:numPr>
      </w:pPr>
      <w:r>
        <w:t xml:space="preserve">provided </w:t>
      </w:r>
      <w:r w:rsidR="00D25464" w:rsidRPr="009E63D9">
        <w:t xml:space="preserve">regular briefings on emerging lineages in response to requests from governments and key stakeholder groups. </w:t>
      </w:r>
    </w:p>
    <w:p w14:paraId="62E45E42" w14:textId="58AE8D01" w:rsidR="00D25464" w:rsidRPr="009E63D9" w:rsidRDefault="00D25464" w:rsidP="00995715">
      <w:r w:rsidRPr="009E63D9">
        <w:t>The CDGN continues to provide expert advice to the Australian Government on SARS-CoV-2 variants and mutations of interest relevant to Australia for surveillance and reporting based on available literature and international classifications.</w:t>
      </w:r>
    </w:p>
    <w:p w14:paraId="2B5B5A9B" w14:textId="26239244" w:rsidR="00F0228D" w:rsidRPr="00ED3774" w:rsidRDefault="00D25464" w:rsidP="00F0228D">
      <w:pPr>
        <w:contextualSpacing/>
        <w:rPr>
          <w:rStyle w:val="Hyperlink"/>
          <w:i/>
          <w:color w:val="auto"/>
        </w:rPr>
      </w:pPr>
      <w:r w:rsidRPr="009E63D9">
        <w:rPr>
          <w:rFonts w:eastAsiaTheme="minorEastAsia"/>
        </w:rPr>
        <w:t xml:space="preserve">Due to the </w:t>
      </w:r>
      <w:r w:rsidRPr="009E63D9">
        <w:t>broader circulation of COVID-19 in the community in late 2021</w:t>
      </w:r>
      <w:r w:rsidRPr="009E63D9">
        <w:rPr>
          <w:rFonts w:eastAsiaTheme="minorEastAsia"/>
        </w:rPr>
        <w:t>, Australia’s sequencing laboratories moved from a comprehensive sequencing strategy (attempt to sequence every case) to a targeted surveillance approach</w:t>
      </w:r>
      <w:r w:rsidR="00B41A73">
        <w:rPr>
          <w:rFonts w:eastAsiaTheme="minorEastAsia"/>
        </w:rPr>
        <w:t>,</w:t>
      </w:r>
      <w:r w:rsidRPr="009E63D9">
        <w:t xml:space="preserve"> focussed more on surveillance and detection of variants or mutations of concern. This led to the publication of the </w:t>
      </w:r>
      <w:r w:rsidR="00ED097D" w:rsidRPr="00ED3774">
        <w:rPr>
          <w:i/>
        </w:rPr>
        <w:fldChar w:fldCharType="begin"/>
      </w:r>
      <w:r w:rsidR="00ED097D" w:rsidRPr="00ED3774">
        <w:rPr>
          <w:i/>
        </w:rPr>
        <w:instrText>HYPERLINK "https://www.health.gov.au/sites/default/files/documents/2021/11/cdgn-phln-and-cdna-sampling-strategy-for-sars-cov-2-genomic-surveillance_0.pdf"</w:instrText>
      </w:r>
      <w:r w:rsidR="00ED097D" w:rsidRPr="00ED3774">
        <w:rPr>
          <w:i/>
        </w:rPr>
      </w:r>
      <w:r w:rsidR="00ED097D" w:rsidRPr="00ED3774">
        <w:rPr>
          <w:i/>
        </w:rPr>
        <w:fldChar w:fldCharType="separate"/>
      </w:r>
      <w:r w:rsidR="00F0228D" w:rsidRPr="00ED3774">
        <w:rPr>
          <w:rStyle w:val="Hyperlink"/>
          <w:i/>
          <w:color w:val="auto"/>
        </w:rPr>
        <w:t xml:space="preserve">CDGN, PHLN and CDNA Sampling Strategy for SARS-CoV-2 Genomic </w:t>
      </w:r>
    </w:p>
    <w:p w14:paraId="34F1066C" w14:textId="0CF37392" w:rsidR="00D25464" w:rsidRPr="009E63D9" w:rsidRDefault="00F0228D" w:rsidP="00F0228D">
      <w:pPr>
        <w:contextualSpacing/>
      </w:pPr>
      <w:r w:rsidRPr="00ED3774">
        <w:rPr>
          <w:rStyle w:val="Hyperlink"/>
          <w:i/>
          <w:color w:val="auto"/>
        </w:rPr>
        <w:t>Surveillance</w:t>
      </w:r>
      <w:r w:rsidR="00ED097D" w:rsidRPr="00ED3774">
        <w:rPr>
          <w:i/>
        </w:rPr>
        <w:fldChar w:fldCharType="end"/>
      </w:r>
      <w:r w:rsidR="00D25464" w:rsidRPr="00ED3774">
        <w:t xml:space="preserve">. The Strategy </w:t>
      </w:r>
      <w:r w:rsidR="00D25464" w:rsidRPr="009E63D9">
        <w:t>aimed to ensure the data collected:</w:t>
      </w:r>
    </w:p>
    <w:p w14:paraId="1D904011" w14:textId="77777777" w:rsidR="00D25464" w:rsidRPr="009E63D9" w:rsidRDefault="00D25464" w:rsidP="00732ECA">
      <w:pPr>
        <w:pStyle w:val="ListParagraph"/>
        <w:numPr>
          <w:ilvl w:val="0"/>
          <w:numId w:val="39"/>
        </w:numPr>
      </w:pPr>
      <w:r>
        <w:t>is representative of the available confirmed cases</w:t>
      </w:r>
    </w:p>
    <w:p w14:paraId="41F6960E" w14:textId="0082E28C" w:rsidR="00D25464" w:rsidRPr="009E63D9" w:rsidRDefault="00D25464" w:rsidP="00732ECA">
      <w:pPr>
        <w:pStyle w:val="ListParagraph"/>
        <w:numPr>
          <w:ilvl w:val="0"/>
          <w:numId w:val="39"/>
        </w:numPr>
      </w:pPr>
      <w:r>
        <w:t>has the ability to identify new SARS-COV-2 virus variant introductions</w:t>
      </w:r>
    </w:p>
    <w:p w14:paraId="2BE774AC" w14:textId="03BD8E2B" w:rsidR="00D25464" w:rsidRPr="009E63D9" w:rsidRDefault="00D25464" w:rsidP="00732ECA">
      <w:pPr>
        <w:pStyle w:val="ListParagraph"/>
        <w:numPr>
          <w:ilvl w:val="0"/>
          <w:numId w:val="39"/>
        </w:numPr>
      </w:pPr>
      <w:r>
        <w:t>provides reliable findings that impact public health action</w:t>
      </w:r>
      <w:r w:rsidR="009D27BC">
        <w:t>.</w:t>
      </w:r>
    </w:p>
    <w:p w14:paraId="6973BF4D" w14:textId="35150DC2" w:rsidR="00D25464" w:rsidRPr="009E63D9" w:rsidRDefault="00D25464" w:rsidP="00C148CB">
      <w:pPr>
        <w:contextualSpacing/>
      </w:pPr>
      <w:r w:rsidRPr="009E63D9">
        <w:t>The Strategy outlined suggested priority groups for targeted sampling, this included patients admitted to hospital and/or intensive care, to identify whether any virus lineages are associated with increased disease severity</w:t>
      </w:r>
      <w:r w:rsidR="009D27BC">
        <w:rPr>
          <w:rStyle w:val="FootnoteReference"/>
        </w:rPr>
        <w:footnoteReference w:id="12"/>
      </w:r>
      <w:r w:rsidR="009D27BC">
        <w:t>.</w:t>
      </w:r>
    </w:p>
    <w:p w14:paraId="085BF41D" w14:textId="77777777" w:rsidR="00B24F89" w:rsidRPr="003B6D6E" w:rsidRDefault="00B24F89" w:rsidP="002D7B0D">
      <w:pPr>
        <w:pStyle w:val="Heading4"/>
      </w:pPr>
      <w:bookmarkStart w:id="199" w:name="_Toc673283936"/>
      <w:bookmarkStart w:id="200" w:name="_Toc191899443"/>
      <w:bookmarkStart w:id="201" w:name="_Hlk159922887"/>
      <w:r>
        <w:t>WGS Proficiency Testing for SARS-CoV-2</w:t>
      </w:r>
      <w:bookmarkEnd w:id="199"/>
      <w:bookmarkEnd w:id="200"/>
    </w:p>
    <w:p w14:paraId="0002FD4E" w14:textId="23799703" w:rsidR="001A23A4" w:rsidRPr="009E63D9" w:rsidRDefault="001A23A4" w:rsidP="003273F4">
      <w:r w:rsidRPr="009E63D9">
        <w:t>To</w:t>
      </w:r>
      <w:bookmarkEnd w:id="201"/>
      <w:r w:rsidRPr="009E63D9">
        <w:t xml:space="preserve"> ensure capability was developed and maintained across jurisdictions, over 2019-2022, Health </w:t>
      </w:r>
      <w:r w:rsidRPr="00275D41">
        <w:t xml:space="preserve">supported the </w:t>
      </w:r>
      <w:hyperlink r:id="rId25">
        <w:r w:rsidRPr="00275D41">
          <w:rPr>
            <w:rStyle w:val="Hyperlink"/>
            <w:color w:val="auto"/>
          </w:rPr>
          <w:t>RCPA QAP</w:t>
        </w:r>
      </w:hyperlink>
      <w:r w:rsidRPr="00275D41">
        <w:t xml:space="preserve"> Biosecurity program </w:t>
      </w:r>
      <w:r w:rsidRPr="009E63D9">
        <w:t xml:space="preserve">to develop a PTP for SARS-CoV-2 WGS. This was offered to interested laboratories for free. The PTP provided important insights into established WGS practices and how performance and standardisation may be improved. Following the successful first pilot </w:t>
      </w:r>
      <w:r w:rsidR="00A63E3F">
        <w:t xml:space="preserve">of the </w:t>
      </w:r>
      <w:r w:rsidRPr="009E63D9">
        <w:t xml:space="preserve">WGS PTP, further modules were offered over 2020-21. These modules monitored the quality of sequencing practices in Australian </w:t>
      </w:r>
      <w:r w:rsidR="001A2101">
        <w:t>PHLs</w:t>
      </w:r>
      <w:r w:rsidRPr="009E63D9">
        <w:t>.</w:t>
      </w:r>
    </w:p>
    <w:p w14:paraId="563BACB2" w14:textId="0FEE2EE7" w:rsidR="0066791E" w:rsidRPr="003B6D6E" w:rsidRDefault="0066791E" w:rsidP="003273F4">
      <w:pPr>
        <w:pStyle w:val="Heading3"/>
      </w:pPr>
      <w:bookmarkStart w:id="202" w:name="_Toc135494146"/>
      <w:bookmarkStart w:id="203" w:name="_Toc937651310"/>
      <w:bookmarkStart w:id="204" w:name="_Toc1054119570"/>
      <w:bookmarkStart w:id="205" w:name="_Toc191899444"/>
      <w:r>
        <w:t>AusTrakka</w:t>
      </w:r>
      <w:bookmarkEnd w:id="202"/>
      <w:bookmarkEnd w:id="203"/>
      <w:bookmarkEnd w:id="204"/>
      <w:bookmarkEnd w:id="205"/>
    </w:p>
    <w:p w14:paraId="71C36249" w14:textId="1A48C277" w:rsidR="00555223" w:rsidRPr="00275D41" w:rsidRDefault="00555223" w:rsidP="003273F4">
      <w:r>
        <w:t xml:space="preserve">AusTrakka was developed in response to key reports to the Office of Health Protection on the need to better facilitate public health genomics data sharing and analysis in </w:t>
      </w:r>
      <w:r>
        <w:lastRenderedPageBreak/>
        <w:t xml:space="preserve">Australia in a nationally coordinated way. In 2020, national endorsement was provided for the use of AusTrakka, as Australia’s national genomic surveillance system for SARS-CoV-2. AusTrakka provides for near real-time analysis of integrated pathogen genomic data for public health across Australia, providing a central, secure, and private online location to share, store, analyse and view aggregated national and jurisdictional </w:t>
      </w:r>
      <w:r w:rsidRPr="00275D41">
        <w:t>data.</w:t>
      </w:r>
      <w:r w:rsidR="002C688B">
        <w:t xml:space="preserve"> </w:t>
      </w:r>
      <w:r w:rsidR="009C366D">
        <w:t>As of 202</w:t>
      </w:r>
      <w:r w:rsidR="004F76AE">
        <w:t>4</w:t>
      </w:r>
      <w:r w:rsidR="009C366D">
        <w:t xml:space="preserve">, </w:t>
      </w:r>
      <w:r w:rsidR="005E01B4">
        <w:t xml:space="preserve">AusTrakka is </w:t>
      </w:r>
      <w:r w:rsidR="00FF25AC">
        <w:t xml:space="preserve">contracted </w:t>
      </w:r>
      <w:r w:rsidR="00EB2EA7">
        <w:t>as Australia’s national genomic surveillance system for SARS-CoV-2</w:t>
      </w:r>
      <w:r w:rsidR="00583CB0">
        <w:t xml:space="preserve"> until mid-2025</w:t>
      </w:r>
      <w:r w:rsidR="00EB2EA7">
        <w:t xml:space="preserve">, with the inclusion of </w:t>
      </w:r>
      <w:r w:rsidR="009216A2">
        <w:t>additional pathogens yet to be determined.</w:t>
      </w:r>
    </w:p>
    <w:p w14:paraId="6F9E7CB5" w14:textId="65DF4493" w:rsidR="00555223" w:rsidRPr="009E63D9" w:rsidRDefault="00555223" w:rsidP="003273F4">
      <w:r w:rsidRPr="00275D41">
        <w:t xml:space="preserve">In September 2020, AHPC endorsed the </w:t>
      </w:r>
      <w:hyperlink r:id="rId26">
        <w:r w:rsidRPr="00275D41">
          <w:rPr>
            <w:rStyle w:val="Hyperlink"/>
            <w:i/>
            <w:iCs/>
            <w:color w:val="auto"/>
          </w:rPr>
          <w:t>Framework for data sharing and analysis for SARS-CoV-2 in the AusTrakka system</w:t>
        </w:r>
      </w:hyperlink>
      <w:r w:rsidRPr="00275D41">
        <w:t xml:space="preserve">. This framework </w:t>
      </w:r>
      <w:r>
        <w:t>provides a mechanism for rapid data sharing and genomic analysis within and between jurisdictions, and nationally. While not legally binding, it formalised the endorsement for public health laboratories to rapidly share all SARS-CoV-2 genomics data to the AusTrakka platform through their nominated public health laboratory for national near real-time surveillance. This enabled the public health system to track transmission and identify new and emerging SARS-CoV-2 clusters to improve surveillance of COVID-19. This rapid sharing of genomic data now consistently, meaningfully contributes to response activities and informs decision-making on public health interventions, where required.</w:t>
      </w:r>
    </w:p>
    <w:p w14:paraId="2E232510" w14:textId="77AE67D2" w:rsidR="00555223" w:rsidRPr="009E63D9" w:rsidRDefault="41923696" w:rsidP="003273F4">
      <w:r>
        <w:t>AusTrakka</w:t>
      </w:r>
      <w:r w:rsidR="00555223" w:rsidDel="41923696">
        <w:t xml:space="preserve"> </w:t>
      </w:r>
      <w:r w:rsidR="00FF3389">
        <w:t xml:space="preserve">has been </w:t>
      </w:r>
      <w:r w:rsidR="00065033">
        <w:t>involved in</w:t>
      </w:r>
      <w:r>
        <w:t xml:space="preserve"> the rapid and coordinated responses in four areas of national need:</w:t>
      </w:r>
    </w:p>
    <w:p w14:paraId="1551B3A7" w14:textId="061C1DD0" w:rsidR="00555223" w:rsidRPr="009E63D9" w:rsidRDefault="00555223" w:rsidP="00732ECA">
      <w:pPr>
        <w:pStyle w:val="ListParagraph"/>
        <w:numPr>
          <w:ilvl w:val="0"/>
          <w:numId w:val="39"/>
        </w:numPr>
        <w:spacing w:line="240" w:lineRule="auto"/>
      </w:pPr>
      <w:r w:rsidRPr="009E63D9">
        <w:t xml:space="preserve">foodborne diseases (see Case Study 1, 2 and 4, </w:t>
      </w:r>
      <w:r w:rsidRPr="00555223">
        <w:t>page</w:t>
      </w:r>
      <w:r w:rsidR="00F52087">
        <w:t>s</w:t>
      </w:r>
      <w:r w:rsidRPr="00555223">
        <w:t xml:space="preserve"> </w:t>
      </w:r>
      <w:r w:rsidR="007547E0" w:rsidRPr="007547E0">
        <w:t>6</w:t>
      </w:r>
      <w:r w:rsidR="009B0D43">
        <w:t>4</w:t>
      </w:r>
      <w:r w:rsidR="00F52087" w:rsidRPr="007547E0">
        <w:t xml:space="preserve">, </w:t>
      </w:r>
      <w:r w:rsidR="007547E0" w:rsidRPr="007547E0">
        <w:t>6</w:t>
      </w:r>
      <w:r w:rsidR="009B0D43">
        <w:t>5</w:t>
      </w:r>
      <w:r w:rsidR="00F52087" w:rsidRPr="007547E0">
        <w:t xml:space="preserve"> and </w:t>
      </w:r>
      <w:r w:rsidR="007547E0" w:rsidRPr="007547E0">
        <w:t>7</w:t>
      </w:r>
      <w:r w:rsidR="009B0D43">
        <w:t>4</w:t>
      </w:r>
      <w:r w:rsidRPr="00555223">
        <w:t>),</w:t>
      </w:r>
    </w:p>
    <w:p w14:paraId="7A65C32A" w14:textId="564D9999" w:rsidR="00555223" w:rsidRPr="009E63D9" w:rsidRDefault="00555223" w:rsidP="00732ECA">
      <w:pPr>
        <w:pStyle w:val="ListParagraph"/>
        <w:numPr>
          <w:ilvl w:val="0"/>
          <w:numId w:val="39"/>
        </w:numPr>
        <w:spacing w:line="240" w:lineRule="auto"/>
      </w:pPr>
      <w:r w:rsidRPr="009E63D9">
        <w:t xml:space="preserve">respiratory and vaccine-preventable diseases (see Case Study 3, </w:t>
      </w:r>
      <w:r w:rsidRPr="00555223">
        <w:t xml:space="preserve">page </w:t>
      </w:r>
      <w:r w:rsidR="007547E0">
        <w:t>6</w:t>
      </w:r>
      <w:r w:rsidR="009B0D43">
        <w:t>6</w:t>
      </w:r>
      <w:r w:rsidRPr="00555223">
        <w:t>),</w:t>
      </w:r>
    </w:p>
    <w:p w14:paraId="2CFD169F" w14:textId="2F1DE797" w:rsidR="00555223" w:rsidRPr="009E63D9" w:rsidRDefault="00555223" w:rsidP="00732ECA">
      <w:pPr>
        <w:pStyle w:val="ListParagraph"/>
        <w:numPr>
          <w:ilvl w:val="0"/>
          <w:numId w:val="39"/>
        </w:numPr>
        <w:spacing w:line="240" w:lineRule="auto"/>
      </w:pPr>
      <w:r w:rsidRPr="009E63D9">
        <w:t xml:space="preserve">sexually transmitted infections (see Case Study 2, </w:t>
      </w:r>
      <w:r w:rsidRPr="00555223">
        <w:t xml:space="preserve">page </w:t>
      </w:r>
      <w:r w:rsidR="007547E0">
        <w:t>6</w:t>
      </w:r>
      <w:r w:rsidR="009B0D43">
        <w:t>5</w:t>
      </w:r>
      <w:r w:rsidRPr="00555223">
        <w:t>)</w:t>
      </w:r>
    </w:p>
    <w:p w14:paraId="47063AB9" w14:textId="22E5BCA6" w:rsidR="009B0D43" w:rsidRDefault="41923696" w:rsidP="009B0D43">
      <w:pPr>
        <w:pStyle w:val="ListParagraph"/>
        <w:numPr>
          <w:ilvl w:val="0"/>
          <w:numId w:val="39"/>
        </w:numPr>
        <w:spacing w:line="240" w:lineRule="auto"/>
      </w:pPr>
      <w:r>
        <w:t xml:space="preserve">AMR (Case Study 2 and 3, page </w:t>
      </w:r>
      <w:r w:rsidR="005D61BA">
        <w:t>6</w:t>
      </w:r>
      <w:r w:rsidR="009B0D43">
        <w:t>5</w:t>
      </w:r>
      <w:r w:rsidR="005D61BA">
        <w:t>, 6</w:t>
      </w:r>
      <w:r w:rsidR="009B0D43">
        <w:t>6</w:t>
      </w:r>
      <w:r>
        <w:t>) and emerging pathogens (biothreat agents).</w:t>
      </w:r>
    </w:p>
    <w:p w14:paraId="20259D3B" w14:textId="77777777" w:rsidR="00837E95" w:rsidRDefault="00837E95" w:rsidP="00837E95">
      <w:pPr>
        <w:pStyle w:val="BoxTextGreen"/>
        <w:rPr>
          <w:rFonts w:eastAsiaTheme="majorEastAsia" w:cstheme="majorBidi"/>
          <w:color w:val="033636" w:themeColor="text2"/>
          <w:sz w:val="32"/>
        </w:rPr>
      </w:pPr>
      <w:r w:rsidRPr="00837E95">
        <w:rPr>
          <w:rFonts w:eastAsiaTheme="majorEastAsia" w:cstheme="majorBidi"/>
          <w:color w:val="033636" w:themeColor="text2"/>
          <w:sz w:val="32"/>
        </w:rPr>
        <w:t xml:space="preserve">Case Study 1: Multijurisdictional outbreak of </w:t>
      </w:r>
      <w:r w:rsidRPr="00837E95">
        <w:rPr>
          <w:rFonts w:eastAsiaTheme="majorEastAsia" w:cstheme="majorBidi"/>
          <w:i/>
          <w:color w:val="033636" w:themeColor="text2"/>
          <w:sz w:val="32"/>
        </w:rPr>
        <w:t>Salmonella</w:t>
      </w:r>
      <w:r w:rsidRPr="00837E95">
        <w:rPr>
          <w:rFonts w:eastAsiaTheme="majorEastAsia" w:cstheme="majorBidi"/>
          <w:color w:val="033636" w:themeColor="text2"/>
          <w:sz w:val="32"/>
        </w:rPr>
        <w:t xml:space="preserve"> Typhimurium</w:t>
      </w:r>
    </w:p>
    <w:p w14:paraId="04C3CF31" w14:textId="77777777" w:rsidR="00C9537E" w:rsidRDefault="002D1228" w:rsidP="00C9537E">
      <w:pPr>
        <w:pStyle w:val="BoxTextGreen"/>
        <w:rPr>
          <w:rFonts w:eastAsiaTheme="majorEastAsia" w:cstheme="majorBidi"/>
          <w:szCs w:val="20"/>
        </w:rPr>
      </w:pPr>
      <w:r w:rsidRPr="002D1228">
        <w:rPr>
          <w:rFonts w:eastAsiaTheme="majorEastAsia" w:cstheme="majorBidi"/>
          <w:szCs w:val="20"/>
        </w:rPr>
        <w:t xml:space="preserve">In 2021, a national genomic surveillance investigation of </w:t>
      </w:r>
      <w:r w:rsidRPr="002D1228">
        <w:rPr>
          <w:rFonts w:eastAsiaTheme="majorEastAsia" w:cstheme="majorBidi"/>
          <w:i/>
          <w:iCs/>
          <w:szCs w:val="20"/>
        </w:rPr>
        <w:t>Salmonella</w:t>
      </w:r>
      <w:r w:rsidRPr="002D1228">
        <w:rPr>
          <w:rFonts w:eastAsiaTheme="majorEastAsia" w:cstheme="majorBidi"/>
          <w:szCs w:val="20"/>
        </w:rPr>
        <w:t xml:space="preserve"> Typhimurium cases across Australia was conducted in AusTrakka, triggered by an increasing number of Typhimurium outbreaks across jurisdictions. For this outbreak, traditional epidemiological approaches were unable to identify clear links between clusters or potential sources as differing typing methods in each state prevented comparison based on laboratory results alone. OzFoodNet Australia requested a national comparison of all genomic sequences collected within a six-month period be conducted in AusTrakka. This included samples that were part of separate outbreaks in Queensland and Victoria. </w:t>
      </w:r>
      <w:bookmarkStart w:id="206" w:name="_Hlk159923057"/>
    </w:p>
    <w:p w14:paraId="4B6560FA" w14:textId="219143A0" w:rsidR="00056D56" w:rsidRPr="0024044C" w:rsidRDefault="00282F60" w:rsidP="00056D56">
      <w:pPr>
        <w:pStyle w:val="BoxTextGreen"/>
      </w:pPr>
      <w:r w:rsidRPr="4F50332C">
        <w:lastRenderedPageBreak/>
        <w:t>An initial comparison identified 32 multi-jurisdictional genomic clusters of varying sizes withi</w:t>
      </w:r>
      <w:bookmarkEnd w:id="206"/>
      <w:r w:rsidRPr="4F50332C">
        <w:t xml:space="preserve">n the 629 sequences submitted. In-depth genomic analysis revealed highly related groups within clusters that would not have otherwise been discovered. This enabled the identification and exclusion of suspected transmission chains between jurisdictions and potential sources. This was one of the first large-scale genomics-led exploratory investigations into </w:t>
      </w:r>
      <w:r w:rsidRPr="4F50332C">
        <w:rPr>
          <w:i/>
          <w:iCs/>
        </w:rPr>
        <w:t>Salmonella</w:t>
      </w:r>
      <w:r w:rsidRPr="4F50332C">
        <w:t xml:space="preserve"> Typhimurium transmissions across Australia. The outcomes of this </w:t>
      </w:r>
      <w:r w:rsidRPr="0024044C">
        <w:t xml:space="preserve">investigation informed OzFoodNet of potential links between cases and sources for further investigation, enabling a more targeted approach to the response. This is an example of an innovative response to national surveillance and outbreak investigation in line with the </w:t>
      </w:r>
      <w:hyperlink r:id="rId27" w:history="1">
        <w:r w:rsidRPr="0024044C">
          <w:rPr>
            <w:rStyle w:val="Hyperlink"/>
            <w:color w:val="auto"/>
          </w:rPr>
          <w:t>Australian Foodborne Illness Reduction Strategy</w:t>
        </w:r>
      </w:hyperlink>
      <w:r w:rsidR="00056D56" w:rsidRPr="0024044C">
        <w:t>.</w:t>
      </w:r>
    </w:p>
    <w:p w14:paraId="6CE4E7A3" w14:textId="3F19092F" w:rsidR="00056D56" w:rsidRDefault="00056D56">
      <w:pPr>
        <w:spacing w:before="0" w:after="0" w:line="240" w:lineRule="auto"/>
      </w:pPr>
    </w:p>
    <w:p w14:paraId="096372C4" w14:textId="05952465" w:rsidR="003944FC" w:rsidRPr="003944FC" w:rsidRDefault="003944FC" w:rsidP="008D6DAF">
      <w:pPr>
        <w:pStyle w:val="BoxTextGreen"/>
        <w:rPr>
          <w:rFonts w:eastAsiaTheme="majorEastAsia" w:cstheme="majorBidi"/>
          <w:color w:val="033636" w:themeColor="text2"/>
          <w:sz w:val="32"/>
        </w:rPr>
      </w:pPr>
      <w:r w:rsidRPr="003944FC">
        <w:rPr>
          <w:rFonts w:eastAsiaTheme="majorEastAsia" w:cstheme="majorBidi"/>
          <w:color w:val="033636" w:themeColor="text2"/>
          <w:sz w:val="32"/>
        </w:rPr>
        <w:t>Case Study 2: Monitoring multi- and extensively-drug-resistant Shigella species</w:t>
      </w:r>
    </w:p>
    <w:p w14:paraId="72CFC6F2" w14:textId="311DD50E" w:rsidR="005D61BA" w:rsidRDefault="00A813C7" w:rsidP="005D61BA">
      <w:pPr>
        <w:pStyle w:val="BoxTextGreen"/>
      </w:pPr>
      <w:r w:rsidRPr="5236FCCA">
        <w:rPr>
          <w:rFonts w:eastAsiaTheme="majorEastAsia" w:cstheme="majorBidi"/>
        </w:rPr>
        <w:t xml:space="preserve">The emergence and increased circulation of multi- and extensively-drug-resistant (MDR/XDR) </w:t>
      </w:r>
      <w:r w:rsidRPr="5236FCCA">
        <w:rPr>
          <w:rFonts w:eastAsiaTheme="majorEastAsia" w:cstheme="majorBidi"/>
          <w:i/>
        </w:rPr>
        <w:t>Shigella</w:t>
      </w:r>
      <w:r w:rsidRPr="5236FCCA">
        <w:rPr>
          <w:rFonts w:eastAsiaTheme="majorEastAsia" w:cstheme="majorBidi"/>
        </w:rPr>
        <w:t xml:space="preserve"> strains across the globe means there is a significant risk of the introduction and establishment of these highly resistant pathogens in Australia. Genomic studies undertaken in Victoria and Queensland has provided key insights to the different aspects of this threat: the introduction and transmission of XDR </w:t>
      </w:r>
      <w:r w:rsidRPr="5236FCCA">
        <w:rPr>
          <w:rFonts w:eastAsiaTheme="majorEastAsia" w:cstheme="majorBidi"/>
          <w:i/>
        </w:rPr>
        <w:t>Shigella sonnei</w:t>
      </w:r>
      <w:r w:rsidRPr="5236FCCA">
        <w:rPr>
          <w:rFonts w:eastAsiaTheme="majorEastAsia" w:cstheme="majorBidi"/>
        </w:rPr>
        <w:t xml:space="preserve"> among gay, bisexual, and other men who have sex with men (GBMSM) in Australia</w:t>
      </w:r>
      <w:r w:rsidRPr="5236FCCA">
        <w:rPr>
          <w:rFonts w:eastAsiaTheme="majorEastAsia" w:cstheme="majorBidi"/>
          <w:vertAlign w:val="superscript"/>
        </w:rPr>
        <w:footnoteReference w:id="13"/>
      </w:r>
      <w:r w:rsidR="00137D1D">
        <w:rPr>
          <w:rFonts w:eastAsiaTheme="majorEastAsia" w:cstheme="majorBidi"/>
          <w:vertAlign w:val="superscript"/>
        </w:rPr>
        <w:t>,</w:t>
      </w:r>
      <w:r w:rsidRPr="5236FCCA">
        <w:rPr>
          <w:rFonts w:eastAsiaTheme="majorEastAsia" w:cstheme="majorBidi"/>
          <w:vertAlign w:val="superscript"/>
        </w:rPr>
        <w:footnoteReference w:id="14"/>
      </w:r>
      <w:r w:rsidRPr="5236FCCA">
        <w:rPr>
          <w:rFonts w:eastAsiaTheme="majorEastAsia" w:cstheme="majorBidi"/>
        </w:rPr>
        <w:t xml:space="preserve">, co-circulation of multiple MDR </w:t>
      </w:r>
      <w:r w:rsidRPr="5236FCCA">
        <w:rPr>
          <w:rFonts w:eastAsiaTheme="majorEastAsia" w:cstheme="majorBidi"/>
          <w:i/>
        </w:rPr>
        <w:t>Shigella</w:t>
      </w:r>
      <w:r w:rsidRPr="5236FCCA">
        <w:rPr>
          <w:rFonts w:eastAsiaTheme="majorEastAsia" w:cstheme="majorBidi"/>
        </w:rPr>
        <w:t xml:space="preserve"> species in Australia</w:t>
      </w:r>
      <w:r w:rsidRPr="5236FCCA">
        <w:rPr>
          <w:rFonts w:eastAsiaTheme="majorEastAsia" w:cstheme="majorBidi"/>
          <w:vertAlign w:val="superscript"/>
        </w:rPr>
        <w:footnoteReference w:id="15"/>
      </w:r>
      <w:r w:rsidRPr="5236FCCA">
        <w:rPr>
          <w:rFonts w:eastAsiaTheme="majorEastAsia" w:cstheme="majorBidi"/>
        </w:rPr>
        <w:t xml:space="preserve">, and the transfer of a MDR plasmid to an endemic strain of </w:t>
      </w:r>
      <w:r w:rsidRPr="5236FCCA">
        <w:rPr>
          <w:rFonts w:eastAsiaTheme="majorEastAsia" w:cstheme="majorBidi"/>
          <w:i/>
        </w:rPr>
        <w:t>Shigella</w:t>
      </w:r>
      <w:r w:rsidRPr="5236FCCA">
        <w:rPr>
          <w:rFonts w:eastAsiaTheme="majorEastAsia" w:cstheme="majorBidi"/>
        </w:rPr>
        <w:t xml:space="preserve"> </w:t>
      </w:r>
      <w:r w:rsidRPr="5236FCCA">
        <w:rPr>
          <w:rFonts w:eastAsiaTheme="majorEastAsia" w:cstheme="majorBidi"/>
          <w:i/>
        </w:rPr>
        <w:t>flexneri</w:t>
      </w:r>
      <w:r w:rsidRPr="5236FCCA">
        <w:rPr>
          <w:rFonts w:eastAsiaTheme="majorEastAsia" w:cstheme="majorBidi"/>
        </w:rPr>
        <w:t xml:space="preserve"> that disproportionally affects Aboriginal and Torres Strait Islander children</w:t>
      </w:r>
      <w:r w:rsidRPr="5236FCCA">
        <w:rPr>
          <w:rFonts w:eastAsiaTheme="majorEastAsia" w:cstheme="majorBidi"/>
          <w:vertAlign w:val="superscript"/>
        </w:rPr>
        <w:footnoteReference w:id="16"/>
      </w:r>
      <w:r w:rsidRPr="5236FCCA">
        <w:rPr>
          <w:rFonts w:eastAsiaTheme="majorEastAsia" w:cstheme="majorBidi"/>
        </w:rPr>
        <w:t xml:space="preserve">. This expertise now underpins the efforts towards real-time, nationally harmonised surveillance of </w:t>
      </w:r>
      <w:r w:rsidRPr="5236FCCA">
        <w:rPr>
          <w:rFonts w:eastAsiaTheme="majorEastAsia" w:cstheme="majorBidi"/>
          <w:i/>
        </w:rPr>
        <w:t>Shigella</w:t>
      </w:r>
      <w:r w:rsidRPr="5236FCCA">
        <w:rPr>
          <w:rFonts w:eastAsiaTheme="majorEastAsia" w:cstheme="majorBidi"/>
        </w:rPr>
        <w:t xml:space="preserve"> species, undertaken as one of the key pathogens in the MRFF funded national AusPathoGen program; directly meeting the priority area of using evidence-based surveillance and monitoring data to inform action and responses outlined </w:t>
      </w:r>
      <w:r w:rsidRPr="006E30F6">
        <w:rPr>
          <w:rFonts w:eastAsiaTheme="majorEastAsia" w:cstheme="majorBidi"/>
        </w:rPr>
        <w:t xml:space="preserve">in </w:t>
      </w:r>
      <w:hyperlink r:id="rId28" w:history="1">
        <w:r w:rsidRPr="006E30F6">
          <w:rPr>
            <w:rStyle w:val="Hyperlink"/>
            <w:rFonts w:eastAsiaTheme="majorEastAsia" w:cstheme="majorBidi"/>
            <w:color w:val="auto"/>
          </w:rPr>
          <w:t>Australia’s National Antimicrobial Resistance Strategy</w:t>
        </w:r>
      </w:hyperlink>
      <w:r w:rsidRPr="5236FCCA">
        <w:rPr>
          <w:rFonts w:eastAsiaTheme="majorEastAsia" w:cstheme="majorBidi"/>
        </w:rPr>
        <w:t xml:space="preserve">. </w:t>
      </w:r>
    </w:p>
    <w:p w14:paraId="3E38E45B" w14:textId="248A9055" w:rsidR="005A3F2F" w:rsidRDefault="005A3F2F">
      <w:pPr>
        <w:spacing w:before="0" w:after="0" w:line="240" w:lineRule="auto"/>
        <w:rPr>
          <w:rFonts w:eastAsiaTheme="majorEastAsia" w:cstheme="majorBidi"/>
          <w:color w:val="033636" w:themeColor="text2"/>
          <w:sz w:val="32"/>
        </w:rPr>
      </w:pPr>
      <w:r>
        <w:br w:type="page"/>
      </w:r>
    </w:p>
    <w:p w14:paraId="6288D86F" w14:textId="77777777" w:rsidR="005A3F2F" w:rsidRDefault="005A3F2F" w:rsidP="005A3F2F">
      <w:pPr>
        <w:pStyle w:val="BoxTextGreen"/>
        <w:rPr>
          <w:rFonts w:eastAsiaTheme="majorEastAsia" w:cstheme="majorBidi"/>
          <w:color w:val="033636" w:themeColor="text2"/>
          <w:sz w:val="32"/>
        </w:rPr>
      </w:pPr>
      <w:r w:rsidRPr="5236FCCA">
        <w:rPr>
          <w:rFonts w:eastAsiaTheme="majorEastAsia" w:cstheme="majorBidi"/>
          <w:color w:val="033636" w:themeColor="text2"/>
          <w:sz w:val="32"/>
          <w:szCs w:val="32"/>
        </w:rPr>
        <w:lastRenderedPageBreak/>
        <w:t xml:space="preserve">Case Study 3: Clinical and public health utility of </w:t>
      </w:r>
      <w:r w:rsidRPr="5236FCCA">
        <w:rPr>
          <w:rFonts w:eastAsiaTheme="majorEastAsia" w:cstheme="majorBidi"/>
          <w:i/>
          <w:color w:val="033636" w:themeColor="text2"/>
          <w:sz w:val="32"/>
          <w:szCs w:val="32"/>
        </w:rPr>
        <w:t>Mycobacterium tuberculosis</w:t>
      </w:r>
      <w:r w:rsidRPr="5236FCCA">
        <w:rPr>
          <w:rFonts w:eastAsiaTheme="majorEastAsia" w:cstheme="majorBidi"/>
          <w:color w:val="033636" w:themeColor="text2"/>
          <w:sz w:val="32"/>
          <w:szCs w:val="32"/>
        </w:rPr>
        <w:t xml:space="preserve"> whole genome sequencing</w:t>
      </w:r>
      <w:r w:rsidRPr="5236FCCA">
        <w:rPr>
          <w:rFonts w:eastAsiaTheme="majorEastAsia" w:cstheme="majorBidi"/>
          <w:color w:val="033636" w:themeColor="text2"/>
          <w:sz w:val="32"/>
          <w:szCs w:val="32"/>
          <w:vertAlign w:val="superscript"/>
        </w:rPr>
        <w:footnoteReference w:id="17"/>
      </w:r>
    </w:p>
    <w:p w14:paraId="36E40360" w14:textId="77777777" w:rsidR="005A3F2F" w:rsidRPr="008D6DAF" w:rsidRDefault="005A3F2F" w:rsidP="005A3F2F">
      <w:pPr>
        <w:pStyle w:val="BoxTextGreen"/>
        <w:rPr>
          <w:rFonts w:eastAsiaTheme="majorEastAsia" w:cstheme="majorBidi"/>
          <w:color w:val="033636" w:themeColor="text2"/>
          <w:sz w:val="32"/>
        </w:rPr>
      </w:pPr>
      <w:r w:rsidRPr="008D6DAF">
        <w:rPr>
          <w:rFonts w:eastAsiaTheme="majorEastAsia" w:cstheme="majorBidi"/>
          <w:szCs w:val="20"/>
        </w:rPr>
        <w:t xml:space="preserve">For patients with </w:t>
      </w:r>
      <w:r w:rsidRPr="008D6DAF">
        <w:rPr>
          <w:rFonts w:eastAsiaTheme="majorEastAsia" w:cstheme="majorBidi"/>
          <w:i/>
          <w:szCs w:val="20"/>
        </w:rPr>
        <w:t xml:space="preserve">Mycobacterium </w:t>
      </w:r>
      <w:r w:rsidRPr="00E9280F">
        <w:rPr>
          <w:rFonts w:eastAsiaTheme="majorEastAsia" w:cstheme="majorBidi"/>
          <w:i/>
          <w:iCs/>
          <w:szCs w:val="20"/>
        </w:rPr>
        <w:t>tuberculosis</w:t>
      </w:r>
      <w:r w:rsidRPr="008D6DAF">
        <w:rPr>
          <w:rFonts w:eastAsiaTheme="majorEastAsia" w:cstheme="majorBidi"/>
          <w:szCs w:val="20"/>
        </w:rPr>
        <w:t xml:space="preserve">, WGS has been shown to be of real value as it enables patients to receive tailored treatment and is able to differentiate between relapse and re-infection. Contamination, mixed infections, clusters, and transmission pathways can also be determined more accurately using WGS compared to traditional methods. Surveillance of </w:t>
      </w:r>
      <w:r>
        <w:rPr>
          <w:rFonts w:eastAsiaTheme="majorEastAsia" w:cstheme="majorBidi"/>
          <w:szCs w:val="20"/>
        </w:rPr>
        <w:t>AMR</w:t>
      </w:r>
      <w:r w:rsidRPr="008D6DAF">
        <w:rPr>
          <w:rFonts w:eastAsiaTheme="majorEastAsia" w:cstheme="majorBidi"/>
          <w:szCs w:val="20"/>
        </w:rPr>
        <w:t xml:space="preserve"> is an additional advantage, particularly for high-burden countries.</w:t>
      </w:r>
    </w:p>
    <w:p w14:paraId="646246AD" w14:textId="77777777" w:rsidR="005A3F2F" w:rsidRPr="008D6DAF" w:rsidRDefault="005A3F2F" w:rsidP="005A3F2F">
      <w:pPr>
        <w:pStyle w:val="BoxTextGreen"/>
        <w:rPr>
          <w:rFonts w:eastAsiaTheme="majorEastAsia" w:cstheme="majorBidi"/>
          <w:szCs w:val="20"/>
        </w:rPr>
      </w:pPr>
      <w:r w:rsidRPr="5236FCCA">
        <w:rPr>
          <w:rFonts w:eastAsiaTheme="majorEastAsia" w:cstheme="majorBidi"/>
        </w:rPr>
        <w:t xml:space="preserve">In Australia, WGS of </w:t>
      </w:r>
      <w:r w:rsidRPr="5236FCCA">
        <w:rPr>
          <w:rFonts w:eastAsiaTheme="majorEastAsia" w:cstheme="majorBidi"/>
          <w:i/>
        </w:rPr>
        <w:t>Mycobacterium</w:t>
      </w:r>
      <w:r w:rsidRPr="5236FCCA">
        <w:rPr>
          <w:rFonts w:eastAsiaTheme="majorEastAsia" w:cstheme="majorBidi"/>
        </w:rPr>
        <w:t xml:space="preserve"> </w:t>
      </w:r>
      <w:r w:rsidRPr="5236FCCA">
        <w:rPr>
          <w:rFonts w:eastAsiaTheme="majorEastAsia" w:cstheme="majorBidi"/>
          <w:i/>
        </w:rPr>
        <w:t>tuberculosis</w:t>
      </w:r>
      <w:r w:rsidRPr="5236FCCA">
        <w:rPr>
          <w:rFonts w:eastAsiaTheme="majorEastAsia" w:cstheme="majorBidi"/>
        </w:rPr>
        <w:t xml:space="preserve"> for the purpose of drug susceptibility testing at the time of diagnosis and in the event of a recurrence has been added to the Medical Benefits Scheme on advice from MSAC</w:t>
      </w:r>
      <w:r w:rsidRPr="5236FCCA">
        <w:rPr>
          <w:rFonts w:eastAsiaTheme="majorEastAsia" w:cstheme="majorBidi"/>
          <w:vertAlign w:val="superscript"/>
        </w:rPr>
        <w:footnoteReference w:id="18"/>
      </w:r>
      <w:r w:rsidRPr="5236FCCA">
        <w:rPr>
          <w:rFonts w:eastAsiaTheme="majorEastAsia" w:cstheme="majorBidi"/>
        </w:rPr>
        <w:t xml:space="preserve">. </w:t>
      </w:r>
    </w:p>
    <w:p w14:paraId="337A2684" w14:textId="279D5DF0" w:rsidR="00074C2E" w:rsidRDefault="00074C2E" w:rsidP="007109F7">
      <w:pPr>
        <w:pStyle w:val="Heading3"/>
      </w:pPr>
      <w:bookmarkStart w:id="207" w:name="_Toc191899445"/>
      <w:r w:rsidRPr="00074C2E">
        <w:t>Translational research initiatives</w:t>
      </w:r>
      <w:bookmarkEnd w:id="207"/>
    </w:p>
    <w:p w14:paraId="35BFDB44" w14:textId="77777777" w:rsidR="009555DC" w:rsidRPr="00193CF0" w:rsidRDefault="009555DC" w:rsidP="003273F4">
      <w:r w:rsidRPr="00193CF0">
        <w:t>In 2020, the Australian Government announced $27 million in funding under the MRFF through the Genomics Health Futures Mission to support large scale pathogen genomics research studies that are late in the research and development pipeline. These projects aim to demonstrate clinical and/or public health utility, cost-effectiveness, and translational capacity, in recognition that such evidence is critical to the adoption of genomics in the mainstream health system.</w:t>
      </w:r>
    </w:p>
    <w:p w14:paraId="7D0DAD53" w14:textId="77777777" w:rsidR="00FA4D89" w:rsidRPr="003B6D6E" w:rsidRDefault="00FA4D89" w:rsidP="003273F4">
      <w:pPr>
        <w:pStyle w:val="Heading4"/>
      </w:pPr>
      <w:bookmarkStart w:id="208" w:name="_Toc135494148"/>
      <w:bookmarkStart w:id="209" w:name="_Toc2071220352"/>
      <w:bookmarkStart w:id="210" w:name="_Toc1916324720"/>
      <w:bookmarkStart w:id="211" w:name="_Toc191899446"/>
      <w:r>
        <w:t>AusPathoGen</w:t>
      </w:r>
      <w:bookmarkEnd w:id="208"/>
      <w:bookmarkEnd w:id="209"/>
      <w:bookmarkEnd w:id="210"/>
      <w:bookmarkEnd w:id="211"/>
    </w:p>
    <w:p w14:paraId="7753354B" w14:textId="77777777" w:rsidR="009D5D98" w:rsidRPr="00193CF0" w:rsidRDefault="009D5D98" w:rsidP="003273F4">
      <w:r w:rsidRPr="00193CF0">
        <w:t>The Australian Pathogen Genomics (AusPathoGen) Program aims to deliver precision in public health for Australia through integrated pathogen genomics. Commencing in 2021, AusPathoGen, a consortia of program partners led by CDGN, aims to build on the success of the COVID-19 genomics response to further implement and evaluate large-scale integration of pathogen genomics, epidemiological and surveillance data at the public health interface.</w:t>
      </w:r>
    </w:p>
    <w:p w14:paraId="4236884C" w14:textId="77777777" w:rsidR="00995715" w:rsidRDefault="009D5D98" w:rsidP="003273F4">
      <w:r w:rsidRPr="00193CF0">
        <w:t xml:space="preserve">The AusPathoGen program aims to address the rise in infectious diseases and </w:t>
      </w:r>
      <w:r w:rsidR="00287277">
        <w:t>AMR</w:t>
      </w:r>
      <w:r w:rsidRPr="00193CF0">
        <w:t xml:space="preserve">, adhering to international models for optimal use of pathogen genomic data. </w:t>
      </w:r>
    </w:p>
    <w:p w14:paraId="418C8877" w14:textId="77777777" w:rsidR="00995715" w:rsidRDefault="00995715">
      <w:pPr>
        <w:spacing w:before="0" w:after="0" w:line="240" w:lineRule="auto"/>
      </w:pPr>
      <w:r>
        <w:br w:type="page"/>
      </w:r>
    </w:p>
    <w:p w14:paraId="4E306F76" w14:textId="41179A70" w:rsidR="009D5D98" w:rsidRPr="00193CF0" w:rsidRDefault="009D5D98" w:rsidP="003273F4">
      <w:r w:rsidRPr="00193CF0">
        <w:lastRenderedPageBreak/>
        <w:t>This includes:</w:t>
      </w:r>
    </w:p>
    <w:p w14:paraId="3330ED64" w14:textId="77777777" w:rsidR="009D5D98" w:rsidRPr="00193CF0" w:rsidRDefault="009D5D98" w:rsidP="00732ECA">
      <w:pPr>
        <w:pStyle w:val="ListParagraph"/>
        <w:numPr>
          <w:ilvl w:val="0"/>
          <w:numId w:val="39"/>
        </w:numPr>
      </w:pPr>
      <w:r w:rsidRPr="00193CF0">
        <w:t>accelerating translational research to inform the establishment of genomics-enabled surveillance and public health interventions</w:t>
      </w:r>
    </w:p>
    <w:p w14:paraId="770FE1E7" w14:textId="32A12DA0" w:rsidR="009D5D98" w:rsidRPr="00193CF0" w:rsidRDefault="009D5D98" w:rsidP="00732ECA">
      <w:pPr>
        <w:pStyle w:val="ListParagraph"/>
        <w:numPr>
          <w:ilvl w:val="0"/>
          <w:numId w:val="39"/>
        </w:numPr>
      </w:pPr>
      <w:r w:rsidRPr="00193CF0">
        <w:t xml:space="preserve">evaluation of its cost-effectiveness and public health impact </w:t>
      </w:r>
    </w:p>
    <w:p w14:paraId="375A4D2F" w14:textId="77777777" w:rsidR="009D5D98" w:rsidRPr="00193CF0" w:rsidRDefault="009D5D98" w:rsidP="00732ECA">
      <w:pPr>
        <w:pStyle w:val="ListParagraph"/>
        <w:numPr>
          <w:ilvl w:val="0"/>
          <w:numId w:val="39"/>
        </w:numPr>
      </w:pPr>
      <w:r w:rsidRPr="00193CF0">
        <w:t>strengthening the pathogen genomics community in Australia and internationally.</w:t>
      </w:r>
    </w:p>
    <w:p w14:paraId="1E4FDE11" w14:textId="11426223" w:rsidR="009D5D98" w:rsidRPr="00193CF0" w:rsidRDefault="009D5D98" w:rsidP="003273F4">
      <w:r w:rsidRPr="00193CF0">
        <w:t xml:space="preserve">The Program also aims to reduce the impact of infectious diseases and AMR on public health by improving pathogen characterisation and optimising responses, to enhance public health action and patient care in Australia. This work will support activities under this </w:t>
      </w:r>
      <w:r w:rsidR="004936B2">
        <w:t>f</w:t>
      </w:r>
      <w:r w:rsidRPr="00193CF0">
        <w:t>ramework.</w:t>
      </w:r>
    </w:p>
    <w:p w14:paraId="1A99EE24" w14:textId="77777777" w:rsidR="00E13E57" w:rsidRPr="003B6D6E" w:rsidRDefault="00E13E57" w:rsidP="003273F4">
      <w:pPr>
        <w:pStyle w:val="Heading4"/>
      </w:pPr>
      <w:bookmarkStart w:id="212" w:name="_Toc135494149"/>
      <w:bookmarkStart w:id="213" w:name="_Toc1510274518"/>
      <w:bookmarkStart w:id="214" w:name="_Toc1087469545"/>
      <w:bookmarkStart w:id="215" w:name="_Toc191899447"/>
      <w:r>
        <w:t>H2Seq</w:t>
      </w:r>
      <w:bookmarkEnd w:id="212"/>
      <w:bookmarkEnd w:id="213"/>
      <w:bookmarkEnd w:id="214"/>
      <w:bookmarkEnd w:id="215"/>
    </w:p>
    <w:p w14:paraId="7A3664F7" w14:textId="77777777" w:rsidR="00CD74F6" w:rsidRPr="00CD74F6" w:rsidRDefault="00CD74F6" w:rsidP="003273F4">
      <w:r w:rsidRPr="00CD74F6">
        <w:t xml:space="preserve">Human immunodeficiency virus (HIV) and hepatitis C (HCV) are among the most rapidly mutating, genetically diverse, pathogenic RNA viruses. Mutations observed in circulating viruses are influenced by challenges posed by the human immune system and antiviral treatments. Transmission is mainly influenced by human behaviour and constraints associated with efficient viral replication. Understanding the interaction of viral mutations and each of these influencing factors are key to informing preventive and therapeutic strategies for HIV and HCV. </w:t>
      </w:r>
    </w:p>
    <w:p w14:paraId="13CC5FCE" w14:textId="77777777" w:rsidR="00CD74F6" w:rsidRPr="00CD74F6" w:rsidRDefault="00CD74F6" w:rsidP="003273F4">
      <w:r w:rsidRPr="00CD74F6">
        <w:t>H2Seq, as a MRFF-funded initiative, has a vision to develop, implement, and evaluate a national system for near real-time molecular epidemiology of HIV and HCV in Australia. The goal is to assess the efficacy and cost-effectiveness of targeted public health interventions for newly acquired HIV and HCV infections informed by phylogenetic analyses annotated with epidemiological data. Public health applications of the molecular epidemiology of HIV and HCV will only be implemented when it is deemed ethically, legally, and socially responsible.</w:t>
      </w:r>
    </w:p>
    <w:p w14:paraId="22840FEB" w14:textId="77777777" w:rsidR="00CD74F6" w:rsidRPr="00CD74F6" w:rsidRDefault="00CD74F6" w:rsidP="003273F4">
      <w:r w:rsidRPr="00CD74F6">
        <w:t>In relation to microbial genomics and molecular epidemiology for HIV and HCV, H2Seq has achieved the following:</w:t>
      </w:r>
    </w:p>
    <w:p w14:paraId="3F63790C" w14:textId="4808BBB4" w:rsidR="00CD74F6" w:rsidRPr="00CD74F6" w:rsidRDefault="00CD74F6" w:rsidP="006C7957">
      <w:pPr>
        <w:numPr>
          <w:ilvl w:val="0"/>
          <w:numId w:val="10"/>
        </w:numPr>
      </w:pPr>
      <w:r w:rsidRPr="00CD74F6">
        <w:t>Consulted widely across the pathogen genomics and blood borne virus (BBV) public health sectors in each state and territory via national stakeholder working groups to establish the feasibility of the H2Seq molecular epidemiology framework.</w:t>
      </w:r>
    </w:p>
    <w:p w14:paraId="6627908E" w14:textId="659E5C10" w:rsidR="00CD74F6" w:rsidRPr="00CD74F6" w:rsidRDefault="00CD74F6" w:rsidP="006C7957">
      <w:pPr>
        <w:numPr>
          <w:ilvl w:val="0"/>
          <w:numId w:val="10"/>
        </w:numPr>
      </w:pPr>
      <w:r w:rsidRPr="00CD74F6">
        <w:t xml:space="preserve">Developed and implemented algorithms enabling reliable subject level linkage of viral sequences and public health metadata without storage of any potentially identifying information by systematic anonymisation at data source. Given the concerns relating to individual privacy and confidentiality for these infections this </w:t>
      </w:r>
      <w:r w:rsidRPr="00CD74F6">
        <w:lastRenderedPageBreak/>
        <w:t>approach uses cryptographic hashing to enable linkage without compromising the information used in the linkage.</w:t>
      </w:r>
    </w:p>
    <w:p w14:paraId="16E19791" w14:textId="77777777" w:rsidR="00CD74F6" w:rsidRDefault="00CD74F6" w:rsidP="006C7957">
      <w:pPr>
        <w:numPr>
          <w:ilvl w:val="0"/>
          <w:numId w:val="10"/>
        </w:numPr>
      </w:pPr>
      <w:r w:rsidRPr="00CD74F6">
        <w:t>Evaluated legal and ethical considerations around setting up centralised pathogen genomic databases, linked to public health metadata, data sharing with key stakeholders, as well as development of strategies to mitigate such risks.</w:t>
      </w:r>
    </w:p>
    <w:p w14:paraId="7A6FCD82" w14:textId="0C9F2103" w:rsidR="00CD74F6" w:rsidRPr="003B6D6E" w:rsidRDefault="007F766E" w:rsidP="00CD74F6">
      <w:pPr>
        <w:pStyle w:val="Heading4"/>
      </w:pPr>
      <w:bookmarkStart w:id="216" w:name="_Toc191899448"/>
      <w:r w:rsidRPr="007F766E">
        <w:t>Metagenomics Platform (Meta-GP)</w:t>
      </w:r>
      <w:bookmarkEnd w:id="216"/>
    </w:p>
    <w:p w14:paraId="2B71304A" w14:textId="77777777" w:rsidR="00641444" w:rsidRPr="00641444" w:rsidRDefault="00641444" w:rsidP="00641444">
      <w:pPr>
        <w:rPr>
          <w:rFonts w:cs="Arial"/>
        </w:rPr>
      </w:pPr>
      <w:r w:rsidRPr="00641444">
        <w:rPr>
          <w:rFonts w:cs="Arial"/>
        </w:rPr>
        <w:t xml:space="preserve">Clinical metagenomic next-generation sequencing is a transformative approach in microbial diagnostics and patient care, due to its use in detecting and characterising all known pathogens – bacterial, viral, fungal, parasitic – in one single test. Meta-GP, </w:t>
      </w:r>
      <w:r w:rsidRPr="00641444">
        <w:rPr>
          <w:rFonts w:eastAsia="Calibri" w:cs="Arial"/>
        </w:rPr>
        <w:t>a MRFF funded national multi-centre cohort study,</w:t>
      </w:r>
      <w:r w:rsidRPr="00641444">
        <w:rPr>
          <w:rFonts w:cs="Arial"/>
        </w:rPr>
        <w:t xml:space="preserve"> aims to develop and implement clinical metagenomic diagnostics for infectious diseases in Australia</w:t>
      </w:r>
      <w:r w:rsidRPr="00641444">
        <w:rPr>
          <w:rFonts w:eastAsia="Calibri" w:cs="Arial"/>
        </w:rPr>
        <w:t>n clinical and public health laboratories</w:t>
      </w:r>
      <w:r w:rsidRPr="00641444">
        <w:rPr>
          <w:rFonts w:cs="Arial"/>
        </w:rPr>
        <w:t xml:space="preserve">. </w:t>
      </w:r>
    </w:p>
    <w:p w14:paraId="30564EBE" w14:textId="5BFCC72E" w:rsidR="00641444" w:rsidRPr="00945F89" w:rsidRDefault="00641444" w:rsidP="00641444">
      <w:r w:rsidRPr="00945F89">
        <w:t xml:space="preserve">At the conclusion of Meta-GP, Australia will have a nationally accessible network of laboratories that can apply metagenomic approaches in patient care to rapidly detect, prevent, and respond to infectious threats, including </w:t>
      </w:r>
      <w:r w:rsidR="00C62EC0">
        <w:t>AMR</w:t>
      </w:r>
      <w:r w:rsidRPr="00945F89">
        <w:t>.</w:t>
      </w:r>
    </w:p>
    <w:p w14:paraId="7A1789EA" w14:textId="112857DE" w:rsidR="00641444" w:rsidRPr="00945F89" w:rsidRDefault="00641444" w:rsidP="00641444">
      <w:r w:rsidRPr="00945F89">
        <w:t>Meta-GP aligns with the</w:t>
      </w:r>
      <w:r w:rsidR="00627C3F">
        <w:t xml:space="preserve"> Framework</w:t>
      </w:r>
      <w:r w:rsidR="00DF7FCD">
        <w:t>’s</w:t>
      </w:r>
      <w:r w:rsidRPr="00945F89">
        <w:t xml:space="preserve"> strategic priorities and principles by delivering the following objectives:</w:t>
      </w:r>
    </w:p>
    <w:p w14:paraId="7412CD5E" w14:textId="77777777" w:rsidR="00641444" w:rsidRPr="00945F89" w:rsidRDefault="00641444" w:rsidP="006C7957">
      <w:pPr>
        <w:numPr>
          <w:ilvl w:val="0"/>
          <w:numId w:val="10"/>
        </w:numPr>
      </w:pPr>
      <w:r w:rsidRPr="00945F89">
        <w:t>the ability to rapidly identify the cause of any infectious disease within a clinically actionable timeframe and hence transform individual patient care</w:t>
      </w:r>
    </w:p>
    <w:p w14:paraId="105D76A1" w14:textId="6C601103" w:rsidR="00641444" w:rsidRPr="00945F89" w:rsidRDefault="00641444" w:rsidP="006C7957">
      <w:pPr>
        <w:numPr>
          <w:ilvl w:val="0"/>
          <w:numId w:val="10"/>
        </w:numPr>
      </w:pPr>
      <w:r w:rsidRPr="00945F89">
        <w:t>a clear understanding of the range of microbial pathogens that impose a major disease burden in Australia</w:t>
      </w:r>
    </w:p>
    <w:p w14:paraId="6C9CAC1E" w14:textId="77777777" w:rsidR="00641444" w:rsidRPr="00945F89" w:rsidRDefault="00641444" w:rsidP="006C7957">
      <w:pPr>
        <w:numPr>
          <w:ilvl w:val="0"/>
          <w:numId w:val="10"/>
        </w:numPr>
      </w:pPr>
      <w:r w:rsidRPr="00945F89">
        <w:t>ensure public health surveillance can occur in the face of culture independent diagnostic tests.</w:t>
      </w:r>
    </w:p>
    <w:p w14:paraId="4651FA66" w14:textId="77777777" w:rsidR="000D5759" w:rsidRPr="003B6D6E" w:rsidRDefault="000D5759" w:rsidP="000D5759">
      <w:pPr>
        <w:pStyle w:val="Heading2"/>
      </w:pPr>
      <w:bookmarkStart w:id="217" w:name="_Toc135494152"/>
      <w:bookmarkStart w:id="218" w:name="_Toc1537444308"/>
      <w:bookmarkStart w:id="219" w:name="_Toc2108440824"/>
      <w:bookmarkStart w:id="220" w:name="_Toc191899449"/>
      <w:r>
        <w:t>International developments</w:t>
      </w:r>
      <w:bookmarkEnd w:id="217"/>
      <w:bookmarkEnd w:id="218"/>
      <w:bookmarkEnd w:id="219"/>
      <w:bookmarkEnd w:id="220"/>
    </w:p>
    <w:p w14:paraId="51FFEB14" w14:textId="77777777" w:rsidR="000D5759" w:rsidRPr="000D5759" w:rsidRDefault="000D5759" w:rsidP="000D5759">
      <w:pPr>
        <w:rPr>
          <w:rFonts w:cs="Arial"/>
        </w:rPr>
      </w:pPr>
      <w:r w:rsidRPr="000D5759">
        <w:rPr>
          <w:rFonts w:cs="Arial"/>
        </w:rPr>
        <w:t>Due to the emergence of SARS-CoV-2 and its rapidly emerging and evolving variants, the ability to perform genome sequencing has now been established in more than two-thirds of WHO Member State countries</w:t>
      </w:r>
      <w:r w:rsidRPr="00201E33">
        <w:rPr>
          <w:rFonts w:cs="Arial"/>
          <w:vertAlign w:val="superscript"/>
        </w:rPr>
        <w:footnoteReference w:id="19"/>
      </w:r>
      <w:r w:rsidRPr="000D5759">
        <w:rPr>
          <w:rFonts w:cs="Arial"/>
        </w:rPr>
        <w:t>. However, there remains marked variation between different countries regarding the degree to which:</w:t>
      </w:r>
    </w:p>
    <w:p w14:paraId="61EA37CE" w14:textId="3C79A1A4" w:rsidR="000D5759" w:rsidRPr="00945F89" w:rsidRDefault="000D5759" w:rsidP="006C7957">
      <w:pPr>
        <w:numPr>
          <w:ilvl w:val="0"/>
          <w:numId w:val="10"/>
        </w:numPr>
      </w:pPr>
      <w:r w:rsidRPr="00945F89">
        <w:lastRenderedPageBreak/>
        <w:t>infrastructure and systems enable nationwide genomic surveillance of communicable diseases</w:t>
      </w:r>
    </w:p>
    <w:p w14:paraId="716BB5FF" w14:textId="77777777" w:rsidR="000D5759" w:rsidRPr="00945F89" w:rsidRDefault="000D5759" w:rsidP="006C7957">
      <w:pPr>
        <w:numPr>
          <w:ilvl w:val="0"/>
          <w:numId w:val="10"/>
        </w:numPr>
      </w:pPr>
      <w:r w:rsidRPr="00945F89">
        <w:t>genomic data is able to be shared for public health purposes.</w:t>
      </w:r>
    </w:p>
    <w:p w14:paraId="4C31E183" w14:textId="77777777" w:rsidR="000D5759" w:rsidRPr="000D5759" w:rsidRDefault="000D5759" w:rsidP="000D5759">
      <w:pPr>
        <w:rPr>
          <w:rFonts w:cs="Arial"/>
        </w:rPr>
      </w:pPr>
      <w:r w:rsidRPr="000D5759">
        <w:rPr>
          <w:rFonts w:cs="Arial"/>
        </w:rPr>
        <w:t>Below is a brief snapshot of activities undertaken by key organisations, collaborations, and countries to enhance pathogen genomic capability and capacity.</w:t>
      </w:r>
    </w:p>
    <w:p w14:paraId="27FCCD88" w14:textId="77777777" w:rsidR="00367A56" w:rsidRPr="00367A56" w:rsidRDefault="00367A56" w:rsidP="00367A56">
      <w:pPr>
        <w:pStyle w:val="Heading3"/>
      </w:pPr>
      <w:bookmarkStart w:id="221" w:name="_Toc1711865056"/>
      <w:bookmarkStart w:id="222" w:name="_Toc1203061279"/>
      <w:bookmarkStart w:id="223" w:name="_Toc191899450"/>
      <w:r w:rsidRPr="00367A56">
        <w:t>World Health Organization</w:t>
      </w:r>
      <w:bookmarkEnd w:id="221"/>
      <w:bookmarkEnd w:id="222"/>
      <w:bookmarkEnd w:id="223"/>
    </w:p>
    <w:p w14:paraId="28659EF8" w14:textId="77777777" w:rsidR="00367A56" w:rsidRPr="00367A56" w:rsidRDefault="00367A56" w:rsidP="00367A56">
      <w:r w:rsidRPr="00367A56">
        <w:t>The WHO acknowledges that the application of microbial genome analysis has emerged as an essential feature in infectious disease control, with the intention of:</w:t>
      </w:r>
    </w:p>
    <w:p w14:paraId="5D904B49" w14:textId="213AECAB" w:rsidR="00367A56" w:rsidRPr="00367A56" w:rsidRDefault="00367A56" w:rsidP="00732ECA">
      <w:pPr>
        <w:numPr>
          <w:ilvl w:val="0"/>
          <w:numId w:val="41"/>
        </w:numPr>
      </w:pPr>
      <w:r w:rsidRPr="00367A56">
        <w:t>identification and diagnosis of infectious diseases</w:t>
      </w:r>
    </w:p>
    <w:p w14:paraId="03A51C65" w14:textId="77777777" w:rsidR="00367A56" w:rsidRPr="00367A56" w:rsidRDefault="00367A56" w:rsidP="00732ECA">
      <w:pPr>
        <w:numPr>
          <w:ilvl w:val="0"/>
          <w:numId w:val="41"/>
        </w:numPr>
      </w:pPr>
      <w:r w:rsidRPr="00367A56">
        <w:t>demonstrating infection movement between human and/or animal hosts, including:</w:t>
      </w:r>
    </w:p>
    <w:p w14:paraId="703EFF3E" w14:textId="77777777" w:rsidR="00367A56" w:rsidRPr="00367A56" w:rsidRDefault="00367A56" w:rsidP="00732ECA">
      <w:pPr>
        <w:numPr>
          <w:ilvl w:val="1"/>
          <w:numId w:val="53"/>
        </w:numPr>
      </w:pPr>
      <w:r w:rsidRPr="00367A56">
        <w:t>evolution mapping of infectious agents</w:t>
      </w:r>
    </w:p>
    <w:p w14:paraId="3BD2E256" w14:textId="6C9618A9" w:rsidR="00367A56" w:rsidRPr="00367A56" w:rsidRDefault="00367A56" w:rsidP="00732ECA">
      <w:pPr>
        <w:numPr>
          <w:ilvl w:val="1"/>
          <w:numId w:val="53"/>
        </w:numPr>
      </w:pPr>
      <w:r w:rsidRPr="00367A56">
        <w:t xml:space="preserve">gene phenotypic properties assignment, such as infectivity and pathogenicity </w:t>
      </w:r>
    </w:p>
    <w:p w14:paraId="2441DDFA" w14:textId="77777777" w:rsidR="00367A56" w:rsidRPr="00367A56" w:rsidRDefault="00367A56" w:rsidP="00732ECA">
      <w:pPr>
        <w:numPr>
          <w:ilvl w:val="1"/>
          <w:numId w:val="53"/>
        </w:numPr>
      </w:pPr>
      <w:r w:rsidRPr="00367A56">
        <w:t>drug sensitivity or resistance evaluation of an infectious agent.</w:t>
      </w:r>
    </w:p>
    <w:p w14:paraId="0DED8668" w14:textId="5EBCEFCE" w:rsidR="00367A56" w:rsidRPr="00367A56" w:rsidRDefault="00367A56" w:rsidP="00367A56">
      <w:r w:rsidRPr="00367A56">
        <w:t xml:space="preserve">To drive the progression of its integration, the WHO has released the </w:t>
      </w:r>
      <w:hyperlink r:id="rId29" w:anchor=":~:text=Global%20genomic%20surveillance%20strategy%20for%20pathogens%20with%20pandemic,detection%2C%20monitoring%20and%20response%20to%20public%20health%20threats" w:history="1">
        <w:r w:rsidRPr="00B01E5F">
          <w:rPr>
            <w:rStyle w:val="Hyperlink"/>
            <w:i/>
            <w:iCs/>
            <w:color w:val="auto"/>
          </w:rPr>
          <w:t>Global genomic surveillance strategy for pathogens with pandemic and epidemic potential 2022-2032</w:t>
        </w:r>
      </w:hyperlink>
      <w:r w:rsidR="00B01E5F" w:rsidRPr="00B01E5F">
        <w:rPr>
          <w:i/>
          <w:iCs/>
        </w:rPr>
        <w:t xml:space="preserve"> </w:t>
      </w:r>
      <w:r w:rsidRPr="00367A56">
        <w:t>which urges Member States to strengthen their genomic surveillance capacity and capabilities. It aims to address public health needs while recognising that most countries will require assistance to develop their own capabilities. The five objectives of the strategy are to:</w:t>
      </w:r>
    </w:p>
    <w:p w14:paraId="6C49FB4D" w14:textId="77777777" w:rsidR="00367A56" w:rsidRPr="00367A56" w:rsidRDefault="00367A56" w:rsidP="00732ECA">
      <w:pPr>
        <w:numPr>
          <w:ilvl w:val="0"/>
          <w:numId w:val="42"/>
        </w:numPr>
      </w:pPr>
      <w:r w:rsidRPr="00367A56">
        <w:t>improve access to tools for better geographic representation</w:t>
      </w:r>
    </w:p>
    <w:p w14:paraId="6D3AA9AA" w14:textId="77777777" w:rsidR="00367A56" w:rsidRPr="00367A56" w:rsidRDefault="00367A56" w:rsidP="00732ECA">
      <w:pPr>
        <w:numPr>
          <w:ilvl w:val="0"/>
          <w:numId w:val="42"/>
        </w:numPr>
      </w:pPr>
      <w:r w:rsidRPr="00367A56">
        <w:t>strengthen the workforce to deliver at speed, scale, and quality</w:t>
      </w:r>
    </w:p>
    <w:p w14:paraId="7E8BBFC9" w14:textId="77777777" w:rsidR="00367A56" w:rsidRPr="00367A56" w:rsidRDefault="00367A56" w:rsidP="00732ECA">
      <w:pPr>
        <w:numPr>
          <w:ilvl w:val="0"/>
          <w:numId w:val="42"/>
        </w:numPr>
      </w:pPr>
      <w:r w:rsidRPr="00367A56">
        <w:t>enhance data sharing and utility for streamlined local to global public health decision-making and action</w:t>
      </w:r>
    </w:p>
    <w:p w14:paraId="52498AEA" w14:textId="553D029B" w:rsidR="00367A56" w:rsidRPr="00367A56" w:rsidRDefault="00367A56" w:rsidP="00732ECA">
      <w:pPr>
        <w:numPr>
          <w:ilvl w:val="0"/>
          <w:numId w:val="42"/>
        </w:numPr>
      </w:pPr>
      <w:r w:rsidRPr="00367A56">
        <w:t>maximise connectivity for timely value-add in the broader surveillance architecture</w:t>
      </w:r>
    </w:p>
    <w:p w14:paraId="6A630773" w14:textId="4AA2DC02" w:rsidR="00367A56" w:rsidRPr="00367A56" w:rsidRDefault="00367A56" w:rsidP="00732ECA">
      <w:pPr>
        <w:numPr>
          <w:ilvl w:val="0"/>
          <w:numId w:val="42"/>
        </w:numPr>
      </w:pPr>
      <w:r w:rsidRPr="00367A56">
        <w:t>maintain a readiness posture for emergencies</w:t>
      </w:r>
      <w:r w:rsidR="002B0A57" w:rsidRPr="00367A56">
        <w:rPr>
          <w:vertAlign w:val="superscript"/>
        </w:rPr>
        <w:footnoteReference w:id="20"/>
      </w:r>
      <w:r w:rsidRPr="00367A56">
        <w:t>.</w:t>
      </w:r>
    </w:p>
    <w:p w14:paraId="7421BBD0" w14:textId="5A2DA38B" w:rsidR="00367A56" w:rsidRPr="00367A56" w:rsidRDefault="00367A56" w:rsidP="00367A56">
      <w:r w:rsidRPr="00367A56">
        <w:lastRenderedPageBreak/>
        <w:t>This global strategy aims to guide countries in their expansion of genomic surveillance efforts and promote a harmonised local-to-global approach. Supporting the Strategy’s mandate is the recently formed WHO Western Pacific Region (WPR) Emerging Molecular Pathogen Characterisation Technologies (EMPaCT) Surveillance Network. The Network identifies that there is a need for a systems approach to re-visit and re</w:t>
      </w:r>
      <w:r w:rsidRPr="00367A56">
        <w:noBreakHyphen/>
        <w:t>organise available resources to meet new demand for surveillance to include genomic information in the WPR. A seven-step approach was proposed to facilitate this vision which strives to support the development of sustainable, resilient, and nationally coordinated in-country genomic surveillance systems which have the potential to detect and characterise new threats</w:t>
      </w:r>
      <w:r w:rsidRPr="00367A56">
        <w:rPr>
          <w:vertAlign w:val="superscript"/>
        </w:rPr>
        <w:footnoteReference w:id="21"/>
      </w:r>
      <w:r w:rsidRPr="00367A56">
        <w:t>.</w:t>
      </w:r>
    </w:p>
    <w:p w14:paraId="4D2F1020" w14:textId="695775B6" w:rsidR="00367A56" w:rsidRPr="00FE0AAE" w:rsidRDefault="00367A56" w:rsidP="00367A56">
      <w:r w:rsidRPr="00367A56">
        <w:t xml:space="preserve">Understanding the </w:t>
      </w:r>
      <w:r w:rsidRPr="00FE0AAE">
        <w:t xml:space="preserve">complexities of genomic integration, in July 2022 WHO published the </w:t>
      </w:r>
      <w:hyperlink r:id="rId30" w:history="1">
        <w:r w:rsidRPr="00FE0AAE">
          <w:rPr>
            <w:rStyle w:val="Hyperlink"/>
            <w:i/>
            <w:iCs/>
            <w:color w:val="auto"/>
          </w:rPr>
          <w:t>Accelerating access to genomics for global health: promotion, implementation, collaboration, and ethical, legal, and social issues: a report of the WHO Science Council.</w:t>
        </w:r>
      </w:hyperlink>
      <w:r w:rsidRPr="00FE0AAE">
        <w:rPr>
          <w:i/>
          <w:iCs/>
        </w:rPr>
        <w:t xml:space="preserve"> </w:t>
      </w:r>
      <w:r w:rsidRPr="00FE0AAE">
        <w:t>The report acknowledges the impediments to integration of genomics in low- and middle-income countries include the high cost of equipment and reagents, and lack of trained personnel. In this report, fifteen actions are recommended to achieve the goal of accelerating access to genomics for global health under four themes:</w:t>
      </w:r>
    </w:p>
    <w:p w14:paraId="218A7551" w14:textId="77777777" w:rsidR="00367A56" w:rsidRPr="00FE0AAE" w:rsidRDefault="00367A56" w:rsidP="00732ECA">
      <w:pPr>
        <w:numPr>
          <w:ilvl w:val="0"/>
          <w:numId w:val="44"/>
        </w:numPr>
      </w:pPr>
      <w:r w:rsidRPr="00FE0AAE">
        <w:t>promotion of genomics through advocacy</w:t>
      </w:r>
    </w:p>
    <w:p w14:paraId="57C36829" w14:textId="77777777" w:rsidR="00367A56" w:rsidRPr="00FE0AAE" w:rsidRDefault="00367A56" w:rsidP="00732ECA">
      <w:pPr>
        <w:numPr>
          <w:ilvl w:val="0"/>
          <w:numId w:val="44"/>
        </w:numPr>
      </w:pPr>
      <w:r w:rsidRPr="00FE0AAE">
        <w:t>implementation of genomic methodologies</w:t>
      </w:r>
    </w:p>
    <w:p w14:paraId="7E7FCE86" w14:textId="2099CDDA" w:rsidR="00367A56" w:rsidRPr="00FE0AAE" w:rsidRDefault="00367A56" w:rsidP="00732ECA">
      <w:pPr>
        <w:numPr>
          <w:ilvl w:val="0"/>
          <w:numId w:val="44"/>
        </w:numPr>
      </w:pPr>
      <w:r w:rsidRPr="00FE0AAE">
        <w:t>collaboration among entities engaged in genomics</w:t>
      </w:r>
    </w:p>
    <w:p w14:paraId="0822DE86" w14:textId="7EB31668" w:rsidR="00367A56" w:rsidRPr="00FE0AAE" w:rsidRDefault="00367A56" w:rsidP="00732ECA">
      <w:pPr>
        <w:numPr>
          <w:ilvl w:val="0"/>
          <w:numId w:val="44"/>
        </w:numPr>
      </w:pPr>
      <w:r w:rsidRPr="00FE0AAE">
        <w:t>attention to the ethical legal, and social issues raised by genomics</w:t>
      </w:r>
      <w:r w:rsidR="002B0A57" w:rsidRPr="00FE0AAE">
        <w:rPr>
          <w:i/>
          <w:iCs/>
          <w:vertAlign w:val="superscript"/>
        </w:rPr>
        <w:footnoteReference w:id="22"/>
      </w:r>
      <w:r w:rsidRPr="00FE0AAE">
        <w:t>.</w:t>
      </w:r>
    </w:p>
    <w:p w14:paraId="3CBF6743" w14:textId="4B950E6F" w:rsidR="00367A56" w:rsidRPr="00367A56" w:rsidRDefault="00367A56" w:rsidP="00367A56">
      <w:r w:rsidRPr="00FE0AAE">
        <w:t xml:space="preserve">Recognising the global response to the COVID-19 pandemic was disjointed and hindered by inadequate sharing, WHO published the </w:t>
      </w:r>
      <w:hyperlink r:id="rId31" w:history="1">
        <w:r w:rsidRPr="00FE0AAE">
          <w:rPr>
            <w:rStyle w:val="Hyperlink"/>
            <w:i/>
            <w:iCs/>
            <w:color w:val="auto"/>
          </w:rPr>
          <w:t>WHO guiding principles for pathogen genome data sharing</w:t>
        </w:r>
      </w:hyperlink>
      <w:r w:rsidRPr="00FE0AAE">
        <w:t xml:space="preserve"> in November 2022. The guidance acknowledges pathogen genomics capacity is advancing rapidly and recognises risks created by gaps in global surveillance. New technology is not equally accessible and potentially negative effects from reporting the emergence of new and dangerous pathogens can act as a deterrent to data sharing. WHO encourages timely pathogen genome data </w:t>
      </w:r>
      <w:r w:rsidR="00957763" w:rsidRPr="00FE0AAE">
        <w:t>sharing,</w:t>
      </w:r>
      <w:r w:rsidRPr="00FE0AAE">
        <w:t xml:space="preserve"> and the guidance suggests 13 foundational principles on which pathogen genome data sharing should be </w:t>
      </w:r>
      <w:r w:rsidRPr="00367A56">
        <w:t>based:</w:t>
      </w:r>
    </w:p>
    <w:p w14:paraId="15E9521B" w14:textId="77777777" w:rsidR="00367A56" w:rsidRPr="00367A56" w:rsidRDefault="00367A56" w:rsidP="00732ECA">
      <w:pPr>
        <w:numPr>
          <w:ilvl w:val="0"/>
          <w:numId w:val="45"/>
        </w:numPr>
      </w:pPr>
      <w:r w:rsidRPr="00367A56">
        <w:lastRenderedPageBreak/>
        <w:t>capacity development</w:t>
      </w:r>
    </w:p>
    <w:p w14:paraId="32FF8457" w14:textId="77777777" w:rsidR="00367A56" w:rsidRPr="00367A56" w:rsidRDefault="00367A56" w:rsidP="00732ECA">
      <w:pPr>
        <w:numPr>
          <w:ilvl w:val="0"/>
          <w:numId w:val="45"/>
        </w:numPr>
      </w:pPr>
      <w:r w:rsidRPr="00367A56">
        <w:t>collaboration and cooperation</w:t>
      </w:r>
    </w:p>
    <w:p w14:paraId="0F84CFBB" w14:textId="77777777" w:rsidR="00367A56" w:rsidRPr="00367A56" w:rsidRDefault="00367A56" w:rsidP="00732ECA">
      <w:pPr>
        <w:numPr>
          <w:ilvl w:val="0"/>
          <w:numId w:val="45"/>
        </w:numPr>
      </w:pPr>
      <w:r w:rsidRPr="00367A56">
        <w:t>high quality, reproducible data</w:t>
      </w:r>
    </w:p>
    <w:p w14:paraId="7521EF67" w14:textId="77777777" w:rsidR="00367A56" w:rsidRPr="00367A56" w:rsidRDefault="00367A56" w:rsidP="00732ECA">
      <w:pPr>
        <w:numPr>
          <w:ilvl w:val="0"/>
          <w:numId w:val="45"/>
        </w:numPr>
      </w:pPr>
      <w:r w:rsidRPr="00367A56">
        <w:t>global and regional representativeness</w:t>
      </w:r>
    </w:p>
    <w:p w14:paraId="31EA44A5" w14:textId="77777777" w:rsidR="00367A56" w:rsidRPr="00367A56" w:rsidRDefault="00367A56" w:rsidP="00732ECA">
      <w:pPr>
        <w:numPr>
          <w:ilvl w:val="0"/>
          <w:numId w:val="45"/>
        </w:numPr>
      </w:pPr>
      <w:r w:rsidRPr="00367A56">
        <w:t>timeliness</w:t>
      </w:r>
    </w:p>
    <w:p w14:paraId="03583C18" w14:textId="77777777" w:rsidR="00367A56" w:rsidRPr="00367A56" w:rsidRDefault="00367A56" w:rsidP="00732ECA">
      <w:pPr>
        <w:numPr>
          <w:ilvl w:val="0"/>
          <w:numId w:val="45"/>
        </w:numPr>
      </w:pPr>
      <w:r w:rsidRPr="00367A56">
        <w:t>acknowledgement and intellectual credit</w:t>
      </w:r>
    </w:p>
    <w:p w14:paraId="6B062980" w14:textId="77777777" w:rsidR="00367A56" w:rsidRPr="00367A56" w:rsidRDefault="00367A56" w:rsidP="00732ECA">
      <w:pPr>
        <w:numPr>
          <w:ilvl w:val="0"/>
          <w:numId w:val="45"/>
        </w:numPr>
      </w:pPr>
      <w:r w:rsidRPr="00367A56">
        <w:t>global and regional representativeness</w:t>
      </w:r>
    </w:p>
    <w:p w14:paraId="667309F6" w14:textId="77777777" w:rsidR="00367A56" w:rsidRPr="00367A56" w:rsidRDefault="00367A56" w:rsidP="00732ECA">
      <w:pPr>
        <w:numPr>
          <w:ilvl w:val="0"/>
          <w:numId w:val="45"/>
        </w:numPr>
      </w:pPr>
      <w:r w:rsidRPr="00367A56">
        <w:t>equitable access to health technologies as a benefit</w:t>
      </w:r>
    </w:p>
    <w:p w14:paraId="665202F3" w14:textId="77777777" w:rsidR="00367A56" w:rsidRPr="00367A56" w:rsidRDefault="00367A56" w:rsidP="00732ECA">
      <w:pPr>
        <w:numPr>
          <w:ilvl w:val="0"/>
          <w:numId w:val="45"/>
        </w:numPr>
      </w:pPr>
      <w:r w:rsidRPr="00367A56">
        <w:t>as open as possible and as closed as necessary</w:t>
      </w:r>
    </w:p>
    <w:p w14:paraId="73480349" w14:textId="77777777" w:rsidR="00367A56" w:rsidRPr="00367A56" w:rsidRDefault="00367A56" w:rsidP="00732ECA">
      <w:pPr>
        <w:numPr>
          <w:ilvl w:val="0"/>
          <w:numId w:val="45"/>
        </w:numPr>
      </w:pPr>
      <w:r w:rsidRPr="00367A56">
        <w:t>interoperability and relevance for national, regional, and global decision-makers</w:t>
      </w:r>
    </w:p>
    <w:p w14:paraId="2CB2EDA6" w14:textId="77777777" w:rsidR="00367A56" w:rsidRPr="00367A56" w:rsidRDefault="00367A56" w:rsidP="00732ECA">
      <w:pPr>
        <w:numPr>
          <w:ilvl w:val="0"/>
          <w:numId w:val="45"/>
        </w:numPr>
      </w:pPr>
      <w:r w:rsidRPr="00367A56">
        <w:t>trustworthiness and ease of use</w:t>
      </w:r>
    </w:p>
    <w:p w14:paraId="6753C2F5" w14:textId="77777777" w:rsidR="00367A56" w:rsidRPr="00367A56" w:rsidRDefault="00367A56" w:rsidP="00732ECA">
      <w:pPr>
        <w:numPr>
          <w:ilvl w:val="0"/>
          <w:numId w:val="45"/>
        </w:numPr>
      </w:pPr>
      <w:r w:rsidRPr="00367A56">
        <w:t>transparency</w:t>
      </w:r>
    </w:p>
    <w:p w14:paraId="136B200D" w14:textId="477AD9FE" w:rsidR="00367A56" w:rsidRPr="00367A56" w:rsidRDefault="00367A56" w:rsidP="00732ECA">
      <w:pPr>
        <w:numPr>
          <w:ilvl w:val="0"/>
          <w:numId w:val="45"/>
        </w:numPr>
      </w:pPr>
      <w:r w:rsidRPr="00367A56">
        <w:t xml:space="preserve">consistency with applicable law and ethical regulations </w:t>
      </w:r>
    </w:p>
    <w:p w14:paraId="0FB94D8B" w14:textId="42BE6199" w:rsidR="00367A56" w:rsidRPr="00367A56" w:rsidRDefault="00367A56" w:rsidP="00732ECA">
      <w:pPr>
        <w:numPr>
          <w:ilvl w:val="0"/>
          <w:numId w:val="45"/>
        </w:numPr>
      </w:pPr>
      <w:r w:rsidRPr="00367A56">
        <w:t>compliance and enforcement</w:t>
      </w:r>
      <w:r w:rsidR="002B0A57" w:rsidRPr="0068768C">
        <w:rPr>
          <w:vertAlign w:val="superscript"/>
        </w:rPr>
        <w:footnoteReference w:id="23"/>
      </w:r>
      <w:r w:rsidRPr="0068768C">
        <w:t>.</w:t>
      </w:r>
    </w:p>
    <w:p w14:paraId="0D21DB35" w14:textId="02F233AB" w:rsidR="00367A56" w:rsidRPr="00367A56" w:rsidRDefault="00367A56" w:rsidP="00367A56">
      <w:r w:rsidRPr="00367A56">
        <w:t xml:space="preserve">To </w:t>
      </w:r>
      <w:r w:rsidRPr="0068768C">
        <w:t xml:space="preserve">facilitate pathogen genomic surveillance, in May 2023 the WHO launched the </w:t>
      </w:r>
      <w:hyperlink r:id="rId32">
        <w:r w:rsidRPr="0068768C">
          <w:rPr>
            <w:rStyle w:val="Hyperlink"/>
            <w:color w:val="auto"/>
          </w:rPr>
          <w:t>International Pathogen Surveillance Network</w:t>
        </w:r>
      </w:hyperlink>
      <w:r w:rsidRPr="00367A56">
        <w:t xml:space="preserve"> (IPSN), a global network of pathogen genomic stakeholders, hosted by the WHO Hub for Pandemic and Epidemic Intelligence. The IPSN aims to accelerate progress on the deployment of pathogen genomics and improve public health decision-making. To achieve its mission, the IPSN has identified five areas of work:</w:t>
      </w:r>
    </w:p>
    <w:p w14:paraId="3347957F" w14:textId="781C6D88" w:rsidR="00367A56" w:rsidRPr="00367A56" w:rsidRDefault="00367A56" w:rsidP="00732ECA">
      <w:pPr>
        <w:numPr>
          <w:ilvl w:val="0"/>
          <w:numId w:val="46"/>
        </w:numPr>
      </w:pPr>
      <w:r w:rsidRPr="00367A56">
        <w:t>Communities of practice to solve common challenges</w:t>
      </w:r>
      <w:r w:rsidR="00141A63">
        <w:t>.</w:t>
      </w:r>
    </w:p>
    <w:p w14:paraId="5C3F030D" w14:textId="75A2EB6F" w:rsidR="00367A56" w:rsidRPr="00367A56" w:rsidRDefault="00367A56" w:rsidP="00732ECA">
      <w:pPr>
        <w:numPr>
          <w:ilvl w:val="0"/>
          <w:numId w:val="46"/>
        </w:numPr>
      </w:pPr>
      <w:r w:rsidRPr="00367A56">
        <w:t>Country scale-up accelerator to align efforts and enable South-South exchange</w:t>
      </w:r>
      <w:r w:rsidR="00141A63">
        <w:t>.</w:t>
      </w:r>
    </w:p>
    <w:p w14:paraId="7864E25C" w14:textId="062EEEA6" w:rsidR="00367A56" w:rsidRPr="00367A56" w:rsidRDefault="00367A56" w:rsidP="00732ECA">
      <w:pPr>
        <w:numPr>
          <w:ilvl w:val="0"/>
          <w:numId w:val="46"/>
        </w:numPr>
      </w:pPr>
      <w:r w:rsidRPr="00367A56">
        <w:t>Funding to improve equity and to power IPSN projects</w:t>
      </w:r>
      <w:r w:rsidR="00141A63">
        <w:t>.</w:t>
      </w:r>
    </w:p>
    <w:p w14:paraId="514CDF0E" w14:textId="51860A61" w:rsidR="00367A56" w:rsidRPr="00367A56" w:rsidRDefault="00367A56" w:rsidP="00732ECA">
      <w:pPr>
        <w:numPr>
          <w:ilvl w:val="0"/>
          <w:numId w:val="46"/>
        </w:numPr>
      </w:pPr>
      <w:r w:rsidRPr="00367A56">
        <w:lastRenderedPageBreak/>
        <w:t>High-level advocacy and communications to keep genomic surveillance on the agenda</w:t>
      </w:r>
      <w:r w:rsidR="00141A63">
        <w:t>.</w:t>
      </w:r>
    </w:p>
    <w:p w14:paraId="0D15EAD7" w14:textId="1818A60D" w:rsidR="00367A56" w:rsidRDefault="00367A56" w:rsidP="00732ECA">
      <w:pPr>
        <w:numPr>
          <w:ilvl w:val="0"/>
          <w:numId w:val="46"/>
        </w:numPr>
      </w:pPr>
      <w:r w:rsidRPr="00367A56">
        <w:t>Global partners forum for pathogen genomics to bring partners together</w:t>
      </w:r>
      <w:r w:rsidR="000A7057">
        <w:rPr>
          <w:rStyle w:val="FootnoteReference"/>
        </w:rPr>
        <w:footnoteReference w:id="24"/>
      </w:r>
      <w:r w:rsidR="00141A63">
        <w:t>.</w:t>
      </w:r>
    </w:p>
    <w:p w14:paraId="1CDEE9EA" w14:textId="3E656441" w:rsidR="00367A56" w:rsidRPr="00367A56" w:rsidRDefault="00367A56" w:rsidP="00367A56">
      <w:pPr>
        <w:pStyle w:val="Heading3"/>
      </w:pPr>
      <w:bookmarkStart w:id="224" w:name="_Toc135494154"/>
      <w:bookmarkStart w:id="225" w:name="_Toc412120855"/>
      <w:bookmarkStart w:id="226" w:name="_Toc951254754"/>
      <w:bookmarkStart w:id="227" w:name="_Toc191899451"/>
      <w:r w:rsidRPr="00367A56">
        <w:t>The Quadrilateral Security Dialogue and the G20</w:t>
      </w:r>
      <w:bookmarkEnd w:id="224"/>
      <w:bookmarkEnd w:id="225"/>
      <w:bookmarkEnd w:id="226"/>
      <w:bookmarkEnd w:id="227"/>
    </w:p>
    <w:p w14:paraId="2EC06524" w14:textId="72D2EC42" w:rsidR="00367A56" w:rsidRPr="00367A56" w:rsidRDefault="00367A56" w:rsidP="00367A56">
      <w:pPr>
        <w:rPr>
          <w:b/>
          <w:bCs/>
        </w:rPr>
      </w:pPr>
      <w:r w:rsidRPr="00367A56">
        <w:t>The Quadrilateral Security Dialogue (the Quad) is a strategic security dialogue between Australia, India, Japan, and the United States (US). On 24 September 2021, the Quad committed to better preparing member countries and the world for the next pandemic, as part of the Build Back Better Health Security initiative</w:t>
      </w:r>
      <w:r w:rsidRPr="00367A56">
        <w:rPr>
          <w:vertAlign w:val="superscript"/>
        </w:rPr>
        <w:footnoteReference w:id="25"/>
      </w:r>
      <w:r w:rsidRPr="00367A56">
        <w:t>. In its commitment, the Quad agreed to continue building multi-lateral COVID-19 response and health security efforts in the Indo-Pacific, and further strengthen science and technology cooperation. This included support for the development of a “global pandemic radar” to improve viral genomic surveillance, and working to strengthen and expand the WHO Global Influenza Surveillance and Response System (GISRS).</w:t>
      </w:r>
      <w:r w:rsidRPr="00367A56">
        <w:rPr>
          <w:lang w:val="en-US"/>
        </w:rPr>
        <w:t xml:space="preserve"> Through the Science and Technology cooperation, genomic surveillance was, and continues to be, a key priority of the</w:t>
      </w:r>
      <w:r w:rsidRPr="00367A56" w:rsidDel="5F2B5EE8">
        <w:rPr>
          <w:lang w:val="en-US"/>
        </w:rPr>
        <w:t xml:space="preserve"> </w:t>
      </w:r>
      <w:r w:rsidRPr="00367A56">
        <w:rPr>
          <w:lang w:val="en-US"/>
        </w:rPr>
        <w:t>Quad to accelerate efforts to end th</w:t>
      </w:r>
      <w:r w:rsidR="003665F8">
        <w:rPr>
          <w:lang w:val="en-US"/>
        </w:rPr>
        <w:t>e COVID-19</w:t>
      </w:r>
      <w:r w:rsidRPr="00367A56">
        <w:rPr>
          <w:lang w:val="en-US"/>
        </w:rPr>
        <w:t xml:space="preserve"> pandemic and build better health security.</w:t>
      </w:r>
    </w:p>
    <w:p w14:paraId="25F4D339" w14:textId="77777777" w:rsidR="00367A56" w:rsidRPr="00367A56" w:rsidRDefault="00367A56" w:rsidP="00367A56">
      <w:r w:rsidRPr="00367A56">
        <w:t>The Group of Twenty (G20) is an intergovernmental forum comprising of 19 countries and the European Union. It works to address major issues related to the global economy, such as international financial stability, climate change mitigation, and sustainable development. The G20 Bali Leaders' Declaration of 15-16 November 2022 assured that the G20 remained committed to embedding a multisectoral One Health approach to enhancing global surveillance, including genomic surveillance, to detect pathogens and AMR that may threaten human health. In addition, the G20 encouraged sharing of pathogen data in a timely manner on shared and trusted platforms in collaboration with WHO to enable global pathogen surveillance as part of our commitment to implement the IHR (2005) and encourage sharing of benefits arising from the utilisation of pathogens consistent with applicable national laws.</w:t>
      </w:r>
    </w:p>
    <w:p w14:paraId="3C57ED93" w14:textId="77777777" w:rsidR="00367A56" w:rsidRPr="00367A56" w:rsidRDefault="00367A56" w:rsidP="00367A56">
      <w:pPr>
        <w:pStyle w:val="Heading3"/>
      </w:pPr>
      <w:bookmarkStart w:id="228" w:name="_Toc306196344"/>
      <w:bookmarkStart w:id="229" w:name="_Toc191899452"/>
      <w:r w:rsidRPr="00367A56">
        <w:t>Centre for Pathogen Genomics</w:t>
      </w:r>
      <w:bookmarkEnd w:id="228"/>
      <w:bookmarkEnd w:id="229"/>
    </w:p>
    <w:p w14:paraId="1441FF44" w14:textId="4856BFA7" w:rsidR="00367A56" w:rsidRPr="00367A56" w:rsidRDefault="00367A56" w:rsidP="00367A56">
      <w:r w:rsidRPr="00367A56">
        <w:t xml:space="preserve">In 2022, the </w:t>
      </w:r>
      <w:hyperlink r:id="rId33" w:history="1">
        <w:r w:rsidRPr="00647860">
          <w:rPr>
            <w:rStyle w:val="Hyperlink"/>
            <w:color w:val="auto"/>
          </w:rPr>
          <w:t>Centre for Pathogen Genomics</w:t>
        </w:r>
      </w:hyperlink>
      <w:r w:rsidRPr="00647860">
        <w:t xml:space="preserve"> w</w:t>
      </w:r>
      <w:r w:rsidRPr="00367A56">
        <w:t>as launched by the University of Melbourne as an academic and training hub for infectious diseases genomics in the Asia-Pacific region. It brings together experts to optimise the use of pathogen genomics through:</w:t>
      </w:r>
    </w:p>
    <w:p w14:paraId="42EA8588" w14:textId="77777777" w:rsidR="00367A56" w:rsidRPr="00367A56" w:rsidRDefault="00367A56" w:rsidP="00732ECA">
      <w:pPr>
        <w:numPr>
          <w:ilvl w:val="0"/>
          <w:numId w:val="40"/>
        </w:numPr>
      </w:pPr>
      <w:r w:rsidRPr="00367A56">
        <w:lastRenderedPageBreak/>
        <w:t>research across infectious diseases, metagenomics, data analytics and visualisation</w:t>
      </w:r>
    </w:p>
    <w:p w14:paraId="3A11843B" w14:textId="77777777" w:rsidR="00367A56" w:rsidRPr="00367A56" w:rsidRDefault="00367A56" w:rsidP="00732ECA">
      <w:pPr>
        <w:numPr>
          <w:ilvl w:val="0"/>
          <w:numId w:val="40"/>
        </w:numPr>
      </w:pPr>
      <w:r w:rsidRPr="00367A56">
        <w:t>implementation and evaluation science</w:t>
      </w:r>
    </w:p>
    <w:p w14:paraId="4D0A8C65" w14:textId="4F09CF26" w:rsidR="00367A56" w:rsidRPr="00367A56" w:rsidRDefault="00367A56" w:rsidP="00732ECA">
      <w:pPr>
        <w:numPr>
          <w:ilvl w:val="0"/>
          <w:numId w:val="40"/>
        </w:numPr>
      </w:pPr>
      <w:r w:rsidRPr="00367A56">
        <w:t xml:space="preserve">public health </w:t>
      </w:r>
    </w:p>
    <w:p w14:paraId="28B8EB0A" w14:textId="77777777" w:rsidR="00367A56" w:rsidRPr="00367A56" w:rsidRDefault="00367A56" w:rsidP="00732ECA">
      <w:pPr>
        <w:numPr>
          <w:ilvl w:val="0"/>
          <w:numId w:val="40"/>
        </w:numPr>
      </w:pPr>
      <w:r w:rsidRPr="00367A56">
        <w:t xml:space="preserve">clinical practice. </w:t>
      </w:r>
    </w:p>
    <w:p w14:paraId="591DAB22" w14:textId="5C951383" w:rsidR="00367A56" w:rsidRPr="00367A56" w:rsidRDefault="00367A56" w:rsidP="00367A56">
      <w:r w:rsidRPr="00367A56">
        <w:t>The Centre</w:t>
      </w:r>
      <w:r w:rsidR="00D43C8A">
        <w:t xml:space="preserve"> for Pathogen Genomics</w:t>
      </w:r>
      <w:r w:rsidRPr="00367A56">
        <w:t xml:space="preserve"> has a large, international capacity and capability building program to support genomic surveillance and response across the Asia-Pacific. It focuses on engagement and partnerships with public health laboratories, research institutions, and support for global initiatives to promote communities of practice and equitable access to pathogen genomic surveillance.</w:t>
      </w:r>
    </w:p>
    <w:p w14:paraId="623B22A6" w14:textId="7C06860B" w:rsidR="00367A56" w:rsidRPr="00367A56" w:rsidRDefault="00367A56" w:rsidP="00367A56">
      <w:pPr>
        <w:rPr>
          <w:b/>
          <w:bCs/>
        </w:rPr>
      </w:pPr>
      <w:r w:rsidRPr="00367A56">
        <w:t xml:space="preserve">In addition to the global networks and organisations described above, countries around the world have established frameworks and ambitious programs to progress pathogen surveillance. While this </w:t>
      </w:r>
      <w:r w:rsidR="004936B2">
        <w:t>f</w:t>
      </w:r>
      <w:r w:rsidRPr="00367A56">
        <w:t xml:space="preserve">ramework focuses </w:t>
      </w:r>
      <w:r w:rsidR="009C5956">
        <w:t xml:space="preserve">on </w:t>
      </w:r>
      <w:r w:rsidRPr="00367A56">
        <w:t>programs based in the UK, Canada</w:t>
      </w:r>
      <w:r w:rsidR="00995715">
        <w:t>, US</w:t>
      </w:r>
      <w:r w:rsidRPr="00367A56">
        <w:t xml:space="preserve"> and Singapore, this list is not exhaustive and provides only a small snapshot of activities underway.</w:t>
      </w:r>
    </w:p>
    <w:p w14:paraId="11AD1858" w14:textId="77777777" w:rsidR="00367A56" w:rsidRPr="00367A56" w:rsidRDefault="00367A56" w:rsidP="00367A56">
      <w:pPr>
        <w:pStyle w:val="Heading3"/>
      </w:pPr>
      <w:bookmarkStart w:id="230" w:name="_Toc135494155"/>
      <w:bookmarkStart w:id="231" w:name="_Toc1692562186"/>
      <w:bookmarkStart w:id="232" w:name="_Toc868141398"/>
      <w:bookmarkStart w:id="233" w:name="_Toc191899453"/>
      <w:r w:rsidRPr="00367A56">
        <w:t>United Kingdom</w:t>
      </w:r>
      <w:bookmarkEnd w:id="230"/>
      <w:bookmarkEnd w:id="231"/>
      <w:bookmarkEnd w:id="232"/>
      <w:bookmarkEnd w:id="233"/>
    </w:p>
    <w:p w14:paraId="388B99DF" w14:textId="13404D17" w:rsidR="00367A56" w:rsidRPr="00367A56" w:rsidRDefault="00367A56" w:rsidP="00367A56">
      <w:r w:rsidRPr="00367A56">
        <w:t xml:space="preserve">In September 2020, the UK </w:t>
      </w:r>
      <w:r w:rsidRPr="0070502C">
        <w:t xml:space="preserve">published </w:t>
      </w:r>
      <w:hyperlink r:id="rId34" w:history="1">
        <w:r w:rsidRPr="0070502C">
          <w:rPr>
            <w:rStyle w:val="Hyperlink"/>
            <w:i/>
            <w:iCs/>
            <w:color w:val="auto"/>
            <w:lang w:bidi="en-AU"/>
          </w:rPr>
          <w:t>Genome UK: the future of healthcare</w:t>
        </w:r>
      </w:hyperlink>
      <w:r w:rsidR="0070502C">
        <w:rPr>
          <w:i/>
          <w:iCs/>
          <w:lang w:bidi="en-AU"/>
        </w:rPr>
        <w:t xml:space="preserve"> </w:t>
      </w:r>
      <w:r w:rsidRPr="00367A56">
        <w:rPr>
          <w:lang w:bidi="en-AU"/>
        </w:rPr>
        <w:t>which aims to</w:t>
      </w:r>
      <w:r w:rsidRPr="00367A56">
        <w:t xml:space="preserve"> extend their leadership in genomic health and research over the next ten years. The three pillars of the Strategy are defined as: diagnosis and personalised medicine, prevention, and research</w:t>
      </w:r>
      <w:r w:rsidR="000A7057" w:rsidRPr="00367A56">
        <w:rPr>
          <w:vertAlign w:val="superscript"/>
          <w:lang w:bidi="en-AU"/>
        </w:rPr>
        <w:footnoteReference w:id="26"/>
      </w:r>
      <w:r w:rsidR="003632D2">
        <w:t>.</w:t>
      </w:r>
      <w:r w:rsidRPr="00367A56">
        <w:t xml:space="preserve"> Recognising the critical role of surveillance in responding to the pandemic</w:t>
      </w:r>
      <w:r w:rsidRPr="00367A56">
        <w:rPr>
          <w:vertAlign w:val="superscript"/>
        </w:rPr>
        <w:footnoteReference w:id="27"/>
      </w:r>
      <w:r w:rsidR="00022886">
        <w:t>;</w:t>
      </w:r>
      <w:r w:rsidRPr="00367A56">
        <w:t xml:space="preserve"> in 2021 to 2022 the UK committed to progress on the following ambitions relating to pathogen genomics</w:t>
      </w:r>
      <w:r w:rsidR="003D1CB7">
        <w:t>:</w:t>
      </w:r>
      <w:r w:rsidRPr="00367A56">
        <w:t xml:space="preserve"> </w:t>
      </w:r>
    </w:p>
    <w:p w14:paraId="5E9AD8CD" w14:textId="21516090" w:rsidR="00367A56" w:rsidRPr="00367A56" w:rsidRDefault="00367A56" w:rsidP="00732ECA">
      <w:pPr>
        <w:numPr>
          <w:ilvl w:val="0"/>
          <w:numId w:val="43"/>
        </w:numPr>
      </w:pPr>
      <w:r w:rsidRPr="00367A56">
        <w:t>deliver and analyse SARS-CoV-2 viral genomes together with genomes from affected individuals to inform diagnostics, vaccines, prevention, and containment strategies in response to the global pandemic</w:t>
      </w:r>
    </w:p>
    <w:p w14:paraId="38771D6B" w14:textId="5D5A25BD" w:rsidR="00A70C76" w:rsidRDefault="00367A56" w:rsidP="00732ECA">
      <w:pPr>
        <w:numPr>
          <w:ilvl w:val="0"/>
          <w:numId w:val="43"/>
        </w:numPr>
      </w:pPr>
      <w:r w:rsidRPr="00367A56">
        <w:t xml:space="preserve">expand viral genome sequencing and analysis capacity and capability to establish a world leading pathogen genomics system to detect and provide local, regional, </w:t>
      </w:r>
      <w:r w:rsidR="007567D6">
        <w:lastRenderedPageBreak/>
        <w:t>a</w:t>
      </w:r>
      <w:r w:rsidRPr="00367A56">
        <w:t>nd national surveillance of infectious threats with strategies to provide this capability within the regional and national health and public health framework</w:t>
      </w:r>
      <w:r w:rsidR="000A7057" w:rsidRPr="00367A56">
        <w:rPr>
          <w:vertAlign w:val="superscript"/>
        </w:rPr>
        <w:footnoteReference w:id="28"/>
      </w:r>
      <w:r w:rsidRPr="00367A56">
        <w:t>.</w:t>
      </w:r>
    </w:p>
    <w:p w14:paraId="018A4776" w14:textId="63C2A018" w:rsidR="00F81D1D" w:rsidRDefault="00F81D1D" w:rsidP="008A232D">
      <w:r>
        <w:t xml:space="preserve">In January 2024, </w:t>
      </w:r>
      <w:r w:rsidR="001E18C5">
        <w:t xml:space="preserve">the </w:t>
      </w:r>
      <w:r w:rsidR="001E18C5" w:rsidRPr="001E18C5">
        <w:t>UK Health Security Agency</w:t>
      </w:r>
      <w:r w:rsidR="001E18C5">
        <w:t xml:space="preserve"> </w:t>
      </w:r>
      <w:r w:rsidR="392013B1" w:rsidRPr="7691F3A1">
        <w:t>(UKHSA)</w:t>
      </w:r>
      <w:r w:rsidR="392013B1" w:rsidRPr="7691F3A1">
        <w:rPr>
          <w:i/>
          <w:iCs/>
        </w:rPr>
        <w:t xml:space="preserve"> </w:t>
      </w:r>
      <w:r w:rsidR="001E18C5" w:rsidRPr="00117492">
        <w:t xml:space="preserve">published </w:t>
      </w:r>
      <w:r w:rsidR="1E60BD57" w:rsidRPr="00117492">
        <w:t>the</w:t>
      </w:r>
      <w:r w:rsidR="001E18C5" w:rsidRPr="00117492">
        <w:t xml:space="preserve"> </w:t>
      </w:r>
      <w:hyperlink r:id="rId35" w:history="1">
        <w:r w:rsidR="005A239C" w:rsidRPr="00117492">
          <w:rPr>
            <w:rStyle w:val="Hyperlink"/>
            <w:i/>
            <w:iCs/>
            <w:color w:val="auto"/>
          </w:rPr>
          <w:t>UKHSA Pathogen Genomics Strategy</w:t>
        </w:r>
      </w:hyperlink>
      <w:r w:rsidR="00117492" w:rsidRPr="00117492">
        <w:rPr>
          <w:i/>
          <w:iCs/>
        </w:rPr>
        <w:t xml:space="preserve"> </w:t>
      </w:r>
      <w:r w:rsidR="00B57F8D" w:rsidRPr="00117492">
        <w:t xml:space="preserve">which </w:t>
      </w:r>
      <w:r w:rsidR="0054503A" w:rsidRPr="00117492">
        <w:t xml:space="preserve">outlines </w:t>
      </w:r>
      <w:r w:rsidR="00FC698D" w:rsidRPr="00117492">
        <w:t xml:space="preserve">how it will invest in pathogen </w:t>
      </w:r>
      <w:r w:rsidR="00FC698D">
        <w:t>genomics</w:t>
      </w:r>
      <w:r w:rsidR="008C74AD" w:rsidRPr="008C74AD">
        <w:t xml:space="preserve"> to mitigate public health threats from infectious diseases</w:t>
      </w:r>
      <w:r w:rsidR="00CD6C72">
        <w:t xml:space="preserve"> over the next five years</w:t>
      </w:r>
      <w:r w:rsidR="00710298">
        <w:t xml:space="preserve">. </w:t>
      </w:r>
      <w:r w:rsidR="007817AF">
        <w:t xml:space="preserve">The </w:t>
      </w:r>
      <w:r w:rsidR="00CD6C72">
        <w:t xml:space="preserve">Strategy includes seven strategic aims, </w:t>
      </w:r>
      <w:r w:rsidR="001E2270">
        <w:t>such as</w:t>
      </w:r>
      <w:r w:rsidR="00CD6C72">
        <w:t xml:space="preserve">: </w:t>
      </w:r>
    </w:p>
    <w:p w14:paraId="7BDBF3F6" w14:textId="04E631DE" w:rsidR="00831690" w:rsidRPr="00831690" w:rsidRDefault="00831690" w:rsidP="00732ECA">
      <w:pPr>
        <w:numPr>
          <w:ilvl w:val="0"/>
          <w:numId w:val="49"/>
        </w:numPr>
        <w:shd w:val="clear" w:color="auto" w:fill="FFFFFF"/>
        <w:spacing w:line="240" w:lineRule="auto"/>
        <w:rPr>
          <w:rFonts w:eastAsia="Times New Roman" w:cs="Arial"/>
          <w:color w:val="0B0C0C"/>
          <w:kern w:val="0"/>
          <w:lang w:eastAsia="en-AU"/>
          <w14:ligatures w14:val="none"/>
        </w:rPr>
      </w:pPr>
      <w:r w:rsidRPr="00831690">
        <w:rPr>
          <w:rFonts w:eastAsia="Times New Roman" w:cs="Arial"/>
          <w:color w:val="0B0C0C"/>
          <w:kern w:val="0"/>
          <w:lang w:eastAsia="en-AU"/>
          <w14:ligatures w14:val="none"/>
        </w:rPr>
        <w:t>using pathogen genomic data to optimise clinical/public health decision-making, from local to global settings</w:t>
      </w:r>
    </w:p>
    <w:p w14:paraId="402B3102" w14:textId="0E13BF35" w:rsidR="00831690" w:rsidRPr="00831690" w:rsidRDefault="00831690" w:rsidP="00732ECA">
      <w:pPr>
        <w:numPr>
          <w:ilvl w:val="0"/>
          <w:numId w:val="49"/>
        </w:numPr>
        <w:shd w:val="clear" w:color="auto" w:fill="FFFFFF"/>
        <w:spacing w:line="240" w:lineRule="auto"/>
        <w:rPr>
          <w:rFonts w:eastAsia="Times New Roman" w:cs="Arial"/>
          <w:color w:val="0B0C0C"/>
          <w:kern w:val="0"/>
          <w:lang w:eastAsia="en-AU"/>
          <w14:ligatures w14:val="none"/>
        </w:rPr>
      </w:pPr>
      <w:r w:rsidRPr="00831690">
        <w:rPr>
          <w:rFonts w:eastAsia="Times New Roman" w:cs="Arial"/>
          <w:color w:val="0B0C0C"/>
          <w:kern w:val="0"/>
          <w:lang w:eastAsia="en-AU"/>
          <w14:ligatures w14:val="none"/>
        </w:rPr>
        <w:t>using pathogen genomic data to drive improvements in diagnostics, vaccines and therapeutics</w:t>
      </w:r>
    </w:p>
    <w:p w14:paraId="5403F151" w14:textId="270845A3" w:rsidR="00831690" w:rsidRPr="00831690" w:rsidRDefault="00831690" w:rsidP="00732ECA">
      <w:pPr>
        <w:numPr>
          <w:ilvl w:val="0"/>
          <w:numId w:val="49"/>
        </w:numPr>
        <w:shd w:val="clear" w:color="auto" w:fill="FFFFFF"/>
        <w:spacing w:line="240" w:lineRule="auto"/>
        <w:rPr>
          <w:rFonts w:eastAsia="Times New Roman" w:cs="Arial"/>
          <w:color w:val="0B0C0C"/>
          <w:kern w:val="0"/>
          <w:lang w:eastAsia="en-AU"/>
          <w14:ligatures w14:val="none"/>
        </w:rPr>
      </w:pPr>
      <w:r w:rsidRPr="00831690">
        <w:rPr>
          <w:rFonts w:eastAsia="Times New Roman" w:cs="Arial"/>
          <w:color w:val="0B0C0C"/>
          <w:kern w:val="0"/>
          <w:lang w:eastAsia="en-AU"/>
          <w14:ligatures w14:val="none"/>
        </w:rPr>
        <w:t>providing a nationally coordinated, scaled-up pathogen genomics service</w:t>
      </w:r>
    </w:p>
    <w:p w14:paraId="364D973A" w14:textId="269B1884" w:rsidR="00831690" w:rsidRPr="00831690" w:rsidRDefault="00831690" w:rsidP="00732ECA">
      <w:pPr>
        <w:numPr>
          <w:ilvl w:val="0"/>
          <w:numId w:val="49"/>
        </w:numPr>
        <w:shd w:val="clear" w:color="auto" w:fill="FFFFFF"/>
        <w:spacing w:line="240" w:lineRule="auto"/>
        <w:rPr>
          <w:rFonts w:eastAsia="Times New Roman" w:cs="Arial"/>
          <w:color w:val="0B0C0C"/>
          <w:kern w:val="0"/>
          <w:lang w:eastAsia="en-AU"/>
          <w14:ligatures w14:val="none"/>
        </w:rPr>
      </w:pPr>
      <w:r w:rsidRPr="00831690">
        <w:rPr>
          <w:rFonts w:eastAsia="Times New Roman" w:cs="Arial"/>
          <w:color w:val="0B0C0C"/>
          <w:kern w:val="0"/>
          <w:lang w:eastAsia="en-AU"/>
          <w14:ligatures w14:val="none"/>
        </w:rPr>
        <w:t>supporting a pathogen genomics workforce transformation within and beyond UKHSA</w:t>
      </w:r>
    </w:p>
    <w:p w14:paraId="59AF6E00" w14:textId="03645536" w:rsidR="00831690" w:rsidRPr="00831690" w:rsidRDefault="00831690" w:rsidP="00732ECA">
      <w:pPr>
        <w:numPr>
          <w:ilvl w:val="0"/>
          <w:numId w:val="49"/>
        </w:numPr>
        <w:shd w:val="clear" w:color="auto" w:fill="FFFFFF"/>
        <w:spacing w:line="240" w:lineRule="auto"/>
        <w:rPr>
          <w:rFonts w:eastAsia="Times New Roman" w:cs="Arial"/>
          <w:color w:val="0B0C0C"/>
          <w:kern w:val="0"/>
          <w:lang w:eastAsia="en-AU"/>
          <w14:ligatures w14:val="none"/>
        </w:rPr>
      </w:pPr>
      <w:r w:rsidRPr="00831690">
        <w:rPr>
          <w:rFonts w:eastAsia="Times New Roman" w:cs="Arial"/>
          <w:color w:val="0B0C0C"/>
          <w:kern w:val="0"/>
          <w:lang w:eastAsia="en-AU"/>
          <w14:ligatures w14:val="none"/>
        </w:rPr>
        <w:t>committing to pathogen genomic data sharing and global collaboration</w:t>
      </w:r>
    </w:p>
    <w:p w14:paraId="3A1BDF5A" w14:textId="465CB188" w:rsidR="00831690" w:rsidRPr="00831690" w:rsidRDefault="00831690" w:rsidP="00732ECA">
      <w:pPr>
        <w:numPr>
          <w:ilvl w:val="0"/>
          <w:numId w:val="49"/>
        </w:numPr>
        <w:shd w:val="clear" w:color="auto" w:fill="FFFFFF"/>
        <w:spacing w:line="240" w:lineRule="auto"/>
        <w:rPr>
          <w:rFonts w:eastAsia="Times New Roman" w:cs="Arial"/>
          <w:color w:val="0B0C0C"/>
          <w:kern w:val="0"/>
          <w:lang w:eastAsia="en-AU"/>
          <w14:ligatures w14:val="none"/>
        </w:rPr>
      </w:pPr>
      <w:r w:rsidRPr="00831690">
        <w:rPr>
          <w:rFonts w:eastAsia="Times New Roman" w:cs="Arial"/>
          <w:color w:val="0B0C0C"/>
          <w:kern w:val="0"/>
          <w:lang w:eastAsia="en-AU"/>
          <w14:ligatures w14:val="none"/>
        </w:rPr>
        <w:t>driving innovation in pathogen genomics</w:t>
      </w:r>
    </w:p>
    <w:p w14:paraId="642069C6" w14:textId="52B3BCB6" w:rsidR="00F670A6" w:rsidRDefault="00831690" w:rsidP="00732ECA">
      <w:pPr>
        <w:numPr>
          <w:ilvl w:val="0"/>
          <w:numId w:val="49"/>
        </w:numPr>
        <w:shd w:val="clear" w:color="auto" w:fill="FFFFFF"/>
        <w:spacing w:line="240" w:lineRule="auto"/>
      </w:pPr>
      <w:r w:rsidRPr="00831690">
        <w:rPr>
          <w:rFonts w:eastAsia="Times New Roman" w:cs="Arial"/>
          <w:color w:val="0B0C0C"/>
          <w:kern w:val="0"/>
          <w:lang w:eastAsia="en-AU"/>
          <w14:ligatures w14:val="none"/>
        </w:rPr>
        <w:t>building high-impact pathogen genomic services that are good value for money</w:t>
      </w:r>
      <w:r w:rsidR="000A7057" w:rsidRPr="002330DC">
        <w:rPr>
          <w:rStyle w:val="FootnoteReference"/>
        </w:rPr>
        <w:footnoteReference w:id="29"/>
      </w:r>
      <w:r w:rsidRPr="00D344EB">
        <w:rPr>
          <w:rFonts w:eastAsia="Times New Roman" w:cs="Arial"/>
          <w:color w:val="0B0C0C"/>
          <w:kern w:val="0"/>
          <w:lang w:eastAsia="en-AU"/>
          <w14:ligatures w14:val="none"/>
        </w:rPr>
        <w:t>.</w:t>
      </w:r>
    </w:p>
    <w:p w14:paraId="559AEB54" w14:textId="18B455C2" w:rsidR="00022094" w:rsidRPr="00022094" w:rsidRDefault="00022094" w:rsidP="00022094">
      <w:pPr>
        <w:pStyle w:val="BoxTextGreen"/>
        <w:rPr>
          <w:color w:val="033636" w:themeColor="text2"/>
          <w:sz w:val="32"/>
          <w:szCs w:val="32"/>
        </w:rPr>
      </w:pPr>
      <w:r w:rsidRPr="00022094">
        <w:rPr>
          <w:color w:val="033636" w:themeColor="text2"/>
          <w:sz w:val="32"/>
          <w:szCs w:val="32"/>
        </w:rPr>
        <w:t xml:space="preserve">Case Study 4: Multi-country outbreak of </w:t>
      </w:r>
      <w:r w:rsidRPr="00022094">
        <w:rPr>
          <w:i/>
          <w:iCs/>
          <w:color w:val="033636" w:themeColor="text2"/>
          <w:sz w:val="32"/>
          <w:szCs w:val="32"/>
        </w:rPr>
        <w:t xml:space="preserve">Salmonella </w:t>
      </w:r>
      <w:r w:rsidRPr="00022094">
        <w:rPr>
          <w:color w:val="033636" w:themeColor="text2"/>
          <w:sz w:val="32"/>
          <w:szCs w:val="32"/>
        </w:rPr>
        <w:t>Typhimurium</w:t>
      </w:r>
      <w:r w:rsidRPr="00022094">
        <w:rPr>
          <w:color w:val="033636" w:themeColor="text2"/>
          <w:sz w:val="32"/>
          <w:szCs w:val="32"/>
          <w:vertAlign w:val="superscript"/>
        </w:rPr>
        <w:footnoteReference w:id="30"/>
      </w:r>
    </w:p>
    <w:p w14:paraId="3CDD36CF" w14:textId="297F4E66" w:rsidR="004B307D" w:rsidRPr="004B307D" w:rsidRDefault="004B307D" w:rsidP="00022094">
      <w:pPr>
        <w:pStyle w:val="BoxTextGreen"/>
      </w:pPr>
      <w:r w:rsidRPr="004B307D">
        <w:t xml:space="preserve">In 2021, the UK used WGS to link a geographically dispersed cluster of cases of </w:t>
      </w:r>
      <w:r w:rsidRPr="004B307D">
        <w:rPr>
          <w:i/>
          <w:iCs/>
        </w:rPr>
        <w:t xml:space="preserve">Salmonella </w:t>
      </w:r>
      <w:r w:rsidRPr="004B307D">
        <w:t xml:space="preserve">Typhimurium with unknown origin. Based on the data generated, a further connection was then established between the human outbreak </w:t>
      </w:r>
      <w:r w:rsidR="00F85DE6">
        <w:t xml:space="preserve">of </w:t>
      </w:r>
      <w:r w:rsidRPr="004B307D">
        <w:t xml:space="preserve">cases and </w:t>
      </w:r>
      <w:r w:rsidRPr="004B307D">
        <w:rPr>
          <w:i/>
          <w:iCs/>
        </w:rPr>
        <w:t>Salmonella</w:t>
      </w:r>
      <w:r w:rsidRPr="004B307D">
        <w:t xml:space="preserve"> Typhimurium contamination identified in a buttermilk tank at a chocolate factory in Belgium. Investigations found that the implicated food products had been distributed to at least 113 countries and led to more than 300 cases of infection in 16 different countries. Information provided by investigations informed public health control measures.</w:t>
      </w:r>
    </w:p>
    <w:p w14:paraId="68D2D876" w14:textId="77777777" w:rsidR="0095608A" w:rsidRPr="003B6D6E" w:rsidRDefault="0095608A" w:rsidP="0095608A">
      <w:pPr>
        <w:pStyle w:val="Heading3"/>
      </w:pPr>
      <w:bookmarkStart w:id="234" w:name="_Toc719470699"/>
      <w:bookmarkStart w:id="235" w:name="_Toc191899454"/>
      <w:r>
        <w:lastRenderedPageBreak/>
        <w:t>Canada</w:t>
      </w:r>
      <w:bookmarkEnd w:id="234"/>
      <w:bookmarkEnd w:id="235"/>
    </w:p>
    <w:p w14:paraId="7BC7087F" w14:textId="77777777" w:rsidR="0095608A" w:rsidRPr="002A078E" w:rsidRDefault="0095608A" w:rsidP="00B80089">
      <w:r w:rsidRPr="002A078E">
        <w:t>Canada acknowledges that global interest in genomics has increased, and precision health, environmental protection, food, and energy security are just some examples of where genomics research can be utilised and combined with other fields</w:t>
      </w:r>
      <w:r w:rsidRPr="002A078E">
        <w:rPr>
          <w:rStyle w:val="FootnoteReference"/>
        </w:rPr>
        <w:footnoteReference w:id="31"/>
      </w:r>
      <w:r w:rsidRPr="002A078E">
        <w:t xml:space="preserve">. To prevent falling behind other countries, more than $400 million dollars over 6 years was proposed during Canada’s 2021 Budget to fund the development of a Pan-Canadian Genomics Strategy (PCGS) which aims to increase the implementation of genomics and related technologies in Canada and progress genomics commercialisation. </w:t>
      </w:r>
    </w:p>
    <w:p w14:paraId="1D9DE3FA" w14:textId="77777777" w:rsidR="0095608A" w:rsidRPr="003B6D6E" w:rsidRDefault="0095608A" w:rsidP="00B80089">
      <w:pPr>
        <w:pStyle w:val="Heading3"/>
      </w:pPr>
      <w:bookmarkStart w:id="236" w:name="_Toc135494157"/>
      <w:bookmarkStart w:id="237" w:name="_Toc1950840470"/>
      <w:bookmarkStart w:id="238" w:name="_Toc444772036"/>
      <w:bookmarkStart w:id="239" w:name="_Toc191899455"/>
      <w:r>
        <w:t>United States</w:t>
      </w:r>
      <w:bookmarkEnd w:id="236"/>
      <w:bookmarkEnd w:id="237"/>
      <w:bookmarkEnd w:id="238"/>
      <w:bookmarkEnd w:id="239"/>
    </w:p>
    <w:p w14:paraId="4D3FC0C4" w14:textId="0A751016" w:rsidR="0095608A" w:rsidRPr="002A078E" w:rsidRDefault="0095608A" w:rsidP="00B80089">
      <w:r w:rsidRPr="002A078E">
        <w:t>In March 2022, the US CDC announced $90 million in funding for a new competitive agreement that will support the establishment of the US Pathogen Genomics Centers of Excellence (PGCoE). The PCGoE network provides an opportunity for genomic surveillance advancement through partnerships between academic institutions and health agencies and aims to improve public health response to infectious disease threats. Recipients of the 5-year awards were announced in September 2022, with all five centers consisting of a health department and one or more academic institutions. Working as a network, the PGCoE’s intend to:</w:t>
      </w:r>
    </w:p>
    <w:p w14:paraId="21D2FBF7" w14:textId="77777777" w:rsidR="0095608A" w:rsidRPr="002A078E" w:rsidRDefault="0095608A" w:rsidP="00732ECA">
      <w:pPr>
        <w:numPr>
          <w:ilvl w:val="0"/>
          <w:numId w:val="43"/>
        </w:numPr>
      </w:pPr>
      <w:r w:rsidRPr="002A078E">
        <w:t>perform a landscape analysis of gaps, needs, and opportunities for pathogen genomics in the United States public health system</w:t>
      </w:r>
    </w:p>
    <w:p w14:paraId="361907A0" w14:textId="77777777" w:rsidR="0095608A" w:rsidRPr="002A078E" w:rsidRDefault="0095608A" w:rsidP="00732ECA">
      <w:pPr>
        <w:numPr>
          <w:ilvl w:val="0"/>
          <w:numId w:val="43"/>
        </w:numPr>
      </w:pPr>
      <w:r w:rsidRPr="002A078E">
        <w:t>pilot and implement genomics technologies and applications for public health</w:t>
      </w:r>
    </w:p>
    <w:p w14:paraId="7946573E" w14:textId="6D13883E" w:rsidR="0095608A" w:rsidRPr="002A078E" w:rsidRDefault="0095608A" w:rsidP="00732ECA">
      <w:pPr>
        <w:numPr>
          <w:ilvl w:val="0"/>
          <w:numId w:val="43"/>
        </w:numPr>
      </w:pPr>
      <w:r w:rsidRPr="002A078E">
        <w:t xml:space="preserve">provide training in pathogen genomics for the public health workforce </w:t>
      </w:r>
    </w:p>
    <w:p w14:paraId="1A8DE8BA" w14:textId="1A1EDE37" w:rsidR="0095608A" w:rsidRPr="002A078E" w:rsidRDefault="0095608A" w:rsidP="00732ECA">
      <w:pPr>
        <w:numPr>
          <w:ilvl w:val="0"/>
          <w:numId w:val="43"/>
        </w:numPr>
      </w:pPr>
      <w:r w:rsidRPr="002A078E">
        <w:t>prepare for and respond to infectious disease threats</w:t>
      </w:r>
      <w:r w:rsidR="000A7057" w:rsidRPr="002A078E">
        <w:rPr>
          <w:rStyle w:val="FootnoteReference"/>
        </w:rPr>
        <w:footnoteReference w:id="32"/>
      </w:r>
      <w:r w:rsidRPr="002A078E">
        <w:t>.</w:t>
      </w:r>
    </w:p>
    <w:p w14:paraId="5125DD25" w14:textId="1BCA1A53" w:rsidR="0095608A" w:rsidRPr="002A078E" w:rsidRDefault="0095608A" w:rsidP="00B80089">
      <w:r w:rsidRPr="002A078E">
        <w:t xml:space="preserve">In addition to the creation of the PGCoE, </w:t>
      </w:r>
      <w:r w:rsidR="1B9E53A9" w:rsidRPr="002A078E">
        <w:t xml:space="preserve">US </w:t>
      </w:r>
      <w:r w:rsidRPr="002A078E">
        <w:t xml:space="preserve">CDC’s Advanced Molecular Detection program effort has been expanded by a $1.7 billion multi-year US government investment from the American Rescue Plan Act of 2021 to help prepare states, </w:t>
      </w:r>
      <w:r w:rsidRPr="002A078E">
        <w:lastRenderedPageBreak/>
        <w:t>communities, and the nation for future disease outbreaks by investing in computer power, data sharing, and education</w:t>
      </w:r>
      <w:r w:rsidR="000A7057" w:rsidRPr="002A078E">
        <w:rPr>
          <w:rStyle w:val="FootnoteReference"/>
        </w:rPr>
        <w:footnoteReference w:id="33"/>
      </w:r>
      <w:r w:rsidRPr="002A078E">
        <w:t>.</w:t>
      </w:r>
    </w:p>
    <w:p w14:paraId="34A1A969" w14:textId="77777777" w:rsidR="0095608A" w:rsidRPr="003B6D6E" w:rsidRDefault="0095608A" w:rsidP="00B80089">
      <w:pPr>
        <w:pStyle w:val="Heading3"/>
      </w:pPr>
      <w:bookmarkStart w:id="240" w:name="_Toc135494158"/>
      <w:bookmarkStart w:id="241" w:name="_Toc1965539593"/>
      <w:bookmarkStart w:id="242" w:name="_Toc534651115"/>
      <w:bookmarkStart w:id="243" w:name="_Toc191899456"/>
      <w:r>
        <w:t>Singapore</w:t>
      </w:r>
      <w:bookmarkEnd w:id="240"/>
      <w:bookmarkEnd w:id="241"/>
      <w:bookmarkEnd w:id="242"/>
      <w:bookmarkEnd w:id="243"/>
    </w:p>
    <w:p w14:paraId="38ECFA3C" w14:textId="56D7E121" w:rsidR="0095608A" w:rsidRPr="002A078E" w:rsidRDefault="0095608A" w:rsidP="00B80089">
      <w:r w:rsidRPr="002A078E">
        <w:t>In June 2022, the Centre for Outbreak Preparedness (COP) was launched by the Duke-NUS Medical School to strengthen regional research capacity and capabilities. A partnership with Bill and Melinda Gates Foundation was also announced to develop the Asia Pathogen Genomics Initiative (APGI)</w:t>
      </w:r>
      <w:r w:rsidR="00BF5780" w:rsidRPr="002A078E">
        <w:rPr>
          <w:rStyle w:val="FootnoteReference"/>
        </w:rPr>
        <w:footnoteReference w:id="34"/>
      </w:r>
      <w:r w:rsidRPr="002A078E">
        <w:t>. The Duke-Nus COP aims to enhance regional health security across South and Southeast Asia by working to improve regional surveillance and laboratory capacity for early detection of disease threats and supporting other countries in the region in early detection and variant analysis through enhanced genomic surveillance and data sharing via the APGI.</w:t>
      </w:r>
    </w:p>
    <w:p w14:paraId="63A57B63" w14:textId="32E93C52" w:rsidR="00392A4D" w:rsidRPr="007D586A" w:rsidRDefault="001A23A4" w:rsidP="001C3090">
      <w:pPr>
        <w:rPr>
          <w:color w:val="033636" w:themeColor="text2"/>
        </w:rPr>
      </w:pPr>
      <w:r>
        <w:br w:type="page"/>
      </w:r>
      <w:bookmarkEnd w:id="99"/>
      <w:r w:rsidR="00767EC5">
        <w:rPr>
          <w:noProof/>
        </w:rPr>
        <w:lastRenderedPageBreak/>
        <w:drawing>
          <wp:anchor distT="0" distB="0" distL="114300" distR="114300" simplePos="0" relativeHeight="251658240" behindDoc="1" locked="0" layoutInCell="1" allowOverlap="1" wp14:anchorId="23B2DAB1" wp14:editId="06A546E8">
            <wp:simplePos x="0" y="0"/>
            <wp:positionH relativeFrom="page">
              <wp:align>left</wp:align>
            </wp:positionH>
            <wp:positionV relativeFrom="page">
              <wp:align>top</wp:align>
            </wp:positionV>
            <wp:extent cx="7559675" cy="10685145"/>
            <wp:effectExtent l="0" t="0" r="0" b="0"/>
            <wp:wrapNone/>
            <wp:docPr id="1376164347" name="Picture 1376164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64347" name="Picture 1376164347">
                      <a:extLst>
                        <a:ext uri="{C183D7F6-B498-43B3-948B-1728B52AA6E4}">
                          <adec:decorative xmlns:adec="http://schemas.microsoft.com/office/drawing/2017/decorative" val="1"/>
                        </a:ext>
                      </a:extLst>
                    </pic:cNvPr>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margin">
              <wp14:pctWidth>0</wp14:pctWidth>
            </wp14:sizeRelH>
            <wp14:sizeRelV relativeFrom="margin">
              <wp14:pctHeight>0</wp14:pctHeight>
            </wp14:sizeRelV>
          </wp:anchor>
        </w:drawing>
      </w:r>
    </w:p>
    <w:sectPr w:rsidR="00392A4D" w:rsidRPr="007D586A" w:rsidSect="00DE4DAC">
      <w:headerReference w:type="default" r:id="rId37"/>
      <w:footerReference w:type="default" r:id="rId38"/>
      <w:footerReference w:type="first" r:id="rId39"/>
      <w:pgSz w:w="11900" w:h="16840"/>
      <w:pgMar w:top="1474" w:right="934" w:bottom="1474" w:left="1474" w:header="709" w:footer="5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1D315" w14:textId="77777777" w:rsidR="00350CC7" w:rsidRDefault="00350CC7" w:rsidP="00BD640A">
      <w:pPr>
        <w:spacing w:before="0" w:after="0" w:line="240" w:lineRule="auto"/>
      </w:pPr>
      <w:r>
        <w:separator/>
      </w:r>
    </w:p>
  </w:endnote>
  <w:endnote w:type="continuationSeparator" w:id="0">
    <w:p w14:paraId="1BBED3B6" w14:textId="77777777" w:rsidR="00350CC7" w:rsidRDefault="00350CC7" w:rsidP="00BD640A">
      <w:pPr>
        <w:spacing w:before="0" w:after="0" w:line="240" w:lineRule="auto"/>
      </w:pPr>
      <w:r>
        <w:continuationSeparator/>
      </w:r>
    </w:p>
  </w:endnote>
  <w:endnote w:type="continuationNotice" w:id="1">
    <w:p w14:paraId="00E605A0" w14:textId="77777777" w:rsidR="00350CC7" w:rsidRDefault="00350C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ofia Pr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DA584" w14:textId="77777777" w:rsidR="00A508F3" w:rsidRDefault="009C311D" w:rsidP="00346C59">
    <w:pPr>
      <w:pStyle w:val="Footer"/>
      <w:tabs>
        <w:tab w:val="clear" w:pos="4513"/>
      </w:tabs>
    </w:pPr>
    <w:sdt>
      <w:sdtPr>
        <w:rPr>
          <w:rStyle w:val="PageNumber"/>
          <w:color w:val="FFFFFF" w:themeColor="background1"/>
        </w:rPr>
        <w:id w:val="396474916"/>
        <w:docPartObj>
          <w:docPartGallery w:val="Page Numbers (Bottom of Page)"/>
          <w:docPartUnique/>
        </w:docPartObj>
      </w:sdtPr>
      <w:sdtEndPr>
        <w:rPr>
          <w:rStyle w:val="PageNumber"/>
        </w:rPr>
      </w:sdtEndPr>
      <w:sdtContent>
        <w:r w:rsidR="00AB1146" w:rsidRPr="00AB1146">
          <w:rPr>
            <w:rStyle w:val="PageNumber"/>
            <w:color w:val="FFFFFF" w:themeColor="background1"/>
          </w:rPr>
          <w:t>Interim Australian Centre for Disease Control</w:t>
        </w:r>
        <w:r w:rsidR="00346C59" w:rsidRPr="00DD7044">
          <w:rPr>
            <w:rStyle w:val="PageNumber"/>
            <w:color w:val="FFFFFF" w:themeColor="background1"/>
          </w:rPr>
          <w:tab/>
        </w:r>
        <w:r w:rsidR="00346C59" w:rsidRPr="00DD7044">
          <w:rPr>
            <w:rStyle w:val="PageNumber"/>
            <w:color w:val="FFFFFF" w:themeColor="background1"/>
          </w:rPr>
          <w:fldChar w:fldCharType="begin"/>
        </w:r>
        <w:r w:rsidR="00346C59" w:rsidRPr="00DD7044">
          <w:rPr>
            <w:rStyle w:val="PageNumber"/>
            <w:color w:val="FFFFFF" w:themeColor="background1"/>
          </w:rPr>
          <w:instrText xml:space="preserve"> PAGE </w:instrText>
        </w:r>
        <w:r w:rsidR="00346C59" w:rsidRPr="00DD7044">
          <w:rPr>
            <w:rStyle w:val="PageNumber"/>
            <w:color w:val="FFFFFF" w:themeColor="background1"/>
          </w:rPr>
          <w:fldChar w:fldCharType="separate"/>
        </w:r>
        <w:r w:rsidR="00346C59">
          <w:rPr>
            <w:rStyle w:val="PageNumber"/>
            <w:color w:val="FFFFFF" w:themeColor="background1"/>
          </w:rPr>
          <w:t>1</w:t>
        </w:r>
        <w:r w:rsidR="00346C59" w:rsidRPr="00DD7044">
          <w:rPr>
            <w:rStyle w:val="PageNumber"/>
            <w:color w:val="FFFFFF" w:themeColor="background1"/>
          </w:rPr>
          <w:fldChar w:fldCharType="end"/>
        </w:r>
      </w:sdtContent>
    </w:sdt>
    <w:r w:rsidR="00346C59" w:rsidRPr="00DD7044">
      <w:rPr>
        <w:noProof/>
        <w:color w:val="FFFFFF" w:themeColor="background1"/>
      </w:rPr>
      <w:t xml:space="preserve"> </w:t>
    </w:r>
    <w:r w:rsidR="00A508F3" w:rsidRPr="00DD7044">
      <w:rPr>
        <w:noProof/>
        <w:color w:val="FFFFFF" w:themeColor="background1"/>
      </w:rPr>
      <w:drawing>
        <wp:anchor distT="0" distB="0" distL="114300" distR="114300" simplePos="0" relativeHeight="251657728" behindDoc="1" locked="1" layoutInCell="1" allowOverlap="1" wp14:anchorId="63014502" wp14:editId="5771406E">
          <wp:simplePos x="0" y="0"/>
          <wp:positionH relativeFrom="page">
            <wp:align>left</wp:align>
          </wp:positionH>
          <wp:positionV relativeFrom="page">
            <wp:align>bottom</wp:align>
          </wp:positionV>
          <wp:extent cx="7668000" cy="8604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8000" cy="86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81A8" w14:textId="77777777" w:rsidR="004B339D" w:rsidRPr="00CA11E3" w:rsidRDefault="00CA11E3" w:rsidP="00CA11E3">
    <w:pPr>
      <w:pStyle w:val="Footer"/>
      <w:tabs>
        <w:tab w:val="clear" w:pos="4513"/>
        <w:tab w:val="clear" w:pos="9026"/>
        <w:tab w:val="right" w:pos="9498"/>
      </w:tabs>
      <w:rPr>
        <w:color w:val="FFFFFF" w:themeColor="background1"/>
      </w:rPr>
    </w:pPr>
    <w:r w:rsidRPr="00DD7044">
      <w:rPr>
        <w:noProof/>
        <w:color w:val="FFFFFF" w:themeColor="background1"/>
      </w:rPr>
      <w:drawing>
        <wp:anchor distT="0" distB="0" distL="114300" distR="114300" simplePos="0" relativeHeight="251656704" behindDoc="1" locked="1" layoutInCell="1" allowOverlap="1" wp14:anchorId="0689BD32" wp14:editId="2EC1A323">
          <wp:simplePos x="0" y="0"/>
          <wp:positionH relativeFrom="page">
            <wp:align>left</wp:align>
          </wp:positionH>
          <wp:positionV relativeFrom="page">
            <wp:align>bottom</wp:align>
          </wp:positionV>
          <wp:extent cx="7668000" cy="860400"/>
          <wp:effectExtent l="0" t="0" r="0"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8000" cy="86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71252" w14:textId="77777777" w:rsidR="00350CC7" w:rsidRDefault="00350CC7" w:rsidP="00BD640A">
      <w:pPr>
        <w:spacing w:before="0" w:after="0" w:line="240" w:lineRule="auto"/>
      </w:pPr>
      <w:r>
        <w:separator/>
      </w:r>
    </w:p>
  </w:footnote>
  <w:footnote w:type="continuationSeparator" w:id="0">
    <w:p w14:paraId="0E1D5220" w14:textId="77777777" w:rsidR="00350CC7" w:rsidRDefault="00350CC7" w:rsidP="00BD640A">
      <w:pPr>
        <w:spacing w:before="0" w:after="0" w:line="240" w:lineRule="auto"/>
      </w:pPr>
      <w:r>
        <w:continuationSeparator/>
      </w:r>
    </w:p>
  </w:footnote>
  <w:footnote w:type="continuationNotice" w:id="1">
    <w:p w14:paraId="74284158" w14:textId="77777777" w:rsidR="00350CC7" w:rsidRDefault="00350CC7">
      <w:pPr>
        <w:spacing w:before="0" w:after="0" w:line="240" w:lineRule="auto"/>
      </w:pPr>
    </w:p>
  </w:footnote>
  <w:footnote w:id="2">
    <w:p w14:paraId="3517BA3A" w14:textId="634B77EE" w:rsidR="007921AB" w:rsidRPr="00D436D5" w:rsidRDefault="007921AB" w:rsidP="007921AB">
      <w:pPr>
        <w:pStyle w:val="FootnoteText"/>
        <w:spacing w:line="240" w:lineRule="auto"/>
      </w:pPr>
      <w:r>
        <w:rPr>
          <w:rStyle w:val="FootnoteReference"/>
        </w:rPr>
        <w:footnoteRef/>
      </w:r>
      <w:r>
        <w:t xml:space="preserve"> </w:t>
      </w:r>
      <w:r w:rsidRPr="00FA60E1">
        <w:t>AHPC is the key decision-making committee for health emergencies, comprising of all state and territory Chief Health Officers and is chaired by the Australian Chief Medical Officer.</w:t>
      </w:r>
    </w:p>
  </w:footnote>
  <w:footnote w:id="3">
    <w:p w14:paraId="5C5670F5" w14:textId="77777777" w:rsidR="002929A6" w:rsidRDefault="002929A6" w:rsidP="002929A6">
      <w:pPr>
        <w:pStyle w:val="FootnoteText"/>
      </w:pPr>
      <w:r w:rsidRPr="4F50332C">
        <w:rPr>
          <w:rStyle w:val="FootnoteReference"/>
        </w:rPr>
        <w:footnoteRef/>
      </w:r>
      <w:r>
        <w:t xml:space="preserve"> Australian Government (2023). STATEMENT OF INTENT Working together to support the Australian Centre for Disease Control. Retrieved 11 December 2023 from </w:t>
      </w:r>
      <w:hyperlink r:id="rId1" w:history="1">
        <w:r w:rsidRPr="4F50332C">
          <w:rPr>
            <w:rStyle w:val="Hyperlink"/>
          </w:rPr>
          <w:t>https://www.health.gov.au/sites/default/files/2023-11/australian-centre-for-disease-control-cdc-statement-of-intent-10-november-2023.pdf</w:t>
        </w:r>
      </w:hyperlink>
    </w:p>
  </w:footnote>
  <w:footnote w:id="4">
    <w:p w14:paraId="49750DD4" w14:textId="77777777" w:rsidR="00025AC6" w:rsidRDefault="00025AC6" w:rsidP="00025AC6">
      <w:pPr>
        <w:pStyle w:val="FootnoteText"/>
        <w:spacing w:line="240" w:lineRule="auto"/>
      </w:pPr>
      <w:r w:rsidRPr="002303DB">
        <w:rPr>
          <w:rStyle w:val="FootnoteReference"/>
        </w:rPr>
        <w:footnoteRef/>
      </w:r>
      <w:r w:rsidRPr="002303DB">
        <w:t xml:space="preserve"> Formerly known as the Australian Health Ministers' Advisory Council (AHMAC). </w:t>
      </w:r>
    </w:p>
  </w:footnote>
  <w:footnote w:id="5">
    <w:p w14:paraId="5D1CA436" w14:textId="5D75D17E" w:rsidR="00762F1C" w:rsidRDefault="00762F1C">
      <w:pPr>
        <w:pStyle w:val="FootnoteText"/>
      </w:pPr>
      <w:r w:rsidRPr="00122AA0">
        <w:rPr>
          <w:rStyle w:val="FootnoteReference"/>
        </w:rPr>
        <w:footnoteRef/>
      </w:r>
      <w:r w:rsidR="5A36DD3A" w:rsidRPr="00122AA0">
        <w:t xml:space="preserve"> </w:t>
      </w:r>
      <w:r w:rsidR="5A36DD3A">
        <w:t xml:space="preserve">As described above, when assigning an action lead here and in the strategic priorities, it is important to note that the lead will work on the action in collaboration with relevant parties, as identified by the AHPC. </w:t>
      </w:r>
    </w:p>
  </w:footnote>
  <w:footnote w:id="6">
    <w:p w14:paraId="4583E3DC" w14:textId="27D8DD6C" w:rsidR="5236FCCA" w:rsidRDefault="5236FCCA" w:rsidP="4948F0E7">
      <w:pPr>
        <w:pStyle w:val="FootnoteText"/>
      </w:pPr>
      <w:r w:rsidRPr="5236FCCA">
        <w:rPr>
          <w:rStyle w:val="FootnoteReference"/>
        </w:rPr>
        <w:footnoteRef/>
      </w:r>
      <w:r>
        <w:t xml:space="preserve"> When referring to the Australian CDC as an action lead, it is </w:t>
      </w:r>
      <w:r w:rsidR="004B08B9">
        <w:t>referring to</w:t>
      </w:r>
      <w:r>
        <w:t xml:space="preserve"> either the interim or standalone Australian CDC, depending on the timeframe and establishment of the standalone Australian CDC.</w:t>
      </w:r>
    </w:p>
  </w:footnote>
  <w:footnote w:id="7">
    <w:p w14:paraId="28CF1590" w14:textId="72D631FD" w:rsidR="00963FFD" w:rsidRPr="00A824FF" w:rsidRDefault="00963FFD" w:rsidP="00963FFD">
      <w:pPr>
        <w:pStyle w:val="FootnoteText"/>
        <w:spacing w:line="240" w:lineRule="auto"/>
      </w:pPr>
      <w:r w:rsidRPr="00152CAF">
        <w:rPr>
          <w:rStyle w:val="FootnoteReference"/>
        </w:rPr>
        <w:footnoteRef/>
      </w:r>
      <w:r w:rsidRPr="00152CAF">
        <w:t xml:space="preserve"> </w:t>
      </w:r>
      <w:r w:rsidRPr="00A73576">
        <w:rPr>
          <w:rFonts w:ascii="Arial" w:hAnsi="Arial" w:cs="Arial"/>
        </w:rPr>
        <w:t>P</w:t>
      </w:r>
      <w:r w:rsidRPr="00A73576">
        <w:rPr>
          <w:rFonts w:ascii="Arial" w:eastAsia="Calibri" w:hAnsi="Arial" w:cs="Arial"/>
        </w:rPr>
        <w:t>lease note that the evaluation report for the 2019-2022 Framework will be completed by the Interim Australian CDC in 202</w:t>
      </w:r>
      <w:r w:rsidR="00237459">
        <w:rPr>
          <w:rFonts w:ascii="Arial" w:eastAsia="Calibri" w:hAnsi="Arial" w:cs="Arial"/>
        </w:rPr>
        <w:t>5</w:t>
      </w:r>
      <w:r w:rsidR="00323841">
        <w:rPr>
          <w:rFonts w:ascii="Arial" w:eastAsia="Calibri" w:hAnsi="Arial" w:cs="Arial"/>
        </w:rPr>
        <w:t>-</w:t>
      </w:r>
      <w:r w:rsidR="00D23D98">
        <w:rPr>
          <w:rFonts w:ascii="Arial" w:eastAsia="Calibri" w:hAnsi="Arial" w:cs="Arial"/>
        </w:rPr>
        <w:t>20</w:t>
      </w:r>
      <w:r w:rsidR="00B85995">
        <w:rPr>
          <w:rFonts w:ascii="Arial" w:eastAsia="Calibri" w:hAnsi="Arial" w:cs="Arial"/>
        </w:rPr>
        <w:t>2</w:t>
      </w:r>
      <w:r w:rsidR="00237459">
        <w:rPr>
          <w:rFonts w:ascii="Arial" w:eastAsia="Calibri" w:hAnsi="Arial" w:cs="Arial"/>
        </w:rPr>
        <w:t>6</w:t>
      </w:r>
      <w:r w:rsidRPr="00A73576">
        <w:rPr>
          <w:rFonts w:ascii="Arial" w:eastAsia="Calibri" w:hAnsi="Arial" w:cs="Arial"/>
        </w:rPr>
        <w:t>.</w:t>
      </w:r>
    </w:p>
  </w:footnote>
  <w:footnote w:id="8">
    <w:p w14:paraId="27580199" w14:textId="0290DB9B" w:rsidR="00D50232" w:rsidRDefault="00D50232">
      <w:pPr>
        <w:pStyle w:val="FootnoteText"/>
      </w:pPr>
      <w:r>
        <w:rPr>
          <w:rStyle w:val="FootnoteReference"/>
        </w:rPr>
        <w:footnoteRef/>
      </w:r>
      <w:r>
        <w:t xml:space="preserve"> </w:t>
      </w:r>
      <w:r w:rsidR="00B71D69">
        <w:t xml:space="preserve">National </w:t>
      </w:r>
      <w:r w:rsidR="00BC5B2F">
        <w:t xml:space="preserve">genomic </w:t>
      </w:r>
      <w:r w:rsidR="00B71D69">
        <w:t xml:space="preserve">analysis is not intended to replace </w:t>
      </w:r>
      <w:r w:rsidR="00B71D69" w:rsidRPr="00B71D69">
        <w:t>jurisdictional analyses or expertise</w:t>
      </w:r>
      <w:r w:rsidR="008371AA">
        <w:t>, rather</w:t>
      </w:r>
      <w:r w:rsidR="001D2730">
        <w:t xml:space="preserve"> it is considered a complementary </w:t>
      </w:r>
      <w:r w:rsidR="00BC5B2F">
        <w:t>action to support and enhance communicable disease surveillance in Australia</w:t>
      </w:r>
      <w:r w:rsidR="001D2730">
        <w:t>.</w:t>
      </w:r>
      <w:r w:rsidR="00551EED">
        <w:t xml:space="preserve"> </w:t>
      </w:r>
    </w:p>
  </w:footnote>
  <w:footnote w:id="9">
    <w:p w14:paraId="6FFB3B05" w14:textId="77777777" w:rsidR="002B0A1F" w:rsidRPr="00BC7EF1" w:rsidRDefault="002B0A1F" w:rsidP="002B0A1F">
      <w:pPr>
        <w:pStyle w:val="FootnoteText"/>
        <w:spacing w:line="240" w:lineRule="auto"/>
      </w:pPr>
      <w:r w:rsidRPr="00BC7EF1">
        <w:rPr>
          <w:rStyle w:val="FootnoteReference"/>
        </w:rPr>
        <w:footnoteRef/>
      </w:r>
      <w:r w:rsidRPr="00BC7EF1">
        <w:rPr>
          <w:rStyle w:val="FootnoteReference"/>
        </w:rPr>
        <w:t xml:space="preserve"> </w:t>
      </w:r>
      <w:r w:rsidRPr="00BC7EF1">
        <w:t xml:space="preserve">GO FAIR (2022). FAIR Principles. Retrieved 30 October 2023 from </w:t>
      </w:r>
      <w:hyperlink r:id="rId2">
        <w:r w:rsidRPr="44B6643F">
          <w:rPr>
            <w:rStyle w:val="Hyperlink"/>
          </w:rPr>
          <w:t>www.go-fair.org/wp-content/uploads/2022/01/FAIRPrinciples_overview.pdf</w:t>
        </w:r>
      </w:hyperlink>
      <w:r w:rsidRPr="00BC7EF1">
        <w:t xml:space="preserve"> </w:t>
      </w:r>
    </w:p>
  </w:footnote>
  <w:footnote w:id="10">
    <w:p w14:paraId="3588AFA8" w14:textId="77777777" w:rsidR="00466395" w:rsidRPr="0039746A" w:rsidRDefault="00466395" w:rsidP="00466395">
      <w:pPr>
        <w:spacing w:line="240" w:lineRule="auto"/>
        <w:rPr>
          <w:sz w:val="20"/>
          <w:szCs w:val="20"/>
        </w:rPr>
      </w:pPr>
      <w:r w:rsidRPr="00BC7EF1">
        <w:rPr>
          <w:rStyle w:val="FootnoteReference"/>
          <w:sz w:val="20"/>
          <w:szCs w:val="20"/>
        </w:rPr>
        <w:footnoteRef/>
      </w:r>
      <w:r w:rsidRPr="00BC7EF1">
        <w:rPr>
          <w:sz w:val="20"/>
          <w:szCs w:val="20"/>
        </w:rPr>
        <w:t xml:space="preserve"> Though Aboriginal and Torres Strait Islander data sovereignty principles are not explicitly mentioned, the Framework endeavours to meet best standards and practices. There will be continued consultation with relevant stakeholders on how to best navigate this sphere, and its intersections with microbial genomic data </w:t>
      </w:r>
      <w:r w:rsidRPr="0039746A">
        <w:rPr>
          <w:sz w:val="20"/>
          <w:szCs w:val="20"/>
        </w:rPr>
        <w:t>governance. Additionally, the Australian CDC plan to develop a f</w:t>
      </w:r>
      <w:r w:rsidRPr="2C2AAA70">
        <w:rPr>
          <w:sz w:val="20"/>
          <w:szCs w:val="20"/>
        </w:rPr>
        <w:t>ramework for governance of First Nations data.</w:t>
      </w:r>
    </w:p>
  </w:footnote>
  <w:footnote w:id="11">
    <w:p w14:paraId="7FD7635B" w14:textId="77777777" w:rsidR="00A3104E" w:rsidRPr="00FD07C3" w:rsidRDefault="00A3104E" w:rsidP="00A3104E">
      <w:pPr>
        <w:pStyle w:val="FootnoteText"/>
        <w:spacing w:line="240" w:lineRule="auto"/>
      </w:pPr>
      <w:r w:rsidRPr="00FD07C3">
        <w:rPr>
          <w:rStyle w:val="FootnoteReference"/>
        </w:rPr>
        <w:footnoteRef/>
      </w:r>
      <w:r w:rsidRPr="00FD07C3">
        <w:t xml:space="preserve"> For further information regarding AusTrakka’s activities, please see Annex A.</w:t>
      </w:r>
    </w:p>
  </w:footnote>
  <w:footnote w:id="12">
    <w:p w14:paraId="723438C2" w14:textId="77777777" w:rsidR="009D27BC" w:rsidRDefault="009D27BC" w:rsidP="009D27BC">
      <w:pPr>
        <w:pStyle w:val="FootnoteText"/>
      </w:pPr>
      <w:r>
        <w:rPr>
          <w:rStyle w:val="FootnoteReference"/>
        </w:rPr>
        <w:footnoteRef/>
      </w:r>
      <w:r>
        <w:t xml:space="preserve"> Australian Government Department of Health and Aged Care (2021). CDGN, PHLN and CDNA Sampling Strategy for SARS-CoV-2 Genomic Surveillance. Retrieved on 21 August 2024 from </w:t>
      </w:r>
      <w:hyperlink r:id="rId3" w:history="1">
        <w:r w:rsidRPr="003D39C8">
          <w:rPr>
            <w:rStyle w:val="Hyperlink"/>
          </w:rPr>
          <w:t>https://www.health.gov.au/sites/default/files/documents/2021/11/cdgn-phln-and-cdna-sampling-strategy-for-sars-cov-2-genomic-surveillance_0.pdf</w:t>
        </w:r>
      </w:hyperlink>
      <w:r>
        <w:t xml:space="preserve"> </w:t>
      </w:r>
    </w:p>
  </w:footnote>
  <w:footnote w:id="13">
    <w:p w14:paraId="666E4D86" w14:textId="77777777" w:rsidR="00A813C7" w:rsidRPr="0007722E" w:rsidRDefault="00A813C7" w:rsidP="00A813C7">
      <w:pPr>
        <w:pStyle w:val="FootnoteText"/>
        <w:spacing w:line="240" w:lineRule="auto"/>
      </w:pPr>
      <w:r>
        <w:rPr>
          <w:rStyle w:val="FootnoteReference"/>
        </w:rPr>
        <w:footnoteRef/>
      </w:r>
      <w:r w:rsidRPr="00EE6BFB">
        <w:rPr>
          <w:lang w:val="da-DK"/>
        </w:rPr>
        <w:t xml:space="preserve"> Williamson DA, Ingle DJ, Howden BP. </w:t>
      </w:r>
      <w:r w:rsidRPr="005637F8">
        <w:t>(2019) Extensively drug-resistant Shigellosis in Australia among men who have sex with men. New England Journal of Medicine.</w:t>
      </w:r>
    </w:p>
  </w:footnote>
  <w:footnote w:id="14">
    <w:p w14:paraId="30A1044B" w14:textId="53BE74BE" w:rsidR="00A813C7" w:rsidRPr="005637F8" w:rsidRDefault="00A813C7" w:rsidP="00A813C7">
      <w:pPr>
        <w:pStyle w:val="FootnoteText"/>
        <w:spacing w:line="240" w:lineRule="auto"/>
      </w:pPr>
      <w:r>
        <w:rPr>
          <w:rStyle w:val="FootnoteReference"/>
        </w:rPr>
        <w:footnoteRef/>
      </w:r>
      <w:r w:rsidRPr="001B3C12">
        <w:t xml:space="preserve"> Ingle DJ, Andersson P, Valcanis M et al. </w:t>
      </w:r>
      <w:r w:rsidRPr="004A23D4">
        <w:t>(2020) Prolonged outbreak of multidrug-resistant Shigella sonnei harbouring blaCTX-M-27 in Victoria, Australia. Antimicrobial Agents and Chemotherapy.</w:t>
      </w:r>
    </w:p>
  </w:footnote>
  <w:footnote w:id="15">
    <w:p w14:paraId="2C2E7954" w14:textId="77777777" w:rsidR="00A813C7" w:rsidRPr="004A23D4" w:rsidRDefault="00A813C7" w:rsidP="00A813C7">
      <w:pPr>
        <w:pStyle w:val="FootnoteText"/>
        <w:spacing w:line="240" w:lineRule="auto"/>
      </w:pPr>
      <w:r>
        <w:rPr>
          <w:rStyle w:val="FootnoteReference"/>
        </w:rPr>
        <w:footnoteRef/>
      </w:r>
      <w:r>
        <w:t xml:space="preserve"> </w:t>
      </w:r>
      <w:r w:rsidRPr="00F25D67">
        <w:t>Ingle DJ, Easton M, Valcanis et al (2019) Co-circulation of multidrug-resistant Shigella among men who have sex with men in Australia. Clinical Infectious Diseases.</w:t>
      </w:r>
    </w:p>
  </w:footnote>
  <w:footnote w:id="16">
    <w:p w14:paraId="0DF15B51" w14:textId="77777777" w:rsidR="00A813C7" w:rsidRPr="00F25D67" w:rsidRDefault="00A813C7" w:rsidP="00A813C7">
      <w:pPr>
        <w:pStyle w:val="FootnoteText"/>
        <w:spacing w:line="240" w:lineRule="auto"/>
      </w:pPr>
      <w:r>
        <w:rPr>
          <w:rStyle w:val="FootnoteReference"/>
        </w:rPr>
        <w:footnoteRef/>
      </w:r>
      <w:r>
        <w:t xml:space="preserve"> </w:t>
      </w:r>
      <w:r w:rsidRPr="00210BAE">
        <w:t>Guglielmino CJD, Kakkanat A, Forde BM et al (2021) Outbreak of multi-drug-resistant (MDR) Shigella flexneri in northern Australia due to an endemic regional clone acquiring an IncFII plasmid. European Journal of Clinical Microbiology and Infectious Diseases.</w:t>
      </w:r>
    </w:p>
  </w:footnote>
  <w:footnote w:id="17">
    <w:p w14:paraId="293E3BA8" w14:textId="77777777" w:rsidR="005A3F2F" w:rsidRPr="00410103" w:rsidRDefault="005A3F2F" w:rsidP="005A3F2F">
      <w:pPr>
        <w:pStyle w:val="FootnoteText"/>
        <w:spacing w:before="0" w:after="0" w:line="240" w:lineRule="auto"/>
      </w:pPr>
      <w:r>
        <w:rPr>
          <w:rStyle w:val="FootnoteReference"/>
        </w:rPr>
        <w:footnoteRef/>
      </w:r>
      <w:r>
        <w:t xml:space="preserve"> </w:t>
      </w:r>
      <w:r w:rsidRPr="00410103">
        <w:t>Gordon, A. K., Marais, B., Walker, T. M., &amp; Sintchenko, V. (2021). Clinical and public health utility of Mycobacterium tuberculosis whole genome sequencing. International Journal of Infectious Diseases, 113, S40-S42.</w:t>
      </w:r>
    </w:p>
  </w:footnote>
  <w:footnote w:id="18">
    <w:p w14:paraId="53836995" w14:textId="396C6D5D" w:rsidR="005A3F2F" w:rsidRPr="00416854" w:rsidRDefault="005A3F2F" w:rsidP="005A3F2F">
      <w:pPr>
        <w:pStyle w:val="FootnoteText"/>
        <w:spacing w:line="240" w:lineRule="auto"/>
      </w:pPr>
      <w:r>
        <w:rPr>
          <w:rStyle w:val="FootnoteReference"/>
        </w:rPr>
        <w:footnoteRef/>
      </w:r>
      <w:r>
        <w:t xml:space="preserve"> Australian Government (2022). Medical Services Advisory Committee, Public Summary Document, Application No. 1646 – Whole genome sequencing of antimicrobial-resistant pathogens. Retrieved </w:t>
      </w:r>
      <w:r w:rsidR="00A33577">
        <w:t>3</w:t>
      </w:r>
      <w:r>
        <w:t xml:space="preserve"> </w:t>
      </w:r>
      <w:r w:rsidR="00A33577">
        <w:t>March</w:t>
      </w:r>
      <w:r>
        <w:t xml:space="preserve"> 202</w:t>
      </w:r>
      <w:r w:rsidR="00A33577">
        <w:t>5</w:t>
      </w:r>
      <w:r>
        <w:t xml:space="preserve"> from </w:t>
      </w:r>
      <w:hyperlink r:id="rId4" w:history="1">
        <w:r w:rsidR="00A33577" w:rsidRPr="008355CA">
          <w:rPr>
            <w:rStyle w:val="Hyperlink"/>
          </w:rPr>
          <w:t>https://www.msac.gov.au/sites/default/files/documents/1646%2520-%2520Final%2520PSD_Mar-Apr2022.pdf</w:t>
        </w:r>
      </w:hyperlink>
      <w:r w:rsidR="00A33577">
        <w:t xml:space="preserve"> </w:t>
      </w:r>
    </w:p>
  </w:footnote>
  <w:footnote w:id="19">
    <w:p w14:paraId="30A52B65" w14:textId="77777777" w:rsidR="000D5759" w:rsidRPr="00410103" w:rsidRDefault="000D5759" w:rsidP="000D5759">
      <w:pPr>
        <w:pStyle w:val="FootnoteText"/>
        <w:spacing w:before="0" w:line="240" w:lineRule="auto"/>
      </w:pPr>
      <w:r>
        <w:rPr>
          <w:rStyle w:val="FootnoteReference"/>
        </w:rPr>
        <w:footnoteRef/>
      </w:r>
      <w:r>
        <w:t xml:space="preserve"> World Health Organization (2022). </w:t>
      </w:r>
      <w:r w:rsidRPr="00410103">
        <w:t xml:space="preserve">Global genomic surveillance strategy for pathogens with pandemic and epidemic potential, 2022–2032. </w:t>
      </w:r>
      <w:r>
        <w:t xml:space="preserve">Retrieved 17 February 2023 from </w:t>
      </w:r>
      <w:hyperlink r:id="rId5" w:anchor=":~:text=Global%20genomic%20surveillance%20strategy%20for%20pathogens%20with%20pandemic,detection%2C%20monitoring%20and%20response%20to%20public%20health%20threats">
        <w:r w:rsidRPr="44B6643F">
          <w:rPr>
            <w:rStyle w:val="Hyperlink"/>
          </w:rPr>
          <w:t>https://www.who.int/initiatives/genomic-surveillance-strategy#:~:text=Global%20genomic%20surveillance%20strategy%20for%20pathogens%20with%20pandemic,detection%2C%20monitoring%20and%20response%20to%20public%20health%20threats</w:t>
        </w:r>
      </w:hyperlink>
      <w:r>
        <w:t xml:space="preserve">. </w:t>
      </w:r>
    </w:p>
  </w:footnote>
  <w:footnote w:id="20">
    <w:p w14:paraId="64DF1915" w14:textId="77777777" w:rsidR="002B0A57" w:rsidRPr="00596CB0" w:rsidRDefault="002B0A57" w:rsidP="002B0A57">
      <w:pPr>
        <w:pStyle w:val="FootnoteText"/>
        <w:spacing w:before="0" w:after="0" w:line="240" w:lineRule="auto"/>
        <w:rPr>
          <w:rFonts w:cs="Sofia Pro Light"/>
        </w:rPr>
      </w:pPr>
      <w:r>
        <w:rPr>
          <w:rStyle w:val="FootnoteReference"/>
        </w:rPr>
        <w:footnoteRef/>
      </w:r>
      <w:r>
        <w:t xml:space="preserve"> </w:t>
      </w:r>
      <w:r w:rsidRPr="004904CF">
        <w:rPr>
          <w:rFonts w:cs="Sofia Pro Light"/>
          <w:color w:val="000000"/>
        </w:rPr>
        <w:t xml:space="preserve">World Health Organization (2022). </w:t>
      </w:r>
      <w:r>
        <w:rPr>
          <w:rFonts w:cs="Sofia Pro Light"/>
          <w:color w:val="000000"/>
        </w:rPr>
        <w:t xml:space="preserve">Global genomic surveillance strategy for pathogens with pandemic and epidemic potential, 2022–2032. </w:t>
      </w:r>
      <w:r w:rsidRPr="004904CF">
        <w:rPr>
          <w:rFonts w:cs="Sofia Pro Light"/>
          <w:color w:val="000000"/>
        </w:rPr>
        <w:t xml:space="preserve">Retrieved 17 February 2023 from </w:t>
      </w:r>
      <w:hyperlink r:id="rId6" w:anchor=":~:text=Global%20genomic%20surveillance%20strategy%20for%20pathogens%20with%20pandemic,detection%2C%20monitoring%20and%20response%20to%20public%20health%20threats">
        <w:r w:rsidRPr="44B6643F">
          <w:rPr>
            <w:rStyle w:val="Hyperlink"/>
            <w:rFonts w:cs="Sofia Pro Light"/>
          </w:rPr>
          <w:t>https://www.who.int/initiatives/genomic-surveillance-strategy#:~:text=Global%20genomic%20surveillance%20strategy%20for%20pathogens%20with%20pandemic,detection%2C%20monitoring%20and%20response%20to%20public%20health%20threats</w:t>
        </w:r>
      </w:hyperlink>
      <w:r w:rsidRPr="44B6643F">
        <w:rPr>
          <w:rFonts w:cs="Sofia Pro Light"/>
          <w:color w:val="000000" w:themeColor="text1"/>
        </w:rPr>
        <w:t xml:space="preserve">. </w:t>
      </w:r>
    </w:p>
  </w:footnote>
  <w:footnote w:id="21">
    <w:p w14:paraId="41E76A18" w14:textId="77777777" w:rsidR="00367A56" w:rsidRPr="00EA6045" w:rsidRDefault="00367A56" w:rsidP="00367A56">
      <w:pPr>
        <w:pStyle w:val="FootnoteText"/>
        <w:spacing w:before="0" w:line="240" w:lineRule="auto"/>
      </w:pPr>
      <w:r>
        <w:rPr>
          <w:rStyle w:val="FootnoteReference"/>
        </w:rPr>
        <w:footnoteRef/>
      </w:r>
      <w:r>
        <w:t xml:space="preserve"> World Health Organization: Regional Office for the Western Pacific (2022). Meeting Report: Inaugural Meeting of the Western Pacific Region Emerging Molecular Pathogen Characterization Technologies (EMPaCT) Surveillance Network. Retrieved on 17 February 2023 from</w:t>
      </w:r>
      <w:r w:rsidRPr="000D5EAA">
        <w:rPr>
          <w:sz w:val="22"/>
          <w:szCs w:val="22"/>
        </w:rPr>
        <w:t xml:space="preserve"> </w:t>
      </w:r>
      <w:hyperlink r:id="rId7">
        <w:r w:rsidRPr="44B6643F">
          <w:rPr>
            <w:rStyle w:val="Hyperlink"/>
          </w:rPr>
          <w:t>https://iris.who.int/handle/10665/352822</w:t>
        </w:r>
      </w:hyperlink>
      <w:r w:rsidRPr="44B6643F">
        <w:t xml:space="preserve"> </w:t>
      </w:r>
    </w:p>
  </w:footnote>
  <w:footnote w:id="22">
    <w:p w14:paraId="376F8440" w14:textId="77777777" w:rsidR="002B0A57" w:rsidRPr="00F261B6" w:rsidRDefault="002B0A57" w:rsidP="002B0A57">
      <w:pPr>
        <w:pStyle w:val="FootnoteText"/>
        <w:spacing w:before="0" w:after="0" w:line="240" w:lineRule="auto"/>
      </w:pPr>
      <w:r>
        <w:rPr>
          <w:rStyle w:val="FootnoteReference"/>
        </w:rPr>
        <w:footnoteRef/>
      </w:r>
      <w:r>
        <w:t xml:space="preserve"> World Health Organization (2022). Accelerating access to genomics for global health: promotion, implementation, collaboration, and ethical, legal, and social issues. A report of the WHO Science Council. Retrieved 17 February 2023 from </w:t>
      </w:r>
      <w:hyperlink r:id="rId8">
        <w:r w:rsidRPr="44B6643F">
          <w:rPr>
            <w:rStyle w:val="Hyperlink"/>
          </w:rPr>
          <w:t>https://www.who.int/publications/i/item/9789240052857</w:t>
        </w:r>
      </w:hyperlink>
      <w:r>
        <w:t xml:space="preserve"> </w:t>
      </w:r>
    </w:p>
  </w:footnote>
  <w:footnote w:id="23">
    <w:p w14:paraId="1CB30147" w14:textId="77777777" w:rsidR="002B0A57" w:rsidRPr="00EC6594" w:rsidRDefault="002B0A57" w:rsidP="002B0A57">
      <w:pPr>
        <w:pStyle w:val="FootnoteText"/>
        <w:spacing w:line="240" w:lineRule="auto"/>
      </w:pPr>
      <w:r>
        <w:rPr>
          <w:rStyle w:val="FootnoteReference"/>
        </w:rPr>
        <w:footnoteRef/>
      </w:r>
      <w:r>
        <w:t xml:space="preserve"> World Health Organization (2022). WHO Guiding principles for pathogen genome data sharing. Retrieved 17 February 2023 from </w:t>
      </w:r>
      <w:hyperlink r:id="rId9">
        <w:r w:rsidRPr="44B6643F">
          <w:rPr>
            <w:rStyle w:val="Hyperlink"/>
          </w:rPr>
          <w:t>https://www.who.int/publications/i/item/9789240061743</w:t>
        </w:r>
      </w:hyperlink>
      <w:r>
        <w:t xml:space="preserve"> </w:t>
      </w:r>
    </w:p>
  </w:footnote>
  <w:footnote w:id="24">
    <w:p w14:paraId="04A6FA1F" w14:textId="77777777" w:rsidR="000A7057" w:rsidRDefault="000A7057" w:rsidP="000A7057">
      <w:pPr>
        <w:pStyle w:val="FootnoteText"/>
      </w:pPr>
      <w:r>
        <w:rPr>
          <w:rStyle w:val="FootnoteReference"/>
        </w:rPr>
        <w:footnoteRef/>
      </w:r>
      <w:r>
        <w:t xml:space="preserve"> World Health Organization (2024). </w:t>
      </w:r>
      <w:r w:rsidRPr="00B22312">
        <w:t>International Pathogen Surveillance Network (IPSN)</w:t>
      </w:r>
      <w:r>
        <w:t xml:space="preserve">. Retrieved 21 August 2024 from </w:t>
      </w:r>
      <w:hyperlink r:id="rId10" w:history="1">
        <w:r w:rsidRPr="003D39C8">
          <w:rPr>
            <w:rStyle w:val="Hyperlink"/>
          </w:rPr>
          <w:t>https://www.who.int/initiatives/international-pathogen-surveillance-network</w:t>
        </w:r>
      </w:hyperlink>
      <w:r>
        <w:t xml:space="preserve">. </w:t>
      </w:r>
    </w:p>
  </w:footnote>
  <w:footnote w:id="25">
    <w:p w14:paraId="685F3C93" w14:textId="77777777" w:rsidR="00367A56" w:rsidRPr="009F7216" w:rsidRDefault="00367A56" w:rsidP="00367A56">
      <w:pPr>
        <w:pStyle w:val="FootnoteText"/>
        <w:spacing w:line="240" w:lineRule="auto"/>
      </w:pPr>
      <w:r>
        <w:rPr>
          <w:rStyle w:val="FootnoteReference"/>
        </w:rPr>
        <w:footnoteRef/>
      </w:r>
      <w:r>
        <w:t xml:space="preserve"> The White House (2021). Fact Sheet: Quad Leaders’ Summit. Retrieved 10 January 2024 from </w:t>
      </w:r>
      <w:hyperlink r:id="rId11">
        <w:r w:rsidRPr="44B6643F">
          <w:rPr>
            <w:rStyle w:val="Hyperlink"/>
          </w:rPr>
          <w:t>https://www.whitehouse.gov/briefing-room/statements-releases/2021/09/24/fact-sheet-quad-leaders-summit/</w:t>
        </w:r>
      </w:hyperlink>
      <w:r>
        <w:t xml:space="preserve"> </w:t>
      </w:r>
    </w:p>
  </w:footnote>
  <w:footnote w:id="26">
    <w:p w14:paraId="24DA1E15" w14:textId="77777777" w:rsidR="000A7057" w:rsidRPr="005163B6" w:rsidRDefault="000A7057" w:rsidP="000A7057">
      <w:pPr>
        <w:pStyle w:val="FootnoteText"/>
        <w:spacing w:before="0" w:line="240" w:lineRule="auto"/>
      </w:pPr>
      <w:r>
        <w:rPr>
          <w:rStyle w:val="FootnoteReference"/>
        </w:rPr>
        <w:footnoteRef/>
      </w:r>
      <w:r>
        <w:t xml:space="preserve"> </w:t>
      </w:r>
      <w:r w:rsidRPr="001D50D4">
        <w:t xml:space="preserve">Department of Health and Social Care. (2020, September 26). Genome UK: the future of healthcare. GOV.UK. </w:t>
      </w:r>
      <w:r w:rsidRPr="005163B6">
        <w:t xml:space="preserve">Retrieved </w:t>
      </w:r>
      <w:r>
        <w:t>21</w:t>
      </w:r>
      <w:r w:rsidRPr="005163B6">
        <w:t xml:space="preserve"> </w:t>
      </w:r>
      <w:r>
        <w:t>August</w:t>
      </w:r>
      <w:r w:rsidRPr="005163B6">
        <w:t xml:space="preserve"> 202</w:t>
      </w:r>
      <w:r>
        <w:t>4</w:t>
      </w:r>
      <w:r w:rsidRPr="005163B6">
        <w:t xml:space="preserve"> from </w:t>
      </w:r>
      <w:hyperlink r:id="rId12" w:history="1">
        <w:r w:rsidRPr="003D39C8">
          <w:rPr>
            <w:rStyle w:val="Hyperlink"/>
          </w:rPr>
          <w:t>https://www.gov.uk/government/publications/genome-uk-the-future-of-healthcare/genome-uk-the-future-of-healthcare</w:t>
        </w:r>
      </w:hyperlink>
      <w:r>
        <w:t xml:space="preserve"> </w:t>
      </w:r>
    </w:p>
  </w:footnote>
  <w:footnote w:id="27">
    <w:p w14:paraId="2001B59F" w14:textId="77777777" w:rsidR="00367A56" w:rsidRPr="00DE0123" w:rsidRDefault="00367A56" w:rsidP="00367A56">
      <w:pPr>
        <w:pStyle w:val="FootnoteText"/>
        <w:spacing w:before="0" w:line="240" w:lineRule="auto"/>
      </w:pPr>
      <w:r w:rsidRPr="005163B6">
        <w:rPr>
          <w:rStyle w:val="FootnoteReference"/>
        </w:rPr>
        <w:footnoteRef/>
      </w:r>
      <w:r w:rsidRPr="005163B6">
        <w:t xml:space="preserve"> The COG-UK consortium a national pathogen sequencing service was rapidly formed in March 2020 to provide SARS-CoV-2 genome sequencing and analysis to inform public health policy and action.</w:t>
      </w:r>
    </w:p>
  </w:footnote>
  <w:footnote w:id="28">
    <w:p w14:paraId="4F9E5A47" w14:textId="77777777" w:rsidR="000A7057" w:rsidRPr="0090073B" w:rsidRDefault="000A7057" w:rsidP="000A7057">
      <w:pPr>
        <w:pStyle w:val="FootnoteText"/>
        <w:spacing w:before="0" w:after="0" w:line="240" w:lineRule="auto"/>
      </w:pPr>
      <w:r>
        <w:rPr>
          <w:rStyle w:val="FootnoteReference"/>
        </w:rPr>
        <w:footnoteRef/>
      </w:r>
      <w:r>
        <w:t xml:space="preserve"> </w:t>
      </w:r>
      <w:r w:rsidRPr="00CC0514">
        <w:t>GOV.UK</w:t>
      </w:r>
      <w:r>
        <w:t xml:space="preserve"> (2021, May 19). </w:t>
      </w:r>
      <w:r w:rsidRPr="00676398">
        <w:t>Genome UK: 2021 to 2022 implementation plan</w:t>
      </w:r>
      <w:r>
        <w:t xml:space="preserve">. Retrieved 26 October 2022 from </w:t>
      </w:r>
      <w:hyperlink r:id="rId13" w:anchor="pillar-1-diagnosis-and-personalised-medicine" w:history="1">
        <w:r w:rsidRPr="005B0D5B">
          <w:rPr>
            <w:rStyle w:val="Hyperlink"/>
          </w:rPr>
          <w:t>https://www.gov.uk/government/publications/genome-uk-2021-to-2022-implementation-plan/genome-uk-2021-to-2022-implementation-plan#pillar-1-diagnosis-and-personalised-medicine</w:t>
        </w:r>
      </w:hyperlink>
      <w:r>
        <w:t xml:space="preserve"> </w:t>
      </w:r>
    </w:p>
  </w:footnote>
  <w:footnote w:id="29">
    <w:p w14:paraId="545B6E0E" w14:textId="77777777" w:rsidR="000A7057" w:rsidRDefault="000A7057" w:rsidP="000A7057">
      <w:pPr>
        <w:pStyle w:val="FootnoteText"/>
      </w:pPr>
      <w:r>
        <w:rPr>
          <w:rStyle w:val="FootnoteReference"/>
        </w:rPr>
        <w:footnoteRef/>
      </w:r>
      <w:r>
        <w:t xml:space="preserve"> UK Health Security Agency. </w:t>
      </w:r>
      <w:r w:rsidRPr="000846F8">
        <w:t>UKHSA Pathogen Genomics Strategy</w:t>
      </w:r>
      <w:r>
        <w:t>.</w:t>
      </w:r>
      <w:r w:rsidRPr="000846F8">
        <w:t xml:space="preserve"> </w:t>
      </w:r>
      <w:r>
        <w:t xml:space="preserve">Retrieved 5 August 2024 from </w:t>
      </w:r>
      <w:hyperlink r:id="rId14" w:history="1">
        <w:r w:rsidRPr="00E05685">
          <w:rPr>
            <w:rStyle w:val="Hyperlink"/>
          </w:rPr>
          <w:t>https://assets.publishing.service.gov.uk/media/65aff68ef2718c000dfb1bd8/Pathogen_Genomics_Strategy_2024.pdf</w:t>
        </w:r>
      </w:hyperlink>
      <w:r>
        <w:t xml:space="preserve"> </w:t>
      </w:r>
    </w:p>
  </w:footnote>
  <w:footnote w:id="30">
    <w:p w14:paraId="27BA4978" w14:textId="15D947F5" w:rsidR="00022094" w:rsidRPr="006F364D" w:rsidRDefault="00022094" w:rsidP="006F364D">
      <w:pPr>
        <w:pStyle w:val="FootnoteText"/>
        <w:spacing w:after="0" w:line="240" w:lineRule="auto"/>
        <w:rPr>
          <w:rFonts w:cstheme="minorHAnsi"/>
        </w:rPr>
      </w:pPr>
      <w:r>
        <w:rPr>
          <w:rStyle w:val="FootnoteReference"/>
        </w:rPr>
        <w:footnoteRef/>
      </w:r>
      <w:r>
        <w:t xml:space="preserve"> </w:t>
      </w:r>
      <w:r w:rsidRPr="4A06FF02">
        <w:rPr>
          <w:rFonts w:cstheme="minorBidi"/>
        </w:rPr>
        <w:t>World Health Organization (2022, April 26). Disease Outbreak News; Multi-country outbreak of </w:t>
      </w:r>
      <w:r w:rsidRPr="4A06FF02">
        <w:rPr>
          <w:rStyle w:val="Emphasis"/>
          <w:rFonts w:eastAsiaTheme="majorEastAsia" w:cstheme="minorBidi"/>
        </w:rPr>
        <w:t>Salmonella</w:t>
      </w:r>
      <w:r w:rsidRPr="4A06FF02">
        <w:rPr>
          <w:rFonts w:cstheme="minorBidi"/>
        </w:rPr>
        <w:t xml:space="preserve"> Typhimurium linked to chocolate products – Europe and the United States of America. Retrieved </w:t>
      </w:r>
      <w:r w:rsidRPr="44B6643F">
        <w:rPr>
          <w:rFonts w:cstheme="minorBidi"/>
        </w:rPr>
        <w:t>30 September 2022 from </w:t>
      </w:r>
      <w:hyperlink r:id="rId15" w:history="1">
        <w:r w:rsidR="000C70BE" w:rsidRPr="003D39C8">
          <w:rPr>
            <w:rStyle w:val="Hyperlink"/>
            <w:rFonts w:cstheme="minorBidi"/>
          </w:rPr>
          <w:t>https://www.who.int/emergencies/disease-outbreak-news/item/2022-DON369</w:t>
        </w:r>
      </w:hyperlink>
      <w:r w:rsidR="000C70BE">
        <w:rPr>
          <w:rFonts w:cstheme="minorBidi"/>
        </w:rPr>
        <w:t xml:space="preserve"> </w:t>
      </w:r>
    </w:p>
  </w:footnote>
  <w:footnote w:id="31">
    <w:p w14:paraId="7648A882" w14:textId="77777777" w:rsidR="0095608A" w:rsidRPr="00893913" w:rsidRDefault="0095608A" w:rsidP="0095608A">
      <w:pPr>
        <w:pStyle w:val="FootnoteText"/>
        <w:spacing w:line="240" w:lineRule="auto"/>
      </w:pPr>
      <w:r>
        <w:rPr>
          <w:rStyle w:val="FootnoteReference"/>
        </w:rPr>
        <w:footnoteRef/>
      </w:r>
      <w:r>
        <w:t xml:space="preserve"> Government of Canada (2022, June 29). Consultation Paper: Developing a Pan-Canadian Genomics Strategy. Retrieved 20 February 2023 from </w:t>
      </w:r>
      <w:hyperlink r:id="rId16">
        <w:r w:rsidRPr="44B6643F">
          <w:rPr>
            <w:rStyle w:val="Hyperlink"/>
          </w:rPr>
          <w:t>https://ised-isde.canada.ca/site/genomics/sites/default/files/documents/2022-05/Consultation-Paper-Developing-a-Pan%E2%80%91Canadian-Genomics-Strategy.pdf</w:t>
        </w:r>
      </w:hyperlink>
      <w:r>
        <w:t xml:space="preserve"> </w:t>
      </w:r>
    </w:p>
  </w:footnote>
  <w:footnote w:id="32">
    <w:p w14:paraId="2D3FA6F8" w14:textId="77777777" w:rsidR="000A7057" w:rsidRPr="00687611" w:rsidRDefault="000A7057" w:rsidP="000A7057">
      <w:pPr>
        <w:pStyle w:val="FootnoteText"/>
        <w:spacing w:line="240" w:lineRule="auto"/>
      </w:pPr>
      <w:r>
        <w:rPr>
          <w:rStyle w:val="FootnoteReference"/>
        </w:rPr>
        <w:footnoteRef/>
      </w:r>
      <w:r>
        <w:t xml:space="preserve"> </w:t>
      </w:r>
      <w:r w:rsidRPr="00687611">
        <w:t xml:space="preserve">Centers for Disease Control and Prevention (2022, September 22). CDC announces $90M funding to support new Pathogen Genomics Centers of Excellence network. Retrieved 20 February 2023 from </w:t>
      </w:r>
      <w:hyperlink r:id="rId17">
        <w:r w:rsidRPr="44B6643F">
          <w:rPr>
            <w:rStyle w:val="Hyperlink"/>
          </w:rPr>
          <w:t>https://www.cdc.gov/amd/whats-new/PGCOE-announcement.html</w:t>
        </w:r>
      </w:hyperlink>
      <w:r>
        <w:t xml:space="preserve"> </w:t>
      </w:r>
    </w:p>
  </w:footnote>
  <w:footnote w:id="33">
    <w:p w14:paraId="3360A67D" w14:textId="77777777" w:rsidR="000A7057" w:rsidRPr="00B165BF" w:rsidRDefault="000A7057" w:rsidP="000A7057">
      <w:pPr>
        <w:pStyle w:val="FootnoteText"/>
        <w:spacing w:line="240" w:lineRule="auto"/>
      </w:pPr>
      <w:r>
        <w:rPr>
          <w:rStyle w:val="FootnoteReference"/>
        </w:rPr>
        <w:footnoteRef/>
      </w:r>
      <w:r>
        <w:t xml:space="preserve"> Centers for Disease Control and Prevention (2022, January 26). Investments in AMD. Retrieved 20 February 2023 from </w:t>
      </w:r>
      <w:hyperlink r:id="rId18">
        <w:r w:rsidRPr="44B6643F">
          <w:rPr>
            <w:rStyle w:val="Hyperlink"/>
          </w:rPr>
          <w:t>https://www.cdc.gov/amd/investments/index.html</w:t>
        </w:r>
      </w:hyperlink>
      <w:r>
        <w:t xml:space="preserve"> </w:t>
      </w:r>
    </w:p>
  </w:footnote>
  <w:footnote w:id="34">
    <w:p w14:paraId="689E75CB" w14:textId="77777777" w:rsidR="00BF5780" w:rsidRPr="00B03714" w:rsidRDefault="00BF5780" w:rsidP="00BF5780">
      <w:pPr>
        <w:pStyle w:val="FootnoteText"/>
        <w:spacing w:line="240" w:lineRule="auto"/>
      </w:pPr>
      <w:r>
        <w:rPr>
          <w:rStyle w:val="FootnoteReference"/>
        </w:rPr>
        <w:footnoteRef/>
      </w:r>
      <w:r>
        <w:t xml:space="preserve"> Duke-NUS Medical School (2022, June 10). Duke-NUS Centre for Outbreak Preparedness launched in Singapore to enhance regional capacity for future health threats. Retrieved 20 February 2023 from </w:t>
      </w:r>
      <w:hyperlink r:id="rId19" w:anchor=":~:text=SINGAPORE%2C%2010%20June%202022%20%E2%80%93%20Leveraging%20the%20research%2C,to%20regional%20pandemic%20preparedness%20by%20improving%20genomic%20surveillance">
        <w:r w:rsidRPr="44B6643F">
          <w:rPr>
            <w:rStyle w:val="Hyperlink"/>
          </w:rPr>
          <w:t>https://www.duke-nus.edu.sg/about/media/media-releases/centre-for-outbreak-preparedness#:~:text=SINGAPORE%2C%2010%20June%202022%20%E2%80%93%20Leveraging%20the%20research%2C,to%20regional%20pandemic%20preparedness%20by%20improving%20genomic%20surveillance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2612F" w14:textId="4C85E5BD" w:rsidR="00E403ED" w:rsidRDefault="00E40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795F"/>
    <w:multiLevelType w:val="hybridMultilevel"/>
    <w:tmpl w:val="52887AB4"/>
    <w:lvl w:ilvl="0" w:tplc="FFFFFFFF">
      <w:start w:val="1"/>
      <w:numFmt w:val="bullet"/>
      <w:lvlText w:val=""/>
      <w:lvlJc w:val="left"/>
      <w:pPr>
        <w:ind w:left="720" w:hanging="360"/>
      </w:pPr>
      <w:rPr>
        <w:rFonts w:ascii="Symbol" w:hAnsi="Symbol" w:hint="default"/>
      </w:rPr>
    </w:lvl>
    <w:lvl w:ilvl="1" w:tplc="074C42D6">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753708"/>
    <w:multiLevelType w:val="hybridMultilevel"/>
    <w:tmpl w:val="DCDC6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E5102"/>
    <w:multiLevelType w:val="multilevel"/>
    <w:tmpl w:val="EB50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35319"/>
    <w:multiLevelType w:val="multilevel"/>
    <w:tmpl w:val="6F58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03950"/>
    <w:multiLevelType w:val="hybridMultilevel"/>
    <w:tmpl w:val="CDD61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130BF2"/>
    <w:multiLevelType w:val="multilevel"/>
    <w:tmpl w:val="DA6C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A565B3"/>
    <w:multiLevelType w:val="multilevel"/>
    <w:tmpl w:val="918E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95A66"/>
    <w:multiLevelType w:val="hybridMultilevel"/>
    <w:tmpl w:val="94864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23D41"/>
    <w:multiLevelType w:val="hybridMultilevel"/>
    <w:tmpl w:val="7DD02210"/>
    <w:lvl w:ilvl="0" w:tplc="D5722C94">
      <w:start w:val="1"/>
      <w:numFmt w:val="bullet"/>
      <w:pStyle w:val="BoxBulletEmerald"/>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8D4C88"/>
    <w:multiLevelType w:val="hybridMultilevel"/>
    <w:tmpl w:val="1CAE8A72"/>
    <w:lvl w:ilvl="0" w:tplc="ACFCDE92">
      <w:start w:val="1"/>
      <w:numFmt w:val="bullet"/>
      <w:pStyle w:val="shadedbullets"/>
      <w:lvlText w:val=""/>
      <w:lvlJc w:val="left"/>
      <w:pPr>
        <w:ind w:left="4166" w:hanging="360"/>
      </w:pPr>
      <w:rPr>
        <w:rFonts w:ascii="Symbol" w:hAnsi="Symbol" w:hint="default"/>
      </w:rPr>
    </w:lvl>
    <w:lvl w:ilvl="1" w:tplc="0C090003" w:tentative="1">
      <w:start w:val="1"/>
      <w:numFmt w:val="bullet"/>
      <w:lvlText w:val="o"/>
      <w:lvlJc w:val="left"/>
      <w:pPr>
        <w:ind w:left="4886" w:hanging="360"/>
      </w:pPr>
      <w:rPr>
        <w:rFonts w:ascii="Courier New" w:hAnsi="Courier New" w:cs="Courier New" w:hint="default"/>
      </w:rPr>
    </w:lvl>
    <w:lvl w:ilvl="2" w:tplc="0C090005" w:tentative="1">
      <w:start w:val="1"/>
      <w:numFmt w:val="bullet"/>
      <w:lvlText w:val=""/>
      <w:lvlJc w:val="left"/>
      <w:pPr>
        <w:ind w:left="5606" w:hanging="360"/>
      </w:pPr>
      <w:rPr>
        <w:rFonts w:ascii="Wingdings" w:hAnsi="Wingdings" w:hint="default"/>
      </w:rPr>
    </w:lvl>
    <w:lvl w:ilvl="3" w:tplc="0C090001" w:tentative="1">
      <w:start w:val="1"/>
      <w:numFmt w:val="bullet"/>
      <w:lvlText w:val=""/>
      <w:lvlJc w:val="left"/>
      <w:pPr>
        <w:ind w:left="6326" w:hanging="360"/>
      </w:pPr>
      <w:rPr>
        <w:rFonts w:ascii="Symbol" w:hAnsi="Symbol" w:hint="default"/>
      </w:rPr>
    </w:lvl>
    <w:lvl w:ilvl="4" w:tplc="0C090003" w:tentative="1">
      <w:start w:val="1"/>
      <w:numFmt w:val="bullet"/>
      <w:lvlText w:val="o"/>
      <w:lvlJc w:val="left"/>
      <w:pPr>
        <w:ind w:left="7046" w:hanging="360"/>
      </w:pPr>
      <w:rPr>
        <w:rFonts w:ascii="Courier New" w:hAnsi="Courier New" w:cs="Courier New" w:hint="default"/>
      </w:rPr>
    </w:lvl>
    <w:lvl w:ilvl="5" w:tplc="0C090005" w:tentative="1">
      <w:start w:val="1"/>
      <w:numFmt w:val="bullet"/>
      <w:lvlText w:val=""/>
      <w:lvlJc w:val="left"/>
      <w:pPr>
        <w:ind w:left="7766" w:hanging="360"/>
      </w:pPr>
      <w:rPr>
        <w:rFonts w:ascii="Wingdings" w:hAnsi="Wingdings" w:hint="default"/>
      </w:rPr>
    </w:lvl>
    <w:lvl w:ilvl="6" w:tplc="0C090001" w:tentative="1">
      <w:start w:val="1"/>
      <w:numFmt w:val="bullet"/>
      <w:lvlText w:val=""/>
      <w:lvlJc w:val="left"/>
      <w:pPr>
        <w:ind w:left="8486" w:hanging="360"/>
      </w:pPr>
      <w:rPr>
        <w:rFonts w:ascii="Symbol" w:hAnsi="Symbol" w:hint="default"/>
      </w:rPr>
    </w:lvl>
    <w:lvl w:ilvl="7" w:tplc="0C090003" w:tentative="1">
      <w:start w:val="1"/>
      <w:numFmt w:val="bullet"/>
      <w:lvlText w:val="o"/>
      <w:lvlJc w:val="left"/>
      <w:pPr>
        <w:ind w:left="9206" w:hanging="360"/>
      </w:pPr>
      <w:rPr>
        <w:rFonts w:ascii="Courier New" w:hAnsi="Courier New" w:cs="Courier New" w:hint="default"/>
      </w:rPr>
    </w:lvl>
    <w:lvl w:ilvl="8" w:tplc="0C090005" w:tentative="1">
      <w:start w:val="1"/>
      <w:numFmt w:val="bullet"/>
      <w:lvlText w:val=""/>
      <w:lvlJc w:val="left"/>
      <w:pPr>
        <w:ind w:left="9926" w:hanging="360"/>
      </w:pPr>
      <w:rPr>
        <w:rFonts w:ascii="Wingdings" w:hAnsi="Wingdings" w:hint="default"/>
      </w:rPr>
    </w:lvl>
  </w:abstractNum>
  <w:abstractNum w:abstractNumId="10" w15:restartNumberingAfterBreak="0">
    <w:nsid w:val="18774405"/>
    <w:multiLevelType w:val="hybridMultilevel"/>
    <w:tmpl w:val="84E00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7A3293"/>
    <w:multiLevelType w:val="multilevel"/>
    <w:tmpl w:val="F93E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8184B"/>
    <w:multiLevelType w:val="multilevel"/>
    <w:tmpl w:val="ADE0FE30"/>
    <w:styleLink w:val="CurrentList1"/>
    <w:lvl w:ilvl="0">
      <w:start w:val="1"/>
      <w:numFmt w:val="decimal"/>
      <w:lvlText w:val="Number %1."/>
      <w:lvlJc w:val="left"/>
      <w:pPr>
        <w:tabs>
          <w:tab w:val="num" w:pos="1247"/>
        </w:tabs>
        <w:ind w:left="1247" w:hanging="124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F329FB"/>
    <w:multiLevelType w:val="hybridMultilevel"/>
    <w:tmpl w:val="99725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63A43"/>
    <w:multiLevelType w:val="multilevel"/>
    <w:tmpl w:val="9EB6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404ECC"/>
    <w:multiLevelType w:val="hybridMultilevel"/>
    <w:tmpl w:val="522CF4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4B72D0C"/>
    <w:multiLevelType w:val="hybridMultilevel"/>
    <w:tmpl w:val="8424E86E"/>
    <w:lvl w:ilvl="0" w:tplc="FFFFFFFF">
      <w:start w:val="1"/>
      <w:numFmt w:val="bullet"/>
      <w:lvlText w:val=""/>
      <w:lvlJc w:val="left"/>
      <w:pPr>
        <w:ind w:left="720" w:hanging="360"/>
      </w:pPr>
      <w:rPr>
        <w:rFonts w:ascii="Symbol" w:hAnsi="Symbol" w:hint="default"/>
      </w:rPr>
    </w:lvl>
    <w:lvl w:ilvl="1" w:tplc="074C42D6">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CD3C12"/>
    <w:multiLevelType w:val="hybridMultilevel"/>
    <w:tmpl w:val="B3623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DF7F98"/>
    <w:multiLevelType w:val="hybridMultilevel"/>
    <w:tmpl w:val="8FB0D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BC21E3"/>
    <w:multiLevelType w:val="multilevel"/>
    <w:tmpl w:val="77FA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C136EB"/>
    <w:multiLevelType w:val="hybridMultilevel"/>
    <w:tmpl w:val="2EFCF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1F495F"/>
    <w:multiLevelType w:val="hybridMultilevel"/>
    <w:tmpl w:val="2994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457DF4"/>
    <w:multiLevelType w:val="hybridMultilevel"/>
    <w:tmpl w:val="DC149F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D6C5110"/>
    <w:multiLevelType w:val="hybridMultilevel"/>
    <w:tmpl w:val="464E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531F10"/>
    <w:multiLevelType w:val="hybridMultilevel"/>
    <w:tmpl w:val="A56E1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F13189"/>
    <w:multiLevelType w:val="hybridMultilevel"/>
    <w:tmpl w:val="420E7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C20C1B"/>
    <w:multiLevelType w:val="hybridMultilevel"/>
    <w:tmpl w:val="15002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1D47E6"/>
    <w:multiLevelType w:val="hybridMultilevel"/>
    <w:tmpl w:val="172E8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754CDB"/>
    <w:multiLevelType w:val="hybridMultilevel"/>
    <w:tmpl w:val="53F2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C41623"/>
    <w:multiLevelType w:val="multilevel"/>
    <w:tmpl w:val="F93E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764E50"/>
    <w:multiLevelType w:val="hybridMultilevel"/>
    <w:tmpl w:val="0A3862A0"/>
    <w:lvl w:ilvl="0" w:tplc="FFFFFFFF">
      <w:start w:val="1"/>
      <w:numFmt w:val="bullet"/>
      <w:lvlText w:val=""/>
      <w:lvlJc w:val="left"/>
      <w:pPr>
        <w:ind w:left="720" w:hanging="360"/>
      </w:pPr>
      <w:rPr>
        <w:rFonts w:ascii="Symbol" w:hAnsi="Symbol" w:hint="default"/>
      </w:rPr>
    </w:lvl>
    <w:lvl w:ilvl="1" w:tplc="074C42D6">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AD83BAF"/>
    <w:multiLevelType w:val="hybridMultilevel"/>
    <w:tmpl w:val="9342DD40"/>
    <w:lvl w:ilvl="0" w:tplc="4DECC438">
      <w:start w:val="1"/>
      <w:numFmt w:val="decimal"/>
      <w:pStyle w:val="HeadingFigure"/>
      <w:lvlText w:val="Figure %1."/>
      <w:lvlJc w:val="left"/>
      <w:pPr>
        <w:tabs>
          <w:tab w:val="num" w:pos="1247"/>
        </w:tabs>
        <w:ind w:left="1247" w:hanging="124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D286160"/>
    <w:multiLevelType w:val="multilevel"/>
    <w:tmpl w:val="F93E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F78162E"/>
    <w:multiLevelType w:val="hybridMultilevel"/>
    <w:tmpl w:val="22D257F4"/>
    <w:lvl w:ilvl="0" w:tplc="074C42D6">
      <w:start w:val="1"/>
      <w:numFmt w:val="bullet"/>
      <w:lvlText w:val="­"/>
      <w:lvlJc w:val="left"/>
      <w:pPr>
        <w:ind w:left="1080" w:hanging="360"/>
      </w:pPr>
      <w:rPr>
        <w:rFonts w:ascii="Courier New" w:hAnsi="Courier New" w:hint="default"/>
      </w:rPr>
    </w:lvl>
    <w:lvl w:ilvl="1" w:tplc="FFFFFFFF">
      <w:start w:val="1"/>
      <w:numFmt w:val="bullet"/>
      <w:lvlText w:val="­"/>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42B60CAD"/>
    <w:multiLevelType w:val="hybridMultilevel"/>
    <w:tmpl w:val="D0A84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930943"/>
    <w:multiLevelType w:val="hybridMultilevel"/>
    <w:tmpl w:val="01381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AA025A"/>
    <w:multiLevelType w:val="hybridMultilevel"/>
    <w:tmpl w:val="E63E92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45E066C7"/>
    <w:multiLevelType w:val="multilevel"/>
    <w:tmpl w:val="F93E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1E31F2"/>
    <w:multiLevelType w:val="multilevel"/>
    <w:tmpl w:val="A30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4B7122"/>
    <w:multiLevelType w:val="hybridMultilevel"/>
    <w:tmpl w:val="9EB28E36"/>
    <w:lvl w:ilvl="0" w:tplc="2D660E7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A2C366D"/>
    <w:multiLevelType w:val="hybridMultilevel"/>
    <w:tmpl w:val="62E2E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AED2B16"/>
    <w:multiLevelType w:val="hybridMultilevel"/>
    <w:tmpl w:val="3192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A53FB0"/>
    <w:multiLevelType w:val="hybridMultilevel"/>
    <w:tmpl w:val="EF7C18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D3F3FDE"/>
    <w:multiLevelType w:val="multilevel"/>
    <w:tmpl w:val="C266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EE6451"/>
    <w:multiLevelType w:val="hybridMultilevel"/>
    <w:tmpl w:val="2F9A6B9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2275C6B"/>
    <w:multiLevelType w:val="hybridMultilevel"/>
    <w:tmpl w:val="7E8E79F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6" w15:restartNumberingAfterBreak="0">
    <w:nsid w:val="55F5DC83"/>
    <w:multiLevelType w:val="hybridMultilevel"/>
    <w:tmpl w:val="51662F20"/>
    <w:lvl w:ilvl="0" w:tplc="5F04AF5C">
      <w:start w:val="1"/>
      <w:numFmt w:val="bullet"/>
      <w:lvlText w:val=""/>
      <w:lvlJc w:val="left"/>
      <w:pPr>
        <w:ind w:left="720" w:hanging="360"/>
      </w:pPr>
      <w:rPr>
        <w:rFonts w:ascii="Symbol" w:hAnsi="Symbol" w:hint="default"/>
      </w:rPr>
    </w:lvl>
    <w:lvl w:ilvl="1" w:tplc="EB8E63D4">
      <w:start w:val="1"/>
      <w:numFmt w:val="bullet"/>
      <w:lvlText w:val="o"/>
      <w:lvlJc w:val="left"/>
      <w:pPr>
        <w:ind w:left="1440" w:hanging="360"/>
      </w:pPr>
      <w:rPr>
        <w:rFonts w:ascii="Courier New" w:hAnsi="Courier New" w:hint="default"/>
      </w:rPr>
    </w:lvl>
    <w:lvl w:ilvl="2" w:tplc="3F3AF914">
      <w:start w:val="1"/>
      <w:numFmt w:val="bullet"/>
      <w:lvlText w:val=""/>
      <w:lvlJc w:val="left"/>
      <w:pPr>
        <w:ind w:left="2160" w:hanging="360"/>
      </w:pPr>
      <w:rPr>
        <w:rFonts w:ascii="Wingdings" w:hAnsi="Wingdings" w:hint="default"/>
      </w:rPr>
    </w:lvl>
    <w:lvl w:ilvl="3" w:tplc="1C344418">
      <w:start w:val="1"/>
      <w:numFmt w:val="bullet"/>
      <w:lvlText w:val=""/>
      <w:lvlJc w:val="left"/>
      <w:pPr>
        <w:ind w:left="2880" w:hanging="360"/>
      </w:pPr>
      <w:rPr>
        <w:rFonts w:ascii="Symbol" w:hAnsi="Symbol" w:hint="default"/>
      </w:rPr>
    </w:lvl>
    <w:lvl w:ilvl="4" w:tplc="C53ACC9E">
      <w:start w:val="1"/>
      <w:numFmt w:val="bullet"/>
      <w:lvlText w:val="o"/>
      <w:lvlJc w:val="left"/>
      <w:pPr>
        <w:ind w:left="3600" w:hanging="360"/>
      </w:pPr>
      <w:rPr>
        <w:rFonts w:ascii="Courier New" w:hAnsi="Courier New" w:hint="default"/>
      </w:rPr>
    </w:lvl>
    <w:lvl w:ilvl="5" w:tplc="5608EABC">
      <w:start w:val="1"/>
      <w:numFmt w:val="bullet"/>
      <w:lvlText w:val=""/>
      <w:lvlJc w:val="left"/>
      <w:pPr>
        <w:ind w:left="4320" w:hanging="360"/>
      </w:pPr>
      <w:rPr>
        <w:rFonts w:ascii="Wingdings" w:hAnsi="Wingdings" w:hint="default"/>
      </w:rPr>
    </w:lvl>
    <w:lvl w:ilvl="6" w:tplc="B8065A2C">
      <w:start w:val="1"/>
      <w:numFmt w:val="bullet"/>
      <w:lvlText w:val=""/>
      <w:lvlJc w:val="left"/>
      <w:pPr>
        <w:ind w:left="5040" w:hanging="360"/>
      </w:pPr>
      <w:rPr>
        <w:rFonts w:ascii="Symbol" w:hAnsi="Symbol" w:hint="default"/>
      </w:rPr>
    </w:lvl>
    <w:lvl w:ilvl="7" w:tplc="D7AEC13E">
      <w:start w:val="1"/>
      <w:numFmt w:val="bullet"/>
      <w:lvlText w:val="o"/>
      <w:lvlJc w:val="left"/>
      <w:pPr>
        <w:ind w:left="5760" w:hanging="360"/>
      </w:pPr>
      <w:rPr>
        <w:rFonts w:ascii="Courier New" w:hAnsi="Courier New" w:hint="default"/>
      </w:rPr>
    </w:lvl>
    <w:lvl w:ilvl="8" w:tplc="006C860A">
      <w:start w:val="1"/>
      <w:numFmt w:val="bullet"/>
      <w:lvlText w:val=""/>
      <w:lvlJc w:val="left"/>
      <w:pPr>
        <w:ind w:left="6480" w:hanging="360"/>
      </w:pPr>
      <w:rPr>
        <w:rFonts w:ascii="Wingdings" w:hAnsi="Wingdings" w:hint="default"/>
      </w:rPr>
    </w:lvl>
  </w:abstractNum>
  <w:abstractNum w:abstractNumId="47" w15:restartNumberingAfterBreak="0">
    <w:nsid w:val="57A52288"/>
    <w:multiLevelType w:val="multilevel"/>
    <w:tmpl w:val="094E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9043FBE"/>
    <w:multiLevelType w:val="hybridMultilevel"/>
    <w:tmpl w:val="5D307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1934D2"/>
    <w:multiLevelType w:val="hybridMultilevel"/>
    <w:tmpl w:val="623049DC"/>
    <w:lvl w:ilvl="0" w:tplc="E2CEAB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D6B0C86"/>
    <w:multiLevelType w:val="hybridMultilevel"/>
    <w:tmpl w:val="6AF24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D820573"/>
    <w:multiLevelType w:val="hybridMultilevel"/>
    <w:tmpl w:val="3132B3A2"/>
    <w:lvl w:ilvl="0" w:tplc="C142832C">
      <w:start w:val="1"/>
      <w:numFmt w:val="decimal"/>
      <w:pStyle w:val="HeadingTABLE"/>
      <w:lvlText w:val="Table %1."/>
      <w:lvlJc w:val="left"/>
      <w:pPr>
        <w:tabs>
          <w:tab w:val="num" w:pos="1247"/>
        </w:tabs>
        <w:ind w:left="1247" w:hanging="88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DB2442E"/>
    <w:multiLevelType w:val="multilevel"/>
    <w:tmpl w:val="BB8C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0C82122"/>
    <w:multiLevelType w:val="hybridMultilevel"/>
    <w:tmpl w:val="7ECE2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1FA7415"/>
    <w:multiLevelType w:val="hybridMultilevel"/>
    <w:tmpl w:val="25663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42404F4"/>
    <w:multiLevelType w:val="hybridMultilevel"/>
    <w:tmpl w:val="84A88452"/>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56" w15:restartNumberingAfterBreak="0">
    <w:nsid w:val="645B3D30"/>
    <w:multiLevelType w:val="multilevel"/>
    <w:tmpl w:val="55E4A40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665DA8"/>
    <w:multiLevelType w:val="hybridMultilevel"/>
    <w:tmpl w:val="96386ED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9CE3F6D"/>
    <w:multiLevelType w:val="hybridMultilevel"/>
    <w:tmpl w:val="D0FCE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AA46DE3"/>
    <w:multiLevelType w:val="hybridMultilevel"/>
    <w:tmpl w:val="C9EE4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CE3013C"/>
    <w:multiLevelType w:val="hybridMultilevel"/>
    <w:tmpl w:val="6BBC85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CF8287E"/>
    <w:multiLevelType w:val="hybridMultilevel"/>
    <w:tmpl w:val="19AE8E9A"/>
    <w:lvl w:ilvl="0" w:tplc="0D001382">
      <w:start w:val="1"/>
      <w:numFmt w:val="bullet"/>
      <w:pStyle w:val="Table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D257424"/>
    <w:multiLevelType w:val="multilevel"/>
    <w:tmpl w:val="CB8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38D3A98"/>
    <w:multiLevelType w:val="hybridMultilevel"/>
    <w:tmpl w:val="4EAEDA5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4" w15:restartNumberingAfterBreak="0">
    <w:nsid w:val="74B64403"/>
    <w:multiLevelType w:val="hybridMultilevel"/>
    <w:tmpl w:val="D3E4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52150CC"/>
    <w:multiLevelType w:val="hybridMultilevel"/>
    <w:tmpl w:val="F5927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1D349A"/>
    <w:multiLevelType w:val="hybridMultilevel"/>
    <w:tmpl w:val="9780B6A2"/>
    <w:lvl w:ilvl="0" w:tplc="0CDE096E">
      <w:start w:val="1"/>
      <w:numFmt w:val="bullet"/>
      <w:lvlText w:val=""/>
      <w:lvlJc w:val="left"/>
      <w:pPr>
        <w:ind w:left="720" w:hanging="360"/>
      </w:pPr>
      <w:rPr>
        <w:rFonts w:ascii="Symbol" w:hAnsi="Symbol" w:hint="default"/>
      </w:rPr>
    </w:lvl>
    <w:lvl w:ilvl="1" w:tplc="2F74CCD0">
      <w:start w:val="1"/>
      <w:numFmt w:val="bullet"/>
      <w:lvlText w:val="o"/>
      <w:lvlJc w:val="left"/>
      <w:pPr>
        <w:ind w:left="1440" w:hanging="360"/>
      </w:pPr>
      <w:rPr>
        <w:rFonts w:ascii="Courier New" w:hAnsi="Courier New" w:hint="default"/>
      </w:rPr>
    </w:lvl>
    <w:lvl w:ilvl="2" w:tplc="E7065536">
      <w:start w:val="1"/>
      <w:numFmt w:val="bullet"/>
      <w:lvlText w:val=""/>
      <w:lvlJc w:val="left"/>
      <w:pPr>
        <w:ind w:left="2160" w:hanging="360"/>
      </w:pPr>
      <w:rPr>
        <w:rFonts w:ascii="Wingdings" w:hAnsi="Wingdings" w:hint="default"/>
      </w:rPr>
    </w:lvl>
    <w:lvl w:ilvl="3" w:tplc="5BBE04E2">
      <w:start w:val="1"/>
      <w:numFmt w:val="bullet"/>
      <w:lvlText w:val=""/>
      <w:lvlJc w:val="left"/>
      <w:pPr>
        <w:ind w:left="2880" w:hanging="360"/>
      </w:pPr>
      <w:rPr>
        <w:rFonts w:ascii="Symbol" w:hAnsi="Symbol" w:hint="default"/>
      </w:rPr>
    </w:lvl>
    <w:lvl w:ilvl="4" w:tplc="90A69CBC">
      <w:start w:val="1"/>
      <w:numFmt w:val="bullet"/>
      <w:lvlText w:val="o"/>
      <w:lvlJc w:val="left"/>
      <w:pPr>
        <w:ind w:left="3600" w:hanging="360"/>
      </w:pPr>
      <w:rPr>
        <w:rFonts w:ascii="Courier New" w:hAnsi="Courier New" w:hint="default"/>
      </w:rPr>
    </w:lvl>
    <w:lvl w:ilvl="5" w:tplc="752CAAB4">
      <w:start w:val="1"/>
      <w:numFmt w:val="bullet"/>
      <w:lvlText w:val=""/>
      <w:lvlJc w:val="left"/>
      <w:pPr>
        <w:ind w:left="4320" w:hanging="360"/>
      </w:pPr>
      <w:rPr>
        <w:rFonts w:ascii="Wingdings" w:hAnsi="Wingdings" w:hint="default"/>
      </w:rPr>
    </w:lvl>
    <w:lvl w:ilvl="6" w:tplc="4E32594E">
      <w:start w:val="1"/>
      <w:numFmt w:val="bullet"/>
      <w:lvlText w:val=""/>
      <w:lvlJc w:val="left"/>
      <w:pPr>
        <w:ind w:left="5040" w:hanging="360"/>
      </w:pPr>
      <w:rPr>
        <w:rFonts w:ascii="Symbol" w:hAnsi="Symbol" w:hint="default"/>
      </w:rPr>
    </w:lvl>
    <w:lvl w:ilvl="7" w:tplc="8BF0F1E4">
      <w:start w:val="1"/>
      <w:numFmt w:val="bullet"/>
      <w:lvlText w:val="o"/>
      <w:lvlJc w:val="left"/>
      <w:pPr>
        <w:ind w:left="5760" w:hanging="360"/>
      </w:pPr>
      <w:rPr>
        <w:rFonts w:ascii="Courier New" w:hAnsi="Courier New" w:hint="default"/>
      </w:rPr>
    </w:lvl>
    <w:lvl w:ilvl="8" w:tplc="3BE653A0">
      <w:start w:val="1"/>
      <w:numFmt w:val="bullet"/>
      <w:lvlText w:val=""/>
      <w:lvlJc w:val="left"/>
      <w:pPr>
        <w:ind w:left="6480" w:hanging="360"/>
      </w:pPr>
      <w:rPr>
        <w:rFonts w:ascii="Wingdings" w:hAnsi="Wingdings" w:hint="default"/>
      </w:rPr>
    </w:lvl>
  </w:abstractNum>
  <w:abstractNum w:abstractNumId="67" w15:restartNumberingAfterBreak="0">
    <w:nsid w:val="77401666"/>
    <w:multiLevelType w:val="hybridMultilevel"/>
    <w:tmpl w:val="14F20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7F000C9"/>
    <w:multiLevelType w:val="hybridMultilevel"/>
    <w:tmpl w:val="65002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7F65B38"/>
    <w:multiLevelType w:val="hybridMultilevel"/>
    <w:tmpl w:val="81E0F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87C79E3"/>
    <w:multiLevelType w:val="hybridMultilevel"/>
    <w:tmpl w:val="9C26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A596CE0"/>
    <w:multiLevelType w:val="hybridMultilevel"/>
    <w:tmpl w:val="28665394"/>
    <w:lvl w:ilvl="0" w:tplc="CB16BCE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D5A3181"/>
    <w:multiLevelType w:val="multilevel"/>
    <w:tmpl w:val="AF8A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E42CAA8"/>
    <w:multiLevelType w:val="hybridMultilevel"/>
    <w:tmpl w:val="4372BA90"/>
    <w:lvl w:ilvl="0" w:tplc="D72C480A">
      <w:start w:val="1"/>
      <w:numFmt w:val="bullet"/>
      <w:lvlText w:val=""/>
      <w:lvlJc w:val="left"/>
      <w:pPr>
        <w:ind w:left="720" w:hanging="360"/>
      </w:pPr>
      <w:rPr>
        <w:rFonts w:ascii="Symbol" w:hAnsi="Symbol" w:hint="default"/>
      </w:rPr>
    </w:lvl>
    <w:lvl w:ilvl="1" w:tplc="06F6764C">
      <w:start w:val="1"/>
      <w:numFmt w:val="bullet"/>
      <w:lvlText w:val="o"/>
      <w:lvlJc w:val="left"/>
      <w:pPr>
        <w:ind w:left="1440" w:hanging="360"/>
      </w:pPr>
      <w:rPr>
        <w:rFonts w:ascii="Courier New" w:hAnsi="Courier New" w:hint="default"/>
      </w:rPr>
    </w:lvl>
    <w:lvl w:ilvl="2" w:tplc="A5845106">
      <w:start w:val="1"/>
      <w:numFmt w:val="bullet"/>
      <w:lvlText w:val=""/>
      <w:lvlJc w:val="left"/>
      <w:pPr>
        <w:ind w:left="2160" w:hanging="360"/>
      </w:pPr>
      <w:rPr>
        <w:rFonts w:ascii="Wingdings" w:hAnsi="Wingdings" w:hint="default"/>
      </w:rPr>
    </w:lvl>
    <w:lvl w:ilvl="3" w:tplc="CE320D2A">
      <w:start w:val="1"/>
      <w:numFmt w:val="bullet"/>
      <w:lvlText w:val=""/>
      <w:lvlJc w:val="left"/>
      <w:pPr>
        <w:ind w:left="2880" w:hanging="360"/>
      </w:pPr>
      <w:rPr>
        <w:rFonts w:ascii="Symbol" w:hAnsi="Symbol" w:hint="default"/>
      </w:rPr>
    </w:lvl>
    <w:lvl w:ilvl="4" w:tplc="5A14452C">
      <w:start w:val="1"/>
      <w:numFmt w:val="bullet"/>
      <w:lvlText w:val="o"/>
      <w:lvlJc w:val="left"/>
      <w:pPr>
        <w:ind w:left="3600" w:hanging="360"/>
      </w:pPr>
      <w:rPr>
        <w:rFonts w:ascii="Courier New" w:hAnsi="Courier New" w:hint="default"/>
      </w:rPr>
    </w:lvl>
    <w:lvl w:ilvl="5" w:tplc="028064D2">
      <w:start w:val="1"/>
      <w:numFmt w:val="bullet"/>
      <w:lvlText w:val=""/>
      <w:lvlJc w:val="left"/>
      <w:pPr>
        <w:ind w:left="4320" w:hanging="360"/>
      </w:pPr>
      <w:rPr>
        <w:rFonts w:ascii="Wingdings" w:hAnsi="Wingdings" w:hint="default"/>
      </w:rPr>
    </w:lvl>
    <w:lvl w:ilvl="6" w:tplc="69AEB4C2">
      <w:start w:val="1"/>
      <w:numFmt w:val="bullet"/>
      <w:lvlText w:val=""/>
      <w:lvlJc w:val="left"/>
      <w:pPr>
        <w:ind w:left="5040" w:hanging="360"/>
      </w:pPr>
      <w:rPr>
        <w:rFonts w:ascii="Symbol" w:hAnsi="Symbol" w:hint="default"/>
      </w:rPr>
    </w:lvl>
    <w:lvl w:ilvl="7" w:tplc="2E26B7AA">
      <w:start w:val="1"/>
      <w:numFmt w:val="bullet"/>
      <w:lvlText w:val="o"/>
      <w:lvlJc w:val="left"/>
      <w:pPr>
        <w:ind w:left="5760" w:hanging="360"/>
      </w:pPr>
      <w:rPr>
        <w:rFonts w:ascii="Courier New" w:hAnsi="Courier New" w:hint="default"/>
      </w:rPr>
    </w:lvl>
    <w:lvl w:ilvl="8" w:tplc="87F8945E">
      <w:start w:val="1"/>
      <w:numFmt w:val="bullet"/>
      <w:lvlText w:val=""/>
      <w:lvlJc w:val="left"/>
      <w:pPr>
        <w:ind w:left="6480" w:hanging="360"/>
      </w:pPr>
      <w:rPr>
        <w:rFonts w:ascii="Wingdings" w:hAnsi="Wingdings" w:hint="default"/>
      </w:rPr>
    </w:lvl>
  </w:abstractNum>
  <w:num w:numId="1" w16cid:durableId="1601134077">
    <w:abstractNumId w:val="22"/>
  </w:num>
  <w:num w:numId="2" w16cid:durableId="561913990">
    <w:abstractNumId w:val="64"/>
  </w:num>
  <w:num w:numId="3" w16cid:durableId="1821144484">
    <w:abstractNumId w:val="51"/>
  </w:num>
  <w:num w:numId="4" w16cid:durableId="1128666264">
    <w:abstractNumId w:val="31"/>
  </w:num>
  <w:num w:numId="5" w16cid:durableId="585654748">
    <w:abstractNumId w:val="12"/>
  </w:num>
  <w:num w:numId="6" w16cid:durableId="1674411436">
    <w:abstractNumId w:val="8"/>
  </w:num>
  <w:num w:numId="7" w16cid:durableId="406080009">
    <w:abstractNumId w:val="71"/>
  </w:num>
  <w:num w:numId="8" w16cid:durableId="1672641317">
    <w:abstractNumId w:val="61"/>
  </w:num>
  <w:num w:numId="9" w16cid:durableId="197360763">
    <w:abstractNumId w:val="56"/>
  </w:num>
  <w:num w:numId="10" w16cid:durableId="538051964">
    <w:abstractNumId w:val="1"/>
  </w:num>
  <w:num w:numId="11" w16cid:durableId="1815021143">
    <w:abstractNumId w:val="68"/>
  </w:num>
  <w:num w:numId="12" w16cid:durableId="747964114">
    <w:abstractNumId w:val="39"/>
  </w:num>
  <w:num w:numId="13" w16cid:durableId="1712683565">
    <w:abstractNumId w:val="46"/>
  </w:num>
  <w:num w:numId="14" w16cid:durableId="1378890903">
    <w:abstractNumId w:val="28"/>
  </w:num>
  <w:num w:numId="15" w16cid:durableId="1184366704">
    <w:abstractNumId w:val="34"/>
  </w:num>
  <w:num w:numId="16" w16cid:durableId="569581321">
    <w:abstractNumId w:val="54"/>
  </w:num>
  <w:num w:numId="17" w16cid:durableId="1638025688">
    <w:abstractNumId w:val="27"/>
  </w:num>
  <w:num w:numId="18" w16cid:durableId="1422947976">
    <w:abstractNumId w:val="10"/>
  </w:num>
  <w:num w:numId="19" w16cid:durableId="144199899">
    <w:abstractNumId w:val="49"/>
  </w:num>
  <w:num w:numId="20" w16cid:durableId="722680086">
    <w:abstractNumId w:val="45"/>
  </w:num>
  <w:num w:numId="21" w16cid:durableId="1030885665">
    <w:abstractNumId w:val="13"/>
  </w:num>
  <w:num w:numId="22" w16cid:durableId="1165173490">
    <w:abstractNumId w:val="63"/>
  </w:num>
  <w:num w:numId="23" w16cid:durableId="22286659">
    <w:abstractNumId w:val="57"/>
  </w:num>
  <w:num w:numId="24" w16cid:durableId="154956491">
    <w:abstractNumId w:val="53"/>
  </w:num>
  <w:num w:numId="25" w16cid:durableId="1942494171">
    <w:abstractNumId w:val="9"/>
  </w:num>
  <w:num w:numId="26" w16cid:durableId="1982877484">
    <w:abstractNumId w:val="59"/>
  </w:num>
  <w:num w:numId="27" w16cid:durableId="200820790">
    <w:abstractNumId w:val="25"/>
  </w:num>
  <w:num w:numId="28" w16cid:durableId="1109929371">
    <w:abstractNumId w:val="65"/>
  </w:num>
  <w:num w:numId="29" w16cid:durableId="839737180">
    <w:abstractNumId w:val="73"/>
  </w:num>
  <w:num w:numId="30" w16cid:durableId="1838839671">
    <w:abstractNumId w:val="42"/>
  </w:num>
  <w:num w:numId="31" w16cid:durableId="175313181">
    <w:abstractNumId w:val="21"/>
  </w:num>
  <w:num w:numId="32" w16cid:durableId="1795059726">
    <w:abstractNumId w:val="24"/>
  </w:num>
  <w:num w:numId="33" w16cid:durableId="732000477">
    <w:abstractNumId w:val="23"/>
  </w:num>
  <w:num w:numId="34" w16cid:durableId="942421830">
    <w:abstractNumId w:val="17"/>
  </w:num>
  <w:num w:numId="35" w16cid:durableId="1090813509">
    <w:abstractNumId w:val="40"/>
  </w:num>
  <w:num w:numId="36" w16cid:durableId="249312767">
    <w:abstractNumId w:val="69"/>
  </w:num>
  <w:num w:numId="37" w16cid:durableId="628583825">
    <w:abstractNumId w:val="70"/>
  </w:num>
  <w:num w:numId="38" w16cid:durableId="361521300">
    <w:abstractNumId w:val="50"/>
  </w:num>
  <w:num w:numId="39" w16cid:durableId="530532639">
    <w:abstractNumId w:val="55"/>
  </w:num>
  <w:num w:numId="40" w16cid:durableId="985427792">
    <w:abstractNumId w:val="66"/>
  </w:num>
  <w:num w:numId="41" w16cid:durableId="437144498">
    <w:abstractNumId w:val="35"/>
  </w:num>
  <w:num w:numId="42" w16cid:durableId="764111838">
    <w:abstractNumId w:val="7"/>
  </w:num>
  <w:num w:numId="43" w16cid:durableId="34041938">
    <w:abstractNumId w:val="48"/>
  </w:num>
  <w:num w:numId="44" w16cid:durableId="1359964689">
    <w:abstractNumId w:val="18"/>
  </w:num>
  <w:num w:numId="45" w16cid:durableId="1225142377">
    <w:abstractNumId w:val="26"/>
  </w:num>
  <w:num w:numId="46" w16cid:durableId="1830367460">
    <w:abstractNumId w:val="60"/>
  </w:num>
  <w:num w:numId="47" w16cid:durableId="1361513092">
    <w:abstractNumId w:val="44"/>
  </w:num>
  <w:num w:numId="48" w16cid:durableId="678626294">
    <w:abstractNumId w:val="20"/>
  </w:num>
  <w:num w:numId="49" w16cid:durableId="561984831">
    <w:abstractNumId w:val="58"/>
  </w:num>
  <w:num w:numId="50" w16cid:durableId="307364770">
    <w:abstractNumId w:val="33"/>
  </w:num>
  <w:num w:numId="51" w16cid:durableId="1475368483">
    <w:abstractNumId w:val="16"/>
  </w:num>
  <w:num w:numId="52" w16cid:durableId="483668090">
    <w:abstractNumId w:val="30"/>
  </w:num>
  <w:num w:numId="53" w16cid:durableId="2033531621">
    <w:abstractNumId w:val="0"/>
  </w:num>
  <w:num w:numId="54" w16cid:durableId="864975825">
    <w:abstractNumId w:val="41"/>
  </w:num>
  <w:num w:numId="55" w16cid:durableId="1534076880">
    <w:abstractNumId w:val="4"/>
  </w:num>
  <w:num w:numId="56" w16cid:durableId="250890651">
    <w:abstractNumId w:val="67"/>
  </w:num>
  <w:num w:numId="57" w16cid:durableId="1169713013">
    <w:abstractNumId w:val="72"/>
  </w:num>
  <w:num w:numId="58" w16cid:durableId="1970815035">
    <w:abstractNumId w:val="32"/>
  </w:num>
  <w:num w:numId="59" w16cid:durableId="1948584447">
    <w:abstractNumId w:val="38"/>
  </w:num>
  <w:num w:numId="60" w16cid:durableId="1999184494">
    <w:abstractNumId w:val="52"/>
  </w:num>
  <w:num w:numId="61" w16cid:durableId="316612392">
    <w:abstractNumId w:val="5"/>
  </w:num>
  <w:num w:numId="62" w16cid:durableId="1731272097">
    <w:abstractNumId w:val="3"/>
  </w:num>
  <w:num w:numId="63" w16cid:durableId="1615016367">
    <w:abstractNumId w:val="2"/>
  </w:num>
  <w:num w:numId="64" w16cid:durableId="2024160975">
    <w:abstractNumId w:val="62"/>
  </w:num>
  <w:num w:numId="65" w16cid:durableId="1757820815">
    <w:abstractNumId w:val="6"/>
  </w:num>
  <w:num w:numId="66" w16cid:durableId="532033885">
    <w:abstractNumId w:val="47"/>
  </w:num>
  <w:num w:numId="67" w16cid:durableId="77867992">
    <w:abstractNumId w:val="19"/>
  </w:num>
  <w:num w:numId="68" w16cid:durableId="1543404528">
    <w:abstractNumId w:val="14"/>
  </w:num>
  <w:num w:numId="69" w16cid:durableId="208685647">
    <w:abstractNumId w:val="43"/>
  </w:num>
  <w:num w:numId="70" w16cid:durableId="1976909869">
    <w:abstractNumId w:val="37"/>
  </w:num>
  <w:num w:numId="71" w16cid:durableId="1909539108">
    <w:abstractNumId w:val="29"/>
  </w:num>
  <w:num w:numId="72" w16cid:durableId="1570654876">
    <w:abstractNumId w:val="11"/>
  </w:num>
  <w:num w:numId="73" w16cid:durableId="1662928078">
    <w:abstractNumId w:val="36"/>
  </w:num>
  <w:num w:numId="74" w16cid:durableId="1536038450">
    <w:abstractNumId w:val="1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87"/>
    <w:rsid w:val="00000871"/>
    <w:rsid w:val="00001876"/>
    <w:rsid w:val="00001CBE"/>
    <w:rsid w:val="000040CC"/>
    <w:rsid w:val="00005A54"/>
    <w:rsid w:val="000068DE"/>
    <w:rsid w:val="00006AB3"/>
    <w:rsid w:val="000106C1"/>
    <w:rsid w:val="00010C75"/>
    <w:rsid w:val="0001110F"/>
    <w:rsid w:val="0001151A"/>
    <w:rsid w:val="0001270B"/>
    <w:rsid w:val="00012791"/>
    <w:rsid w:val="00013A72"/>
    <w:rsid w:val="000150F9"/>
    <w:rsid w:val="00020760"/>
    <w:rsid w:val="00021F9E"/>
    <w:rsid w:val="00022094"/>
    <w:rsid w:val="00022886"/>
    <w:rsid w:val="00023A12"/>
    <w:rsid w:val="000244EA"/>
    <w:rsid w:val="00025AC6"/>
    <w:rsid w:val="00026314"/>
    <w:rsid w:val="00026418"/>
    <w:rsid w:val="0003063C"/>
    <w:rsid w:val="00031310"/>
    <w:rsid w:val="00034B21"/>
    <w:rsid w:val="00037C44"/>
    <w:rsid w:val="00037EDF"/>
    <w:rsid w:val="00040E76"/>
    <w:rsid w:val="00041483"/>
    <w:rsid w:val="000437EC"/>
    <w:rsid w:val="00044358"/>
    <w:rsid w:val="00044B28"/>
    <w:rsid w:val="00045DAF"/>
    <w:rsid w:val="000461B9"/>
    <w:rsid w:val="0004629E"/>
    <w:rsid w:val="00046F47"/>
    <w:rsid w:val="000506EA"/>
    <w:rsid w:val="00050CCE"/>
    <w:rsid w:val="0005529C"/>
    <w:rsid w:val="00055DDE"/>
    <w:rsid w:val="00055E91"/>
    <w:rsid w:val="00055EF2"/>
    <w:rsid w:val="00056D56"/>
    <w:rsid w:val="0006038D"/>
    <w:rsid w:val="000630D2"/>
    <w:rsid w:val="00065033"/>
    <w:rsid w:val="00066651"/>
    <w:rsid w:val="00066D4C"/>
    <w:rsid w:val="0006710E"/>
    <w:rsid w:val="00067378"/>
    <w:rsid w:val="00067D15"/>
    <w:rsid w:val="00070AF7"/>
    <w:rsid w:val="00071FDA"/>
    <w:rsid w:val="00073A4D"/>
    <w:rsid w:val="00073A6D"/>
    <w:rsid w:val="00074313"/>
    <w:rsid w:val="00074C2E"/>
    <w:rsid w:val="0007532C"/>
    <w:rsid w:val="000755BB"/>
    <w:rsid w:val="00075F49"/>
    <w:rsid w:val="000805F1"/>
    <w:rsid w:val="00082540"/>
    <w:rsid w:val="00082A3D"/>
    <w:rsid w:val="00083F00"/>
    <w:rsid w:val="000843D3"/>
    <w:rsid w:val="000846F8"/>
    <w:rsid w:val="000852F1"/>
    <w:rsid w:val="00086E5A"/>
    <w:rsid w:val="00090013"/>
    <w:rsid w:val="00090D22"/>
    <w:rsid w:val="0009265C"/>
    <w:rsid w:val="0009643A"/>
    <w:rsid w:val="000A0B70"/>
    <w:rsid w:val="000A1355"/>
    <w:rsid w:val="000A1838"/>
    <w:rsid w:val="000A3E58"/>
    <w:rsid w:val="000A6074"/>
    <w:rsid w:val="000A7057"/>
    <w:rsid w:val="000B1204"/>
    <w:rsid w:val="000B29AA"/>
    <w:rsid w:val="000B5D73"/>
    <w:rsid w:val="000B68D0"/>
    <w:rsid w:val="000C0DA8"/>
    <w:rsid w:val="000C28A7"/>
    <w:rsid w:val="000C3A49"/>
    <w:rsid w:val="000C3ABE"/>
    <w:rsid w:val="000C3AE0"/>
    <w:rsid w:val="000C3FFB"/>
    <w:rsid w:val="000C5A8E"/>
    <w:rsid w:val="000C6AB9"/>
    <w:rsid w:val="000C6C41"/>
    <w:rsid w:val="000C70BE"/>
    <w:rsid w:val="000C720F"/>
    <w:rsid w:val="000C76A2"/>
    <w:rsid w:val="000D20CB"/>
    <w:rsid w:val="000D2698"/>
    <w:rsid w:val="000D4072"/>
    <w:rsid w:val="000D4AAD"/>
    <w:rsid w:val="000D530D"/>
    <w:rsid w:val="000D5759"/>
    <w:rsid w:val="000D78AF"/>
    <w:rsid w:val="000D795E"/>
    <w:rsid w:val="000E1B9B"/>
    <w:rsid w:val="000E24EB"/>
    <w:rsid w:val="000E30BD"/>
    <w:rsid w:val="000E659D"/>
    <w:rsid w:val="000E78EA"/>
    <w:rsid w:val="000F0AC4"/>
    <w:rsid w:val="000F22B9"/>
    <w:rsid w:val="000F2315"/>
    <w:rsid w:val="000F5A4E"/>
    <w:rsid w:val="000F7D51"/>
    <w:rsid w:val="001015D9"/>
    <w:rsid w:val="00101C61"/>
    <w:rsid w:val="001042B7"/>
    <w:rsid w:val="00105458"/>
    <w:rsid w:val="00110BF5"/>
    <w:rsid w:val="00110E6E"/>
    <w:rsid w:val="00111025"/>
    <w:rsid w:val="00112909"/>
    <w:rsid w:val="001130A7"/>
    <w:rsid w:val="00113D6F"/>
    <w:rsid w:val="00114121"/>
    <w:rsid w:val="001150B6"/>
    <w:rsid w:val="0011525D"/>
    <w:rsid w:val="001159B1"/>
    <w:rsid w:val="00115AA2"/>
    <w:rsid w:val="00115DF5"/>
    <w:rsid w:val="00115E66"/>
    <w:rsid w:val="00117492"/>
    <w:rsid w:val="00122411"/>
    <w:rsid w:val="00122AA0"/>
    <w:rsid w:val="00123D9D"/>
    <w:rsid w:val="00123F12"/>
    <w:rsid w:val="00130960"/>
    <w:rsid w:val="001328AC"/>
    <w:rsid w:val="00133847"/>
    <w:rsid w:val="0013487B"/>
    <w:rsid w:val="00134956"/>
    <w:rsid w:val="00135AE8"/>
    <w:rsid w:val="001376B2"/>
    <w:rsid w:val="00137D1D"/>
    <w:rsid w:val="00140FA7"/>
    <w:rsid w:val="00141A63"/>
    <w:rsid w:val="00143E46"/>
    <w:rsid w:val="001447A7"/>
    <w:rsid w:val="001447E3"/>
    <w:rsid w:val="0014585B"/>
    <w:rsid w:val="00145BF2"/>
    <w:rsid w:val="00145DBE"/>
    <w:rsid w:val="001467B3"/>
    <w:rsid w:val="00146A6D"/>
    <w:rsid w:val="001475BE"/>
    <w:rsid w:val="00147D3E"/>
    <w:rsid w:val="0015027A"/>
    <w:rsid w:val="001502E5"/>
    <w:rsid w:val="00152548"/>
    <w:rsid w:val="00153334"/>
    <w:rsid w:val="001537C6"/>
    <w:rsid w:val="00154A6D"/>
    <w:rsid w:val="00155544"/>
    <w:rsid w:val="00155AD1"/>
    <w:rsid w:val="001564BB"/>
    <w:rsid w:val="00160739"/>
    <w:rsid w:val="001610ED"/>
    <w:rsid w:val="00161470"/>
    <w:rsid w:val="001629BE"/>
    <w:rsid w:val="00163C98"/>
    <w:rsid w:val="001643C2"/>
    <w:rsid w:val="00164FCC"/>
    <w:rsid w:val="001651FC"/>
    <w:rsid w:val="00167BAA"/>
    <w:rsid w:val="00170EAF"/>
    <w:rsid w:val="00171BA5"/>
    <w:rsid w:val="0017244C"/>
    <w:rsid w:val="0017252B"/>
    <w:rsid w:val="00172630"/>
    <w:rsid w:val="0017413C"/>
    <w:rsid w:val="00176191"/>
    <w:rsid w:val="00176AC8"/>
    <w:rsid w:val="00177621"/>
    <w:rsid w:val="00180890"/>
    <w:rsid w:val="00180AAD"/>
    <w:rsid w:val="00181581"/>
    <w:rsid w:val="00181916"/>
    <w:rsid w:val="00181B01"/>
    <w:rsid w:val="00181F34"/>
    <w:rsid w:val="00183B3B"/>
    <w:rsid w:val="00184CAE"/>
    <w:rsid w:val="00185E55"/>
    <w:rsid w:val="0019169B"/>
    <w:rsid w:val="00195BB3"/>
    <w:rsid w:val="001965E7"/>
    <w:rsid w:val="001A052F"/>
    <w:rsid w:val="001A0725"/>
    <w:rsid w:val="001A2101"/>
    <w:rsid w:val="001A23A4"/>
    <w:rsid w:val="001A2922"/>
    <w:rsid w:val="001A2C21"/>
    <w:rsid w:val="001A34E5"/>
    <w:rsid w:val="001A3EE8"/>
    <w:rsid w:val="001A3F9A"/>
    <w:rsid w:val="001A7ACC"/>
    <w:rsid w:val="001B1096"/>
    <w:rsid w:val="001B20D4"/>
    <w:rsid w:val="001B2F84"/>
    <w:rsid w:val="001B36BF"/>
    <w:rsid w:val="001B3975"/>
    <w:rsid w:val="001B4796"/>
    <w:rsid w:val="001B53D7"/>
    <w:rsid w:val="001C04A3"/>
    <w:rsid w:val="001C17C1"/>
    <w:rsid w:val="001C2581"/>
    <w:rsid w:val="001C3090"/>
    <w:rsid w:val="001C4AFC"/>
    <w:rsid w:val="001C5ED8"/>
    <w:rsid w:val="001C7CC1"/>
    <w:rsid w:val="001D1059"/>
    <w:rsid w:val="001D2255"/>
    <w:rsid w:val="001D2730"/>
    <w:rsid w:val="001D40FC"/>
    <w:rsid w:val="001D588C"/>
    <w:rsid w:val="001D6398"/>
    <w:rsid w:val="001D6E62"/>
    <w:rsid w:val="001D70C1"/>
    <w:rsid w:val="001E18C5"/>
    <w:rsid w:val="001E19CE"/>
    <w:rsid w:val="001E2270"/>
    <w:rsid w:val="001E40F5"/>
    <w:rsid w:val="001E5580"/>
    <w:rsid w:val="001E7087"/>
    <w:rsid w:val="001F0092"/>
    <w:rsid w:val="001F0A01"/>
    <w:rsid w:val="001F1B90"/>
    <w:rsid w:val="001F1F51"/>
    <w:rsid w:val="001F3765"/>
    <w:rsid w:val="001F4E2D"/>
    <w:rsid w:val="001F688C"/>
    <w:rsid w:val="001F6C4F"/>
    <w:rsid w:val="001F6C99"/>
    <w:rsid w:val="0020012D"/>
    <w:rsid w:val="00200222"/>
    <w:rsid w:val="00200E3A"/>
    <w:rsid w:val="00201816"/>
    <w:rsid w:val="00201E33"/>
    <w:rsid w:val="00203A11"/>
    <w:rsid w:val="0020443C"/>
    <w:rsid w:val="0020544E"/>
    <w:rsid w:val="00205D25"/>
    <w:rsid w:val="00205DEC"/>
    <w:rsid w:val="0020655F"/>
    <w:rsid w:val="0021047F"/>
    <w:rsid w:val="00211385"/>
    <w:rsid w:val="002116B8"/>
    <w:rsid w:val="00213820"/>
    <w:rsid w:val="0021454C"/>
    <w:rsid w:val="00214E82"/>
    <w:rsid w:val="00216271"/>
    <w:rsid w:val="00217CE9"/>
    <w:rsid w:val="002214C8"/>
    <w:rsid w:val="00225172"/>
    <w:rsid w:val="0022693E"/>
    <w:rsid w:val="00226F18"/>
    <w:rsid w:val="0022758C"/>
    <w:rsid w:val="00227672"/>
    <w:rsid w:val="002323EE"/>
    <w:rsid w:val="00232958"/>
    <w:rsid w:val="00232DF8"/>
    <w:rsid w:val="0023308D"/>
    <w:rsid w:val="002330DC"/>
    <w:rsid w:val="002334DC"/>
    <w:rsid w:val="00233BB6"/>
    <w:rsid w:val="00233E30"/>
    <w:rsid w:val="002351D8"/>
    <w:rsid w:val="00236724"/>
    <w:rsid w:val="00237459"/>
    <w:rsid w:val="0024044C"/>
    <w:rsid w:val="00243988"/>
    <w:rsid w:val="00244F28"/>
    <w:rsid w:val="00245D01"/>
    <w:rsid w:val="002466F0"/>
    <w:rsid w:val="0024742A"/>
    <w:rsid w:val="002521FF"/>
    <w:rsid w:val="00253E61"/>
    <w:rsid w:val="00254AE5"/>
    <w:rsid w:val="00260D9A"/>
    <w:rsid w:val="002619C6"/>
    <w:rsid w:val="00263F09"/>
    <w:rsid w:val="00265B04"/>
    <w:rsid w:val="00267C9B"/>
    <w:rsid w:val="00272274"/>
    <w:rsid w:val="002723D4"/>
    <w:rsid w:val="00273106"/>
    <w:rsid w:val="00273AED"/>
    <w:rsid w:val="0027520B"/>
    <w:rsid w:val="00275D41"/>
    <w:rsid w:val="00276406"/>
    <w:rsid w:val="002772F5"/>
    <w:rsid w:val="00277E1B"/>
    <w:rsid w:val="0028105C"/>
    <w:rsid w:val="00281A36"/>
    <w:rsid w:val="00282F60"/>
    <w:rsid w:val="00283084"/>
    <w:rsid w:val="00286DAD"/>
    <w:rsid w:val="00287277"/>
    <w:rsid w:val="002872DF"/>
    <w:rsid w:val="002902B2"/>
    <w:rsid w:val="0029072F"/>
    <w:rsid w:val="00290CCF"/>
    <w:rsid w:val="002929A6"/>
    <w:rsid w:val="00293C3A"/>
    <w:rsid w:val="00293C56"/>
    <w:rsid w:val="00295101"/>
    <w:rsid w:val="00297EED"/>
    <w:rsid w:val="002A0751"/>
    <w:rsid w:val="002A0C1D"/>
    <w:rsid w:val="002A1180"/>
    <w:rsid w:val="002A17F7"/>
    <w:rsid w:val="002A4D36"/>
    <w:rsid w:val="002A6B63"/>
    <w:rsid w:val="002A6E38"/>
    <w:rsid w:val="002A7E2F"/>
    <w:rsid w:val="002B01C9"/>
    <w:rsid w:val="002B0A1F"/>
    <w:rsid w:val="002B0A57"/>
    <w:rsid w:val="002B146B"/>
    <w:rsid w:val="002B205B"/>
    <w:rsid w:val="002B427A"/>
    <w:rsid w:val="002B7319"/>
    <w:rsid w:val="002B7A99"/>
    <w:rsid w:val="002C0924"/>
    <w:rsid w:val="002C0997"/>
    <w:rsid w:val="002C1FDA"/>
    <w:rsid w:val="002C2D82"/>
    <w:rsid w:val="002C35C9"/>
    <w:rsid w:val="002C5770"/>
    <w:rsid w:val="002C5D4B"/>
    <w:rsid w:val="002C688B"/>
    <w:rsid w:val="002C7F15"/>
    <w:rsid w:val="002D1228"/>
    <w:rsid w:val="002D51E7"/>
    <w:rsid w:val="002D52F0"/>
    <w:rsid w:val="002D54BB"/>
    <w:rsid w:val="002D5F32"/>
    <w:rsid w:val="002D5FE4"/>
    <w:rsid w:val="002D7B0D"/>
    <w:rsid w:val="002E0BB7"/>
    <w:rsid w:val="002E0E53"/>
    <w:rsid w:val="002E1286"/>
    <w:rsid w:val="002E2D42"/>
    <w:rsid w:val="002E2D5E"/>
    <w:rsid w:val="002E3686"/>
    <w:rsid w:val="002E375C"/>
    <w:rsid w:val="002E3D49"/>
    <w:rsid w:val="002E4ECE"/>
    <w:rsid w:val="002E7B89"/>
    <w:rsid w:val="002E7C0B"/>
    <w:rsid w:val="002F15C4"/>
    <w:rsid w:val="002F199C"/>
    <w:rsid w:val="002F2617"/>
    <w:rsid w:val="002F2970"/>
    <w:rsid w:val="002F2AE2"/>
    <w:rsid w:val="002F2BAF"/>
    <w:rsid w:val="002F2F34"/>
    <w:rsid w:val="002F4868"/>
    <w:rsid w:val="002F5F9B"/>
    <w:rsid w:val="002F77BB"/>
    <w:rsid w:val="003001B6"/>
    <w:rsid w:val="00300BBF"/>
    <w:rsid w:val="003019E1"/>
    <w:rsid w:val="00301A7E"/>
    <w:rsid w:val="00303C11"/>
    <w:rsid w:val="00304141"/>
    <w:rsid w:val="00304F9E"/>
    <w:rsid w:val="0031135F"/>
    <w:rsid w:val="00315C7D"/>
    <w:rsid w:val="00320DFA"/>
    <w:rsid w:val="00321F37"/>
    <w:rsid w:val="0032202A"/>
    <w:rsid w:val="0032248A"/>
    <w:rsid w:val="00323841"/>
    <w:rsid w:val="0032463C"/>
    <w:rsid w:val="00326FE5"/>
    <w:rsid w:val="003273F4"/>
    <w:rsid w:val="00330496"/>
    <w:rsid w:val="003317BC"/>
    <w:rsid w:val="003334F3"/>
    <w:rsid w:val="00333C79"/>
    <w:rsid w:val="00336102"/>
    <w:rsid w:val="00337198"/>
    <w:rsid w:val="00337404"/>
    <w:rsid w:val="0034038E"/>
    <w:rsid w:val="00340474"/>
    <w:rsid w:val="00340765"/>
    <w:rsid w:val="00340E14"/>
    <w:rsid w:val="00341318"/>
    <w:rsid w:val="003413C2"/>
    <w:rsid w:val="003423BE"/>
    <w:rsid w:val="00343CD4"/>
    <w:rsid w:val="00344250"/>
    <w:rsid w:val="00345245"/>
    <w:rsid w:val="003455B3"/>
    <w:rsid w:val="00346C59"/>
    <w:rsid w:val="00350BF9"/>
    <w:rsid w:val="00350CC7"/>
    <w:rsid w:val="00355408"/>
    <w:rsid w:val="00356372"/>
    <w:rsid w:val="00356A3A"/>
    <w:rsid w:val="0036239B"/>
    <w:rsid w:val="003626DF"/>
    <w:rsid w:val="00362CDC"/>
    <w:rsid w:val="003632D2"/>
    <w:rsid w:val="00363639"/>
    <w:rsid w:val="003665F8"/>
    <w:rsid w:val="0036748C"/>
    <w:rsid w:val="00367A56"/>
    <w:rsid w:val="00367EB5"/>
    <w:rsid w:val="00370C61"/>
    <w:rsid w:val="00372DFE"/>
    <w:rsid w:val="00373651"/>
    <w:rsid w:val="003737BE"/>
    <w:rsid w:val="0037742B"/>
    <w:rsid w:val="003814C6"/>
    <w:rsid w:val="0038186B"/>
    <w:rsid w:val="00382D88"/>
    <w:rsid w:val="00383D3B"/>
    <w:rsid w:val="003843DB"/>
    <w:rsid w:val="00384557"/>
    <w:rsid w:val="00384B9F"/>
    <w:rsid w:val="00385C6A"/>
    <w:rsid w:val="003861FB"/>
    <w:rsid w:val="00387E8A"/>
    <w:rsid w:val="00391683"/>
    <w:rsid w:val="00391CFA"/>
    <w:rsid w:val="0039219E"/>
    <w:rsid w:val="00392A4D"/>
    <w:rsid w:val="003930D4"/>
    <w:rsid w:val="003944FC"/>
    <w:rsid w:val="00395BF4"/>
    <w:rsid w:val="003966B2"/>
    <w:rsid w:val="00396FAA"/>
    <w:rsid w:val="003A04C7"/>
    <w:rsid w:val="003A12FB"/>
    <w:rsid w:val="003A35EF"/>
    <w:rsid w:val="003A5389"/>
    <w:rsid w:val="003A7C2B"/>
    <w:rsid w:val="003B00C8"/>
    <w:rsid w:val="003B23DF"/>
    <w:rsid w:val="003B23E1"/>
    <w:rsid w:val="003B2A85"/>
    <w:rsid w:val="003B3C1F"/>
    <w:rsid w:val="003C1980"/>
    <w:rsid w:val="003C6303"/>
    <w:rsid w:val="003C6979"/>
    <w:rsid w:val="003C71BF"/>
    <w:rsid w:val="003D0806"/>
    <w:rsid w:val="003D1832"/>
    <w:rsid w:val="003D1CB7"/>
    <w:rsid w:val="003D3C78"/>
    <w:rsid w:val="003D46DC"/>
    <w:rsid w:val="003D4D29"/>
    <w:rsid w:val="003E14AF"/>
    <w:rsid w:val="003E315C"/>
    <w:rsid w:val="003E361F"/>
    <w:rsid w:val="003E3889"/>
    <w:rsid w:val="003E65BD"/>
    <w:rsid w:val="003F1CF8"/>
    <w:rsid w:val="003F2505"/>
    <w:rsid w:val="003F5476"/>
    <w:rsid w:val="003F583A"/>
    <w:rsid w:val="003F6192"/>
    <w:rsid w:val="003F739F"/>
    <w:rsid w:val="004017A9"/>
    <w:rsid w:val="00404218"/>
    <w:rsid w:val="0040454D"/>
    <w:rsid w:val="004078DB"/>
    <w:rsid w:val="00411271"/>
    <w:rsid w:val="00411335"/>
    <w:rsid w:val="00414394"/>
    <w:rsid w:val="00414E00"/>
    <w:rsid w:val="00420693"/>
    <w:rsid w:val="00421F8E"/>
    <w:rsid w:val="00422FD1"/>
    <w:rsid w:val="0042331C"/>
    <w:rsid w:val="00424F3E"/>
    <w:rsid w:val="0042531D"/>
    <w:rsid w:val="004267FC"/>
    <w:rsid w:val="004275BC"/>
    <w:rsid w:val="004336D8"/>
    <w:rsid w:val="00441317"/>
    <w:rsid w:val="00442316"/>
    <w:rsid w:val="00443E10"/>
    <w:rsid w:val="004441CE"/>
    <w:rsid w:val="00446BCD"/>
    <w:rsid w:val="004506FE"/>
    <w:rsid w:val="004510C2"/>
    <w:rsid w:val="00452757"/>
    <w:rsid w:val="00457975"/>
    <w:rsid w:val="00462124"/>
    <w:rsid w:val="00464181"/>
    <w:rsid w:val="004645E6"/>
    <w:rsid w:val="00466395"/>
    <w:rsid w:val="00467D3C"/>
    <w:rsid w:val="004708FE"/>
    <w:rsid w:val="00470B37"/>
    <w:rsid w:val="00471CB5"/>
    <w:rsid w:val="004737A0"/>
    <w:rsid w:val="0047616C"/>
    <w:rsid w:val="00482DB4"/>
    <w:rsid w:val="0048337B"/>
    <w:rsid w:val="00485127"/>
    <w:rsid w:val="004857EE"/>
    <w:rsid w:val="00487535"/>
    <w:rsid w:val="00492C8E"/>
    <w:rsid w:val="004936B2"/>
    <w:rsid w:val="004944D3"/>
    <w:rsid w:val="0049466F"/>
    <w:rsid w:val="00494982"/>
    <w:rsid w:val="00495241"/>
    <w:rsid w:val="00496D99"/>
    <w:rsid w:val="0049799C"/>
    <w:rsid w:val="00497B2D"/>
    <w:rsid w:val="004A113B"/>
    <w:rsid w:val="004A3698"/>
    <w:rsid w:val="004A6A7A"/>
    <w:rsid w:val="004B0034"/>
    <w:rsid w:val="004B08B9"/>
    <w:rsid w:val="004B307D"/>
    <w:rsid w:val="004B339D"/>
    <w:rsid w:val="004B553A"/>
    <w:rsid w:val="004B5CFE"/>
    <w:rsid w:val="004C29F8"/>
    <w:rsid w:val="004C3985"/>
    <w:rsid w:val="004C4846"/>
    <w:rsid w:val="004C6C92"/>
    <w:rsid w:val="004C7322"/>
    <w:rsid w:val="004C7556"/>
    <w:rsid w:val="004C7631"/>
    <w:rsid w:val="004D08B1"/>
    <w:rsid w:val="004D393F"/>
    <w:rsid w:val="004D5685"/>
    <w:rsid w:val="004D6564"/>
    <w:rsid w:val="004D6E98"/>
    <w:rsid w:val="004E35D1"/>
    <w:rsid w:val="004E4081"/>
    <w:rsid w:val="004E4435"/>
    <w:rsid w:val="004E475F"/>
    <w:rsid w:val="004E5419"/>
    <w:rsid w:val="004E6E4B"/>
    <w:rsid w:val="004F1632"/>
    <w:rsid w:val="004F16C6"/>
    <w:rsid w:val="004F2479"/>
    <w:rsid w:val="004F614D"/>
    <w:rsid w:val="004F6ED6"/>
    <w:rsid w:val="004F76AE"/>
    <w:rsid w:val="004F7700"/>
    <w:rsid w:val="00501AA3"/>
    <w:rsid w:val="005035B6"/>
    <w:rsid w:val="00503DFC"/>
    <w:rsid w:val="0050531A"/>
    <w:rsid w:val="00506643"/>
    <w:rsid w:val="005073F7"/>
    <w:rsid w:val="005109FF"/>
    <w:rsid w:val="00511D79"/>
    <w:rsid w:val="005147E2"/>
    <w:rsid w:val="00515541"/>
    <w:rsid w:val="00515A57"/>
    <w:rsid w:val="0052048E"/>
    <w:rsid w:val="00520760"/>
    <w:rsid w:val="005234AD"/>
    <w:rsid w:val="00525796"/>
    <w:rsid w:val="00531B25"/>
    <w:rsid w:val="0053386A"/>
    <w:rsid w:val="0053406C"/>
    <w:rsid w:val="0053406E"/>
    <w:rsid w:val="00535CE7"/>
    <w:rsid w:val="00536381"/>
    <w:rsid w:val="00536C64"/>
    <w:rsid w:val="00536E3E"/>
    <w:rsid w:val="00540A1B"/>
    <w:rsid w:val="00540B09"/>
    <w:rsid w:val="00541377"/>
    <w:rsid w:val="00541648"/>
    <w:rsid w:val="005421EA"/>
    <w:rsid w:val="00543779"/>
    <w:rsid w:val="005445CC"/>
    <w:rsid w:val="0054503A"/>
    <w:rsid w:val="00547509"/>
    <w:rsid w:val="005478A8"/>
    <w:rsid w:val="00547E55"/>
    <w:rsid w:val="0055072D"/>
    <w:rsid w:val="00550CBA"/>
    <w:rsid w:val="00551EED"/>
    <w:rsid w:val="005532CA"/>
    <w:rsid w:val="005533D4"/>
    <w:rsid w:val="00553F59"/>
    <w:rsid w:val="00555223"/>
    <w:rsid w:val="00555373"/>
    <w:rsid w:val="00556713"/>
    <w:rsid w:val="00556BEB"/>
    <w:rsid w:val="00560D06"/>
    <w:rsid w:val="0056361D"/>
    <w:rsid w:val="00564DE6"/>
    <w:rsid w:val="005653AE"/>
    <w:rsid w:val="005664ED"/>
    <w:rsid w:val="00571C0A"/>
    <w:rsid w:val="00571D68"/>
    <w:rsid w:val="00571EE7"/>
    <w:rsid w:val="00572441"/>
    <w:rsid w:val="005735BA"/>
    <w:rsid w:val="0057390F"/>
    <w:rsid w:val="00574B2A"/>
    <w:rsid w:val="0057652F"/>
    <w:rsid w:val="0058031C"/>
    <w:rsid w:val="00583CB0"/>
    <w:rsid w:val="00586162"/>
    <w:rsid w:val="005876EA"/>
    <w:rsid w:val="005904A9"/>
    <w:rsid w:val="00592F8F"/>
    <w:rsid w:val="005930A1"/>
    <w:rsid w:val="00593BAD"/>
    <w:rsid w:val="00595205"/>
    <w:rsid w:val="00595CEC"/>
    <w:rsid w:val="005A0D1D"/>
    <w:rsid w:val="005A239C"/>
    <w:rsid w:val="005A3F2F"/>
    <w:rsid w:val="005A4CC7"/>
    <w:rsid w:val="005B08C2"/>
    <w:rsid w:val="005B12ED"/>
    <w:rsid w:val="005B1846"/>
    <w:rsid w:val="005B1F88"/>
    <w:rsid w:val="005B234D"/>
    <w:rsid w:val="005B2EC4"/>
    <w:rsid w:val="005B304E"/>
    <w:rsid w:val="005B378A"/>
    <w:rsid w:val="005B4826"/>
    <w:rsid w:val="005C003C"/>
    <w:rsid w:val="005C0609"/>
    <w:rsid w:val="005C2D56"/>
    <w:rsid w:val="005C7F0A"/>
    <w:rsid w:val="005CD59A"/>
    <w:rsid w:val="005D1EF5"/>
    <w:rsid w:val="005D4673"/>
    <w:rsid w:val="005D5AE9"/>
    <w:rsid w:val="005D5C7A"/>
    <w:rsid w:val="005D6028"/>
    <w:rsid w:val="005D61BA"/>
    <w:rsid w:val="005D64B5"/>
    <w:rsid w:val="005E01B4"/>
    <w:rsid w:val="005F03EC"/>
    <w:rsid w:val="005F1D2E"/>
    <w:rsid w:val="005F4946"/>
    <w:rsid w:val="005F70E0"/>
    <w:rsid w:val="00601CDE"/>
    <w:rsid w:val="006054E2"/>
    <w:rsid w:val="006065CE"/>
    <w:rsid w:val="00607661"/>
    <w:rsid w:val="0061086C"/>
    <w:rsid w:val="006121EF"/>
    <w:rsid w:val="006127A9"/>
    <w:rsid w:val="006131AC"/>
    <w:rsid w:val="006133C7"/>
    <w:rsid w:val="006135A5"/>
    <w:rsid w:val="006147E0"/>
    <w:rsid w:val="006159E8"/>
    <w:rsid w:val="00617647"/>
    <w:rsid w:val="006200E6"/>
    <w:rsid w:val="006207CD"/>
    <w:rsid w:val="006210C8"/>
    <w:rsid w:val="00622B87"/>
    <w:rsid w:val="00626AA8"/>
    <w:rsid w:val="00627C3F"/>
    <w:rsid w:val="00630085"/>
    <w:rsid w:val="00630958"/>
    <w:rsid w:val="006331F8"/>
    <w:rsid w:val="006347C2"/>
    <w:rsid w:val="00634DC4"/>
    <w:rsid w:val="00635946"/>
    <w:rsid w:val="00636B2A"/>
    <w:rsid w:val="00636C46"/>
    <w:rsid w:val="00637136"/>
    <w:rsid w:val="00640860"/>
    <w:rsid w:val="00641444"/>
    <w:rsid w:val="00641E61"/>
    <w:rsid w:val="00647038"/>
    <w:rsid w:val="0064721A"/>
    <w:rsid w:val="00647860"/>
    <w:rsid w:val="00650005"/>
    <w:rsid w:val="00650B4F"/>
    <w:rsid w:val="00652DB1"/>
    <w:rsid w:val="00652EB9"/>
    <w:rsid w:val="00653DDF"/>
    <w:rsid w:val="00655450"/>
    <w:rsid w:val="006608AE"/>
    <w:rsid w:val="00660BF9"/>
    <w:rsid w:val="00660DF7"/>
    <w:rsid w:val="006630CA"/>
    <w:rsid w:val="00664F80"/>
    <w:rsid w:val="00665263"/>
    <w:rsid w:val="00665D24"/>
    <w:rsid w:val="0066791E"/>
    <w:rsid w:val="0067016E"/>
    <w:rsid w:val="00671738"/>
    <w:rsid w:val="00671D9D"/>
    <w:rsid w:val="006738DC"/>
    <w:rsid w:val="00676C27"/>
    <w:rsid w:val="00680976"/>
    <w:rsid w:val="00680C49"/>
    <w:rsid w:val="0068225F"/>
    <w:rsid w:val="006822EA"/>
    <w:rsid w:val="006839FD"/>
    <w:rsid w:val="0068684D"/>
    <w:rsid w:val="0068768C"/>
    <w:rsid w:val="006940A9"/>
    <w:rsid w:val="006A0856"/>
    <w:rsid w:val="006A0E49"/>
    <w:rsid w:val="006A0E56"/>
    <w:rsid w:val="006A1A81"/>
    <w:rsid w:val="006A24DD"/>
    <w:rsid w:val="006A3789"/>
    <w:rsid w:val="006A593A"/>
    <w:rsid w:val="006B0DE5"/>
    <w:rsid w:val="006B190F"/>
    <w:rsid w:val="006B1F37"/>
    <w:rsid w:val="006B2380"/>
    <w:rsid w:val="006B258E"/>
    <w:rsid w:val="006B3555"/>
    <w:rsid w:val="006B410E"/>
    <w:rsid w:val="006B6CBF"/>
    <w:rsid w:val="006B6D65"/>
    <w:rsid w:val="006C376D"/>
    <w:rsid w:val="006C37BE"/>
    <w:rsid w:val="006C5A77"/>
    <w:rsid w:val="006C61EF"/>
    <w:rsid w:val="006C6351"/>
    <w:rsid w:val="006C6817"/>
    <w:rsid w:val="006C6E04"/>
    <w:rsid w:val="006C70F4"/>
    <w:rsid w:val="006C7957"/>
    <w:rsid w:val="006C7EBA"/>
    <w:rsid w:val="006D0C99"/>
    <w:rsid w:val="006D0E5B"/>
    <w:rsid w:val="006D2F38"/>
    <w:rsid w:val="006D5D35"/>
    <w:rsid w:val="006E046E"/>
    <w:rsid w:val="006E1B55"/>
    <w:rsid w:val="006E236F"/>
    <w:rsid w:val="006E2CAB"/>
    <w:rsid w:val="006E2E2C"/>
    <w:rsid w:val="006E30F6"/>
    <w:rsid w:val="006E368B"/>
    <w:rsid w:val="006E3F6C"/>
    <w:rsid w:val="006E5437"/>
    <w:rsid w:val="006E54D1"/>
    <w:rsid w:val="006E5D49"/>
    <w:rsid w:val="006E6099"/>
    <w:rsid w:val="006F26B8"/>
    <w:rsid w:val="006F26CC"/>
    <w:rsid w:val="006F364D"/>
    <w:rsid w:val="006F421B"/>
    <w:rsid w:val="006F739C"/>
    <w:rsid w:val="006F771E"/>
    <w:rsid w:val="00701835"/>
    <w:rsid w:val="0070502C"/>
    <w:rsid w:val="00705E49"/>
    <w:rsid w:val="00706B99"/>
    <w:rsid w:val="00707C2C"/>
    <w:rsid w:val="00710298"/>
    <w:rsid w:val="007109F7"/>
    <w:rsid w:val="00710D60"/>
    <w:rsid w:val="00712EF5"/>
    <w:rsid w:val="007135EC"/>
    <w:rsid w:val="00716A01"/>
    <w:rsid w:val="00722FD6"/>
    <w:rsid w:val="00723C5B"/>
    <w:rsid w:val="007251EE"/>
    <w:rsid w:val="00727397"/>
    <w:rsid w:val="00730CC2"/>
    <w:rsid w:val="007327AC"/>
    <w:rsid w:val="00732E24"/>
    <w:rsid w:val="00732ECA"/>
    <w:rsid w:val="007331E6"/>
    <w:rsid w:val="00733880"/>
    <w:rsid w:val="00733992"/>
    <w:rsid w:val="00736BE9"/>
    <w:rsid w:val="007378F7"/>
    <w:rsid w:val="00741975"/>
    <w:rsid w:val="007420BA"/>
    <w:rsid w:val="00742A79"/>
    <w:rsid w:val="00743B97"/>
    <w:rsid w:val="00744142"/>
    <w:rsid w:val="00745D3B"/>
    <w:rsid w:val="007477A1"/>
    <w:rsid w:val="007511BD"/>
    <w:rsid w:val="00751A64"/>
    <w:rsid w:val="00751D3A"/>
    <w:rsid w:val="00752B19"/>
    <w:rsid w:val="00752D65"/>
    <w:rsid w:val="0075387F"/>
    <w:rsid w:val="00753E91"/>
    <w:rsid w:val="007547E0"/>
    <w:rsid w:val="00755DB1"/>
    <w:rsid w:val="007567D6"/>
    <w:rsid w:val="00756A8A"/>
    <w:rsid w:val="007575D4"/>
    <w:rsid w:val="00757CA4"/>
    <w:rsid w:val="0076074A"/>
    <w:rsid w:val="00762157"/>
    <w:rsid w:val="00762F1C"/>
    <w:rsid w:val="00763C3A"/>
    <w:rsid w:val="00764B0D"/>
    <w:rsid w:val="00765D91"/>
    <w:rsid w:val="00765F46"/>
    <w:rsid w:val="00766600"/>
    <w:rsid w:val="00766F0C"/>
    <w:rsid w:val="00767EC5"/>
    <w:rsid w:val="007702EE"/>
    <w:rsid w:val="00773488"/>
    <w:rsid w:val="00776348"/>
    <w:rsid w:val="007779E0"/>
    <w:rsid w:val="007817AF"/>
    <w:rsid w:val="00781BA4"/>
    <w:rsid w:val="00783200"/>
    <w:rsid w:val="00783281"/>
    <w:rsid w:val="00787317"/>
    <w:rsid w:val="00787E69"/>
    <w:rsid w:val="00790C79"/>
    <w:rsid w:val="0079107C"/>
    <w:rsid w:val="007921AB"/>
    <w:rsid w:val="00794609"/>
    <w:rsid w:val="007A12D6"/>
    <w:rsid w:val="007A181B"/>
    <w:rsid w:val="007A1976"/>
    <w:rsid w:val="007A3EB2"/>
    <w:rsid w:val="007B0110"/>
    <w:rsid w:val="007B43F8"/>
    <w:rsid w:val="007B522E"/>
    <w:rsid w:val="007B6485"/>
    <w:rsid w:val="007B687B"/>
    <w:rsid w:val="007C2950"/>
    <w:rsid w:val="007C2AC4"/>
    <w:rsid w:val="007C4198"/>
    <w:rsid w:val="007C44DF"/>
    <w:rsid w:val="007C5551"/>
    <w:rsid w:val="007C566E"/>
    <w:rsid w:val="007C7856"/>
    <w:rsid w:val="007D586A"/>
    <w:rsid w:val="007E1398"/>
    <w:rsid w:val="007E26DA"/>
    <w:rsid w:val="007E2BAA"/>
    <w:rsid w:val="007E514D"/>
    <w:rsid w:val="007E7C36"/>
    <w:rsid w:val="007F40EC"/>
    <w:rsid w:val="007F42B9"/>
    <w:rsid w:val="007F766E"/>
    <w:rsid w:val="00801780"/>
    <w:rsid w:val="00801973"/>
    <w:rsid w:val="00801E76"/>
    <w:rsid w:val="0080400E"/>
    <w:rsid w:val="008059C8"/>
    <w:rsid w:val="00810CEE"/>
    <w:rsid w:val="008116DF"/>
    <w:rsid w:val="00812DF6"/>
    <w:rsid w:val="00813327"/>
    <w:rsid w:val="00815C96"/>
    <w:rsid w:val="008165FC"/>
    <w:rsid w:val="00817E91"/>
    <w:rsid w:val="00820F55"/>
    <w:rsid w:val="0082549F"/>
    <w:rsid w:val="008254E9"/>
    <w:rsid w:val="00825AA9"/>
    <w:rsid w:val="00825B84"/>
    <w:rsid w:val="008261A5"/>
    <w:rsid w:val="008307AB"/>
    <w:rsid w:val="00830953"/>
    <w:rsid w:val="00831690"/>
    <w:rsid w:val="0083434A"/>
    <w:rsid w:val="008346F5"/>
    <w:rsid w:val="00835099"/>
    <w:rsid w:val="00835962"/>
    <w:rsid w:val="00836762"/>
    <w:rsid w:val="008371AA"/>
    <w:rsid w:val="00837AF3"/>
    <w:rsid w:val="00837E95"/>
    <w:rsid w:val="00840D26"/>
    <w:rsid w:val="00843B0D"/>
    <w:rsid w:val="00844720"/>
    <w:rsid w:val="008536E6"/>
    <w:rsid w:val="0085426C"/>
    <w:rsid w:val="008558F5"/>
    <w:rsid w:val="008570F7"/>
    <w:rsid w:val="008577BF"/>
    <w:rsid w:val="00861C6A"/>
    <w:rsid w:val="00861E01"/>
    <w:rsid w:val="00863783"/>
    <w:rsid w:val="00866B98"/>
    <w:rsid w:val="0086752E"/>
    <w:rsid w:val="00871BD9"/>
    <w:rsid w:val="008751D3"/>
    <w:rsid w:val="0087603E"/>
    <w:rsid w:val="00876A02"/>
    <w:rsid w:val="008773F3"/>
    <w:rsid w:val="00877B2E"/>
    <w:rsid w:val="00881A04"/>
    <w:rsid w:val="00881AD4"/>
    <w:rsid w:val="0088335A"/>
    <w:rsid w:val="00883378"/>
    <w:rsid w:val="008849A7"/>
    <w:rsid w:val="00884F6E"/>
    <w:rsid w:val="00890C33"/>
    <w:rsid w:val="00892025"/>
    <w:rsid w:val="00892600"/>
    <w:rsid w:val="0089300F"/>
    <w:rsid w:val="00895F03"/>
    <w:rsid w:val="008A232D"/>
    <w:rsid w:val="008A3A2F"/>
    <w:rsid w:val="008A3E27"/>
    <w:rsid w:val="008A52D2"/>
    <w:rsid w:val="008A5D92"/>
    <w:rsid w:val="008B05E3"/>
    <w:rsid w:val="008B5A12"/>
    <w:rsid w:val="008B5FA5"/>
    <w:rsid w:val="008B6DD3"/>
    <w:rsid w:val="008C2542"/>
    <w:rsid w:val="008C4E6B"/>
    <w:rsid w:val="008C6BF4"/>
    <w:rsid w:val="008C74AD"/>
    <w:rsid w:val="008C7E0F"/>
    <w:rsid w:val="008D07E6"/>
    <w:rsid w:val="008D091E"/>
    <w:rsid w:val="008D0CF9"/>
    <w:rsid w:val="008D1E77"/>
    <w:rsid w:val="008D2745"/>
    <w:rsid w:val="008D2D08"/>
    <w:rsid w:val="008D3883"/>
    <w:rsid w:val="008D3BE5"/>
    <w:rsid w:val="008D46B9"/>
    <w:rsid w:val="008D4A5E"/>
    <w:rsid w:val="008D6232"/>
    <w:rsid w:val="008D6DAF"/>
    <w:rsid w:val="008D716D"/>
    <w:rsid w:val="008D7A3F"/>
    <w:rsid w:val="008E02E9"/>
    <w:rsid w:val="008E26AE"/>
    <w:rsid w:val="008E40CC"/>
    <w:rsid w:val="008E429D"/>
    <w:rsid w:val="008E64BB"/>
    <w:rsid w:val="008E761A"/>
    <w:rsid w:val="008F02AF"/>
    <w:rsid w:val="008F3226"/>
    <w:rsid w:val="008F6355"/>
    <w:rsid w:val="008F6E3D"/>
    <w:rsid w:val="008F7588"/>
    <w:rsid w:val="00900852"/>
    <w:rsid w:val="00901643"/>
    <w:rsid w:val="00902A0D"/>
    <w:rsid w:val="00902EAC"/>
    <w:rsid w:val="00905EAF"/>
    <w:rsid w:val="009143D1"/>
    <w:rsid w:val="00914B05"/>
    <w:rsid w:val="009151A0"/>
    <w:rsid w:val="009216A2"/>
    <w:rsid w:val="00923CA6"/>
    <w:rsid w:val="00925CAE"/>
    <w:rsid w:val="00931C8D"/>
    <w:rsid w:val="00934BBA"/>
    <w:rsid w:val="00936733"/>
    <w:rsid w:val="0094064F"/>
    <w:rsid w:val="00940F48"/>
    <w:rsid w:val="00942BB4"/>
    <w:rsid w:val="00943A61"/>
    <w:rsid w:val="00945099"/>
    <w:rsid w:val="0094638C"/>
    <w:rsid w:val="00947B47"/>
    <w:rsid w:val="0095078C"/>
    <w:rsid w:val="00951715"/>
    <w:rsid w:val="00953A82"/>
    <w:rsid w:val="0095446D"/>
    <w:rsid w:val="009555DC"/>
    <w:rsid w:val="0095608A"/>
    <w:rsid w:val="009565CF"/>
    <w:rsid w:val="0095738A"/>
    <w:rsid w:val="00957763"/>
    <w:rsid w:val="00957D3B"/>
    <w:rsid w:val="00960432"/>
    <w:rsid w:val="0096088F"/>
    <w:rsid w:val="009616CA"/>
    <w:rsid w:val="00963FFD"/>
    <w:rsid w:val="009662F7"/>
    <w:rsid w:val="0096740A"/>
    <w:rsid w:val="009676CE"/>
    <w:rsid w:val="00970418"/>
    <w:rsid w:val="009710EB"/>
    <w:rsid w:val="0097265F"/>
    <w:rsid w:val="009729A4"/>
    <w:rsid w:val="00973725"/>
    <w:rsid w:val="00975005"/>
    <w:rsid w:val="009752F5"/>
    <w:rsid w:val="009801A9"/>
    <w:rsid w:val="009811C8"/>
    <w:rsid w:val="009831CF"/>
    <w:rsid w:val="00984341"/>
    <w:rsid w:val="00984608"/>
    <w:rsid w:val="00984834"/>
    <w:rsid w:val="0098653F"/>
    <w:rsid w:val="00986F36"/>
    <w:rsid w:val="00987AEA"/>
    <w:rsid w:val="00987CA2"/>
    <w:rsid w:val="009902A6"/>
    <w:rsid w:val="009906EA"/>
    <w:rsid w:val="00990B2F"/>
    <w:rsid w:val="00991572"/>
    <w:rsid w:val="00991BBD"/>
    <w:rsid w:val="0099252D"/>
    <w:rsid w:val="009927A2"/>
    <w:rsid w:val="00995715"/>
    <w:rsid w:val="009964CA"/>
    <w:rsid w:val="0099654A"/>
    <w:rsid w:val="0099657A"/>
    <w:rsid w:val="00997438"/>
    <w:rsid w:val="009A2F93"/>
    <w:rsid w:val="009A33D4"/>
    <w:rsid w:val="009A3A62"/>
    <w:rsid w:val="009A574F"/>
    <w:rsid w:val="009A66FE"/>
    <w:rsid w:val="009B09B9"/>
    <w:rsid w:val="009B0D43"/>
    <w:rsid w:val="009B102C"/>
    <w:rsid w:val="009B307B"/>
    <w:rsid w:val="009B3A42"/>
    <w:rsid w:val="009B50F3"/>
    <w:rsid w:val="009B64A9"/>
    <w:rsid w:val="009C311D"/>
    <w:rsid w:val="009C3255"/>
    <w:rsid w:val="009C366D"/>
    <w:rsid w:val="009C5956"/>
    <w:rsid w:val="009C66AA"/>
    <w:rsid w:val="009C6A0B"/>
    <w:rsid w:val="009C6AB6"/>
    <w:rsid w:val="009D2175"/>
    <w:rsid w:val="009D27BC"/>
    <w:rsid w:val="009D3833"/>
    <w:rsid w:val="009D4541"/>
    <w:rsid w:val="009D53BD"/>
    <w:rsid w:val="009D5BF2"/>
    <w:rsid w:val="009D5D98"/>
    <w:rsid w:val="009D6203"/>
    <w:rsid w:val="009D6A41"/>
    <w:rsid w:val="009E071D"/>
    <w:rsid w:val="009E07B9"/>
    <w:rsid w:val="009E2345"/>
    <w:rsid w:val="009E2775"/>
    <w:rsid w:val="009E325E"/>
    <w:rsid w:val="009E6916"/>
    <w:rsid w:val="009E7401"/>
    <w:rsid w:val="009F1A92"/>
    <w:rsid w:val="009F2305"/>
    <w:rsid w:val="009F4A76"/>
    <w:rsid w:val="009F526C"/>
    <w:rsid w:val="009F6CDF"/>
    <w:rsid w:val="009F6FFB"/>
    <w:rsid w:val="009F75AA"/>
    <w:rsid w:val="009F7F8B"/>
    <w:rsid w:val="00A00BFD"/>
    <w:rsid w:val="00A022E5"/>
    <w:rsid w:val="00A0292F"/>
    <w:rsid w:val="00A03DD8"/>
    <w:rsid w:val="00A04202"/>
    <w:rsid w:val="00A074CC"/>
    <w:rsid w:val="00A1062B"/>
    <w:rsid w:val="00A148AF"/>
    <w:rsid w:val="00A1602C"/>
    <w:rsid w:val="00A1649D"/>
    <w:rsid w:val="00A167EB"/>
    <w:rsid w:val="00A20A91"/>
    <w:rsid w:val="00A20F9D"/>
    <w:rsid w:val="00A21D16"/>
    <w:rsid w:val="00A220AD"/>
    <w:rsid w:val="00A228D9"/>
    <w:rsid w:val="00A241C7"/>
    <w:rsid w:val="00A24A7B"/>
    <w:rsid w:val="00A24AF8"/>
    <w:rsid w:val="00A30029"/>
    <w:rsid w:val="00A3104E"/>
    <w:rsid w:val="00A31194"/>
    <w:rsid w:val="00A32417"/>
    <w:rsid w:val="00A33577"/>
    <w:rsid w:val="00A341C3"/>
    <w:rsid w:val="00A3478F"/>
    <w:rsid w:val="00A36D62"/>
    <w:rsid w:val="00A37B12"/>
    <w:rsid w:val="00A37D1A"/>
    <w:rsid w:val="00A41A66"/>
    <w:rsid w:val="00A41E34"/>
    <w:rsid w:val="00A4283E"/>
    <w:rsid w:val="00A435FB"/>
    <w:rsid w:val="00A44310"/>
    <w:rsid w:val="00A46C0C"/>
    <w:rsid w:val="00A50239"/>
    <w:rsid w:val="00A508F3"/>
    <w:rsid w:val="00A512FD"/>
    <w:rsid w:val="00A54C03"/>
    <w:rsid w:val="00A556F8"/>
    <w:rsid w:val="00A568D2"/>
    <w:rsid w:val="00A57C4C"/>
    <w:rsid w:val="00A6065B"/>
    <w:rsid w:val="00A63E3F"/>
    <w:rsid w:val="00A63E4B"/>
    <w:rsid w:val="00A65B7D"/>
    <w:rsid w:val="00A70C76"/>
    <w:rsid w:val="00A72446"/>
    <w:rsid w:val="00A72508"/>
    <w:rsid w:val="00A72DD7"/>
    <w:rsid w:val="00A73576"/>
    <w:rsid w:val="00A742BF"/>
    <w:rsid w:val="00A7531D"/>
    <w:rsid w:val="00A770C4"/>
    <w:rsid w:val="00A804E2"/>
    <w:rsid w:val="00A813C7"/>
    <w:rsid w:val="00A81A9E"/>
    <w:rsid w:val="00A823D9"/>
    <w:rsid w:val="00A82945"/>
    <w:rsid w:val="00A8393D"/>
    <w:rsid w:val="00A83C59"/>
    <w:rsid w:val="00A84954"/>
    <w:rsid w:val="00A84A7C"/>
    <w:rsid w:val="00A91840"/>
    <w:rsid w:val="00A91D4F"/>
    <w:rsid w:val="00A935A2"/>
    <w:rsid w:val="00A93DCF"/>
    <w:rsid w:val="00A964D5"/>
    <w:rsid w:val="00A96A16"/>
    <w:rsid w:val="00A9783B"/>
    <w:rsid w:val="00AA0316"/>
    <w:rsid w:val="00AA20B2"/>
    <w:rsid w:val="00AA3DE3"/>
    <w:rsid w:val="00AA4A9D"/>
    <w:rsid w:val="00AA5955"/>
    <w:rsid w:val="00AA5DDC"/>
    <w:rsid w:val="00AA7095"/>
    <w:rsid w:val="00AA77D4"/>
    <w:rsid w:val="00AA7C80"/>
    <w:rsid w:val="00AB0430"/>
    <w:rsid w:val="00AB1146"/>
    <w:rsid w:val="00AB1794"/>
    <w:rsid w:val="00AB6DD5"/>
    <w:rsid w:val="00AB7707"/>
    <w:rsid w:val="00AC1086"/>
    <w:rsid w:val="00AC3429"/>
    <w:rsid w:val="00AC5279"/>
    <w:rsid w:val="00AC77A2"/>
    <w:rsid w:val="00AD192D"/>
    <w:rsid w:val="00AD1E13"/>
    <w:rsid w:val="00AD21E2"/>
    <w:rsid w:val="00AD283D"/>
    <w:rsid w:val="00AD290E"/>
    <w:rsid w:val="00AD2E7F"/>
    <w:rsid w:val="00AD466D"/>
    <w:rsid w:val="00AD5615"/>
    <w:rsid w:val="00AD6576"/>
    <w:rsid w:val="00AD7FD7"/>
    <w:rsid w:val="00AE0D48"/>
    <w:rsid w:val="00AE1D08"/>
    <w:rsid w:val="00AE1F20"/>
    <w:rsid w:val="00AE2BAB"/>
    <w:rsid w:val="00AE349D"/>
    <w:rsid w:val="00AE4558"/>
    <w:rsid w:val="00AE5DDF"/>
    <w:rsid w:val="00AE731B"/>
    <w:rsid w:val="00AE7551"/>
    <w:rsid w:val="00AF10A2"/>
    <w:rsid w:val="00AF31C1"/>
    <w:rsid w:val="00AF399C"/>
    <w:rsid w:val="00AF4C4C"/>
    <w:rsid w:val="00AF69A6"/>
    <w:rsid w:val="00AF7560"/>
    <w:rsid w:val="00B001F5"/>
    <w:rsid w:val="00B002DF"/>
    <w:rsid w:val="00B00BEF"/>
    <w:rsid w:val="00B00C07"/>
    <w:rsid w:val="00B015BD"/>
    <w:rsid w:val="00B01E5F"/>
    <w:rsid w:val="00B057C5"/>
    <w:rsid w:val="00B05D15"/>
    <w:rsid w:val="00B062FC"/>
    <w:rsid w:val="00B06989"/>
    <w:rsid w:val="00B07129"/>
    <w:rsid w:val="00B07C16"/>
    <w:rsid w:val="00B113D8"/>
    <w:rsid w:val="00B11DF3"/>
    <w:rsid w:val="00B1231E"/>
    <w:rsid w:val="00B13DFD"/>
    <w:rsid w:val="00B1729D"/>
    <w:rsid w:val="00B17A07"/>
    <w:rsid w:val="00B20626"/>
    <w:rsid w:val="00B21913"/>
    <w:rsid w:val="00B22312"/>
    <w:rsid w:val="00B24F89"/>
    <w:rsid w:val="00B277B6"/>
    <w:rsid w:val="00B35A8C"/>
    <w:rsid w:val="00B37969"/>
    <w:rsid w:val="00B41A73"/>
    <w:rsid w:val="00B41E5A"/>
    <w:rsid w:val="00B429ED"/>
    <w:rsid w:val="00B43E9C"/>
    <w:rsid w:val="00B44271"/>
    <w:rsid w:val="00B44FAF"/>
    <w:rsid w:val="00B45456"/>
    <w:rsid w:val="00B462B5"/>
    <w:rsid w:val="00B4785D"/>
    <w:rsid w:val="00B47E02"/>
    <w:rsid w:val="00B47EC8"/>
    <w:rsid w:val="00B508B4"/>
    <w:rsid w:val="00B52383"/>
    <w:rsid w:val="00B54C82"/>
    <w:rsid w:val="00B55164"/>
    <w:rsid w:val="00B56CCC"/>
    <w:rsid w:val="00B57F8D"/>
    <w:rsid w:val="00B63DF7"/>
    <w:rsid w:val="00B63EB8"/>
    <w:rsid w:val="00B64070"/>
    <w:rsid w:val="00B65575"/>
    <w:rsid w:val="00B71504"/>
    <w:rsid w:val="00B71D69"/>
    <w:rsid w:val="00B739A0"/>
    <w:rsid w:val="00B75E45"/>
    <w:rsid w:val="00B77915"/>
    <w:rsid w:val="00B77A7C"/>
    <w:rsid w:val="00B77BCD"/>
    <w:rsid w:val="00B80089"/>
    <w:rsid w:val="00B80487"/>
    <w:rsid w:val="00B80C1E"/>
    <w:rsid w:val="00B818DA"/>
    <w:rsid w:val="00B828B1"/>
    <w:rsid w:val="00B82DBB"/>
    <w:rsid w:val="00B848DF"/>
    <w:rsid w:val="00B85995"/>
    <w:rsid w:val="00B859D9"/>
    <w:rsid w:val="00B86E65"/>
    <w:rsid w:val="00B87855"/>
    <w:rsid w:val="00B900EF"/>
    <w:rsid w:val="00B90639"/>
    <w:rsid w:val="00B915E5"/>
    <w:rsid w:val="00B9634E"/>
    <w:rsid w:val="00BA075D"/>
    <w:rsid w:val="00BA422B"/>
    <w:rsid w:val="00BA51D4"/>
    <w:rsid w:val="00BA644C"/>
    <w:rsid w:val="00BA6DDF"/>
    <w:rsid w:val="00BB053E"/>
    <w:rsid w:val="00BB1B5F"/>
    <w:rsid w:val="00BB352F"/>
    <w:rsid w:val="00BB5A94"/>
    <w:rsid w:val="00BB5B3A"/>
    <w:rsid w:val="00BC20D1"/>
    <w:rsid w:val="00BC238B"/>
    <w:rsid w:val="00BC25A8"/>
    <w:rsid w:val="00BC3518"/>
    <w:rsid w:val="00BC5B2F"/>
    <w:rsid w:val="00BC66F0"/>
    <w:rsid w:val="00BC6A7D"/>
    <w:rsid w:val="00BD0EC0"/>
    <w:rsid w:val="00BD1479"/>
    <w:rsid w:val="00BD1FE1"/>
    <w:rsid w:val="00BD37EE"/>
    <w:rsid w:val="00BD4449"/>
    <w:rsid w:val="00BD4F5E"/>
    <w:rsid w:val="00BD5459"/>
    <w:rsid w:val="00BD640A"/>
    <w:rsid w:val="00BD6FED"/>
    <w:rsid w:val="00BD76A0"/>
    <w:rsid w:val="00BE06D8"/>
    <w:rsid w:val="00BE3C17"/>
    <w:rsid w:val="00BE5FBE"/>
    <w:rsid w:val="00BF0666"/>
    <w:rsid w:val="00BF06EF"/>
    <w:rsid w:val="00BF17A0"/>
    <w:rsid w:val="00BF19A8"/>
    <w:rsid w:val="00BF1A21"/>
    <w:rsid w:val="00BF2167"/>
    <w:rsid w:val="00BF394D"/>
    <w:rsid w:val="00BF5780"/>
    <w:rsid w:val="00C03C80"/>
    <w:rsid w:val="00C04C29"/>
    <w:rsid w:val="00C050FC"/>
    <w:rsid w:val="00C05ABD"/>
    <w:rsid w:val="00C0767D"/>
    <w:rsid w:val="00C077DC"/>
    <w:rsid w:val="00C07D4A"/>
    <w:rsid w:val="00C122BC"/>
    <w:rsid w:val="00C12B94"/>
    <w:rsid w:val="00C13C69"/>
    <w:rsid w:val="00C148CB"/>
    <w:rsid w:val="00C14BF9"/>
    <w:rsid w:val="00C17C9B"/>
    <w:rsid w:val="00C20DB4"/>
    <w:rsid w:val="00C23585"/>
    <w:rsid w:val="00C24FE4"/>
    <w:rsid w:val="00C25322"/>
    <w:rsid w:val="00C27C9E"/>
    <w:rsid w:val="00C300F7"/>
    <w:rsid w:val="00C30D11"/>
    <w:rsid w:val="00C321D0"/>
    <w:rsid w:val="00C32369"/>
    <w:rsid w:val="00C35B8A"/>
    <w:rsid w:val="00C40C37"/>
    <w:rsid w:val="00C4170B"/>
    <w:rsid w:val="00C467CE"/>
    <w:rsid w:val="00C46975"/>
    <w:rsid w:val="00C469EE"/>
    <w:rsid w:val="00C46A3D"/>
    <w:rsid w:val="00C47EEE"/>
    <w:rsid w:val="00C548F8"/>
    <w:rsid w:val="00C611EA"/>
    <w:rsid w:val="00C62C43"/>
    <w:rsid w:val="00C62EC0"/>
    <w:rsid w:val="00C6382B"/>
    <w:rsid w:val="00C64168"/>
    <w:rsid w:val="00C6425B"/>
    <w:rsid w:val="00C64DFD"/>
    <w:rsid w:val="00C65FA2"/>
    <w:rsid w:val="00C67AD4"/>
    <w:rsid w:val="00C67C1F"/>
    <w:rsid w:val="00C67F97"/>
    <w:rsid w:val="00C71CE6"/>
    <w:rsid w:val="00C73263"/>
    <w:rsid w:val="00C73EB0"/>
    <w:rsid w:val="00C74174"/>
    <w:rsid w:val="00C757AD"/>
    <w:rsid w:val="00C76B3D"/>
    <w:rsid w:val="00C80A53"/>
    <w:rsid w:val="00C83CA3"/>
    <w:rsid w:val="00C8453B"/>
    <w:rsid w:val="00C85229"/>
    <w:rsid w:val="00C8555A"/>
    <w:rsid w:val="00C86649"/>
    <w:rsid w:val="00C868B4"/>
    <w:rsid w:val="00C86CF2"/>
    <w:rsid w:val="00C870BF"/>
    <w:rsid w:val="00C87648"/>
    <w:rsid w:val="00C9013D"/>
    <w:rsid w:val="00C901F6"/>
    <w:rsid w:val="00C904E6"/>
    <w:rsid w:val="00C90DBC"/>
    <w:rsid w:val="00C92173"/>
    <w:rsid w:val="00C92A13"/>
    <w:rsid w:val="00C92E08"/>
    <w:rsid w:val="00C94542"/>
    <w:rsid w:val="00C9537E"/>
    <w:rsid w:val="00C96722"/>
    <w:rsid w:val="00C96B5F"/>
    <w:rsid w:val="00C96CCB"/>
    <w:rsid w:val="00C97652"/>
    <w:rsid w:val="00CA0E3B"/>
    <w:rsid w:val="00CA11E3"/>
    <w:rsid w:val="00CA1D6E"/>
    <w:rsid w:val="00CA2A8F"/>
    <w:rsid w:val="00CA47D1"/>
    <w:rsid w:val="00CA4E98"/>
    <w:rsid w:val="00CA5DA5"/>
    <w:rsid w:val="00CB1DE7"/>
    <w:rsid w:val="00CB2E28"/>
    <w:rsid w:val="00CB37E7"/>
    <w:rsid w:val="00CB4A42"/>
    <w:rsid w:val="00CB54B2"/>
    <w:rsid w:val="00CB5A63"/>
    <w:rsid w:val="00CB6216"/>
    <w:rsid w:val="00CB6AA1"/>
    <w:rsid w:val="00CC00C5"/>
    <w:rsid w:val="00CC0496"/>
    <w:rsid w:val="00CC2295"/>
    <w:rsid w:val="00CC2334"/>
    <w:rsid w:val="00CC4148"/>
    <w:rsid w:val="00CC4CCF"/>
    <w:rsid w:val="00CC58EC"/>
    <w:rsid w:val="00CC5C13"/>
    <w:rsid w:val="00CC5F30"/>
    <w:rsid w:val="00CC79F0"/>
    <w:rsid w:val="00CD1114"/>
    <w:rsid w:val="00CD206C"/>
    <w:rsid w:val="00CD22A0"/>
    <w:rsid w:val="00CD266E"/>
    <w:rsid w:val="00CD4256"/>
    <w:rsid w:val="00CD591C"/>
    <w:rsid w:val="00CD6021"/>
    <w:rsid w:val="00CD6C72"/>
    <w:rsid w:val="00CD74F6"/>
    <w:rsid w:val="00CE0373"/>
    <w:rsid w:val="00CE2262"/>
    <w:rsid w:val="00CE2BB7"/>
    <w:rsid w:val="00CE2C3F"/>
    <w:rsid w:val="00CE6B36"/>
    <w:rsid w:val="00CF0245"/>
    <w:rsid w:val="00CF0AE2"/>
    <w:rsid w:val="00CF0E2B"/>
    <w:rsid w:val="00CF291A"/>
    <w:rsid w:val="00CF2A11"/>
    <w:rsid w:val="00CF356D"/>
    <w:rsid w:val="00CF4F20"/>
    <w:rsid w:val="00CF5A53"/>
    <w:rsid w:val="00D0408B"/>
    <w:rsid w:val="00D04212"/>
    <w:rsid w:val="00D06370"/>
    <w:rsid w:val="00D0649B"/>
    <w:rsid w:val="00D10734"/>
    <w:rsid w:val="00D11C61"/>
    <w:rsid w:val="00D11FCF"/>
    <w:rsid w:val="00D13829"/>
    <w:rsid w:val="00D13F35"/>
    <w:rsid w:val="00D140FD"/>
    <w:rsid w:val="00D15969"/>
    <w:rsid w:val="00D15B7D"/>
    <w:rsid w:val="00D17595"/>
    <w:rsid w:val="00D20E82"/>
    <w:rsid w:val="00D2244F"/>
    <w:rsid w:val="00D228F9"/>
    <w:rsid w:val="00D22C82"/>
    <w:rsid w:val="00D22DB1"/>
    <w:rsid w:val="00D23A84"/>
    <w:rsid w:val="00D23D98"/>
    <w:rsid w:val="00D25464"/>
    <w:rsid w:val="00D25B0B"/>
    <w:rsid w:val="00D276C0"/>
    <w:rsid w:val="00D27D29"/>
    <w:rsid w:val="00D31694"/>
    <w:rsid w:val="00D33722"/>
    <w:rsid w:val="00D344EB"/>
    <w:rsid w:val="00D34736"/>
    <w:rsid w:val="00D36C32"/>
    <w:rsid w:val="00D402C2"/>
    <w:rsid w:val="00D40A39"/>
    <w:rsid w:val="00D4175C"/>
    <w:rsid w:val="00D41EDD"/>
    <w:rsid w:val="00D42102"/>
    <w:rsid w:val="00D42CB9"/>
    <w:rsid w:val="00D4382D"/>
    <w:rsid w:val="00D43B8A"/>
    <w:rsid w:val="00D43C8A"/>
    <w:rsid w:val="00D44A37"/>
    <w:rsid w:val="00D45087"/>
    <w:rsid w:val="00D46C7B"/>
    <w:rsid w:val="00D46E85"/>
    <w:rsid w:val="00D50232"/>
    <w:rsid w:val="00D50DF7"/>
    <w:rsid w:val="00D523F2"/>
    <w:rsid w:val="00D52465"/>
    <w:rsid w:val="00D52DF0"/>
    <w:rsid w:val="00D54C27"/>
    <w:rsid w:val="00D5709A"/>
    <w:rsid w:val="00D5745F"/>
    <w:rsid w:val="00D609E2"/>
    <w:rsid w:val="00D618EC"/>
    <w:rsid w:val="00D61A45"/>
    <w:rsid w:val="00D6237A"/>
    <w:rsid w:val="00D637B1"/>
    <w:rsid w:val="00D64F02"/>
    <w:rsid w:val="00D66126"/>
    <w:rsid w:val="00D67E39"/>
    <w:rsid w:val="00D70784"/>
    <w:rsid w:val="00D7098B"/>
    <w:rsid w:val="00D71F3C"/>
    <w:rsid w:val="00D72355"/>
    <w:rsid w:val="00D72E94"/>
    <w:rsid w:val="00D74780"/>
    <w:rsid w:val="00D7585D"/>
    <w:rsid w:val="00D7610D"/>
    <w:rsid w:val="00D776D8"/>
    <w:rsid w:val="00D77906"/>
    <w:rsid w:val="00D77D1D"/>
    <w:rsid w:val="00D83268"/>
    <w:rsid w:val="00D837B9"/>
    <w:rsid w:val="00D846AC"/>
    <w:rsid w:val="00D84D93"/>
    <w:rsid w:val="00D86074"/>
    <w:rsid w:val="00D87320"/>
    <w:rsid w:val="00D87B84"/>
    <w:rsid w:val="00D938AF"/>
    <w:rsid w:val="00D94F50"/>
    <w:rsid w:val="00D97553"/>
    <w:rsid w:val="00DA01A4"/>
    <w:rsid w:val="00DA489D"/>
    <w:rsid w:val="00DA56DE"/>
    <w:rsid w:val="00DB006C"/>
    <w:rsid w:val="00DB13B1"/>
    <w:rsid w:val="00DB1FD2"/>
    <w:rsid w:val="00DB48EB"/>
    <w:rsid w:val="00DB54DF"/>
    <w:rsid w:val="00DC02E7"/>
    <w:rsid w:val="00DC1104"/>
    <w:rsid w:val="00DC19C2"/>
    <w:rsid w:val="00DC23C5"/>
    <w:rsid w:val="00DC2DAB"/>
    <w:rsid w:val="00DC56AB"/>
    <w:rsid w:val="00DC5D9F"/>
    <w:rsid w:val="00DD0D54"/>
    <w:rsid w:val="00DD1AC4"/>
    <w:rsid w:val="00DD240D"/>
    <w:rsid w:val="00DD316D"/>
    <w:rsid w:val="00DD54AC"/>
    <w:rsid w:val="00DD552F"/>
    <w:rsid w:val="00DD5955"/>
    <w:rsid w:val="00DD7044"/>
    <w:rsid w:val="00DD717E"/>
    <w:rsid w:val="00DE09CA"/>
    <w:rsid w:val="00DE139D"/>
    <w:rsid w:val="00DE2D8D"/>
    <w:rsid w:val="00DE460B"/>
    <w:rsid w:val="00DE4ADF"/>
    <w:rsid w:val="00DE4D25"/>
    <w:rsid w:val="00DE4DAC"/>
    <w:rsid w:val="00DE5EF4"/>
    <w:rsid w:val="00DE6627"/>
    <w:rsid w:val="00DE6AE1"/>
    <w:rsid w:val="00DF132C"/>
    <w:rsid w:val="00DF3911"/>
    <w:rsid w:val="00DF592B"/>
    <w:rsid w:val="00DF5C3B"/>
    <w:rsid w:val="00DF5F28"/>
    <w:rsid w:val="00DF6F3D"/>
    <w:rsid w:val="00DF7669"/>
    <w:rsid w:val="00DF7FCD"/>
    <w:rsid w:val="00E01409"/>
    <w:rsid w:val="00E01C77"/>
    <w:rsid w:val="00E02630"/>
    <w:rsid w:val="00E05E12"/>
    <w:rsid w:val="00E05EE6"/>
    <w:rsid w:val="00E06179"/>
    <w:rsid w:val="00E06825"/>
    <w:rsid w:val="00E073D2"/>
    <w:rsid w:val="00E078D4"/>
    <w:rsid w:val="00E10834"/>
    <w:rsid w:val="00E10A52"/>
    <w:rsid w:val="00E1143D"/>
    <w:rsid w:val="00E13096"/>
    <w:rsid w:val="00E13E57"/>
    <w:rsid w:val="00E176F3"/>
    <w:rsid w:val="00E2013D"/>
    <w:rsid w:val="00E20350"/>
    <w:rsid w:val="00E20A3A"/>
    <w:rsid w:val="00E21316"/>
    <w:rsid w:val="00E25668"/>
    <w:rsid w:val="00E259BB"/>
    <w:rsid w:val="00E26F0E"/>
    <w:rsid w:val="00E30153"/>
    <w:rsid w:val="00E30E3F"/>
    <w:rsid w:val="00E315EE"/>
    <w:rsid w:val="00E31D26"/>
    <w:rsid w:val="00E330A3"/>
    <w:rsid w:val="00E3350F"/>
    <w:rsid w:val="00E34188"/>
    <w:rsid w:val="00E35301"/>
    <w:rsid w:val="00E3603A"/>
    <w:rsid w:val="00E36691"/>
    <w:rsid w:val="00E403ED"/>
    <w:rsid w:val="00E42A76"/>
    <w:rsid w:val="00E43E00"/>
    <w:rsid w:val="00E44878"/>
    <w:rsid w:val="00E453B1"/>
    <w:rsid w:val="00E46209"/>
    <w:rsid w:val="00E47338"/>
    <w:rsid w:val="00E50289"/>
    <w:rsid w:val="00E51C08"/>
    <w:rsid w:val="00E5393D"/>
    <w:rsid w:val="00E53C8E"/>
    <w:rsid w:val="00E57530"/>
    <w:rsid w:val="00E57AB8"/>
    <w:rsid w:val="00E60083"/>
    <w:rsid w:val="00E6064D"/>
    <w:rsid w:val="00E61A02"/>
    <w:rsid w:val="00E61E52"/>
    <w:rsid w:val="00E63693"/>
    <w:rsid w:val="00E6435F"/>
    <w:rsid w:val="00E6631E"/>
    <w:rsid w:val="00E66BB2"/>
    <w:rsid w:val="00E66BF8"/>
    <w:rsid w:val="00E67A7C"/>
    <w:rsid w:val="00E713FA"/>
    <w:rsid w:val="00E74912"/>
    <w:rsid w:val="00E7659D"/>
    <w:rsid w:val="00E77F1E"/>
    <w:rsid w:val="00E8376D"/>
    <w:rsid w:val="00E83796"/>
    <w:rsid w:val="00E853F9"/>
    <w:rsid w:val="00E86AF7"/>
    <w:rsid w:val="00E872DE"/>
    <w:rsid w:val="00E90F46"/>
    <w:rsid w:val="00E918E3"/>
    <w:rsid w:val="00E91AAA"/>
    <w:rsid w:val="00E9280F"/>
    <w:rsid w:val="00E938B2"/>
    <w:rsid w:val="00E93B6D"/>
    <w:rsid w:val="00E97D7A"/>
    <w:rsid w:val="00EA1D94"/>
    <w:rsid w:val="00EA5FB9"/>
    <w:rsid w:val="00EA65A4"/>
    <w:rsid w:val="00EA6603"/>
    <w:rsid w:val="00EA7843"/>
    <w:rsid w:val="00EB13DC"/>
    <w:rsid w:val="00EB1556"/>
    <w:rsid w:val="00EB25EC"/>
    <w:rsid w:val="00EB2EA7"/>
    <w:rsid w:val="00EB5EED"/>
    <w:rsid w:val="00EC4618"/>
    <w:rsid w:val="00EC4F1F"/>
    <w:rsid w:val="00EC6C42"/>
    <w:rsid w:val="00ED097D"/>
    <w:rsid w:val="00ED1092"/>
    <w:rsid w:val="00ED3774"/>
    <w:rsid w:val="00ED37B0"/>
    <w:rsid w:val="00ED4C4F"/>
    <w:rsid w:val="00ED5858"/>
    <w:rsid w:val="00ED6295"/>
    <w:rsid w:val="00ED63C9"/>
    <w:rsid w:val="00ED7590"/>
    <w:rsid w:val="00ED775D"/>
    <w:rsid w:val="00ED7D77"/>
    <w:rsid w:val="00EE0809"/>
    <w:rsid w:val="00EE261C"/>
    <w:rsid w:val="00EE2740"/>
    <w:rsid w:val="00EE4C2B"/>
    <w:rsid w:val="00EE6BFB"/>
    <w:rsid w:val="00EE7FEE"/>
    <w:rsid w:val="00EF4BC3"/>
    <w:rsid w:val="00EF4C18"/>
    <w:rsid w:val="00EF6E34"/>
    <w:rsid w:val="00F019BB"/>
    <w:rsid w:val="00F0228D"/>
    <w:rsid w:val="00F03333"/>
    <w:rsid w:val="00F05F33"/>
    <w:rsid w:val="00F06365"/>
    <w:rsid w:val="00F1106F"/>
    <w:rsid w:val="00F13CEF"/>
    <w:rsid w:val="00F205A0"/>
    <w:rsid w:val="00F22629"/>
    <w:rsid w:val="00F23634"/>
    <w:rsid w:val="00F23E8F"/>
    <w:rsid w:val="00F27107"/>
    <w:rsid w:val="00F27AC9"/>
    <w:rsid w:val="00F30479"/>
    <w:rsid w:val="00F30C25"/>
    <w:rsid w:val="00F32809"/>
    <w:rsid w:val="00F32BD6"/>
    <w:rsid w:val="00F341D3"/>
    <w:rsid w:val="00F34381"/>
    <w:rsid w:val="00F36BCD"/>
    <w:rsid w:val="00F36DB1"/>
    <w:rsid w:val="00F36DF3"/>
    <w:rsid w:val="00F374F1"/>
    <w:rsid w:val="00F37AA6"/>
    <w:rsid w:val="00F40324"/>
    <w:rsid w:val="00F40769"/>
    <w:rsid w:val="00F42A50"/>
    <w:rsid w:val="00F42C51"/>
    <w:rsid w:val="00F434F0"/>
    <w:rsid w:val="00F442D6"/>
    <w:rsid w:val="00F448CE"/>
    <w:rsid w:val="00F45397"/>
    <w:rsid w:val="00F460C5"/>
    <w:rsid w:val="00F4701B"/>
    <w:rsid w:val="00F47BFC"/>
    <w:rsid w:val="00F51C90"/>
    <w:rsid w:val="00F52087"/>
    <w:rsid w:val="00F53756"/>
    <w:rsid w:val="00F53995"/>
    <w:rsid w:val="00F53D24"/>
    <w:rsid w:val="00F56970"/>
    <w:rsid w:val="00F56988"/>
    <w:rsid w:val="00F6025B"/>
    <w:rsid w:val="00F62E7E"/>
    <w:rsid w:val="00F642DC"/>
    <w:rsid w:val="00F64646"/>
    <w:rsid w:val="00F66765"/>
    <w:rsid w:val="00F6695D"/>
    <w:rsid w:val="00F670A6"/>
    <w:rsid w:val="00F674FD"/>
    <w:rsid w:val="00F70025"/>
    <w:rsid w:val="00F7123A"/>
    <w:rsid w:val="00F730B6"/>
    <w:rsid w:val="00F747A4"/>
    <w:rsid w:val="00F74D74"/>
    <w:rsid w:val="00F76D34"/>
    <w:rsid w:val="00F77A00"/>
    <w:rsid w:val="00F77E66"/>
    <w:rsid w:val="00F80AE1"/>
    <w:rsid w:val="00F80E91"/>
    <w:rsid w:val="00F81050"/>
    <w:rsid w:val="00F81D1D"/>
    <w:rsid w:val="00F81ECF"/>
    <w:rsid w:val="00F8226E"/>
    <w:rsid w:val="00F825B1"/>
    <w:rsid w:val="00F82986"/>
    <w:rsid w:val="00F82A87"/>
    <w:rsid w:val="00F82FFD"/>
    <w:rsid w:val="00F83417"/>
    <w:rsid w:val="00F83700"/>
    <w:rsid w:val="00F838B7"/>
    <w:rsid w:val="00F83F2C"/>
    <w:rsid w:val="00F851A2"/>
    <w:rsid w:val="00F85717"/>
    <w:rsid w:val="00F85807"/>
    <w:rsid w:val="00F85DE6"/>
    <w:rsid w:val="00F86027"/>
    <w:rsid w:val="00F8674D"/>
    <w:rsid w:val="00F86EDD"/>
    <w:rsid w:val="00F876C3"/>
    <w:rsid w:val="00F91B3B"/>
    <w:rsid w:val="00F92EFB"/>
    <w:rsid w:val="00F949DD"/>
    <w:rsid w:val="00F96C3C"/>
    <w:rsid w:val="00F97739"/>
    <w:rsid w:val="00FA11D2"/>
    <w:rsid w:val="00FA2457"/>
    <w:rsid w:val="00FA3166"/>
    <w:rsid w:val="00FA3BD6"/>
    <w:rsid w:val="00FA4CC2"/>
    <w:rsid w:val="00FA4D89"/>
    <w:rsid w:val="00FA7A52"/>
    <w:rsid w:val="00FB0BAC"/>
    <w:rsid w:val="00FB0F16"/>
    <w:rsid w:val="00FB1831"/>
    <w:rsid w:val="00FB381A"/>
    <w:rsid w:val="00FB4EA6"/>
    <w:rsid w:val="00FB63FE"/>
    <w:rsid w:val="00FB6BB5"/>
    <w:rsid w:val="00FC0B52"/>
    <w:rsid w:val="00FC1C8C"/>
    <w:rsid w:val="00FC24E7"/>
    <w:rsid w:val="00FC698D"/>
    <w:rsid w:val="00FC7C0C"/>
    <w:rsid w:val="00FD190E"/>
    <w:rsid w:val="00FD23B9"/>
    <w:rsid w:val="00FD32AC"/>
    <w:rsid w:val="00FD431A"/>
    <w:rsid w:val="00FD4A9A"/>
    <w:rsid w:val="00FD57D9"/>
    <w:rsid w:val="00FD7660"/>
    <w:rsid w:val="00FE09EB"/>
    <w:rsid w:val="00FE0AAE"/>
    <w:rsid w:val="00FE0B24"/>
    <w:rsid w:val="00FE2D5C"/>
    <w:rsid w:val="00FE5187"/>
    <w:rsid w:val="00FE6BF8"/>
    <w:rsid w:val="00FE6C55"/>
    <w:rsid w:val="00FF0261"/>
    <w:rsid w:val="00FF03BB"/>
    <w:rsid w:val="00FF25AC"/>
    <w:rsid w:val="00FF2753"/>
    <w:rsid w:val="00FF3122"/>
    <w:rsid w:val="00FF3389"/>
    <w:rsid w:val="00FF3689"/>
    <w:rsid w:val="00FF4ABD"/>
    <w:rsid w:val="012D269E"/>
    <w:rsid w:val="017292E6"/>
    <w:rsid w:val="017A2239"/>
    <w:rsid w:val="017B49BA"/>
    <w:rsid w:val="01957E89"/>
    <w:rsid w:val="01D9A337"/>
    <w:rsid w:val="01F3D151"/>
    <w:rsid w:val="020F74DC"/>
    <w:rsid w:val="0224243A"/>
    <w:rsid w:val="024E82D0"/>
    <w:rsid w:val="025231C0"/>
    <w:rsid w:val="02A94498"/>
    <w:rsid w:val="02D73F83"/>
    <w:rsid w:val="02F31BF1"/>
    <w:rsid w:val="0394765C"/>
    <w:rsid w:val="03A26A58"/>
    <w:rsid w:val="03C43210"/>
    <w:rsid w:val="03C789B0"/>
    <w:rsid w:val="03F2D38E"/>
    <w:rsid w:val="03F87A31"/>
    <w:rsid w:val="04E0F29C"/>
    <w:rsid w:val="04EC3BF0"/>
    <w:rsid w:val="04F39F51"/>
    <w:rsid w:val="0502B14C"/>
    <w:rsid w:val="05390847"/>
    <w:rsid w:val="0544367C"/>
    <w:rsid w:val="054F709E"/>
    <w:rsid w:val="062409B0"/>
    <w:rsid w:val="068501D4"/>
    <w:rsid w:val="0721EEE1"/>
    <w:rsid w:val="074C14A0"/>
    <w:rsid w:val="07C741AE"/>
    <w:rsid w:val="081DEF1C"/>
    <w:rsid w:val="08269D7F"/>
    <w:rsid w:val="0876DE1E"/>
    <w:rsid w:val="08A84AE7"/>
    <w:rsid w:val="09121551"/>
    <w:rsid w:val="09C596F4"/>
    <w:rsid w:val="0AA037DC"/>
    <w:rsid w:val="0B5A5DB0"/>
    <w:rsid w:val="0B9897A0"/>
    <w:rsid w:val="0BDFEBA9"/>
    <w:rsid w:val="0C106E0C"/>
    <w:rsid w:val="0C4FEEBA"/>
    <w:rsid w:val="0C77B119"/>
    <w:rsid w:val="0CB42698"/>
    <w:rsid w:val="0CF6448A"/>
    <w:rsid w:val="0D4AD6AE"/>
    <w:rsid w:val="0DF5779B"/>
    <w:rsid w:val="0E3EE8D1"/>
    <w:rsid w:val="0E6157D0"/>
    <w:rsid w:val="0E8E9B47"/>
    <w:rsid w:val="0ED81F11"/>
    <w:rsid w:val="0EEA8B3D"/>
    <w:rsid w:val="0F21F6D6"/>
    <w:rsid w:val="0FEA9AC2"/>
    <w:rsid w:val="100B4F5E"/>
    <w:rsid w:val="1014063D"/>
    <w:rsid w:val="10249B5C"/>
    <w:rsid w:val="104910DB"/>
    <w:rsid w:val="10B059CE"/>
    <w:rsid w:val="112442B9"/>
    <w:rsid w:val="11FC82BD"/>
    <w:rsid w:val="12095A3A"/>
    <w:rsid w:val="12AF1338"/>
    <w:rsid w:val="12DB6F1E"/>
    <w:rsid w:val="12DF0EEA"/>
    <w:rsid w:val="132E4533"/>
    <w:rsid w:val="141F31B1"/>
    <w:rsid w:val="144ADDA2"/>
    <w:rsid w:val="14A57F35"/>
    <w:rsid w:val="14CA325A"/>
    <w:rsid w:val="14DEC081"/>
    <w:rsid w:val="156AE0B5"/>
    <w:rsid w:val="15D9E34E"/>
    <w:rsid w:val="161ED92E"/>
    <w:rsid w:val="165A54BD"/>
    <w:rsid w:val="16ABDA48"/>
    <w:rsid w:val="16C9D6DA"/>
    <w:rsid w:val="16CD2919"/>
    <w:rsid w:val="16D74527"/>
    <w:rsid w:val="1754AC16"/>
    <w:rsid w:val="183755AC"/>
    <w:rsid w:val="1882C35B"/>
    <w:rsid w:val="1891A9DC"/>
    <w:rsid w:val="1940179D"/>
    <w:rsid w:val="1946623B"/>
    <w:rsid w:val="198CC9B4"/>
    <w:rsid w:val="1A9C247B"/>
    <w:rsid w:val="1B770C2A"/>
    <w:rsid w:val="1B9E53A9"/>
    <w:rsid w:val="1C24C50C"/>
    <w:rsid w:val="1C53C7CB"/>
    <w:rsid w:val="1C9AB18E"/>
    <w:rsid w:val="1CA54119"/>
    <w:rsid w:val="1CEA217D"/>
    <w:rsid w:val="1D22B97D"/>
    <w:rsid w:val="1D44A7A0"/>
    <w:rsid w:val="1D454972"/>
    <w:rsid w:val="1DB71167"/>
    <w:rsid w:val="1DDBD97A"/>
    <w:rsid w:val="1DFEC3DD"/>
    <w:rsid w:val="1E1C8E16"/>
    <w:rsid w:val="1E4C9E99"/>
    <w:rsid w:val="1E60BD57"/>
    <w:rsid w:val="1EB0690F"/>
    <w:rsid w:val="1F374D75"/>
    <w:rsid w:val="1F5C3CAC"/>
    <w:rsid w:val="20717817"/>
    <w:rsid w:val="20CFE602"/>
    <w:rsid w:val="21A5CAE6"/>
    <w:rsid w:val="22BC8A37"/>
    <w:rsid w:val="22D69804"/>
    <w:rsid w:val="234A3EAC"/>
    <w:rsid w:val="23C6A780"/>
    <w:rsid w:val="23ED1B1F"/>
    <w:rsid w:val="23F34B18"/>
    <w:rsid w:val="24961850"/>
    <w:rsid w:val="249EC1C1"/>
    <w:rsid w:val="258BAD9C"/>
    <w:rsid w:val="2595F21E"/>
    <w:rsid w:val="260A5A59"/>
    <w:rsid w:val="2640F7FD"/>
    <w:rsid w:val="26896856"/>
    <w:rsid w:val="26C2FB5B"/>
    <w:rsid w:val="26E4EE34"/>
    <w:rsid w:val="27A70694"/>
    <w:rsid w:val="283F0B17"/>
    <w:rsid w:val="28692D08"/>
    <w:rsid w:val="287445B9"/>
    <w:rsid w:val="28B477DB"/>
    <w:rsid w:val="28EBA82D"/>
    <w:rsid w:val="29ADAA0C"/>
    <w:rsid w:val="29FB7B0C"/>
    <w:rsid w:val="2A22F2C6"/>
    <w:rsid w:val="2A72F911"/>
    <w:rsid w:val="2AA00D8F"/>
    <w:rsid w:val="2B2ACC32"/>
    <w:rsid w:val="2B4A3204"/>
    <w:rsid w:val="2B6E7518"/>
    <w:rsid w:val="2B7541B4"/>
    <w:rsid w:val="2B8E75F5"/>
    <w:rsid w:val="2B9DFEC4"/>
    <w:rsid w:val="2C3A17EF"/>
    <w:rsid w:val="2C6DCD1D"/>
    <w:rsid w:val="2CA39DEF"/>
    <w:rsid w:val="2CAE57F1"/>
    <w:rsid w:val="2CE60485"/>
    <w:rsid w:val="2D15BA6D"/>
    <w:rsid w:val="2D4497D8"/>
    <w:rsid w:val="2D8A97D5"/>
    <w:rsid w:val="2DCFAFDE"/>
    <w:rsid w:val="2EDA04F6"/>
    <w:rsid w:val="2F09943D"/>
    <w:rsid w:val="2F2926CD"/>
    <w:rsid w:val="2F350FFA"/>
    <w:rsid w:val="306638E6"/>
    <w:rsid w:val="3086A0BE"/>
    <w:rsid w:val="3095007C"/>
    <w:rsid w:val="30D5F9E8"/>
    <w:rsid w:val="30F4E346"/>
    <w:rsid w:val="3161F9E9"/>
    <w:rsid w:val="31630776"/>
    <w:rsid w:val="31B586A9"/>
    <w:rsid w:val="3246F164"/>
    <w:rsid w:val="3264EC07"/>
    <w:rsid w:val="3311565E"/>
    <w:rsid w:val="331D9975"/>
    <w:rsid w:val="33260002"/>
    <w:rsid w:val="339E3F3E"/>
    <w:rsid w:val="34A04179"/>
    <w:rsid w:val="34CCC9FC"/>
    <w:rsid w:val="3529301E"/>
    <w:rsid w:val="352C9CD6"/>
    <w:rsid w:val="3562E1DA"/>
    <w:rsid w:val="35AF0E59"/>
    <w:rsid w:val="35BA4924"/>
    <w:rsid w:val="36489D28"/>
    <w:rsid w:val="372A4A26"/>
    <w:rsid w:val="37C3895B"/>
    <w:rsid w:val="37E50463"/>
    <w:rsid w:val="387E7E72"/>
    <w:rsid w:val="392013B1"/>
    <w:rsid w:val="396A4C59"/>
    <w:rsid w:val="39DF02AB"/>
    <w:rsid w:val="3ACAC1AC"/>
    <w:rsid w:val="3AD20F47"/>
    <w:rsid w:val="3B044E13"/>
    <w:rsid w:val="3B180854"/>
    <w:rsid w:val="3B512A9B"/>
    <w:rsid w:val="3C3231C8"/>
    <w:rsid w:val="3CA096DF"/>
    <w:rsid w:val="3CDEDA38"/>
    <w:rsid w:val="3CE2D3AE"/>
    <w:rsid w:val="3DDEA296"/>
    <w:rsid w:val="3DFA3143"/>
    <w:rsid w:val="3DFD6577"/>
    <w:rsid w:val="3E8CB1ED"/>
    <w:rsid w:val="3E9740AE"/>
    <w:rsid w:val="3EF5ED3C"/>
    <w:rsid w:val="3F6103D3"/>
    <w:rsid w:val="3F9C684E"/>
    <w:rsid w:val="3FACB682"/>
    <w:rsid w:val="40DB6285"/>
    <w:rsid w:val="414A4AC8"/>
    <w:rsid w:val="415BBC5F"/>
    <w:rsid w:val="41923696"/>
    <w:rsid w:val="41FEC203"/>
    <w:rsid w:val="42100A13"/>
    <w:rsid w:val="42E5E57C"/>
    <w:rsid w:val="431A94E2"/>
    <w:rsid w:val="4402E1B2"/>
    <w:rsid w:val="44045F66"/>
    <w:rsid w:val="443D8AB6"/>
    <w:rsid w:val="44C26E41"/>
    <w:rsid w:val="453662C5"/>
    <w:rsid w:val="4537ABA1"/>
    <w:rsid w:val="45B3BE00"/>
    <w:rsid w:val="46BFE582"/>
    <w:rsid w:val="46C4D027"/>
    <w:rsid w:val="46EEBF69"/>
    <w:rsid w:val="47CD8E6F"/>
    <w:rsid w:val="4809FA0E"/>
    <w:rsid w:val="48425344"/>
    <w:rsid w:val="48AB4866"/>
    <w:rsid w:val="49103CE8"/>
    <w:rsid w:val="49338043"/>
    <w:rsid w:val="4948F0E7"/>
    <w:rsid w:val="496672F9"/>
    <w:rsid w:val="49D692E0"/>
    <w:rsid w:val="4B67391F"/>
    <w:rsid w:val="4BCE714F"/>
    <w:rsid w:val="4C4FF770"/>
    <w:rsid w:val="4C59CD22"/>
    <w:rsid w:val="4C6B56ED"/>
    <w:rsid w:val="4CBC00D6"/>
    <w:rsid w:val="4D6CD28C"/>
    <w:rsid w:val="4E2A7E3F"/>
    <w:rsid w:val="4E3BC3ED"/>
    <w:rsid w:val="4E58D948"/>
    <w:rsid w:val="4E953007"/>
    <w:rsid w:val="4EA61941"/>
    <w:rsid w:val="4EF2AF22"/>
    <w:rsid w:val="4F92FAE3"/>
    <w:rsid w:val="4FA006D0"/>
    <w:rsid w:val="4FDBB4CB"/>
    <w:rsid w:val="502D9F43"/>
    <w:rsid w:val="505E73A7"/>
    <w:rsid w:val="50BC22B6"/>
    <w:rsid w:val="50BD5041"/>
    <w:rsid w:val="51DE6F48"/>
    <w:rsid w:val="5206028F"/>
    <w:rsid w:val="5236FCCA"/>
    <w:rsid w:val="52475490"/>
    <w:rsid w:val="525DDAD0"/>
    <w:rsid w:val="52974BC7"/>
    <w:rsid w:val="530541A4"/>
    <w:rsid w:val="53233985"/>
    <w:rsid w:val="54191728"/>
    <w:rsid w:val="54429194"/>
    <w:rsid w:val="56149169"/>
    <w:rsid w:val="56260259"/>
    <w:rsid w:val="568B88FB"/>
    <w:rsid w:val="569781FF"/>
    <w:rsid w:val="56D6DE9B"/>
    <w:rsid w:val="56E2855B"/>
    <w:rsid w:val="57D33651"/>
    <w:rsid w:val="57E047C8"/>
    <w:rsid w:val="57E57EE9"/>
    <w:rsid w:val="58335260"/>
    <w:rsid w:val="5841BCE4"/>
    <w:rsid w:val="58444D50"/>
    <w:rsid w:val="58A926F3"/>
    <w:rsid w:val="58AAF48C"/>
    <w:rsid w:val="58AB1AEB"/>
    <w:rsid w:val="5930B198"/>
    <w:rsid w:val="59D28758"/>
    <w:rsid w:val="59E97A0E"/>
    <w:rsid w:val="5A36DD3A"/>
    <w:rsid w:val="5A5F0613"/>
    <w:rsid w:val="5A77E5C5"/>
    <w:rsid w:val="5A785F1F"/>
    <w:rsid w:val="5B0461C0"/>
    <w:rsid w:val="5B245CE6"/>
    <w:rsid w:val="5B6C6DB7"/>
    <w:rsid w:val="5BCD7679"/>
    <w:rsid w:val="5BDE0E77"/>
    <w:rsid w:val="5C047C8D"/>
    <w:rsid w:val="5C12C3E7"/>
    <w:rsid w:val="5C3CBE43"/>
    <w:rsid w:val="5CA5118A"/>
    <w:rsid w:val="5CB2184D"/>
    <w:rsid w:val="5CE01D1A"/>
    <w:rsid w:val="5D7DD275"/>
    <w:rsid w:val="5DB7B150"/>
    <w:rsid w:val="5DD34B6B"/>
    <w:rsid w:val="5E142F9D"/>
    <w:rsid w:val="5E750FAC"/>
    <w:rsid w:val="5EE70777"/>
    <w:rsid w:val="5F154BD5"/>
    <w:rsid w:val="5F165D48"/>
    <w:rsid w:val="5FAFFFFE"/>
    <w:rsid w:val="60946821"/>
    <w:rsid w:val="6117BC27"/>
    <w:rsid w:val="61E6386F"/>
    <w:rsid w:val="62124E55"/>
    <w:rsid w:val="6231A0F4"/>
    <w:rsid w:val="628D6F0E"/>
    <w:rsid w:val="629A7BC5"/>
    <w:rsid w:val="62A6BC8E"/>
    <w:rsid w:val="62CEEA72"/>
    <w:rsid w:val="62EBA93C"/>
    <w:rsid w:val="6344C226"/>
    <w:rsid w:val="647DC024"/>
    <w:rsid w:val="64DB850E"/>
    <w:rsid w:val="65695C9D"/>
    <w:rsid w:val="658C4EBA"/>
    <w:rsid w:val="6599F1F3"/>
    <w:rsid w:val="66061925"/>
    <w:rsid w:val="665CF7E8"/>
    <w:rsid w:val="674A9158"/>
    <w:rsid w:val="67511253"/>
    <w:rsid w:val="676AC0A6"/>
    <w:rsid w:val="67738D26"/>
    <w:rsid w:val="677A2DB1"/>
    <w:rsid w:val="683E9962"/>
    <w:rsid w:val="684CDAC1"/>
    <w:rsid w:val="68891044"/>
    <w:rsid w:val="68A487B3"/>
    <w:rsid w:val="68D56640"/>
    <w:rsid w:val="68E96ACE"/>
    <w:rsid w:val="690392F7"/>
    <w:rsid w:val="691DC791"/>
    <w:rsid w:val="6992553C"/>
    <w:rsid w:val="69E6757B"/>
    <w:rsid w:val="69ED3411"/>
    <w:rsid w:val="6A94510F"/>
    <w:rsid w:val="6ABD17B0"/>
    <w:rsid w:val="6B04DAB3"/>
    <w:rsid w:val="6C793B0D"/>
    <w:rsid w:val="6C7FAFBF"/>
    <w:rsid w:val="6CA4721B"/>
    <w:rsid w:val="6D2EEC6D"/>
    <w:rsid w:val="6DC4452E"/>
    <w:rsid w:val="6E0170C8"/>
    <w:rsid w:val="6E2E801C"/>
    <w:rsid w:val="6E4282C7"/>
    <w:rsid w:val="6E48CD73"/>
    <w:rsid w:val="6E69E4E8"/>
    <w:rsid w:val="6E8B8693"/>
    <w:rsid w:val="6EED3976"/>
    <w:rsid w:val="6F046D33"/>
    <w:rsid w:val="6F0B1E17"/>
    <w:rsid w:val="6F7B6723"/>
    <w:rsid w:val="6F96DE3D"/>
    <w:rsid w:val="6FDCB2EC"/>
    <w:rsid w:val="7187E51C"/>
    <w:rsid w:val="718C1301"/>
    <w:rsid w:val="7215FCB1"/>
    <w:rsid w:val="72566F65"/>
    <w:rsid w:val="726D0786"/>
    <w:rsid w:val="7270D48D"/>
    <w:rsid w:val="729FC07A"/>
    <w:rsid w:val="72B922E8"/>
    <w:rsid w:val="72DF1D6D"/>
    <w:rsid w:val="73382EFC"/>
    <w:rsid w:val="73549557"/>
    <w:rsid w:val="738CCE50"/>
    <w:rsid w:val="73BEB8D7"/>
    <w:rsid w:val="73F9F04F"/>
    <w:rsid w:val="741A8A4C"/>
    <w:rsid w:val="742AD66D"/>
    <w:rsid w:val="745B73DD"/>
    <w:rsid w:val="74FE3B39"/>
    <w:rsid w:val="755BFDA0"/>
    <w:rsid w:val="7560FBE8"/>
    <w:rsid w:val="75C69D11"/>
    <w:rsid w:val="762E8240"/>
    <w:rsid w:val="76847C54"/>
    <w:rsid w:val="7691F3A1"/>
    <w:rsid w:val="76E4EACF"/>
    <w:rsid w:val="772B50D0"/>
    <w:rsid w:val="772E2AB8"/>
    <w:rsid w:val="77A27D79"/>
    <w:rsid w:val="77AF0E59"/>
    <w:rsid w:val="7884BDC9"/>
    <w:rsid w:val="78BDEF54"/>
    <w:rsid w:val="78C03CE0"/>
    <w:rsid w:val="78C912CA"/>
    <w:rsid w:val="790069E8"/>
    <w:rsid w:val="7938E471"/>
    <w:rsid w:val="79A13386"/>
    <w:rsid w:val="79A677E4"/>
    <w:rsid w:val="7A2055BD"/>
    <w:rsid w:val="7A6420FD"/>
    <w:rsid w:val="7A663266"/>
    <w:rsid w:val="7A8C5A99"/>
    <w:rsid w:val="7AA1100F"/>
    <w:rsid w:val="7AD1A594"/>
    <w:rsid w:val="7BFAC16F"/>
    <w:rsid w:val="7C02870D"/>
    <w:rsid w:val="7CA7A110"/>
    <w:rsid w:val="7CC1F5DA"/>
    <w:rsid w:val="7D42E528"/>
    <w:rsid w:val="7D755FC7"/>
    <w:rsid w:val="7DD7C59F"/>
    <w:rsid w:val="7E712039"/>
    <w:rsid w:val="7EC258FE"/>
    <w:rsid w:val="7F2662E9"/>
    <w:rsid w:val="7FB256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918D"/>
  <w15:chartTrackingRefBased/>
  <w15:docId w15:val="{EDDA57F2-8C2F-47C7-9211-F905EE7F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83"/>
    <w:pPr>
      <w:spacing w:before="240" w:after="240" w:line="276" w:lineRule="auto"/>
    </w:pPr>
    <w:rPr>
      <w:rFonts w:ascii="Arial" w:hAnsi="Arial"/>
    </w:rPr>
  </w:style>
  <w:style w:type="paragraph" w:styleId="Heading1">
    <w:name w:val="heading 1"/>
    <w:basedOn w:val="Normal"/>
    <w:next w:val="Normal"/>
    <w:link w:val="Heading1Char"/>
    <w:uiPriority w:val="9"/>
    <w:qFormat/>
    <w:rsid w:val="001C3090"/>
    <w:pPr>
      <w:keepNext/>
      <w:keepLines/>
      <w:pageBreakBefore/>
      <w:pBdr>
        <w:bottom w:val="single" w:sz="12" w:space="10" w:color="00DCA1" w:themeColor="background2"/>
      </w:pBdr>
      <w:outlineLvl w:val="0"/>
    </w:pPr>
    <w:rPr>
      <w:rFonts w:eastAsiaTheme="majorEastAsia" w:cs="Arial"/>
      <w:b/>
      <w:bCs/>
      <w:color w:val="033636" w:themeColor="text2"/>
      <w:sz w:val="48"/>
      <w:szCs w:val="72"/>
    </w:rPr>
  </w:style>
  <w:style w:type="paragraph" w:styleId="Heading2">
    <w:name w:val="heading 2"/>
    <w:basedOn w:val="Normal"/>
    <w:next w:val="Normal"/>
    <w:link w:val="Heading2Char"/>
    <w:uiPriority w:val="9"/>
    <w:unhideWhenUsed/>
    <w:qFormat/>
    <w:rsid w:val="00DE460B"/>
    <w:pPr>
      <w:keepNext/>
      <w:keepLines/>
      <w:outlineLvl w:val="1"/>
    </w:pPr>
    <w:rPr>
      <w:rFonts w:eastAsiaTheme="majorEastAsia" w:cstheme="majorBidi"/>
      <w:b/>
      <w:color w:val="033636" w:themeColor="text2"/>
      <w:sz w:val="40"/>
      <w:szCs w:val="26"/>
    </w:rPr>
  </w:style>
  <w:style w:type="paragraph" w:styleId="Heading3">
    <w:name w:val="heading 3"/>
    <w:basedOn w:val="Normal"/>
    <w:next w:val="Normal"/>
    <w:link w:val="Heading3Char"/>
    <w:uiPriority w:val="9"/>
    <w:unhideWhenUsed/>
    <w:qFormat/>
    <w:rsid w:val="001C3090"/>
    <w:pPr>
      <w:keepNext/>
      <w:keepLines/>
      <w:spacing w:after="0"/>
      <w:outlineLvl w:val="2"/>
    </w:pPr>
    <w:rPr>
      <w:rFonts w:eastAsiaTheme="majorEastAsia" w:cstheme="majorBidi"/>
      <w:color w:val="033636" w:themeColor="text2"/>
      <w:sz w:val="32"/>
    </w:rPr>
  </w:style>
  <w:style w:type="paragraph" w:styleId="Heading4">
    <w:name w:val="heading 4"/>
    <w:basedOn w:val="Normal"/>
    <w:next w:val="Normal"/>
    <w:link w:val="Heading4Char"/>
    <w:uiPriority w:val="9"/>
    <w:unhideWhenUsed/>
    <w:qFormat/>
    <w:rsid w:val="001E7087"/>
    <w:pPr>
      <w:keepNext/>
      <w:keepLines/>
      <w:spacing w:before="40" w:after="0"/>
      <w:outlineLvl w:val="3"/>
    </w:pPr>
    <w:rPr>
      <w:rFonts w:eastAsiaTheme="majorEastAsia" w:cstheme="majorBidi"/>
      <w:iCs/>
      <w:color w:val="033636" w:themeColor="text2"/>
      <w:sz w:val="28"/>
    </w:rPr>
  </w:style>
  <w:style w:type="paragraph" w:styleId="Heading5">
    <w:name w:val="heading 5"/>
    <w:basedOn w:val="Normal"/>
    <w:next w:val="Normal"/>
    <w:link w:val="Heading5Char"/>
    <w:uiPriority w:val="9"/>
    <w:unhideWhenUsed/>
    <w:qFormat/>
    <w:rsid w:val="001E7087"/>
    <w:pPr>
      <w:keepNext/>
      <w:keepLines/>
      <w:spacing w:before="40" w:after="0"/>
      <w:outlineLvl w:val="4"/>
    </w:pPr>
    <w:rPr>
      <w:rFonts w:eastAsiaTheme="majorEastAsia" w:cstheme="majorBidi"/>
      <w:b/>
      <w:color w:val="033636" w:themeColor="text2"/>
    </w:rPr>
  </w:style>
  <w:style w:type="paragraph" w:styleId="Heading6">
    <w:name w:val="heading 6"/>
    <w:basedOn w:val="Normal"/>
    <w:next w:val="Normal"/>
    <w:link w:val="Heading6Char"/>
    <w:uiPriority w:val="9"/>
    <w:unhideWhenUsed/>
    <w:qFormat/>
    <w:rsid w:val="001E7087"/>
    <w:pPr>
      <w:keepNext/>
      <w:keepLines/>
      <w:spacing w:before="40" w:after="0"/>
      <w:outlineLvl w:val="5"/>
    </w:pPr>
    <w:rPr>
      <w:rFonts w:eastAsiaTheme="majorEastAsia" w:cstheme="majorBidi"/>
      <w:i/>
      <w:color w:val="033636" w:themeColor="text2"/>
    </w:rPr>
  </w:style>
  <w:style w:type="paragraph" w:styleId="Heading7">
    <w:name w:val="heading 7"/>
    <w:basedOn w:val="Normal"/>
    <w:next w:val="Normal"/>
    <w:link w:val="Heading7Char"/>
    <w:uiPriority w:val="9"/>
    <w:unhideWhenUsed/>
    <w:qFormat/>
    <w:rsid w:val="001E7087"/>
    <w:pPr>
      <w:keepNext/>
      <w:keepLines/>
      <w:spacing w:before="40" w:after="0"/>
      <w:outlineLvl w:val="6"/>
    </w:pPr>
    <w:rPr>
      <w:rFonts w:eastAsiaTheme="majorEastAsia" w:cstheme="majorBidi"/>
      <w:iCs/>
      <w:color w:val="033636" w:themeColor="text2"/>
    </w:rPr>
  </w:style>
  <w:style w:type="paragraph" w:styleId="Heading8">
    <w:name w:val="heading 8"/>
    <w:basedOn w:val="Normal"/>
    <w:next w:val="Normal"/>
    <w:link w:val="Heading8Char"/>
    <w:uiPriority w:val="9"/>
    <w:semiHidden/>
    <w:unhideWhenUsed/>
    <w:qFormat/>
    <w:rsid w:val="001E7087"/>
    <w:pPr>
      <w:keepNext/>
      <w:keepLines/>
      <w:spacing w:before="40" w:after="0"/>
      <w:outlineLvl w:val="7"/>
    </w:pPr>
    <w:rPr>
      <w:rFonts w:eastAsiaTheme="majorEastAsia" w:cstheme="majorBidi"/>
      <w:color w:val="000000" w:themeColor="text1"/>
      <w:szCs w:val="21"/>
    </w:rPr>
  </w:style>
  <w:style w:type="paragraph" w:styleId="Heading9">
    <w:name w:val="heading 9"/>
    <w:basedOn w:val="Normal"/>
    <w:next w:val="Normal"/>
    <w:link w:val="Heading9Char"/>
    <w:uiPriority w:val="9"/>
    <w:unhideWhenUsed/>
    <w:rsid w:val="001E70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090"/>
    <w:rPr>
      <w:rFonts w:ascii="Arial" w:eastAsiaTheme="majorEastAsia" w:hAnsi="Arial" w:cs="Arial"/>
      <w:b/>
      <w:bCs/>
      <w:color w:val="033636" w:themeColor="text2"/>
      <w:sz w:val="48"/>
      <w:szCs w:val="72"/>
    </w:rPr>
  </w:style>
  <w:style w:type="paragraph" w:styleId="NoSpacing">
    <w:name w:val="No Spacing"/>
    <w:uiPriority w:val="1"/>
    <w:qFormat/>
    <w:rsid w:val="001E7087"/>
    <w:rPr>
      <w:rFonts w:ascii="Arial" w:hAnsi="Arial"/>
    </w:rPr>
  </w:style>
  <w:style w:type="character" w:customStyle="1" w:styleId="Heading2Char">
    <w:name w:val="Heading 2 Char"/>
    <w:basedOn w:val="DefaultParagraphFont"/>
    <w:link w:val="Heading2"/>
    <w:uiPriority w:val="9"/>
    <w:rsid w:val="00DE460B"/>
    <w:rPr>
      <w:rFonts w:ascii="Arial" w:eastAsiaTheme="majorEastAsia" w:hAnsi="Arial" w:cstheme="majorBidi"/>
      <w:b/>
      <w:color w:val="033636" w:themeColor="text2"/>
      <w:sz w:val="40"/>
      <w:szCs w:val="26"/>
    </w:rPr>
  </w:style>
  <w:style w:type="paragraph" w:styleId="Title">
    <w:name w:val="Title"/>
    <w:basedOn w:val="Normal"/>
    <w:next w:val="Normal"/>
    <w:link w:val="TitleChar"/>
    <w:uiPriority w:val="10"/>
    <w:qFormat/>
    <w:rsid w:val="00BD640A"/>
    <w:pPr>
      <w:spacing w:before="2000"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D640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BD640A"/>
    <w:pPr>
      <w:numPr>
        <w:ilvl w:val="1"/>
      </w:numPr>
      <w:spacing w:after="160"/>
    </w:pPr>
    <w:rPr>
      <w:rFonts w:eastAsiaTheme="minorEastAsia" w:cs="Times New Roman (Body CS)"/>
      <w:color w:val="033636" w:themeColor="text2"/>
      <w:sz w:val="22"/>
      <w:szCs w:val="22"/>
    </w:rPr>
  </w:style>
  <w:style w:type="character" w:customStyle="1" w:styleId="SubtitleChar">
    <w:name w:val="Subtitle Char"/>
    <w:basedOn w:val="DefaultParagraphFont"/>
    <w:link w:val="Subtitle"/>
    <w:uiPriority w:val="11"/>
    <w:rsid w:val="00BD640A"/>
    <w:rPr>
      <w:rFonts w:ascii="Arial" w:eastAsiaTheme="minorEastAsia" w:hAnsi="Arial" w:cs="Times New Roman (Body CS)"/>
      <w:color w:val="033636" w:themeColor="text2"/>
      <w:sz w:val="22"/>
      <w:szCs w:val="22"/>
    </w:rPr>
  </w:style>
  <w:style w:type="character" w:styleId="SubtleEmphasis">
    <w:name w:val="Subtle Emphasis"/>
    <w:basedOn w:val="DefaultParagraphFont"/>
    <w:uiPriority w:val="19"/>
    <w:qFormat/>
    <w:rsid w:val="001E7087"/>
    <w:rPr>
      <w:rFonts w:ascii="Arial" w:hAnsi="Arial"/>
      <w:i/>
      <w:iCs/>
      <w:color w:val="404040" w:themeColor="text1" w:themeTint="BF"/>
    </w:rPr>
  </w:style>
  <w:style w:type="character" w:styleId="Emphasis">
    <w:name w:val="Emphasis"/>
    <w:basedOn w:val="DefaultParagraphFont"/>
    <w:qFormat/>
    <w:rsid w:val="001E7087"/>
    <w:rPr>
      <w:rFonts w:ascii="Arial" w:hAnsi="Arial"/>
      <w:i/>
      <w:iCs/>
    </w:rPr>
  </w:style>
  <w:style w:type="character" w:styleId="IntenseEmphasis">
    <w:name w:val="Intense Emphasis"/>
    <w:basedOn w:val="DefaultParagraphFont"/>
    <w:uiPriority w:val="21"/>
    <w:rsid w:val="001E7087"/>
    <w:rPr>
      <w:rFonts w:ascii="Arial" w:hAnsi="Arial"/>
      <w:i/>
      <w:iCs/>
      <w:color w:val="033636" w:themeColor="text2"/>
    </w:rPr>
  </w:style>
  <w:style w:type="character" w:styleId="Strong">
    <w:name w:val="Strong"/>
    <w:basedOn w:val="DefaultParagraphFont"/>
    <w:uiPriority w:val="22"/>
    <w:qFormat/>
    <w:rsid w:val="001E7087"/>
    <w:rPr>
      <w:b/>
      <w:bCs/>
    </w:rPr>
  </w:style>
  <w:style w:type="paragraph" w:styleId="Quote">
    <w:name w:val="Quote"/>
    <w:basedOn w:val="Normal"/>
    <w:next w:val="Normal"/>
    <w:link w:val="QuoteChar"/>
    <w:uiPriority w:val="29"/>
    <w:qFormat/>
    <w:rsid w:val="001E7087"/>
    <w:pPr>
      <w:spacing w:before="200" w:after="160"/>
      <w:ind w:left="864" w:right="864"/>
      <w:jc w:val="center"/>
    </w:pPr>
    <w:rPr>
      <w:i/>
      <w:iCs/>
      <w:color w:val="033636" w:themeColor="text2"/>
    </w:rPr>
  </w:style>
  <w:style w:type="character" w:customStyle="1" w:styleId="QuoteChar">
    <w:name w:val="Quote Char"/>
    <w:basedOn w:val="DefaultParagraphFont"/>
    <w:link w:val="Quote"/>
    <w:uiPriority w:val="29"/>
    <w:rsid w:val="001E7087"/>
    <w:rPr>
      <w:rFonts w:ascii="Arial" w:hAnsi="Arial"/>
      <w:i/>
      <w:iCs/>
      <w:color w:val="033636" w:themeColor="text2"/>
    </w:rPr>
  </w:style>
  <w:style w:type="paragraph" w:styleId="IntenseQuote">
    <w:name w:val="Intense Quote"/>
    <w:basedOn w:val="Normal"/>
    <w:next w:val="Normal"/>
    <w:link w:val="IntenseQuoteChar"/>
    <w:uiPriority w:val="30"/>
    <w:qFormat/>
    <w:rsid w:val="001E7087"/>
    <w:pPr>
      <w:pBdr>
        <w:top w:val="single" w:sz="4" w:space="10" w:color="00DCA1" w:themeColor="background2"/>
        <w:bottom w:val="single" w:sz="4" w:space="10" w:color="00DCA1" w:themeColor="background2"/>
      </w:pBdr>
      <w:spacing w:before="360" w:after="360"/>
      <w:ind w:left="864" w:right="864"/>
      <w:jc w:val="center"/>
    </w:pPr>
    <w:rPr>
      <w:i/>
      <w:iCs/>
      <w:color w:val="033636" w:themeColor="text2"/>
    </w:rPr>
  </w:style>
  <w:style w:type="character" w:customStyle="1" w:styleId="IntenseQuoteChar">
    <w:name w:val="Intense Quote Char"/>
    <w:basedOn w:val="DefaultParagraphFont"/>
    <w:link w:val="IntenseQuote"/>
    <w:uiPriority w:val="30"/>
    <w:rsid w:val="001E7087"/>
    <w:rPr>
      <w:rFonts w:ascii="Arial" w:hAnsi="Arial"/>
      <w:i/>
      <w:iCs/>
      <w:color w:val="033636" w:themeColor="text2"/>
    </w:rPr>
  </w:style>
  <w:style w:type="character" w:customStyle="1" w:styleId="Heading3Char">
    <w:name w:val="Heading 3 Char"/>
    <w:basedOn w:val="DefaultParagraphFont"/>
    <w:link w:val="Heading3"/>
    <w:uiPriority w:val="9"/>
    <w:rsid w:val="001C3090"/>
    <w:rPr>
      <w:rFonts w:ascii="Arial" w:eastAsiaTheme="majorEastAsia" w:hAnsi="Arial" w:cstheme="majorBidi"/>
      <w:color w:val="033636" w:themeColor="text2"/>
      <w:sz w:val="32"/>
    </w:rPr>
  </w:style>
  <w:style w:type="character" w:customStyle="1" w:styleId="Heading4Char">
    <w:name w:val="Heading 4 Char"/>
    <w:basedOn w:val="DefaultParagraphFont"/>
    <w:link w:val="Heading4"/>
    <w:uiPriority w:val="9"/>
    <w:rsid w:val="001E7087"/>
    <w:rPr>
      <w:rFonts w:ascii="Arial" w:eastAsiaTheme="majorEastAsia" w:hAnsi="Arial" w:cstheme="majorBidi"/>
      <w:iCs/>
      <w:color w:val="033636" w:themeColor="text2"/>
      <w:sz w:val="28"/>
    </w:rPr>
  </w:style>
  <w:style w:type="character" w:customStyle="1" w:styleId="Heading5Char">
    <w:name w:val="Heading 5 Char"/>
    <w:basedOn w:val="DefaultParagraphFont"/>
    <w:link w:val="Heading5"/>
    <w:uiPriority w:val="9"/>
    <w:rsid w:val="001E7087"/>
    <w:rPr>
      <w:rFonts w:ascii="Arial" w:eastAsiaTheme="majorEastAsia" w:hAnsi="Arial" w:cstheme="majorBidi"/>
      <w:b/>
      <w:color w:val="033636" w:themeColor="text2"/>
    </w:rPr>
  </w:style>
  <w:style w:type="character" w:customStyle="1" w:styleId="Heading6Char">
    <w:name w:val="Heading 6 Char"/>
    <w:basedOn w:val="DefaultParagraphFont"/>
    <w:link w:val="Heading6"/>
    <w:uiPriority w:val="9"/>
    <w:rsid w:val="001E7087"/>
    <w:rPr>
      <w:rFonts w:ascii="Arial" w:eastAsiaTheme="majorEastAsia" w:hAnsi="Arial" w:cstheme="majorBidi"/>
      <w:i/>
      <w:color w:val="033636" w:themeColor="text2"/>
    </w:rPr>
  </w:style>
  <w:style w:type="character" w:customStyle="1" w:styleId="Heading7Char">
    <w:name w:val="Heading 7 Char"/>
    <w:basedOn w:val="DefaultParagraphFont"/>
    <w:link w:val="Heading7"/>
    <w:uiPriority w:val="9"/>
    <w:rsid w:val="001E7087"/>
    <w:rPr>
      <w:rFonts w:ascii="Arial" w:eastAsiaTheme="majorEastAsia" w:hAnsi="Arial" w:cstheme="majorBidi"/>
      <w:iCs/>
      <w:color w:val="033636" w:themeColor="text2"/>
    </w:rPr>
  </w:style>
  <w:style w:type="character" w:customStyle="1" w:styleId="Heading8Char">
    <w:name w:val="Heading 8 Char"/>
    <w:basedOn w:val="DefaultParagraphFont"/>
    <w:link w:val="Heading8"/>
    <w:uiPriority w:val="9"/>
    <w:semiHidden/>
    <w:rsid w:val="001E7087"/>
    <w:rPr>
      <w:rFonts w:ascii="Arial" w:eastAsiaTheme="majorEastAsia" w:hAnsi="Arial" w:cstheme="majorBidi"/>
      <w:color w:val="000000" w:themeColor="text1"/>
      <w:szCs w:val="21"/>
    </w:rPr>
  </w:style>
  <w:style w:type="character" w:customStyle="1" w:styleId="Heading9Char">
    <w:name w:val="Heading 9 Char"/>
    <w:basedOn w:val="DefaultParagraphFont"/>
    <w:link w:val="Heading9"/>
    <w:uiPriority w:val="9"/>
    <w:rsid w:val="001E708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D640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D640A"/>
    <w:rPr>
      <w:rFonts w:ascii="Arial" w:hAnsi="Arial"/>
    </w:rPr>
  </w:style>
  <w:style w:type="paragraph" w:styleId="Footer">
    <w:name w:val="footer"/>
    <w:basedOn w:val="Normal"/>
    <w:link w:val="FooterChar"/>
    <w:uiPriority w:val="99"/>
    <w:unhideWhenUsed/>
    <w:qFormat/>
    <w:rsid w:val="00BD640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D640A"/>
    <w:rPr>
      <w:rFonts w:ascii="Arial" w:hAnsi="Arial"/>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C4846"/>
    <w:pPr>
      <w:ind w:left="720"/>
    </w:pPr>
  </w:style>
  <w:style w:type="character" w:styleId="PageNumber">
    <w:name w:val="page number"/>
    <w:basedOn w:val="DefaultParagraphFont"/>
    <w:uiPriority w:val="99"/>
    <w:semiHidden/>
    <w:unhideWhenUsed/>
    <w:rsid w:val="00DD7044"/>
  </w:style>
  <w:style w:type="paragraph" w:styleId="NormalWeb">
    <w:name w:val="Normal (Web)"/>
    <w:basedOn w:val="Normal"/>
    <w:uiPriority w:val="99"/>
    <w:unhideWhenUsed/>
    <w:rsid w:val="00BF1A21"/>
    <w:pPr>
      <w:spacing w:before="100" w:beforeAutospacing="1" w:after="100" w:afterAutospacing="1" w:line="240" w:lineRule="auto"/>
    </w:pPr>
    <w:rPr>
      <w:rFonts w:asciiTheme="minorHAnsi" w:eastAsia="Times New Roman" w:hAnsiTheme="minorHAnsi" w:cs="Times New Roman"/>
      <w:kern w:val="0"/>
      <w:lang w:eastAsia="en-GB"/>
      <w14:ligatures w14:val="none"/>
    </w:rPr>
  </w:style>
  <w:style w:type="character" w:styleId="Hyperlink">
    <w:name w:val="Hyperlink"/>
    <w:basedOn w:val="DefaultParagraphFont"/>
    <w:uiPriority w:val="99"/>
    <w:unhideWhenUsed/>
    <w:qFormat/>
    <w:rsid w:val="00C14BF9"/>
    <w:rPr>
      <w:color w:val="184174" w:themeColor="hyperlink"/>
      <w:u w:val="single"/>
    </w:rPr>
  </w:style>
  <w:style w:type="character" w:styleId="UnresolvedMention">
    <w:name w:val="Unresolved Mention"/>
    <w:basedOn w:val="DefaultParagraphFont"/>
    <w:uiPriority w:val="99"/>
    <w:semiHidden/>
    <w:unhideWhenUsed/>
    <w:rsid w:val="00C14BF9"/>
    <w:rPr>
      <w:color w:val="605E5C"/>
      <w:shd w:val="clear" w:color="auto" w:fill="E1DFDD"/>
    </w:rPr>
  </w:style>
  <w:style w:type="paragraph" w:customStyle="1" w:styleId="Copyrightversotext">
    <w:name w:val="Copyright_verso text"/>
    <w:qFormat/>
    <w:rsid w:val="00C14BF9"/>
    <w:pPr>
      <w:spacing w:before="120" w:after="120" w:line="276" w:lineRule="auto"/>
    </w:pPr>
    <w:rPr>
      <w:rFonts w:ascii="Arial" w:eastAsia="Times New Roman" w:hAnsi="Arial" w:cs="Arial"/>
      <w:color w:val="000000"/>
      <w:kern w:val="0"/>
      <w:sz w:val="18"/>
      <w:szCs w:val="18"/>
      <w:lang w:eastAsia="en-GB"/>
      <w14:ligatures w14:val="none"/>
    </w:rPr>
  </w:style>
  <w:style w:type="table" w:styleId="TableGrid">
    <w:name w:val="Table Grid"/>
    <w:basedOn w:val="TableNormal"/>
    <w:uiPriority w:val="59"/>
    <w:rsid w:val="00AD7FD7"/>
    <w:pPr>
      <w:spacing w:before="40" w:after="40"/>
    </w:pPr>
    <w:rPr>
      <w:rFonts w:eastAsia="Times New Roman" w:cs="Times New Roman"/>
      <w:kern w:val="0"/>
      <w:sz w:val="20"/>
      <w:szCs w:val="20"/>
      <w:lang w:eastAsia="en-AU"/>
      <w14:ligatures w14:val="none"/>
    </w:rPr>
    <w:tblPr>
      <w:tblStyleRowBandSize w:val="1"/>
      <w:tblBorders>
        <w:top w:val="single" w:sz="6" w:space="0" w:color="00DCA1" w:themeColor="background2"/>
        <w:bottom w:val="single" w:sz="6" w:space="0" w:color="00DCA1" w:themeColor="background2"/>
        <w:insideH w:val="single" w:sz="6" w:space="0" w:color="00DCA1" w:themeColor="background2"/>
      </w:tblBorders>
    </w:tblPr>
    <w:tcPr>
      <w:tcMar>
        <w:top w:w="57" w:type="dxa"/>
        <w:left w:w="57" w:type="dxa"/>
        <w:bottom w:w="57" w:type="dxa"/>
        <w:right w:w="57" w:type="dxa"/>
      </w:tcMar>
      <w:vAlign w:val="center"/>
    </w:tcPr>
    <w:tblStylePr w:type="firstRow">
      <w:tblPr/>
      <w:tcPr>
        <w:shd w:val="clear" w:color="auto" w:fill="00DCA1" w:themeFill="background2"/>
        <w:vAlign w:val="center"/>
      </w:tcPr>
    </w:tblStylePr>
    <w:tblStylePr w:type="lastRow">
      <w:rPr>
        <w:rFonts w:asciiTheme="minorHAnsi" w:hAnsiTheme="minorHAnsi"/>
        <w:b/>
        <w:sz w:val="20"/>
      </w:rPr>
    </w:tblStylePr>
    <w:tblStylePr w:type="band1Horz">
      <w:tblPr/>
      <w:tcPr>
        <w:tcBorders>
          <w:top w:val="single" w:sz="4" w:space="0" w:color="00DCA1" w:themeColor="background2"/>
          <w:left w:val="nil"/>
          <w:bottom w:val="single" w:sz="4" w:space="0" w:color="00DCA1" w:themeColor="background2"/>
          <w:right w:val="nil"/>
          <w:insideH w:val="nil"/>
          <w:insideV w:val="nil"/>
          <w:tl2br w:val="nil"/>
          <w:tr2bl w:val="nil"/>
        </w:tcBorders>
      </w:tcPr>
    </w:tblStyle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C4846"/>
    <w:rPr>
      <w:rFonts w:ascii="Arial" w:hAnsi="Arial"/>
    </w:rPr>
  </w:style>
  <w:style w:type="paragraph" w:customStyle="1" w:styleId="HeadingTABLE">
    <w:name w:val="Heading TABLE"/>
    <w:basedOn w:val="Normal"/>
    <w:qFormat/>
    <w:rsid w:val="00BF1A21"/>
    <w:pPr>
      <w:numPr>
        <w:numId w:val="3"/>
      </w:numPr>
      <w:ind w:left="1134" w:hanging="1134"/>
    </w:pPr>
    <w:rPr>
      <w:b/>
      <w:bCs/>
      <w:color w:val="033636" w:themeColor="text2"/>
    </w:rPr>
  </w:style>
  <w:style w:type="paragraph" w:customStyle="1" w:styleId="HeadingFigure">
    <w:name w:val="Heading Figure"/>
    <w:basedOn w:val="Normal"/>
    <w:qFormat/>
    <w:rsid w:val="006135A5"/>
    <w:pPr>
      <w:numPr>
        <w:numId w:val="4"/>
      </w:numPr>
    </w:pPr>
    <w:rPr>
      <w:b/>
      <w:noProof/>
      <w:color w:val="033636" w:themeColor="text2"/>
    </w:rPr>
  </w:style>
  <w:style w:type="numbering" w:customStyle="1" w:styleId="CurrentList1">
    <w:name w:val="Current List1"/>
    <w:uiPriority w:val="99"/>
    <w:rsid w:val="009752F5"/>
    <w:pPr>
      <w:numPr>
        <w:numId w:val="5"/>
      </w:numPr>
    </w:pPr>
  </w:style>
  <w:style w:type="paragraph" w:customStyle="1" w:styleId="BoxBulletEmerald">
    <w:name w:val="Box Bullet Emerald"/>
    <w:basedOn w:val="ListParagraph"/>
    <w:qFormat/>
    <w:rsid w:val="006135A5"/>
    <w:pPr>
      <w:numPr>
        <w:numId w:val="6"/>
      </w:num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textEmerald">
    <w:name w:val="Box text Emerald"/>
    <w:basedOn w:val="Normal"/>
    <w:qFormat/>
    <w:rsid w:val="00DB006C"/>
    <w:p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HeadingEmerald">
    <w:name w:val="Box Heading Emerald"/>
    <w:basedOn w:val="Heading3"/>
    <w:qFormat/>
    <w:rsid w:val="00DB006C"/>
    <w:p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HeadingGreen">
    <w:name w:val="Box Heading Green"/>
    <w:basedOn w:val="BoxHeading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TextGreen">
    <w:name w:val="Box Text Green"/>
    <w:basedOn w:val="Boxtext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BulletGreen">
    <w:name w:val="Box Bullet Green"/>
    <w:basedOn w:val="BoxBullet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headingNavy">
    <w:name w:val="Box heading Navy"/>
    <w:basedOn w:val="BoxHeading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rPr>
      <w:color w:val="000000" w:themeColor="text1"/>
    </w:rPr>
  </w:style>
  <w:style w:type="paragraph" w:customStyle="1" w:styleId="BoxtextNavy">
    <w:name w:val="Box text Navy"/>
    <w:basedOn w:val="Boxtext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style>
  <w:style w:type="paragraph" w:customStyle="1" w:styleId="BoxBulletNavy">
    <w:name w:val="Box Bullet Navy"/>
    <w:basedOn w:val="BoxBullet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style>
  <w:style w:type="paragraph" w:customStyle="1" w:styleId="Boxheadingpink">
    <w:name w:val="Box heading pink"/>
    <w:basedOn w:val="BoxHeadingGreen"/>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textpink">
    <w:name w:val="Box text pink"/>
    <w:basedOn w:val="BoxtextEmerald"/>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Bulletpink">
    <w:name w:val="Box Bullet pink"/>
    <w:basedOn w:val="BoxBulletNavy"/>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HeadingReversed">
    <w:name w:val="Box Heading Reversed"/>
    <w:basedOn w:val="BoxHeadingEmerald"/>
    <w:qFormat/>
    <w:rsid w:val="00BF1A21"/>
    <w:pPr>
      <w:shd w:val="clear" w:color="auto" w:fill="033636" w:themeFill="text2"/>
    </w:pPr>
    <w:rPr>
      <w:color w:val="FFFFFF" w:themeColor="background1"/>
    </w:rPr>
  </w:style>
  <w:style w:type="paragraph" w:customStyle="1" w:styleId="Boxreversedbullet">
    <w:name w:val="Box reversed bullet"/>
    <w:basedOn w:val="BoxBulletpink"/>
    <w:qFormat/>
    <w:rsid w:val="00BF1A21"/>
    <w:pPr>
      <w:pBdr>
        <w:top w:val="single" w:sz="8" w:space="1" w:color="033636" w:themeColor="text2"/>
        <w:left w:val="single" w:sz="8" w:space="4" w:color="033636" w:themeColor="text2"/>
        <w:bottom w:val="single" w:sz="8" w:space="1" w:color="033636" w:themeColor="text2"/>
        <w:right w:val="single" w:sz="8" w:space="4" w:color="033636" w:themeColor="text2"/>
      </w:pBdr>
      <w:shd w:val="clear" w:color="auto" w:fill="033636" w:themeFill="text2"/>
    </w:pPr>
    <w:rPr>
      <w:color w:val="FFFFFF" w:themeColor="background1"/>
    </w:rPr>
  </w:style>
  <w:style w:type="paragraph" w:customStyle="1" w:styleId="Boxtextreversed">
    <w:name w:val="Box text reversed"/>
    <w:basedOn w:val="BoxtextEmerald"/>
    <w:qFormat/>
    <w:rsid w:val="00BF1A21"/>
    <w:pPr>
      <w:shd w:val="clear" w:color="auto" w:fill="033636" w:themeFill="text2"/>
    </w:pPr>
    <w:rPr>
      <w:color w:val="FFFFFF" w:themeColor="background1"/>
    </w:rPr>
  </w:style>
  <w:style w:type="paragraph" w:styleId="TOCHeading">
    <w:name w:val="TOC Heading"/>
    <w:basedOn w:val="Heading1"/>
    <w:next w:val="Normal"/>
    <w:uiPriority w:val="39"/>
    <w:unhideWhenUsed/>
    <w:qFormat/>
    <w:rsid w:val="00F40769"/>
    <w:pPr>
      <w:pBdr>
        <w:bottom w:val="single" w:sz="12" w:space="1" w:color="00DCA1" w:themeColor="background2"/>
      </w:pBdr>
      <w:spacing w:before="480" w:after="0"/>
      <w:outlineLvl w:val="9"/>
    </w:pPr>
    <w:rPr>
      <w:rFonts w:asciiTheme="majorHAnsi" w:hAnsiTheme="majorHAnsi" w:cstheme="majorBidi"/>
      <w:kern w:val="0"/>
      <w:szCs w:val="28"/>
      <w:lang w:val="en-US"/>
      <w14:ligatures w14:val="none"/>
    </w:rPr>
  </w:style>
  <w:style w:type="paragraph" w:styleId="TOC1">
    <w:name w:val="toc 1"/>
    <w:basedOn w:val="Normal"/>
    <w:next w:val="Normal"/>
    <w:autoRedefine/>
    <w:uiPriority w:val="39"/>
    <w:unhideWhenUsed/>
    <w:rsid w:val="00F40769"/>
    <w:pPr>
      <w:spacing w:after="0"/>
    </w:pPr>
    <w:rPr>
      <w:rFonts w:asciiTheme="minorHAnsi" w:hAnsiTheme="minorHAnsi" w:cstheme="minorHAnsi"/>
      <w:b/>
      <w:bCs/>
      <w:iCs/>
    </w:rPr>
  </w:style>
  <w:style w:type="paragraph" w:styleId="TOC2">
    <w:name w:val="toc 2"/>
    <w:basedOn w:val="Normal"/>
    <w:next w:val="Normal"/>
    <w:autoRedefine/>
    <w:uiPriority w:val="39"/>
    <w:unhideWhenUsed/>
    <w:rsid w:val="00F40769"/>
    <w:pPr>
      <w:spacing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F40769"/>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F40769"/>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40769"/>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40769"/>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40769"/>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40769"/>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40769"/>
    <w:pPr>
      <w:spacing w:before="0" w:after="0"/>
      <w:ind w:left="1920"/>
    </w:pPr>
    <w:rPr>
      <w:rFonts w:asciiTheme="minorHAnsi" w:hAnsiTheme="minorHAnsi" w:cstheme="minorHAnsi"/>
      <w:sz w:val="20"/>
      <w:szCs w:val="20"/>
    </w:rPr>
  </w:style>
  <w:style w:type="paragraph" w:styleId="TableofFigures">
    <w:name w:val="table of figures"/>
    <w:basedOn w:val="Normal"/>
    <w:next w:val="Normal"/>
    <w:uiPriority w:val="99"/>
    <w:unhideWhenUsed/>
    <w:rsid w:val="00F40769"/>
    <w:pPr>
      <w:spacing w:after="0"/>
    </w:pPr>
  </w:style>
  <w:style w:type="paragraph" w:styleId="TOAHeading">
    <w:name w:val="toa heading"/>
    <w:basedOn w:val="Normal"/>
    <w:next w:val="Normal"/>
    <w:uiPriority w:val="99"/>
    <w:semiHidden/>
    <w:unhideWhenUsed/>
    <w:rsid w:val="00F40769"/>
    <w:rPr>
      <w:rFonts w:asciiTheme="majorHAnsi" w:eastAsiaTheme="majorEastAsia" w:hAnsiTheme="majorHAnsi" w:cstheme="majorBidi"/>
      <w:b/>
      <w:bCs/>
    </w:rPr>
  </w:style>
  <w:style w:type="paragraph" w:customStyle="1" w:styleId="Footerpagenumber">
    <w:name w:val="Footer_page number"/>
    <w:basedOn w:val="Footer"/>
    <w:qFormat/>
    <w:rsid w:val="004B339D"/>
    <w:pPr>
      <w:tabs>
        <w:tab w:val="clear" w:pos="4513"/>
        <w:tab w:val="clear" w:pos="9026"/>
        <w:tab w:val="right" w:pos="9498"/>
      </w:tabs>
    </w:pPr>
    <w:rPr>
      <w:color w:val="FFFFFF" w:themeColor="background1"/>
    </w:rPr>
  </w:style>
  <w:style w:type="paragraph" w:customStyle="1" w:styleId="Bullet">
    <w:name w:val="Bullet"/>
    <w:basedOn w:val="Normal"/>
    <w:qFormat/>
    <w:rsid w:val="00AD7FD7"/>
    <w:pPr>
      <w:numPr>
        <w:numId w:val="7"/>
      </w:numPr>
      <w:ind w:left="567" w:hanging="567"/>
      <w:contextualSpacing/>
    </w:pPr>
    <w:rPr>
      <w:rFonts w:eastAsia="Times New Roman" w:cs="Times New Roman"/>
      <w:kern w:val="0"/>
      <w:sz w:val="20"/>
      <w:szCs w:val="20"/>
      <w:lang w:eastAsia="en-AU"/>
      <w14:ligatures w14:val="none"/>
    </w:rPr>
  </w:style>
  <w:style w:type="paragraph" w:customStyle="1" w:styleId="CDCBullet">
    <w:name w:val="CDC_Bullet"/>
    <w:basedOn w:val="Normal"/>
    <w:rsid w:val="00AD7FD7"/>
    <w:pPr>
      <w:contextualSpacing/>
    </w:pPr>
    <w:rPr>
      <w:rFonts w:eastAsia="Times New Roman" w:cs="Times New Roman"/>
      <w:kern w:val="0"/>
      <w:sz w:val="20"/>
      <w:szCs w:val="20"/>
      <w:lang w:eastAsia="en-AU"/>
      <w14:ligatures w14:val="none"/>
    </w:rPr>
  </w:style>
  <w:style w:type="paragraph" w:customStyle="1" w:styleId="Tabletext-Indented">
    <w:name w:val="Table text-Indented"/>
    <w:basedOn w:val="Normal"/>
    <w:qFormat/>
    <w:rsid w:val="002E0E53"/>
    <w:pPr>
      <w:spacing w:before="0" w:after="0"/>
      <w:ind w:left="113"/>
    </w:pPr>
    <w:rPr>
      <w:rFonts w:eastAsia="Times New Roman" w:cs="Times New Roman"/>
      <w:kern w:val="0"/>
      <w:sz w:val="20"/>
      <w:szCs w:val="20"/>
      <w:lang w:eastAsia="en-AU"/>
      <w14:ligatures w14:val="none"/>
    </w:rPr>
  </w:style>
  <w:style w:type="paragraph" w:styleId="ListBullet2">
    <w:name w:val="List Bullet 2"/>
    <w:basedOn w:val="ListNumber2"/>
    <w:rsid w:val="001C3090"/>
    <w:pPr>
      <w:spacing w:before="60" w:after="60" w:line="240" w:lineRule="auto"/>
      <w:contextualSpacing w:val="0"/>
    </w:pPr>
    <w:rPr>
      <w:rFonts w:eastAsia="Times New Roman" w:cs="Times New Roman"/>
      <w:color w:val="000000" w:themeColor="text1"/>
      <w:kern w:val="0"/>
      <w:sz w:val="20"/>
      <w14:ligatures w14:val="none"/>
    </w:rPr>
  </w:style>
  <w:style w:type="paragraph" w:customStyle="1" w:styleId="Tabletextleft">
    <w:name w:val="Table text left"/>
    <w:autoRedefine/>
    <w:qFormat/>
    <w:locked/>
    <w:rsid w:val="001C3090"/>
    <w:pPr>
      <w:spacing w:before="60" w:after="60"/>
    </w:pPr>
    <w:rPr>
      <w:rFonts w:ascii="Arial" w:eastAsia="Times New Roman" w:hAnsi="Arial" w:cs="Times New Roman"/>
      <w:color w:val="000000" w:themeColor="text1"/>
      <w:kern w:val="0"/>
      <w:sz w:val="20"/>
      <w14:ligatures w14:val="none"/>
    </w:rPr>
  </w:style>
  <w:style w:type="paragraph" w:customStyle="1" w:styleId="Tablelistbullet">
    <w:name w:val="Table list bullet"/>
    <w:basedOn w:val="Tabletextleft"/>
    <w:qFormat/>
    <w:rsid w:val="001C3090"/>
    <w:pPr>
      <w:numPr>
        <w:numId w:val="8"/>
      </w:numPr>
      <w:ind w:left="438" w:hanging="425"/>
    </w:pPr>
    <w:rPr>
      <w:szCs w:val="20"/>
      <w:lang w:eastAsia="en-AU"/>
    </w:rPr>
  </w:style>
  <w:style w:type="table" w:customStyle="1" w:styleId="DepartmentofHealthtable">
    <w:name w:val="Department of Health table"/>
    <w:basedOn w:val="TableNormal"/>
    <w:uiPriority w:val="99"/>
    <w:rsid w:val="001C3090"/>
    <w:rPr>
      <w:rFonts w:eastAsia="Times New Roman" w:cs="Times New Roman"/>
      <w:color w:val="000000" w:themeColor="text1"/>
      <w:kern w:val="0"/>
      <w:sz w:val="20"/>
      <w:szCs w:val="20"/>
      <w:lang w:eastAsia="en-AU"/>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listbullet2">
    <w:name w:val="Table list bullet 2"/>
    <w:basedOn w:val="ListBullet2"/>
    <w:link w:val="Tablelistbullet2Char"/>
    <w:qFormat/>
    <w:rsid w:val="001C3090"/>
  </w:style>
  <w:style w:type="character" w:customStyle="1" w:styleId="Tablelistbullet2Char">
    <w:name w:val="Table list bullet 2 Char"/>
    <w:basedOn w:val="DefaultParagraphFont"/>
    <w:link w:val="Tablelistbullet2"/>
    <w:rsid w:val="001C3090"/>
    <w:rPr>
      <w:rFonts w:ascii="Arial" w:eastAsia="Times New Roman" w:hAnsi="Arial" w:cs="Times New Roman"/>
      <w:color w:val="000000" w:themeColor="text1"/>
      <w:kern w:val="0"/>
      <w:sz w:val="20"/>
      <w14:ligatures w14:val="none"/>
    </w:rPr>
  </w:style>
  <w:style w:type="paragraph" w:styleId="ListNumber2">
    <w:name w:val="List Number 2"/>
    <w:basedOn w:val="Normal"/>
    <w:uiPriority w:val="99"/>
    <w:semiHidden/>
    <w:unhideWhenUsed/>
    <w:rsid w:val="001C3090"/>
    <w:pPr>
      <w:ind w:left="644" w:hanging="360"/>
      <w:contextualSpacing/>
    </w:pPr>
  </w:style>
  <w:style w:type="numbering" w:customStyle="1" w:styleId="CurrentList2">
    <w:name w:val="Current List2"/>
    <w:uiPriority w:val="99"/>
    <w:rsid w:val="001C3090"/>
    <w:pPr>
      <w:numPr>
        <w:numId w:val="9"/>
      </w:numPr>
    </w:pPr>
  </w:style>
  <w:style w:type="paragraph" w:styleId="CommentText">
    <w:name w:val="annotation text"/>
    <w:basedOn w:val="Normal"/>
    <w:link w:val="CommentTextChar"/>
    <w:uiPriority w:val="99"/>
    <w:unhideWhenUsed/>
    <w:rsid w:val="001C3090"/>
    <w:pPr>
      <w:spacing w:after="160" w:line="240" w:lineRule="auto"/>
    </w:pPr>
    <w:rPr>
      <w:rFonts w:ascii="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qFormat/>
    <w:rsid w:val="001C3090"/>
    <w:rPr>
      <w:rFonts w:ascii="Times New Roman" w:hAnsi="Times New Roman" w:cs="Times New Roman"/>
      <w:kern w:val="0"/>
      <w:sz w:val="20"/>
      <w:szCs w:val="20"/>
      <w14:ligatures w14:val="none"/>
    </w:rPr>
  </w:style>
  <w:style w:type="character" w:styleId="CommentReference">
    <w:name w:val="annotation reference"/>
    <w:basedOn w:val="DefaultParagraphFont"/>
    <w:uiPriority w:val="99"/>
    <w:unhideWhenUsed/>
    <w:rsid w:val="001C3090"/>
    <w:rPr>
      <w:sz w:val="16"/>
      <w:szCs w:val="16"/>
    </w:rPr>
  </w:style>
  <w:style w:type="character" w:styleId="Mention">
    <w:name w:val="Mention"/>
    <w:basedOn w:val="DefaultParagraphFont"/>
    <w:uiPriority w:val="99"/>
    <w:unhideWhenUsed/>
    <w:rsid w:val="001C3090"/>
    <w:rPr>
      <w:color w:val="2B579A"/>
      <w:shd w:val="clear" w:color="auto" w:fill="E1DFDD"/>
    </w:rPr>
  </w:style>
  <w:style w:type="table" w:styleId="GridTable4-Accent1">
    <w:name w:val="Grid Table 4 Accent 1"/>
    <w:basedOn w:val="TableNormal"/>
    <w:uiPriority w:val="49"/>
    <w:rsid w:val="001C3090"/>
    <w:rPr>
      <w:rFonts w:eastAsia="Times New Roman" w:cs="Times New Roman"/>
      <w:kern w:val="0"/>
      <w:sz w:val="20"/>
      <w:szCs w:val="20"/>
      <w:lang w:eastAsia="en-AU"/>
      <w14:ligatures w14:val="none"/>
    </w:rPr>
    <w:tblPr>
      <w:tblStyleRowBandSize w:val="1"/>
      <w:tblStyleColBandSize w:val="1"/>
      <w:tblBorders>
        <w:top w:val="single" w:sz="4" w:space="0" w:color="397DF4" w:themeColor="accent1" w:themeTint="99"/>
        <w:left w:val="single" w:sz="4" w:space="0" w:color="397DF4" w:themeColor="accent1" w:themeTint="99"/>
        <w:bottom w:val="single" w:sz="4" w:space="0" w:color="397DF4" w:themeColor="accent1" w:themeTint="99"/>
        <w:right w:val="single" w:sz="4" w:space="0" w:color="397DF4" w:themeColor="accent1" w:themeTint="99"/>
        <w:insideH w:val="single" w:sz="4" w:space="0" w:color="397DF4" w:themeColor="accent1" w:themeTint="99"/>
        <w:insideV w:val="single" w:sz="4" w:space="0" w:color="397DF4" w:themeColor="accent1" w:themeTint="99"/>
      </w:tblBorders>
    </w:tblPr>
    <w:tblStylePr w:type="firstRow">
      <w:rPr>
        <w:b/>
        <w:bCs/>
        <w:color w:val="FFFFFF" w:themeColor="background1"/>
      </w:rPr>
      <w:tblPr/>
      <w:tcPr>
        <w:tcBorders>
          <w:top w:val="single" w:sz="4" w:space="0" w:color="083E9C" w:themeColor="accent1"/>
          <w:left w:val="single" w:sz="4" w:space="0" w:color="083E9C" w:themeColor="accent1"/>
          <w:bottom w:val="single" w:sz="4" w:space="0" w:color="083E9C" w:themeColor="accent1"/>
          <w:right w:val="single" w:sz="4" w:space="0" w:color="083E9C" w:themeColor="accent1"/>
          <w:insideH w:val="nil"/>
          <w:insideV w:val="nil"/>
        </w:tcBorders>
        <w:shd w:val="clear" w:color="auto" w:fill="083E9C" w:themeFill="accent1"/>
      </w:tcPr>
    </w:tblStylePr>
    <w:tblStylePr w:type="lastRow">
      <w:rPr>
        <w:b/>
        <w:bCs/>
      </w:rPr>
      <w:tblPr/>
      <w:tcPr>
        <w:tcBorders>
          <w:top w:val="double" w:sz="4" w:space="0" w:color="083E9C" w:themeColor="accent1"/>
        </w:tcBorders>
      </w:tcPr>
    </w:tblStylePr>
    <w:tblStylePr w:type="firstCol">
      <w:rPr>
        <w:b/>
        <w:bCs/>
      </w:rPr>
    </w:tblStylePr>
    <w:tblStylePr w:type="lastCol">
      <w:rPr>
        <w:b/>
        <w:bCs/>
      </w:rPr>
    </w:tblStylePr>
    <w:tblStylePr w:type="band1Vert">
      <w:tblPr/>
      <w:tcPr>
        <w:shd w:val="clear" w:color="auto" w:fill="BDD3FB" w:themeFill="accent1" w:themeFillTint="33"/>
      </w:tcPr>
    </w:tblStylePr>
    <w:tblStylePr w:type="band1Horz">
      <w:tblPr/>
      <w:tcPr>
        <w:shd w:val="clear" w:color="auto" w:fill="BDD3FB" w:themeFill="accent1" w:themeFillTint="33"/>
      </w:tcPr>
    </w:tblStylePr>
  </w:style>
  <w:style w:type="paragraph" w:styleId="CommentSubject">
    <w:name w:val="annotation subject"/>
    <w:basedOn w:val="CommentText"/>
    <w:next w:val="CommentText"/>
    <w:link w:val="CommentSubjectChar"/>
    <w:uiPriority w:val="99"/>
    <w:semiHidden/>
    <w:unhideWhenUsed/>
    <w:rsid w:val="00FB0F16"/>
    <w:pPr>
      <w:spacing w:after="120"/>
    </w:pPr>
    <w:rPr>
      <w:rFonts w:ascii="Arial" w:hAnsi="Arial"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FB0F16"/>
    <w:rPr>
      <w:rFonts w:ascii="Arial" w:hAnsi="Arial" w:cs="Times New Roman"/>
      <w:b/>
      <w:bCs/>
      <w:kern w:val="0"/>
      <w:sz w:val="20"/>
      <w:szCs w:val="20"/>
      <w14:ligatures w14:val="none"/>
    </w:rPr>
  </w:style>
  <w:style w:type="paragraph" w:styleId="FootnoteText">
    <w:name w:val="footnote text"/>
    <w:basedOn w:val="Normal"/>
    <w:link w:val="FootnoteTextChar"/>
    <w:uiPriority w:val="99"/>
    <w:rsid w:val="007921AB"/>
    <w:rPr>
      <w:rFonts w:asciiTheme="minorHAnsi" w:eastAsia="Times New Roman" w:hAnsiTheme="minorHAnsi" w:cs="Times New Roman"/>
      <w:kern w:val="0"/>
      <w:sz w:val="20"/>
      <w:szCs w:val="20"/>
      <w14:ligatures w14:val="none"/>
    </w:rPr>
  </w:style>
  <w:style w:type="character" w:customStyle="1" w:styleId="FootnoteTextChar">
    <w:name w:val="Footnote Text Char"/>
    <w:basedOn w:val="DefaultParagraphFont"/>
    <w:link w:val="FootnoteText"/>
    <w:uiPriority w:val="99"/>
    <w:rsid w:val="007921AB"/>
    <w:rPr>
      <w:rFonts w:eastAsia="Times New Roman" w:cs="Times New Roman"/>
      <w:kern w:val="0"/>
      <w:sz w:val="20"/>
      <w:szCs w:val="20"/>
      <w14:ligatures w14:val="none"/>
    </w:rPr>
  </w:style>
  <w:style w:type="character" w:styleId="FootnoteReference">
    <w:name w:val="footnote reference"/>
    <w:basedOn w:val="DefaultParagraphFont"/>
    <w:uiPriority w:val="99"/>
    <w:rsid w:val="007921AB"/>
    <w:rPr>
      <w:vertAlign w:val="superscript"/>
    </w:rPr>
  </w:style>
  <w:style w:type="paragraph" w:styleId="BodyText">
    <w:name w:val="Body Text"/>
    <w:basedOn w:val="Normal"/>
    <w:link w:val="BodyTextChar"/>
    <w:uiPriority w:val="1"/>
    <w:qFormat/>
    <w:rsid w:val="001A2922"/>
    <w:pPr>
      <w:widowControl w:val="0"/>
      <w:spacing w:before="0" w:after="0"/>
    </w:pPr>
    <w:rPr>
      <w:rFonts w:asciiTheme="minorHAnsi" w:eastAsia="Calibri" w:hAnsiTheme="minorHAnsi" w:cs="Calibri"/>
      <w:kern w:val="0"/>
      <w:lang w:eastAsia="en-AU" w:bidi="en-AU"/>
      <w14:ligatures w14:val="none"/>
    </w:rPr>
  </w:style>
  <w:style w:type="character" w:customStyle="1" w:styleId="BodyTextChar">
    <w:name w:val="Body Text Char"/>
    <w:basedOn w:val="DefaultParagraphFont"/>
    <w:link w:val="BodyText"/>
    <w:uiPriority w:val="1"/>
    <w:rsid w:val="001A2922"/>
    <w:rPr>
      <w:rFonts w:eastAsia="Calibri" w:cs="Calibri"/>
      <w:kern w:val="0"/>
      <w:lang w:eastAsia="en-AU" w:bidi="en-AU"/>
      <w14:ligatures w14:val="none"/>
    </w:rPr>
  </w:style>
  <w:style w:type="paragraph" w:customStyle="1" w:styleId="Style1">
    <w:name w:val="Style1"/>
    <w:basedOn w:val="Normal"/>
    <w:uiPriority w:val="1"/>
    <w:qFormat/>
    <w:rsid w:val="00466395"/>
    <w:rPr>
      <w:rFonts w:asciiTheme="minorHAnsi" w:eastAsia="Times New Roman" w:hAnsiTheme="minorHAnsi" w:cs="Times New Roman"/>
      <w:b/>
      <w:bCs/>
      <w:kern w:val="0"/>
      <w:sz w:val="22"/>
      <w:szCs w:val="22"/>
      <w14:ligatures w14:val="none"/>
    </w:rPr>
  </w:style>
  <w:style w:type="paragraph" w:customStyle="1" w:styleId="shadedbullets">
    <w:name w:val="shaded bullets"/>
    <w:basedOn w:val="ListParagraph"/>
    <w:uiPriority w:val="1"/>
    <w:qFormat/>
    <w:rsid w:val="00466395"/>
    <w:pPr>
      <w:numPr>
        <w:numId w:val="25"/>
      </w:numPr>
      <w:ind w:left="567" w:hanging="567"/>
    </w:pPr>
    <w:rPr>
      <w:rFonts w:asciiTheme="minorHAnsi" w:eastAsia="Times New Roman" w:hAnsiTheme="minorHAnsi" w:cs="Times New Roman"/>
      <w:kern w:val="0"/>
      <w:sz w:val="22"/>
      <w:szCs w:val="22"/>
      <w14:ligatures w14:val="none"/>
    </w:rPr>
  </w:style>
  <w:style w:type="character" w:customStyle="1" w:styleId="normaltextrun">
    <w:name w:val="normaltextrun"/>
    <w:basedOn w:val="DefaultParagraphFont"/>
    <w:rsid w:val="00825B84"/>
  </w:style>
  <w:style w:type="character" w:customStyle="1" w:styleId="eop">
    <w:name w:val="eop"/>
    <w:basedOn w:val="DefaultParagraphFont"/>
    <w:rsid w:val="00825B84"/>
  </w:style>
  <w:style w:type="character" w:styleId="FollowedHyperlink">
    <w:name w:val="FollowedHyperlink"/>
    <w:basedOn w:val="DefaultParagraphFont"/>
    <w:uiPriority w:val="99"/>
    <w:semiHidden/>
    <w:unhideWhenUsed/>
    <w:rsid w:val="00464181"/>
    <w:rPr>
      <w:color w:val="6D6D70" w:themeColor="followedHyperlink"/>
      <w:u w:val="single"/>
    </w:rPr>
  </w:style>
  <w:style w:type="paragraph" w:styleId="Revision">
    <w:name w:val="Revision"/>
    <w:hidden/>
    <w:uiPriority w:val="99"/>
    <w:semiHidden/>
    <w:rsid w:val="003814C6"/>
    <w:rPr>
      <w:rFonts w:ascii="Arial" w:hAnsi="Arial"/>
    </w:rPr>
  </w:style>
  <w:style w:type="paragraph" w:customStyle="1" w:styleId="StyleAfter8pt">
    <w:name w:val="Style After:  8 pt"/>
    <w:basedOn w:val="Normal"/>
    <w:rsid w:val="007B687B"/>
    <w:rPr>
      <w:rFonts w:eastAsia="Times New Roman" w:cs="Times New Roman"/>
      <w:szCs w:val="20"/>
    </w:rPr>
  </w:style>
  <w:style w:type="paragraph" w:customStyle="1" w:styleId="Style10ptBoldBefore0ptAfter0ptLinespacingsing">
    <w:name w:val="Style 10 pt Bold Before:  0 pt After:  0 pt Line spacing:  sing..."/>
    <w:basedOn w:val="Normal"/>
    <w:rsid w:val="00391683"/>
    <w:pPr>
      <w:spacing w:line="240" w:lineRule="auto"/>
    </w:pPr>
    <w:rPr>
      <w:rFonts w:eastAsia="Times New Roman" w:cs="Times New Roman"/>
      <w:b/>
      <w:bCs/>
      <w:kern w:val="0"/>
      <w:sz w:val="20"/>
      <w:szCs w:val="20"/>
    </w:rPr>
  </w:style>
  <w:style w:type="paragraph" w:customStyle="1" w:styleId="StyleListParagraphBulletpointBulletsCVtextDotptF5ListPa">
    <w:name w:val="Style List ParagraphBullet pointBulletsCV textDot ptF5 List Pa..."/>
    <w:basedOn w:val="ListParagraph"/>
    <w:rsid w:val="00E60083"/>
    <w:pPr>
      <w:spacing w:line="240" w:lineRule="auto"/>
    </w:pPr>
    <w:rPr>
      <w:rFonts w:eastAsia="Times New Roman" w:cs="Times New Roman"/>
      <w:szCs w:val="20"/>
    </w:rPr>
  </w:style>
  <w:style w:type="paragraph" w:customStyle="1" w:styleId="Style10ptBoldLinespacingsingle">
    <w:name w:val="Style 10 pt Bold Line spacing:  single"/>
    <w:basedOn w:val="Normal"/>
    <w:rsid w:val="00E67A7C"/>
    <w:pPr>
      <w:spacing w:before="120" w:after="120" w:line="240" w:lineRule="auto"/>
    </w:pPr>
    <w:rPr>
      <w:rFonts w:eastAsia="Times New Roman" w:cs="Times New Roman"/>
      <w:b/>
      <w:bCs/>
      <w:kern w:val="0"/>
      <w:sz w:val="20"/>
      <w:szCs w:val="20"/>
    </w:rPr>
  </w:style>
  <w:style w:type="paragraph" w:customStyle="1" w:styleId="paragraph">
    <w:name w:val="paragraph"/>
    <w:basedOn w:val="Normal"/>
    <w:rsid w:val="00DC56AB"/>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scxw204715571">
    <w:name w:val="scxw204715571"/>
    <w:basedOn w:val="DefaultParagraphFont"/>
    <w:rsid w:val="007E1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23218">
      <w:bodyDiv w:val="1"/>
      <w:marLeft w:val="0"/>
      <w:marRight w:val="0"/>
      <w:marTop w:val="0"/>
      <w:marBottom w:val="0"/>
      <w:divBdr>
        <w:top w:val="none" w:sz="0" w:space="0" w:color="auto"/>
        <w:left w:val="none" w:sz="0" w:space="0" w:color="auto"/>
        <w:bottom w:val="none" w:sz="0" w:space="0" w:color="auto"/>
        <w:right w:val="none" w:sz="0" w:space="0" w:color="auto"/>
      </w:divBdr>
      <w:divsChild>
        <w:div w:id="40712822">
          <w:marLeft w:val="0"/>
          <w:marRight w:val="0"/>
          <w:marTop w:val="0"/>
          <w:marBottom w:val="0"/>
          <w:divBdr>
            <w:top w:val="none" w:sz="0" w:space="0" w:color="auto"/>
            <w:left w:val="none" w:sz="0" w:space="0" w:color="auto"/>
            <w:bottom w:val="none" w:sz="0" w:space="0" w:color="auto"/>
            <w:right w:val="none" w:sz="0" w:space="0" w:color="auto"/>
          </w:divBdr>
          <w:divsChild>
            <w:div w:id="1412970879">
              <w:marLeft w:val="0"/>
              <w:marRight w:val="0"/>
              <w:marTop w:val="0"/>
              <w:marBottom w:val="0"/>
              <w:divBdr>
                <w:top w:val="none" w:sz="0" w:space="0" w:color="auto"/>
                <w:left w:val="none" w:sz="0" w:space="0" w:color="auto"/>
                <w:bottom w:val="none" w:sz="0" w:space="0" w:color="auto"/>
                <w:right w:val="none" w:sz="0" w:space="0" w:color="auto"/>
              </w:divBdr>
            </w:div>
            <w:div w:id="1125078270">
              <w:marLeft w:val="0"/>
              <w:marRight w:val="0"/>
              <w:marTop w:val="0"/>
              <w:marBottom w:val="0"/>
              <w:divBdr>
                <w:top w:val="none" w:sz="0" w:space="0" w:color="auto"/>
                <w:left w:val="none" w:sz="0" w:space="0" w:color="auto"/>
                <w:bottom w:val="none" w:sz="0" w:space="0" w:color="auto"/>
                <w:right w:val="none" w:sz="0" w:space="0" w:color="auto"/>
              </w:divBdr>
            </w:div>
            <w:div w:id="1436706727">
              <w:marLeft w:val="0"/>
              <w:marRight w:val="0"/>
              <w:marTop w:val="0"/>
              <w:marBottom w:val="0"/>
              <w:divBdr>
                <w:top w:val="none" w:sz="0" w:space="0" w:color="auto"/>
                <w:left w:val="none" w:sz="0" w:space="0" w:color="auto"/>
                <w:bottom w:val="none" w:sz="0" w:space="0" w:color="auto"/>
                <w:right w:val="none" w:sz="0" w:space="0" w:color="auto"/>
              </w:divBdr>
            </w:div>
            <w:div w:id="352146816">
              <w:marLeft w:val="0"/>
              <w:marRight w:val="0"/>
              <w:marTop w:val="0"/>
              <w:marBottom w:val="0"/>
              <w:divBdr>
                <w:top w:val="none" w:sz="0" w:space="0" w:color="auto"/>
                <w:left w:val="none" w:sz="0" w:space="0" w:color="auto"/>
                <w:bottom w:val="none" w:sz="0" w:space="0" w:color="auto"/>
                <w:right w:val="none" w:sz="0" w:space="0" w:color="auto"/>
              </w:divBdr>
            </w:div>
            <w:div w:id="889267358">
              <w:marLeft w:val="0"/>
              <w:marRight w:val="0"/>
              <w:marTop w:val="0"/>
              <w:marBottom w:val="0"/>
              <w:divBdr>
                <w:top w:val="none" w:sz="0" w:space="0" w:color="auto"/>
                <w:left w:val="none" w:sz="0" w:space="0" w:color="auto"/>
                <w:bottom w:val="none" w:sz="0" w:space="0" w:color="auto"/>
                <w:right w:val="none" w:sz="0" w:space="0" w:color="auto"/>
              </w:divBdr>
            </w:div>
            <w:div w:id="1232421853">
              <w:marLeft w:val="0"/>
              <w:marRight w:val="0"/>
              <w:marTop w:val="0"/>
              <w:marBottom w:val="0"/>
              <w:divBdr>
                <w:top w:val="none" w:sz="0" w:space="0" w:color="auto"/>
                <w:left w:val="none" w:sz="0" w:space="0" w:color="auto"/>
                <w:bottom w:val="none" w:sz="0" w:space="0" w:color="auto"/>
                <w:right w:val="none" w:sz="0" w:space="0" w:color="auto"/>
              </w:divBdr>
            </w:div>
            <w:div w:id="985665669">
              <w:marLeft w:val="0"/>
              <w:marRight w:val="0"/>
              <w:marTop w:val="0"/>
              <w:marBottom w:val="0"/>
              <w:divBdr>
                <w:top w:val="none" w:sz="0" w:space="0" w:color="auto"/>
                <w:left w:val="none" w:sz="0" w:space="0" w:color="auto"/>
                <w:bottom w:val="none" w:sz="0" w:space="0" w:color="auto"/>
                <w:right w:val="none" w:sz="0" w:space="0" w:color="auto"/>
              </w:divBdr>
            </w:div>
            <w:div w:id="1383477927">
              <w:marLeft w:val="0"/>
              <w:marRight w:val="0"/>
              <w:marTop w:val="0"/>
              <w:marBottom w:val="0"/>
              <w:divBdr>
                <w:top w:val="none" w:sz="0" w:space="0" w:color="auto"/>
                <w:left w:val="none" w:sz="0" w:space="0" w:color="auto"/>
                <w:bottom w:val="none" w:sz="0" w:space="0" w:color="auto"/>
                <w:right w:val="none" w:sz="0" w:space="0" w:color="auto"/>
              </w:divBdr>
            </w:div>
            <w:div w:id="91052302">
              <w:marLeft w:val="0"/>
              <w:marRight w:val="0"/>
              <w:marTop w:val="0"/>
              <w:marBottom w:val="0"/>
              <w:divBdr>
                <w:top w:val="none" w:sz="0" w:space="0" w:color="auto"/>
                <w:left w:val="none" w:sz="0" w:space="0" w:color="auto"/>
                <w:bottom w:val="none" w:sz="0" w:space="0" w:color="auto"/>
                <w:right w:val="none" w:sz="0" w:space="0" w:color="auto"/>
              </w:divBdr>
            </w:div>
            <w:div w:id="271599004">
              <w:marLeft w:val="0"/>
              <w:marRight w:val="0"/>
              <w:marTop w:val="0"/>
              <w:marBottom w:val="0"/>
              <w:divBdr>
                <w:top w:val="none" w:sz="0" w:space="0" w:color="auto"/>
                <w:left w:val="none" w:sz="0" w:space="0" w:color="auto"/>
                <w:bottom w:val="none" w:sz="0" w:space="0" w:color="auto"/>
                <w:right w:val="none" w:sz="0" w:space="0" w:color="auto"/>
              </w:divBdr>
            </w:div>
            <w:div w:id="332102624">
              <w:marLeft w:val="0"/>
              <w:marRight w:val="0"/>
              <w:marTop w:val="0"/>
              <w:marBottom w:val="0"/>
              <w:divBdr>
                <w:top w:val="none" w:sz="0" w:space="0" w:color="auto"/>
                <w:left w:val="none" w:sz="0" w:space="0" w:color="auto"/>
                <w:bottom w:val="none" w:sz="0" w:space="0" w:color="auto"/>
                <w:right w:val="none" w:sz="0" w:space="0" w:color="auto"/>
              </w:divBdr>
            </w:div>
            <w:div w:id="1970087092">
              <w:marLeft w:val="0"/>
              <w:marRight w:val="0"/>
              <w:marTop w:val="0"/>
              <w:marBottom w:val="0"/>
              <w:divBdr>
                <w:top w:val="none" w:sz="0" w:space="0" w:color="auto"/>
                <w:left w:val="none" w:sz="0" w:space="0" w:color="auto"/>
                <w:bottom w:val="none" w:sz="0" w:space="0" w:color="auto"/>
                <w:right w:val="none" w:sz="0" w:space="0" w:color="auto"/>
              </w:divBdr>
            </w:div>
            <w:div w:id="1920744943">
              <w:marLeft w:val="0"/>
              <w:marRight w:val="0"/>
              <w:marTop w:val="0"/>
              <w:marBottom w:val="0"/>
              <w:divBdr>
                <w:top w:val="none" w:sz="0" w:space="0" w:color="auto"/>
                <w:left w:val="none" w:sz="0" w:space="0" w:color="auto"/>
                <w:bottom w:val="none" w:sz="0" w:space="0" w:color="auto"/>
                <w:right w:val="none" w:sz="0" w:space="0" w:color="auto"/>
              </w:divBdr>
            </w:div>
          </w:divsChild>
        </w:div>
        <w:div w:id="1705055004">
          <w:marLeft w:val="0"/>
          <w:marRight w:val="0"/>
          <w:marTop w:val="0"/>
          <w:marBottom w:val="0"/>
          <w:divBdr>
            <w:top w:val="none" w:sz="0" w:space="0" w:color="auto"/>
            <w:left w:val="none" w:sz="0" w:space="0" w:color="auto"/>
            <w:bottom w:val="none" w:sz="0" w:space="0" w:color="auto"/>
            <w:right w:val="none" w:sz="0" w:space="0" w:color="auto"/>
          </w:divBdr>
          <w:divsChild>
            <w:div w:id="871915648">
              <w:marLeft w:val="0"/>
              <w:marRight w:val="0"/>
              <w:marTop w:val="0"/>
              <w:marBottom w:val="0"/>
              <w:divBdr>
                <w:top w:val="none" w:sz="0" w:space="0" w:color="auto"/>
                <w:left w:val="none" w:sz="0" w:space="0" w:color="auto"/>
                <w:bottom w:val="none" w:sz="0" w:space="0" w:color="auto"/>
                <w:right w:val="none" w:sz="0" w:space="0" w:color="auto"/>
              </w:divBdr>
            </w:div>
            <w:div w:id="1007559030">
              <w:marLeft w:val="0"/>
              <w:marRight w:val="0"/>
              <w:marTop w:val="0"/>
              <w:marBottom w:val="0"/>
              <w:divBdr>
                <w:top w:val="none" w:sz="0" w:space="0" w:color="auto"/>
                <w:left w:val="none" w:sz="0" w:space="0" w:color="auto"/>
                <w:bottom w:val="none" w:sz="0" w:space="0" w:color="auto"/>
                <w:right w:val="none" w:sz="0" w:space="0" w:color="auto"/>
              </w:divBdr>
            </w:div>
            <w:div w:id="2034989433">
              <w:marLeft w:val="0"/>
              <w:marRight w:val="0"/>
              <w:marTop w:val="0"/>
              <w:marBottom w:val="0"/>
              <w:divBdr>
                <w:top w:val="none" w:sz="0" w:space="0" w:color="auto"/>
                <w:left w:val="none" w:sz="0" w:space="0" w:color="auto"/>
                <w:bottom w:val="none" w:sz="0" w:space="0" w:color="auto"/>
                <w:right w:val="none" w:sz="0" w:space="0" w:color="auto"/>
              </w:divBdr>
            </w:div>
            <w:div w:id="1255898414">
              <w:marLeft w:val="0"/>
              <w:marRight w:val="0"/>
              <w:marTop w:val="0"/>
              <w:marBottom w:val="0"/>
              <w:divBdr>
                <w:top w:val="none" w:sz="0" w:space="0" w:color="auto"/>
                <w:left w:val="none" w:sz="0" w:space="0" w:color="auto"/>
                <w:bottom w:val="none" w:sz="0" w:space="0" w:color="auto"/>
                <w:right w:val="none" w:sz="0" w:space="0" w:color="auto"/>
              </w:divBdr>
            </w:div>
            <w:div w:id="805245405">
              <w:marLeft w:val="0"/>
              <w:marRight w:val="0"/>
              <w:marTop w:val="0"/>
              <w:marBottom w:val="0"/>
              <w:divBdr>
                <w:top w:val="none" w:sz="0" w:space="0" w:color="auto"/>
                <w:left w:val="none" w:sz="0" w:space="0" w:color="auto"/>
                <w:bottom w:val="none" w:sz="0" w:space="0" w:color="auto"/>
                <w:right w:val="none" w:sz="0" w:space="0" w:color="auto"/>
              </w:divBdr>
            </w:div>
            <w:div w:id="2024088234">
              <w:marLeft w:val="0"/>
              <w:marRight w:val="0"/>
              <w:marTop w:val="0"/>
              <w:marBottom w:val="0"/>
              <w:divBdr>
                <w:top w:val="none" w:sz="0" w:space="0" w:color="auto"/>
                <w:left w:val="none" w:sz="0" w:space="0" w:color="auto"/>
                <w:bottom w:val="none" w:sz="0" w:space="0" w:color="auto"/>
                <w:right w:val="none" w:sz="0" w:space="0" w:color="auto"/>
              </w:divBdr>
            </w:div>
            <w:div w:id="8149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9262">
      <w:bodyDiv w:val="1"/>
      <w:marLeft w:val="0"/>
      <w:marRight w:val="0"/>
      <w:marTop w:val="0"/>
      <w:marBottom w:val="0"/>
      <w:divBdr>
        <w:top w:val="none" w:sz="0" w:space="0" w:color="auto"/>
        <w:left w:val="none" w:sz="0" w:space="0" w:color="auto"/>
        <w:bottom w:val="none" w:sz="0" w:space="0" w:color="auto"/>
        <w:right w:val="none" w:sz="0" w:space="0" w:color="auto"/>
      </w:divBdr>
      <w:divsChild>
        <w:div w:id="191773205">
          <w:marLeft w:val="0"/>
          <w:marRight w:val="0"/>
          <w:marTop w:val="0"/>
          <w:marBottom w:val="0"/>
          <w:divBdr>
            <w:top w:val="none" w:sz="0" w:space="0" w:color="auto"/>
            <w:left w:val="none" w:sz="0" w:space="0" w:color="auto"/>
            <w:bottom w:val="none" w:sz="0" w:space="0" w:color="auto"/>
            <w:right w:val="none" w:sz="0" w:space="0" w:color="auto"/>
          </w:divBdr>
        </w:div>
        <w:div w:id="1584684144">
          <w:marLeft w:val="0"/>
          <w:marRight w:val="0"/>
          <w:marTop w:val="0"/>
          <w:marBottom w:val="0"/>
          <w:divBdr>
            <w:top w:val="none" w:sz="0" w:space="0" w:color="auto"/>
            <w:left w:val="none" w:sz="0" w:space="0" w:color="auto"/>
            <w:bottom w:val="none" w:sz="0" w:space="0" w:color="auto"/>
            <w:right w:val="none" w:sz="0" w:space="0" w:color="auto"/>
          </w:divBdr>
        </w:div>
        <w:div w:id="1184897207">
          <w:marLeft w:val="0"/>
          <w:marRight w:val="0"/>
          <w:marTop w:val="0"/>
          <w:marBottom w:val="0"/>
          <w:divBdr>
            <w:top w:val="none" w:sz="0" w:space="0" w:color="auto"/>
            <w:left w:val="none" w:sz="0" w:space="0" w:color="auto"/>
            <w:bottom w:val="none" w:sz="0" w:space="0" w:color="auto"/>
            <w:right w:val="none" w:sz="0" w:space="0" w:color="auto"/>
          </w:divBdr>
        </w:div>
        <w:div w:id="1076053938">
          <w:marLeft w:val="0"/>
          <w:marRight w:val="0"/>
          <w:marTop w:val="0"/>
          <w:marBottom w:val="0"/>
          <w:divBdr>
            <w:top w:val="none" w:sz="0" w:space="0" w:color="auto"/>
            <w:left w:val="none" w:sz="0" w:space="0" w:color="auto"/>
            <w:bottom w:val="none" w:sz="0" w:space="0" w:color="auto"/>
            <w:right w:val="none" w:sz="0" w:space="0" w:color="auto"/>
          </w:divBdr>
        </w:div>
      </w:divsChild>
    </w:div>
    <w:div w:id="578565501">
      <w:bodyDiv w:val="1"/>
      <w:marLeft w:val="0"/>
      <w:marRight w:val="0"/>
      <w:marTop w:val="0"/>
      <w:marBottom w:val="0"/>
      <w:divBdr>
        <w:top w:val="none" w:sz="0" w:space="0" w:color="auto"/>
        <w:left w:val="none" w:sz="0" w:space="0" w:color="auto"/>
        <w:bottom w:val="none" w:sz="0" w:space="0" w:color="auto"/>
        <w:right w:val="none" w:sz="0" w:space="0" w:color="auto"/>
      </w:divBdr>
      <w:divsChild>
        <w:div w:id="677729150">
          <w:marLeft w:val="0"/>
          <w:marRight w:val="0"/>
          <w:marTop w:val="0"/>
          <w:marBottom w:val="0"/>
          <w:divBdr>
            <w:top w:val="none" w:sz="0" w:space="0" w:color="auto"/>
            <w:left w:val="none" w:sz="0" w:space="0" w:color="auto"/>
            <w:bottom w:val="none" w:sz="0" w:space="0" w:color="auto"/>
            <w:right w:val="none" w:sz="0" w:space="0" w:color="auto"/>
          </w:divBdr>
        </w:div>
        <w:div w:id="508375225">
          <w:marLeft w:val="0"/>
          <w:marRight w:val="0"/>
          <w:marTop w:val="0"/>
          <w:marBottom w:val="0"/>
          <w:divBdr>
            <w:top w:val="none" w:sz="0" w:space="0" w:color="auto"/>
            <w:left w:val="none" w:sz="0" w:space="0" w:color="auto"/>
            <w:bottom w:val="none" w:sz="0" w:space="0" w:color="auto"/>
            <w:right w:val="none" w:sz="0" w:space="0" w:color="auto"/>
          </w:divBdr>
        </w:div>
        <w:div w:id="2059280111">
          <w:marLeft w:val="0"/>
          <w:marRight w:val="0"/>
          <w:marTop w:val="0"/>
          <w:marBottom w:val="0"/>
          <w:divBdr>
            <w:top w:val="none" w:sz="0" w:space="0" w:color="auto"/>
            <w:left w:val="none" w:sz="0" w:space="0" w:color="auto"/>
            <w:bottom w:val="none" w:sz="0" w:space="0" w:color="auto"/>
            <w:right w:val="none" w:sz="0" w:space="0" w:color="auto"/>
          </w:divBdr>
        </w:div>
        <w:div w:id="30964825">
          <w:marLeft w:val="0"/>
          <w:marRight w:val="0"/>
          <w:marTop w:val="0"/>
          <w:marBottom w:val="0"/>
          <w:divBdr>
            <w:top w:val="none" w:sz="0" w:space="0" w:color="auto"/>
            <w:left w:val="none" w:sz="0" w:space="0" w:color="auto"/>
            <w:bottom w:val="none" w:sz="0" w:space="0" w:color="auto"/>
            <w:right w:val="none" w:sz="0" w:space="0" w:color="auto"/>
          </w:divBdr>
        </w:div>
        <w:div w:id="397942753">
          <w:marLeft w:val="0"/>
          <w:marRight w:val="0"/>
          <w:marTop w:val="0"/>
          <w:marBottom w:val="0"/>
          <w:divBdr>
            <w:top w:val="none" w:sz="0" w:space="0" w:color="auto"/>
            <w:left w:val="none" w:sz="0" w:space="0" w:color="auto"/>
            <w:bottom w:val="none" w:sz="0" w:space="0" w:color="auto"/>
            <w:right w:val="none" w:sz="0" w:space="0" w:color="auto"/>
          </w:divBdr>
        </w:div>
        <w:div w:id="491987778">
          <w:marLeft w:val="0"/>
          <w:marRight w:val="0"/>
          <w:marTop w:val="0"/>
          <w:marBottom w:val="0"/>
          <w:divBdr>
            <w:top w:val="none" w:sz="0" w:space="0" w:color="auto"/>
            <w:left w:val="none" w:sz="0" w:space="0" w:color="auto"/>
            <w:bottom w:val="none" w:sz="0" w:space="0" w:color="auto"/>
            <w:right w:val="none" w:sz="0" w:space="0" w:color="auto"/>
          </w:divBdr>
        </w:div>
      </w:divsChild>
    </w:div>
    <w:div w:id="762727811">
      <w:bodyDiv w:val="1"/>
      <w:marLeft w:val="0"/>
      <w:marRight w:val="0"/>
      <w:marTop w:val="0"/>
      <w:marBottom w:val="0"/>
      <w:divBdr>
        <w:top w:val="none" w:sz="0" w:space="0" w:color="auto"/>
        <w:left w:val="none" w:sz="0" w:space="0" w:color="auto"/>
        <w:bottom w:val="none" w:sz="0" w:space="0" w:color="auto"/>
        <w:right w:val="none" w:sz="0" w:space="0" w:color="auto"/>
      </w:divBdr>
    </w:div>
    <w:div w:id="893196282">
      <w:bodyDiv w:val="1"/>
      <w:marLeft w:val="0"/>
      <w:marRight w:val="0"/>
      <w:marTop w:val="0"/>
      <w:marBottom w:val="0"/>
      <w:divBdr>
        <w:top w:val="none" w:sz="0" w:space="0" w:color="auto"/>
        <w:left w:val="none" w:sz="0" w:space="0" w:color="auto"/>
        <w:bottom w:val="none" w:sz="0" w:space="0" w:color="auto"/>
        <w:right w:val="none" w:sz="0" w:space="0" w:color="auto"/>
      </w:divBdr>
    </w:div>
    <w:div w:id="948246459">
      <w:bodyDiv w:val="1"/>
      <w:marLeft w:val="0"/>
      <w:marRight w:val="0"/>
      <w:marTop w:val="0"/>
      <w:marBottom w:val="0"/>
      <w:divBdr>
        <w:top w:val="none" w:sz="0" w:space="0" w:color="auto"/>
        <w:left w:val="none" w:sz="0" w:space="0" w:color="auto"/>
        <w:bottom w:val="none" w:sz="0" w:space="0" w:color="auto"/>
        <w:right w:val="none" w:sz="0" w:space="0" w:color="auto"/>
      </w:divBdr>
    </w:div>
    <w:div w:id="1020741538">
      <w:bodyDiv w:val="1"/>
      <w:marLeft w:val="0"/>
      <w:marRight w:val="0"/>
      <w:marTop w:val="0"/>
      <w:marBottom w:val="0"/>
      <w:divBdr>
        <w:top w:val="none" w:sz="0" w:space="0" w:color="auto"/>
        <w:left w:val="none" w:sz="0" w:space="0" w:color="auto"/>
        <w:bottom w:val="none" w:sz="0" w:space="0" w:color="auto"/>
        <w:right w:val="none" w:sz="0" w:space="0" w:color="auto"/>
      </w:divBdr>
    </w:div>
    <w:div w:id="1041200768">
      <w:bodyDiv w:val="1"/>
      <w:marLeft w:val="0"/>
      <w:marRight w:val="0"/>
      <w:marTop w:val="0"/>
      <w:marBottom w:val="0"/>
      <w:divBdr>
        <w:top w:val="none" w:sz="0" w:space="0" w:color="auto"/>
        <w:left w:val="none" w:sz="0" w:space="0" w:color="auto"/>
        <w:bottom w:val="none" w:sz="0" w:space="0" w:color="auto"/>
        <w:right w:val="none" w:sz="0" w:space="0" w:color="auto"/>
      </w:divBdr>
      <w:divsChild>
        <w:div w:id="825439973">
          <w:marLeft w:val="0"/>
          <w:marRight w:val="0"/>
          <w:marTop w:val="0"/>
          <w:marBottom w:val="0"/>
          <w:divBdr>
            <w:top w:val="none" w:sz="0" w:space="0" w:color="auto"/>
            <w:left w:val="none" w:sz="0" w:space="0" w:color="auto"/>
            <w:bottom w:val="none" w:sz="0" w:space="0" w:color="auto"/>
            <w:right w:val="none" w:sz="0" w:space="0" w:color="auto"/>
          </w:divBdr>
        </w:div>
        <w:div w:id="179583902">
          <w:marLeft w:val="0"/>
          <w:marRight w:val="0"/>
          <w:marTop w:val="0"/>
          <w:marBottom w:val="0"/>
          <w:divBdr>
            <w:top w:val="none" w:sz="0" w:space="0" w:color="auto"/>
            <w:left w:val="none" w:sz="0" w:space="0" w:color="auto"/>
            <w:bottom w:val="none" w:sz="0" w:space="0" w:color="auto"/>
            <w:right w:val="none" w:sz="0" w:space="0" w:color="auto"/>
          </w:divBdr>
        </w:div>
        <w:div w:id="664892709">
          <w:marLeft w:val="0"/>
          <w:marRight w:val="0"/>
          <w:marTop w:val="0"/>
          <w:marBottom w:val="0"/>
          <w:divBdr>
            <w:top w:val="none" w:sz="0" w:space="0" w:color="auto"/>
            <w:left w:val="none" w:sz="0" w:space="0" w:color="auto"/>
            <w:bottom w:val="none" w:sz="0" w:space="0" w:color="auto"/>
            <w:right w:val="none" w:sz="0" w:space="0" w:color="auto"/>
          </w:divBdr>
        </w:div>
        <w:div w:id="1217088629">
          <w:marLeft w:val="0"/>
          <w:marRight w:val="0"/>
          <w:marTop w:val="0"/>
          <w:marBottom w:val="0"/>
          <w:divBdr>
            <w:top w:val="none" w:sz="0" w:space="0" w:color="auto"/>
            <w:left w:val="none" w:sz="0" w:space="0" w:color="auto"/>
            <w:bottom w:val="none" w:sz="0" w:space="0" w:color="auto"/>
            <w:right w:val="none" w:sz="0" w:space="0" w:color="auto"/>
          </w:divBdr>
        </w:div>
      </w:divsChild>
    </w:div>
    <w:div w:id="1043674136">
      <w:bodyDiv w:val="1"/>
      <w:marLeft w:val="0"/>
      <w:marRight w:val="0"/>
      <w:marTop w:val="0"/>
      <w:marBottom w:val="0"/>
      <w:divBdr>
        <w:top w:val="none" w:sz="0" w:space="0" w:color="auto"/>
        <w:left w:val="none" w:sz="0" w:space="0" w:color="auto"/>
        <w:bottom w:val="none" w:sz="0" w:space="0" w:color="auto"/>
        <w:right w:val="none" w:sz="0" w:space="0" w:color="auto"/>
      </w:divBdr>
      <w:divsChild>
        <w:div w:id="1543521621">
          <w:marLeft w:val="0"/>
          <w:marRight w:val="0"/>
          <w:marTop w:val="0"/>
          <w:marBottom w:val="0"/>
          <w:divBdr>
            <w:top w:val="none" w:sz="0" w:space="0" w:color="auto"/>
            <w:left w:val="none" w:sz="0" w:space="0" w:color="auto"/>
            <w:bottom w:val="none" w:sz="0" w:space="0" w:color="auto"/>
            <w:right w:val="none" w:sz="0" w:space="0" w:color="auto"/>
          </w:divBdr>
        </w:div>
        <w:div w:id="2002928079">
          <w:marLeft w:val="0"/>
          <w:marRight w:val="0"/>
          <w:marTop w:val="0"/>
          <w:marBottom w:val="0"/>
          <w:divBdr>
            <w:top w:val="none" w:sz="0" w:space="0" w:color="auto"/>
            <w:left w:val="none" w:sz="0" w:space="0" w:color="auto"/>
            <w:bottom w:val="none" w:sz="0" w:space="0" w:color="auto"/>
            <w:right w:val="none" w:sz="0" w:space="0" w:color="auto"/>
          </w:divBdr>
        </w:div>
        <w:div w:id="811598337">
          <w:marLeft w:val="0"/>
          <w:marRight w:val="0"/>
          <w:marTop w:val="0"/>
          <w:marBottom w:val="0"/>
          <w:divBdr>
            <w:top w:val="none" w:sz="0" w:space="0" w:color="auto"/>
            <w:left w:val="none" w:sz="0" w:space="0" w:color="auto"/>
            <w:bottom w:val="none" w:sz="0" w:space="0" w:color="auto"/>
            <w:right w:val="none" w:sz="0" w:space="0" w:color="auto"/>
          </w:divBdr>
        </w:div>
        <w:div w:id="1591549664">
          <w:marLeft w:val="0"/>
          <w:marRight w:val="0"/>
          <w:marTop w:val="0"/>
          <w:marBottom w:val="0"/>
          <w:divBdr>
            <w:top w:val="none" w:sz="0" w:space="0" w:color="auto"/>
            <w:left w:val="none" w:sz="0" w:space="0" w:color="auto"/>
            <w:bottom w:val="none" w:sz="0" w:space="0" w:color="auto"/>
            <w:right w:val="none" w:sz="0" w:space="0" w:color="auto"/>
          </w:divBdr>
        </w:div>
        <w:div w:id="790780989">
          <w:marLeft w:val="0"/>
          <w:marRight w:val="0"/>
          <w:marTop w:val="0"/>
          <w:marBottom w:val="0"/>
          <w:divBdr>
            <w:top w:val="none" w:sz="0" w:space="0" w:color="auto"/>
            <w:left w:val="none" w:sz="0" w:space="0" w:color="auto"/>
            <w:bottom w:val="none" w:sz="0" w:space="0" w:color="auto"/>
            <w:right w:val="none" w:sz="0" w:space="0" w:color="auto"/>
          </w:divBdr>
        </w:div>
        <w:div w:id="1116871776">
          <w:marLeft w:val="0"/>
          <w:marRight w:val="0"/>
          <w:marTop w:val="0"/>
          <w:marBottom w:val="0"/>
          <w:divBdr>
            <w:top w:val="none" w:sz="0" w:space="0" w:color="auto"/>
            <w:left w:val="none" w:sz="0" w:space="0" w:color="auto"/>
            <w:bottom w:val="none" w:sz="0" w:space="0" w:color="auto"/>
            <w:right w:val="none" w:sz="0" w:space="0" w:color="auto"/>
          </w:divBdr>
        </w:div>
        <w:div w:id="583301345">
          <w:marLeft w:val="0"/>
          <w:marRight w:val="0"/>
          <w:marTop w:val="0"/>
          <w:marBottom w:val="0"/>
          <w:divBdr>
            <w:top w:val="none" w:sz="0" w:space="0" w:color="auto"/>
            <w:left w:val="none" w:sz="0" w:space="0" w:color="auto"/>
            <w:bottom w:val="none" w:sz="0" w:space="0" w:color="auto"/>
            <w:right w:val="none" w:sz="0" w:space="0" w:color="auto"/>
          </w:divBdr>
        </w:div>
        <w:div w:id="428241176">
          <w:marLeft w:val="0"/>
          <w:marRight w:val="0"/>
          <w:marTop w:val="0"/>
          <w:marBottom w:val="0"/>
          <w:divBdr>
            <w:top w:val="none" w:sz="0" w:space="0" w:color="auto"/>
            <w:left w:val="none" w:sz="0" w:space="0" w:color="auto"/>
            <w:bottom w:val="none" w:sz="0" w:space="0" w:color="auto"/>
            <w:right w:val="none" w:sz="0" w:space="0" w:color="auto"/>
          </w:divBdr>
        </w:div>
        <w:div w:id="1429959344">
          <w:marLeft w:val="0"/>
          <w:marRight w:val="0"/>
          <w:marTop w:val="0"/>
          <w:marBottom w:val="0"/>
          <w:divBdr>
            <w:top w:val="none" w:sz="0" w:space="0" w:color="auto"/>
            <w:left w:val="none" w:sz="0" w:space="0" w:color="auto"/>
            <w:bottom w:val="none" w:sz="0" w:space="0" w:color="auto"/>
            <w:right w:val="none" w:sz="0" w:space="0" w:color="auto"/>
          </w:divBdr>
        </w:div>
        <w:div w:id="1152254246">
          <w:marLeft w:val="0"/>
          <w:marRight w:val="0"/>
          <w:marTop w:val="0"/>
          <w:marBottom w:val="0"/>
          <w:divBdr>
            <w:top w:val="none" w:sz="0" w:space="0" w:color="auto"/>
            <w:left w:val="none" w:sz="0" w:space="0" w:color="auto"/>
            <w:bottom w:val="none" w:sz="0" w:space="0" w:color="auto"/>
            <w:right w:val="none" w:sz="0" w:space="0" w:color="auto"/>
          </w:divBdr>
        </w:div>
        <w:div w:id="76174274">
          <w:marLeft w:val="0"/>
          <w:marRight w:val="0"/>
          <w:marTop w:val="0"/>
          <w:marBottom w:val="0"/>
          <w:divBdr>
            <w:top w:val="none" w:sz="0" w:space="0" w:color="auto"/>
            <w:left w:val="none" w:sz="0" w:space="0" w:color="auto"/>
            <w:bottom w:val="none" w:sz="0" w:space="0" w:color="auto"/>
            <w:right w:val="none" w:sz="0" w:space="0" w:color="auto"/>
          </w:divBdr>
        </w:div>
        <w:div w:id="1530020949">
          <w:marLeft w:val="0"/>
          <w:marRight w:val="0"/>
          <w:marTop w:val="0"/>
          <w:marBottom w:val="0"/>
          <w:divBdr>
            <w:top w:val="none" w:sz="0" w:space="0" w:color="auto"/>
            <w:left w:val="none" w:sz="0" w:space="0" w:color="auto"/>
            <w:bottom w:val="none" w:sz="0" w:space="0" w:color="auto"/>
            <w:right w:val="none" w:sz="0" w:space="0" w:color="auto"/>
          </w:divBdr>
        </w:div>
        <w:div w:id="1598293131">
          <w:marLeft w:val="0"/>
          <w:marRight w:val="0"/>
          <w:marTop w:val="0"/>
          <w:marBottom w:val="0"/>
          <w:divBdr>
            <w:top w:val="none" w:sz="0" w:space="0" w:color="auto"/>
            <w:left w:val="none" w:sz="0" w:space="0" w:color="auto"/>
            <w:bottom w:val="none" w:sz="0" w:space="0" w:color="auto"/>
            <w:right w:val="none" w:sz="0" w:space="0" w:color="auto"/>
          </w:divBdr>
        </w:div>
        <w:div w:id="867596373">
          <w:marLeft w:val="0"/>
          <w:marRight w:val="0"/>
          <w:marTop w:val="0"/>
          <w:marBottom w:val="0"/>
          <w:divBdr>
            <w:top w:val="none" w:sz="0" w:space="0" w:color="auto"/>
            <w:left w:val="none" w:sz="0" w:space="0" w:color="auto"/>
            <w:bottom w:val="none" w:sz="0" w:space="0" w:color="auto"/>
            <w:right w:val="none" w:sz="0" w:space="0" w:color="auto"/>
          </w:divBdr>
        </w:div>
        <w:div w:id="275061632">
          <w:marLeft w:val="0"/>
          <w:marRight w:val="0"/>
          <w:marTop w:val="0"/>
          <w:marBottom w:val="0"/>
          <w:divBdr>
            <w:top w:val="none" w:sz="0" w:space="0" w:color="auto"/>
            <w:left w:val="none" w:sz="0" w:space="0" w:color="auto"/>
            <w:bottom w:val="none" w:sz="0" w:space="0" w:color="auto"/>
            <w:right w:val="none" w:sz="0" w:space="0" w:color="auto"/>
          </w:divBdr>
        </w:div>
        <w:div w:id="754205358">
          <w:marLeft w:val="0"/>
          <w:marRight w:val="0"/>
          <w:marTop w:val="0"/>
          <w:marBottom w:val="0"/>
          <w:divBdr>
            <w:top w:val="none" w:sz="0" w:space="0" w:color="auto"/>
            <w:left w:val="none" w:sz="0" w:space="0" w:color="auto"/>
            <w:bottom w:val="none" w:sz="0" w:space="0" w:color="auto"/>
            <w:right w:val="none" w:sz="0" w:space="0" w:color="auto"/>
          </w:divBdr>
        </w:div>
        <w:div w:id="733624451">
          <w:marLeft w:val="0"/>
          <w:marRight w:val="0"/>
          <w:marTop w:val="0"/>
          <w:marBottom w:val="0"/>
          <w:divBdr>
            <w:top w:val="none" w:sz="0" w:space="0" w:color="auto"/>
            <w:left w:val="none" w:sz="0" w:space="0" w:color="auto"/>
            <w:bottom w:val="none" w:sz="0" w:space="0" w:color="auto"/>
            <w:right w:val="none" w:sz="0" w:space="0" w:color="auto"/>
          </w:divBdr>
        </w:div>
        <w:div w:id="753161576">
          <w:marLeft w:val="0"/>
          <w:marRight w:val="0"/>
          <w:marTop w:val="0"/>
          <w:marBottom w:val="0"/>
          <w:divBdr>
            <w:top w:val="none" w:sz="0" w:space="0" w:color="auto"/>
            <w:left w:val="none" w:sz="0" w:space="0" w:color="auto"/>
            <w:bottom w:val="none" w:sz="0" w:space="0" w:color="auto"/>
            <w:right w:val="none" w:sz="0" w:space="0" w:color="auto"/>
          </w:divBdr>
        </w:div>
        <w:div w:id="127631335">
          <w:marLeft w:val="0"/>
          <w:marRight w:val="0"/>
          <w:marTop w:val="0"/>
          <w:marBottom w:val="0"/>
          <w:divBdr>
            <w:top w:val="none" w:sz="0" w:space="0" w:color="auto"/>
            <w:left w:val="none" w:sz="0" w:space="0" w:color="auto"/>
            <w:bottom w:val="none" w:sz="0" w:space="0" w:color="auto"/>
            <w:right w:val="none" w:sz="0" w:space="0" w:color="auto"/>
          </w:divBdr>
        </w:div>
        <w:div w:id="1768499985">
          <w:marLeft w:val="0"/>
          <w:marRight w:val="0"/>
          <w:marTop w:val="0"/>
          <w:marBottom w:val="0"/>
          <w:divBdr>
            <w:top w:val="none" w:sz="0" w:space="0" w:color="auto"/>
            <w:left w:val="none" w:sz="0" w:space="0" w:color="auto"/>
            <w:bottom w:val="none" w:sz="0" w:space="0" w:color="auto"/>
            <w:right w:val="none" w:sz="0" w:space="0" w:color="auto"/>
          </w:divBdr>
        </w:div>
      </w:divsChild>
    </w:div>
    <w:div w:id="1121650670">
      <w:bodyDiv w:val="1"/>
      <w:marLeft w:val="0"/>
      <w:marRight w:val="0"/>
      <w:marTop w:val="0"/>
      <w:marBottom w:val="0"/>
      <w:divBdr>
        <w:top w:val="none" w:sz="0" w:space="0" w:color="auto"/>
        <w:left w:val="none" w:sz="0" w:space="0" w:color="auto"/>
        <w:bottom w:val="none" w:sz="0" w:space="0" w:color="auto"/>
        <w:right w:val="none" w:sz="0" w:space="0" w:color="auto"/>
      </w:divBdr>
      <w:divsChild>
        <w:div w:id="1536966184">
          <w:marLeft w:val="0"/>
          <w:marRight w:val="0"/>
          <w:marTop w:val="0"/>
          <w:marBottom w:val="0"/>
          <w:divBdr>
            <w:top w:val="none" w:sz="0" w:space="0" w:color="auto"/>
            <w:left w:val="none" w:sz="0" w:space="0" w:color="auto"/>
            <w:bottom w:val="none" w:sz="0" w:space="0" w:color="auto"/>
            <w:right w:val="none" w:sz="0" w:space="0" w:color="auto"/>
          </w:divBdr>
          <w:divsChild>
            <w:div w:id="2029407781">
              <w:marLeft w:val="0"/>
              <w:marRight w:val="0"/>
              <w:marTop w:val="0"/>
              <w:marBottom w:val="0"/>
              <w:divBdr>
                <w:top w:val="none" w:sz="0" w:space="0" w:color="auto"/>
                <w:left w:val="none" w:sz="0" w:space="0" w:color="auto"/>
                <w:bottom w:val="none" w:sz="0" w:space="0" w:color="auto"/>
                <w:right w:val="none" w:sz="0" w:space="0" w:color="auto"/>
              </w:divBdr>
            </w:div>
            <w:div w:id="856312909">
              <w:marLeft w:val="0"/>
              <w:marRight w:val="0"/>
              <w:marTop w:val="0"/>
              <w:marBottom w:val="0"/>
              <w:divBdr>
                <w:top w:val="none" w:sz="0" w:space="0" w:color="auto"/>
                <w:left w:val="none" w:sz="0" w:space="0" w:color="auto"/>
                <w:bottom w:val="none" w:sz="0" w:space="0" w:color="auto"/>
                <w:right w:val="none" w:sz="0" w:space="0" w:color="auto"/>
              </w:divBdr>
            </w:div>
            <w:div w:id="1461805444">
              <w:marLeft w:val="0"/>
              <w:marRight w:val="0"/>
              <w:marTop w:val="0"/>
              <w:marBottom w:val="0"/>
              <w:divBdr>
                <w:top w:val="none" w:sz="0" w:space="0" w:color="auto"/>
                <w:left w:val="none" w:sz="0" w:space="0" w:color="auto"/>
                <w:bottom w:val="none" w:sz="0" w:space="0" w:color="auto"/>
                <w:right w:val="none" w:sz="0" w:space="0" w:color="auto"/>
              </w:divBdr>
            </w:div>
            <w:div w:id="514343268">
              <w:marLeft w:val="0"/>
              <w:marRight w:val="0"/>
              <w:marTop w:val="0"/>
              <w:marBottom w:val="0"/>
              <w:divBdr>
                <w:top w:val="none" w:sz="0" w:space="0" w:color="auto"/>
                <w:left w:val="none" w:sz="0" w:space="0" w:color="auto"/>
                <w:bottom w:val="none" w:sz="0" w:space="0" w:color="auto"/>
                <w:right w:val="none" w:sz="0" w:space="0" w:color="auto"/>
              </w:divBdr>
            </w:div>
            <w:div w:id="702100646">
              <w:marLeft w:val="0"/>
              <w:marRight w:val="0"/>
              <w:marTop w:val="0"/>
              <w:marBottom w:val="0"/>
              <w:divBdr>
                <w:top w:val="none" w:sz="0" w:space="0" w:color="auto"/>
                <w:left w:val="none" w:sz="0" w:space="0" w:color="auto"/>
                <w:bottom w:val="none" w:sz="0" w:space="0" w:color="auto"/>
                <w:right w:val="none" w:sz="0" w:space="0" w:color="auto"/>
              </w:divBdr>
            </w:div>
            <w:div w:id="552423740">
              <w:marLeft w:val="0"/>
              <w:marRight w:val="0"/>
              <w:marTop w:val="0"/>
              <w:marBottom w:val="0"/>
              <w:divBdr>
                <w:top w:val="none" w:sz="0" w:space="0" w:color="auto"/>
                <w:left w:val="none" w:sz="0" w:space="0" w:color="auto"/>
                <w:bottom w:val="none" w:sz="0" w:space="0" w:color="auto"/>
                <w:right w:val="none" w:sz="0" w:space="0" w:color="auto"/>
              </w:divBdr>
            </w:div>
            <w:div w:id="96370080">
              <w:marLeft w:val="0"/>
              <w:marRight w:val="0"/>
              <w:marTop w:val="0"/>
              <w:marBottom w:val="0"/>
              <w:divBdr>
                <w:top w:val="none" w:sz="0" w:space="0" w:color="auto"/>
                <w:left w:val="none" w:sz="0" w:space="0" w:color="auto"/>
                <w:bottom w:val="none" w:sz="0" w:space="0" w:color="auto"/>
                <w:right w:val="none" w:sz="0" w:space="0" w:color="auto"/>
              </w:divBdr>
            </w:div>
            <w:div w:id="577908706">
              <w:marLeft w:val="0"/>
              <w:marRight w:val="0"/>
              <w:marTop w:val="0"/>
              <w:marBottom w:val="0"/>
              <w:divBdr>
                <w:top w:val="none" w:sz="0" w:space="0" w:color="auto"/>
                <w:left w:val="none" w:sz="0" w:space="0" w:color="auto"/>
                <w:bottom w:val="none" w:sz="0" w:space="0" w:color="auto"/>
                <w:right w:val="none" w:sz="0" w:space="0" w:color="auto"/>
              </w:divBdr>
            </w:div>
            <w:div w:id="1518078560">
              <w:marLeft w:val="0"/>
              <w:marRight w:val="0"/>
              <w:marTop w:val="0"/>
              <w:marBottom w:val="0"/>
              <w:divBdr>
                <w:top w:val="none" w:sz="0" w:space="0" w:color="auto"/>
                <w:left w:val="none" w:sz="0" w:space="0" w:color="auto"/>
                <w:bottom w:val="none" w:sz="0" w:space="0" w:color="auto"/>
                <w:right w:val="none" w:sz="0" w:space="0" w:color="auto"/>
              </w:divBdr>
            </w:div>
            <w:div w:id="1401099724">
              <w:marLeft w:val="0"/>
              <w:marRight w:val="0"/>
              <w:marTop w:val="0"/>
              <w:marBottom w:val="0"/>
              <w:divBdr>
                <w:top w:val="none" w:sz="0" w:space="0" w:color="auto"/>
                <w:left w:val="none" w:sz="0" w:space="0" w:color="auto"/>
                <w:bottom w:val="none" w:sz="0" w:space="0" w:color="auto"/>
                <w:right w:val="none" w:sz="0" w:space="0" w:color="auto"/>
              </w:divBdr>
            </w:div>
            <w:div w:id="857695739">
              <w:marLeft w:val="0"/>
              <w:marRight w:val="0"/>
              <w:marTop w:val="0"/>
              <w:marBottom w:val="0"/>
              <w:divBdr>
                <w:top w:val="none" w:sz="0" w:space="0" w:color="auto"/>
                <w:left w:val="none" w:sz="0" w:space="0" w:color="auto"/>
                <w:bottom w:val="none" w:sz="0" w:space="0" w:color="auto"/>
                <w:right w:val="none" w:sz="0" w:space="0" w:color="auto"/>
              </w:divBdr>
            </w:div>
            <w:div w:id="1731806976">
              <w:marLeft w:val="0"/>
              <w:marRight w:val="0"/>
              <w:marTop w:val="0"/>
              <w:marBottom w:val="0"/>
              <w:divBdr>
                <w:top w:val="none" w:sz="0" w:space="0" w:color="auto"/>
                <w:left w:val="none" w:sz="0" w:space="0" w:color="auto"/>
                <w:bottom w:val="none" w:sz="0" w:space="0" w:color="auto"/>
                <w:right w:val="none" w:sz="0" w:space="0" w:color="auto"/>
              </w:divBdr>
            </w:div>
            <w:div w:id="960913924">
              <w:marLeft w:val="0"/>
              <w:marRight w:val="0"/>
              <w:marTop w:val="0"/>
              <w:marBottom w:val="0"/>
              <w:divBdr>
                <w:top w:val="none" w:sz="0" w:space="0" w:color="auto"/>
                <w:left w:val="none" w:sz="0" w:space="0" w:color="auto"/>
                <w:bottom w:val="none" w:sz="0" w:space="0" w:color="auto"/>
                <w:right w:val="none" w:sz="0" w:space="0" w:color="auto"/>
              </w:divBdr>
            </w:div>
          </w:divsChild>
        </w:div>
        <w:div w:id="1468205408">
          <w:marLeft w:val="0"/>
          <w:marRight w:val="0"/>
          <w:marTop w:val="0"/>
          <w:marBottom w:val="0"/>
          <w:divBdr>
            <w:top w:val="none" w:sz="0" w:space="0" w:color="auto"/>
            <w:left w:val="none" w:sz="0" w:space="0" w:color="auto"/>
            <w:bottom w:val="none" w:sz="0" w:space="0" w:color="auto"/>
            <w:right w:val="none" w:sz="0" w:space="0" w:color="auto"/>
          </w:divBdr>
          <w:divsChild>
            <w:div w:id="797841341">
              <w:marLeft w:val="0"/>
              <w:marRight w:val="0"/>
              <w:marTop w:val="0"/>
              <w:marBottom w:val="0"/>
              <w:divBdr>
                <w:top w:val="none" w:sz="0" w:space="0" w:color="auto"/>
                <w:left w:val="none" w:sz="0" w:space="0" w:color="auto"/>
                <w:bottom w:val="none" w:sz="0" w:space="0" w:color="auto"/>
                <w:right w:val="none" w:sz="0" w:space="0" w:color="auto"/>
              </w:divBdr>
            </w:div>
            <w:div w:id="724910931">
              <w:marLeft w:val="0"/>
              <w:marRight w:val="0"/>
              <w:marTop w:val="0"/>
              <w:marBottom w:val="0"/>
              <w:divBdr>
                <w:top w:val="none" w:sz="0" w:space="0" w:color="auto"/>
                <w:left w:val="none" w:sz="0" w:space="0" w:color="auto"/>
                <w:bottom w:val="none" w:sz="0" w:space="0" w:color="auto"/>
                <w:right w:val="none" w:sz="0" w:space="0" w:color="auto"/>
              </w:divBdr>
            </w:div>
            <w:div w:id="2134009005">
              <w:marLeft w:val="0"/>
              <w:marRight w:val="0"/>
              <w:marTop w:val="0"/>
              <w:marBottom w:val="0"/>
              <w:divBdr>
                <w:top w:val="none" w:sz="0" w:space="0" w:color="auto"/>
                <w:left w:val="none" w:sz="0" w:space="0" w:color="auto"/>
                <w:bottom w:val="none" w:sz="0" w:space="0" w:color="auto"/>
                <w:right w:val="none" w:sz="0" w:space="0" w:color="auto"/>
              </w:divBdr>
            </w:div>
            <w:div w:id="1807968551">
              <w:marLeft w:val="0"/>
              <w:marRight w:val="0"/>
              <w:marTop w:val="0"/>
              <w:marBottom w:val="0"/>
              <w:divBdr>
                <w:top w:val="none" w:sz="0" w:space="0" w:color="auto"/>
                <w:left w:val="none" w:sz="0" w:space="0" w:color="auto"/>
                <w:bottom w:val="none" w:sz="0" w:space="0" w:color="auto"/>
                <w:right w:val="none" w:sz="0" w:space="0" w:color="auto"/>
              </w:divBdr>
            </w:div>
            <w:div w:id="927035327">
              <w:marLeft w:val="0"/>
              <w:marRight w:val="0"/>
              <w:marTop w:val="0"/>
              <w:marBottom w:val="0"/>
              <w:divBdr>
                <w:top w:val="none" w:sz="0" w:space="0" w:color="auto"/>
                <w:left w:val="none" w:sz="0" w:space="0" w:color="auto"/>
                <w:bottom w:val="none" w:sz="0" w:space="0" w:color="auto"/>
                <w:right w:val="none" w:sz="0" w:space="0" w:color="auto"/>
              </w:divBdr>
            </w:div>
            <w:div w:id="1902010593">
              <w:marLeft w:val="0"/>
              <w:marRight w:val="0"/>
              <w:marTop w:val="0"/>
              <w:marBottom w:val="0"/>
              <w:divBdr>
                <w:top w:val="none" w:sz="0" w:space="0" w:color="auto"/>
                <w:left w:val="none" w:sz="0" w:space="0" w:color="auto"/>
                <w:bottom w:val="none" w:sz="0" w:space="0" w:color="auto"/>
                <w:right w:val="none" w:sz="0" w:space="0" w:color="auto"/>
              </w:divBdr>
            </w:div>
            <w:div w:id="21029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4819">
      <w:bodyDiv w:val="1"/>
      <w:marLeft w:val="0"/>
      <w:marRight w:val="0"/>
      <w:marTop w:val="0"/>
      <w:marBottom w:val="0"/>
      <w:divBdr>
        <w:top w:val="none" w:sz="0" w:space="0" w:color="auto"/>
        <w:left w:val="none" w:sz="0" w:space="0" w:color="auto"/>
        <w:bottom w:val="none" w:sz="0" w:space="0" w:color="auto"/>
        <w:right w:val="none" w:sz="0" w:space="0" w:color="auto"/>
      </w:divBdr>
      <w:divsChild>
        <w:div w:id="202136728">
          <w:marLeft w:val="0"/>
          <w:marRight w:val="0"/>
          <w:marTop w:val="0"/>
          <w:marBottom w:val="0"/>
          <w:divBdr>
            <w:top w:val="none" w:sz="0" w:space="0" w:color="auto"/>
            <w:left w:val="none" w:sz="0" w:space="0" w:color="auto"/>
            <w:bottom w:val="none" w:sz="0" w:space="0" w:color="auto"/>
            <w:right w:val="none" w:sz="0" w:space="0" w:color="auto"/>
          </w:divBdr>
        </w:div>
        <w:div w:id="1431046176">
          <w:marLeft w:val="0"/>
          <w:marRight w:val="0"/>
          <w:marTop w:val="0"/>
          <w:marBottom w:val="0"/>
          <w:divBdr>
            <w:top w:val="none" w:sz="0" w:space="0" w:color="auto"/>
            <w:left w:val="none" w:sz="0" w:space="0" w:color="auto"/>
            <w:bottom w:val="none" w:sz="0" w:space="0" w:color="auto"/>
            <w:right w:val="none" w:sz="0" w:space="0" w:color="auto"/>
          </w:divBdr>
        </w:div>
        <w:div w:id="370886419">
          <w:marLeft w:val="0"/>
          <w:marRight w:val="0"/>
          <w:marTop w:val="0"/>
          <w:marBottom w:val="0"/>
          <w:divBdr>
            <w:top w:val="none" w:sz="0" w:space="0" w:color="auto"/>
            <w:left w:val="none" w:sz="0" w:space="0" w:color="auto"/>
            <w:bottom w:val="none" w:sz="0" w:space="0" w:color="auto"/>
            <w:right w:val="none" w:sz="0" w:space="0" w:color="auto"/>
          </w:divBdr>
        </w:div>
        <w:div w:id="1119838779">
          <w:marLeft w:val="0"/>
          <w:marRight w:val="0"/>
          <w:marTop w:val="0"/>
          <w:marBottom w:val="0"/>
          <w:divBdr>
            <w:top w:val="none" w:sz="0" w:space="0" w:color="auto"/>
            <w:left w:val="none" w:sz="0" w:space="0" w:color="auto"/>
            <w:bottom w:val="none" w:sz="0" w:space="0" w:color="auto"/>
            <w:right w:val="none" w:sz="0" w:space="0" w:color="auto"/>
          </w:divBdr>
        </w:div>
        <w:div w:id="95518320">
          <w:marLeft w:val="0"/>
          <w:marRight w:val="0"/>
          <w:marTop w:val="0"/>
          <w:marBottom w:val="0"/>
          <w:divBdr>
            <w:top w:val="none" w:sz="0" w:space="0" w:color="auto"/>
            <w:left w:val="none" w:sz="0" w:space="0" w:color="auto"/>
            <w:bottom w:val="none" w:sz="0" w:space="0" w:color="auto"/>
            <w:right w:val="none" w:sz="0" w:space="0" w:color="auto"/>
          </w:divBdr>
        </w:div>
        <w:div w:id="824779270">
          <w:marLeft w:val="0"/>
          <w:marRight w:val="0"/>
          <w:marTop w:val="0"/>
          <w:marBottom w:val="0"/>
          <w:divBdr>
            <w:top w:val="none" w:sz="0" w:space="0" w:color="auto"/>
            <w:left w:val="none" w:sz="0" w:space="0" w:color="auto"/>
            <w:bottom w:val="none" w:sz="0" w:space="0" w:color="auto"/>
            <w:right w:val="none" w:sz="0" w:space="0" w:color="auto"/>
          </w:divBdr>
        </w:div>
      </w:divsChild>
    </w:div>
    <w:div w:id="1184630369">
      <w:bodyDiv w:val="1"/>
      <w:marLeft w:val="0"/>
      <w:marRight w:val="0"/>
      <w:marTop w:val="0"/>
      <w:marBottom w:val="0"/>
      <w:divBdr>
        <w:top w:val="none" w:sz="0" w:space="0" w:color="auto"/>
        <w:left w:val="none" w:sz="0" w:space="0" w:color="auto"/>
        <w:bottom w:val="none" w:sz="0" w:space="0" w:color="auto"/>
        <w:right w:val="none" w:sz="0" w:space="0" w:color="auto"/>
      </w:divBdr>
    </w:div>
    <w:div w:id="1191337021">
      <w:bodyDiv w:val="1"/>
      <w:marLeft w:val="0"/>
      <w:marRight w:val="0"/>
      <w:marTop w:val="0"/>
      <w:marBottom w:val="0"/>
      <w:divBdr>
        <w:top w:val="none" w:sz="0" w:space="0" w:color="auto"/>
        <w:left w:val="none" w:sz="0" w:space="0" w:color="auto"/>
        <w:bottom w:val="none" w:sz="0" w:space="0" w:color="auto"/>
        <w:right w:val="none" w:sz="0" w:space="0" w:color="auto"/>
      </w:divBdr>
    </w:div>
    <w:div w:id="1258513441">
      <w:bodyDiv w:val="1"/>
      <w:marLeft w:val="0"/>
      <w:marRight w:val="0"/>
      <w:marTop w:val="0"/>
      <w:marBottom w:val="0"/>
      <w:divBdr>
        <w:top w:val="none" w:sz="0" w:space="0" w:color="auto"/>
        <w:left w:val="none" w:sz="0" w:space="0" w:color="auto"/>
        <w:bottom w:val="none" w:sz="0" w:space="0" w:color="auto"/>
        <w:right w:val="none" w:sz="0" w:space="0" w:color="auto"/>
      </w:divBdr>
    </w:div>
    <w:div w:id="1394426953">
      <w:bodyDiv w:val="1"/>
      <w:marLeft w:val="0"/>
      <w:marRight w:val="0"/>
      <w:marTop w:val="0"/>
      <w:marBottom w:val="0"/>
      <w:divBdr>
        <w:top w:val="none" w:sz="0" w:space="0" w:color="auto"/>
        <w:left w:val="none" w:sz="0" w:space="0" w:color="auto"/>
        <w:bottom w:val="none" w:sz="0" w:space="0" w:color="auto"/>
        <w:right w:val="none" w:sz="0" w:space="0" w:color="auto"/>
      </w:divBdr>
      <w:divsChild>
        <w:div w:id="636297674">
          <w:marLeft w:val="0"/>
          <w:marRight w:val="0"/>
          <w:marTop w:val="0"/>
          <w:marBottom w:val="0"/>
          <w:divBdr>
            <w:top w:val="none" w:sz="0" w:space="0" w:color="auto"/>
            <w:left w:val="none" w:sz="0" w:space="0" w:color="auto"/>
            <w:bottom w:val="none" w:sz="0" w:space="0" w:color="auto"/>
            <w:right w:val="none" w:sz="0" w:space="0" w:color="auto"/>
          </w:divBdr>
        </w:div>
        <w:div w:id="1152215747">
          <w:marLeft w:val="0"/>
          <w:marRight w:val="0"/>
          <w:marTop w:val="0"/>
          <w:marBottom w:val="0"/>
          <w:divBdr>
            <w:top w:val="none" w:sz="0" w:space="0" w:color="auto"/>
            <w:left w:val="none" w:sz="0" w:space="0" w:color="auto"/>
            <w:bottom w:val="none" w:sz="0" w:space="0" w:color="auto"/>
            <w:right w:val="none" w:sz="0" w:space="0" w:color="auto"/>
          </w:divBdr>
        </w:div>
        <w:div w:id="808479670">
          <w:marLeft w:val="0"/>
          <w:marRight w:val="0"/>
          <w:marTop w:val="0"/>
          <w:marBottom w:val="0"/>
          <w:divBdr>
            <w:top w:val="none" w:sz="0" w:space="0" w:color="auto"/>
            <w:left w:val="none" w:sz="0" w:space="0" w:color="auto"/>
            <w:bottom w:val="none" w:sz="0" w:space="0" w:color="auto"/>
            <w:right w:val="none" w:sz="0" w:space="0" w:color="auto"/>
          </w:divBdr>
        </w:div>
        <w:div w:id="1135031013">
          <w:marLeft w:val="0"/>
          <w:marRight w:val="0"/>
          <w:marTop w:val="0"/>
          <w:marBottom w:val="0"/>
          <w:divBdr>
            <w:top w:val="none" w:sz="0" w:space="0" w:color="auto"/>
            <w:left w:val="none" w:sz="0" w:space="0" w:color="auto"/>
            <w:bottom w:val="none" w:sz="0" w:space="0" w:color="auto"/>
            <w:right w:val="none" w:sz="0" w:space="0" w:color="auto"/>
          </w:divBdr>
        </w:div>
        <w:div w:id="461577062">
          <w:marLeft w:val="0"/>
          <w:marRight w:val="0"/>
          <w:marTop w:val="0"/>
          <w:marBottom w:val="0"/>
          <w:divBdr>
            <w:top w:val="none" w:sz="0" w:space="0" w:color="auto"/>
            <w:left w:val="none" w:sz="0" w:space="0" w:color="auto"/>
            <w:bottom w:val="none" w:sz="0" w:space="0" w:color="auto"/>
            <w:right w:val="none" w:sz="0" w:space="0" w:color="auto"/>
          </w:divBdr>
        </w:div>
        <w:div w:id="850533266">
          <w:marLeft w:val="0"/>
          <w:marRight w:val="0"/>
          <w:marTop w:val="0"/>
          <w:marBottom w:val="0"/>
          <w:divBdr>
            <w:top w:val="none" w:sz="0" w:space="0" w:color="auto"/>
            <w:left w:val="none" w:sz="0" w:space="0" w:color="auto"/>
            <w:bottom w:val="none" w:sz="0" w:space="0" w:color="auto"/>
            <w:right w:val="none" w:sz="0" w:space="0" w:color="auto"/>
          </w:divBdr>
        </w:div>
      </w:divsChild>
    </w:div>
    <w:div w:id="1410230035">
      <w:bodyDiv w:val="1"/>
      <w:marLeft w:val="0"/>
      <w:marRight w:val="0"/>
      <w:marTop w:val="0"/>
      <w:marBottom w:val="0"/>
      <w:divBdr>
        <w:top w:val="none" w:sz="0" w:space="0" w:color="auto"/>
        <w:left w:val="none" w:sz="0" w:space="0" w:color="auto"/>
        <w:bottom w:val="none" w:sz="0" w:space="0" w:color="auto"/>
        <w:right w:val="none" w:sz="0" w:space="0" w:color="auto"/>
      </w:divBdr>
      <w:divsChild>
        <w:div w:id="941180169">
          <w:marLeft w:val="0"/>
          <w:marRight w:val="0"/>
          <w:marTop w:val="0"/>
          <w:marBottom w:val="0"/>
          <w:divBdr>
            <w:top w:val="none" w:sz="0" w:space="0" w:color="auto"/>
            <w:left w:val="none" w:sz="0" w:space="0" w:color="auto"/>
            <w:bottom w:val="none" w:sz="0" w:space="0" w:color="auto"/>
            <w:right w:val="none" w:sz="0" w:space="0" w:color="auto"/>
          </w:divBdr>
        </w:div>
        <w:div w:id="292953172">
          <w:marLeft w:val="0"/>
          <w:marRight w:val="0"/>
          <w:marTop w:val="0"/>
          <w:marBottom w:val="0"/>
          <w:divBdr>
            <w:top w:val="none" w:sz="0" w:space="0" w:color="auto"/>
            <w:left w:val="none" w:sz="0" w:space="0" w:color="auto"/>
            <w:bottom w:val="none" w:sz="0" w:space="0" w:color="auto"/>
            <w:right w:val="none" w:sz="0" w:space="0" w:color="auto"/>
          </w:divBdr>
        </w:div>
        <w:div w:id="1209874771">
          <w:marLeft w:val="0"/>
          <w:marRight w:val="0"/>
          <w:marTop w:val="0"/>
          <w:marBottom w:val="0"/>
          <w:divBdr>
            <w:top w:val="none" w:sz="0" w:space="0" w:color="auto"/>
            <w:left w:val="none" w:sz="0" w:space="0" w:color="auto"/>
            <w:bottom w:val="none" w:sz="0" w:space="0" w:color="auto"/>
            <w:right w:val="none" w:sz="0" w:space="0" w:color="auto"/>
          </w:divBdr>
        </w:div>
        <w:div w:id="831873853">
          <w:marLeft w:val="0"/>
          <w:marRight w:val="0"/>
          <w:marTop w:val="0"/>
          <w:marBottom w:val="0"/>
          <w:divBdr>
            <w:top w:val="none" w:sz="0" w:space="0" w:color="auto"/>
            <w:left w:val="none" w:sz="0" w:space="0" w:color="auto"/>
            <w:bottom w:val="none" w:sz="0" w:space="0" w:color="auto"/>
            <w:right w:val="none" w:sz="0" w:space="0" w:color="auto"/>
          </w:divBdr>
        </w:div>
        <w:div w:id="1761830839">
          <w:marLeft w:val="0"/>
          <w:marRight w:val="0"/>
          <w:marTop w:val="0"/>
          <w:marBottom w:val="0"/>
          <w:divBdr>
            <w:top w:val="none" w:sz="0" w:space="0" w:color="auto"/>
            <w:left w:val="none" w:sz="0" w:space="0" w:color="auto"/>
            <w:bottom w:val="none" w:sz="0" w:space="0" w:color="auto"/>
            <w:right w:val="none" w:sz="0" w:space="0" w:color="auto"/>
          </w:divBdr>
        </w:div>
        <w:div w:id="1976912952">
          <w:marLeft w:val="0"/>
          <w:marRight w:val="0"/>
          <w:marTop w:val="0"/>
          <w:marBottom w:val="0"/>
          <w:divBdr>
            <w:top w:val="none" w:sz="0" w:space="0" w:color="auto"/>
            <w:left w:val="none" w:sz="0" w:space="0" w:color="auto"/>
            <w:bottom w:val="none" w:sz="0" w:space="0" w:color="auto"/>
            <w:right w:val="none" w:sz="0" w:space="0" w:color="auto"/>
          </w:divBdr>
        </w:div>
        <w:div w:id="573470642">
          <w:marLeft w:val="0"/>
          <w:marRight w:val="0"/>
          <w:marTop w:val="0"/>
          <w:marBottom w:val="0"/>
          <w:divBdr>
            <w:top w:val="none" w:sz="0" w:space="0" w:color="auto"/>
            <w:left w:val="none" w:sz="0" w:space="0" w:color="auto"/>
            <w:bottom w:val="none" w:sz="0" w:space="0" w:color="auto"/>
            <w:right w:val="none" w:sz="0" w:space="0" w:color="auto"/>
          </w:divBdr>
        </w:div>
        <w:div w:id="1460341901">
          <w:marLeft w:val="0"/>
          <w:marRight w:val="0"/>
          <w:marTop w:val="0"/>
          <w:marBottom w:val="0"/>
          <w:divBdr>
            <w:top w:val="none" w:sz="0" w:space="0" w:color="auto"/>
            <w:left w:val="none" w:sz="0" w:space="0" w:color="auto"/>
            <w:bottom w:val="none" w:sz="0" w:space="0" w:color="auto"/>
            <w:right w:val="none" w:sz="0" w:space="0" w:color="auto"/>
          </w:divBdr>
        </w:div>
        <w:div w:id="1979532083">
          <w:marLeft w:val="0"/>
          <w:marRight w:val="0"/>
          <w:marTop w:val="0"/>
          <w:marBottom w:val="0"/>
          <w:divBdr>
            <w:top w:val="none" w:sz="0" w:space="0" w:color="auto"/>
            <w:left w:val="none" w:sz="0" w:space="0" w:color="auto"/>
            <w:bottom w:val="none" w:sz="0" w:space="0" w:color="auto"/>
            <w:right w:val="none" w:sz="0" w:space="0" w:color="auto"/>
          </w:divBdr>
        </w:div>
        <w:div w:id="921842095">
          <w:marLeft w:val="0"/>
          <w:marRight w:val="0"/>
          <w:marTop w:val="0"/>
          <w:marBottom w:val="0"/>
          <w:divBdr>
            <w:top w:val="none" w:sz="0" w:space="0" w:color="auto"/>
            <w:left w:val="none" w:sz="0" w:space="0" w:color="auto"/>
            <w:bottom w:val="none" w:sz="0" w:space="0" w:color="auto"/>
            <w:right w:val="none" w:sz="0" w:space="0" w:color="auto"/>
          </w:divBdr>
        </w:div>
        <w:div w:id="2126384026">
          <w:marLeft w:val="0"/>
          <w:marRight w:val="0"/>
          <w:marTop w:val="0"/>
          <w:marBottom w:val="0"/>
          <w:divBdr>
            <w:top w:val="none" w:sz="0" w:space="0" w:color="auto"/>
            <w:left w:val="none" w:sz="0" w:space="0" w:color="auto"/>
            <w:bottom w:val="none" w:sz="0" w:space="0" w:color="auto"/>
            <w:right w:val="none" w:sz="0" w:space="0" w:color="auto"/>
          </w:divBdr>
        </w:div>
        <w:div w:id="81999300">
          <w:marLeft w:val="0"/>
          <w:marRight w:val="0"/>
          <w:marTop w:val="0"/>
          <w:marBottom w:val="0"/>
          <w:divBdr>
            <w:top w:val="none" w:sz="0" w:space="0" w:color="auto"/>
            <w:left w:val="none" w:sz="0" w:space="0" w:color="auto"/>
            <w:bottom w:val="none" w:sz="0" w:space="0" w:color="auto"/>
            <w:right w:val="none" w:sz="0" w:space="0" w:color="auto"/>
          </w:divBdr>
        </w:div>
        <w:div w:id="1534266106">
          <w:marLeft w:val="0"/>
          <w:marRight w:val="0"/>
          <w:marTop w:val="0"/>
          <w:marBottom w:val="0"/>
          <w:divBdr>
            <w:top w:val="none" w:sz="0" w:space="0" w:color="auto"/>
            <w:left w:val="none" w:sz="0" w:space="0" w:color="auto"/>
            <w:bottom w:val="none" w:sz="0" w:space="0" w:color="auto"/>
            <w:right w:val="none" w:sz="0" w:space="0" w:color="auto"/>
          </w:divBdr>
        </w:div>
        <w:div w:id="1055934502">
          <w:marLeft w:val="0"/>
          <w:marRight w:val="0"/>
          <w:marTop w:val="0"/>
          <w:marBottom w:val="0"/>
          <w:divBdr>
            <w:top w:val="none" w:sz="0" w:space="0" w:color="auto"/>
            <w:left w:val="none" w:sz="0" w:space="0" w:color="auto"/>
            <w:bottom w:val="none" w:sz="0" w:space="0" w:color="auto"/>
            <w:right w:val="none" w:sz="0" w:space="0" w:color="auto"/>
          </w:divBdr>
        </w:div>
        <w:div w:id="2034374847">
          <w:marLeft w:val="0"/>
          <w:marRight w:val="0"/>
          <w:marTop w:val="0"/>
          <w:marBottom w:val="0"/>
          <w:divBdr>
            <w:top w:val="none" w:sz="0" w:space="0" w:color="auto"/>
            <w:left w:val="none" w:sz="0" w:space="0" w:color="auto"/>
            <w:bottom w:val="none" w:sz="0" w:space="0" w:color="auto"/>
            <w:right w:val="none" w:sz="0" w:space="0" w:color="auto"/>
          </w:divBdr>
        </w:div>
        <w:div w:id="1207177583">
          <w:marLeft w:val="0"/>
          <w:marRight w:val="0"/>
          <w:marTop w:val="0"/>
          <w:marBottom w:val="0"/>
          <w:divBdr>
            <w:top w:val="none" w:sz="0" w:space="0" w:color="auto"/>
            <w:left w:val="none" w:sz="0" w:space="0" w:color="auto"/>
            <w:bottom w:val="none" w:sz="0" w:space="0" w:color="auto"/>
            <w:right w:val="none" w:sz="0" w:space="0" w:color="auto"/>
          </w:divBdr>
        </w:div>
        <w:div w:id="1234855373">
          <w:marLeft w:val="0"/>
          <w:marRight w:val="0"/>
          <w:marTop w:val="0"/>
          <w:marBottom w:val="0"/>
          <w:divBdr>
            <w:top w:val="none" w:sz="0" w:space="0" w:color="auto"/>
            <w:left w:val="none" w:sz="0" w:space="0" w:color="auto"/>
            <w:bottom w:val="none" w:sz="0" w:space="0" w:color="auto"/>
            <w:right w:val="none" w:sz="0" w:space="0" w:color="auto"/>
          </w:divBdr>
        </w:div>
        <w:div w:id="711659718">
          <w:marLeft w:val="0"/>
          <w:marRight w:val="0"/>
          <w:marTop w:val="0"/>
          <w:marBottom w:val="0"/>
          <w:divBdr>
            <w:top w:val="none" w:sz="0" w:space="0" w:color="auto"/>
            <w:left w:val="none" w:sz="0" w:space="0" w:color="auto"/>
            <w:bottom w:val="none" w:sz="0" w:space="0" w:color="auto"/>
            <w:right w:val="none" w:sz="0" w:space="0" w:color="auto"/>
          </w:divBdr>
        </w:div>
        <w:div w:id="377973430">
          <w:marLeft w:val="0"/>
          <w:marRight w:val="0"/>
          <w:marTop w:val="0"/>
          <w:marBottom w:val="0"/>
          <w:divBdr>
            <w:top w:val="none" w:sz="0" w:space="0" w:color="auto"/>
            <w:left w:val="none" w:sz="0" w:space="0" w:color="auto"/>
            <w:bottom w:val="none" w:sz="0" w:space="0" w:color="auto"/>
            <w:right w:val="none" w:sz="0" w:space="0" w:color="auto"/>
          </w:divBdr>
        </w:div>
        <w:div w:id="708188951">
          <w:marLeft w:val="0"/>
          <w:marRight w:val="0"/>
          <w:marTop w:val="0"/>
          <w:marBottom w:val="0"/>
          <w:divBdr>
            <w:top w:val="none" w:sz="0" w:space="0" w:color="auto"/>
            <w:left w:val="none" w:sz="0" w:space="0" w:color="auto"/>
            <w:bottom w:val="none" w:sz="0" w:space="0" w:color="auto"/>
            <w:right w:val="none" w:sz="0" w:space="0" w:color="auto"/>
          </w:divBdr>
        </w:div>
      </w:divsChild>
    </w:div>
    <w:div w:id="1890721889">
      <w:bodyDiv w:val="1"/>
      <w:marLeft w:val="0"/>
      <w:marRight w:val="0"/>
      <w:marTop w:val="0"/>
      <w:marBottom w:val="0"/>
      <w:divBdr>
        <w:top w:val="none" w:sz="0" w:space="0" w:color="auto"/>
        <w:left w:val="none" w:sz="0" w:space="0" w:color="auto"/>
        <w:bottom w:val="none" w:sz="0" w:space="0" w:color="auto"/>
        <w:right w:val="none" w:sz="0" w:space="0" w:color="auto"/>
      </w:divBdr>
    </w:div>
    <w:div w:id="1893735694">
      <w:bodyDiv w:val="1"/>
      <w:marLeft w:val="0"/>
      <w:marRight w:val="0"/>
      <w:marTop w:val="0"/>
      <w:marBottom w:val="0"/>
      <w:divBdr>
        <w:top w:val="none" w:sz="0" w:space="0" w:color="auto"/>
        <w:left w:val="none" w:sz="0" w:space="0" w:color="auto"/>
        <w:bottom w:val="none" w:sz="0" w:space="0" w:color="auto"/>
        <w:right w:val="none" w:sz="0" w:space="0" w:color="auto"/>
      </w:divBdr>
    </w:div>
    <w:div w:id="1956671143">
      <w:bodyDiv w:val="1"/>
      <w:marLeft w:val="0"/>
      <w:marRight w:val="0"/>
      <w:marTop w:val="0"/>
      <w:marBottom w:val="0"/>
      <w:divBdr>
        <w:top w:val="none" w:sz="0" w:space="0" w:color="auto"/>
        <w:left w:val="none" w:sz="0" w:space="0" w:color="auto"/>
        <w:bottom w:val="none" w:sz="0" w:space="0" w:color="auto"/>
        <w:right w:val="none" w:sz="0" w:space="0" w:color="auto"/>
      </w:divBdr>
      <w:divsChild>
        <w:div w:id="1626351818">
          <w:marLeft w:val="0"/>
          <w:marRight w:val="0"/>
          <w:marTop w:val="0"/>
          <w:marBottom w:val="0"/>
          <w:divBdr>
            <w:top w:val="none" w:sz="0" w:space="0" w:color="auto"/>
            <w:left w:val="none" w:sz="0" w:space="0" w:color="auto"/>
            <w:bottom w:val="none" w:sz="0" w:space="0" w:color="auto"/>
            <w:right w:val="none" w:sz="0" w:space="0" w:color="auto"/>
          </w:divBdr>
        </w:div>
        <w:div w:id="1955089740">
          <w:marLeft w:val="0"/>
          <w:marRight w:val="0"/>
          <w:marTop w:val="0"/>
          <w:marBottom w:val="0"/>
          <w:divBdr>
            <w:top w:val="none" w:sz="0" w:space="0" w:color="auto"/>
            <w:left w:val="none" w:sz="0" w:space="0" w:color="auto"/>
            <w:bottom w:val="none" w:sz="0" w:space="0" w:color="auto"/>
            <w:right w:val="none" w:sz="0" w:space="0" w:color="auto"/>
          </w:divBdr>
        </w:div>
        <w:div w:id="2012949377">
          <w:marLeft w:val="0"/>
          <w:marRight w:val="0"/>
          <w:marTop w:val="0"/>
          <w:marBottom w:val="0"/>
          <w:divBdr>
            <w:top w:val="none" w:sz="0" w:space="0" w:color="auto"/>
            <w:left w:val="none" w:sz="0" w:space="0" w:color="auto"/>
            <w:bottom w:val="none" w:sz="0" w:space="0" w:color="auto"/>
            <w:right w:val="none" w:sz="0" w:space="0" w:color="auto"/>
          </w:divBdr>
        </w:div>
        <w:div w:id="136535252">
          <w:marLeft w:val="0"/>
          <w:marRight w:val="0"/>
          <w:marTop w:val="0"/>
          <w:marBottom w:val="0"/>
          <w:divBdr>
            <w:top w:val="none" w:sz="0" w:space="0" w:color="auto"/>
            <w:left w:val="none" w:sz="0" w:space="0" w:color="auto"/>
            <w:bottom w:val="none" w:sz="0" w:space="0" w:color="auto"/>
            <w:right w:val="none" w:sz="0" w:space="0" w:color="auto"/>
          </w:divBdr>
        </w:div>
        <w:div w:id="636958937">
          <w:marLeft w:val="0"/>
          <w:marRight w:val="0"/>
          <w:marTop w:val="0"/>
          <w:marBottom w:val="0"/>
          <w:divBdr>
            <w:top w:val="none" w:sz="0" w:space="0" w:color="auto"/>
            <w:left w:val="none" w:sz="0" w:space="0" w:color="auto"/>
            <w:bottom w:val="none" w:sz="0" w:space="0" w:color="auto"/>
            <w:right w:val="none" w:sz="0" w:space="0" w:color="auto"/>
          </w:divBdr>
        </w:div>
        <w:div w:id="1899391936">
          <w:marLeft w:val="0"/>
          <w:marRight w:val="0"/>
          <w:marTop w:val="0"/>
          <w:marBottom w:val="0"/>
          <w:divBdr>
            <w:top w:val="none" w:sz="0" w:space="0" w:color="auto"/>
            <w:left w:val="none" w:sz="0" w:space="0" w:color="auto"/>
            <w:bottom w:val="none" w:sz="0" w:space="0" w:color="auto"/>
            <w:right w:val="none" w:sz="0" w:space="0" w:color="auto"/>
          </w:divBdr>
        </w:div>
        <w:div w:id="1314606264">
          <w:marLeft w:val="0"/>
          <w:marRight w:val="0"/>
          <w:marTop w:val="0"/>
          <w:marBottom w:val="0"/>
          <w:divBdr>
            <w:top w:val="none" w:sz="0" w:space="0" w:color="auto"/>
            <w:left w:val="none" w:sz="0" w:space="0" w:color="auto"/>
            <w:bottom w:val="none" w:sz="0" w:space="0" w:color="auto"/>
            <w:right w:val="none" w:sz="0" w:space="0" w:color="auto"/>
          </w:divBdr>
        </w:div>
        <w:div w:id="676659709">
          <w:marLeft w:val="0"/>
          <w:marRight w:val="0"/>
          <w:marTop w:val="0"/>
          <w:marBottom w:val="0"/>
          <w:divBdr>
            <w:top w:val="none" w:sz="0" w:space="0" w:color="auto"/>
            <w:left w:val="none" w:sz="0" w:space="0" w:color="auto"/>
            <w:bottom w:val="none" w:sz="0" w:space="0" w:color="auto"/>
            <w:right w:val="none" w:sz="0" w:space="0" w:color="auto"/>
          </w:divBdr>
        </w:div>
        <w:div w:id="1157844387">
          <w:marLeft w:val="0"/>
          <w:marRight w:val="0"/>
          <w:marTop w:val="0"/>
          <w:marBottom w:val="0"/>
          <w:divBdr>
            <w:top w:val="none" w:sz="0" w:space="0" w:color="auto"/>
            <w:left w:val="none" w:sz="0" w:space="0" w:color="auto"/>
            <w:bottom w:val="none" w:sz="0" w:space="0" w:color="auto"/>
            <w:right w:val="none" w:sz="0" w:space="0" w:color="auto"/>
          </w:divBdr>
        </w:div>
        <w:div w:id="793403132">
          <w:marLeft w:val="0"/>
          <w:marRight w:val="0"/>
          <w:marTop w:val="0"/>
          <w:marBottom w:val="0"/>
          <w:divBdr>
            <w:top w:val="none" w:sz="0" w:space="0" w:color="auto"/>
            <w:left w:val="none" w:sz="0" w:space="0" w:color="auto"/>
            <w:bottom w:val="none" w:sz="0" w:space="0" w:color="auto"/>
            <w:right w:val="none" w:sz="0" w:space="0" w:color="auto"/>
          </w:divBdr>
        </w:div>
        <w:div w:id="929776154">
          <w:marLeft w:val="0"/>
          <w:marRight w:val="0"/>
          <w:marTop w:val="0"/>
          <w:marBottom w:val="0"/>
          <w:divBdr>
            <w:top w:val="none" w:sz="0" w:space="0" w:color="auto"/>
            <w:left w:val="none" w:sz="0" w:space="0" w:color="auto"/>
            <w:bottom w:val="none" w:sz="0" w:space="0" w:color="auto"/>
            <w:right w:val="none" w:sz="0" w:space="0" w:color="auto"/>
          </w:divBdr>
        </w:div>
        <w:div w:id="1878658864">
          <w:marLeft w:val="0"/>
          <w:marRight w:val="0"/>
          <w:marTop w:val="0"/>
          <w:marBottom w:val="0"/>
          <w:divBdr>
            <w:top w:val="none" w:sz="0" w:space="0" w:color="auto"/>
            <w:left w:val="none" w:sz="0" w:space="0" w:color="auto"/>
            <w:bottom w:val="none" w:sz="0" w:space="0" w:color="auto"/>
            <w:right w:val="none" w:sz="0" w:space="0" w:color="auto"/>
          </w:divBdr>
        </w:div>
        <w:div w:id="70275954">
          <w:marLeft w:val="0"/>
          <w:marRight w:val="0"/>
          <w:marTop w:val="0"/>
          <w:marBottom w:val="0"/>
          <w:divBdr>
            <w:top w:val="none" w:sz="0" w:space="0" w:color="auto"/>
            <w:left w:val="none" w:sz="0" w:space="0" w:color="auto"/>
            <w:bottom w:val="none" w:sz="0" w:space="0" w:color="auto"/>
            <w:right w:val="none" w:sz="0" w:space="0" w:color="auto"/>
          </w:divBdr>
        </w:div>
        <w:div w:id="714741049">
          <w:marLeft w:val="0"/>
          <w:marRight w:val="0"/>
          <w:marTop w:val="0"/>
          <w:marBottom w:val="0"/>
          <w:divBdr>
            <w:top w:val="none" w:sz="0" w:space="0" w:color="auto"/>
            <w:left w:val="none" w:sz="0" w:space="0" w:color="auto"/>
            <w:bottom w:val="none" w:sz="0" w:space="0" w:color="auto"/>
            <w:right w:val="none" w:sz="0" w:space="0" w:color="auto"/>
          </w:divBdr>
        </w:div>
        <w:div w:id="1084574212">
          <w:marLeft w:val="0"/>
          <w:marRight w:val="0"/>
          <w:marTop w:val="0"/>
          <w:marBottom w:val="0"/>
          <w:divBdr>
            <w:top w:val="none" w:sz="0" w:space="0" w:color="auto"/>
            <w:left w:val="none" w:sz="0" w:space="0" w:color="auto"/>
            <w:bottom w:val="none" w:sz="0" w:space="0" w:color="auto"/>
            <w:right w:val="none" w:sz="0" w:space="0" w:color="auto"/>
          </w:divBdr>
        </w:div>
        <w:div w:id="1889295934">
          <w:marLeft w:val="0"/>
          <w:marRight w:val="0"/>
          <w:marTop w:val="0"/>
          <w:marBottom w:val="0"/>
          <w:divBdr>
            <w:top w:val="none" w:sz="0" w:space="0" w:color="auto"/>
            <w:left w:val="none" w:sz="0" w:space="0" w:color="auto"/>
            <w:bottom w:val="none" w:sz="0" w:space="0" w:color="auto"/>
            <w:right w:val="none" w:sz="0" w:space="0" w:color="auto"/>
          </w:divBdr>
        </w:div>
        <w:div w:id="31080483">
          <w:marLeft w:val="0"/>
          <w:marRight w:val="0"/>
          <w:marTop w:val="0"/>
          <w:marBottom w:val="0"/>
          <w:divBdr>
            <w:top w:val="none" w:sz="0" w:space="0" w:color="auto"/>
            <w:left w:val="none" w:sz="0" w:space="0" w:color="auto"/>
            <w:bottom w:val="none" w:sz="0" w:space="0" w:color="auto"/>
            <w:right w:val="none" w:sz="0" w:space="0" w:color="auto"/>
          </w:divBdr>
        </w:div>
        <w:div w:id="1603763005">
          <w:marLeft w:val="0"/>
          <w:marRight w:val="0"/>
          <w:marTop w:val="0"/>
          <w:marBottom w:val="0"/>
          <w:divBdr>
            <w:top w:val="none" w:sz="0" w:space="0" w:color="auto"/>
            <w:left w:val="none" w:sz="0" w:space="0" w:color="auto"/>
            <w:bottom w:val="none" w:sz="0" w:space="0" w:color="auto"/>
            <w:right w:val="none" w:sz="0" w:space="0" w:color="auto"/>
          </w:divBdr>
        </w:div>
        <w:div w:id="1925524871">
          <w:marLeft w:val="0"/>
          <w:marRight w:val="0"/>
          <w:marTop w:val="0"/>
          <w:marBottom w:val="0"/>
          <w:divBdr>
            <w:top w:val="none" w:sz="0" w:space="0" w:color="auto"/>
            <w:left w:val="none" w:sz="0" w:space="0" w:color="auto"/>
            <w:bottom w:val="none" w:sz="0" w:space="0" w:color="auto"/>
            <w:right w:val="none" w:sz="0" w:space="0" w:color="auto"/>
          </w:divBdr>
        </w:div>
        <w:div w:id="597759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auspathogen.org.au/" TargetMode="External"/><Relationship Id="rId26" Type="http://schemas.openxmlformats.org/officeDocument/2006/relationships/hyperlink" Target="https://static1.squarespace.com/static/5e4f5b7ee8b790561bbb65e4/t/5fab432f5e6bfa61e3936188/1605059383360/Framework+for+data+sharing+and+analysis+for+SARS-CoV-2+in+AusTrakka+-+AHPPC+endorsed.pdf"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ho.int/publications/i/item/9789240061743" TargetMode="External"/><Relationship Id="rId34" Type="http://schemas.openxmlformats.org/officeDocument/2006/relationships/hyperlink" Target="https://www.gov.uk/government/publications/genome-uk-the-future-of-healthcare/genome-uk-the-future-of-healthcare" TargetMode="External"/><Relationship Id="rId7" Type="http://schemas.openxmlformats.org/officeDocument/2006/relationships/settings" Target="settings.xml"/><Relationship Id="rId12" Type="http://schemas.openxmlformats.org/officeDocument/2006/relationships/hyperlink" Target="mailto:copyright@health.gov.au" TargetMode="External"/><Relationship Id="rId17" Type="http://schemas.openxmlformats.org/officeDocument/2006/relationships/hyperlink" Target="https://www.health.gov.au/resources/collections/national-health-genomics-policy-framework" TargetMode="External"/><Relationship Id="rId25" Type="http://schemas.openxmlformats.org/officeDocument/2006/relationships/hyperlink" Target="https://rcpaqap.com.au/" TargetMode="External"/><Relationship Id="rId33" Type="http://schemas.openxmlformats.org/officeDocument/2006/relationships/hyperlink" Target="https://biomedicalsciences.unimelb.edu.au/departments/microbiology-Immunology/research/our-research-centres-and-programs/centre-for-pathogen-genomics/about"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gov.au/resources/publications/national-microbial-genomics-framework-2019-2022?language=en" TargetMode="External"/><Relationship Id="rId20" Type="http://schemas.openxmlformats.org/officeDocument/2006/relationships/hyperlink" Target="https://www.health.gov.au/sites/default/files/documents/2021/11/cdgn-phln-and-cdna-sampling-strategy-for-sars-cov-2-genomic-surveillance_0.pdf" TargetMode="External"/><Relationship Id="rId29" Type="http://schemas.openxmlformats.org/officeDocument/2006/relationships/hyperlink" Target="https://www.who.int/initiatives/genomic-surveillance-strateg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gov.au/resources/publications/national-framework-for-communicable-disease-control?language=en" TargetMode="External"/><Relationship Id="rId32" Type="http://schemas.openxmlformats.org/officeDocument/2006/relationships/hyperlink" Target="https://www.who.int/initiatives/international-pathogen-surveillance-network"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https://www.nature.com/articles/sdata201618" TargetMode="External"/><Relationship Id="rId28" Type="http://schemas.openxmlformats.org/officeDocument/2006/relationships/hyperlink" Target="https://www.amr.gov.au/sites/default/files/2022-11/australia-s-national-antimicrobial-resistance-strategy-2020-and-beyond_0.pdf"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health.gov.au/resources/publications/national-framework-for-communicable-disease-control?language=en" TargetMode="External"/><Relationship Id="rId31" Type="http://schemas.openxmlformats.org/officeDocument/2006/relationships/hyperlink" Target="https://www.who.int/publications/i/item/97892400617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who.int/publications/i/item/9789241580496" TargetMode="External"/><Relationship Id="rId27" Type="http://schemas.openxmlformats.org/officeDocument/2006/relationships/hyperlink" Target="https://www.foodregulation.gov.au/resources/publications/australias-foodborne-illness-reduction-strategy-2018-2021" TargetMode="External"/><Relationship Id="rId30" Type="http://schemas.openxmlformats.org/officeDocument/2006/relationships/hyperlink" Target="https://www.who.int/publications/i/item/9789240052857" TargetMode="External"/><Relationship Id="rId35" Type="http://schemas.openxmlformats.org/officeDocument/2006/relationships/hyperlink" Target="https://assets.publishing.service.gov.uk/media/65aff68ef2718c000dfb1bd8/Pathogen_Genomics_Strategy_202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www.who.int/publications/i/item/9789240052857" TargetMode="External"/><Relationship Id="rId13" Type="http://schemas.openxmlformats.org/officeDocument/2006/relationships/hyperlink" Target="https://www.gov.uk/government/publications/genome-uk-2021-to-2022-implementation-plan/genome-uk-2021-to-2022-implementation-plan" TargetMode="External"/><Relationship Id="rId18" Type="http://schemas.openxmlformats.org/officeDocument/2006/relationships/hyperlink" Target="https://www.cdc.gov/amd/investments/index.html" TargetMode="External"/><Relationship Id="rId3" Type="http://schemas.openxmlformats.org/officeDocument/2006/relationships/hyperlink" Target="https://www.health.gov.au/sites/default/files/documents/2021/11/cdgn-phln-and-cdna-sampling-strategy-for-sars-cov-2-genomic-surveillance_0.pdf" TargetMode="External"/><Relationship Id="rId7" Type="http://schemas.openxmlformats.org/officeDocument/2006/relationships/hyperlink" Target="https://iris.who.int/handle/10665/352822" TargetMode="External"/><Relationship Id="rId12" Type="http://schemas.openxmlformats.org/officeDocument/2006/relationships/hyperlink" Target="https://www.gov.uk/government/publications/genome-uk-the-future-of-healthcare/genome-uk-the-future-of-healthcare" TargetMode="External"/><Relationship Id="rId17" Type="http://schemas.openxmlformats.org/officeDocument/2006/relationships/hyperlink" Target="https://www.cdc.gov/amd/whats-new/PGCOE-announcement.html" TargetMode="External"/><Relationship Id="rId2" Type="http://schemas.openxmlformats.org/officeDocument/2006/relationships/hyperlink" Target="http://www.go-fair.org/wp-content/uploads/2022/01/FAIRPrinciples_overview.pdf" TargetMode="External"/><Relationship Id="rId16" Type="http://schemas.openxmlformats.org/officeDocument/2006/relationships/hyperlink" Target="https://ised-isde.canada.ca/site/genomics/sites/default/files/documents/2022-05/Consultation-Paper-Developing-a-Pan%E2%80%91Canadian-Genomics-Strategy.pdf" TargetMode="External"/><Relationship Id="rId1" Type="http://schemas.openxmlformats.org/officeDocument/2006/relationships/hyperlink" Target="https://www.health.gov.au/sites/default/files/2023-11/australian-centre-for-disease-control-cdc-statement-of-intent-10-november-2023.pdf" TargetMode="External"/><Relationship Id="rId6" Type="http://schemas.openxmlformats.org/officeDocument/2006/relationships/hyperlink" Target="https://www.who.int/initiatives/genomic-surveillance-strategy" TargetMode="External"/><Relationship Id="rId11" Type="http://schemas.openxmlformats.org/officeDocument/2006/relationships/hyperlink" Target="https://www.whitehouse.gov/briefing-room/statements-releases/2021/09/24/fact-sheet-quad-leaders-summit/" TargetMode="External"/><Relationship Id="rId5" Type="http://schemas.openxmlformats.org/officeDocument/2006/relationships/hyperlink" Target="https://www.who.int/initiatives/genomic-surveillance-strategy" TargetMode="External"/><Relationship Id="rId15" Type="http://schemas.openxmlformats.org/officeDocument/2006/relationships/hyperlink" Target="https://www.who.int/emergencies/disease-outbreak-news/item/2022-DON369" TargetMode="External"/><Relationship Id="rId10" Type="http://schemas.openxmlformats.org/officeDocument/2006/relationships/hyperlink" Target="https://www.who.int/initiatives/international-pathogen-surveillance-network" TargetMode="External"/><Relationship Id="rId19" Type="http://schemas.openxmlformats.org/officeDocument/2006/relationships/hyperlink" Target="https://www.duke-nus.edu.sg/about/media/media-releases/centre-for-outbreak-preparedness" TargetMode="External"/><Relationship Id="rId4" Type="http://schemas.openxmlformats.org/officeDocument/2006/relationships/hyperlink" Target="https://www.msac.gov.au/sites/default/files/documents/1646%2520-%2520Final%2520PSD_Mar-Apr2022.pdf" TargetMode="External"/><Relationship Id="rId9" Type="http://schemas.openxmlformats.org/officeDocument/2006/relationships/hyperlink" Target="https://www.who.int/publications/i/item/9789240061743" TargetMode="External"/><Relationship Id="rId14" Type="http://schemas.openxmlformats.org/officeDocument/2006/relationships/hyperlink" Target="https://assets.publishing.service.gov.uk/media/65aff68ef2718c000dfb1bd8/Pathogen_Genomics_Strategy_2024.pdf" TargetMode="External"/></Relationships>
</file>

<file path=word/theme/theme1.xml><?xml version="1.0" encoding="utf-8"?>
<a:theme xmlns:a="http://schemas.openxmlformats.org/drawingml/2006/main" name="CDC">
  <a:themeElements>
    <a:clrScheme name="CDC">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0"/>
      </a:accent6>
      <a:hlink>
        <a:srgbClr val="184174"/>
      </a:hlink>
      <a:folHlink>
        <a:srgbClr val="6D6D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C" id="{03A27568-D0A4-4B67-95AA-CA1E9E833DA3}" vid="{27FB942B-FA4F-4756-9360-D91B8DD8CE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8" ma:contentTypeDescription="Create a new document." ma:contentTypeScope="" ma:versionID="0e60a5478d968b6d99d9d0c002a95e29">
  <xsd:schema xmlns:xsd="http://www.w3.org/2001/XMLSchema" xmlns:xs="http://www.w3.org/2001/XMLSchema" xmlns:p="http://schemas.microsoft.com/office/2006/metadata/properties" xmlns:ns2="b8d296df-c91f-46ec-882c-a5f320b081a8" xmlns:ns3="2c0b4a26-a0a6-442a-a800-f5fe1d9f3f5b" targetNamespace="http://schemas.microsoft.com/office/2006/metadata/properties" ma:root="true" ma:fieldsID="520d3a4f071b7fa335382e4f2f8e16d1" ns2:_="" ns3:_="">
    <xsd:import namespace="b8d296df-c91f-46ec-882c-a5f320b081a8"/>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ABA88-CBE0-FC4A-8C00-4C64D752A964}">
  <ds:schemaRefs>
    <ds:schemaRef ds:uri="http://schemas.openxmlformats.org/officeDocument/2006/bibliography"/>
  </ds:schemaRefs>
</ds:datastoreItem>
</file>

<file path=customXml/itemProps2.xml><?xml version="1.0" encoding="utf-8"?>
<ds:datastoreItem xmlns:ds="http://schemas.openxmlformats.org/officeDocument/2006/customXml" ds:itemID="{B05A9B10-5F51-4B77-8E24-BE7F3A13CEC7}">
  <ds:schemaRefs>
    <ds:schemaRef ds:uri="http://schemas.microsoft.com/sharepoint/v3/contenttype/forms"/>
  </ds:schemaRefs>
</ds:datastoreItem>
</file>

<file path=customXml/itemProps3.xml><?xml version="1.0" encoding="utf-8"?>
<ds:datastoreItem xmlns:ds="http://schemas.openxmlformats.org/officeDocument/2006/customXml" ds:itemID="{15DB071C-FEF0-4732-A28D-AED258A462C6}">
  <ds:schemaRefs>
    <ds:schemaRef ds:uri="http://purl.org/dc/elements/1.1/"/>
    <ds:schemaRef ds:uri="http://schemas.microsoft.com/office/2006/metadata/properties"/>
    <ds:schemaRef ds:uri="http://purl.org/dc/terms/"/>
    <ds:schemaRef ds:uri="b8d296df-c91f-46ec-882c-a5f320b081a8"/>
    <ds:schemaRef ds:uri="http://schemas.microsoft.com/office/2006/documentManagement/types"/>
    <ds:schemaRef ds:uri="http://schemas.microsoft.com/office/infopath/2007/PartnerControls"/>
    <ds:schemaRef ds:uri="2c0b4a26-a0a6-442a-a800-f5fe1d9f3f5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73D1385-80B1-4904-A9C6-9FDEB1C98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296df-c91f-46ec-882c-a5f320b081a8"/>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16446</Words>
  <Characters>103981</Characters>
  <Application>Microsoft Office Word</Application>
  <DocSecurity>4</DocSecurity>
  <Lines>2285</Lines>
  <Paragraphs>1068</Paragraphs>
  <ScaleCrop>false</ScaleCrop>
  <HeadingPairs>
    <vt:vector size="2" baseType="variant">
      <vt:variant>
        <vt:lpstr>Title</vt:lpstr>
      </vt:variant>
      <vt:variant>
        <vt:i4>1</vt:i4>
      </vt:variant>
    </vt:vector>
  </HeadingPairs>
  <TitlesOfParts>
    <vt:vector size="1" baseType="lpstr">
      <vt:lpstr>National Microbial Genomics Framework for Public Health 2025–2027</vt:lpstr>
    </vt:vector>
  </TitlesOfParts>
  <Company/>
  <LinksUpToDate>false</LinksUpToDate>
  <CharactersWithSpaces>119742</CharactersWithSpaces>
  <SharedDoc>false</SharedDoc>
  <HLinks>
    <vt:vector size="666" baseType="variant">
      <vt:variant>
        <vt:i4>6029437</vt:i4>
      </vt:variant>
      <vt:variant>
        <vt:i4>471</vt:i4>
      </vt:variant>
      <vt:variant>
        <vt:i4>0</vt:i4>
      </vt:variant>
      <vt:variant>
        <vt:i4>5</vt:i4>
      </vt:variant>
      <vt:variant>
        <vt:lpwstr>https://assets.publishing.service.gov.uk/media/65aff68ef2718c000dfb1bd8/Pathogen_Genomics_Strategy_2024.pdf</vt:lpwstr>
      </vt:variant>
      <vt:variant>
        <vt:lpwstr/>
      </vt:variant>
      <vt:variant>
        <vt:i4>5505032</vt:i4>
      </vt:variant>
      <vt:variant>
        <vt:i4>468</vt:i4>
      </vt:variant>
      <vt:variant>
        <vt:i4>0</vt:i4>
      </vt:variant>
      <vt:variant>
        <vt:i4>5</vt:i4>
      </vt:variant>
      <vt:variant>
        <vt:lpwstr>https://www.gov.uk/government/publications/genome-uk-the-future-of-healthcare/genome-uk-the-future-of-healthcare</vt:lpwstr>
      </vt:variant>
      <vt:variant>
        <vt:lpwstr/>
      </vt:variant>
      <vt:variant>
        <vt:i4>3538989</vt:i4>
      </vt:variant>
      <vt:variant>
        <vt:i4>465</vt:i4>
      </vt:variant>
      <vt:variant>
        <vt:i4>0</vt:i4>
      </vt:variant>
      <vt:variant>
        <vt:i4>5</vt:i4>
      </vt:variant>
      <vt:variant>
        <vt:lpwstr>https://biomedicalsciences.unimelb.edu.au/departments/microbiology-Immunology/research/our-research-centres-and-programs/centre-for-pathogen-genomics/about</vt:lpwstr>
      </vt:variant>
      <vt:variant>
        <vt:lpwstr/>
      </vt:variant>
      <vt:variant>
        <vt:i4>6422627</vt:i4>
      </vt:variant>
      <vt:variant>
        <vt:i4>462</vt:i4>
      </vt:variant>
      <vt:variant>
        <vt:i4>0</vt:i4>
      </vt:variant>
      <vt:variant>
        <vt:i4>5</vt:i4>
      </vt:variant>
      <vt:variant>
        <vt:lpwstr>https://www.who.int/initiatives/international-pathogen-surveillance-network</vt:lpwstr>
      </vt:variant>
      <vt:variant>
        <vt:lpwstr/>
      </vt:variant>
      <vt:variant>
        <vt:i4>1572931</vt:i4>
      </vt:variant>
      <vt:variant>
        <vt:i4>459</vt:i4>
      </vt:variant>
      <vt:variant>
        <vt:i4>0</vt:i4>
      </vt:variant>
      <vt:variant>
        <vt:i4>5</vt:i4>
      </vt:variant>
      <vt:variant>
        <vt:lpwstr>https://www.who.int/publications/i/item/9789240061743</vt:lpwstr>
      </vt:variant>
      <vt:variant>
        <vt:lpwstr/>
      </vt:variant>
      <vt:variant>
        <vt:i4>1704015</vt:i4>
      </vt:variant>
      <vt:variant>
        <vt:i4>456</vt:i4>
      </vt:variant>
      <vt:variant>
        <vt:i4>0</vt:i4>
      </vt:variant>
      <vt:variant>
        <vt:i4>5</vt:i4>
      </vt:variant>
      <vt:variant>
        <vt:lpwstr>https://www.who.int/publications/i/item/9789240052857</vt:lpwstr>
      </vt:variant>
      <vt:variant>
        <vt:lpwstr/>
      </vt:variant>
      <vt:variant>
        <vt:i4>7405618</vt:i4>
      </vt:variant>
      <vt:variant>
        <vt:i4>453</vt:i4>
      </vt:variant>
      <vt:variant>
        <vt:i4>0</vt:i4>
      </vt:variant>
      <vt:variant>
        <vt:i4>5</vt:i4>
      </vt:variant>
      <vt:variant>
        <vt:lpwstr>https://www.who.int/initiatives/genomic-surveillance-strategy</vt:lpwstr>
      </vt:variant>
      <vt:variant>
        <vt:lpwstr>:~:text=Global%20genomic%20surveillance%20strategy%20for%20pathogens%20with%20pandemic,detection%2C%20monitoring%20and%20response%20to%20public%20health%20threats</vt:lpwstr>
      </vt:variant>
      <vt:variant>
        <vt:i4>1114161</vt:i4>
      </vt:variant>
      <vt:variant>
        <vt:i4>450</vt:i4>
      </vt:variant>
      <vt:variant>
        <vt:i4>0</vt:i4>
      </vt:variant>
      <vt:variant>
        <vt:i4>5</vt:i4>
      </vt:variant>
      <vt:variant>
        <vt:lpwstr>https://www.amr.gov.au/sites/default/files/2022-11/australia-s-national-antimicrobial-resistance-strategy-2020-and-beyond_0.pdf</vt:lpwstr>
      </vt:variant>
      <vt:variant>
        <vt:lpwstr/>
      </vt:variant>
      <vt:variant>
        <vt:i4>7405623</vt:i4>
      </vt:variant>
      <vt:variant>
        <vt:i4>447</vt:i4>
      </vt:variant>
      <vt:variant>
        <vt:i4>0</vt:i4>
      </vt:variant>
      <vt:variant>
        <vt:i4>5</vt:i4>
      </vt:variant>
      <vt:variant>
        <vt:lpwstr>https://www.foodregulation.gov.au/resources/publications/australias-foodborne-illness-reduction-strategy-2018-2021</vt:lpwstr>
      </vt:variant>
      <vt:variant>
        <vt:lpwstr/>
      </vt:variant>
      <vt:variant>
        <vt:i4>262210</vt:i4>
      </vt:variant>
      <vt:variant>
        <vt:i4>444</vt:i4>
      </vt:variant>
      <vt:variant>
        <vt:i4>0</vt:i4>
      </vt:variant>
      <vt:variant>
        <vt:i4>5</vt:i4>
      </vt:variant>
      <vt:variant>
        <vt:lpwstr>https://static1.squarespace.com/static/5e4f5b7ee8b790561bbb65e4/t/5fab432f5e6bfa61e3936188/1605059383360/Framework+for+data+sharing+and+analysis+for+SARS-CoV-2+in+AusTrakka+-+AHPPC+endorsed.pdf</vt:lpwstr>
      </vt:variant>
      <vt:variant>
        <vt:lpwstr/>
      </vt:variant>
      <vt:variant>
        <vt:i4>6815788</vt:i4>
      </vt:variant>
      <vt:variant>
        <vt:i4>441</vt:i4>
      </vt:variant>
      <vt:variant>
        <vt:i4>0</vt:i4>
      </vt:variant>
      <vt:variant>
        <vt:i4>5</vt:i4>
      </vt:variant>
      <vt:variant>
        <vt:lpwstr>https://rcpaqap.com.au/</vt:lpwstr>
      </vt:variant>
      <vt:variant>
        <vt:lpwstr/>
      </vt:variant>
      <vt:variant>
        <vt:i4>8192005</vt:i4>
      </vt:variant>
      <vt:variant>
        <vt:i4>438</vt:i4>
      </vt:variant>
      <vt:variant>
        <vt:i4>0</vt:i4>
      </vt:variant>
      <vt:variant>
        <vt:i4>5</vt:i4>
      </vt:variant>
      <vt:variant>
        <vt:lpwstr>https://www.health.gov.au/sites/default/files/documents/2021/11/cdgn-phln-and-cdna-sampling-strategy-for-sars-cov-2-genomic-surveillance_0.pdf</vt:lpwstr>
      </vt:variant>
      <vt:variant>
        <vt:lpwstr/>
      </vt:variant>
      <vt:variant>
        <vt:i4>5308485</vt:i4>
      </vt:variant>
      <vt:variant>
        <vt:i4>435</vt:i4>
      </vt:variant>
      <vt:variant>
        <vt:i4>0</vt:i4>
      </vt:variant>
      <vt:variant>
        <vt:i4>5</vt:i4>
      </vt:variant>
      <vt:variant>
        <vt:lpwstr>https://www.health.gov.au/resources/publications/national-framework-for-communicable-disease-control?language=en</vt:lpwstr>
      </vt:variant>
      <vt:variant>
        <vt:lpwstr/>
      </vt:variant>
      <vt:variant>
        <vt:i4>2687031</vt:i4>
      </vt:variant>
      <vt:variant>
        <vt:i4>432</vt:i4>
      </vt:variant>
      <vt:variant>
        <vt:i4>0</vt:i4>
      </vt:variant>
      <vt:variant>
        <vt:i4>5</vt:i4>
      </vt:variant>
      <vt:variant>
        <vt:lpwstr>https://www.nature.com/articles/sdata201618</vt:lpwstr>
      </vt:variant>
      <vt:variant>
        <vt:lpwstr/>
      </vt:variant>
      <vt:variant>
        <vt:i4>1114191</vt:i4>
      </vt:variant>
      <vt:variant>
        <vt:i4>429</vt:i4>
      </vt:variant>
      <vt:variant>
        <vt:i4>0</vt:i4>
      </vt:variant>
      <vt:variant>
        <vt:i4>5</vt:i4>
      </vt:variant>
      <vt:variant>
        <vt:lpwstr>https://www.who.int/publications/i/item/9789241580496</vt:lpwstr>
      </vt:variant>
      <vt:variant>
        <vt:lpwstr/>
      </vt:variant>
      <vt:variant>
        <vt:i4>1572931</vt:i4>
      </vt:variant>
      <vt:variant>
        <vt:i4>426</vt:i4>
      </vt:variant>
      <vt:variant>
        <vt:i4>0</vt:i4>
      </vt:variant>
      <vt:variant>
        <vt:i4>5</vt:i4>
      </vt:variant>
      <vt:variant>
        <vt:lpwstr>https://www.who.int/publications/i/item/9789240061743</vt:lpwstr>
      </vt:variant>
      <vt:variant>
        <vt:lpwstr/>
      </vt:variant>
      <vt:variant>
        <vt:i4>8192005</vt:i4>
      </vt:variant>
      <vt:variant>
        <vt:i4>423</vt:i4>
      </vt:variant>
      <vt:variant>
        <vt:i4>0</vt:i4>
      </vt:variant>
      <vt:variant>
        <vt:i4>5</vt:i4>
      </vt:variant>
      <vt:variant>
        <vt:lpwstr>https://www.health.gov.au/sites/default/files/documents/2021/11/cdgn-phln-and-cdna-sampling-strategy-for-sars-cov-2-genomic-surveillance_0.pdf</vt:lpwstr>
      </vt:variant>
      <vt:variant>
        <vt:lpwstr/>
      </vt:variant>
      <vt:variant>
        <vt:i4>5308485</vt:i4>
      </vt:variant>
      <vt:variant>
        <vt:i4>420</vt:i4>
      </vt:variant>
      <vt:variant>
        <vt:i4>0</vt:i4>
      </vt:variant>
      <vt:variant>
        <vt:i4>5</vt:i4>
      </vt:variant>
      <vt:variant>
        <vt:lpwstr>https://www.health.gov.au/resources/publications/national-framework-for-communicable-disease-control?language=en</vt:lpwstr>
      </vt:variant>
      <vt:variant>
        <vt:lpwstr/>
      </vt:variant>
      <vt:variant>
        <vt:i4>3407931</vt:i4>
      </vt:variant>
      <vt:variant>
        <vt:i4>417</vt:i4>
      </vt:variant>
      <vt:variant>
        <vt:i4>0</vt:i4>
      </vt:variant>
      <vt:variant>
        <vt:i4>5</vt:i4>
      </vt:variant>
      <vt:variant>
        <vt:lpwstr>https://www.auspathogen.org.au/</vt:lpwstr>
      </vt:variant>
      <vt:variant>
        <vt:lpwstr/>
      </vt:variant>
      <vt:variant>
        <vt:i4>917569</vt:i4>
      </vt:variant>
      <vt:variant>
        <vt:i4>411</vt:i4>
      </vt:variant>
      <vt:variant>
        <vt:i4>0</vt:i4>
      </vt:variant>
      <vt:variant>
        <vt:i4>5</vt:i4>
      </vt:variant>
      <vt:variant>
        <vt:lpwstr>https://www.health.gov.au/resources/collections/national-health-genomics-policy-framework</vt:lpwstr>
      </vt:variant>
      <vt:variant>
        <vt:lpwstr/>
      </vt:variant>
      <vt:variant>
        <vt:i4>4390995</vt:i4>
      </vt:variant>
      <vt:variant>
        <vt:i4>408</vt:i4>
      </vt:variant>
      <vt:variant>
        <vt:i4>0</vt:i4>
      </vt:variant>
      <vt:variant>
        <vt:i4>5</vt:i4>
      </vt:variant>
      <vt:variant>
        <vt:lpwstr>https://www.health.gov.au/resources/publications/national-microbial-genomics-framework-2019-2022?language=en</vt:lpwstr>
      </vt:variant>
      <vt:variant>
        <vt:lpwstr/>
      </vt:variant>
      <vt:variant>
        <vt:i4>1376318</vt:i4>
      </vt:variant>
      <vt:variant>
        <vt:i4>401</vt:i4>
      </vt:variant>
      <vt:variant>
        <vt:i4>0</vt:i4>
      </vt:variant>
      <vt:variant>
        <vt:i4>5</vt:i4>
      </vt:variant>
      <vt:variant>
        <vt:lpwstr/>
      </vt:variant>
      <vt:variant>
        <vt:lpwstr>_Toc184122991</vt:lpwstr>
      </vt:variant>
      <vt:variant>
        <vt:i4>1376318</vt:i4>
      </vt:variant>
      <vt:variant>
        <vt:i4>395</vt:i4>
      </vt:variant>
      <vt:variant>
        <vt:i4>0</vt:i4>
      </vt:variant>
      <vt:variant>
        <vt:i4>5</vt:i4>
      </vt:variant>
      <vt:variant>
        <vt:lpwstr/>
      </vt:variant>
      <vt:variant>
        <vt:lpwstr>_Toc184122990</vt:lpwstr>
      </vt:variant>
      <vt:variant>
        <vt:i4>1310782</vt:i4>
      </vt:variant>
      <vt:variant>
        <vt:i4>389</vt:i4>
      </vt:variant>
      <vt:variant>
        <vt:i4>0</vt:i4>
      </vt:variant>
      <vt:variant>
        <vt:i4>5</vt:i4>
      </vt:variant>
      <vt:variant>
        <vt:lpwstr/>
      </vt:variant>
      <vt:variant>
        <vt:lpwstr>_Toc184122989</vt:lpwstr>
      </vt:variant>
      <vt:variant>
        <vt:i4>1310782</vt:i4>
      </vt:variant>
      <vt:variant>
        <vt:i4>383</vt:i4>
      </vt:variant>
      <vt:variant>
        <vt:i4>0</vt:i4>
      </vt:variant>
      <vt:variant>
        <vt:i4>5</vt:i4>
      </vt:variant>
      <vt:variant>
        <vt:lpwstr/>
      </vt:variant>
      <vt:variant>
        <vt:lpwstr>_Toc184122988</vt:lpwstr>
      </vt:variant>
      <vt:variant>
        <vt:i4>1310782</vt:i4>
      </vt:variant>
      <vt:variant>
        <vt:i4>377</vt:i4>
      </vt:variant>
      <vt:variant>
        <vt:i4>0</vt:i4>
      </vt:variant>
      <vt:variant>
        <vt:i4>5</vt:i4>
      </vt:variant>
      <vt:variant>
        <vt:lpwstr/>
      </vt:variant>
      <vt:variant>
        <vt:lpwstr>_Toc184122987</vt:lpwstr>
      </vt:variant>
      <vt:variant>
        <vt:i4>1310782</vt:i4>
      </vt:variant>
      <vt:variant>
        <vt:i4>371</vt:i4>
      </vt:variant>
      <vt:variant>
        <vt:i4>0</vt:i4>
      </vt:variant>
      <vt:variant>
        <vt:i4>5</vt:i4>
      </vt:variant>
      <vt:variant>
        <vt:lpwstr/>
      </vt:variant>
      <vt:variant>
        <vt:lpwstr>_Toc184122986</vt:lpwstr>
      </vt:variant>
      <vt:variant>
        <vt:i4>1310782</vt:i4>
      </vt:variant>
      <vt:variant>
        <vt:i4>365</vt:i4>
      </vt:variant>
      <vt:variant>
        <vt:i4>0</vt:i4>
      </vt:variant>
      <vt:variant>
        <vt:i4>5</vt:i4>
      </vt:variant>
      <vt:variant>
        <vt:lpwstr/>
      </vt:variant>
      <vt:variant>
        <vt:lpwstr>_Toc184122985</vt:lpwstr>
      </vt:variant>
      <vt:variant>
        <vt:i4>1310782</vt:i4>
      </vt:variant>
      <vt:variant>
        <vt:i4>359</vt:i4>
      </vt:variant>
      <vt:variant>
        <vt:i4>0</vt:i4>
      </vt:variant>
      <vt:variant>
        <vt:i4>5</vt:i4>
      </vt:variant>
      <vt:variant>
        <vt:lpwstr/>
      </vt:variant>
      <vt:variant>
        <vt:lpwstr>_Toc184122984</vt:lpwstr>
      </vt:variant>
      <vt:variant>
        <vt:i4>1310782</vt:i4>
      </vt:variant>
      <vt:variant>
        <vt:i4>353</vt:i4>
      </vt:variant>
      <vt:variant>
        <vt:i4>0</vt:i4>
      </vt:variant>
      <vt:variant>
        <vt:i4>5</vt:i4>
      </vt:variant>
      <vt:variant>
        <vt:lpwstr/>
      </vt:variant>
      <vt:variant>
        <vt:lpwstr>_Toc184122983</vt:lpwstr>
      </vt:variant>
      <vt:variant>
        <vt:i4>1310782</vt:i4>
      </vt:variant>
      <vt:variant>
        <vt:i4>347</vt:i4>
      </vt:variant>
      <vt:variant>
        <vt:i4>0</vt:i4>
      </vt:variant>
      <vt:variant>
        <vt:i4>5</vt:i4>
      </vt:variant>
      <vt:variant>
        <vt:lpwstr/>
      </vt:variant>
      <vt:variant>
        <vt:lpwstr>_Toc184122982</vt:lpwstr>
      </vt:variant>
      <vt:variant>
        <vt:i4>1310782</vt:i4>
      </vt:variant>
      <vt:variant>
        <vt:i4>341</vt:i4>
      </vt:variant>
      <vt:variant>
        <vt:i4>0</vt:i4>
      </vt:variant>
      <vt:variant>
        <vt:i4>5</vt:i4>
      </vt:variant>
      <vt:variant>
        <vt:lpwstr/>
      </vt:variant>
      <vt:variant>
        <vt:lpwstr>_Toc184122981</vt:lpwstr>
      </vt:variant>
      <vt:variant>
        <vt:i4>1310782</vt:i4>
      </vt:variant>
      <vt:variant>
        <vt:i4>335</vt:i4>
      </vt:variant>
      <vt:variant>
        <vt:i4>0</vt:i4>
      </vt:variant>
      <vt:variant>
        <vt:i4>5</vt:i4>
      </vt:variant>
      <vt:variant>
        <vt:lpwstr/>
      </vt:variant>
      <vt:variant>
        <vt:lpwstr>_Toc184122980</vt:lpwstr>
      </vt:variant>
      <vt:variant>
        <vt:i4>1769534</vt:i4>
      </vt:variant>
      <vt:variant>
        <vt:i4>329</vt:i4>
      </vt:variant>
      <vt:variant>
        <vt:i4>0</vt:i4>
      </vt:variant>
      <vt:variant>
        <vt:i4>5</vt:i4>
      </vt:variant>
      <vt:variant>
        <vt:lpwstr/>
      </vt:variant>
      <vt:variant>
        <vt:lpwstr>_Toc184122979</vt:lpwstr>
      </vt:variant>
      <vt:variant>
        <vt:i4>1769534</vt:i4>
      </vt:variant>
      <vt:variant>
        <vt:i4>323</vt:i4>
      </vt:variant>
      <vt:variant>
        <vt:i4>0</vt:i4>
      </vt:variant>
      <vt:variant>
        <vt:i4>5</vt:i4>
      </vt:variant>
      <vt:variant>
        <vt:lpwstr/>
      </vt:variant>
      <vt:variant>
        <vt:lpwstr>_Toc184122978</vt:lpwstr>
      </vt:variant>
      <vt:variant>
        <vt:i4>1769534</vt:i4>
      </vt:variant>
      <vt:variant>
        <vt:i4>317</vt:i4>
      </vt:variant>
      <vt:variant>
        <vt:i4>0</vt:i4>
      </vt:variant>
      <vt:variant>
        <vt:i4>5</vt:i4>
      </vt:variant>
      <vt:variant>
        <vt:lpwstr/>
      </vt:variant>
      <vt:variant>
        <vt:lpwstr>_Toc184122977</vt:lpwstr>
      </vt:variant>
      <vt:variant>
        <vt:i4>1769534</vt:i4>
      </vt:variant>
      <vt:variant>
        <vt:i4>311</vt:i4>
      </vt:variant>
      <vt:variant>
        <vt:i4>0</vt:i4>
      </vt:variant>
      <vt:variant>
        <vt:i4>5</vt:i4>
      </vt:variant>
      <vt:variant>
        <vt:lpwstr/>
      </vt:variant>
      <vt:variant>
        <vt:lpwstr>_Toc184122976</vt:lpwstr>
      </vt:variant>
      <vt:variant>
        <vt:i4>1769534</vt:i4>
      </vt:variant>
      <vt:variant>
        <vt:i4>305</vt:i4>
      </vt:variant>
      <vt:variant>
        <vt:i4>0</vt:i4>
      </vt:variant>
      <vt:variant>
        <vt:i4>5</vt:i4>
      </vt:variant>
      <vt:variant>
        <vt:lpwstr/>
      </vt:variant>
      <vt:variant>
        <vt:lpwstr>_Toc184122975</vt:lpwstr>
      </vt:variant>
      <vt:variant>
        <vt:i4>1769534</vt:i4>
      </vt:variant>
      <vt:variant>
        <vt:i4>299</vt:i4>
      </vt:variant>
      <vt:variant>
        <vt:i4>0</vt:i4>
      </vt:variant>
      <vt:variant>
        <vt:i4>5</vt:i4>
      </vt:variant>
      <vt:variant>
        <vt:lpwstr/>
      </vt:variant>
      <vt:variant>
        <vt:lpwstr>_Toc184122974</vt:lpwstr>
      </vt:variant>
      <vt:variant>
        <vt:i4>1769534</vt:i4>
      </vt:variant>
      <vt:variant>
        <vt:i4>293</vt:i4>
      </vt:variant>
      <vt:variant>
        <vt:i4>0</vt:i4>
      </vt:variant>
      <vt:variant>
        <vt:i4>5</vt:i4>
      </vt:variant>
      <vt:variant>
        <vt:lpwstr/>
      </vt:variant>
      <vt:variant>
        <vt:lpwstr>_Toc184122973</vt:lpwstr>
      </vt:variant>
      <vt:variant>
        <vt:i4>1769534</vt:i4>
      </vt:variant>
      <vt:variant>
        <vt:i4>287</vt:i4>
      </vt:variant>
      <vt:variant>
        <vt:i4>0</vt:i4>
      </vt:variant>
      <vt:variant>
        <vt:i4>5</vt:i4>
      </vt:variant>
      <vt:variant>
        <vt:lpwstr/>
      </vt:variant>
      <vt:variant>
        <vt:lpwstr>_Toc184122972</vt:lpwstr>
      </vt:variant>
      <vt:variant>
        <vt:i4>1769534</vt:i4>
      </vt:variant>
      <vt:variant>
        <vt:i4>281</vt:i4>
      </vt:variant>
      <vt:variant>
        <vt:i4>0</vt:i4>
      </vt:variant>
      <vt:variant>
        <vt:i4>5</vt:i4>
      </vt:variant>
      <vt:variant>
        <vt:lpwstr/>
      </vt:variant>
      <vt:variant>
        <vt:lpwstr>_Toc184122971</vt:lpwstr>
      </vt:variant>
      <vt:variant>
        <vt:i4>1769534</vt:i4>
      </vt:variant>
      <vt:variant>
        <vt:i4>275</vt:i4>
      </vt:variant>
      <vt:variant>
        <vt:i4>0</vt:i4>
      </vt:variant>
      <vt:variant>
        <vt:i4>5</vt:i4>
      </vt:variant>
      <vt:variant>
        <vt:lpwstr/>
      </vt:variant>
      <vt:variant>
        <vt:lpwstr>_Toc184122970</vt:lpwstr>
      </vt:variant>
      <vt:variant>
        <vt:i4>1703998</vt:i4>
      </vt:variant>
      <vt:variant>
        <vt:i4>269</vt:i4>
      </vt:variant>
      <vt:variant>
        <vt:i4>0</vt:i4>
      </vt:variant>
      <vt:variant>
        <vt:i4>5</vt:i4>
      </vt:variant>
      <vt:variant>
        <vt:lpwstr/>
      </vt:variant>
      <vt:variant>
        <vt:lpwstr>_Toc184122969</vt:lpwstr>
      </vt:variant>
      <vt:variant>
        <vt:i4>1703998</vt:i4>
      </vt:variant>
      <vt:variant>
        <vt:i4>263</vt:i4>
      </vt:variant>
      <vt:variant>
        <vt:i4>0</vt:i4>
      </vt:variant>
      <vt:variant>
        <vt:i4>5</vt:i4>
      </vt:variant>
      <vt:variant>
        <vt:lpwstr/>
      </vt:variant>
      <vt:variant>
        <vt:lpwstr>_Toc184122968</vt:lpwstr>
      </vt:variant>
      <vt:variant>
        <vt:i4>1703998</vt:i4>
      </vt:variant>
      <vt:variant>
        <vt:i4>257</vt:i4>
      </vt:variant>
      <vt:variant>
        <vt:i4>0</vt:i4>
      </vt:variant>
      <vt:variant>
        <vt:i4>5</vt:i4>
      </vt:variant>
      <vt:variant>
        <vt:lpwstr/>
      </vt:variant>
      <vt:variant>
        <vt:lpwstr>_Toc184122967</vt:lpwstr>
      </vt:variant>
      <vt:variant>
        <vt:i4>1703998</vt:i4>
      </vt:variant>
      <vt:variant>
        <vt:i4>251</vt:i4>
      </vt:variant>
      <vt:variant>
        <vt:i4>0</vt:i4>
      </vt:variant>
      <vt:variant>
        <vt:i4>5</vt:i4>
      </vt:variant>
      <vt:variant>
        <vt:lpwstr/>
      </vt:variant>
      <vt:variant>
        <vt:lpwstr>_Toc184122966</vt:lpwstr>
      </vt:variant>
      <vt:variant>
        <vt:i4>1703998</vt:i4>
      </vt:variant>
      <vt:variant>
        <vt:i4>245</vt:i4>
      </vt:variant>
      <vt:variant>
        <vt:i4>0</vt:i4>
      </vt:variant>
      <vt:variant>
        <vt:i4>5</vt:i4>
      </vt:variant>
      <vt:variant>
        <vt:lpwstr/>
      </vt:variant>
      <vt:variant>
        <vt:lpwstr>_Toc184122965</vt:lpwstr>
      </vt:variant>
      <vt:variant>
        <vt:i4>1703998</vt:i4>
      </vt:variant>
      <vt:variant>
        <vt:i4>239</vt:i4>
      </vt:variant>
      <vt:variant>
        <vt:i4>0</vt:i4>
      </vt:variant>
      <vt:variant>
        <vt:i4>5</vt:i4>
      </vt:variant>
      <vt:variant>
        <vt:lpwstr/>
      </vt:variant>
      <vt:variant>
        <vt:lpwstr>_Toc184122964</vt:lpwstr>
      </vt:variant>
      <vt:variant>
        <vt:i4>1703998</vt:i4>
      </vt:variant>
      <vt:variant>
        <vt:i4>233</vt:i4>
      </vt:variant>
      <vt:variant>
        <vt:i4>0</vt:i4>
      </vt:variant>
      <vt:variant>
        <vt:i4>5</vt:i4>
      </vt:variant>
      <vt:variant>
        <vt:lpwstr/>
      </vt:variant>
      <vt:variant>
        <vt:lpwstr>_Toc184122963</vt:lpwstr>
      </vt:variant>
      <vt:variant>
        <vt:i4>1703998</vt:i4>
      </vt:variant>
      <vt:variant>
        <vt:i4>227</vt:i4>
      </vt:variant>
      <vt:variant>
        <vt:i4>0</vt:i4>
      </vt:variant>
      <vt:variant>
        <vt:i4>5</vt:i4>
      </vt:variant>
      <vt:variant>
        <vt:lpwstr/>
      </vt:variant>
      <vt:variant>
        <vt:lpwstr>_Toc184122962</vt:lpwstr>
      </vt:variant>
      <vt:variant>
        <vt:i4>1703998</vt:i4>
      </vt:variant>
      <vt:variant>
        <vt:i4>221</vt:i4>
      </vt:variant>
      <vt:variant>
        <vt:i4>0</vt:i4>
      </vt:variant>
      <vt:variant>
        <vt:i4>5</vt:i4>
      </vt:variant>
      <vt:variant>
        <vt:lpwstr/>
      </vt:variant>
      <vt:variant>
        <vt:lpwstr>_Toc184122961</vt:lpwstr>
      </vt:variant>
      <vt:variant>
        <vt:i4>1703998</vt:i4>
      </vt:variant>
      <vt:variant>
        <vt:i4>215</vt:i4>
      </vt:variant>
      <vt:variant>
        <vt:i4>0</vt:i4>
      </vt:variant>
      <vt:variant>
        <vt:i4>5</vt:i4>
      </vt:variant>
      <vt:variant>
        <vt:lpwstr/>
      </vt:variant>
      <vt:variant>
        <vt:lpwstr>_Toc184122960</vt:lpwstr>
      </vt:variant>
      <vt:variant>
        <vt:i4>1638462</vt:i4>
      </vt:variant>
      <vt:variant>
        <vt:i4>209</vt:i4>
      </vt:variant>
      <vt:variant>
        <vt:i4>0</vt:i4>
      </vt:variant>
      <vt:variant>
        <vt:i4>5</vt:i4>
      </vt:variant>
      <vt:variant>
        <vt:lpwstr/>
      </vt:variant>
      <vt:variant>
        <vt:lpwstr>_Toc184122959</vt:lpwstr>
      </vt:variant>
      <vt:variant>
        <vt:i4>1638462</vt:i4>
      </vt:variant>
      <vt:variant>
        <vt:i4>203</vt:i4>
      </vt:variant>
      <vt:variant>
        <vt:i4>0</vt:i4>
      </vt:variant>
      <vt:variant>
        <vt:i4>5</vt:i4>
      </vt:variant>
      <vt:variant>
        <vt:lpwstr/>
      </vt:variant>
      <vt:variant>
        <vt:lpwstr>_Toc184122958</vt:lpwstr>
      </vt:variant>
      <vt:variant>
        <vt:i4>1638462</vt:i4>
      </vt:variant>
      <vt:variant>
        <vt:i4>197</vt:i4>
      </vt:variant>
      <vt:variant>
        <vt:i4>0</vt:i4>
      </vt:variant>
      <vt:variant>
        <vt:i4>5</vt:i4>
      </vt:variant>
      <vt:variant>
        <vt:lpwstr/>
      </vt:variant>
      <vt:variant>
        <vt:lpwstr>_Toc184122957</vt:lpwstr>
      </vt:variant>
      <vt:variant>
        <vt:i4>1638462</vt:i4>
      </vt:variant>
      <vt:variant>
        <vt:i4>191</vt:i4>
      </vt:variant>
      <vt:variant>
        <vt:i4>0</vt:i4>
      </vt:variant>
      <vt:variant>
        <vt:i4>5</vt:i4>
      </vt:variant>
      <vt:variant>
        <vt:lpwstr/>
      </vt:variant>
      <vt:variant>
        <vt:lpwstr>_Toc184122956</vt:lpwstr>
      </vt:variant>
      <vt:variant>
        <vt:i4>1638462</vt:i4>
      </vt:variant>
      <vt:variant>
        <vt:i4>185</vt:i4>
      </vt:variant>
      <vt:variant>
        <vt:i4>0</vt:i4>
      </vt:variant>
      <vt:variant>
        <vt:i4>5</vt:i4>
      </vt:variant>
      <vt:variant>
        <vt:lpwstr/>
      </vt:variant>
      <vt:variant>
        <vt:lpwstr>_Toc184122955</vt:lpwstr>
      </vt:variant>
      <vt:variant>
        <vt:i4>1638462</vt:i4>
      </vt:variant>
      <vt:variant>
        <vt:i4>179</vt:i4>
      </vt:variant>
      <vt:variant>
        <vt:i4>0</vt:i4>
      </vt:variant>
      <vt:variant>
        <vt:i4>5</vt:i4>
      </vt:variant>
      <vt:variant>
        <vt:lpwstr/>
      </vt:variant>
      <vt:variant>
        <vt:lpwstr>_Toc184122954</vt:lpwstr>
      </vt:variant>
      <vt:variant>
        <vt:i4>1638462</vt:i4>
      </vt:variant>
      <vt:variant>
        <vt:i4>173</vt:i4>
      </vt:variant>
      <vt:variant>
        <vt:i4>0</vt:i4>
      </vt:variant>
      <vt:variant>
        <vt:i4>5</vt:i4>
      </vt:variant>
      <vt:variant>
        <vt:lpwstr/>
      </vt:variant>
      <vt:variant>
        <vt:lpwstr>_Toc184122953</vt:lpwstr>
      </vt:variant>
      <vt:variant>
        <vt:i4>1638462</vt:i4>
      </vt:variant>
      <vt:variant>
        <vt:i4>167</vt:i4>
      </vt:variant>
      <vt:variant>
        <vt:i4>0</vt:i4>
      </vt:variant>
      <vt:variant>
        <vt:i4>5</vt:i4>
      </vt:variant>
      <vt:variant>
        <vt:lpwstr/>
      </vt:variant>
      <vt:variant>
        <vt:lpwstr>_Toc184122952</vt:lpwstr>
      </vt:variant>
      <vt:variant>
        <vt:i4>1638462</vt:i4>
      </vt:variant>
      <vt:variant>
        <vt:i4>161</vt:i4>
      </vt:variant>
      <vt:variant>
        <vt:i4>0</vt:i4>
      </vt:variant>
      <vt:variant>
        <vt:i4>5</vt:i4>
      </vt:variant>
      <vt:variant>
        <vt:lpwstr/>
      </vt:variant>
      <vt:variant>
        <vt:lpwstr>_Toc184122951</vt:lpwstr>
      </vt:variant>
      <vt:variant>
        <vt:i4>1638462</vt:i4>
      </vt:variant>
      <vt:variant>
        <vt:i4>155</vt:i4>
      </vt:variant>
      <vt:variant>
        <vt:i4>0</vt:i4>
      </vt:variant>
      <vt:variant>
        <vt:i4>5</vt:i4>
      </vt:variant>
      <vt:variant>
        <vt:lpwstr/>
      </vt:variant>
      <vt:variant>
        <vt:lpwstr>_Toc184122950</vt:lpwstr>
      </vt:variant>
      <vt:variant>
        <vt:i4>1572926</vt:i4>
      </vt:variant>
      <vt:variant>
        <vt:i4>149</vt:i4>
      </vt:variant>
      <vt:variant>
        <vt:i4>0</vt:i4>
      </vt:variant>
      <vt:variant>
        <vt:i4>5</vt:i4>
      </vt:variant>
      <vt:variant>
        <vt:lpwstr/>
      </vt:variant>
      <vt:variant>
        <vt:lpwstr>_Toc184122949</vt:lpwstr>
      </vt:variant>
      <vt:variant>
        <vt:i4>1572926</vt:i4>
      </vt:variant>
      <vt:variant>
        <vt:i4>143</vt:i4>
      </vt:variant>
      <vt:variant>
        <vt:i4>0</vt:i4>
      </vt:variant>
      <vt:variant>
        <vt:i4>5</vt:i4>
      </vt:variant>
      <vt:variant>
        <vt:lpwstr/>
      </vt:variant>
      <vt:variant>
        <vt:lpwstr>_Toc184122948</vt:lpwstr>
      </vt:variant>
      <vt:variant>
        <vt:i4>1572926</vt:i4>
      </vt:variant>
      <vt:variant>
        <vt:i4>137</vt:i4>
      </vt:variant>
      <vt:variant>
        <vt:i4>0</vt:i4>
      </vt:variant>
      <vt:variant>
        <vt:i4>5</vt:i4>
      </vt:variant>
      <vt:variant>
        <vt:lpwstr/>
      </vt:variant>
      <vt:variant>
        <vt:lpwstr>_Toc184122947</vt:lpwstr>
      </vt:variant>
      <vt:variant>
        <vt:i4>1572926</vt:i4>
      </vt:variant>
      <vt:variant>
        <vt:i4>131</vt:i4>
      </vt:variant>
      <vt:variant>
        <vt:i4>0</vt:i4>
      </vt:variant>
      <vt:variant>
        <vt:i4>5</vt:i4>
      </vt:variant>
      <vt:variant>
        <vt:lpwstr/>
      </vt:variant>
      <vt:variant>
        <vt:lpwstr>_Toc184122946</vt:lpwstr>
      </vt:variant>
      <vt:variant>
        <vt:i4>1572926</vt:i4>
      </vt:variant>
      <vt:variant>
        <vt:i4>125</vt:i4>
      </vt:variant>
      <vt:variant>
        <vt:i4>0</vt:i4>
      </vt:variant>
      <vt:variant>
        <vt:i4>5</vt:i4>
      </vt:variant>
      <vt:variant>
        <vt:lpwstr/>
      </vt:variant>
      <vt:variant>
        <vt:lpwstr>_Toc184122945</vt:lpwstr>
      </vt:variant>
      <vt:variant>
        <vt:i4>1572926</vt:i4>
      </vt:variant>
      <vt:variant>
        <vt:i4>119</vt:i4>
      </vt:variant>
      <vt:variant>
        <vt:i4>0</vt:i4>
      </vt:variant>
      <vt:variant>
        <vt:i4>5</vt:i4>
      </vt:variant>
      <vt:variant>
        <vt:lpwstr/>
      </vt:variant>
      <vt:variant>
        <vt:lpwstr>_Toc184122944</vt:lpwstr>
      </vt:variant>
      <vt:variant>
        <vt:i4>1572926</vt:i4>
      </vt:variant>
      <vt:variant>
        <vt:i4>113</vt:i4>
      </vt:variant>
      <vt:variant>
        <vt:i4>0</vt:i4>
      </vt:variant>
      <vt:variant>
        <vt:i4>5</vt:i4>
      </vt:variant>
      <vt:variant>
        <vt:lpwstr/>
      </vt:variant>
      <vt:variant>
        <vt:lpwstr>_Toc184122943</vt:lpwstr>
      </vt:variant>
      <vt:variant>
        <vt:i4>1572926</vt:i4>
      </vt:variant>
      <vt:variant>
        <vt:i4>107</vt:i4>
      </vt:variant>
      <vt:variant>
        <vt:i4>0</vt:i4>
      </vt:variant>
      <vt:variant>
        <vt:i4>5</vt:i4>
      </vt:variant>
      <vt:variant>
        <vt:lpwstr/>
      </vt:variant>
      <vt:variant>
        <vt:lpwstr>_Toc184122942</vt:lpwstr>
      </vt:variant>
      <vt:variant>
        <vt:i4>1572926</vt:i4>
      </vt:variant>
      <vt:variant>
        <vt:i4>101</vt:i4>
      </vt:variant>
      <vt:variant>
        <vt:i4>0</vt:i4>
      </vt:variant>
      <vt:variant>
        <vt:i4>5</vt:i4>
      </vt:variant>
      <vt:variant>
        <vt:lpwstr/>
      </vt:variant>
      <vt:variant>
        <vt:lpwstr>_Toc184122941</vt:lpwstr>
      </vt:variant>
      <vt:variant>
        <vt:i4>1572926</vt:i4>
      </vt:variant>
      <vt:variant>
        <vt:i4>95</vt:i4>
      </vt:variant>
      <vt:variant>
        <vt:i4>0</vt:i4>
      </vt:variant>
      <vt:variant>
        <vt:i4>5</vt:i4>
      </vt:variant>
      <vt:variant>
        <vt:lpwstr/>
      </vt:variant>
      <vt:variant>
        <vt:lpwstr>_Toc184122940</vt:lpwstr>
      </vt:variant>
      <vt:variant>
        <vt:i4>2031678</vt:i4>
      </vt:variant>
      <vt:variant>
        <vt:i4>89</vt:i4>
      </vt:variant>
      <vt:variant>
        <vt:i4>0</vt:i4>
      </vt:variant>
      <vt:variant>
        <vt:i4>5</vt:i4>
      </vt:variant>
      <vt:variant>
        <vt:lpwstr/>
      </vt:variant>
      <vt:variant>
        <vt:lpwstr>_Toc184122939</vt:lpwstr>
      </vt:variant>
      <vt:variant>
        <vt:i4>2031678</vt:i4>
      </vt:variant>
      <vt:variant>
        <vt:i4>83</vt:i4>
      </vt:variant>
      <vt:variant>
        <vt:i4>0</vt:i4>
      </vt:variant>
      <vt:variant>
        <vt:i4>5</vt:i4>
      </vt:variant>
      <vt:variant>
        <vt:lpwstr/>
      </vt:variant>
      <vt:variant>
        <vt:lpwstr>_Toc184122938</vt:lpwstr>
      </vt:variant>
      <vt:variant>
        <vt:i4>2031678</vt:i4>
      </vt:variant>
      <vt:variant>
        <vt:i4>77</vt:i4>
      </vt:variant>
      <vt:variant>
        <vt:i4>0</vt:i4>
      </vt:variant>
      <vt:variant>
        <vt:i4>5</vt:i4>
      </vt:variant>
      <vt:variant>
        <vt:lpwstr/>
      </vt:variant>
      <vt:variant>
        <vt:lpwstr>_Toc184122937</vt:lpwstr>
      </vt:variant>
      <vt:variant>
        <vt:i4>2031678</vt:i4>
      </vt:variant>
      <vt:variant>
        <vt:i4>71</vt:i4>
      </vt:variant>
      <vt:variant>
        <vt:i4>0</vt:i4>
      </vt:variant>
      <vt:variant>
        <vt:i4>5</vt:i4>
      </vt:variant>
      <vt:variant>
        <vt:lpwstr/>
      </vt:variant>
      <vt:variant>
        <vt:lpwstr>_Toc184122936</vt:lpwstr>
      </vt:variant>
      <vt:variant>
        <vt:i4>2031678</vt:i4>
      </vt:variant>
      <vt:variant>
        <vt:i4>65</vt:i4>
      </vt:variant>
      <vt:variant>
        <vt:i4>0</vt:i4>
      </vt:variant>
      <vt:variant>
        <vt:i4>5</vt:i4>
      </vt:variant>
      <vt:variant>
        <vt:lpwstr/>
      </vt:variant>
      <vt:variant>
        <vt:lpwstr>_Toc184122935</vt:lpwstr>
      </vt:variant>
      <vt:variant>
        <vt:i4>2031678</vt:i4>
      </vt:variant>
      <vt:variant>
        <vt:i4>59</vt:i4>
      </vt:variant>
      <vt:variant>
        <vt:i4>0</vt:i4>
      </vt:variant>
      <vt:variant>
        <vt:i4>5</vt:i4>
      </vt:variant>
      <vt:variant>
        <vt:lpwstr/>
      </vt:variant>
      <vt:variant>
        <vt:lpwstr>_Toc184122934</vt:lpwstr>
      </vt:variant>
      <vt:variant>
        <vt:i4>2031678</vt:i4>
      </vt:variant>
      <vt:variant>
        <vt:i4>53</vt:i4>
      </vt:variant>
      <vt:variant>
        <vt:i4>0</vt:i4>
      </vt:variant>
      <vt:variant>
        <vt:i4>5</vt:i4>
      </vt:variant>
      <vt:variant>
        <vt:lpwstr/>
      </vt:variant>
      <vt:variant>
        <vt:lpwstr>_Toc184122933</vt:lpwstr>
      </vt:variant>
      <vt:variant>
        <vt:i4>2031678</vt:i4>
      </vt:variant>
      <vt:variant>
        <vt:i4>47</vt:i4>
      </vt:variant>
      <vt:variant>
        <vt:i4>0</vt:i4>
      </vt:variant>
      <vt:variant>
        <vt:i4>5</vt:i4>
      </vt:variant>
      <vt:variant>
        <vt:lpwstr/>
      </vt:variant>
      <vt:variant>
        <vt:lpwstr>_Toc184122932</vt:lpwstr>
      </vt:variant>
      <vt:variant>
        <vt:i4>2031678</vt:i4>
      </vt:variant>
      <vt:variant>
        <vt:i4>41</vt:i4>
      </vt:variant>
      <vt:variant>
        <vt:i4>0</vt:i4>
      </vt:variant>
      <vt:variant>
        <vt:i4>5</vt:i4>
      </vt:variant>
      <vt:variant>
        <vt:lpwstr/>
      </vt:variant>
      <vt:variant>
        <vt:lpwstr>_Toc184122931</vt:lpwstr>
      </vt:variant>
      <vt:variant>
        <vt:i4>2031678</vt:i4>
      </vt:variant>
      <vt:variant>
        <vt:i4>35</vt:i4>
      </vt:variant>
      <vt:variant>
        <vt:i4>0</vt:i4>
      </vt:variant>
      <vt:variant>
        <vt:i4>5</vt:i4>
      </vt:variant>
      <vt:variant>
        <vt:lpwstr/>
      </vt:variant>
      <vt:variant>
        <vt:lpwstr>_Toc184122930</vt:lpwstr>
      </vt:variant>
      <vt:variant>
        <vt:i4>1966142</vt:i4>
      </vt:variant>
      <vt:variant>
        <vt:i4>29</vt:i4>
      </vt:variant>
      <vt:variant>
        <vt:i4>0</vt:i4>
      </vt:variant>
      <vt:variant>
        <vt:i4>5</vt:i4>
      </vt:variant>
      <vt:variant>
        <vt:lpwstr/>
      </vt:variant>
      <vt:variant>
        <vt:lpwstr>_Toc184122929</vt:lpwstr>
      </vt:variant>
      <vt:variant>
        <vt:i4>1966142</vt:i4>
      </vt:variant>
      <vt:variant>
        <vt:i4>23</vt:i4>
      </vt:variant>
      <vt:variant>
        <vt:i4>0</vt:i4>
      </vt:variant>
      <vt:variant>
        <vt:i4>5</vt:i4>
      </vt:variant>
      <vt:variant>
        <vt:lpwstr/>
      </vt:variant>
      <vt:variant>
        <vt:lpwstr>_Toc184122928</vt:lpwstr>
      </vt:variant>
      <vt:variant>
        <vt:i4>1966142</vt:i4>
      </vt:variant>
      <vt:variant>
        <vt:i4>17</vt:i4>
      </vt:variant>
      <vt:variant>
        <vt:i4>0</vt:i4>
      </vt:variant>
      <vt:variant>
        <vt:i4>5</vt:i4>
      </vt:variant>
      <vt:variant>
        <vt:lpwstr/>
      </vt:variant>
      <vt:variant>
        <vt:lpwstr>_Toc184122927</vt:lpwstr>
      </vt:variant>
      <vt:variant>
        <vt:i4>1966142</vt:i4>
      </vt:variant>
      <vt:variant>
        <vt:i4>11</vt:i4>
      </vt:variant>
      <vt:variant>
        <vt:i4>0</vt:i4>
      </vt:variant>
      <vt:variant>
        <vt:i4>5</vt:i4>
      </vt:variant>
      <vt:variant>
        <vt:lpwstr/>
      </vt:variant>
      <vt:variant>
        <vt:lpwstr>_Toc184122926</vt:lpwstr>
      </vt:variant>
      <vt:variant>
        <vt:i4>1966142</vt:i4>
      </vt:variant>
      <vt:variant>
        <vt:i4>5</vt:i4>
      </vt:variant>
      <vt:variant>
        <vt:i4>0</vt:i4>
      </vt:variant>
      <vt:variant>
        <vt:i4>5</vt:i4>
      </vt:variant>
      <vt:variant>
        <vt:lpwstr/>
      </vt:variant>
      <vt:variant>
        <vt:lpwstr>_Toc184122925</vt:lpwstr>
      </vt:variant>
      <vt:variant>
        <vt:i4>7798796</vt:i4>
      </vt:variant>
      <vt:variant>
        <vt:i4>0</vt:i4>
      </vt:variant>
      <vt:variant>
        <vt:i4>0</vt:i4>
      </vt:variant>
      <vt:variant>
        <vt:i4>5</vt:i4>
      </vt:variant>
      <vt:variant>
        <vt:lpwstr>mailto:copyright@health.gov.au</vt:lpwstr>
      </vt:variant>
      <vt:variant>
        <vt:lpwstr/>
      </vt:variant>
      <vt:variant>
        <vt:i4>65607</vt:i4>
      </vt:variant>
      <vt:variant>
        <vt:i4>54</vt:i4>
      </vt:variant>
      <vt:variant>
        <vt:i4>0</vt:i4>
      </vt:variant>
      <vt:variant>
        <vt:i4>5</vt:i4>
      </vt:variant>
      <vt:variant>
        <vt:lpwstr>https://www.duke-nus.edu.sg/about/media/media-releases/centre-for-outbreak-preparedness</vt:lpwstr>
      </vt:variant>
      <vt:variant>
        <vt:lpwstr>:~:text=SINGAPORE%2C%2010%20June%202022%20%E2%80%93%20Leveraging%20the%20research%2C,to%20regional%20pandemic%20preparedness%20by%20improving%20genomic%20surveillance</vt:lpwstr>
      </vt:variant>
      <vt:variant>
        <vt:i4>8126520</vt:i4>
      </vt:variant>
      <vt:variant>
        <vt:i4>51</vt:i4>
      </vt:variant>
      <vt:variant>
        <vt:i4>0</vt:i4>
      </vt:variant>
      <vt:variant>
        <vt:i4>5</vt:i4>
      </vt:variant>
      <vt:variant>
        <vt:lpwstr>https://www.cdc.gov/amd/investments/index.html</vt:lpwstr>
      </vt:variant>
      <vt:variant>
        <vt:lpwstr/>
      </vt:variant>
      <vt:variant>
        <vt:i4>4194334</vt:i4>
      </vt:variant>
      <vt:variant>
        <vt:i4>48</vt:i4>
      </vt:variant>
      <vt:variant>
        <vt:i4>0</vt:i4>
      </vt:variant>
      <vt:variant>
        <vt:i4>5</vt:i4>
      </vt:variant>
      <vt:variant>
        <vt:lpwstr>https://www.cdc.gov/amd/whats-new/PGCOE-announcement.html</vt:lpwstr>
      </vt:variant>
      <vt:variant>
        <vt:lpwstr/>
      </vt:variant>
      <vt:variant>
        <vt:i4>4063265</vt:i4>
      </vt:variant>
      <vt:variant>
        <vt:i4>45</vt:i4>
      </vt:variant>
      <vt:variant>
        <vt:i4>0</vt:i4>
      </vt:variant>
      <vt:variant>
        <vt:i4>5</vt:i4>
      </vt:variant>
      <vt:variant>
        <vt:lpwstr>https://ised-isde.canada.ca/site/genomics/sites/default/files/documents/2022-05/Consultation-Paper-Developing-a-Pan%E2%80%91Canadian-Genomics-Strategy.pdf</vt:lpwstr>
      </vt:variant>
      <vt:variant>
        <vt:lpwstr/>
      </vt:variant>
      <vt:variant>
        <vt:i4>3145835</vt:i4>
      </vt:variant>
      <vt:variant>
        <vt:i4>42</vt:i4>
      </vt:variant>
      <vt:variant>
        <vt:i4>0</vt:i4>
      </vt:variant>
      <vt:variant>
        <vt:i4>5</vt:i4>
      </vt:variant>
      <vt:variant>
        <vt:lpwstr>https://www.who.int/emergencies/disease-outbreak-news/item/2022-DON369</vt:lpwstr>
      </vt:variant>
      <vt:variant>
        <vt:lpwstr/>
      </vt:variant>
      <vt:variant>
        <vt:i4>6029437</vt:i4>
      </vt:variant>
      <vt:variant>
        <vt:i4>39</vt:i4>
      </vt:variant>
      <vt:variant>
        <vt:i4>0</vt:i4>
      </vt:variant>
      <vt:variant>
        <vt:i4>5</vt:i4>
      </vt:variant>
      <vt:variant>
        <vt:lpwstr>https://assets.publishing.service.gov.uk/media/65aff68ef2718c000dfb1bd8/Pathogen_Genomics_Strategy_2024.pdf</vt:lpwstr>
      </vt:variant>
      <vt:variant>
        <vt:lpwstr/>
      </vt:variant>
      <vt:variant>
        <vt:i4>1638492</vt:i4>
      </vt:variant>
      <vt:variant>
        <vt:i4>36</vt:i4>
      </vt:variant>
      <vt:variant>
        <vt:i4>0</vt:i4>
      </vt:variant>
      <vt:variant>
        <vt:i4>5</vt:i4>
      </vt:variant>
      <vt:variant>
        <vt:lpwstr>https://www.gov.uk/government/publications/genome-uk-2021-to-2022-implementation-plan/genome-uk-2021-to-2022-implementation-plan</vt:lpwstr>
      </vt:variant>
      <vt:variant>
        <vt:lpwstr>pillar-1-diagnosis-and-personalised-medicine</vt:lpwstr>
      </vt:variant>
      <vt:variant>
        <vt:i4>5505032</vt:i4>
      </vt:variant>
      <vt:variant>
        <vt:i4>33</vt:i4>
      </vt:variant>
      <vt:variant>
        <vt:i4>0</vt:i4>
      </vt:variant>
      <vt:variant>
        <vt:i4>5</vt:i4>
      </vt:variant>
      <vt:variant>
        <vt:lpwstr>https://www.gov.uk/government/publications/genome-uk-the-future-of-healthcare/genome-uk-the-future-of-healthcare</vt:lpwstr>
      </vt:variant>
      <vt:variant>
        <vt:lpwstr/>
      </vt:variant>
      <vt:variant>
        <vt:i4>2687096</vt:i4>
      </vt:variant>
      <vt:variant>
        <vt:i4>30</vt:i4>
      </vt:variant>
      <vt:variant>
        <vt:i4>0</vt:i4>
      </vt:variant>
      <vt:variant>
        <vt:i4>5</vt:i4>
      </vt:variant>
      <vt:variant>
        <vt:lpwstr>https://www.whitehouse.gov/briefing-room/statements-releases/2021/09/24/fact-sheet-quad-leaders-summit/</vt:lpwstr>
      </vt:variant>
      <vt:variant>
        <vt:lpwstr/>
      </vt:variant>
      <vt:variant>
        <vt:i4>6422627</vt:i4>
      </vt:variant>
      <vt:variant>
        <vt:i4>27</vt:i4>
      </vt:variant>
      <vt:variant>
        <vt:i4>0</vt:i4>
      </vt:variant>
      <vt:variant>
        <vt:i4>5</vt:i4>
      </vt:variant>
      <vt:variant>
        <vt:lpwstr>https://www.who.int/initiatives/international-pathogen-surveillance-network</vt:lpwstr>
      </vt:variant>
      <vt:variant>
        <vt:lpwstr/>
      </vt:variant>
      <vt:variant>
        <vt:i4>1572931</vt:i4>
      </vt:variant>
      <vt:variant>
        <vt:i4>24</vt:i4>
      </vt:variant>
      <vt:variant>
        <vt:i4>0</vt:i4>
      </vt:variant>
      <vt:variant>
        <vt:i4>5</vt:i4>
      </vt:variant>
      <vt:variant>
        <vt:lpwstr>https://www.who.int/publications/i/item/9789240061743</vt:lpwstr>
      </vt:variant>
      <vt:variant>
        <vt:lpwstr/>
      </vt:variant>
      <vt:variant>
        <vt:i4>1704015</vt:i4>
      </vt:variant>
      <vt:variant>
        <vt:i4>21</vt:i4>
      </vt:variant>
      <vt:variant>
        <vt:i4>0</vt:i4>
      </vt:variant>
      <vt:variant>
        <vt:i4>5</vt:i4>
      </vt:variant>
      <vt:variant>
        <vt:lpwstr>https://www.who.int/publications/i/item/9789240052857</vt:lpwstr>
      </vt:variant>
      <vt:variant>
        <vt:lpwstr/>
      </vt:variant>
      <vt:variant>
        <vt:i4>4587528</vt:i4>
      </vt:variant>
      <vt:variant>
        <vt:i4>18</vt:i4>
      </vt:variant>
      <vt:variant>
        <vt:i4>0</vt:i4>
      </vt:variant>
      <vt:variant>
        <vt:i4>5</vt:i4>
      </vt:variant>
      <vt:variant>
        <vt:lpwstr>https://iris.who.int/handle/10665/352822</vt:lpwstr>
      </vt:variant>
      <vt:variant>
        <vt:lpwstr/>
      </vt:variant>
      <vt:variant>
        <vt:i4>7405618</vt:i4>
      </vt:variant>
      <vt:variant>
        <vt:i4>15</vt:i4>
      </vt:variant>
      <vt:variant>
        <vt:i4>0</vt:i4>
      </vt:variant>
      <vt:variant>
        <vt:i4>5</vt:i4>
      </vt:variant>
      <vt:variant>
        <vt:lpwstr>https://www.who.int/initiatives/genomic-surveillance-strategy</vt:lpwstr>
      </vt:variant>
      <vt:variant>
        <vt:lpwstr>:~:text=Global%20genomic%20surveillance%20strategy%20for%20pathogens%20with%20pandemic,detection%2C%20monitoring%20and%20response%20to%20public%20health%20threats</vt:lpwstr>
      </vt:variant>
      <vt:variant>
        <vt:i4>7405618</vt:i4>
      </vt:variant>
      <vt:variant>
        <vt:i4>12</vt:i4>
      </vt:variant>
      <vt:variant>
        <vt:i4>0</vt:i4>
      </vt:variant>
      <vt:variant>
        <vt:i4>5</vt:i4>
      </vt:variant>
      <vt:variant>
        <vt:lpwstr>https://www.who.int/initiatives/genomic-surveillance-strategy</vt:lpwstr>
      </vt:variant>
      <vt:variant>
        <vt:lpwstr>:~:text=Global%20genomic%20surveillance%20strategy%20for%20pathogens%20with%20pandemic,detection%2C%20monitoring%20and%20response%20to%20public%20health%20threats</vt:lpwstr>
      </vt:variant>
      <vt:variant>
        <vt:i4>2490476</vt:i4>
      </vt:variant>
      <vt:variant>
        <vt:i4>9</vt:i4>
      </vt:variant>
      <vt:variant>
        <vt:i4>0</vt:i4>
      </vt:variant>
      <vt:variant>
        <vt:i4>5</vt:i4>
      </vt:variant>
      <vt:variant>
        <vt:lpwstr>http://www.msac.gov.au/internet/msac/publishing.nsf/Content/1646-public</vt:lpwstr>
      </vt:variant>
      <vt:variant>
        <vt:lpwstr/>
      </vt:variant>
      <vt:variant>
        <vt:i4>8192005</vt:i4>
      </vt:variant>
      <vt:variant>
        <vt:i4>6</vt:i4>
      </vt:variant>
      <vt:variant>
        <vt:i4>0</vt:i4>
      </vt:variant>
      <vt:variant>
        <vt:i4>5</vt:i4>
      </vt:variant>
      <vt:variant>
        <vt:lpwstr>https://www.health.gov.au/sites/default/files/documents/2021/11/cdgn-phln-and-cdna-sampling-strategy-for-sars-cov-2-genomic-surveillance_0.pdf</vt:lpwstr>
      </vt:variant>
      <vt:variant>
        <vt:lpwstr/>
      </vt:variant>
      <vt:variant>
        <vt:i4>1638511</vt:i4>
      </vt:variant>
      <vt:variant>
        <vt:i4>3</vt:i4>
      </vt:variant>
      <vt:variant>
        <vt:i4>0</vt:i4>
      </vt:variant>
      <vt:variant>
        <vt:i4>5</vt:i4>
      </vt:variant>
      <vt:variant>
        <vt:lpwstr>http://www.go-fair.org/wp-content/uploads/2022/01/FAIRPrinciples_overview.pdf</vt:lpwstr>
      </vt:variant>
      <vt:variant>
        <vt:lpwstr/>
      </vt:variant>
      <vt:variant>
        <vt:i4>1507330</vt:i4>
      </vt:variant>
      <vt:variant>
        <vt:i4>0</vt:i4>
      </vt:variant>
      <vt:variant>
        <vt:i4>0</vt:i4>
      </vt:variant>
      <vt:variant>
        <vt:i4>5</vt:i4>
      </vt:variant>
      <vt:variant>
        <vt:lpwstr>https://www.health.gov.au/sites/default/files/2023-11/australian-centre-for-disease-control-cdc-statement-of-intent-10-november-2023.pdf</vt:lpwstr>
      </vt:variant>
      <vt:variant>
        <vt:lpwstr/>
      </vt:variant>
      <vt:variant>
        <vt:i4>3211349</vt:i4>
      </vt:variant>
      <vt:variant>
        <vt:i4>6</vt:i4>
      </vt:variant>
      <vt:variant>
        <vt:i4>0</vt:i4>
      </vt:variant>
      <vt:variant>
        <vt:i4>5</vt:i4>
      </vt:variant>
      <vt:variant>
        <vt:lpwstr>https://www.health.gov.au/sites/default/files/documents/2022/03/national-obesity-strategy-2022-2032_0.pdf</vt:lpwstr>
      </vt:variant>
      <vt:variant>
        <vt:lpwstr/>
      </vt:variant>
      <vt:variant>
        <vt:i4>458760</vt:i4>
      </vt:variant>
      <vt:variant>
        <vt:i4>3</vt:i4>
      </vt:variant>
      <vt:variant>
        <vt:i4>0</vt:i4>
      </vt:variant>
      <vt:variant>
        <vt:i4>5</vt:i4>
      </vt:variant>
      <vt:variant>
        <vt:lpwstr>https://www.health.gov.au/sites/default/files/documents/2020/03/national-strategic-action-plan-for-rare-diseases.pdf</vt:lpwstr>
      </vt:variant>
      <vt:variant>
        <vt:lpwstr/>
      </vt:variant>
      <vt:variant>
        <vt:i4>6619254</vt:i4>
      </vt:variant>
      <vt:variant>
        <vt:i4>0</vt:i4>
      </vt:variant>
      <vt:variant>
        <vt:i4>0</vt:i4>
      </vt:variant>
      <vt:variant>
        <vt:i4>5</vt:i4>
      </vt:variant>
      <vt:variant>
        <vt:lpwstr>https://www.health.gov.au/sites/default/files/documents/2022/03/national-health-genomics-policy-framework-2018-2021.pdf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Microbial Genomics Framework for Public Health 2025–2027</dc:title>
  <dc:subject>Genomics</dc:subject>
  <dc:creator>Interim Australian Centre for Disease Control (CDC)</dc:creator>
  <cp:keywords>Genomics</cp:keywords>
  <dc:description/>
  <cp:revision>2</cp:revision>
  <cp:lastPrinted>2025-03-03T05:10:00Z</cp:lastPrinted>
  <dcterms:created xsi:type="dcterms:W3CDTF">2025-03-07T04:38:00Z</dcterms:created>
  <dcterms:modified xsi:type="dcterms:W3CDTF">2025-03-07T04:38:00Z</dcterms:modified>
</cp:coreProperties>
</file>