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87967" w14:textId="5552AC54" w:rsidR="00D10FF9" w:rsidRDefault="002950D7" w:rsidP="00A329AC">
      <w:pPr>
        <w:pStyle w:val="Covertitle"/>
        <w:spacing w:before="3000" w:after="3000"/>
      </w:pPr>
      <w:r>
        <w:rPr>
          <w:rFonts w:cs="Segoe UI"/>
          <w:b/>
          <w:color w:val="auto"/>
          <w:sz w:val="64"/>
          <w:szCs w:val="64"/>
        </w:rPr>
        <w:t>Fifth National Hepatitis C</w:t>
      </w:r>
      <w:r w:rsidRPr="00340744">
        <w:rPr>
          <w:rFonts w:cs="Segoe UI"/>
          <w:b/>
          <w:color w:val="auto"/>
          <w:sz w:val="64"/>
          <w:szCs w:val="64"/>
        </w:rPr>
        <w:t xml:space="preserve"> Strategy </w:t>
      </w:r>
      <w:r w:rsidRPr="00845064">
        <w:rPr>
          <w:b/>
          <w:color w:val="auto"/>
          <w:sz w:val="52"/>
        </w:rPr>
        <w:t>2018</w:t>
      </w:r>
      <w:r w:rsidR="00ED2684">
        <w:rPr>
          <w:b/>
          <w:color w:val="auto"/>
          <w:sz w:val="52"/>
        </w:rPr>
        <w:t>–</w:t>
      </w:r>
      <w:r w:rsidRPr="00845064">
        <w:rPr>
          <w:b/>
          <w:color w:val="auto"/>
          <w:sz w:val="52"/>
        </w:rPr>
        <w:t>2022</w:t>
      </w:r>
    </w:p>
    <w:p w14:paraId="4FE041A4" w14:textId="77777777" w:rsidR="00C84F8B" w:rsidRDefault="00C84F8B">
      <w:pPr>
        <w:spacing w:after="0"/>
      </w:pPr>
      <w:r>
        <w:br w:type="page"/>
      </w:r>
    </w:p>
    <w:p w14:paraId="0F9626E2" w14:textId="0D4EEC03" w:rsidR="00A329AC" w:rsidRDefault="00FD4AB1" w:rsidP="00A329AC">
      <w:r w:rsidRPr="006B3C1E">
        <w:lastRenderedPageBreak/>
        <w:t>This page is intentionally blank</w:t>
      </w:r>
      <w:r w:rsidR="0073030E" w:rsidRPr="006B3C1E">
        <w:t>.</w:t>
      </w:r>
    </w:p>
    <w:p w14:paraId="27C0E770" w14:textId="77777777" w:rsidR="00A329AC" w:rsidRPr="00B86908" w:rsidRDefault="00A329AC" w:rsidP="00A329AC"/>
    <w:p w14:paraId="2B420C3E" w14:textId="740B1EFE" w:rsidR="00FD4AB1" w:rsidRPr="00B86908" w:rsidRDefault="00FD4AB1" w:rsidP="00B86908">
      <w:pPr>
        <w:tabs>
          <w:tab w:val="left" w:pos="5760"/>
        </w:tabs>
        <w:sectPr w:rsidR="00FD4AB1" w:rsidRPr="00B86908" w:rsidSect="0082386B">
          <w:pgSz w:w="11907" w:h="16839" w:code="9"/>
          <w:pgMar w:top="1440" w:right="1080" w:bottom="1440" w:left="1080" w:header="737" w:footer="567" w:gutter="0"/>
          <w:pgNumType w:start="1"/>
          <w:cols w:space="720"/>
          <w:docGrid w:linePitch="360"/>
        </w:sectPr>
      </w:pPr>
    </w:p>
    <w:p w14:paraId="1FDC71FB" w14:textId="77777777" w:rsidR="00D3617B" w:rsidRPr="006B3C1E" w:rsidRDefault="00D3617B" w:rsidP="00D3617B">
      <w:pPr>
        <w:pStyle w:val="ContentsHeading"/>
      </w:pPr>
      <w:r w:rsidRPr="006B3C1E">
        <w:lastRenderedPageBreak/>
        <w:t>Contents</w:t>
      </w:r>
      <w:r>
        <w:t xml:space="preserve"> </w:t>
      </w:r>
    </w:p>
    <w:p w14:paraId="7395A93B" w14:textId="77777777" w:rsidR="009E2574" w:rsidRDefault="00EA4474">
      <w:pPr>
        <w:pStyle w:val="TOC1"/>
        <w:tabs>
          <w:tab w:val="right" w:leader="dot" w:pos="9737"/>
        </w:tabs>
        <w:rPr>
          <w:rFonts w:asciiTheme="minorHAnsi" w:eastAsiaTheme="minorEastAsia" w:hAnsiTheme="minorHAnsi" w:cstheme="minorBidi"/>
          <w:noProof/>
          <w:sz w:val="24"/>
          <w:szCs w:val="24"/>
          <w:lang w:val="en-US"/>
        </w:rPr>
      </w:pPr>
      <w:r w:rsidRPr="006B3C1E">
        <w:rPr>
          <w:lang w:eastAsia="en-AU"/>
        </w:rPr>
        <w:fldChar w:fldCharType="begin"/>
      </w:r>
      <w:r w:rsidR="00D3617B" w:rsidRPr="006B3C1E">
        <w:rPr>
          <w:lang w:eastAsia="en-AU"/>
        </w:rPr>
        <w:instrText xml:space="preserve"> TOC \o "1-3" \h \z \u </w:instrText>
      </w:r>
      <w:r w:rsidRPr="006B3C1E">
        <w:rPr>
          <w:lang w:eastAsia="en-AU"/>
        </w:rPr>
        <w:fldChar w:fldCharType="separate"/>
      </w:r>
      <w:hyperlink w:anchor="_Toc529474512" w:history="1">
        <w:r w:rsidR="009E2574" w:rsidRPr="00AB49B4">
          <w:rPr>
            <w:rStyle w:val="Hyperlink"/>
            <w:noProof/>
          </w:rPr>
          <w:t>1 Introduction</w:t>
        </w:r>
        <w:r w:rsidR="009E2574">
          <w:rPr>
            <w:noProof/>
            <w:webHidden/>
          </w:rPr>
          <w:tab/>
        </w:r>
        <w:r w:rsidR="009E2574">
          <w:rPr>
            <w:noProof/>
            <w:webHidden/>
          </w:rPr>
          <w:fldChar w:fldCharType="begin"/>
        </w:r>
        <w:r w:rsidR="009E2574">
          <w:rPr>
            <w:noProof/>
            <w:webHidden/>
          </w:rPr>
          <w:instrText xml:space="preserve"> PAGEREF _Toc529474512 \h </w:instrText>
        </w:r>
        <w:r w:rsidR="009E2574">
          <w:rPr>
            <w:noProof/>
            <w:webHidden/>
          </w:rPr>
        </w:r>
        <w:r w:rsidR="009E2574">
          <w:rPr>
            <w:noProof/>
            <w:webHidden/>
          </w:rPr>
          <w:fldChar w:fldCharType="separate"/>
        </w:r>
        <w:r w:rsidR="009E2574">
          <w:rPr>
            <w:noProof/>
            <w:webHidden/>
          </w:rPr>
          <w:t>1</w:t>
        </w:r>
        <w:r w:rsidR="009E2574">
          <w:rPr>
            <w:noProof/>
            <w:webHidden/>
          </w:rPr>
          <w:fldChar w:fldCharType="end"/>
        </w:r>
      </w:hyperlink>
    </w:p>
    <w:p w14:paraId="4F8A30CC" w14:textId="77777777"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3" w:history="1">
        <w:r w:rsidR="009E2574" w:rsidRPr="00AB49B4">
          <w:rPr>
            <w:rStyle w:val="Hyperlink"/>
            <w:noProof/>
          </w:rPr>
          <w:t>2 Guiding principles</w:t>
        </w:r>
        <w:r w:rsidR="009E2574">
          <w:rPr>
            <w:noProof/>
            <w:webHidden/>
          </w:rPr>
          <w:tab/>
        </w:r>
        <w:r w:rsidR="009E2574">
          <w:rPr>
            <w:noProof/>
            <w:webHidden/>
          </w:rPr>
          <w:fldChar w:fldCharType="begin"/>
        </w:r>
        <w:r w:rsidR="009E2574">
          <w:rPr>
            <w:noProof/>
            <w:webHidden/>
          </w:rPr>
          <w:instrText xml:space="preserve"> PAGEREF _Toc529474513 \h </w:instrText>
        </w:r>
        <w:r w:rsidR="009E2574">
          <w:rPr>
            <w:noProof/>
            <w:webHidden/>
          </w:rPr>
        </w:r>
        <w:r w:rsidR="009E2574">
          <w:rPr>
            <w:noProof/>
            <w:webHidden/>
          </w:rPr>
          <w:fldChar w:fldCharType="separate"/>
        </w:r>
        <w:r w:rsidR="009E2574">
          <w:rPr>
            <w:noProof/>
            <w:webHidden/>
          </w:rPr>
          <w:t>3</w:t>
        </w:r>
        <w:r w:rsidR="009E2574">
          <w:rPr>
            <w:noProof/>
            <w:webHidden/>
          </w:rPr>
          <w:fldChar w:fldCharType="end"/>
        </w:r>
      </w:hyperlink>
    </w:p>
    <w:p w14:paraId="037EDF66" w14:textId="4D6FEF53"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4" w:history="1">
        <w:r w:rsidR="009E2574" w:rsidRPr="00AB49B4">
          <w:rPr>
            <w:rStyle w:val="Hyperlink"/>
            <w:noProof/>
          </w:rPr>
          <w:t>3 Snapshot of hepatitis C in Australia</w:t>
        </w:r>
        <w:r w:rsidR="009E2574">
          <w:rPr>
            <w:noProof/>
            <w:webHidden/>
          </w:rPr>
          <w:tab/>
        </w:r>
        <w:r w:rsidR="009E2574">
          <w:rPr>
            <w:noProof/>
            <w:webHidden/>
          </w:rPr>
          <w:fldChar w:fldCharType="begin"/>
        </w:r>
        <w:r w:rsidR="009E2574">
          <w:rPr>
            <w:noProof/>
            <w:webHidden/>
          </w:rPr>
          <w:instrText xml:space="preserve"> PAGEREF _Toc529474514 \h </w:instrText>
        </w:r>
        <w:r w:rsidR="009E2574">
          <w:rPr>
            <w:noProof/>
            <w:webHidden/>
          </w:rPr>
        </w:r>
        <w:r w:rsidR="009E2574">
          <w:rPr>
            <w:noProof/>
            <w:webHidden/>
          </w:rPr>
          <w:fldChar w:fldCharType="separate"/>
        </w:r>
        <w:r w:rsidR="009E2574">
          <w:rPr>
            <w:noProof/>
            <w:webHidden/>
          </w:rPr>
          <w:t>4</w:t>
        </w:r>
        <w:r w:rsidR="009E2574">
          <w:rPr>
            <w:noProof/>
            <w:webHidden/>
          </w:rPr>
          <w:fldChar w:fldCharType="end"/>
        </w:r>
      </w:hyperlink>
    </w:p>
    <w:p w14:paraId="354D0500" w14:textId="77777777"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5" w:history="1">
        <w:r w:rsidR="009E2574" w:rsidRPr="00AB49B4">
          <w:rPr>
            <w:rStyle w:val="Hyperlink"/>
            <w:noProof/>
          </w:rPr>
          <w:t>4 About this strategy</w:t>
        </w:r>
        <w:r w:rsidR="009E2574">
          <w:rPr>
            <w:noProof/>
            <w:webHidden/>
          </w:rPr>
          <w:tab/>
        </w:r>
        <w:r w:rsidR="009E2574">
          <w:rPr>
            <w:noProof/>
            <w:webHidden/>
          </w:rPr>
          <w:fldChar w:fldCharType="begin"/>
        </w:r>
        <w:r w:rsidR="009E2574">
          <w:rPr>
            <w:noProof/>
            <w:webHidden/>
          </w:rPr>
          <w:instrText xml:space="preserve"> PAGEREF _Toc529474515 \h </w:instrText>
        </w:r>
        <w:r w:rsidR="009E2574">
          <w:rPr>
            <w:noProof/>
            <w:webHidden/>
          </w:rPr>
        </w:r>
        <w:r w:rsidR="009E2574">
          <w:rPr>
            <w:noProof/>
            <w:webHidden/>
          </w:rPr>
          <w:fldChar w:fldCharType="separate"/>
        </w:r>
        <w:r w:rsidR="009E2574">
          <w:rPr>
            <w:noProof/>
            <w:webHidden/>
          </w:rPr>
          <w:t>5</w:t>
        </w:r>
        <w:r w:rsidR="009E2574">
          <w:rPr>
            <w:noProof/>
            <w:webHidden/>
          </w:rPr>
          <w:fldChar w:fldCharType="end"/>
        </w:r>
      </w:hyperlink>
    </w:p>
    <w:p w14:paraId="66C5ACA3" w14:textId="77777777"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6" w:history="1">
        <w:r w:rsidR="009E2574" w:rsidRPr="00AB49B4">
          <w:rPr>
            <w:rStyle w:val="Hyperlink"/>
            <w:noProof/>
          </w:rPr>
          <w:t>5 Measuring progress</w:t>
        </w:r>
        <w:r w:rsidR="009E2574">
          <w:rPr>
            <w:noProof/>
            <w:webHidden/>
          </w:rPr>
          <w:tab/>
        </w:r>
        <w:r w:rsidR="009E2574">
          <w:rPr>
            <w:noProof/>
            <w:webHidden/>
          </w:rPr>
          <w:fldChar w:fldCharType="begin"/>
        </w:r>
        <w:r w:rsidR="009E2574">
          <w:rPr>
            <w:noProof/>
            <w:webHidden/>
          </w:rPr>
          <w:instrText xml:space="preserve"> PAGEREF _Toc529474516 \h </w:instrText>
        </w:r>
        <w:r w:rsidR="009E2574">
          <w:rPr>
            <w:noProof/>
            <w:webHidden/>
          </w:rPr>
        </w:r>
        <w:r w:rsidR="009E2574">
          <w:rPr>
            <w:noProof/>
            <w:webHidden/>
          </w:rPr>
          <w:fldChar w:fldCharType="separate"/>
        </w:r>
        <w:r w:rsidR="009E2574">
          <w:rPr>
            <w:noProof/>
            <w:webHidden/>
          </w:rPr>
          <w:t>7</w:t>
        </w:r>
        <w:r w:rsidR="009E2574">
          <w:rPr>
            <w:noProof/>
            <w:webHidden/>
          </w:rPr>
          <w:fldChar w:fldCharType="end"/>
        </w:r>
      </w:hyperlink>
    </w:p>
    <w:p w14:paraId="487CC8AC" w14:textId="77777777"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7" w:history="1">
        <w:r w:rsidR="009E2574" w:rsidRPr="00AB49B4">
          <w:rPr>
            <w:rStyle w:val="Hyperlink"/>
            <w:noProof/>
          </w:rPr>
          <w:t>6 Priority populations and settings</w:t>
        </w:r>
        <w:r w:rsidR="009E2574">
          <w:rPr>
            <w:noProof/>
            <w:webHidden/>
          </w:rPr>
          <w:tab/>
        </w:r>
        <w:r w:rsidR="009E2574">
          <w:rPr>
            <w:noProof/>
            <w:webHidden/>
          </w:rPr>
          <w:fldChar w:fldCharType="begin"/>
        </w:r>
        <w:r w:rsidR="009E2574">
          <w:rPr>
            <w:noProof/>
            <w:webHidden/>
          </w:rPr>
          <w:instrText xml:space="preserve"> PAGEREF _Toc529474517 \h </w:instrText>
        </w:r>
        <w:r w:rsidR="009E2574">
          <w:rPr>
            <w:noProof/>
            <w:webHidden/>
          </w:rPr>
        </w:r>
        <w:r w:rsidR="009E2574">
          <w:rPr>
            <w:noProof/>
            <w:webHidden/>
          </w:rPr>
          <w:fldChar w:fldCharType="separate"/>
        </w:r>
        <w:r w:rsidR="009E2574">
          <w:rPr>
            <w:noProof/>
            <w:webHidden/>
          </w:rPr>
          <w:t>9</w:t>
        </w:r>
        <w:r w:rsidR="009E2574">
          <w:rPr>
            <w:noProof/>
            <w:webHidden/>
          </w:rPr>
          <w:fldChar w:fldCharType="end"/>
        </w:r>
      </w:hyperlink>
    </w:p>
    <w:p w14:paraId="762B580E" w14:textId="77777777"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8" w:history="1">
        <w:r w:rsidR="009E2574" w:rsidRPr="00AB49B4">
          <w:rPr>
            <w:rStyle w:val="Hyperlink"/>
            <w:noProof/>
          </w:rPr>
          <w:t>7 Priority areas for action</w:t>
        </w:r>
        <w:r w:rsidR="009E2574">
          <w:rPr>
            <w:noProof/>
            <w:webHidden/>
          </w:rPr>
          <w:tab/>
        </w:r>
        <w:r w:rsidR="009E2574">
          <w:rPr>
            <w:noProof/>
            <w:webHidden/>
          </w:rPr>
          <w:fldChar w:fldCharType="begin"/>
        </w:r>
        <w:r w:rsidR="009E2574">
          <w:rPr>
            <w:noProof/>
            <w:webHidden/>
          </w:rPr>
          <w:instrText xml:space="preserve"> PAGEREF _Toc529474518 \h </w:instrText>
        </w:r>
        <w:r w:rsidR="009E2574">
          <w:rPr>
            <w:noProof/>
            <w:webHidden/>
          </w:rPr>
        </w:r>
        <w:r w:rsidR="009E2574">
          <w:rPr>
            <w:noProof/>
            <w:webHidden/>
          </w:rPr>
          <w:fldChar w:fldCharType="separate"/>
        </w:r>
        <w:r w:rsidR="009E2574">
          <w:rPr>
            <w:noProof/>
            <w:webHidden/>
          </w:rPr>
          <w:t>13</w:t>
        </w:r>
        <w:r w:rsidR="009E2574">
          <w:rPr>
            <w:noProof/>
            <w:webHidden/>
          </w:rPr>
          <w:fldChar w:fldCharType="end"/>
        </w:r>
      </w:hyperlink>
    </w:p>
    <w:p w14:paraId="77DE0EAA" w14:textId="77777777" w:rsidR="009E2574" w:rsidRDefault="00FD0355">
      <w:pPr>
        <w:pStyle w:val="TOC1"/>
        <w:tabs>
          <w:tab w:val="right" w:leader="dot" w:pos="9737"/>
        </w:tabs>
        <w:rPr>
          <w:rFonts w:asciiTheme="minorHAnsi" w:eastAsiaTheme="minorEastAsia" w:hAnsiTheme="minorHAnsi" w:cstheme="minorBidi"/>
          <w:noProof/>
          <w:sz w:val="24"/>
          <w:szCs w:val="24"/>
          <w:lang w:val="en-US"/>
        </w:rPr>
      </w:pPr>
      <w:hyperlink w:anchor="_Toc529474519" w:history="1">
        <w:r w:rsidR="009E2574" w:rsidRPr="00AB49B4">
          <w:rPr>
            <w:rStyle w:val="Hyperlink"/>
            <w:noProof/>
          </w:rPr>
          <w:t>8 Implementing this strategy</w:t>
        </w:r>
        <w:r w:rsidR="009E2574">
          <w:rPr>
            <w:noProof/>
            <w:webHidden/>
          </w:rPr>
          <w:tab/>
        </w:r>
        <w:r w:rsidR="009E2574">
          <w:rPr>
            <w:noProof/>
            <w:webHidden/>
          </w:rPr>
          <w:fldChar w:fldCharType="begin"/>
        </w:r>
        <w:r w:rsidR="009E2574">
          <w:rPr>
            <w:noProof/>
            <w:webHidden/>
          </w:rPr>
          <w:instrText xml:space="preserve"> PAGEREF _Toc529474519 \h </w:instrText>
        </w:r>
        <w:r w:rsidR="009E2574">
          <w:rPr>
            <w:noProof/>
            <w:webHidden/>
          </w:rPr>
        </w:r>
        <w:r w:rsidR="009E2574">
          <w:rPr>
            <w:noProof/>
            <w:webHidden/>
          </w:rPr>
          <w:fldChar w:fldCharType="separate"/>
        </w:r>
        <w:r w:rsidR="009E2574">
          <w:rPr>
            <w:noProof/>
            <w:webHidden/>
          </w:rPr>
          <w:t>20</w:t>
        </w:r>
        <w:r w:rsidR="009E2574">
          <w:rPr>
            <w:noProof/>
            <w:webHidden/>
          </w:rPr>
          <w:fldChar w:fldCharType="end"/>
        </w:r>
      </w:hyperlink>
    </w:p>
    <w:p w14:paraId="1CE57A15" w14:textId="77777777" w:rsidR="009E2574" w:rsidRDefault="00FD0355">
      <w:pPr>
        <w:pStyle w:val="TOC1"/>
        <w:tabs>
          <w:tab w:val="left" w:pos="1200"/>
          <w:tab w:val="right" w:leader="dot" w:pos="9737"/>
        </w:tabs>
        <w:rPr>
          <w:rFonts w:asciiTheme="minorHAnsi" w:eastAsiaTheme="minorEastAsia" w:hAnsiTheme="minorHAnsi" w:cstheme="minorBidi"/>
          <w:noProof/>
          <w:sz w:val="24"/>
          <w:szCs w:val="24"/>
          <w:lang w:val="en-US"/>
        </w:rPr>
      </w:pPr>
      <w:hyperlink w:anchor="_Toc529474520" w:history="1">
        <w:r w:rsidR="009E2574" w:rsidRPr="00AB49B4">
          <w:rPr>
            <w:rStyle w:val="Hyperlink"/>
            <w:noProof/>
          </w:rPr>
          <w:t xml:space="preserve">Appendix A </w:t>
        </w:r>
        <w:r w:rsidR="009E2574">
          <w:rPr>
            <w:rFonts w:asciiTheme="minorHAnsi" w:eastAsiaTheme="minorEastAsia" w:hAnsiTheme="minorHAnsi" w:cstheme="minorBidi"/>
            <w:noProof/>
            <w:sz w:val="24"/>
            <w:szCs w:val="24"/>
            <w:lang w:val="en-US"/>
          </w:rPr>
          <w:tab/>
        </w:r>
        <w:r w:rsidR="009E2574" w:rsidRPr="00AB49B4">
          <w:rPr>
            <w:rStyle w:val="Hyperlink"/>
            <w:noProof/>
          </w:rPr>
          <w:t>References</w:t>
        </w:r>
        <w:r w:rsidR="009E2574">
          <w:rPr>
            <w:noProof/>
            <w:webHidden/>
          </w:rPr>
          <w:tab/>
        </w:r>
        <w:r w:rsidR="009E2574">
          <w:rPr>
            <w:noProof/>
            <w:webHidden/>
          </w:rPr>
          <w:fldChar w:fldCharType="begin"/>
        </w:r>
        <w:r w:rsidR="009E2574">
          <w:rPr>
            <w:noProof/>
            <w:webHidden/>
          </w:rPr>
          <w:instrText xml:space="preserve"> PAGEREF _Toc529474520 \h </w:instrText>
        </w:r>
        <w:r w:rsidR="009E2574">
          <w:rPr>
            <w:noProof/>
            <w:webHidden/>
          </w:rPr>
        </w:r>
        <w:r w:rsidR="009E2574">
          <w:rPr>
            <w:noProof/>
            <w:webHidden/>
          </w:rPr>
          <w:fldChar w:fldCharType="separate"/>
        </w:r>
        <w:r w:rsidR="009E2574">
          <w:rPr>
            <w:noProof/>
            <w:webHidden/>
          </w:rPr>
          <w:t>21</w:t>
        </w:r>
        <w:r w:rsidR="009E2574">
          <w:rPr>
            <w:noProof/>
            <w:webHidden/>
          </w:rPr>
          <w:fldChar w:fldCharType="end"/>
        </w:r>
      </w:hyperlink>
    </w:p>
    <w:p w14:paraId="029919C2" w14:textId="4B771E49" w:rsidR="00D3617B" w:rsidRDefault="00EA4474" w:rsidP="00A329AC">
      <w:pPr>
        <w:pStyle w:val="ContentsHeading"/>
        <w:spacing w:before="0" w:after="0"/>
      </w:pPr>
      <w:r w:rsidRPr="006B3C1E">
        <w:fldChar w:fldCharType="end"/>
      </w:r>
      <w:bookmarkStart w:id="0" w:name="_Toc495683530"/>
      <w:bookmarkStart w:id="1" w:name="_Toc495683614"/>
    </w:p>
    <w:p w14:paraId="467DCF0A" w14:textId="77777777" w:rsidR="00D3617B" w:rsidRDefault="00D3617B">
      <w:pPr>
        <w:spacing w:after="160" w:line="259" w:lineRule="auto"/>
      </w:pPr>
      <w:r>
        <w:br w:type="page"/>
      </w:r>
    </w:p>
    <w:p w14:paraId="637C88E0" w14:textId="77777777" w:rsidR="00596193" w:rsidRPr="006B3C1E" w:rsidRDefault="00596193" w:rsidP="00596193">
      <w:pPr>
        <w:sectPr w:rsidR="00596193" w:rsidRPr="006B3C1E" w:rsidSect="0082386B">
          <w:headerReference w:type="even" r:id="rId12"/>
          <w:headerReference w:type="default" r:id="rId13"/>
          <w:footerReference w:type="default" r:id="rId14"/>
          <w:headerReference w:type="first" r:id="rId15"/>
          <w:pgSz w:w="11907" w:h="16839" w:code="9"/>
          <w:pgMar w:top="1440" w:right="1080" w:bottom="1440" w:left="1080" w:header="737" w:footer="567" w:gutter="0"/>
          <w:pgNumType w:start="1"/>
          <w:cols w:space="720"/>
          <w:docGrid w:linePitch="360"/>
        </w:sectPr>
      </w:pPr>
      <w:r w:rsidRPr="006B3C1E">
        <w:lastRenderedPageBreak/>
        <w:t>T</w:t>
      </w:r>
      <w:r>
        <w:t>his page is intentionally blank</w:t>
      </w:r>
    </w:p>
    <w:p w14:paraId="3B9BECD7" w14:textId="77777777" w:rsidR="00F33043" w:rsidRDefault="00F33043" w:rsidP="00F33043">
      <w:pPr>
        <w:pStyle w:val="Heading1"/>
      </w:pPr>
      <w:bookmarkStart w:id="2" w:name="_Toc499570286"/>
      <w:bookmarkStart w:id="3" w:name="_Toc500780667"/>
      <w:bookmarkStart w:id="4" w:name="_Toc529474512"/>
      <w:bookmarkStart w:id="5" w:name="_Toc494452672"/>
      <w:bookmarkStart w:id="6" w:name="_Toc495679998"/>
      <w:bookmarkStart w:id="7" w:name="_Toc495683156"/>
      <w:bookmarkEnd w:id="0"/>
      <w:bookmarkEnd w:id="1"/>
      <w:r>
        <w:lastRenderedPageBreak/>
        <w:t>1 Introduction</w:t>
      </w:r>
      <w:bookmarkEnd w:id="2"/>
      <w:bookmarkEnd w:id="3"/>
      <w:bookmarkEnd w:id="4"/>
    </w:p>
    <w:p w14:paraId="67D9CA6C" w14:textId="6FDE9EB3" w:rsidR="00363531" w:rsidRPr="00EA1123" w:rsidRDefault="00660ED0" w:rsidP="008D4F54">
      <w:pPr>
        <w:rPr>
          <w:sz w:val="20"/>
          <w:szCs w:val="20"/>
        </w:rPr>
      </w:pPr>
      <w:r w:rsidRPr="00EA1123">
        <w:rPr>
          <w:sz w:val="20"/>
          <w:szCs w:val="20"/>
        </w:rPr>
        <w:t>H</w:t>
      </w:r>
      <w:r w:rsidR="00B6163C" w:rsidRPr="00EA1123">
        <w:rPr>
          <w:sz w:val="20"/>
          <w:szCs w:val="20"/>
        </w:rPr>
        <w:t xml:space="preserve">epatitis C has been a </w:t>
      </w:r>
      <w:r w:rsidR="00AE073A" w:rsidRPr="00EA1123">
        <w:rPr>
          <w:sz w:val="20"/>
          <w:szCs w:val="20"/>
        </w:rPr>
        <w:t>significant</w:t>
      </w:r>
      <w:r w:rsidR="00AF004D" w:rsidRPr="00EA1123">
        <w:rPr>
          <w:sz w:val="20"/>
          <w:szCs w:val="20"/>
        </w:rPr>
        <w:t xml:space="preserve"> </w:t>
      </w:r>
      <w:r w:rsidR="00B6163C" w:rsidRPr="00EA1123">
        <w:rPr>
          <w:sz w:val="20"/>
          <w:szCs w:val="20"/>
        </w:rPr>
        <w:t xml:space="preserve">public health </w:t>
      </w:r>
      <w:r w:rsidR="00AF004D" w:rsidRPr="00EA1123">
        <w:rPr>
          <w:sz w:val="20"/>
          <w:szCs w:val="20"/>
        </w:rPr>
        <w:t xml:space="preserve">issue </w:t>
      </w:r>
      <w:r w:rsidR="00B6163C" w:rsidRPr="00EA1123">
        <w:rPr>
          <w:sz w:val="20"/>
          <w:szCs w:val="20"/>
        </w:rPr>
        <w:t xml:space="preserve">in Australia </w:t>
      </w:r>
      <w:r w:rsidRPr="00EA1123">
        <w:rPr>
          <w:sz w:val="20"/>
          <w:szCs w:val="20"/>
        </w:rPr>
        <w:t xml:space="preserve">for several </w:t>
      </w:r>
      <w:r w:rsidRPr="009D7F44">
        <w:rPr>
          <w:sz w:val="20"/>
          <w:szCs w:val="20"/>
        </w:rPr>
        <w:t>decades</w:t>
      </w:r>
      <w:r w:rsidR="00C0597D" w:rsidRPr="009D7F44">
        <w:rPr>
          <w:sz w:val="20"/>
          <w:szCs w:val="20"/>
        </w:rPr>
        <w:t xml:space="preserve">. This </w:t>
      </w:r>
      <w:r w:rsidR="009D7F44">
        <w:rPr>
          <w:sz w:val="20"/>
          <w:szCs w:val="20"/>
        </w:rPr>
        <w:t xml:space="preserve">period </w:t>
      </w:r>
      <w:r w:rsidR="00C0597D" w:rsidRPr="009D7F44">
        <w:rPr>
          <w:sz w:val="20"/>
          <w:szCs w:val="20"/>
        </w:rPr>
        <w:t>has</w:t>
      </w:r>
      <w:r w:rsidR="00C0597D" w:rsidRPr="00EA1123">
        <w:rPr>
          <w:sz w:val="20"/>
          <w:szCs w:val="20"/>
        </w:rPr>
        <w:t xml:space="preserve"> been</w:t>
      </w:r>
      <w:r w:rsidRPr="00EA1123">
        <w:rPr>
          <w:sz w:val="20"/>
          <w:szCs w:val="20"/>
        </w:rPr>
        <w:t xml:space="preserve"> </w:t>
      </w:r>
      <w:r w:rsidR="00D24E10" w:rsidRPr="00EA1123">
        <w:rPr>
          <w:sz w:val="20"/>
          <w:szCs w:val="20"/>
        </w:rPr>
        <w:t>characterised by a growing number of people living with hepatitis C</w:t>
      </w:r>
      <w:r w:rsidR="00D161A0" w:rsidRPr="00EA1123">
        <w:rPr>
          <w:sz w:val="20"/>
          <w:szCs w:val="20"/>
        </w:rPr>
        <w:t xml:space="preserve">, </w:t>
      </w:r>
      <w:r w:rsidR="00677F86" w:rsidRPr="00EA1123">
        <w:rPr>
          <w:sz w:val="20"/>
          <w:szCs w:val="20"/>
        </w:rPr>
        <w:t xml:space="preserve">a </w:t>
      </w:r>
      <w:r w:rsidR="00D161A0" w:rsidRPr="00EA1123">
        <w:rPr>
          <w:sz w:val="20"/>
          <w:szCs w:val="20"/>
        </w:rPr>
        <w:t>ris</w:t>
      </w:r>
      <w:r w:rsidR="00B6163C" w:rsidRPr="00EA1123">
        <w:rPr>
          <w:sz w:val="20"/>
          <w:szCs w:val="20"/>
        </w:rPr>
        <w:t xml:space="preserve">ing </w:t>
      </w:r>
      <w:r w:rsidR="00AF004D" w:rsidRPr="00EA1123">
        <w:rPr>
          <w:sz w:val="20"/>
          <w:szCs w:val="20"/>
        </w:rPr>
        <w:t>burden of liver disease and liver cancer and premature deaths attributed to long-term infection with th</w:t>
      </w:r>
      <w:r w:rsidR="00D161A0" w:rsidRPr="00EA1123">
        <w:rPr>
          <w:sz w:val="20"/>
          <w:szCs w:val="20"/>
        </w:rPr>
        <w:t xml:space="preserve">is </w:t>
      </w:r>
      <w:r w:rsidR="00AF004D" w:rsidRPr="00EA1123">
        <w:rPr>
          <w:sz w:val="20"/>
          <w:szCs w:val="20"/>
        </w:rPr>
        <w:t>blood</w:t>
      </w:r>
      <w:r w:rsidR="00902083">
        <w:rPr>
          <w:sz w:val="20"/>
          <w:szCs w:val="20"/>
        </w:rPr>
        <w:t xml:space="preserve"> </w:t>
      </w:r>
      <w:r w:rsidR="00AF004D" w:rsidRPr="00EA1123">
        <w:rPr>
          <w:sz w:val="20"/>
          <w:szCs w:val="20"/>
        </w:rPr>
        <w:t>borne virus</w:t>
      </w:r>
      <w:r w:rsidR="00C0597D" w:rsidRPr="00EA1123">
        <w:rPr>
          <w:sz w:val="20"/>
          <w:szCs w:val="20"/>
        </w:rPr>
        <w:t xml:space="preserve"> (BBV)</w:t>
      </w:r>
      <w:r w:rsidR="00AF004D" w:rsidRPr="00EA1123">
        <w:rPr>
          <w:sz w:val="20"/>
          <w:szCs w:val="20"/>
        </w:rPr>
        <w:t xml:space="preserve">. </w:t>
      </w:r>
      <w:r w:rsidR="00363531" w:rsidRPr="00EA1123">
        <w:rPr>
          <w:sz w:val="20"/>
          <w:szCs w:val="20"/>
        </w:rPr>
        <w:t>However,</w:t>
      </w:r>
      <w:r w:rsidR="00334A08">
        <w:rPr>
          <w:sz w:val="20"/>
          <w:szCs w:val="20"/>
        </w:rPr>
        <w:t xml:space="preserve"> </w:t>
      </w:r>
      <w:r w:rsidR="00363531" w:rsidRPr="00EA1123">
        <w:rPr>
          <w:sz w:val="20"/>
          <w:szCs w:val="20"/>
        </w:rPr>
        <w:t>Australia has the essential tools to achieve elimination</w:t>
      </w:r>
      <w:r w:rsidR="00B11ACF">
        <w:rPr>
          <w:sz w:val="20"/>
          <w:szCs w:val="20"/>
        </w:rPr>
        <w:t xml:space="preserve"> </w:t>
      </w:r>
      <w:r w:rsidR="009C5D37">
        <w:rPr>
          <w:sz w:val="20"/>
          <w:szCs w:val="20"/>
        </w:rPr>
        <w:t xml:space="preserve">of hepatitis C </w:t>
      </w:r>
      <w:r w:rsidR="00B11ACF">
        <w:rPr>
          <w:sz w:val="20"/>
          <w:szCs w:val="20"/>
        </w:rPr>
        <w:t>as a public health threat</w:t>
      </w:r>
      <w:r w:rsidR="00363531" w:rsidRPr="00EA1123">
        <w:rPr>
          <w:sz w:val="20"/>
          <w:szCs w:val="20"/>
        </w:rPr>
        <w:t>, including direct-acting antiviral (D</w:t>
      </w:r>
      <w:r w:rsidR="00253AC9">
        <w:rPr>
          <w:sz w:val="20"/>
          <w:szCs w:val="20"/>
        </w:rPr>
        <w:t xml:space="preserve">AA) </w:t>
      </w:r>
      <w:r w:rsidR="00F24DDF">
        <w:rPr>
          <w:sz w:val="20"/>
          <w:szCs w:val="20"/>
        </w:rPr>
        <w:t>treatment</w:t>
      </w:r>
      <w:r w:rsidR="009D7F44">
        <w:rPr>
          <w:sz w:val="20"/>
          <w:szCs w:val="20"/>
        </w:rPr>
        <w:t>,</w:t>
      </w:r>
      <w:r w:rsidR="00F24DDF">
        <w:rPr>
          <w:sz w:val="20"/>
          <w:szCs w:val="20"/>
        </w:rPr>
        <w:t xml:space="preserve"> which can cure</w:t>
      </w:r>
      <w:r w:rsidR="00253AC9">
        <w:rPr>
          <w:sz w:val="20"/>
          <w:szCs w:val="20"/>
        </w:rPr>
        <w:t xml:space="preserve"> hepatitis C</w:t>
      </w:r>
      <w:r w:rsidR="009D7F44">
        <w:rPr>
          <w:sz w:val="20"/>
          <w:szCs w:val="20"/>
        </w:rPr>
        <w:t>,</w:t>
      </w:r>
      <w:r w:rsidR="00334A08">
        <w:rPr>
          <w:sz w:val="20"/>
          <w:szCs w:val="20"/>
        </w:rPr>
        <w:t xml:space="preserve"> </w:t>
      </w:r>
      <w:r w:rsidR="00B11ACF">
        <w:rPr>
          <w:sz w:val="20"/>
          <w:szCs w:val="20"/>
        </w:rPr>
        <w:t>and effective prevention measures</w:t>
      </w:r>
      <w:r w:rsidR="00253AC9">
        <w:rPr>
          <w:sz w:val="20"/>
          <w:szCs w:val="20"/>
        </w:rPr>
        <w:t>.</w:t>
      </w:r>
      <w:r w:rsidR="00052776">
        <w:rPr>
          <w:sz w:val="20"/>
          <w:szCs w:val="20"/>
        </w:rPr>
        <w:t xml:space="preserve"> </w:t>
      </w:r>
      <w:r w:rsidR="00363531" w:rsidRPr="00EA1123">
        <w:rPr>
          <w:sz w:val="20"/>
          <w:szCs w:val="20"/>
        </w:rPr>
        <w:t xml:space="preserve">Over the life of this </w:t>
      </w:r>
      <w:r w:rsidR="009D7F44">
        <w:rPr>
          <w:sz w:val="20"/>
          <w:szCs w:val="20"/>
        </w:rPr>
        <w:t>s</w:t>
      </w:r>
      <w:r w:rsidR="00363531" w:rsidRPr="00EA1123">
        <w:rPr>
          <w:sz w:val="20"/>
          <w:szCs w:val="20"/>
        </w:rPr>
        <w:t xml:space="preserve">trategy, effort is required to scale up the response to hepatitis C and capitalise on this opportunity. </w:t>
      </w:r>
    </w:p>
    <w:p w14:paraId="293774AA" w14:textId="5C5D36ED" w:rsidR="00175AC1" w:rsidRPr="00EA1123" w:rsidRDefault="003E47F2" w:rsidP="008D4F54">
      <w:pPr>
        <w:rPr>
          <w:b/>
          <w:sz w:val="20"/>
          <w:szCs w:val="20"/>
        </w:rPr>
      </w:pPr>
      <w:r>
        <w:rPr>
          <w:rFonts w:cs="Segoe UI"/>
          <w:noProof/>
          <w:sz w:val="20"/>
          <w:szCs w:val="20"/>
          <w:lang w:eastAsia="en-AU"/>
        </w:rPr>
        <mc:AlternateContent>
          <mc:Choice Requires="wps">
            <w:drawing>
              <wp:anchor distT="0" distB="0" distL="114300" distR="114300" simplePos="0" relativeHeight="251653632" behindDoc="0" locked="0" layoutInCell="1" allowOverlap="1" wp14:anchorId="4A18A5AF" wp14:editId="5956D2F1">
                <wp:simplePos x="0" y="0"/>
                <wp:positionH relativeFrom="column">
                  <wp:posOffset>4087495</wp:posOffset>
                </wp:positionH>
                <wp:positionV relativeFrom="paragraph">
                  <wp:posOffset>541020</wp:posOffset>
                </wp:positionV>
                <wp:extent cx="2295525" cy="6389370"/>
                <wp:effectExtent l="209550" t="171450" r="238125" b="2590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389370"/>
                        </a:xfrm>
                        <a:prstGeom prst="rect">
                          <a:avLst/>
                        </a:prstGeom>
                        <a:solidFill>
                          <a:srgbClr val="FFFFFF"/>
                        </a:solidFill>
                        <a:ln w="9525" cap="rnd" cmpd="dbl">
                          <a:solidFill>
                            <a:srgbClr val="000000"/>
                          </a:solidFill>
                          <a:miter lim="800000"/>
                          <a:headEnd/>
                          <a:tailEnd/>
                        </a:ln>
                        <a:effectLst>
                          <a:outerShdw blurRad="241300" dist="38100" dir="5400000" algn="t" rotWithShape="0">
                            <a:prstClr val="black">
                              <a:alpha val="40000"/>
                            </a:prstClr>
                          </a:outerShdw>
                        </a:effectLst>
                      </wps:spPr>
                      <wps:txbx>
                        <w:txbxContent>
                          <w:p w14:paraId="37A85944" w14:textId="330DD54D" w:rsidR="00D560D6" w:rsidRPr="00ED2684" w:rsidRDefault="00D560D6" w:rsidP="00C06818">
                            <w:pPr>
                              <w:spacing w:after="60"/>
                              <w:rPr>
                                <w:sz w:val="17"/>
                                <w:szCs w:val="17"/>
                              </w:rPr>
                            </w:pPr>
                            <w:r w:rsidRPr="00ED2684">
                              <w:rPr>
                                <w:sz w:val="17"/>
                                <w:szCs w:val="17"/>
                              </w:rPr>
                              <w:t>Figure 1: Blood Borne Viruses and Sexually Transmissible Infections Standing Committee (BBVSS)</w:t>
                            </w:r>
                          </w:p>
                          <w:p w14:paraId="50755EB8" w14:textId="77777777" w:rsidR="00D560D6" w:rsidRPr="00912CCF" w:rsidRDefault="00D560D6" w:rsidP="00C06818">
                            <w:pPr>
                              <w:spacing w:after="60"/>
                              <w:rPr>
                                <w:sz w:val="17"/>
                                <w:szCs w:val="17"/>
                                <w:u w:val="single"/>
                              </w:rPr>
                            </w:pPr>
                            <w:r>
                              <w:rPr>
                                <w:sz w:val="17"/>
                                <w:szCs w:val="17"/>
                                <w:u w:val="single"/>
                              </w:rPr>
                              <w:t>P</w:t>
                            </w:r>
                            <w:r w:rsidRPr="00912CCF">
                              <w:rPr>
                                <w:sz w:val="17"/>
                                <w:szCs w:val="17"/>
                                <w:u w:val="single"/>
                              </w:rPr>
                              <w:t>eak</w:t>
                            </w:r>
                            <w:r>
                              <w:rPr>
                                <w:sz w:val="17"/>
                                <w:szCs w:val="17"/>
                                <w:u w:val="single"/>
                              </w:rPr>
                              <w:t xml:space="preserve"> org</w:t>
                            </w:r>
                            <w:r w:rsidRPr="00912CCF">
                              <w:rPr>
                                <w:sz w:val="17"/>
                                <w:szCs w:val="17"/>
                                <w:u w:val="single"/>
                              </w:rPr>
                              <w:t>anisations</w:t>
                            </w:r>
                          </w:p>
                          <w:p w14:paraId="41BF8A97" w14:textId="77777777" w:rsidR="00D560D6" w:rsidRDefault="00D560D6" w:rsidP="00805418">
                            <w:pPr>
                              <w:spacing w:after="60"/>
                              <w:rPr>
                                <w:sz w:val="17"/>
                                <w:szCs w:val="17"/>
                              </w:rPr>
                            </w:pPr>
                            <w:r w:rsidRPr="0070283E">
                              <w:rPr>
                                <w:sz w:val="17"/>
                                <w:szCs w:val="17"/>
                              </w:rPr>
                              <w:t>Hepatitis Australia</w:t>
                            </w:r>
                          </w:p>
                          <w:p w14:paraId="6C34A336" w14:textId="29E63F9A" w:rsidR="00D560D6" w:rsidRDefault="00D560D6" w:rsidP="00805418">
                            <w:pPr>
                              <w:spacing w:after="60"/>
                              <w:rPr>
                                <w:sz w:val="17"/>
                                <w:szCs w:val="17"/>
                              </w:rPr>
                            </w:pPr>
                            <w:r>
                              <w:rPr>
                                <w:sz w:val="17"/>
                                <w:szCs w:val="17"/>
                              </w:rPr>
                              <w:t>Australian Injecting and</w:t>
                            </w:r>
                            <w:r w:rsidRPr="0070283E">
                              <w:rPr>
                                <w:sz w:val="17"/>
                                <w:szCs w:val="17"/>
                              </w:rPr>
                              <w:t xml:space="preserve"> Illicit Drug Users League (AIVL)</w:t>
                            </w:r>
                          </w:p>
                          <w:p w14:paraId="3A663F16" w14:textId="77777777" w:rsidR="00D560D6" w:rsidRDefault="00D560D6" w:rsidP="00805418">
                            <w:pPr>
                              <w:spacing w:after="60"/>
                              <w:rPr>
                                <w:sz w:val="17"/>
                                <w:szCs w:val="17"/>
                              </w:rPr>
                            </w:pPr>
                            <w:r w:rsidRPr="0070283E">
                              <w:rPr>
                                <w:sz w:val="17"/>
                                <w:szCs w:val="17"/>
                              </w:rPr>
                              <w:t>Scarlet Alliance, Australian Sex Workers Association</w:t>
                            </w:r>
                          </w:p>
                          <w:p w14:paraId="7F8EFB31" w14:textId="77777777" w:rsidR="00D560D6" w:rsidRDefault="00D560D6" w:rsidP="00C06818">
                            <w:pPr>
                              <w:spacing w:after="60"/>
                              <w:rPr>
                                <w:sz w:val="17"/>
                                <w:szCs w:val="17"/>
                              </w:rPr>
                            </w:pPr>
                            <w:r>
                              <w:rPr>
                                <w:sz w:val="17"/>
                                <w:szCs w:val="17"/>
                              </w:rPr>
                              <w:t xml:space="preserve">Australasian Society for HIV, Viral Hepatitis and Sexual Health </w:t>
                            </w:r>
                            <w:r w:rsidRPr="0070283E">
                              <w:rPr>
                                <w:sz w:val="17"/>
                                <w:szCs w:val="17"/>
                              </w:rPr>
                              <w:t>Medicine (ASHM)</w:t>
                            </w:r>
                          </w:p>
                          <w:p w14:paraId="2B477C97" w14:textId="77777777" w:rsidR="00D560D6" w:rsidRDefault="00D560D6" w:rsidP="00C06818">
                            <w:pPr>
                              <w:spacing w:after="60"/>
                              <w:rPr>
                                <w:sz w:val="17"/>
                                <w:szCs w:val="17"/>
                              </w:rPr>
                            </w:pPr>
                            <w:r w:rsidRPr="0070283E">
                              <w:rPr>
                                <w:sz w:val="17"/>
                                <w:szCs w:val="17"/>
                              </w:rPr>
                              <w:t>Australian Federation of AIDS Organisations (AFAO)</w:t>
                            </w:r>
                          </w:p>
                          <w:p w14:paraId="70837502" w14:textId="77777777" w:rsidR="00D560D6" w:rsidRPr="0070283E" w:rsidRDefault="00D560D6" w:rsidP="00C06818">
                            <w:pPr>
                              <w:spacing w:after="60"/>
                              <w:rPr>
                                <w:sz w:val="17"/>
                                <w:szCs w:val="17"/>
                              </w:rPr>
                            </w:pPr>
                            <w:r w:rsidRPr="0070283E">
                              <w:rPr>
                                <w:sz w:val="17"/>
                                <w:szCs w:val="17"/>
                              </w:rPr>
                              <w:t>Australian Indigenous Doctors’ Association (AIDA)</w:t>
                            </w:r>
                          </w:p>
                          <w:p w14:paraId="7E2CCADA" w14:textId="77777777" w:rsidR="00D560D6" w:rsidRDefault="00D560D6" w:rsidP="00C06818">
                            <w:pPr>
                              <w:spacing w:after="60"/>
                              <w:rPr>
                                <w:sz w:val="17"/>
                                <w:szCs w:val="17"/>
                              </w:rPr>
                            </w:pPr>
                            <w:r w:rsidRPr="0070283E">
                              <w:rPr>
                                <w:sz w:val="17"/>
                                <w:szCs w:val="17"/>
                              </w:rPr>
                              <w:t>National Association of People</w:t>
                            </w:r>
                            <w:r>
                              <w:rPr>
                                <w:sz w:val="17"/>
                                <w:szCs w:val="17"/>
                              </w:rPr>
                              <w:t xml:space="preserve"> w</w:t>
                            </w:r>
                            <w:r w:rsidRPr="0070283E">
                              <w:rPr>
                                <w:sz w:val="17"/>
                                <w:szCs w:val="17"/>
                              </w:rPr>
                              <w:t>ith HIV Australia (NAPWHA)</w:t>
                            </w:r>
                          </w:p>
                          <w:p w14:paraId="176F1A96" w14:textId="77777777" w:rsidR="00D560D6" w:rsidRPr="00912CCF" w:rsidRDefault="00D560D6" w:rsidP="00C06818">
                            <w:pPr>
                              <w:spacing w:after="60"/>
                              <w:rPr>
                                <w:sz w:val="17"/>
                                <w:szCs w:val="17"/>
                                <w:u w:val="single"/>
                              </w:rPr>
                            </w:pPr>
                            <w:r w:rsidRPr="00912CCF">
                              <w:rPr>
                                <w:sz w:val="17"/>
                                <w:szCs w:val="17"/>
                                <w:u w:val="single"/>
                              </w:rPr>
                              <w:t>State and Territory Governments</w:t>
                            </w:r>
                          </w:p>
                          <w:p w14:paraId="1C5BBD0B" w14:textId="77777777" w:rsidR="00D560D6" w:rsidRPr="0070283E" w:rsidRDefault="00D560D6" w:rsidP="00341121">
                            <w:pPr>
                              <w:spacing w:after="60"/>
                              <w:rPr>
                                <w:sz w:val="17"/>
                                <w:szCs w:val="17"/>
                              </w:rPr>
                            </w:pPr>
                            <w:r w:rsidRPr="0070283E">
                              <w:rPr>
                                <w:sz w:val="17"/>
                                <w:szCs w:val="17"/>
                              </w:rPr>
                              <w:t>ACT Health</w:t>
                            </w:r>
                          </w:p>
                          <w:p w14:paraId="06700C97" w14:textId="77777777" w:rsidR="00D560D6" w:rsidRPr="0070283E" w:rsidRDefault="00D560D6" w:rsidP="00C06818">
                            <w:pPr>
                              <w:spacing w:after="60"/>
                              <w:rPr>
                                <w:sz w:val="17"/>
                                <w:szCs w:val="17"/>
                              </w:rPr>
                            </w:pPr>
                            <w:r w:rsidRPr="0070283E">
                              <w:rPr>
                                <w:sz w:val="17"/>
                                <w:szCs w:val="17"/>
                              </w:rPr>
                              <w:t>NSW Ministry of Health</w:t>
                            </w:r>
                          </w:p>
                          <w:p w14:paraId="139FBC2C" w14:textId="77777777" w:rsidR="00D560D6" w:rsidRPr="0070283E" w:rsidRDefault="00D560D6" w:rsidP="00341121">
                            <w:pPr>
                              <w:spacing w:after="60"/>
                              <w:rPr>
                                <w:sz w:val="17"/>
                                <w:szCs w:val="17"/>
                              </w:rPr>
                            </w:pPr>
                            <w:r w:rsidRPr="0070283E">
                              <w:rPr>
                                <w:sz w:val="17"/>
                                <w:szCs w:val="17"/>
                              </w:rPr>
                              <w:t>NT Department of Health</w:t>
                            </w:r>
                          </w:p>
                          <w:p w14:paraId="7202AA1D" w14:textId="77777777" w:rsidR="00D560D6" w:rsidRPr="0070283E" w:rsidRDefault="00D560D6" w:rsidP="00341121">
                            <w:pPr>
                              <w:spacing w:after="60"/>
                              <w:rPr>
                                <w:sz w:val="17"/>
                                <w:szCs w:val="17"/>
                              </w:rPr>
                            </w:pPr>
                            <w:r w:rsidRPr="0070283E">
                              <w:rPr>
                                <w:sz w:val="17"/>
                                <w:szCs w:val="17"/>
                              </w:rPr>
                              <w:t>Queensland Health</w:t>
                            </w:r>
                          </w:p>
                          <w:p w14:paraId="6B451B56" w14:textId="77777777" w:rsidR="00D560D6" w:rsidRPr="0070283E" w:rsidRDefault="00D560D6" w:rsidP="00341121">
                            <w:pPr>
                              <w:spacing w:after="60"/>
                              <w:rPr>
                                <w:sz w:val="17"/>
                                <w:szCs w:val="17"/>
                              </w:rPr>
                            </w:pPr>
                            <w:r>
                              <w:rPr>
                                <w:sz w:val="17"/>
                                <w:szCs w:val="17"/>
                              </w:rPr>
                              <w:t>SA Department for</w:t>
                            </w:r>
                            <w:r w:rsidRPr="0070283E">
                              <w:rPr>
                                <w:sz w:val="17"/>
                                <w:szCs w:val="17"/>
                              </w:rPr>
                              <w:t xml:space="preserve"> Health and </w:t>
                            </w:r>
                            <w:r>
                              <w:rPr>
                                <w:sz w:val="17"/>
                                <w:szCs w:val="17"/>
                              </w:rPr>
                              <w:t>Wellbeing</w:t>
                            </w:r>
                          </w:p>
                          <w:p w14:paraId="5536955F" w14:textId="77777777" w:rsidR="00D560D6" w:rsidRPr="0070283E" w:rsidRDefault="00D560D6" w:rsidP="00341121">
                            <w:pPr>
                              <w:spacing w:after="60"/>
                              <w:rPr>
                                <w:sz w:val="17"/>
                                <w:szCs w:val="17"/>
                              </w:rPr>
                            </w:pPr>
                            <w:r w:rsidRPr="0070283E">
                              <w:rPr>
                                <w:sz w:val="17"/>
                                <w:szCs w:val="17"/>
                              </w:rPr>
                              <w:t>Tasmanian Department of Health and Human Services</w:t>
                            </w:r>
                          </w:p>
                          <w:p w14:paraId="2A0D4357" w14:textId="77777777" w:rsidR="00D560D6" w:rsidRPr="0070283E" w:rsidRDefault="00D560D6" w:rsidP="00C06818">
                            <w:pPr>
                              <w:spacing w:after="60"/>
                              <w:rPr>
                                <w:sz w:val="17"/>
                                <w:szCs w:val="17"/>
                              </w:rPr>
                            </w:pPr>
                            <w:r w:rsidRPr="0070283E">
                              <w:rPr>
                                <w:sz w:val="17"/>
                                <w:szCs w:val="17"/>
                              </w:rPr>
                              <w:t>Victorian Department of Health</w:t>
                            </w:r>
                            <w:r>
                              <w:rPr>
                                <w:sz w:val="17"/>
                                <w:szCs w:val="17"/>
                              </w:rPr>
                              <w:t xml:space="preserve"> and Human Services</w:t>
                            </w:r>
                          </w:p>
                          <w:p w14:paraId="59DD34AC" w14:textId="77777777" w:rsidR="00D560D6" w:rsidRPr="0070283E" w:rsidRDefault="00D560D6" w:rsidP="00C06818">
                            <w:pPr>
                              <w:spacing w:after="60"/>
                              <w:rPr>
                                <w:sz w:val="17"/>
                                <w:szCs w:val="17"/>
                              </w:rPr>
                            </w:pPr>
                            <w:r w:rsidRPr="0070283E">
                              <w:rPr>
                                <w:sz w:val="17"/>
                                <w:szCs w:val="17"/>
                              </w:rPr>
                              <w:t>WA Department of Health</w:t>
                            </w:r>
                          </w:p>
                          <w:p w14:paraId="163AA30C" w14:textId="77777777" w:rsidR="00D560D6" w:rsidRDefault="00D560D6" w:rsidP="00C06818">
                            <w:pPr>
                              <w:spacing w:after="60"/>
                              <w:rPr>
                                <w:sz w:val="17"/>
                                <w:szCs w:val="17"/>
                              </w:rPr>
                            </w:pPr>
                            <w:r w:rsidRPr="0070283E">
                              <w:rPr>
                                <w:sz w:val="17"/>
                                <w:szCs w:val="17"/>
                              </w:rPr>
                              <w:t>Australian Government Department of Health</w:t>
                            </w:r>
                          </w:p>
                          <w:p w14:paraId="628DC0CC" w14:textId="77777777" w:rsidR="00D560D6" w:rsidRPr="00B86908" w:rsidRDefault="00D560D6" w:rsidP="00C06818">
                            <w:pPr>
                              <w:spacing w:after="60"/>
                              <w:rPr>
                                <w:i/>
                                <w:sz w:val="8"/>
                                <w:szCs w:val="8"/>
                              </w:rPr>
                            </w:pPr>
                          </w:p>
                          <w:p w14:paraId="357DDA6A" w14:textId="159F1464" w:rsidR="00D560D6" w:rsidRDefault="00D560D6" w:rsidP="00A329AC">
                            <w:pPr>
                              <w:spacing w:after="60"/>
                            </w:pPr>
                            <w:r w:rsidRPr="00B86908">
                              <w:rPr>
                                <w:i/>
                                <w:sz w:val="17"/>
                                <w:szCs w:val="17"/>
                              </w:rPr>
                              <w:t>BBVSS is a key advisory body reporting to the Australian Health Ministers’ Advisory Council through the Australian Health Protection Principal Committee on strategic policy, programs, social issues and activities related to HIV, viral hepatitis and sexuall</w:t>
                            </w:r>
                            <w:r>
                              <w:rPr>
                                <w:i/>
                                <w:sz w:val="17"/>
                                <w:szCs w:val="17"/>
                              </w:rPr>
                              <w:t>y transmissible infections (STI</w:t>
                            </w:r>
                            <w:r w:rsidRPr="00B86908">
                              <w:rPr>
                                <w:i/>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8A5AF" id="_x0000_t202" coordsize="21600,21600" o:spt="202" path="m,l,21600r21600,l21600,xe">
                <v:stroke joinstyle="miter"/>
                <v:path gradientshapeok="t" o:connecttype="rect"/>
              </v:shapetype>
              <v:shape id="Text Box 2" o:spid="_x0000_s1026" type="#_x0000_t202" style="position:absolute;margin-left:321.85pt;margin-top:42.6pt;width:180.75pt;height:50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">
                <v:stroke linestyle="thinThin" endcap="round"/>
                <v:shadow on="t" color="black" opacity="26214f" origin=",-.5" offset="0,3pt"/>
                <v:textbox>
                  <w:txbxContent>
                    <w:p w14:paraId="37A85944" w14:textId="330DD54D" w:rsidR="00D560D6" w:rsidRPr="00ED2684" w:rsidRDefault="00D560D6" w:rsidP="00C06818">
                      <w:pPr>
                        <w:spacing w:after="60"/>
                        <w:rPr>
                          <w:sz w:val="17"/>
                          <w:szCs w:val="17"/>
                        </w:rPr>
                      </w:pPr>
                      <w:r w:rsidRPr="00ED2684">
                        <w:rPr>
                          <w:sz w:val="17"/>
                          <w:szCs w:val="17"/>
                        </w:rPr>
                        <w:t>Figure 1: Blood Borne Viruses and Sexually Transmissible Infections Standing Committee (BBVSS)</w:t>
                      </w:r>
                    </w:p>
                    <w:p w14:paraId="50755EB8" w14:textId="77777777" w:rsidR="00D560D6" w:rsidRPr="00912CCF" w:rsidRDefault="00D560D6" w:rsidP="00C06818">
                      <w:pPr>
                        <w:spacing w:after="60"/>
                        <w:rPr>
                          <w:sz w:val="17"/>
                          <w:szCs w:val="17"/>
                          <w:u w:val="single"/>
                        </w:rPr>
                      </w:pPr>
                      <w:r>
                        <w:rPr>
                          <w:sz w:val="17"/>
                          <w:szCs w:val="17"/>
                          <w:u w:val="single"/>
                        </w:rPr>
                        <w:t>P</w:t>
                      </w:r>
                      <w:r w:rsidRPr="00912CCF">
                        <w:rPr>
                          <w:sz w:val="17"/>
                          <w:szCs w:val="17"/>
                          <w:u w:val="single"/>
                        </w:rPr>
                        <w:t>eak</w:t>
                      </w:r>
                      <w:r>
                        <w:rPr>
                          <w:sz w:val="17"/>
                          <w:szCs w:val="17"/>
                          <w:u w:val="single"/>
                        </w:rPr>
                        <w:t xml:space="preserve"> org</w:t>
                      </w:r>
                      <w:r w:rsidRPr="00912CCF">
                        <w:rPr>
                          <w:sz w:val="17"/>
                          <w:szCs w:val="17"/>
                          <w:u w:val="single"/>
                        </w:rPr>
                        <w:t>anisations</w:t>
                      </w:r>
                    </w:p>
                    <w:p w14:paraId="41BF8A97" w14:textId="77777777" w:rsidR="00D560D6" w:rsidRDefault="00D560D6" w:rsidP="00805418">
                      <w:pPr>
                        <w:spacing w:after="60"/>
                        <w:rPr>
                          <w:sz w:val="17"/>
                          <w:szCs w:val="17"/>
                        </w:rPr>
                      </w:pPr>
                      <w:r w:rsidRPr="0070283E">
                        <w:rPr>
                          <w:sz w:val="17"/>
                          <w:szCs w:val="17"/>
                        </w:rPr>
                        <w:t>Hepatitis Australia</w:t>
                      </w:r>
                    </w:p>
                    <w:p w14:paraId="6C34A336" w14:textId="29E63F9A" w:rsidR="00D560D6" w:rsidRDefault="00D560D6" w:rsidP="00805418">
                      <w:pPr>
                        <w:spacing w:after="60"/>
                        <w:rPr>
                          <w:sz w:val="17"/>
                          <w:szCs w:val="17"/>
                        </w:rPr>
                      </w:pPr>
                      <w:r>
                        <w:rPr>
                          <w:sz w:val="17"/>
                          <w:szCs w:val="17"/>
                        </w:rPr>
                        <w:t>Australian Injecting and</w:t>
                      </w:r>
                      <w:r w:rsidRPr="0070283E">
                        <w:rPr>
                          <w:sz w:val="17"/>
                          <w:szCs w:val="17"/>
                        </w:rPr>
                        <w:t xml:space="preserve"> Illicit Drug Users League (AIVL)</w:t>
                      </w:r>
                    </w:p>
                    <w:p w14:paraId="3A663F16" w14:textId="77777777" w:rsidR="00D560D6" w:rsidRDefault="00D560D6" w:rsidP="00805418">
                      <w:pPr>
                        <w:spacing w:after="60"/>
                        <w:rPr>
                          <w:sz w:val="17"/>
                          <w:szCs w:val="17"/>
                        </w:rPr>
                      </w:pPr>
                      <w:r w:rsidRPr="0070283E">
                        <w:rPr>
                          <w:sz w:val="17"/>
                          <w:szCs w:val="17"/>
                        </w:rPr>
                        <w:t>Scarlet Alliance, Australian Sex Workers Association</w:t>
                      </w:r>
                    </w:p>
                    <w:p w14:paraId="7F8EFB31" w14:textId="77777777" w:rsidR="00D560D6" w:rsidRDefault="00D560D6" w:rsidP="00C06818">
                      <w:pPr>
                        <w:spacing w:after="60"/>
                        <w:rPr>
                          <w:sz w:val="17"/>
                          <w:szCs w:val="17"/>
                        </w:rPr>
                      </w:pPr>
                      <w:r>
                        <w:rPr>
                          <w:sz w:val="17"/>
                          <w:szCs w:val="17"/>
                        </w:rPr>
                        <w:t xml:space="preserve">Australasian Society for HIV, Viral Hepatitis and Sexual Health </w:t>
                      </w:r>
                      <w:r w:rsidRPr="0070283E">
                        <w:rPr>
                          <w:sz w:val="17"/>
                          <w:szCs w:val="17"/>
                        </w:rPr>
                        <w:t>Medicine (ASHM)</w:t>
                      </w:r>
                    </w:p>
                    <w:p w14:paraId="2B477C97" w14:textId="77777777" w:rsidR="00D560D6" w:rsidRDefault="00D560D6" w:rsidP="00C06818">
                      <w:pPr>
                        <w:spacing w:after="60"/>
                        <w:rPr>
                          <w:sz w:val="17"/>
                          <w:szCs w:val="17"/>
                        </w:rPr>
                      </w:pPr>
                      <w:r w:rsidRPr="0070283E">
                        <w:rPr>
                          <w:sz w:val="17"/>
                          <w:szCs w:val="17"/>
                        </w:rPr>
                        <w:t>Australian Federation of AIDS Organisations (AFAO)</w:t>
                      </w:r>
                    </w:p>
                    <w:p w14:paraId="70837502" w14:textId="77777777" w:rsidR="00D560D6" w:rsidRPr="0070283E" w:rsidRDefault="00D560D6" w:rsidP="00C06818">
                      <w:pPr>
                        <w:spacing w:after="60"/>
                        <w:rPr>
                          <w:sz w:val="17"/>
                          <w:szCs w:val="17"/>
                        </w:rPr>
                      </w:pPr>
                      <w:r w:rsidRPr="0070283E">
                        <w:rPr>
                          <w:sz w:val="17"/>
                          <w:szCs w:val="17"/>
                        </w:rPr>
                        <w:t>Australian Indigenous Doctors’ Association (AIDA)</w:t>
                      </w:r>
                    </w:p>
                    <w:p w14:paraId="7E2CCADA" w14:textId="77777777" w:rsidR="00D560D6" w:rsidRDefault="00D560D6" w:rsidP="00C06818">
                      <w:pPr>
                        <w:spacing w:after="60"/>
                        <w:rPr>
                          <w:sz w:val="17"/>
                          <w:szCs w:val="17"/>
                        </w:rPr>
                      </w:pPr>
                      <w:r w:rsidRPr="0070283E">
                        <w:rPr>
                          <w:sz w:val="17"/>
                          <w:szCs w:val="17"/>
                        </w:rPr>
                        <w:t>National Association of People</w:t>
                      </w:r>
                      <w:r>
                        <w:rPr>
                          <w:sz w:val="17"/>
                          <w:szCs w:val="17"/>
                        </w:rPr>
                        <w:t xml:space="preserve"> w</w:t>
                      </w:r>
                      <w:r w:rsidRPr="0070283E">
                        <w:rPr>
                          <w:sz w:val="17"/>
                          <w:szCs w:val="17"/>
                        </w:rPr>
                        <w:t>ith HIV Australia (NAPWHA)</w:t>
                      </w:r>
                    </w:p>
                    <w:p w14:paraId="176F1A96" w14:textId="77777777" w:rsidR="00D560D6" w:rsidRPr="00912CCF" w:rsidRDefault="00D560D6" w:rsidP="00C06818">
                      <w:pPr>
                        <w:spacing w:after="60"/>
                        <w:rPr>
                          <w:sz w:val="17"/>
                          <w:szCs w:val="17"/>
                          <w:u w:val="single"/>
                        </w:rPr>
                      </w:pPr>
                      <w:r w:rsidRPr="00912CCF">
                        <w:rPr>
                          <w:sz w:val="17"/>
                          <w:szCs w:val="17"/>
                          <w:u w:val="single"/>
                        </w:rPr>
                        <w:t>State and Territory Governments</w:t>
                      </w:r>
                    </w:p>
                    <w:p w14:paraId="1C5BBD0B" w14:textId="77777777" w:rsidR="00D560D6" w:rsidRPr="0070283E" w:rsidRDefault="00D560D6" w:rsidP="00341121">
                      <w:pPr>
                        <w:spacing w:after="60"/>
                        <w:rPr>
                          <w:sz w:val="17"/>
                          <w:szCs w:val="17"/>
                        </w:rPr>
                      </w:pPr>
                      <w:r w:rsidRPr="0070283E">
                        <w:rPr>
                          <w:sz w:val="17"/>
                          <w:szCs w:val="17"/>
                        </w:rPr>
                        <w:t>ACT Health</w:t>
                      </w:r>
                    </w:p>
                    <w:p w14:paraId="06700C97" w14:textId="77777777" w:rsidR="00D560D6" w:rsidRPr="0070283E" w:rsidRDefault="00D560D6" w:rsidP="00C06818">
                      <w:pPr>
                        <w:spacing w:after="60"/>
                        <w:rPr>
                          <w:sz w:val="17"/>
                          <w:szCs w:val="17"/>
                        </w:rPr>
                      </w:pPr>
                      <w:r w:rsidRPr="0070283E">
                        <w:rPr>
                          <w:sz w:val="17"/>
                          <w:szCs w:val="17"/>
                        </w:rPr>
                        <w:t>NSW Ministry of Health</w:t>
                      </w:r>
                    </w:p>
                    <w:p w14:paraId="139FBC2C" w14:textId="77777777" w:rsidR="00D560D6" w:rsidRPr="0070283E" w:rsidRDefault="00D560D6" w:rsidP="00341121">
                      <w:pPr>
                        <w:spacing w:after="60"/>
                        <w:rPr>
                          <w:sz w:val="17"/>
                          <w:szCs w:val="17"/>
                        </w:rPr>
                      </w:pPr>
                      <w:r w:rsidRPr="0070283E">
                        <w:rPr>
                          <w:sz w:val="17"/>
                          <w:szCs w:val="17"/>
                        </w:rPr>
                        <w:t>NT Department of Health</w:t>
                      </w:r>
                    </w:p>
                    <w:p w14:paraId="7202AA1D" w14:textId="77777777" w:rsidR="00D560D6" w:rsidRPr="0070283E" w:rsidRDefault="00D560D6" w:rsidP="00341121">
                      <w:pPr>
                        <w:spacing w:after="60"/>
                        <w:rPr>
                          <w:sz w:val="17"/>
                          <w:szCs w:val="17"/>
                        </w:rPr>
                      </w:pPr>
                      <w:r w:rsidRPr="0070283E">
                        <w:rPr>
                          <w:sz w:val="17"/>
                          <w:szCs w:val="17"/>
                        </w:rPr>
                        <w:t>Queensland Health</w:t>
                      </w:r>
                    </w:p>
                    <w:p w14:paraId="6B451B56" w14:textId="77777777" w:rsidR="00D560D6" w:rsidRPr="0070283E" w:rsidRDefault="00D560D6" w:rsidP="00341121">
                      <w:pPr>
                        <w:spacing w:after="60"/>
                        <w:rPr>
                          <w:sz w:val="17"/>
                          <w:szCs w:val="17"/>
                        </w:rPr>
                      </w:pPr>
                      <w:r>
                        <w:rPr>
                          <w:sz w:val="17"/>
                          <w:szCs w:val="17"/>
                        </w:rPr>
                        <w:t>SA Department for</w:t>
                      </w:r>
                      <w:r w:rsidRPr="0070283E">
                        <w:rPr>
                          <w:sz w:val="17"/>
                          <w:szCs w:val="17"/>
                        </w:rPr>
                        <w:t xml:space="preserve"> Health and </w:t>
                      </w:r>
                      <w:r>
                        <w:rPr>
                          <w:sz w:val="17"/>
                          <w:szCs w:val="17"/>
                        </w:rPr>
                        <w:t>Wellbeing</w:t>
                      </w:r>
                    </w:p>
                    <w:p w14:paraId="5536955F" w14:textId="77777777" w:rsidR="00D560D6" w:rsidRPr="0070283E" w:rsidRDefault="00D560D6" w:rsidP="00341121">
                      <w:pPr>
                        <w:spacing w:after="60"/>
                        <w:rPr>
                          <w:sz w:val="17"/>
                          <w:szCs w:val="17"/>
                        </w:rPr>
                      </w:pPr>
                      <w:r w:rsidRPr="0070283E">
                        <w:rPr>
                          <w:sz w:val="17"/>
                          <w:szCs w:val="17"/>
                        </w:rPr>
                        <w:t>Tasmanian Department of Health and Human Services</w:t>
                      </w:r>
                    </w:p>
                    <w:p w14:paraId="2A0D4357" w14:textId="77777777" w:rsidR="00D560D6" w:rsidRPr="0070283E" w:rsidRDefault="00D560D6" w:rsidP="00C06818">
                      <w:pPr>
                        <w:spacing w:after="60"/>
                        <w:rPr>
                          <w:sz w:val="17"/>
                          <w:szCs w:val="17"/>
                        </w:rPr>
                      </w:pPr>
                      <w:r w:rsidRPr="0070283E">
                        <w:rPr>
                          <w:sz w:val="17"/>
                          <w:szCs w:val="17"/>
                        </w:rPr>
                        <w:t>Victorian Department of Health</w:t>
                      </w:r>
                      <w:r>
                        <w:rPr>
                          <w:sz w:val="17"/>
                          <w:szCs w:val="17"/>
                        </w:rPr>
                        <w:t xml:space="preserve"> and Human Services</w:t>
                      </w:r>
                    </w:p>
                    <w:p w14:paraId="59DD34AC" w14:textId="77777777" w:rsidR="00D560D6" w:rsidRPr="0070283E" w:rsidRDefault="00D560D6" w:rsidP="00C06818">
                      <w:pPr>
                        <w:spacing w:after="60"/>
                        <w:rPr>
                          <w:sz w:val="17"/>
                          <w:szCs w:val="17"/>
                        </w:rPr>
                      </w:pPr>
                      <w:r w:rsidRPr="0070283E">
                        <w:rPr>
                          <w:sz w:val="17"/>
                          <w:szCs w:val="17"/>
                        </w:rPr>
                        <w:t>WA Department of Health</w:t>
                      </w:r>
                    </w:p>
                    <w:p w14:paraId="163AA30C" w14:textId="77777777" w:rsidR="00D560D6" w:rsidRDefault="00D560D6" w:rsidP="00C06818">
                      <w:pPr>
                        <w:spacing w:after="60"/>
                        <w:rPr>
                          <w:sz w:val="17"/>
                          <w:szCs w:val="17"/>
                        </w:rPr>
                      </w:pPr>
                      <w:r w:rsidRPr="0070283E">
                        <w:rPr>
                          <w:sz w:val="17"/>
                          <w:szCs w:val="17"/>
                        </w:rPr>
                        <w:t>Australian Government Department of Health</w:t>
                      </w:r>
                    </w:p>
                    <w:p w14:paraId="628DC0CC" w14:textId="77777777" w:rsidR="00D560D6" w:rsidRPr="00B86908" w:rsidRDefault="00D560D6" w:rsidP="00C06818">
                      <w:pPr>
                        <w:spacing w:after="60"/>
                        <w:rPr>
                          <w:i/>
                          <w:sz w:val="8"/>
                          <w:szCs w:val="8"/>
                        </w:rPr>
                      </w:pPr>
                    </w:p>
                    <w:p w14:paraId="357DDA6A" w14:textId="159F1464" w:rsidR="00D560D6" w:rsidRDefault="00D560D6" w:rsidP="00A329AC">
                      <w:pPr>
                        <w:spacing w:after="60"/>
                      </w:pPr>
                      <w:r w:rsidRPr="00B86908">
                        <w:rPr>
                          <w:i/>
                          <w:sz w:val="17"/>
                          <w:szCs w:val="17"/>
                        </w:rPr>
                        <w:t>BBVSS is a key advisory body reporting to the Australian Health Ministers’ Advisory Council through the Australian Health Protection Principal Committee on strategic policy, programs, social issues and activities related to HIV, viral hepatitis and sexuall</w:t>
                      </w:r>
                      <w:r>
                        <w:rPr>
                          <w:i/>
                          <w:sz w:val="17"/>
                          <w:szCs w:val="17"/>
                        </w:rPr>
                        <w:t>y transmissible infections (STI</w:t>
                      </w:r>
                      <w:r w:rsidRPr="00B86908">
                        <w:rPr>
                          <w:i/>
                          <w:sz w:val="17"/>
                          <w:szCs w:val="17"/>
                        </w:rPr>
                        <w:t>).</w:t>
                      </w:r>
                    </w:p>
                  </w:txbxContent>
                </v:textbox>
                <w10:wrap type="square"/>
              </v:shape>
            </w:pict>
          </mc:Fallback>
        </mc:AlternateContent>
      </w:r>
      <w:r w:rsidR="00BB152B" w:rsidRPr="00EA1123">
        <w:rPr>
          <w:sz w:val="20"/>
          <w:szCs w:val="20"/>
        </w:rPr>
        <w:t>T</w:t>
      </w:r>
      <w:r w:rsidR="00D24E10" w:rsidRPr="00EA1123">
        <w:rPr>
          <w:sz w:val="20"/>
          <w:szCs w:val="20"/>
        </w:rPr>
        <w:t xml:space="preserve">he advent </w:t>
      </w:r>
      <w:r w:rsidR="00634DE3">
        <w:rPr>
          <w:sz w:val="20"/>
          <w:szCs w:val="20"/>
        </w:rPr>
        <w:t xml:space="preserve">of new </w:t>
      </w:r>
      <w:r w:rsidR="00C0597D" w:rsidRPr="00EA1123">
        <w:rPr>
          <w:sz w:val="20"/>
          <w:szCs w:val="20"/>
        </w:rPr>
        <w:t xml:space="preserve">DAA </w:t>
      </w:r>
      <w:r w:rsidR="00363531" w:rsidRPr="00EA1123">
        <w:rPr>
          <w:sz w:val="20"/>
          <w:szCs w:val="20"/>
        </w:rPr>
        <w:t>treatment</w:t>
      </w:r>
      <w:r w:rsidR="00D24E10" w:rsidRPr="00EA1123">
        <w:rPr>
          <w:sz w:val="20"/>
          <w:szCs w:val="20"/>
        </w:rPr>
        <w:t xml:space="preserve">s </w:t>
      </w:r>
      <w:r w:rsidR="000733AA" w:rsidRPr="00EA1123">
        <w:rPr>
          <w:sz w:val="20"/>
          <w:szCs w:val="20"/>
        </w:rPr>
        <w:t xml:space="preserve">is the most significant advance in clinical management </w:t>
      </w:r>
      <w:r w:rsidR="00634DE3">
        <w:rPr>
          <w:sz w:val="20"/>
          <w:szCs w:val="20"/>
        </w:rPr>
        <w:t xml:space="preserve">of hepatitis C </w:t>
      </w:r>
      <w:r w:rsidR="000733AA" w:rsidRPr="00EA1123">
        <w:rPr>
          <w:sz w:val="20"/>
          <w:szCs w:val="20"/>
        </w:rPr>
        <w:t xml:space="preserve">in decades and </w:t>
      </w:r>
      <w:r w:rsidR="00D161A0" w:rsidRPr="00EA1123">
        <w:rPr>
          <w:sz w:val="20"/>
          <w:szCs w:val="20"/>
        </w:rPr>
        <w:t xml:space="preserve">has brought with it </w:t>
      </w:r>
      <w:r w:rsidR="00A22AEF" w:rsidRPr="00EA1123">
        <w:rPr>
          <w:sz w:val="20"/>
          <w:szCs w:val="20"/>
        </w:rPr>
        <w:t xml:space="preserve">an </w:t>
      </w:r>
      <w:r w:rsidR="00AE073A" w:rsidRPr="00EA1123">
        <w:rPr>
          <w:sz w:val="20"/>
          <w:szCs w:val="20"/>
        </w:rPr>
        <w:t xml:space="preserve">unprecedented opportunity to change the course of the epidemic. </w:t>
      </w:r>
      <w:r w:rsidR="00BB152B" w:rsidRPr="00EA1123">
        <w:rPr>
          <w:sz w:val="20"/>
          <w:szCs w:val="20"/>
        </w:rPr>
        <w:t>In 2016 the Australian Government made a major investment in DAA treatment</w:t>
      </w:r>
      <w:r w:rsidR="00677F86" w:rsidRPr="00EA1123">
        <w:rPr>
          <w:sz w:val="20"/>
          <w:szCs w:val="20"/>
        </w:rPr>
        <w:t xml:space="preserve"> </w:t>
      </w:r>
      <w:r w:rsidR="00BB152B" w:rsidRPr="00EA1123">
        <w:rPr>
          <w:sz w:val="20"/>
          <w:szCs w:val="20"/>
        </w:rPr>
        <w:t>and initiated changes to prescribing rules to support the broadest possible access to these medicines.</w:t>
      </w:r>
      <w:r w:rsidR="00660ED0" w:rsidRPr="00EA1123">
        <w:rPr>
          <w:sz w:val="20"/>
          <w:szCs w:val="20"/>
        </w:rPr>
        <w:t xml:space="preserve"> </w:t>
      </w:r>
      <w:r w:rsidR="00677F86" w:rsidRPr="00EA1123">
        <w:rPr>
          <w:sz w:val="20"/>
          <w:szCs w:val="20"/>
        </w:rPr>
        <w:t>These DAA treatments provide a cure for well over 90 per cent of people treated.</w:t>
      </w:r>
      <w:r w:rsidR="0067364D" w:rsidRPr="00EA1123">
        <w:rPr>
          <w:sz w:val="20"/>
          <w:szCs w:val="20"/>
        </w:rPr>
        <w:t xml:space="preserve"> Realising the potential of the new DAA cures is an important part of our national response to hepatitis C and key to the success of </w:t>
      </w:r>
      <w:r w:rsidR="0067364D" w:rsidRPr="009D7F44">
        <w:rPr>
          <w:sz w:val="20"/>
          <w:szCs w:val="20"/>
        </w:rPr>
        <w:t xml:space="preserve">this </w:t>
      </w:r>
      <w:r w:rsidR="009D7F44" w:rsidRPr="009D7F44">
        <w:rPr>
          <w:sz w:val="20"/>
          <w:szCs w:val="20"/>
        </w:rPr>
        <w:t>s</w:t>
      </w:r>
      <w:r w:rsidR="0067364D" w:rsidRPr="009D7F44">
        <w:rPr>
          <w:sz w:val="20"/>
          <w:szCs w:val="20"/>
        </w:rPr>
        <w:t>trategy</w:t>
      </w:r>
      <w:r w:rsidR="0067364D" w:rsidRPr="00EA1123">
        <w:rPr>
          <w:sz w:val="20"/>
          <w:szCs w:val="20"/>
        </w:rPr>
        <w:t>.</w:t>
      </w:r>
    </w:p>
    <w:p w14:paraId="4F837905" w14:textId="4BF3DCF6" w:rsidR="00BB152B" w:rsidRPr="00EA1123" w:rsidRDefault="009C5D37" w:rsidP="00CC08CD">
      <w:pPr>
        <w:rPr>
          <w:sz w:val="20"/>
          <w:szCs w:val="20"/>
        </w:rPr>
      </w:pPr>
      <w:r>
        <w:rPr>
          <w:sz w:val="20"/>
          <w:szCs w:val="20"/>
        </w:rPr>
        <w:t>In addition to</w:t>
      </w:r>
      <w:r w:rsidR="00677F86" w:rsidRPr="00EA1123">
        <w:rPr>
          <w:sz w:val="20"/>
          <w:szCs w:val="20"/>
        </w:rPr>
        <w:t xml:space="preserve"> broad access to </w:t>
      </w:r>
      <w:r w:rsidR="00175AC1" w:rsidRPr="00EA1123">
        <w:rPr>
          <w:sz w:val="20"/>
          <w:szCs w:val="20"/>
        </w:rPr>
        <w:t>DAA</w:t>
      </w:r>
      <w:r w:rsidR="00677F86" w:rsidRPr="00EA1123">
        <w:rPr>
          <w:sz w:val="20"/>
          <w:szCs w:val="20"/>
        </w:rPr>
        <w:t>s</w:t>
      </w:r>
      <w:r w:rsidR="00175AC1" w:rsidRPr="00EA1123">
        <w:rPr>
          <w:sz w:val="20"/>
          <w:szCs w:val="20"/>
        </w:rPr>
        <w:t xml:space="preserve">, there is a need to strengthen efforts </w:t>
      </w:r>
      <w:r w:rsidR="00CD453E" w:rsidRPr="00EA1123">
        <w:rPr>
          <w:sz w:val="20"/>
          <w:szCs w:val="20"/>
        </w:rPr>
        <w:t>to address</w:t>
      </w:r>
      <w:r w:rsidR="00175AC1" w:rsidRPr="00EA1123">
        <w:rPr>
          <w:sz w:val="20"/>
          <w:szCs w:val="20"/>
        </w:rPr>
        <w:t xml:space="preserve"> the</w:t>
      </w:r>
      <w:r w:rsidR="00CD453E" w:rsidRPr="00EA1123">
        <w:rPr>
          <w:sz w:val="20"/>
          <w:szCs w:val="20"/>
        </w:rPr>
        <w:t xml:space="preserve"> </w:t>
      </w:r>
      <w:r w:rsidR="00B11ACF">
        <w:rPr>
          <w:sz w:val="20"/>
          <w:szCs w:val="20"/>
        </w:rPr>
        <w:t xml:space="preserve">lack of </w:t>
      </w:r>
      <w:r w:rsidR="00067990">
        <w:rPr>
          <w:sz w:val="20"/>
          <w:szCs w:val="20"/>
        </w:rPr>
        <w:t>reduction</w:t>
      </w:r>
      <w:r w:rsidR="00175AC1" w:rsidRPr="00EA1123">
        <w:rPr>
          <w:sz w:val="20"/>
          <w:szCs w:val="20"/>
        </w:rPr>
        <w:t xml:space="preserve"> </w:t>
      </w:r>
      <w:r w:rsidR="00B11ACF">
        <w:rPr>
          <w:sz w:val="20"/>
          <w:szCs w:val="20"/>
        </w:rPr>
        <w:t>in</w:t>
      </w:r>
      <w:r w:rsidR="00B11ACF" w:rsidRPr="00EA1123">
        <w:rPr>
          <w:sz w:val="20"/>
          <w:szCs w:val="20"/>
        </w:rPr>
        <w:t xml:space="preserve"> </w:t>
      </w:r>
      <w:r w:rsidR="00175AC1" w:rsidRPr="00EA1123">
        <w:rPr>
          <w:sz w:val="20"/>
          <w:szCs w:val="20"/>
        </w:rPr>
        <w:t>hepatitis C incidence</w:t>
      </w:r>
      <w:r w:rsidR="00CD453E" w:rsidRPr="00EA1123">
        <w:rPr>
          <w:sz w:val="20"/>
          <w:szCs w:val="20"/>
        </w:rPr>
        <w:t xml:space="preserve">, the increasing rates of receptive needle and syringe sharing and continued mortality and morbidity experienced by people </w:t>
      </w:r>
      <w:r w:rsidR="00BA4AF7">
        <w:rPr>
          <w:sz w:val="20"/>
          <w:szCs w:val="20"/>
        </w:rPr>
        <w:t xml:space="preserve">living </w:t>
      </w:r>
      <w:r w:rsidR="00CD453E" w:rsidRPr="00EA1123">
        <w:rPr>
          <w:sz w:val="20"/>
          <w:szCs w:val="20"/>
        </w:rPr>
        <w:t xml:space="preserve">with hepatitis C. There is also a need to address the </w:t>
      </w:r>
      <w:r w:rsidR="00175AC1" w:rsidRPr="00EA1123">
        <w:rPr>
          <w:sz w:val="20"/>
          <w:szCs w:val="20"/>
        </w:rPr>
        <w:t xml:space="preserve">consistently high prevalence </w:t>
      </w:r>
      <w:r w:rsidR="00CD453E" w:rsidRPr="00EA1123">
        <w:rPr>
          <w:sz w:val="20"/>
          <w:szCs w:val="20"/>
        </w:rPr>
        <w:t xml:space="preserve">of hepatitis C </w:t>
      </w:r>
      <w:r w:rsidR="00175AC1" w:rsidRPr="00EA1123">
        <w:rPr>
          <w:sz w:val="20"/>
          <w:szCs w:val="20"/>
        </w:rPr>
        <w:t>in priority populations</w:t>
      </w:r>
      <w:r w:rsidR="00CD453E" w:rsidRPr="00EA1123">
        <w:rPr>
          <w:sz w:val="20"/>
          <w:szCs w:val="20"/>
        </w:rPr>
        <w:t xml:space="preserve">, </w:t>
      </w:r>
      <w:r w:rsidR="00175AC1" w:rsidRPr="00EA1123">
        <w:rPr>
          <w:sz w:val="20"/>
          <w:szCs w:val="20"/>
        </w:rPr>
        <w:t>includ</w:t>
      </w:r>
      <w:r w:rsidR="00CD453E" w:rsidRPr="00EA1123">
        <w:rPr>
          <w:sz w:val="20"/>
          <w:szCs w:val="20"/>
        </w:rPr>
        <w:t xml:space="preserve">ing in </w:t>
      </w:r>
      <w:r w:rsidR="00175AC1" w:rsidRPr="00EA1123">
        <w:rPr>
          <w:sz w:val="20"/>
          <w:szCs w:val="20"/>
        </w:rPr>
        <w:t>Aboriginal and Torres Strait Islander people</w:t>
      </w:r>
      <w:r w:rsidR="00CD453E" w:rsidRPr="00EA1123">
        <w:rPr>
          <w:sz w:val="20"/>
          <w:szCs w:val="20"/>
        </w:rPr>
        <w:t>. A</w:t>
      </w:r>
      <w:r w:rsidR="00CC08CD" w:rsidRPr="00EA1123">
        <w:rPr>
          <w:sz w:val="20"/>
          <w:szCs w:val="20"/>
        </w:rPr>
        <w:t>ddress</w:t>
      </w:r>
      <w:r w:rsidR="00CD453E" w:rsidRPr="00EA1123">
        <w:rPr>
          <w:sz w:val="20"/>
          <w:szCs w:val="20"/>
        </w:rPr>
        <w:t>ing</w:t>
      </w:r>
      <w:r w:rsidR="00CC08CD" w:rsidRPr="00EA1123">
        <w:rPr>
          <w:sz w:val="20"/>
          <w:szCs w:val="20"/>
        </w:rPr>
        <w:t xml:space="preserve"> the barriers to reducing </w:t>
      </w:r>
      <w:r w:rsidR="00F24DDF">
        <w:rPr>
          <w:sz w:val="20"/>
          <w:szCs w:val="20"/>
        </w:rPr>
        <w:t xml:space="preserve">the </w:t>
      </w:r>
      <w:r w:rsidR="00CC08CD" w:rsidRPr="00EA1123">
        <w:rPr>
          <w:sz w:val="20"/>
          <w:szCs w:val="20"/>
        </w:rPr>
        <w:t xml:space="preserve">ongoing </w:t>
      </w:r>
      <w:r w:rsidR="00F24DDF">
        <w:rPr>
          <w:sz w:val="20"/>
          <w:szCs w:val="20"/>
        </w:rPr>
        <w:t xml:space="preserve">transmission of </w:t>
      </w:r>
      <w:r w:rsidR="00CC08CD" w:rsidRPr="00EA1123">
        <w:rPr>
          <w:sz w:val="20"/>
          <w:szCs w:val="20"/>
        </w:rPr>
        <w:t>hepatitis C</w:t>
      </w:r>
      <w:r w:rsidR="00CD453E" w:rsidRPr="00EA1123">
        <w:rPr>
          <w:sz w:val="20"/>
          <w:szCs w:val="20"/>
        </w:rPr>
        <w:t>,</w:t>
      </w:r>
      <w:r w:rsidR="00CC08CD" w:rsidRPr="00EA1123">
        <w:rPr>
          <w:sz w:val="20"/>
          <w:szCs w:val="20"/>
        </w:rPr>
        <w:t xml:space="preserve"> increasing early diagnosis and ensuring equitable access to quality treatment and care across Australia</w:t>
      </w:r>
      <w:r w:rsidR="009D7F44">
        <w:rPr>
          <w:sz w:val="20"/>
          <w:szCs w:val="20"/>
        </w:rPr>
        <w:t>,</w:t>
      </w:r>
      <w:r w:rsidR="00CD453E" w:rsidRPr="00EA1123">
        <w:rPr>
          <w:sz w:val="20"/>
          <w:szCs w:val="20"/>
        </w:rPr>
        <w:t xml:space="preserve"> are essential elements in the response.</w:t>
      </w:r>
      <w:r w:rsidR="0067364D" w:rsidRPr="00EA1123">
        <w:rPr>
          <w:sz w:val="20"/>
          <w:szCs w:val="20"/>
        </w:rPr>
        <w:t xml:space="preserve"> </w:t>
      </w:r>
    </w:p>
    <w:p w14:paraId="01C697CD" w14:textId="794FCEBB" w:rsidR="00B6163C" w:rsidRPr="00EA1123" w:rsidRDefault="008D4F54" w:rsidP="00343B52">
      <w:pPr>
        <w:rPr>
          <w:sz w:val="20"/>
          <w:szCs w:val="20"/>
        </w:rPr>
      </w:pPr>
      <w:r w:rsidRPr="00EA1123">
        <w:rPr>
          <w:sz w:val="20"/>
          <w:szCs w:val="20"/>
        </w:rPr>
        <w:t xml:space="preserve">Meeting international hepatitis C obligations and targets is a critical part of Australia’s response. </w:t>
      </w:r>
      <w:r w:rsidR="00AF004D" w:rsidRPr="00EA1123">
        <w:rPr>
          <w:sz w:val="20"/>
          <w:szCs w:val="20"/>
        </w:rPr>
        <w:t xml:space="preserve">In 2016, the </w:t>
      </w:r>
      <w:r w:rsidR="00D161A0" w:rsidRPr="00EA1123">
        <w:rPr>
          <w:sz w:val="20"/>
          <w:szCs w:val="20"/>
        </w:rPr>
        <w:t>Australian G</w:t>
      </w:r>
      <w:r w:rsidR="00AF004D" w:rsidRPr="00EA1123">
        <w:rPr>
          <w:sz w:val="20"/>
          <w:szCs w:val="20"/>
        </w:rPr>
        <w:t xml:space="preserve">overnment </w:t>
      </w:r>
      <w:r w:rsidR="00B6163C" w:rsidRPr="00EA1123">
        <w:rPr>
          <w:sz w:val="20"/>
          <w:szCs w:val="20"/>
        </w:rPr>
        <w:t xml:space="preserve">endorsed the </w:t>
      </w:r>
      <w:r w:rsidR="00343B52" w:rsidRPr="00EA1123">
        <w:rPr>
          <w:sz w:val="20"/>
          <w:szCs w:val="20"/>
        </w:rPr>
        <w:t xml:space="preserve">World Health Organization (WHO) </w:t>
      </w:r>
      <w:r w:rsidR="00343B52" w:rsidRPr="009D7F44">
        <w:rPr>
          <w:iCs/>
          <w:sz w:val="20"/>
          <w:szCs w:val="20"/>
        </w:rPr>
        <w:t>Global Health Sector Strategy on Viral Hepatitis 2016</w:t>
      </w:r>
      <w:r w:rsidR="009D7F44">
        <w:rPr>
          <w:iCs/>
          <w:sz w:val="20"/>
          <w:szCs w:val="20"/>
        </w:rPr>
        <w:t>–</w:t>
      </w:r>
      <w:r w:rsidR="00343B52" w:rsidRPr="009D7F44">
        <w:rPr>
          <w:iCs/>
          <w:sz w:val="20"/>
          <w:szCs w:val="20"/>
        </w:rPr>
        <w:t>2021</w:t>
      </w:r>
      <w:r w:rsidR="00343B52" w:rsidRPr="009D7F44">
        <w:rPr>
          <w:sz w:val="20"/>
          <w:szCs w:val="20"/>
        </w:rPr>
        <w:t>,</w:t>
      </w:r>
      <w:r w:rsidR="00343B52" w:rsidRPr="00EA1123">
        <w:rPr>
          <w:sz w:val="20"/>
          <w:szCs w:val="20"/>
        </w:rPr>
        <w:t xml:space="preserve"> </w:t>
      </w:r>
      <w:r w:rsidR="00660ED0" w:rsidRPr="00EA1123">
        <w:rPr>
          <w:sz w:val="20"/>
          <w:szCs w:val="20"/>
        </w:rPr>
        <w:t xml:space="preserve">which set </w:t>
      </w:r>
      <w:r w:rsidR="00B6163C" w:rsidRPr="00EA1123">
        <w:rPr>
          <w:sz w:val="20"/>
          <w:szCs w:val="20"/>
        </w:rPr>
        <w:t xml:space="preserve">the </w:t>
      </w:r>
      <w:r w:rsidR="00660ED0" w:rsidRPr="009D7F44">
        <w:rPr>
          <w:sz w:val="20"/>
          <w:szCs w:val="20"/>
        </w:rPr>
        <w:t>overarching</w:t>
      </w:r>
      <w:r w:rsidR="00660ED0" w:rsidRPr="00EA1123">
        <w:rPr>
          <w:sz w:val="20"/>
          <w:szCs w:val="20"/>
        </w:rPr>
        <w:t xml:space="preserve"> </w:t>
      </w:r>
      <w:r w:rsidR="00B6163C" w:rsidRPr="00EA1123">
        <w:rPr>
          <w:sz w:val="20"/>
          <w:szCs w:val="20"/>
        </w:rPr>
        <w:t>goal of e</w:t>
      </w:r>
      <w:r w:rsidR="00343B52" w:rsidRPr="00EA1123">
        <w:rPr>
          <w:sz w:val="20"/>
          <w:szCs w:val="20"/>
        </w:rPr>
        <w:t>liminat</w:t>
      </w:r>
      <w:r w:rsidR="00B6163C" w:rsidRPr="00EA1123">
        <w:rPr>
          <w:sz w:val="20"/>
          <w:szCs w:val="20"/>
        </w:rPr>
        <w:t xml:space="preserve">ion of </w:t>
      </w:r>
      <w:r w:rsidR="0003215D">
        <w:rPr>
          <w:sz w:val="20"/>
          <w:szCs w:val="20"/>
        </w:rPr>
        <w:t xml:space="preserve">viral </w:t>
      </w:r>
      <w:r w:rsidR="00AF004D" w:rsidRPr="00EA1123">
        <w:rPr>
          <w:sz w:val="20"/>
          <w:szCs w:val="20"/>
        </w:rPr>
        <w:t xml:space="preserve">hepatitis </w:t>
      </w:r>
      <w:r w:rsidR="00343B52" w:rsidRPr="00EA1123">
        <w:rPr>
          <w:sz w:val="20"/>
          <w:szCs w:val="20"/>
        </w:rPr>
        <w:t>as a major public</w:t>
      </w:r>
      <w:r w:rsidR="00B6163C" w:rsidRPr="00EA1123">
        <w:rPr>
          <w:sz w:val="20"/>
          <w:szCs w:val="20"/>
        </w:rPr>
        <w:t xml:space="preserve"> health threat by 2030</w:t>
      </w:r>
      <w:r w:rsidR="004D54CA" w:rsidRPr="00EA1123">
        <w:rPr>
          <w:sz w:val="20"/>
          <w:szCs w:val="20"/>
        </w:rPr>
        <w:t xml:space="preserve">. </w:t>
      </w:r>
      <w:r w:rsidR="00660ED0" w:rsidRPr="00EA1123">
        <w:rPr>
          <w:sz w:val="20"/>
          <w:szCs w:val="20"/>
        </w:rPr>
        <w:t>As a result</w:t>
      </w:r>
      <w:r w:rsidR="00BB152B" w:rsidRPr="00EA1123">
        <w:rPr>
          <w:sz w:val="20"/>
          <w:szCs w:val="20"/>
        </w:rPr>
        <w:t xml:space="preserve"> of </w:t>
      </w:r>
      <w:r w:rsidR="007739E7" w:rsidRPr="00EA1123">
        <w:rPr>
          <w:sz w:val="20"/>
          <w:szCs w:val="20"/>
        </w:rPr>
        <w:t xml:space="preserve">the national investment in </w:t>
      </w:r>
      <w:r w:rsidR="00BB152B" w:rsidRPr="00EA1123">
        <w:rPr>
          <w:sz w:val="20"/>
          <w:szCs w:val="20"/>
        </w:rPr>
        <w:t>DAA treatment</w:t>
      </w:r>
      <w:r w:rsidR="00660ED0" w:rsidRPr="00EA1123">
        <w:rPr>
          <w:sz w:val="20"/>
          <w:szCs w:val="20"/>
        </w:rPr>
        <w:t>, by the end of 2016 Australia was one of a handful of countries worldwide on track to reach the elimination goal by 2030.</w:t>
      </w:r>
      <w:r w:rsidR="00067990">
        <w:rPr>
          <w:rStyle w:val="EndnoteReference"/>
          <w:sz w:val="20"/>
          <w:szCs w:val="20"/>
        </w:rPr>
        <w:endnoteReference w:id="2"/>
      </w:r>
      <w:r w:rsidR="00660ED0" w:rsidRPr="00EA1123">
        <w:rPr>
          <w:sz w:val="20"/>
          <w:szCs w:val="20"/>
        </w:rPr>
        <w:t xml:space="preserve"> </w:t>
      </w:r>
    </w:p>
    <w:p w14:paraId="3ABA44ED" w14:textId="172C65A4" w:rsidR="003337BA" w:rsidRPr="00EA1123" w:rsidRDefault="0020566B" w:rsidP="00D31280">
      <w:pPr>
        <w:rPr>
          <w:sz w:val="20"/>
          <w:szCs w:val="20"/>
        </w:rPr>
      </w:pPr>
      <w:r w:rsidRPr="00EA1123">
        <w:rPr>
          <w:sz w:val="20"/>
          <w:szCs w:val="20"/>
        </w:rPr>
        <w:t xml:space="preserve">Since the First National Hepatitis C Strategy in 1999, </w:t>
      </w:r>
      <w:r w:rsidR="00442209" w:rsidRPr="00EA1123">
        <w:rPr>
          <w:sz w:val="20"/>
          <w:szCs w:val="20"/>
        </w:rPr>
        <w:t xml:space="preserve">Australia’s response to hepatitis C has been underpinned by a </w:t>
      </w:r>
      <w:r w:rsidR="005C71E1" w:rsidRPr="00EA1123">
        <w:rPr>
          <w:sz w:val="20"/>
          <w:szCs w:val="20"/>
        </w:rPr>
        <w:t xml:space="preserve">strong </w:t>
      </w:r>
      <w:r w:rsidR="00442209" w:rsidRPr="00EA1123">
        <w:rPr>
          <w:sz w:val="20"/>
          <w:szCs w:val="20"/>
        </w:rPr>
        <w:t xml:space="preserve">partnership approach between </w:t>
      </w:r>
      <w:r w:rsidR="00442209" w:rsidRPr="009D7F44">
        <w:rPr>
          <w:sz w:val="20"/>
          <w:szCs w:val="20"/>
        </w:rPr>
        <w:t xml:space="preserve">Australian, </w:t>
      </w:r>
      <w:r w:rsidR="008F0CDA" w:rsidRPr="009D7F44">
        <w:rPr>
          <w:sz w:val="20"/>
          <w:szCs w:val="20"/>
        </w:rPr>
        <w:t>s</w:t>
      </w:r>
      <w:r w:rsidR="00442209" w:rsidRPr="009D7F44">
        <w:rPr>
          <w:sz w:val="20"/>
          <w:szCs w:val="20"/>
        </w:rPr>
        <w:t xml:space="preserve">tate and </w:t>
      </w:r>
      <w:r w:rsidR="008F0CDA" w:rsidRPr="009D7F44">
        <w:rPr>
          <w:sz w:val="20"/>
          <w:szCs w:val="20"/>
        </w:rPr>
        <w:t>t</w:t>
      </w:r>
      <w:r w:rsidR="00442209" w:rsidRPr="009D7F44">
        <w:rPr>
          <w:sz w:val="20"/>
          <w:szCs w:val="20"/>
        </w:rPr>
        <w:t xml:space="preserve">erritory </w:t>
      </w:r>
      <w:r w:rsidR="008F0CDA" w:rsidRPr="009D7F44">
        <w:rPr>
          <w:sz w:val="20"/>
          <w:szCs w:val="20"/>
        </w:rPr>
        <w:t>g</w:t>
      </w:r>
      <w:r w:rsidR="00442209" w:rsidRPr="009D7F44">
        <w:rPr>
          <w:sz w:val="20"/>
          <w:szCs w:val="20"/>
        </w:rPr>
        <w:t>overnments</w:t>
      </w:r>
      <w:r w:rsidR="00363531" w:rsidRPr="009D7F44">
        <w:rPr>
          <w:sz w:val="20"/>
          <w:szCs w:val="20"/>
        </w:rPr>
        <w:t>,</w:t>
      </w:r>
      <w:r w:rsidR="00363531" w:rsidRPr="00EA1123">
        <w:rPr>
          <w:sz w:val="20"/>
          <w:szCs w:val="20"/>
        </w:rPr>
        <w:t xml:space="preserve"> </w:t>
      </w:r>
      <w:r w:rsidR="00533681">
        <w:rPr>
          <w:sz w:val="20"/>
          <w:szCs w:val="20"/>
        </w:rPr>
        <w:t xml:space="preserve">people </w:t>
      </w:r>
      <w:r w:rsidR="00BA4AF7">
        <w:rPr>
          <w:sz w:val="20"/>
          <w:szCs w:val="20"/>
        </w:rPr>
        <w:t xml:space="preserve">living </w:t>
      </w:r>
      <w:r w:rsidR="00533681">
        <w:rPr>
          <w:sz w:val="20"/>
          <w:szCs w:val="20"/>
        </w:rPr>
        <w:t>with and affected by viral hepatitis</w:t>
      </w:r>
      <w:r w:rsidR="00315023">
        <w:rPr>
          <w:sz w:val="20"/>
          <w:szCs w:val="20"/>
        </w:rPr>
        <w:t>,</w:t>
      </w:r>
      <w:r w:rsidR="00CA186C">
        <w:rPr>
          <w:sz w:val="20"/>
          <w:szCs w:val="20"/>
        </w:rPr>
        <w:t xml:space="preserve"> </w:t>
      </w:r>
      <w:r w:rsidR="00442209" w:rsidRPr="00EA1123">
        <w:rPr>
          <w:sz w:val="20"/>
          <w:szCs w:val="20"/>
        </w:rPr>
        <w:t xml:space="preserve">community organisations, researchers and </w:t>
      </w:r>
      <w:r w:rsidR="00582454">
        <w:rPr>
          <w:sz w:val="20"/>
          <w:szCs w:val="20"/>
        </w:rPr>
        <w:t>health professionals</w:t>
      </w:r>
      <w:r w:rsidR="00442209" w:rsidRPr="00EA1123">
        <w:rPr>
          <w:sz w:val="20"/>
          <w:szCs w:val="20"/>
        </w:rPr>
        <w:t xml:space="preserve">. </w:t>
      </w:r>
    </w:p>
    <w:p w14:paraId="16F30D72" w14:textId="288A4D12" w:rsidR="008E2639" w:rsidRPr="00EA1123" w:rsidRDefault="00F91BB8" w:rsidP="0000359F">
      <w:pPr>
        <w:spacing w:after="60"/>
        <w:rPr>
          <w:sz w:val="20"/>
          <w:szCs w:val="20"/>
        </w:rPr>
      </w:pPr>
      <w:r w:rsidRPr="00EA1123">
        <w:rPr>
          <w:sz w:val="20"/>
          <w:szCs w:val="20"/>
        </w:rPr>
        <w:t>Th</w:t>
      </w:r>
      <w:r w:rsidR="009E56FC" w:rsidRPr="00EA1123">
        <w:rPr>
          <w:sz w:val="20"/>
          <w:szCs w:val="20"/>
        </w:rPr>
        <w:t>e Australian Government acknowledges the</w:t>
      </w:r>
      <w:r w:rsidR="0020566B" w:rsidRPr="00EA1123">
        <w:rPr>
          <w:sz w:val="20"/>
          <w:szCs w:val="20"/>
        </w:rPr>
        <w:t xml:space="preserve"> </w:t>
      </w:r>
      <w:r w:rsidR="009E56FC" w:rsidRPr="00EA1123">
        <w:rPr>
          <w:sz w:val="20"/>
          <w:szCs w:val="20"/>
        </w:rPr>
        <w:t xml:space="preserve">pivotal role of the </w:t>
      </w:r>
      <w:r w:rsidR="00CF35DE">
        <w:rPr>
          <w:sz w:val="20"/>
          <w:szCs w:val="20"/>
        </w:rPr>
        <w:t xml:space="preserve">national </w:t>
      </w:r>
      <w:r w:rsidR="003E0EDD">
        <w:rPr>
          <w:sz w:val="20"/>
          <w:szCs w:val="20"/>
        </w:rPr>
        <w:t xml:space="preserve">community and health peak </w:t>
      </w:r>
      <w:r w:rsidR="005E409D" w:rsidRPr="00EA1123">
        <w:rPr>
          <w:sz w:val="20"/>
          <w:szCs w:val="20"/>
        </w:rPr>
        <w:t>organisations</w:t>
      </w:r>
      <w:r w:rsidR="003E0EDD">
        <w:rPr>
          <w:sz w:val="20"/>
          <w:szCs w:val="20"/>
        </w:rPr>
        <w:t xml:space="preserve"> and other organisations</w:t>
      </w:r>
      <w:r w:rsidR="005E409D" w:rsidRPr="00EA1123">
        <w:rPr>
          <w:sz w:val="20"/>
          <w:szCs w:val="20"/>
        </w:rPr>
        <w:t xml:space="preserve"> representing the interests of the affected </w:t>
      </w:r>
      <w:r w:rsidR="003337BA" w:rsidRPr="00EA1123">
        <w:rPr>
          <w:sz w:val="20"/>
          <w:szCs w:val="20"/>
        </w:rPr>
        <w:t>communit</w:t>
      </w:r>
      <w:r w:rsidR="005E409D" w:rsidRPr="00EA1123">
        <w:rPr>
          <w:sz w:val="20"/>
          <w:szCs w:val="20"/>
        </w:rPr>
        <w:t xml:space="preserve">ies and the clinical workforce over the course of the previous strategies. </w:t>
      </w:r>
      <w:r w:rsidR="00912ABD" w:rsidRPr="00EA1123">
        <w:rPr>
          <w:sz w:val="20"/>
          <w:szCs w:val="20"/>
        </w:rPr>
        <w:t>These organisations</w:t>
      </w:r>
      <w:r w:rsidR="00B86908" w:rsidRPr="00EA1123">
        <w:rPr>
          <w:sz w:val="20"/>
          <w:szCs w:val="20"/>
        </w:rPr>
        <w:t xml:space="preserve">, </w:t>
      </w:r>
      <w:r w:rsidR="0000359F" w:rsidRPr="00EA1123">
        <w:rPr>
          <w:sz w:val="20"/>
          <w:szCs w:val="20"/>
        </w:rPr>
        <w:t>particularly</w:t>
      </w:r>
      <w:r w:rsidR="00B86908" w:rsidRPr="00EA1123">
        <w:rPr>
          <w:sz w:val="20"/>
          <w:szCs w:val="20"/>
        </w:rPr>
        <w:t xml:space="preserve"> Hepatitis Australia</w:t>
      </w:r>
      <w:r w:rsidR="0000359F" w:rsidRPr="00EA1123">
        <w:rPr>
          <w:sz w:val="20"/>
          <w:szCs w:val="20"/>
        </w:rPr>
        <w:t xml:space="preserve"> and</w:t>
      </w:r>
      <w:r w:rsidR="00B86908" w:rsidRPr="00EA1123">
        <w:rPr>
          <w:sz w:val="20"/>
          <w:szCs w:val="20"/>
        </w:rPr>
        <w:t xml:space="preserve"> the Australian Injecting </w:t>
      </w:r>
      <w:r w:rsidR="00D560D6">
        <w:rPr>
          <w:sz w:val="20"/>
          <w:szCs w:val="20"/>
        </w:rPr>
        <w:t>and</w:t>
      </w:r>
      <w:r w:rsidR="00B86908" w:rsidRPr="00EA1123">
        <w:rPr>
          <w:sz w:val="20"/>
          <w:szCs w:val="20"/>
        </w:rPr>
        <w:t xml:space="preserve"> Illicit Drug Users League</w:t>
      </w:r>
      <w:r w:rsidR="00175AC1" w:rsidRPr="00EA1123">
        <w:rPr>
          <w:sz w:val="20"/>
          <w:szCs w:val="20"/>
        </w:rPr>
        <w:t xml:space="preserve"> (AIVL)</w:t>
      </w:r>
      <w:r w:rsidR="0000359F" w:rsidRPr="00EA1123">
        <w:rPr>
          <w:sz w:val="20"/>
          <w:szCs w:val="20"/>
        </w:rPr>
        <w:t xml:space="preserve">, along with the Australasian Society for HIV, Viral Hepatitis </w:t>
      </w:r>
      <w:r w:rsidR="0000359F" w:rsidRPr="00EA1123">
        <w:rPr>
          <w:sz w:val="20"/>
          <w:szCs w:val="20"/>
        </w:rPr>
        <w:lastRenderedPageBreak/>
        <w:t xml:space="preserve">and Sexual Health Medicine (ASHM) and </w:t>
      </w:r>
      <w:r w:rsidR="00055728" w:rsidRPr="00055728">
        <w:rPr>
          <w:sz w:val="20"/>
          <w:szCs w:val="20"/>
        </w:rPr>
        <w:t>Scarlet Alliance, Australian Sex Workers Association</w:t>
      </w:r>
      <w:r w:rsidR="0067364D" w:rsidRPr="00EA1123">
        <w:rPr>
          <w:sz w:val="20"/>
          <w:szCs w:val="20"/>
        </w:rPr>
        <w:t>,</w:t>
      </w:r>
      <w:r w:rsidR="00EE7E46" w:rsidRPr="00EA1123">
        <w:rPr>
          <w:sz w:val="20"/>
          <w:szCs w:val="20"/>
        </w:rPr>
        <w:t xml:space="preserve"> have played a </w:t>
      </w:r>
      <w:r w:rsidR="008D4F54" w:rsidRPr="00EA1123">
        <w:rPr>
          <w:sz w:val="20"/>
          <w:szCs w:val="20"/>
        </w:rPr>
        <w:t xml:space="preserve">critical </w:t>
      </w:r>
      <w:r w:rsidR="00EE7E46" w:rsidRPr="00EA1123">
        <w:rPr>
          <w:sz w:val="20"/>
          <w:szCs w:val="20"/>
        </w:rPr>
        <w:t xml:space="preserve">role in </w:t>
      </w:r>
      <w:r w:rsidR="00BC483A" w:rsidRPr="00EA1123">
        <w:rPr>
          <w:sz w:val="20"/>
          <w:szCs w:val="20"/>
        </w:rPr>
        <w:t>the success of Australia’s response to hepatitis C</w:t>
      </w:r>
      <w:r w:rsidR="008D4F54" w:rsidRPr="00EA1123">
        <w:rPr>
          <w:sz w:val="20"/>
          <w:szCs w:val="20"/>
        </w:rPr>
        <w:t>.</w:t>
      </w:r>
      <w:r w:rsidR="003B69F2">
        <w:rPr>
          <w:sz w:val="20"/>
          <w:szCs w:val="20"/>
        </w:rPr>
        <w:t xml:space="preserve"> </w:t>
      </w:r>
      <w:r w:rsidR="008A706C">
        <w:rPr>
          <w:sz w:val="20"/>
          <w:szCs w:val="20"/>
        </w:rPr>
        <w:t xml:space="preserve">Other key organisations which have </w:t>
      </w:r>
      <w:r w:rsidR="00683F35">
        <w:rPr>
          <w:sz w:val="20"/>
          <w:szCs w:val="20"/>
        </w:rPr>
        <w:t>a c</w:t>
      </w:r>
      <w:r w:rsidR="008A706C">
        <w:rPr>
          <w:sz w:val="20"/>
          <w:szCs w:val="20"/>
        </w:rPr>
        <w:t>entral r</w:t>
      </w:r>
      <w:r w:rsidR="00315023">
        <w:rPr>
          <w:sz w:val="20"/>
          <w:szCs w:val="20"/>
        </w:rPr>
        <w:t>ole in Australia’s response to h</w:t>
      </w:r>
      <w:r w:rsidR="008A706C">
        <w:rPr>
          <w:sz w:val="20"/>
          <w:szCs w:val="20"/>
        </w:rPr>
        <w:t xml:space="preserve">epatitis C include </w:t>
      </w:r>
      <w:r w:rsidR="008A706C">
        <w:rPr>
          <w:sz w:val="20"/>
          <w:szCs w:val="20"/>
          <w:lang w:eastAsia="en-AU"/>
        </w:rPr>
        <w:t xml:space="preserve">the Gastroenterological Society of Australia, </w:t>
      </w:r>
      <w:r w:rsidR="009D7F44">
        <w:rPr>
          <w:sz w:val="20"/>
          <w:szCs w:val="20"/>
          <w:lang w:eastAsia="en-AU"/>
        </w:rPr>
        <w:t xml:space="preserve">the </w:t>
      </w:r>
      <w:r w:rsidR="008A706C">
        <w:rPr>
          <w:sz w:val="20"/>
          <w:szCs w:val="20"/>
          <w:lang w:eastAsia="en-AU"/>
        </w:rPr>
        <w:t xml:space="preserve">Australian Liver Association, </w:t>
      </w:r>
      <w:r w:rsidR="009D7F44">
        <w:rPr>
          <w:sz w:val="20"/>
          <w:szCs w:val="20"/>
          <w:lang w:eastAsia="en-AU"/>
        </w:rPr>
        <w:t xml:space="preserve">the </w:t>
      </w:r>
      <w:r w:rsidR="008A706C">
        <w:rPr>
          <w:sz w:val="20"/>
          <w:szCs w:val="20"/>
          <w:lang w:eastAsia="en-AU"/>
        </w:rPr>
        <w:t>Australasian Society for Infectious Diseases and the Australasian Hepatology Association.</w:t>
      </w:r>
    </w:p>
    <w:p w14:paraId="055794A0" w14:textId="31151698" w:rsidR="002A370A" w:rsidRPr="00EA1123" w:rsidRDefault="008D4F54" w:rsidP="002A370A">
      <w:pPr>
        <w:rPr>
          <w:sz w:val="20"/>
          <w:szCs w:val="20"/>
        </w:rPr>
      </w:pPr>
      <w:r w:rsidRPr="00EA1123">
        <w:rPr>
          <w:sz w:val="20"/>
          <w:szCs w:val="20"/>
        </w:rPr>
        <w:t>This</w:t>
      </w:r>
      <w:r w:rsidR="002A370A" w:rsidRPr="00EA1123">
        <w:rPr>
          <w:sz w:val="20"/>
          <w:szCs w:val="20"/>
        </w:rPr>
        <w:t xml:space="preserve"> strong foundation, and the commitment and work of </w:t>
      </w:r>
      <w:r w:rsidRPr="00EA1123">
        <w:rPr>
          <w:sz w:val="20"/>
          <w:szCs w:val="20"/>
        </w:rPr>
        <w:t xml:space="preserve">all </w:t>
      </w:r>
      <w:r w:rsidR="002A370A" w:rsidRPr="00EA1123">
        <w:rPr>
          <w:sz w:val="20"/>
          <w:szCs w:val="20"/>
        </w:rPr>
        <w:t>partners,</w:t>
      </w:r>
      <w:r w:rsidRPr="00EA1123">
        <w:rPr>
          <w:sz w:val="20"/>
          <w:szCs w:val="20"/>
        </w:rPr>
        <w:t xml:space="preserve"> means that</w:t>
      </w:r>
      <w:r w:rsidR="002A370A" w:rsidRPr="00EA1123">
        <w:rPr>
          <w:sz w:val="20"/>
          <w:szCs w:val="20"/>
        </w:rPr>
        <w:t xml:space="preserve"> Australia </w:t>
      </w:r>
      <w:r w:rsidRPr="00EA1123">
        <w:rPr>
          <w:sz w:val="20"/>
          <w:szCs w:val="20"/>
        </w:rPr>
        <w:t>remains</w:t>
      </w:r>
      <w:r w:rsidR="00253AC9">
        <w:rPr>
          <w:sz w:val="20"/>
          <w:szCs w:val="20"/>
        </w:rPr>
        <w:t xml:space="preserve"> well</w:t>
      </w:r>
      <w:r w:rsidR="008F0CDA">
        <w:rPr>
          <w:sz w:val="20"/>
          <w:szCs w:val="20"/>
        </w:rPr>
        <w:t xml:space="preserve"> </w:t>
      </w:r>
      <w:r w:rsidR="002A370A" w:rsidRPr="00EA1123">
        <w:rPr>
          <w:sz w:val="20"/>
          <w:szCs w:val="20"/>
        </w:rPr>
        <w:t xml:space="preserve">placed to build on the </w:t>
      </w:r>
      <w:r w:rsidRPr="00EA1123">
        <w:rPr>
          <w:sz w:val="20"/>
          <w:szCs w:val="20"/>
        </w:rPr>
        <w:t>successes</w:t>
      </w:r>
      <w:r w:rsidR="002A370A" w:rsidRPr="00EA1123">
        <w:rPr>
          <w:sz w:val="20"/>
          <w:szCs w:val="20"/>
        </w:rPr>
        <w:t xml:space="preserve"> </w:t>
      </w:r>
      <w:r w:rsidR="00634DE3">
        <w:rPr>
          <w:sz w:val="20"/>
          <w:szCs w:val="20"/>
        </w:rPr>
        <w:t xml:space="preserve">under </w:t>
      </w:r>
      <w:r w:rsidR="002A370A" w:rsidRPr="00EA1123">
        <w:rPr>
          <w:sz w:val="20"/>
          <w:szCs w:val="20"/>
        </w:rPr>
        <w:t>the</w:t>
      </w:r>
      <w:r w:rsidR="002A370A" w:rsidRPr="00EA1123">
        <w:rPr>
          <w:iCs/>
          <w:sz w:val="20"/>
          <w:szCs w:val="20"/>
        </w:rPr>
        <w:t xml:space="preserve"> Fourth National Hepatitis C Strategy 2014</w:t>
      </w:r>
      <w:r w:rsidR="009D7F44">
        <w:rPr>
          <w:iCs/>
          <w:sz w:val="20"/>
          <w:szCs w:val="20"/>
        </w:rPr>
        <w:t>–</w:t>
      </w:r>
      <w:r w:rsidR="002A370A" w:rsidRPr="00EA1123">
        <w:rPr>
          <w:iCs/>
          <w:sz w:val="20"/>
          <w:szCs w:val="20"/>
        </w:rPr>
        <w:t>2017</w:t>
      </w:r>
      <w:r w:rsidRPr="00EA1123">
        <w:rPr>
          <w:iCs/>
          <w:sz w:val="20"/>
          <w:szCs w:val="20"/>
        </w:rPr>
        <w:t>, realise gains for all priority populations,</w:t>
      </w:r>
      <w:r w:rsidR="002A370A" w:rsidRPr="00EA1123">
        <w:rPr>
          <w:iCs/>
          <w:sz w:val="20"/>
          <w:szCs w:val="20"/>
        </w:rPr>
        <w:t xml:space="preserve"> and work towards becoming one of the first countries in the world to eliminate hepatitis C as a public health threat by 2030. </w:t>
      </w:r>
    </w:p>
    <w:p w14:paraId="0BED792C" w14:textId="426B79E2" w:rsidR="00C06818" w:rsidRPr="00EA1123" w:rsidRDefault="00C06818" w:rsidP="00C06818">
      <w:pPr>
        <w:rPr>
          <w:i/>
          <w:sz w:val="20"/>
          <w:szCs w:val="20"/>
        </w:rPr>
      </w:pPr>
      <w:r w:rsidRPr="00EA1123">
        <w:rPr>
          <w:i/>
          <w:sz w:val="20"/>
          <w:szCs w:val="20"/>
        </w:rPr>
        <w:t>Gratitude is expressed to those who participated in the stakeholder consultations and contributed to the strategy development process</w:t>
      </w:r>
      <w:r w:rsidR="008F0CDA">
        <w:rPr>
          <w:i/>
          <w:sz w:val="20"/>
          <w:szCs w:val="20"/>
        </w:rPr>
        <w:t>—</w:t>
      </w:r>
      <w:r w:rsidRPr="00EA1123">
        <w:rPr>
          <w:i/>
          <w:sz w:val="20"/>
          <w:szCs w:val="20"/>
        </w:rPr>
        <w:t>in particular</w:t>
      </w:r>
      <w:r w:rsidR="008F0CDA">
        <w:rPr>
          <w:i/>
          <w:sz w:val="20"/>
          <w:szCs w:val="20"/>
        </w:rPr>
        <w:t>,</w:t>
      </w:r>
      <w:r w:rsidRPr="00EA1123">
        <w:rPr>
          <w:i/>
          <w:sz w:val="20"/>
          <w:szCs w:val="20"/>
        </w:rPr>
        <w:t xml:space="preserve"> the members and organisations represented on the Blood Borne Viruses and Sexually Transmissible Infections Standing Committee</w:t>
      </w:r>
      <w:r w:rsidR="008D4F54" w:rsidRPr="00EA1123">
        <w:rPr>
          <w:i/>
          <w:sz w:val="20"/>
          <w:szCs w:val="20"/>
        </w:rPr>
        <w:t xml:space="preserve"> (</w:t>
      </w:r>
      <w:r w:rsidR="008F0CDA">
        <w:rPr>
          <w:i/>
          <w:sz w:val="20"/>
          <w:szCs w:val="20"/>
        </w:rPr>
        <w:t xml:space="preserve">see </w:t>
      </w:r>
      <w:r w:rsidR="008D4F54" w:rsidRPr="00EA1123">
        <w:rPr>
          <w:i/>
          <w:sz w:val="20"/>
          <w:szCs w:val="20"/>
        </w:rPr>
        <w:t>Figure 1)</w:t>
      </w:r>
      <w:r w:rsidR="00B86805" w:rsidRPr="00EA1123">
        <w:rPr>
          <w:i/>
          <w:sz w:val="20"/>
          <w:szCs w:val="20"/>
        </w:rPr>
        <w:t>.</w:t>
      </w:r>
    </w:p>
    <w:p w14:paraId="6186E022" w14:textId="4D7E1D93" w:rsidR="008F0CDA" w:rsidRDefault="008F0CDA">
      <w:pPr>
        <w:spacing w:after="0"/>
        <w:rPr>
          <w:rFonts w:eastAsia="Times New Roman"/>
          <w:b/>
          <w:color w:val="00264D"/>
          <w:sz w:val="36"/>
          <w:szCs w:val="19"/>
          <w:lang w:eastAsia="en-AU"/>
        </w:rPr>
      </w:pPr>
      <w:r>
        <w:rPr>
          <w:rFonts w:eastAsia="Times New Roman"/>
          <w:b/>
          <w:color w:val="00264D"/>
          <w:sz w:val="36"/>
          <w:szCs w:val="19"/>
          <w:lang w:eastAsia="en-AU"/>
        </w:rPr>
        <w:br w:type="page"/>
      </w:r>
    </w:p>
    <w:p w14:paraId="4514EFA9" w14:textId="302FBA94" w:rsidR="00CE5B8B" w:rsidRPr="00CE5B8B" w:rsidRDefault="00CE5B8B" w:rsidP="00CE5B8B">
      <w:pPr>
        <w:pStyle w:val="Heading1"/>
      </w:pPr>
      <w:bookmarkStart w:id="8" w:name="_Toc529474513"/>
      <w:r>
        <w:lastRenderedPageBreak/>
        <w:t xml:space="preserve">2 Guiding </w:t>
      </w:r>
      <w:r w:rsidR="008F0CDA">
        <w:t>p</w:t>
      </w:r>
      <w:r>
        <w:t>rinciples</w:t>
      </w:r>
      <w:bookmarkEnd w:id="8"/>
    </w:p>
    <w:p w14:paraId="4F3B07CD" w14:textId="66F57B60" w:rsidR="00EA1123" w:rsidRPr="00F24DDF" w:rsidRDefault="00E50981" w:rsidP="00105237">
      <w:pPr>
        <w:rPr>
          <w:sz w:val="20"/>
          <w:szCs w:val="20"/>
        </w:rPr>
      </w:pPr>
      <w:r w:rsidRPr="00ED2684">
        <w:rPr>
          <w:sz w:val="20"/>
          <w:szCs w:val="20"/>
          <w:lang w:eastAsia="en-AU"/>
        </w:rPr>
        <w:t xml:space="preserve">The </w:t>
      </w:r>
      <w:r w:rsidR="005B095A" w:rsidRPr="00ED2684">
        <w:rPr>
          <w:sz w:val="20"/>
          <w:szCs w:val="20"/>
          <w:lang w:eastAsia="en-AU"/>
        </w:rPr>
        <w:t>Fifth National Hepatitis C</w:t>
      </w:r>
      <w:r w:rsidRPr="00ED2684">
        <w:rPr>
          <w:sz w:val="20"/>
          <w:szCs w:val="20"/>
          <w:lang w:eastAsia="en-AU"/>
        </w:rPr>
        <w:t xml:space="preserve"> </w:t>
      </w:r>
      <w:r w:rsidRPr="00ED2684">
        <w:rPr>
          <w:sz w:val="20"/>
          <w:szCs w:val="20"/>
        </w:rPr>
        <w:t>Strategy</w:t>
      </w:r>
      <w:r w:rsidRPr="00ED2684">
        <w:rPr>
          <w:sz w:val="20"/>
          <w:szCs w:val="20"/>
          <w:lang w:eastAsia="en-AU"/>
        </w:rPr>
        <w:t xml:space="preserve"> 2018</w:t>
      </w:r>
      <w:r w:rsidR="008F0CDA" w:rsidRPr="00ED2684">
        <w:rPr>
          <w:sz w:val="20"/>
          <w:szCs w:val="20"/>
          <w:lang w:eastAsia="en-AU"/>
        </w:rPr>
        <w:t>–</w:t>
      </w:r>
      <w:r w:rsidRPr="00ED2684">
        <w:rPr>
          <w:sz w:val="20"/>
          <w:szCs w:val="20"/>
          <w:lang w:eastAsia="en-AU"/>
        </w:rPr>
        <w:t>2022</w:t>
      </w:r>
      <w:r w:rsidRPr="00F24DDF">
        <w:rPr>
          <w:sz w:val="20"/>
          <w:szCs w:val="20"/>
          <w:lang w:eastAsia="en-AU"/>
        </w:rPr>
        <w:t xml:space="preserve"> includes guiding principles to support a high</w:t>
      </w:r>
      <w:r w:rsidR="008F0CDA">
        <w:rPr>
          <w:sz w:val="20"/>
          <w:szCs w:val="20"/>
          <w:lang w:eastAsia="en-AU"/>
        </w:rPr>
        <w:t>-</w:t>
      </w:r>
      <w:r w:rsidRPr="00F24DDF">
        <w:rPr>
          <w:sz w:val="20"/>
          <w:szCs w:val="20"/>
          <w:lang w:eastAsia="en-AU"/>
        </w:rPr>
        <w:t>quality, evidence-bas</w:t>
      </w:r>
      <w:r w:rsidR="006C625C" w:rsidRPr="00F24DDF">
        <w:rPr>
          <w:sz w:val="20"/>
          <w:szCs w:val="20"/>
          <w:lang w:eastAsia="en-AU"/>
        </w:rPr>
        <w:t>ed and equitable response to h</w:t>
      </w:r>
      <w:r w:rsidR="005B095A" w:rsidRPr="00F24DDF">
        <w:rPr>
          <w:sz w:val="20"/>
          <w:szCs w:val="20"/>
          <w:lang w:eastAsia="en-AU"/>
        </w:rPr>
        <w:t>epatitis C</w:t>
      </w:r>
      <w:r w:rsidRPr="00F24DDF">
        <w:rPr>
          <w:sz w:val="20"/>
          <w:szCs w:val="20"/>
          <w:lang w:eastAsia="en-AU"/>
        </w:rPr>
        <w:t xml:space="preserve">. These are included in each of the </w:t>
      </w:r>
      <w:r w:rsidR="00902083">
        <w:rPr>
          <w:sz w:val="20"/>
          <w:szCs w:val="20"/>
          <w:lang w:eastAsia="en-AU"/>
        </w:rPr>
        <w:t xml:space="preserve">blood </w:t>
      </w:r>
      <w:r w:rsidR="00ED2684">
        <w:rPr>
          <w:sz w:val="20"/>
          <w:szCs w:val="20"/>
          <w:lang w:eastAsia="en-AU"/>
        </w:rPr>
        <w:t>borne viruses (</w:t>
      </w:r>
      <w:r w:rsidRPr="00F24DDF">
        <w:rPr>
          <w:sz w:val="20"/>
          <w:szCs w:val="20"/>
          <w:lang w:eastAsia="en-AU"/>
        </w:rPr>
        <w:t>BBV</w:t>
      </w:r>
      <w:r w:rsidR="00ED2684">
        <w:rPr>
          <w:sz w:val="20"/>
          <w:szCs w:val="20"/>
          <w:lang w:eastAsia="en-AU"/>
        </w:rPr>
        <w:t>)</w:t>
      </w:r>
      <w:r w:rsidRPr="00F24DDF">
        <w:rPr>
          <w:sz w:val="20"/>
          <w:szCs w:val="20"/>
          <w:lang w:eastAsia="en-AU"/>
        </w:rPr>
        <w:t xml:space="preserve"> and sexually transmissible infections (STI) </w:t>
      </w:r>
      <w:r w:rsidR="00ED2684" w:rsidRPr="00ED2684">
        <w:rPr>
          <w:sz w:val="20"/>
          <w:szCs w:val="20"/>
          <w:lang w:eastAsia="en-AU"/>
        </w:rPr>
        <w:t>s</w:t>
      </w:r>
      <w:r w:rsidRPr="00ED2684">
        <w:rPr>
          <w:sz w:val="20"/>
          <w:szCs w:val="20"/>
          <w:lang w:eastAsia="en-AU"/>
        </w:rPr>
        <w:t>trategies</w:t>
      </w:r>
      <w:r w:rsidRPr="00F24DDF">
        <w:rPr>
          <w:sz w:val="20"/>
          <w:szCs w:val="20"/>
          <w:lang w:eastAsia="en-AU"/>
        </w:rPr>
        <w:t xml:space="preserve"> and are drawn from Australia’s efforts over time to respond to the challenges, threats and impacts of HIV, viral hepatitis and STI. Perhaps most critical is the ongoing and meaningful participation of people </w:t>
      </w:r>
      <w:r w:rsidR="00BA4AF7">
        <w:rPr>
          <w:sz w:val="20"/>
          <w:szCs w:val="20"/>
          <w:lang w:eastAsia="en-AU"/>
        </w:rPr>
        <w:t xml:space="preserve">living </w:t>
      </w:r>
      <w:r w:rsidRPr="00F24DDF">
        <w:rPr>
          <w:sz w:val="20"/>
          <w:szCs w:val="20"/>
          <w:lang w:eastAsia="en-AU"/>
        </w:rPr>
        <w:t xml:space="preserve">with </w:t>
      </w:r>
      <w:r w:rsidR="006C625C" w:rsidRPr="00F24DDF">
        <w:rPr>
          <w:sz w:val="20"/>
          <w:szCs w:val="20"/>
          <w:lang w:eastAsia="en-AU"/>
        </w:rPr>
        <w:t>h</w:t>
      </w:r>
      <w:r w:rsidR="005B095A" w:rsidRPr="00F24DDF">
        <w:rPr>
          <w:sz w:val="20"/>
          <w:szCs w:val="20"/>
          <w:lang w:eastAsia="en-AU"/>
        </w:rPr>
        <w:t>epatitis C</w:t>
      </w:r>
      <w:r w:rsidRPr="00F24DDF">
        <w:rPr>
          <w:sz w:val="20"/>
          <w:szCs w:val="20"/>
          <w:lang w:eastAsia="en-AU"/>
        </w:rPr>
        <w:t xml:space="preserve"> and affected communities in all aspects of the response.</w:t>
      </w:r>
      <w:r w:rsidR="00C43ABA" w:rsidRPr="00F24DDF">
        <w:rPr>
          <w:sz w:val="20"/>
          <w:szCs w:val="20"/>
          <w:lang w:eastAsia="en-AU"/>
        </w:rPr>
        <w:t xml:space="preserve"> </w:t>
      </w:r>
      <w:r w:rsidRPr="00F24DDF">
        <w:rPr>
          <w:sz w:val="20"/>
          <w:szCs w:val="20"/>
          <w:lang w:eastAsia="en-AU"/>
        </w:rPr>
        <w:t xml:space="preserve">This is </w:t>
      </w:r>
      <w:r w:rsidRPr="00F24DDF">
        <w:rPr>
          <w:sz w:val="20"/>
          <w:szCs w:val="20"/>
        </w:rPr>
        <w:t xml:space="preserve">central to the partnership approach and is key to the success </w:t>
      </w:r>
      <w:r w:rsidRPr="009A6F37">
        <w:rPr>
          <w:sz w:val="20"/>
          <w:szCs w:val="20"/>
        </w:rPr>
        <w:t>of th</w:t>
      </w:r>
      <w:r w:rsidR="00ED2684" w:rsidRPr="009A6F37">
        <w:rPr>
          <w:sz w:val="20"/>
          <w:szCs w:val="20"/>
        </w:rPr>
        <w:t>is</w:t>
      </w:r>
      <w:r w:rsidRPr="009A6F37">
        <w:rPr>
          <w:sz w:val="20"/>
          <w:szCs w:val="20"/>
        </w:rPr>
        <w:t xml:space="preserve"> </w:t>
      </w:r>
      <w:r w:rsidR="00ED2684" w:rsidRPr="009A6F37">
        <w:rPr>
          <w:sz w:val="20"/>
          <w:szCs w:val="20"/>
        </w:rPr>
        <w:t>s</w:t>
      </w:r>
      <w:r w:rsidRPr="009A6F37">
        <w:rPr>
          <w:sz w:val="20"/>
          <w:szCs w:val="20"/>
        </w:rPr>
        <w:t>trategy</w:t>
      </w:r>
      <w:r w:rsidRPr="00F24DDF">
        <w:rPr>
          <w:sz w:val="20"/>
          <w:szCs w:val="20"/>
        </w:rPr>
        <w:t>.</w:t>
      </w:r>
    </w:p>
    <w:p w14:paraId="26A72269" w14:textId="460A1BE0" w:rsidR="00D34E0E" w:rsidRDefault="00D560D6" w:rsidP="00105237">
      <w:pPr>
        <w:rPr>
          <w:noProof/>
          <w:lang w:val="en-US"/>
        </w:rPr>
      </w:pPr>
      <w:r>
        <w:rPr>
          <w:noProof/>
          <w:lang w:eastAsia="en-AU"/>
        </w:rPr>
        <w:drawing>
          <wp:inline distT="0" distB="0" distL="0" distR="0" wp14:anchorId="2F86A813" wp14:editId="1DC0C440">
            <wp:extent cx="6550526" cy="6667500"/>
            <wp:effectExtent l="0" t="0" r="3175" b="0"/>
            <wp:docPr id="2" name="Picture 2" descr="Guiding principles to support a high-quality evidence-based and equitable response to hepatitis C. " title="Guiding Princip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423" cy="6670449"/>
                    </a:xfrm>
                    <a:prstGeom prst="rect">
                      <a:avLst/>
                    </a:prstGeom>
                    <a:noFill/>
                  </pic:spPr>
                </pic:pic>
              </a:graphicData>
            </a:graphic>
          </wp:inline>
        </w:drawing>
      </w:r>
    </w:p>
    <w:p w14:paraId="00EAA7BB" w14:textId="28157EA7" w:rsidR="00F24DDF" w:rsidRDefault="00232145" w:rsidP="00D560D6">
      <w:pPr>
        <w:spacing w:after="0"/>
        <w:rPr>
          <w:noProof/>
          <w:lang w:val="en-US"/>
        </w:rPr>
      </w:pPr>
      <w:r>
        <w:rPr>
          <w:noProof/>
          <w:lang w:val="en-US"/>
        </w:rPr>
        <w:br w:type="page"/>
      </w:r>
    </w:p>
    <w:p w14:paraId="4912C140" w14:textId="75F0A61F" w:rsidR="00497336" w:rsidRDefault="00CE5B8B" w:rsidP="00497336">
      <w:pPr>
        <w:pStyle w:val="Heading1"/>
        <w:rPr>
          <w:vertAlign w:val="superscript"/>
        </w:rPr>
      </w:pPr>
      <w:bookmarkStart w:id="9" w:name="_Toc529474514"/>
      <w:r>
        <w:lastRenderedPageBreak/>
        <w:t xml:space="preserve">3 Snapshot of </w:t>
      </w:r>
      <w:r w:rsidR="009E2574">
        <w:t xml:space="preserve">hepatitis </w:t>
      </w:r>
      <w:r>
        <w:t>C</w:t>
      </w:r>
      <w:r w:rsidR="00CF35DE">
        <w:t xml:space="preserve"> in Australia</w:t>
      </w:r>
      <w:r w:rsidR="00A06350">
        <w:rPr>
          <w:rStyle w:val="EndnoteReference"/>
        </w:rPr>
        <w:endnoteReference w:id="3"/>
      </w:r>
      <w:r w:rsidR="00FD77BA" w:rsidRPr="00FD77BA">
        <w:rPr>
          <w:vertAlign w:val="superscript"/>
        </w:rPr>
        <w:t>,</w:t>
      </w:r>
      <w:r w:rsidR="00FD77BA">
        <w:rPr>
          <w:rStyle w:val="EndnoteReference"/>
        </w:rPr>
        <w:endnoteReference w:id="4"/>
      </w:r>
      <w:r w:rsidR="00FD77BA">
        <w:rPr>
          <w:vertAlign w:val="superscript"/>
        </w:rPr>
        <w:t>,</w:t>
      </w:r>
      <w:r w:rsidR="00FD77BA">
        <w:rPr>
          <w:rStyle w:val="EndnoteReference"/>
        </w:rPr>
        <w:endnoteReference w:id="5"/>
      </w:r>
      <w:r w:rsidR="00FD77BA">
        <w:rPr>
          <w:vertAlign w:val="superscript"/>
        </w:rPr>
        <w:t>,</w:t>
      </w:r>
      <w:r w:rsidR="00FD77BA">
        <w:rPr>
          <w:rStyle w:val="EndnoteReference"/>
        </w:rPr>
        <w:endnoteReference w:id="6"/>
      </w:r>
      <w:bookmarkEnd w:id="9"/>
    </w:p>
    <w:p w14:paraId="6F8C9C06" w14:textId="0ED9D846" w:rsidR="00497336" w:rsidRDefault="00232145" w:rsidP="00596193">
      <w:pPr>
        <w:rPr>
          <w:noProof/>
          <w:lang w:eastAsia="en-AU"/>
        </w:rPr>
      </w:pPr>
      <w:r w:rsidRPr="00232145">
        <w:rPr>
          <w:lang w:eastAsia="en-AU"/>
        </w:rPr>
        <w:t>Figure 2: Snapshot of hepatitis C in Australia</w:t>
      </w:r>
    </w:p>
    <w:p w14:paraId="0BB0DF4A" w14:textId="57ADBC21" w:rsidR="00D560D6" w:rsidRPr="00596193" w:rsidRDefault="00D560D6" w:rsidP="00596193">
      <w:pPr>
        <w:sectPr w:rsidR="00D560D6" w:rsidRPr="00596193" w:rsidSect="00E241AF">
          <w:footerReference w:type="default" r:id="rId17"/>
          <w:endnotePr>
            <w:numFmt w:val="decimal"/>
          </w:endnotePr>
          <w:pgSz w:w="11907" w:h="16839" w:code="9"/>
          <w:pgMar w:top="1440" w:right="1080" w:bottom="1440" w:left="1080" w:header="720" w:footer="720" w:gutter="0"/>
          <w:pgNumType w:start="1"/>
          <w:cols w:space="720"/>
          <w:docGrid w:linePitch="360"/>
        </w:sectPr>
      </w:pPr>
      <w:r>
        <w:rPr>
          <w:noProof/>
          <w:lang w:eastAsia="en-AU"/>
        </w:rPr>
        <w:drawing>
          <wp:inline distT="0" distB="0" distL="0" distR="0" wp14:anchorId="106B0CBA" wp14:editId="32DC5224">
            <wp:extent cx="5666119" cy="7835900"/>
            <wp:effectExtent l="0" t="0" r="0" b="0"/>
            <wp:docPr id="5" name="Picture 5" descr="Snapshot of hepatitis C in Australia " title="Figure 2: Snapshot of hepatitis C i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6635" cy="7836614"/>
                    </a:xfrm>
                    <a:prstGeom prst="rect">
                      <a:avLst/>
                    </a:prstGeom>
                    <a:noFill/>
                  </pic:spPr>
                </pic:pic>
              </a:graphicData>
            </a:graphic>
          </wp:inline>
        </w:drawing>
      </w:r>
    </w:p>
    <w:p w14:paraId="004A81FA" w14:textId="5520E6D2" w:rsidR="00CE5B8B" w:rsidRPr="00CE5B8B" w:rsidRDefault="00CE5B8B" w:rsidP="00CE5B8B">
      <w:pPr>
        <w:pStyle w:val="Heading1"/>
      </w:pPr>
      <w:bookmarkStart w:id="10" w:name="_Toc529474515"/>
      <w:r>
        <w:lastRenderedPageBreak/>
        <w:t xml:space="preserve">4 About this </w:t>
      </w:r>
      <w:r w:rsidR="009275A1">
        <w:t>s</w:t>
      </w:r>
      <w:r>
        <w:t>trategy</w:t>
      </w:r>
      <w:bookmarkEnd w:id="10"/>
    </w:p>
    <w:p w14:paraId="45690799" w14:textId="77D416EA" w:rsidR="009609E7" w:rsidRPr="00EA1123" w:rsidRDefault="009609E7" w:rsidP="009609E7">
      <w:pPr>
        <w:rPr>
          <w:sz w:val="20"/>
          <w:szCs w:val="20"/>
        </w:rPr>
      </w:pPr>
      <w:r w:rsidRPr="009A6F37">
        <w:rPr>
          <w:sz w:val="20"/>
          <w:szCs w:val="20"/>
          <w:lang w:eastAsia="en-AU"/>
        </w:rPr>
        <w:t xml:space="preserve">The </w:t>
      </w:r>
      <w:r w:rsidRPr="009A6F37">
        <w:rPr>
          <w:sz w:val="20"/>
          <w:szCs w:val="20"/>
        </w:rPr>
        <w:t>Fifth National Hepatitis C Strategy</w:t>
      </w:r>
      <w:r w:rsidRPr="009A6F37">
        <w:rPr>
          <w:sz w:val="20"/>
          <w:szCs w:val="20"/>
          <w:lang w:eastAsia="en-AU"/>
        </w:rPr>
        <w:t xml:space="preserve"> </w:t>
      </w:r>
      <w:r w:rsidRPr="009A6F37">
        <w:rPr>
          <w:sz w:val="20"/>
          <w:szCs w:val="20"/>
        </w:rPr>
        <w:t>sets</w:t>
      </w:r>
      <w:r w:rsidRPr="00EA1123">
        <w:rPr>
          <w:sz w:val="20"/>
          <w:szCs w:val="20"/>
        </w:rPr>
        <w:t xml:space="preserve"> the direction for Australia’s continuing response to hepatitis C for 2018 to 2022</w:t>
      </w:r>
      <w:r w:rsidR="003B3949">
        <w:rPr>
          <w:sz w:val="20"/>
          <w:szCs w:val="20"/>
        </w:rPr>
        <w:t>.</w:t>
      </w:r>
      <w:r w:rsidRPr="00EA1123">
        <w:rPr>
          <w:sz w:val="20"/>
          <w:szCs w:val="20"/>
        </w:rPr>
        <w:t xml:space="preserve"> </w:t>
      </w:r>
      <w:r w:rsidR="003B3949">
        <w:rPr>
          <w:sz w:val="20"/>
          <w:szCs w:val="20"/>
        </w:rPr>
        <w:t xml:space="preserve">It </w:t>
      </w:r>
      <w:r w:rsidRPr="00EA1123">
        <w:rPr>
          <w:sz w:val="20"/>
          <w:szCs w:val="20"/>
        </w:rPr>
        <w:t>builds on achievements and lessons learned from previous strategies. It is one of five national strategies</w:t>
      </w:r>
      <w:r w:rsidR="00175388">
        <w:rPr>
          <w:sz w:val="20"/>
          <w:szCs w:val="20"/>
        </w:rPr>
        <w:t xml:space="preserve"> that,</w:t>
      </w:r>
      <w:r w:rsidRPr="00EA1123">
        <w:rPr>
          <w:sz w:val="20"/>
          <w:szCs w:val="20"/>
        </w:rPr>
        <w:t xml:space="preserve"> together, outline a framework for a high</w:t>
      </w:r>
      <w:r w:rsidR="00175388">
        <w:rPr>
          <w:sz w:val="20"/>
          <w:szCs w:val="20"/>
        </w:rPr>
        <w:t>-</w:t>
      </w:r>
      <w:r w:rsidRPr="00EA1123">
        <w:rPr>
          <w:sz w:val="20"/>
          <w:szCs w:val="20"/>
        </w:rPr>
        <w:t>quality and coordinated national response to BBV and STI in Australia. These five strategies are:</w:t>
      </w:r>
    </w:p>
    <w:p w14:paraId="69553FC3" w14:textId="29C4A5CE" w:rsidR="009609E7" w:rsidRPr="00EA1123" w:rsidRDefault="009609E7" w:rsidP="009609E7">
      <w:pPr>
        <w:pStyle w:val="Listnumbered"/>
        <w:numPr>
          <w:ilvl w:val="0"/>
          <w:numId w:val="7"/>
        </w:numPr>
        <w:ind w:left="426" w:hanging="426"/>
        <w:rPr>
          <w:sz w:val="20"/>
          <w:szCs w:val="20"/>
        </w:rPr>
      </w:pPr>
      <w:r w:rsidRPr="00EA1123">
        <w:rPr>
          <w:sz w:val="20"/>
          <w:szCs w:val="20"/>
        </w:rPr>
        <w:t xml:space="preserve">Third National Hepatitis B Strategy </w:t>
      </w:r>
      <w:r w:rsidR="009A6F37">
        <w:rPr>
          <w:sz w:val="20"/>
          <w:szCs w:val="20"/>
        </w:rPr>
        <w:t>2018–2022</w:t>
      </w:r>
    </w:p>
    <w:p w14:paraId="067C1980" w14:textId="1E8019C7" w:rsidR="009609E7" w:rsidRPr="00EA1123" w:rsidRDefault="009609E7" w:rsidP="009609E7">
      <w:pPr>
        <w:pStyle w:val="Listnumbered"/>
        <w:numPr>
          <w:ilvl w:val="0"/>
          <w:numId w:val="7"/>
        </w:numPr>
        <w:ind w:left="426" w:hanging="426"/>
        <w:rPr>
          <w:sz w:val="20"/>
          <w:szCs w:val="20"/>
        </w:rPr>
      </w:pPr>
      <w:r w:rsidRPr="00EA1123">
        <w:rPr>
          <w:sz w:val="20"/>
          <w:szCs w:val="20"/>
        </w:rPr>
        <w:t xml:space="preserve">Fifth National Hepatitis C </w:t>
      </w:r>
      <w:r w:rsidR="00946294">
        <w:rPr>
          <w:sz w:val="20"/>
          <w:szCs w:val="20"/>
        </w:rPr>
        <w:t xml:space="preserve">Strategy </w:t>
      </w:r>
      <w:r w:rsidR="009A6F37">
        <w:rPr>
          <w:sz w:val="20"/>
          <w:szCs w:val="20"/>
        </w:rPr>
        <w:t xml:space="preserve">2018–2022 </w:t>
      </w:r>
      <w:r w:rsidR="00946294" w:rsidRPr="009A6F37">
        <w:rPr>
          <w:sz w:val="20"/>
          <w:szCs w:val="20"/>
        </w:rPr>
        <w:t xml:space="preserve">(this </w:t>
      </w:r>
      <w:r w:rsidR="009A6F37" w:rsidRPr="009A6F37">
        <w:rPr>
          <w:sz w:val="20"/>
          <w:szCs w:val="20"/>
        </w:rPr>
        <w:t>s</w:t>
      </w:r>
      <w:r w:rsidRPr="009A6F37">
        <w:rPr>
          <w:sz w:val="20"/>
          <w:szCs w:val="20"/>
        </w:rPr>
        <w:t>trategy)</w:t>
      </w:r>
    </w:p>
    <w:p w14:paraId="61EAE810" w14:textId="2FC43C92" w:rsidR="009609E7" w:rsidRPr="00EA1123" w:rsidRDefault="009609E7" w:rsidP="009609E7">
      <w:pPr>
        <w:pStyle w:val="Listnumbered"/>
        <w:numPr>
          <w:ilvl w:val="0"/>
          <w:numId w:val="7"/>
        </w:numPr>
        <w:ind w:left="426" w:hanging="426"/>
        <w:rPr>
          <w:sz w:val="20"/>
          <w:szCs w:val="20"/>
        </w:rPr>
      </w:pPr>
      <w:r w:rsidRPr="00EA1123">
        <w:rPr>
          <w:sz w:val="20"/>
          <w:szCs w:val="20"/>
        </w:rPr>
        <w:t xml:space="preserve">Eighth National HIV Strategy </w:t>
      </w:r>
      <w:r w:rsidR="009A6F37">
        <w:rPr>
          <w:sz w:val="20"/>
          <w:szCs w:val="20"/>
        </w:rPr>
        <w:t>2018–2022</w:t>
      </w:r>
    </w:p>
    <w:p w14:paraId="0BD5A03B" w14:textId="4040A005" w:rsidR="009609E7" w:rsidRPr="00EA1123" w:rsidRDefault="009609E7" w:rsidP="009609E7">
      <w:pPr>
        <w:pStyle w:val="Listnumbered"/>
        <w:numPr>
          <w:ilvl w:val="0"/>
          <w:numId w:val="7"/>
        </w:numPr>
        <w:ind w:left="426" w:hanging="426"/>
        <w:rPr>
          <w:sz w:val="20"/>
          <w:szCs w:val="20"/>
        </w:rPr>
      </w:pPr>
      <w:r w:rsidRPr="00EA1123">
        <w:rPr>
          <w:sz w:val="20"/>
          <w:szCs w:val="20"/>
        </w:rPr>
        <w:t>Fourth National Sexually Transmissible Infections Strategy</w:t>
      </w:r>
      <w:r w:rsidR="009A6F37">
        <w:rPr>
          <w:sz w:val="20"/>
          <w:szCs w:val="20"/>
        </w:rPr>
        <w:t xml:space="preserve"> 2018–2022</w:t>
      </w:r>
    </w:p>
    <w:p w14:paraId="1D70B8EC" w14:textId="7B0C4653" w:rsidR="009609E7" w:rsidRPr="00EA1123" w:rsidRDefault="009609E7" w:rsidP="009609E7">
      <w:pPr>
        <w:pStyle w:val="Listnumbered"/>
        <w:numPr>
          <w:ilvl w:val="0"/>
          <w:numId w:val="7"/>
        </w:numPr>
        <w:ind w:left="426" w:hanging="426"/>
        <w:rPr>
          <w:sz w:val="20"/>
          <w:szCs w:val="20"/>
        </w:rPr>
      </w:pPr>
      <w:r w:rsidRPr="00EA1123">
        <w:rPr>
          <w:sz w:val="20"/>
          <w:szCs w:val="20"/>
        </w:rPr>
        <w:t>Fifth National Aboriginal and Torres Strait Islander Blood Borne Viruses and Sexually Transmissible Infections Strategy</w:t>
      </w:r>
      <w:r w:rsidR="009A6F37">
        <w:rPr>
          <w:sz w:val="20"/>
          <w:szCs w:val="20"/>
        </w:rPr>
        <w:t xml:space="preserve"> 2018–2022</w:t>
      </w:r>
      <w:r w:rsidRPr="00EA1123">
        <w:rPr>
          <w:sz w:val="20"/>
          <w:szCs w:val="20"/>
        </w:rPr>
        <w:t>.</w:t>
      </w:r>
    </w:p>
    <w:p w14:paraId="08730623" w14:textId="5B2CB9F4" w:rsidR="009609E7" w:rsidRPr="00EA1123" w:rsidRDefault="009609E7" w:rsidP="004E4A8D">
      <w:pPr>
        <w:rPr>
          <w:sz w:val="20"/>
          <w:szCs w:val="20"/>
        </w:rPr>
      </w:pPr>
      <w:r w:rsidRPr="00EA1123">
        <w:rPr>
          <w:sz w:val="20"/>
          <w:szCs w:val="20"/>
        </w:rPr>
        <w:t xml:space="preserve">Each </w:t>
      </w:r>
      <w:r w:rsidR="00175388">
        <w:rPr>
          <w:sz w:val="20"/>
          <w:szCs w:val="20"/>
        </w:rPr>
        <w:t>s</w:t>
      </w:r>
      <w:r w:rsidRPr="00EA1123">
        <w:rPr>
          <w:sz w:val="20"/>
          <w:szCs w:val="20"/>
        </w:rPr>
        <w:t>trategy has a specific focus but share</w:t>
      </w:r>
      <w:r w:rsidR="001273AB">
        <w:rPr>
          <w:sz w:val="20"/>
          <w:szCs w:val="20"/>
        </w:rPr>
        <w:t>s</w:t>
      </w:r>
      <w:r w:rsidRPr="00EA1123">
        <w:rPr>
          <w:sz w:val="20"/>
          <w:szCs w:val="20"/>
        </w:rPr>
        <w:t xml:space="preserve"> </w:t>
      </w:r>
      <w:r w:rsidR="001273AB">
        <w:rPr>
          <w:sz w:val="20"/>
          <w:szCs w:val="20"/>
        </w:rPr>
        <w:t xml:space="preserve">some </w:t>
      </w:r>
      <w:r w:rsidRPr="00EA1123">
        <w:rPr>
          <w:sz w:val="20"/>
          <w:szCs w:val="20"/>
        </w:rPr>
        <w:t>structural elements, including guiding principles, goals</w:t>
      </w:r>
      <w:r w:rsidR="001273AB">
        <w:rPr>
          <w:sz w:val="20"/>
          <w:szCs w:val="20"/>
        </w:rPr>
        <w:t xml:space="preserve">, </w:t>
      </w:r>
      <w:r w:rsidRPr="00EA1123">
        <w:rPr>
          <w:sz w:val="20"/>
          <w:szCs w:val="20"/>
        </w:rPr>
        <w:t>targets, priority areas</w:t>
      </w:r>
      <w:r w:rsidR="00D25D39">
        <w:rPr>
          <w:sz w:val="20"/>
          <w:szCs w:val="20"/>
        </w:rPr>
        <w:t xml:space="preserve"> (</w:t>
      </w:r>
      <w:r w:rsidR="00175388">
        <w:rPr>
          <w:sz w:val="20"/>
          <w:szCs w:val="20"/>
        </w:rPr>
        <w:t xml:space="preserve">see </w:t>
      </w:r>
      <w:r w:rsidR="00851396" w:rsidRPr="00175388">
        <w:rPr>
          <w:sz w:val="20"/>
          <w:szCs w:val="20"/>
        </w:rPr>
        <w:t>Section</w:t>
      </w:r>
      <w:r w:rsidR="00175388">
        <w:rPr>
          <w:sz w:val="20"/>
          <w:szCs w:val="20"/>
        </w:rPr>
        <w:t xml:space="preserve"> </w:t>
      </w:r>
      <w:r w:rsidR="002F07A6" w:rsidRPr="00175388">
        <w:fldChar w:fldCharType="begin"/>
      </w:r>
      <w:r w:rsidR="002F07A6" w:rsidRPr="00175388">
        <w:instrText xml:space="preserve"> REF _Ref509998198 \h  \* MERGEFORMAT </w:instrText>
      </w:r>
      <w:r w:rsidR="002F07A6" w:rsidRPr="00175388">
        <w:fldChar w:fldCharType="separate"/>
      </w:r>
      <w:r w:rsidR="00C84C40" w:rsidRPr="00175388">
        <w:t>5</w:t>
      </w:r>
      <w:r w:rsidR="00175388">
        <w:t>,</w:t>
      </w:r>
      <w:r w:rsidR="00C84C40" w:rsidRPr="00175388">
        <w:t xml:space="preserve"> </w:t>
      </w:r>
      <w:r w:rsidR="00175388">
        <w:rPr>
          <w:sz w:val="20"/>
          <w:szCs w:val="20"/>
        </w:rPr>
        <w:t>‘</w:t>
      </w:r>
      <w:r w:rsidR="00C84C40" w:rsidRPr="00175388">
        <w:t xml:space="preserve">Measuring </w:t>
      </w:r>
      <w:r w:rsidR="00175388">
        <w:t>p</w:t>
      </w:r>
      <w:r w:rsidR="00C84C40" w:rsidRPr="00175388">
        <w:t>rogress</w:t>
      </w:r>
      <w:r w:rsidR="002F07A6" w:rsidRPr="00175388">
        <w:fldChar w:fldCharType="end"/>
      </w:r>
      <w:r w:rsidR="00851396" w:rsidRPr="00175388">
        <w:rPr>
          <w:sz w:val="20"/>
          <w:szCs w:val="20"/>
        </w:rPr>
        <w:t>’</w:t>
      </w:r>
      <w:r w:rsidR="00D25D39">
        <w:rPr>
          <w:sz w:val="20"/>
          <w:szCs w:val="20"/>
        </w:rPr>
        <w:t>)</w:t>
      </w:r>
      <w:r w:rsidR="00946294">
        <w:rPr>
          <w:sz w:val="20"/>
          <w:szCs w:val="20"/>
        </w:rPr>
        <w:t xml:space="preserve">, </w:t>
      </w:r>
      <w:r w:rsidR="001273AB">
        <w:rPr>
          <w:sz w:val="20"/>
          <w:szCs w:val="20"/>
        </w:rPr>
        <w:t xml:space="preserve">and </w:t>
      </w:r>
      <w:r w:rsidRPr="00EA1123">
        <w:rPr>
          <w:sz w:val="20"/>
          <w:szCs w:val="20"/>
        </w:rPr>
        <w:t xml:space="preserve">defined priority populations. </w:t>
      </w:r>
      <w:r w:rsidR="001273AB">
        <w:rPr>
          <w:sz w:val="20"/>
          <w:szCs w:val="20"/>
        </w:rPr>
        <w:t>Also, a</w:t>
      </w:r>
      <w:r w:rsidR="00240FC3">
        <w:rPr>
          <w:sz w:val="20"/>
          <w:szCs w:val="20"/>
        </w:rPr>
        <w:t xml:space="preserve">ll five national BBV and STI strategies </w:t>
      </w:r>
      <w:r w:rsidR="001273AB">
        <w:rPr>
          <w:sz w:val="20"/>
          <w:szCs w:val="20"/>
        </w:rPr>
        <w:t xml:space="preserve">have </w:t>
      </w:r>
      <w:r w:rsidR="00240FC3">
        <w:rPr>
          <w:sz w:val="20"/>
          <w:szCs w:val="20"/>
        </w:rPr>
        <w:t>key priority areas for action</w:t>
      </w:r>
      <w:r w:rsidR="001273AB">
        <w:rPr>
          <w:sz w:val="20"/>
          <w:szCs w:val="20"/>
        </w:rPr>
        <w:t>,</w:t>
      </w:r>
      <w:r w:rsidR="00240FC3">
        <w:rPr>
          <w:sz w:val="20"/>
          <w:szCs w:val="20"/>
        </w:rPr>
        <w:t xml:space="preserve"> including </w:t>
      </w:r>
      <w:r w:rsidR="00232145">
        <w:rPr>
          <w:sz w:val="20"/>
          <w:szCs w:val="20"/>
        </w:rPr>
        <w:t xml:space="preserve">education and </w:t>
      </w:r>
      <w:r w:rsidR="002C3655">
        <w:rPr>
          <w:sz w:val="20"/>
          <w:szCs w:val="20"/>
        </w:rPr>
        <w:t>prevention, testing, treatment</w:t>
      </w:r>
      <w:r w:rsidR="00232145">
        <w:rPr>
          <w:sz w:val="20"/>
          <w:szCs w:val="20"/>
        </w:rPr>
        <w:t xml:space="preserve"> and management</w:t>
      </w:r>
      <w:r w:rsidR="002C3655">
        <w:rPr>
          <w:sz w:val="20"/>
          <w:szCs w:val="20"/>
        </w:rPr>
        <w:t xml:space="preserve">, equitable access and coordination of care, </w:t>
      </w:r>
      <w:r w:rsidR="00240FC3">
        <w:rPr>
          <w:sz w:val="20"/>
          <w:szCs w:val="20"/>
        </w:rPr>
        <w:t>workforce, improving data and surveillance</w:t>
      </w:r>
      <w:r w:rsidR="009275A1">
        <w:rPr>
          <w:sz w:val="20"/>
          <w:szCs w:val="20"/>
        </w:rPr>
        <w:t>,</w:t>
      </w:r>
      <w:r w:rsidR="00240FC3">
        <w:rPr>
          <w:sz w:val="20"/>
          <w:szCs w:val="20"/>
        </w:rPr>
        <w:t xml:space="preserve"> and stigma and discrimination.</w:t>
      </w:r>
    </w:p>
    <w:p w14:paraId="3FBF1C5F" w14:textId="5FFD595F" w:rsidR="009609E7" w:rsidRPr="00EA1123" w:rsidRDefault="00B463E9" w:rsidP="009609E7">
      <w:pPr>
        <w:rPr>
          <w:sz w:val="20"/>
          <w:szCs w:val="20"/>
        </w:rPr>
      </w:pPr>
      <w:r w:rsidRPr="00EA1123">
        <w:rPr>
          <w:sz w:val="20"/>
          <w:szCs w:val="20"/>
        </w:rPr>
        <w:t xml:space="preserve">The </w:t>
      </w:r>
      <w:r w:rsidRPr="00175388">
        <w:rPr>
          <w:sz w:val="20"/>
          <w:szCs w:val="20"/>
        </w:rPr>
        <w:t>Fifth National Hepatitis C Strategy</w:t>
      </w:r>
      <w:r w:rsidRPr="00EA1123">
        <w:rPr>
          <w:sz w:val="20"/>
          <w:szCs w:val="20"/>
        </w:rPr>
        <w:t xml:space="preserve"> </w:t>
      </w:r>
      <w:r w:rsidR="009609E7" w:rsidRPr="00EA1123">
        <w:rPr>
          <w:sz w:val="20"/>
          <w:szCs w:val="20"/>
          <w:lang w:eastAsia="en-AU"/>
        </w:rPr>
        <w:t xml:space="preserve">aims to provide a framework for the efforts of all partners in the response to hepatitis C, guide resourcing decisions and monitor progress. It is informed by </w:t>
      </w:r>
      <w:r w:rsidR="009609E7" w:rsidRPr="00EA1123">
        <w:rPr>
          <w:sz w:val="20"/>
          <w:szCs w:val="20"/>
        </w:rPr>
        <w:t>p</w:t>
      </w:r>
      <w:r w:rsidR="009609E7" w:rsidRPr="00EA1123">
        <w:rPr>
          <w:sz w:val="20"/>
          <w:szCs w:val="20"/>
          <w:lang w:eastAsia="en-AU"/>
        </w:rPr>
        <w:t xml:space="preserve">rogress made under the </w:t>
      </w:r>
      <w:r w:rsidR="009609E7" w:rsidRPr="00175388">
        <w:rPr>
          <w:sz w:val="20"/>
          <w:szCs w:val="20"/>
          <w:lang w:eastAsia="en-AU"/>
        </w:rPr>
        <w:t>Fourth National Hepatitis C Strategy 2014</w:t>
      </w:r>
      <w:r w:rsidR="005000F5" w:rsidRPr="00175388">
        <w:rPr>
          <w:sz w:val="20"/>
          <w:szCs w:val="20"/>
          <w:lang w:eastAsia="en-AU"/>
        </w:rPr>
        <w:t>–</w:t>
      </w:r>
      <w:r w:rsidR="009609E7" w:rsidRPr="00175388">
        <w:rPr>
          <w:sz w:val="20"/>
          <w:szCs w:val="20"/>
          <w:lang w:eastAsia="en-AU"/>
        </w:rPr>
        <w:t>2017</w:t>
      </w:r>
      <w:r w:rsidR="00175388">
        <w:rPr>
          <w:sz w:val="20"/>
          <w:szCs w:val="20"/>
          <w:lang w:eastAsia="en-AU"/>
        </w:rPr>
        <w:t>;</w:t>
      </w:r>
      <w:r w:rsidR="009609E7" w:rsidRPr="00EA1123">
        <w:rPr>
          <w:i/>
          <w:sz w:val="20"/>
          <w:szCs w:val="20"/>
          <w:lang w:eastAsia="en-AU"/>
        </w:rPr>
        <w:t xml:space="preserve"> </w:t>
      </w:r>
      <w:r w:rsidR="009609E7" w:rsidRPr="00EA1123">
        <w:rPr>
          <w:sz w:val="20"/>
          <w:szCs w:val="20"/>
          <w:lang w:eastAsia="en-AU"/>
        </w:rPr>
        <w:t>the effectiveness of current and past responses to hepatitis C in Australia and internationally</w:t>
      </w:r>
      <w:r w:rsidR="00175388">
        <w:rPr>
          <w:sz w:val="20"/>
          <w:szCs w:val="20"/>
          <w:lang w:eastAsia="en-AU"/>
        </w:rPr>
        <w:t>;</w:t>
      </w:r>
      <w:r w:rsidR="009609E7" w:rsidRPr="00EA1123">
        <w:rPr>
          <w:sz w:val="20"/>
          <w:szCs w:val="20"/>
          <w:lang w:eastAsia="en-AU"/>
        </w:rPr>
        <w:t xml:space="preserve"> the identification of gaps and opportunities</w:t>
      </w:r>
      <w:r w:rsidR="00175388">
        <w:rPr>
          <w:sz w:val="20"/>
          <w:szCs w:val="20"/>
          <w:lang w:eastAsia="en-AU"/>
        </w:rPr>
        <w:t>;</w:t>
      </w:r>
      <w:r w:rsidR="009609E7" w:rsidRPr="00EA1123">
        <w:rPr>
          <w:sz w:val="20"/>
          <w:szCs w:val="20"/>
          <w:lang w:eastAsia="en-AU"/>
        </w:rPr>
        <w:t xml:space="preserve"> and consultation with governments, community organisations, researchers, </w:t>
      </w:r>
      <w:r w:rsidR="00582454">
        <w:rPr>
          <w:sz w:val="20"/>
          <w:szCs w:val="20"/>
          <w:lang w:eastAsia="en-AU"/>
        </w:rPr>
        <w:t>health professionals</w:t>
      </w:r>
      <w:r w:rsidR="009609E7" w:rsidRPr="00EA1123">
        <w:rPr>
          <w:sz w:val="20"/>
          <w:szCs w:val="20"/>
          <w:lang w:eastAsia="en-AU"/>
        </w:rPr>
        <w:t xml:space="preserve"> and other st</w:t>
      </w:r>
      <w:r w:rsidR="00C43ABA" w:rsidRPr="00EA1123">
        <w:rPr>
          <w:sz w:val="20"/>
          <w:szCs w:val="20"/>
          <w:lang w:eastAsia="en-AU"/>
        </w:rPr>
        <w:t xml:space="preserve">akeholders across the country. </w:t>
      </w:r>
      <w:r w:rsidR="009609E7" w:rsidRPr="00EA1123">
        <w:rPr>
          <w:sz w:val="20"/>
          <w:szCs w:val="20"/>
        </w:rPr>
        <w:t xml:space="preserve">This </w:t>
      </w:r>
      <w:r w:rsidR="009275A1">
        <w:rPr>
          <w:sz w:val="20"/>
          <w:szCs w:val="20"/>
        </w:rPr>
        <w:t>s</w:t>
      </w:r>
      <w:r w:rsidR="009609E7" w:rsidRPr="00EA1123">
        <w:rPr>
          <w:sz w:val="20"/>
          <w:szCs w:val="20"/>
        </w:rPr>
        <w:t>trategy is also informed by</w:t>
      </w:r>
      <w:r w:rsidR="00624866">
        <w:rPr>
          <w:sz w:val="20"/>
          <w:szCs w:val="20"/>
        </w:rPr>
        <w:t>,</w:t>
      </w:r>
      <w:r w:rsidR="009609E7" w:rsidRPr="00EA1123">
        <w:rPr>
          <w:sz w:val="20"/>
          <w:szCs w:val="20"/>
        </w:rPr>
        <w:t xml:space="preserve"> and responds to</w:t>
      </w:r>
      <w:r w:rsidR="00624866">
        <w:rPr>
          <w:sz w:val="20"/>
          <w:szCs w:val="20"/>
        </w:rPr>
        <w:t>,</w:t>
      </w:r>
      <w:r w:rsidR="009609E7" w:rsidRPr="00EA1123">
        <w:rPr>
          <w:sz w:val="20"/>
          <w:szCs w:val="20"/>
        </w:rPr>
        <w:t xml:space="preserve"> a range of surveillance data on hepatitis C in Australia and its impact on priority populations</w:t>
      </w:r>
      <w:r w:rsidR="003B3949">
        <w:rPr>
          <w:sz w:val="20"/>
          <w:szCs w:val="20"/>
        </w:rPr>
        <w:t>;</w:t>
      </w:r>
      <w:r w:rsidR="009609E7" w:rsidRPr="00EA1123">
        <w:rPr>
          <w:sz w:val="20"/>
          <w:szCs w:val="20"/>
        </w:rPr>
        <w:t xml:space="preserve"> and research providing evide</w:t>
      </w:r>
      <w:r w:rsidR="00624866">
        <w:rPr>
          <w:sz w:val="20"/>
          <w:szCs w:val="20"/>
        </w:rPr>
        <w:t>nce for new and emerging issues.</w:t>
      </w:r>
    </w:p>
    <w:p w14:paraId="21B03012" w14:textId="155A79D1" w:rsidR="009609E7" w:rsidRPr="00EA1123" w:rsidRDefault="009609E7" w:rsidP="009609E7">
      <w:pPr>
        <w:rPr>
          <w:sz w:val="20"/>
          <w:szCs w:val="20"/>
        </w:rPr>
      </w:pPr>
      <w:r w:rsidRPr="00EA1123">
        <w:rPr>
          <w:sz w:val="20"/>
          <w:szCs w:val="20"/>
        </w:rPr>
        <w:t xml:space="preserve">This </w:t>
      </w:r>
      <w:r w:rsidR="009275A1">
        <w:rPr>
          <w:sz w:val="20"/>
          <w:szCs w:val="20"/>
        </w:rPr>
        <w:t>s</w:t>
      </w:r>
      <w:r w:rsidRPr="00EA1123">
        <w:rPr>
          <w:sz w:val="20"/>
          <w:szCs w:val="20"/>
        </w:rPr>
        <w:t xml:space="preserve">trategy complements other jurisdictional, national and international policy documents that contribute to the </w:t>
      </w:r>
      <w:r w:rsidR="00C43ABA" w:rsidRPr="00EA1123">
        <w:rPr>
          <w:sz w:val="20"/>
          <w:szCs w:val="20"/>
        </w:rPr>
        <w:t>hepatitis C</w:t>
      </w:r>
      <w:r w:rsidRPr="00EA1123">
        <w:rPr>
          <w:sz w:val="20"/>
          <w:szCs w:val="20"/>
        </w:rPr>
        <w:t xml:space="preserve"> response and supports the achievement of existing commitments. These include: </w:t>
      </w:r>
    </w:p>
    <w:p w14:paraId="7F30E7EB" w14:textId="58501D6F" w:rsidR="009609E7" w:rsidRPr="00EA1123" w:rsidRDefault="009275A1" w:rsidP="00DB37AD">
      <w:pPr>
        <w:pStyle w:val="ListParagraph"/>
        <w:numPr>
          <w:ilvl w:val="0"/>
          <w:numId w:val="15"/>
        </w:numPr>
        <w:rPr>
          <w:sz w:val="20"/>
          <w:szCs w:val="20"/>
        </w:rPr>
      </w:pPr>
      <w:r>
        <w:rPr>
          <w:sz w:val="20"/>
          <w:szCs w:val="20"/>
        </w:rPr>
        <w:t>s</w:t>
      </w:r>
      <w:r w:rsidR="009609E7" w:rsidRPr="00EA1123">
        <w:rPr>
          <w:sz w:val="20"/>
          <w:szCs w:val="20"/>
        </w:rPr>
        <w:t>tate and territory viral hepatitis strategies</w:t>
      </w:r>
    </w:p>
    <w:p w14:paraId="123E2A38" w14:textId="77D98763" w:rsidR="009609E7" w:rsidRPr="00175388" w:rsidRDefault="009609E7" w:rsidP="00DB37AD">
      <w:pPr>
        <w:pStyle w:val="ListParagraph"/>
        <w:numPr>
          <w:ilvl w:val="0"/>
          <w:numId w:val="15"/>
        </w:numPr>
        <w:rPr>
          <w:sz w:val="20"/>
          <w:szCs w:val="20"/>
        </w:rPr>
      </w:pPr>
      <w:r w:rsidRPr="00175388">
        <w:rPr>
          <w:sz w:val="20"/>
          <w:szCs w:val="20"/>
        </w:rPr>
        <w:t>National Drug Strategy 2017</w:t>
      </w:r>
      <w:r w:rsidR="00175388">
        <w:rPr>
          <w:sz w:val="20"/>
          <w:szCs w:val="20"/>
        </w:rPr>
        <w:t>–</w:t>
      </w:r>
      <w:r w:rsidRPr="00175388">
        <w:rPr>
          <w:sz w:val="20"/>
          <w:szCs w:val="20"/>
        </w:rPr>
        <w:t>2026</w:t>
      </w:r>
    </w:p>
    <w:p w14:paraId="75E665F4" w14:textId="014781ED" w:rsidR="009609E7" w:rsidRPr="00175388" w:rsidRDefault="009609E7" w:rsidP="00DB37AD">
      <w:pPr>
        <w:pStyle w:val="ListParagraph"/>
        <w:numPr>
          <w:ilvl w:val="0"/>
          <w:numId w:val="15"/>
        </w:numPr>
        <w:rPr>
          <w:sz w:val="20"/>
          <w:szCs w:val="20"/>
        </w:rPr>
      </w:pPr>
      <w:r w:rsidRPr="00175388">
        <w:rPr>
          <w:sz w:val="20"/>
          <w:szCs w:val="20"/>
        </w:rPr>
        <w:t>National Strategic Framework for Aboriginal and Torres Strait Health Plan 2013</w:t>
      </w:r>
      <w:r w:rsidR="00175388">
        <w:rPr>
          <w:sz w:val="20"/>
          <w:szCs w:val="20"/>
        </w:rPr>
        <w:t>–</w:t>
      </w:r>
      <w:r w:rsidRPr="00175388">
        <w:rPr>
          <w:sz w:val="20"/>
          <w:szCs w:val="20"/>
        </w:rPr>
        <w:t>2023</w:t>
      </w:r>
    </w:p>
    <w:p w14:paraId="22E24A03" w14:textId="2F4FFFE5" w:rsidR="00D25D39" w:rsidRPr="00D25D39" w:rsidRDefault="00D25D39" w:rsidP="00D25D39">
      <w:pPr>
        <w:pStyle w:val="ListParagraph"/>
        <w:numPr>
          <w:ilvl w:val="0"/>
          <w:numId w:val="15"/>
        </w:numPr>
        <w:rPr>
          <w:sz w:val="20"/>
          <w:szCs w:val="20"/>
        </w:rPr>
      </w:pPr>
      <w:r w:rsidRPr="00175388">
        <w:rPr>
          <w:sz w:val="20"/>
          <w:szCs w:val="20"/>
        </w:rPr>
        <w:t>Aged Care Diversity Framework</w:t>
      </w:r>
    </w:p>
    <w:p w14:paraId="5E3E1F0B" w14:textId="2B18C0C5" w:rsidR="008327A6" w:rsidRPr="00F81BE1" w:rsidRDefault="009609E7" w:rsidP="008327A6">
      <w:pPr>
        <w:pStyle w:val="ListParagraph"/>
        <w:numPr>
          <w:ilvl w:val="0"/>
          <w:numId w:val="15"/>
        </w:numPr>
        <w:rPr>
          <w:sz w:val="20"/>
          <w:szCs w:val="20"/>
        </w:rPr>
      </w:pPr>
      <w:r w:rsidRPr="00EA1123">
        <w:rPr>
          <w:sz w:val="20"/>
          <w:szCs w:val="20"/>
        </w:rPr>
        <w:t>World Health Organization (WHO)</w:t>
      </w:r>
      <w:r w:rsidRPr="00EA1123">
        <w:rPr>
          <w:i/>
          <w:sz w:val="20"/>
          <w:szCs w:val="20"/>
        </w:rPr>
        <w:t xml:space="preserve"> </w:t>
      </w:r>
      <w:r w:rsidR="00EA364B" w:rsidRPr="00175388">
        <w:rPr>
          <w:sz w:val="20"/>
          <w:szCs w:val="20"/>
        </w:rPr>
        <w:t>Global Health Sector Strategy on Viral Hepatitis</w:t>
      </w:r>
      <w:r w:rsidRPr="00175388">
        <w:rPr>
          <w:sz w:val="20"/>
          <w:szCs w:val="20"/>
        </w:rPr>
        <w:t xml:space="preserve"> 2016</w:t>
      </w:r>
      <w:r w:rsidR="00175388">
        <w:rPr>
          <w:sz w:val="20"/>
          <w:szCs w:val="20"/>
        </w:rPr>
        <w:t>–</w:t>
      </w:r>
      <w:r w:rsidRPr="00175388">
        <w:rPr>
          <w:sz w:val="20"/>
          <w:szCs w:val="20"/>
        </w:rPr>
        <w:t>2021</w:t>
      </w:r>
      <w:r w:rsidR="00D25D39">
        <w:rPr>
          <w:sz w:val="20"/>
          <w:szCs w:val="20"/>
        </w:rPr>
        <w:t>.</w:t>
      </w:r>
    </w:p>
    <w:p w14:paraId="1039CD8E" w14:textId="1F6C3EA9" w:rsidR="009609E7" w:rsidRPr="00EA1123" w:rsidRDefault="009609E7" w:rsidP="009609E7">
      <w:pPr>
        <w:rPr>
          <w:i/>
          <w:sz w:val="20"/>
          <w:szCs w:val="20"/>
        </w:rPr>
      </w:pPr>
      <w:r w:rsidRPr="00EA1123">
        <w:rPr>
          <w:sz w:val="20"/>
          <w:szCs w:val="20"/>
        </w:rPr>
        <w:t xml:space="preserve">This </w:t>
      </w:r>
      <w:r w:rsidR="009275A1">
        <w:rPr>
          <w:sz w:val="20"/>
          <w:szCs w:val="20"/>
        </w:rPr>
        <w:t>s</w:t>
      </w:r>
      <w:r w:rsidRPr="00EA1123">
        <w:rPr>
          <w:sz w:val="20"/>
          <w:szCs w:val="20"/>
        </w:rPr>
        <w:t>trategy also supports progress towards Sustainable Development Goal 3 (</w:t>
      </w:r>
      <w:r w:rsidR="009275A1">
        <w:rPr>
          <w:sz w:val="20"/>
          <w:szCs w:val="20"/>
        </w:rPr>
        <w:t>‘</w:t>
      </w:r>
      <w:r w:rsidRPr="00EA1123">
        <w:rPr>
          <w:iCs/>
          <w:sz w:val="20"/>
          <w:szCs w:val="20"/>
        </w:rPr>
        <w:t>Ensure healthy lives and promote well-being for all at all ages</w:t>
      </w:r>
      <w:r w:rsidR="009275A1">
        <w:rPr>
          <w:iCs/>
          <w:sz w:val="20"/>
          <w:szCs w:val="20"/>
        </w:rPr>
        <w:t>’</w:t>
      </w:r>
      <w:r w:rsidRPr="00EA1123">
        <w:rPr>
          <w:sz w:val="20"/>
          <w:szCs w:val="20"/>
        </w:rPr>
        <w:t xml:space="preserve">) of </w:t>
      </w:r>
      <w:r w:rsidRPr="00175388">
        <w:rPr>
          <w:sz w:val="20"/>
          <w:szCs w:val="20"/>
        </w:rPr>
        <w:t>the United Nations</w:t>
      </w:r>
      <w:r w:rsidRPr="00EA1123">
        <w:rPr>
          <w:i/>
          <w:sz w:val="20"/>
          <w:szCs w:val="20"/>
        </w:rPr>
        <w:t xml:space="preserve"> </w:t>
      </w:r>
      <w:r w:rsidRPr="00175388">
        <w:rPr>
          <w:sz w:val="20"/>
          <w:szCs w:val="20"/>
        </w:rPr>
        <w:t>2030 Agenda for Sustainable Development</w:t>
      </w:r>
      <w:r w:rsidRPr="00EA1123">
        <w:rPr>
          <w:i/>
          <w:sz w:val="20"/>
          <w:szCs w:val="20"/>
        </w:rPr>
        <w:t>.</w:t>
      </w:r>
    </w:p>
    <w:p w14:paraId="148F6AEC" w14:textId="2D79C8AF" w:rsidR="009609E7" w:rsidRDefault="00C66C8B" w:rsidP="009609E7">
      <w:pPr>
        <w:rPr>
          <w:sz w:val="20"/>
          <w:szCs w:val="20"/>
          <w:lang w:eastAsia="en-AU"/>
        </w:rPr>
      </w:pPr>
      <w:r>
        <w:rPr>
          <w:sz w:val="20"/>
          <w:szCs w:val="20"/>
          <w:lang w:eastAsia="en-AU"/>
        </w:rPr>
        <w:t xml:space="preserve">This </w:t>
      </w:r>
      <w:r w:rsidR="009275A1">
        <w:rPr>
          <w:sz w:val="20"/>
          <w:szCs w:val="20"/>
          <w:lang w:eastAsia="en-AU"/>
        </w:rPr>
        <w:t>s</w:t>
      </w:r>
      <w:r>
        <w:rPr>
          <w:sz w:val="20"/>
          <w:szCs w:val="20"/>
          <w:lang w:eastAsia="en-AU"/>
        </w:rPr>
        <w:t>trategy acknowledges that some states</w:t>
      </w:r>
      <w:r w:rsidR="009275A1">
        <w:rPr>
          <w:sz w:val="20"/>
          <w:szCs w:val="20"/>
          <w:lang w:eastAsia="en-AU"/>
        </w:rPr>
        <w:t xml:space="preserve"> and </w:t>
      </w:r>
      <w:r>
        <w:rPr>
          <w:sz w:val="20"/>
          <w:szCs w:val="20"/>
          <w:lang w:eastAsia="en-AU"/>
        </w:rPr>
        <w:t xml:space="preserve">territories have set or may set different targets to drive progress and </w:t>
      </w:r>
      <w:r w:rsidR="007F62DB">
        <w:rPr>
          <w:sz w:val="20"/>
          <w:szCs w:val="20"/>
          <w:lang w:eastAsia="en-AU"/>
        </w:rPr>
        <w:t xml:space="preserve">that </w:t>
      </w:r>
      <w:r>
        <w:rPr>
          <w:sz w:val="20"/>
          <w:szCs w:val="20"/>
          <w:lang w:eastAsia="en-AU"/>
        </w:rPr>
        <w:t xml:space="preserve">the goals and targets of this </w:t>
      </w:r>
      <w:r w:rsidR="009275A1">
        <w:rPr>
          <w:sz w:val="20"/>
          <w:szCs w:val="20"/>
          <w:lang w:eastAsia="en-AU"/>
        </w:rPr>
        <w:t>s</w:t>
      </w:r>
      <w:r>
        <w:rPr>
          <w:sz w:val="20"/>
          <w:szCs w:val="20"/>
          <w:lang w:eastAsia="en-AU"/>
        </w:rPr>
        <w:t xml:space="preserve">trategy are intended to facilitate jurisdictional efforts. </w:t>
      </w:r>
      <w:r w:rsidR="009609E7" w:rsidRPr="00EA1123">
        <w:rPr>
          <w:sz w:val="20"/>
          <w:szCs w:val="20"/>
          <w:lang w:eastAsia="en-AU"/>
        </w:rPr>
        <w:t xml:space="preserve">Wherever possible, jurisdictions are encouraged to match or exceed the targets of this </w:t>
      </w:r>
      <w:r w:rsidR="009275A1">
        <w:rPr>
          <w:sz w:val="20"/>
          <w:szCs w:val="20"/>
          <w:lang w:eastAsia="en-AU"/>
        </w:rPr>
        <w:t>s</w:t>
      </w:r>
      <w:r w:rsidR="009609E7" w:rsidRPr="00EA1123">
        <w:rPr>
          <w:sz w:val="20"/>
          <w:szCs w:val="20"/>
          <w:lang w:eastAsia="en-AU"/>
        </w:rPr>
        <w:t>trategy.</w:t>
      </w:r>
    </w:p>
    <w:p w14:paraId="5D05AB43" w14:textId="2D9833B9" w:rsidR="00232145" w:rsidRDefault="009609E7" w:rsidP="009609E7">
      <w:pPr>
        <w:rPr>
          <w:sz w:val="20"/>
          <w:szCs w:val="20"/>
        </w:rPr>
      </w:pPr>
      <w:r w:rsidRPr="00EA1123">
        <w:rPr>
          <w:sz w:val="20"/>
          <w:szCs w:val="20"/>
        </w:rPr>
        <w:t xml:space="preserve">Further detail on the implementation of this </w:t>
      </w:r>
      <w:r w:rsidR="009275A1">
        <w:rPr>
          <w:sz w:val="20"/>
          <w:szCs w:val="20"/>
        </w:rPr>
        <w:t>s</w:t>
      </w:r>
      <w:r w:rsidRPr="00EA1123">
        <w:rPr>
          <w:sz w:val="20"/>
          <w:szCs w:val="20"/>
        </w:rPr>
        <w:t>trategy</w:t>
      </w:r>
      <w:r w:rsidR="009275A1">
        <w:rPr>
          <w:sz w:val="20"/>
          <w:szCs w:val="20"/>
        </w:rPr>
        <w:t xml:space="preserve">, including the associated </w:t>
      </w:r>
      <w:r w:rsidR="00610AEB">
        <w:rPr>
          <w:sz w:val="20"/>
          <w:szCs w:val="20"/>
        </w:rPr>
        <w:t>action plan</w:t>
      </w:r>
      <w:r w:rsidR="009275A1">
        <w:rPr>
          <w:sz w:val="20"/>
          <w:szCs w:val="20"/>
        </w:rPr>
        <w:t>,</w:t>
      </w:r>
      <w:r w:rsidRPr="00EA1123">
        <w:rPr>
          <w:sz w:val="20"/>
          <w:szCs w:val="20"/>
        </w:rPr>
        <w:t xml:space="preserve"> is provided </w:t>
      </w:r>
      <w:r w:rsidR="009275A1">
        <w:rPr>
          <w:sz w:val="20"/>
          <w:szCs w:val="20"/>
        </w:rPr>
        <w:t xml:space="preserve">in </w:t>
      </w:r>
      <w:r w:rsidRPr="00175388">
        <w:rPr>
          <w:sz w:val="20"/>
          <w:szCs w:val="20"/>
        </w:rPr>
        <w:t>Sect</w:t>
      </w:r>
      <w:r w:rsidR="00C43ABA" w:rsidRPr="00175388">
        <w:rPr>
          <w:sz w:val="20"/>
          <w:szCs w:val="20"/>
        </w:rPr>
        <w:t>ion</w:t>
      </w:r>
      <w:r w:rsidR="00582454" w:rsidRPr="00175388">
        <w:rPr>
          <w:sz w:val="20"/>
          <w:szCs w:val="20"/>
        </w:rPr>
        <w:t xml:space="preserve"> </w:t>
      </w:r>
      <w:r w:rsidR="002F07A6" w:rsidRPr="00175388">
        <w:fldChar w:fldCharType="begin"/>
      </w:r>
      <w:r w:rsidR="002F07A6" w:rsidRPr="00175388">
        <w:instrText xml:space="preserve"> REF _Ref508798799 \h  \* MERGEFORMAT </w:instrText>
      </w:r>
      <w:r w:rsidR="002F07A6" w:rsidRPr="00175388">
        <w:fldChar w:fldCharType="separate"/>
      </w:r>
      <w:r w:rsidR="00C84C40" w:rsidRPr="00175388">
        <w:rPr>
          <w:sz w:val="20"/>
          <w:szCs w:val="20"/>
        </w:rPr>
        <w:t>8</w:t>
      </w:r>
      <w:r w:rsidR="00175388">
        <w:rPr>
          <w:sz w:val="20"/>
          <w:szCs w:val="20"/>
        </w:rPr>
        <w:t>,</w:t>
      </w:r>
      <w:r w:rsidR="00C84C40" w:rsidRPr="00175388">
        <w:rPr>
          <w:sz w:val="20"/>
          <w:szCs w:val="20"/>
        </w:rPr>
        <w:t xml:space="preserve"> </w:t>
      </w:r>
      <w:r w:rsidR="00175388">
        <w:rPr>
          <w:sz w:val="20"/>
          <w:szCs w:val="20"/>
        </w:rPr>
        <w:t>‘</w:t>
      </w:r>
      <w:r w:rsidR="00C84C40" w:rsidRPr="00175388">
        <w:rPr>
          <w:sz w:val="20"/>
          <w:szCs w:val="20"/>
        </w:rPr>
        <w:t xml:space="preserve">Implementing this </w:t>
      </w:r>
      <w:r w:rsidR="009275A1">
        <w:rPr>
          <w:sz w:val="20"/>
          <w:szCs w:val="20"/>
        </w:rPr>
        <w:t>s</w:t>
      </w:r>
      <w:r w:rsidR="00C84C40" w:rsidRPr="00175388">
        <w:rPr>
          <w:sz w:val="20"/>
          <w:szCs w:val="20"/>
        </w:rPr>
        <w:t>trategy</w:t>
      </w:r>
      <w:r w:rsidR="002F07A6" w:rsidRPr="00175388">
        <w:fldChar w:fldCharType="end"/>
      </w:r>
      <w:r w:rsidR="00315023" w:rsidRPr="00175388">
        <w:t>’</w:t>
      </w:r>
      <w:r w:rsidR="00582454" w:rsidRPr="00175388">
        <w:rPr>
          <w:sz w:val="20"/>
          <w:szCs w:val="20"/>
        </w:rPr>
        <w:t>.</w:t>
      </w:r>
    </w:p>
    <w:p w14:paraId="30F4CB80" w14:textId="77777777" w:rsidR="00232145" w:rsidRDefault="00232145">
      <w:pPr>
        <w:spacing w:after="0"/>
        <w:rPr>
          <w:sz w:val="20"/>
          <w:szCs w:val="20"/>
        </w:rPr>
      </w:pPr>
      <w:r>
        <w:rPr>
          <w:sz w:val="20"/>
          <w:szCs w:val="20"/>
        </w:rPr>
        <w:br w:type="page"/>
      </w:r>
    </w:p>
    <w:p w14:paraId="0863B454" w14:textId="77777777" w:rsidR="009609E7" w:rsidRPr="00EA1123" w:rsidRDefault="009609E7" w:rsidP="009609E7">
      <w:pPr>
        <w:rPr>
          <w:sz w:val="20"/>
          <w:szCs w:val="20"/>
        </w:rPr>
      </w:pPr>
    </w:p>
    <w:p w14:paraId="2678C72D" w14:textId="0D8C1D0C" w:rsidR="005E1819" w:rsidRDefault="005E1819" w:rsidP="000F734A">
      <w:pPr>
        <w:spacing w:after="160" w:line="259" w:lineRule="auto"/>
        <w:rPr>
          <w:b/>
          <w:color w:val="00264D"/>
          <w:sz w:val="24"/>
        </w:rPr>
      </w:pPr>
      <w:r w:rsidRPr="00361D74">
        <w:rPr>
          <w:b/>
          <w:color w:val="00264D"/>
          <w:sz w:val="24"/>
        </w:rPr>
        <w:t>PROGRESS UNDER THE FOURTH NATIONAL HEPATITIS C STRATEGY 2014</w:t>
      </w:r>
      <w:r w:rsidR="00175388">
        <w:rPr>
          <w:b/>
          <w:color w:val="00264D"/>
          <w:sz w:val="24"/>
        </w:rPr>
        <w:t>–20</w:t>
      </w:r>
      <w:r w:rsidRPr="00361D74">
        <w:rPr>
          <w:b/>
          <w:color w:val="00264D"/>
          <w:sz w:val="24"/>
        </w:rPr>
        <w:t>17</w:t>
      </w:r>
    </w:p>
    <w:p w14:paraId="027DDCBF" w14:textId="69E4C38E" w:rsidR="00EA364B" w:rsidRPr="00EA1123" w:rsidRDefault="00EA364B" w:rsidP="00EA364B">
      <w:pPr>
        <w:rPr>
          <w:bCs/>
          <w:sz w:val="20"/>
          <w:szCs w:val="20"/>
          <w:lang w:eastAsia="en-AU"/>
        </w:rPr>
      </w:pPr>
      <w:r w:rsidRPr="00EA1123">
        <w:rPr>
          <w:sz w:val="20"/>
          <w:szCs w:val="20"/>
          <w:lang w:eastAsia="en-AU"/>
        </w:rPr>
        <w:t xml:space="preserve">Progress under the </w:t>
      </w:r>
      <w:r w:rsidRPr="00175388">
        <w:rPr>
          <w:sz w:val="20"/>
          <w:szCs w:val="20"/>
          <w:lang w:eastAsia="en-AU"/>
        </w:rPr>
        <w:t>Fourth National Hepatitis C Strategy 2014</w:t>
      </w:r>
      <w:r w:rsidR="00175388">
        <w:rPr>
          <w:sz w:val="20"/>
          <w:szCs w:val="20"/>
          <w:lang w:eastAsia="en-AU"/>
        </w:rPr>
        <w:t>–</w:t>
      </w:r>
      <w:r w:rsidRPr="00175388">
        <w:rPr>
          <w:sz w:val="20"/>
          <w:szCs w:val="20"/>
          <w:lang w:eastAsia="en-AU"/>
        </w:rPr>
        <w:t>2017</w:t>
      </w:r>
      <w:r w:rsidRPr="00EA1123">
        <w:rPr>
          <w:sz w:val="20"/>
          <w:szCs w:val="20"/>
          <w:lang w:eastAsia="en-AU"/>
        </w:rPr>
        <w:t xml:space="preserve"> provides context for the achievements in Australia to date (</w:t>
      </w:r>
      <w:r w:rsidR="00175388">
        <w:rPr>
          <w:sz w:val="20"/>
          <w:szCs w:val="20"/>
          <w:lang w:eastAsia="en-AU"/>
        </w:rPr>
        <w:t xml:space="preserve">see </w:t>
      </w:r>
      <w:r w:rsidR="00152B92">
        <w:rPr>
          <w:sz w:val="20"/>
          <w:szCs w:val="20"/>
          <w:lang w:eastAsia="en-AU"/>
        </w:rPr>
        <w:t>Figure 3</w:t>
      </w:r>
      <w:r w:rsidRPr="00EA1123">
        <w:rPr>
          <w:sz w:val="20"/>
          <w:szCs w:val="20"/>
          <w:lang w:eastAsia="en-AU"/>
        </w:rPr>
        <w:t xml:space="preserve">). </w:t>
      </w:r>
      <w:r w:rsidRPr="00EA1123">
        <w:rPr>
          <w:bCs/>
          <w:sz w:val="20"/>
          <w:szCs w:val="20"/>
          <w:lang w:eastAsia="en-AU"/>
        </w:rPr>
        <w:t xml:space="preserve">These achievements reflect the joint efforts of </w:t>
      </w:r>
      <w:r w:rsidR="00175388">
        <w:rPr>
          <w:bCs/>
          <w:sz w:val="20"/>
          <w:szCs w:val="20"/>
          <w:lang w:eastAsia="en-AU"/>
        </w:rPr>
        <w:t>g</w:t>
      </w:r>
      <w:r w:rsidRPr="00EA1123">
        <w:rPr>
          <w:bCs/>
          <w:sz w:val="20"/>
          <w:szCs w:val="20"/>
          <w:lang w:eastAsia="en-AU"/>
        </w:rPr>
        <w:t xml:space="preserve">overnments, community organisations, affected communities, researchers and </w:t>
      </w:r>
      <w:r w:rsidR="00582454">
        <w:rPr>
          <w:bCs/>
          <w:sz w:val="20"/>
          <w:szCs w:val="20"/>
          <w:lang w:eastAsia="en-AU"/>
        </w:rPr>
        <w:t>health professionals</w:t>
      </w:r>
      <w:r w:rsidRPr="00EA1123">
        <w:rPr>
          <w:bCs/>
          <w:sz w:val="20"/>
          <w:szCs w:val="20"/>
          <w:lang w:eastAsia="en-AU"/>
        </w:rPr>
        <w:t xml:space="preserve"> through the partnership approach.</w:t>
      </w:r>
    </w:p>
    <w:p w14:paraId="318A453C" w14:textId="4923AC74" w:rsidR="00962D66" w:rsidRDefault="00962D66" w:rsidP="00962D66">
      <w:pPr>
        <w:pStyle w:val="Caption"/>
      </w:pPr>
      <w:r>
        <w:t>Figure</w:t>
      </w:r>
      <w:r w:rsidR="00B55D79">
        <w:t xml:space="preserve"> </w:t>
      </w:r>
      <w:r w:rsidR="00232145">
        <w:t>3</w:t>
      </w:r>
      <w:r>
        <w:t xml:space="preserve">: </w:t>
      </w:r>
      <w:r w:rsidRPr="000F1BB2">
        <w:t>Key achievements under the Fourth Na</w:t>
      </w:r>
      <w:r>
        <w:t>tional Hepatitis C Strategy 2014</w:t>
      </w:r>
      <w:r w:rsidR="00175388">
        <w:t>–</w:t>
      </w:r>
      <w:r>
        <w:t>2017</w:t>
      </w:r>
      <w:r w:rsidR="00AF0E8D">
        <w:rPr>
          <w:vertAlign w:val="superscript"/>
        </w:rPr>
        <w:t>2</w:t>
      </w:r>
      <w:r w:rsidR="008447B0">
        <w:rPr>
          <w:vertAlign w:val="superscript"/>
        </w:rPr>
        <w:t>,</w:t>
      </w:r>
      <w:r w:rsidR="008447B0">
        <w:rPr>
          <w:rStyle w:val="EndnoteReference"/>
        </w:rPr>
        <w:endnoteReference w:id="7"/>
      </w:r>
      <w:r w:rsidR="008447B0">
        <w:rPr>
          <w:vertAlign w:val="superscript"/>
        </w:rPr>
        <w:t>,</w:t>
      </w:r>
      <w:r w:rsidR="008447B0">
        <w:rPr>
          <w:rStyle w:val="EndnoteReference"/>
        </w:rPr>
        <w:endnoteReference w:id="8"/>
      </w:r>
      <w:r w:rsidR="009D3E0C">
        <w:rPr>
          <w:vertAlign w:val="superscript"/>
        </w:rPr>
        <w:t>,</w:t>
      </w:r>
      <w:r w:rsidR="009D3E0C">
        <w:rPr>
          <w:rStyle w:val="EndnoteReference"/>
        </w:rPr>
        <w:endnoteReference w:id="9"/>
      </w:r>
      <w:r w:rsidR="00D15252">
        <w:rPr>
          <w:vertAlign w:val="superscript"/>
        </w:rPr>
        <w:t>,</w:t>
      </w:r>
      <w:r w:rsidR="00D15252">
        <w:rPr>
          <w:rStyle w:val="EndnoteReference"/>
        </w:rPr>
        <w:endnoteReference w:id="10"/>
      </w:r>
      <w:r w:rsidR="00830E2C">
        <w:t xml:space="preserve"> </w:t>
      </w:r>
    </w:p>
    <w:tbl>
      <w:tblPr>
        <w:tblW w:w="0" w:type="auto"/>
        <w:tblBorders>
          <w:insideH w:val="single" w:sz="4" w:space="0" w:color="D8D8CE"/>
          <w:insideV w:val="single" w:sz="4" w:space="0" w:color="D8D8CE"/>
        </w:tblBorders>
        <w:tblLook w:val="04A0" w:firstRow="1" w:lastRow="0" w:firstColumn="1" w:lastColumn="0" w:noHBand="0" w:noVBand="1"/>
      </w:tblPr>
      <w:tblGrid>
        <w:gridCol w:w="1101"/>
        <w:gridCol w:w="8045"/>
      </w:tblGrid>
      <w:tr w:rsidR="00962D66" w:rsidRPr="007512A6" w14:paraId="16ED3774" w14:textId="77777777" w:rsidTr="006A524D">
        <w:trPr>
          <w:trHeight w:val="574"/>
        </w:trPr>
        <w:tc>
          <w:tcPr>
            <w:tcW w:w="1101" w:type="dxa"/>
            <w:shd w:val="clear" w:color="auto" w:fill="00264D"/>
            <w:vAlign w:val="center"/>
          </w:tcPr>
          <w:p w14:paraId="208ECAF8" w14:textId="77777777" w:rsidR="00962D66" w:rsidRPr="007512A6" w:rsidRDefault="008B641A" w:rsidP="007512A6">
            <w:pPr>
              <w:spacing w:after="0"/>
              <w:jc w:val="center"/>
              <w:rPr>
                <w:color w:val="000000"/>
                <w:sz w:val="17"/>
                <w:szCs w:val="17"/>
                <w:lang w:eastAsia="en-AU"/>
              </w:rPr>
            </w:pPr>
            <w:r>
              <w:rPr>
                <w:noProof/>
                <w:lang w:eastAsia="en-AU"/>
              </w:rPr>
              <w:drawing>
                <wp:inline distT="0" distB="0" distL="0" distR="0" wp14:anchorId="027F6E67" wp14:editId="01B5FC6B">
                  <wp:extent cx="286385" cy="286385"/>
                  <wp:effectExtent l="0" t="0" r="0" b="0"/>
                  <wp:docPr id="234" name="Picture 234" descr="Image only "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9" cstate="print"/>
                          <a:srcRect/>
                          <a:stretch>
                            <a:fillRect/>
                          </a:stretch>
                        </pic:blipFill>
                        <pic:spPr bwMode="auto">
                          <a:xfrm>
                            <a:off x="0" y="0"/>
                            <a:ext cx="286385" cy="286385"/>
                          </a:xfrm>
                          <a:prstGeom prst="rect">
                            <a:avLst/>
                          </a:prstGeom>
                          <a:noFill/>
                        </pic:spPr>
                      </pic:pic>
                    </a:graphicData>
                  </a:graphic>
                </wp:inline>
              </w:drawing>
            </w:r>
          </w:p>
        </w:tc>
        <w:tc>
          <w:tcPr>
            <w:tcW w:w="8045" w:type="dxa"/>
            <w:shd w:val="clear" w:color="auto" w:fill="auto"/>
            <w:vAlign w:val="center"/>
          </w:tcPr>
          <w:p w14:paraId="210D511B" w14:textId="096C642B" w:rsidR="00962D66" w:rsidRPr="007512A6" w:rsidRDefault="00962D66" w:rsidP="007F62DB">
            <w:pPr>
              <w:spacing w:after="0"/>
              <w:rPr>
                <w:sz w:val="17"/>
                <w:szCs w:val="17"/>
                <w:lang w:eastAsia="en-AU"/>
              </w:rPr>
            </w:pPr>
            <w:r w:rsidRPr="007512A6">
              <w:rPr>
                <w:sz w:val="17"/>
                <w:szCs w:val="17"/>
                <w:lang w:eastAsia="en-AU"/>
              </w:rPr>
              <w:t xml:space="preserve">The treatment targets of the Fourth Strategy were exceeded. An </w:t>
            </w:r>
            <w:r w:rsidRPr="007512A6">
              <w:rPr>
                <w:color w:val="2E368F"/>
                <w:sz w:val="17"/>
                <w:szCs w:val="17"/>
                <w:lang w:eastAsia="en-AU"/>
              </w:rPr>
              <w:t>estimated 43</w:t>
            </w:r>
            <w:r w:rsidR="007F62DB">
              <w:rPr>
                <w:color w:val="2E368F"/>
                <w:sz w:val="17"/>
                <w:szCs w:val="17"/>
                <w:lang w:eastAsia="en-AU"/>
              </w:rPr>
              <w:t> </w:t>
            </w:r>
            <w:r w:rsidRPr="007512A6">
              <w:rPr>
                <w:color w:val="2E368F"/>
                <w:sz w:val="17"/>
                <w:szCs w:val="17"/>
                <w:lang w:eastAsia="en-AU"/>
              </w:rPr>
              <w:t>360 people initiated treatment</w:t>
            </w:r>
            <w:r w:rsidRPr="007512A6">
              <w:rPr>
                <w:sz w:val="17"/>
                <w:szCs w:val="17"/>
                <w:lang w:eastAsia="en-AU"/>
              </w:rPr>
              <w:t xml:space="preserve"> from the time of the </w:t>
            </w:r>
            <w:r w:rsidR="007F62DB">
              <w:rPr>
                <w:sz w:val="17"/>
                <w:szCs w:val="17"/>
                <w:lang w:eastAsia="en-AU"/>
              </w:rPr>
              <w:t xml:space="preserve">Pharmaceutical Benefits Scheme </w:t>
            </w:r>
            <w:r w:rsidRPr="007512A6">
              <w:rPr>
                <w:sz w:val="17"/>
                <w:szCs w:val="17"/>
                <w:lang w:eastAsia="en-AU"/>
              </w:rPr>
              <w:t>listing in March 2016 to mid-2017</w:t>
            </w:r>
          </w:p>
        </w:tc>
      </w:tr>
      <w:tr w:rsidR="00962D66" w:rsidRPr="007512A6" w14:paraId="6AFDCF3C" w14:textId="77777777" w:rsidTr="007512A6">
        <w:trPr>
          <w:trHeight w:val="567"/>
        </w:trPr>
        <w:tc>
          <w:tcPr>
            <w:tcW w:w="1101" w:type="dxa"/>
            <w:shd w:val="clear" w:color="auto" w:fill="00264D"/>
            <w:vAlign w:val="center"/>
          </w:tcPr>
          <w:p w14:paraId="25750AEC" w14:textId="77777777" w:rsidR="00962D66" w:rsidRPr="007512A6" w:rsidRDefault="008B641A" w:rsidP="007512A6">
            <w:pPr>
              <w:spacing w:after="0"/>
              <w:jc w:val="center"/>
              <w:rPr>
                <w:color w:val="000000"/>
                <w:sz w:val="17"/>
                <w:szCs w:val="17"/>
              </w:rPr>
            </w:pPr>
            <w:r>
              <w:rPr>
                <w:noProof/>
                <w:lang w:eastAsia="en-AU"/>
              </w:rPr>
              <w:drawing>
                <wp:inline distT="0" distB="0" distL="0" distR="0" wp14:anchorId="3BFF0EA7" wp14:editId="10D04205">
                  <wp:extent cx="323215" cy="103505"/>
                  <wp:effectExtent l="0" t="0" r="635" b="0"/>
                  <wp:docPr id="242" name="Picture 242" descr="Image only"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0" cstate="print"/>
                          <a:srcRect/>
                          <a:stretch>
                            <a:fillRect/>
                          </a:stretch>
                        </pic:blipFill>
                        <pic:spPr bwMode="auto">
                          <a:xfrm>
                            <a:off x="0" y="0"/>
                            <a:ext cx="323215" cy="103505"/>
                          </a:xfrm>
                          <a:prstGeom prst="rect">
                            <a:avLst/>
                          </a:prstGeom>
                          <a:noFill/>
                        </pic:spPr>
                      </pic:pic>
                    </a:graphicData>
                  </a:graphic>
                </wp:inline>
              </w:drawing>
            </w:r>
          </w:p>
        </w:tc>
        <w:tc>
          <w:tcPr>
            <w:tcW w:w="8045" w:type="dxa"/>
            <w:shd w:val="clear" w:color="auto" w:fill="auto"/>
            <w:vAlign w:val="center"/>
          </w:tcPr>
          <w:p w14:paraId="1630D8E7" w14:textId="1E4B8324" w:rsidR="00962D66" w:rsidRPr="007512A6" w:rsidRDefault="00962D66" w:rsidP="007F62DB">
            <w:pPr>
              <w:spacing w:after="0"/>
              <w:rPr>
                <w:sz w:val="17"/>
                <w:szCs w:val="17"/>
                <w:lang w:eastAsia="en-AU"/>
              </w:rPr>
            </w:pPr>
            <w:r w:rsidRPr="007512A6">
              <w:rPr>
                <w:sz w:val="17"/>
                <w:szCs w:val="17"/>
                <w:lang w:eastAsia="en-AU"/>
              </w:rPr>
              <w:t xml:space="preserve">An estimated </w:t>
            </w:r>
            <w:r w:rsidRPr="007512A6">
              <w:rPr>
                <w:color w:val="FF3A40"/>
                <w:sz w:val="17"/>
                <w:szCs w:val="17"/>
                <w:lang w:eastAsia="en-AU"/>
              </w:rPr>
              <w:t>69 per cent of the 14</w:t>
            </w:r>
            <w:r w:rsidR="007F62DB">
              <w:rPr>
                <w:color w:val="FF3A40"/>
                <w:sz w:val="17"/>
                <w:szCs w:val="17"/>
                <w:lang w:eastAsia="en-AU"/>
              </w:rPr>
              <w:t> </w:t>
            </w:r>
            <w:r w:rsidRPr="007512A6">
              <w:rPr>
                <w:color w:val="FF3A40"/>
                <w:sz w:val="17"/>
                <w:szCs w:val="17"/>
                <w:lang w:eastAsia="en-AU"/>
              </w:rPr>
              <w:t>020 people living with cirrhosis in 2015 had initiated treatment</w:t>
            </w:r>
            <w:r w:rsidRPr="007512A6">
              <w:rPr>
                <w:sz w:val="17"/>
                <w:szCs w:val="17"/>
                <w:lang w:eastAsia="en-AU"/>
              </w:rPr>
              <w:t xml:space="preserve"> by mid-2017</w:t>
            </w:r>
          </w:p>
        </w:tc>
      </w:tr>
      <w:tr w:rsidR="00962D66" w:rsidRPr="007512A6" w14:paraId="6DF88263" w14:textId="77777777" w:rsidTr="007512A6">
        <w:trPr>
          <w:trHeight w:val="567"/>
        </w:trPr>
        <w:tc>
          <w:tcPr>
            <w:tcW w:w="1101" w:type="dxa"/>
            <w:shd w:val="clear" w:color="auto" w:fill="00264D"/>
            <w:vAlign w:val="center"/>
          </w:tcPr>
          <w:p w14:paraId="26042F47" w14:textId="77777777" w:rsidR="00962D66" w:rsidRPr="007512A6" w:rsidRDefault="008B641A" w:rsidP="007512A6">
            <w:pPr>
              <w:spacing w:after="0"/>
              <w:jc w:val="center"/>
              <w:rPr>
                <w:color w:val="000000"/>
                <w:sz w:val="17"/>
                <w:szCs w:val="17"/>
              </w:rPr>
            </w:pPr>
            <w:r>
              <w:rPr>
                <w:noProof/>
                <w:lang w:eastAsia="en-AU"/>
              </w:rPr>
              <w:drawing>
                <wp:inline distT="0" distB="0" distL="0" distR="0" wp14:anchorId="71DD2958" wp14:editId="42E4600E">
                  <wp:extent cx="335280" cy="335280"/>
                  <wp:effectExtent l="0" t="0" r="7620" b="7620"/>
                  <wp:docPr id="241" name="Picture 241" descr="Image only"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1" cstate="print"/>
                          <a:srcRect/>
                          <a:stretch>
                            <a:fillRect/>
                          </a:stretch>
                        </pic:blipFill>
                        <pic:spPr bwMode="auto">
                          <a:xfrm>
                            <a:off x="0" y="0"/>
                            <a:ext cx="335280" cy="335280"/>
                          </a:xfrm>
                          <a:prstGeom prst="rect">
                            <a:avLst/>
                          </a:prstGeom>
                          <a:noFill/>
                        </pic:spPr>
                      </pic:pic>
                    </a:graphicData>
                  </a:graphic>
                </wp:inline>
              </w:drawing>
            </w:r>
          </w:p>
        </w:tc>
        <w:tc>
          <w:tcPr>
            <w:tcW w:w="8045" w:type="dxa"/>
            <w:shd w:val="clear" w:color="auto" w:fill="auto"/>
            <w:vAlign w:val="center"/>
          </w:tcPr>
          <w:p w14:paraId="099681A6" w14:textId="19CF1C43" w:rsidR="00962D66" w:rsidRPr="007512A6" w:rsidRDefault="00962D66" w:rsidP="007F62DB">
            <w:pPr>
              <w:spacing w:after="0"/>
              <w:rPr>
                <w:sz w:val="17"/>
                <w:szCs w:val="17"/>
                <w:lang w:eastAsia="en-AU"/>
              </w:rPr>
            </w:pPr>
            <w:r w:rsidRPr="007512A6">
              <w:rPr>
                <w:sz w:val="17"/>
                <w:szCs w:val="17"/>
                <w:lang w:eastAsia="en-AU"/>
              </w:rPr>
              <w:t>T</w:t>
            </w:r>
            <w:r w:rsidR="009232EE">
              <w:rPr>
                <w:sz w:val="17"/>
                <w:szCs w:val="17"/>
                <w:lang w:eastAsia="en-AU"/>
              </w:rPr>
              <w:t>wo</w:t>
            </w:r>
            <w:r w:rsidRPr="007512A6">
              <w:rPr>
                <w:sz w:val="17"/>
                <w:szCs w:val="17"/>
                <w:lang w:eastAsia="en-AU"/>
              </w:rPr>
              <w:t xml:space="preserve"> prisons in Queensland and one in the </w:t>
            </w:r>
            <w:r w:rsidR="009232EE" w:rsidRPr="007512A6">
              <w:rPr>
                <w:sz w:val="17"/>
                <w:szCs w:val="17"/>
                <w:lang w:eastAsia="en-AU"/>
              </w:rPr>
              <w:t>A</w:t>
            </w:r>
            <w:r w:rsidR="009232EE">
              <w:rPr>
                <w:sz w:val="17"/>
                <w:szCs w:val="17"/>
                <w:lang w:eastAsia="en-AU"/>
              </w:rPr>
              <w:t xml:space="preserve">ustralian Capital Territory </w:t>
            </w:r>
            <w:r w:rsidRPr="007512A6">
              <w:rPr>
                <w:sz w:val="17"/>
                <w:szCs w:val="17"/>
                <w:lang w:eastAsia="en-AU"/>
              </w:rPr>
              <w:t xml:space="preserve">report achieving </w:t>
            </w:r>
            <w:r w:rsidRPr="007512A6">
              <w:rPr>
                <w:color w:val="F25E21"/>
                <w:sz w:val="17"/>
                <w:szCs w:val="17"/>
              </w:rPr>
              <w:t>80</w:t>
            </w:r>
            <w:r w:rsidR="007F62DB">
              <w:rPr>
                <w:color w:val="F25E21"/>
                <w:sz w:val="17"/>
                <w:szCs w:val="17"/>
              </w:rPr>
              <w:t>%–</w:t>
            </w:r>
            <w:r w:rsidRPr="007512A6">
              <w:rPr>
                <w:color w:val="F25E21"/>
                <w:sz w:val="17"/>
                <w:szCs w:val="17"/>
              </w:rPr>
              <w:t xml:space="preserve">90% </w:t>
            </w:r>
            <w:r w:rsidR="00365056">
              <w:rPr>
                <w:color w:val="F25E21"/>
                <w:sz w:val="17"/>
                <w:szCs w:val="17"/>
              </w:rPr>
              <w:t xml:space="preserve">treatment uptake </w:t>
            </w:r>
            <w:r w:rsidRPr="007512A6">
              <w:rPr>
                <w:color w:val="F25E21"/>
                <w:sz w:val="17"/>
                <w:szCs w:val="17"/>
              </w:rPr>
              <w:t>among inmates</w:t>
            </w:r>
            <w:r w:rsidR="00696D8A">
              <w:rPr>
                <w:rStyle w:val="CommentReference"/>
              </w:rPr>
              <w:t xml:space="preserve">. Three prisons in </w:t>
            </w:r>
            <w:r w:rsidR="007F62DB">
              <w:rPr>
                <w:rStyle w:val="CommentReference"/>
              </w:rPr>
              <w:t xml:space="preserve">New South Wales </w:t>
            </w:r>
            <w:r w:rsidR="001D3B64">
              <w:rPr>
                <w:rStyle w:val="CommentReference"/>
              </w:rPr>
              <w:t xml:space="preserve">report </w:t>
            </w:r>
            <w:r w:rsidR="00696D8A">
              <w:rPr>
                <w:rStyle w:val="CommentReference"/>
              </w:rPr>
              <w:t>ha</w:t>
            </w:r>
            <w:r w:rsidR="001D3B64">
              <w:rPr>
                <w:rStyle w:val="CommentReference"/>
              </w:rPr>
              <w:t>ving</w:t>
            </w:r>
            <w:r w:rsidR="00696D8A">
              <w:rPr>
                <w:rStyle w:val="CommentReference"/>
              </w:rPr>
              <w:t xml:space="preserve"> </w:t>
            </w:r>
            <w:r w:rsidR="00696D8A" w:rsidRPr="00696D8A">
              <w:rPr>
                <w:color w:val="F25E21"/>
                <w:sz w:val="17"/>
                <w:szCs w:val="17"/>
              </w:rPr>
              <w:t xml:space="preserve">eliminated </w:t>
            </w:r>
            <w:r w:rsidR="00696D8A">
              <w:rPr>
                <w:rStyle w:val="CommentReference"/>
              </w:rPr>
              <w:t>hepatitis C</w:t>
            </w:r>
          </w:p>
        </w:tc>
      </w:tr>
      <w:tr w:rsidR="00851396" w:rsidRPr="007512A6" w14:paraId="700C2F19" w14:textId="77777777" w:rsidTr="007512A6">
        <w:trPr>
          <w:trHeight w:val="567"/>
        </w:trPr>
        <w:tc>
          <w:tcPr>
            <w:tcW w:w="1101" w:type="dxa"/>
            <w:shd w:val="clear" w:color="auto" w:fill="00264D"/>
            <w:vAlign w:val="center"/>
          </w:tcPr>
          <w:p w14:paraId="71AEFBEF" w14:textId="77777777" w:rsidR="00851396" w:rsidRPr="007512A6" w:rsidRDefault="008B641A" w:rsidP="007512A6">
            <w:pPr>
              <w:spacing w:after="0"/>
              <w:jc w:val="center"/>
              <w:rPr>
                <w:noProof/>
                <w:lang w:eastAsia="en-AU"/>
              </w:rPr>
            </w:pPr>
            <w:r>
              <w:rPr>
                <w:noProof/>
                <w:lang w:eastAsia="en-AU"/>
              </w:rPr>
              <w:drawing>
                <wp:inline distT="0" distB="0" distL="0" distR="0" wp14:anchorId="19E65EA6" wp14:editId="61720337">
                  <wp:extent cx="298450" cy="298450"/>
                  <wp:effectExtent l="0" t="0" r="6350" b="6350"/>
                  <wp:docPr id="224" name="Picture 224" descr="Image only "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2" cstate="print"/>
                          <a:srcRect/>
                          <a:stretch>
                            <a:fillRect/>
                          </a:stretch>
                        </pic:blipFill>
                        <pic:spPr bwMode="auto">
                          <a:xfrm>
                            <a:off x="0" y="0"/>
                            <a:ext cx="298450" cy="298450"/>
                          </a:xfrm>
                          <a:prstGeom prst="rect">
                            <a:avLst/>
                          </a:prstGeom>
                          <a:noFill/>
                        </pic:spPr>
                      </pic:pic>
                    </a:graphicData>
                  </a:graphic>
                </wp:inline>
              </w:drawing>
            </w:r>
          </w:p>
        </w:tc>
        <w:tc>
          <w:tcPr>
            <w:tcW w:w="8045" w:type="dxa"/>
            <w:shd w:val="clear" w:color="auto" w:fill="auto"/>
            <w:vAlign w:val="center"/>
          </w:tcPr>
          <w:p w14:paraId="6103F649" w14:textId="366FC063" w:rsidR="00851396" w:rsidRPr="007512A6" w:rsidRDefault="00D15252" w:rsidP="007F62DB">
            <w:pPr>
              <w:spacing w:after="0"/>
              <w:rPr>
                <w:sz w:val="17"/>
                <w:szCs w:val="17"/>
                <w:lang w:eastAsia="en-AU"/>
              </w:rPr>
            </w:pPr>
            <w:r>
              <w:rPr>
                <w:sz w:val="17"/>
                <w:szCs w:val="17"/>
                <w:lang w:eastAsia="en-AU"/>
              </w:rPr>
              <w:t xml:space="preserve">The proportion of individuals prescribed </w:t>
            </w:r>
            <w:r w:rsidR="007F62DB" w:rsidRPr="007F62DB">
              <w:rPr>
                <w:sz w:val="17"/>
                <w:szCs w:val="17"/>
                <w:lang w:eastAsia="en-AU"/>
              </w:rPr>
              <w:t xml:space="preserve">direct-acting antiviral </w:t>
            </w:r>
            <w:r w:rsidR="007F62DB">
              <w:rPr>
                <w:sz w:val="17"/>
                <w:szCs w:val="17"/>
                <w:lang w:eastAsia="en-AU"/>
              </w:rPr>
              <w:t>(</w:t>
            </w:r>
            <w:r>
              <w:rPr>
                <w:sz w:val="17"/>
                <w:szCs w:val="17"/>
                <w:lang w:eastAsia="en-AU"/>
              </w:rPr>
              <w:t>DAA</w:t>
            </w:r>
            <w:r w:rsidR="007F62DB">
              <w:rPr>
                <w:sz w:val="17"/>
                <w:szCs w:val="17"/>
                <w:lang w:eastAsia="en-AU"/>
              </w:rPr>
              <w:t>)</w:t>
            </w:r>
            <w:r>
              <w:rPr>
                <w:sz w:val="17"/>
                <w:szCs w:val="17"/>
                <w:lang w:eastAsia="en-AU"/>
              </w:rPr>
              <w:t xml:space="preserve"> </w:t>
            </w:r>
            <w:r w:rsidRPr="00153328">
              <w:rPr>
                <w:color w:val="4BACC6"/>
                <w:sz w:val="17"/>
                <w:szCs w:val="17"/>
                <w:lang w:eastAsia="en-AU"/>
              </w:rPr>
              <w:t>treatment by GPs</w:t>
            </w:r>
            <w:r>
              <w:rPr>
                <w:sz w:val="17"/>
                <w:szCs w:val="17"/>
                <w:lang w:eastAsia="en-AU"/>
              </w:rPr>
              <w:t xml:space="preserve"> increase</w:t>
            </w:r>
            <w:r w:rsidR="00F251B1">
              <w:rPr>
                <w:sz w:val="17"/>
                <w:szCs w:val="17"/>
                <w:lang w:eastAsia="en-AU"/>
              </w:rPr>
              <w:t>d</w:t>
            </w:r>
            <w:r>
              <w:rPr>
                <w:sz w:val="17"/>
                <w:szCs w:val="17"/>
                <w:lang w:eastAsia="en-AU"/>
              </w:rPr>
              <w:t xml:space="preserve"> from </w:t>
            </w:r>
            <w:r w:rsidRPr="00153328">
              <w:rPr>
                <w:color w:val="4BACC6"/>
                <w:sz w:val="17"/>
                <w:szCs w:val="17"/>
                <w:lang w:eastAsia="en-AU"/>
              </w:rPr>
              <w:t>8</w:t>
            </w:r>
            <w:r w:rsidR="007F62DB">
              <w:rPr>
                <w:color w:val="4BACC6"/>
                <w:sz w:val="17"/>
                <w:szCs w:val="17"/>
                <w:lang w:eastAsia="en-AU"/>
              </w:rPr>
              <w:t>%</w:t>
            </w:r>
            <w:r w:rsidR="00AB4DA7">
              <w:rPr>
                <w:color w:val="4BACC6"/>
                <w:sz w:val="17"/>
                <w:szCs w:val="17"/>
                <w:lang w:eastAsia="en-AU"/>
              </w:rPr>
              <w:t xml:space="preserve"> in March 2016 to 39</w:t>
            </w:r>
            <w:r w:rsidR="007F62DB">
              <w:rPr>
                <w:color w:val="4BACC6"/>
                <w:sz w:val="17"/>
                <w:szCs w:val="17"/>
                <w:lang w:eastAsia="en-AU"/>
              </w:rPr>
              <w:t>%</w:t>
            </w:r>
            <w:r w:rsidR="00AB4DA7">
              <w:rPr>
                <w:color w:val="4BACC6"/>
                <w:sz w:val="17"/>
                <w:szCs w:val="17"/>
                <w:lang w:eastAsia="en-AU"/>
              </w:rPr>
              <w:t xml:space="preserve"> </w:t>
            </w:r>
            <w:r w:rsidRPr="00153328">
              <w:rPr>
                <w:color w:val="4BACC6"/>
                <w:sz w:val="17"/>
                <w:szCs w:val="17"/>
                <w:lang w:eastAsia="en-AU"/>
              </w:rPr>
              <w:t>in June 2017</w:t>
            </w:r>
            <w:r w:rsidR="0037796D">
              <w:rPr>
                <w:sz w:val="17"/>
                <w:szCs w:val="17"/>
                <w:lang w:eastAsia="en-AU"/>
              </w:rPr>
              <w:t>, with a total of 22</w:t>
            </w:r>
            <w:r w:rsidR="00AB4DA7">
              <w:rPr>
                <w:sz w:val="17"/>
                <w:szCs w:val="17"/>
                <w:lang w:eastAsia="en-AU"/>
              </w:rPr>
              <w:t xml:space="preserve"> per cent</w:t>
            </w:r>
            <w:r w:rsidR="0037796D">
              <w:rPr>
                <w:sz w:val="17"/>
                <w:szCs w:val="17"/>
                <w:lang w:eastAsia="en-AU"/>
              </w:rPr>
              <w:t xml:space="preserve"> of individuals prescribed DAA treatment by GPs during this period</w:t>
            </w:r>
          </w:p>
        </w:tc>
      </w:tr>
    </w:tbl>
    <w:p w14:paraId="1E77D775" w14:textId="77777777" w:rsidR="00962D66" w:rsidRDefault="00962D66" w:rsidP="005E1819">
      <w:pPr>
        <w:rPr>
          <w:bCs/>
          <w:lang w:eastAsia="en-AU"/>
        </w:rPr>
      </w:pPr>
    </w:p>
    <w:p w14:paraId="76916344" w14:textId="0B004E0F" w:rsidR="00EA364B" w:rsidRPr="00EA1123" w:rsidRDefault="00EA364B" w:rsidP="005E1819">
      <w:pPr>
        <w:rPr>
          <w:sz w:val="20"/>
          <w:szCs w:val="20"/>
        </w:rPr>
      </w:pPr>
      <w:r w:rsidRPr="00EA1123">
        <w:rPr>
          <w:sz w:val="20"/>
          <w:szCs w:val="20"/>
        </w:rPr>
        <w:t>Progress under the previous strategy has been notable in some areas</w:t>
      </w:r>
      <w:r w:rsidR="007F62DB">
        <w:rPr>
          <w:sz w:val="20"/>
          <w:szCs w:val="20"/>
        </w:rPr>
        <w:t>.</w:t>
      </w:r>
      <w:r w:rsidRPr="00EA1123">
        <w:rPr>
          <w:sz w:val="20"/>
          <w:szCs w:val="20"/>
        </w:rPr>
        <w:t xml:space="preserve"> </w:t>
      </w:r>
      <w:r w:rsidR="007F62DB">
        <w:rPr>
          <w:sz w:val="20"/>
          <w:szCs w:val="20"/>
        </w:rPr>
        <w:t>However</w:t>
      </w:r>
      <w:r w:rsidR="00175388">
        <w:rPr>
          <w:sz w:val="20"/>
          <w:szCs w:val="20"/>
        </w:rPr>
        <w:t>,</w:t>
      </w:r>
      <w:r w:rsidRPr="00EA1123">
        <w:rPr>
          <w:sz w:val="20"/>
          <w:szCs w:val="20"/>
        </w:rPr>
        <w:t xml:space="preserve"> in others, there remain challenges to overcome. </w:t>
      </w:r>
    </w:p>
    <w:p w14:paraId="429A17A5" w14:textId="25BF55AA" w:rsidR="005E1819" w:rsidRPr="00EA1123" w:rsidRDefault="00EA364B" w:rsidP="005E1819">
      <w:pPr>
        <w:rPr>
          <w:sz w:val="20"/>
          <w:szCs w:val="20"/>
        </w:rPr>
      </w:pPr>
      <w:r w:rsidRPr="00EA1123">
        <w:rPr>
          <w:bCs/>
          <w:sz w:val="20"/>
          <w:szCs w:val="20"/>
          <w:lang w:eastAsia="en-AU"/>
        </w:rPr>
        <w:t xml:space="preserve">In 2016, </w:t>
      </w:r>
      <w:r w:rsidR="005E1819" w:rsidRPr="00EA1123">
        <w:rPr>
          <w:bCs/>
          <w:sz w:val="20"/>
          <w:szCs w:val="20"/>
          <w:lang w:eastAsia="en-AU"/>
        </w:rPr>
        <w:t>Australia was one of the first countries in the world to subsidise</w:t>
      </w:r>
      <w:r w:rsidRPr="00EA1123">
        <w:rPr>
          <w:bCs/>
          <w:sz w:val="20"/>
          <w:szCs w:val="20"/>
          <w:lang w:eastAsia="en-AU"/>
        </w:rPr>
        <w:t xml:space="preserve"> DAA treatment</w:t>
      </w:r>
      <w:r w:rsidR="005E1819" w:rsidRPr="00EA1123">
        <w:rPr>
          <w:bCs/>
          <w:sz w:val="20"/>
          <w:szCs w:val="20"/>
          <w:lang w:eastAsia="en-AU"/>
        </w:rPr>
        <w:t xml:space="preserve"> </w:t>
      </w:r>
      <w:r w:rsidR="00A52AF0" w:rsidRPr="00EA1123">
        <w:rPr>
          <w:bCs/>
          <w:sz w:val="20"/>
          <w:szCs w:val="20"/>
          <w:lang w:eastAsia="en-AU"/>
        </w:rPr>
        <w:t xml:space="preserve">without </w:t>
      </w:r>
      <w:r w:rsidR="00230A28" w:rsidRPr="00EA1123">
        <w:rPr>
          <w:bCs/>
          <w:sz w:val="20"/>
          <w:szCs w:val="20"/>
          <w:lang w:eastAsia="en-AU"/>
        </w:rPr>
        <w:t xml:space="preserve">any </w:t>
      </w:r>
      <w:r w:rsidR="00A52AF0" w:rsidRPr="00EA1123">
        <w:rPr>
          <w:bCs/>
          <w:sz w:val="20"/>
          <w:szCs w:val="20"/>
          <w:lang w:eastAsia="en-AU"/>
        </w:rPr>
        <w:t>restriction</w:t>
      </w:r>
      <w:r w:rsidR="00230A28" w:rsidRPr="00EA1123">
        <w:rPr>
          <w:bCs/>
          <w:sz w:val="20"/>
          <w:szCs w:val="20"/>
          <w:lang w:eastAsia="en-AU"/>
        </w:rPr>
        <w:t>s</w:t>
      </w:r>
      <w:r w:rsidR="00A52AF0" w:rsidRPr="00EA1123">
        <w:rPr>
          <w:bCs/>
          <w:sz w:val="20"/>
          <w:szCs w:val="20"/>
          <w:lang w:eastAsia="en-AU"/>
        </w:rPr>
        <w:t xml:space="preserve"> </w:t>
      </w:r>
      <w:r w:rsidR="00230A28" w:rsidRPr="00EA1123">
        <w:rPr>
          <w:bCs/>
          <w:sz w:val="20"/>
          <w:szCs w:val="20"/>
          <w:lang w:eastAsia="en-AU"/>
        </w:rPr>
        <w:t>related to stage of liver disease or drug or alcohol use</w:t>
      </w:r>
      <w:r w:rsidR="00A52AF0" w:rsidRPr="00EA1123">
        <w:rPr>
          <w:bCs/>
          <w:sz w:val="20"/>
          <w:szCs w:val="20"/>
          <w:lang w:eastAsia="en-AU"/>
        </w:rPr>
        <w:t xml:space="preserve">. </w:t>
      </w:r>
      <w:r w:rsidR="00A84174" w:rsidRPr="00EA1123">
        <w:rPr>
          <w:bCs/>
          <w:sz w:val="20"/>
          <w:szCs w:val="20"/>
          <w:lang w:eastAsia="en-AU"/>
        </w:rPr>
        <w:t xml:space="preserve">Subsidisation was </w:t>
      </w:r>
      <w:r w:rsidR="00A52AF0" w:rsidRPr="00EA1123">
        <w:rPr>
          <w:bCs/>
          <w:sz w:val="20"/>
          <w:szCs w:val="20"/>
          <w:lang w:eastAsia="en-AU"/>
        </w:rPr>
        <w:t xml:space="preserve">coupled with </w:t>
      </w:r>
      <w:r w:rsidR="00A84174" w:rsidRPr="00EA1123">
        <w:rPr>
          <w:bCs/>
          <w:sz w:val="20"/>
          <w:szCs w:val="20"/>
          <w:lang w:eastAsia="en-AU"/>
        </w:rPr>
        <w:t xml:space="preserve">changed </w:t>
      </w:r>
      <w:r w:rsidR="00A52AF0" w:rsidRPr="00EA1123">
        <w:rPr>
          <w:bCs/>
          <w:sz w:val="20"/>
          <w:szCs w:val="20"/>
          <w:lang w:eastAsia="en-AU"/>
        </w:rPr>
        <w:t xml:space="preserve">provisions </w:t>
      </w:r>
      <w:r w:rsidR="00A84174" w:rsidRPr="00EA1123">
        <w:rPr>
          <w:bCs/>
          <w:sz w:val="20"/>
          <w:szCs w:val="20"/>
          <w:lang w:eastAsia="en-AU"/>
        </w:rPr>
        <w:t xml:space="preserve">allowing </w:t>
      </w:r>
      <w:r w:rsidR="00253AC9">
        <w:rPr>
          <w:bCs/>
          <w:sz w:val="20"/>
          <w:szCs w:val="20"/>
          <w:lang w:eastAsia="en-AU"/>
        </w:rPr>
        <w:t>non-</w:t>
      </w:r>
      <w:r w:rsidR="00A52AF0" w:rsidRPr="00EA1123">
        <w:rPr>
          <w:bCs/>
          <w:sz w:val="20"/>
          <w:szCs w:val="20"/>
          <w:lang w:eastAsia="en-AU"/>
        </w:rPr>
        <w:t xml:space="preserve">specialist and primary care prescribing </w:t>
      </w:r>
      <w:r w:rsidR="00A84174" w:rsidRPr="00EA1123">
        <w:rPr>
          <w:bCs/>
          <w:sz w:val="20"/>
          <w:szCs w:val="20"/>
          <w:lang w:eastAsia="en-AU"/>
        </w:rPr>
        <w:t xml:space="preserve">of hepatitis C treatment to facilitate </w:t>
      </w:r>
      <w:r w:rsidR="00A52AF0" w:rsidRPr="00EA1123">
        <w:rPr>
          <w:bCs/>
          <w:sz w:val="20"/>
          <w:szCs w:val="20"/>
          <w:lang w:eastAsia="en-AU"/>
        </w:rPr>
        <w:t>the broadest possible rollout of the cu</w:t>
      </w:r>
      <w:r w:rsidR="00A84174" w:rsidRPr="00EA1123">
        <w:rPr>
          <w:bCs/>
          <w:sz w:val="20"/>
          <w:szCs w:val="20"/>
          <w:lang w:eastAsia="en-AU"/>
        </w:rPr>
        <w:t xml:space="preserve">res which lay </w:t>
      </w:r>
      <w:r w:rsidR="00A52AF0" w:rsidRPr="00EA1123">
        <w:rPr>
          <w:bCs/>
          <w:sz w:val="20"/>
          <w:szCs w:val="20"/>
          <w:lang w:eastAsia="en-AU"/>
        </w:rPr>
        <w:t xml:space="preserve">the foundation for the </w:t>
      </w:r>
      <w:r w:rsidR="005E1819" w:rsidRPr="00EA1123">
        <w:rPr>
          <w:bCs/>
          <w:sz w:val="20"/>
          <w:szCs w:val="20"/>
          <w:lang w:eastAsia="en-AU"/>
        </w:rPr>
        <w:t>elimination of hepatitis C</w:t>
      </w:r>
      <w:r w:rsidR="00A84174" w:rsidRPr="00EA1123">
        <w:rPr>
          <w:bCs/>
          <w:sz w:val="20"/>
          <w:szCs w:val="20"/>
          <w:lang w:eastAsia="en-AU"/>
        </w:rPr>
        <w:t xml:space="preserve"> </w:t>
      </w:r>
      <w:r w:rsidR="0000459F" w:rsidRPr="00EA1123">
        <w:rPr>
          <w:bCs/>
          <w:sz w:val="20"/>
          <w:szCs w:val="20"/>
          <w:lang w:eastAsia="en-AU"/>
        </w:rPr>
        <w:t xml:space="preserve">as a public health threat </w:t>
      </w:r>
      <w:r w:rsidR="00A84174" w:rsidRPr="00EA1123">
        <w:rPr>
          <w:bCs/>
          <w:sz w:val="20"/>
          <w:szCs w:val="20"/>
          <w:lang w:eastAsia="en-AU"/>
        </w:rPr>
        <w:t>by 2030</w:t>
      </w:r>
      <w:r w:rsidR="005E1819" w:rsidRPr="00EA1123">
        <w:rPr>
          <w:bCs/>
          <w:sz w:val="20"/>
          <w:szCs w:val="20"/>
          <w:lang w:eastAsia="en-AU"/>
        </w:rPr>
        <w:t>.</w:t>
      </w:r>
      <w:r w:rsidR="005E1819" w:rsidRPr="00EA1123">
        <w:rPr>
          <w:sz w:val="20"/>
          <w:szCs w:val="20"/>
        </w:rPr>
        <w:t xml:space="preserve"> </w:t>
      </w:r>
    </w:p>
    <w:p w14:paraId="2C89FD2B" w14:textId="77777777" w:rsidR="006A524D" w:rsidRDefault="006A524D" w:rsidP="006A524D">
      <w:pPr>
        <w:rPr>
          <w:sz w:val="20"/>
          <w:szCs w:val="20"/>
        </w:rPr>
      </w:pPr>
      <w:r>
        <w:rPr>
          <w:sz w:val="20"/>
          <w:szCs w:val="20"/>
        </w:rPr>
        <w:t xml:space="preserve">The following summarises progress in relation to the specific targets set under the previous strategy: </w:t>
      </w:r>
    </w:p>
    <w:p w14:paraId="44C2277F" w14:textId="7671195E" w:rsidR="006A524D" w:rsidRDefault="00A84174" w:rsidP="006A524D">
      <w:pPr>
        <w:numPr>
          <w:ilvl w:val="0"/>
          <w:numId w:val="15"/>
        </w:numPr>
        <w:rPr>
          <w:sz w:val="20"/>
          <w:szCs w:val="20"/>
        </w:rPr>
      </w:pPr>
      <w:r w:rsidRPr="00EA1123">
        <w:rPr>
          <w:sz w:val="20"/>
          <w:szCs w:val="20"/>
        </w:rPr>
        <w:t>Between March 2016</w:t>
      </w:r>
      <w:r w:rsidR="00175388">
        <w:rPr>
          <w:sz w:val="20"/>
          <w:szCs w:val="20"/>
        </w:rPr>
        <w:t>,</w:t>
      </w:r>
      <w:r w:rsidRPr="00EA1123">
        <w:rPr>
          <w:sz w:val="20"/>
          <w:szCs w:val="20"/>
        </w:rPr>
        <w:t xml:space="preserve"> </w:t>
      </w:r>
      <w:r w:rsidR="004554B3" w:rsidRPr="00EA1123">
        <w:rPr>
          <w:sz w:val="20"/>
          <w:szCs w:val="20"/>
        </w:rPr>
        <w:t>when the DAAs were subsidised</w:t>
      </w:r>
      <w:r w:rsidR="00175388">
        <w:rPr>
          <w:sz w:val="20"/>
          <w:szCs w:val="20"/>
        </w:rPr>
        <w:t>,</w:t>
      </w:r>
      <w:r w:rsidR="004554B3" w:rsidRPr="00EA1123">
        <w:rPr>
          <w:sz w:val="20"/>
          <w:szCs w:val="20"/>
        </w:rPr>
        <w:t xml:space="preserve"> </w:t>
      </w:r>
      <w:r w:rsidRPr="00EA1123">
        <w:rPr>
          <w:sz w:val="20"/>
          <w:szCs w:val="20"/>
        </w:rPr>
        <w:t>and mid-2017</w:t>
      </w:r>
      <w:r w:rsidR="004E6592" w:rsidRPr="00EA1123">
        <w:rPr>
          <w:sz w:val="20"/>
          <w:szCs w:val="20"/>
        </w:rPr>
        <w:t>,</w:t>
      </w:r>
      <w:r w:rsidR="00EA364B" w:rsidRPr="00EA1123">
        <w:rPr>
          <w:sz w:val="20"/>
          <w:szCs w:val="20"/>
        </w:rPr>
        <w:t xml:space="preserve"> </w:t>
      </w:r>
      <w:r w:rsidR="00621BEA" w:rsidRPr="00EA1123">
        <w:rPr>
          <w:sz w:val="20"/>
          <w:szCs w:val="20"/>
        </w:rPr>
        <w:t>19 per cent</w:t>
      </w:r>
      <w:r w:rsidRPr="00EA1123">
        <w:rPr>
          <w:sz w:val="20"/>
          <w:szCs w:val="20"/>
        </w:rPr>
        <w:t xml:space="preserve"> </w:t>
      </w:r>
      <w:r w:rsidR="004554B3" w:rsidRPr="00EA1123">
        <w:rPr>
          <w:sz w:val="20"/>
          <w:szCs w:val="20"/>
        </w:rPr>
        <w:t>(43</w:t>
      </w:r>
      <w:r w:rsidR="00175388">
        <w:rPr>
          <w:sz w:val="20"/>
          <w:szCs w:val="20"/>
        </w:rPr>
        <w:t> </w:t>
      </w:r>
      <w:r w:rsidR="004554B3" w:rsidRPr="00EA1123">
        <w:rPr>
          <w:sz w:val="20"/>
          <w:szCs w:val="20"/>
        </w:rPr>
        <w:t xml:space="preserve">360) </w:t>
      </w:r>
      <w:r w:rsidRPr="00EA1123">
        <w:rPr>
          <w:sz w:val="20"/>
          <w:szCs w:val="20"/>
        </w:rPr>
        <w:t xml:space="preserve">of the </w:t>
      </w:r>
      <w:r w:rsidR="004E6592" w:rsidRPr="00EA1123">
        <w:rPr>
          <w:sz w:val="20"/>
          <w:szCs w:val="20"/>
        </w:rPr>
        <w:t xml:space="preserve">estimated </w:t>
      </w:r>
      <w:r w:rsidR="004554B3" w:rsidRPr="00BA4AF7">
        <w:rPr>
          <w:sz w:val="20"/>
          <w:szCs w:val="20"/>
        </w:rPr>
        <w:t>227</w:t>
      </w:r>
      <w:r w:rsidR="00175388">
        <w:rPr>
          <w:sz w:val="20"/>
          <w:szCs w:val="20"/>
        </w:rPr>
        <w:t> </w:t>
      </w:r>
      <w:r w:rsidR="004554B3" w:rsidRPr="00BA4AF7">
        <w:rPr>
          <w:sz w:val="20"/>
          <w:szCs w:val="20"/>
        </w:rPr>
        <w:t xml:space="preserve">310 people living </w:t>
      </w:r>
      <w:r w:rsidRPr="00BA4AF7">
        <w:rPr>
          <w:sz w:val="20"/>
          <w:szCs w:val="20"/>
        </w:rPr>
        <w:t>with hepatitis C initiated DAA treatment.</w:t>
      </w:r>
      <w:r w:rsidR="00AF0E8D">
        <w:rPr>
          <w:sz w:val="20"/>
          <w:szCs w:val="20"/>
          <w:vertAlign w:val="superscript"/>
        </w:rPr>
        <w:t>2</w:t>
      </w:r>
      <w:r w:rsidRPr="00BA4AF7">
        <w:rPr>
          <w:sz w:val="20"/>
          <w:szCs w:val="20"/>
        </w:rPr>
        <w:t xml:space="preserve"> Prior to this</w:t>
      </w:r>
      <w:r w:rsidR="004554B3" w:rsidRPr="00BA4AF7">
        <w:rPr>
          <w:sz w:val="20"/>
          <w:szCs w:val="20"/>
        </w:rPr>
        <w:t xml:space="preserve">, in the interferon treatment era, </w:t>
      </w:r>
      <w:r w:rsidRPr="00BA4AF7">
        <w:rPr>
          <w:sz w:val="20"/>
          <w:szCs w:val="20"/>
        </w:rPr>
        <w:t xml:space="preserve">annual </w:t>
      </w:r>
      <w:r w:rsidR="004554B3" w:rsidRPr="00BA4AF7">
        <w:rPr>
          <w:sz w:val="20"/>
          <w:szCs w:val="20"/>
        </w:rPr>
        <w:t xml:space="preserve">subsidised </w:t>
      </w:r>
      <w:r w:rsidRPr="00BA4AF7">
        <w:rPr>
          <w:sz w:val="20"/>
          <w:szCs w:val="20"/>
        </w:rPr>
        <w:t xml:space="preserve">treatment uptake </w:t>
      </w:r>
      <w:r w:rsidR="00621BEA" w:rsidRPr="00BA4AF7">
        <w:rPr>
          <w:sz w:val="20"/>
          <w:szCs w:val="20"/>
        </w:rPr>
        <w:t>had nev</w:t>
      </w:r>
      <w:r w:rsidR="00621BEA" w:rsidRPr="00EA1123">
        <w:rPr>
          <w:sz w:val="20"/>
          <w:szCs w:val="20"/>
        </w:rPr>
        <w:t>er exceeded 2 per cent</w:t>
      </w:r>
      <w:r w:rsidR="004554B3" w:rsidRPr="00EA1123">
        <w:rPr>
          <w:sz w:val="20"/>
          <w:szCs w:val="20"/>
        </w:rPr>
        <w:t xml:space="preserve"> of the prevalent population per annum.</w:t>
      </w:r>
      <w:r w:rsidR="005D4F3E" w:rsidRPr="00EA1123">
        <w:rPr>
          <w:rStyle w:val="EndnoteReference"/>
          <w:sz w:val="20"/>
          <w:szCs w:val="20"/>
        </w:rPr>
        <w:endnoteReference w:id="11"/>
      </w:r>
      <w:r w:rsidR="00F32B78">
        <w:rPr>
          <w:sz w:val="20"/>
          <w:szCs w:val="20"/>
        </w:rPr>
        <w:t xml:space="preserve"> This is significantly greater than </w:t>
      </w:r>
      <w:r w:rsidR="00315023">
        <w:rPr>
          <w:sz w:val="20"/>
          <w:szCs w:val="20"/>
        </w:rPr>
        <w:t>the previous target of a 50 per </w:t>
      </w:r>
      <w:r w:rsidR="00F32B78">
        <w:rPr>
          <w:sz w:val="20"/>
          <w:szCs w:val="20"/>
        </w:rPr>
        <w:t>cent increase in the number of people receiving antiviral treatment.</w:t>
      </w:r>
      <w:r w:rsidR="004554B3" w:rsidRPr="00EA1123">
        <w:rPr>
          <w:sz w:val="20"/>
          <w:szCs w:val="20"/>
        </w:rPr>
        <w:t xml:space="preserve"> </w:t>
      </w:r>
    </w:p>
    <w:p w14:paraId="67721AE9" w14:textId="6BE712B2" w:rsidR="006A524D" w:rsidRDefault="00533681" w:rsidP="006A524D">
      <w:pPr>
        <w:numPr>
          <w:ilvl w:val="0"/>
          <w:numId w:val="15"/>
        </w:numPr>
        <w:rPr>
          <w:sz w:val="20"/>
          <w:szCs w:val="20"/>
        </w:rPr>
      </w:pPr>
      <w:r>
        <w:rPr>
          <w:sz w:val="20"/>
          <w:szCs w:val="20"/>
        </w:rPr>
        <w:t xml:space="preserve">Treatment uptake among people who inject drugs also improved, with the proportion of respondents to the </w:t>
      </w:r>
      <w:r w:rsidRPr="007F62DB">
        <w:rPr>
          <w:sz w:val="20"/>
          <w:szCs w:val="20"/>
        </w:rPr>
        <w:t xml:space="preserve">2016 Australian Needle and Syringe Program </w:t>
      </w:r>
      <w:r w:rsidR="00315023" w:rsidRPr="007F62DB">
        <w:rPr>
          <w:sz w:val="20"/>
          <w:szCs w:val="20"/>
        </w:rPr>
        <w:t xml:space="preserve">(NSP) </w:t>
      </w:r>
      <w:r w:rsidRPr="007F62DB">
        <w:rPr>
          <w:sz w:val="20"/>
          <w:szCs w:val="20"/>
        </w:rPr>
        <w:t>Survey</w:t>
      </w:r>
      <w:r>
        <w:rPr>
          <w:sz w:val="20"/>
          <w:szCs w:val="20"/>
        </w:rPr>
        <w:t xml:space="preserve"> who reported treatment in the </w:t>
      </w:r>
      <w:r w:rsidR="00175388">
        <w:rPr>
          <w:sz w:val="20"/>
          <w:szCs w:val="20"/>
        </w:rPr>
        <w:t xml:space="preserve">previous </w:t>
      </w:r>
      <w:r>
        <w:rPr>
          <w:sz w:val="20"/>
          <w:szCs w:val="20"/>
        </w:rPr>
        <w:t>12 months increas</w:t>
      </w:r>
      <w:r w:rsidR="00CD2775">
        <w:rPr>
          <w:sz w:val="20"/>
          <w:szCs w:val="20"/>
        </w:rPr>
        <w:t>ing</w:t>
      </w:r>
      <w:r>
        <w:rPr>
          <w:sz w:val="20"/>
          <w:szCs w:val="20"/>
        </w:rPr>
        <w:t xml:space="preserve"> to 22 per cent in 2016 from a base of 1 </w:t>
      </w:r>
      <w:r w:rsidR="00CA186C">
        <w:rPr>
          <w:sz w:val="20"/>
          <w:szCs w:val="20"/>
        </w:rPr>
        <w:t xml:space="preserve">to </w:t>
      </w:r>
      <w:r>
        <w:rPr>
          <w:sz w:val="20"/>
          <w:szCs w:val="20"/>
        </w:rPr>
        <w:t>3 per cent in previous years.</w:t>
      </w:r>
      <w:r w:rsidR="00AF0E8D" w:rsidRPr="00AF0E8D">
        <w:rPr>
          <w:sz w:val="20"/>
          <w:szCs w:val="20"/>
          <w:vertAlign w:val="superscript"/>
        </w:rPr>
        <w:t>5</w:t>
      </w:r>
    </w:p>
    <w:p w14:paraId="1F7F4C71" w14:textId="41AD3185" w:rsidR="00632042" w:rsidRPr="006A524D" w:rsidRDefault="006A524D" w:rsidP="006A524D">
      <w:pPr>
        <w:numPr>
          <w:ilvl w:val="0"/>
          <w:numId w:val="15"/>
        </w:numPr>
        <w:rPr>
          <w:sz w:val="20"/>
          <w:szCs w:val="20"/>
        </w:rPr>
      </w:pPr>
      <w:r w:rsidRPr="006A524D">
        <w:rPr>
          <w:sz w:val="20"/>
          <w:szCs w:val="20"/>
          <w:lang w:eastAsia="en-AU"/>
        </w:rPr>
        <w:t xml:space="preserve">Australia </w:t>
      </w:r>
      <w:r w:rsidR="005E1819" w:rsidRPr="006A524D">
        <w:rPr>
          <w:sz w:val="20"/>
          <w:szCs w:val="20"/>
          <w:lang w:eastAsia="en-AU"/>
        </w:rPr>
        <w:t>fell short of achiev</w:t>
      </w:r>
      <w:r w:rsidR="009526CD" w:rsidRPr="006A524D">
        <w:rPr>
          <w:sz w:val="20"/>
          <w:szCs w:val="20"/>
          <w:lang w:eastAsia="en-AU"/>
        </w:rPr>
        <w:t>ing</w:t>
      </w:r>
      <w:r w:rsidR="005E1819" w:rsidRPr="006A524D">
        <w:rPr>
          <w:sz w:val="20"/>
          <w:szCs w:val="20"/>
          <w:lang w:eastAsia="en-AU"/>
        </w:rPr>
        <w:t xml:space="preserve"> a 50 per cent reduction in incidence.</w:t>
      </w:r>
      <w:r w:rsidR="00AF0E8D">
        <w:rPr>
          <w:sz w:val="20"/>
          <w:szCs w:val="20"/>
          <w:vertAlign w:val="superscript"/>
          <w:lang w:eastAsia="en-AU"/>
        </w:rPr>
        <w:t>3</w:t>
      </w:r>
      <w:r w:rsidR="00621BEA" w:rsidRPr="00175388">
        <w:rPr>
          <w:sz w:val="20"/>
          <w:szCs w:val="20"/>
          <w:lang w:eastAsia="en-AU"/>
        </w:rPr>
        <w:t xml:space="preserve"> </w:t>
      </w:r>
      <w:r w:rsidR="00F60633" w:rsidRPr="006A524D">
        <w:rPr>
          <w:sz w:val="20"/>
          <w:szCs w:val="20"/>
          <w:lang w:eastAsia="en-AU"/>
        </w:rPr>
        <w:t xml:space="preserve">Hepatitis C incidence is difficult to measure accurately </w:t>
      </w:r>
      <w:r w:rsidR="005653E7" w:rsidRPr="006A524D">
        <w:rPr>
          <w:sz w:val="20"/>
          <w:szCs w:val="20"/>
          <w:lang w:eastAsia="en-AU"/>
        </w:rPr>
        <w:t>due to delays in diagnosis associated with the l</w:t>
      </w:r>
      <w:r w:rsidR="00F60633" w:rsidRPr="006A524D">
        <w:rPr>
          <w:sz w:val="20"/>
          <w:szCs w:val="20"/>
          <w:lang w:eastAsia="en-AU"/>
        </w:rPr>
        <w:t xml:space="preserve">ack of defining symptoms at the time of infection and in the early </w:t>
      </w:r>
      <w:r w:rsidR="005653E7" w:rsidRPr="006A524D">
        <w:rPr>
          <w:sz w:val="20"/>
          <w:szCs w:val="20"/>
          <w:lang w:eastAsia="en-AU"/>
        </w:rPr>
        <w:t xml:space="preserve">stages of hepatitis C liver disease. </w:t>
      </w:r>
      <w:r w:rsidR="00F60633" w:rsidRPr="006A524D">
        <w:rPr>
          <w:sz w:val="20"/>
          <w:szCs w:val="20"/>
          <w:lang w:eastAsia="en-AU"/>
        </w:rPr>
        <w:t>However, trends in notifications among people under 2</w:t>
      </w:r>
      <w:r w:rsidR="005653E7" w:rsidRPr="006A524D">
        <w:rPr>
          <w:sz w:val="20"/>
          <w:szCs w:val="20"/>
          <w:lang w:eastAsia="en-AU"/>
        </w:rPr>
        <w:t>5</w:t>
      </w:r>
      <w:r w:rsidR="00F60633" w:rsidRPr="006A524D">
        <w:rPr>
          <w:sz w:val="20"/>
          <w:szCs w:val="20"/>
          <w:lang w:eastAsia="en-AU"/>
        </w:rPr>
        <w:t xml:space="preserve"> years </w:t>
      </w:r>
      <w:r w:rsidR="00175388">
        <w:rPr>
          <w:sz w:val="20"/>
          <w:szCs w:val="20"/>
          <w:lang w:eastAsia="en-AU"/>
        </w:rPr>
        <w:t>of age</w:t>
      </w:r>
      <w:r w:rsidR="00F60633" w:rsidRPr="006A524D">
        <w:rPr>
          <w:sz w:val="20"/>
          <w:szCs w:val="20"/>
          <w:lang w:eastAsia="en-AU"/>
        </w:rPr>
        <w:t>, who are likely to have acquired hepatitis C more recently, were stable from 2012 to 2016</w:t>
      </w:r>
      <w:r w:rsidR="005653E7" w:rsidRPr="006A524D">
        <w:rPr>
          <w:sz w:val="20"/>
          <w:szCs w:val="20"/>
          <w:lang w:eastAsia="en-AU"/>
        </w:rPr>
        <w:t xml:space="preserve"> (15</w:t>
      </w:r>
      <w:r w:rsidR="00175388">
        <w:rPr>
          <w:sz w:val="20"/>
          <w:szCs w:val="20"/>
          <w:lang w:eastAsia="en-AU"/>
        </w:rPr>
        <w:t>–</w:t>
      </w:r>
      <w:r w:rsidR="005653E7" w:rsidRPr="006A524D">
        <w:rPr>
          <w:sz w:val="20"/>
          <w:szCs w:val="20"/>
          <w:lang w:eastAsia="en-AU"/>
        </w:rPr>
        <w:t>16 per 100</w:t>
      </w:r>
      <w:r w:rsidR="00175388">
        <w:rPr>
          <w:sz w:val="20"/>
          <w:szCs w:val="20"/>
          <w:lang w:eastAsia="en-AU"/>
        </w:rPr>
        <w:t> </w:t>
      </w:r>
      <w:r w:rsidR="005653E7" w:rsidRPr="006A524D">
        <w:rPr>
          <w:sz w:val="20"/>
          <w:szCs w:val="20"/>
          <w:lang w:eastAsia="en-AU"/>
        </w:rPr>
        <w:t>000</w:t>
      </w:r>
      <w:r w:rsidR="00DF2B2A" w:rsidRPr="006A524D">
        <w:rPr>
          <w:sz w:val="20"/>
          <w:szCs w:val="20"/>
          <w:lang w:eastAsia="en-AU"/>
        </w:rPr>
        <w:t xml:space="preserve"> population</w:t>
      </w:r>
      <w:r w:rsidR="005653E7" w:rsidRPr="006A524D">
        <w:rPr>
          <w:sz w:val="20"/>
          <w:szCs w:val="20"/>
          <w:lang w:eastAsia="en-AU"/>
        </w:rPr>
        <w:t>)</w:t>
      </w:r>
      <w:r w:rsidR="004E6592" w:rsidRPr="006A524D">
        <w:rPr>
          <w:sz w:val="20"/>
          <w:szCs w:val="20"/>
          <w:lang w:eastAsia="en-AU"/>
        </w:rPr>
        <w:t>.</w:t>
      </w:r>
      <w:r w:rsidR="00AF0E8D">
        <w:rPr>
          <w:sz w:val="20"/>
          <w:szCs w:val="20"/>
          <w:vertAlign w:val="superscript"/>
          <w:lang w:eastAsia="en-AU"/>
        </w:rPr>
        <w:t>3</w:t>
      </w:r>
      <w:r w:rsidR="009E6AFE" w:rsidRPr="006A524D">
        <w:rPr>
          <w:sz w:val="20"/>
          <w:szCs w:val="20"/>
          <w:vertAlign w:val="superscript"/>
          <w:lang w:eastAsia="en-AU"/>
        </w:rPr>
        <w:t xml:space="preserve"> </w:t>
      </w:r>
    </w:p>
    <w:p w14:paraId="71A43ED3" w14:textId="4F41834F" w:rsidR="00F60633" w:rsidRPr="00EA1123" w:rsidRDefault="000E7DC9" w:rsidP="005E1819">
      <w:pPr>
        <w:rPr>
          <w:sz w:val="20"/>
          <w:szCs w:val="20"/>
          <w:lang w:eastAsia="en-AU"/>
        </w:rPr>
      </w:pPr>
      <w:r>
        <w:rPr>
          <w:sz w:val="20"/>
          <w:szCs w:val="20"/>
          <w:lang w:eastAsia="en-AU"/>
        </w:rPr>
        <w:t>R</w:t>
      </w:r>
      <w:r w:rsidR="00340022">
        <w:rPr>
          <w:sz w:val="20"/>
          <w:szCs w:val="20"/>
          <w:lang w:eastAsia="en-AU"/>
        </w:rPr>
        <w:t>eceptive needle and syringe sharing</w:t>
      </w:r>
      <w:r w:rsidR="00F60633" w:rsidRPr="00EA1123">
        <w:rPr>
          <w:sz w:val="20"/>
          <w:szCs w:val="20"/>
          <w:lang w:eastAsia="en-AU"/>
        </w:rPr>
        <w:t>, which is the main drive</w:t>
      </w:r>
      <w:r w:rsidR="005653E7" w:rsidRPr="00EA1123">
        <w:rPr>
          <w:sz w:val="20"/>
          <w:szCs w:val="20"/>
          <w:lang w:eastAsia="en-AU"/>
        </w:rPr>
        <w:t>r of new cases of hepatitis C,</w:t>
      </w:r>
      <w:r>
        <w:rPr>
          <w:sz w:val="20"/>
          <w:szCs w:val="20"/>
          <w:lang w:eastAsia="en-AU"/>
        </w:rPr>
        <w:t xml:space="preserve"> i</w:t>
      </w:r>
      <w:r w:rsidRPr="00EA1123">
        <w:rPr>
          <w:sz w:val="20"/>
          <w:szCs w:val="20"/>
          <w:lang w:eastAsia="en-AU"/>
        </w:rPr>
        <w:t>ncreased from 16 per cent in 201</w:t>
      </w:r>
      <w:r>
        <w:rPr>
          <w:sz w:val="20"/>
          <w:szCs w:val="20"/>
          <w:lang w:eastAsia="en-AU"/>
        </w:rPr>
        <w:t>2</w:t>
      </w:r>
      <w:r w:rsidR="00315023">
        <w:rPr>
          <w:sz w:val="20"/>
          <w:szCs w:val="20"/>
          <w:lang w:eastAsia="en-AU"/>
        </w:rPr>
        <w:t xml:space="preserve"> </w:t>
      </w:r>
      <w:r w:rsidR="00315023" w:rsidRPr="00EA1123">
        <w:rPr>
          <w:sz w:val="20"/>
          <w:szCs w:val="20"/>
          <w:lang w:eastAsia="en-AU"/>
        </w:rPr>
        <w:t>to 19 per cent in 2016</w:t>
      </w:r>
      <w:r>
        <w:rPr>
          <w:sz w:val="20"/>
          <w:szCs w:val="20"/>
          <w:lang w:eastAsia="en-AU"/>
        </w:rPr>
        <w:t xml:space="preserve"> according to the</w:t>
      </w:r>
      <w:r w:rsidR="00365056">
        <w:rPr>
          <w:sz w:val="20"/>
          <w:szCs w:val="20"/>
          <w:lang w:eastAsia="en-AU"/>
        </w:rPr>
        <w:t xml:space="preserve"> </w:t>
      </w:r>
      <w:r w:rsidR="00F32B78">
        <w:rPr>
          <w:sz w:val="20"/>
          <w:szCs w:val="20"/>
          <w:lang w:eastAsia="en-AU"/>
        </w:rPr>
        <w:t xml:space="preserve">Australian </w:t>
      </w:r>
      <w:r w:rsidR="00315023">
        <w:rPr>
          <w:sz w:val="20"/>
          <w:szCs w:val="20"/>
          <w:lang w:eastAsia="en-AU"/>
        </w:rPr>
        <w:t>NSP</w:t>
      </w:r>
      <w:r w:rsidR="00365056">
        <w:rPr>
          <w:sz w:val="20"/>
          <w:szCs w:val="20"/>
          <w:lang w:eastAsia="en-AU"/>
        </w:rPr>
        <w:t xml:space="preserve"> Survey</w:t>
      </w:r>
      <w:r w:rsidR="00F60633" w:rsidRPr="00EA1123">
        <w:rPr>
          <w:sz w:val="20"/>
          <w:szCs w:val="20"/>
          <w:lang w:eastAsia="en-AU"/>
        </w:rPr>
        <w:t>.</w:t>
      </w:r>
      <w:r w:rsidR="00AF0E8D">
        <w:rPr>
          <w:sz w:val="20"/>
          <w:szCs w:val="20"/>
          <w:vertAlign w:val="superscript"/>
          <w:lang w:eastAsia="en-AU"/>
        </w:rPr>
        <w:t>5</w:t>
      </w:r>
      <w:r w:rsidR="004A6588" w:rsidRPr="00EA1123">
        <w:rPr>
          <w:sz w:val="20"/>
          <w:szCs w:val="20"/>
          <w:lang w:eastAsia="en-AU"/>
        </w:rPr>
        <w:t xml:space="preserve"> This indicates that new cases of hepatitis C may continue to occur and that a focus on this particular risk exposure will be integral to </w:t>
      </w:r>
      <w:r w:rsidR="004A6588" w:rsidRPr="0056192A">
        <w:rPr>
          <w:sz w:val="20"/>
          <w:szCs w:val="20"/>
          <w:lang w:eastAsia="en-AU"/>
        </w:rPr>
        <w:t xml:space="preserve">reducing the </w:t>
      </w:r>
      <w:r w:rsidR="0056192A" w:rsidRPr="0056192A">
        <w:rPr>
          <w:sz w:val="20"/>
          <w:szCs w:val="20"/>
          <w:lang w:eastAsia="en-AU"/>
        </w:rPr>
        <w:t xml:space="preserve">incidence and </w:t>
      </w:r>
      <w:r w:rsidR="004A6588" w:rsidRPr="0056192A">
        <w:rPr>
          <w:sz w:val="20"/>
          <w:szCs w:val="20"/>
          <w:lang w:eastAsia="en-AU"/>
        </w:rPr>
        <w:t>prevalence of</w:t>
      </w:r>
      <w:r w:rsidR="004A6588" w:rsidRPr="00EA1123">
        <w:rPr>
          <w:sz w:val="20"/>
          <w:szCs w:val="20"/>
          <w:lang w:eastAsia="en-AU"/>
        </w:rPr>
        <w:t xml:space="preserve"> hepatitis C in Australia. </w:t>
      </w:r>
    </w:p>
    <w:p w14:paraId="450B1233" w14:textId="0DC37395" w:rsidR="00EA364B" w:rsidRPr="00EA1123" w:rsidRDefault="00533681" w:rsidP="005E1819">
      <w:pPr>
        <w:rPr>
          <w:sz w:val="20"/>
          <w:szCs w:val="20"/>
          <w:vertAlign w:val="superscript"/>
          <w:lang w:eastAsia="en-AU"/>
        </w:rPr>
      </w:pPr>
      <w:r>
        <w:rPr>
          <w:sz w:val="20"/>
          <w:szCs w:val="20"/>
          <w:lang w:eastAsia="en-AU"/>
        </w:rPr>
        <w:t>Based on the limited data available</w:t>
      </w:r>
      <w:r w:rsidR="00EA364B" w:rsidRPr="00EA1123">
        <w:rPr>
          <w:sz w:val="20"/>
          <w:szCs w:val="20"/>
          <w:lang w:eastAsia="en-AU"/>
        </w:rPr>
        <w:t xml:space="preserve"> on Aboriginal and Torres Strait Islander status</w:t>
      </w:r>
      <w:r w:rsidR="000E7A98" w:rsidRPr="00EA1123">
        <w:rPr>
          <w:sz w:val="20"/>
          <w:szCs w:val="20"/>
          <w:lang w:eastAsia="en-AU"/>
        </w:rPr>
        <w:t xml:space="preserve">, </w:t>
      </w:r>
      <w:r w:rsidR="00EA364B" w:rsidRPr="00EA1123">
        <w:rPr>
          <w:sz w:val="20"/>
          <w:szCs w:val="20"/>
          <w:lang w:eastAsia="en-AU"/>
        </w:rPr>
        <w:t>the hepatitis C notification rate in the Aboriginal and Tor</w:t>
      </w:r>
      <w:r w:rsidR="00C43ABA" w:rsidRPr="00EA1123">
        <w:rPr>
          <w:sz w:val="20"/>
          <w:szCs w:val="20"/>
          <w:lang w:eastAsia="en-AU"/>
        </w:rPr>
        <w:t>res Strait Islander population in 2016 was</w:t>
      </w:r>
      <w:r w:rsidR="00EA364B" w:rsidRPr="00EA1123">
        <w:rPr>
          <w:sz w:val="20"/>
          <w:szCs w:val="20"/>
          <w:lang w:eastAsia="en-AU"/>
        </w:rPr>
        <w:t xml:space="preserve"> 3.8 times high</w:t>
      </w:r>
      <w:r w:rsidR="00C43ABA" w:rsidRPr="00EA1123">
        <w:rPr>
          <w:sz w:val="20"/>
          <w:szCs w:val="20"/>
          <w:lang w:eastAsia="en-AU"/>
        </w:rPr>
        <w:t>er</w:t>
      </w:r>
      <w:r w:rsidR="00EA364B" w:rsidRPr="00EA1123">
        <w:rPr>
          <w:sz w:val="20"/>
          <w:szCs w:val="20"/>
          <w:lang w:eastAsia="en-AU"/>
        </w:rPr>
        <w:t xml:space="preserve"> </w:t>
      </w:r>
      <w:r w:rsidR="00152B92">
        <w:rPr>
          <w:sz w:val="20"/>
          <w:szCs w:val="20"/>
          <w:lang w:eastAsia="en-AU"/>
        </w:rPr>
        <w:t>compared to</w:t>
      </w:r>
      <w:r w:rsidR="00175388">
        <w:rPr>
          <w:sz w:val="20"/>
          <w:szCs w:val="20"/>
          <w:lang w:eastAsia="en-AU"/>
        </w:rPr>
        <w:t xml:space="preserve"> </w:t>
      </w:r>
      <w:r w:rsidR="00315023">
        <w:rPr>
          <w:sz w:val="20"/>
          <w:szCs w:val="20"/>
          <w:lang w:eastAsia="en-AU"/>
        </w:rPr>
        <w:t>the non</w:t>
      </w:r>
      <w:r w:rsidR="00315023">
        <w:rPr>
          <w:sz w:val="20"/>
          <w:szCs w:val="20"/>
          <w:lang w:eastAsia="en-AU"/>
        </w:rPr>
        <w:noBreakHyphen/>
        <w:t>I</w:t>
      </w:r>
      <w:r w:rsidR="00EA364B" w:rsidRPr="00EA1123">
        <w:rPr>
          <w:sz w:val="20"/>
          <w:szCs w:val="20"/>
          <w:lang w:eastAsia="en-AU"/>
        </w:rPr>
        <w:t>ndigenous population</w:t>
      </w:r>
      <w:r w:rsidR="00C43ABA" w:rsidRPr="00EA1123">
        <w:rPr>
          <w:sz w:val="20"/>
          <w:szCs w:val="20"/>
          <w:lang w:eastAsia="en-AU"/>
        </w:rPr>
        <w:t>.</w:t>
      </w:r>
      <w:r w:rsidR="00AF0E8D">
        <w:rPr>
          <w:sz w:val="20"/>
          <w:szCs w:val="20"/>
          <w:vertAlign w:val="superscript"/>
          <w:lang w:eastAsia="en-AU"/>
        </w:rPr>
        <w:t>11</w:t>
      </w:r>
      <w:r w:rsidR="00C43ABA" w:rsidRPr="00EA1123">
        <w:rPr>
          <w:sz w:val="20"/>
          <w:szCs w:val="20"/>
          <w:lang w:eastAsia="en-AU"/>
        </w:rPr>
        <w:t xml:space="preserve"> This h</w:t>
      </w:r>
      <w:r w:rsidR="00EA364B" w:rsidRPr="00EA1123">
        <w:rPr>
          <w:sz w:val="20"/>
          <w:szCs w:val="20"/>
          <w:lang w:eastAsia="en-AU"/>
        </w:rPr>
        <w:t>as increased from 2012 to 2016 (from 138 to 173 per 100</w:t>
      </w:r>
      <w:r w:rsidR="00175388">
        <w:rPr>
          <w:sz w:val="20"/>
          <w:szCs w:val="20"/>
          <w:lang w:eastAsia="en-AU"/>
        </w:rPr>
        <w:t> </w:t>
      </w:r>
      <w:r w:rsidR="00EA364B" w:rsidRPr="00EA1123">
        <w:rPr>
          <w:sz w:val="20"/>
          <w:szCs w:val="20"/>
          <w:lang w:eastAsia="en-AU"/>
        </w:rPr>
        <w:t xml:space="preserve">000 population) compared </w:t>
      </w:r>
      <w:r w:rsidR="00175388">
        <w:rPr>
          <w:sz w:val="20"/>
          <w:szCs w:val="20"/>
          <w:lang w:eastAsia="en-AU"/>
        </w:rPr>
        <w:t xml:space="preserve">with </w:t>
      </w:r>
      <w:r w:rsidR="00EA364B" w:rsidRPr="00EA1123">
        <w:rPr>
          <w:sz w:val="20"/>
          <w:szCs w:val="20"/>
          <w:lang w:eastAsia="en-AU"/>
        </w:rPr>
        <w:t>a more stable notification rate in the non-Indigenous population over the same period.</w:t>
      </w:r>
      <w:r w:rsidR="00AF0E8D">
        <w:rPr>
          <w:sz w:val="20"/>
          <w:szCs w:val="20"/>
          <w:vertAlign w:val="superscript"/>
          <w:lang w:eastAsia="en-AU"/>
        </w:rPr>
        <w:t>11</w:t>
      </w:r>
      <w:r w:rsidR="009E6AFE" w:rsidRPr="00EA1123">
        <w:rPr>
          <w:sz w:val="20"/>
          <w:szCs w:val="20"/>
          <w:vertAlign w:val="superscript"/>
          <w:lang w:eastAsia="en-AU"/>
        </w:rPr>
        <w:t xml:space="preserve"> </w:t>
      </w:r>
      <w:r w:rsidR="00EA364B" w:rsidRPr="00EA1123">
        <w:rPr>
          <w:sz w:val="20"/>
          <w:szCs w:val="20"/>
          <w:lang w:eastAsia="en-AU"/>
        </w:rPr>
        <w:t xml:space="preserve">Also </w:t>
      </w:r>
      <w:r w:rsidR="00EA364B" w:rsidRPr="00EA1123">
        <w:rPr>
          <w:sz w:val="20"/>
          <w:szCs w:val="20"/>
          <w:lang w:eastAsia="en-AU"/>
        </w:rPr>
        <w:lastRenderedPageBreak/>
        <w:t xml:space="preserve">of great concern is the </w:t>
      </w:r>
      <w:r w:rsidR="00F60633" w:rsidRPr="00EA1123">
        <w:rPr>
          <w:sz w:val="20"/>
          <w:szCs w:val="20"/>
          <w:lang w:eastAsia="en-AU"/>
        </w:rPr>
        <w:t xml:space="preserve">much higher notification rate among </w:t>
      </w:r>
      <w:r w:rsidR="00EA364B" w:rsidRPr="00EA1123">
        <w:rPr>
          <w:sz w:val="20"/>
          <w:szCs w:val="20"/>
          <w:lang w:eastAsia="en-AU"/>
        </w:rPr>
        <w:t xml:space="preserve">Aboriginal and Torres Strait Islander </w:t>
      </w:r>
      <w:r w:rsidR="00F60633" w:rsidRPr="00EA1123">
        <w:rPr>
          <w:sz w:val="20"/>
          <w:szCs w:val="20"/>
          <w:lang w:eastAsia="en-AU"/>
        </w:rPr>
        <w:t xml:space="preserve">people under 25 years of age </w:t>
      </w:r>
      <w:r w:rsidR="007F62DB">
        <w:rPr>
          <w:sz w:val="20"/>
          <w:szCs w:val="20"/>
          <w:lang w:eastAsia="en-AU"/>
        </w:rPr>
        <w:t xml:space="preserve">when </w:t>
      </w:r>
      <w:r w:rsidR="00F60633" w:rsidRPr="00EA1123">
        <w:rPr>
          <w:sz w:val="20"/>
          <w:szCs w:val="20"/>
          <w:lang w:eastAsia="en-AU"/>
        </w:rPr>
        <w:t xml:space="preserve">compared </w:t>
      </w:r>
      <w:r w:rsidR="00175388">
        <w:rPr>
          <w:sz w:val="20"/>
          <w:szCs w:val="20"/>
          <w:lang w:eastAsia="en-AU"/>
        </w:rPr>
        <w:t xml:space="preserve">with </w:t>
      </w:r>
      <w:r w:rsidR="00F60633" w:rsidRPr="00EA1123">
        <w:rPr>
          <w:sz w:val="20"/>
          <w:szCs w:val="20"/>
          <w:lang w:eastAsia="en-AU"/>
        </w:rPr>
        <w:t xml:space="preserve">the </w:t>
      </w:r>
      <w:r w:rsidR="00F14BEB" w:rsidRPr="00EA1123">
        <w:rPr>
          <w:sz w:val="20"/>
          <w:szCs w:val="20"/>
          <w:lang w:eastAsia="en-AU"/>
        </w:rPr>
        <w:t>non-Indigenous population (89 v</w:t>
      </w:r>
      <w:r w:rsidR="00175388">
        <w:rPr>
          <w:sz w:val="20"/>
          <w:szCs w:val="20"/>
          <w:lang w:eastAsia="en-AU"/>
        </w:rPr>
        <w:t>ersus</w:t>
      </w:r>
      <w:r w:rsidR="00F60633" w:rsidRPr="00EA1123">
        <w:rPr>
          <w:sz w:val="20"/>
          <w:szCs w:val="20"/>
          <w:lang w:eastAsia="en-AU"/>
        </w:rPr>
        <w:t xml:space="preserve"> 14 per 100</w:t>
      </w:r>
      <w:r w:rsidR="00175388">
        <w:rPr>
          <w:sz w:val="20"/>
          <w:szCs w:val="20"/>
          <w:lang w:eastAsia="en-AU"/>
        </w:rPr>
        <w:t> </w:t>
      </w:r>
      <w:r w:rsidR="00F60633" w:rsidRPr="00EA1123">
        <w:rPr>
          <w:sz w:val="20"/>
          <w:szCs w:val="20"/>
          <w:lang w:eastAsia="en-AU"/>
        </w:rPr>
        <w:t>000 population</w:t>
      </w:r>
      <w:r w:rsidR="00F14BEB" w:rsidRPr="00EA1123">
        <w:rPr>
          <w:sz w:val="20"/>
          <w:szCs w:val="20"/>
          <w:lang w:eastAsia="en-AU"/>
        </w:rPr>
        <w:t>)</w:t>
      </w:r>
      <w:r w:rsidR="00F60633" w:rsidRPr="00EA1123">
        <w:rPr>
          <w:sz w:val="20"/>
          <w:szCs w:val="20"/>
          <w:lang w:eastAsia="en-AU"/>
        </w:rPr>
        <w:t>.</w:t>
      </w:r>
      <w:r w:rsidR="005D4F3E" w:rsidRPr="00EA1123">
        <w:rPr>
          <w:rStyle w:val="EndnoteReference"/>
          <w:sz w:val="20"/>
          <w:szCs w:val="20"/>
          <w:lang w:eastAsia="en-AU"/>
        </w:rPr>
        <w:endnoteReference w:id="12"/>
      </w:r>
      <w:r w:rsidR="005D4F3E" w:rsidRPr="00EA1123">
        <w:rPr>
          <w:sz w:val="20"/>
          <w:szCs w:val="20"/>
          <w:vertAlign w:val="superscript"/>
          <w:lang w:eastAsia="en-AU"/>
        </w:rPr>
        <w:t xml:space="preserve">  </w:t>
      </w:r>
      <w:r w:rsidR="00A216F0" w:rsidRPr="00EA1123">
        <w:rPr>
          <w:sz w:val="20"/>
          <w:szCs w:val="20"/>
        </w:rPr>
        <w:t xml:space="preserve">Aboriginal and Torres Strait Islander respondents to the 2016 </w:t>
      </w:r>
      <w:r w:rsidR="00344C24">
        <w:rPr>
          <w:sz w:val="20"/>
          <w:szCs w:val="20"/>
        </w:rPr>
        <w:t xml:space="preserve">Australian </w:t>
      </w:r>
      <w:r w:rsidR="00A216F0" w:rsidRPr="00EA1123">
        <w:rPr>
          <w:sz w:val="20"/>
          <w:szCs w:val="20"/>
        </w:rPr>
        <w:t xml:space="preserve">NSP survey were almost twice as likely to report receptive </w:t>
      </w:r>
      <w:r w:rsidR="00340022">
        <w:rPr>
          <w:sz w:val="20"/>
          <w:szCs w:val="20"/>
        </w:rPr>
        <w:t>needle and syringe sharing</w:t>
      </w:r>
      <w:r w:rsidR="00A216F0" w:rsidRPr="00EA1123">
        <w:rPr>
          <w:sz w:val="20"/>
          <w:szCs w:val="20"/>
        </w:rPr>
        <w:t xml:space="preserve"> as non-Indigenous respondents.</w:t>
      </w:r>
      <w:r w:rsidR="00A216F0" w:rsidRPr="00A216F0">
        <w:rPr>
          <w:sz w:val="20"/>
          <w:szCs w:val="20"/>
          <w:vertAlign w:val="superscript"/>
        </w:rPr>
        <w:t>5</w:t>
      </w:r>
    </w:p>
    <w:p w14:paraId="54C5F795" w14:textId="74E060FA" w:rsidR="00A260C0" w:rsidRPr="00EA1123" w:rsidRDefault="007E2D71" w:rsidP="00EA364B">
      <w:pPr>
        <w:rPr>
          <w:sz w:val="20"/>
          <w:szCs w:val="20"/>
        </w:rPr>
      </w:pPr>
      <w:r>
        <w:rPr>
          <w:sz w:val="20"/>
          <w:szCs w:val="20"/>
          <w:lang w:eastAsia="en-AU"/>
        </w:rPr>
        <w:t xml:space="preserve">While the impact of DAAs on reducing </w:t>
      </w:r>
      <w:r w:rsidR="00DE7250">
        <w:rPr>
          <w:sz w:val="20"/>
          <w:szCs w:val="20"/>
          <w:lang w:eastAsia="en-AU"/>
        </w:rPr>
        <w:t xml:space="preserve">hepatitis C incidence </w:t>
      </w:r>
      <w:r>
        <w:rPr>
          <w:sz w:val="20"/>
          <w:szCs w:val="20"/>
          <w:lang w:eastAsia="en-AU"/>
        </w:rPr>
        <w:t>is yet to be fully realised, t</w:t>
      </w:r>
      <w:r w:rsidR="00EA364B" w:rsidRPr="00EA1123">
        <w:rPr>
          <w:sz w:val="20"/>
          <w:szCs w:val="20"/>
          <w:lang w:eastAsia="en-AU"/>
        </w:rPr>
        <w:t xml:space="preserve">he limited progress </w:t>
      </w:r>
      <w:r w:rsidR="00632042" w:rsidRPr="00EA1123">
        <w:rPr>
          <w:sz w:val="20"/>
          <w:szCs w:val="20"/>
          <w:lang w:eastAsia="en-AU"/>
        </w:rPr>
        <w:t>in reducing hepatitis C</w:t>
      </w:r>
      <w:r w:rsidR="00EA364B" w:rsidRPr="00EA1123">
        <w:rPr>
          <w:sz w:val="20"/>
          <w:szCs w:val="20"/>
          <w:lang w:eastAsia="en-AU"/>
        </w:rPr>
        <w:t xml:space="preserve"> incidence</w:t>
      </w:r>
      <w:r w:rsidR="00632042" w:rsidRPr="00EA1123">
        <w:rPr>
          <w:sz w:val="20"/>
          <w:szCs w:val="20"/>
          <w:lang w:eastAsia="en-AU"/>
        </w:rPr>
        <w:t xml:space="preserve"> </w:t>
      </w:r>
      <w:r>
        <w:rPr>
          <w:sz w:val="20"/>
          <w:szCs w:val="20"/>
          <w:lang w:eastAsia="en-AU"/>
        </w:rPr>
        <w:t>suggests</w:t>
      </w:r>
      <w:r w:rsidRPr="00EA1123">
        <w:rPr>
          <w:sz w:val="20"/>
          <w:szCs w:val="20"/>
          <w:lang w:eastAsia="en-AU"/>
        </w:rPr>
        <w:t xml:space="preserve"> </w:t>
      </w:r>
      <w:r w:rsidR="00EA364B" w:rsidRPr="00EA1123">
        <w:rPr>
          <w:sz w:val="20"/>
          <w:szCs w:val="20"/>
          <w:lang w:eastAsia="en-AU"/>
        </w:rPr>
        <w:t xml:space="preserve">that a revitalised response </w:t>
      </w:r>
      <w:r w:rsidR="00632042" w:rsidRPr="00EA1123">
        <w:rPr>
          <w:sz w:val="20"/>
          <w:szCs w:val="20"/>
          <w:lang w:eastAsia="en-AU"/>
        </w:rPr>
        <w:t xml:space="preserve">is needed </w:t>
      </w:r>
      <w:r w:rsidR="00EA364B" w:rsidRPr="00EA1123">
        <w:rPr>
          <w:sz w:val="20"/>
          <w:szCs w:val="20"/>
          <w:lang w:eastAsia="en-AU"/>
        </w:rPr>
        <w:t xml:space="preserve">to engage priority populations in </w:t>
      </w:r>
      <w:r w:rsidR="00175AC1" w:rsidRPr="00EA1123">
        <w:rPr>
          <w:sz w:val="20"/>
          <w:szCs w:val="20"/>
          <w:lang w:eastAsia="en-AU"/>
        </w:rPr>
        <w:t>education and awareness of hepatitis C</w:t>
      </w:r>
      <w:r w:rsidR="00632042" w:rsidRPr="00EA1123">
        <w:rPr>
          <w:sz w:val="20"/>
          <w:szCs w:val="20"/>
          <w:lang w:eastAsia="en-AU"/>
        </w:rPr>
        <w:t xml:space="preserve"> and</w:t>
      </w:r>
      <w:r w:rsidR="00175AC1" w:rsidRPr="00EA1123">
        <w:rPr>
          <w:sz w:val="20"/>
          <w:szCs w:val="20"/>
          <w:lang w:eastAsia="en-AU"/>
        </w:rPr>
        <w:t xml:space="preserve"> </w:t>
      </w:r>
      <w:r w:rsidR="00632042" w:rsidRPr="00EA1123">
        <w:rPr>
          <w:sz w:val="20"/>
          <w:szCs w:val="20"/>
          <w:lang w:eastAsia="en-AU"/>
        </w:rPr>
        <w:t xml:space="preserve">its </w:t>
      </w:r>
      <w:r w:rsidR="00175AC1" w:rsidRPr="00EA1123">
        <w:rPr>
          <w:sz w:val="20"/>
          <w:szCs w:val="20"/>
          <w:lang w:eastAsia="en-AU"/>
        </w:rPr>
        <w:t xml:space="preserve">exposure risks </w:t>
      </w:r>
      <w:r w:rsidR="00632042" w:rsidRPr="00EA1123">
        <w:rPr>
          <w:sz w:val="20"/>
          <w:szCs w:val="20"/>
          <w:lang w:eastAsia="en-AU"/>
        </w:rPr>
        <w:t xml:space="preserve">and </w:t>
      </w:r>
      <w:r w:rsidR="00175388">
        <w:rPr>
          <w:sz w:val="20"/>
          <w:szCs w:val="20"/>
          <w:lang w:eastAsia="en-AU"/>
        </w:rPr>
        <w:t xml:space="preserve">to </w:t>
      </w:r>
      <w:r w:rsidR="00632042" w:rsidRPr="00EA1123">
        <w:rPr>
          <w:sz w:val="20"/>
          <w:szCs w:val="20"/>
          <w:lang w:eastAsia="en-AU"/>
        </w:rPr>
        <w:t xml:space="preserve">support </w:t>
      </w:r>
      <w:r w:rsidR="00EA364B" w:rsidRPr="00EA1123">
        <w:rPr>
          <w:sz w:val="20"/>
          <w:szCs w:val="20"/>
          <w:lang w:eastAsia="en-AU"/>
        </w:rPr>
        <w:t>early testing</w:t>
      </w:r>
      <w:r w:rsidR="00632042" w:rsidRPr="00EA1123">
        <w:rPr>
          <w:sz w:val="20"/>
          <w:szCs w:val="20"/>
          <w:lang w:eastAsia="en-AU"/>
        </w:rPr>
        <w:t xml:space="preserve">, </w:t>
      </w:r>
      <w:r w:rsidR="00EA364B" w:rsidRPr="00EA1123">
        <w:rPr>
          <w:sz w:val="20"/>
          <w:szCs w:val="20"/>
          <w:lang w:eastAsia="en-AU"/>
        </w:rPr>
        <w:t>treatment</w:t>
      </w:r>
      <w:r w:rsidR="00175AC1" w:rsidRPr="00EA1123">
        <w:rPr>
          <w:sz w:val="20"/>
          <w:szCs w:val="20"/>
          <w:lang w:eastAsia="en-AU"/>
        </w:rPr>
        <w:t xml:space="preserve"> and </w:t>
      </w:r>
      <w:r w:rsidR="00632042" w:rsidRPr="00EA1123">
        <w:rPr>
          <w:sz w:val="20"/>
          <w:szCs w:val="20"/>
          <w:lang w:eastAsia="en-AU"/>
        </w:rPr>
        <w:t xml:space="preserve">retention in </w:t>
      </w:r>
      <w:r w:rsidR="00175AC1" w:rsidRPr="00EA1123">
        <w:rPr>
          <w:sz w:val="20"/>
          <w:szCs w:val="20"/>
          <w:lang w:eastAsia="en-AU"/>
        </w:rPr>
        <w:t>ongoing</w:t>
      </w:r>
      <w:r w:rsidR="00EA364B" w:rsidRPr="00EA1123">
        <w:rPr>
          <w:sz w:val="20"/>
          <w:szCs w:val="20"/>
          <w:lang w:eastAsia="en-AU"/>
        </w:rPr>
        <w:t xml:space="preserve"> care</w:t>
      </w:r>
      <w:r w:rsidR="00175AC1" w:rsidRPr="00EA1123">
        <w:rPr>
          <w:sz w:val="20"/>
          <w:szCs w:val="20"/>
          <w:lang w:eastAsia="en-AU"/>
        </w:rPr>
        <w:t>.</w:t>
      </w:r>
    </w:p>
    <w:p w14:paraId="49B7ECCA" w14:textId="77777777" w:rsidR="001159AF" w:rsidRDefault="001159AF">
      <w:pPr>
        <w:spacing w:after="160" w:line="259" w:lineRule="auto"/>
        <w:rPr>
          <w:rFonts w:eastAsia="Times New Roman"/>
          <w:b/>
          <w:color w:val="00264D"/>
          <w:sz w:val="36"/>
          <w:szCs w:val="19"/>
          <w:lang w:eastAsia="en-AU"/>
        </w:rPr>
      </w:pPr>
      <w:r>
        <w:br w:type="page"/>
      </w:r>
    </w:p>
    <w:p w14:paraId="3003DD2C" w14:textId="5EF53E38" w:rsidR="00E310CC" w:rsidRPr="00CE5B8B" w:rsidRDefault="00CE5B8B" w:rsidP="00CE5B8B">
      <w:pPr>
        <w:pStyle w:val="Heading1"/>
      </w:pPr>
      <w:bookmarkStart w:id="11" w:name="_Ref509998198"/>
      <w:bookmarkStart w:id="12" w:name="_Toc529474516"/>
      <w:r>
        <w:lastRenderedPageBreak/>
        <w:t xml:space="preserve">5 Measuring </w:t>
      </w:r>
      <w:r w:rsidR="00175388">
        <w:t>p</w:t>
      </w:r>
      <w:r>
        <w:t>rogress</w:t>
      </w:r>
      <w:bookmarkEnd w:id="11"/>
      <w:bookmarkEnd w:id="12"/>
    </w:p>
    <w:p w14:paraId="1F48A805" w14:textId="3A00BFDD" w:rsidR="007802FF" w:rsidRPr="004C58E0" w:rsidRDefault="007802FF" w:rsidP="007802FF">
      <w:pPr>
        <w:rPr>
          <w:sz w:val="20"/>
          <w:szCs w:val="19"/>
        </w:rPr>
      </w:pPr>
      <w:r w:rsidRPr="004C58E0">
        <w:rPr>
          <w:sz w:val="20"/>
          <w:szCs w:val="19"/>
          <w:lang w:eastAsia="en-AU"/>
        </w:rPr>
        <w:t xml:space="preserve">This </w:t>
      </w:r>
      <w:r w:rsidR="009275A1">
        <w:rPr>
          <w:sz w:val="20"/>
          <w:szCs w:val="19"/>
          <w:lang w:eastAsia="en-AU"/>
        </w:rPr>
        <w:t>s</w:t>
      </w:r>
      <w:r w:rsidRPr="004C58E0">
        <w:rPr>
          <w:sz w:val="20"/>
          <w:szCs w:val="19"/>
          <w:lang w:eastAsia="en-AU"/>
        </w:rPr>
        <w:t>trategy has overarching goal</w:t>
      </w:r>
      <w:r w:rsidR="00E929DD">
        <w:rPr>
          <w:sz w:val="20"/>
          <w:szCs w:val="19"/>
          <w:lang w:eastAsia="en-AU"/>
        </w:rPr>
        <w:t>s</w:t>
      </w:r>
      <w:r w:rsidRPr="004C58E0">
        <w:rPr>
          <w:sz w:val="20"/>
          <w:szCs w:val="19"/>
          <w:lang w:eastAsia="en-AU"/>
        </w:rPr>
        <w:t xml:space="preserve">, targets and priority areas which will guide the national response to </w:t>
      </w:r>
      <w:r w:rsidR="006371F1">
        <w:rPr>
          <w:sz w:val="20"/>
          <w:szCs w:val="19"/>
          <w:lang w:eastAsia="en-AU"/>
        </w:rPr>
        <w:t>hepatitis C for 2018</w:t>
      </w:r>
      <w:r w:rsidR="00175388">
        <w:rPr>
          <w:sz w:val="20"/>
          <w:szCs w:val="19"/>
          <w:lang w:eastAsia="en-AU"/>
        </w:rPr>
        <w:t>–</w:t>
      </w:r>
      <w:r w:rsidR="006371F1">
        <w:rPr>
          <w:sz w:val="20"/>
          <w:szCs w:val="19"/>
          <w:lang w:eastAsia="en-AU"/>
        </w:rPr>
        <w:t xml:space="preserve">2022. </w:t>
      </w:r>
      <w:r w:rsidRPr="004C58E0">
        <w:rPr>
          <w:sz w:val="20"/>
          <w:szCs w:val="19"/>
          <w:lang w:eastAsia="en-AU"/>
        </w:rPr>
        <w:t xml:space="preserve">Indicators and associated data sources for measuring progress towards each target are included in the Surveillance and Monitoring Plan for the </w:t>
      </w:r>
      <w:r w:rsidR="00444F45">
        <w:rPr>
          <w:sz w:val="20"/>
          <w:szCs w:val="19"/>
          <w:lang w:eastAsia="en-AU"/>
        </w:rPr>
        <w:t xml:space="preserve">five national BBS and STI </w:t>
      </w:r>
      <w:r w:rsidRPr="004C58E0">
        <w:rPr>
          <w:sz w:val="20"/>
          <w:szCs w:val="19"/>
          <w:lang w:eastAsia="en-AU"/>
        </w:rPr>
        <w:t xml:space="preserve">strategies.  </w:t>
      </w:r>
    </w:p>
    <w:tbl>
      <w:tblPr>
        <w:tblW w:w="10033" w:type="dxa"/>
        <w:tblBorders>
          <w:insideH w:val="single" w:sz="4" w:space="0" w:color="auto"/>
          <w:insideV w:val="single" w:sz="4" w:space="0" w:color="auto"/>
        </w:tblBorders>
        <w:tblCellMar>
          <w:top w:w="57" w:type="dxa"/>
          <w:left w:w="85" w:type="dxa"/>
          <w:bottom w:w="57" w:type="dxa"/>
          <w:right w:w="85" w:type="dxa"/>
        </w:tblCellMar>
        <w:tblLook w:val="0600" w:firstRow="0" w:lastRow="0" w:firstColumn="0" w:lastColumn="0" w:noHBand="1" w:noVBand="1"/>
        <w:tblCaption w:val="Goals "/>
        <w:tblDescription w:val="Goals "/>
      </w:tblPr>
      <w:tblGrid>
        <w:gridCol w:w="10033"/>
      </w:tblGrid>
      <w:tr w:rsidR="007802FF" w:rsidRPr="007512A6" w14:paraId="7B4030FB" w14:textId="77777777" w:rsidTr="00845064">
        <w:trPr>
          <w:trHeight w:val="422"/>
        </w:trPr>
        <w:tc>
          <w:tcPr>
            <w:tcW w:w="10033" w:type="dxa"/>
            <w:tcBorders>
              <w:top w:val="nil"/>
              <w:bottom w:val="single" w:sz="4" w:space="0" w:color="F8981D"/>
            </w:tcBorders>
            <w:shd w:val="clear" w:color="auto" w:fill="EDEDE8"/>
            <w:vAlign w:val="bottom"/>
          </w:tcPr>
          <w:p w14:paraId="416282C9" w14:textId="77777777" w:rsidR="007802FF" w:rsidRPr="007512A6" w:rsidRDefault="007802FF" w:rsidP="007512A6">
            <w:pPr>
              <w:jc w:val="center"/>
              <w:rPr>
                <w:b/>
                <w:color w:val="00264D"/>
                <w:sz w:val="20"/>
                <w:szCs w:val="19"/>
              </w:rPr>
            </w:pPr>
            <w:r w:rsidRPr="007512A6">
              <w:rPr>
                <w:b/>
                <w:color w:val="00264D"/>
                <w:sz w:val="20"/>
                <w:szCs w:val="19"/>
              </w:rPr>
              <w:t>Goal</w:t>
            </w:r>
            <w:r w:rsidR="00F148BB" w:rsidRPr="007512A6">
              <w:rPr>
                <w:b/>
                <w:color w:val="00264D"/>
                <w:sz w:val="20"/>
                <w:szCs w:val="19"/>
              </w:rPr>
              <w:t>s</w:t>
            </w:r>
          </w:p>
        </w:tc>
      </w:tr>
    </w:tbl>
    <w:p w14:paraId="68A416D3" w14:textId="77777777" w:rsidR="00F148BB" w:rsidRPr="00624866" w:rsidRDefault="00F148BB" w:rsidP="00624866">
      <w:pPr>
        <w:pStyle w:val="ListParagraph"/>
        <w:numPr>
          <w:ilvl w:val="0"/>
          <w:numId w:val="31"/>
        </w:numPr>
        <w:spacing w:before="40" w:after="40"/>
        <w:rPr>
          <w:b/>
          <w:sz w:val="20"/>
          <w:szCs w:val="19"/>
          <w:lang w:eastAsia="en-AU"/>
        </w:rPr>
      </w:pPr>
      <w:r w:rsidRPr="00624866">
        <w:rPr>
          <w:b/>
          <w:sz w:val="20"/>
          <w:szCs w:val="19"/>
          <w:lang w:eastAsia="en-AU"/>
        </w:rPr>
        <w:t>Make significant progress towards eliminating</w:t>
      </w:r>
      <w:r w:rsidR="00DA77D9" w:rsidRPr="00624866">
        <w:rPr>
          <w:b/>
          <w:sz w:val="20"/>
          <w:szCs w:val="19"/>
          <w:lang w:eastAsia="en-AU"/>
        </w:rPr>
        <w:t xml:space="preserve"> hepatitis C as a public health threat</w:t>
      </w:r>
    </w:p>
    <w:p w14:paraId="7A0C906A" w14:textId="77777777" w:rsidR="00F148BB" w:rsidRPr="00624866" w:rsidRDefault="00F148BB" w:rsidP="00624866">
      <w:pPr>
        <w:pStyle w:val="ListParagraph"/>
        <w:numPr>
          <w:ilvl w:val="0"/>
          <w:numId w:val="31"/>
        </w:numPr>
        <w:spacing w:before="40" w:after="40"/>
        <w:rPr>
          <w:b/>
          <w:sz w:val="20"/>
          <w:szCs w:val="19"/>
          <w:lang w:eastAsia="en-AU"/>
        </w:rPr>
      </w:pPr>
      <w:r w:rsidRPr="00624866">
        <w:rPr>
          <w:b/>
          <w:sz w:val="20"/>
          <w:szCs w:val="19"/>
          <w:lang w:eastAsia="en-AU"/>
        </w:rPr>
        <w:t>R</w:t>
      </w:r>
      <w:r w:rsidR="001E0D8A" w:rsidRPr="00624866">
        <w:rPr>
          <w:b/>
          <w:sz w:val="20"/>
          <w:szCs w:val="19"/>
          <w:lang w:eastAsia="en-AU"/>
        </w:rPr>
        <w:t>educe mortality and morbidity related to hepatitis C</w:t>
      </w:r>
    </w:p>
    <w:p w14:paraId="4F0D24B3" w14:textId="77777777" w:rsidR="00DA43A0" w:rsidRPr="00624866" w:rsidRDefault="00DA43A0" w:rsidP="00624866">
      <w:pPr>
        <w:pStyle w:val="ListParagraph"/>
        <w:numPr>
          <w:ilvl w:val="0"/>
          <w:numId w:val="31"/>
        </w:numPr>
        <w:spacing w:before="40" w:after="40"/>
        <w:rPr>
          <w:b/>
          <w:sz w:val="20"/>
        </w:rPr>
      </w:pPr>
      <w:r w:rsidRPr="00624866">
        <w:rPr>
          <w:b/>
          <w:sz w:val="20"/>
        </w:rPr>
        <w:t>Eliminate the negative impact of stigma, discrimination, and legal and human rights issues on people’s health</w:t>
      </w:r>
    </w:p>
    <w:p w14:paraId="4645B9F9" w14:textId="77777777" w:rsidR="001E0D8A" w:rsidRPr="00624866" w:rsidRDefault="00F148BB" w:rsidP="00624866">
      <w:pPr>
        <w:pStyle w:val="ListParagraph"/>
        <w:numPr>
          <w:ilvl w:val="0"/>
          <w:numId w:val="31"/>
        </w:numPr>
        <w:spacing w:before="40"/>
        <w:rPr>
          <w:b/>
          <w:sz w:val="20"/>
          <w:szCs w:val="19"/>
          <w:lang w:eastAsia="en-AU"/>
        </w:rPr>
      </w:pPr>
      <w:r w:rsidRPr="00624866">
        <w:rPr>
          <w:b/>
          <w:sz w:val="20"/>
          <w:szCs w:val="19"/>
          <w:lang w:eastAsia="en-AU"/>
        </w:rPr>
        <w:t>M</w:t>
      </w:r>
      <w:r w:rsidR="001E0D8A" w:rsidRPr="00624866">
        <w:rPr>
          <w:b/>
          <w:sz w:val="20"/>
          <w:szCs w:val="19"/>
          <w:lang w:eastAsia="en-AU"/>
        </w:rPr>
        <w:t xml:space="preserve">inimise </w:t>
      </w:r>
      <w:r w:rsidR="005428CD" w:rsidRPr="00624866">
        <w:rPr>
          <w:b/>
          <w:sz w:val="20"/>
          <w:szCs w:val="19"/>
          <w:lang w:eastAsia="en-AU"/>
        </w:rPr>
        <w:t>the</w:t>
      </w:r>
      <w:r w:rsidR="00DA77D9" w:rsidRPr="00624866">
        <w:rPr>
          <w:b/>
          <w:sz w:val="20"/>
          <w:szCs w:val="19"/>
          <w:lang w:eastAsia="en-AU"/>
        </w:rPr>
        <w:t xml:space="preserve"> </w:t>
      </w:r>
      <w:r w:rsidR="001E0D8A" w:rsidRPr="00624866">
        <w:rPr>
          <w:b/>
          <w:sz w:val="20"/>
          <w:szCs w:val="19"/>
          <w:lang w:eastAsia="en-AU"/>
        </w:rPr>
        <w:t xml:space="preserve">personal and social </w:t>
      </w:r>
      <w:r w:rsidR="00107E72" w:rsidRPr="00624866">
        <w:rPr>
          <w:b/>
          <w:sz w:val="20"/>
          <w:szCs w:val="19"/>
          <w:lang w:eastAsia="en-AU"/>
        </w:rPr>
        <w:t>i</w:t>
      </w:r>
      <w:r w:rsidR="001E0D8A" w:rsidRPr="00624866">
        <w:rPr>
          <w:b/>
          <w:sz w:val="20"/>
          <w:szCs w:val="19"/>
          <w:lang w:eastAsia="en-AU"/>
        </w:rPr>
        <w:t>mpact of hepatitis C</w:t>
      </w:r>
    </w:p>
    <w:tbl>
      <w:tblPr>
        <w:tblW w:w="9988" w:type="dxa"/>
        <w:tblBorders>
          <w:insideH w:val="single" w:sz="4" w:space="0" w:color="auto"/>
          <w:insideV w:val="single" w:sz="4" w:space="0" w:color="auto"/>
        </w:tblBorders>
        <w:tblCellMar>
          <w:top w:w="57" w:type="dxa"/>
          <w:left w:w="85" w:type="dxa"/>
          <w:bottom w:w="57" w:type="dxa"/>
          <w:right w:w="85" w:type="dxa"/>
        </w:tblCellMar>
        <w:tblLook w:val="0600" w:firstRow="0" w:lastRow="0" w:firstColumn="0" w:lastColumn="0" w:noHBand="1" w:noVBand="1"/>
        <w:tblCaption w:val="Targets"/>
        <w:tblDescription w:val="Targets"/>
      </w:tblPr>
      <w:tblGrid>
        <w:gridCol w:w="9988"/>
      </w:tblGrid>
      <w:tr w:rsidR="007802FF" w:rsidRPr="007512A6" w14:paraId="1C50D33D" w14:textId="77777777" w:rsidTr="00845064">
        <w:trPr>
          <w:trHeight w:val="22"/>
        </w:trPr>
        <w:tc>
          <w:tcPr>
            <w:tcW w:w="9988" w:type="dxa"/>
            <w:tcBorders>
              <w:top w:val="nil"/>
              <w:bottom w:val="single" w:sz="4" w:space="0" w:color="F8981D"/>
            </w:tcBorders>
            <w:shd w:val="clear" w:color="auto" w:fill="EDEDE8"/>
            <w:vAlign w:val="bottom"/>
          </w:tcPr>
          <w:p w14:paraId="7BFC6237" w14:textId="77777777" w:rsidR="007802FF" w:rsidRPr="007512A6" w:rsidRDefault="007802FF" w:rsidP="007512A6">
            <w:pPr>
              <w:jc w:val="center"/>
              <w:rPr>
                <w:b/>
                <w:color w:val="00264D"/>
                <w:sz w:val="20"/>
                <w:szCs w:val="20"/>
              </w:rPr>
            </w:pPr>
            <w:r w:rsidRPr="007512A6">
              <w:rPr>
                <w:b/>
                <w:color w:val="00264D"/>
                <w:sz w:val="20"/>
                <w:szCs w:val="20"/>
              </w:rPr>
              <w:t>Targets</w:t>
            </w:r>
          </w:p>
        </w:tc>
      </w:tr>
    </w:tbl>
    <w:p w14:paraId="63C49D5B" w14:textId="77777777" w:rsidR="00F06376" w:rsidRPr="00F06376" w:rsidRDefault="00F06376" w:rsidP="00F06376">
      <w:pPr>
        <w:pStyle w:val="CommentText"/>
        <w:spacing w:after="60"/>
        <w:ind w:left="360"/>
        <w:rPr>
          <w:sz w:val="10"/>
          <w:szCs w:val="10"/>
        </w:rPr>
      </w:pPr>
    </w:p>
    <w:p w14:paraId="08D58FDE" w14:textId="5917FD02" w:rsidR="004D581D" w:rsidRPr="004C58E0" w:rsidRDefault="004D581D" w:rsidP="004D581D">
      <w:pPr>
        <w:pStyle w:val="CommentText"/>
        <w:spacing w:after="40"/>
        <w:rPr>
          <w:szCs w:val="19"/>
        </w:rPr>
      </w:pPr>
      <w:r w:rsidRPr="004C58E0">
        <w:rPr>
          <w:szCs w:val="19"/>
        </w:rPr>
        <w:t>By</w:t>
      </w:r>
      <w:r w:rsidR="00FD0355">
        <w:rPr>
          <w:szCs w:val="19"/>
        </w:rPr>
        <w:t xml:space="preserve"> the end of</w:t>
      </w:r>
      <w:bookmarkStart w:id="13" w:name="_GoBack"/>
      <w:bookmarkEnd w:id="13"/>
      <w:r w:rsidRPr="004C58E0">
        <w:rPr>
          <w:szCs w:val="19"/>
        </w:rPr>
        <w:t xml:space="preserve"> 2022:</w:t>
      </w:r>
    </w:p>
    <w:p w14:paraId="03FCE908" w14:textId="49CD63D1" w:rsidR="00267327" w:rsidRPr="004C58E0" w:rsidRDefault="00267327" w:rsidP="00DB37AD">
      <w:pPr>
        <w:pStyle w:val="CommentText"/>
        <w:numPr>
          <w:ilvl w:val="0"/>
          <w:numId w:val="11"/>
        </w:numPr>
        <w:spacing w:after="60"/>
        <w:ind w:left="360"/>
        <w:rPr>
          <w:szCs w:val="19"/>
        </w:rPr>
      </w:pPr>
      <w:r w:rsidRPr="004C58E0">
        <w:rPr>
          <w:szCs w:val="19"/>
        </w:rPr>
        <w:t xml:space="preserve">Reduce </w:t>
      </w:r>
      <w:r w:rsidR="00F06376" w:rsidRPr="004C58E0">
        <w:rPr>
          <w:szCs w:val="19"/>
        </w:rPr>
        <w:t xml:space="preserve">the number of newly acquired </w:t>
      </w:r>
      <w:r w:rsidRPr="004C58E0">
        <w:rPr>
          <w:szCs w:val="19"/>
        </w:rPr>
        <w:t xml:space="preserve">hepatitis C </w:t>
      </w:r>
      <w:r w:rsidR="00F06376" w:rsidRPr="004C58E0">
        <w:rPr>
          <w:szCs w:val="19"/>
        </w:rPr>
        <w:t>infections,</w:t>
      </w:r>
      <w:r w:rsidR="00D25D39">
        <w:rPr>
          <w:szCs w:val="19"/>
        </w:rPr>
        <w:t xml:space="preserve"> </w:t>
      </w:r>
      <w:r w:rsidR="00F06376" w:rsidRPr="004C58E0">
        <w:rPr>
          <w:szCs w:val="19"/>
        </w:rPr>
        <w:t>with a focus</w:t>
      </w:r>
      <w:r w:rsidR="00034CB7" w:rsidRPr="004C58E0">
        <w:rPr>
          <w:szCs w:val="19"/>
        </w:rPr>
        <w:t xml:space="preserve"> on priority populations</w:t>
      </w:r>
      <w:r w:rsidR="007F62DB">
        <w:rPr>
          <w:szCs w:val="19"/>
        </w:rPr>
        <w:t>,</w:t>
      </w:r>
      <w:r w:rsidR="002769AC">
        <w:rPr>
          <w:rStyle w:val="FootnoteReference"/>
          <w:szCs w:val="19"/>
        </w:rPr>
        <w:footnoteReference w:id="2"/>
      </w:r>
      <w:r w:rsidR="00034CB7" w:rsidRPr="004C58E0">
        <w:rPr>
          <w:szCs w:val="19"/>
        </w:rPr>
        <w:t xml:space="preserve"> by 60 per cent</w:t>
      </w:r>
      <w:r w:rsidR="002769AC">
        <w:rPr>
          <w:rStyle w:val="FootnoteReference"/>
          <w:szCs w:val="19"/>
        </w:rPr>
        <w:footnoteReference w:id="3"/>
      </w:r>
    </w:p>
    <w:p w14:paraId="18847FEC" w14:textId="77777777" w:rsidR="00F06376" w:rsidRPr="004C58E0" w:rsidRDefault="00F06376" w:rsidP="00DB37AD">
      <w:pPr>
        <w:pStyle w:val="CommentText"/>
        <w:numPr>
          <w:ilvl w:val="0"/>
          <w:numId w:val="11"/>
        </w:numPr>
        <w:spacing w:after="60"/>
        <w:ind w:left="360"/>
        <w:rPr>
          <w:szCs w:val="19"/>
        </w:rPr>
      </w:pPr>
      <w:r w:rsidRPr="004C58E0">
        <w:rPr>
          <w:szCs w:val="19"/>
        </w:rPr>
        <w:t xml:space="preserve">Increase the proportion of people </w:t>
      </w:r>
      <w:r w:rsidR="00BA4AF7">
        <w:rPr>
          <w:szCs w:val="19"/>
        </w:rPr>
        <w:t xml:space="preserve">living </w:t>
      </w:r>
      <w:r w:rsidRPr="004C58E0">
        <w:rPr>
          <w:szCs w:val="19"/>
        </w:rPr>
        <w:t>with hepa</w:t>
      </w:r>
      <w:r w:rsidR="00034CB7" w:rsidRPr="004C58E0">
        <w:rPr>
          <w:szCs w:val="19"/>
        </w:rPr>
        <w:t>titis C who are diagnosed to 90 per cent</w:t>
      </w:r>
      <w:r w:rsidRPr="004C58E0">
        <w:rPr>
          <w:szCs w:val="19"/>
        </w:rPr>
        <w:t xml:space="preserve"> </w:t>
      </w:r>
    </w:p>
    <w:p w14:paraId="2E2C3410" w14:textId="677B1D4B" w:rsidR="00DA43A0" w:rsidRPr="004C58E0" w:rsidRDefault="00F06376" w:rsidP="00DB37AD">
      <w:pPr>
        <w:pStyle w:val="CommentText"/>
        <w:numPr>
          <w:ilvl w:val="0"/>
          <w:numId w:val="11"/>
        </w:numPr>
        <w:spacing w:after="60"/>
        <w:ind w:left="360"/>
        <w:rPr>
          <w:szCs w:val="19"/>
        </w:rPr>
      </w:pPr>
      <w:r w:rsidRPr="004C58E0">
        <w:rPr>
          <w:szCs w:val="19"/>
        </w:rPr>
        <w:t xml:space="preserve">Increase the cumulative proportion of people </w:t>
      </w:r>
      <w:r w:rsidR="00BA4AF7">
        <w:rPr>
          <w:szCs w:val="19"/>
        </w:rPr>
        <w:t xml:space="preserve">living </w:t>
      </w:r>
      <w:r w:rsidRPr="004C58E0">
        <w:rPr>
          <w:szCs w:val="19"/>
        </w:rPr>
        <w:t>with</w:t>
      </w:r>
      <w:r w:rsidR="006E05A6" w:rsidRPr="004C58E0">
        <w:rPr>
          <w:szCs w:val="19"/>
        </w:rPr>
        <w:t xml:space="preserve"> chronic</w:t>
      </w:r>
      <w:r w:rsidRPr="004C58E0">
        <w:rPr>
          <w:szCs w:val="19"/>
        </w:rPr>
        <w:t xml:space="preserve"> hepatitis C who have </w:t>
      </w:r>
      <w:r w:rsidR="00F203FF" w:rsidRPr="004C58E0">
        <w:rPr>
          <w:szCs w:val="19"/>
        </w:rPr>
        <w:t xml:space="preserve">initiated </w:t>
      </w:r>
      <w:r w:rsidRPr="004C58E0">
        <w:rPr>
          <w:szCs w:val="19"/>
        </w:rPr>
        <w:t>direct</w:t>
      </w:r>
      <w:r w:rsidR="007F62DB">
        <w:rPr>
          <w:szCs w:val="19"/>
        </w:rPr>
        <w:t>-</w:t>
      </w:r>
      <w:r w:rsidR="00195C9B" w:rsidRPr="004C58E0">
        <w:rPr>
          <w:szCs w:val="19"/>
        </w:rPr>
        <w:t>acting antiviral treatment to 6</w:t>
      </w:r>
      <w:r w:rsidR="0046087F">
        <w:rPr>
          <w:szCs w:val="19"/>
        </w:rPr>
        <w:t>5</w:t>
      </w:r>
      <w:r w:rsidRPr="004C58E0">
        <w:rPr>
          <w:szCs w:val="19"/>
        </w:rPr>
        <w:t xml:space="preserve"> per cent</w:t>
      </w:r>
      <w:r w:rsidR="00E929DD" w:rsidRPr="00E929DD">
        <w:rPr>
          <w:szCs w:val="19"/>
          <w:vertAlign w:val="superscript"/>
        </w:rPr>
        <w:t>b</w:t>
      </w:r>
    </w:p>
    <w:p w14:paraId="70D60D8C" w14:textId="77777777" w:rsidR="006A524D" w:rsidRDefault="00253AC9" w:rsidP="006A524D">
      <w:pPr>
        <w:pStyle w:val="CommentText"/>
        <w:numPr>
          <w:ilvl w:val="0"/>
          <w:numId w:val="11"/>
        </w:numPr>
        <w:spacing w:after="60"/>
        <w:ind w:left="360"/>
        <w:rPr>
          <w:szCs w:val="19"/>
        </w:rPr>
      </w:pPr>
      <w:r w:rsidRPr="00DA43A0">
        <w:rPr>
          <w:szCs w:val="19"/>
        </w:rPr>
        <w:t xml:space="preserve">Reduce </w:t>
      </w:r>
      <w:r w:rsidR="00034CB7" w:rsidRPr="00DA43A0">
        <w:rPr>
          <w:szCs w:val="19"/>
        </w:rPr>
        <w:t>hepatitis C attributable mortality overall by 65 per cent</w:t>
      </w:r>
      <w:r w:rsidR="00E929DD" w:rsidRPr="00E929DD">
        <w:rPr>
          <w:szCs w:val="19"/>
          <w:vertAlign w:val="superscript"/>
        </w:rPr>
        <w:t>b</w:t>
      </w:r>
    </w:p>
    <w:p w14:paraId="5ED2957D" w14:textId="791FB450" w:rsidR="00B4542B" w:rsidRPr="00845064" w:rsidRDefault="00D25D39" w:rsidP="006A524D">
      <w:pPr>
        <w:pStyle w:val="CommentText"/>
        <w:numPr>
          <w:ilvl w:val="0"/>
          <w:numId w:val="11"/>
        </w:numPr>
        <w:spacing w:after="60"/>
        <w:ind w:left="360"/>
        <w:rPr>
          <w:szCs w:val="19"/>
        </w:rPr>
      </w:pPr>
      <w:r w:rsidRPr="00CA3CDF">
        <w:t xml:space="preserve">Reduce by </w:t>
      </w:r>
      <w:r w:rsidR="001167F6" w:rsidRPr="00CA3CDF">
        <w:t>5</w:t>
      </w:r>
      <w:r w:rsidR="00260C2E" w:rsidRPr="00CA3CDF">
        <w:t>0</w:t>
      </w:r>
      <w:r w:rsidR="007F62DB">
        <w:t xml:space="preserve"> per cent</w:t>
      </w:r>
      <w:r w:rsidRPr="00CA3CDF">
        <w:t xml:space="preserve"> the reported experience of stigma </w:t>
      </w:r>
      <w:r w:rsidR="007E6E6D" w:rsidRPr="00CA3CDF">
        <w:t xml:space="preserve">among people living with hepatitis </w:t>
      </w:r>
      <w:r w:rsidR="00405EC2" w:rsidRPr="00CA3CDF">
        <w:t>C</w:t>
      </w:r>
      <w:r w:rsidR="00CA3CDF" w:rsidRPr="00CA3CDF">
        <w:t xml:space="preserve">, and </w:t>
      </w:r>
      <w:r w:rsidR="00AB4DA7">
        <w:t xml:space="preserve">the </w:t>
      </w:r>
      <w:r w:rsidR="00CA3CDF" w:rsidRPr="00CA3CDF">
        <w:t>expression of stigma,</w:t>
      </w:r>
      <w:r w:rsidR="00405EC2" w:rsidRPr="00CA3CDF">
        <w:t xml:space="preserve"> </w:t>
      </w:r>
      <w:r w:rsidR="007E6E6D" w:rsidRPr="00CA3CDF">
        <w:t>in r</w:t>
      </w:r>
      <w:r w:rsidR="00E62A2F" w:rsidRPr="00CA3CDF">
        <w:t>espect</w:t>
      </w:r>
      <w:r w:rsidR="007E6E6D" w:rsidRPr="00CA3CDF">
        <w:t xml:space="preserve"> to hepatitis C</w:t>
      </w:r>
      <w:r w:rsidRPr="00CA3CDF">
        <w:t xml:space="preserve"> status</w:t>
      </w:r>
      <w:r w:rsidR="00157E83">
        <w:rPr>
          <w:rStyle w:val="FootnoteReference"/>
        </w:rPr>
        <w:footnoteReference w:id="4"/>
      </w:r>
    </w:p>
    <w:p w14:paraId="4FBDD053" w14:textId="77777777" w:rsidR="00845064" w:rsidRPr="00845064" w:rsidRDefault="00845064" w:rsidP="00845064">
      <w:pPr>
        <w:pStyle w:val="CommentText"/>
        <w:spacing w:after="60"/>
        <w:ind w:left="360"/>
        <w:rPr>
          <w:sz w:val="8"/>
          <w:szCs w:val="8"/>
        </w:rPr>
      </w:pPr>
    </w:p>
    <w:tbl>
      <w:tblPr>
        <w:tblW w:w="9853" w:type="dxa"/>
        <w:tblBorders>
          <w:insideH w:val="single" w:sz="4" w:space="0" w:color="auto"/>
          <w:insideV w:val="single" w:sz="4" w:space="0" w:color="auto"/>
        </w:tblBorders>
        <w:tblCellMar>
          <w:top w:w="57" w:type="dxa"/>
          <w:left w:w="85" w:type="dxa"/>
          <w:bottom w:w="57" w:type="dxa"/>
          <w:right w:w="85" w:type="dxa"/>
        </w:tblCellMar>
        <w:tblLook w:val="0600" w:firstRow="0" w:lastRow="0" w:firstColumn="0" w:lastColumn="0" w:noHBand="1" w:noVBand="1"/>
        <w:tblCaption w:val="Priority areas"/>
        <w:tblDescription w:val="Priority areas"/>
      </w:tblPr>
      <w:tblGrid>
        <w:gridCol w:w="9853"/>
      </w:tblGrid>
      <w:tr w:rsidR="007802FF" w:rsidRPr="007512A6" w14:paraId="22CDD714" w14:textId="77777777" w:rsidTr="00845064">
        <w:trPr>
          <w:trHeight w:val="21"/>
        </w:trPr>
        <w:tc>
          <w:tcPr>
            <w:tcW w:w="9853" w:type="dxa"/>
            <w:tcBorders>
              <w:top w:val="nil"/>
              <w:bottom w:val="single" w:sz="4" w:space="0" w:color="F8981D"/>
            </w:tcBorders>
            <w:shd w:val="clear" w:color="auto" w:fill="EDEDE8"/>
            <w:vAlign w:val="bottom"/>
          </w:tcPr>
          <w:p w14:paraId="3FEDD9EB" w14:textId="50555ABF" w:rsidR="007802FF" w:rsidRPr="007512A6" w:rsidRDefault="007802FF" w:rsidP="007512A6">
            <w:pPr>
              <w:jc w:val="center"/>
              <w:rPr>
                <w:b/>
                <w:color w:val="00264D"/>
                <w:szCs w:val="19"/>
              </w:rPr>
            </w:pPr>
            <w:r w:rsidRPr="007512A6">
              <w:rPr>
                <w:b/>
                <w:color w:val="00264D"/>
                <w:sz w:val="20"/>
                <w:szCs w:val="19"/>
              </w:rPr>
              <w:t xml:space="preserve">Priority </w:t>
            </w:r>
            <w:r w:rsidR="00444F45">
              <w:rPr>
                <w:b/>
                <w:color w:val="00264D"/>
                <w:sz w:val="20"/>
                <w:szCs w:val="19"/>
              </w:rPr>
              <w:t>a</w:t>
            </w:r>
            <w:r w:rsidRPr="007512A6">
              <w:rPr>
                <w:b/>
                <w:color w:val="00264D"/>
                <w:sz w:val="20"/>
                <w:szCs w:val="19"/>
              </w:rPr>
              <w:t>reas</w:t>
            </w:r>
            <w:r w:rsidR="0005187D">
              <w:rPr>
                <w:rStyle w:val="FootnoteReference"/>
                <w:b/>
                <w:color w:val="00264D"/>
                <w:sz w:val="20"/>
                <w:szCs w:val="19"/>
              </w:rPr>
              <w:footnoteReference w:id="5"/>
            </w:r>
          </w:p>
        </w:tc>
      </w:tr>
    </w:tbl>
    <w:p w14:paraId="4DC0D16A" w14:textId="77777777" w:rsidR="0046087F" w:rsidRPr="0046087F" w:rsidRDefault="0046087F" w:rsidP="0046087F">
      <w:pPr>
        <w:pStyle w:val="CommentText"/>
        <w:numPr>
          <w:ilvl w:val="0"/>
          <w:numId w:val="28"/>
        </w:numPr>
        <w:spacing w:before="120" w:after="60"/>
        <w:ind w:left="360"/>
      </w:pPr>
      <w:r>
        <w:t xml:space="preserve">Improve knowledge and awareness of hepatitis C in the general community and priority populations, to </w:t>
      </w:r>
      <w:r w:rsidRPr="0046087F">
        <w:t>support prevention of transmission and engagement in testing and treatment</w:t>
      </w:r>
    </w:p>
    <w:p w14:paraId="792E9D5B" w14:textId="77777777" w:rsidR="0046087F" w:rsidRPr="0046087F" w:rsidRDefault="0046087F" w:rsidP="0046087F">
      <w:pPr>
        <w:pStyle w:val="CommentText"/>
        <w:numPr>
          <w:ilvl w:val="0"/>
          <w:numId w:val="28"/>
        </w:numPr>
        <w:spacing w:after="60"/>
        <w:ind w:left="360"/>
      </w:pPr>
      <w:r w:rsidRPr="0046087F">
        <w:t>Improve equitable access to successful preventative measures for all priority populations, with a focus on sterile injecting equipment through needle and syringe programs (NSPs)</w:t>
      </w:r>
    </w:p>
    <w:p w14:paraId="0C57A1B3" w14:textId="77777777" w:rsidR="0046087F" w:rsidRPr="0046087F" w:rsidRDefault="0046087F" w:rsidP="0046087F">
      <w:pPr>
        <w:pStyle w:val="CommentText"/>
        <w:numPr>
          <w:ilvl w:val="0"/>
          <w:numId w:val="28"/>
        </w:numPr>
        <w:spacing w:before="120" w:after="60"/>
        <w:ind w:left="360"/>
      </w:pPr>
      <w:r w:rsidRPr="0046087F">
        <w:t>Implement approaches that maximise the number of people living with hepatitis C who are diagnosed, and support the completion of confirmatory testing</w:t>
      </w:r>
      <w:r w:rsidRPr="0046087F">
        <w:rPr>
          <w:rStyle w:val="FootnoteReference"/>
        </w:rPr>
        <w:footnoteReference w:id="6"/>
      </w:r>
      <w:r w:rsidR="00E929DD">
        <w:t xml:space="preserve"> </w:t>
      </w:r>
      <w:r w:rsidRPr="0046087F">
        <w:t>and treatment for priority populations</w:t>
      </w:r>
    </w:p>
    <w:p w14:paraId="18E30A66" w14:textId="77777777" w:rsidR="0046087F" w:rsidRPr="0046087F" w:rsidRDefault="0046087F" w:rsidP="0046087F">
      <w:pPr>
        <w:pStyle w:val="CommentText"/>
        <w:numPr>
          <w:ilvl w:val="0"/>
          <w:numId w:val="28"/>
        </w:numPr>
        <w:spacing w:after="60"/>
        <w:ind w:left="360"/>
      </w:pPr>
      <w:r w:rsidRPr="0046087F">
        <w:t xml:space="preserve">Support health professionals to provide current, innovative and effective </w:t>
      </w:r>
      <w:r w:rsidR="00644DCB">
        <w:t xml:space="preserve">patient </w:t>
      </w:r>
      <w:r w:rsidR="008D4809">
        <w:t>testing</w:t>
      </w:r>
      <w:r w:rsidR="00644DCB">
        <w:t>,</w:t>
      </w:r>
      <w:r w:rsidR="008D4809">
        <w:t xml:space="preserve"> and care for people living with hepatitis C</w:t>
      </w:r>
    </w:p>
    <w:p w14:paraId="5912B1A3" w14:textId="75872AA0" w:rsidR="0046087F" w:rsidRPr="0046087F" w:rsidRDefault="0046087F" w:rsidP="0046087F">
      <w:pPr>
        <w:pStyle w:val="CommentText"/>
        <w:numPr>
          <w:ilvl w:val="0"/>
          <w:numId w:val="28"/>
        </w:numPr>
        <w:spacing w:before="120" w:after="60"/>
        <w:ind w:left="360"/>
      </w:pPr>
      <w:r w:rsidRPr="0046087F">
        <w:t>Continue to strengthen connections between priority populations, the healthcare workforce, and community organisations to facilitate coordination of care</w:t>
      </w:r>
    </w:p>
    <w:p w14:paraId="3D35981A" w14:textId="77777777" w:rsidR="0046087F" w:rsidRPr="0046087F" w:rsidRDefault="0046087F" w:rsidP="0046087F">
      <w:pPr>
        <w:pStyle w:val="CommentText"/>
        <w:numPr>
          <w:ilvl w:val="0"/>
          <w:numId w:val="28"/>
        </w:numPr>
        <w:spacing w:after="60"/>
        <w:ind w:left="360"/>
      </w:pPr>
      <w:r w:rsidRPr="0046087F">
        <w:t>Ensure equitable access to treatment and care for all priority populations, including people in custodial settings</w:t>
      </w:r>
      <w:r w:rsidR="00AF1398" w:rsidRPr="00AF1398">
        <w:t xml:space="preserve"> </w:t>
      </w:r>
      <w:r w:rsidR="00AF1398">
        <w:t>and people reinfected after cure</w:t>
      </w:r>
    </w:p>
    <w:p w14:paraId="4C18E7C6" w14:textId="77777777" w:rsidR="0046087F" w:rsidRPr="0046087F" w:rsidRDefault="0046087F" w:rsidP="0046087F">
      <w:pPr>
        <w:pStyle w:val="CommentText"/>
        <w:numPr>
          <w:ilvl w:val="0"/>
          <w:numId w:val="29"/>
        </w:numPr>
        <w:spacing w:after="60"/>
      </w:pPr>
      <w:r w:rsidRPr="0046087F">
        <w:lastRenderedPageBreak/>
        <w:t>Implement a range of initiatives to address stigma and discrimination and minimise their impact on the health of people at risk of or living with hepatitis C</w:t>
      </w:r>
    </w:p>
    <w:p w14:paraId="728077F6" w14:textId="5D7B22C6" w:rsidR="0046087F" w:rsidRDefault="0046087F" w:rsidP="0046087F">
      <w:pPr>
        <w:pStyle w:val="CommentText"/>
        <w:numPr>
          <w:ilvl w:val="0"/>
          <w:numId w:val="29"/>
        </w:numPr>
        <w:spacing w:after="60"/>
      </w:pPr>
      <w:r w:rsidRPr="0046087F">
        <w:t xml:space="preserve">Continue to work towards addressing the legal, regulatory and policy barriers which affect priority </w:t>
      </w:r>
      <w:r w:rsidR="006371F1" w:rsidRPr="006371F1">
        <w:t>populations</w:t>
      </w:r>
      <w:r w:rsidRPr="006371F1">
        <w:t xml:space="preserve"> and in</w:t>
      </w:r>
      <w:r w:rsidRPr="0046087F">
        <w:t>fluence their</w:t>
      </w:r>
      <w:r>
        <w:t xml:space="preserve"> health</w:t>
      </w:r>
      <w:r w:rsidR="007F62DB">
        <w:t>-</w:t>
      </w:r>
      <w:r>
        <w:t>seeking behaviours</w:t>
      </w:r>
    </w:p>
    <w:p w14:paraId="4586FAD3" w14:textId="77777777" w:rsidR="0046087F" w:rsidRDefault="0046087F" w:rsidP="0046087F">
      <w:pPr>
        <w:pStyle w:val="CommentText"/>
        <w:numPr>
          <w:ilvl w:val="0"/>
          <w:numId w:val="29"/>
        </w:numPr>
        <w:spacing w:after="40"/>
      </w:pPr>
      <w:r>
        <w:t xml:space="preserve">Facilitate a highly skilled multidisciplinary workforce that is respectful of and responsive to the needs of people </w:t>
      </w:r>
      <w:r w:rsidR="00B85796">
        <w:t>at risk of or living with</w:t>
      </w:r>
      <w:r>
        <w:t xml:space="preserve"> hepatitis C</w:t>
      </w:r>
    </w:p>
    <w:p w14:paraId="66513E33" w14:textId="77777777" w:rsidR="0046087F" w:rsidRDefault="0046087F" w:rsidP="0046087F">
      <w:pPr>
        <w:pStyle w:val="CommentText"/>
        <w:numPr>
          <w:ilvl w:val="0"/>
          <w:numId w:val="29"/>
        </w:numPr>
        <w:spacing w:after="60"/>
      </w:pPr>
      <w:r>
        <w:t>Continue to build a strong evidence base for responding to hepatitis C</w:t>
      </w:r>
      <w:r w:rsidR="00315023">
        <w:t xml:space="preserve"> in Australia, informed by high</w:t>
      </w:r>
      <w:r w:rsidR="00315023">
        <w:noBreakHyphen/>
      </w:r>
      <w:r>
        <w:t>quality, timely data and surveillance systems that underpin evidence-based local and national responses</w:t>
      </w:r>
    </w:p>
    <w:bookmarkEnd w:id="5"/>
    <w:bookmarkEnd w:id="6"/>
    <w:bookmarkEnd w:id="7"/>
    <w:p w14:paraId="08ECBED0" w14:textId="77777777" w:rsidR="0029596C" w:rsidRDefault="0029596C" w:rsidP="006B3530">
      <w:pPr>
        <w:pStyle w:val="Listnumbered"/>
        <w:numPr>
          <w:ilvl w:val="0"/>
          <w:numId w:val="0"/>
        </w:numPr>
        <w:spacing w:after="60"/>
        <w:rPr>
          <w:rFonts w:eastAsia="Times New Roman"/>
          <w:b/>
          <w:color w:val="00264D"/>
          <w:sz w:val="36"/>
          <w:szCs w:val="19"/>
          <w:lang w:eastAsia="en-AU"/>
        </w:rPr>
      </w:pPr>
      <w:r>
        <w:rPr>
          <w:rFonts w:eastAsia="Times New Roman"/>
          <w:b/>
          <w:color w:val="00264D"/>
          <w:sz w:val="36"/>
          <w:szCs w:val="19"/>
          <w:lang w:eastAsia="en-AU"/>
        </w:rPr>
        <w:br w:type="page"/>
      </w:r>
    </w:p>
    <w:p w14:paraId="7D60D90C" w14:textId="6BC33B72" w:rsidR="00B55743" w:rsidRDefault="00CE5B8B" w:rsidP="00CE5B8B">
      <w:pPr>
        <w:pStyle w:val="Heading1"/>
      </w:pPr>
      <w:bookmarkStart w:id="14" w:name="_Ref508798939"/>
      <w:bookmarkStart w:id="15" w:name="_Toc529474517"/>
      <w:bookmarkStart w:id="16" w:name="_Toc494452675"/>
      <w:bookmarkStart w:id="17" w:name="_Toc494466204"/>
      <w:bookmarkStart w:id="18" w:name="_Toc495356366"/>
      <w:bookmarkStart w:id="19" w:name="_Toc495612420"/>
      <w:bookmarkStart w:id="20" w:name="_Toc495612446"/>
      <w:bookmarkStart w:id="21" w:name="_Toc495680001"/>
      <w:bookmarkStart w:id="22" w:name="_Toc495680956"/>
      <w:bookmarkStart w:id="23" w:name="_Toc495682216"/>
      <w:bookmarkStart w:id="24" w:name="_Toc495683159"/>
      <w:bookmarkStart w:id="25" w:name="_Toc495683894"/>
      <w:r>
        <w:lastRenderedPageBreak/>
        <w:t xml:space="preserve">6 Priority </w:t>
      </w:r>
      <w:r w:rsidR="00515290">
        <w:t>p</w:t>
      </w:r>
      <w:r>
        <w:t>opulations</w:t>
      </w:r>
      <w:r w:rsidR="002C22CA">
        <w:t xml:space="preserve"> and </w:t>
      </w:r>
      <w:r w:rsidR="00515290">
        <w:t>s</w:t>
      </w:r>
      <w:r w:rsidR="002C22CA">
        <w:t>ettings</w:t>
      </w:r>
      <w:bookmarkEnd w:id="14"/>
      <w:bookmarkEnd w:id="15"/>
    </w:p>
    <w:p w14:paraId="07739700" w14:textId="12C4F80C" w:rsidR="003D53D0" w:rsidRDefault="00C275CF" w:rsidP="00C275CF">
      <w:pPr>
        <w:rPr>
          <w:sz w:val="20"/>
          <w:szCs w:val="20"/>
          <w:lang w:eastAsia="en-AU"/>
        </w:rPr>
      </w:pPr>
      <w:r w:rsidRPr="00C275CF">
        <w:rPr>
          <w:sz w:val="20"/>
          <w:szCs w:val="20"/>
          <w:lang w:eastAsia="en-AU"/>
        </w:rPr>
        <w:t xml:space="preserve">Hepatitis C </w:t>
      </w:r>
      <w:r w:rsidRPr="00444F45">
        <w:rPr>
          <w:sz w:val="20"/>
          <w:szCs w:val="20"/>
          <w:lang w:eastAsia="en-AU"/>
        </w:rPr>
        <w:t xml:space="preserve">disproportionately impacts </w:t>
      </w:r>
      <w:r w:rsidR="00515290" w:rsidRPr="00444F45">
        <w:rPr>
          <w:sz w:val="20"/>
          <w:szCs w:val="20"/>
          <w:lang w:eastAsia="en-AU"/>
        </w:rPr>
        <w:t xml:space="preserve">on </w:t>
      </w:r>
      <w:r w:rsidRPr="00444F45">
        <w:rPr>
          <w:sz w:val="20"/>
          <w:szCs w:val="20"/>
          <w:lang w:eastAsia="en-AU"/>
        </w:rPr>
        <w:t>a number</w:t>
      </w:r>
      <w:r w:rsidRPr="00C275CF">
        <w:rPr>
          <w:sz w:val="20"/>
          <w:szCs w:val="20"/>
          <w:lang w:eastAsia="en-AU"/>
        </w:rPr>
        <w:t xml:space="preserve"> of key populations. This </w:t>
      </w:r>
      <w:r w:rsidR="005C7F1D">
        <w:rPr>
          <w:sz w:val="20"/>
          <w:szCs w:val="20"/>
          <w:lang w:eastAsia="en-AU"/>
        </w:rPr>
        <w:t>s</w:t>
      </w:r>
      <w:r w:rsidRPr="00C275CF">
        <w:rPr>
          <w:sz w:val="20"/>
          <w:szCs w:val="20"/>
          <w:lang w:eastAsia="en-AU"/>
        </w:rPr>
        <w:t>trategy identifies priority populations and settings (</w:t>
      </w:r>
      <w:r w:rsidR="00515290">
        <w:rPr>
          <w:sz w:val="20"/>
          <w:szCs w:val="20"/>
          <w:lang w:eastAsia="en-AU"/>
        </w:rPr>
        <w:t xml:space="preserve">see </w:t>
      </w:r>
      <w:r w:rsidRPr="00C275CF">
        <w:rPr>
          <w:sz w:val="20"/>
          <w:szCs w:val="20"/>
          <w:lang w:eastAsia="en-AU"/>
        </w:rPr>
        <w:t xml:space="preserve">Figure </w:t>
      </w:r>
      <w:r w:rsidR="00BB30D1">
        <w:rPr>
          <w:sz w:val="20"/>
          <w:szCs w:val="20"/>
          <w:lang w:eastAsia="en-AU"/>
        </w:rPr>
        <w:t>4</w:t>
      </w:r>
      <w:r w:rsidRPr="00C275CF">
        <w:rPr>
          <w:sz w:val="20"/>
          <w:szCs w:val="20"/>
          <w:lang w:eastAsia="en-AU"/>
        </w:rPr>
        <w:t xml:space="preserve">) and acknowledges that many individuals may identify with multiple priority populations and settings. This results in a diverse variety of intersecting characteristics and risk factors unique to each individual. In accordance with the guiding principle of access and equity, the unique challenges and experiences within all priority populations need to be considered in the </w:t>
      </w:r>
      <w:r w:rsidRPr="005C7F1D">
        <w:rPr>
          <w:sz w:val="20"/>
          <w:szCs w:val="20"/>
          <w:lang w:eastAsia="en-AU"/>
        </w:rPr>
        <w:t>response</w:t>
      </w:r>
      <w:r w:rsidR="002E5A18" w:rsidRPr="005C7F1D">
        <w:rPr>
          <w:sz w:val="20"/>
          <w:szCs w:val="20"/>
          <w:lang w:eastAsia="en-AU"/>
        </w:rPr>
        <w:t>. This includes</w:t>
      </w:r>
      <w:r w:rsidRPr="005C7F1D">
        <w:rPr>
          <w:sz w:val="20"/>
          <w:szCs w:val="20"/>
          <w:lang w:eastAsia="en-AU"/>
        </w:rPr>
        <w:t>,</w:t>
      </w:r>
      <w:r w:rsidRPr="00C275CF">
        <w:rPr>
          <w:sz w:val="20"/>
          <w:szCs w:val="20"/>
          <w:lang w:eastAsia="en-AU"/>
        </w:rPr>
        <w:t xml:space="preserve"> but</w:t>
      </w:r>
      <w:r w:rsidR="002E5A18">
        <w:rPr>
          <w:sz w:val="20"/>
          <w:szCs w:val="20"/>
          <w:lang w:eastAsia="en-AU"/>
        </w:rPr>
        <w:t xml:space="preserve"> is</w:t>
      </w:r>
      <w:r w:rsidRPr="00C275CF">
        <w:rPr>
          <w:sz w:val="20"/>
          <w:szCs w:val="20"/>
          <w:lang w:eastAsia="en-AU"/>
        </w:rPr>
        <w:t xml:space="preserve"> not limited to, all gender expressions and experiences, disabilities, cultural and ethnic identities, different geographic settings, sexual orientations and religious affiliations.</w:t>
      </w:r>
      <w:r w:rsidR="003D53D0">
        <w:rPr>
          <w:sz w:val="20"/>
          <w:szCs w:val="20"/>
          <w:lang w:eastAsia="en-AU"/>
        </w:rPr>
        <w:t xml:space="preserve"> </w:t>
      </w:r>
    </w:p>
    <w:p w14:paraId="7874955E" w14:textId="1ADBB228" w:rsidR="008C715E" w:rsidRDefault="00C275CF" w:rsidP="00C275CF">
      <w:pPr>
        <w:rPr>
          <w:sz w:val="20"/>
          <w:szCs w:val="20"/>
          <w:lang w:eastAsia="en-AU"/>
        </w:rPr>
      </w:pPr>
      <w:r w:rsidRPr="00C275CF">
        <w:rPr>
          <w:sz w:val="20"/>
          <w:szCs w:val="20"/>
          <w:lang w:eastAsia="en-AU"/>
        </w:rPr>
        <w:t>While women</w:t>
      </w:r>
      <w:r>
        <w:rPr>
          <w:sz w:val="20"/>
          <w:szCs w:val="20"/>
          <w:lang w:eastAsia="en-AU"/>
        </w:rPr>
        <w:t xml:space="preserve">, </w:t>
      </w:r>
      <w:r w:rsidR="00BF6927" w:rsidRPr="00C275CF">
        <w:rPr>
          <w:sz w:val="20"/>
          <w:szCs w:val="20"/>
          <w:lang w:eastAsia="en-AU"/>
        </w:rPr>
        <w:t>sex workers</w:t>
      </w:r>
      <w:r w:rsidR="00BF6927">
        <w:rPr>
          <w:sz w:val="20"/>
          <w:szCs w:val="20"/>
          <w:lang w:eastAsia="en-AU"/>
        </w:rPr>
        <w:t xml:space="preserve">, </w:t>
      </w:r>
      <w:r>
        <w:rPr>
          <w:sz w:val="20"/>
          <w:szCs w:val="20"/>
          <w:lang w:eastAsia="en-AU"/>
        </w:rPr>
        <w:t>gay men and other men who have sex with men (MSM)</w:t>
      </w:r>
      <w:r w:rsidR="007940DC">
        <w:rPr>
          <w:sz w:val="20"/>
          <w:szCs w:val="20"/>
          <w:lang w:eastAsia="en-AU"/>
        </w:rPr>
        <w:t xml:space="preserve"> and people with HIV</w:t>
      </w:r>
      <w:r w:rsidRPr="00C275CF">
        <w:rPr>
          <w:sz w:val="20"/>
          <w:szCs w:val="20"/>
          <w:lang w:eastAsia="en-AU"/>
        </w:rPr>
        <w:t xml:space="preserve"> are not represented as distinct priority populations</w:t>
      </w:r>
      <w:r w:rsidR="00684D08">
        <w:rPr>
          <w:sz w:val="20"/>
          <w:szCs w:val="20"/>
          <w:lang w:eastAsia="en-AU"/>
        </w:rPr>
        <w:t xml:space="preserve"> (</w:t>
      </w:r>
      <w:r w:rsidR="00515290">
        <w:rPr>
          <w:sz w:val="20"/>
          <w:szCs w:val="20"/>
          <w:lang w:eastAsia="en-AU"/>
        </w:rPr>
        <w:t xml:space="preserve">see </w:t>
      </w:r>
      <w:r w:rsidR="00684D08">
        <w:rPr>
          <w:sz w:val="20"/>
          <w:szCs w:val="20"/>
          <w:lang w:eastAsia="en-AU"/>
        </w:rPr>
        <w:t xml:space="preserve">Figure </w:t>
      </w:r>
      <w:r w:rsidR="00BB30D1">
        <w:rPr>
          <w:sz w:val="20"/>
          <w:szCs w:val="20"/>
          <w:lang w:eastAsia="en-AU"/>
        </w:rPr>
        <w:t>4</w:t>
      </w:r>
      <w:r w:rsidR="00684D08">
        <w:rPr>
          <w:sz w:val="20"/>
          <w:szCs w:val="20"/>
          <w:lang w:eastAsia="en-AU"/>
        </w:rPr>
        <w:t>)</w:t>
      </w:r>
      <w:r w:rsidRPr="00C275CF">
        <w:rPr>
          <w:sz w:val="20"/>
          <w:szCs w:val="20"/>
          <w:lang w:eastAsia="en-AU"/>
        </w:rPr>
        <w:t xml:space="preserve">, they are represented </w:t>
      </w:r>
      <w:r w:rsidR="00BF6927">
        <w:rPr>
          <w:sz w:val="20"/>
          <w:szCs w:val="20"/>
          <w:lang w:eastAsia="en-AU"/>
        </w:rPr>
        <w:t>within</w:t>
      </w:r>
      <w:r w:rsidRPr="00C275CF">
        <w:rPr>
          <w:sz w:val="20"/>
          <w:szCs w:val="20"/>
          <w:lang w:eastAsia="en-AU"/>
        </w:rPr>
        <w:t xml:space="preserve"> many of the priority populations</w:t>
      </w:r>
      <w:r w:rsidR="00BF6927">
        <w:rPr>
          <w:sz w:val="20"/>
          <w:szCs w:val="20"/>
          <w:lang w:eastAsia="en-AU"/>
        </w:rPr>
        <w:t>.</w:t>
      </w:r>
      <w:r w:rsidR="008C715E">
        <w:rPr>
          <w:sz w:val="20"/>
          <w:szCs w:val="20"/>
          <w:lang w:eastAsia="en-AU"/>
        </w:rPr>
        <w:t xml:space="preserve"> </w:t>
      </w:r>
      <w:r w:rsidR="00BF6927">
        <w:rPr>
          <w:sz w:val="20"/>
          <w:szCs w:val="20"/>
          <w:lang w:eastAsia="en-AU"/>
        </w:rPr>
        <w:t>I</w:t>
      </w:r>
      <w:r w:rsidRPr="00C275CF">
        <w:rPr>
          <w:sz w:val="20"/>
          <w:szCs w:val="20"/>
          <w:lang w:eastAsia="en-AU"/>
        </w:rPr>
        <w:t>t is important that the unique challenges and experiences of these groups in relation to hepatitis C are addressed in the response</w:t>
      </w:r>
      <w:r w:rsidR="00515290">
        <w:rPr>
          <w:sz w:val="20"/>
          <w:szCs w:val="20"/>
          <w:lang w:eastAsia="en-AU"/>
        </w:rPr>
        <w:t>:</w:t>
      </w:r>
    </w:p>
    <w:p w14:paraId="2B932419" w14:textId="4F183FCB" w:rsidR="00F32E3D" w:rsidRPr="003475A9" w:rsidRDefault="00F32E3D" w:rsidP="003475A9">
      <w:pPr>
        <w:pStyle w:val="ListParagraph"/>
        <w:numPr>
          <w:ilvl w:val="0"/>
          <w:numId w:val="30"/>
        </w:numPr>
        <w:rPr>
          <w:sz w:val="20"/>
          <w:szCs w:val="20"/>
          <w:lang w:eastAsia="en-AU"/>
        </w:rPr>
      </w:pPr>
      <w:r w:rsidRPr="003475A9">
        <w:rPr>
          <w:sz w:val="20"/>
          <w:szCs w:val="20"/>
          <w:lang w:eastAsia="en-AU"/>
        </w:rPr>
        <w:t>Women with hepatitis C have a number of specialised needs related to their reproductive and sexual health and need accurate information to assist them to make informed decisions about their healthcare needs.</w:t>
      </w:r>
      <w:r w:rsidR="00CA6801">
        <w:rPr>
          <w:rStyle w:val="EndnoteReference"/>
          <w:sz w:val="20"/>
          <w:szCs w:val="20"/>
          <w:lang w:eastAsia="en-AU"/>
        </w:rPr>
        <w:endnoteReference w:id="13"/>
      </w:r>
      <w:r w:rsidR="00CA6801" w:rsidRPr="0058512B">
        <w:rPr>
          <w:sz w:val="20"/>
          <w:szCs w:val="20"/>
          <w:vertAlign w:val="superscript"/>
          <w:lang w:eastAsia="en-AU"/>
        </w:rPr>
        <w:t>,</w:t>
      </w:r>
      <w:r w:rsidR="00CA6801">
        <w:rPr>
          <w:rStyle w:val="EndnoteReference"/>
          <w:sz w:val="20"/>
          <w:szCs w:val="20"/>
          <w:lang w:eastAsia="en-AU"/>
        </w:rPr>
        <w:endnoteReference w:id="14"/>
      </w:r>
    </w:p>
    <w:p w14:paraId="46DC8AC1" w14:textId="4F0A41C8" w:rsidR="000E7DC9" w:rsidRDefault="003475A9" w:rsidP="000E7DC9">
      <w:pPr>
        <w:pStyle w:val="ListParagraph"/>
        <w:numPr>
          <w:ilvl w:val="0"/>
          <w:numId w:val="30"/>
        </w:numPr>
        <w:rPr>
          <w:sz w:val="20"/>
          <w:szCs w:val="20"/>
          <w:lang w:eastAsia="en-AU"/>
        </w:rPr>
      </w:pPr>
      <w:r w:rsidRPr="000E7DC9">
        <w:rPr>
          <w:sz w:val="20"/>
          <w:szCs w:val="20"/>
          <w:lang w:eastAsia="en-AU"/>
        </w:rPr>
        <w:t>S</w:t>
      </w:r>
      <w:r w:rsidR="00C275CF" w:rsidRPr="000E7DC9">
        <w:rPr>
          <w:sz w:val="20"/>
          <w:szCs w:val="20"/>
          <w:lang w:eastAsia="en-AU"/>
        </w:rPr>
        <w:t>ex workers</w:t>
      </w:r>
      <w:r w:rsidRPr="000E7DC9">
        <w:rPr>
          <w:sz w:val="20"/>
          <w:szCs w:val="20"/>
          <w:lang w:eastAsia="en-AU"/>
        </w:rPr>
        <w:t xml:space="preserve"> </w:t>
      </w:r>
      <w:r w:rsidR="000E7DC9" w:rsidRPr="000E7DC9">
        <w:rPr>
          <w:sz w:val="20"/>
          <w:szCs w:val="20"/>
          <w:lang w:eastAsia="en-AU"/>
        </w:rPr>
        <w:t>have</w:t>
      </w:r>
      <w:r w:rsidRPr="000E7DC9">
        <w:rPr>
          <w:sz w:val="20"/>
          <w:szCs w:val="20"/>
        </w:rPr>
        <w:t xml:space="preserve"> </w:t>
      </w:r>
      <w:r w:rsidR="00220DAF" w:rsidRPr="000E7DC9">
        <w:rPr>
          <w:sz w:val="20"/>
          <w:szCs w:val="20"/>
        </w:rPr>
        <w:t xml:space="preserve">a </w:t>
      </w:r>
      <w:r w:rsidRPr="000E7DC9">
        <w:rPr>
          <w:sz w:val="20"/>
          <w:szCs w:val="20"/>
        </w:rPr>
        <w:t>potentially increased risk of hepatitis</w:t>
      </w:r>
      <w:r w:rsidR="000E7DC9" w:rsidRPr="000E7DC9">
        <w:rPr>
          <w:sz w:val="20"/>
          <w:szCs w:val="20"/>
        </w:rPr>
        <w:t xml:space="preserve"> C</w:t>
      </w:r>
      <w:r w:rsidR="00ED1EEE" w:rsidRPr="000E7DC9">
        <w:rPr>
          <w:sz w:val="20"/>
          <w:szCs w:val="20"/>
        </w:rPr>
        <w:t xml:space="preserve">. </w:t>
      </w:r>
      <w:r w:rsidR="000E7DC9">
        <w:rPr>
          <w:sz w:val="20"/>
          <w:szCs w:val="20"/>
        </w:rPr>
        <w:t>There is a lack of high</w:t>
      </w:r>
      <w:r w:rsidR="00515290">
        <w:rPr>
          <w:sz w:val="20"/>
          <w:szCs w:val="20"/>
        </w:rPr>
        <w:t>-</w:t>
      </w:r>
      <w:r w:rsidR="000E7DC9">
        <w:rPr>
          <w:sz w:val="20"/>
          <w:szCs w:val="20"/>
        </w:rPr>
        <w:t xml:space="preserve">quality data in relation to sex workers and hepatitis C which needs to be addressed in order to fully understand the burden of illness on this population. </w:t>
      </w:r>
      <w:r w:rsidR="00220DAF" w:rsidRPr="000E7DC9">
        <w:rPr>
          <w:sz w:val="20"/>
          <w:szCs w:val="20"/>
        </w:rPr>
        <w:t>Sex workers</w:t>
      </w:r>
      <w:r w:rsidR="00ED1EEE" w:rsidRPr="000E7DC9">
        <w:rPr>
          <w:sz w:val="20"/>
          <w:szCs w:val="20"/>
        </w:rPr>
        <w:t xml:space="preserve"> </w:t>
      </w:r>
      <w:r w:rsidRPr="000E7DC9">
        <w:rPr>
          <w:sz w:val="20"/>
          <w:szCs w:val="20"/>
          <w:lang w:eastAsia="en-AU"/>
        </w:rPr>
        <w:t>face</w:t>
      </w:r>
      <w:r w:rsidR="00C275CF" w:rsidRPr="000E7DC9">
        <w:rPr>
          <w:sz w:val="20"/>
          <w:szCs w:val="20"/>
          <w:lang w:eastAsia="en-AU"/>
        </w:rPr>
        <w:t xml:space="preserve"> </w:t>
      </w:r>
      <w:r w:rsidR="006A110B" w:rsidRPr="000E7DC9">
        <w:rPr>
          <w:sz w:val="20"/>
          <w:szCs w:val="20"/>
          <w:lang w:eastAsia="en-AU"/>
        </w:rPr>
        <w:t>unique challeng</w:t>
      </w:r>
      <w:r w:rsidR="00BF6927" w:rsidRPr="000E7DC9">
        <w:rPr>
          <w:sz w:val="20"/>
          <w:szCs w:val="20"/>
          <w:lang w:eastAsia="en-AU"/>
        </w:rPr>
        <w:t>es</w:t>
      </w:r>
      <w:r w:rsidR="00515290">
        <w:rPr>
          <w:sz w:val="20"/>
          <w:szCs w:val="20"/>
          <w:lang w:eastAsia="en-AU"/>
        </w:rPr>
        <w:t>,</w:t>
      </w:r>
      <w:r w:rsidR="006A110B" w:rsidRPr="000E7DC9">
        <w:rPr>
          <w:sz w:val="20"/>
          <w:szCs w:val="20"/>
          <w:lang w:eastAsia="en-AU"/>
        </w:rPr>
        <w:t xml:space="preserve"> includ</w:t>
      </w:r>
      <w:r w:rsidR="00ED1EEE" w:rsidRPr="000E7DC9">
        <w:rPr>
          <w:sz w:val="20"/>
          <w:szCs w:val="20"/>
          <w:lang w:eastAsia="en-AU"/>
        </w:rPr>
        <w:t>ing</w:t>
      </w:r>
      <w:r w:rsidR="00C275CF" w:rsidRPr="000E7DC9">
        <w:rPr>
          <w:sz w:val="20"/>
          <w:szCs w:val="20"/>
          <w:lang w:eastAsia="en-AU"/>
        </w:rPr>
        <w:t xml:space="preserve"> structural barriers, widespread stigma and discrimination and lack of consistent anti-discrimination protections</w:t>
      </w:r>
      <w:r w:rsidR="00ED1EEE" w:rsidRPr="000E7DC9">
        <w:rPr>
          <w:sz w:val="20"/>
          <w:szCs w:val="20"/>
          <w:lang w:eastAsia="en-AU"/>
        </w:rPr>
        <w:t>. This increases their</w:t>
      </w:r>
      <w:r w:rsidR="00C275CF" w:rsidRPr="000E7DC9">
        <w:rPr>
          <w:sz w:val="20"/>
          <w:szCs w:val="20"/>
          <w:lang w:eastAsia="en-AU"/>
        </w:rPr>
        <w:t xml:space="preserve"> vulnerability and prevent</w:t>
      </w:r>
      <w:r w:rsidR="00ED1EEE" w:rsidRPr="000E7DC9">
        <w:rPr>
          <w:sz w:val="20"/>
          <w:szCs w:val="20"/>
          <w:lang w:eastAsia="en-AU"/>
        </w:rPr>
        <w:t>s</w:t>
      </w:r>
      <w:r w:rsidR="00C275CF" w:rsidRPr="000E7DC9">
        <w:rPr>
          <w:sz w:val="20"/>
          <w:szCs w:val="20"/>
          <w:lang w:eastAsia="en-AU"/>
        </w:rPr>
        <w:t xml:space="preserve"> equitable access to services. Tailored approaches are required for sex workers who inject or have injected drugs, street-based sex workers, sex workers </w:t>
      </w:r>
      <w:r w:rsidR="00152B92">
        <w:rPr>
          <w:sz w:val="20"/>
          <w:szCs w:val="20"/>
          <w:lang w:eastAsia="en-AU"/>
        </w:rPr>
        <w:t>from</w:t>
      </w:r>
      <w:r w:rsidR="007F62DB">
        <w:rPr>
          <w:sz w:val="20"/>
          <w:szCs w:val="20"/>
          <w:lang w:eastAsia="en-AU"/>
        </w:rPr>
        <w:t xml:space="preserve"> culturally and linguistically diverse (CALD) backgrounds, </w:t>
      </w:r>
      <w:r w:rsidR="00C275CF" w:rsidRPr="000E7DC9">
        <w:rPr>
          <w:sz w:val="20"/>
          <w:szCs w:val="20"/>
          <w:lang w:eastAsia="en-AU"/>
        </w:rPr>
        <w:t>and Aboriginal and Torres Strait Islander sex workers.</w:t>
      </w:r>
    </w:p>
    <w:p w14:paraId="15C3E662" w14:textId="00EB311D" w:rsidR="003475A9" w:rsidRPr="000E7DC9" w:rsidRDefault="003475A9" w:rsidP="000E7DC9">
      <w:pPr>
        <w:pStyle w:val="ListParagraph"/>
        <w:numPr>
          <w:ilvl w:val="0"/>
          <w:numId w:val="30"/>
        </w:numPr>
        <w:rPr>
          <w:sz w:val="20"/>
          <w:szCs w:val="20"/>
          <w:lang w:eastAsia="en-AU"/>
        </w:rPr>
      </w:pPr>
      <w:r w:rsidRPr="000E7DC9">
        <w:rPr>
          <w:sz w:val="20"/>
          <w:szCs w:val="20"/>
        </w:rPr>
        <w:t xml:space="preserve">Hepatitis C infection is a </w:t>
      </w:r>
      <w:r w:rsidR="00497E20">
        <w:rPr>
          <w:sz w:val="20"/>
          <w:szCs w:val="20"/>
        </w:rPr>
        <w:t>major</w:t>
      </w:r>
      <w:r w:rsidRPr="000E7DC9">
        <w:rPr>
          <w:sz w:val="20"/>
          <w:szCs w:val="20"/>
        </w:rPr>
        <w:t xml:space="preserve"> cause of death amongst people with HIV.</w:t>
      </w:r>
      <w:r w:rsidR="00AF0E8D">
        <w:rPr>
          <w:rStyle w:val="EndnoteReference"/>
          <w:sz w:val="20"/>
          <w:szCs w:val="20"/>
        </w:rPr>
        <w:endnoteReference w:id="15"/>
      </w:r>
      <w:r w:rsidR="00315023">
        <w:rPr>
          <w:sz w:val="20"/>
          <w:szCs w:val="20"/>
        </w:rPr>
        <w:t xml:space="preserve"> HIV and hepatitis C co</w:t>
      </w:r>
      <w:r w:rsidR="00315023">
        <w:rPr>
          <w:sz w:val="20"/>
          <w:szCs w:val="20"/>
        </w:rPr>
        <w:noBreakHyphen/>
      </w:r>
      <w:r w:rsidRPr="000E7DC9">
        <w:rPr>
          <w:sz w:val="20"/>
          <w:szCs w:val="20"/>
        </w:rPr>
        <w:t xml:space="preserve">infected individuals have a reduced chance of spontaneous clearance of hepatitis C and increased risk of liver disease, cirrhosis and liver cancer compared </w:t>
      </w:r>
      <w:r w:rsidR="00515290">
        <w:rPr>
          <w:sz w:val="20"/>
          <w:szCs w:val="20"/>
        </w:rPr>
        <w:t xml:space="preserve">with </w:t>
      </w:r>
      <w:r w:rsidRPr="000E7DC9">
        <w:rPr>
          <w:sz w:val="20"/>
          <w:szCs w:val="20"/>
        </w:rPr>
        <w:t>people without HIV.</w:t>
      </w:r>
      <w:r w:rsidR="00AF0E8D">
        <w:rPr>
          <w:rStyle w:val="EndnoteReference"/>
          <w:sz w:val="20"/>
          <w:szCs w:val="20"/>
        </w:rPr>
        <w:endnoteReference w:id="16"/>
      </w:r>
      <w:r w:rsidRPr="000E7DC9">
        <w:rPr>
          <w:sz w:val="20"/>
          <w:szCs w:val="20"/>
        </w:rPr>
        <w:t xml:space="preserve"> Lack of condom use with casual partners was the key risk factor influencing transmission of hepatitis C among gay men and MSM, which emphasises the need for alignment and cross-education between hepatitis C and HIV prevention strategies.</w:t>
      </w:r>
      <w:r w:rsidR="00AF0E8D">
        <w:rPr>
          <w:rStyle w:val="EndnoteReference"/>
          <w:sz w:val="20"/>
          <w:szCs w:val="20"/>
        </w:rPr>
        <w:endnoteReference w:id="17"/>
      </w:r>
      <w:r w:rsidR="00AF0E8D" w:rsidRPr="000E7DC9">
        <w:rPr>
          <w:sz w:val="20"/>
          <w:szCs w:val="20"/>
          <w:lang w:eastAsia="en-AU"/>
        </w:rPr>
        <w:t xml:space="preserve"> </w:t>
      </w:r>
    </w:p>
    <w:p w14:paraId="1769F008" w14:textId="77777777" w:rsidR="003D53D0" w:rsidRDefault="003D53D0">
      <w:pPr>
        <w:spacing w:after="0"/>
        <w:rPr>
          <w:sz w:val="20"/>
          <w:szCs w:val="20"/>
          <w:lang w:eastAsia="en-AU"/>
        </w:rPr>
      </w:pPr>
      <w:r>
        <w:rPr>
          <w:sz w:val="20"/>
          <w:szCs w:val="20"/>
          <w:lang w:eastAsia="en-AU"/>
        </w:rPr>
        <w:br w:type="page"/>
      </w:r>
    </w:p>
    <w:p w14:paraId="562A1FBF" w14:textId="29BB9846" w:rsidR="00966E9D" w:rsidRDefault="00993709" w:rsidP="00D40657">
      <w:pPr>
        <w:spacing w:after="60"/>
        <w:rPr>
          <w:i/>
          <w:sz w:val="20"/>
          <w:szCs w:val="20"/>
        </w:rPr>
      </w:pPr>
      <w:r w:rsidRPr="00EA1123">
        <w:rPr>
          <w:sz w:val="20"/>
          <w:szCs w:val="20"/>
          <w:lang w:eastAsia="en-AU"/>
        </w:rPr>
        <w:lastRenderedPageBreak/>
        <w:t>F</w:t>
      </w:r>
      <w:r w:rsidR="00BB30D1">
        <w:rPr>
          <w:sz w:val="20"/>
          <w:szCs w:val="20"/>
        </w:rPr>
        <w:t>igure 4</w:t>
      </w:r>
      <w:r w:rsidR="005C7F1D">
        <w:rPr>
          <w:sz w:val="20"/>
          <w:szCs w:val="20"/>
        </w:rPr>
        <w:t>:</w:t>
      </w:r>
      <w:r w:rsidRPr="00EA1123">
        <w:rPr>
          <w:sz w:val="20"/>
          <w:szCs w:val="20"/>
        </w:rPr>
        <w:t xml:space="preserve"> Priority populations for the </w:t>
      </w:r>
      <w:r w:rsidR="00DD12C1" w:rsidRPr="00515290">
        <w:rPr>
          <w:sz w:val="20"/>
          <w:szCs w:val="20"/>
        </w:rPr>
        <w:t>Fifth National Hepatitis C</w:t>
      </w:r>
      <w:r w:rsidRPr="00515290">
        <w:rPr>
          <w:sz w:val="20"/>
          <w:szCs w:val="20"/>
        </w:rPr>
        <w:t xml:space="preserve"> Strategy 2018</w:t>
      </w:r>
      <w:r w:rsidR="00515290">
        <w:rPr>
          <w:sz w:val="20"/>
          <w:szCs w:val="20"/>
        </w:rPr>
        <w:t>–</w:t>
      </w:r>
      <w:r w:rsidRPr="00515290">
        <w:rPr>
          <w:sz w:val="20"/>
          <w:szCs w:val="20"/>
        </w:rPr>
        <w:t>2022</w:t>
      </w:r>
    </w:p>
    <w:p w14:paraId="2910CF1C" w14:textId="77777777" w:rsidR="003F0C25" w:rsidRDefault="00966E9D" w:rsidP="00E85AAE">
      <w:pPr>
        <w:spacing w:after="160"/>
        <w:rPr>
          <w:i/>
          <w:color w:val="00264D"/>
          <w:sz w:val="22"/>
        </w:rPr>
      </w:pPr>
      <w:r>
        <w:rPr>
          <w:i/>
          <w:noProof/>
          <w:color w:val="00264D"/>
          <w:sz w:val="22"/>
          <w:lang w:eastAsia="en-AU"/>
        </w:rPr>
        <w:drawing>
          <wp:inline distT="0" distB="0" distL="0" distR="0" wp14:anchorId="1B023020" wp14:editId="64551A52">
            <wp:extent cx="5605670" cy="6669259"/>
            <wp:effectExtent l="0" t="0" r="0" b="0"/>
            <wp:docPr id="1" name="Picture 1" descr="Prioirty populations for the Fifth National Hepatitis C Strategy 2018-22" title="Figure 4: Priority pop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4384" cy="6667729"/>
                    </a:xfrm>
                    <a:prstGeom prst="rect">
                      <a:avLst/>
                    </a:prstGeom>
                    <a:noFill/>
                  </pic:spPr>
                </pic:pic>
              </a:graphicData>
            </a:graphic>
          </wp:inline>
        </w:drawing>
      </w:r>
    </w:p>
    <w:p w14:paraId="19FA131A" w14:textId="77777777" w:rsidR="00BB30D1" w:rsidRPr="00256946" w:rsidRDefault="00BB30D1" w:rsidP="00BB30D1">
      <w:pPr>
        <w:spacing w:after="80"/>
        <w:rPr>
          <w:b/>
          <w:sz w:val="18"/>
          <w:szCs w:val="18"/>
          <w:lang w:eastAsia="en-AU"/>
        </w:rPr>
      </w:pPr>
      <w:r w:rsidRPr="00B85879">
        <w:rPr>
          <w:b/>
          <w:sz w:val="18"/>
          <w:szCs w:val="18"/>
          <w:lang w:eastAsia="en-AU"/>
        </w:rPr>
        <w:t>NOTE: The graphic is not intended to reflect equal priority or prevalence among populations</w:t>
      </w:r>
    </w:p>
    <w:p w14:paraId="19923B4F" w14:textId="77777777" w:rsidR="00BB30D1" w:rsidRDefault="00BB30D1" w:rsidP="00E85AAE">
      <w:pPr>
        <w:spacing w:after="160"/>
        <w:rPr>
          <w:i/>
          <w:color w:val="00264D"/>
          <w:sz w:val="22"/>
        </w:rPr>
      </w:pPr>
    </w:p>
    <w:p w14:paraId="04E62E28" w14:textId="77777777" w:rsidR="00BA71FE" w:rsidRPr="00E85AAE" w:rsidRDefault="00C2520E" w:rsidP="00E85AAE">
      <w:pPr>
        <w:spacing w:after="160"/>
        <w:rPr>
          <w:i/>
          <w:color w:val="00264D"/>
          <w:sz w:val="22"/>
        </w:rPr>
      </w:pPr>
      <w:r w:rsidRPr="00E85AAE">
        <w:rPr>
          <w:i/>
          <w:color w:val="00264D"/>
          <w:sz w:val="22"/>
        </w:rPr>
        <w:t>People</w:t>
      </w:r>
      <w:r w:rsidR="00BA4AF7">
        <w:rPr>
          <w:i/>
          <w:color w:val="00264D"/>
          <w:sz w:val="22"/>
        </w:rPr>
        <w:t xml:space="preserve"> living</w:t>
      </w:r>
      <w:r w:rsidRPr="00E85AAE">
        <w:rPr>
          <w:i/>
          <w:color w:val="00264D"/>
          <w:sz w:val="22"/>
        </w:rPr>
        <w:t xml:space="preserve"> </w:t>
      </w:r>
      <w:r w:rsidR="00BA71FE" w:rsidRPr="00E85AAE">
        <w:rPr>
          <w:i/>
          <w:color w:val="00264D"/>
          <w:sz w:val="22"/>
        </w:rPr>
        <w:t xml:space="preserve">with hepatitis C </w:t>
      </w:r>
    </w:p>
    <w:p w14:paraId="0D8564DD" w14:textId="4EDA01E1" w:rsidR="00AE6128" w:rsidRPr="00EA1123" w:rsidRDefault="00152B92" w:rsidP="005A7A58">
      <w:pPr>
        <w:rPr>
          <w:sz w:val="20"/>
          <w:szCs w:val="20"/>
        </w:rPr>
      </w:pPr>
      <w:r>
        <w:rPr>
          <w:sz w:val="20"/>
          <w:szCs w:val="20"/>
        </w:rPr>
        <w:t>P</w:t>
      </w:r>
      <w:r w:rsidR="00BE0325" w:rsidRPr="00EA1123">
        <w:rPr>
          <w:sz w:val="20"/>
          <w:szCs w:val="20"/>
        </w:rPr>
        <w:t>eople</w:t>
      </w:r>
      <w:r w:rsidR="004C1E6D" w:rsidRPr="00EA1123">
        <w:rPr>
          <w:sz w:val="20"/>
          <w:szCs w:val="20"/>
        </w:rPr>
        <w:t xml:space="preserve"> </w:t>
      </w:r>
      <w:r w:rsidR="00BA4AF7">
        <w:rPr>
          <w:sz w:val="20"/>
          <w:szCs w:val="20"/>
        </w:rPr>
        <w:t xml:space="preserve">living </w:t>
      </w:r>
      <w:r w:rsidR="004C1E6D" w:rsidRPr="00EA1123">
        <w:rPr>
          <w:sz w:val="20"/>
          <w:szCs w:val="20"/>
        </w:rPr>
        <w:t xml:space="preserve">with hepatitis C </w:t>
      </w:r>
      <w:r w:rsidR="00BA71FE" w:rsidRPr="00EA1123">
        <w:rPr>
          <w:sz w:val="20"/>
          <w:szCs w:val="20"/>
        </w:rPr>
        <w:t>include</w:t>
      </w:r>
      <w:r w:rsidR="00515290">
        <w:rPr>
          <w:sz w:val="20"/>
          <w:szCs w:val="20"/>
        </w:rPr>
        <w:t>s</w:t>
      </w:r>
      <w:r w:rsidR="00BA71FE" w:rsidRPr="00EA1123">
        <w:rPr>
          <w:sz w:val="20"/>
          <w:szCs w:val="20"/>
        </w:rPr>
        <w:t xml:space="preserve"> </w:t>
      </w:r>
      <w:r w:rsidR="00BE0325" w:rsidRPr="00EA1123">
        <w:rPr>
          <w:sz w:val="20"/>
          <w:szCs w:val="20"/>
        </w:rPr>
        <w:t xml:space="preserve">individuals </w:t>
      </w:r>
      <w:r w:rsidR="00FE7F04" w:rsidRPr="00EA1123">
        <w:rPr>
          <w:sz w:val="20"/>
          <w:szCs w:val="20"/>
        </w:rPr>
        <w:t xml:space="preserve">who are </w:t>
      </w:r>
      <w:r w:rsidR="00E61165" w:rsidRPr="00EA1123">
        <w:rPr>
          <w:sz w:val="20"/>
          <w:szCs w:val="20"/>
        </w:rPr>
        <w:t xml:space="preserve">fully </w:t>
      </w:r>
      <w:r w:rsidR="00FE7F04" w:rsidRPr="00EA1123">
        <w:rPr>
          <w:sz w:val="20"/>
          <w:szCs w:val="20"/>
        </w:rPr>
        <w:t>diagnosed</w:t>
      </w:r>
      <w:r w:rsidR="00AA3DAB" w:rsidRPr="00EA1123">
        <w:rPr>
          <w:sz w:val="20"/>
          <w:szCs w:val="20"/>
        </w:rPr>
        <w:t xml:space="preserve">, </w:t>
      </w:r>
      <w:r w:rsidR="00E61165" w:rsidRPr="00EA1123">
        <w:rPr>
          <w:sz w:val="20"/>
          <w:szCs w:val="20"/>
        </w:rPr>
        <w:t xml:space="preserve">partially diagnosed (no RNA test) and </w:t>
      </w:r>
      <w:r w:rsidR="00FE7F04" w:rsidRPr="00EA1123">
        <w:rPr>
          <w:sz w:val="20"/>
          <w:szCs w:val="20"/>
        </w:rPr>
        <w:t xml:space="preserve">not </w:t>
      </w:r>
      <w:r w:rsidR="00E61165" w:rsidRPr="00EA1123">
        <w:rPr>
          <w:sz w:val="20"/>
          <w:szCs w:val="20"/>
        </w:rPr>
        <w:t xml:space="preserve">yet diagnosed. </w:t>
      </w:r>
      <w:r w:rsidR="00960D04" w:rsidRPr="00EA1123">
        <w:rPr>
          <w:sz w:val="20"/>
          <w:szCs w:val="20"/>
        </w:rPr>
        <w:t>All people with risk factors for hepatitis C should be</w:t>
      </w:r>
      <w:r w:rsidR="00110705" w:rsidRPr="00EA1123">
        <w:rPr>
          <w:sz w:val="20"/>
          <w:szCs w:val="20"/>
        </w:rPr>
        <w:t xml:space="preserve"> offered </w:t>
      </w:r>
      <w:r w:rsidR="00960D04" w:rsidRPr="00EA1123">
        <w:rPr>
          <w:sz w:val="20"/>
          <w:szCs w:val="20"/>
        </w:rPr>
        <w:t>test</w:t>
      </w:r>
      <w:r w:rsidR="00110705" w:rsidRPr="00EA1123">
        <w:rPr>
          <w:sz w:val="20"/>
          <w:szCs w:val="20"/>
        </w:rPr>
        <w:t xml:space="preserve">ing </w:t>
      </w:r>
      <w:r w:rsidR="00960D04" w:rsidRPr="00EA1123">
        <w:rPr>
          <w:sz w:val="20"/>
          <w:szCs w:val="20"/>
        </w:rPr>
        <w:t>and</w:t>
      </w:r>
      <w:r w:rsidR="00515290">
        <w:rPr>
          <w:sz w:val="20"/>
          <w:szCs w:val="20"/>
        </w:rPr>
        <w:t>,</w:t>
      </w:r>
      <w:r w:rsidR="00960D04" w:rsidRPr="00EA1123">
        <w:rPr>
          <w:sz w:val="20"/>
          <w:szCs w:val="20"/>
        </w:rPr>
        <w:t xml:space="preserve"> </w:t>
      </w:r>
      <w:r w:rsidR="00110705" w:rsidRPr="00EA1123">
        <w:rPr>
          <w:sz w:val="20"/>
          <w:szCs w:val="20"/>
        </w:rPr>
        <w:t>if found to be</w:t>
      </w:r>
      <w:r w:rsidR="00960D04" w:rsidRPr="00EA1123">
        <w:rPr>
          <w:sz w:val="20"/>
          <w:szCs w:val="20"/>
        </w:rPr>
        <w:t xml:space="preserve"> </w:t>
      </w:r>
      <w:r w:rsidR="00E61165" w:rsidRPr="00EA1123">
        <w:rPr>
          <w:sz w:val="20"/>
          <w:szCs w:val="20"/>
        </w:rPr>
        <w:t>living with hepatitis C</w:t>
      </w:r>
      <w:r w:rsidR="004F6BFE" w:rsidRPr="00EA1123">
        <w:rPr>
          <w:sz w:val="20"/>
          <w:szCs w:val="20"/>
        </w:rPr>
        <w:t>,</w:t>
      </w:r>
      <w:r w:rsidR="00E61165" w:rsidRPr="00EA1123">
        <w:rPr>
          <w:sz w:val="20"/>
          <w:szCs w:val="20"/>
        </w:rPr>
        <w:t xml:space="preserve"> </w:t>
      </w:r>
      <w:r w:rsidR="00FC6013">
        <w:rPr>
          <w:sz w:val="20"/>
          <w:szCs w:val="20"/>
        </w:rPr>
        <w:t>offered</w:t>
      </w:r>
      <w:r w:rsidR="00D848BE" w:rsidRPr="00EA1123">
        <w:rPr>
          <w:sz w:val="20"/>
          <w:szCs w:val="20"/>
        </w:rPr>
        <w:t xml:space="preserve"> DAA t</w:t>
      </w:r>
      <w:r w:rsidR="00E61165" w:rsidRPr="00EA1123">
        <w:rPr>
          <w:sz w:val="20"/>
          <w:szCs w:val="20"/>
        </w:rPr>
        <w:t>reatment</w:t>
      </w:r>
      <w:r w:rsidR="00D848BE" w:rsidRPr="00EA1123">
        <w:rPr>
          <w:sz w:val="20"/>
          <w:szCs w:val="20"/>
        </w:rPr>
        <w:t>s</w:t>
      </w:r>
      <w:r w:rsidR="00960D04" w:rsidRPr="00EA1123">
        <w:rPr>
          <w:sz w:val="20"/>
          <w:szCs w:val="20"/>
        </w:rPr>
        <w:t xml:space="preserve">. </w:t>
      </w:r>
      <w:r w:rsidR="00AE6128" w:rsidRPr="00EA1123">
        <w:rPr>
          <w:sz w:val="20"/>
          <w:szCs w:val="20"/>
        </w:rPr>
        <w:t>Successful treatment is associated with multiple clinical benefits, including improvement in quality of life, loss of infectivity, regression of cirrhosis, low</w:t>
      </w:r>
      <w:r w:rsidR="005A7A58" w:rsidRPr="00EA1123">
        <w:rPr>
          <w:sz w:val="20"/>
          <w:szCs w:val="20"/>
        </w:rPr>
        <w:t>er risk of liver failure and hepatocellular carcinoma</w:t>
      </w:r>
      <w:r w:rsidR="00AE6128" w:rsidRPr="00EA1123">
        <w:rPr>
          <w:sz w:val="20"/>
          <w:szCs w:val="20"/>
        </w:rPr>
        <w:t>, and reduction in mortality.</w:t>
      </w:r>
      <w:r w:rsidR="00AE6128" w:rsidRPr="00EA1123">
        <w:rPr>
          <w:sz w:val="20"/>
          <w:szCs w:val="20"/>
          <w:vertAlign w:val="superscript"/>
        </w:rPr>
        <w:t>10</w:t>
      </w:r>
    </w:p>
    <w:p w14:paraId="517B2BD4" w14:textId="20911D4C" w:rsidR="00BA71FE" w:rsidRPr="00EA1123" w:rsidRDefault="00E61165" w:rsidP="00DE48A2">
      <w:pPr>
        <w:spacing w:after="0"/>
        <w:rPr>
          <w:sz w:val="20"/>
          <w:szCs w:val="20"/>
        </w:rPr>
      </w:pPr>
      <w:r w:rsidRPr="00EA1123">
        <w:rPr>
          <w:sz w:val="20"/>
          <w:szCs w:val="20"/>
        </w:rPr>
        <w:t xml:space="preserve">Key sub-populations </w:t>
      </w:r>
      <w:r w:rsidR="00FE7F04" w:rsidRPr="00EA1123">
        <w:rPr>
          <w:sz w:val="20"/>
          <w:szCs w:val="20"/>
        </w:rPr>
        <w:t>includ</w:t>
      </w:r>
      <w:r w:rsidRPr="00EA1123">
        <w:rPr>
          <w:sz w:val="20"/>
          <w:szCs w:val="20"/>
        </w:rPr>
        <w:t>e</w:t>
      </w:r>
      <w:r w:rsidR="00515290">
        <w:rPr>
          <w:sz w:val="20"/>
          <w:szCs w:val="20"/>
        </w:rPr>
        <w:t>:</w:t>
      </w:r>
      <w:r w:rsidR="00411EF6" w:rsidRPr="00EA1123">
        <w:rPr>
          <w:rStyle w:val="EndnoteReference"/>
          <w:sz w:val="20"/>
          <w:szCs w:val="20"/>
        </w:rPr>
        <w:endnoteReference w:id="18"/>
      </w:r>
      <w:r w:rsidR="00FE7F04" w:rsidRPr="00EA1123">
        <w:rPr>
          <w:sz w:val="20"/>
          <w:szCs w:val="20"/>
        </w:rPr>
        <w:t xml:space="preserve"> </w:t>
      </w:r>
    </w:p>
    <w:p w14:paraId="7D4D5108" w14:textId="7A1DA314" w:rsidR="00365056" w:rsidRDefault="00515290" w:rsidP="00DB37AD">
      <w:pPr>
        <w:pStyle w:val="ListParagraph"/>
        <w:numPr>
          <w:ilvl w:val="1"/>
          <w:numId w:val="9"/>
        </w:numPr>
        <w:spacing w:after="0"/>
        <w:ind w:left="851"/>
        <w:rPr>
          <w:sz w:val="20"/>
          <w:szCs w:val="20"/>
        </w:rPr>
      </w:pPr>
      <w:r>
        <w:rPr>
          <w:sz w:val="20"/>
          <w:szCs w:val="20"/>
        </w:rPr>
        <w:lastRenderedPageBreak/>
        <w:t>p</w:t>
      </w:r>
      <w:r w:rsidR="00BA71FE" w:rsidRPr="00EA1123">
        <w:rPr>
          <w:sz w:val="20"/>
          <w:szCs w:val="20"/>
        </w:rPr>
        <w:t>eople who currently inject drugs</w:t>
      </w:r>
    </w:p>
    <w:p w14:paraId="1A2AAB20" w14:textId="5E06387D" w:rsidR="00BA71FE" w:rsidRPr="00EA1123" w:rsidRDefault="00515290" w:rsidP="00DB37AD">
      <w:pPr>
        <w:pStyle w:val="ListParagraph"/>
        <w:numPr>
          <w:ilvl w:val="1"/>
          <w:numId w:val="9"/>
        </w:numPr>
        <w:spacing w:after="0"/>
        <w:ind w:left="851"/>
        <w:rPr>
          <w:sz w:val="20"/>
          <w:szCs w:val="20"/>
        </w:rPr>
      </w:pPr>
      <w:r>
        <w:rPr>
          <w:sz w:val="20"/>
          <w:szCs w:val="20"/>
        </w:rPr>
        <w:t>p</w:t>
      </w:r>
      <w:r w:rsidR="00365056">
        <w:rPr>
          <w:sz w:val="20"/>
          <w:szCs w:val="20"/>
        </w:rPr>
        <w:t xml:space="preserve">eople </w:t>
      </w:r>
      <w:r w:rsidR="006E05A6" w:rsidRPr="00EA1123">
        <w:rPr>
          <w:sz w:val="20"/>
          <w:szCs w:val="20"/>
        </w:rPr>
        <w:t xml:space="preserve">who </w:t>
      </w:r>
      <w:r w:rsidR="00BA71FE" w:rsidRPr="00EA1123">
        <w:rPr>
          <w:sz w:val="20"/>
          <w:szCs w:val="20"/>
        </w:rPr>
        <w:t>are accessing drug treatment programs</w:t>
      </w:r>
    </w:p>
    <w:p w14:paraId="71F3B0FB" w14:textId="2FB207C6" w:rsidR="00BA71FE" w:rsidRPr="00EA1123" w:rsidRDefault="00515290" w:rsidP="00DB37AD">
      <w:pPr>
        <w:pStyle w:val="ListParagraph"/>
        <w:numPr>
          <w:ilvl w:val="1"/>
          <w:numId w:val="9"/>
        </w:numPr>
        <w:spacing w:after="0"/>
        <w:ind w:left="851"/>
        <w:rPr>
          <w:sz w:val="20"/>
          <w:szCs w:val="20"/>
        </w:rPr>
      </w:pPr>
      <w:r>
        <w:rPr>
          <w:sz w:val="20"/>
          <w:szCs w:val="20"/>
        </w:rPr>
        <w:t>p</w:t>
      </w:r>
      <w:r w:rsidR="00BA71FE" w:rsidRPr="00EA1123">
        <w:rPr>
          <w:sz w:val="20"/>
          <w:szCs w:val="20"/>
        </w:rPr>
        <w:t>eople who previously injected drugs and no longer do so</w:t>
      </w:r>
    </w:p>
    <w:p w14:paraId="2CD97C87" w14:textId="77777777" w:rsidR="00BA71FE" w:rsidRPr="00EA1123" w:rsidRDefault="00BA71FE" w:rsidP="00DB37AD">
      <w:pPr>
        <w:pStyle w:val="ListParagraph"/>
        <w:numPr>
          <w:ilvl w:val="1"/>
          <w:numId w:val="9"/>
        </w:numPr>
        <w:spacing w:after="0"/>
        <w:ind w:left="851"/>
        <w:rPr>
          <w:sz w:val="20"/>
          <w:szCs w:val="20"/>
        </w:rPr>
      </w:pPr>
      <w:r w:rsidRPr="00EA1123">
        <w:rPr>
          <w:sz w:val="20"/>
          <w:szCs w:val="20"/>
        </w:rPr>
        <w:t>Aboriginal and Torres Strait Islander people</w:t>
      </w:r>
    </w:p>
    <w:p w14:paraId="2E8B1DE3" w14:textId="5BE11424" w:rsidR="00FE7F04" w:rsidRPr="00EA1123" w:rsidRDefault="00515290" w:rsidP="00DB37AD">
      <w:pPr>
        <w:pStyle w:val="ListParagraph"/>
        <w:numPr>
          <w:ilvl w:val="1"/>
          <w:numId w:val="9"/>
        </w:numPr>
        <w:spacing w:after="0"/>
        <w:ind w:left="851"/>
        <w:rPr>
          <w:sz w:val="20"/>
          <w:szCs w:val="20"/>
        </w:rPr>
      </w:pPr>
      <w:r>
        <w:rPr>
          <w:sz w:val="20"/>
          <w:szCs w:val="20"/>
        </w:rPr>
        <w:t>p</w:t>
      </w:r>
      <w:r w:rsidR="00FE7F04" w:rsidRPr="00EA1123">
        <w:rPr>
          <w:sz w:val="20"/>
          <w:szCs w:val="20"/>
        </w:rPr>
        <w:t xml:space="preserve">eople in, or previously in, custodial settings </w:t>
      </w:r>
    </w:p>
    <w:p w14:paraId="2A0654F3" w14:textId="64CE816B" w:rsidR="00FE7F04" w:rsidRPr="00EA1123" w:rsidRDefault="00515290" w:rsidP="00DB37AD">
      <w:pPr>
        <w:pStyle w:val="ListParagraph"/>
        <w:numPr>
          <w:ilvl w:val="1"/>
          <w:numId w:val="9"/>
        </w:numPr>
        <w:spacing w:after="0"/>
        <w:ind w:left="851"/>
        <w:rPr>
          <w:sz w:val="20"/>
          <w:szCs w:val="20"/>
        </w:rPr>
      </w:pPr>
      <w:r>
        <w:rPr>
          <w:sz w:val="20"/>
          <w:szCs w:val="20"/>
        </w:rPr>
        <w:t>p</w:t>
      </w:r>
      <w:r w:rsidR="00BA71FE" w:rsidRPr="00EA1123">
        <w:rPr>
          <w:sz w:val="20"/>
          <w:szCs w:val="20"/>
        </w:rPr>
        <w:t xml:space="preserve">eople </w:t>
      </w:r>
      <w:r w:rsidR="00D848BE" w:rsidRPr="00EA1123">
        <w:rPr>
          <w:sz w:val="20"/>
          <w:szCs w:val="20"/>
        </w:rPr>
        <w:t xml:space="preserve">born in countries with a high prevalence of hepatitis C </w:t>
      </w:r>
    </w:p>
    <w:p w14:paraId="4FF5ACB1" w14:textId="6147C5A1" w:rsidR="004C1E6D" w:rsidRPr="00EA1123" w:rsidRDefault="00515290" w:rsidP="00DB37AD">
      <w:pPr>
        <w:pStyle w:val="ListParagraph"/>
        <w:numPr>
          <w:ilvl w:val="1"/>
          <w:numId w:val="9"/>
        </w:numPr>
        <w:spacing w:after="0"/>
        <w:ind w:left="851"/>
        <w:rPr>
          <w:sz w:val="20"/>
          <w:szCs w:val="20"/>
        </w:rPr>
      </w:pPr>
      <w:r>
        <w:rPr>
          <w:sz w:val="20"/>
          <w:szCs w:val="20"/>
        </w:rPr>
        <w:t>r</w:t>
      </w:r>
      <w:r w:rsidR="004C1E6D" w:rsidRPr="00EA1123">
        <w:rPr>
          <w:sz w:val="20"/>
          <w:szCs w:val="20"/>
        </w:rPr>
        <w:t>efugees and humanitarian entrants</w:t>
      </w:r>
      <w:r w:rsidR="006E05A6" w:rsidRPr="00EA1123">
        <w:rPr>
          <w:sz w:val="20"/>
          <w:szCs w:val="20"/>
        </w:rPr>
        <w:t xml:space="preserve"> </w:t>
      </w:r>
    </w:p>
    <w:p w14:paraId="1EEEE7E8" w14:textId="19759093" w:rsidR="00BA71FE" w:rsidRPr="00EA1123" w:rsidRDefault="00515290" w:rsidP="00DB37AD">
      <w:pPr>
        <w:pStyle w:val="ListParagraph"/>
        <w:numPr>
          <w:ilvl w:val="1"/>
          <w:numId w:val="9"/>
        </w:numPr>
        <w:spacing w:after="0"/>
        <w:ind w:left="851"/>
        <w:rPr>
          <w:sz w:val="20"/>
          <w:szCs w:val="20"/>
        </w:rPr>
      </w:pPr>
      <w:r>
        <w:rPr>
          <w:sz w:val="20"/>
          <w:szCs w:val="20"/>
        </w:rPr>
        <w:t>p</w:t>
      </w:r>
      <w:r w:rsidR="00BA71FE" w:rsidRPr="00EA1123">
        <w:rPr>
          <w:sz w:val="20"/>
          <w:szCs w:val="20"/>
        </w:rPr>
        <w:t xml:space="preserve">eople </w:t>
      </w:r>
      <w:r w:rsidR="00BA4AF7">
        <w:rPr>
          <w:sz w:val="20"/>
          <w:szCs w:val="20"/>
        </w:rPr>
        <w:t xml:space="preserve">living </w:t>
      </w:r>
      <w:r w:rsidR="00BA71FE" w:rsidRPr="00EA1123">
        <w:rPr>
          <w:sz w:val="20"/>
          <w:szCs w:val="20"/>
        </w:rPr>
        <w:t>with medically acquired hepatitis C</w:t>
      </w:r>
    </w:p>
    <w:p w14:paraId="4E436E72" w14:textId="4E381E22" w:rsidR="00F90BFF" w:rsidRPr="00EA1123" w:rsidRDefault="00515290" w:rsidP="00DB37AD">
      <w:pPr>
        <w:pStyle w:val="ListParagraph"/>
        <w:numPr>
          <w:ilvl w:val="1"/>
          <w:numId w:val="9"/>
        </w:numPr>
        <w:spacing w:after="0"/>
        <w:ind w:left="851"/>
        <w:rPr>
          <w:sz w:val="20"/>
          <w:szCs w:val="20"/>
        </w:rPr>
      </w:pPr>
      <w:r>
        <w:rPr>
          <w:sz w:val="20"/>
          <w:szCs w:val="20"/>
        </w:rPr>
        <w:t>p</w:t>
      </w:r>
      <w:r w:rsidR="00F90BFF" w:rsidRPr="00EA1123">
        <w:rPr>
          <w:sz w:val="20"/>
          <w:szCs w:val="20"/>
        </w:rPr>
        <w:t xml:space="preserve">eople living with hepatitis C who have a hepatitis B </w:t>
      </w:r>
      <w:r w:rsidR="00094F55" w:rsidRPr="00EA1123">
        <w:rPr>
          <w:sz w:val="20"/>
          <w:szCs w:val="20"/>
        </w:rPr>
        <w:t>co</w:t>
      </w:r>
      <w:r w:rsidR="00532B9B">
        <w:rPr>
          <w:sz w:val="20"/>
          <w:szCs w:val="20"/>
        </w:rPr>
        <w:t>-</w:t>
      </w:r>
      <w:r w:rsidR="00094F55" w:rsidRPr="00EA1123">
        <w:rPr>
          <w:sz w:val="20"/>
          <w:szCs w:val="20"/>
        </w:rPr>
        <w:t xml:space="preserve">infection </w:t>
      </w:r>
      <w:r w:rsidR="00DB1493">
        <w:rPr>
          <w:sz w:val="20"/>
          <w:szCs w:val="20"/>
        </w:rPr>
        <w:t>and/or HIV co-</w:t>
      </w:r>
      <w:r w:rsidR="00F90BFF" w:rsidRPr="00EA1123">
        <w:rPr>
          <w:sz w:val="20"/>
          <w:szCs w:val="20"/>
        </w:rPr>
        <w:t xml:space="preserve">infection </w:t>
      </w:r>
    </w:p>
    <w:p w14:paraId="0BF0E9FA" w14:textId="59E8EA2C" w:rsidR="00BA71FE" w:rsidRPr="00EA1123" w:rsidRDefault="00515290" w:rsidP="00DB37AD">
      <w:pPr>
        <w:pStyle w:val="ListParagraph"/>
        <w:numPr>
          <w:ilvl w:val="1"/>
          <w:numId w:val="9"/>
        </w:numPr>
        <w:spacing w:after="0"/>
        <w:ind w:left="851"/>
        <w:rPr>
          <w:sz w:val="20"/>
          <w:szCs w:val="20"/>
        </w:rPr>
      </w:pPr>
      <w:r>
        <w:rPr>
          <w:sz w:val="20"/>
          <w:szCs w:val="20"/>
        </w:rPr>
        <w:t>c</w:t>
      </w:r>
      <w:r w:rsidR="00BA71FE" w:rsidRPr="00EA1123">
        <w:rPr>
          <w:sz w:val="20"/>
          <w:szCs w:val="20"/>
        </w:rPr>
        <w:t>hildren born to mothers with hepatitis C</w:t>
      </w:r>
    </w:p>
    <w:p w14:paraId="344CD823" w14:textId="148DED39" w:rsidR="00BA71FE" w:rsidRDefault="00515290" w:rsidP="00DB37AD">
      <w:pPr>
        <w:pStyle w:val="ListParagraph"/>
        <w:numPr>
          <w:ilvl w:val="1"/>
          <w:numId w:val="9"/>
        </w:numPr>
        <w:spacing w:after="0"/>
        <w:ind w:left="851"/>
        <w:rPr>
          <w:sz w:val="20"/>
          <w:szCs w:val="20"/>
        </w:rPr>
      </w:pPr>
      <w:r>
        <w:rPr>
          <w:sz w:val="20"/>
          <w:szCs w:val="20"/>
        </w:rPr>
        <w:t>g</w:t>
      </w:r>
      <w:r w:rsidR="00803723">
        <w:rPr>
          <w:sz w:val="20"/>
          <w:szCs w:val="20"/>
        </w:rPr>
        <w:t xml:space="preserve">ay men and other </w:t>
      </w:r>
      <w:r w:rsidR="00BA71FE" w:rsidRPr="00EA1123">
        <w:rPr>
          <w:sz w:val="20"/>
          <w:szCs w:val="20"/>
        </w:rPr>
        <w:t>MSM</w:t>
      </w:r>
      <w:r w:rsidR="00DB1493">
        <w:rPr>
          <w:sz w:val="20"/>
          <w:szCs w:val="20"/>
        </w:rPr>
        <w:t xml:space="preserve"> with or without HIV </w:t>
      </w:r>
      <w:r w:rsidR="00BA71FE" w:rsidRPr="00EA1123">
        <w:rPr>
          <w:sz w:val="20"/>
          <w:szCs w:val="20"/>
        </w:rPr>
        <w:t>co</w:t>
      </w:r>
      <w:r w:rsidR="00DB1493">
        <w:rPr>
          <w:sz w:val="20"/>
          <w:szCs w:val="20"/>
        </w:rPr>
        <w:t>-</w:t>
      </w:r>
      <w:r w:rsidR="00BA71FE" w:rsidRPr="00EA1123">
        <w:rPr>
          <w:sz w:val="20"/>
          <w:szCs w:val="20"/>
        </w:rPr>
        <w:t>infection</w:t>
      </w:r>
    </w:p>
    <w:p w14:paraId="030C9906" w14:textId="23D26E43" w:rsidR="007940DC" w:rsidRPr="00EA1123" w:rsidRDefault="00515290" w:rsidP="00DB37AD">
      <w:pPr>
        <w:pStyle w:val="ListParagraph"/>
        <w:numPr>
          <w:ilvl w:val="1"/>
          <w:numId w:val="9"/>
        </w:numPr>
        <w:spacing w:after="0"/>
        <w:ind w:left="851"/>
        <w:rPr>
          <w:sz w:val="20"/>
          <w:szCs w:val="20"/>
        </w:rPr>
      </w:pPr>
      <w:r>
        <w:rPr>
          <w:sz w:val="20"/>
          <w:szCs w:val="20"/>
        </w:rPr>
        <w:t>s</w:t>
      </w:r>
      <w:r w:rsidR="007940DC">
        <w:rPr>
          <w:sz w:val="20"/>
          <w:szCs w:val="20"/>
        </w:rPr>
        <w:t>ex workers</w:t>
      </w:r>
    </w:p>
    <w:p w14:paraId="15573AA6" w14:textId="5ADCCFEA" w:rsidR="00FE7F04" w:rsidRDefault="00515290" w:rsidP="00DB37AD">
      <w:pPr>
        <w:pStyle w:val="ListParagraph"/>
        <w:numPr>
          <w:ilvl w:val="1"/>
          <w:numId w:val="9"/>
        </w:numPr>
        <w:spacing w:after="0"/>
        <w:ind w:left="851"/>
        <w:rPr>
          <w:sz w:val="20"/>
          <w:szCs w:val="20"/>
        </w:rPr>
      </w:pPr>
      <w:r>
        <w:rPr>
          <w:sz w:val="20"/>
          <w:szCs w:val="20"/>
        </w:rPr>
        <w:t>p</w:t>
      </w:r>
      <w:r w:rsidR="00BA71FE" w:rsidRPr="00EA1123">
        <w:rPr>
          <w:sz w:val="20"/>
          <w:szCs w:val="20"/>
        </w:rPr>
        <w:t xml:space="preserve">eople </w:t>
      </w:r>
      <w:r w:rsidR="00313689" w:rsidRPr="00EA1123">
        <w:rPr>
          <w:sz w:val="20"/>
          <w:szCs w:val="20"/>
        </w:rPr>
        <w:t>who have received</w:t>
      </w:r>
      <w:r w:rsidR="00BA71FE" w:rsidRPr="00EA1123">
        <w:rPr>
          <w:sz w:val="20"/>
          <w:szCs w:val="20"/>
        </w:rPr>
        <w:t xml:space="preserve"> tattoos and body piercings</w:t>
      </w:r>
      <w:r w:rsidR="004F6BFE" w:rsidRPr="00EA1123">
        <w:rPr>
          <w:sz w:val="20"/>
          <w:szCs w:val="20"/>
        </w:rPr>
        <w:t xml:space="preserve"> in unsterile </w:t>
      </w:r>
      <w:r w:rsidR="000A1ADD" w:rsidRPr="00EA1123">
        <w:rPr>
          <w:sz w:val="20"/>
          <w:szCs w:val="20"/>
        </w:rPr>
        <w:t>conditions</w:t>
      </w:r>
      <w:r>
        <w:rPr>
          <w:sz w:val="20"/>
          <w:szCs w:val="20"/>
        </w:rPr>
        <w:t>.</w:t>
      </w:r>
    </w:p>
    <w:p w14:paraId="4E71A003" w14:textId="77777777" w:rsidR="00803723" w:rsidRPr="00AC47D5" w:rsidRDefault="00803723" w:rsidP="00AC47D5">
      <w:pPr>
        <w:pStyle w:val="ListParagraph"/>
        <w:spacing w:after="0"/>
        <w:ind w:left="851"/>
      </w:pPr>
    </w:p>
    <w:p w14:paraId="78147C49" w14:textId="77777777" w:rsidR="00FE7F04" w:rsidRPr="00CC08CD" w:rsidRDefault="00BA71FE" w:rsidP="00CC08CD">
      <w:pPr>
        <w:spacing w:after="160"/>
        <w:rPr>
          <w:i/>
          <w:color w:val="00264D"/>
          <w:sz w:val="22"/>
        </w:rPr>
      </w:pPr>
      <w:r w:rsidRPr="00CC08CD">
        <w:rPr>
          <w:i/>
          <w:color w:val="00264D"/>
          <w:sz w:val="22"/>
        </w:rPr>
        <w:t>People who inject drugs and/or are accessing drug treatment programs</w:t>
      </w:r>
    </w:p>
    <w:p w14:paraId="44F0FD9F" w14:textId="64F325F8" w:rsidR="00BC11BD" w:rsidRPr="00EF7338" w:rsidRDefault="00210BA8" w:rsidP="00EF7338">
      <w:pPr>
        <w:rPr>
          <w:sz w:val="20"/>
          <w:szCs w:val="20"/>
        </w:rPr>
      </w:pPr>
      <w:r w:rsidRPr="00EA1123">
        <w:rPr>
          <w:sz w:val="20"/>
          <w:szCs w:val="20"/>
        </w:rPr>
        <w:t xml:space="preserve">Receptive </w:t>
      </w:r>
      <w:r w:rsidR="00340022">
        <w:rPr>
          <w:sz w:val="20"/>
          <w:szCs w:val="20"/>
        </w:rPr>
        <w:t>needle and syringe sharing</w:t>
      </w:r>
      <w:r w:rsidRPr="00EA1123">
        <w:rPr>
          <w:sz w:val="20"/>
          <w:szCs w:val="20"/>
        </w:rPr>
        <w:t xml:space="preserve"> is the primary cause of transmission in Australia</w:t>
      </w:r>
      <w:r w:rsidR="009B6036">
        <w:rPr>
          <w:sz w:val="20"/>
          <w:szCs w:val="20"/>
        </w:rPr>
        <w:t>.</w:t>
      </w:r>
      <w:r w:rsidRPr="00EA1123">
        <w:rPr>
          <w:sz w:val="20"/>
          <w:szCs w:val="20"/>
        </w:rPr>
        <w:t xml:space="preserve"> </w:t>
      </w:r>
      <w:r w:rsidR="009B6036">
        <w:rPr>
          <w:sz w:val="20"/>
          <w:szCs w:val="20"/>
        </w:rPr>
        <w:t>T</w:t>
      </w:r>
      <w:r w:rsidRPr="00EA1123">
        <w:rPr>
          <w:sz w:val="20"/>
          <w:szCs w:val="20"/>
        </w:rPr>
        <w:t>herefore</w:t>
      </w:r>
      <w:r w:rsidR="009B6036">
        <w:rPr>
          <w:sz w:val="20"/>
          <w:szCs w:val="20"/>
        </w:rPr>
        <w:t>,</w:t>
      </w:r>
      <w:r w:rsidRPr="00EA1123">
        <w:rPr>
          <w:sz w:val="20"/>
          <w:szCs w:val="20"/>
        </w:rPr>
        <w:t xml:space="preserve"> </w:t>
      </w:r>
      <w:r w:rsidR="004F683A" w:rsidRPr="00EA1123">
        <w:rPr>
          <w:sz w:val="20"/>
          <w:szCs w:val="20"/>
        </w:rPr>
        <w:t xml:space="preserve">education and </w:t>
      </w:r>
      <w:r w:rsidR="00C62A2F" w:rsidRPr="00EA1123">
        <w:rPr>
          <w:sz w:val="20"/>
          <w:szCs w:val="20"/>
        </w:rPr>
        <w:t xml:space="preserve">prevention </w:t>
      </w:r>
      <w:r w:rsidR="005E16D4" w:rsidRPr="00EA1123">
        <w:rPr>
          <w:sz w:val="20"/>
          <w:szCs w:val="20"/>
        </w:rPr>
        <w:t>activities</w:t>
      </w:r>
      <w:r w:rsidRPr="00EA1123">
        <w:rPr>
          <w:sz w:val="20"/>
          <w:szCs w:val="20"/>
        </w:rPr>
        <w:t xml:space="preserve"> primarily target people who inject drugs</w:t>
      </w:r>
      <w:r w:rsidR="00315023" w:rsidRPr="007F62DB">
        <w:rPr>
          <w:sz w:val="20"/>
          <w:szCs w:val="20"/>
        </w:rPr>
        <w:t>,</w:t>
      </w:r>
      <w:r w:rsidRPr="007F62DB">
        <w:rPr>
          <w:sz w:val="20"/>
          <w:szCs w:val="20"/>
        </w:rPr>
        <w:t xml:space="preserve"> to reduce their </w:t>
      </w:r>
      <w:r w:rsidR="004F683A" w:rsidRPr="007F62DB">
        <w:rPr>
          <w:sz w:val="20"/>
          <w:szCs w:val="20"/>
        </w:rPr>
        <w:t xml:space="preserve">own </w:t>
      </w:r>
      <w:r w:rsidRPr="007F62DB">
        <w:rPr>
          <w:sz w:val="20"/>
          <w:szCs w:val="20"/>
        </w:rPr>
        <w:t>risk of acquiring hepatitis C</w:t>
      </w:r>
      <w:r w:rsidRPr="00EA1123">
        <w:rPr>
          <w:sz w:val="20"/>
          <w:szCs w:val="20"/>
        </w:rPr>
        <w:t xml:space="preserve"> </w:t>
      </w:r>
      <w:r w:rsidR="004F683A" w:rsidRPr="00EA1123">
        <w:rPr>
          <w:sz w:val="20"/>
          <w:szCs w:val="20"/>
        </w:rPr>
        <w:t xml:space="preserve">and </w:t>
      </w:r>
      <w:r w:rsidRPr="00EA1123">
        <w:rPr>
          <w:sz w:val="20"/>
          <w:szCs w:val="20"/>
        </w:rPr>
        <w:t>reduce the</w:t>
      </w:r>
      <w:r w:rsidR="004F683A" w:rsidRPr="00EA1123">
        <w:rPr>
          <w:sz w:val="20"/>
          <w:szCs w:val="20"/>
        </w:rPr>
        <w:t xml:space="preserve"> </w:t>
      </w:r>
      <w:r w:rsidRPr="00EA1123">
        <w:rPr>
          <w:sz w:val="20"/>
          <w:szCs w:val="20"/>
        </w:rPr>
        <w:t>risk of transmi</w:t>
      </w:r>
      <w:r w:rsidR="004F683A" w:rsidRPr="00EA1123">
        <w:rPr>
          <w:sz w:val="20"/>
          <w:szCs w:val="20"/>
        </w:rPr>
        <w:t xml:space="preserve">ssion </w:t>
      </w:r>
      <w:r w:rsidRPr="00EA1123">
        <w:rPr>
          <w:sz w:val="20"/>
          <w:szCs w:val="20"/>
        </w:rPr>
        <w:t xml:space="preserve">to others. People who inject drugs and/or are accessing drug treatment programs are also one of the key populations for </w:t>
      </w:r>
      <w:r w:rsidR="00AA3DAB" w:rsidRPr="00EA1123">
        <w:rPr>
          <w:sz w:val="20"/>
          <w:szCs w:val="20"/>
        </w:rPr>
        <w:t xml:space="preserve">hepatitis C </w:t>
      </w:r>
      <w:r w:rsidRPr="00EA1123">
        <w:rPr>
          <w:sz w:val="20"/>
          <w:szCs w:val="20"/>
        </w:rPr>
        <w:t xml:space="preserve">testing and </w:t>
      </w:r>
      <w:r w:rsidR="00AA3DAB" w:rsidRPr="00EA1123">
        <w:rPr>
          <w:sz w:val="20"/>
          <w:szCs w:val="20"/>
        </w:rPr>
        <w:t>treatment programs</w:t>
      </w:r>
      <w:r w:rsidR="009A551B" w:rsidRPr="00EA1123">
        <w:rPr>
          <w:sz w:val="20"/>
          <w:szCs w:val="20"/>
        </w:rPr>
        <w:t>.</w:t>
      </w:r>
      <w:r w:rsidR="00AA3DAB" w:rsidRPr="00EA1123">
        <w:rPr>
          <w:sz w:val="20"/>
          <w:szCs w:val="20"/>
        </w:rPr>
        <w:t xml:space="preserve"> </w:t>
      </w:r>
    </w:p>
    <w:p w14:paraId="6C3E9566" w14:textId="4D4DD10D" w:rsidR="0047156A" w:rsidRPr="00EA1123" w:rsidRDefault="009B6036" w:rsidP="00DE48A2">
      <w:pPr>
        <w:spacing w:after="0"/>
        <w:rPr>
          <w:sz w:val="20"/>
          <w:szCs w:val="20"/>
        </w:rPr>
      </w:pPr>
      <w:r>
        <w:rPr>
          <w:sz w:val="20"/>
          <w:szCs w:val="20"/>
        </w:rPr>
        <w:t>T</w:t>
      </w:r>
      <w:r w:rsidRPr="00EA1123">
        <w:rPr>
          <w:sz w:val="20"/>
          <w:szCs w:val="20"/>
        </w:rPr>
        <w:t>hrough analysis of surve</w:t>
      </w:r>
      <w:r>
        <w:rPr>
          <w:sz w:val="20"/>
          <w:szCs w:val="20"/>
        </w:rPr>
        <w:t>illance data, k</w:t>
      </w:r>
      <w:r w:rsidR="00AA3DAB" w:rsidRPr="00EA1123">
        <w:rPr>
          <w:sz w:val="20"/>
          <w:szCs w:val="20"/>
        </w:rPr>
        <w:t xml:space="preserve">ey </w:t>
      </w:r>
      <w:r w:rsidR="005E16D4" w:rsidRPr="00EA1123">
        <w:rPr>
          <w:sz w:val="20"/>
          <w:szCs w:val="20"/>
        </w:rPr>
        <w:t xml:space="preserve">sub-populations </w:t>
      </w:r>
      <w:r w:rsidR="0047156A" w:rsidRPr="00EA1123">
        <w:rPr>
          <w:sz w:val="20"/>
          <w:szCs w:val="20"/>
        </w:rPr>
        <w:t xml:space="preserve">have been identified </w:t>
      </w:r>
      <w:r w:rsidR="00012532">
        <w:rPr>
          <w:sz w:val="20"/>
          <w:szCs w:val="20"/>
        </w:rPr>
        <w:t xml:space="preserve">as either having </w:t>
      </w:r>
      <w:r w:rsidR="0047156A" w:rsidRPr="00EA1123">
        <w:rPr>
          <w:sz w:val="20"/>
          <w:szCs w:val="20"/>
        </w:rPr>
        <w:t xml:space="preserve">an increased risk of exposure to hepatitis C or </w:t>
      </w:r>
      <w:r>
        <w:rPr>
          <w:sz w:val="20"/>
          <w:szCs w:val="20"/>
        </w:rPr>
        <w:t xml:space="preserve">having </w:t>
      </w:r>
      <w:r w:rsidR="0047156A" w:rsidRPr="00EA1123">
        <w:rPr>
          <w:sz w:val="20"/>
          <w:szCs w:val="20"/>
        </w:rPr>
        <w:t xml:space="preserve">been historically </w:t>
      </w:r>
      <w:r>
        <w:rPr>
          <w:sz w:val="20"/>
          <w:szCs w:val="20"/>
        </w:rPr>
        <w:t xml:space="preserve">affected </w:t>
      </w:r>
      <w:r w:rsidR="0047156A" w:rsidRPr="00EA1123">
        <w:rPr>
          <w:sz w:val="20"/>
          <w:szCs w:val="20"/>
        </w:rPr>
        <w:t xml:space="preserve">by hepatitis C. </w:t>
      </w:r>
      <w:r w:rsidR="00012532">
        <w:rPr>
          <w:sz w:val="20"/>
          <w:szCs w:val="20"/>
        </w:rPr>
        <w:t>T</w:t>
      </w:r>
      <w:r w:rsidR="0047156A" w:rsidRPr="00EA1123">
        <w:rPr>
          <w:sz w:val="20"/>
          <w:szCs w:val="20"/>
        </w:rPr>
        <w:t xml:space="preserve">ailored approaches to education, awareness, prevention, testing and treatment </w:t>
      </w:r>
      <w:r w:rsidR="00012532">
        <w:rPr>
          <w:sz w:val="20"/>
          <w:szCs w:val="20"/>
        </w:rPr>
        <w:t xml:space="preserve">that are socially and culturally appropriate </w:t>
      </w:r>
      <w:r w:rsidR="0047156A" w:rsidRPr="00EA1123">
        <w:rPr>
          <w:sz w:val="20"/>
          <w:szCs w:val="20"/>
        </w:rPr>
        <w:t>will be needed for these groups</w:t>
      </w:r>
      <w:r w:rsidR="00074B44" w:rsidRPr="00EA1123">
        <w:rPr>
          <w:sz w:val="20"/>
          <w:szCs w:val="20"/>
        </w:rPr>
        <w:t xml:space="preserve">. </w:t>
      </w:r>
      <w:r w:rsidR="0047156A" w:rsidRPr="00EA1123">
        <w:rPr>
          <w:sz w:val="20"/>
          <w:szCs w:val="20"/>
        </w:rPr>
        <w:t>Key sub-populations include:</w:t>
      </w:r>
    </w:p>
    <w:p w14:paraId="37F665B0" w14:textId="77777777" w:rsidR="00BA71FE" w:rsidRPr="00EA1123" w:rsidRDefault="00FE7F04" w:rsidP="00DB37AD">
      <w:pPr>
        <w:pStyle w:val="ListParagraph"/>
        <w:numPr>
          <w:ilvl w:val="1"/>
          <w:numId w:val="9"/>
        </w:numPr>
        <w:spacing w:after="0"/>
        <w:ind w:left="851"/>
        <w:rPr>
          <w:sz w:val="20"/>
          <w:szCs w:val="20"/>
        </w:rPr>
      </w:pPr>
      <w:r w:rsidRPr="00EA1123">
        <w:rPr>
          <w:sz w:val="20"/>
          <w:szCs w:val="20"/>
        </w:rPr>
        <w:t>A</w:t>
      </w:r>
      <w:r w:rsidR="00BA71FE" w:rsidRPr="00EA1123">
        <w:rPr>
          <w:sz w:val="20"/>
          <w:szCs w:val="20"/>
        </w:rPr>
        <w:t xml:space="preserve">boriginal and Torres Strait Islander </w:t>
      </w:r>
      <w:r w:rsidRPr="00EA1123">
        <w:rPr>
          <w:sz w:val="20"/>
          <w:szCs w:val="20"/>
        </w:rPr>
        <w:t>people</w:t>
      </w:r>
    </w:p>
    <w:p w14:paraId="02A7DFB1" w14:textId="3D59C002" w:rsidR="00AA3DAB" w:rsidRPr="00EA1123" w:rsidRDefault="009B6036" w:rsidP="00DB37AD">
      <w:pPr>
        <w:pStyle w:val="ListParagraph"/>
        <w:numPr>
          <w:ilvl w:val="1"/>
          <w:numId w:val="9"/>
        </w:numPr>
        <w:spacing w:after="0"/>
        <w:ind w:left="851"/>
        <w:rPr>
          <w:sz w:val="20"/>
          <w:szCs w:val="20"/>
        </w:rPr>
      </w:pPr>
      <w:r>
        <w:rPr>
          <w:sz w:val="20"/>
          <w:szCs w:val="20"/>
        </w:rPr>
        <w:t>p</w:t>
      </w:r>
      <w:r w:rsidR="00AA3DAB" w:rsidRPr="00EA1123">
        <w:rPr>
          <w:sz w:val="20"/>
          <w:szCs w:val="20"/>
        </w:rPr>
        <w:t>eople in custodial settings</w:t>
      </w:r>
    </w:p>
    <w:p w14:paraId="7D3D391A" w14:textId="5D2F23A9" w:rsidR="00BA71FE" w:rsidRPr="00EA1123" w:rsidRDefault="009B6036" w:rsidP="00DB37AD">
      <w:pPr>
        <w:pStyle w:val="ListParagraph"/>
        <w:numPr>
          <w:ilvl w:val="1"/>
          <w:numId w:val="9"/>
        </w:numPr>
        <w:spacing w:after="0"/>
        <w:ind w:left="851"/>
        <w:rPr>
          <w:sz w:val="20"/>
          <w:szCs w:val="20"/>
        </w:rPr>
      </w:pPr>
      <w:r>
        <w:rPr>
          <w:sz w:val="20"/>
          <w:szCs w:val="20"/>
        </w:rPr>
        <w:t>p</w:t>
      </w:r>
      <w:r w:rsidR="00FE7F04" w:rsidRPr="00EA1123">
        <w:rPr>
          <w:sz w:val="20"/>
          <w:szCs w:val="20"/>
        </w:rPr>
        <w:t xml:space="preserve">eople </w:t>
      </w:r>
      <w:r w:rsidR="00152B92">
        <w:rPr>
          <w:sz w:val="20"/>
          <w:szCs w:val="20"/>
        </w:rPr>
        <w:t>from</w:t>
      </w:r>
      <w:r w:rsidR="007F62DB">
        <w:rPr>
          <w:sz w:val="20"/>
          <w:szCs w:val="20"/>
        </w:rPr>
        <w:t xml:space="preserve"> CALD </w:t>
      </w:r>
      <w:r w:rsidR="00BA71FE" w:rsidRPr="00EA1123">
        <w:rPr>
          <w:sz w:val="20"/>
          <w:szCs w:val="20"/>
        </w:rPr>
        <w:t>backgrounds</w:t>
      </w:r>
    </w:p>
    <w:p w14:paraId="30C4964E" w14:textId="044616FF" w:rsidR="005C12DB" w:rsidRDefault="009B6036" w:rsidP="00DB37AD">
      <w:pPr>
        <w:pStyle w:val="ListParagraph"/>
        <w:numPr>
          <w:ilvl w:val="1"/>
          <w:numId w:val="9"/>
        </w:numPr>
        <w:spacing w:after="0"/>
        <w:ind w:left="851"/>
        <w:rPr>
          <w:sz w:val="20"/>
          <w:szCs w:val="20"/>
        </w:rPr>
      </w:pPr>
      <w:r>
        <w:rPr>
          <w:sz w:val="20"/>
          <w:szCs w:val="20"/>
        </w:rPr>
        <w:t>s</w:t>
      </w:r>
      <w:r w:rsidR="00BA71FE" w:rsidRPr="00EA1123">
        <w:rPr>
          <w:sz w:val="20"/>
          <w:szCs w:val="20"/>
        </w:rPr>
        <w:t>ex workers</w:t>
      </w:r>
    </w:p>
    <w:p w14:paraId="00C7027C" w14:textId="0FECF959" w:rsidR="00803723" w:rsidRPr="00EA1123" w:rsidRDefault="009B6036" w:rsidP="00DB37AD">
      <w:pPr>
        <w:pStyle w:val="ListParagraph"/>
        <w:numPr>
          <w:ilvl w:val="1"/>
          <w:numId w:val="9"/>
        </w:numPr>
        <w:spacing w:after="0"/>
        <w:ind w:left="851"/>
        <w:rPr>
          <w:sz w:val="20"/>
          <w:szCs w:val="20"/>
        </w:rPr>
      </w:pPr>
      <w:r>
        <w:rPr>
          <w:sz w:val="20"/>
          <w:szCs w:val="20"/>
        </w:rPr>
        <w:t>g</w:t>
      </w:r>
      <w:r w:rsidR="00803723">
        <w:rPr>
          <w:sz w:val="20"/>
          <w:szCs w:val="20"/>
        </w:rPr>
        <w:t>ay men and MSM with or without HIV co-infection</w:t>
      </w:r>
    </w:p>
    <w:p w14:paraId="6DB701D9" w14:textId="11269477" w:rsidR="005E16D4" w:rsidRPr="00EA1123" w:rsidRDefault="009B6036" w:rsidP="00DB37AD">
      <w:pPr>
        <w:pStyle w:val="ListParagraph"/>
        <w:numPr>
          <w:ilvl w:val="1"/>
          <w:numId w:val="9"/>
        </w:numPr>
        <w:spacing w:after="0"/>
        <w:ind w:left="851"/>
        <w:rPr>
          <w:sz w:val="20"/>
          <w:szCs w:val="20"/>
        </w:rPr>
      </w:pPr>
      <w:r>
        <w:rPr>
          <w:sz w:val="20"/>
          <w:szCs w:val="20"/>
        </w:rPr>
        <w:t>n</w:t>
      </w:r>
      <w:r w:rsidR="005E16D4" w:rsidRPr="00EA1123">
        <w:rPr>
          <w:sz w:val="20"/>
          <w:szCs w:val="20"/>
        </w:rPr>
        <w:t xml:space="preserve">ew initiates and </w:t>
      </w:r>
      <w:r w:rsidR="00110705" w:rsidRPr="00EA1123">
        <w:rPr>
          <w:sz w:val="20"/>
          <w:szCs w:val="20"/>
        </w:rPr>
        <w:t xml:space="preserve">people </w:t>
      </w:r>
      <w:r w:rsidR="005E16D4" w:rsidRPr="00EA1123">
        <w:rPr>
          <w:sz w:val="20"/>
          <w:szCs w:val="20"/>
        </w:rPr>
        <w:t>at risk of injecting, particularly young people</w:t>
      </w:r>
      <w:r>
        <w:rPr>
          <w:sz w:val="20"/>
          <w:szCs w:val="20"/>
        </w:rPr>
        <w:t>.</w:t>
      </w:r>
    </w:p>
    <w:p w14:paraId="20CEC185" w14:textId="77777777" w:rsidR="005C12DB" w:rsidRPr="005C12DB" w:rsidRDefault="005C12DB" w:rsidP="005C12DB">
      <w:pPr>
        <w:pStyle w:val="ListParagraph"/>
        <w:spacing w:after="0"/>
        <w:ind w:left="851"/>
      </w:pPr>
    </w:p>
    <w:p w14:paraId="36E2C8AF" w14:textId="77777777" w:rsidR="00C62A2F" w:rsidRPr="005C12DB" w:rsidRDefault="00C62A2F" w:rsidP="00E85AAE">
      <w:pPr>
        <w:spacing w:after="160"/>
        <w:rPr>
          <w:i/>
          <w:color w:val="00264D"/>
          <w:sz w:val="22"/>
        </w:rPr>
      </w:pPr>
      <w:r w:rsidRPr="00E85AAE">
        <w:rPr>
          <w:i/>
          <w:color w:val="00264D"/>
          <w:sz w:val="22"/>
        </w:rPr>
        <w:t>People who previously injected drugs</w:t>
      </w:r>
    </w:p>
    <w:p w14:paraId="3539B259" w14:textId="77777777" w:rsidR="004D1676" w:rsidRPr="00EA1123" w:rsidRDefault="00E76361" w:rsidP="00DE48A2">
      <w:pPr>
        <w:rPr>
          <w:sz w:val="20"/>
          <w:szCs w:val="20"/>
        </w:rPr>
      </w:pPr>
      <w:r w:rsidRPr="00EA1123">
        <w:rPr>
          <w:sz w:val="20"/>
          <w:szCs w:val="20"/>
        </w:rPr>
        <w:t xml:space="preserve">People who previously injected drugs account for a high proportion </w:t>
      </w:r>
      <w:r w:rsidR="00210BA8" w:rsidRPr="00EA1123">
        <w:rPr>
          <w:sz w:val="20"/>
          <w:szCs w:val="20"/>
        </w:rPr>
        <w:t>of the hepatitis C prevalent population</w:t>
      </w:r>
      <w:r w:rsidRPr="00EA1123">
        <w:rPr>
          <w:sz w:val="20"/>
          <w:szCs w:val="20"/>
        </w:rPr>
        <w:t>.</w:t>
      </w:r>
      <w:r w:rsidR="008B06EC" w:rsidRPr="00EA1123">
        <w:rPr>
          <w:rStyle w:val="EndnoteReference"/>
          <w:sz w:val="20"/>
          <w:szCs w:val="20"/>
        </w:rPr>
        <w:endnoteReference w:id="19"/>
      </w:r>
      <w:r w:rsidRPr="00EA1123">
        <w:rPr>
          <w:sz w:val="20"/>
          <w:szCs w:val="20"/>
        </w:rPr>
        <w:t xml:space="preserve"> </w:t>
      </w:r>
      <w:r w:rsidRPr="00215B49">
        <w:rPr>
          <w:sz w:val="20"/>
          <w:szCs w:val="20"/>
        </w:rPr>
        <w:t>I</w:t>
      </w:r>
      <w:r w:rsidR="004F683A" w:rsidRPr="00215B49">
        <w:rPr>
          <w:sz w:val="20"/>
          <w:szCs w:val="20"/>
        </w:rPr>
        <w:t xml:space="preserve">t is estimated that </w:t>
      </w:r>
      <w:r w:rsidR="00ED0252" w:rsidRPr="00215B49">
        <w:rPr>
          <w:sz w:val="20"/>
          <w:szCs w:val="20"/>
        </w:rPr>
        <w:t xml:space="preserve">approximately </w:t>
      </w:r>
      <w:r w:rsidR="00210BA8" w:rsidRPr="00215B49">
        <w:rPr>
          <w:sz w:val="20"/>
          <w:szCs w:val="20"/>
        </w:rPr>
        <w:t xml:space="preserve">two-thirds </w:t>
      </w:r>
      <w:r w:rsidR="00ED0252" w:rsidRPr="00215B49">
        <w:rPr>
          <w:sz w:val="20"/>
          <w:szCs w:val="20"/>
        </w:rPr>
        <w:t xml:space="preserve">of people who have acquired hepatitis C through injecting drug use </w:t>
      </w:r>
      <w:r w:rsidR="00210BA8" w:rsidRPr="00215B49">
        <w:rPr>
          <w:sz w:val="20"/>
          <w:szCs w:val="20"/>
        </w:rPr>
        <w:t>no longer inject drugs and</w:t>
      </w:r>
      <w:r w:rsidR="004F7731" w:rsidRPr="00215B49">
        <w:rPr>
          <w:sz w:val="20"/>
          <w:szCs w:val="20"/>
        </w:rPr>
        <w:t xml:space="preserve"> </w:t>
      </w:r>
      <w:r w:rsidR="00300855" w:rsidRPr="00215B49">
        <w:rPr>
          <w:sz w:val="20"/>
          <w:szCs w:val="20"/>
        </w:rPr>
        <w:t xml:space="preserve">therefore may not be identified by a </w:t>
      </w:r>
      <w:r w:rsidR="00834AF4" w:rsidRPr="00215B49">
        <w:rPr>
          <w:sz w:val="20"/>
          <w:szCs w:val="20"/>
        </w:rPr>
        <w:t xml:space="preserve">health </w:t>
      </w:r>
      <w:r w:rsidR="00300855" w:rsidRPr="00215B49">
        <w:rPr>
          <w:sz w:val="20"/>
          <w:szCs w:val="20"/>
        </w:rPr>
        <w:t>service</w:t>
      </w:r>
      <w:r w:rsidR="00834AF4" w:rsidRPr="00215B49">
        <w:rPr>
          <w:sz w:val="20"/>
          <w:szCs w:val="20"/>
        </w:rPr>
        <w:t xml:space="preserve"> or other provider</w:t>
      </w:r>
      <w:r w:rsidR="00300855" w:rsidRPr="00215B49">
        <w:rPr>
          <w:sz w:val="20"/>
          <w:szCs w:val="20"/>
        </w:rPr>
        <w:t xml:space="preserve"> as requiring access to he</w:t>
      </w:r>
      <w:r w:rsidR="00834AF4" w:rsidRPr="00215B49">
        <w:rPr>
          <w:sz w:val="20"/>
          <w:szCs w:val="20"/>
        </w:rPr>
        <w:t>patitis C testing and treatment</w:t>
      </w:r>
      <w:r w:rsidR="004D0331" w:rsidRPr="00215B49">
        <w:rPr>
          <w:sz w:val="20"/>
          <w:szCs w:val="20"/>
        </w:rPr>
        <w:t>.</w:t>
      </w:r>
      <w:r w:rsidR="00215B49" w:rsidRPr="00215B49">
        <w:rPr>
          <w:sz w:val="20"/>
          <w:szCs w:val="20"/>
          <w:vertAlign w:val="superscript"/>
        </w:rPr>
        <w:t>18</w:t>
      </w:r>
      <w:r w:rsidR="00253AC9" w:rsidRPr="009B6036">
        <w:rPr>
          <w:sz w:val="20"/>
          <w:szCs w:val="20"/>
        </w:rPr>
        <w:t xml:space="preserve"> </w:t>
      </w:r>
      <w:r w:rsidR="004D0331" w:rsidRPr="00EA1123">
        <w:rPr>
          <w:sz w:val="20"/>
          <w:szCs w:val="20"/>
        </w:rPr>
        <w:t xml:space="preserve">Different </w:t>
      </w:r>
      <w:r w:rsidR="007A3BA9" w:rsidRPr="00EA1123">
        <w:rPr>
          <w:sz w:val="20"/>
          <w:szCs w:val="20"/>
        </w:rPr>
        <w:t>approach</w:t>
      </w:r>
      <w:r w:rsidR="004D0331" w:rsidRPr="00EA1123">
        <w:rPr>
          <w:sz w:val="20"/>
          <w:szCs w:val="20"/>
        </w:rPr>
        <w:t xml:space="preserve">es </w:t>
      </w:r>
      <w:r w:rsidR="00FC6013">
        <w:rPr>
          <w:sz w:val="20"/>
          <w:szCs w:val="20"/>
        </w:rPr>
        <w:t xml:space="preserve">to those </w:t>
      </w:r>
      <w:r w:rsidR="00834AF4">
        <w:rPr>
          <w:sz w:val="20"/>
          <w:szCs w:val="20"/>
        </w:rPr>
        <w:t xml:space="preserve">used </w:t>
      </w:r>
      <w:r w:rsidR="00FC6013">
        <w:rPr>
          <w:sz w:val="20"/>
          <w:szCs w:val="20"/>
        </w:rPr>
        <w:t>for other priority populations may be</w:t>
      </w:r>
      <w:r w:rsidR="00FC6013" w:rsidRPr="00EA1123">
        <w:rPr>
          <w:sz w:val="20"/>
          <w:szCs w:val="20"/>
        </w:rPr>
        <w:t xml:space="preserve"> </w:t>
      </w:r>
      <w:r w:rsidR="007A3BA9" w:rsidRPr="00EA1123">
        <w:rPr>
          <w:sz w:val="20"/>
          <w:szCs w:val="20"/>
        </w:rPr>
        <w:t xml:space="preserve">needed to </w:t>
      </w:r>
      <w:r w:rsidR="004D0331" w:rsidRPr="00EA1123">
        <w:rPr>
          <w:sz w:val="20"/>
          <w:szCs w:val="20"/>
        </w:rPr>
        <w:t xml:space="preserve">reach and </w:t>
      </w:r>
      <w:r w:rsidR="007A3BA9" w:rsidRPr="00EA1123">
        <w:rPr>
          <w:sz w:val="20"/>
          <w:szCs w:val="20"/>
        </w:rPr>
        <w:t xml:space="preserve">engage </w:t>
      </w:r>
      <w:r w:rsidR="004D0331" w:rsidRPr="00EA1123">
        <w:rPr>
          <w:sz w:val="20"/>
          <w:szCs w:val="20"/>
        </w:rPr>
        <w:t xml:space="preserve">this important priority population. </w:t>
      </w:r>
      <w:r w:rsidR="00ED0252" w:rsidRPr="00EA1123">
        <w:rPr>
          <w:sz w:val="20"/>
          <w:szCs w:val="20"/>
        </w:rPr>
        <w:t xml:space="preserve"> </w:t>
      </w:r>
    </w:p>
    <w:p w14:paraId="017BD2D5" w14:textId="5D9B7ACD" w:rsidR="007655D8" w:rsidRPr="00E85AAE" w:rsidRDefault="007655D8" w:rsidP="007655D8">
      <w:pPr>
        <w:spacing w:after="160"/>
        <w:rPr>
          <w:i/>
          <w:color w:val="00264D"/>
          <w:sz w:val="22"/>
        </w:rPr>
      </w:pPr>
      <w:r w:rsidRPr="00E85AAE">
        <w:rPr>
          <w:i/>
          <w:color w:val="00264D"/>
          <w:sz w:val="22"/>
        </w:rPr>
        <w:t xml:space="preserve">People in </w:t>
      </w:r>
      <w:r w:rsidR="009B6036">
        <w:rPr>
          <w:i/>
          <w:color w:val="00264D"/>
          <w:sz w:val="22"/>
        </w:rPr>
        <w:t>c</w:t>
      </w:r>
      <w:r w:rsidRPr="00E85AAE">
        <w:rPr>
          <w:i/>
          <w:color w:val="00264D"/>
          <w:sz w:val="22"/>
        </w:rPr>
        <w:t xml:space="preserve">ustodial </w:t>
      </w:r>
      <w:r w:rsidR="009B6036">
        <w:rPr>
          <w:i/>
          <w:color w:val="00264D"/>
          <w:sz w:val="22"/>
        </w:rPr>
        <w:t>s</w:t>
      </w:r>
      <w:r w:rsidRPr="00E85AAE">
        <w:rPr>
          <w:i/>
          <w:color w:val="00264D"/>
          <w:sz w:val="22"/>
        </w:rPr>
        <w:t xml:space="preserve">ettings </w:t>
      </w:r>
    </w:p>
    <w:p w14:paraId="0653E856" w14:textId="30C2F83E" w:rsidR="00EF7338" w:rsidRPr="00EA1123" w:rsidRDefault="007655D8" w:rsidP="007655D8">
      <w:pPr>
        <w:rPr>
          <w:sz w:val="20"/>
          <w:szCs w:val="20"/>
        </w:rPr>
      </w:pPr>
      <w:r w:rsidRPr="00EA1123">
        <w:rPr>
          <w:sz w:val="20"/>
          <w:szCs w:val="20"/>
        </w:rPr>
        <w:t>People in custodial settings are at heightened risk of hepatitis C transmission due to the high hepatitis C prevalence among prison entrants</w:t>
      </w:r>
      <w:r w:rsidR="00EF7338">
        <w:rPr>
          <w:sz w:val="20"/>
          <w:szCs w:val="20"/>
          <w:vertAlign w:val="superscript"/>
        </w:rPr>
        <w:t>4</w:t>
      </w:r>
      <w:r w:rsidRPr="00EA1123">
        <w:rPr>
          <w:sz w:val="20"/>
          <w:szCs w:val="20"/>
        </w:rPr>
        <w:t xml:space="preserve"> and limitations on the delivery of evidence-based harm reduction and demand reduction programs such as provision of sterile needles and syringes, sterile tattooing and body piercings</w:t>
      </w:r>
      <w:r w:rsidR="00315023">
        <w:rPr>
          <w:sz w:val="20"/>
          <w:szCs w:val="20"/>
        </w:rPr>
        <w:t>,</w:t>
      </w:r>
      <w:r w:rsidRPr="00EA1123">
        <w:rPr>
          <w:sz w:val="20"/>
          <w:szCs w:val="20"/>
        </w:rPr>
        <w:t xml:space="preserve"> and </w:t>
      </w:r>
      <w:r w:rsidR="002C3655">
        <w:rPr>
          <w:sz w:val="20"/>
          <w:szCs w:val="20"/>
        </w:rPr>
        <w:t xml:space="preserve">evidence-based </w:t>
      </w:r>
      <w:r w:rsidRPr="00EA1123">
        <w:rPr>
          <w:sz w:val="20"/>
          <w:szCs w:val="20"/>
        </w:rPr>
        <w:t xml:space="preserve">opioid </w:t>
      </w:r>
      <w:r w:rsidR="00074E68">
        <w:rPr>
          <w:sz w:val="20"/>
          <w:szCs w:val="20"/>
        </w:rPr>
        <w:t xml:space="preserve">treatment </w:t>
      </w:r>
      <w:r w:rsidR="007940DC">
        <w:rPr>
          <w:sz w:val="20"/>
          <w:szCs w:val="20"/>
        </w:rPr>
        <w:t xml:space="preserve">programs </w:t>
      </w:r>
      <w:r w:rsidR="00074E68">
        <w:rPr>
          <w:sz w:val="20"/>
          <w:szCs w:val="20"/>
        </w:rPr>
        <w:t>(O</w:t>
      </w:r>
      <w:r w:rsidR="007940DC">
        <w:rPr>
          <w:sz w:val="20"/>
          <w:szCs w:val="20"/>
        </w:rPr>
        <w:t>TP</w:t>
      </w:r>
      <w:r w:rsidRPr="00EA1123">
        <w:rPr>
          <w:sz w:val="20"/>
          <w:szCs w:val="20"/>
        </w:rPr>
        <w:t xml:space="preserve">). Current approaches to hepatitis C in these settings focus primarily on treatment. Opportunities for greater harm reduction and demand reduction services need to be explored. </w:t>
      </w:r>
    </w:p>
    <w:p w14:paraId="5C04CC23" w14:textId="77777777" w:rsidR="00FE7F04" w:rsidRPr="00E85AAE" w:rsidRDefault="00134D20" w:rsidP="00E85AAE">
      <w:pPr>
        <w:spacing w:after="160"/>
        <w:rPr>
          <w:i/>
          <w:color w:val="00264D"/>
          <w:sz w:val="22"/>
        </w:rPr>
      </w:pPr>
      <w:r w:rsidRPr="00E85AAE">
        <w:rPr>
          <w:i/>
          <w:color w:val="00264D"/>
          <w:sz w:val="22"/>
        </w:rPr>
        <w:t>Aboriginal and Torres Strait Islander peoples</w:t>
      </w:r>
    </w:p>
    <w:p w14:paraId="3F183616" w14:textId="72DCD651" w:rsidR="00AB567A" w:rsidRPr="00EA1123" w:rsidRDefault="00075864" w:rsidP="00DE48A2">
      <w:pPr>
        <w:rPr>
          <w:sz w:val="20"/>
          <w:szCs w:val="20"/>
        </w:rPr>
      </w:pPr>
      <w:r w:rsidRPr="00EA1123">
        <w:rPr>
          <w:sz w:val="20"/>
          <w:szCs w:val="20"/>
        </w:rPr>
        <w:t xml:space="preserve">Lack of access to testing and treatment, </w:t>
      </w:r>
      <w:r w:rsidR="008B641A">
        <w:rPr>
          <w:sz w:val="20"/>
          <w:szCs w:val="20"/>
        </w:rPr>
        <w:t>over-</w:t>
      </w:r>
      <w:r w:rsidR="0036332A">
        <w:rPr>
          <w:sz w:val="20"/>
          <w:szCs w:val="20"/>
        </w:rPr>
        <w:t>representation in custodial settings</w:t>
      </w:r>
      <w:r w:rsidR="00253AC9">
        <w:rPr>
          <w:rStyle w:val="EndnoteReference"/>
          <w:sz w:val="20"/>
          <w:szCs w:val="20"/>
        </w:rPr>
        <w:endnoteReference w:id="20"/>
      </w:r>
      <w:r w:rsidR="005C30E5">
        <w:rPr>
          <w:sz w:val="20"/>
          <w:szCs w:val="20"/>
        </w:rPr>
        <w:t xml:space="preserve"> </w:t>
      </w:r>
      <w:r w:rsidR="002672A9" w:rsidRPr="00EA1123">
        <w:rPr>
          <w:sz w:val="20"/>
          <w:szCs w:val="20"/>
        </w:rPr>
        <w:t xml:space="preserve">and </w:t>
      </w:r>
      <w:r w:rsidR="00713089" w:rsidRPr="00EA1123">
        <w:rPr>
          <w:sz w:val="20"/>
          <w:szCs w:val="20"/>
        </w:rPr>
        <w:t>complex social and medical factors</w:t>
      </w:r>
      <w:r w:rsidR="002672A9" w:rsidRPr="00EA1123">
        <w:rPr>
          <w:sz w:val="20"/>
          <w:szCs w:val="20"/>
        </w:rPr>
        <w:t xml:space="preserve"> mean</w:t>
      </w:r>
      <w:r w:rsidR="00713089" w:rsidRPr="00EA1123">
        <w:rPr>
          <w:sz w:val="20"/>
          <w:szCs w:val="20"/>
        </w:rPr>
        <w:t xml:space="preserve"> that</w:t>
      </w:r>
      <w:r w:rsidR="002672A9" w:rsidRPr="00EA1123">
        <w:rPr>
          <w:sz w:val="20"/>
          <w:szCs w:val="20"/>
        </w:rPr>
        <w:t xml:space="preserve"> Aboriginal and Torres Strait Islander people are more frequently exposed to environments and situations where there is an increas</w:t>
      </w:r>
      <w:r w:rsidR="00713089" w:rsidRPr="00EA1123">
        <w:rPr>
          <w:sz w:val="20"/>
          <w:szCs w:val="20"/>
        </w:rPr>
        <w:t>ed risk of exposure to h</w:t>
      </w:r>
      <w:r w:rsidR="002672A9" w:rsidRPr="00EA1123">
        <w:rPr>
          <w:sz w:val="20"/>
          <w:szCs w:val="20"/>
        </w:rPr>
        <w:t>epatitis</w:t>
      </w:r>
      <w:r w:rsidR="00713089" w:rsidRPr="00EA1123">
        <w:rPr>
          <w:sz w:val="20"/>
          <w:szCs w:val="20"/>
        </w:rPr>
        <w:t xml:space="preserve"> C</w:t>
      </w:r>
      <w:r w:rsidR="009B6036">
        <w:rPr>
          <w:sz w:val="20"/>
          <w:szCs w:val="20"/>
        </w:rPr>
        <w:t>.</w:t>
      </w:r>
      <w:r w:rsidR="002672A9" w:rsidRPr="00EA1123">
        <w:rPr>
          <w:sz w:val="20"/>
          <w:szCs w:val="20"/>
        </w:rPr>
        <w:t xml:space="preserve"> </w:t>
      </w:r>
      <w:r w:rsidR="009B6036">
        <w:rPr>
          <w:sz w:val="20"/>
          <w:szCs w:val="20"/>
        </w:rPr>
        <w:t xml:space="preserve">They </w:t>
      </w:r>
      <w:r w:rsidR="00416A10" w:rsidRPr="00EA1123">
        <w:rPr>
          <w:sz w:val="20"/>
          <w:szCs w:val="20"/>
        </w:rPr>
        <w:t xml:space="preserve">are therefore </w:t>
      </w:r>
      <w:r w:rsidR="00B507CB" w:rsidRPr="007F62DB">
        <w:rPr>
          <w:sz w:val="20"/>
          <w:szCs w:val="20"/>
        </w:rPr>
        <w:t>disproportionate</w:t>
      </w:r>
      <w:r w:rsidR="00416A10" w:rsidRPr="007F62DB">
        <w:rPr>
          <w:sz w:val="20"/>
          <w:szCs w:val="20"/>
        </w:rPr>
        <w:t xml:space="preserve">ly </w:t>
      </w:r>
      <w:r w:rsidR="00B507CB" w:rsidRPr="007F62DB">
        <w:rPr>
          <w:sz w:val="20"/>
          <w:szCs w:val="20"/>
        </w:rPr>
        <w:t>impact</w:t>
      </w:r>
      <w:r w:rsidR="00416A10" w:rsidRPr="007F62DB">
        <w:rPr>
          <w:sz w:val="20"/>
          <w:szCs w:val="20"/>
        </w:rPr>
        <w:t>ed</w:t>
      </w:r>
      <w:r w:rsidR="00B507CB" w:rsidRPr="007F62DB">
        <w:rPr>
          <w:sz w:val="20"/>
          <w:szCs w:val="20"/>
        </w:rPr>
        <w:t xml:space="preserve"> </w:t>
      </w:r>
      <w:r w:rsidR="00AB567A" w:rsidRPr="00EA1123">
        <w:rPr>
          <w:sz w:val="20"/>
          <w:szCs w:val="20"/>
        </w:rPr>
        <w:t xml:space="preserve">compared </w:t>
      </w:r>
      <w:r w:rsidR="009B6036">
        <w:rPr>
          <w:sz w:val="20"/>
          <w:szCs w:val="20"/>
        </w:rPr>
        <w:t>with</w:t>
      </w:r>
      <w:r w:rsidR="00AB567A" w:rsidRPr="00EA1123">
        <w:rPr>
          <w:sz w:val="20"/>
          <w:szCs w:val="20"/>
        </w:rPr>
        <w:t xml:space="preserve"> the non-Indigenous population.</w:t>
      </w:r>
      <w:r w:rsidR="00EF7338">
        <w:rPr>
          <w:sz w:val="20"/>
          <w:szCs w:val="20"/>
          <w:vertAlign w:val="superscript"/>
        </w:rPr>
        <w:t>11</w:t>
      </w:r>
      <w:r w:rsidR="00AB567A" w:rsidRPr="00EA1123">
        <w:rPr>
          <w:sz w:val="20"/>
          <w:szCs w:val="20"/>
        </w:rPr>
        <w:t xml:space="preserve"> The development of e</w:t>
      </w:r>
      <w:r w:rsidR="00C62A2F" w:rsidRPr="00EA1123">
        <w:rPr>
          <w:sz w:val="20"/>
          <w:szCs w:val="20"/>
        </w:rPr>
        <w:t xml:space="preserve">nhanced </w:t>
      </w:r>
      <w:r w:rsidR="00C62A2F" w:rsidRPr="00EA1123">
        <w:rPr>
          <w:sz w:val="20"/>
          <w:szCs w:val="20"/>
        </w:rPr>
        <w:lastRenderedPageBreak/>
        <w:t xml:space="preserve">programs to </w:t>
      </w:r>
      <w:r w:rsidR="004F683A" w:rsidRPr="00EA1123">
        <w:rPr>
          <w:sz w:val="20"/>
          <w:szCs w:val="20"/>
        </w:rPr>
        <w:t>close this gap is facilitated by cul</w:t>
      </w:r>
      <w:r w:rsidR="00AB567A" w:rsidRPr="00EA1123">
        <w:rPr>
          <w:sz w:val="20"/>
          <w:szCs w:val="20"/>
        </w:rPr>
        <w:t xml:space="preserve">turally appropriate </w:t>
      </w:r>
      <w:r w:rsidR="004F683A" w:rsidRPr="00EA1123">
        <w:rPr>
          <w:sz w:val="20"/>
          <w:szCs w:val="20"/>
        </w:rPr>
        <w:t xml:space="preserve">education, prevention, testing, treatment and care programs being </w:t>
      </w:r>
      <w:r w:rsidR="00AB567A" w:rsidRPr="00EA1123">
        <w:rPr>
          <w:sz w:val="20"/>
          <w:szCs w:val="20"/>
        </w:rPr>
        <w:t xml:space="preserve">delivered through </w:t>
      </w:r>
      <w:r w:rsidR="00B94E4A">
        <w:rPr>
          <w:sz w:val="20"/>
          <w:szCs w:val="20"/>
        </w:rPr>
        <w:t>A</w:t>
      </w:r>
      <w:r w:rsidR="00210BA8" w:rsidRPr="00EA1123">
        <w:rPr>
          <w:sz w:val="20"/>
          <w:szCs w:val="20"/>
        </w:rPr>
        <w:t>boriginal Community Controlled Health Services</w:t>
      </w:r>
      <w:r w:rsidR="005B4521">
        <w:rPr>
          <w:sz w:val="20"/>
          <w:szCs w:val="20"/>
        </w:rPr>
        <w:t xml:space="preserve"> (ACCHS)</w:t>
      </w:r>
      <w:r w:rsidR="00074B44" w:rsidRPr="00EA1123">
        <w:rPr>
          <w:sz w:val="20"/>
          <w:szCs w:val="20"/>
        </w:rPr>
        <w:t>, Aboriginal Medical Services</w:t>
      </w:r>
      <w:r w:rsidR="00F90BFF" w:rsidRPr="00EA1123">
        <w:rPr>
          <w:sz w:val="20"/>
          <w:szCs w:val="20"/>
        </w:rPr>
        <w:t xml:space="preserve"> and mainstream services</w:t>
      </w:r>
      <w:r w:rsidR="004F683A" w:rsidRPr="00EA1123">
        <w:rPr>
          <w:sz w:val="20"/>
          <w:szCs w:val="20"/>
        </w:rPr>
        <w:t xml:space="preserve">. </w:t>
      </w:r>
      <w:r w:rsidR="00AB567A" w:rsidRPr="00EA1123">
        <w:rPr>
          <w:sz w:val="20"/>
          <w:szCs w:val="20"/>
        </w:rPr>
        <w:t xml:space="preserve"> </w:t>
      </w:r>
    </w:p>
    <w:p w14:paraId="1EDFBCA4" w14:textId="700FE795" w:rsidR="00B507CB" w:rsidRPr="00E85AAE" w:rsidRDefault="00B507CB" w:rsidP="00E85AAE">
      <w:pPr>
        <w:spacing w:after="160"/>
        <w:rPr>
          <w:i/>
          <w:color w:val="00264D"/>
          <w:sz w:val="22"/>
        </w:rPr>
      </w:pPr>
      <w:r w:rsidRPr="00E85AAE">
        <w:rPr>
          <w:i/>
          <w:color w:val="00264D"/>
          <w:sz w:val="22"/>
        </w:rPr>
        <w:t xml:space="preserve">People </w:t>
      </w:r>
      <w:r w:rsidR="005B0F1C">
        <w:rPr>
          <w:i/>
          <w:color w:val="00264D"/>
          <w:sz w:val="22"/>
        </w:rPr>
        <w:t>from</w:t>
      </w:r>
      <w:r w:rsidR="009B6036">
        <w:rPr>
          <w:i/>
          <w:color w:val="00264D"/>
          <w:sz w:val="22"/>
        </w:rPr>
        <w:t xml:space="preserve"> c</w:t>
      </w:r>
      <w:r w:rsidR="00134D20" w:rsidRPr="00E85AAE">
        <w:rPr>
          <w:i/>
          <w:color w:val="00264D"/>
          <w:sz w:val="22"/>
        </w:rPr>
        <w:t xml:space="preserve">ulturally and </w:t>
      </w:r>
      <w:r w:rsidR="009B6036">
        <w:rPr>
          <w:i/>
          <w:color w:val="00264D"/>
          <w:sz w:val="22"/>
        </w:rPr>
        <w:t>l</w:t>
      </w:r>
      <w:r w:rsidR="00134D20" w:rsidRPr="00E85AAE">
        <w:rPr>
          <w:i/>
          <w:color w:val="00264D"/>
          <w:sz w:val="22"/>
        </w:rPr>
        <w:t xml:space="preserve">inguistically </w:t>
      </w:r>
      <w:r w:rsidR="009B6036">
        <w:rPr>
          <w:i/>
          <w:color w:val="00264D"/>
          <w:sz w:val="22"/>
        </w:rPr>
        <w:t>d</w:t>
      </w:r>
      <w:r w:rsidR="00134D20" w:rsidRPr="00E85AAE">
        <w:rPr>
          <w:i/>
          <w:color w:val="00264D"/>
          <w:sz w:val="22"/>
        </w:rPr>
        <w:t xml:space="preserve">iverse </w:t>
      </w:r>
      <w:r w:rsidR="009B6036">
        <w:rPr>
          <w:i/>
          <w:color w:val="00264D"/>
          <w:sz w:val="22"/>
        </w:rPr>
        <w:t>b</w:t>
      </w:r>
      <w:r w:rsidRPr="00E85AAE">
        <w:rPr>
          <w:i/>
          <w:color w:val="00264D"/>
          <w:sz w:val="22"/>
        </w:rPr>
        <w:t>ackgrounds</w:t>
      </w:r>
    </w:p>
    <w:p w14:paraId="0854A078" w14:textId="729FED29" w:rsidR="00134D20" w:rsidRPr="00EA1123" w:rsidRDefault="00074B44" w:rsidP="00DE48A2">
      <w:pPr>
        <w:rPr>
          <w:sz w:val="20"/>
          <w:szCs w:val="20"/>
        </w:rPr>
      </w:pPr>
      <w:r w:rsidRPr="009B2AF5">
        <w:rPr>
          <w:sz w:val="20"/>
          <w:szCs w:val="20"/>
        </w:rPr>
        <w:t>People</w:t>
      </w:r>
      <w:r w:rsidR="005B0F1C">
        <w:rPr>
          <w:sz w:val="20"/>
          <w:szCs w:val="20"/>
        </w:rPr>
        <w:t xml:space="preserve"> from</w:t>
      </w:r>
      <w:r w:rsidR="009B6036" w:rsidRPr="009B2AF5">
        <w:rPr>
          <w:sz w:val="20"/>
          <w:szCs w:val="20"/>
        </w:rPr>
        <w:t xml:space="preserve"> </w:t>
      </w:r>
      <w:r w:rsidRPr="009B2AF5">
        <w:rPr>
          <w:sz w:val="20"/>
          <w:szCs w:val="20"/>
        </w:rPr>
        <w:t>CALD</w:t>
      </w:r>
      <w:r w:rsidR="00C84897">
        <w:rPr>
          <w:sz w:val="20"/>
          <w:szCs w:val="20"/>
        </w:rPr>
        <w:t xml:space="preserve"> backgrounds</w:t>
      </w:r>
      <w:r w:rsidRPr="009B2AF5">
        <w:rPr>
          <w:sz w:val="20"/>
          <w:szCs w:val="20"/>
        </w:rPr>
        <w:t xml:space="preserve"> include people born in countries with high hepatitis C prevalence, refugees and humanitarian entrants. </w:t>
      </w:r>
      <w:r w:rsidR="009B2AF5" w:rsidRPr="009B2AF5">
        <w:rPr>
          <w:sz w:val="20"/>
          <w:szCs w:val="20"/>
        </w:rPr>
        <w:t>M</w:t>
      </w:r>
      <w:r w:rsidR="00F90BFF" w:rsidRPr="009B2AF5">
        <w:rPr>
          <w:sz w:val="20"/>
          <w:szCs w:val="20"/>
        </w:rPr>
        <w:t>edical and dental procedures</w:t>
      </w:r>
      <w:r w:rsidR="00B113BB" w:rsidRPr="009B2AF5">
        <w:rPr>
          <w:sz w:val="20"/>
          <w:szCs w:val="20"/>
        </w:rPr>
        <w:t>, transfusion of unscreened blood and blood products or</w:t>
      </w:r>
      <w:r w:rsidR="00CC08CD" w:rsidRPr="009B2AF5">
        <w:rPr>
          <w:sz w:val="20"/>
          <w:szCs w:val="20"/>
        </w:rPr>
        <w:t xml:space="preserve"> </w:t>
      </w:r>
      <w:r w:rsidR="00F90BFF" w:rsidRPr="009B2AF5">
        <w:rPr>
          <w:sz w:val="20"/>
          <w:szCs w:val="20"/>
        </w:rPr>
        <w:t xml:space="preserve">occupational exposure </w:t>
      </w:r>
      <w:r w:rsidR="002672A9" w:rsidRPr="009B2AF5">
        <w:rPr>
          <w:sz w:val="20"/>
          <w:szCs w:val="20"/>
        </w:rPr>
        <w:t xml:space="preserve">are </w:t>
      </w:r>
      <w:r w:rsidR="00A07DB1" w:rsidRPr="009B2AF5">
        <w:rPr>
          <w:sz w:val="20"/>
          <w:szCs w:val="20"/>
        </w:rPr>
        <w:t xml:space="preserve">more </w:t>
      </w:r>
      <w:r w:rsidR="00210BA8" w:rsidRPr="009B2AF5">
        <w:rPr>
          <w:sz w:val="20"/>
          <w:szCs w:val="20"/>
        </w:rPr>
        <w:t>common means of transmissi</w:t>
      </w:r>
      <w:r w:rsidR="00F90BFF" w:rsidRPr="009B2AF5">
        <w:rPr>
          <w:sz w:val="20"/>
          <w:szCs w:val="20"/>
        </w:rPr>
        <w:t>on</w:t>
      </w:r>
      <w:r w:rsidR="009B2AF5" w:rsidRPr="009B2AF5">
        <w:rPr>
          <w:sz w:val="20"/>
          <w:szCs w:val="20"/>
        </w:rPr>
        <w:t xml:space="preserve"> of hepatitis C</w:t>
      </w:r>
      <w:r w:rsidR="00F90BFF" w:rsidRPr="009B2AF5">
        <w:rPr>
          <w:sz w:val="20"/>
          <w:szCs w:val="20"/>
        </w:rPr>
        <w:t xml:space="preserve"> in some regions of the world</w:t>
      </w:r>
      <w:r w:rsidR="00F31B09" w:rsidRPr="009B2AF5">
        <w:rPr>
          <w:sz w:val="20"/>
          <w:szCs w:val="20"/>
        </w:rPr>
        <w:t xml:space="preserve"> when compared </w:t>
      </w:r>
      <w:r w:rsidR="009B2AF5" w:rsidRPr="009B2AF5">
        <w:rPr>
          <w:sz w:val="20"/>
          <w:szCs w:val="20"/>
        </w:rPr>
        <w:t xml:space="preserve">with </w:t>
      </w:r>
      <w:r w:rsidR="00F31B09" w:rsidRPr="009B2AF5">
        <w:rPr>
          <w:sz w:val="20"/>
          <w:szCs w:val="20"/>
        </w:rPr>
        <w:t>Australia</w:t>
      </w:r>
      <w:r w:rsidR="00F90BFF" w:rsidRPr="009B2AF5">
        <w:rPr>
          <w:sz w:val="20"/>
          <w:szCs w:val="20"/>
        </w:rPr>
        <w:t>.</w:t>
      </w:r>
      <w:r w:rsidR="00B113BB" w:rsidRPr="009B2AF5">
        <w:rPr>
          <w:sz w:val="20"/>
          <w:szCs w:val="20"/>
        </w:rPr>
        <w:t xml:space="preserve"> </w:t>
      </w:r>
      <w:r w:rsidR="00FC6013" w:rsidRPr="009B2AF5">
        <w:rPr>
          <w:sz w:val="20"/>
          <w:szCs w:val="20"/>
        </w:rPr>
        <w:t xml:space="preserve">Although country-dependent, injecting </w:t>
      </w:r>
      <w:r w:rsidR="00B113BB" w:rsidRPr="009B2AF5">
        <w:rPr>
          <w:sz w:val="20"/>
          <w:szCs w:val="20"/>
        </w:rPr>
        <w:t>drug use through receptive needle</w:t>
      </w:r>
      <w:r w:rsidRPr="009B2AF5">
        <w:rPr>
          <w:sz w:val="20"/>
          <w:szCs w:val="20"/>
        </w:rPr>
        <w:t xml:space="preserve"> and syringe</w:t>
      </w:r>
      <w:r w:rsidR="00B113BB" w:rsidRPr="009B2AF5">
        <w:rPr>
          <w:sz w:val="20"/>
          <w:szCs w:val="20"/>
        </w:rPr>
        <w:t xml:space="preserve"> sharing </w:t>
      </w:r>
      <w:r w:rsidR="00300855" w:rsidRPr="009B2AF5">
        <w:rPr>
          <w:sz w:val="20"/>
          <w:szCs w:val="20"/>
        </w:rPr>
        <w:t xml:space="preserve">also </w:t>
      </w:r>
      <w:r w:rsidR="00B113BB" w:rsidRPr="009B2AF5">
        <w:rPr>
          <w:sz w:val="20"/>
          <w:szCs w:val="20"/>
        </w:rPr>
        <w:t>remains a significant exposure</w:t>
      </w:r>
      <w:r w:rsidR="00B113BB" w:rsidRPr="00EA1123">
        <w:rPr>
          <w:sz w:val="20"/>
          <w:szCs w:val="20"/>
        </w:rPr>
        <w:t xml:space="preserve"> risk internationally.</w:t>
      </w:r>
      <w:r w:rsidR="00F90BFF" w:rsidRPr="00EA1123">
        <w:rPr>
          <w:sz w:val="20"/>
          <w:szCs w:val="20"/>
        </w:rPr>
        <w:t xml:space="preserve"> </w:t>
      </w:r>
      <w:r w:rsidR="00300855">
        <w:rPr>
          <w:sz w:val="20"/>
          <w:szCs w:val="20"/>
        </w:rPr>
        <w:t>P</w:t>
      </w:r>
      <w:r w:rsidR="00B507CB" w:rsidRPr="00EA1123">
        <w:rPr>
          <w:sz w:val="20"/>
          <w:szCs w:val="20"/>
        </w:rPr>
        <w:t xml:space="preserve">eople </w:t>
      </w:r>
      <w:r w:rsidR="009B2AF5" w:rsidRPr="00EA1123">
        <w:rPr>
          <w:sz w:val="20"/>
          <w:szCs w:val="20"/>
        </w:rPr>
        <w:t xml:space="preserve">from CALD backgrounds </w:t>
      </w:r>
      <w:r w:rsidR="009B2AF5">
        <w:rPr>
          <w:sz w:val="20"/>
          <w:szCs w:val="20"/>
        </w:rPr>
        <w:t xml:space="preserve">who are </w:t>
      </w:r>
      <w:r w:rsidR="002C1894">
        <w:rPr>
          <w:sz w:val="20"/>
          <w:szCs w:val="20"/>
        </w:rPr>
        <w:t xml:space="preserve">at risk of or </w:t>
      </w:r>
      <w:r w:rsidR="00B507CB" w:rsidRPr="00EA1123">
        <w:rPr>
          <w:sz w:val="20"/>
          <w:szCs w:val="20"/>
        </w:rPr>
        <w:t xml:space="preserve">living with hepatitis C </w:t>
      </w:r>
      <w:r w:rsidR="00210BA8" w:rsidRPr="00EA1123">
        <w:rPr>
          <w:sz w:val="20"/>
          <w:szCs w:val="20"/>
        </w:rPr>
        <w:t xml:space="preserve">require culturally appropriate services and </w:t>
      </w:r>
      <w:r w:rsidR="00AA3DAB" w:rsidRPr="00EA1123">
        <w:rPr>
          <w:sz w:val="20"/>
          <w:szCs w:val="20"/>
        </w:rPr>
        <w:t>carefully adapted</w:t>
      </w:r>
      <w:r w:rsidR="00210BA8" w:rsidRPr="00EA1123">
        <w:rPr>
          <w:sz w:val="20"/>
          <w:szCs w:val="20"/>
        </w:rPr>
        <w:t xml:space="preserve"> messaging</w:t>
      </w:r>
      <w:r w:rsidR="00AA3DAB" w:rsidRPr="00EA1123">
        <w:rPr>
          <w:sz w:val="20"/>
          <w:szCs w:val="20"/>
        </w:rPr>
        <w:t xml:space="preserve"> to assist them to engage in testing, treatment and care for hepatitis C. </w:t>
      </w:r>
      <w:r w:rsidR="00C62A2F" w:rsidRPr="00EA1123">
        <w:rPr>
          <w:sz w:val="20"/>
          <w:szCs w:val="20"/>
        </w:rPr>
        <w:t xml:space="preserve"> </w:t>
      </w:r>
    </w:p>
    <w:p w14:paraId="319CDA9C" w14:textId="7F973E17" w:rsidR="002C22CA" w:rsidRPr="00E85AAE" w:rsidRDefault="002C22CA" w:rsidP="00E85AAE">
      <w:pPr>
        <w:spacing w:after="160"/>
        <w:rPr>
          <w:i/>
          <w:color w:val="00264D"/>
          <w:sz w:val="22"/>
        </w:rPr>
      </w:pPr>
      <w:r w:rsidRPr="00E85AAE">
        <w:rPr>
          <w:i/>
          <w:color w:val="00264D"/>
          <w:sz w:val="22"/>
        </w:rPr>
        <w:t xml:space="preserve">Priority </w:t>
      </w:r>
      <w:r w:rsidR="009B2AF5">
        <w:rPr>
          <w:i/>
          <w:color w:val="00264D"/>
          <w:sz w:val="22"/>
        </w:rPr>
        <w:t>s</w:t>
      </w:r>
      <w:r w:rsidRPr="00E85AAE">
        <w:rPr>
          <w:i/>
          <w:color w:val="00264D"/>
          <w:sz w:val="22"/>
        </w:rPr>
        <w:t>ettings</w:t>
      </w:r>
      <w:r w:rsidR="00C832A9" w:rsidRPr="00E85AAE">
        <w:rPr>
          <w:i/>
          <w:color w:val="00264D"/>
          <w:sz w:val="22"/>
        </w:rPr>
        <w:t xml:space="preserve"> in which prior</w:t>
      </w:r>
      <w:r w:rsidR="002E5A18">
        <w:rPr>
          <w:i/>
          <w:color w:val="00264D"/>
          <w:sz w:val="22"/>
        </w:rPr>
        <w:t>ity populations may be reached</w:t>
      </w:r>
      <w:r w:rsidRPr="00E85AAE">
        <w:rPr>
          <w:i/>
          <w:color w:val="00264D"/>
          <w:sz w:val="22"/>
        </w:rPr>
        <w:t xml:space="preserve"> </w:t>
      </w:r>
    </w:p>
    <w:p w14:paraId="697B634B" w14:textId="77777777" w:rsidR="007655D8" w:rsidRPr="007655D8" w:rsidRDefault="007655D8" w:rsidP="007655D8">
      <w:pPr>
        <w:spacing w:after="160"/>
        <w:rPr>
          <w:i/>
          <w:color w:val="EEECE1"/>
          <w:sz w:val="24"/>
        </w:rPr>
      </w:pPr>
      <w:r w:rsidRPr="007655D8">
        <w:rPr>
          <w:sz w:val="20"/>
          <w:szCs w:val="18"/>
        </w:rPr>
        <w:t>Service providers and other organisations that support priority populations are priority setting</w:t>
      </w:r>
      <w:r w:rsidR="007F184B">
        <w:rPr>
          <w:sz w:val="20"/>
          <w:szCs w:val="18"/>
        </w:rPr>
        <w:t>s</w:t>
      </w:r>
      <w:r w:rsidRPr="007655D8">
        <w:rPr>
          <w:sz w:val="20"/>
          <w:szCs w:val="18"/>
        </w:rPr>
        <w:t xml:space="preserve"> due to the contact they have with priority populations and the potential this offers for health promotion and connecting people to hepatitis C services. </w:t>
      </w:r>
    </w:p>
    <w:p w14:paraId="3D9D1F2B" w14:textId="77777777" w:rsidR="00134D20" w:rsidRPr="00EA1123" w:rsidRDefault="008227F1" w:rsidP="00DE48A2">
      <w:pPr>
        <w:spacing w:after="0"/>
        <w:rPr>
          <w:sz w:val="20"/>
          <w:szCs w:val="20"/>
        </w:rPr>
      </w:pPr>
      <w:r w:rsidRPr="00EA1123">
        <w:rPr>
          <w:sz w:val="20"/>
          <w:szCs w:val="20"/>
        </w:rPr>
        <w:t>The p</w:t>
      </w:r>
      <w:r w:rsidR="00134D20" w:rsidRPr="00EA1123">
        <w:rPr>
          <w:sz w:val="20"/>
          <w:szCs w:val="20"/>
        </w:rPr>
        <w:t xml:space="preserve">riority settings for delivery of </w:t>
      </w:r>
      <w:r w:rsidRPr="00EA1123">
        <w:rPr>
          <w:sz w:val="20"/>
          <w:szCs w:val="20"/>
        </w:rPr>
        <w:t xml:space="preserve">education and </w:t>
      </w:r>
      <w:r w:rsidR="00134D20" w:rsidRPr="00EA1123">
        <w:rPr>
          <w:sz w:val="20"/>
          <w:szCs w:val="20"/>
        </w:rPr>
        <w:t>prevention</w:t>
      </w:r>
      <w:r w:rsidRPr="00EA1123">
        <w:rPr>
          <w:sz w:val="20"/>
          <w:szCs w:val="20"/>
        </w:rPr>
        <w:t>,</w:t>
      </w:r>
      <w:r w:rsidR="00D0633C" w:rsidRPr="00EA1123">
        <w:rPr>
          <w:sz w:val="20"/>
          <w:szCs w:val="20"/>
        </w:rPr>
        <w:t xml:space="preserve"> </w:t>
      </w:r>
      <w:r w:rsidR="00134D20" w:rsidRPr="00EA1123">
        <w:rPr>
          <w:sz w:val="20"/>
          <w:szCs w:val="20"/>
        </w:rPr>
        <w:t xml:space="preserve">testing, treatment and care services </w:t>
      </w:r>
      <w:r w:rsidRPr="00EA1123">
        <w:rPr>
          <w:sz w:val="20"/>
          <w:szCs w:val="20"/>
        </w:rPr>
        <w:t xml:space="preserve">include: </w:t>
      </w:r>
    </w:p>
    <w:p w14:paraId="4FC1962D" w14:textId="6835F88E" w:rsidR="00110705" w:rsidRPr="00EA1123" w:rsidRDefault="009B2AF5" w:rsidP="00DB37AD">
      <w:pPr>
        <w:pStyle w:val="ListParagraph"/>
        <w:numPr>
          <w:ilvl w:val="0"/>
          <w:numId w:val="12"/>
        </w:numPr>
        <w:spacing w:after="0"/>
        <w:rPr>
          <w:sz w:val="20"/>
          <w:szCs w:val="20"/>
        </w:rPr>
      </w:pPr>
      <w:r>
        <w:rPr>
          <w:sz w:val="20"/>
          <w:szCs w:val="20"/>
        </w:rPr>
        <w:t>a</w:t>
      </w:r>
      <w:r w:rsidR="00110705" w:rsidRPr="00EA1123">
        <w:rPr>
          <w:sz w:val="20"/>
          <w:szCs w:val="20"/>
        </w:rPr>
        <w:t>ll p</w:t>
      </w:r>
      <w:r w:rsidR="00134D20" w:rsidRPr="00EA1123">
        <w:rPr>
          <w:sz w:val="20"/>
          <w:szCs w:val="20"/>
        </w:rPr>
        <w:t xml:space="preserve">rimary </w:t>
      </w:r>
      <w:r w:rsidR="00B507CB" w:rsidRPr="00EA1123">
        <w:rPr>
          <w:sz w:val="20"/>
          <w:szCs w:val="20"/>
        </w:rPr>
        <w:t>health</w:t>
      </w:r>
      <w:r w:rsidR="00134D20" w:rsidRPr="00EA1123">
        <w:rPr>
          <w:sz w:val="20"/>
          <w:szCs w:val="20"/>
        </w:rPr>
        <w:t>care</w:t>
      </w:r>
      <w:r w:rsidR="00B507CB" w:rsidRPr="00EA1123">
        <w:rPr>
          <w:sz w:val="20"/>
          <w:szCs w:val="20"/>
        </w:rPr>
        <w:t xml:space="preserve"> services</w:t>
      </w:r>
      <w:r>
        <w:rPr>
          <w:sz w:val="20"/>
          <w:szCs w:val="20"/>
        </w:rPr>
        <w:t xml:space="preserve"> </w:t>
      </w:r>
      <w:r w:rsidR="00365056">
        <w:rPr>
          <w:sz w:val="20"/>
          <w:szCs w:val="20"/>
        </w:rPr>
        <w:t>/</w:t>
      </w:r>
      <w:r>
        <w:rPr>
          <w:sz w:val="20"/>
          <w:szCs w:val="20"/>
        </w:rPr>
        <w:t xml:space="preserve"> </w:t>
      </w:r>
      <w:r w:rsidR="00F90BFF" w:rsidRPr="00EA1123">
        <w:rPr>
          <w:sz w:val="20"/>
          <w:szCs w:val="20"/>
        </w:rPr>
        <w:t xml:space="preserve">general practice </w:t>
      </w:r>
    </w:p>
    <w:p w14:paraId="50AB2938" w14:textId="77777777" w:rsidR="00512C9C" w:rsidRDefault="005B4521" w:rsidP="00DB37AD">
      <w:pPr>
        <w:pStyle w:val="ListParagraph"/>
        <w:numPr>
          <w:ilvl w:val="0"/>
          <w:numId w:val="10"/>
        </w:numPr>
        <w:spacing w:after="0"/>
        <w:rPr>
          <w:sz w:val="20"/>
          <w:szCs w:val="20"/>
        </w:rPr>
      </w:pPr>
      <w:r>
        <w:rPr>
          <w:sz w:val="20"/>
          <w:szCs w:val="20"/>
        </w:rPr>
        <w:t>ACCHS</w:t>
      </w:r>
      <w:r w:rsidR="00110705" w:rsidRPr="00EA1123">
        <w:rPr>
          <w:sz w:val="20"/>
          <w:szCs w:val="20"/>
        </w:rPr>
        <w:t xml:space="preserve"> </w:t>
      </w:r>
      <w:r w:rsidR="00512C9C" w:rsidRPr="00EA1123">
        <w:rPr>
          <w:sz w:val="20"/>
          <w:szCs w:val="20"/>
        </w:rPr>
        <w:t>and Aboriginal Medical Services</w:t>
      </w:r>
    </w:p>
    <w:p w14:paraId="51592043" w14:textId="3E6A2806" w:rsidR="00365056" w:rsidRPr="00EA1123" w:rsidRDefault="00365056" w:rsidP="00DB37AD">
      <w:pPr>
        <w:pStyle w:val="ListParagraph"/>
        <w:numPr>
          <w:ilvl w:val="0"/>
          <w:numId w:val="10"/>
        </w:numPr>
        <w:spacing w:after="0"/>
        <w:rPr>
          <w:sz w:val="20"/>
          <w:szCs w:val="20"/>
        </w:rPr>
      </w:pPr>
      <w:r>
        <w:rPr>
          <w:sz w:val="20"/>
          <w:szCs w:val="20"/>
        </w:rPr>
        <w:t>NSPs</w:t>
      </w:r>
    </w:p>
    <w:p w14:paraId="633778CA" w14:textId="098E384A" w:rsidR="004F6BFE" w:rsidRDefault="009B2AF5" w:rsidP="00DB37AD">
      <w:pPr>
        <w:pStyle w:val="ListParagraph"/>
        <w:numPr>
          <w:ilvl w:val="0"/>
          <w:numId w:val="10"/>
        </w:numPr>
        <w:spacing w:after="0"/>
        <w:rPr>
          <w:sz w:val="20"/>
          <w:szCs w:val="20"/>
        </w:rPr>
      </w:pPr>
      <w:r>
        <w:rPr>
          <w:sz w:val="20"/>
          <w:szCs w:val="20"/>
        </w:rPr>
        <w:t>a</w:t>
      </w:r>
      <w:r w:rsidR="004F6BFE" w:rsidRPr="00EA1123">
        <w:rPr>
          <w:sz w:val="20"/>
          <w:szCs w:val="20"/>
        </w:rPr>
        <w:t xml:space="preserve">lcohol and other drug services (AOD) </w:t>
      </w:r>
    </w:p>
    <w:p w14:paraId="6221BE0A" w14:textId="301214A6" w:rsidR="008B641A" w:rsidRPr="008B641A" w:rsidRDefault="009B2AF5" w:rsidP="008B641A">
      <w:pPr>
        <w:pStyle w:val="ListParagraph"/>
        <w:numPr>
          <w:ilvl w:val="0"/>
          <w:numId w:val="10"/>
        </w:numPr>
        <w:spacing w:after="0"/>
        <w:rPr>
          <w:sz w:val="20"/>
          <w:szCs w:val="20"/>
        </w:rPr>
      </w:pPr>
      <w:r>
        <w:rPr>
          <w:sz w:val="20"/>
          <w:szCs w:val="20"/>
        </w:rPr>
        <w:t>c</w:t>
      </w:r>
      <w:r w:rsidR="008B641A" w:rsidRPr="00EA1123">
        <w:rPr>
          <w:sz w:val="20"/>
          <w:szCs w:val="20"/>
        </w:rPr>
        <w:t>ustodial settings</w:t>
      </w:r>
    </w:p>
    <w:p w14:paraId="43846B9C" w14:textId="2A693DA7" w:rsidR="00365056" w:rsidRPr="00EA1123" w:rsidRDefault="00365056" w:rsidP="00DB37AD">
      <w:pPr>
        <w:pStyle w:val="ListParagraph"/>
        <w:numPr>
          <w:ilvl w:val="0"/>
          <w:numId w:val="10"/>
        </w:numPr>
        <w:spacing w:after="0"/>
        <w:rPr>
          <w:sz w:val="20"/>
          <w:szCs w:val="20"/>
        </w:rPr>
      </w:pPr>
      <w:r>
        <w:rPr>
          <w:sz w:val="20"/>
          <w:szCs w:val="20"/>
        </w:rPr>
        <w:t>BBV</w:t>
      </w:r>
      <w:r w:rsidR="00C84897">
        <w:rPr>
          <w:sz w:val="20"/>
          <w:szCs w:val="20"/>
        </w:rPr>
        <w:t xml:space="preserve"> </w:t>
      </w:r>
      <w:r>
        <w:rPr>
          <w:sz w:val="20"/>
          <w:szCs w:val="20"/>
        </w:rPr>
        <w:t>/</w:t>
      </w:r>
      <w:r w:rsidR="00C84897">
        <w:rPr>
          <w:sz w:val="20"/>
          <w:szCs w:val="20"/>
        </w:rPr>
        <w:t xml:space="preserve"> </w:t>
      </w:r>
      <w:r w:rsidRPr="00EA1123">
        <w:rPr>
          <w:sz w:val="20"/>
          <w:szCs w:val="20"/>
        </w:rPr>
        <w:t>sexual health services</w:t>
      </w:r>
    </w:p>
    <w:p w14:paraId="4A2121AE" w14:textId="40AEECC3" w:rsidR="00134D20" w:rsidRPr="00EA1123" w:rsidRDefault="009B2AF5" w:rsidP="00DB37AD">
      <w:pPr>
        <w:pStyle w:val="ListParagraph"/>
        <w:numPr>
          <w:ilvl w:val="0"/>
          <w:numId w:val="10"/>
        </w:numPr>
        <w:spacing w:after="0"/>
        <w:rPr>
          <w:sz w:val="20"/>
          <w:szCs w:val="20"/>
        </w:rPr>
      </w:pPr>
      <w:r>
        <w:rPr>
          <w:sz w:val="20"/>
          <w:szCs w:val="20"/>
        </w:rPr>
        <w:t>g</w:t>
      </w:r>
      <w:r w:rsidR="00134D20" w:rsidRPr="00EA1123">
        <w:rPr>
          <w:sz w:val="20"/>
          <w:szCs w:val="20"/>
        </w:rPr>
        <w:t>eographical areas of higher hepatitis C prevalence</w:t>
      </w:r>
    </w:p>
    <w:p w14:paraId="7415DA2A" w14:textId="11BDC11F" w:rsidR="00134D20" w:rsidRPr="00EA1123" w:rsidRDefault="009B2AF5" w:rsidP="00DB37AD">
      <w:pPr>
        <w:pStyle w:val="ListParagraph"/>
        <w:numPr>
          <w:ilvl w:val="0"/>
          <w:numId w:val="10"/>
        </w:numPr>
        <w:spacing w:after="0"/>
        <w:rPr>
          <w:sz w:val="20"/>
          <w:szCs w:val="20"/>
        </w:rPr>
      </w:pPr>
      <w:r>
        <w:rPr>
          <w:sz w:val="20"/>
          <w:szCs w:val="20"/>
        </w:rPr>
        <w:t>r</w:t>
      </w:r>
      <w:r w:rsidR="00134D20" w:rsidRPr="00EA1123">
        <w:rPr>
          <w:sz w:val="20"/>
          <w:szCs w:val="20"/>
        </w:rPr>
        <w:t xml:space="preserve">egional, rural and remote areas with reduced access to relevant health and community </w:t>
      </w:r>
      <w:r w:rsidR="00B507CB" w:rsidRPr="00EA1123">
        <w:rPr>
          <w:sz w:val="20"/>
          <w:szCs w:val="20"/>
        </w:rPr>
        <w:t>s</w:t>
      </w:r>
      <w:r w:rsidR="00134D20" w:rsidRPr="00EA1123">
        <w:rPr>
          <w:sz w:val="20"/>
          <w:szCs w:val="20"/>
        </w:rPr>
        <w:t>ervices</w:t>
      </w:r>
    </w:p>
    <w:p w14:paraId="055F61D1" w14:textId="37A6724B" w:rsidR="00C832A9" w:rsidRPr="00EA1123" w:rsidRDefault="009B2AF5" w:rsidP="00DB37AD">
      <w:pPr>
        <w:pStyle w:val="ListParagraph"/>
        <w:numPr>
          <w:ilvl w:val="0"/>
          <w:numId w:val="10"/>
        </w:numPr>
        <w:spacing w:after="0"/>
        <w:rPr>
          <w:sz w:val="20"/>
          <w:szCs w:val="20"/>
        </w:rPr>
      </w:pPr>
      <w:r>
        <w:rPr>
          <w:sz w:val="20"/>
          <w:szCs w:val="20"/>
        </w:rPr>
        <w:t>o</w:t>
      </w:r>
      <w:r w:rsidR="00D94C51" w:rsidRPr="00EA1123">
        <w:rPr>
          <w:sz w:val="20"/>
          <w:szCs w:val="20"/>
        </w:rPr>
        <w:t xml:space="preserve">ther </w:t>
      </w:r>
      <w:r w:rsidR="00C832A9" w:rsidRPr="00EA1123">
        <w:rPr>
          <w:sz w:val="20"/>
          <w:szCs w:val="20"/>
        </w:rPr>
        <w:t>medical</w:t>
      </w:r>
      <w:r w:rsidR="00D94C51" w:rsidRPr="00EA1123">
        <w:rPr>
          <w:sz w:val="20"/>
          <w:szCs w:val="20"/>
        </w:rPr>
        <w:t xml:space="preserve"> and non-medical</w:t>
      </w:r>
      <w:r w:rsidR="00C832A9" w:rsidRPr="00EA1123">
        <w:rPr>
          <w:sz w:val="20"/>
          <w:szCs w:val="20"/>
        </w:rPr>
        <w:t xml:space="preserve"> services that support priority populations such as hepatitis organi</w:t>
      </w:r>
      <w:r w:rsidR="005C30E5">
        <w:rPr>
          <w:sz w:val="20"/>
          <w:szCs w:val="20"/>
        </w:rPr>
        <w:t xml:space="preserve">sations, </w:t>
      </w:r>
      <w:r w:rsidR="007655D8">
        <w:rPr>
          <w:sz w:val="20"/>
          <w:szCs w:val="20"/>
        </w:rPr>
        <w:t xml:space="preserve">peer-based organisations, </w:t>
      </w:r>
      <w:r w:rsidR="008B641A">
        <w:rPr>
          <w:sz w:val="20"/>
          <w:szCs w:val="20"/>
        </w:rPr>
        <w:t>welfare services</w:t>
      </w:r>
      <w:r w:rsidR="00C832A9" w:rsidRPr="00EA1123">
        <w:rPr>
          <w:sz w:val="20"/>
          <w:szCs w:val="20"/>
        </w:rPr>
        <w:t>, education</w:t>
      </w:r>
      <w:r w:rsidR="008B641A">
        <w:rPr>
          <w:sz w:val="20"/>
          <w:szCs w:val="20"/>
        </w:rPr>
        <w:t>al</w:t>
      </w:r>
      <w:r w:rsidR="00C832A9" w:rsidRPr="00EA1123">
        <w:rPr>
          <w:sz w:val="20"/>
          <w:szCs w:val="20"/>
        </w:rPr>
        <w:t xml:space="preserve"> institutions, youth centres</w:t>
      </w:r>
      <w:r w:rsidR="000918EE">
        <w:rPr>
          <w:sz w:val="20"/>
          <w:szCs w:val="20"/>
        </w:rPr>
        <w:t xml:space="preserve">, </w:t>
      </w:r>
      <w:r w:rsidR="00C832A9" w:rsidRPr="00EA1123">
        <w:rPr>
          <w:sz w:val="20"/>
          <w:szCs w:val="20"/>
        </w:rPr>
        <w:t>Aboriginal and Torres Strait Islander organisations</w:t>
      </w:r>
      <w:r w:rsidR="00D94C51" w:rsidRPr="00EA1123">
        <w:rPr>
          <w:sz w:val="20"/>
          <w:szCs w:val="20"/>
        </w:rPr>
        <w:t xml:space="preserve">, homelessness services, </w:t>
      </w:r>
      <w:r w:rsidR="006B3530" w:rsidRPr="00EA1123">
        <w:rPr>
          <w:sz w:val="20"/>
          <w:szCs w:val="20"/>
        </w:rPr>
        <w:t>and mental health services (including forensic mental health facilities)</w:t>
      </w:r>
      <w:r>
        <w:rPr>
          <w:sz w:val="20"/>
          <w:szCs w:val="20"/>
        </w:rPr>
        <w:t>.</w:t>
      </w:r>
    </w:p>
    <w:p w14:paraId="37383969" w14:textId="77777777" w:rsidR="00C832A9" w:rsidRPr="00EA1123" w:rsidRDefault="00C832A9" w:rsidP="00C832A9">
      <w:pPr>
        <w:spacing w:after="0"/>
        <w:rPr>
          <w:sz w:val="20"/>
          <w:szCs w:val="20"/>
        </w:rPr>
      </w:pPr>
    </w:p>
    <w:p w14:paraId="02FF4A9D" w14:textId="77777777" w:rsidR="00134D20" w:rsidRPr="00EA1123" w:rsidRDefault="00C832A9" w:rsidP="00C832A9">
      <w:pPr>
        <w:spacing w:after="0"/>
        <w:rPr>
          <w:sz w:val="20"/>
          <w:szCs w:val="20"/>
        </w:rPr>
      </w:pPr>
      <w:r w:rsidRPr="00EA1123">
        <w:rPr>
          <w:sz w:val="20"/>
          <w:szCs w:val="20"/>
        </w:rPr>
        <w:t xml:space="preserve">Peers play a vital role in support, education and health promotion across </w:t>
      </w:r>
      <w:r w:rsidR="006A110B">
        <w:rPr>
          <w:sz w:val="20"/>
          <w:szCs w:val="20"/>
        </w:rPr>
        <w:t xml:space="preserve">these </w:t>
      </w:r>
      <w:r w:rsidRPr="00EA1123">
        <w:rPr>
          <w:sz w:val="20"/>
          <w:szCs w:val="20"/>
        </w:rPr>
        <w:t xml:space="preserve">settings. </w:t>
      </w:r>
    </w:p>
    <w:p w14:paraId="16DE17DE" w14:textId="77777777" w:rsidR="00BF2B3A" w:rsidRDefault="00BF2B3A" w:rsidP="00DE48A2">
      <w:pPr>
        <w:spacing w:after="60"/>
        <w:rPr>
          <w:lang w:eastAsia="en-AU"/>
        </w:rPr>
      </w:pPr>
    </w:p>
    <w:p w14:paraId="31B702C4" w14:textId="77777777" w:rsidR="007B1538" w:rsidRPr="007B1538" w:rsidRDefault="006710C1" w:rsidP="00DE48A2">
      <w:pPr>
        <w:pStyle w:val="Default"/>
        <w:rPr>
          <w:rFonts w:ascii="Segoe UI" w:hAnsi="Segoe UI" w:cs="Segoe UI"/>
          <w:color w:val="auto"/>
        </w:rPr>
      </w:pPr>
      <w:bookmarkStart w:id="26" w:name="_Toc495354933"/>
      <w:bookmarkEnd w:id="16"/>
      <w:bookmarkEnd w:id="17"/>
      <w:bookmarkEnd w:id="18"/>
      <w:bookmarkEnd w:id="19"/>
      <w:bookmarkEnd w:id="20"/>
      <w:bookmarkEnd w:id="21"/>
      <w:bookmarkEnd w:id="22"/>
      <w:bookmarkEnd w:id="23"/>
      <w:bookmarkEnd w:id="24"/>
      <w:bookmarkEnd w:id="25"/>
      <w:r>
        <w:br w:type="page"/>
      </w:r>
    </w:p>
    <w:p w14:paraId="54F1E28F" w14:textId="24CF804D" w:rsidR="00F376C5" w:rsidRDefault="00F376C5" w:rsidP="00F376C5">
      <w:pPr>
        <w:pStyle w:val="Heading1"/>
      </w:pPr>
      <w:bookmarkStart w:id="27" w:name="_Toc508909757"/>
      <w:bookmarkStart w:id="28" w:name="_Toc529474518"/>
      <w:bookmarkStart w:id="29" w:name="_Toc496647661"/>
      <w:bookmarkEnd w:id="26"/>
      <w:r>
        <w:lastRenderedPageBreak/>
        <w:t xml:space="preserve">7 Priority </w:t>
      </w:r>
      <w:r w:rsidR="00EC7ACA">
        <w:t>a</w:t>
      </w:r>
      <w:r>
        <w:t xml:space="preserve">reas for </w:t>
      </w:r>
      <w:r w:rsidR="00EC7ACA">
        <w:t>a</w:t>
      </w:r>
      <w:r>
        <w:t>ction</w:t>
      </w:r>
      <w:bookmarkEnd w:id="27"/>
      <w:bookmarkEnd w:id="28"/>
    </w:p>
    <w:p w14:paraId="5E8D5B1E" w14:textId="6E84E787" w:rsidR="00F376C5" w:rsidRPr="006A547A" w:rsidRDefault="00F376C5" w:rsidP="00F376C5">
      <w:pPr>
        <w:rPr>
          <w:i/>
          <w:sz w:val="20"/>
          <w:szCs w:val="20"/>
        </w:rPr>
      </w:pPr>
      <w:r w:rsidRPr="006A547A">
        <w:rPr>
          <w:i/>
          <w:sz w:val="20"/>
          <w:szCs w:val="20"/>
        </w:rPr>
        <w:t xml:space="preserve">This </w:t>
      </w:r>
      <w:r w:rsidR="005C7F1D">
        <w:rPr>
          <w:i/>
          <w:sz w:val="20"/>
          <w:szCs w:val="20"/>
        </w:rPr>
        <w:t>s</w:t>
      </w:r>
      <w:r w:rsidRPr="006A547A">
        <w:rPr>
          <w:i/>
          <w:sz w:val="20"/>
          <w:szCs w:val="20"/>
        </w:rPr>
        <w:t>trategy includes a set of priority areas for action designed to support the achievement of the goal and targets. Each priority area for action relates to one or more of the targets</w:t>
      </w:r>
      <w:r w:rsidR="00EC7ACA">
        <w:rPr>
          <w:i/>
          <w:sz w:val="20"/>
          <w:szCs w:val="20"/>
        </w:rPr>
        <w:t>.</w:t>
      </w:r>
      <w:r w:rsidRPr="006A547A">
        <w:rPr>
          <w:i/>
          <w:sz w:val="20"/>
          <w:szCs w:val="20"/>
        </w:rPr>
        <w:t xml:space="preserve"> </w:t>
      </w:r>
      <w:r w:rsidR="00EC7ACA">
        <w:rPr>
          <w:i/>
          <w:sz w:val="20"/>
          <w:szCs w:val="20"/>
        </w:rPr>
        <w:t>I</w:t>
      </w:r>
      <w:r w:rsidRPr="006A547A">
        <w:rPr>
          <w:i/>
          <w:sz w:val="20"/>
          <w:szCs w:val="20"/>
        </w:rPr>
        <w:t>t is the interaction of these</w:t>
      </w:r>
      <w:r w:rsidR="00AA6995">
        <w:rPr>
          <w:i/>
          <w:sz w:val="20"/>
          <w:szCs w:val="20"/>
        </w:rPr>
        <w:t xml:space="preserve"> actions</w:t>
      </w:r>
      <w:r w:rsidRPr="006A547A">
        <w:rPr>
          <w:i/>
          <w:sz w:val="20"/>
          <w:szCs w:val="20"/>
        </w:rPr>
        <w:t xml:space="preserve"> as a whole </w:t>
      </w:r>
      <w:r w:rsidR="005C7F1D">
        <w:rPr>
          <w:i/>
          <w:sz w:val="20"/>
          <w:szCs w:val="20"/>
        </w:rPr>
        <w:t>that</w:t>
      </w:r>
      <w:r w:rsidR="005C7F1D" w:rsidRPr="006A547A">
        <w:rPr>
          <w:i/>
          <w:sz w:val="20"/>
          <w:szCs w:val="20"/>
        </w:rPr>
        <w:t xml:space="preserve"> </w:t>
      </w:r>
      <w:r w:rsidRPr="006A547A">
        <w:rPr>
          <w:i/>
          <w:sz w:val="20"/>
          <w:szCs w:val="20"/>
        </w:rPr>
        <w:t>is essential to the achievement of th</w:t>
      </w:r>
      <w:r w:rsidR="005C7F1D">
        <w:rPr>
          <w:i/>
          <w:sz w:val="20"/>
          <w:szCs w:val="20"/>
        </w:rPr>
        <w:t>is</w:t>
      </w:r>
      <w:r w:rsidRPr="006A547A">
        <w:rPr>
          <w:i/>
          <w:sz w:val="20"/>
          <w:szCs w:val="20"/>
        </w:rPr>
        <w:t xml:space="preserve"> </w:t>
      </w:r>
      <w:r w:rsidR="005C7F1D">
        <w:rPr>
          <w:i/>
          <w:sz w:val="20"/>
          <w:szCs w:val="20"/>
        </w:rPr>
        <w:t>s</w:t>
      </w:r>
      <w:r w:rsidRPr="006A547A">
        <w:rPr>
          <w:i/>
          <w:sz w:val="20"/>
          <w:szCs w:val="20"/>
        </w:rPr>
        <w:t>trategy.</w:t>
      </w:r>
    </w:p>
    <w:p w14:paraId="6FED7F90" w14:textId="211FE409" w:rsidR="007655D8" w:rsidRPr="007655D8" w:rsidRDefault="007655D8" w:rsidP="007655D8">
      <w:pPr>
        <w:rPr>
          <w:i/>
          <w:sz w:val="22"/>
          <w:szCs w:val="20"/>
        </w:rPr>
      </w:pPr>
      <w:r w:rsidRPr="007655D8">
        <w:rPr>
          <w:sz w:val="20"/>
          <w:szCs w:val="18"/>
        </w:rPr>
        <w:t xml:space="preserve">Australia’s strong </w:t>
      </w:r>
      <w:r w:rsidRPr="008B641A">
        <w:rPr>
          <w:sz w:val="20"/>
          <w:szCs w:val="18"/>
        </w:rPr>
        <w:t>enabling environment</w:t>
      </w:r>
      <w:r w:rsidRPr="007655D8">
        <w:rPr>
          <w:sz w:val="20"/>
          <w:szCs w:val="18"/>
        </w:rPr>
        <w:t xml:space="preserve"> has supported the achievements made under the previous hepatitis C strategies and is vital in the implementation of the </w:t>
      </w:r>
      <w:r w:rsidRPr="00EC7ACA">
        <w:rPr>
          <w:sz w:val="20"/>
          <w:szCs w:val="18"/>
        </w:rPr>
        <w:t>Fifth National Hepatitis C Strategy 2018</w:t>
      </w:r>
      <w:r w:rsidR="00EC7ACA">
        <w:rPr>
          <w:sz w:val="20"/>
          <w:szCs w:val="18"/>
        </w:rPr>
        <w:t>–</w:t>
      </w:r>
      <w:r w:rsidRPr="00EC7ACA">
        <w:rPr>
          <w:sz w:val="20"/>
          <w:szCs w:val="18"/>
        </w:rPr>
        <w:t>2022</w:t>
      </w:r>
      <w:r w:rsidRPr="007655D8">
        <w:rPr>
          <w:sz w:val="20"/>
          <w:szCs w:val="18"/>
        </w:rPr>
        <w:t xml:space="preserve">.  </w:t>
      </w:r>
    </w:p>
    <w:p w14:paraId="0F4C1281" w14:textId="5F7BEBAF" w:rsidR="00425092" w:rsidRPr="00425092" w:rsidRDefault="00F376C5" w:rsidP="00F376C5">
      <w:pPr>
        <w:rPr>
          <w:b/>
          <w:color w:val="00264D"/>
          <w:sz w:val="12"/>
          <w:szCs w:val="12"/>
        </w:rPr>
      </w:pPr>
      <w:r w:rsidRPr="006A547A">
        <w:rPr>
          <w:sz w:val="20"/>
          <w:szCs w:val="20"/>
        </w:rPr>
        <w:t>The priority areas for action build on the achievements and lessons learned in the response to hepatitis C since the first national strategy was released in 1999</w:t>
      </w:r>
      <w:r>
        <w:rPr>
          <w:sz w:val="20"/>
          <w:szCs w:val="20"/>
        </w:rPr>
        <w:t xml:space="preserve">. </w:t>
      </w:r>
      <w:r w:rsidR="008B641A" w:rsidRPr="005C7F1D">
        <w:rPr>
          <w:sz w:val="20"/>
          <w:szCs w:val="20"/>
        </w:rPr>
        <w:t>This s</w:t>
      </w:r>
      <w:r w:rsidRPr="005C7F1D">
        <w:rPr>
          <w:sz w:val="20"/>
          <w:szCs w:val="20"/>
        </w:rPr>
        <w:t>trategy is</w:t>
      </w:r>
      <w:r w:rsidRPr="006A547A">
        <w:rPr>
          <w:sz w:val="20"/>
          <w:szCs w:val="20"/>
        </w:rPr>
        <w:t xml:space="preserve"> designed to address</w:t>
      </w:r>
      <w:r>
        <w:rPr>
          <w:sz w:val="20"/>
          <w:szCs w:val="20"/>
        </w:rPr>
        <w:t xml:space="preserve"> a number of key challenges and opportunities </w:t>
      </w:r>
      <w:r w:rsidRPr="006A547A">
        <w:rPr>
          <w:sz w:val="20"/>
          <w:szCs w:val="20"/>
        </w:rPr>
        <w:t>while recognising the need for flexibility to respond to other issues as they arise.</w:t>
      </w:r>
    </w:p>
    <w:p w14:paraId="746E8AC5" w14:textId="77777777" w:rsidR="00F376C5" w:rsidRPr="00CE5B8B" w:rsidRDefault="00F376C5" w:rsidP="00F376C5">
      <w:pPr>
        <w:rPr>
          <w:b/>
          <w:color w:val="00264D"/>
          <w:sz w:val="22"/>
        </w:rPr>
      </w:pPr>
      <w:r w:rsidRPr="00CE5B8B">
        <w:rPr>
          <w:b/>
          <w:color w:val="00264D"/>
          <w:sz w:val="22"/>
        </w:rPr>
        <w:t>EDUCATION AND PREVENTION</w:t>
      </w:r>
    </w:p>
    <w:p w14:paraId="4FCE9257" w14:textId="77777777" w:rsidR="0036332A" w:rsidRPr="00EC7ACA" w:rsidRDefault="0036332A" w:rsidP="0036332A">
      <w:pPr>
        <w:pStyle w:val="CommentText"/>
        <w:numPr>
          <w:ilvl w:val="0"/>
          <w:numId w:val="13"/>
        </w:numPr>
        <w:spacing w:before="120" w:after="60"/>
        <w:rPr>
          <w:i/>
          <w:szCs w:val="19"/>
        </w:rPr>
      </w:pPr>
      <w:r w:rsidRPr="00EC7ACA">
        <w:rPr>
          <w:i/>
          <w:szCs w:val="19"/>
        </w:rPr>
        <w:t>Improve knowledge and awareness of hepatitis C in the general community and priority populations, to support prevention of transmission and engagement in testing and treatment</w:t>
      </w:r>
    </w:p>
    <w:p w14:paraId="42D0E74D" w14:textId="0E2094F0" w:rsidR="0036332A" w:rsidRPr="00EC7ACA" w:rsidRDefault="0036332A" w:rsidP="00B4701A">
      <w:pPr>
        <w:pStyle w:val="CommentText"/>
        <w:numPr>
          <w:ilvl w:val="0"/>
          <w:numId w:val="13"/>
        </w:numPr>
        <w:spacing w:before="120"/>
        <w:rPr>
          <w:i/>
          <w:szCs w:val="19"/>
        </w:rPr>
      </w:pPr>
      <w:r w:rsidRPr="00EC7ACA">
        <w:rPr>
          <w:i/>
          <w:szCs w:val="19"/>
        </w:rPr>
        <w:t xml:space="preserve">Improve </w:t>
      </w:r>
      <w:r w:rsidR="00B9657A" w:rsidRPr="00EC7ACA">
        <w:rPr>
          <w:i/>
          <w:szCs w:val="19"/>
        </w:rPr>
        <w:t xml:space="preserve">equitable </w:t>
      </w:r>
      <w:r w:rsidRPr="00EC7ACA">
        <w:rPr>
          <w:i/>
          <w:szCs w:val="19"/>
        </w:rPr>
        <w:t>access to successful preventative measures for all priority populations</w:t>
      </w:r>
      <w:r w:rsidR="007E6E6D" w:rsidRPr="00EC7ACA">
        <w:rPr>
          <w:i/>
          <w:szCs w:val="19"/>
        </w:rPr>
        <w:t>, with a focus on sterile injecting equipment through NSPs</w:t>
      </w:r>
    </w:p>
    <w:p w14:paraId="63464AB0" w14:textId="77777777" w:rsidR="00F376C5" w:rsidRPr="00EA1123" w:rsidRDefault="00F376C5" w:rsidP="00F376C5">
      <w:pPr>
        <w:rPr>
          <w:sz w:val="20"/>
          <w:szCs w:val="20"/>
        </w:rPr>
      </w:pPr>
      <w:r w:rsidRPr="00EA1123">
        <w:rPr>
          <w:sz w:val="20"/>
          <w:szCs w:val="20"/>
        </w:rPr>
        <w:t>The transmission of hepatitis C can be prevented through targeted education</w:t>
      </w:r>
      <w:r w:rsidR="008B641A">
        <w:rPr>
          <w:sz w:val="20"/>
          <w:szCs w:val="20"/>
        </w:rPr>
        <w:t>, health promotion and evidence</w:t>
      </w:r>
      <w:r w:rsidR="008B641A">
        <w:rPr>
          <w:sz w:val="20"/>
          <w:szCs w:val="20"/>
        </w:rPr>
        <w:noBreakHyphen/>
      </w:r>
      <w:r w:rsidRPr="00EA1123">
        <w:rPr>
          <w:sz w:val="20"/>
          <w:szCs w:val="20"/>
        </w:rPr>
        <w:t>based harm reduction (</w:t>
      </w:r>
      <w:r w:rsidR="008B641A">
        <w:rPr>
          <w:sz w:val="20"/>
          <w:szCs w:val="20"/>
        </w:rPr>
        <w:t>for example,</w:t>
      </w:r>
      <w:r w:rsidRPr="00EA1123">
        <w:rPr>
          <w:sz w:val="20"/>
          <w:szCs w:val="20"/>
        </w:rPr>
        <w:t xml:space="preserve"> NSPs) and demand reduction </w:t>
      </w:r>
      <w:r w:rsidR="008B641A">
        <w:rPr>
          <w:sz w:val="20"/>
          <w:szCs w:val="20"/>
        </w:rPr>
        <w:t xml:space="preserve">strategies, such as </w:t>
      </w:r>
      <w:r w:rsidR="008B641A" w:rsidRPr="00EC7ACA">
        <w:rPr>
          <w:sz w:val="20"/>
          <w:szCs w:val="20"/>
        </w:rPr>
        <w:t xml:space="preserve">drug treatment </w:t>
      </w:r>
      <w:r w:rsidRPr="00EC7ACA">
        <w:rPr>
          <w:sz w:val="20"/>
          <w:szCs w:val="20"/>
        </w:rPr>
        <w:t>programs</w:t>
      </w:r>
      <w:r w:rsidR="008B641A">
        <w:rPr>
          <w:rFonts w:ascii="Helvetica" w:hAnsi="Helvetica"/>
          <w:color w:val="222222"/>
          <w:sz w:val="20"/>
          <w:szCs w:val="20"/>
          <w:shd w:val="clear" w:color="auto" w:fill="FFFFFF"/>
        </w:rPr>
        <w:t>.</w:t>
      </w:r>
      <w:r w:rsidRPr="00EA1123">
        <w:rPr>
          <w:sz w:val="20"/>
          <w:szCs w:val="20"/>
        </w:rPr>
        <w:t xml:space="preserve"> </w:t>
      </w:r>
    </w:p>
    <w:p w14:paraId="1AAC3A5A" w14:textId="473B722B" w:rsidR="00F376C5" w:rsidRPr="00EA1123" w:rsidRDefault="00FC6013" w:rsidP="00F376C5">
      <w:pPr>
        <w:rPr>
          <w:sz w:val="20"/>
          <w:szCs w:val="20"/>
        </w:rPr>
      </w:pPr>
      <w:r>
        <w:rPr>
          <w:sz w:val="20"/>
          <w:szCs w:val="20"/>
        </w:rPr>
        <w:t xml:space="preserve">A person with hepatitis C may be unaware that they have the virus </w:t>
      </w:r>
      <w:r w:rsidR="00F376C5" w:rsidRPr="00EA1123">
        <w:rPr>
          <w:sz w:val="20"/>
          <w:szCs w:val="20"/>
        </w:rPr>
        <w:t>because obvious symptoms both at the time of transmission and in the early stages of liver disease are uncommon. This often leads to a substantial delay in diagnosis</w:t>
      </w:r>
      <w:r w:rsidR="00EC7ACA">
        <w:rPr>
          <w:sz w:val="20"/>
          <w:szCs w:val="20"/>
        </w:rPr>
        <w:t>.</w:t>
      </w:r>
      <w:r w:rsidR="00F376C5" w:rsidRPr="00EA1123">
        <w:rPr>
          <w:sz w:val="20"/>
          <w:szCs w:val="20"/>
        </w:rPr>
        <w:t xml:space="preserve"> </w:t>
      </w:r>
      <w:r w:rsidR="00EC7ACA">
        <w:rPr>
          <w:sz w:val="20"/>
          <w:szCs w:val="20"/>
        </w:rPr>
        <w:t>D</w:t>
      </w:r>
      <w:r w:rsidR="00F376C5" w:rsidRPr="00EA1123">
        <w:rPr>
          <w:sz w:val="20"/>
          <w:szCs w:val="20"/>
        </w:rPr>
        <w:t>uring this time</w:t>
      </w:r>
      <w:r w:rsidR="00EC7ACA">
        <w:rPr>
          <w:sz w:val="20"/>
          <w:szCs w:val="20"/>
        </w:rPr>
        <w:t>,</w:t>
      </w:r>
      <w:r w:rsidR="00F376C5" w:rsidRPr="00EA1123">
        <w:rPr>
          <w:sz w:val="20"/>
          <w:szCs w:val="20"/>
        </w:rPr>
        <w:t xml:space="preserve"> further inadv</w:t>
      </w:r>
      <w:r w:rsidR="00DF17F5">
        <w:rPr>
          <w:sz w:val="20"/>
          <w:szCs w:val="20"/>
        </w:rPr>
        <w:t>ertent transmissions can occur.</w:t>
      </w:r>
      <w:r w:rsidR="00361CC5">
        <w:rPr>
          <w:sz w:val="20"/>
          <w:szCs w:val="20"/>
        </w:rPr>
        <w:t xml:space="preserve"> </w:t>
      </w:r>
      <w:r w:rsidR="00DF17F5">
        <w:rPr>
          <w:sz w:val="20"/>
          <w:szCs w:val="20"/>
        </w:rPr>
        <w:t>I</w:t>
      </w:r>
      <w:r w:rsidR="00361CC5">
        <w:rPr>
          <w:sz w:val="20"/>
          <w:szCs w:val="20"/>
        </w:rPr>
        <w:t>t is crucial that priority populations h</w:t>
      </w:r>
      <w:r w:rsidR="008B641A">
        <w:rPr>
          <w:sz w:val="20"/>
          <w:szCs w:val="20"/>
        </w:rPr>
        <w:t>ave</w:t>
      </w:r>
      <w:r w:rsidR="0036332A">
        <w:rPr>
          <w:sz w:val="20"/>
          <w:szCs w:val="20"/>
        </w:rPr>
        <w:t xml:space="preserve"> an u</w:t>
      </w:r>
      <w:r w:rsidR="00F376C5" w:rsidRPr="00EA1123">
        <w:rPr>
          <w:sz w:val="20"/>
          <w:szCs w:val="20"/>
        </w:rPr>
        <w:t xml:space="preserve">nderstanding </w:t>
      </w:r>
      <w:r w:rsidR="00361CC5">
        <w:rPr>
          <w:sz w:val="20"/>
          <w:szCs w:val="20"/>
        </w:rPr>
        <w:t xml:space="preserve">of </w:t>
      </w:r>
      <w:r w:rsidR="00F376C5" w:rsidRPr="00EA1123">
        <w:rPr>
          <w:sz w:val="20"/>
          <w:szCs w:val="20"/>
        </w:rPr>
        <w:t>hepatitis C transmission routes and risks</w:t>
      </w:r>
      <w:r w:rsidR="00361CC5">
        <w:rPr>
          <w:sz w:val="20"/>
          <w:szCs w:val="20"/>
        </w:rPr>
        <w:t>.</w:t>
      </w:r>
    </w:p>
    <w:p w14:paraId="5C473E33" w14:textId="5759B97B" w:rsidR="00F376C5" w:rsidRPr="00EA1123" w:rsidRDefault="00F376C5" w:rsidP="00F376C5">
      <w:pPr>
        <w:rPr>
          <w:sz w:val="20"/>
          <w:szCs w:val="20"/>
        </w:rPr>
      </w:pPr>
      <w:r w:rsidRPr="00EA1123">
        <w:rPr>
          <w:sz w:val="20"/>
          <w:szCs w:val="20"/>
        </w:rPr>
        <w:t xml:space="preserve">The vast majority of new cases of hepatitis C in Australia occur among people who inject drugs, with receptive sharing of contaminated </w:t>
      </w:r>
      <w:r w:rsidR="00340022">
        <w:rPr>
          <w:sz w:val="20"/>
          <w:szCs w:val="20"/>
        </w:rPr>
        <w:t>needles and syringes</w:t>
      </w:r>
      <w:r w:rsidRPr="00EA1123">
        <w:rPr>
          <w:sz w:val="20"/>
          <w:szCs w:val="20"/>
        </w:rPr>
        <w:t xml:space="preserve"> the predominant cause of these new infections.</w:t>
      </w:r>
      <w:r w:rsidR="00EF7338">
        <w:rPr>
          <w:sz w:val="20"/>
          <w:szCs w:val="20"/>
          <w:vertAlign w:val="superscript"/>
        </w:rPr>
        <w:t>3</w:t>
      </w:r>
      <w:r w:rsidRPr="00EA1123">
        <w:rPr>
          <w:sz w:val="20"/>
          <w:szCs w:val="20"/>
        </w:rPr>
        <w:t xml:space="preserve"> </w:t>
      </w:r>
      <w:r w:rsidR="00EC7ACA">
        <w:rPr>
          <w:sz w:val="20"/>
          <w:szCs w:val="20"/>
        </w:rPr>
        <w:t>Therefore, p</w:t>
      </w:r>
      <w:r w:rsidRPr="00EA1123">
        <w:rPr>
          <w:sz w:val="20"/>
          <w:szCs w:val="20"/>
        </w:rPr>
        <w:t>revention efforts are</w:t>
      </w:r>
      <w:r w:rsidR="00EC7ACA">
        <w:rPr>
          <w:sz w:val="20"/>
          <w:szCs w:val="20"/>
        </w:rPr>
        <w:t xml:space="preserve"> </w:t>
      </w:r>
      <w:r w:rsidRPr="00EA1123">
        <w:rPr>
          <w:sz w:val="20"/>
          <w:szCs w:val="20"/>
        </w:rPr>
        <w:t xml:space="preserve">largely focused on addressing the risks associated with injecting drug use, including via </w:t>
      </w:r>
      <w:r w:rsidR="00B94E4A">
        <w:rPr>
          <w:sz w:val="20"/>
          <w:szCs w:val="20"/>
        </w:rPr>
        <w:t>peer</w:t>
      </w:r>
      <w:r w:rsidR="00B94E4A" w:rsidRPr="00EA1123">
        <w:rPr>
          <w:sz w:val="20"/>
          <w:szCs w:val="20"/>
        </w:rPr>
        <w:t xml:space="preserve"> </w:t>
      </w:r>
      <w:r w:rsidRPr="00EA1123">
        <w:rPr>
          <w:sz w:val="20"/>
          <w:szCs w:val="20"/>
        </w:rPr>
        <w:t>education</w:t>
      </w:r>
      <w:r w:rsidR="00C84897">
        <w:rPr>
          <w:sz w:val="20"/>
          <w:szCs w:val="20"/>
        </w:rPr>
        <w:t>;</w:t>
      </w:r>
      <w:r w:rsidRPr="00EA1123">
        <w:rPr>
          <w:sz w:val="20"/>
          <w:szCs w:val="20"/>
        </w:rPr>
        <w:t xml:space="preserve"> and equitable access to prevention tools, such as </w:t>
      </w:r>
      <w:r w:rsidR="00533681">
        <w:rPr>
          <w:sz w:val="20"/>
          <w:szCs w:val="20"/>
        </w:rPr>
        <w:t xml:space="preserve">sterile </w:t>
      </w:r>
      <w:r w:rsidR="00361CC5">
        <w:rPr>
          <w:sz w:val="20"/>
          <w:szCs w:val="20"/>
        </w:rPr>
        <w:t>needles</w:t>
      </w:r>
      <w:r w:rsidR="006A110B">
        <w:rPr>
          <w:sz w:val="20"/>
          <w:szCs w:val="20"/>
        </w:rPr>
        <w:t xml:space="preserve"> and </w:t>
      </w:r>
      <w:r w:rsidRPr="00EA1123">
        <w:rPr>
          <w:sz w:val="20"/>
          <w:szCs w:val="20"/>
        </w:rPr>
        <w:t xml:space="preserve">syringes. </w:t>
      </w:r>
    </w:p>
    <w:p w14:paraId="342A0A83" w14:textId="76A51349" w:rsidR="00C929EB" w:rsidRDefault="00F376C5" w:rsidP="00F376C5">
      <w:pPr>
        <w:rPr>
          <w:sz w:val="20"/>
          <w:szCs w:val="20"/>
        </w:rPr>
      </w:pPr>
      <w:r w:rsidRPr="00EA1123">
        <w:rPr>
          <w:sz w:val="20"/>
          <w:szCs w:val="20"/>
        </w:rPr>
        <w:t>Prior infection with hepatitis C does not offer immunity</w:t>
      </w:r>
      <w:r w:rsidR="00315023">
        <w:rPr>
          <w:sz w:val="20"/>
          <w:szCs w:val="20"/>
        </w:rPr>
        <w:t>,</w:t>
      </w:r>
      <w:r w:rsidRPr="00EA1123">
        <w:rPr>
          <w:sz w:val="20"/>
          <w:szCs w:val="20"/>
        </w:rPr>
        <w:t xml:space="preserve"> and </w:t>
      </w:r>
      <w:r w:rsidRPr="005C7F1D">
        <w:rPr>
          <w:sz w:val="20"/>
          <w:szCs w:val="20"/>
        </w:rPr>
        <w:t>reinfection</w:t>
      </w:r>
      <w:r w:rsidRPr="00EA1123">
        <w:rPr>
          <w:sz w:val="20"/>
          <w:szCs w:val="20"/>
        </w:rPr>
        <w:t xml:space="preserve"> following a cure can occur. It is therefore important that health promotion, education, regular testing and access to the means of prevention continue </w:t>
      </w:r>
      <w:r w:rsidR="00C21065" w:rsidRPr="00EA1123">
        <w:rPr>
          <w:sz w:val="20"/>
          <w:szCs w:val="20"/>
        </w:rPr>
        <w:t>for people with ongoing risk</w:t>
      </w:r>
      <w:r w:rsidR="00C21065">
        <w:rPr>
          <w:sz w:val="20"/>
          <w:szCs w:val="20"/>
        </w:rPr>
        <w:t xml:space="preserve"> of reinfection</w:t>
      </w:r>
      <w:r w:rsidRPr="00EA1123">
        <w:rPr>
          <w:sz w:val="20"/>
          <w:szCs w:val="20"/>
        </w:rPr>
        <w:t>.</w:t>
      </w:r>
    </w:p>
    <w:p w14:paraId="4BE21137" w14:textId="136E8246" w:rsidR="00F376C5" w:rsidRPr="00EA1123" w:rsidRDefault="00F376C5" w:rsidP="00F376C5">
      <w:pPr>
        <w:rPr>
          <w:sz w:val="20"/>
          <w:szCs w:val="20"/>
        </w:rPr>
      </w:pPr>
      <w:r w:rsidRPr="00EA1123">
        <w:rPr>
          <w:sz w:val="20"/>
          <w:szCs w:val="20"/>
        </w:rPr>
        <w:t>NSPs are a key tool in the prevention effort in Australia and play a valuable role in providin</w:t>
      </w:r>
      <w:r w:rsidR="00253AC9">
        <w:rPr>
          <w:sz w:val="20"/>
          <w:szCs w:val="20"/>
        </w:rPr>
        <w:t xml:space="preserve">g sterile injecting equipment. </w:t>
      </w:r>
      <w:r w:rsidRPr="00EA1123">
        <w:rPr>
          <w:sz w:val="20"/>
          <w:szCs w:val="20"/>
        </w:rPr>
        <w:t>NSPs also play a key role in client education</w:t>
      </w:r>
      <w:r w:rsidR="004B15D5">
        <w:rPr>
          <w:sz w:val="20"/>
          <w:szCs w:val="20"/>
        </w:rPr>
        <w:t>.</w:t>
      </w:r>
      <w:r w:rsidRPr="00EA1123">
        <w:rPr>
          <w:sz w:val="20"/>
          <w:szCs w:val="20"/>
        </w:rPr>
        <w:t xml:space="preserve"> </w:t>
      </w:r>
      <w:r w:rsidR="004B15D5">
        <w:rPr>
          <w:sz w:val="20"/>
          <w:szCs w:val="20"/>
        </w:rPr>
        <w:t xml:space="preserve">They also </w:t>
      </w:r>
      <w:r w:rsidRPr="00EA1123">
        <w:rPr>
          <w:sz w:val="20"/>
          <w:szCs w:val="20"/>
        </w:rPr>
        <w:t>refer clients to, and in some locations provid</w:t>
      </w:r>
      <w:r w:rsidR="004B15D5">
        <w:rPr>
          <w:sz w:val="20"/>
          <w:szCs w:val="20"/>
        </w:rPr>
        <w:t>e</w:t>
      </w:r>
      <w:r w:rsidRPr="00EA1123">
        <w:rPr>
          <w:sz w:val="20"/>
          <w:szCs w:val="20"/>
        </w:rPr>
        <w:t xml:space="preserve">, hepatitis C testing and treatment services. NSPs are very cost-effective compared </w:t>
      </w:r>
      <w:r w:rsidR="00C84897">
        <w:rPr>
          <w:sz w:val="20"/>
          <w:szCs w:val="20"/>
        </w:rPr>
        <w:t xml:space="preserve">with </w:t>
      </w:r>
      <w:r w:rsidRPr="00EA1123">
        <w:rPr>
          <w:sz w:val="20"/>
          <w:szCs w:val="20"/>
        </w:rPr>
        <w:t xml:space="preserve">other public health interventions. Past modelling over a </w:t>
      </w:r>
      <w:r w:rsidR="004B15D5">
        <w:rPr>
          <w:sz w:val="20"/>
          <w:szCs w:val="20"/>
        </w:rPr>
        <w:t>10-</w:t>
      </w:r>
      <w:r w:rsidRPr="00EA1123">
        <w:rPr>
          <w:sz w:val="20"/>
          <w:szCs w:val="20"/>
        </w:rPr>
        <w:t>year period estimated that over 96</w:t>
      </w:r>
      <w:r w:rsidR="004B15D5">
        <w:rPr>
          <w:sz w:val="20"/>
          <w:szCs w:val="20"/>
        </w:rPr>
        <w:t> </w:t>
      </w:r>
      <w:r w:rsidRPr="00EA1123">
        <w:rPr>
          <w:sz w:val="20"/>
          <w:szCs w:val="20"/>
        </w:rPr>
        <w:t>000 new hepatitis C infections were averted and</w:t>
      </w:r>
      <w:r w:rsidR="004B15D5">
        <w:rPr>
          <w:sz w:val="20"/>
          <w:szCs w:val="20"/>
        </w:rPr>
        <w:t>,</w:t>
      </w:r>
      <w:r w:rsidRPr="00EA1123">
        <w:rPr>
          <w:sz w:val="20"/>
          <w:szCs w:val="20"/>
        </w:rPr>
        <w:t xml:space="preserve"> for every one dollar invested in NSPs, more than four dollars were returned (additional to the investment) in </w:t>
      </w:r>
      <w:r w:rsidR="00365056">
        <w:rPr>
          <w:sz w:val="20"/>
          <w:szCs w:val="20"/>
        </w:rPr>
        <w:t xml:space="preserve">direct </w:t>
      </w:r>
      <w:r w:rsidRPr="00EA1123">
        <w:rPr>
          <w:sz w:val="20"/>
          <w:szCs w:val="20"/>
        </w:rPr>
        <w:t>healthcare cost</w:t>
      </w:r>
      <w:r w:rsidR="004B15D5">
        <w:rPr>
          <w:sz w:val="20"/>
          <w:szCs w:val="20"/>
        </w:rPr>
        <w:t xml:space="preserve"> </w:t>
      </w:r>
      <w:r w:rsidRPr="00EA1123">
        <w:rPr>
          <w:sz w:val="20"/>
          <w:szCs w:val="20"/>
        </w:rPr>
        <w:t>savings.</w:t>
      </w:r>
      <w:r w:rsidRPr="0005515D">
        <w:rPr>
          <w:sz w:val="20"/>
          <w:szCs w:val="20"/>
          <w:vertAlign w:val="superscript"/>
        </w:rPr>
        <w:endnoteReference w:id="21"/>
      </w:r>
      <w:r w:rsidRPr="00EA1123">
        <w:rPr>
          <w:sz w:val="20"/>
          <w:szCs w:val="20"/>
        </w:rPr>
        <w:t xml:space="preserve"> Evid</w:t>
      </w:r>
      <w:r w:rsidR="00074E68">
        <w:rPr>
          <w:sz w:val="20"/>
          <w:szCs w:val="20"/>
        </w:rPr>
        <w:t>ence also supports the use of</w:t>
      </w:r>
      <w:r w:rsidR="002C3655">
        <w:rPr>
          <w:sz w:val="20"/>
          <w:szCs w:val="20"/>
        </w:rPr>
        <w:t xml:space="preserve"> evidence-based</w:t>
      </w:r>
      <w:r w:rsidR="00074E68">
        <w:rPr>
          <w:sz w:val="20"/>
          <w:szCs w:val="20"/>
        </w:rPr>
        <w:t xml:space="preserve"> O</w:t>
      </w:r>
      <w:r w:rsidRPr="00EA1123">
        <w:rPr>
          <w:sz w:val="20"/>
          <w:szCs w:val="20"/>
        </w:rPr>
        <w:t>T</w:t>
      </w:r>
      <w:r w:rsidR="007940DC">
        <w:rPr>
          <w:sz w:val="20"/>
          <w:szCs w:val="20"/>
        </w:rPr>
        <w:t>P</w:t>
      </w:r>
      <w:r w:rsidRPr="00EA1123">
        <w:rPr>
          <w:sz w:val="20"/>
          <w:szCs w:val="20"/>
        </w:rPr>
        <w:t xml:space="preserve"> to assist in reducing or ceasing injecting drug use, in addition to NSPs, to reduce hepatitis C transmission.</w:t>
      </w:r>
      <w:r w:rsidRPr="00EA1123">
        <w:rPr>
          <w:rStyle w:val="EndnoteReference"/>
          <w:sz w:val="20"/>
          <w:szCs w:val="20"/>
        </w:rPr>
        <w:endnoteReference w:id="22"/>
      </w:r>
    </w:p>
    <w:p w14:paraId="3ABB4BB7" w14:textId="77777777" w:rsidR="00F376C5" w:rsidRPr="00EA1123" w:rsidRDefault="00F376C5" w:rsidP="00F376C5">
      <w:pPr>
        <w:rPr>
          <w:sz w:val="20"/>
          <w:szCs w:val="20"/>
        </w:rPr>
      </w:pPr>
      <w:r w:rsidRPr="00EA1123">
        <w:rPr>
          <w:sz w:val="20"/>
          <w:szCs w:val="20"/>
        </w:rPr>
        <w:t>Custodial settings in Australia do not currently provide access to sterile needles and syringes or sterile tattooing and body piercing</w:t>
      </w:r>
      <w:r w:rsidR="00365056">
        <w:rPr>
          <w:sz w:val="20"/>
          <w:szCs w:val="20"/>
        </w:rPr>
        <w:t xml:space="preserve"> equipment</w:t>
      </w:r>
      <w:r w:rsidRPr="00EA1123">
        <w:rPr>
          <w:sz w:val="20"/>
          <w:szCs w:val="20"/>
        </w:rPr>
        <w:t xml:space="preserve">. </w:t>
      </w:r>
      <w:r w:rsidR="0005515D">
        <w:rPr>
          <w:sz w:val="20"/>
          <w:szCs w:val="20"/>
        </w:rPr>
        <w:t>However, international r</w:t>
      </w:r>
      <w:r w:rsidRPr="00EA1123">
        <w:rPr>
          <w:sz w:val="20"/>
          <w:szCs w:val="20"/>
        </w:rPr>
        <w:t xml:space="preserve">esearch </w:t>
      </w:r>
      <w:r w:rsidR="0005515D">
        <w:rPr>
          <w:sz w:val="20"/>
          <w:szCs w:val="20"/>
        </w:rPr>
        <w:t>suggests</w:t>
      </w:r>
      <w:r w:rsidRPr="00EA1123">
        <w:rPr>
          <w:sz w:val="20"/>
          <w:szCs w:val="20"/>
        </w:rPr>
        <w:t xml:space="preserve"> that introduction of NSPs into </w:t>
      </w:r>
      <w:r w:rsidR="0005515D">
        <w:rPr>
          <w:sz w:val="20"/>
          <w:szCs w:val="20"/>
        </w:rPr>
        <w:t xml:space="preserve">Australian </w:t>
      </w:r>
      <w:r w:rsidRPr="00EA1123">
        <w:rPr>
          <w:sz w:val="20"/>
          <w:szCs w:val="20"/>
        </w:rPr>
        <w:t>custodial settings would significantly impact on transmission of hepatitis C.</w:t>
      </w:r>
      <w:r w:rsidRPr="00EA1123">
        <w:rPr>
          <w:rStyle w:val="EndnoteReference"/>
          <w:sz w:val="20"/>
          <w:szCs w:val="20"/>
        </w:rPr>
        <w:endnoteReference w:id="23"/>
      </w:r>
      <w:r w:rsidR="00C929EB" w:rsidRPr="00C929EB">
        <w:rPr>
          <w:sz w:val="20"/>
          <w:szCs w:val="20"/>
          <w:vertAlign w:val="superscript"/>
        </w:rPr>
        <w:t>,</w:t>
      </w:r>
      <w:r w:rsidRPr="00EA1123">
        <w:rPr>
          <w:rStyle w:val="EndnoteReference"/>
          <w:sz w:val="20"/>
          <w:szCs w:val="20"/>
        </w:rPr>
        <w:endnoteReference w:id="24"/>
      </w:r>
      <w:r w:rsidRPr="00EA1123">
        <w:rPr>
          <w:sz w:val="20"/>
          <w:szCs w:val="20"/>
        </w:rPr>
        <w:t xml:space="preserve"> There are also gaps in access to drug treatment programs in these settings. </w:t>
      </w:r>
    </w:p>
    <w:p w14:paraId="3E547210" w14:textId="77777777" w:rsidR="00F376C5" w:rsidRPr="00EA1123" w:rsidRDefault="00F376C5" w:rsidP="00F376C5">
      <w:pPr>
        <w:rPr>
          <w:sz w:val="20"/>
          <w:szCs w:val="20"/>
        </w:rPr>
      </w:pPr>
      <w:r w:rsidRPr="00EA1123">
        <w:rPr>
          <w:sz w:val="20"/>
          <w:szCs w:val="20"/>
        </w:rPr>
        <w:t>There are also opportunities to improve access to NSPs in the general community. Options include needle dispensing machines or supply through other services open after hours, as these have shown strong utilisation by people who inject drugs.</w:t>
      </w:r>
      <w:r w:rsidRPr="00EA1123">
        <w:rPr>
          <w:rStyle w:val="EndnoteReference"/>
          <w:sz w:val="20"/>
          <w:szCs w:val="20"/>
        </w:rPr>
        <w:endnoteReference w:id="25"/>
      </w:r>
      <w:r w:rsidRPr="00EA1123">
        <w:rPr>
          <w:sz w:val="20"/>
          <w:szCs w:val="20"/>
        </w:rPr>
        <w:t xml:space="preserve"> NSP coverage in regional, rural and remote areas and within Aboriginal and Torres Strait Islander communities also needs to be established or enhanced. </w:t>
      </w:r>
    </w:p>
    <w:p w14:paraId="48A8ADB3" w14:textId="11886B22" w:rsidR="009C79B4" w:rsidRDefault="00F376C5" w:rsidP="002A1571">
      <w:pPr>
        <w:rPr>
          <w:sz w:val="20"/>
          <w:szCs w:val="20"/>
        </w:rPr>
      </w:pPr>
      <w:r w:rsidRPr="009C79B4">
        <w:rPr>
          <w:sz w:val="20"/>
          <w:szCs w:val="20"/>
        </w:rPr>
        <w:lastRenderedPageBreak/>
        <w:t>Peers are credible, trusted sources of information and can assist in engaging hard-to-reach populations. A peer-based approach can be particularly useful in engaging people who inject drugs as well as young people at risk of injecting. Legal barriers to the peer distribution of sterile injecting equipment remain in the majority of jurisdictions, making it difficult to formalise this approach.</w:t>
      </w:r>
    </w:p>
    <w:p w14:paraId="0A1C765C" w14:textId="66C902B3" w:rsidR="002A1571" w:rsidRPr="00EA1123" w:rsidRDefault="002A1571" w:rsidP="002A1571">
      <w:pPr>
        <w:rPr>
          <w:sz w:val="20"/>
          <w:szCs w:val="20"/>
        </w:rPr>
      </w:pPr>
      <w:r w:rsidRPr="00EA1123">
        <w:rPr>
          <w:sz w:val="20"/>
          <w:szCs w:val="20"/>
        </w:rPr>
        <w:t xml:space="preserve">New curative </w:t>
      </w:r>
      <w:r w:rsidR="00CC52E9" w:rsidRPr="00EA1123">
        <w:rPr>
          <w:sz w:val="20"/>
          <w:szCs w:val="20"/>
        </w:rPr>
        <w:t>DAA</w:t>
      </w:r>
      <w:r w:rsidRPr="00EA1123">
        <w:rPr>
          <w:sz w:val="20"/>
          <w:szCs w:val="20"/>
        </w:rPr>
        <w:t xml:space="preserve"> treatments provide the opportunity </w:t>
      </w:r>
      <w:r w:rsidR="00CC52E9" w:rsidRPr="00EA1123">
        <w:rPr>
          <w:sz w:val="20"/>
          <w:szCs w:val="20"/>
        </w:rPr>
        <w:t>for</w:t>
      </w:r>
      <w:r w:rsidRPr="00EA1123">
        <w:rPr>
          <w:sz w:val="20"/>
          <w:szCs w:val="20"/>
        </w:rPr>
        <w:t xml:space="preserve"> ‘treatment as prevention of onward transmission’, as it has the potential to reduce overall hepatitis C incidence as the population of people living with hepatitis C diminishes.</w:t>
      </w:r>
      <w:r w:rsidR="00A368C7">
        <w:rPr>
          <w:rStyle w:val="EndnoteReference"/>
          <w:sz w:val="20"/>
          <w:szCs w:val="20"/>
        </w:rPr>
        <w:endnoteReference w:id="26"/>
      </w:r>
      <w:r w:rsidRPr="00EA1123">
        <w:rPr>
          <w:sz w:val="20"/>
          <w:szCs w:val="20"/>
        </w:rPr>
        <w:t xml:space="preserve"> Research </w:t>
      </w:r>
      <w:r w:rsidR="004B15D5">
        <w:rPr>
          <w:sz w:val="20"/>
          <w:szCs w:val="20"/>
        </w:rPr>
        <w:t xml:space="preserve">on </w:t>
      </w:r>
      <w:r w:rsidRPr="00EA1123">
        <w:rPr>
          <w:sz w:val="20"/>
          <w:szCs w:val="20"/>
        </w:rPr>
        <w:t>this approach among people who inject drugs and their networks is continuing and will inform the development of models of care for this high</w:t>
      </w:r>
      <w:r w:rsidR="00AB42BF">
        <w:rPr>
          <w:sz w:val="20"/>
          <w:szCs w:val="20"/>
        </w:rPr>
        <w:t>-</w:t>
      </w:r>
      <w:r w:rsidRPr="00EA1123">
        <w:rPr>
          <w:sz w:val="20"/>
          <w:szCs w:val="20"/>
        </w:rPr>
        <w:t xml:space="preserve">risk priority population. </w:t>
      </w:r>
    </w:p>
    <w:p w14:paraId="00F56218" w14:textId="78997435" w:rsidR="00F376C5" w:rsidRPr="00EA1123" w:rsidRDefault="00F376C5" w:rsidP="00F376C5">
      <w:pPr>
        <w:rPr>
          <w:sz w:val="20"/>
          <w:szCs w:val="20"/>
        </w:rPr>
      </w:pPr>
      <w:r w:rsidRPr="00EA1123">
        <w:rPr>
          <w:sz w:val="20"/>
          <w:szCs w:val="20"/>
        </w:rPr>
        <w:t>Sufficient safety information on the impact of these new hepatitis C treatments on pregnant women and their babies is not yet available.</w:t>
      </w:r>
      <w:r w:rsidRPr="00EA1123">
        <w:rPr>
          <w:rStyle w:val="EndnoteReference"/>
          <w:sz w:val="20"/>
          <w:szCs w:val="20"/>
        </w:rPr>
        <w:endnoteReference w:id="27"/>
      </w:r>
      <w:r w:rsidRPr="00EA1123">
        <w:rPr>
          <w:sz w:val="20"/>
          <w:szCs w:val="20"/>
        </w:rPr>
        <w:t xml:space="preserve"> Prevention of mother-to-child transmission should continue to focus on adequate physical prevention measures while supporting research </w:t>
      </w:r>
      <w:r w:rsidR="00AB42BF">
        <w:rPr>
          <w:sz w:val="20"/>
          <w:szCs w:val="20"/>
        </w:rPr>
        <w:t xml:space="preserve">on </w:t>
      </w:r>
      <w:r w:rsidRPr="00EA1123">
        <w:rPr>
          <w:sz w:val="20"/>
          <w:szCs w:val="20"/>
        </w:rPr>
        <w:t xml:space="preserve">the safety of DAA treatment during pregnancy. </w:t>
      </w:r>
    </w:p>
    <w:p w14:paraId="60C0EECF" w14:textId="77777777" w:rsidR="00F376C5" w:rsidRPr="00B3349F" w:rsidRDefault="00F376C5" w:rsidP="00F376C5">
      <w:pPr>
        <w:rPr>
          <w:rFonts w:cs="Segoe UI"/>
          <w:b/>
          <w:sz w:val="20"/>
          <w:szCs w:val="20"/>
        </w:rPr>
      </w:pPr>
      <w:r w:rsidRPr="00B3349F">
        <w:rPr>
          <w:rFonts w:cs="Segoe UI"/>
          <w:b/>
          <w:sz w:val="20"/>
          <w:szCs w:val="20"/>
        </w:rPr>
        <w:t>Key areas for action</w:t>
      </w:r>
    </w:p>
    <w:p w14:paraId="64966EF6" w14:textId="77777777" w:rsidR="00F376C5" w:rsidRPr="00EA1123" w:rsidRDefault="00F376C5" w:rsidP="00DB37AD">
      <w:pPr>
        <w:pStyle w:val="Bullet"/>
        <w:numPr>
          <w:ilvl w:val="0"/>
          <w:numId w:val="14"/>
        </w:numPr>
        <w:spacing w:before="120" w:after="0"/>
        <w:ind w:left="360"/>
        <w:rPr>
          <w:sz w:val="20"/>
          <w:szCs w:val="20"/>
        </w:rPr>
      </w:pPr>
      <w:r w:rsidRPr="00EA1123">
        <w:rPr>
          <w:sz w:val="20"/>
          <w:szCs w:val="20"/>
        </w:rPr>
        <w:t xml:space="preserve">Implement a national hepatitis C public education </w:t>
      </w:r>
      <w:r w:rsidR="00874A9C" w:rsidRPr="00EA1123">
        <w:rPr>
          <w:sz w:val="20"/>
          <w:szCs w:val="20"/>
        </w:rPr>
        <w:t xml:space="preserve">initiative </w:t>
      </w:r>
      <w:r w:rsidRPr="00EA1123">
        <w:rPr>
          <w:sz w:val="20"/>
          <w:szCs w:val="20"/>
        </w:rPr>
        <w:t>which incorporates a focus on transmission routes, risks and evidence-based prevention strategies</w:t>
      </w:r>
    </w:p>
    <w:p w14:paraId="7A2BD105" w14:textId="320C1682" w:rsidR="00F376C5" w:rsidRPr="00EA1123" w:rsidRDefault="00F376C5" w:rsidP="00DB37AD">
      <w:pPr>
        <w:pStyle w:val="Bullet"/>
        <w:numPr>
          <w:ilvl w:val="0"/>
          <w:numId w:val="14"/>
        </w:numPr>
        <w:spacing w:before="120" w:after="0"/>
        <w:ind w:left="360"/>
        <w:rPr>
          <w:sz w:val="20"/>
          <w:szCs w:val="20"/>
        </w:rPr>
      </w:pPr>
      <w:r w:rsidRPr="00EA1123">
        <w:rPr>
          <w:sz w:val="20"/>
          <w:szCs w:val="20"/>
        </w:rPr>
        <w:t>Scale up access to tailored information, education and prevention programs (including</w:t>
      </w:r>
      <w:r w:rsidR="007655D8">
        <w:rPr>
          <w:sz w:val="20"/>
          <w:szCs w:val="20"/>
        </w:rPr>
        <w:t xml:space="preserve"> peer-based programs,</w:t>
      </w:r>
      <w:r w:rsidRPr="00EA1123">
        <w:rPr>
          <w:sz w:val="20"/>
          <w:szCs w:val="20"/>
        </w:rPr>
        <w:t xml:space="preserve"> in-language and low literacy resources) targeting each priority population across priority s</w:t>
      </w:r>
      <w:r w:rsidR="00253AC9">
        <w:rPr>
          <w:sz w:val="20"/>
          <w:szCs w:val="20"/>
        </w:rPr>
        <w:t>ettings, to improve hepatitis C</w:t>
      </w:r>
      <w:r w:rsidR="00253AC9">
        <w:rPr>
          <w:sz w:val="20"/>
          <w:szCs w:val="20"/>
        </w:rPr>
        <w:noBreakHyphen/>
      </w:r>
      <w:r w:rsidRPr="00EA1123">
        <w:rPr>
          <w:sz w:val="20"/>
          <w:szCs w:val="20"/>
        </w:rPr>
        <w:t>related health literacy, promote transmission risk mitigation, and support engagement in testing and treatment</w:t>
      </w:r>
    </w:p>
    <w:p w14:paraId="7DFE9E1B" w14:textId="77777777" w:rsidR="00F376C5" w:rsidRPr="00EA1123" w:rsidRDefault="00F376C5" w:rsidP="00DB37AD">
      <w:pPr>
        <w:pStyle w:val="Bullet"/>
        <w:numPr>
          <w:ilvl w:val="0"/>
          <w:numId w:val="14"/>
        </w:numPr>
        <w:spacing w:before="120" w:after="0"/>
        <w:ind w:left="360"/>
        <w:rPr>
          <w:sz w:val="20"/>
          <w:szCs w:val="20"/>
        </w:rPr>
      </w:pPr>
      <w:r w:rsidRPr="00EA1123">
        <w:rPr>
          <w:sz w:val="20"/>
          <w:szCs w:val="20"/>
        </w:rPr>
        <w:t>Facilitate the sharing of successful prevention approaches and initiatives and support the adaptation of successful approaches to other priority populations and settings, including custodial settings</w:t>
      </w:r>
    </w:p>
    <w:p w14:paraId="2C04643A" w14:textId="14C83971" w:rsidR="00F376C5" w:rsidRPr="00EA1123" w:rsidRDefault="00F376C5" w:rsidP="00DB37AD">
      <w:pPr>
        <w:pStyle w:val="Bullet"/>
        <w:numPr>
          <w:ilvl w:val="0"/>
          <w:numId w:val="14"/>
        </w:numPr>
        <w:spacing w:before="120" w:after="0"/>
        <w:ind w:left="360"/>
        <w:rPr>
          <w:sz w:val="20"/>
          <w:szCs w:val="20"/>
        </w:rPr>
      </w:pPr>
      <w:r w:rsidRPr="00EA1123">
        <w:rPr>
          <w:sz w:val="20"/>
          <w:szCs w:val="20"/>
        </w:rPr>
        <w:t>Increase the availability and distribution of sterile injecting equipment and information on safer</w:t>
      </w:r>
      <w:r w:rsidR="00AB42BF">
        <w:rPr>
          <w:sz w:val="20"/>
          <w:szCs w:val="20"/>
        </w:rPr>
        <w:t xml:space="preserve"> </w:t>
      </w:r>
      <w:r w:rsidRPr="00EA1123">
        <w:rPr>
          <w:sz w:val="20"/>
          <w:szCs w:val="20"/>
        </w:rPr>
        <w:t xml:space="preserve">injecting among people who inject drugs across all priority </w:t>
      </w:r>
      <w:r w:rsidRPr="00A8087A">
        <w:rPr>
          <w:sz w:val="20"/>
          <w:szCs w:val="20"/>
        </w:rPr>
        <w:t>settings, including facilitation of peer-based harm</w:t>
      </w:r>
      <w:r w:rsidRPr="00EA1123">
        <w:rPr>
          <w:sz w:val="20"/>
          <w:szCs w:val="20"/>
        </w:rPr>
        <w:t xml:space="preserve"> reduction initiatives, education and equipment distribution</w:t>
      </w:r>
    </w:p>
    <w:p w14:paraId="3F85C6A2" w14:textId="60507113" w:rsidR="00F376C5" w:rsidRPr="00EA1123" w:rsidRDefault="00240FC3" w:rsidP="00DB37AD">
      <w:pPr>
        <w:pStyle w:val="Bullet"/>
        <w:numPr>
          <w:ilvl w:val="0"/>
          <w:numId w:val="14"/>
        </w:numPr>
        <w:spacing w:before="120" w:after="0"/>
        <w:ind w:left="360"/>
        <w:rPr>
          <w:sz w:val="20"/>
          <w:szCs w:val="20"/>
        </w:rPr>
      </w:pPr>
      <w:r>
        <w:rPr>
          <w:sz w:val="20"/>
          <w:szCs w:val="20"/>
        </w:rPr>
        <w:t>Support an i</w:t>
      </w:r>
      <w:r w:rsidR="00F376C5" w:rsidRPr="00EA1123">
        <w:rPr>
          <w:sz w:val="20"/>
          <w:szCs w:val="20"/>
        </w:rPr>
        <w:t xml:space="preserve">ncrease </w:t>
      </w:r>
      <w:r>
        <w:rPr>
          <w:sz w:val="20"/>
          <w:szCs w:val="20"/>
        </w:rPr>
        <w:t xml:space="preserve">in </w:t>
      </w:r>
      <w:r w:rsidR="00074E68">
        <w:rPr>
          <w:sz w:val="20"/>
          <w:szCs w:val="20"/>
        </w:rPr>
        <w:t>the provision of</w:t>
      </w:r>
      <w:r w:rsidR="00B94E4A">
        <w:rPr>
          <w:sz w:val="20"/>
          <w:szCs w:val="20"/>
        </w:rPr>
        <w:t xml:space="preserve"> and equitable access to</w:t>
      </w:r>
      <w:r w:rsidR="00351F68">
        <w:rPr>
          <w:sz w:val="20"/>
          <w:szCs w:val="20"/>
        </w:rPr>
        <w:t xml:space="preserve"> </w:t>
      </w:r>
      <w:r w:rsidR="002C3655">
        <w:rPr>
          <w:sz w:val="20"/>
          <w:szCs w:val="20"/>
        </w:rPr>
        <w:t xml:space="preserve">evidence-based </w:t>
      </w:r>
      <w:r w:rsidR="00074E68">
        <w:rPr>
          <w:sz w:val="20"/>
          <w:szCs w:val="20"/>
        </w:rPr>
        <w:t>O</w:t>
      </w:r>
      <w:r w:rsidR="00F376C5" w:rsidRPr="00EA1123">
        <w:rPr>
          <w:sz w:val="20"/>
          <w:szCs w:val="20"/>
        </w:rPr>
        <w:t>T</w:t>
      </w:r>
      <w:r w:rsidR="007940DC">
        <w:rPr>
          <w:sz w:val="20"/>
          <w:szCs w:val="20"/>
        </w:rPr>
        <w:t>P</w:t>
      </w:r>
      <w:r w:rsidR="00F376C5" w:rsidRPr="00EA1123">
        <w:rPr>
          <w:sz w:val="20"/>
          <w:szCs w:val="20"/>
        </w:rPr>
        <w:t xml:space="preserve"> in priority populations and priority settings and address key barriers to access </w:t>
      </w:r>
    </w:p>
    <w:p w14:paraId="0A220C39" w14:textId="77777777" w:rsidR="00EA1123" w:rsidRDefault="00EA1123" w:rsidP="00EA1123">
      <w:pPr>
        <w:rPr>
          <w:b/>
          <w:color w:val="00264D"/>
          <w:sz w:val="20"/>
          <w:szCs w:val="20"/>
        </w:rPr>
      </w:pPr>
    </w:p>
    <w:p w14:paraId="573B923D" w14:textId="090EDB9E" w:rsidR="00F376C5" w:rsidRPr="00CE5B8B" w:rsidRDefault="00F376C5" w:rsidP="00EA1123">
      <w:pPr>
        <w:rPr>
          <w:b/>
          <w:color w:val="00264D"/>
          <w:sz w:val="22"/>
        </w:rPr>
      </w:pPr>
      <w:r w:rsidRPr="00CE5B8B">
        <w:rPr>
          <w:b/>
          <w:color w:val="00264D"/>
          <w:sz w:val="22"/>
        </w:rPr>
        <w:t xml:space="preserve">TESTING, TREATMENT </w:t>
      </w:r>
      <w:r w:rsidR="00B3349F">
        <w:rPr>
          <w:b/>
          <w:color w:val="00264D"/>
          <w:sz w:val="22"/>
        </w:rPr>
        <w:t>AND</w:t>
      </w:r>
      <w:r w:rsidRPr="00CE5B8B">
        <w:rPr>
          <w:b/>
          <w:color w:val="00264D"/>
          <w:sz w:val="22"/>
        </w:rPr>
        <w:t xml:space="preserve"> MANAGEMENT</w:t>
      </w:r>
    </w:p>
    <w:p w14:paraId="23661C75" w14:textId="1A0BFD97" w:rsidR="00C21065" w:rsidRPr="00AB42BF" w:rsidRDefault="00C21065" w:rsidP="00C21065">
      <w:pPr>
        <w:pStyle w:val="CommentText"/>
        <w:numPr>
          <w:ilvl w:val="0"/>
          <w:numId w:val="13"/>
        </w:numPr>
        <w:spacing w:before="120" w:after="60"/>
        <w:rPr>
          <w:i/>
        </w:rPr>
      </w:pPr>
      <w:r w:rsidRPr="00AB42BF">
        <w:rPr>
          <w:i/>
        </w:rPr>
        <w:t>Implement approaches that maximise the number of people living with hepatitis C who are diagnosed</w:t>
      </w:r>
      <w:r w:rsidR="00A8087A">
        <w:rPr>
          <w:i/>
        </w:rPr>
        <w:t>;</w:t>
      </w:r>
      <w:r w:rsidRPr="00AB42BF">
        <w:rPr>
          <w:i/>
        </w:rPr>
        <w:t xml:space="preserve"> and support the completion of confirmatory testing</w:t>
      </w:r>
      <w:r w:rsidR="00EF7338" w:rsidRPr="00AB42BF">
        <w:rPr>
          <w:rStyle w:val="FootnoteReference"/>
          <w:i/>
        </w:rPr>
        <w:footnoteReference w:id="7"/>
      </w:r>
      <w:r w:rsidR="00EF7338" w:rsidRPr="00AB42BF">
        <w:rPr>
          <w:i/>
        </w:rPr>
        <w:t xml:space="preserve"> </w:t>
      </w:r>
      <w:r w:rsidRPr="00AB42BF">
        <w:rPr>
          <w:i/>
        </w:rPr>
        <w:t>and treatment for priority populations</w:t>
      </w:r>
    </w:p>
    <w:p w14:paraId="1F5E765E" w14:textId="590C3E61" w:rsidR="00C21065" w:rsidRPr="00AB42BF" w:rsidRDefault="00B4701A" w:rsidP="00C21065">
      <w:pPr>
        <w:pStyle w:val="CommentText"/>
        <w:numPr>
          <w:ilvl w:val="0"/>
          <w:numId w:val="13"/>
        </w:numPr>
        <w:rPr>
          <w:i/>
          <w:szCs w:val="19"/>
        </w:rPr>
      </w:pPr>
      <w:r w:rsidRPr="00AB42BF">
        <w:rPr>
          <w:i/>
          <w:szCs w:val="19"/>
        </w:rPr>
        <w:t xml:space="preserve">Support health professionals to provide current, innovative and effective </w:t>
      </w:r>
      <w:r w:rsidR="008D4809" w:rsidRPr="00AB42BF">
        <w:rPr>
          <w:i/>
          <w:szCs w:val="19"/>
        </w:rPr>
        <w:t>testing and care for people living with hepatitis C</w:t>
      </w:r>
    </w:p>
    <w:p w14:paraId="05EFC107" w14:textId="45C1F5BD" w:rsidR="00F376C5" w:rsidRPr="00EA1123" w:rsidRDefault="00F376C5" w:rsidP="00F376C5">
      <w:pPr>
        <w:rPr>
          <w:sz w:val="20"/>
          <w:szCs w:val="20"/>
        </w:rPr>
      </w:pPr>
      <w:r w:rsidRPr="00EA1123">
        <w:rPr>
          <w:sz w:val="20"/>
          <w:szCs w:val="20"/>
        </w:rPr>
        <w:t>Regular testing of hepatitis C among priority populations and in priority settings enables not only early diagnosis but also access to curative treatment and education to prevent transmission. At the end of 2016 an estimated 19 per cent of p</w:t>
      </w:r>
      <w:r w:rsidR="00253AC9">
        <w:rPr>
          <w:sz w:val="20"/>
          <w:szCs w:val="20"/>
        </w:rPr>
        <w:t>eople living with hepatitis C (~</w:t>
      </w:r>
      <w:r w:rsidR="00A56D0A">
        <w:rPr>
          <w:sz w:val="20"/>
          <w:szCs w:val="20"/>
        </w:rPr>
        <w:t>38</w:t>
      </w:r>
      <w:r w:rsidR="00AB42BF">
        <w:rPr>
          <w:sz w:val="20"/>
          <w:szCs w:val="20"/>
        </w:rPr>
        <w:t> </w:t>
      </w:r>
      <w:r w:rsidR="00A56D0A">
        <w:rPr>
          <w:sz w:val="20"/>
          <w:szCs w:val="20"/>
        </w:rPr>
        <w:t>000 people)</w:t>
      </w:r>
      <w:r w:rsidRPr="00EA1123">
        <w:rPr>
          <w:sz w:val="20"/>
          <w:szCs w:val="20"/>
        </w:rPr>
        <w:t xml:space="preserve"> were undiagnosed.</w:t>
      </w:r>
      <w:r w:rsidR="00EF7338">
        <w:rPr>
          <w:sz w:val="20"/>
          <w:szCs w:val="20"/>
          <w:vertAlign w:val="superscript"/>
        </w:rPr>
        <w:t>3</w:t>
      </w:r>
      <w:r w:rsidRPr="00EA1123">
        <w:rPr>
          <w:sz w:val="20"/>
          <w:szCs w:val="20"/>
        </w:rPr>
        <w:t xml:space="preserve"> </w:t>
      </w:r>
    </w:p>
    <w:p w14:paraId="59CCEAF4" w14:textId="69EB5B42" w:rsidR="00F376C5" w:rsidRPr="00EA1123" w:rsidRDefault="00F376C5" w:rsidP="00F376C5">
      <w:pPr>
        <w:rPr>
          <w:sz w:val="20"/>
          <w:szCs w:val="20"/>
        </w:rPr>
      </w:pPr>
      <w:r w:rsidRPr="00EA1123">
        <w:rPr>
          <w:sz w:val="20"/>
          <w:szCs w:val="20"/>
        </w:rPr>
        <w:t>Australia has a National Hepatitis C Testing Policy</w:t>
      </w:r>
      <w:r w:rsidRPr="00EA1123">
        <w:rPr>
          <w:rStyle w:val="EndnoteReference"/>
          <w:sz w:val="20"/>
          <w:szCs w:val="20"/>
        </w:rPr>
        <w:endnoteReference w:id="28"/>
      </w:r>
      <w:r w:rsidRPr="00EA1123">
        <w:rPr>
          <w:sz w:val="20"/>
          <w:szCs w:val="20"/>
        </w:rPr>
        <w:t xml:space="preserve"> </w:t>
      </w:r>
      <w:r w:rsidR="00A56D0A">
        <w:rPr>
          <w:sz w:val="20"/>
          <w:szCs w:val="20"/>
        </w:rPr>
        <w:t>that</w:t>
      </w:r>
      <w:r w:rsidRPr="00EA1123">
        <w:rPr>
          <w:sz w:val="20"/>
          <w:szCs w:val="20"/>
        </w:rPr>
        <w:t xml:space="preserve"> includes details on </w:t>
      </w:r>
      <w:r w:rsidR="00655A0D" w:rsidRPr="00EA1123">
        <w:rPr>
          <w:sz w:val="20"/>
          <w:szCs w:val="20"/>
        </w:rPr>
        <w:t xml:space="preserve">indications for testing, </w:t>
      </w:r>
      <w:r w:rsidRPr="00EA1123">
        <w:rPr>
          <w:sz w:val="20"/>
          <w:szCs w:val="20"/>
        </w:rPr>
        <w:t>diagnostic strategies</w:t>
      </w:r>
      <w:r w:rsidR="00655A0D" w:rsidRPr="00EA1123">
        <w:rPr>
          <w:sz w:val="20"/>
          <w:szCs w:val="20"/>
        </w:rPr>
        <w:t xml:space="preserve"> </w:t>
      </w:r>
      <w:r w:rsidRPr="00EA1123">
        <w:rPr>
          <w:sz w:val="20"/>
          <w:szCs w:val="20"/>
        </w:rPr>
        <w:t xml:space="preserve">and quality assurance. </w:t>
      </w:r>
      <w:r w:rsidRPr="00EA1123" w:rsidDel="00906583">
        <w:rPr>
          <w:sz w:val="20"/>
          <w:szCs w:val="20"/>
        </w:rPr>
        <w:t>The principles of quality testing in Australia include that informed consent is required at all times, including in custodial settings</w:t>
      </w:r>
      <w:r w:rsidR="00AB42BF">
        <w:rPr>
          <w:sz w:val="20"/>
          <w:szCs w:val="20"/>
        </w:rPr>
        <w:t>;</w:t>
      </w:r>
      <w:r w:rsidRPr="00EA1123" w:rsidDel="00906583">
        <w:rPr>
          <w:sz w:val="20"/>
          <w:szCs w:val="20"/>
        </w:rPr>
        <w:t xml:space="preserve"> </w:t>
      </w:r>
      <w:r w:rsidR="00AB42BF">
        <w:rPr>
          <w:sz w:val="20"/>
          <w:szCs w:val="20"/>
        </w:rPr>
        <w:t xml:space="preserve">and </w:t>
      </w:r>
      <w:r w:rsidRPr="00EA1123" w:rsidDel="00906583">
        <w:rPr>
          <w:sz w:val="20"/>
          <w:szCs w:val="20"/>
        </w:rPr>
        <w:t>tha</w:t>
      </w:r>
      <w:r w:rsidR="00253AC9">
        <w:rPr>
          <w:sz w:val="20"/>
          <w:szCs w:val="20"/>
        </w:rPr>
        <w:t xml:space="preserve">t testing is </w:t>
      </w:r>
      <w:r w:rsidR="00300855">
        <w:rPr>
          <w:sz w:val="20"/>
          <w:szCs w:val="20"/>
        </w:rPr>
        <w:t xml:space="preserve">voluntary, </w:t>
      </w:r>
      <w:r w:rsidR="00253AC9">
        <w:rPr>
          <w:sz w:val="20"/>
          <w:szCs w:val="20"/>
        </w:rPr>
        <w:t>accessible</w:t>
      </w:r>
      <w:r w:rsidR="00AB42BF">
        <w:rPr>
          <w:sz w:val="20"/>
          <w:szCs w:val="20"/>
        </w:rPr>
        <w:t>,</w:t>
      </w:r>
      <w:r w:rsidR="00253AC9">
        <w:rPr>
          <w:sz w:val="20"/>
          <w:szCs w:val="20"/>
        </w:rPr>
        <w:t xml:space="preserve"> non</w:t>
      </w:r>
      <w:r w:rsidR="00253AC9">
        <w:rPr>
          <w:sz w:val="20"/>
          <w:szCs w:val="20"/>
        </w:rPr>
        <w:noBreakHyphen/>
      </w:r>
      <w:r w:rsidRPr="00EA1123" w:rsidDel="00906583">
        <w:rPr>
          <w:sz w:val="20"/>
          <w:szCs w:val="20"/>
        </w:rPr>
        <w:t>discriminatory, confidential and of clear benefit to the individual being tested.</w:t>
      </w:r>
    </w:p>
    <w:p w14:paraId="255E8270" w14:textId="5139E54D" w:rsidR="00655A0D" w:rsidRPr="00EA1123" w:rsidRDefault="007654B3" w:rsidP="00F376C5">
      <w:pPr>
        <w:rPr>
          <w:sz w:val="20"/>
          <w:szCs w:val="20"/>
          <w:vertAlign w:val="superscript"/>
        </w:rPr>
      </w:pPr>
      <w:r w:rsidRPr="00300855">
        <w:rPr>
          <w:rFonts w:cs="Segoe UI"/>
          <w:sz w:val="20"/>
          <w:szCs w:val="24"/>
        </w:rPr>
        <w:t>Gaps in application of recommended testing procedures are evident and suggest that a significant proportion of people who have been exposed to hepatitis C have been lost to follow</w:t>
      </w:r>
      <w:r w:rsidR="00AB42BF">
        <w:rPr>
          <w:rFonts w:cs="Segoe UI"/>
          <w:sz w:val="20"/>
          <w:szCs w:val="24"/>
        </w:rPr>
        <w:t>-</w:t>
      </w:r>
      <w:r w:rsidRPr="00300855">
        <w:rPr>
          <w:rFonts w:cs="Segoe UI"/>
          <w:sz w:val="20"/>
          <w:szCs w:val="24"/>
        </w:rPr>
        <w:t>up. Of those estimated to have previously had an initial antibody test for hepatitis C at the end of 2016 (~161</w:t>
      </w:r>
      <w:r w:rsidR="00AB42BF">
        <w:rPr>
          <w:rFonts w:cs="Segoe UI"/>
          <w:sz w:val="20"/>
          <w:szCs w:val="24"/>
        </w:rPr>
        <w:t> </w:t>
      </w:r>
      <w:r w:rsidRPr="00300855">
        <w:rPr>
          <w:rFonts w:cs="Segoe UI"/>
          <w:sz w:val="20"/>
          <w:szCs w:val="24"/>
        </w:rPr>
        <w:t>500 people), less than half were estimated to have had a follow-up hepatitis C RNA test (~75</w:t>
      </w:r>
      <w:r w:rsidR="00AB42BF">
        <w:rPr>
          <w:rFonts w:cs="Segoe UI"/>
          <w:sz w:val="20"/>
          <w:szCs w:val="24"/>
        </w:rPr>
        <w:t> </w:t>
      </w:r>
      <w:r w:rsidRPr="00300855">
        <w:rPr>
          <w:rFonts w:cs="Segoe UI"/>
          <w:sz w:val="20"/>
          <w:szCs w:val="24"/>
        </w:rPr>
        <w:t>900 people)</w:t>
      </w:r>
      <w:r w:rsidR="008B641A">
        <w:rPr>
          <w:sz w:val="20"/>
          <w:szCs w:val="20"/>
        </w:rPr>
        <w:t xml:space="preserve"> </w:t>
      </w:r>
      <w:r w:rsidR="00655A0D" w:rsidRPr="00EA1123">
        <w:rPr>
          <w:sz w:val="20"/>
          <w:szCs w:val="20"/>
        </w:rPr>
        <w:t xml:space="preserve">to </w:t>
      </w:r>
      <w:r w:rsidR="008E4D5C">
        <w:rPr>
          <w:sz w:val="20"/>
          <w:szCs w:val="20"/>
        </w:rPr>
        <w:t>confirm if they have evidence</w:t>
      </w:r>
      <w:r w:rsidR="00655A0D" w:rsidRPr="00EA1123">
        <w:rPr>
          <w:sz w:val="20"/>
          <w:szCs w:val="20"/>
        </w:rPr>
        <w:t xml:space="preserve"> </w:t>
      </w:r>
      <w:r w:rsidR="008E4D5C">
        <w:rPr>
          <w:sz w:val="20"/>
          <w:szCs w:val="20"/>
        </w:rPr>
        <w:t>of</w:t>
      </w:r>
      <w:r w:rsidR="00655A0D" w:rsidRPr="00EA1123">
        <w:rPr>
          <w:sz w:val="20"/>
          <w:szCs w:val="20"/>
        </w:rPr>
        <w:t xml:space="preserve"> infection.</w:t>
      </w:r>
      <w:r w:rsidR="00EF7338">
        <w:rPr>
          <w:sz w:val="20"/>
          <w:szCs w:val="20"/>
          <w:vertAlign w:val="superscript"/>
        </w:rPr>
        <w:t>3</w:t>
      </w:r>
      <w:r w:rsidR="00655A0D" w:rsidRPr="00EA1123">
        <w:rPr>
          <w:sz w:val="20"/>
          <w:szCs w:val="20"/>
          <w:vertAlign w:val="superscript"/>
        </w:rPr>
        <w:t xml:space="preserve">  </w:t>
      </w:r>
    </w:p>
    <w:p w14:paraId="35BEB677" w14:textId="5326FFC9" w:rsidR="00F242AD" w:rsidRDefault="00F376C5" w:rsidP="00F376C5">
      <w:pPr>
        <w:rPr>
          <w:sz w:val="20"/>
          <w:szCs w:val="20"/>
        </w:rPr>
      </w:pPr>
      <w:r w:rsidRPr="00EA1123">
        <w:rPr>
          <w:sz w:val="20"/>
          <w:szCs w:val="20"/>
        </w:rPr>
        <w:lastRenderedPageBreak/>
        <w:t>Finding everyone who is currently undiagnosed, partially diagnosed (no confirmatory RNA test) and/or not engaged in active management of their hepatitis C infection is essential in improving treatment uptake. A ran</w:t>
      </w:r>
      <w:r w:rsidR="00411921">
        <w:rPr>
          <w:sz w:val="20"/>
          <w:szCs w:val="20"/>
        </w:rPr>
        <w:t xml:space="preserve">ge of approaches are needed to </w:t>
      </w:r>
      <w:r w:rsidRPr="00EA1123">
        <w:rPr>
          <w:sz w:val="20"/>
          <w:szCs w:val="20"/>
        </w:rPr>
        <w:t>support this</w:t>
      </w:r>
      <w:r w:rsidR="00AB42BF">
        <w:rPr>
          <w:sz w:val="20"/>
          <w:szCs w:val="20"/>
        </w:rPr>
        <w:t>,</w:t>
      </w:r>
      <w:r w:rsidRPr="00EA1123">
        <w:rPr>
          <w:sz w:val="20"/>
          <w:szCs w:val="20"/>
        </w:rPr>
        <w:t xml:space="preserve"> including a national hepatitis C public awareness </w:t>
      </w:r>
      <w:r w:rsidR="00874A9C" w:rsidRPr="00EA1123">
        <w:rPr>
          <w:sz w:val="20"/>
          <w:szCs w:val="20"/>
        </w:rPr>
        <w:t>initiative</w:t>
      </w:r>
      <w:r w:rsidR="00AB42BF">
        <w:rPr>
          <w:sz w:val="20"/>
          <w:szCs w:val="20"/>
        </w:rPr>
        <w:t>;</w:t>
      </w:r>
      <w:r w:rsidRPr="00EA1123">
        <w:rPr>
          <w:sz w:val="20"/>
          <w:szCs w:val="20"/>
        </w:rPr>
        <w:t xml:space="preserve"> tailored priority population education and testing programs</w:t>
      </w:r>
      <w:r w:rsidR="00A56D0A">
        <w:rPr>
          <w:sz w:val="20"/>
          <w:szCs w:val="20"/>
        </w:rPr>
        <w:t>,</w:t>
      </w:r>
      <w:r w:rsidR="009C79B4">
        <w:rPr>
          <w:sz w:val="20"/>
          <w:szCs w:val="20"/>
        </w:rPr>
        <w:t xml:space="preserve"> including</w:t>
      </w:r>
      <w:r w:rsidR="00F242AD">
        <w:rPr>
          <w:sz w:val="20"/>
          <w:szCs w:val="20"/>
        </w:rPr>
        <w:t xml:space="preserve"> linkages </w:t>
      </w:r>
      <w:r w:rsidR="00A56D0A">
        <w:rPr>
          <w:sz w:val="20"/>
          <w:szCs w:val="20"/>
        </w:rPr>
        <w:t>via</w:t>
      </w:r>
      <w:r w:rsidR="009C79B4">
        <w:rPr>
          <w:sz w:val="20"/>
          <w:szCs w:val="20"/>
        </w:rPr>
        <w:t xml:space="preserve"> </w:t>
      </w:r>
      <w:r w:rsidR="00F242AD">
        <w:rPr>
          <w:sz w:val="20"/>
          <w:szCs w:val="20"/>
        </w:rPr>
        <w:t>peer educators</w:t>
      </w:r>
      <w:r w:rsidR="00AB42BF">
        <w:rPr>
          <w:sz w:val="20"/>
          <w:szCs w:val="20"/>
        </w:rPr>
        <w:t>;</w:t>
      </w:r>
      <w:r w:rsidR="00F242AD">
        <w:rPr>
          <w:sz w:val="20"/>
          <w:szCs w:val="20"/>
        </w:rPr>
        <w:t xml:space="preserve"> </w:t>
      </w:r>
      <w:r w:rsidRPr="00EA1123">
        <w:rPr>
          <w:sz w:val="20"/>
          <w:szCs w:val="20"/>
        </w:rPr>
        <w:t xml:space="preserve">and active </w:t>
      </w:r>
      <w:r w:rsidR="00AF1398" w:rsidRPr="00EA1123">
        <w:rPr>
          <w:sz w:val="20"/>
          <w:szCs w:val="20"/>
        </w:rPr>
        <w:t>case</w:t>
      </w:r>
      <w:r w:rsidR="00AF1398">
        <w:rPr>
          <w:sz w:val="20"/>
          <w:szCs w:val="20"/>
        </w:rPr>
        <w:t>-</w:t>
      </w:r>
      <w:r w:rsidRPr="00EA1123">
        <w:rPr>
          <w:sz w:val="20"/>
          <w:szCs w:val="20"/>
        </w:rPr>
        <w:t xml:space="preserve">finding strategies. Consideration </w:t>
      </w:r>
      <w:r w:rsidR="00A56D0A">
        <w:rPr>
          <w:sz w:val="20"/>
          <w:szCs w:val="20"/>
        </w:rPr>
        <w:t xml:space="preserve">also </w:t>
      </w:r>
      <w:r w:rsidRPr="00EA1123">
        <w:rPr>
          <w:sz w:val="20"/>
          <w:szCs w:val="20"/>
        </w:rPr>
        <w:t xml:space="preserve">needs to be given to improving </w:t>
      </w:r>
      <w:r w:rsidR="00351F68">
        <w:rPr>
          <w:sz w:val="20"/>
          <w:szCs w:val="20"/>
        </w:rPr>
        <w:t>t</w:t>
      </w:r>
      <w:r w:rsidR="007654B3">
        <w:rPr>
          <w:sz w:val="20"/>
          <w:szCs w:val="20"/>
        </w:rPr>
        <w:t>he uptake of</w:t>
      </w:r>
      <w:r w:rsidRPr="00EA1123">
        <w:rPr>
          <w:sz w:val="20"/>
          <w:szCs w:val="20"/>
        </w:rPr>
        <w:t xml:space="preserve"> recommended testing procedures, including </w:t>
      </w:r>
      <w:r w:rsidRPr="00A8087A">
        <w:rPr>
          <w:sz w:val="20"/>
          <w:szCs w:val="20"/>
        </w:rPr>
        <w:t>supporting</w:t>
      </w:r>
      <w:r w:rsidRPr="00EA1123">
        <w:rPr>
          <w:sz w:val="20"/>
          <w:szCs w:val="20"/>
        </w:rPr>
        <w:t xml:space="preserve"> follow</w:t>
      </w:r>
      <w:r w:rsidR="008B641A">
        <w:rPr>
          <w:sz w:val="20"/>
          <w:szCs w:val="20"/>
        </w:rPr>
        <w:noBreakHyphen/>
      </w:r>
      <w:r w:rsidRPr="00EA1123">
        <w:rPr>
          <w:sz w:val="20"/>
          <w:szCs w:val="20"/>
        </w:rPr>
        <w:t>up HCV RNA testing.</w:t>
      </w:r>
      <w:r w:rsidR="00B4701A">
        <w:rPr>
          <w:sz w:val="20"/>
          <w:szCs w:val="20"/>
        </w:rPr>
        <w:t xml:space="preserve"> </w:t>
      </w:r>
    </w:p>
    <w:p w14:paraId="706ABA69" w14:textId="77777777" w:rsidR="00F242AD" w:rsidRDefault="00F242AD" w:rsidP="00F376C5">
      <w:pPr>
        <w:rPr>
          <w:sz w:val="20"/>
          <w:szCs w:val="20"/>
        </w:rPr>
      </w:pPr>
      <w:r w:rsidRPr="007655D8">
        <w:rPr>
          <w:sz w:val="20"/>
          <w:szCs w:val="20"/>
        </w:rPr>
        <w:t>Efforts to increase tes</w:t>
      </w:r>
      <w:r w:rsidR="00411921">
        <w:rPr>
          <w:sz w:val="20"/>
          <w:szCs w:val="20"/>
        </w:rPr>
        <w:t>ting for all people at risk of h</w:t>
      </w:r>
      <w:r w:rsidRPr="007655D8">
        <w:rPr>
          <w:sz w:val="20"/>
          <w:szCs w:val="20"/>
        </w:rPr>
        <w:t>epatitis C must be based on the principles of voluntary testing, informed consent and confidentiality which have underpinned the improvements in testing coverage achieved in Australia to date.</w:t>
      </w:r>
    </w:p>
    <w:p w14:paraId="497E3D6A" w14:textId="1A2FA228" w:rsidR="00F376C5" w:rsidRPr="00EA1123" w:rsidRDefault="00B4701A" w:rsidP="00F376C5">
      <w:pPr>
        <w:rPr>
          <w:sz w:val="20"/>
          <w:szCs w:val="20"/>
        </w:rPr>
      </w:pPr>
      <w:r w:rsidRPr="00B4701A">
        <w:rPr>
          <w:sz w:val="20"/>
          <w:szCs w:val="20"/>
        </w:rPr>
        <w:t xml:space="preserve">The role of </w:t>
      </w:r>
      <w:r>
        <w:rPr>
          <w:sz w:val="20"/>
          <w:szCs w:val="20"/>
        </w:rPr>
        <w:t>peers in treatment</w:t>
      </w:r>
      <w:r w:rsidR="000F5FDD">
        <w:rPr>
          <w:sz w:val="20"/>
          <w:szCs w:val="20"/>
        </w:rPr>
        <w:t xml:space="preserve"> promotion </w:t>
      </w:r>
      <w:r w:rsidR="007826AD">
        <w:rPr>
          <w:sz w:val="20"/>
          <w:szCs w:val="20"/>
        </w:rPr>
        <w:t xml:space="preserve">and </w:t>
      </w:r>
      <w:r>
        <w:rPr>
          <w:sz w:val="20"/>
          <w:szCs w:val="20"/>
        </w:rPr>
        <w:t xml:space="preserve">support </w:t>
      </w:r>
      <w:r w:rsidR="000F5FDD">
        <w:rPr>
          <w:sz w:val="20"/>
          <w:szCs w:val="20"/>
        </w:rPr>
        <w:t>will be important to</w:t>
      </w:r>
      <w:r>
        <w:rPr>
          <w:sz w:val="20"/>
          <w:szCs w:val="20"/>
        </w:rPr>
        <w:t xml:space="preserve"> e</w:t>
      </w:r>
      <w:r w:rsidRPr="00B4701A">
        <w:rPr>
          <w:sz w:val="20"/>
          <w:szCs w:val="20"/>
        </w:rPr>
        <w:t>nhance engagement in testing and treatment and improve outcomes for otherwise hard-to-reach populations.</w:t>
      </w:r>
      <w:r w:rsidR="002001E5">
        <w:rPr>
          <w:sz w:val="20"/>
          <w:szCs w:val="20"/>
        </w:rPr>
        <w:t xml:space="preserve"> NSPs, AOD and other services that target priority and vulnerable populations can also play an important role in reaching individuals in need of testing and treatment services who may not be engaged with primary healthcare services. </w:t>
      </w:r>
    </w:p>
    <w:p w14:paraId="0B06DB4F" w14:textId="4F86176C" w:rsidR="00F376C5" w:rsidRPr="00EA1123" w:rsidRDefault="00F376C5" w:rsidP="00F376C5">
      <w:pPr>
        <w:rPr>
          <w:sz w:val="20"/>
          <w:szCs w:val="20"/>
        </w:rPr>
      </w:pPr>
      <w:r w:rsidRPr="00EA1123">
        <w:rPr>
          <w:sz w:val="20"/>
          <w:szCs w:val="20"/>
        </w:rPr>
        <w:t>Testing services that provide culturally appropriate testing, tailored to the nee</w:t>
      </w:r>
      <w:r w:rsidR="00253AC9">
        <w:rPr>
          <w:sz w:val="20"/>
          <w:szCs w:val="20"/>
        </w:rPr>
        <w:t>ds of specific groups, in a non</w:t>
      </w:r>
      <w:r w:rsidR="00253AC9">
        <w:rPr>
          <w:sz w:val="20"/>
          <w:szCs w:val="20"/>
        </w:rPr>
        <w:noBreakHyphen/>
      </w:r>
      <w:r w:rsidRPr="00EA1123">
        <w:rPr>
          <w:sz w:val="20"/>
          <w:szCs w:val="20"/>
        </w:rPr>
        <w:t>stigmatising and non-discriminatory</w:t>
      </w:r>
      <w:r w:rsidR="00351F68">
        <w:rPr>
          <w:sz w:val="20"/>
          <w:szCs w:val="20"/>
        </w:rPr>
        <w:t xml:space="preserve"> </w:t>
      </w:r>
      <w:r w:rsidRPr="00EA1123">
        <w:rPr>
          <w:sz w:val="20"/>
          <w:szCs w:val="20"/>
        </w:rPr>
        <w:t>environment are more likely to be utilised by people who inject drugs and other priority populations. Engagement with priority populations may be improved through the use of rapid testing and point</w:t>
      </w:r>
      <w:r w:rsidR="00514A54">
        <w:rPr>
          <w:sz w:val="20"/>
          <w:szCs w:val="20"/>
        </w:rPr>
        <w:t>-</w:t>
      </w:r>
      <w:r w:rsidRPr="00EA1123">
        <w:rPr>
          <w:sz w:val="20"/>
          <w:szCs w:val="20"/>
        </w:rPr>
        <w:t>of</w:t>
      </w:r>
      <w:r w:rsidR="00514A54">
        <w:rPr>
          <w:sz w:val="20"/>
          <w:szCs w:val="20"/>
        </w:rPr>
        <w:t>-</w:t>
      </w:r>
      <w:r w:rsidRPr="00EA1123">
        <w:rPr>
          <w:sz w:val="20"/>
          <w:szCs w:val="20"/>
        </w:rPr>
        <w:t xml:space="preserve">care </w:t>
      </w:r>
      <w:r w:rsidR="006A516A">
        <w:rPr>
          <w:sz w:val="20"/>
          <w:szCs w:val="20"/>
        </w:rPr>
        <w:t xml:space="preserve">(POC) </w:t>
      </w:r>
      <w:r w:rsidRPr="00EA1123">
        <w:rPr>
          <w:sz w:val="20"/>
          <w:szCs w:val="20"/>
        </w:rPr>
        <w:t xml:space="preserve">technologies when available. </w:t>
      </w:r>
    </w:p>
    <w:p w14:paraId="21182A56" w14:textId="45677437" w:rsidR="00F376C5" w:rsidRPr="00EA1123" w:rsidRDefault="001C2829" w:rsidP="00F376C5">
      <w:pPr>
        <w:rPr>
          <w:sz w:val="20"/>
          <w:szCs w:val="20"/>
        </w:rPr>
      </w:pPr>
      <w:r w:rsidRPr="00A8087A">
        <w:rPr>
          <w:sz w:val="20"/>
          <w:szCs w:val="20"/>
        </w:rPr>
        <w:t>Maintaining appropriate treatment uptake levels</w:t>
      </w:r>
      <w:r w:rsidR="00655A0D" w:rsidRPr="00A8087A">
        <w:rPr>
          <w:sz w:val="20"/>
          <w:szCs w:val="20"/>
        </w:rPr>
        <w:t xml:space="preserve"> over the life of this </w:t>
      </w:r>
      <w:r w:rsidR="00A8087A">
        <w:rPr>
          <w:sz w:val="20"/>
          <w:szCs w:val="20"/>
        </w:rPr>
        <w:t>s</w:t>
      </w:r>
      <w:r w:rsidR="00655A0D" w:rsidRPr="00A8087A">
        <w:rPr>
          <w:sz w:val="20"/>
          <w:szCs w:val="20"/>
        </w:rPr>
        <w:t>trategy</w:t>
      </w:r>
      <w:r w:rsidRPr="00A8087A">
        <w:rPr>
          <w:sz w:val="20"/>
          <w:szCs w:val="20"/>
        </w:rPr>
        <w:t xml:space="preserve"> is critical in s</w:t>
      </w:r>
      <w:r w:rsidRPr="00EA1123">
        <w:rPr>
          <w:sz w:val="20"/>
          <w:szCs w:val="20"/>
        </w:rPr>
        <w:t>upporting the longer</w:t>
      </w:r>
      <w:r w:rsidR="007654B3">
        <w:rPr>
          <w:sz w:val="20"/>
          <w:szCs w:val="20"/>
        </w:rPr>
        <w:t>-</w:t>
      </w:r>
      <w:r w:rsidRPr="00EA1123">
        <w:rPr>
          <w:sz w:val="20"/>
          <w:szCs w:val="20"/>
        </w:rPr>
        <w:t>term goal of eliminating hepatitis C as a public health threat by 2030.</w:t>
      </w:r>
      <w:r w:rsidR="00906583" w:rsidRPr="00EA1123">
        <w:rPr>
          <w:sz w:val="20"/>
          <w:szCs w:val="20"/>
        </w:rPr>
        <w:t xml:space="preserve">The prescribing arrangements for the new DAAs are expanded beyond specialists to </w:t>
      </w:r>
      <w:r w:rsidR="00906583" w:rsidRPr="002D2DAC">
        <w:rPr>
          <w:sz w:val="20"/>
          <w:szCs w:val="20"/>
        </w:rPr>
        <w:t>include general practitioners (GPs) and</w:t>
      </w:r>
      <w:r w:rsidR="00533681" w:rsidRPr="002D2DAC">
        <w:rPr>
          <w:sz w:val="20"/>
          <w:szCs w:val="20"/>
        </w:rPr>
        <w:t xml:space="preserve"> authorised</w:t>
      </w:r>
      <w:r w:rsidR="00906583" w:rsidRPr="002D2DAC">
        <w:rPr>
          <w:sz w:val="20"/>
          <w:szCs w:val="20"/>
        </w:rPr>
        <w:t xml:space="preserve"> nurs</w:t>
      </w:r>
      <w:r w:rsidR="00361CC5" w:rsidRPr="002D2DAC">
        <w:rPr>
          <w:sz w:val="20"/>
          <w:szCs w:val="20"/>
        </w:rPr>
        <w:t>e</w:t>
      </w:r>
      <w:r w:rsidR="00906583" w:rsidRPr="002D2DAC">
        <w:rPr>
          <w:sz w:val="20"/>
          <w:szCs w:val="20"/>
        </w:rPr>
        <w:t xml:space="preserve"> p</w:t>
      </w:r>
      <w:r w:rsidR="00361CC5" w:rsidRPr="002D2DAC">
        <w:rPr>
          <w:sz w:val="20"/>
          <w:szCs w:val="20"/>
        </w:rPr>
        <w:t>ractitioners</w:t>
      </w:r>
      <w:r w:rsidR="00906583" w:rsidRPr="002D2DAC">
        <w:rPr>
          <w:sz w:val="20"/>
          <w:szCs w:val="20"/>
        </w:rPr>
        <w:t xml:space="preserve">. </w:t>
      </w:r>
      <w:r w:rsidR="00F376C5" w:rsidRPr="002D2DAC">
        <w:rPr>
          <w:sz w:val="20"/>
          <w:szCs w:val="20"/>
        </w:rPr>
        <w:t>The transition of hepatitis C treatment to primary care settings has begun but is yet to be firmly</w:t>
      </w:r>
      <w:r w:rsidR="00F376C5" w:rsidRPr="00EA1123">
        <w:rPr>
          <w:sz w:val="20"/>
          <w:szCs w:val="20"/>
        </w:rPr>
        <w:t xml:space="preserve"> </w:t>
      </w:r>
      <w:r w:rsidR="00365056" w:rsidRPr="00EA1123">
        <w:rPr>
          <w:sz w:val="20"/>
          <w:szCs w:val="20"/>
        </w:rPr>
        <w:t>e</w:t>
      </w:r>
      <w:r w:rsidR="00365056">
        <w:rPr>
          <w:sz w:val="20"/>
          <w:szCs w:val="20"/>
        </w:rPr>
        <w:t>stablished</w:t>
      </w:r>
      <w:r w:rsidR="00F376C5" w:rsidRPr="00EA1123">
        <w:rPr>
          <w:sz w:val="20"/>
          <w:szCs w:val="20"/>
        </w:rPr>
        <w:t xml:space="preserve">. In some jurisdictions </w:t>
      </w:r>
      <w:r w:rsidR="00361CC5">
        <w:rPr>
          <w:sz w:val="20"/>
          <w:szCs w:val="20"/>
        </w:rPr>
        <w:t>specialist</w:t>
      </w:r>
      <w:r w:rsidR="00361CC5" w:rsidRPr="00EA1123">
        <w:rPr>
          <w:sz w:val="20"/>
          <w:szCs w:val="20"/>
        </w:rPr>
        <w:t xml:space="preserve"> </w:t>
      </w:r>
      <w:r w:rsidR="00F376C5" w:rsidRPr="00EA1123">
        <w:rPr>
          <w:sz w:val="20"/>
          <w:szCs w:val="20"/>
        </w:rPr>
        <w:t xml:space="preserve">hepatitis C </w:t>
      </w:r>
      <w:r w:rsidR="00361CC5" w:rsidRPr="00EA1123">
        <w:rPr>
          <w:sz w:val="20"/>
          <w:szCs w:val="20"/>
        </w:rPr>
        <w:t>nurs</w:t>
      </w:r>
      <w:r w:rsidR="00361CC5">
        <w:rPr>
          <w:sz w:val="20"/>
          <w:szCs w:val="20"/>
        </w:rPr>
        <w:t xml:space="preserve">es </w:t>
      </w:r>
      <w:r w:rsidR="00F376C5" w:rsidRPr="00EA1123">
        <w:rPr>
          <w:sz w:val="20"/>
          <w:szCs w:val="20"/>
        </w:rPr>
        <w:t>are providing valuable services outside of hospitals to assist GPs with finding</w:t>
      </w:r>
      <w:r w:rsidR="00361CC5">
        <w:rPr>
          <w:sz w:val="20"/>
          <w:szCs w:val="20"/>
        </w:rPr>
        <w:t xml:space="preserve"> and testing </w:t>
      </w:r>
      <w:r w:rsidR="00F376C5" w:rsidRPr="00EA1123">
        <w:rPr>
          <w:sz w:val="20"/>
          <w:szCs w:val="20"/>
        </w:rPr>
        <w:t>people living with hepatitis C in community</w:t>
      </w:r>
      <w:r w:rsidR="0005515D">
        <w:rPr>
          <w:sz w:val="20"/>
          <w:szCs w:val="20"/>
        </w:rPr>
        <w:t>-based</w:t>
      </w:r>
      <w:r w:rsidR="00F376C5" w:rsidRPr="00EA1123">
        <w:rPr>
          <w:sz w:val="20"/>
          <w:szCs w:val="20"/>
        </w:rPr>
        <w:t xml:space="preserve"> settings</w:t>
      </w:r>
      <w:r w:rsidR="008B641A">
        <w:rPr>
          <w:sz w:val="20"/>
          <w:szCs w:val="20"/>
        </w:rPr>
        <w:t xml:space="preserve">. </w:t>
      </w:r>
      <w:r w:rsidR="00AA6995">
        <w:rPr>
          <w:sz w:val="20"/>
          <w:szCs w:val="20"/>
        </w:rPr>
        <w:t>It will be essential to build on this positive trend over the</w:t>
      </w:r>
      <w:r w:rsidR="00F376C5" w:rsidRPr="00A8087A">
        <w:rPr>
          <w:sz w:val="20"/>
          <w:szCs w:val="20"/>
        </w:rPr>
        <w:t xml:space="preserve"> life of this </w:t>
      </w:r>
      <w:r w:rsidR="00A8087A">
        <w:rPr>
          <w:sz w:val="20"/>
          <w:szCs w:val="20"/>
        </w:rPr>
        <w:t>s</w:t>
      </w:r>
      <w:r w:rsidR="00F376C5" w:rsidRPr="00A8087A">
        <w:rPr>
          <w:sz w:val="20"/>
          <w:szCs w:val="20"/>
        </w:rPr>
        <w:t>trategy, particularly to support equitable access across locations and settings.</w:t>
      </w:r>
      <w:r w:rsidR="00F376C5" w:rsidRPr="00EA1123">
        <w:rPr>
          <w:sz w:val="20"/>
          <w:szCs w:val="20"/>
        </w:rPr>
        <w:t xml:space="preserve"> </w:t>
      </w:r>
    </w:p>
    <w:p w14:paraId="371CE768" w14:textId="7DC49CF7" w:rsidR="00906583" w:rsidRPr="00EA1123" w:rsidRDefault="00F376C5" w:rsidP="00F376C5">
      <w:pPr>
        <w:rPr>
          <w:sz w:val="20"/>
          <w:szCs w:val="20"/>
        </w:rPr>
      </w:pPr>
      <w:r w:rsidRPr="00EA1123">
        <w:rPr>
          <w:sz w:val="20"/>
          <w:szCs w:val="20"/>
        </w:rPr>
        <w:t xml:space="preserve">A range of supports are required to </w:t>
      </w:r>
      <w:r w:rsidR="00906583" w:rsidRPr="00EA1123">
        <w:rPr>
          <w:sz w:val="20"/>
          <w:szCs w:val="20"/>
        </w:rPr>
        <w:t xml:space="preserve">assist </w:t>
      </w:r>
      <w:r w:rsidRPr="00EA1123">
        <w:rPr>
          <w:sz w:val="20"/>
          <w:szCs w:val="20"/>
        </w:rPr>
        <w:t>GPs, nurses and other health professionals working in primary care</w:t>
      </w:r>
      <w:r w:rsidR="00411921">
        <w:rPr>
          <w:sz w:val="20"/>
          <w:szCs w:val="20"/>
        </w:rPr>
        <w:t xml:space="preserve"> to</w:t>
      </w:r>
      <w:r w:rsidR="00906583" w:rsidRPr="00EA1123">
        <w:rPr>
          <w:sz w:val="20"/>
          <w:szCs w:val="20"/>
        </w:rPr>
        <w:t xml:space="preserve"> take a central role in hepatitis C testing and treatment</w:t>
      </w:r>
      <w:r w:rsidR="008B641A">
        <w:rPr>
          <w:sz w:val="20"/>
          <w:szCs w:val="20"/>
        </w:rPr>
        <w:t>. This includes consideration</w:t>
      </w:r>
      <w:r w:rsidRPr="00EA1123">
        <w:rPr>
          <w:sz w:val="20"/>
          <w:szCs w:val="20"/>
        </w:rPr>
        <w:t xml:space="preserve"> of training, </w:t>
      </w:r>
      <w:r w:rsidR="00906583" w:rsidRPr="00EA1123">
        <w:rPr>
          <w:sz w:val="20"/>
          <w:szCs w:val="20"/>
        </w:rPr>
        <w:t xml:space="preserve">arrangements </w:t>
      </w:r>
      <w:r w:rsidRPr="00EA1123">
        <w:rPr>
          <w:sz w:val="20"/>
          <w:szCs w:val="20"/>
        </w:rPr>
        <w:t xml:space="preserve">to initiate hepatitis C treatment, </w:t>
      </w:r>
      <w:r w:rsidR="000F5FDD">
        <w:rPr>
          <w:sz w:val="20"/>
          <w:szCs w:val="20"/>
        </w:rPr>
        <w:t>c</w:t>
      </w:r>
      <w:r w:rsidR="008B641A">
        <w:rPr>
          <w:sz w:val="20"/>
          <w:szCs w:val="20"/>
        </w:rPr>
        <w:t>ollaborations with peer-</w:t>
      </w:r>
      <w:r w:rsidR="000F5FDD">
        <w:rPr>
          <w:sz w:val="20"/>
          <w:szCs w:val="20"/>
        </w:rPr>
        <w:t xml:space="preserve">led and targeted treatment promotion strategies, </w:t>
      </w:r>
      <w:r w:rsidR="00300855">
        <w:rPr>
          <w:sz w:val="20"/>
          <w:szCs w:val="20"/>
        </w:rPr>
        <w:t xml:space="preserve">supporting </w:t>
      </w:r>
      <w:r w:rsidRPr="00EA1123">
        <w:rPr>
          <w:sz w:val="20"/>
          <w:szCs w:val="20"/>
        </w:rPr>
        <w:t xml:space="preserve">options for </w:t>
      </w:r>
      <w:r w:rsidR="002220DC" w:rsidRPr="00A8087A">
        <w:rPr>
          <w:sz w:val="20"/>
          <w:szCs w:val="20"/>
        </w:rPr>
        <w:t>case</w:t>
      </w:r>
      <w:r w:rsidR="00A8087A" w:rsidRPr="00A8087A">
        <w:rPr>
          <w:sz w:val="20"/>
          <w:szCs w:val="20"/>
        </w:rPr>
        <w:t xml:space="preserve"> </w:t>
      </w:r>
      <w:r w:rsidRPr="00A8087A">
        <w:rPr>
          <w:sz w:val="20"/>
          <w:szCs w:val="20"/>
        </w:rPr>
        <w:t>finding and</w:t>
      </w:r>
      <w:r w:rsidRPr="00EA1123">
        <w:rPr>
          <w:sz w:val="20"/>
          <w:szCs w:val="20"/>
        </w:rPr>
        <w:t xml:space="preserve"> liver health assessments, strong links with specialist liver services, digital health initiatives and the role of Primary Health Networks. To assist prescribers, an Australian expert panel has developed a consensus statement to guide best</w:t>
      </w:r>
      <w:r w:rsidR="00A8087A">
        <w:rPr>
          <w:sz w:val="20"/>
          <w:szCs w:val="20"/>
        </w:rPr>
        <w:t>-</w:t>
      </w:r>
      <w:r w:rsidRPr="00EA1123">
        <w:rPr>
          <w:sz w:val="20"/>
          <w:szCs w:val="20"/>
        </w:rPr>
        <w:t>practice hepatitis C DAA treatment.</w:t>
      </w:r>
      <w:r w:rsidRPr="00EA1123">
        <w:rPr>
          <w:rStyle w:val="EndnoteReference"/>
          <w:sz w:val="20"/>
          <w:szCs w:val="20"/>
        </w:rPr>
        <w:endnoteReference w:id="29"/>
      </w:r>
    </w:p>
    <w:p w14:paraId="6AE6432A" w14:textId="7AC6BC25" w:rsidR="00F376C5" w:rsidRPr="00EA1123" w:rsidRDefault="00F376C5" w:rsidP="00F376C5">
      <w:pPr>
        <w:rPr>
          <w:sz w:val="20"/>
          <w:szCs w:val="20"/>
        </w:rPr>
      </w:pPr>
      <w:r w:rsidRPr="00EA1123">
        <w:rPr>
          <w:sz w:val="20"/>
          <w:szCs w:val="20"/>
        </w:rPr>
        <w:t xml:space="preserve">The management of hepatitis C and its complications goes beyond DAA treatment. Access to specialist care is critical for the management of people </w:t>
      </w:r>
      <w:r w:rsidR="00BA4AF7">
        <w:rPr>
          <w:sz w:val="20"/>
          <w:szCs w:val="20"/>
        </w:rPr>
        <w:t xml:space="preserve">living </w:t>
      </w:r>
      <w:r w:rsidRPr="00EA1123">
        <w:rPr>
          <w:sz w:val="20"/>
          <w:szCs w:val="20"/>
        </w:rPr>
        <w:t xml:space="preserve">with hepatitis </w:t>
      </w:r>
      <w:r w:rsidR="00253AC9">
        <w:rPr>
          <w:sz w:val="20"/>
          <w:szCs w:val="20"/>
        </w:rPr>
        <w:t>C who have more complex needs</w:t>
      </w:r>
      <w:r w:rsidR="008E4D5C">
        <w:rPr>
          <w:sz w:val="20"/>
          <w:szCs w:val="20"/>
        </w:rPr>
        <w:t>, such as those with liver cirrhosis or other major comorbiditie</w:t>
      </w:r>
      <w:r w:rsidR="00295C20">
        <w:rPr>
          <w:sz w:val="20"/>
          <w:szCs w:val="20"/>
        </w:rPr>
        <w:t>s and/or co-infections</w:t>
      </w:r>
      <w:r w:rsidR="00253AC9">
        <w:rPr>
          <w:sz w:val="20"/>
          <w:szCs w:val="20"/>
        </w:rPr>
        <w:t xml:space="preserve">. </w:t>
      </w:r>
      <w:r w:rsidRPr="00EA1123">
        <w:rPr>
          <w:sz w:val="20"/>
          <w:szCs w:val="20"/>
        </w:rPr>
        <w:t>Ongoing management of people with cirrhosis is vital due to the risk of developing hepatocellular carcinoma even if they are cured of hepatitis C.</w:t>
      </w:r>
      <w:r w:rsidR="00361CC5">
        <w:rPr>
          <w:rStyle w:val="EndnoteReference"/>
          <w:sz w:val="20"/>
          <w:szCs w:val="20"/>
        </w:rPr>
        <w:endnoteReference w:id="30"/>
      </w:r>
      <w:r w:rsidRPr="00EA1123">
        <w:rPr>
          <w:sz w:val="20"/>
          <w:szCs w:val="20"/>
        </w:rPr>
        <w:t xml:space="preserve"> In addition, the small proportion of people who are not cured following treatment require regular liver health assessments and need to be considered as candida</w:t>
      </w:r>
      <w:r w:rsidR="00253AC9">
        <w:rPr>
          <w:sz w:val="20"/>
          <w:szCs w:val="20"/>
        </w:rPr>
        <w:t>tes for new treatments.</w:t>
      </w:r>
      <w:r w:rsidRPr="00EA1123">
        <w:rPr>
          <w:sz w:val="20"/>
          <w:szCs w:val="20"/>
        </w:rPr>
        <w:t xml:space="preserve"> Innovative programs and solutions to provide specialist support, particularly in rural and remote areas, are important to facilitate the delive</w:t>
      </w:r>
      <w:r w:rsidR="00253AC9">
        <w:rPr>
          <w:sz w:val="20"/>
          <w:szCs w:val="20"/>
        </w:rPr>
        <w:t xml:space="preserve">ry of care in these locations. </w:t>
      </w:r>
      <w:r w:rsidR="00253AC9" w:rsidRPr="00EA1123">
        <w:rPr>
          <w:sz w:val="20"/>
          <w:szCs w:val="20"/>
        </w:rPr>
        <w:t xml:space="preserve">Specialist advice regarding the management of people </w:t>
      </w:r>
      <w:r w:rsidR="00BA4AF7">
        <w:rPr>
          <w:sz w:val="20"/>
          <w:szCs w:val="20"/>
        </w:rPr>
        <w:t xml:space="preserve">living </w:t>
      </w:r>
      <w:r w:rsidR="00253AC9" w:rsidRPr="00EA1123">
        <w:rPr>
          <w:sz w:val="20"/>
          <w:szCs w:val="20"/>
        </w:rPr>
        <w:t xml:space="preserve">with hepatitis C who have co-infections with hepatitis B and/or HIV is also important.  </w:t>
      </w:r>
    </w:p>
    <w:p w14:paraId="1EAB9FEA" w14:textId="77777777" w:rsidR="00F376C5" w:rsidRPr="00B3349F" w:rsidRDefault="00F376C5" w:rsidP="00F376C5">
      <w:pPr>
        <w:rPr>
          <w:rFonts w:cs="Segoe UI"/>
          <w:b/>
          <w:sz w:val="20"/>
          <w:szCs w:val="20"/>
        </w:rPr>
      </w:pPr>
      <w:r w:rsidRPr="00B3349F">
        <w:rPr>
          <w:rFonts w:cs="Segoe UI"/>
          <w:b/>
          <w:sz w:val="20"/>
          <w:szCs w:val="20"/>
        </w:rPr>
        <w:t>Key areas for action</w:t>
      </w:r>
    </w:p>
    <w:p w14:paraId="39229F03" w14:textId="77777777" w:rsidR="00F376C5" w:rsidRPr="00A8087A" w:rsidRDefault="00F376C5" w:rsidP="00DB37AD">
      <w:pPr>
        <w:pStyle w:val="Bullet"/>
        <w:numPr>
          <w:ilvl w:val="0"/>
          <w:numId w:val="14"/>
        </w:numPr>
        <w:spacing w:before="120" w:after="0"/>
        <w:ind w:left="360"/>
        <w:rPr>
          <w:sz w:val="20"/>
          <w:szCs w:val="20"/>
        </w:rPr>
      </w:pPr>
      <w:r w:rsidRPr="00A8087A">
        <w:rPr>
          <w:sz w:val="20"/>
          <w:szCs w:val="20"/>
        </w:rPr>
        <w:t xml:space="preserve">Incorporate information on new cures and how to access </w:t>
      </w:r>
      <w:r w:rsidR="000666C6" w:rsidRPr="00A8087A">
        <w:rPr>
          <w:sz w:val="20"/>
          <w:szCs w:val="20"/>
        </w:rPr>
        <w:t xml:space="preserve">testing and </w:t>
      </w:r>
      <w:r w:rsidRPr="00A8087A">
        <w:rPr>
          <w:sz w:val="20"/>
          <w:szCs w:val="20"/>
        </w:rPr>
        <w:t>treatm</w:t>
      </w:r>
      <w:r w:rsidR="00C31DBC" w:rsidRPr="00A8087A">
        <w:rPr>
          <w:sz w:val="20"/>
          <w:szCs w:val="20"/>
        </w:rPr>
        <w:t>ent into the national hepatitis </w:t>
      </w:r>
      <w:r w:rsidRPr="00A8087A">
        <w:rPr>
          <w:sz w:val="20"/>
          <w:szCs w:val="20"/>
        </w:rPr>
        <w:t xml:space="preserve">C public education </w:t>
      </w:r>
      <w:r w:rsidR="00874A9C" w:rsidRPr="00A8087A">
        <w:rPr>
          <w:sz w:val="20"/>
          <w:szCs w:val="20"/>
        </w:rPr>
        <w:t>initiative</w:t>
      </w:r>
    </w:p>
    <w:p w14:paraId="003B091D" w14:textId="352CC06B" w:rsidR="00300855" w:rsidRPr="00EA1123" w:rsidRDefault="00300855" w:rsidP="00DB37AD">
      <w:pPr>
        <w:pStyle w:val="Bullet"/>
        <w:numPr>
          <w:ilvl w:val="0"/>
          <w:numId w:val="14"/>
        </w:numPr>
        <w:spacing w:before="120" w:after="0"/>
        <w:ind w:left="360"/>
        <w:rPr>
          <w:sz w:val="20"/>
          <w:szCs w:val="20"/>
        </w:rPr>
      </w:pPr>
      <w:r>
        <w:rPr>
          <w:sz w:val="20"/>
          <w:szCs w:val="20"/>
        </w:rPr>
        <w:t>Explore the use of rapid testing and point</w:t>
      </w:r>
      <w:r w:rsidR="00D8006A">
        <w:rPr>
          <w:sz w:val="20"/>
          <w:szCs w:val="20"/>
        </w:rPr>
        <w:t>-of-</w:t>
      </w:r>
      <w:r>
        <w:rPr>
          <w:sz w:val="20"/>
          <w:szCs w:val="20"/>
        </w:rPr>
        <w:t>care</w:t>
      </w:r>
      <w:r w:rsidR="00D8006A">
        <w:rPr>
          <w:sz w:val="20"/>
          <w:szCs w:val="20"/>
        </w:rPr>
        <w:t xml:space="preserve"> (POC)</w:t>
      </w:r>
      <w:r>
        <w:rPr>
          <w:sz w:val="20"/>
          <w:szCs w:val="20"/>
        </w:rPr>
        <w:t xml:space="preserve"> technologies where appropriate to improve </w:t>
      </w:r>
      <w:r w:rsidR="00AF1398">
        <w:rPr>
          <w:sz w:val="20"/>
          <w:szCs w:val="20"/>
        </w:rPr>
        <w:t xml:space="preserve">access to testing and </w:t>
      </w:r>
      <w:r>
        <w:rPr>
          <w:sz w:val="20"/>
          <w:szCs w:val="20"/>
        </w:rPr>
        <w:t>engagement with priority populations</w:t>
      </w:r>
    </w:p>
    <w:p w14:paraId="73D95AE6" w14:textId="77777777" w:rsidR="00F376C5" w:rsidRPr="00300855" w:rsidRDefault="00F376C5" w:rsidP="00300855">
      <w:pPr>
        <w:pStyle w:val="Bullet"/>
        <w:numPr>
          <w:ilvl w:val="0"/>
          <w:numId w:val="14"/>
        </w:numPr>
        <w:spacing w:before="120" w:after="0"/>
        <w:ind w:left="360"/>
        <w:rPr>
          <w:sz w:val="20"/>
          <w:szCs w:val="20"/>
        </w:rPr>
      </w:pPr>
      <w:r w:rsidRPr="00EA1123">
        <w:rPr>
          <w:sz w:val="20"/>
          <w:szCs w:val="20"/>
        </w:rPr>
        <w:t>Further develop and deliver evidence-based</w:t>
      </w:r>
      <w:r w:rsidRPr="00300855">
        <w:rPr>
          <w:sz w:val="20"/>
          <w:szCs w:val="20"/>
        </w:rPr>
        <w:t xml:space="preserve"> </w:t>
      </w:r>
      <w:r w:rsidR="009C676C" w:rsidRPr="00300855">
        <w:rPr>
          <w:sz w:val="20"/>
          <w:szCs w:val="20"/>
        </w:rPr>
        <w:t xml:space="preserve">risk assessment and testing </w:t>
      </w:r>
      <w:r w:rsidR="000666C6" w:rsidRPr="00300855">
        <w:rPr>
          <w:sz w:val="20"/>
          <w:szCs w:val="20"/>
        </w:rPr>
        <w:t xml:space="preserve">approaches </w:t>
      </w:r>
      <w:r w:rsidRPr="00300855">
        <w:rPr>
          <w:sz w:val="20"/>
          <w:szCs w:val="20"/>
        </w:rPr>
        <w:t>for key priority populations which provide strong linkage to treatment</w:t>
      </w:r>
    </w:p>
    <w:p w14:paraId="748120B0" w14:textId="77777777" w:rsidR="00F376C5" w:rsidRPr="00EA1123" w:rsidRDefault="00F376C5" w:rsidP="00DB37AD">
      <w:pPr>
        <w:pStyle w:val="Bullet"/>
        <w:numPr>
          <w:ilvl w:val="0"/>
          <w:numId w:val="14"/>
        </w:numPr>
        <w:spacing w:before="120" w:after="0"/>
        <w:ind w:left="360"/>
        <w:rPr>
          <w:sz w:val="20"/>
          <w:szCs w:val="20"/>
        </w:rPr>
      </w:pPr>
      <w:r w:rsidRPr="00EA1123">
        <w:rPr>
          <w:sz w:val="20"/>
          <w:szCs w:val="20"/>
        </w:rPr>
        <w:lastRenderedPageBreak/>
        <w:t xml:space="preserve">Identify opportunities to improve </w:t>
      </w:r>
      <w:r w:rsidR="003D53D0">
        <w:rPr>
          <w:sz w:val="20"/>
          <w:szCs w:val="20"/>
        </w:rPr>
        <w:t xml:space="preserve">the </w:t>
      </w:r>
      <w:r w:rsidR="0058512B">
        <w:rPr>
          <w:sz w:val="20"/>
          <w:szCs w:val="20"/>
        </w:rPr>
        <w:t>application of</w:t>
      </w:r>
      <w:r w:rsidRPr="00EA1123">
        <w:rPr>
          <w:sz w:val="20"/>
          <w:szCs w:val="20"/>
        </w:rPr>
        <w:t xml:space="preserve"> recommended testing procedures for hepatitis C</w:t>
      </w:r>
      <w:r w:rsidR="0058512B">
        <w:rPr>
          <w:sz w:val="20"/>
          <w:szCs w:val="20"/>
        </w:rPr>
        <w:t xml:space="preserve"> by clinicians</w:t>
      </w:r>
      <w:r w:rsidRPr="00EA1123">
        <w:rPr>
          <w:sz w:val="20"/>
          <w:szCs w:val="20"/>
        </w:rPr>
        <w:t xml:space="preserve">, including the feasibility of </w:t>
      </w:r>
      <w:r w:rsidR="002256F8">
        <w:rPr>
          <w:sz w:val="20"/>
          <w:szCs w:val="20"/>
        </w:rPr>
        <w:t>automatic</w:t>
      </w:r>
      <w:r w:rsidRPr="00EA1123">
        <w:rPr>
          <w:sz w:val="20"/>
          <w:szCs w:val="20"/>
        </w:rPr>
        <w:t xml:space="preserve"> HCV RNA testing for priority populations</w:t>
      </w:r>
    </w:p>
    <w:p w14:paraId="18D00730" w14:textId="45185431" w:rsidR="00F376C5" w:rsidRPr="00EA1123" w:rsidRDefault="00F376C5" w:rsidP="00DB37AD">
      <w:pPr>
        <w:pStyle w:val="Bullet"/>
        <w:numPr>
          <w:ilvl w:val="0"/>
          <w:numId w:val="14"/>
        </w:numPr>
        <w:spacing w:before="120" w:after="0"/>
        <w:ind w:left="360"/>
        <w:rPr>
          <w:sz w:val="20"/>
          <w:szCs w:val="20"/>
        </w:rPr>
      </w:pPr>
      <w:r w:rsidRPr="00EA1123">
        <w:rPr>
          <w:sz w:val="20"/>
          <w:szCs w:val="20"/>
        </w:rPr>
        <w:t>Support best</w:t>
      </w:r>
      <w:r w:rsidR="004A63C3">
        <w:rPr>
          <w:sz w:val="20"/>
          <w:szCs w:val="20"/>
        </w:rPr>
        <w:t>-</w:t>
      </w:r>
      <w:r w:rsidRPr="00EA1123">
        <w:rPr>
          <w:sz w:val="20"/>
          <w:szCs w:val="20"/>
        </w:rPr>
        <w:t xml:space="preserve">practice </w:t>
      </w:r>
      <w:r w:rsidR="00300855">
        <w:rPr>
          <w:sz w:val="20"/>
          <w:szCs w:val="20"/>
        </w:rPr>
        <w:t>case</w:t>
      </w:r>
      <w:r w:rsidR="006A516A">
        <w:rPr>
          <w:sz w:val="20"/>
          <w:szCs w:val="20"/>
        </w:rPr>
        <w:t xml:space="preserve"> </w:t>
      </w:r>
      <w:r w:rsidR="00300855">
        <w:rPr>
          <w:sz w:val="20"/>
          <w:szCs w:val="20"/>
        </w:rPr>
        <w:t xml:space="preserve">finding, </w:t>
      </w:r>
      <w:r w:rsidRPr="00EA1123">
        <w:rPr>
          <w:sz w:val="20"/>
          <w:szCs w:val="20"/>
        </w:rPr>
        <w:t xml:space="preserve">treatment and management for hepatitis C in all primary care settings </w:t>
      </w:r>
    </w:p>
    <w:p w14:paraId="2DF8FEBC" w14:textId="0E76E911" w:rsidR="0036332A" w:rsidRDefault="00B4701A" w:rsidP="00444F45">
      <w:pPr>
        <w:pStyle w:val="Bullet"/>
        <w:numPr>
          <w:ilvl w:val="0"/>
          <w:numId w:val="14"/>
        </w:numPr>
        <w:spacing w:before="120" w:after="0"/>
        <w:ind w:left="360"/>
        <w:rPr>
          <w:sz w:val="20"/>
          <w:szCs w:val="20"/>
        </w:rPr>
      </w:pPr>
      <w:r w:rsidRPr="004A63C3">
        <w:rPr>
          <w:sz w:val="20"/>
          <w:szCs w:val="20"/>
        </w:rPr>
        <w:t>Develop and integrate peer-based support models that include people with lived experience of hepatitis C as peer navigators in diagnosis, treatment and care for all priority populations</w:t>
      </w:r>
    </w:p>
    <w:p w14:paraId="655F6128" w14:textId="77777777" w:rsidR="00AA6995" w:rsidRPr="004A63C3" w:rsidRDefault="00AA6995" w:rsidP="00AA6995">
      <w:pPr>
        <w:pStyle w:val="Bullet"/>
        <w:spacing w:before="120" w:after="0"/>
        <w:ind w:left="360"/>
        <w:rPr>
          <w:sz w:val="20"/>
          <w:szCs w:val="20"/>
        </w:rPr>
      </w:pPr>
    </w:p>
    <w:p w14:paraId="44513941" w14:textId="77777777" w:rsidR="00F376C5" w:rsidRPr="00CE5B8B" w:rsidRDefault="00F376C5" w:rsidP="00F376C5">
      <w:pPr>
        <w:spacing w:before="120"/>
        <w:rPr>
          <w:b/>
          <w:color w:val="00264D"/>
          <w:sz w:val="22"/>
        </w:rPr>
      </w:pPr>
      <w:r w:rsidRPr="00CE5B8B">
        <w:rPr>
          <w:b/>
          <w:color w:val="00264D"/>
          <w:sz w:val="22"/>
        </w:rPr>
        <w:t>EQUITABLE ACCESS AND COORDINATION OF CARE</w:t>
      </w:r>
    </w:p>
    <w:p w14:paraId="7B0E4CF9" w14:textId="0E68BA63" w:rsidR="00B4701A" w:rsidRPr="004A63C3" w:rsidRDefault="00B4701A" w:rsidP="00B4701A">
      <w:pPr>
        <w:pStyle w:val="CommentText"/>
        <w:numPr>
          <w:ilvl w:val="0"/>
          <w:numId w:val="19"/>
        </w:numPr>
        <w:rPr>
          <w:i/>
          <w:iCs/>
        </w:rPr>
      </w:pPr>
      <w:r w:rsidRPr="004A63C3">
        <w:rPr>
          <w:i/>
        </w:rPr>
        <w:t xml:space="preserve">Continue </w:t>
      </w:r>
      <w:r w:rsidRPr="006A516A">
        <w:rPr>
          <w:i/>
        </w:rPr>
        <w:t>to strengthen connections between priority populations, the healthcare workforce and community organisations to facilitate coordination of care</w:t>
      </w:r>
    </w:p>
    <w:p w14:paraId="6EABEEE8" w14:textId="77777777" w:rsidR="00AF1398" w:rsidRPr="004A63C3" w:rsidRDefault="00AF1398" w:rsidP="007F3B9C">
      <w:pPr>
        <w:pStyle w:val="CommentText"/>
        <w:numPr>
          <w:ilvl w:val="0"/>
          <w:numId w:val="19"/>
        </w:numPr>
        <w:spacing w:after="60"/>
        <w:rPr>
          <w:i/>
        </w:rPr>
      </w:pPr>
      <w:r w:rsidRPr="004A63C3">
        <w:rPr>
          <w:i/>
        </w:rPr>
        <w:t xml:space="preserve">Ensure equitable access to treatment and care for all priority populations, including people in custodial settings and </w:t>
      </w:r>
      <w:r w:rsidR="00B9657A" w:rsidRPr="004A63C3">
        <w:rPr>
          <w:i/>
        </w:rPr>
        <w:t xml:space="preserve">people </w:t>
      </w:r>
      <w:r w:rsidRPr="004A63C3">
        <w:rPr>
          <w:i/>
        </w:rPr>
        <w:t>reinfected after cure</w:t>
      </w:r>
    </w:p>
    <w:p w14:paraId="54F91D43" w14:textId="62C322EE" w:rsidR="00F376C5" w:rsidRPr="00EA1123" w:rsidRDefault="00F376C5" w:rsidP="00F376C5">
      <w:pPr>
        <w:rPr>
          <w:sz w:val="20"/>
          <w:szCs w:val="20"/>
        </w:rPr>
      </w:pPr>
      <w:r w:rsidRPr="00EA1123">
        <w:rPr>
          <w:sz w:val="20"/>
          <w:szCs w:val="20"/>
        </w:rPr>
        <w:t>Innovative, multidisciplinary models of care for hepatitis C treatment and management are important, especially outside of metropolitan settings where access to</w:t>
      </w:r>
      <w:r w:rsidR="00C31DBC">
        <w:rPr>
          <w:sz w:val="20"/>
          <w:szCs w:val="20"/>
        </w:rPr>
        <w:t xml:space="preserve"> some services can be limited. </w:t>
      </w:r>
      <w:r w:rsidRPr="00EA1123">
        <w:rPr>
          <w:sz w:val="20"/>
          <w:szCs w:val="20"/>
        </w:rPr>
        <w:t>Approaches need to address the specific barriers and meet the needs of priority populations</w:t>
      </w:r>
      <w:r w:rsidR="006A516A">
        <w:rPr>
          <w:sz w:val="20"/>
          <w:szCs w:val="20"/>
        </w:rPr>
        <w:t>,</w:t>
      </w:r>
      <w:r w:rsidRPr="00EA1123">
        <w:rPr>
          <w:sz w:val="20"/>
          <w:szCs w:val="20"/>
        </w:rPr>
        <w:t xml:space="preserve"> including in regional, rural and remote communities</w:t>
      </w:r>
      <w:r w:rsidR="006A516A">
        <w:rPr>
          <w:sz w:val="20"/>
          <w:szCs w:val="20"/>
        </w:rPr>
        <w:t>,</w:t>
      </w:r>
      <w:r w:rsidRPr="00EA1123">
        <w:rPr>
          <w:sz w:val="20"/>
          <w:szCs w:val="20"/>
        </w:rPr>
        <w:t xml:space="preserve"> and to take into account the range of healthcare settings commonly used by priority populations.  </w:t>
      </w:r>
    </w:p>
    <w:p w14:paraId="73E46B3A" w14:textId="2E17E2AA" w:rsidR="00867F1E" w:rsidRDefault="00F376C5" w:rsidP="00F376C5">
      <w:pPr>
        <w:rPr>
          <w:sz w:val="20"/>
          <w:szCs w:val="20"/>
        </w:rPr>
      </w:pPr>
      <w:r w:rsidRPr="00EA1123">
        <w:rPr>
          <w:sz w:val="20"/>
          <w:szCs w:val="20"/>
        </w:rPr>
        <w:t xml:space="preserve">To effectively reach priority populations, it is necessary to connect the healthcare workforce with other organisations </w:t>
      </w:r>
      <w:r w:rsidR="004A63C3">
        <w:rPr>
          <w:sz w:val="20"/>
          <w:szCs w:val="20"/>
        </w:rPr>
        <w:t xml:space="preserve">that </w:t>
      </w:r>
      <w:r w:rsidRPr="00EA1123">
        <w:rPr>
          <w:sz w:val="20"/>
          <w:szCs w:val="20"/>
        </w:rPr>
        <w:t>support and provide services to these priority populations. This includes strengthening the referrals and coordination between the healthcare workforce and hepatitis C community organisations, peer</w:t>
      </w:r>
      <w:r w:rsidR="00411921">
        <w:rPr>
          <w:sz w:val="20"/>
          <w:szCs w:val="20"/>
        </w:rPr>
        <w:noBreakHyphen/>
      </w:r>
      <w:r w:rsidR="00123EF4">
        <w:rPr>
          <w:sz w:val="20"/>
          <w:szCs w:val="20"/>
        </w:rPr>
        <w:t>based</w:t>
      </w:r>
      <w:r w:rsidRPr="00EA1123">
        <w:rPr>
          <w:sz w:val="20"/>
          <w:szCs w:val="20"/>
        </w:rPr>
        <w:t xml:space="preserve"> organisations, </w:t>
      </w:r>
      <w:r w:rsidR="00C31DBC">
        <w:rPr>
          <w:sz w:val="20"/>
          <w:szCs w:val="20"/>
        </w:rPr>
        <w:t>AOD</w:t>
      </w:r>
      <w:r w:rsidR="00123EF4">
        <w:rPr>
          <w:sz w:val="20"/>
          <w:szCs w:val="20"/>
        </w:rPr>
        <w:t>, ACCHS</w:t>
      </w:r>
      <w:r w:rsidRPr="00EA1123">
        <w:rPr>
          <w:sz w:val="20"/>
          <w:szCs w:val="20"/>
        </w:rPr>
        <w:t xml:space="preserve"> and mental health services. </w:t>
      </w:r>
      <w:r w:rsidR="00990739" w:rsidRPr="00EA1123">
        <w:rPr>
          <w:sz w:val="20"/>
          <w:szCs w:val="20"/>
        </w:rPr>
        <w:t xml:space="preserve">Collaborations between service providers and community organisations can support awareness-raising, health literacy, and establishment and maintenance of connection to care for priority populations. </w:t>
      </w:r>
    </w:p>
    <w:p w14:paraId="1CF292BF" w14:textId="77777777" w:rsidR="005B4521" w:rsidRPr="005B4521" w:rsidRDefault="00F376C5" w:rsidP="00F376C5">
      <w:pPr>
        <w:rPr>
          <w:iCs/>
          <w:sz w:val="20"/>
          <w:szCs w:val="20"/>
        </w:rPr>
      </w:pPr>
      <w:r w:rsidRPr="00EA1123">
        <w:rPr>
          <w:sz w:val="20"/>
          <w:szCs w:val="20"/>
        </w:rPr>
        <w:t xml:space="preserve">Addressing hepatitis C in custodial settings and during the transition of people back into the community are key priorities. </w:t>
      </w:r>
      <w:r w:rsidR="005B4521" w:rsidRPr="00EA1123">
        <w:rPr>
          <w:sz w:val="20"/>
          <w:szCs w:val="20"/>
        </w:rPr>
        <w:t xml:space="preserve">While the provision of </w:t>
      </w:r>
      <w:r w:rsidR="005B4521" w:rsidRPr="00EA1123">
        <w:rPr>
          <w:iCs/>
          <w:sz w:val="20"/>
          <w:szCs w:val="20"/>
        </w:rPr>
        <w:t>medical services in custodial settings is generally the responsibility of state and territory governments, hepatitis C medicines are also available under the Highly Specialised Drugs (HSD) Program available to patients in prisons who meet certain eligibility requirements. The potential to enable</w:t>
      </w:r>
      <w:r w:rsidR="005B4521">
        <w:rPr>
          <w:iCs/>
          <w:sz w:val="20"/>
          <w:szCs w:val="20"/>
        </w:rPr>
        <w:t xml:space="preserve"> authorised</w:t>
      </w:r>
      <w:r w:rsidR="005B4521" w:rsidRPr="00EA1123">
        <w:rPr>
          <w:iCs/>
          <w:sz w:val="20"/>
          <w:szCs w:val="20"/>
        </w:rPr>
        <w:t xml:space="preserve"> nurse practitioners to prescribe hepatitis C medicines under the HSD Program could be explored as a way of facilitating greater uptake of these medicines in custodial settings.</w:t>
      </w:r>
    </w:p>
    <w:p w14:paraId="20F47AD6" w14:textId="171F2DBA" w:rsidR="005B4521" w:rsidRPr="00EA1123" w:rsidRDefault="005B4521" w:rsidP="005B4521">
      <w:pPr>
        <w:rPr>
          <w:sz w:val="20"/>
          <w:szCs w:val="20"/>
        </w:rPr>
      </w:pPr>
      <w:r w:rsidRPr="00EA1123">
        <w:rPr>
          <w:sz w:val="20"/>
          <w:szCs w:val="20"/>
        </w:rPr>
        <w:t>Nurse-led treatment programs have been successful in custodial settings in scaling</w:t>
      </w:r>
      <w:r w:rsidR="004F47E4">
        <w:rPr>
          <w:sz w:val="20"/>
          <w:szCs w:val="20"/>
        </w:rPr>
        <w:t xml:space="preserve"> </w:t>
      </w:r>
      <w:r w:rsidRPr="00EA1123">
        <w:rPr>
          <w:sz w:val="20"/>
          <w:szCs w:val="20"/>
        </w:rPr>
        <w:t>up treatment and reducing hepatitis C prevalence,</w:t>
      </w:r>
      <w:r w:rsidRPr="00EA1123">
        <w:rPr>
          <w:rStyle w:val="EndnoteReference"/>
          <w:sz w:val="20"/>
          <w:szCs w:val="20"/>
        </w:rPr>
        <w:endnoteReference w:id="31"/>
      </w:r>
      <w:r w:rsidRPr="00EA1123">
        <w:rPr>
          <w:sz w:val="20"/>
          <w:szCs w:val="20"/>
        </w:rPr>
        <w:t xml:space="preserve"> and </w:t>
      </w:r>
      <w:r w:rsidR="004F47E4">
        <w:rPr>
          <w:sz w:val="20"/>
          <w:szCs w:val="20"/>
        </w:rPr>
        <w:t xml:space="preserve">they </w:t>
      </w:r>
      <w:r w:rsidRPr="00EA1123">
        <w:rPr>
          <w:sz w:val="20"/>
          <w:szCs w:val="20"/>
        </w:rPr>
        <w:t>are currently implemented in specific prisons in some jurisdictions.</w:t>
      </w:r>
      <w:r w:rsidR="00EF7338">
        <w:rPr>
          <w:sz w:val="20"/>
          <w:szCs w:val="20"/>
          <w:vertAlign w:val="superscript"/>
        </w:rPr>
        <w:t>6</w:t>
      </w:r>
      <w:r w:rsidRPr="00EA1123">
        <w:rPr>
          <w:sz w:val="20"/>
          <w:szCs w:val="20"/>
          <w:vertAlign w:val="superscript"/>
        </w:rPr>
        <w:t>,7,</w:t>
      </w:r>
      <w:r w:rsidRPr="00EA1123">
        <w:rPr>
          <w:rStyle w:val="EndnoteReference"/>
          <w:sz w:val="20"/>
          <w:szCs w:val="20"/>
        </w:rPr>
        <w:endnoteReference w:id="32"/>
      </w:r>
      <w:r w:rsidRPr="00EA1123">
        <w:rPr>
          <w:sz w:val="20"/>
          <w:szCs w:val="20"/>
        </w:rPr>
        <w:t xml:space="preserve"> </w:t>
      </w:r>
      <w:r>
        <w:rPr>
          <w:sz w:val="20"/>
          <w:szCs w:val="20"/>
        </w:rPr>
        <w:t xml:space="preserve">Specialist </w:t>
      </w:r>
      <w:r w:rsidRPr="00EA1123">
        <w:rPr>
          <w:sz w:val="20"/>
          <w:szCs w:val="20"/>
        </w:rPr>
        <w:t xml:space="preserve">hepatitis </w:t>
      </w:r>
      <w:r w:rsidR="00263BA9">
        <w:rPr>
          <w:sz w:val="20"/>
          <w:szCs w:val="20"/>
        </w:rPr>
        <w:t xml:space="preserve">C </w:t>
      </w:r>
      <w:r w:rsidRPr="00EA1123">
        <w:rPr>
          <w:sz w:val="20"/>
          <w:szCs w:val="20"/>
        </w:rPr>
        <w:t xml:space="preserve">nurses manage inmate engagement with the health service, with the prescriber maintaining oversight of the treatment process. This approach could also be considered in other settings where there is a high concentration of people </w:t>
      </w:r>
      <w:r>
        <w:rPr>
          <w:sz w:val="20"/>
          <w:szCs w:val="20"/>
        </w:rPr>
        <w:t xml:space="preserve">living </w:t>
      </w:r>
      <w:r w:rsidRPr="00EA1123">
        <w:rPr>
          <w:sz w:val="20"/>
          <w:szCs w:val="20"/>
        </w:rPr>
        <w:t xml:space="preserve">with hepatitis C.  </w:t>
      </w:r>
    </w:p>
    <w:p w14:paraId="5E19283A" w14:textId="3C48E5EE" w:rsidR="00867F1E" w:rsidRDefault="00F376C5" w:rsidP="00F376C5">
      <w:pPr>
        <w:rPr>
          <w:sz w:val="20"/>
          <w:szCs w:val="20"/>
        </w:rPr>
      </w:pPr>
      <w:r w:rsidRPr="00EA1123">
        <w:rPr>
          <w:sz w:val="20"/>
          <w:szCs w:val="20"/>
        </w:rPr>
        <w:t>Case management during the post-release transition period also offer</w:t>
      </w:r>
      <w:r w:rsidR="004F47E4">
        <w:rPr>
          <w:sz w:val="20"/>
          <w:szCs w:val="20"/>
        </w:rPr>
        <w:t>s</w:t>
      </w:r>
      <w:r w:rsidRPr="00EA1123">
        <w:rPr>
          <w:sz w:val="20"/>
          <w:szCs w:val="20"/>
        </w:rPr>
        <w:t xml:space="preserve"> benefits in supporting treatment adherence</w:t>
      </w:r>
      <w:r w:rsidR="004F47E4">
        <w:rPr>
          <w:sz w:val="20"/>
          <w:szCs w:val="20"/>
        </w:rPr>
        <w:t xml:space="preserve"> and </w:t>
      </w:r>
      <w:r w:rsidRPr="00EA1123">
        <w:rPr>
          <w:sz w:val="20"/>
          <w:szCs w:val="20"/>
        </w:rPr>
        <w:t>follow-up testing and preventing hepatitis C reinfection. Post-release transition programs can be enhanced through collaborations with alcoho</w:t>
      </w:r>
      <w:r w:rsidR="00123EF4">
        <w:rPr>
          <w:sz w:val="20"/>
          <w:szCs w:val="20"/>
        </w:rPr>
        <w:t>l and other drug services, peer-</w:t>
      </w:r>
      <w:r w:rsidRPr="00EA1123">
        <w:rPr>
          <w:sz w:val="20"/>
          <w:szCs w:val="20"/>
        </w:rPr>
        <w:t>based services and organisations and other services that engage with prisoners post-release.</w:t>
      </w:r>
      <w:r w:rsidR="00D86F5D">
        <w:rPr>
          <w:sz w:val="20"/>
          <w:szCs w:val="20"/>
        </w:rPr>
        <w:t xml:space="preserve"> </w:t>
      </w:r>
    </w:p>
    <w:p w14:paraId="062913AA" w14:textId="2839728D" w:rsidR="00F376C5" w:rsidRDefault="00F376C5" w:rsidP="00F376C5">
      <w:pPr>
        <w:rPr>
          <w:sz w:val="20"/>
          <w:szCs w:val="20"/>
        </w:rPr>
      </w:pPr>
      <w:r w:rsidRPr="00EA1123">
        <w:rPr>
          <w:sz w:val="20"/>
          <w:szCs w:val="20"/>
        </w:rPr>
        <w:t>While most people living with hepatitis C are able to be treated in primary care settings, approaches need to include engagement with specialist services, particularly for people with li</w:t>
      </w:r>
      <w:r w:rsidR="00C31DBC">
        <w:rPr>
          <w:sz w:val="20"/>
          <w:szCs w:val="20"/>
        </w:rPr>
        <w:t>ver cirrhosis</w:t>
      </w:r>
      <w:r w:rsidR="006A516A">
        <w:rPr>
          <w:sz w:val="20"/>
          <w:szCs w:val="20"/>
        </w:rPr>
        <w:t xml:space="preserve"> and </w:t>
      </w:r>
      <w:r w:rsidR="00C31DBC">
        <w:rPr>
          <w:sz w:val="20"/>
          <w:szCs w:val="20"/>
        </w:rPr>
        <w:t>other complex co</w:t>
      </w:r>
      <w:r w:rsidRPr="00EA1123">
        <w:rPr>
          <w:sz w:val="20"/>
          <w:szCs w:val="20"/>
        </w:rPr>
        <w:t xml:space="preserve">morbidities and co-infections and people who have not been cured following treatment. Models of care need to provide increased options for assessment of liver disease outside of specialist settings, including access to and knowledge of the non-invasive diagnostic tools for assessing liver disease severity.  </w:t>
      </w:r>
    </w:p>
    <w:p w14:paraId="70E40505" w14:textId="77777777" w:rsidR="00F376C5" w:rsidRPr="006A516A" w:rsidRDefault="00F376C5" w:rsidP="00F376C5">
      <w:pPr>
        <w:rPr>
          <w:rFonts w:cs="Segoe UI"/>
          <w:sz w:val="20"/>
          <w:szCs w:val="20"/>
        </w:rPr>
      </w:pPr>
      <w:r w:rsidRPr="006A516A">
        <w:rPr>
          <w:rFonts w:cs="Segoe UI"/>
          <w:sz w:val="20"/>
          <w:szCs w:val="20"/>
        </w:rPr>
        <w:t>Key areas for action</w:t>
      </w:r>
    </w:p>
    <w:p w14:paraId="76A18DB8" w14:textId="77777777" w:rsidR="00F376C5" w:rsidRPr="006A516A" w:rsidRDefault="00F376C5" w:rsidP="00DB37AD">
      <w:pPr>
        <w:pStyle w:val="Bullet"/>
        <w:numPr>
          <w:ilvl w:val="0"/>
          <w:numId w:val="14"/>
        </w:numPr>
        <w:spacing w:before="120" w:after="0"/>
        <w:ind w:left="360"/>
        <w:rPr>
          <w:sz w:val="20"/>
          <w:szCs w:val="20"/>
        </w:rPr>
      </w:pPr>
      <w:r w:rsidRPr="006A516A">
        <w:rPr>
          <w:sz w:val="20"/>
          <w:szCs w:val="20"/>
        </w:rPr>
        <w:t xml:space="preserve">Support models of care that provide effective </w:t>
      </w:r>
      <w:r w:rsidR="00123EF4" w:rsidRPr="006A516A">
        <w:rPr>
          <w:sz w:val="20"/>
          <w:szCs w:val="20"/>
        </w:rPr>
        <w:t xml:space="preserve">testing, </w:t>
      </w:r>
      <w:r w:rsidRPr="006A516A">
        <w:rPr>
          <w:sz w:val="20"/>
          <w:szCs w:val="20"/>
        </w:rPr>
        <w:t>treatment and mana</w:t>
      </w:r>
      <w:r w:rsidR="00C31DBC" w:rsidRPr="006A516A">
        <w:rPr>
          <w:sz w:val="20"/>
          <w:szCs w:val="20"/>
        </w:rPr>
        <w:t>gement of people</w:t>
      </w:r>
      <w:r w:rsidR="00BA4AF7" w:rsidRPr="006A516A">
        <w:rPr>
          <w:sz w:val="20"/>
          <w:szCs w:val="20"/>
        </w:rPr>
        <w:t xml:space="preserve"> living</w:t>
      </w:r>
      <w:r w:rsidR="00C31DBC" w:rsidRPr="006A516A">
        <w:rPr>
          <w:sz w:val="20"/>
          <w:szCs w:val="20"/>
        </w:rPr>
        <w:t xml:space="preserve"> with hepatitis </w:t>
      </w:r>
      <w:r w:rsidRPr="006A516A">
        <w:rPr>
          <w:sz w:val="20"/>
          <w:szCs w:val="20"/>
        </w:rPr>
        <w:t>C in primary health settings, including links and referral pathways to specialist and multidisciplinary services</w:t>
      </w:r>
    </w:p>
    <w:p w14:paraId="2EC6C441" w14:textId="3EEC40B9" w:rsidR="00F376C5" w:rsidRPr="00EA1123" w:rsidRDefault="00F376C5" w:rsidP="00DB37AD">
      <w:pPr>
        <w:pStyle w:val="Bullet"/>
        <w:numPr>
          <w:ilvl w:val="0"/>
          <w:numId w:val="14"/>
        </w:numPr>
        <w:spacing w:before="120" w:after="0"/>
        <w:ind w:left="360"/>
        <w:rPr>
          <w:sz w:val="20"/>
          <w:szCs w:val="20"/>
        </w:rPr>
      </w:pPr>
      <w:r w:rsidRPr="00EA1123">
        <w:rPr>
          <w:sz w:val="20"/>
          <w:szCs w:val="20"/>
        </w:rPr>
        <w:lastRenderedPageBreak/>
        <w:t>Identify opportunities to improve patient management systems to better support the primary care workforce to promptly identify and provide treatment and care for people</w:t>
      </w:r>
      <w:r w:rsidR="00BA4AF7">
        <w:rPr>
          <w:sz w:val="20"/>
          <w:szCs w:val="20"/>
        </w:rPr>
        <w:t xml:space="preserve"> living</w:t>
      </w:r>
      <w:r w:rsidRPr="00EA1123">
        <w:rPr>
          <w:sz w:val="20"/>
          <w:szCs w:val="20"/>
        </w:rPr>
        <w:t xml:space="preserve"> with hepatitis C </w:t>
      </w:r>
    </w:p>
    <w:p w14:paraId="1A63C78F" w14:textId="0F961978" w:rsidR="00F376C5" w:rsidRPr="00EA1123" w:rsidRDefault="00F376C5" w:rsidP="00DB37AD">
      <w:pPr>
        <w:pStyle w:val="Bullet"/>
        <w:numPr>
          <w:ilvl w:val="0"/>
          <w:numId w:val="14"/>
        </w:numPr>
        <w:spacing w:before="120" w:after="0"/>
        <w:ind w:left="360"/>
        <w:rPr>
          <w:sz w:val="20"/>
          <w:szCs w:val="20"/>
        </w:rPr>
      </w:pPr>
      <w:r w:rsidRPr="00EA1123">
        <w:rPr>
          <w:sz w:val="20"/>
          <w:szCs w:val="20"/>
        </w:rPr>
        <w:t xml:space="preserve">Improve the coordination of hepatitis C treatment services and other service providers, including general practice, Aboriginal and Torres Strait Islander health services, </w:t>
      </w:r>
      <w:r w:rsidR="00C31DBC">
        <w:rPr>
          <w:sz w:val="20"/>
          <w:szCs w:val="20"/>
        </w:rPr>
        <w:t>AOD</w:t>
      </w:r>
      <w:r w:rsidRPr="00EA1123">
        <w:rPr>
          <w:sz w:val="20"/>
          <w:szCs w:val="20"/>
        </w:rPr>
        <w:t xml:space="preserve">, </w:t>
      </w:r>
      <w:r w:rsidR="00814C99">
        <w:rPr>
          <w:sz w:val="20"/>
          <w:szCs w:val="20"/>
        </w:rPr>
        <w:t>NSPs,</w:t>
      </w:r>
      <w:r w:rsidR="00533681">
        <w:rPr>
          <w:sz w:val="20"/>
          <w:szCs w:val="20"/>
        </w:rPr>
        <w:t xml:space="preserve"> sexual health services,</w:t>
      </w:r>
      <w:r w:rsidR="00814C99">
        <w:rPr>
          <w:sz w:val="20"/>
          <w:szCs w:val="20"/>
        </w:rPr>
        <w:t xml:space="preserve"> </w:t>
      </w:r>
      <w:r w:rsidRPr="00EA1123">
        <w:rPr>
          <w:sz w:val="20"/>
          <w:szCs w:val="20"/>
        </w:rPr>
        <w:t>peer-based services and mental health services</w:t>
      </w:r>
      <w:r w:rsidR="004F47E4">
        <w:rPr>
          <w:sz w:val="20"/>
          <w:szCs w:val="20"/>
        </w:rPr>
        <w:t xml:space="preserve"> </w:t>
      </w:r>
      <w:r w:rsidRPr="00EA1123">
        <w:rPr>
          <w:sz w:val="20"/>
          <w:szCs w:val="20"/>
        </w:rPr>
        <w:t xml:space="preserve">to better link people </w:t>
      </w:r>
      <w:r w:rsidR="002C1894">
        <w:rPr>
          <w:sz w:val="20"/>
          <w:szCs w:val="20"/>
        </w:rPr>
        <w:t xml:space="preserve">at risk of or </w:t>
      </w:r>
      <w:r w:rsidR="00BA4AF7">
        <w:rPr>
          <w:sz w:val="20"/>
          <w:szCs w:val="20"/>
        </w:rPr>
        <w:t xml:space="preserve">living </w:t>
      </w:r>
      <w:r w:rsidRPr="00EA1123">
        <w:rPr>
          <w:sz w:val="20"/>
          <w:szCs w:val="20"/>
        </w:rPr>
        <w:t xml:space="preserve">with hepatitis C to prevention, testing, and relevant </w:t>
      </w:r>
      <w:r w:rsidR="00263BA9">
        <w:rPr>
          <w:sz w:val="20"/>
          <w:szCs w:val="20"/>
        </w:rPr>
        <w:t>follow</w:t>
      </w:r>
      <w:r w:rsidR="004F47E4">
        <w:rPr>
          <w:sz w:val="20"/>
          <w:szCs w:val="20"/>
        </w:rPr>
        <w:t>-</w:t>
      </w:r>
      <w:r w:rsidR="00263BA9">
        <w:rPr>
          <w:sz w:val="20"/>
          <w:szCs w:val="20"/>
        </w:rPr>
        <w:t>up</w:t>
      </w:r>
      <w:r w:rsidR="00263BA9" w:rsidRPr="00EA1123">
        <w:rPr>
          <w:sz w:val="20"/>
          <w:szCs w:val="20"/>
        </w:rPr>
        <w:t xml:space="preserve"> </w:t>
      </w:r>
      <w:r w:rsidRPr="00EA1123">
        <w:rPr>
          <w:sz w:val="20"/>
          <w:szCs w:val="20"/>
        </w:rPr>
        <w:t>and management</w:t>
      </w:r>
    </w:p>
    <w:p w14:paraId="00EB798B" w14:textId="77777777" w:rsidR="00F376C5" w:rsidRDefault="00F376C5" w:rsidP="00DB37AD">
      <w:pPr>
        <w:pStyle w:val="Bullet"/>
        <w:numPr>
          <w:ilvl w:val="0"/>
          <w:numId w:val="14"/>
        </w:numPr>
        <w:spacing w:before="120" w:after="0"/>
        <w:ind w:left="360"/>
        <w:rPr>
          <w:sz w:val="20"/>
          <w:szCs w:val="20"/>
        </w:rPr>
      </w:pPr>
      <w:r w:rsidRPr="00EA1123">
        <w:rPr>
          <w:sz w:val="20"/>
          <w:szCs w:val="20"/>
        </w:rPr>
        <w:t xml:space="preserve">Enhance partnerships between jurisdictional health and justice systems and facilitate knowledge sharing across jurisdictions regarding prevention, testing, treatment and support services for inmates and those recently released </w:t>
      </w:r>
    </w:p>
    <w:p w14:paraId="64A26CA3" w14:textId="77777777" w:rsidR="002256F8" w:rsidRDefault="002256F8" w:rsidP="00DB37AD">
      <w:pPr>
        <w:pStyle w:val="Bullet"/>
        <w:numPr>
          <w:ilvl w:val="0"/>
          <w:numId w:val="14"/>
        </w:numPr>
        <w:spacing w:before="120" w:after="0"/>
        <w:ind w:left="360"/>
        <w:rPr>
          <w:sz w:val="20"/>
          <w:szCs w:val="20"/>
        </w:rPr>
      </w:pPr>
      <w:r>
        <w:rPr>
          <w:sz w:val="20"/>
          <w:szCs w:val="20"/>
        </w:rPr>
        <w:t>Identify and trial opportunities to increase access to prevention, testing and treatment</w:t>
      </w:r>
      <w:r w:rsidR="005B4521">
        <w:rPr>
          <w:sz w:val="20"/>
          <w:szCs w:val="20"/>
        </w:rPr>
        <w:t xml:space="preserve"> in custodial settings</w:t>
      </w:r>
    </w:p>
    <w:p w14:paraId="462E8A53" w14:textId="361D9D5A" w:rsidR="00D8006A" w:rsidRPr="00D8006A" w:rsidRDefault="00D8006A" w:rsidP="00D8006A">
      <w:pPr>
        <w:pStyle w:val="Bullet"/>
        <w:numPr>
          <w:ilvl w:val="0"/>
          <w:numId w:val="14"/>
        </w:numPr>
        <w:spacing w:before="120" w:after="0"/>
        <w:ind w:left="360"/>
        <w:rPr>
          <w:sz w:val="20"/>
          <w:szCs w:val="20"/>
        </w:rPr>
      </w:pPr>
      <w:r w:rsidRPr="00EA1123">
        <w:rPr>
          <w:sz w:val="20"/>
          <w:szCs w:val="20"/>
        </w:rPr>
        <w:t xml:space="preserve">Establish and support nurse-led and other treatment programs in custodial settings, review prescribing arrangements for </w:t>
      </w:r>
      <w:r>
        <w:rPr>
          <w:sz w:val="20"/>
          <w:szCs w:val="20"/>
        </w:rPr>
        <w:t xml:space="preserve">authorised </w:t>
      </w:r>
      <w:r w:rsidRPr="00EA1123">
        <w:rPr>
          <w:sz w:val="20"/>
          <w:szCs w:val="20"/>
        </w:rPr>
        <w:t xml:space="preserve">nurse practitioners in these settings, and develop systems for active case management of </w:t>
      </w:r>
      <w:r w:rsidR="000044E4">
        <w:rPr>
          <w:sz w:val="20"/>
          <w:szCs w:val="20"/>
        </w:rPr>
        <w:t xml:space="preserve">people released from </w:t>
      </w:r>
      <w:r w:rsidRPr="00EA1123">
        <w:rPr>
          <w:sz w:val="20"/>
          <w:szCs w:val="20"/>
        </w:rPr>
        <w:t xml:space="preserve">prison upon re-entry into the community </w:t>
      </w:r>
    </w:p>
    <w:p w14:paraId="027D60AE" w14:textId="37443ACC" w:rsidR="00EA1123" w:rsidRPr="0036332A" w:rsidRDefault="00F376C5" w:rsidP="00F376C5">
      <w:pPr>
        <w:pStyle w:val="Bullet"/>
        <w:numPr>
          <w:ilvl w:val="0"/>
          <w:numId w:val="14"/>
        </w:numPr>
        <w:spacing w:before="120" w:after="0"/>
        <w:ind w:left="360"/>
        <w:rPr>
          <w:sz w:val="20"/>
          <w:szCs w:val="20"/>
        </w:rPr>
      </w:pPr>
      <w:r w:rsidRPr="00EA1123">
        <w:rPr>
          <w:sz w:val="20"/>
          <w:szCs w:val="20"/>
        </w:rPr>
        <w:t xml:space="preserve">Explore the inclusion of hepatitis C related key performance indicators, aligned to the targets of this </w:t>
      </w:r>
      <w:r w:rsidR="006A516A">
        <w:rPr>
          <w:sz w:val="20"/>
          <w:szCs w:val="20"/>
        </w:rPr>
        <w:t>s</w:t>
      </w:r>
      <w:r w:rsidRPr="00EA1123">
        <w:rPr>
          <w:sz w:val="20"/>
          <w:szCs w:val="20"/>
        </w:rPr>
        <w:t>trategy, for organisations central to the delivery of hepatitis C programs or services, including Primary Health Ne</w:t>
      </w:r>
      <w:r w:rsidR="00C31DBC">
        <w:rPr>
          <w:sz w:val="20"/>
          <w:szCs w:val="20"/>
        </w:rPr>
        <w:t>tworks and custodial facilities</w:t>
      </w:r>
    </w:p>
    <w:p w14:paraId="1EF2B47A" w14:textId="77777777" w:rsidR="00F376C5" w:rsidRPr="00CE5B8B" w:rsidRDefault="00F376C5" w:rsidP="00F376C5">
      <w:pPr>
        <w:spacing w:before="120"/>
        <w:rPr>
          <w:b/>
          <w:color w:val="00264D"/>
          <w:sz w:val="22"/>
        </w:rPr>
      </w:pPr>
      <w:r>
        <w:rPr>
          <w:b/>
          <w:color w:val="00264D"/>
          <w:sz w:val="22"/>
        </w:rPr>
        <w:t xml:space="preserve">ADDRESSING STIGMA AND CREATING AN </w:t>
      </w:r>
      <w:r w:rsidRPr="00CE5B8B">
        <w:rPr>
          <w:b/>
          <w:color w:val="00264D"/>
          <w:sz w:val="22"/>
        </w:rPr>
        <w:t>ENABLING ENVIRONMENT</w:t>
      </w:r>
    </w:p>
    <w:p w14:paraId="600267D0" w14:textId="77777777" w:rsidR="001159AF" w:rsidRPr="004F47E4" w:rsidRDefault="0036332A" w:rsidP="0036332A">
      <w:pPr>
        <w:pStyle w:val="CommentText"/>
        <w:numPr>
          <w:ilvl w:val="0"/>
          <w:numId w:val="19"/>
        </w:numPr>
        <w:spacing w:after="60"/>
        <w:rPr>
          <w:i/>
          <w:szCs w:val="19"/>
        </w:rPr>
      </w:pPr>
      <w:r w:rsidRPr="004F47E4">
        <w:rPr>
          <w:i/>
          <w:szCs w:val="19"/>
        </w:rPr>
        <w:t>Implement a range of initiatives to address stigma and discrimination and minimise their impact on the health of people at risk of or living with hepatitis C</w:t>
      </w:r>
    </w:p>
    <w:p w14:paraId="57558FF2" w14:textId="4F908331" w:rsidR="007F3B9C" w:rsidRPr="004F47E4" w:rsidRDefault="004C58E0" w:rsidP="007F3B9C">
      <w:pPr>
        <w:pStyle w:val="CommentText"/>
        <w:numPr>
          <w:ilvl w:val="0"/>
          <w:numId w:val="19"/>
        </w:numPr>
        <w:rPr>
          <w:i/>
          <w:szCs w:val="19"/>
        </w:rPr>
      </w:pPr>
      <w:r w:rsidRPr="004F47E4">
        <w:rPr>
          <w:i/>
          <w:szCs w:val="19"/>
        </w:rPr>
        <w:t xml:space="preserve">Continue to work towards addressing the legal, regulatory and policy barriers which affect priority populations and </w:t>
      </w:r>
      <w:r w:rsidR="007F3B9C" w:rsidRPr="004F47E4">
        <w:rPr>
          <w:i/>
          <w:szCs w:val="19"/>
        </w:rPr>
        <w:t>influence their health</w:t>
      </w:r>
      <w:r w:rsidR="004F47E4">
        <w:rPr>
          <w:i/>
          <w:szCs w:val="19"/>
        </w:rPr>
        <w:t>-</w:t>
      </w:r>
      <w:r w:rsidR="007F3B9C" w:rsidRPr="004F47E4">
        <w:rPr>
          <w:i/>
          <w:szCs w:val="19"/>
        </w:rPr>
        <w:t>seeking behaviours</w:t>
      </w:r>
    </w:p>
    <w:p w14:paraId="08801AA6" w14:textId="13B25D2B" w:rsidR="00F376C5" w:rsidRPr="00EA1123" w:rsidRDefault="00F376C5" w:rsidP="00F376C5">
      <w:pPr>
        <w:rPr>
          <w:sz w:val="20"/>
          <w:szCs w:val="20"/>
        </w:rPr>
      </w:pPr>
      <w:r w:rsidRPr="00EA1123">
        <w:rPr>
          <w:sz w:val="20"/>
          <w:szCs w:val="20"/>
        </w:rPr>
        <w:t xml:space="preserve">An enabling legal and policy environment that addresses criminalisation, stigma and discrimination, and human rights issues will help to increase access to services and improve the health and wellbeing of people </w:t>
      </w:r>
      <w:r w:rsidR="00BA4AF7">
        <w:rPr>
          <w:sz w:val="20"/>
          <w:szCs w:val="20"/>
        </w:rPr>
        <w:t xml:space="preserve">living </w:t>
      </w:r>
      <w:r w:rsidRPr="00EA1123">
        <w:rPr>
          <w:sz w:val="20"/>
          <w:szCs w:val="20"/>
        </w:rPr>
        <w:t xml:space="preserve">with hepatitis C. </w:t>
      </w:r>
      <w:r w:rsidR="005B4521" w:rsidRPr="00EA1123">
        <w:rPr>
          <w:sz w:val="20"/>
          <w:szCs w:val="20"/>
        </w:rPr>
        <w:t>Access to health prevention information and health services is improved where supporting and enabling environments are created free from stigma and discrimination and legal barriers to health promotion activities.</w:t>
      </w:r>
    </w:p>
    <w:p w14:paraId="358AFCB7" w14:textId="42B4AD83" w:rsidR="00F376C5" w:rsidRPr="00EA1123" w:rsidRDefault="00F376C5" w:rsidP="00F376C5">
      <w:pPr>
        <w:rPr>
          <w:sz w:val="20"/>
          <w:szCs w:val="20"/>
        </w:rPr>
      </w:pPr>
      <w:r w:rsidRPr="00EA1123">
        <w:rPr>
          <w:sz w:val="20"/>
          <w:szCs w:val="20"/>
        </w:rPr>
        <w:t>Discrimination and stigma associated with hepatitis C is a key issue to address</w:t>
      </w:r>
      <w:r w:rsidR="00411921">
        <w:rPr>
          <w:sz w:val="20"/>
          <w:szCs w:val="20"/>
        </w:rPr>
        <w:t>,</w:t>
      </w:r>
      <w:r w:rsidRPr="00EA1123">
        <w:rPr>
          <w:sz w:val="20"/>
          <w:szCs w:val="20"/>
        </w:rPr>
        <w:t xml:space="preserve"> as it can have a significant impact on health outcomes</w:t>
      </w:r>
      <w:r w:rsidR="00411921">
        <w:rPr>
          <w:sz w:val="20"/>
          <w:szCs w:val="20"/>
        </w:rPr>
        <w:t>,</w:t>
      </w:r>
      <w:r w:rsidRPr="00EA1123">
        <w:rPr>
          <w:sz w:val="20"/>
          <w:szCs w:val="20"/>
        </w:rPr>
        <w:t xml:space="preserve"> relationships and employment prospects and can lead to social is</w:t>
      </w:r>
      <w:r w:rsidR="00C31DBC">
        <w:rPr>
          <w:sz w:val="20"/>
          <w:szCs w:val="20"/>
        </w:rPr>
        <w:t xml:space="preserve">olation and </w:t>
      </w:r>
      <w:r w:rsidR="005B4521">
        <w:rPr>
          <w:sz w:val="20"/>
          <w:szCs w:val="20"/>
        </w:rPr>
        <w:t xml:space="preserve">poor </w:t>
      </w:r>
      <w:r w:rsidR="00C31DBC">
        <w:rPr>
          <w:sz w:val="20"/>
          <w:szCs w:val="20"/>
        </w:rPr>
        <w:t xml:space="preserve">mental health. </w:t>
      </w:r>
      <w:r w:rsidRPr="00EA1123">
        <w:rPr>
          <w:sz w:val="20"/>
          <w:szCs w:val="20"/>
        </w:rPr>
        <w:t xml:space="preserve">Fear of stigma and discrimination and of being judged can prevent people from attending health services to discuss their risk of hepatitis C, requesting a hepatitis C test, </w:t>
      </w:r>
      <w:r w:rsidR="004F47E4">
        <w:rPr>
          <w:sz w:val="20"/>
          <w:szCs w:val="20"/>
        </w:rPr>
        <w:t xml:space="preserve">and </w:t>
      </w:r>
      <w:r w:rsidRPr="00EA1123">
        <w:rPr>
          <w:sz w:val="20"/>
          <w:szCs w:val="20"/>
        </w:rPr>
        <w:t>taking</w:t>
      </w:r>
      <w:r w:rsidR="00411921">
        <w:rPr>
          <w:sz w:val="20"/>
          <w:szCs w:val="20"/>
        </w:rPr>
        <w:t xml:space="preserve"> up and</w:t>
      </w:r>
      <w:r w:rsidRPr="00EA1123">
        <w:rPr>
          <w:sz w:val="20"/>
          <w:szCs w:val="20"/>
        </w:rPr>
        <w:t xml:space="preserve"> continuing care</w:t>
      </w:r>
      <w:r w:rsidR="004F47E4">
        <w:rPr>
          <w:sz w:val="20"/>
          <w:szCs w:val="20"/>
        </w:rPr>
        <w:t>.</w:t>
      </w:r>
      <w:r w:rsidRPr="00EA1123">
        <w:rPr>
          <w:sz w:val="20"/>
          <w:szCs w:val="20"/>
        </w:rPr>
        <w:t xml:space="preserve"> </w:t>
      </w:r>
      <w:r w:rsidR="004F47E4">
        <w:rPr>
          <w:sz w:val="20"/>
          <w:szCs w:val="20"/>
        </w:rPr>
        <w:t xml:space="preserve">It </w:t>
      </w:r>
      <w:r w:rsidRPr="00EA1123">
        <w:rPr>
          <w:sz w:val="20"/>
          <w:szCs w:val="20"/>
        </w:rPr>
        <w:t xml:space="preserve">also </w:t>
      </w:r>
      <w:r w:rsidRPr="006A516A">
        <w:rPr>
          <w:sz w:val="20"/>
          <w:szCs w:val="20"/>
        </w:rPr>
        <w:t>may</w:t>
      </w:r>
      <w:r w:rsidR="004F1B2F">
        <w:rPr>
          <w:sz w:val="20"/>
          <w:szCs w:val="20"/>
        </w:rPr>
        <w:t xml:space="preserve"> deter </w:t>
      </w:r>
      <w:r w:rsidRPr="006A516A">
        <w:rPr>
          <w:sz w:val="20"/>
          <w:szCs w:val="20"/>
        </w:rPr>
        <w:t>people</w:t>
      </w:r>
      <w:r w:rsidR="004F1B2F">
        <w:rPr>
          <w:sz w:val="20"/>
          <w:szCs w:val="20"/>
        </w:rPr>
        <w:t xml:space="preserve"> from </w:t>
      </w:r>
      <w:r w:rsidRPr="006A516A">
        <w:rPr>
          <w:sz w:val="20"/>
          <w:szCs w:val="20"/>
        </w:rPr>
        <w:t>seeking support</w:t>
      </w:r>
      <w:r w:rsidRPr="00EA1123">
        <w:rPr>
          <w:sz w:val="20"/>
          <w:szCs w:val="20"/>
        </w:rPr>
        <w:t xml:space="preserve"> from their family and friends. </w:t>
      </w:r>
    </w:p>
    <w:p w14:paraId="300DCAFA" w14:textId="3B0933A9" w:rsidR="00F376C5" w:rsidRPr="00EA1123" w:rsidRDefault="00F376C5" w:rsidP="00F376C5">
      <w:pPr>
        <w:rPr>
          <w:sz w:val="20"/>
          <w:szCs w:val="20"/>
        </w:rPr>
      </w:pPr>
      <w:r w:rsidRPr="00EA1123">
        <w:rPr>
          <w:sz w:val="20"/>
          <w:szCs w:val="20"/>
        </w:rPr>
        <w:t xml:space="preserve">The close connection between hepatitis C and injecting drug use, and disapproval of injecting drug use </w:t>
      </w:r>
      <w:r w:rsidR="00123EF4">
        <w:rPr>
          <w:sz w:val="20"/>
          <w:szCs w:val="20"/>
        </w:rPr>
        <w:t xml:space="preserve">and fear of </w:t>
      </w:r>
      <w:r w:rsidR="005B5D08">
        <w:rPr>
          <w:sz w:val="20"/>
          <w:szCs w:val="20"/>
        </w:rPr>
        <w:t xml:space="preserve">the </w:t>
      </w:r>
      <w:r w:rsidR="00123EF4">
        <w:rPr>
          <w:sz w:val="20"/>
          <w:szCs w:val="20"/>
        </w:rPr>
        <w:t>contagion</w:t>
      </w:r>
      <w:r w:rsidR="004F47E4">
        <w:rPr>
          <w:sz w:val="20"/>
          <w:szCs w:val="20"/>
        </w:rPr>
        <w:t>,</w:t>
      </w:r>
      <w:r w:rsidR="00123EF4">
        <w:rPr>
          <w:sz w:val="20"/>
          <w:szCs w:val="20"/>
        </w:rPr>
        <w:t xml:space="preserve"> </w:t>
      </w:r>
      <w:r w:rsidRPr="00EA1123">
        <w:rPr>
          <w:sz w:val="20"/>
          <w:szCs w:val="20"/>
        </w:rPr>
        <w:t>drives much of the hepatitis C related stigma.</w:t>
      </w:r>
      <w:r w:rsidRPr="00EA1123">
        <w:rPr>
          <w:rStyle w:val="EndnoteReference"/>
          <w:sz w:val="20"/>
          <w:szCs w:val="20"/>
        </w:rPr>
        <w:endnoteReference w:id="33"/>
      </w:r>
      <w:r w:rsidRPr="00EA1123">
        <w:rPr>
          <w:sz w:val="20"/>
          <w:szCs w:val="20"/>
        </w:rPr>
        <w:t xml:space="preserve"> In a 2016 online survey completed by 123 people, more than half (56 per cent) reported experiencing stigma within the </w:t>
      </w:r>
      <w:r w:rsidR="004F47E4">
        <w:rPr>
          <w:sz w:val="20"/>
          <w:szCs w:val="20"/>
        </w:rPr>
        <w:t xml:space="preserve">previous </w:t>
      </w:r>
      <w:r w:rsidRPr="00EA1123">
        <w:rPr>
          <w:sz w:val="20"/>
          <w:szCs w:val="20"/>
        </w:rPr>
        <w:t>12 months related to their hepatitis C status and two-thirds (65 per cent) reported some instances of being treated negatively by health workers</w:t>
      </w:r>
      <w:r w:rsidR="004F47E4" w:rsidRPr="00EA1123">
        <w:rPr>
          <w:rStyle w:val="EndnoteReference"/>
          <w:sz w:val="20"/>
          <w:szCs w:val="20"/>
        </w:rPr>
        <w:endnoteReference w:id="34"/>
      </w:r>
      <w:r w:rsidR="004F47E4">
        <w:rPr>
          <w:sz w:val="20"/>
          <w:szCs w:val="20"/>
        </w:rPr>
        <w:t>—</w:t>
      </w:r>
      <w:r w:rsidR="007654B3">
        <w:rPr>
          <w:sz w:val="20"/>
          <w:szCs w:val="20"/>
        </w:rPr>
        <w:t>findings</w:t>
      </w:r>
      <w:r w:rsidRPr="00EA1123">
        <w:rPr>
          <w:sz w:val="20"/>
          <w:szCs w:val="20"/>
        </w:rPr>
        <w:t xml:space="preserve"> </w:t>
      </w:r>
      <w:r w:rsidR="004F47E4">
        <w:rPr>
          <w:sz w:val="20"/>
          <w:szCs w:val="20"/>
        </w:rPr>
        <w:t xml:space="preserve">that are </w:t>
      </w:r>
      <w:r w:rsidRPr="00EA1123">
        <w:rPr>
          <w:sz w:val="20"/>
          <w:szCs w:val="20"/>
        </w:rPr>
        <w:t>supported by international research.</w:t>
      </w:r>
      <w:r w:rsidRPr="00EA1123">
        <w:rPr>
          <w:rStyle w:val="EndnoteReference"/>
          <w:sz w:val="20"/>
          <w:szCs w:val="20"/>
        </w:rPr>
        <w:endnoteReference w:id="35"/>
      </w:r>
      <w:r w:rsidRPr="00EA1123">
        <w:rPr>
          <w:sz w:val="20"/>
          <w:szCs w:val="20"/>
          <w:vertAlign w:val="superscript"/>
        </w:rPr>
        <w:t>,</w:t>
      </w:r>
      <w:r w:rsidRPr="00EA1123">
        <w:rPr>
          <w:rStyle w:val="EndnoteReference"/>
          <w:sz w:val="20"/>
          <w:szCs w:val="20"/>
        </w:rPr>
        <w:endnoteReference w:id="36"/>
      </w:r>
      <w:r w:rsidRPr="00EA1123">
        <w:rPr>
          <w:sz w:val="20"/>
          <w:szCs w:val="20"/>
          <w:vertAlign w:val="superscript"/>
        </w:rPr>
        <w:t xml:space="preserve"> </w:t>
      </w:r>
      <w:r w:rsidRPr="00EA1123">
        <w:rPr>
          <w:sz w:val="20"/>
          <w:szCs w:val="20"/>
        </w:rPr>
        <w:t>While this is a small sample and further data is needed, it does suggest that additional effort to eliminate the negative effects of stigma is needed.</w:t>
      </w:r>
    </w:p>
    <w:p w14:paraId="1C30B223" w14:textId="5431B717" w:rsidR="00F376C5" w:rsidRPr="00EA1123" w:rsidRDefault="00F376C5" w:rsidP="00F376C5">
      <w:pPr>
        <w:rPr>
          <w:sz w:val="20"/>
          <w:szCs w:val="20"/>
        </w:rPr>
      </w:pPr>
      <w:r w:rsidRPr="00EA1123">
        <w:rPr>
          <w:sz w:val="20"/>
          <w:szCs w:val="20"/>
        </w:rPr>
        <w:t>The stigma and discrimination experienced by people</w:t>
      </w:r>
      <w:r w:rsidR="00BA4AF7">
        <w:rPr>
          <w:sz w:val="20"/>
          <w:szCs w:val="20"/>
        </w:rPr>
        <w:t xml:space="preserve"> living</w:t>
      </w:r>
      <w:r w:rsidRPr="00EA1123">
        <w:rPr>
          <w:sz w:val="20"/>
          <w:szCs w:val="20"/>
        </w:rPr>
        <w:t xml:space="preserve"> with hepatitis C can also be influenced by individual characteristics and the stigma and discrimina</w:t>
      </w:r>
      <w:r w:rsidR="00C31DBC">
        <w:rPr>
          <w:sz w:val="20"/>
          <w:szCs w:val="20"/>
        </w:rPr>
        <w:t>tion associated with those</w:t>
      </w:r>
      <w:r w:rsidR="00814C99">
        <w:rPr>
          <w:sz w:val="20"/>
          <w:szCs w:val="20"/>
        </w:rPr>
        <w:t xml:space="preserve"> characteristics</w:t>
      </w:r>
      <w:r w:rsidR="00C31DBC">
        <w:rPr>
          <w:sz w:val="20"/>
          <w:szCs w:val="20"/>
        </w:rPr>
        <w:t xml:space="preserve">. These </w:t>
      </w:r>
      <w:r w:rsidRPr="00EA1123">
        <w:rPr>
          <w:sz w:val="20"/>
          <w:szCs w:val="20"/>
        </w:rPr>
        <w:t>incl</w:t>
      </w:r>
      <w:r w:rsidR="00C31DBC">
        <w:rPr>
          <w:sz w:val="20"/>
          <w:szCs w:val="20"/>
        </w:rPr>
        <w:t>ude</w:t>
      </w:r>
      <w:r w:rsidRPr="00EA1123">
        <w:rPr>
          <w:sz w:val="20"/>
          <w:szCs w:val="20"/>
        </w:rPr>
        <w:t xml:space="preserve"> sexual orientation, gender identity, cultural background, migrant or refugee </w:t>
      </w:r>
      <w:r w:rsidR="00C31DBC">
        <w:rPr>
          <w:sz w:val="20"/>
          <w:szCs w:val="20"/>
        </w:rPr>
        <w:t>status</w:t>
      </w:r>
      <w:r w:rsidR="00C31DBC" w:rsidRPr="006A516A">
        <w:rPr>
          <w:sz w:val="20"/>
          <w:szCs w:val="20"/>
        </w:rPr>
        <w:t>, disability</w:t>
      </w:r>
      <w:r w:rsidR="00411AF6" w:rsidRPr="006A516A">
        <w:rPr>
          <w:sz w:val="20"/>
          <w:szCs w:val="20"/>
        </w:rPr>
        <w:t xml:space="preserve">, </w:t>
      </w:r>
      <w:r w:rsidR="00411AF6" w:rsidRPr="004F1B2F">
        <w:rPr>
          <w:sz w:val="20"/>
          <w:szCs w:val="20"/>
        </w:rPr>
        <w:t>people with</w:t>
      </w:r>
      <w:r w:rsidR="00411AF6">
        <w:rPr>
          <w:sz w:val="20"/>
          <w:szCs w:val="20"/>
        </w:rPr>
        <w:t xml:space="preserve"> HIV and being a sex worker</w:t>
      </w:r>
      <w:r w:rsidR="00C31DBC">
        <w:rPr>
          <w:sz w:val="20"/>
          <w:szCs w:val="20"/>
        </w:rPr>
        <w:t xml:space="preserve">. </w:t>
      </w:r>
      <w:r w:rsidRPr="00EA1123">
        <w:rPr>
          <w:sz w:val="20"/>
          <w:szCs w:val="20"/>
        </w:rPr>
        <w:t xml:space="preserve">Strategies to address stigma and discrimination must acknowledge and account for </w:t>
      </w:r>
      <w:r w:rsidR="007654B3">
        <w:rPr>
          <w:sz w:val="20"/>
          <w:szCs w:val="20"/>
        </w:rPr>
        <w:t>intersecting stigmas</w:t>
      </w:r>
      <w:r w:rsidRPr="00EA1123">
        <w:rPr>
          <w:sz w:val="20"/>
          <w:szCs w:val="20"/>
        </w:rPr>
        <w:t>.</w:t>
      </w:r>
    </w:p>
    <w:p w14:paraId="132EAFFA" w14:textId="5FB35DC7" w:rsidR="00F376C5" w:rsidRPr="00EA1123" w:rsidRDefault="00F376C5" w:rsidP="00F376C5">
      <w:pPr>
        <w:rPr>
          <w:sz w:val="20"/>
          <w:szCs w:val="20"/>
        </w:rPr>
      </w:pPr>
      <w:r w:rsidRPr="00EA1123">
        <w:rPr>
          <w:sz w:val="20"/>
          <w:szCs w:val="20"/>
        </w:rPr>
        <w:t>Everyone working with people at risk of, or living with</w:t>
      </w:r>
      <w:r w:rsidR="005B5D08">
        <w:rPr>
          <w:sz w:val="20"/>
          <w:szCs w:val="20"/>
        </w:rPr>
        <w:t>,</w:t>
      </w:r>
      <w:r w:rsidRPr="00EA1123">
        <w:rPr>
          <w:sz w:val="20"/>
          <w:szCs w:val="20"/>
        </w:rPr>
        <w:t xml:space="preserve"> hepatitis C requires an understanding of the impact of stigma and discrimination on access to healthcare services. Education in relation to stigma in healthcare </w:t>
      </w:r>
      <w:r w:rsidRPr="00EA1123">
        <w:rPr>
          <w:sz w:val="20"/>
          <w:szCs w:val="20"/>
        </w:rPr>
        <w:lastRenderedPageBreak/>
        <w:t>settings is considered an integral part of training programs for staff of all specialist, primary healthcare and community</w:t>
      </w:r>
      <w:r w:rsidR="00123EF4">
        <w:rPr>
          <w:sz w:val="20"/>
          <w:szCs w:val="20"/>
        </w:rPr>
        <w:t>-based</w:t>
      </w:r>
      <w:r w:rsidRPr="00EA1123">
        <w:rPr>
          <w:sz w:val="20"/>
          <w:szCs w:val="20"/>
        </w:rPr>
        <w:t xml:space="preserve"> service providers.</w:t>
      </w:r>
    </w:p>
    <w:p w14:paraId="0121B356" w14:textId="05D18779" w:rsidR="00F376C5" w:rsidRPr="00EA1123" w:rsidRDefault="00F376C5" w:rsidP="00F376C5">
      <w:pPr>
        <w:rPr>
          <w:sz w:val="20"/>
          <w:szCs w:val="20"/>
        </w:rPr>
      </w:pPr>
      <w:r w:rsidRPr="00EA1123">
        <w:rPr>
          <w:sz w:val="20"/>
          <w:szCs w:val="20"/>
        </w:rPr>
        <w:t xml:space="preserve">Australia’s strong support for an enabling policy and legal environment for people who inject drugs is demonstrated by the funding of NSP services in the community. The absence of this same evidence-based harm reduction service in custodial settings is a policy gap in the </w:t>
      </w:r>
      <w:r w:rsidR="00C31DBC">
        <w:rPr>
          <w:sz w:val="20"/>
          <w:szCs w:val="20"/>
        </w:rPr>
        <w:t xml:space="preserve">hepatitis C prevention effort. </w:t>
      </w:r>
      <w:r w:rsidRPr="00EA1123">
        <w:rPr>
          <w:sz w:val="20"/>
          <w:szCs w:val="20"/>
        </w:rPr>
        <w:t>The increased possibility of contact with exposure risks for hepatitis C</w:t>
      </w:r>
      <w:r w:rsidR="00874A9C" w:rsidRPr="00EA1123">
        <w:rPr>
          <w:sz w:val="20"/>
          <w:szCs w:val="20"/>
        </w:rPr>
        <w:t xml:space="preserve"> </w:t>
      </w:r>
      <w:r w:rsidRPr="00EA1123">
        <w:rPr>
          <w:sz w:val="20"/>
          <w:szCs w:val="20"/>
        </w:rPr>
        <w:t>in custodial settings need</w:t>
      </w:r>
      <w:r w:rsidR="006A516A">
        <w:rPr>
          <w:sz w:val="20"/>
          <w:szCs w:val="20"/>
        </w:rPr>
        <w:t>s</w:t>
      </w:r>
      <w:r w:rsidRPr="00EA1123">
        <w:rPr>
          <w:sz w:val="20"/>
          <w:szCs w:val="20"/>
        </w:rPr>
        <w:t xml:space="preserve"> to be </w:t>
      </w:r>
      <w:r w:rsidR="00874A9C" w:rsidRPr="00EA1123">
        <w:rPr>
          <w:sz w:val="20"/>
          <w:szCs w:val="20"/>
        </w:rPr>
        <w:t xml:space="preserve">addressed </w:t>
      </w:r>
      <w:r w:rsidRPr="00EA1123">
        <w:rPr>
          <w:sz w:val="20"/>
          <w:szCs w:val="20"/>
        </w:rPr>
        <w:t>by a comprehensive suite of evidence-based harm reduction programs. Aspects of social disadvantage are com</w:t>
      </w:r>
      <w:r w:rsidR="00C31DBC">
        <w:rPr>
          <w:sz w:val="20"/>
          <w:szCs w:val="20"/>
        </w:rPr>
        <w:t xml:space="preserve">pounded in custodial settings. </w:t>
      </w:r>
    </w:p>
    <w:p w14:paraId="04E98F7C" w14:textId="7F21907A" w:rsidR="00F376C5" w:rsidRDefault="00F376C5" w:rsidP="00F376C5">
      <w:pPr>
        <w:rPr>
          <w:sz w:val="20"/>
          <w:szCs w:val="20"/>
        </w:rPr>
      </w:pPr>
      <w:r w:rsidRPr="00EA1123">
        <w:rPr>
          <w:sz w:val="20"/>
          <w:szCs w:val="20"/>
        </w:rPr>
        <w:t>Australia has publicly funded NSPs in the community since the 1980s, many years ahead of some other countries. Peer-based approaches, including sharing of sterile injecting equipment to prevent transmissions, are particularly important for highly marginalised individuals who are often less likely to engage with a NSP service on their own.</w:t>
      </w:r>
      <w:r w:rsidR="00990739">
        <w:rPr>
          <w:sz w:val="20"/>
          <w:szCs w:val="20"/>
        </w:rPr>
        <w:t xml:space="preserve"> </w:t>
      </w:r>
      <w:r w:rsidR="00FE1E7A">
        <w:rPr>
          <w:sz w:val="20"/>
          <w:szCs w:val="20"/>
        </w:rPr>
        <w:t>Peer distribution</w:t>
      </w:r>
      <w:r w:rsidR="00990739">
        <w:rPr>
          <w:sz w:val="20"/>
          <w:szCs w:val="20"/>
        </w:rPr>
        <w:t xml:space="preserve"> of sterile </w:t>
      </w:r>
      <w:r w:rsidR="00FE1E7A">
        <w:rPr>
          <w:sz w:val="20"/>
          <w:szCs w:val="20"/>
        </w:rPr>
        <w:t>injecting equipment</w:t>
      </w:r>
      <w:r w:rsidR="00990739">
        <w:rPr>
          <w:sz w:val="20"/>
          <w:szCs w:val="20"/>
        </w:rPr>
        <w:t xml:space="preserve"> within an injecting network has been demonstrated to </w:t>
      </w:r>
      <w:r w:rsidR="00990739" w:rsidRPr="00EA1123">
        <w:rPr>
          <w:sz w:val="20"/>
          <w:szCs w:val="20"/>
        </w:rPr>
        <w:t xml:space="preserve">prevent acquisition of a </w:t>
      </w:r>
      <w:r w:rsidR="00A56D0A">
        <w:rPr>
          <w:sz w:val="20"/>
          <w:szCs w:val="20"/>
        </w:rPr>
        <w:t>BBV</w:t>
      </w:r>
      <w:r w:rsidR="00FE1E7A">
        <w:rPr>
          <w:sz w:val="20"/>
          <w:szCs w:val="20"/>
        </w:rPr>
        <w:t xml:space="preserve">, despite this </w:t>
      </w:r>
      <w:r w:rsidR="00FF53A7">
        <w:rPr>
          <w:sz w:val="20"/>
          <w:szCs w:val="20"/>
        </w:rPr>
        <w:t>being outlawed in some jurisdic</w:t>
      </w:r>
      <w:r w:rsidR="00FE1E7A">
        <w:rPr>
          <w:sz w:val="20"/>
          <w:szCs w:val="20"/>
        </w:rPr>
        <w:t>tions</w:t>
      </w:r>
      <w:r w:rsidR="00990739">
        <w:rPr>
          <w:sz w:val="20"/>
          <w:szCs w:val="20"/>
        </w:rPr>
        <w:t>.</w:t>
      </w:r>
      <w:r w:rsidR="00990739" w:rsidRPr="00EA1123">
        <w:rPr>
          <w:rStyle w:val="EndnoteReference"/>
          <w:sz w:val="20"/>
          <w:szCs w:val="20"/>
        </w:rPr>
        <w:endnoteReference w:id="37"/>
      </w:r>
    </w:p>
    <w:p w14:paraId="0F324618" w14:textId="77777777" w:rsidR="00F376C5" w:rsidRPr="00B3349F" w:rsidRDefault="00F376C5" w:rsidP="00F376C5">
      <w:pPr>
        <w:pStyle w:val="Bullet"/>
        <w:spacing w:before="120"/>
        <w:rPr>
          <w:rFonts w:ascii="Century Gothic" w:hAnsi="Century Gothic"/>
          <w:b/>
          <w:sz w:val="20"/>
          <w:szCs w:val="20"/>
        </w:rPr>
      </w:pPr>
      <w:r w:rsidRPr="00B3349F">
        <w:rPr>
          <w:rFonts w:cs="Segoe UI"/>
          <w:b/>
          <w:sz w:val="20"/>
          <w:szCs w:val="20"/>
        </w:rPr>
        <w:t>Key areas for action</w:t>
      </w:r>
      <w:r w:rsidRPr="00B3349F">
        <w:rPr>
          <w:rFonts w:ascii="Century Gothic" w:eastAsia="Calibri" w:hAnsi="Century Gothic"/>
          <w:b/>
          <w:sz w:val="20"/>
          <w:szCs w:val="20"/>
        </w:rPr>
        <w:t xml:space="preserve"> </w:t>
      </w:r>
    </w:p>
    <w:p w14:paraId="16B7AE9E" w14:textId="77777777" w:rsidR="00F376C5" w:rsidRPr="006A516A" w:rsidRDefault="00F376C5" w:rsidP="00DB37AD">
      <w:pPr>
        <w:pStyle w:val="Bullet"/>
        <w:numPr>
          <w:ilvl w:val="0"/>
          <w:numId w:val="14"/>
        </w:numPr>
        <w:spacing w:before="120" w:after="0"/>
        <w:ind w:left="360"/>
        <w:rPr>
          <w:sz w:val="20"/>
          <w:szCs w:val="20"/>
        </w:rPr>
      </w:pPr>
      <w:r w:rsidRPr="006A516A">
        <w:rPr>
          <w:sz w:val="20"/>
          <w:szCs w:val="20"/>
        </w:rPr>
        <w:t xml:space="preserve">Incorporate messaging to counteract stigma into the national hepatitis C public education </w:t>
      </w:r>
      <w:r w:rsidR="00874A9C" w:rsidRPr="006A516A">
        <w:rPr>
          <w:sz w:val="20"/>
          <w:szCs w:val="20"/>
        </w:rPr>
        <w:t>initiative</w:t>
      </w:r>
    </w:p>
    <w:p w14:paraId="1FB297D5" w14:textId="235698BD" w:rsidR="00F376C5" w:rsidRPr="00EA1123" w:rsidRDefault="00F376C5" w:rsidP="00DB37AD">
      <w:pPr>
        <w:pStyle w:val="Bullet"/>
        <w:numPr>
          <w:ilvl w:val="0"/>
          <w:numId w:val="14"/>
        </w:numPr>
        <w:spacing w:before="120" w:after="0"/>
        <w:ind w:left="360"/>
        <w:rPr>
          <w:sz w:val="20"/>
          <w:szCs w:val="20"/>
        </w:rPr>
      </w:pPr>
      <w:r w:rsidRPr="00EA1123">
        <w:rPr>
          <w:sz w:val="20"/>
          <w:szCs w:val="20"/>
        </w:rPr>
        <w:t>Monitor laws, policies, stigma and discrimination which impact on health</w:t>
      </w:r>
      <w:r w:rsidR="004F47E4">
        <w:rPr>
          <w:sz w:val="20"/>
          <w:szCs w:val="20"/>
        </w:rPr>
        <w:t>-</w:t>
      </w:r>
      <w:r w:rsidRPr="00EA1123">
        <w:rPr>
          <w:sz w:val="20"/>
          <w:szCs w:val="20"/>
        </w:rPr>
        <w:t>seeking behaviour among priority populations</w:t>
      </w:r>
      <w:r w:rsidR="00564C97">
        <w:rPr>
          <w:sz w:val="20"/>
          <w:szCs w:val="20"/>
        </w:rPr>
        <w:t xml:space="preserve"> and their access to testing and services</w:t>
      </w:r>
      <w:r w:rsidR="004F47E4">
        <w:rPr>
          <w:sz w:val="20"/>
          <w:szCs w:val="20"/>
        </w:rPr>
        <w:t>;</w:t>
      </w:r>
      <w:r w:rsidRPr="00EA1123">
        <w:rPr>
          <w:sz w:val="20"/>
          <w:szCs w:val="20"/>
        </w:rPr>
        <w:t xml:space="preserve"> and work to ameliorate legal, regulatory and policy barriers to an appropriate and evidence-based response</w:t>
      </w:r>
    </w:p>
    <w:p w14:paraId="21778766" w14:textId="77777777" w:rsidR="00F376C5" w:rsidRPr="00EA1123" w:rsidRDefault="00F376C5" w:rsidP="00DB37AD">
      <w:pPr>
        <w:pStyle w:val="Bullet"/>
        <w:numPr>
          <w:ilvl w:val="0"/>
          <w:numId w:val="14"/>
        </w:numPr>
        <w:spacing w:before="120" w:after="0"/>
        <w:ind w:left="360"/>
        <w:rPr>
          <w:sz w:val="20"/>
          <w:szCs w:val="20"/>
        </w:rPr>
      </w:pPr>
      <w:r w:rsidRPr="00EA1123">
        <w:rPr>
          <w:sz w:val="20"/>
          <w:szCs w:val="20"/>
        </w:rPr>
        <w:t>Review and address institutional, regulatory and system policies which create barriers to equality of prevention, testing, treatment, care and support for people living with hepatitis C and priority populations</w:t>
      </w:r>
    </w:p>
    <w:p w14:paraId="5F36E487" w14:textId="42ED09EA" w:rsidR="00425092" w:rsidRPr="004F1B2F" w:rsidRDefault="00F376C5" w:rsidP="00444F45">
      <w:pPr>
        <w:pStyle w:val="Bullet"/>
        <w:numPr>
          <w:ilvl w:val="0"/>
          <w:numId w:val="14"/>
        </w:numPr>
        <w:spacing w:before="120" w:after="0"/>
        <w:ind w:left="360"/>
        <w:rPr>
          <w:b/>
          <w:color w:val="00264D"/>
          <w:sz w:val="22"/>
        </w:rPr>
      </w:pPr>
      <w:r w:rsidRPr="005C7F1D">
        <w:rPr>
          <w:sz w:val="20"/>
          <w:szCs w:val="20"/>
        </w:rPr>
        <w:t xml:space="preserve">Implement initiatives </w:t>
      </w:r>
      <w:r w:rsidR="004F1B2F" w:rsidRPr="006A516A">
        <w:rPr>
          <w:sz w:val="20"/>
          <w:szCs w:val="20"/>
        </w:rPr>
        <w:t xml:space="preserve">in the community and healthcare settings </w:t>
      </w:r>
      <w:r w:rsidRPr="005C7F1D">
        <w:rPr>
          <w:sz w:val="20"/>
          <w:szCs w:val="20"/>
        </w:rPr>
        <w:t>aimed at minimising stigma and discrimination against people living with hepatitis C</w:t>
      </w:r>
      <w:r w:rsidR="00D05B0F" w:rsidRPr="005C7F1D">
        <w:rPr>
          <w:sz w:val="20"/>
          <w:szCs w:val="20"/>
        </w:rPr>
        <w:t xml:space="preserve">, </w:t>
      </w:r>
      <w:r w:rsidRPr="005C7F1D">
        <w:rPr>
          <w:sz w:val="20"/>
          <w:szCs w:val="20"/>
        </w:rPr>
        <w:t>people who inject drugs</w:t>
      </w:r>
      <w:r w:rsidR="00D05B0F" w:rsidRPr="005C7F1D">
        <w:rPr>
          <w:sz w:val="20"/>
          <w:szCs w:val="20"/>
        </w:rPr>
        <w:t xml:space="preserve"> and other priority populations</w:t>
      </w:r>
    </w:p>
    <w:p w14:paraId="1AA22835" w14:textId="77777777" w:rsidR="004F1B2F" w:rsidRPr="006A516A" w:rsidRDefault="004F1B2F" w:rsidP="004F1B2F">
      <w:pPr>
        <w:pStyle w:val="Bullet"/>
        <w:spacing w:before="120" w:after="0"/>
        <w:ind w:left="360"/>
        <w:rPr>
          <w:b/>
          <w:color w:val="00264D"/>
          <w:sz w:val="22"/>
        </w:rPr>
      </w:pPr>
    </w:p>
    <w:p w14:paraId="57E9F000" w14:textId="77777777" w:rsidR="00F376C5" w:rsidRDefault="00F376C5" w:rsidP="00F376C5">
      <w:pPr>
        <w:spacing w:before="120"/>
        <w:rPr>
          <w:b/>
          <w:color w:val="00264D"/>
          <w:sz w:val="22"/>
        </w:rPr>
      </w:pPr>
      <w:r w:rsidRPr="00CE5B8B">
        <w:rPr>
          <w:b/>
          <w:color w:val="00264D"/>
          <w:sz w:val="22"/>
        </w:rPr>
        <w:t>WORKFORCE</w:t>
      </w:r>
    </w:p>
    <w:p w14:paraId="44A916F4" w14:textId="77777777" w:rsidR="007F3B9C" w:rsidRPr="004F47E4" w:rsidRDefault="0036332A" w:rsidP="007F3B9C">
      <w:pPr>
        <w:pStyle w:val="CommentText"/>
        <w:numPr>
          <w:ilvl w:val="0"/>
          <w:numId w:val="19"/>
        </w:numPr>
        <w:rPr>
          <w:i/>
          <w:szCs w:val="19"/>
        </w:rPr>
      </w:pPr>
      <w:r w:rsidRPr="004F47E4">
        <w:rPr>
          <w:i/>
          <w:szCs w:val="19"/>
        </w:rPr>
        <w:t>Facilitate a highly skilled multidisciplinary workforce</w:t>
      </w:r>
      <w:r w:rsidRPr="004F47E4">
        <w:rPr>
          <w:i/>
          <w:iCs/>
          <w:szCs w:val="19"/>
        </w:rPr>
        <w:t xml:space="preserve"> </w:t>
      </w:r>
      <w:r w:rsidRPr="004F47E4">
        <w:rPr>
          <w:i/>
          <w:szCs w:val="19"/>
        </w:rPr>
        <w:t xml:space="preserve">that is respectful of and responsive to the needs of people </w:t>
      </w:r>
      <w:r w:rsidR="007F3B9C" w:rsidRPr="004F47E4">
        <w:rPr>
          <w:i/>
        </w:rPr>
        <w:t xml:space="preserve">at risk of </w:t>
      </w:r>
      <w:r w:rsidR="002C1894" w:rsidRPr="004F47E4">
        <w:rPr>
          <w:i/>
        </w:rPr>
        <w:t xml:space="preserve">or living with </w:t>
      </w:r>
      <w:r w:rsidR="007F3B9C" w:rsidRPr="004F47E4">
        <w:rPr>
          <w:i/>
        </w:rPr>
        <w:t>hepatitis C</w:t>
      </w:r>
    </w:p>
    <w:p w14:paraId="25E25826" w14:textId="59ED36B2" w:rsidR="00867F1E" w:rsidRDefault="00F376C5" w:rsidP="00F376C5">
      <w:pPr>
        <w:rPr>
          <w:sz w:val="20"/>
          <w:szCs w:val="20"/>
        </w:rPr>
      </w:pPr>
      <w:r w:rsidRPr="00EA1123">
        <w:rPr>
          <w:sz w:val="20"/>
          <w:szCs w:val="20"/>
        </w:rPr>
        <w:t>The provision of best-practice hepatitis C prevention, testing, treatment and care is founded on a highly skilled workforce that is respectful of and responsive to the needs of people at risk of or living with hepatitis C. A strong multidisciplinary workforce of trained and motivated health professionals, community</w:t>
      </w:r>
      <w:r w:rsidR="00123EF4">
        <w:rPr>
          <w:sz w:val="20"/>
          <w:szCs w:val="20"/>
        </w:rPr>
        <w:t xml:space="preserve"> health workers</w:t>
      </w:r>
      <w:r w:rsidRPr="00EA1123">
        <w:rPr>
          <w:sz w:val="20"/>
          <w:szCs w:val="20"/>
        </w:rPr>
        <w:t xml:space="preserve"> and peer workers who work with priority populations is vital to the delivery of culturally appropriate and high</w:t>
      </w:r>
      <w:r w:rsidR="004F47E4">
        <w:rPr>
          <w:sz w:val="20"/>
          <w:szCs w:val="20"/>
        </w:rPr>
        <w:t>-</w:t>
      </w:r>
      <w:r w:rsidRPr="00EA1123">
        <w:rPr>
          <w:sz w:val="20"/>
          <w:szCs w:val="20"/>
        </w:rPr>
        <w:t xml:space="preserve">quality services for vulnerable and marginalised populations, including those who may not readily access hepatitis C treatment services. </w:t>
      </w:r>
    </w:p>
    <w:p w14:paraId="775C648C" w14:textId="77777777" w:rsidR="00F376C5" w:rsidRPr="00EA1123" w:rsidRDefault="00F376C5" w:rsidP="00F376C5">
      <w:pPr>
        <w:rPr>
          <w:sz w:val="20"/>
          <w:szCs w:val="20"/>
        </w:rPr>
      </w:pPr>
      <w:r w:rsidRPr="00EA1123">
        <w:rPr>
          <w:sz w:val="20"/>
          <w:szCs w:val="20"/>
        </w:rPr>
        <w:t xml:space="preserve">Identifying opportunities for workforce capacity building, knowledge sharing and upskilling is critical for improved service delivery. The prescribing arrangements for the new DAAs represent a significant practice change for primary care settings. This requires education and other support for the primary care workforce. Embedding these changes into routine practice may be assisted through support for early detection and treatment of hepatitis C and involvement in BBV training. </w:t>
      </w:r>
    </w:p>
    <w:p w14:paraId="2E8A3849" w14:textId="77777777" w:rsidR="00F376C5" w:rsidRPr="00EA1123" w:rsidRDefault="00F376C5" w:rsidP="00F376C5">
      <w:pPr>
        <w:rPr>
          <w:iCs/>
          <w:sz w:val="20"/>
          <w:szCs w:val="20"/>
        </w:rPr>
      </w:pPr>
      <w:r w:rsidRPr="00EA1123">
        <w:rPr>
          <w:iCs/>
          <w:sz w:val="20"/>
          <w:szCs w:val="20"/>
        </w:rPr>
        <w:t xml:space="preserve">The continued availability of evidence-based, responsive and accessible national </w:t>
      </w:r>
      <w:r w:rsidR="00505F35">
        <w:rPr>
          <w:iCs/>
          <w:sz w:val="20"/>
          <w:szCs w:val="20"/>
        </w:rPr>
        <w:t xml:space="preserve">clinical </w:t>
      </w:r>
      <w:r w:rsidRPr="00EA1123">
        <w:rPr>
          <w:iCs/>
          <w:sz w:val="20"/>
          <w:szCs w:val="20"/>
        </w:rPr>
        <w:t xml:space="preserve">guidelines and tools </w:t>
      </w:r>
      <w:r w:rsidR="00300855">
        <w:rPr>
          <w:iCs/>
          <w:sz w:val="20"/>
          <w:szCs w:val="20"/>
        </w:rPr>
        <w:t xml:space="preserve">has an </w:t>
      </w:r>
      <w:r w:rsidRPr="00EA1123">
        <w:rPr>
          <w:iCs/>
          <w:sz w:val="20"/>
          <w:szCs w:val="20"/>
        </w:rPr>
        <w:t>essential role in supporting the provision of effective hepatitis C prevention and care. Guidelines must be coupled with education and training to support implementation and build workforce capacity and capability.</w:t>
      </w:r>
    </w:p>
    <w:p w14:paraId="079E11E1" w14:textId="48E4CDAC" w:rsidR="00F376C5" w:rsidRPr="00EA1123" w:rsidRDefault="00F376C5" w:rsidP="00F376C5">
      <w:pPr>
        <w:rPr>
          <w:sz w:val="20"/>
          <w:szCs w:val="20"/>
        </w:rPr>
      </w:pPr>
      <w:r w:rsidRPr="00EA1123">
        <w:rPr>
          <w:iCs/>
          <w:sz w:val="20"/>
          <w:szCs w:val="20"/>
        </w:rPr>
        <w:t xml:space="preserve">Issues in relation to recruitment and retention of staff need to be addressed, particularly in rural and remote areas, to ensure </w:t>
      </w:r>
      <w:r w:rsidR="00777A76">
        <w:rPr>
          <w:iCs/>
          <w:sz w:val="20"/>
          <w:szCs w:val="20"/>
        </w:rPr>
        <w:t xml:space="preserve">that </w:t>
      </w:r>
      <w:r w:rsidRPr="00EA1123">
        <w:rPr>
          <w:iCs/>
          <w:sz w:val="20"/>
          <w:szCs w:val="20"/>
        </w:rPr>
        <w:t xml:space="preserve">the required expertise, capability and capacity exists in all areas. </w:t>
      </w:r>
      <w:r w:rsidRPr="00EA1123">
        <w:rPr>
          <w:sz w:val="20"/>
          <w:szCs w:val="20"/>
        </w:rPr>
        <w:t xml:space="preserve">Innovative models of care </w:t>
      </w:r>
      <w:r w:rsidRPr="00EA1123">
        <w:rPr>
          <w:iCs/>
          <w:sz w:val="20"/>
          <w:szCs w:val="20"/>
        </w:rPr>
        <w:t xml:space="preserve">adapted to local contexts can assist in addressing such challenges by appropriately utilising the skills of </w:t>
      </w:r>
      <w:r w:rsidRPr="00EA1123">
        <w:rPr>
          <w:iCs/>
          <w:sz w:val="20"/>
          <w:szCs w:val="20"/>
        </w:rPr>
        <w:lastRenderedPageBreak/>
        <w:t>the</w:t>
      </w:r>
      <w:r w:rsidRPr="00EA1123">
        <w:rPr>
          <w:sz w:val="20"/>
          <w:szCs w:val="20"/>
        </w:rPr>
        <w:t xml:space="preserve"> broader clinical and commu</w:t>
      </w:r>
      <w:r w:rsidR="00123EF4">
        <w:rPr>
          <w:sz w:val="20"/>
          <w:szCs w:val="20"/>
        </w:rPr>
        <w:t>nity health workforce, including nursing professionals</w:t>
      </w:r>
      <w:r w:rsidRPr="00EA1123">
        <w:rPr>
          <w:sz w:val="20"/>
          <w:szCs w:val="20"/>
        </w:rPr>
        <w:t xml:space="preserve">, pharmacists, Aboriginal and Torres Strait Islander Health Workers, community </w:t>
      </w:r>
      <w:r w:rsidR="00123EF4">
        <w:rPr>
          <w:sz w:val="20"/>
          <w:szCs w:val="20"/>
        </w:rPr>
        <w:t>health</w:t>
      </w:r>
      <w:r w:rsidRPr="00EA1123">
        <w:rPr>
          <w:sz w:val="20"/>
          <w:szCs w:val="20"/>
        </w:rPr>
        <w:t xml:space="preserve"> workers and peer workers. </w:t>
      </w:r>
      <w:r w:rsidR="00300855" w:rsidRPr="00FE1E7A">
        <w:rPr>
          <w:sz w:val="20"/>
          <w:szCs w:val="20"/>
        </w:rPr>
        <w:t xml:space="preserve">Aboriginal and Torres Strait Islander Health Workers and jurisdictional Aboriginal health councils need to be supported to engage in hepatitis C prevention and care. </w:t>
      </w:r>
      <w:r w:rsidRPr="00EA1123">
        <w:rPr>
          <w:sz w:val="20"/>
          <w:szCs w:val="20"/>
        </w:rPr>
        <w:t>Opportunities to facilitate the provision of more nurse-led services should be a particular focus, including required education, professional development and specialisation opportunities.</w:t>
      </w:r>
    </w:p>
    <w:p w14:paraId="5620918B" w14:textId="77777777" w:rsidR="00F376C5" w:rsidRPr="00B3349F" w:rsidRDefault="00F376C5" w:rsidP="00F376C5">
      <w:pPr>
        <w:pStyle w:val="Bullet"/>
        <w:spacing w:before="120"/>
        <w:rPr>
          <w:rFonts w:ascii="Century Gothic" w:hAnsi="Century Gothic"/>
          <w:b/>
          <w:sz w:val="20"/>
          <w:szCs w:val="20"/>
        </w:rPr>
      </w:pPr>
      <w:r w:rsidRPr="00B3349F">
        <w:rPr>
          <w:rFonts w:cs="Segoe UI"/>
          <w:b/>
          <w:sz w:val="20"/>
          <w:szCs w:val="20"/>
        </w:rPr>
        <w:t>Key areas for action</w:t>
      </w:r>
      <w:r w:rsidRPr="00B3349F">
        <w:rPr>
          <w:rFonts w:ascii="Century Gothic" w:eastAsia="Calibri" w:hAnsi="Century Gothic"/>
          <w:b/>
          <w:sz w:val="20"/>
          <w:szCs w:val="20"/>
        </w:rPr>
        <w:t xml:space="preserve"> </w:t>
      </w:r>
    </w:p>
    <w:p w14:paraId="3A7C732A" w14:textId="3B87DE39" w:rsidR="00F376C5" w:rsidRDefault="00F376C5" w:rsidP="00DB37AD">
      <w:pPr>
        <w:pStyle w:val="Bullet"/>
        <w:numPr>
          <w:ilvl w:val="0"/>
          <w:numId w:val="14"/>
        </w:numPr>
        <w:spacing w:before="120" w:after="0"/>
        <w:ind w:left="360"/>
        <w:rPr>
          <w:sz w:val="20"/>
          <w:szCs w:val="20"/>
        </w:rPr>
      </w:pPr>
      <w:r w:rsidRPr="005C7F1D">
        <w:rPr>
          <w:sz w:val="20"/>
          <w:szCs w:val="20"/>
        </w:rPr>
        <w:t>Implement targeted initiatives to facilitate a highly skilled clinical and community sector workforce</w:t>
      </w:r>
      <w:r w:rsidR="003B6624" w:rsidRPr="005C7F1D">
        <w:rPr>
          <w:sz w:val="20"/>
          <w:szCs w:val="20"/>
        </w:rPr>
        <w:t>,</w:t>
      </w:r>
      <w:r w:rsidRPr="005C7F1D">
        <w:rPr>
          <w:sz w:val="20"/>
          <w:szCs w:val="20"/>
        </w:rPr>
        <w:t xml:space="preserve"> including the use of online learning, web-based</w:t>
      </w:r>
      <w:r w:rsidRPr="00EA1123">
        <w:rPr>
          <w:sz w:val="20"/>
          <w:szCs w:val="20"/>
        </w:rPr>
        <w:t xml:space="preserve"> resources, mobile applications and face</w:t>
      </w:r>
      <w:r w:rsidR="003B6624">
        <w:rPr>
          <w:sz w:val="20"/>
          <w:szCs w:val="20"/>
        </w:rPr>
        <w:t>-</w:t>
      </w:r>
      <w:r w:rsidRPr="00EA1123">
        <w:rPr>
          <w:sz w:val="20"/>
          <w:szCs w:val="20"/>
        </w:rPr>
        <w:t>to</w:t>
      </w:r>
      <w:r w:rsidR="003B6624">
        <w:rPr>
          <w:sz w:val="20"/>
          <w:szCs w:val="20"/>
        </w:rPr>
        <w:t>-</w:t>
      </w:r>
      <w:r w:rsidRPr="00EA1123">
        <w:rPr>
          <w:sz w:val="20"/>
          <w:szCs w:val="20"/>
        </w:rPr>
        <w:t xml:space="preserve">face learning opportunities </w:t>
      </w:r>
    </w:p>
    <w:p w14:paraId="535ADACA" w14:textId="77777777" w:rsidR="005B4521" w:rsidRPr="005B4521" w:rsidRDefault="005B4521" w:rsidP="005B4521">
      <w:pPr>
        <w:pStyle w:val="Bullet"/>
        <w:numPr>
          <w:ilvl w:val="0"/>
          <w:numId w:val="14"/>
        </w:numPr>
        <w:spacing w:before="120" w:after="0"/>
        <w:ind w:left="360"/>
        <w:rPr>
          <w:sz w:val="20"/>
          <w:szCs w:val="20"/>
        </w:rPr>
      </w:pPr>
      <w:r w:rsidRPr="00EA1123">
        <w:rPr>
          <w:sz w:val="20"/>
          <w:szCs w:val="20"/>
        </w:rPr>
        <w:t>Continue to prioritise education and resources to support GPs and other prescribers in prescribing DAAs, managing patient care, and utilising available multidisciplinary referral pathways</w:t>
      </w:r>
    </w:p>
    <w:p w14:paraId="5F884AA0" w14:textId="77777777" w:rsidR="00F376C5" w:rsidRPr="00EA1123" w:rsidRDefault="00F376C5" w:rsidP="00DB37AD">
      <w:pPr>
        <w:pStyle w:val="Bullet"/>
        <w:numPr>
          <w:ilvl w:val="0"/>
          <w:numId w:val="14"/>
        </w:numPr>
        <w:spacing w:before="120" w:after="0"/>
        <w:ind w:left="360"/>
        <w:rPr>
          <w:sz w:val="20"/>
          <w:szCs w:val="20"/>
        </w:rPr>
      </w:pPr>
      <w:r w:rsidRPr="00EA1123">
        <w:rPr>
          <w:sz w:val="20"/>
          <w:szCs w:val="20"/>
        </w:rPr>
        <w:t xml:space="preserve">Support community organisations, the healthcare workforce and peer workers to increase their engagement with priority populations to improve health literacy and connection to care </w:t>
      </w:r>
    </w:p>
    <w:p w14:paraId="0AA3D4C3" w14:textId="77777777" w:rsidR="00F376C5" w:rsidRPr="00EA1123" w:rsidRDefault="00F376C5" w:rsidP="00DB37AD">
      <w:pPr>
        <w:pStyle w:val="Bullet"/>
        <w:numPr>
          <w:ilvl w:val="0"/>
          <w:numId w:val="14"/>
        </w:numPr>
        <w:spacing w:before="120" w:after="0"/>
        <w:ind w:left="360"/>
        <w:rPr>
          <w:iCs/>
          <w:sz w:val="20"/>
          <w:szCs w:val="20"/>
        </w:rPr>
      </w:pPr>
      <w:r w:rsidRPr="00EA1123">
        <w:rPr>
          <w:sz w:val="20"/>
          <w:szCs w:val="20"/>
        </w:rPr>
        <w:t xml:space="preserve">Facilitate and support the involvement of the primary care workforce in the early detection and treatment of hepatitis C, including access to remote support for those new to treating hepatitis C, upskilling and training, and other approaches </w:t>
      </w:r>
    </w:p>
    <w:p w14:paraId="4A260140" w14:textId="4A0274AF" w:rsidR="00F376C5" w:rsidRDefault="00F376C5" w:rsidP="00DB37AD">
      <w:pPr>
        <w:pStyle w:val="Bullet"/>
        <w:numPr>
          <w:ilvl w:val="0"/>
          <w:numId w:val="14"/>
        </w:numPr>
        <w:spacing w:before="120" w:after="0"/>
        <w:ind w:left="360"/>
        <w:rPr>
          <w:sz w:val="20"/>
          <w:szCs w:val="20"/>
        </w:rPr>
      </w:pPr>
      <w:r w:rsidRPr="00EA1123">
        <w:rPr>
          <w:sz w:val="20"/>
          <w:szCs w:val="20"/>
        </w:rPr>
        <w:t>Support the continued provision</w:t>
      </w:r>
      <w:r w:rsidR="00990739">
        <w:rPr>
          <w:sz w:val="20"/>
          <w:szCs w:val="20"/>
        </w:rPr>
        <w:t xml:space="preserve">, dissemination and maintenance </w:t>
      </w:r>
      <w:r w:rsidRPr="00EA1123">
        <w:rPr>
          <w:sz w:val="20"/>
          <w:szCs w:val="20"/>
        </w:rPr>
        <w:t xml:space="preserve">of evidence-based, responsive and accessible national </w:t>
      </w:r>
      <w:r w:rsidR="00505F35">
        <w:rPr>
          <w:sz w:val="20"/>
          <w:szCs w:val="20"/>
        </w:rPr>
        <w:t xml:space="preserve">clinical </w:t>
      </w:r>
      <w:r w:rsidRPr="00EA1123">
        <w:rPr>
          <w:sz w:val="20"/>
          <w:szCs w:val="20"/>
        </w:rPr>
        <w:t xml:space="preserve">guidelines and </w:t>
      </w:r>
      <w:r w:rsidR="00990739">
        <w:rPr>
          <w:sz w:val="20"/>
          <w:szCs w:val="20"/>
        </w:rPr>
        <w:t>other information resources on testing, treatment, care and support for people living with hepatitis C</w:t>
      </w:r>
      <w:r w:rsidR="00787B31">
        <w:rPr>
          <w:sz w:val="20"/>
          <w:szCs w:val="20"/>
        </w:rPr>
        <w:t xml:space="preserve"> that are </w:t>
      </w:r>
      <w:r w:rsidRPr="00EA1123">
        <w:rPr>
          <w:sz w:val="20"/>
          <w:szCs w:val="20"/>
        </w:rPr>
        <w:t>adapted to the needs of the workforce</w:t>
      </w:r>
    </w:p>
    <w:p w14:paraId="4BA284C3" w14:textId="5B432B0C" w:rsidR="00EA1123" w:rsidRPr="003B6624" w:rsidRDefault="00F376C5" w:rsidP="00444F45">
      <w:pPr>
        <w:pStyle w:val="Bullet"/>
        <w:numPr>
          <w:ilvl w:val="0"/>
          <w:numId w:val="14"/>
        </w:numPr>
        <w:spacing w:before="120" w:after="0"/>
        <w:ind w:left="360"/>
        <w:rPr>
          <w:b/>
          <w:color w:val="00264D"/>
          <w:sz w:val="22"/>
        </w:rPr>
      </w:pPr>
      <w:r w:rsidRPr="003B6624">
        <w:rPr>
          <w:sz w:val="20"/>
          <w:szCs w:val="20"/>
        </w:rPr>
        <w:t>Continue</w:t>
      </w:r>
      <w:r w:rsidRPr="003B6624">
        <w:rPr>
          <w:iCs/>
          <w:sz w:val="20"/>
          <w:szCs w:val="20"/>
        </w:rPr>
        <w:t xml:space="preserve"> to explore and share experiences of innovative models of care for hepatitis C prevention and management, particularly models for rural and remote areas and areas of workforce shortage</w:t>
      </w:r>
    </w:p>
    <w:p w14:paraId="34CC0302" w14:textId="77777777" w:rsidR="00F376C5" w:rsidRPr="00CE5B8B" w:rsidRDefault="00F376C5" w:rsidP="00F376C5">
      <w:pPr>
        <w:spacing w:before="120"/>
        <w:rPr>
          <w:b/>
          <w:color w:val="00264D"/>
          <w:sz w:val="22"/>
        </w:rPr>
      </w:pPr>
      <w:r w:rsidRPr="00CE5B8B">
        <w:rPr>
          <w:b/>
          <w:color w:val="00264D"/>
          <w:sz w:val="22"/>
        </w:rPr>
        <w:t>DATA, SURVEILLANCE, RESEARCH AND EVALUATION</w:t>
      </w:r>
    </w:p>
    <w:p w14:paraId="119C3939" w14:textId="77777777" w:rsidR="004C58E0" w:rsidRPr="003B6624" w:rsidRDefault="004C58E0" w:rsidP="00052776">
      <w:pPr>
        <w:pStyle w:val="CommentText"/>
        <w:numPr>
          <w:ilvl w:val="0"/>
          <w:numId w:val="19"/>
        </w:numPr>
        <w:rPr>
          <w:i/>
          <w:iCs/>
          <w:szCs w:val="19"/>
        </w:rPr>
      </w:pPr>
      <w:r w:rsidRPr="003B6624">
        <w:rPr>
          <w:i/>
          <w:szCs w:val="19"/>
        </w:rPr>
        <w:t>Continue to build a strong evidence base for responding to hepatitis C</w:t>
      </w:r>
      <w:r w:rsidR="00C31DBC" w:rsidRPr="003B6624">
        <w:rPr>
          <w:i/>
          <w:szCs w:val="19"/>
        </w:rPr>
        <w:t xml:space="preserve"> in Australia, informed by high</w:t>
      </w:r>
      <w:r w:rsidR="00C31DBC" w:rsidRPr="003B6624">
        <w:rPr>
          <w:i/>
          <w:szCs w:val="19"/>
        </w:rPr>
        <w:noBreakHyphen/>
      </w:r>
      <w:r w:rsidRPr="003B6624">
        <w:rPr>
          <w:i/>
          <w:szCs w:val="19"/>
        </w:rPr>
        <w:t>quality, timely data and surveillance systems that underpin evidence-based local and national responses</w:t>
      </w:r>
    </w:p>
    <w:p w14:paraId="314BFCDA" w14:textId="3AD76485" w:rsidR="00F376C5" w:rsidRPr="00EA1123" w:rsidRDefault="00F376C5" w:rsidP="00F376C5">
      <w:pPr>
        <w:rPr>
          <w:sz w:val="20"/>
          <w:szCs w:val="20"/>
        </w:rPr>
      </w:pPr>
      <w:r w:rsidRPr="00EA1123">
        <w:rPr>
          <w:sz w:val="20"/>
          <w:szCs w:val="20"/>
        </w:rPr>
        <w:t xml:space="preserve">Continuous improvement of </w:t>
      </w:r>
      <w:r w:rsidR="007F3B9C">
        <w:rPr>
          <w:sz w:val="20"/>
          <w:szCs w:val="20"/>
        </w:rPr>
        <w:t xml:space="preserve">data </w:t>
      </w:r>
      <w:r w:rsidRPr="00EA1123">
        <w:rPr>
          <w:sz w:val="20"/>
          <w:szCs w:val="20"/>
        </w:rPr>
        <w:t xml:space="preserve">collections and systems is important to support a comprehensive understanding </w:t>
      </w:r>
      <w:r w:rsidR="003B6624">
        <w:rPr>
          <w:sz w:val="20"/>
          <w:szCs w:val="20"/>
        </w:rPr>
        <w:t xml:space="preserve">of </w:t>
      </w:r>
      <w:r w:rsidRPr="00EA1123">
        <w:rPr>
          <w:sz w:val="20"/>
          <w:szCs w:val="20"/>
        </w:rPr>
        <w:t>the burden of BBV and STI in Australia and to monitor the impact</w:t>
      </w:r>
      <w:r w:rsidR="003B6624">
        <w:rPr>
          <w:sz w:val="20"/>
          <w:szCs w:val="20"/>
        </w:rPr>
        <w:t>s</w:t>
      </w:r>
      <w:r w:rsidRPr="00EA1123">
        <w:rPr>
          <w:sz w:val="20"/>
          <w:szCs w:val="20"/>
        </w:rPr>
        <w:t xml:space="preserve"> of interventions. However, this must be appropriately targeted to ensure its effective utility and balanced to avoid unnecessary burden for health services and </w:t>
      </w:r>
      <w:r w:rsidRPr="00787B31">
        <w:rPr>
          <w:sz w:val="20"/>
          <w:szCs w:val="20"/>
        </w:rPr>
        <w:t>frontline staff.</w:t>
      </w:r>
      <w:r w:rsidRPr="00EA1123">
        <w:rPr>
          <w:sz w:val="20"/>
          <w:szCs w:val="20"/>
        </w:rPr>
        <w:t xml:space="preserve">  </w:t>
      </w:r>
    </w:p>
    <w:p w14:paraId="4B2FF310" w14:textId="55659371" w:rsidR="00F376C5" w:rsidRPr="00EA1123" w:rsidRDefault="00F376C5" w:rsidP="00F376C5">
      <w:pPr>
        <w:rPr>
          <w:sz w:val="20"/>
          <w:szCs w:val="20"/>
        </w:rPr>
      </w:pPr>
      <w:r w:rsidRPr="00EA1123">
        <w:rPr>
          <w:sz w:val="20"/>
          <w:szCs w:val="20"/>
        </w:rPr>
        <w:t xml:space="preserve">There is a need to improve the timeliness and consistency of data collections across Australia to better support </w:t>
      </w:r>
      <w:r w:rsidR="00A96CE2">
        <w:rPr>
          <w:sz w:val="20"/>
          <w:szCs w:val="20"/>
        </w:rPr>
        <w:t xml:space="preserve">their </w:t>
      </w:r>
      <w:r w:rsidRPr="00EA1123">
        <w:rPr>
          <w:sz w:val="20"/>
          <w:szCs w:val="20"/>
        </w:rPr>
        <w:t>c</w:t>
      </w:r>
      <w:r w:rsidR="009F701B">
        <w:rPr>
          <w:sz w:val="20"/>
          <w:szCs w:val="20"/>
        </w:rPr>
        <w:t xml:space="preserve">ompleteness and comparability. </w:t>
      </w:r>
      <w:r w:rsidRPr="00EA1123">
        <w:rPr>
          <w:sz w:val="20"/>
          <w:szCs w:val="20"/>
        </w:rPr>
        <w:t xml:space="preserve">Opportunities to improve the granularity of data </w:t>
      </w:r>
      <w:r w:rsidR="005B5D08" w:rsidRPr="00EA1123">
        <w:rPr>
          <w:sz w:val="20"/>
          <w:szCs w:val="20"/>
        </w:rPr>
        <w:t xml:space="preserve">need to be explored </w:t>
      </w:r>
      <w:r w:rsidRPr="00EA1123">
        <w:rPr>
          <w:sz w:val="20"/>
          <w:szCs w:val="20"/>
        </w:rPr>
        <w:t xml:space="preserve">to better </w:t>
      </w:r>
      <w:r w:rsidR="00A96CE2">
        <w:rPr>
          <w:sz w:val="20"/>
          <w:szCs w:val="20"/>
        </w:rPr>
        <w:t xml:space="preserve">understand the true incidence and prevalence of hepatitis C and </w:t>
      </w:r>
      <w:r w:rsidRPr="00EA1123">
        <w:rPr>
          <w:sz w:val="20"/>
          <w:szCs w:val="20"/>
        </w:rPr>
        <w:t>identify trends and issues of concern in relation to specific priority</w:t>
      </w:r>
      <w:r w:rsidR="000C0A8B">
        <w:rPr>
          <w:sz w:val="20"/>
          <w:szCs w:val="20"/>
        </w:rPr>
        <w:t xml:space="preserve"> and sub-</w:t>
      </w:r>
      <w:r w:rsidRPr="00EA1123">
        <w:rPr>
          <w:sz w:val="20"/>
          <w:szCs w:val="20"/>
        </w:rPr>
        <w:t xml:space="preserve">populations and other demographics. Data on Aboriginal and Torres Strait Islander status and country of birth are important in informing the national response to hepatitis C for Aboriginal and Torres Strait Islander people and people </w:t>
      </w:r>
      <w:r w:rsidR="005B0F1C">
        <w:rPr>
          <w:sz w:val="20"/>
          <w:szCs w:val="20"/>
        </w:rPr>
        <w:t>from</w:t>
      </w:r>
      <w:r w:rsidR="00DE6BC9">
        <w:rPr>
          <w:sz w:val="20"/>
          <w:szCs w:val="20"/>
        </w:rPr>
        <w:t xml:space="preserve"> CALD </w:t>
      </w:r>
      <w:r w:rsidR="009F701B">
        <w:rPr>
          <w:sz w:val="20"/>
          <w:szCs w:val="20"/>
        </w:rPr>
        <w:t>backgrounds, respectively. A lack of high</w:t>
      </w:r>
      <w:r w:rsidR="003B6624">
        <w:rPr>
          <w:sz w:val="20"/>
          <w:szCs w:val="20"/>
        </w:rPr>
        <w:t>-</w:t>
      </w:r>
      <w:r w:rsidR="009F701B">
        <w:rPr>
          <w:sz w:val="20"/>
          <w:szCs w:val="20"/>
        </w:rPr>
        <w:t xml:space="preserve">quality data on the prevalence of hepatitis C among sex workers was identified by the previous strategy </w:t>
      </w:r>
      <w:r w:rsidR="007F3B9C">
        <w:rPr>
          <w:sz w:val="20"/>
          <w:szCs w:val="20"/>
        </w:rPr>
        <w:t>and still exists</w:t>
      </w:r>
      <w:r w:rsidR="009F701B">
        <w:rPr>
          <w:sz w:val="20"/>
          <w:szCs w:val="20"/>
        </w:rPr>
        <w:t>. Collection and analysis of this data on a national level remains fragmented</w:t>
      </w:r>
      <w:r w:rsidR="009F701B" w:rsidRPr="00DE6BC9">
        <w:rPr>
          <w:sz w:val="20"/>
          <w:szCs w:val="20"/>
        </w:rPr>
        <w:t xml:space="preserve">, and </w:t>
      </w:r>
      <w:r w:rsidR="003B6624" w:rsidRPr="00DE6BC9">
        <w:rPr>
          <w:sz w:val="20"/>
          <w:szCs w:val="20"/>
        </w:rPr>
        <w:t xml:space="preserve">it </w:t>
      </w:r>
      <w:r w:rsidR="0092070B" w:rsidRPr="00DE6BC9">
        <w:rPr>
          <w:sz w:val="20"/>
          <w:szCs w:val="20"/>
        </w:rPr>
        <w:t>is</w:t>
      </w:r>
      <w:r w:rsidR="009F701B">
        <w:rPr>
          <w:sz w:val="20"/>
          <w:szCs w:val="20"/>
        </w:rPr>
        <w:t xml:space="preserve"> an important focus </w:t>
      </w:r>
      <w:r w:rsidR="00E14AC9">
        <w:rPr>
          <w:sz w:val="20"/>
          <w:szCs w:val="20"/>
        </w:rPr>
        <w:t>in</w:t>
      </w:r>
      <w:r w:rsidR="009F701B">
        <w:rPr>
          <w:sz w:val="20"/>
          <w:szCs w:val="20"/>
        </w:rPr>
        <w:t xml:space="preserve"> th</w:t>
      </w:r>
      <w:r w:rsidR="00E14AC9">
        <w:rPr>
          <w:sz w:val="20"/>
          <w:szCs w:val="20"/>
        </w:rPr>
        <w:t>e implementation of this</w:t>
      </w:r>
      <w:r w:rsidR="009F701B">
        <w:rPr>
          <w:sz w:val="20"/>
          <w:szCs w:val="20"/>
        </w:rPr>
        <w:t xml:space="preserve"> strategy.</w:t>
      </w:r>
    </w:p>
    <w:p w14:paraId="098C8BAD" w14:textId="76ACC8D0" w:rsidR="00F376C5" w:rsidRPr="00EA1123" w:rsidRDefault="00F376C5" w:rsidP="00F376C5">
      <w:pPr>
        <w:rPr>
          <w:sz w:val="20"/>
          <w:szCs w:val="20"/>
        </w:rPr>
      </w:pPr>
      <w:r w:rsidRPr="00EA1123">
        <w:rPr>
          <w:sz w:val="20"/>
          <w:szCs w:val="20"/>
        </w:rPr>
        <w:t xml:space="preserve">Other areas for attention include the collection of data on stigma and discrimination and gender and sexuality, and opportunities for </w:t>
      </w:r>
      <w:r w:rsidRPr="00EA1123">
        <w:rPr>
          <w:iCs/>
          <w:sz w:val="20"/>
          <w:szCs w:val="20"/>
        </w:rPr>
        <w:t>greater involvement of community and peer-based organisations in surveillance given their strong know</w:t>
      </w:r>
      <w:r w:rsidR="00DD21CE">
        <w:rPr>
          <w:iCs/>
          <w:sz w:val="20"/>
          <w:szCs w:val="20"/>
        </w:rPr>
        <w:t xml:space="preserve">ledge of priority populations. Collection and analysis of data would also support a greater understanding of the burden and impact of hepatitis C in aged care settings in Australia and any challenges which could be addressed by future strategies. </w:t>
      </w:r>
      <w:r w:rsidR="002001E5">
        <w:rPr>
          <w:iCs/>
          <w:sz w:val="20"/>
          <w:szCs w:val="20"/>
        </w:rPr>
        <w:t xml:space="preserve">It is currently not possible to analyse data on the incidence of hepatitis </w:t>
      </w:r>
      <w:r w:rsidR="002001E5" w:rsidRPr="00DE6BC9">
        <w:rPr>
          <w:iCs/>
          <w:sz w:val="20"/>
          <w:szCs w:val="20"/>
        </w:rPr>
        <w:t>C reinfections</w:t>
      </w:r>
      <w:r w:rsidR="002001E5">
        <w:rPr>
          <w:iCs/>
          <w:sz w:val="20"/>
          <w:szCs w:val="20"/>
        </w:rPr>
        <w:t xml:space="preserve"> at a national level. </w:t>
      </w:r>
      <w:r w:rsidR="0092070B">
        <w:rPr>
          <w:iCs/>
          <w:sz w:val="20"/>
          <w:szCs w:val="20"/>
        </w:rPr>
        <w:t xml:space="preserve">Enabling and exploring data linkages would allow for this data to be collected and appropriate actions developed to minimise reinfection in priority populations in the future. </w:t>
      </w:r>
    </w:p>
    <w:p w14:paraId="6FD71DAC" w14:textId="5DA0CBE5" w:rsidR="00F376C5" w:rsidRPr="00EA1123" w:rsidRDefault="00F376C5" w:rsidP="00F376C5">
      <w:pPr>
        <w:rPr>
          <w:sz w:val="20"/>
          <w:szCs w:val="20"/>
        </w:rPr>
      </w:pPr>
      <w:r w:rsidRPr="00EA1123">
        <w:rPr>
          <w:sz w:val="20"/>
          <w:szCs w:val="20"/>
        </w:rPr>
        <w:lastRenderedPageBreak/>
        <w:t xml:space="preserve">Research guides the development, implementation and evaluation of policies and programs at all levels of the national response to hepatitis C. Social, behavioural, epidemiological, clinical and </w:t>
      </w:r>
      <w:r w:rsidRPr="00DE6BC9">
        <w:rPr>
          <w:sz w:val="20"/>
          <w:szCs w:val="20"/>
        </w:rPr>
        <w:t>basic research is important in</w:t>
      </w:r>
      <w:r w:rsidRPr="00EA1123">
        <w:rPr>
          <w:sz w:val="20"/>
          <w:szCs w:val="20"/>
        </w:rPr>
        <w:t xml:space="preserve"> developing a strong evidence base for mana</w:t>
      </w:r>
      <w:r w:rsidR="00505F35">
        <w:rPr>
          <w:sz w:val="20"/>
          <w:szCs w:val="20"/>
        </w:rPr>
        <w:t>ging and preventing BBV and STI</w:t>
      </w:r>
      <w:r w:rsidRPr="00EA1123">
        <w:rPr>
          <w:sz w:val="20"/>
          <w:szCs w:val="20"/>
        </w:rPr>
        <w:t xml:space="preserve"> in the community. Research is needed to more fully understand the impact of hepatitis C in priority populations and communities. It must be linked to the needs of affected communities, particularly people who inject or have injected drugs. </w:t>
      </w:r>
    </w:p>
    <w:p w14:paraId="2A9A47AC" w14:textId="7CBB0573" w:rsidR="00F376C5" w:rsidRPr="00EA1123" w:rsidRDefault="00F376C5" w:rsidP="00F376C5">
      <w:pPr>
        <w:rPr>
          <w:sz w:val="20"/>
          <w:szCs w:val="20"/>
        </w:rPr>
      </w:pPr>
      <w:r w:rsidRPr="00EA1123">
        <w:rPr>
          <w:sz w:val="20"/>
          <w:szCs w:val="20"/>
        </w:rPr>
        <w:t xml:space="preserve">Partnerships between research institutes, </w:t>
      </w:r>
      <w:r w:rsidR="00505F35">
        <w:rPr>
          <w:sz w:val="20"/>
          <w:szCs w:val="20"/>
        </w:rPr>
        <w:t>health professionals</w:t>
      </w:r>
      <w:r w:rsidRPr="00EA1123">
        <w:rPr>
          <w:sz w:val="20"/>
          <w:szCs w:val="20"/>
        </w:rPr>
        <w:t>, communi</w:t>
      </w:r>
      <w:r w:rsidR="00C31DBC">
        <w:rPr>
          <w:sz w:val="20"/>
          <w:szCs w:val="20"/>
        </w:rPr>
        <w:t>ty-based organisations and peer</w:t>
      </w:r>
      <w:r w:rsidR="00C31DBC">
        <w:rPr>
          <w:sz w:val="20"/>
          <w:szCs w:val="20"/>
        </w:rPr>
        <w:noBreakHyphen/>
      </w:r>
      <w:r w:rsidRPr="00EA1123">
        <w:rPr>
          <w:sz w:val="20"/>
          <w:szCs w:val="20"/>
        </w:rPr>
        <w:t>based organisations are valuable, as community-based organisations are often the first to identify changes in behaviours, social interactions and demographics of priority populations</w:t>
      </w:r>
      <w:r w:rsidR="00C92B10">
        <w:rPr>
          <w:sz w:val="20"/>
          <w:szCs w:val="20"/>
        </w:rPr>
        <w:t xml:space="preserve"> due to their direct contact with affected communities</w:t>
      </w:r>
      <w:r w:rsidRPr="00EA1123">
        <w:rPr>
          <w:sz w:val="20"/>
          <w:szCs w:val="20"/>
        </w:rPr>
        <w:t>.</w:t>
      </w:r>
    </w:p>
    <w:p w14:paraId="7BBC5272" w14:textId="77777777" w:rsidR="00F376C5" w:rsidRPr="00B3349F" w:rsidRDefault="00F376C5" w:rsidP="00F376C5">
      <w:pPr>
        <w:pStyle w:val="Bullet"/>
        <w:spacing w:before="120"/>
        <w:rPr>
          <w:rFonts w:ascii="Century Gothic" w:hAnsi="Century Gothic"/>
          <w:b/>
          <w:sz w:val="20"/>
          <w:szCs w:val="20"/>
        </w:rPr>
      </w:pPr>
      <w:r w:rsidRPr="00B3349F">
        <w:rPr>
          <w:rFonts w:cs="Segoe UI"/>
          <w:b/>
          <w:sz w:val="20"/>
          <w:szCs w:val="20"/>
        </w:rPr>
        <w:t>Key areas for action</w:t>
      </w:r>
      <w:r w:rsidRPr="00B3349F">
        <w:rPr>
          <w:rFonts w:ascii="Century Gothic" w:eastAsia="Calibri" w:hAnsi="Century Gothic"/>
          <w:b/>
          <w:sz w:val="20"/>
          <w:szCs w:val="20"/>
        </w:rPr>
        <w:t xml:space="preserve"> </w:t>
      </w:r>
    </w:p>
    <w:p w14:paraId="02B3CBC4" w14:textId="77777777" w:rsidR="00300855" w:rsidRPr="00DE6BC9" w:rsidRDefault="0056192A" w:rsidP="00300855">
      <w:pPr>
        <w:pStyle w:val="Bullet"/>
        <w:numPr>
          <w:ilvl w:val="0"/>
          <w:numId w:val="14"/>
        </w:numPr>
        <w:spacing w:before="120" w:after="0"/>
        <w:ind w:left="360"/>
        <w:rPr>
          <w:sz w:val="20"/>
          <w:szCs w:val="20"/>
        </w:rPr>
      </w:pPr>
      <w:r w:rsidRPr="00DE6BC9">
        <w:rPr>
          <w:sz w:val="20"/>
          <w:szCs w:val="20"/>
        </w:rPr>
        <w:t>Identify opportunities to improve the timeliness and consistency of data collections</w:t>
      </w:r>
    </w:p>
    <w:p w14:paraId="469CC47E" w14:textId="77777777" w:rsidR="000F16E0" w:rsidRDefault="00300855" w:rsidP="000F16E0">
      <w:pPr>
        <w:pStyle w:val="Bullet"/>
        <w:numPr>
          <w:ilvl w:val="0"/>
          <w:numId w:val="14"/>
        </w:numPr>
        <w:spacing w:before="120" w:after="0"/>
        <w:ind w:left="360"/>
        <w:rPr>
          <w:sz w:val="20"/>
          <w:szCs w:val="20"/>
        </w:rPr>
      </w:pPr>
      <w:r w:rsidRPr="00C92B10">
        <w:rPr>
          <w:sz w:val="20"/>
          <w:szCs w:val="20"/>
        </w:rPr>
        <w:t>Implement initiatives to improve data completeness of Aboriginal and Torres Strait Islander status and country of birth in clinical and pathology settings</w:t>
      </w:r>
      <w:r w:rsidR="0005187D" w:rsidRPr="00C92B10">
        <w:rPr>
          <w:sz w:val="20"/>
          <w:szCs w:val="20"/>
        </w:rPr>
        <w:t xml:space="preserve">; </w:t>
      </w:r>
      <w:r w:rsidR="0092070B">
        <w:rPr>
          <w:sz w:val="20"/>
          <w:szCs w:val="20"/>
        </w:rPr>
        <w:t xml:space="preserve">and </w:t>
      </w:r>
      <w:r w:rsidR="0005187D" w:rsidRPr="00C92B10">
        <w:rPr>
          <w:sz w:val="20"/>
          <w:szCs w:val="20"/>
        </w:rPr>
        <w:t xml:space="preserve">for collecting data on the </w:t>
      </w:r>
      <w:r w:rsidR="00C92B10">
        <w:rPr>
          <w:sz w:val="20"/>
          <w:szCs w:val="20"/>
        </w:rPr>
        <w:t>impact</w:t>
      </w:r>
      <w:r w:rsidR="0005187D" w:rsidRPr="00C92B10">
        <w:rPr>
          <w:sz w:val="20"/>
          <w:szCs w:val="20"/>
        </w:rPr>
        <w:t xml:space="preserve"> of hepatitis C </w:t>
      </w:r>
      <w:r w:rsidR="00C92B10">
        <w:rPr>
          <w:sz w:val="20"/>
          <w:szCs w:val="20"/>
        </w:rPr>
        <w:t xml:space="preserve">on </w:t>
      </w:r>
      <w:r w:rsidR="0005187D" w:rsidRPr="00C92B10">
        <w:rPr>
          <w:sz w:val="20"/>
          <w:szCs w:val="20"/>
        </w:rPr>
        <w:t>sex workers</w:t>
      </w:r>
      <w:r w:rsidR="00C92B10">
        <w:rPr>
          <w:sz w:val="20"/>
          <w:szCs w:val="20"/>
        </w:rPr>
        <w:t xml:space="preserve"> in Australia</w:t>
      </w:r>
    </w:p>
    <w:p w14:paraId="072AE8A6" w14:textId="77777777" w:rsidR="0092070B" w:rsidRPr="0092070B" w:rsidRDefault="0092070B" w:rsidP="0092070B">
      <w:pPr>
        <w:pStyle w:val="Bullet"/>
        <w:numPr>
          <w:ilvl w:val="0"/>
          <w:numId w:val="14"/>
        </w:numPr>
        <w:spacing w:before="120" w:after="0"/>
        <w:ind w:left="360"/>
        <w:rPr>
          <w:sz w:val="20"/>
          <w:szCs w:val="20"/>
        </w:rPr>
      </w:pPr>
      <w:r>
        <w:rPr>
          <w:sz w:val="20"/>
          <w:szCs w:val="20"/>
        </w:rPr>
        <w:t xml:space="preserve">Investigate </w:t>
      </w:r>
      <w:r w:rsidR="00A96CE2">
        <w:rPr>
          <w:sz w:val="20"/>
          <w:szCs w:val="20"/>
        </w:rPr>
        <w:t>opportunities to better measure incidence and prevalence of hepatitis C in the community, in</w:t>
      </w:r>
      <w:r w:rsidR="007A2826">
        <w:rPr>
          <w:sz w:val="20"/>
          <w:szCs w:val="20"/>
        </w:rPr>
        <w:t>cl</w:t>
      </w:r>
      <w:r w:rsidR="00A96CE2">
        <w:rPr>
          <w:sz w:val="20"/>
          <w:szCs w:val="20"/>
        </w:rPr>
        <w:t xml:space="preserve">uding </w:t>
      </w:r>
      <w:r>
        <w:rPr>
          <w:sz w:val="20"/>
          <w:szCs w:val="20"/>
        </w:rPr>
        <w:t>linkage of data on the incidence of reinfection</w:t>
      </w:r>
    </w:p>
    <w:p w14:paraId="142BEEBE" w14:textId="2DCD173F" w:rsidR="00C92B10" w:rsidRPr="00C92B10" w:rsidRDefault="0056192A" w:rsidP="00C92B10">
      <w:pPr>
        <w:pStyle w:val="Bullet"/>
        <w:numPr>
          <w:ilvl w:val="0"/>
          <w:numId w:val="14"/>
        </w:numPr>
        <w:spacing w:before="120" w:after="0"/>
        <w:ind w:left="360"/>
        <w:rPr>
          <w:sz w:val="20"/>
          <w:szCs w:val="20"/>
        </w:rPr>
      </w:pPr>
      <w:r w:rsidRPr="00300855">
        <w:rPr>
          <w:sz w:val="20"/>
          <w:szCs w:val="20"/>
        </w:rPr>
        <w:t xml:space="preserve">Identify gaps in surveillance data for measuring and monitoring the implementation of this </w:t>
      </w:r>
      <w:r w:rsidR="00DE6BC9">
        <w:rPr>
          <w:sz w:val="20"/>
          <w:szCs w:val="20"/>
        </w:rPr>
        <w:t>s</w:t>
      </w:r>
      <w:r w:rsidRPr="00300855">
        <w:rPr>
          <w:sz w:val="20"/>
          <w:szCs w:val="20"/>
        </w:rPr>
        <w:t>trategy and prioritise these for action</w:t>
      </w:r>
    </w:p>
    <w:p w14:paraId="7472989B" w14:textId="485CB7F8" w:rsidR="00300855" w:rsidRPr="00300855" w:rsidRDefault="00F376C5" w:rsidP="00300855">
      <w:pPr>
        <w:pStyle w:val="Bullet"/>
        <w:numPr>
          <w:ilvl w:val="0"/>
          <w:numId w:val="14"/>
        </w:numPr>
        <w:spacing w:before="120" w:after="0"/>
        <w:ind w:left="360"/>
        <w:rPr>
          <w:sz w:val="20"/>
          <w:szCs w:val="20"/>
        </w:rPr>
      </w:pPr>
      <w:r w:rsidRPr="00300855">
        <w:rPr>
          <w:sz w:val="20"/>
          <w:szCs w:val="20"/>
        </w:rPr>
        <w:t xml:space="preserve">Improve surveillance of issues </w:t>
      </w:r>
      <w:r w:rsidR="00B92B2C">
        <w:rPr>
          <w:sz w:val="20"/>
          <w:szCs w:val="20"/>
        </w:rPr>
        <w:t xml:space="preserve">that </w:t>
      </w:r>
      <w:r w:rsidRPr="00300855">
        <w:rPr>
          <w:sz w:val="20"/>
          <w:szCs w:val="20"/>
        </w:rPr>
        <w:t>impact</w:t>
      </w:r>
      <w:r w:rsidR="00B92B2C">
        <w:rPr>
          <w:sz w:val="20"/>
          <w:szCs w:val="20"/>
        </w:rPr>
        <w:t xml:space="preserve"> </w:t>
      </w:r>
      <w:r w:rsidRPr="00300855">
        <w:rPr>
          <w:sz w:val="20"/>
          <w:szCs w:val="20"/>
        </w:rPr>
        <w:t>people</w:t>
      </w:r>
      <w:r w:rsidR="00BA4AF7" w:rsidRPr="00300855">
        <w:rPr>
          <w:sz w:val="20"/>
          <w:szCs w:val="20"/>
        </w:rPr>
        <w:t xml:space="preserve"> living</w:t>
      </w:r>
      <w:r w:rsidRPr="00300855">
        <w:rPr>
          <w:sz w:val="20"/>
          <w:szCs w:val="20"/>
        </w:rPr>
        <w:t xml:space="preserve"> with hepatitis C,</w:t>
      </w:r>
      <w:r w:rsidRPr="00300855" w:rsidDel="0034159F">
        <w:rPr>
          <w:sz w:val="20"/>
          <w:szCs w:val="20"/>
        </w:rPr>
        <w:t xml:space="preserve"> </w:t>
      </w:r>
      <w:r w:rsidRPr="00300855">
        <w:rPr>
          <w:sz w:val="20"/>
          <w:szCs w:val="20"/>
        </w:rPr>
        <w:t>including stigma and discrimination and quality of life measures</w:t>
      </w:r>
    </w:p>
    <w:p w14:paraId="6B556B3E" w14:textId="77777777" w:rsidR="00300855" w:rsidRPr="00300855" w:rsidRDefault="00F376C5" w:rsidP="00300855">
      <w:pPr>
        <w:pStyle w:val="Bullet"/>
        <w:numPr>
          <w:ilvl w:val="0"/>
          <w:numId w:val="14"/>
        </w:numPr>
        <w:spacing w:before="120" w:after="0"/>
        <w:ind w:left="360"/>
        <w:rPr>
          <w:sz w:val="20"/>
          <w:szCs w:val="20"/>
        </w:rPr>
      </w:pPr>
      <w:r w:rsidRPr="00300855">
        <w:rPr>
          <w:sz w:val="20"/>
          <w:szCs w:val="20"/>
        </w:rPr>
        <w:t xml:space="preserve">Promote </w:t>
      </w:r>
      <w:r w:rsidR="00AE0B23">
        <w:rPr>
          <w:sz w:val="20"/>
          <w:szCs w:val="20"/>
        </w:rPr>
        <w:t xml:space="preserve">a </w:t>
      </w:r>
      <w:r w:rsidRPr="00300855">
        <w:rPr>
          <w:sz w:val="20"/>
          <w:szCs w:val="20"/>
        </w:rPr>
        <w:t xml:space="preserve">balance </w:t>
      </w:r>
      <w:r w:rsidR="00AE0B23">
        <w:rPr>
          <w:sz w:val="20"/>
          <w:szCs w:val="20"/>
        </w:rPr>
        <w:t>of</w:t>
      </w:r>
      <w:r w:rsidR="00AE0B23" w:rsidRPr="00300855">
        <w:rPr>
          <w:sz w:val="20"/>
          <w:szCs w:val="20"/>
        </w:rPr>
        <w:t xml:space="preserve"> </w:t>
      </w:r>
      <w:r w:rsidRPr="00300855">
        <w:rPr>
          <w:sz w:val="20"/>
          <w:szCs w:val="20"/>
        </w:rPr>
        <w:t>social, behavioural, epidemiological and clinical research to better inform all aspects of the response</w:t>
      </w:r>
    </w:p>
    <w:p w14:paraId="470009F5" w14:textId="280A8049" w:rsidR="0056192A" w:rsidRPr="00300855" w:rsidRDefault="0056192A" w:rsidP="00300855">
      <w:pPr>
        <w:pStyle w:val="Bullet"/>
        <w:numPr>
          <w:ilvl w:val="0"/>
          <w:numId w:val="14"/>
        </w:numPr>
        <w:spacing w:before="120" w:after="0"/>
        <w:ind w:left="360"/>
        <w:rPr>
          <w:sz w:val="20"/>
          <w:szCs w:val="20"/>
        </w:rPr>
      </w:pPr>
      <w:r w:rsidRPr="00300855">
        <w:rPr>
          <w:sz w:val="20"/>
          <w:szCs w:val="20"/>
        </w:rPr>
        <w:t xml:space="preserve">Ensure current and future programs and activities are evaluated to ensure linkage and alignment to the priority areas of this </w:t>
      </w:r>
      <w:r w:rsidR="00DE6BC9">
        <w:rPr>
          <w:sz w:val="20"/>
          <w:szCs w:val="20"/>
        </w:rPr>
        <w:t>s</w:t>
      </w:r>
      <w:r w:rsidRPr="00300855">
        <w:rPr>
          <w:sz w:val="20"/>
          <w:szCs w:val="20"/>
        </w:rPr>
        <w:t xml:space="preserve">trategy </w:t>
      </w:r>
    </w:p>
    <w:p w14:paraId="678ACD26" w14:textId="77777777" w:rsidR="0056192A" w:rsidRPr="0056192A" w:rsidRDefault="0056192A" w:rsidP="0056192A">
      <w:pPr>
        <w:pStyle w:val="Bullet"/>
        <w:spacing w:before="120" w:after="0"/>
        <w:ind w:left="720"/>
        <w:rPr>
          <w:iCs/>
          <w:sz w:val="20"/>
          <w:szCs w:val="20"/>
        </w:rPr>
      </w:pPr>
    </w:p>
    <w:p w14:paraId="52ED2024" w14:textId="77777777" w:rsidR="00B36D81" w:rsidRPr="00EA1123" w:rsidRDefault="00B36D81" w:rsidP="00240FC3">
      <w:pPr>
        <w:pStyle w:val="ListParagraph"/>
        <w:spacing w:before="120" w:after="0"/>
        <w:ind w:left="360"/>
        <w:contextualSpacing w:val="0"/>
        <w:rPr>
          <w:rFonts w:ascii="Segoe UI Semibold" w:eastAsia="Times New Roman" w:hAnsi="Segoe UI Semibold"/>
          <w:color w:val="00264D"/>
          <w:sz w:val="20"/>
          <w:szCs w:val="20"/>
          <w:highlight w:val="yellow"/>
          <w:lang w:eastAsia="en-AU"/>
        </w:rPr>
        <w:sectPr w:rsidR="00B36D81" w:rsidRPr="00EA1123" w:rsidSect="001B1996">
          <w:footnotePr>
            <w:numFmt w:val="lowerLetter"/>
          </w:footnotePr>
          <w:endnotePr>
            <w:numFmt w:val="decimal"/>
          </w:endnotePr>
          <w:pgSz w:w="11907" w:h="16839" w:code="9"/>
          <w:pgMar w:top="1440" w:right="1080" w:bottom="1440" w:left="1080" w:header="720" w:footer="720" w:gutter="0"/>
          <w:cols w:space="720"/>
          <w:docGrid w:linePitch="360"/>
        </w:sectPr>
      </w:pPr>
      <w:bookmarkStart w:id="30" w:name="_Toc496812137"/>
      <w:bookmarkStart w:id="31" w:name="_Toc497121091"/>
      <w:bookmarkEnd w:id="29"/>
    </w:p>
    <w:p w14:paraId="6DF6F026" w14:textId="35E8262B" w:rsidR="00A507E3" w:rsidRDefault="0004740F" w:rsidP="00FD57A9">
      <w:pPr>
        <w:pStyle w:val="Heading1"/>
      </w:pPr>
      <w:bookmarkStart w:id="32" w:name="_Toc496812141"/>
      <w:bookmarkStart w:id="33" w:name="_Toc500780673"/>
      <w:bookmarkStart w:id="34" w:name="_Ref508798799"/>
      <w:bookmarkStart w:id="35" w:name="_Toc529474519"/>
      <w:bookmarkEnd w:id="30"/>
      <w:bookmarkEnd w:id="31"/>
      <w:r>
        <w:lastRenderedPageBreak/>
        <w:t>8</w:t>
      </w:r>
      <w:r w:rsidR="00CE5B8B">
        <w:t xml:space="preserve"> </w:t>
      </w:r>
      <w:r w:rsidR="00A507E3">
        <w:t xml:space="preserve">Implementing this </w:t>
      </w:r>
      <w:r w:rsidR="009275A1">
        <w:t>s</w:t>
      </w:r>
      <w:r w:rsidR="00A507E3">
        <w:t>trategy</w:t>
      </w:r>
      <w:bookmarkEnd w:id="32"/>
      <w:bookmarkEnd w:id="33"/>
      <w:bookmarkEnd w:id="34"/>
      <w:bookmarkEnd w:id="35"/>
    </w:p>
    <w:p w14:paraId="3567D14D" w14:textId="77777777" w:rsidR="005E65C2" w:rsidRPr="00EA1123" w:rsidRDefault="005E65C2" w:rsidP="005E65C2">
      <w:pPr>
        <w:rPr>
          <w:b/>
          <w:color w:val="00264D"/>
          <w:sz w:val="20"/>
          <w:szCs w:val="20"/>
        </w:rPr>
      </w:pPr>
      <w:bookmarkStart w:id="36" w:name="_Toc499570305"/>
      <w:bookmarkStart w:id="37" w:name="_Toc494452686"/>
      <w:bookmarkStart w:id="38" w:name="_Toc495680009"/>
      <w:bookmarkStart w:id="39" w:name="_Toc495683167"/>
      <w:r w:rsidRPr="00EA1123">
        <w:rPr>
          <w:b/>
          <w:color w:val="00264D"/>
          <w:sz w:val="20"/>
          <w:szCs w:val="20"/>
        </w:rPr>
        <w:t>Leadership, partnership and connections to community</w:t>
      </w:r>
    </w:p>
    <w:p w14:paraId="6AD5353C" w14:textId="77777777" w:rsidR="005E65C2" w:rsidRPr="00EA1123" w:rsidRDefault="005E65C2" w:rsidP="005E65C2">
      <w:pPr>
        <w:rPr>
          <w:sz w:val="20"/>
          <w:szCs w:val="20"/>
          <w:lang w:eastAsia="en-AU"/>
        </w:rPr>
      </w:pPr>
      <w:r w:rsidRPr="00EA1123">
        <w:rPr>
          <w:sz w:val="20"/>
          <w:szCs w:val="20"/>
          <w:lang w:eastAsia="en-AU"/>
        </w:rPr>
        <w:t xml:space="preserve">Australia’s response to </w:t>
      </w:r>
      <w:r w:rsidR="004A4AF9" w:rsidRPr="00EA1123">
        <w:rPr>
          <w:sz w:val="20"/>
          <w:szCs w:val="20"/>
          <w:lang w:eastAsia="en-AU"/>
        </w:rPr>
        <w:t>hepatitis C</w:t>
      </w:r>
      <w:r w:rsidRPr="00EA1123">
        <w:rPr>
          <w:sz w:val="20"/>
          <w:szCs w:val="20"/>
          <w:lang w:eastAsia="en-AU"/>
        </w:rPr>
        <w:t xml:space="preserve"> is built on </w:t>
      </w:r>
      <w:r w:rsidR="000C0A8B">
        <w:rPr>
          <w:sz w:val="20"/>
          <w:szCs w:val="20"/>
          <w:lang w:eastAsia="en-AU"/>
        </w:rPr>
        <w:t>a model of</w:t>
      </w:r>
      <w:r w:rsidRPr="00EA1123">
        <w:rPr>
          <w:sz w:val="20"/>
          <w:szCs w:val="20"/>
          <w:lang w:eastAsia="en-AU"/>
        </w:rPr>
        <w:t xml:space="preserve"> partnership</w:t>
      </w:r>
      <w:r w:rsidR="00C92B10">
        <w:rPr>
          <w:sz w:val="20"/>
          <w:szCs w:val="20"/>
          <w:lang w:eastAsia="en-AU"/>
        </w:rPr>
        <w:t xml:space="preserve"> between government, community</w:t>
      </w:r>
      <w:r w:rsidR="00C92B10">
        <w:rPr>
          <w:sz w:val="20"/>
          <w:szCs w:val="20"/>
          <w:lang w:eastAsia="en-AU"/>
        </w:rPr>
        <w:noBreakHyphen/>
      </w:r>
      <w:r w:rsidRPr="00EA1123">
        <w:rPr>
          <w:sz w:val="20"/>
          <w:szCs w:val="20"/>
          <w:lang w:eastAsia="en-AU"/>
        </w:rPr>
        <w:t xml:space="preserve">based organisations, researchers, health professionals and priority populations. The partnership approach depends on clear leadership roles and accountabilities for all involved. </w:t>
      </w:r>
    </w:p>
    <w:p w14:paraId="10683CD4" w14:textId="28DB7A69" w:rsidR="005E65C2" w:rsidRPr="00EA1123" w:rsidRDefault="005E65C2" w:rsidP="005E65C2">
      <w:pPr>
        <w:rPr>
          <w:sz w:val="20"/>
          <w:szCs w:val="20"/>
          <w:lang w:eastAsia="en-AU"/>
        </w:rPr>
      </w:pPr>
      <w:r w:rsidRPr="00EA1123">
        <w:rPr>
          <w:sz w:val="20"/>
          <w:szCs w:val="20"/>
          <w:lang w:eastAsia="en-AU"/>
        </w:rPr>
        <w:t xml:space="preserve">The Australian Government is committed to providing strong national leadership by working across portfolios and jurisdictions to achieve the goals of this </w:t>
      </w:r>
      <w:r w:rsidR="005C7F1D">
        <w:rPr>
          <w:sz w:val="20"/>
          <w:szCs w:val="20"/>
          <w:lang w:eastAsia="en-AU"/>
        </w:rPr>
        <w:t>s</w:t>
      </w:r>
      <w:r w:rsidRPr="00EA1123">
        <w:rPr>
          <w:sz w:val="20"/>
          <w:szCs w:val="20"/>
          <w:lang w:eastAsia="en-AU"/>
        </w:rPr>
        <w:t xml:space="preserve">trategy. </w:t>
      </w:r>
      <w:r w:rsidR="004A4AF9" w:rsidRPr="00EA1123">
        <w:rPr>
          <w:sz w:val="20"/>
          <w:szCs w:val="20"/>
          <w:lang w:eastAsia="en-AU"/>
        </w:rPr>
        <w:t xml:space="preserve">The Australian Government Department of Health leads the coordination of the national response to </w:t>
      </w:r>
      <w:r w:rsidR="00901AF8">
        <w:rPr>
          <w:sz w:val="20"/>
          <w:szCs w:val="20"/>
          <w:lang w:eastAsia="en-AU"/>
        </w:rPr>
        <w:t>h</w:t>
      </w:r>
      <w:r w:rsidR="004A4AF9" w:rsidRPr="00EA1123">
        <w:rPr>
          <w:sz w:val="20"/>
          <w:szCs w:val="20"/>
          <w:lang w:eastAsia="en-AU"/>
        </w:rPr>
        <w:t xml:space="preserve">epatitis C under the National Hepatitis C Strategy. </w:t>
      </w:r>
      <w:r w:rsidR="00901AF8">
        <w:rPr>
          <w:sz w:val="20"/>
          <w:szCs w:val="20"/>
          <w:lang w:eastAsia="en-AU"/>
        </w:rPr>
        <w:t>However, t</w:t>
      </w:r>
      <w:r w:rsidRPr="00EA1123">
        <w:rPr>
          <w:sz w:val="20"/>
          <w:szCs w:val="20"/>
          <w:lang w:eastAsia="en-AU"/>
        </w:rPr>
        <w:t xml:space="preserve">he success of </w:t>
      </w:r>
      <w:r w:rsidRPr="005C7F1D">
        <w:rPr>
          <w:sz w:val="20"/>
          <w:szCs w:val="20"/>
          <w:lang w:eastAsia="en-AU"/>
        </w:rPr>
        <w:t>th</w:t>
      </w:r>
      <w:r w:rsidR="005C7F1D" w:rsidRPr="005C7F1D">
        <w:rPr>
          <w:sz w:val="20"/>
          <w:szCs w:val="20"/>
          <w:lang w:eastAsia="en-AU"/>
        </w:rPr>
        <w:t>is</w:t>
      </w:r>
      <w:r w:rsidRPr="005C7F1D">
        <w:rPr>
          <w:sz w:val="20"/>
          <w:szCs w:val="20"/>
          <w:lang w:eastAsia="en-AU"/>
        </w:rPr>
        <w:t xml:space="preserve"> </w:t>
      </w:r>
      <w:r w:rsidR="005C7F1D" w:rsidRPr="005C7F1D">
        <w:rPr>
          <w:sz w:val="20"/>
          <w:szCs w:val="20"/>
          <w:lang w:eastAsia="en-AU"/>
        </w:rPr>
        <w:t>s</w:t>
      </w:r>
      <w:r w:rsidRPr="005C7F1D">
        <w:rPr>
          <w:sz w:val="20"/>
          <w:szCs w:val="20"/>
          <w:lang w:eastAsia="en-AU"/>
        </w:rPr>
        <w:t>tra</w:t>
      </w:r>
      <w:r w:rsidR="000C0A8B" w:rsidRPr="005C7F1D">
        <w:rPr>
          <w:sz w:val="20"/>
          <w:szCs w:val="20"/>
          <w:lang w:eastAsia="en-AU"/>
        </w:rPr>
        <w:t>tegy</w:t>
      </w:r>
      <w:r w:rsidR="000C0A8B">
        <w:rPr>
          <w:sz w:val="20"/>
          <w:szCs w:val="20"/>
          <w:lang w:eastAsia="en-AU"/>
        </w:rPr>
        <w:t xml:space="preserve"> is contingent on productive </w:t>
      </w:r>
      <w:r w:rsidRPr="00EA1123">
        <w:rPr>
          <w:sz w:val="20"/>
          <w:szCs w:val="20"/>
          <w:lang w:eastAsia="en-AU"/>
        </w:rPr>
        <w:t>partnership</w:t>
      </w:r>
      <w:r w:rsidR="00C772E0">
        <w:rPr>
          <w:sz w:val="20"/>
          <w:szCs w:val="20"/>
          <w:lang w:eastAsia="en-AU"/>
        </w:rPr>
        <w:t>s</w:t>
      </w:r>
      <w:r w:rsidRPr="00EA1123">
        <w:rPr>
          <w:sz w:val="20"/>
          <w:szCs w:val="20"/>
          <w:lang w:eastAsia="en-AU"/>
        </w:rPr>
        <w:t xml:space="preserve"> </w:t>
      </w:r>
      <w:r w:rsidR="00C772E0">
        <w:rPr>
          <w:sz w:val="20"/>
          <w:szCs w:val="20"/>
          <w:lang w:eastAsia="en-AU"/>
        </w:rPr>
        <w:t>between</w:t>
      </w:r>
      <w:r w:rsidRPr="00EA1123">
        <w:rPr>
          <w:sz w:val="20"/>
          <w:szCs w:val="20"/>
          <w:lang w:eastAsia="en-AU"/>
        </w:rPr>
        <w:t xml:space="preserve"> </w:t>
      </w:r>
      <w:r w:rsidR="00901AF8">
        <w:rPr>
          <w:sz w:val="20"/>
          <w:szCs w:val="20"/>
          <w:lang w:eastAsia="en-AU"/>
        </w:rPr>
        <w:t>Australian</w:t>
      </w:r>
      <w:r w:rsidRPr="00EA1123">
        <w:rPr>
          <w:sz w:val="20"/>
          <w:szCs w:val="20"/>
          <w:lang w:eastAsia="en-AU"/>
        </w:rPr>
        <w:t xml:space="preserve">, </w:t>
      </w:r>
      <w:r w:rsidR="00901AF8">
        <w:rPr>
          <w:sz w:val="20"/>
          <w:szCs w:val="20"/>
          <w:lang w:eastAsia="en-AU"/>
        </w:rPr>
        <w:t>s</w:t>
      </w:r>
      <w:r w:rsidRPr="00C772E0">
        <w:rPr>
          <w:sz w:val="20"/>
          <w:szCs w:val="20"/>
          <w:lang w:eastAsia="en-AU"/>
        </w:rPr>
        <w:t xml:space="preserve">tate and </w:t>
      </w:r>
      <w:r w:rsidR="00901AF8">
        <w:rPr>
          <w:sz w:val="20"/>
          <w:szCs w:val="20"/>
          <w:lang w:eastAsia="en-AU"/>
        </w:rPr>
        <w:t>t</w:t>
      </w:r>
      <w:r w:rsidRPr="00C772E0">
        <w:rPr>
          <w:sz w:val="20"/>
          <w:szCs w:val="20"/>
          <w:lang w:eastAsia="en-AU"/>
        </w:rPr>
        <w:t xml:space="preserve">erritory </w:t>
      </w:r>
      <w:r w:rsidR="00901AF8">
        <w:rPr>
          <w:sz w:val="20"/>
          <w:szCs w:val="20"/>
          <w:lang w:eastAsia="en-AU"/>
        </w:rPr>
        <w:t>g</w:t>
      </w:r>
      <w:r w:rsidRPr="00C772E0">
        <w:rPr>
          <w:sz w:val="20"/>
          <w:szCs w:val="20"/>
          <w:lang w:eastAsia="en-AU"/>
        </w:rPr>
        <w:t xml:space="preserve">overnments and </w:t>
      </w:r>
      <w:r w:rsidR="00505F35" w:rsidRPr="00C772E0">
        <w:rPr>
          <w:sz w:val="20"/>
          <w:szCs w:val="20"/>
          <w:lang w:eastAsia="en-AU"/>
        </w:rPr>
        <w:t>partners,</w:t>
      </w:r>
      <w:r w:rsidR="00505F35">
        <w:rPr>
          <w:sz w:val="20"/>
          <w:szCs w:val="20"/>
          <w:lang w:eastAsia="en-AU"/>
        </w:rPr>
        <w:t xml:space="preserve"> including peak organisations</w:t>
      </w:r>
      <w:r w:rsidRPr="00EA1123">
        <w:rPr>
          <w:sz w:val="20"/>
          <w:szCs w:val="20"/>
          <w:lang w:eastAsia="en-AU"/>
        </w:rPr>
        <w:t xml:space="preserve"> representing </w:t>
      </w:r>
      <w:r w:rsidR="00C772E0">
        <w:rPr>
          <w:sz w:val="20"/>
          <w:szCs w:val="20"/>
          <w:lang w:eastAsia="en-AU"/>
        </w:rPr>
        <w:t>communities</w:t>
      </w:r>
      <w:r w:rsidRPr="00EA1123">
        <w:rPr>
          <w:sz w:val="20"/>
          <w:szCs w:val="20"/>
          <w:lang w:eastAsia="en-AU"/>
        </w:rPr>
        <w:t xml:space="preserve">, </w:t>
      </w:r>
      <w:r w:rsidR="00D937BD">
        <w:rPr>
          <w:sz w:val="20"/>
          <w:szCs w:val="20"/>
          <w:lang w:eastAsia="en-AU"/>
        </w:rPr>
        <w:t>health professionals</w:t>
      </w:r>
      <w:r w:rsidRPr="00EA1123">
        <w:rPr>
          <w:sz w:val="20"/>
          <w:szCs w:val="20"/>
          <w:lang w:eastAsia="en-AU"/>
        </w:rPr>
        <w:t>, researchers and others.</w:t>
      </w:r>
      <w:r w:rsidR="000F5FDD">
        <w:rPr>
          <w:sz w:val="20"/>
          <w:szCs w:val="20"/>
          <w:lang w:eastAsia="en-AU"/>
        </w:rPr>
        <w:t xml:space="preserve"> In the case of research </w:t>
      </w:r>
      <w:r w:rsidR="005C7F1D">
        <w:rPr>
          <w:sz w:val="20"/>
          <w:szCs w:val="20"/>
          <w:lang w:eastAsia="en-AU"/>
        </w:rPr>
        <w:t xml:space="preserve">on </w:t>
      </w:r>
      <w:r w:rsidR="000F5FDD">
        <w:rPr>
          <w:sz w:val="20"/>
          <w:szCs w:val="20"/>
          <w:lang w:eastAsia="en-AU"/>
        </w:rPr>
        <w:t>BBV and STI, it is imperative that this</w:t>
      </w:r>
      <w:r w:rsidRPr="00EA1123">
        <w:rPr>
          <w:sz w:val="20"/>
          <w:szCs w:val="20"/>
          <w:lang w:eastAsia="en-AU"/>
        </w:rPr>
        <w:t xml:space="preserve"> </w:t>
      </w:r>
      <w:r w:rsidR="000F5FDD">
        <w:rPr>
          <w:sz w:val="20"/>
          <w:szCs w:val="20"/>
        </w:rPr>
        <w:t xml:space="preserve">is conducted in partnership with communities and aligned with the priorities of the national strategies. </w:t>
      </w:r>
    </w:p>
    <w:p w14:paraId="09F25893" w14:textId="202811B8" w:rsidR="00C92B10" w:rsidRDefault="005E65C2" w:rsidP="00E004CD">
      <w:pPr>
        <w:rPr>
          <w:sz w:val="20"/>
          <w:szCs w:val="20"/>
          <w:lang w:eastAsia="en-AU"/>
        </w:rPr>
      </w:pPr>
      <w:r w:rsidRPr="00EA1123">
        <w:rPr>
          <w:sz w:val="20"/>
          <w:szCs w:val="20"/>
          <w:lang w:eastAsia="en-AU"/>
        </w:rPr>
        <w:t xml:space="preserve">National </w:t>
      </w:r>
      <w:r w:rsidR="00C772E0">
        <w:rPr>
          <w:sz w:val="20"/>
          <w:szCs w:val="20"/>
          <w:lang w:eastAsia="en-AU"/>
        </w:rPr>
        <w:t xml:space="preserve">community </w:t>
      </w:r>
      <w:r w:rsidR="00FA3EF6">
        <w:rPr>
          <w:sz w:val="20"/>
          <w:szCs w:val="20"/>
          <w:lang w:eastAsia="en-AU"/>
        </w:rPr>
        <w:t xml:space="preserve">and health </w:t>
      </w:r>
      <w:r w:rsidRPr="00EA1123">
        <w:rPr>
          <w:sz w:val="20"/>
          <w:szCs w:val="20"/>
          <w:lang w:eastAsia="en-AU"/>
        </w:rPr>
        <w:t xml:space="preserve">peak </w:t>
      </w:r>
      <w:r w:rsidR="00FA3EF6">
        <w:rPr>
          <w:sz w:val="20"/>
          <w:szCs w:val="20"/>
          <w:lang w:eastAsia="en-AU"/>
        </w:rPr>
        <w:t>organisations</w:t>
      </w:r>
      <w:r w:rsidR="00397C61">
        <w:rPr>
          <w:sz w:val="20"/>
          <w:szCs w:val="20"/>
          <w:lang w:eastAsia="en-AU"/>
        </w:rPr>
        <w:t>, and other organisations,</w:t>
      </w:r>
      <w:r w:rsidR="00FA3EF6">
        <w:rPr>
          <w:sz w:val="20"/>
          <w:szCs w:val="20"/>
          <w:lang w:eastAsia="en-AU"/>
        </w:rPr>
        <w:t xml:space="preserve"> </w:t>
      </w:r>
      <w:r w:rsidRPr="00EA1123">
        <w:rPr>
          <w:sz w:val="20"/>
          <w:szCs w:val="20"/>
          <w:lang w:eastAsia="en-AU"/>
        </w:rPr>
        <w:t xml:space="preserve">representing priority populations </w:t>
      </w:r>
      <w:r w:rsidR="00D00056">
        <w:rPr>
          <w:sz w:val="20"/>
          <w:szCs w:val="20"/>
          <w:lang w:eastAsia="en-AU"/>
        </w:rPr>
        <w:t>and</w:t>
      </w:r>
      <w:r w:rsidRPr="00EA1123">
        <w:rPr>
          <w:sz w:val="20"/>
          <w:szCs w:val="20"/>
          <w:lang w:eastAsia="en-AU"/>
        </w:rPr>
        <w:t xml:space="preserve"> the clinical workforce re</w:t>
      </w:r>
      <w:r w:rsidR="003C54DE" w:rsidRPr="00EA1123">
        <w:rPr>
          <w:sz w:val="20"/>
          <w:szCs w:val="20"/>
          <w:lang w:eastAsia="en-AU"/>
        </w:rPr>
        <w:t>main at the forefront of the</w:t>
      </w:r>
      <w:r w:rsidRPr="00EA1123">
        <w:rPr>
          <w:sz w:val="20"/>
          <w:szCs w:val="20"/>
          <w:lang w:eastAsia="en-AU"/>
        </w:rPr>
        <w:t xml:space="preserve"> response </w:t>
      </w:r>
      <w:r w:rsidR="003C54DE" w:rsidRPr="00EA1123">
        <w:rPr>
          <w:sz w:val="20"/>
          <w:szCs w:val="20"/>
          <w:lang w:eastAsia="en-AU"/>
        </w:rPr>
        <w:t xml:space="preserve">to hepatitis C </w:t>
      </w:r>
      <w:r w:rsidRPr="00EA1123">
        <w:rPr>
          <w:sz w:val="20"/>
          <w:szCs w:val="20"/>
          <w:lang w:eastAsia="en-AU"/>
        </w:rPr>
        <w:t xml:space="preserve">in Australia. </w:t>
      </w:r>
      <w:r w:rsidR="00DD2EB6" w:rsidRPr="00EA1123">
        <w:rPr>
          <w:sz w:val="20"/>
          <w:szCs w:val="20"/>
          <w:lang w:eastAsia="en-AU"/>
        </w:rPr>
        <w:t>O</w:t>
      </w:r>
      <w:r w:rsidRPr="00EA1123">
        <w:rPr>
          <w:sz w:val="20"/>
          <w:szCs w:val="20"/>
          <w:lang w:eastAsia="en-AU"/>
        </w:rPr>
        <w:t>rganisations</w:t>
      </w:r>
      <w:r w:rsidR="00DD2EB6" w:rsidRPr="00EA1123">
        <w:rPr>
          <w:sz w:val="20"/>
          <w:szCs w:val="20"/>
          <w:lang w:eastAsia="en-AU"/>
        </w:rPr>
        <w:t xml:space="preserve"> including</w:t>
      </w:r>
      <w:r w:rsidRPr="00EA1123">
        <w:rPr>
          <w:sz w:val="20"/>
          <w:szCs w:val="20"/>
          <w:lang w:eastAsia="en-AU"/>
        </w:rPr>
        <w:t xml:space="preserve"> </w:t>
      </w:r>
      <w:r w:rsidR="003C54DE" w:rsidRPr="00EA1123">
        <w:rPr>
          <w:sz w:val="20"/>
          <w:szCs w:val="20"/>
          <w:lang w:eastAsia="en-AU"/>
        </w:rPr>
        <w:t>Hepatitis Australia</w:t>
      </w:r>
      <w:r w:rsidR="00E648A1" w:rsidRPr="00EA1123">
        <w:rPr>
          <w:sz w:val="20"/>
          <w:szCs w:val="20"/>
          <w:lang w:eastAsia="en-AU"/>
        </w:rPr>
        <w:t xml:space="preserve"> and</w:t>
      </w:r>
      <w:r w:rsidR="003C54DE" w:rsidRPr="00EA1123">
        <w:rPr>
          <w:sz w:val="20"/>
          <w:szCs w:val="20"/>
          <w:lang w:eastAsia="en-AU"/>
        </w:rPr>
        <w:t xml:space="preserve"> </w:t>
      </w:r>
      <w:r w:rsidRPr="00EA1123">
        <w:rPr>
          <w:sz w:val="20"/>
          <w:szCs w:val="20"/>
          <w:lang w:eastAsia="en-AU"/>
        </w:rPr>
        <w:t xml:space="preserve">the Australian Injecting and Illicit Drug Users League, </w:t>
      </w:r>
      <w:r w:rsidR="00E648A1" w:rsidRPr="00EA1123">
        <w:rPr>
          <w:sz w:val="20"/>
          <w:szCs w:val="20"/>
          <w:lang w:eastAsia="en-AU"/>
        </w:rPr>
        <w:t xml:space="preserve">along with </w:t>
      </w:r>
      <w:r w:rsidRPr="00EA1123">
        <w:rPr>
          <w:sz w:val="20"/>
          <w:szCs w:val="20"/>
          <w:lang w:eastAsia="en-AU"/>
        </w:rPr>
        <w:t>the Australasian Society for HIV, Viral Hepatitis and Sexual Health Medicine</w:t>
      </w:r>
      <w:r w:rsidR="00DE6BC9">
        <w:rPr>
          <w:sz w:val="20"/>
          <w:szCs w:val="20"/>
          <w:lang w:eastAsia="en-AU"/>
        </w:rPr>
        <w:t>;</w:t>
      </w:r>
      <w:r w:rsidR="00344C24">
        <w:rPr>
          <w:sz w:val="20"/>
          <w:szCs w:val="20"/>
          <w:lang w:eastAsia="en-AU"/>
        </w:rPr>
        <w:t xml:space="preserve"> </w:t>
      </w:r>
      <w:r w:rsidR="00E648A1" w:rsidRPr="00EA1123">
        <w:rPr>
          <w:sz w:val="20"/>
          <w:szCs w:val="20"/>
          <w:lang w:eastAsia="en-AU"/>
        </w:rPr>
        <w:t>Scarlet Alliance</w:t>
      </w:r>
      <w:r w:rsidR="000C0A8B">
        <w:rPr>
          <w:sz w:val="20"/>
          <w:szCs w:val="20"/>
          <w:lang w:eastAsia="en-AU"/>
        </w:rPr>
        <w:t>, Australian Sex Workers Association</w:t>
      </w:r>
      <w:r w:rsidR="00DE6BC9">
        <w:rPr>
          <w:sz w:val="20"/>
          <w:szCs w:val="20"/>
          <w:lang w:eastAsia="en-AU"/>
        </w:rPr>
        <w:t>;</w:t>
      </w:r>
      <w:r w:rsidR="008A706C">
        <w:rPr>
          <w:sz w:val="20"/>
          <w:szCs w:val="20"/>
          <w:lang w:eastAsia="en-AU"/>
        </w:rPr>
        <w:t xml:space="preserve"> </w:t>
      </w:r>
      <w:r w:rsidR="00AE0B23">
        <w:rPr>
          <w:sz w:val="20"/>
          <w:szCs w:val="20"/>
          <w:lang w:eastAsia="en-AU"/>
        </w:rPr>
        <w:t>the Gastroenterological Society of Australia</w:t>
      </w:r>
      <w:r w:rsidR="00DE6BC9">
        <w:rPr>
          <w:sz w:val="20"/>
          <w:szCs w:val="20"/>
          <w:lang w:eastAsia="en-AU"/>
        </w:rPr>
        <w:t>;</w:t>
      </w:r>
      <w:r w:rsidR="00AE0B23">
        <w:rPr>
          <w:sz w:val="20"/>
          <w:szCs w:val="20"/>
          <w:lang w:eastAsia="en-AU"/>
        </w:rPr>
        <w:t xml:space="preserve"> Australian Liver Association</w:t>
      </w:r>
      <w:r w:rsidR="00DE6BC9">
        <w:rPr>
          <w:sz w:val="20"/>
          <w:szCs w:val="20"/>
          <w:lang w:eastAsia="en-AU"/>
        </w:rPr>
        <w:t>;</w:t>
      </w:r>
      <w:r w:rsidR="00AE0B23">
        <w:rPr>
          <w:sz w:val="20"/>
          <w:szCs w:val="20"/>
          <w:lang w:eastAsia="en-AU"/>
        </w:rPr>
        <w:t xml:space="preserve"> Australasian Society for Infectious Diseases</w:t>
      </w:r>
      <w:r w:rsidR="00DE6BC9">
        <w:rPr>
          <w:sz w:val="20"/>
          <w:szCs w:val="20"/>
          <w:lang w:eastAsia="en-AU"/>
        </w:rPr>
        <w:t>;</w:t>
      </w:r>
      <w:r w:rsidR="00AE0B23">
        <w:rPr>
          <w:sz w:val="20"/>
          <w:szCs w:val="20"/>
          <w:lang w:eastAsia="en-AU"/>
        </w:rPr>
        <w:t xml:space="preserve"> and the </w:t>
      </w:r>
      <w:r w:rsidR="00AE0B23" w:rsidRPr="00DE6BC9">
        <w:rPr>
          <w:sz w:val="20"/>
          <w:szCs w:val="20"/>
          <w:lang w:eastAsia="en-AU"/>
        </w:rPr>
        <w:t>Australasian Hepatology Association</w:t>
      </w:r>
      <w:r w:rsidR="00D937BD" w:rsidRPr="00DE6BC9">
        <w:rPr>
          <w:sz w:val="20"/>
          <w:szCs w:val="20"/>
          <w:lang w:eastAsia="en-AU"/>
        </w:rPr>
        <w:t>, and the relationship these organisations have with their members,</w:t>
      </w:r>
      <w:r w:rsidR="00AE0B23" w:rsidRPr="00DE6BC9">
        <w:rPr>
          <w:sz w:val="20"/>
          <w:szCs w:val="20"/>
          <w:lang w:eastAsia="en-AU"/>
        </w:rPr>
        <w:t xml:space="preserve"> </w:t>
      </w:r>
      <w:r w:rsidRPr="00DE6BC9">
        <w:rPr>
          <w:sz w:val="20"/>
          <w:szCs w:val="20"/>
          <w:lang w:eastAsia="en-AU"/>
        </w:rPr>
        <w:t>have</w:t>
      </w:r>
      <w:r w:rsidRPr="00EA1123">
        <w:rPr>
          <w:sz w:val="20"/>
          <w:szCs w:val="20"/>
          <w:lang w:eastAsia="en-AU"/>
        </w:rPr>
        <w:t xml:space="preserve"> a critical role to play in the implementation of this </w:t>
      </w:r>
      <w:r w:rsidR="005C7F1D">
        <w:rPr>
          <w:sz w:val="20"/>
          <w:szCs w:val="20"/>
          <w:lang w:eastAsia="en-AU"/>
        </w:rPr>
        <w:t>s</w:t>
      </w:r>
      <w:r w:rsidRPr="00EA1123">
        <w:rPr>
          <w:sz w:val="20"/>
          <w:szCs w:val="20"/>
          <w:lang w:eastAsia="en-AU"/>
        </w:rPr>
        <w:t xml:space="preserve">trategy. </w:t>
      </w:r>
    </w:p>
    <w:p w14:paraId="313CC4CA" w14:textId="3C3C7EC9" w:rsidR="00E004CD" w:rsidRPr="00EA1123" w:rsidRDefault="00E004CD" w:rsidP="00E004CD">
      <w:pPr>
        <w:rPr>
          <w:b/>
          <w:color w:val="00264D"/>
          <w:sz w:val="20"/>
          <w:szCs w:val="20"/>
        </w:rPr>
      </w:pPr>
      <w:r w:rsidRPr="00EA1123">
        <w:rPr>
          <w:b/>
          <w:color w:val="00264D"/>
          <w:sz w:val="20"/>
          <w:szCs w:val="20"/>
        </w:rPr>
        <w:t xml:space="preserve">Action </w:t>
      </w:r>
      <w:r w:rsidR="00901AF8">
        <w:rPr>
          <w:b/>
          <w:color w:val="00264D"/>
          <w:sz w:val="20"/>
          <w:szCs w:val="20"/>
        </w:rPr>
        <w:t>p</w:t>
      </w:r>
      <w:r w:rsidRPr="00EA1123">
        <w:rPr>
          <w:b/>
          <w:color w:val="00264D"/>
          <w:sz w:val="20"/>
          <w:szCs w:val="20"/>
        </w:rPr>
        <w:t>lan</w:t>
      </w:r>
    </w:p>
    <w:p w14:paraId="03563481" w14:textId="4F87FF44" w:rsidR="00E004CD" w:rsidRPr="00EA1123" w:rsidRDefault="00E004CD" w:rsidP="00E004CD">
      <w:pPr>
        <w:rPr>
          <w:sz w:val="20"/>
          <w:szCs w:val="20"/>
          <w:lang w:eastAsia="en-AU"/>
        </w:rPr>
      </w:pPr>
      <w:r w:rsidRPr="00EA1123">
        <w:rPr>
          <w:sz w:val="20"/>
          <w:szCs w:val="20"/>
          <w:lang w:eastAsia="en-AU"/>
        </w:rPr>
        <w:t xml:space="preserve">The </w:t>
      </w:r>
      <w:r w:rsidRPr="00901AF8">
        <w:rPr>
          <w:sz w:val="20"/>
          <w:szCs w:val="20"/>
          <w:lang w:eastAsia="en-AU"/>
        </w:rPr>
        <w:t xml:space="preserve">National BBV and STI Strategies </w:t>
      </w:r>
      <w:r w:rsidR="005B0F1C">
        <w:rPr>
          <w:sz w:val="20"/>
          <w:szCs w:val="20"/>
          <w:lang w:eastAsia="en-AU"/>
        </w:rPr>
        <w:t>Action P</w:t>
      </w:r>
      <w:r w:rsidR="00610AEB" w:rsidRPr="00901AF8">
        <w:rPr>
          <w:sz w:val="20"/>
          <w:szCs w:val="20"/>
          <w:lang w:eastAsia="en-AU"/>
        </w:rPr>
        <w:t xml:space="preserve">lan </w:t>
      </w:r>
      <w:r w:rsidRPr="00901AF8">
        <w:rPr>
          <w:sz w:val="20"/>
          <w:szCs w:val="20"/>
          <w:lang w:eastAsia="en-AU"/>
        </w:rPr>
        <w:t>2018</w:t>
      </w:r>
      <w:r w:rsidR="00901AF8">
        <w:rPr>
          <w:sz w:val="20"/>
          <w:szCs w:val="20"/>
          <w:lang w:eastAsia="en-AU"/>
        </w:rPr>
        <w:t>–</w:t>
      </w:r>
      <w:r w:rsidRPr="00901AF8">
        <w:rPr>
          <w:sz w:val="20"/>
          <w:szCs w:val="20"/>
          <w:lang w:eastAsia="en-AU"/>
        </w:rPr>
        <w:t>2022</w:t>
      </w:r>
      <w:r w:rsidRPr="00EA1123">
        <w:rPr>
          <w:sz w:val="20"/>
          <w:szCs w:val="20"/>
          <w:lang w:eastAsia="en-AU"/>
        </w:rPr>
        <w:t xml:space="preserve"> provides the detail of specific actions for governments and partners. The </w:t>
      </w:r>
      <w:r w:rsidR="00610AEB" w:rsidRPr="00EA1123">
        <w:rPr>
          <w:sz w:val="20"/>
          <w:szCs w:val="20"/>
          <w:lang w:eastAsia="en-AU"/>
        </w:rPr>
        <w:t xml:space="preserve">action plan </w:t>
      </w:r>
      <w:r w:rsidRPr="00EA1123">
        <w:rPr>
          <w:sz w:val="20"/>
          <w:szCs w:val="20"/>
          <w:lang w:eastAsia="en-AU"/>
        </w:rPr>
        <w:t>outlines the roles and responsibilities of governments and partners and the time</w:t>
      </w:r>
      <w:r w:rsidR="00901AF8">
        <w:rPr>
          <w:sz w:val="20"/>
          <w:szCs w:val="20"/>
          <w:lang w:eastAsia="en-AU"/>
        </w:rPr>
        <w:t xml:space="preserve"> </w:t>
      </w:r>
      <w:r w:rsidRPr="00EA1123">
        <w:rPr>
          <w:sz w:val="20"/>
          <w:szCs w:val="20"/>
          <w:lang w:eastAsia="en-AU"/>
        </w:rPr>
        <w:t xml:space="preserve">frames for implementation of the actions. Indicators for measuring the progress towards achievement of the </w:t>
      </w:r>
      <w:r w:rsidR="00901AF8">
        <w:rPr>
          <w:sz w:val="20"/>
          <w:szCs w:val="20"/>
          <w:lang w:eastAsia="en-AU"/>
        </w:rPr>
        <w:t>s</w:t>
      </w:r>
      <w:r w:rsidRPr="00EA1123">
        <w:rPr>
          <w:sz w:val="20"/>
          <w:szCs w:val="20"/>
          <w:lang w:eastAsia="en-AU"/>
        </w:rPr>
        <w:t xml:space="preserve">trategies’ targets will also be developed. The </w:t>
      </w:r>
      <w:r w:rsidR="00610AEB" w:rsidRPr="00EA1123">
        <w:rPr>
          <w:sz w:val="20"/>
          <w:szCs w:val="20"/>
          <w:lang w:eastAsia="en-AU"/>
        </w:rPr>
        <w:t>action plan</w:t>
      </w:r>
      <w:r w:rsidRPr="00EA1123">
        <w:rPr>
          <w:sz w:val="20"/>
          <w:szCs w:val="20"/>
          <w:lang w:eastAsia="en-AU"/>
        </w:rPr>
        <w:t xml:space="preserve"> will be reviewed as required during the lifetime of the </w:t>
      </w:r>
      <w:r w:rsidR="00901AF8">
        <w:rPr>
          <w:sz w:val="20"/>
          <w:szCs w:val="20"/>
          <w:lang w:eastAsia="en-AU"/>
        </w:rPr>
        <w:t>s</w:t>
      </w:r>
      <w:r w:rsidRPr="00EA1123">
        <w:rPr>
          <w:sz w:val="20"/>
          <w:szCs w:val="20"/>
          <w:lang w:eastAsia="en-AU"/>
        </w:rPr>
        <w:t>trategies.</w:t>
      </w:r>
    </w:p>
    <w:p w14:paraId="1D28F868" w14:textId="60DD88B7" w:rsidR="004451DC" w:rsidRDefault="004451DC" w:rsidP="00E648A1">
      <w:pPr>
        <w:rPr>
          <w:sz w:val="20"/>
          <w:lang w:eastAsia="en-AU"/>
        </w:rPr>
      </w:pPr>
      <w:r w:rsidRPr="00FD22CD">
        <w:rPr>
          <w:sz w:val="20"/>
          <w:lang w:eastAsia="en-AU"/>
        </w:rPr>
        <w:t xml:space="preserve">The </w:t>
      </w:r>
      <w:r w:rsidRPr="005C7F1D">
        <w:rPr>
          <w:sz w:val="20"/>
          <w:lang w:eastAsia="en-AU"/>
        </w:rPr>
        <w:t xml:space="preserve">five national BBV and STI </w:t>
      </w:r>
      <w:r w:rsidR="00901AF8" w:rsidRPr="005C7F1D">
        <w:rPr>
          <w:sz w:val="20"/>
          <w:lang w:eastAsia="en-AU"/>
        </w:rPr>
        <w:t>s</w:t>
      </w:r>
      <w:r w:rsidRPr="005C7F1D">
        <w:rPr>
          <w:sz w:val="20"/>
          <w:lang w:eastAsia="en-AU"/>
        </w:rPr>
        <w:t>trategies share</w:t>
      </w:r>
      <w:r w:rsidRPr="00FD22CD">
        <w:rPr>
          <w:sz w:val="20"/>
          <w:lang w:eastAsia="en-AU"/>
        </w:rPr>
        <w:t xml:space="preserve"> a number of key actions related to areas such as workforce, improving data and surveillance, education programs</w:t>
      </w:r>
      <w:r w:rsidR="005C7F1D">
        <w:rPr>
          <w:sz w:val="20"/>
          <w:lang w:eastAsia="en-AU"/>
        </w:rPr>
        <w:t>,</w:t>
      </w:r>
      <w:r w:rsidRPr="00FD22CD">
        <w:rPr>
          <w:sz w:val="20"/>
          <w:lang w:eastAsia="en-AU"/>
        </w:rPr>
        <w:t xml:space="preserve"> and stigma and discrimination. The </w:t>
      </w:r>
      <w:r w:rsidR="00610AEB" w:rsidRPr="00FD22CD">
        <w:rPr>
          <w:sz w:val="20"/>
          <w:lang w:eastAsia="en-AU"/>
        </w:rPr>
        <w:t xml:space="preserve">action plan </w:t>
      </w:r>
      <w:r w:rsidRPr="00FD22CD">
        <w:rPr>
          <w:sz w:val="20"/>
          <w:lang w:eastAsia="en-AU"/>
        </w:rPr>
        <w:t xml:space="preserve">will focus on encouraging connections between existing programs and policies, and </w:t>
      </w:r>
      <w:r w:rsidR="007E7469">
        <w:rPr>
          <w:sz w:val="20"/>
          <w:lang w:eastAsia="en-AU"/>
        </w:rPr>
        <w:t xml:space="preserve">build on </w:t>
      </w:r>
      <w:r w:rsidRPr="00FD22CD">
        <w:rPr>
          <w:sz w:val="20"/>
          <w:lang w:eastAsia="en-AU"/>
        </w:rPr>
        <w:t xml:space="preserve">previously successful </w:t>
      </w:r>
      <w:r w:rsidRPr="005C7F1D">
        <w:rPr>
          <w:sz w:val="20"/>
          <w:lang w:eastAsia="en-AU"/>
        </w:rPr>
        <w:t>approaches, to minimise duplication of effort. It will also look for opportunities to learn from and adapt responses used for other diseases where relevant.</w:t>
      </w:r>
    </w:p>
    <w:p w14:paraId="47CE6275" w14:textId="77777777" w:rsidR="00E004CD" w:rsidRPr="00EA1123" w:rsidRDefault="00E004CD" w:rsidP="00E004CD">
      <w:pPr>
        <w:rPr>
          <w:b/>
          <w:color w:val="00264D"/>
          <w:sz w:val="20"/>
          <w:szCs w:val="20"/>
        </w:rPr>
      </w:pPr>
      <w:r w:rsidRPr="00EA1123">
        <w:rPr>
          <w:b/>
          <w:color w:val="00264D"/>
          <w:sz w:val="20"/>
          <w:szCs w:val="20"/>
        </w:rPr>
        <w:t>Governance, reporting and evaluation</w:t>
      </w:r>
    </w:p>
    <w:p w14:paraId="53A3F094" w14:textId="0029F7ED" w:rsidR="00E004CD" w:rsidRPr="00EA1123" w:rsidRDefault="00E004CD" w:rsidP="00E004CD">
      <w:pPr>
        <w:rPr>
          <w:sz w:val="20"/>
          <w:szCs w:val="20"/>
          <w:lang w:eastAsia="en-AU"/>
        </w:rPr>
      </w:pPr>
      <w:r w:rsidRPr="00EA1123">
        <w:rPr>
          <w:sz w:val="20"/>
          <w:szCs w:val="20"/>
          <w:lang w:eastAsia="en-AU"/>
        </w:rPr>
        <w:t xml:space="preserve">The five national BBV and STI </w:t>
      </w:r>
      <w:r w:rsidR="00901AF8">
        <w:rPr>
          <w:sz w:val="20"/>
          <w:szCs w:val="20"/>
          <w:lang w:eastAsia="en-AU"/>
        </w:rPr>
        <w:t>s</w:t>
      </w:r>
      <w:r w:rsidR="00901AF8" w:rsidRPr="00EA1123">
        <w:rPr>
          <w:sz w:val="20"/>
          <w:szCs w:val="20"/>
          <w:lang w:eastAsia="en-AU"/>
        </w:rPr>
        <w:t xml:space="preserve">trategies </w:t>
      </w:r>
      <w:r w:rsidRPr="00EA1123">
        <w:rPr>
          <w:sz w:val="20"/>
          <w:szCs w:val="20"/>
          <w:lang w:eastAsia="en-AU"/>
        </w:rPr>
        <w:t>are endorsed by Australia’s Health Ministers and governed through relevant committees of the Australian Health Ministers’ Advisory Council (AHMAC). The Blood</w:t>
      </w:r>
      <w:r w:rsidR="004D08F9">
        <w:rPr>
          <w:sz w:val="20"/>
          <w:szCs w:val="20"/>
          <w:lang w:eastAsia="en-AU"/>
        </w:rPr>
        <w:t xml:space="preserve"> </w:t>
      </w:r>
      <w:r w:rsidRPr="00EA1123">
        <w:rPr>
          <w:sz w:val="20"/>
          <w:szCs w:val="20"/>
          <w:lang w:eastAsia="en-AU"/>
        </w:rPr>
        <w:t>Borne Viruses and Sexually Transmissible Infections Standing Committee (BBVSS) coordinate</w:t>
      </w:r>
      <w:r w:rsidR="00901AF8">
        <w:rPr>
          <w:sz w:val="20"/>
          <w:szCs w:val="20"/>
          <w:lang w:eastAsia="en-AU"/>
        </w:rPr>
        <w:t>s</w:t>
      </w:r>
      <w:r w:rsidRPr="00EA1123">
        <w:rPr>
          <w:sz w:val="20"/>
          <w:szCs w:val="20"/>
          <w:lang w:eastAsia="en-AU"/>
        </w:rPr>
        <w:t xml:space="preserve"> implementation efforts across jurisdictions and reports to the Australian Health Protection Principal Committee (AHPPC) on progress in the implementation of the national </w:t>
      </w:r>
      <w:r w:rsidR="00901AF8">
        <w:rPr>
          <w:sz w:val="20"/>
          <w:szCs w:val="20"/>
          <w:lang w:eastAsia="en-AU"/>
        </w:rPr>
        <w:t>s</w:t>
      </w:r>
      <w:r w:rsidRPr="00EA1123">
        <w:rPr>
          <w:sz w:val="20"/>
          <w:szCs w:val="20"/>
          <w:lang w:eastAsia="en-AU"/>
        </w:rPr>
        <w:t xml:space="preserve">trategies. BBVSS and the Communicable Diseases Network Australia (CDNA) will jointly monitor progress towards the targets of each </w:t>
      </w:r>
      <w:r w:rsidR="00901AF8">
        <w:rPr>
          <w:sz w:val="20"/>
          <w:szCs w:val="20"/>
          <w:lang w:eastAsia="en-AU"/>
        </w:rPr>
        <w:t>s</w:t>
      </w:r>
      <w:r w:rsidRPr="00EA1123">
        <w:rPr>
          <w:sz w:val="20"/>
          <w:szCs w:val="20"/>
          <w:lang w:eastAsia="en-AU"/>
        </w:rPr>
        <w:t>trategy and identify emerging issues and opportunities for action.</w:t>
      </w:r>
    </w:p>
    <w:p w14:paraId="535141F2" w14:textId="4474F8DE" w:rsidR="00E004CD" w:rsidRPr="00EA1123" w:rsidRDefault="00E004CD" w:rsidP="00E004CD">
      <w:pPr>
        <w:rPr>
          <w:b/>
          <w:color w:val="00264D"/>
          <w:sz w:val="20"/>
          <w:szCs w:val="20"/>
          <w:lang w:eastAsia="en-AU"/>
        </w:rPr>
      </w:pPr>
      <w:r w:rsidRPr="00EA1123">
        <w:rPr>
          <w:b/>
          <w:color w:val="00264D"/>
          <w:sz w:val="20"/>
          <w:szCs w:val="20"/>
          <w:lang w:eastAsia="en-AU"/>
        </w:rPr>
        <w:t xml:space="preserve">Surveillance and </w:t>
      </w:r>
      <w:r w:rsidR="005C7F1D">
        <w:rPr>
          <w:b/>
          <w:color w:val="00264D"/>
          <w:sz w:val="20"/>
          <w:szCs w:val="20"/>
          <w:lang w:eastAsia="en-AU"/>
        </w:rPr>
        <w:t>m</w:t>
      </w:r>
      <w:r w:rsidRPr="00EA1123">
        <w:rPr>
          <w:b/>
          <w:color w:val="00264D"/>
          <w:sz w:val="20"/>
          <w:szCs w:val="20"/>
          <w:lang w:eastAsia="en-AU"/>
        </w:rPr>
        <w:t xml:space="preserve">onitoring </w:t>
      </w:r>
      <w:r w:rsidR="005C7F1D">
        <w:rPr>
          <w:b/>
          <w:color w:val="00264D"/>
          <w:sz w:val="20"/>
          <w:szCs w:val="20"/>
          <w:lang w:eastAsia="en-AU"/>
        </w:rPr>
        <w:t>p</w:t>
      </w:r>
      <w:r w:rsidRPr="00EA1123">
        <w:rPr>
          <w:b/>
          <w:color w:val="00264D"/>
          <w:sz w:val="20"/>
          <w:szCs w:val="20"/>
          <w:lang w:eastAsia="en-AU"/>
        </w:rPr>
        <w:t>lan</w:t>
      </w:r>
    </w:p>
    <w:p w14:paraId="6F5BB522" w14:textId="31ECF43C" w:rsidR="005E65C2" w:rsidRPr="00EA1123" w:rsidRDefault="00E004CD" w:rsidP="00A42CFE">
      <w:pPr>
        <w:rPr>
          <w:sz w:val="20"/>
          <w:szCs w:val="20"/>
        </w:rPr>
      </w:pPr>
      <w:r w:rsidRPr="00EA1123">
        <w:rPr>
          <w:sz w:val="20"/>
          <w:szCs w:val="20"/>
          <w:lang w:eastAsia="en-AU"/>
        </w:rPr>
        <w:t xml:space="preserve">The </w:t>
      </w:r>
      <w:r w:rsidRPr="00901AF8">
        <w:rPr>
          <w:sz w:val="20"/>
          <w:szCs w:val="20"/>
          <w:lang w:eastAsia="en-AU"/>
        </w:rPr>
        <w:t>National BBV and STI Surveillance and Monitoring Plan 2018</w:t>
      </w:r>
      <w:r w:rsidR="00901AF8">
        <w:rPr>
          <w:sz w:val="20"/>
          <w:szCs w:val="20"/>
          <w:lang w:eastAsia="en-AU"/>
        </w:rPr>
        <w:t>–</w:t>
      </w:r>
      <w:r w:rsidRPr="00901AF8">
        <w:rPr>
          <w:sz w:val="20"/>
          <w:szCs w:val="20"/>
          <w:lang w:eastAsia="en-AU"/>
        </w:rPr>
        <w:t>2022</w:t>
      </w:r>
      <w:r w:rsidRPr="00EA1123">
        <w:rPr>
          <w:sz w:val="20"/>
          <w:szCs w:val="20"/>
          <w:lang w:eastAsia="en-AU"/>
        </w:rPr>
        <w:t xml:space="preserve"> supports the </w:t>
      </w:r>
      <w:r w:rsidR="008D3DEE">
        <w:rPr>
          <w:sz w:val="20"/>
          <w:szCs w:val="20"/>
          <w:lang w:eastAsia="en-AU"/>
        </w:rPr>
        <w:t xml:space="preserve">five </w:t>
      </w:r>
      <w:r w:rsidRPr="00EA1123">
        <w:rPr>
          <w:sz w:val="20"/>
          <w:szCs w:val="20"/>
          <w:lang w:eastAsia="en-AU"/>
        </w:rPr>
        <w:t xml:space="preserve">national </w:t>
      </w:r>
      <w:r w:rsidR="008D3DEE">
        <w:rPr>
          <w:sz w:val="20"/>
          <w:szCs w:val="20"/>
          <w:lang w:eastAsia="en-AU"/>
        </w:rPr>
        <w:t xml:space="preserve">BBV and STI </w:t>
      </w:r>
      <w:r w:rsidR="00901AF8">
        <w:rPr>
          <w:sz w:val="20"/>
          <w:szCs w:val="20"/>
          <w:lang w:eastAsia="en-AU"/>
        </w:rPr>
        <w:t>s</w:t>
      </w:r>
      <w:r w:rsidRPr="00EA1123">
        <w:rPr>
          <w:sz w:val="20"/>
          <w:szCs w:val="20"/>
          <w:lang w:eastAsia="en-AU"/>
        </w:rPr>
        <w:t>trategies and informs and monitors progress on achieving the goal</w:t>
      </w:r>
      <w:r w:rsidR="008D3DEE">
        <w:rPr>
          <w:sz w:val="20"/>
          <w:szCs w:val="20"/>
          <w:lang w:eastAsia="en-AU"/>
        </w:rPr>
        <w:t>s</w:t>
      </w:r>
      <w:r w:rsidRPr="00EA1123">
        <w:rPr>
          <w:sz w:val="20"/>
          <w:szCs w:val="20"/>
          <w:lang w:eastAsia="en-AU"/>
        </w:rPr>
        <w:t xml:space="preserve"> </w:t>
      </w:r>
      <w:r w:rsidR="008D3DEE">
        <w:rPr>
          <w:sz w:val="20"/>
          <w:szCs w:val="20"/>
          <w:lang w:eastAsia="en-AU"/>
        </w:rPr>
        <w:t xml:space="preserve">and targets </w:t>
      </w:r>
      <w:r w:rsidRPr="00EA1123">
        <w:rPr>
          <w:sz w:val="20"/>
          <w:szCs w:val="20"/>
          <w:lang w:eastAsia="en-AU"/>
        </w:rPr>
        <w:t xml:space="preserve">of each </w:t>
      </w:r>
      <w:r w:rsidR="00901AF8">
        <w:rPr>
          <w:sz w:val="20"/>
          <w:szCs w:val="20"/>
          <w:lang w:eastAsia="en-AU"/>
        </w:rPr>
        <w:t>s</w:t>
      </w:r>
      <w:r w:rsidRPr="00EA1123">
        <w:rPr>
          <w:sz w:val="20"/>
          <w:szCs w:val="20"/>
          <w:lang w:eastAsia="en-AU"/>
        </w:rPr>
        <w:t>trategy. A subcommittee of the CDNA is responsible for overseeing the Surveillance and Monitoring Plan and reporting on progress to the CDNA and BBVS</w:t>
      </w:r>
      <w:r w:rsidR="005B0F1C">
        <w:rPr>
          <w:sz w:val="20"/>
          <w:szCs w:val="20"/>
          <w:lang w:eastAsia="en-AU"/>
        </w:rPr>
        <w:t>S</w:t>
      </w:r>
      <w:r w:rsidRPr="00EA1123">
        <w:rPr>
          <w:sz w:val="20"/>
          <w:szCs w:val="20"/>
          <w:lang w:eastAsia="en-AU"/>
        </w:rPr>
        <w:t>.</w:t>
      </w:r>
      <w:bookmarkStart w:id="40" w:name="_Toc499570299"/>
      <w:bookmarkStart w:id="41" w:name="_Toc499570301"/>
      <w:bookmarkStart w:id="42" w:name="_Toc499570302"/>
      <w:bookmarkStart w:id="43" w:name="_Toc499570303"/>
      <w:bookmarkStart w:id="44" w:name="_Toc499570304"/>
      <w:bookmarkEnd w:id="40"/>
      <w:bookmarkEnd w:id="41"/>
      <w:bookmarkEnd w:id="42"/>
      <w:bookmarkEnd w:id="43"/>
      <w:bookmarkEnd w:id="44"/>
    </w:p>
    <w:p w14:paraId="2C40B97C" w14:textId="6E356A07" w:rsidR="00E76320" w:rsidRPr="00AC4F04" w:rsidRDefault="00D9554E" w:rsidP="00CE5B8B">
      <w:pPr>
        <w:pStyle w:val="xAppendixLevel1"/>
        <w:numPr>
          <w:ilvl w:val="0"/>
          <w:numId w:val="0"/>
        </w:numPr>
        <w:ind w:left="2410" w:hanging="2410"/>
      </w:pPr>
      <w:bookmarkStart w:id="45" w:name="_Toc500780676"/>
      <w:bookmarkStart w:id="46" w:name="_Toc529474520"/>
      <w:bookmarkEnd w:id="36"/>
      <w:r w:rsidRPr="00A81700">
        <w:lastRenderedPageBreak/>
        <w:t>Appendix A</w:t>
      </w:r>
      <w:r w:rsidR="00642CB8" w:rsidRPr="00A81700">
        <w:t xml:space="preserve"> </w:t>
      </w:r>
      <w:r w:rsidR="00A81700" w:rsidRPr="00A81700">
        <w:tab/>
      </w:r>
      <w:r w:rsidR="00E76320" w:rsidRPr="00A81700">
        <w:t>References</w:t>
      </w:r>
      <w:bookmarkEnd w:id="37"/>
      <w:bookmarkEnd w:id="38"/>
      <w:bookmarkEnd w:id="39"/>
      <w:bookmarkEnd w:id="45"/>
      <w:bookmarkEnd w:id="46"/>
      <w:r w:rsidR="00930014" w:rsidRPr="00AC4F04">
        <w:t xml:space="preserve">  </w:t>
      </w:r>
    </w:p>
    <w:sectPr w:rsidR="00E76320" w:rsidRPr="00AC4F04" w:rsidSect="00AB4DA7">
      <w:endnotePr>
        <w:numFmt w:val="decimal"/>
      </w:endnotePr>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CE5BB" w14:textId="77777777" w:rsidR="00D560D6" w:rsidRDefault="00D560D6" w:rsidP="00302076">
      <w:pPr>
        <w:spacing w:after="0"/>
      </w:pPr>
      <w:r>
        <w:separator/>
      </w:r>
    </w:p>
  </w:endnote>
  <w:endnote w:type="continuationSeparator" w:id="0">
    <w:p w14:paraId="5C5230B5" w14:textId="77777777" w:rsidR="00D560D6" w:rsidRDefault="00D560D6" w:rsidP="00302076">
      <w:pPr>
        <w:spacing w:after="0"/>
      </w:pPr>
      <w:r>
        <w:continuationSeparator/>
      </w:r>
    </w:p>
  </w:endnote>
  <w:endnote w:type="continuationNotice" w:id="1">
    <w:p w14:paraId="6234D6C7" w14:textId="77777777" w:rsidR="00D560D6" w:rsidRDefault="00D560D6">
      <w:pPr>
        <w:spacing w:after="0"/>
      </w:pPr>
    </w:p>
  </w:endnote>
  <w:endnote w:id="2">
    <w:p w14:paraId="4B1EB8F4" w14:textId="22980FF0" w:rsidR="00D560D6" w:rsidRPr="003834D2" w:rsidRDefault="00D560D6" w:rsidP="00067990">
      <w:pPr>
        <w:pStyle w:val="EndnoteText"/>
        <w:spacing w:after="120"/>
        <w:rPr>
          <w:sz w:val="18"/>
          <w:szCs w:val="18"/>
        </w:rPr>
      </w:pPr>
      <w:r w:rsidRPr="003834D2">
        <w:rPr>
          <w:rStyle w:val="EndnoteReference"/>
          <w:sz w:val="18"/>
          <w:szCs w:val="18"/>
        </w:rPr>
        <w:endnoteRef/>
      </w:r>
      <w:r w:rsidRPr="003834D2">
        <w:rPr>
          <w:sz w:val="18"/>
          <w:szCs w:val="18"/>
        </w:rPr>
        <w:t xml:space="preserve"> Scott, N. E.</w:t>
      </w:r>
      <w:r>
        <w:rPr>
          <w:sz w:val="18"/>
          <w:szCs w:val="18"/>
        </w:rPr>
        <w:t>,</w:t>
      </w:r>
      <w:r w:rsidRPr="003834D2">
        <w:rPr>
          <w:sz w:val="18"/>
          <w:szCs w:val="18"/>
        </w:rPr>
        <w:t xml:space="preserve"> S. McBryde, A. Thompson, J. S. Doyle</w:t>
      </w:r>
      <w:r>
        <w:rPr>
          <w:sz w:val="18"/>
          <w:szCs w:val="18"/>
        </w:rPr>
        <w:t>,</w:t>
      </w:r>
      <w:r w:rsidRPr="003834D2">
        <w:rPr>
          <w:sz w:val="18"/>
          <w:szCs w:val="18"/>
        </w:rPr>
        <w:t xml:space="preserve"> and M. E. Hellard. </w:t>
      </w:r>
      <w:r>
        <w:rPr>
          <w:sz w:val="18"/>
          <w:szCs w:val="18"/>
        </w:rPr>
        <w:t>(2016). ‘</w:t>
      </w:r>
      <w:r w:rsidRPr="003834D2">
        <w:rPr>
          <w:sz w:val="18"/>
          <w:szCs w:val="18"/>
        </w:rPr>
        <w:t>Treatment scale-up to achieve global hepatitis C virus incidence and mortality elimination targets: a cost-effectiveness model.</w:t>
      </w:r>
      <w:r>
        <w:rPr>
          <w:sz w:val="18"/>
          <w:szCs w:val="18"/>
        </w:rPr>
        <w:t>’</w:t>
      </w:r>
      <w:r w:rsidRPr="003834D2">
        <w:rPr>
          <w:sz w:val="18"/>
          <w:szCs w:val="18"/>
        </w:rPr>
        <w:t xml:space="preserve"> </w:t>
      </w:r>
      <w:r w:rsidRPr="003834D2">
        <w:rPr>
          <w:sz w:val="18"/>
          <w:szCs w:val="18"/>
          <w:u w:val="single"/>
        </w:rPr>
        <w:t>Gut,</w:t>
      </w:r>
      <w:r w:rsidRPr="003834D2">
        <w:rPr>
          <w:sz w:val="18"/>
          <w:szCs w:val="18"/>
        </w:rPr>
        <w:t xml:space="preserve"> </w:t>
      </w:r>
      <w:r w:rsidRPr="003834D2">
        <w:rPr>
          <w:b/>
          <w:sz w:val="18"/>
          <w:szCs w:val="18"/>
        </w:rPr>
        <w:t>77</w:t>
      </w:r>
      <w:r w:rsidRPr="003834D2">
        <w:rPr>
          <w:sz w:val="18"/>
          <w:szCs w:val="18"/>
        </w:rPr>
        <w:t>(8):1507</w:t>
      </w:r>
      <w:r>
        <w:rPr>
          <w:sz w:val="18"/>
          <w:szCs w:val="18"/>
        </w:rPr>
        <w:t>–</w:t>
      </w:r>
      <w:r w:rsidRPr="003834D2">
        <w:rPr>
          <w:sz w:val="18"/>
          <w:szCs w:val="18"/>
        </w:rPr>
        <w:t>1515</w:t>
      </w:r>
      <w:r>
        <w:rPr>
          <w:sz w:val="18"/>
          <w:szCs w:val="18"/>
        </w:rPr>
        <w:t>.</w:t>
      </w:r>
    </w:p>
  </w:endnote>
  <w:endnote w:id="3">
    <w:p w14:paraId="74AA5429" w14:textId="5FB4AB82" w:rsidR="00D560D6" w:rsidRPr="003834D2" w:rsidRDefault="00D560D6" w:rsidP="00A06350">
      <w:pPr>
        <w:pStyle w:val="EndnoteText"/>
        <w:spacing w:after="120"/>
        <w:rPr>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sidRPr="003834D2">
        <w:rPr>
          <w:sz w:val="18"/>
          <w:szCs w:val="18"/>
        </w:rPr>
        <w:t>Kirby Institute.</w:t>
      </w:r>
      <w:r>
        <w:rPr>
          <w:sz w:val="18"/>
          <w:szCs w:val="18"/>
        </w:rPr>
        <w:t xml:space="preserve"> (2017).</w:t>
      </w:r>
      <w:r w:rsidRPr="003834D2">
        <w:rPr>
          <w:sz w:val="18"/>
          <w:szCs w:val="18"/>
        </w:rPr>
        <w:t xml:space="preserve"> </w:t>
      </w:r>
      <w:r w:rsidRPr="003834D2">
        <w:rPr>
          <w:sz w:val="18"/>
          <w:szCs w:val="18"/>
          <w:u w:val="single"/>
        </w:rPr>
        <w:t>Monitoring hepatitis C treatment uptake in Australia, Issue 8</w:t>
      </w:r>
      <w:r>
        <w:rPr>
          <w:sz w:val="18"/>
          <w:szCs w:val="18"/>
        </w:rPr>
        <w:t xml:space="preserve">. Accessed 20 February 2018 at: </w:t>
      </w:r>
      <w:hyperlink r:id="rId1" w:tooltip="Kirby" w:history="1">
        <w:r w:rsidR="00B1654C" w:rsidRPr="00F6785D">
          <w:rPr>
            <w:rStyle w:val="Hyperlink"/>
            <w:sz w:val="18"/>
            <w:szCs w:val="18"/>
          </w:rPr>
          <w:t>https://kirby.unsw.edu.au/sites/default/files/kirby/report/Monitoring-hep-C-treatment-uptake-in-Australia_Iss8-DEC17.pdf</w:t>
        </w:r>
      </w:hyperlink>
      <w:r>
        <w:rPr>
          <w:sz w:val="18"/>
          <w:szCs w:val="18"/>
        </w:rPr>
        <w:t xml:space="preserve"> </w:t>
      </w:r>
    </w:p>
  </w:endnote>
  <w:endnote w:id="4">
    <w:p w14:paraId="456B9BD6" w14:textId="77777777" w:rsidR="00D560D6" w:rsidRPr="003834D2" w:rsidRDefault="00D560D6" w:rsidP="00FD77BA">
      <w:pPr>
        <w:pStyle w:val="EndnoteText"/>
        <w:spacing w:after="120"/>
        <w:rPr>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sidRPr="003834D2">
        <w:rPr>
          <w:rFonts w:cs="Segoe UI"/>
          <w:sz w:val="18"/>
          <w:szCs w:val="18"/>
        </w:rPr>
        <w:t xml:space="preserve">Kirby Institute. </w:t>
      </w:r>
      <w:r>
        <w:rPr>
          <w:rFonts w:cs="Segoe UI"/>
          <w:sz w:val="18"/>
          <w:szCs w:val="18"/>
        </w:rPr>
        <w:t xml:space="preserve">(2017). </w:t>
      </w:r>
      <w:r w:rsidRPr="003834D2">
        <w:rPr>
          <w:rFonts w:cs="Segoe UI"/>
          <w:sz w:val="18"/>
          <w:szCs w:val="18"/>
          <w:u w:val="single"/>
        </w:rPr>
        <w:t>HIV, viral hepatitis and sexually transmissible infections in Australia, Annual Surveillance Report 2017</w:t>
      </w:r>
      <w:r>
        <w:rPr>
          <w:rFonts w:cs="Segoe UI"/>
          <w:sz w:val="18"/>
          <w:szCs w:val="18"/>
        </w:rPr>
        <w:t>.</w:t>
      </w:r>
      <w:r w:rsidRPr="003834D2">
        <w:rPr>
          <w:rFonts w:cs="Segoe UI"/>
          <w:sz w:val="18"/>
          <w:szCs w:val="18"/>
        </w:rPr>
        <w:t xml:space="preserve"> University of New South Wales</w:t>
      </w:r>
      <w:r>
        <w:rPr>
          <w:rFonts w:cs="Segoe UI"/>
          <w:sz w:val="18"/>
          <w:szCs w:val="18"/>
        </w:rPr>
        <w:t xml:space="preserve"> (UNSW): Sydney.</w:t>
      </w:r>
    </w:p>
  </w:endnote>
  <w:endnote w:id="5">
    <w:p w14:paraId="4C462CCB" w14:textId="77777777" w:rsidR="00D560D6" w:rsidRPr="003834D2" w:rsidRDefault="00D560D6" w:rsidP="00FD77BA">
      <w:pPr>
        <w:pStyle w:val="EndnoteText"/>
        <w:spacing w:after="120"/>
        <w:rPr>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sidRPr="003834D2">
        <w:rPr>
          <w:rFonts w:cs="Segoe UI"/>
          <w:sz w:val="18"/>
          <w:szCs w:val="18"/>
        </w:rPr>
        <w:t xml:space="preserve">Kirby Institute. </w:t>
      </w:r>
      <w:r>
        <w:rPr>
          <w:rFonts w:cs="Segoe UI"/>
          <w:sz w:val="18"/>
          <w:szCs w:val="18"/>
        </w:rPr>
        <w:t xml:space="preserve">(2017). </w:t>
      </w:r>
      <w:r w:rsidRPr="003834D2">
        <w:rPr>
          <w:rFonts w:cs="Segoe UI"/>
          <w:sz w:val="18"/>
          <w:szCs w:val="18"/>
          <w:u w:val="single"/>
        </w:rPr>
        <w:t>National Prison Entrants’ Bloodborne virus and risk behaviour survey report, 2004, 2007, 2010, 2013 and 2016</w:t>
      </w:r>
      <w:r>
        <w:rPr>
          <w:rFonts w:cs="Segoe UI"/>
          <w:sz w:val="18"/>
          <w:szCs w:val="18"/>
        </w:rPr>
        <w:t>. UNSW Sydney: Sydney.</w:t>
      </w:r>
    </w:p>
  </w:endnote>
  <w:endnote w:id="6">
    <w:p w14:paraId="3B314F99" w14:textId="77777777" w:rsidR="00D560D6" w:rsidRPr="003834D2" w:rsidRDefault="00D560D6" w:rsidP="00FD77BA">
      <w:pPr>
        <w:pStyle w:val="EndnoteText"/>
        <w:spacing w:after="120"/>
        <w:rPr>
          <w:rFonts w:cs="Segoe UI"/>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Pr>
          <w:rFonts w:cs="Segoe UI"/>
          <w:sz w:val="18"/>
          <w:szCs w:val="18"/>
        </w:rPr>
        <w:t>Kirby Institute. (2017).</w:t>
      </w:r>
      <w:r w:rsidRPr="003834D2">
        <w:rPr>
          <w:rFonts w:cs="Segoe UI"/>
          <w:sz w:val="18"/>
          <w:szCs w:val="18"/>
        </w:rPr>
        <w:t xml:space="preserve"> </w:t>
      </w:r>
      <w:r w:rsidRPr="003834D2">
        <w:rPr>
          <w:rFonts w:cs="Segoe UI"/>
          <w:sz w:val="18"/>
          <w:szCs w:val="18"/>
          <w:u w:val="single"/>
        </w:rPr>
        <w:t>Australian Needle Syringe Program Survey National Data Report 2012-2016: Prevalence of HIV, hepatitis C and injecting and sexual behaviour among NSP attendees</w:t>
      </w:r>
      <w:r>
        <w:rPr>
          <w:rFonts w:cs="Segoe UI"/>
          <w:sz w:val="18"/>
          <w:szCs w:val="18"/>
        </w:rPr>
        <w:t>.</w:t>
      </w:r>
      <w:r w:rsidRPr="003834D2">
        <w:rPr>
          <w:rFonts w:cs="Segoe UI"/>
          <w:sz w:val="18"/>
          <w:szCs w:val="18"/>
        </w:rPr>
        <w:t xml:space="preserve"> </w:t>
      </w:r>
      <w:r>
        <w:rPr>
          <w:rFonts w:cs="Segoe UI"/>
          <w:sz w:val="18"/>
          <w:szCs w:val="18"/>
        </w:rPr>
        <w:t>UNSW Sydney: Sydney.</w:t>
      </w:r>
    </w:p>
  </w:endnote>
  <w:endnote w:id="7">
    <w:p w14:paraId="6DC770FA" w14:textId="19790D56" w:rsidR="00D560D6" w:rsidRPr="003834D2" w:rsidRDefault="00D560D6" w:rsidP="00D53366">
      <w:pPr>
        <w:pStyle w:val="EndnoteText"/>
        <w:spacing w:after="120"/>
        <w:rPr>
          <w:sz w:val="18"/>
          <w:szCs w:val="18"/>
        </w:rPr>
      </w:pPr>
      <w:r w:rsidRPr="003834D2">
        <w:rPr>
          <w:rStyle w:val="EndnoteReference"/>
          <w:sz w:val="18"/>
          <w:szCs w:val="18"/>
        </w:rPr>
        <w:endnoteRef/>
      </w:r>
      <w:r w:rsidRPr="003834D2">
        <w:rPr>
          <w:sz w:val="18"/>
          <w:szCs w:val="18"/>
        </w:rPr>
        <w:t xml:space="preserve"> </w:t>
      </w:r>
      <w:r>
        <w:rPr>
          <w:rFonts w:cs="Segoe UI"/>
          <w:sz w:val="18"/>
          <w:szCs w:val="18"/>
        </w:rPr>
        <w:t>ACT Government. (2017).</w:t>
      </w:r>
      <w:r w:rsidRPr="003834D2">
        <w:rPr>
          <w:rFonts w:cs="Segoe UI"/>
          <w:sz w:val="18"/>
          <w:szCs w:val="18"/>
        </w:rPr>
        <w:t xml:space="preserve"> </w:t>
      </w:r>
      <w:r w:rsidRPr="003834D2">
        <w:rPr>
          <w:rFonts w:cs="Segoe UI"/>
          <w:sz w:val="18"/>
          <w:szCs w:val="18"/>
          <w:u w:val="single"/>
        </w:rPr>
        <w:t>World Hepatitis Day 2017: Effective treatment reducing Hepatitis C rates in AMC</w:t>
      </w:r>
      <w:r>
        <w:rPr>
          <w:rFonts w:cs="Segoe UI"/>
          <w:sz w:val="18"/>
          <w:szCs w:val="18"/>
          <w:u w:val="single"/>
        </w:rPr>
        <w:t>.</w:t>
      </w:r>
      <w:r w:rsidRPr="003834D2">
        <w:rPr>
          <w:rFonts w:cs="Segoe UI"/>
          <w:sz w:val="18"/>
          <w:szCs w:val="18"/>
        </w:rPr>
        <w:t xml:space="preserve"> Accessed 27 February 2017 at</w:t>
      </w:r>
      <w:r>
        <w:rPr>
          <w:rFonts w:cs="Segoe UI"/>
          <w:sz w:val="18"/>
          <w:szCs w:val="18"/>
        </w:rPr>
        <w:t>:</w:t>
      </w:r>
      <w:r w:rsidRPr="003834D2">
        <w:rPr>
          <w:rFonts w:cs="Segoe UI"/>
          <w:sz w:val="18"/>
          <w:szCs w:val="18"/>
        </w:rPr>
        <w:t xml:space="preserve"> </w:t>
      </w:r>
      <w:hyperlink r:id="rId2" w:tooltip="cmtedd" w:history="1">
        <w:r w:rsidRPr="009F5940">
          <w:rPr>
            <w:rStyle w:val="Hyperlink"/>
            <w:rFonts w:cs="Segoe UI"/>
            <w:sz w:val="18"/>
            <w:szCs w:val="18"/>
          </w:rPr>
          <w:t>https://www.cmtedd.act.gov.au/open_government/inform/act_government_media_releases/rattenbury/2017/world-hepatitis-day-2017-effective-treatment-reducing-hepatitis-c-rates-in-amc</w:t>
        </w:r>
      </w:hyperlink>
      <w:r>
        <w:rPr>
          <w:rFonts w:cs="Segoe UI"/>
          <w:sz w:val="18"/>
          <w:szCs w:val="18"/>
        </w:rPr>
        <w:t xml:space="preserve"> </w:t>
      </w:r>
    </w:p>
  </w:endnote>
  <w:endnote w:id="8">
    <w:p w14:paraId="17462334" w14:textId="72D7355B" w:rsidR="00D560D6" w:rsidRPr="003834D2" w:rsidRDefault="00D560D6" w:rsidP="00D53366">
      <w:pPr>
        <w:pStyle w:val="EndnoteText"/>
        <w:spacing w:after="120"/>
        <w:rPr>
          <w:sz w:val="18"/>
          <w:szCs w:val="18"/>
        </w:rPr>
      </w:pPr>
      <w:r w:rsidRPr="003834D2">
        <w:rPr>
          <w:rStyle w:val="EndnoteReference"/>
          <w:sz w:val="18"/>
          <w:szCs w:val="18"/>
        </w:rPr>
        <w:endnoteRef/>
      </w:r>
      <w:r w:rsidRPr="003834D2">
        <w:rPr>
          <w:sz w:val="18"/>
          <w:szCs w:val="18"/>
        </w:rPr>
        <w:t xml:space="preserve"> Russell, D. B., P. Fox, H. Cabatingan</w:t>
      </w:r>
      <w:r>
        <w:rPr>
          <w:sz w:val="18"/>
          <w:szCs w:val="18"/>
        </w:rPr>
        <w:t xml:space="preserve"> </w:t>
      </w:r>
      <w:r w:rsidRPr="002D2DAC">
        <w:rPr>
          <w:i/>
          <w:sz w:val="18"/>
          <w:szCs w:val="18"/>
        </w:rPr>
        <w:t>et al.</w:t>
      </w:r>
      <w:r w:rsidRPr="003834D2">
        <w:rPr>
          <w:sz w:val="18"/>
          <w:szCs w:val="18"/>
        </w:rPr>
        <w:t xml:space="preserve"> </w:t>
      </w:r>
      <w:r>
        <w:rPr>
          <w:sz w:val="18"/>
          <w:szCs w:val="18"/>
        </w:rPr>
        <w:t xml:space="preserve">(2017). </w:t>
      </w:r>
      <w:r w:rsidRPr="00241446">
        <w:rPr>
          <w:sz w:val="18"/>
          <w:szCs w:val="18"/>
          <w:u w:val="single"/>
        </w:rPr>
        <w:t>A regional prison cleared of hepatitis C in less than 12 months.</w:t>
      </w:r>
      <w:r w:rsidRPr="003834D2">
        <w:rPr>
          <w:sz w:val="18"/>
          <w:szCs w:val="18"/>
        </w:rPr>
        <w:t xml:space="preserve"> Keynote presentation at the </w:t>
      </w:r>
      <w:r w:rsidRPr="00241446">
        <w:rPr>
          <w:sz w:val="18"/>
          <w:szCs w:val="18"/>
        </w:rPr>
        <w:t>Australian Viral Hepatitis Elimination Conference 2017</w:t>
      </w:r>
      <w:r>
        <w:rPr>
          <w:sz w:val="18"/>
          <w:szCs w:val="18"/>
        </w:rPr>
        <w:t>,</w:t>
      </w:r>
      <w:r w:rsidRPr="003834D2">
        <w:rPr>
          <w:sz w:val="18"/>
          <w:szCs w:val="18"/>
        </w:rPr>
        <w:t xml:space="preserve"> 10 August 2017. </w:t>
      </w:r>
    </w:p>
  </w:endnote>
  <w:endnote w:id="9">
    <w:p w14:paraId="78C14972" w14:textId="4526CBD6" w:rsidR="00D560D6" w:rsidRPr="003834D2" w:rsidRDefault="00D560D6" w:rsidP="009D3E0C">
      <w:pPr>
        <w:pStyle w:val="EndnoteText"/>
        <w:spacing w:after="120"/>
        <w:rPr>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sidRPr="003834D2">
        <w:rPr>
          <w:rFonts w:cs="Segoe UI"/>
          <w:sz w:val="18"/>
          <w:szCs w:val="18"/>
        </w:rPr>
        <w:t xml:space="preserve">Kirby Institute. </w:t>
      </w:r>
      <w:r>
        <w:rPr>
          <w:rFonts w:cs="Segoe UI"/>
          <w:sz w:val="18"/>
          <w:szCs w:val="18"/>
        </w:rPr>
        <w:t xml:space="preserve">(2016). </w:t>
      </w:r>
      <w:r w:rsidRPr="003834D2">
        <w:rPr>
          <w:rFonts w:cs="Segoe UI"/>
          <w:sz w:val="18"/>
          <w:szCs w:val="18"/>
          <w:u w:val="single"/>
        </w:rPr>
        <w:t>National Blood-borne viruses and Sexually Transmissible Infections</w:t>
      </w:r>
      <w:r>
        <w:rPr>
          <w:rFonts w:cs="Segoe UI"/>
          <w:sz w:val="18"/>
          <w:szCs w:val="18"/>
          <w:u w:val="single"/>
        </w:rPr>
        <w:t>—</w:t>
      </w:r>
      <w:r w:rsidRPr="003834D2">
        <w:rPr>
          <w:rFonts w:cs="Segoe UI"/>
          <w:sz w:val="18"/>
          <w:szCs w:val="18"/>
          <w:u w:val="single"/>
        </w:rPr>
        <w:t>Surveillance and Monitoring Report, 2016</w:t>
      </w:r>
      <w:r>
        <w:rPr>
          <w:rFonts w:cs="Segoe UI"/>
          <w:sz w:val="18"/>
          <w:szCs w:val="18"/>
        </w:rPr>
        <w:t>. UNSW Sydney: Sydney.</w:t>
      </w:r>
    </w:p>
  </w:endnote>
  <w:endnote w:id="10">
    <w:p w14:paraId="2A2B862A" w14:textId="149550B3" w:rsidR="00D560D6" w:rsidRPr="003834D2" w:rsidRDefault="00D560D6" w:rsidP="00300855">
      <w:pPr>
        <w:pStyle w:val="EndnoteText"/>
        <w:spacing w:after="120"/>
        <w:rPr>
          <w:sz w:val="18"/>
          <w:szCs w:val="18"/>
        </w:rPr>
      </w:pPr>
      <w:r w:rsidRPr="003834D2">
        <w:rPr>
          <w:rStyle w:val="EndnoteReference"/>
          <w:sz w:val="18"/>
          <w:szCs w:val="18"/>
        </w:rPr>
        <w:endnoteRef/>
      </w:r>
      <w:r w:rsidRPr="003834D2">
        <w:rPr>
          <w:sz w:val="18"/>
          <w:szCs w:val="18"/>
        </w:rPr>
        <w:t xml:space="preserve"> Bartlett, S. R., P. Fox</w:t>
      </w:r>
      <w:r>
        <w:rPr>
          <w:sz w:val="18"/>
          <w:szCs w:val="18"/>
        </w:rPr>
        <w:t>,</w:t>
      </w:r>
      <w:r w:rsidRPr="003834D2">
        <w:rPr>
          <w:sz w:val="18"/>
          <w:szCs w:val="18"/>
        </w:rPr>
        <w:t xml:space="preserve"> H. Cabatingan </w:t>
      </w:r>
      <w:r w:rsidRPr="003834D2">
        <w:rPr>
          <w:i/>
          <w:sz w:val="18"/>
          <w:szCs w:val="18"/>
        </w:rPr>
        <w:t>et al.</w:t>
      </w:r>
      <w:r w:rsidRPr="003834D2">
        <w:rPr>
          <w:sz w:val="18"/>
          <w:szCs w:val="18"/>
        </w:rPr>
        <w:t xml:space="preserve"> </w:t>
      </w:r>
      <w:r>
        <w:rPr>
          <w:sz w:val="18"/>
          <w:szCs w:val="18"/>
        </w:rPr>
        <w:t>(2018). ‘</w:t>
      </w:r>
      <w:r w:rsidRPr="003834D2">
        <w:rPr>
          <w:sz w:val="18"/>
          <w:szCs w:val="18"/>
        </w:rPr>
        <w:t>Demonstration of near-elimination of hepatitis C virus among a prison population: the Lotus Glen Correction Centre hepatitis C treatment project.</w:t>
      </w:r>
      <w:r>
        <w:rPr>
          <w:sz w:val="18"/>
          <w:szCs w:val="18"/>
        </w:rPr>
        <w:t>’</w:t>
      </w:r>
      <w:r w:rsidRPr="003834D2">
        <w:rPr>
          <w:sz w:val="18"/>
          <w:szCs w:val="18"/>
        </w:rPr>
        <w:t xml:space="preserve"> </w:t>
      </w:r>
      <w:r w:rsidRPr="003834D2">
        <w:rPr>
          <w:sz w:val="18"/>
          <w:szCs w:val="18"/>
          <w:u w:val="single"/>
        </w:rPr>
        <w:t>Clinical Infectious Diseases</w:t>
      </w:r>
      <w:r w:rsidRPr="003834D2">
        <w:rPr>
          <w:sz w:val="18"/>
          <w:szCs w:val="18"/>
        </w:rPr>
        <w:t>, Early Manuscript</w:t>
      </w:r>
      <w:r>
        <w:rPr>
          <w:sz w:val="18"/>
          <w:szCs w:val="18"/>
        </w:rPr>
        <w:t>.</w:t>
      </w:r>
    </w:p>
  </w:endnote>
  <w:endnote w:id="11">
    <w:p w14:paraId="62C6B486" w14:textId="6EF01EE6" w:rsidR="00D560D6" w:rsidRPr="003834D2" w:rsidRDefault="00D560D6" w:rsidP="005D4F3E">
      <w:pPr>
        <w:pStyle w:val="EndnoteText"/>
        <w:spacing w:after="120"/>
        <w:rPr>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sidRPr="003834D2">
        <w:rPr>
          <w:rFonts w:cs="Segoe UI"/>
          <w:sz w:val="18"/>
          <w:szCs w:val="18"/>
        </w:rPr>
        <w:t xml:space="preserve">Kirby Institute. </w:t>
      </w:r>
      <w:r>
        <w:rPr>
          <w:rFonts w:cs="Segoe UI"/>
          <w:sz w:val="18"/>
          <w:szCs w:val="18"/>
        </w:rPr>
        <w:t xml:space="preserve">(2004–2017). </w:t>
      </w:r>
      <w:r w:rsidRPr="003834D2">
        <w:rPr>
          <w:rFonts w:cs="Segoe UI"/>
          <w:sz w:val="18"/>
          <w:szCs w:val="18"/>
          <w:u w:val="single"/>
        </w:rPr>
        <w:t>HIV, viral hepatitis and sexually transmissible infections in Australia, Annual Surveillance Reports 2004-2014</w:t>
      </w:r>
      <w:r>
        <w:rPr>
          <w:rFonts w:cs="Segoe UI"/>
          <w:sz w:val="18"/>
          <w:szCs w:val="18"/>
        </w:rPr>
        <w:t>. UNSW Sydney: Sydney.</w:t>
      </w:r>
    </w:p>
  </w:endnote>
  <w:endnote w:id="12">
    <w:p w14:paraId="7C086C84" w14:textId="77777777" w:rsidR="00D560D6" w:rsidRPr="003834D2" w:rsidRDefault="00D560D6" w:rsidP="005D4F3E">
      <w:pPr>
        <w:pStyle w:val="EndnoteText"/>
        <w:spacing w:after="120"/>
        <w:rPr>
          <w:b/>
          <w:sz w:val="18"/>
          <w:szCs w:val="18"/>
        </w:rPr>
      </w:pPr>
      <w:r w:rsidRPr="003834D2">
        <w:rPr>
          <w:rStyle w:val="EndnoteReference"/>
          <w:sz w:val="18"/>
          <w:szCs w:val="18"/>
        </w:rPr>
        <w:endnoteRef/>
      </w:r>
      <w:r w:rsidRPr="003834D2">
        <w:rPr>
          <w:sz w:val="18"/>
          <w:szCs w:val="18"/>
        </w:rPr>
        <w:t xml:space="preserve"> </w:t>
      </w:r>
      <w:r>
        <w:rPr>
          <w:sz w:val="18"/>
          <w:szCs w:val="18"/>
        </w:rPr>
        <w:t xml:space="preserve">The </w:t>
      </w:r>
      <w:r w:rsidRPr="003834D2">
        <w:rPr>
          <w:rFonts w:cs="Segoe UI"/>
          <w:sz w:val="18"/>
          <w:szCs w:val="18"/>
        </w:rPr>
        <w:t xml:space="preserve">Kirby Institute. </w:t>
      </w:r>
      <w:r>
        <w:rPr>
          <w:rFonts w:cs="Segoe UI"/>
          <w:sz w:val="18"/>
          <w:szCs w:val="18"/>
        </w:rPr>
        <w:t xml:space="preserve">(2017). </w:t>
      </w:r>
      <w:r w:rsidRPr="003834D2">
        <w:rPr>
          <w:rFonts w:cs="Segoe UI"/>
          <w:sz w:val="18"/>
          <w:szCs w:val="18"/>
          <w:u w:val="single"/>
        </w:rPr>
        <w:t>Bloodborne viral and sexually transmissible infections in Aboriginal and Torres Strait Islander people, Annual Surveillance Report 2017</w:t>
      </w:r>
      <w:r>
        <w:rPr>
          <w:rFonts w:cs="Segoe UI"/>
          <w:sz w:val="18"/>
          <w:szCs w:val="18"/>
        </w:rPr>
        <w:t>. UNSW Sydney: Sydney.</w:t>
      </w:r>
    </w:p>
  </w:endnote>
  <w:endnote w:id="13">
    <w:p w14:paraId="6A37FD1C" w14:textId="4982F7DD" w:rsidR="00D560D6" w:rsidRPr="003834D2" w:rsidRDefault="00D560D6" w:rsidP="00CA6801">
      <w:pPr>
        <w:pStyle w:val="EndnoteText"/>
        <w:spacing w:after="120"/>
        <w:rPr>
          <w:sz w:val="18"/>
          <w:szCs w:val="18"/>
        </w:rPr>
      </w:pPr>
      <w:r w:rsidRPr="003834D2">
        <w:rPr>
          <w:rStyle w:val="EndnoteReference"/>
          <w:sz w:val="18"/>
          <w:szCs w:val="18"/>
        </w:rPr>
        <w:endnoteRef/>
      </w:r>
      <w:r w:rsidRPr="003834D2">
        <w:rPr>
          <w:sz w:val="18"/>
          <w:szCs w:val="18"/>
        </w:rPr>
        <w:t xml:space="preserve"> Gifford, S. M., M. L. O’Brien, G. Bammer, C. Banwell</w:t>
      </w:r>
      <w:r>
        <w:rPr>
          <w:sz w:val="18"/>
          <w:szCs w:val="18"/>
        </w:rPr>
        <w:t>,</w:t>
      </w:r>
      <w:r w:rsidRPr="003834D2">
        <w:rPr>
          <w:sz w:val="18"/>
          <w:szCs w:val="18"/>
        </w:rPr>
        <w:t xml:space="preserve"> and M. Stoove. </w:t>
      </w:r>
      <w:r>
        <w:rPr>
          <w:sz w:val="18"/>
          <w:szCs w:val="18"/>
        </w:rPr>
        <w:t>(2003). ‘</w:t>
      </w:r>
      <w:r w:rsidRPr="003834D2">
        <w:rPr>
          <w:sz w:val="18"/>
          <w:szCs w:val="18"/>
        </w:rPr>
        <w:t>Australian women’s experiences of living with hepatitis C virus: results from a cross-sectional survey.</w:t>
      </w:r>
      <w:r>
        <w:rPr>
          <w:sz w:val="18"/>
          <w:szCs w:val="18"/>
        </w:rPr>
        <w:t>’</w:t>
      </w:r>
      <w:r w:rsidRPr="003834D2">
        <w:rPr>
          <w:sz w:val="18"/>
          <w:szCs w:val="18"/>
        </w:rPr>
        <w:t xml:space="preserve"> </w:t>
      </w:r>
      <w:r w:rsidRPr="003834D2">
        <w:rPr>
          <w:sz w:val="18"/>
          <w:szCs w:val="18"/>
          <w:u w:val="single"/>
        </w:rPr>
        <w:t>Journal of Gastroenterology and Hepatology</w:t>
      </w:r>
      <w:r w:rsidRPr="003834D2">
        <w:rPr>
          <w:sz w:val="18"/>
          <w:szCs w:val="18"/>
        </w:rPr>
        <w:t>,</w:t>
      </w:r>
      <w:r w:rsidRPr="003834D2">
        <w:rPr>
          <w:b/>
          <w:sz w:val="18"/>
          <w:szCs w:val="18"/>
        </w:rPr>
        <w:t xml:space="preserve"> 18</w:t>
      </w:r>
      <w:r w:rsidRPr="003834D2">
        <w:rPr>
          <w:sz w:val="18"/>
          <w:szCs w:val="18"/>
        </w:rPr>
        <w:t>(7):841</w:t>
      </w:r>
      <w:r>
        <w:rPr>
          <w:sz w:val="18"/>
          <w:szCs w:val="18"/>
        </w:rPr>
        <w:t>–8</w:t>
      </w:r>
      <w:r w:rsidRPr="003834D2">
        <w:rPr>
          <w:sz w:val="18"/>
          <w:szCs w:val="18"/>
        </w:rPr>
        <w:t>50.</w:t>
      </w:r>
    </w:p>
  </w:endnote>
  <w:endnote w:id="14">
    <w:p w14:paraId="00F61070" w14:textId="742335BF" w:rsidR="00D560D6" w:rsidRPr="003834D2" w:rsidRDefault="00D560D6" w:rsidP="00CA6801">
      <w:pPr>
        <w:pStyle w:val="EndnoteText"/>
        <w:spacing w:after="120"/>
        <w:rPr>
          <w:sz w:val="18"/>
          <w:szCs w:val="18"/>
        </w:rPr>
      </w:pPr>
      <w:r w:rsidRPr="003834D2">
        <w:rPr>
          <w:rStyle w:val="EndnoteReference"/>
          <w:sz w:val="18"/>
          <w:szCs w:val="18"/>
        </w:rPr>
        <w:endnoteRef/>
      </w:r>
      <w:r w:rsidRPr="003834D2">
        <w:rPr>
          <w:sz w:val="18"/>
          <w:szCs w:val="18"/>
        </w:rPr>
        <w:t xml:space="preserve"> Hepatitis Australia. </w:t>
      </w:r>
      <w:r>
        <w:rPr>
          <w:sz w:val="18"/>
          <w:szCs w:val="18"/>
        </w:rPr>
        <w:t xml:space="preserve">(2015). </w:t>
      </w:r>
      <w:r w:rsidRPr="003834D2">
        <w:rPr>
          <w:sz w:val="18"/>
          <w:szCs w:val="18"/>
          <w:u w:val="single"/>
        </w:rPr>
        <w:t>Women and Hepatitis C</w:t>
      </w:r>
      <w:r w:rsidRPr="003834D2">
        <w:rPr>
          <w:sz w:val="18"/>
          <w:szCs w:val="18"/>
        </w:rPr>
        <w:t>. Accessed 9 April 2018</w:t>
      </w:r>
      <w:r>
        <w:rPr>
          <w:sz w:val="18"/>
          <w:szCs w:val="18"/>
        </w:rPr>
        <w:t xml:space="preserve"> at: </w:t>
      </w:r>
      <w:hyperlink r:id="rId3" w:tooltip="Hepatitis Australia" w:history="1">
        <w:r w:rsidRPr="003834D2">
          <w:rPr>
            <w:rStyle w:val="Hyperlink"/>
            <w:sz w:val="18"/>
            <w:szCs w:val="18"/>
          </w:rPr>
          <w:t>https://www.hepatitisaustralia.com/living-with-hepatitis-c/women-and-hepatitis-c</w:t>
        </w:r>
      </w:hyperlink>
      <w:r>
        <w:rPr>
          <w:sz w:val="18"/>
          <w:szCs w:val="18"/>
        </w:rPr>
        <w:t>.</w:t>
      </w:r>
      <w:r w:rsidRPr="003834D2">
        <w:rPr>
          <w:sz w:val="18"/>
          <w:szCs w:val="18"/>
        </w:rPr>
        <w:t xml:space="preserve"> </w:t>
      </w:r>
    </w:p>
  </w:endnote>
  <w:endnote w:id="15">
    <w:p w14:paraId="7AE1566D" w14:textId="07A17CE8" w:rsidR="00D560D6" w:rsidRPr="003834D2" w:rsidRDefault="00D560D6" w:rsidP="00AF0E8D">
      <w:pPr>
        <w:pStyle w:val="EndnoteText"/>
        <w:spacing w:after="120"/>
        <w:rPr>
          <w:sz w:val="18"/>
          <w:szCs w:val="18"/>
        </w:rPr>
      </w:pPr>
      <w:r w:rsidRPr="003834D2">
        <w:rPr>
          <w:rStyle w:val="EndnoteReference"/>
          <w:sz w:val="18"/>
          <w:szCs w:val="18"/>
        </w:rPr>
        <w:endnoteRef/>
      </w:r>
      <w:r w:rsidRPr="003834D2">
        <w:rPr>
          <w:sz w:val="18"/>
          <w:szCs w:val="18"/>
        </w:rPr>
        <w:t xml:space="preserve"> </w:t>
      </w:r>
      <w:r w:rsidRPr="003834D2">
        <w:rPr>
          <w:rFonts w:cs="Segoe UI"/>
          <w:sz w:val="18"/>
          <w:szCs w:val="18"/>
        </w:rPr>
        <w:t>Wansom</w:t>
      </w:r>
      <w:r>
        <w:rPr>
          <w:rFonts w:cs="Segoe UI"/>
          <w:sz w:val="18"/>
          <w:szCs w:val="18"/>
        </w:rPr>
        <w:t>,</w:t>
      </w:r>
      <w:r w:rsidRPr="003834D2">
        <w:rPr>
          <w:rFonts w:cs="Segoe UI"/>
          <w:sz w:val="18"/>
          <w:szCs w:val="18"/>
        </w:rPr>
        <w:t xml:space="preserve"> T</w:t>
      </w:r>
      <w:r>
        <w:rPr>
          <w:rFonts w:cs="Segoe UI"/>
          <w:sz w:val="18"/>
          <w:szCs w:val="18"/>
        </w:rPr>
        <w:t>.</w:t>
      </w:r>
      <w:r w:rsidRPr="003834D2">
        <w:rPr>
          <w:rFonts w:cs="Segoe UI"/>
          <w:sz w:val="18"/>
          <w:szCs w:val="18"/>
        </w:rPr>
        <w:t xml:space="preserve">, </w:t>
      </w:r>
      <w:r>
        <w:rPr>
          <w:rFonts w:cs="Segoe UI"/>
          <w:sz w:val="18"/>
          <w:szCs w:val="18"/>
        </w:rPr>
        <w:t xml:space="preserve">O. </w:t>
      </w:r>
      <w:r w:rsidRPr="003834D2">
        <w:rPr>
          <w:rFonts w:cs="Segoe UI"/>
          <w:sz w:val="18"/>
          <w:szCs w:val="18"/>
        </w:rPr>
        <w:t xml:space="preserve">Falade-Nwulia, </w:t>
      </w:r>
      <w:r>
        <w:rPr>
          <w:rFonts w:cs="Segoe UI"/>
          <w:sz w:val="18"/>
          <w:szCs w:val="18"/>
        </w:rPr>
        <w:t xml:space="preserve">C. G. </w:t>
      </w:r>
      <w:r w:rsidRPr="003834D2">
        <w:rPr>
          <w:rFonts w:cs="Segoe UI"/>
          <w:sz w:val="18"/>
          <w:szCs w:val="18"/>
        </w:rPr>
        <w:t>Sutcliffe</w:t>
      </w:r>
      <w:r>
        <w:rPr>
          <w:rFonts w:cs="Segoe UI"/>
          <w:sz w:val="18"/>
          <w:szCs w:val="18"/>
        </w:rPr>
        <w:t xml:space="preserve"> </w:t>
      </w:r>
      <w:r w:rsidRPr="00DE6BC9">
        <w:rPr>
          <w:rFonts w:cs="Segoe UI"/>
          <w:i/>
          <w:sz w:val="18"/>
          <w:szCs w:val="18"/>
        </w:rPr>
        <w:t>et al.</w:t>
      </w:r>
      <w:r w:rsidRPr="003834D2">
        <w:rPr>
          <w:rFonts w:cs="Segoe UI"/>
          <w:sz w:val="18"/>
          <w:szCs w:val="18"/>
        </w:rPr>
        <w:t xml:space="preserve"> </w:t>
      </w:r>
      <w:r>
        <w:rPr>
          <w:rFonts w:cs="Segoe UI"/>
          <w:sz w:val="18"/>
          <w:szCs w:val="18"/>
        </w:rPr>
        <w:t>(2017). ‘</w:t>
      </w:r>
      <w:r w:rsidRPr="003834D2">
        <w:rPr>
          <w:rFonts w:cs="Segoe UI"/>
          <w:sz w:val="18"/>
          <w:szCs w:val="18"/>
        </w:rPr>
        <w:t>Barriers to Hepatitis C Virus (HEPATITIS C) Treatment Initiation in Patients With Human Immunodeficiency Virus/HEPATITIS C Coinfection: Lessons From the Interferon Era.</w:t>
      </w:r>
      <w:r>
        <w:rPr>
          <w:rFonts w:cs="Segoe UI"/>
          <w:sz w:val="18"/>
          <w:szCs w:val="18"/>
        </w:rPr>
        <w:t>’</w:t>
      </w:r>
      <w:r w:rsidRPr="003834D2">
        <w:rPr>
          <w:rFonts w:cs="Segoe UI"/>
          <w:sz w:val="18"/>
          <w:szCs w:val="18"/>
        </w:rPr>
        <w:t xml:space="preserve"> </w:t>
      </w:r>
      <w:r w:rsidRPr="003834D2">
        <w:rPr>
          <w:rFonts w:cs="Segoe UI"/>
          <w:sz w:val="18"/>
          <w:szCs w:val="18"/>
          <w:u w:val="single"/>
        </w:rPr>
        <w:t>Open Forum Infectious Diseases</w:t>
      </w:r>
      <w:r>
        <w:rPr>
          <w:rFonts w:cs="Segoe UI"/>
          <w:sz w:val="18"/>
          <w:szCs w:val="18"/>
        </w:rPr>
        <w:t xml:space="preserve">, </w:t>
      </w:r>
      <w:r w:rsidRPr="00F52E20">
        <w:rPr>
          <w:rFonts w:cs="Segoe UI"/>
          <w:b/>
          <w:sz w:val="18"/>
          <w:szCs w:val="18"/>
        </w:rPr>
        <w:t>4</w:t>
      </w:r>
      <w:r>
        <w:rPr>
          <w:rFonts w:cs="Segoe UI"/>
          <w:sz w:val="18"/>
          <w:szCs w:val="18"/>
        </w:rPr>
        <w:t>(1):</w:t>
      </w:r>
      <w:r w:rsidRPr="00F52E20">
        <w:rPr>
          <w:rStyle w:val="cit"/>
          <w:sz w:val="18"/>
          <w:lang w:val="en"/>
        </w:rPr>
        <w:t>ofx024</w:t>
      </w:r>
      <w:r>
        <w:rPr>
          <w:rStyle w:val="cit"/>
          <w:sz w:val="18"/>
          <w:lang w:val="en"/>
        </w:rPr>
        <w:t>.</w:t>
      </w:r>
    </w:p>
  </w:endnote>
  <w:endnote w:id="16">
    <w:p w14:paraId="31BD8737" w14:textId="3A72B57C" w:rsidR="00D560D6" w:rsidRPr="003834D2" w:rsidRDefault="00D560D6" w:rsidP="00AF0E8D">
      <w:pPr>
        <w:pStyle w:val="EndnoteText"/>
        <w:spacing w:after="120"/>
        <w:rPr>
          <w:sz w:val="18"/>
          <w:szCs w:val="18"/>
        </w:rPr>
      </w:pPr>
      <w:r w:rsidRPr="003834D2">
        <w:rPr>
          <w:rStyle w:val="EndnoteReference"/>
          <w:sz w:val="18"/>
          <w:szCs w:val="18"/>
        </w:rPr>
        <w:endnoteRef/>
      </w:r>
      <w:r w:rsidRPr="003834D2">
        <w:rPr>
          <w:sz w:val="18"/>
          <w:szCs w:val="18"/>
        </w:rPr>
        <w:t xml:space="preserve"> Wyles, D</w:t>
      </w:r>
      <w:r>
        <w:rPr>
          <w:sz w:val="18"/>
          <w:szCs w:val="18"/>
        </w:rPr>
        <w:t>.L., M. S. Sulkowski, and D. Dieterich. (2016).</w:t>
      </w:r>
      <w:r w:rsidRPr="003834D2">
        <w:rPr>
          <w:sz w:val="18"/>
          <w:szCs w:val="18"/>
        </w:rPr>
        <w:t xml:space="preserve"> </w:t>
      </w:r>
      <w:r>
        <w:rPr>
          <w:sz w:val="18"/>
          <w:szCs w:val="18"/>
        </w:rPr>
        <w:t>‘</w:t>
      </w:r>
      <w:r w:rsidRPr="003834D2">
        <w:rPr>
          <w:sz w:val="18"/>
          <w:szCs w:val="18"/>
        </w:rPr>
        <w:t xml:space="preserve">Management of Hepatitis C/HIV Coinfection in the Era of Highly Effective Hepatitis C Virus </w:t>
      </w:r>
      <w:r>
        <w:rPr>
          <w:sz w:val="18"/>
          <w:szCs w:val="18"/>
        </w:rPr>
        <w:t>Direct-Acting Antiviral Therapy.’</w:t>
      </w:r>
      <w:r w:rsidRPr="003834D2">
        <w:rPr>
          <w:sz w:val="18"/>
          <w:szCs w:val="18"/>
        </w:rPr>
        <w:t xml:space="preserve"> </w:t>
      </w:r>
      <w:r w:rsidRPr="003834D2">
        <w:rPr>
          <w:sz w:val="18"/>
          <w:szCs w:val="18"/>
          <w:u w:val="single"/>
        </w:rPr>
        <w:t>Clinical Infectious Diseases</w:t>
      </w:r>
      <w:r>
        <w:rPr>
          <w:sz w:val="18"/>
          <w:szCs w:val="18"/>
        </w:rPr>
        <w:t xml:space="preserve">, </w:t>
      </w:r>
      <w:r w:rsidRPr="00F52E20">
        <w:rPr>
          <w:b/>
          <w:sz w:val="18"/>
          <w:szCs w:val="18"/>
        </w:rPr>
        <w:t>63</w:t>
      </w:r>
      <w:r>
        <w:rPr>
          <w:sz w:val="18"/>
          <w:szCs w:val="18"/>
        </w:rPr>
        <w:t>(Supp. 1):</w:t>
      </w:r>
      <w:r w:rsidRPr="00F52E20">
        <w:rPr>
          <w:rFonts w:cs="Segoe UI"/>
          <w:sz w:val="18"/>
        </w:rPr>
        <w:t>S3</w:t>
      </w:r>
      <w:r>
        <w:rPr>
          <w:rFonts w:cs="Segoe UI"/>
          <w:sz w:val="18"/>
        </w:rPr>
        <w:t>–</w:t>
      </w:r>
      <w:r w:rsidRPr="00F52E20">
        <w:rPr>
          <w:rFonts w:cs="Segoe UI"/>
          <w:sz w:val="18"/>
        </w:rPr>
        <w:t>S11</w:t>
      </w:r>
      <w:r>
        <w:rPr>
          <w:rFonts w:cs="Segoe UI"/>
          <w:sz w:val="18"/>
        </w:rPr>
        <w:t>.</w:t>
      </w:r>
    </w:p>
  </w:endnote>
  <w:endnote w:id="17">
    <w:p w14:paraId="4EF9127C" w14:textId="1ACF82F2" w:rsidR="00D560D6" w:rsidRPr="003834D2" w:rsidRDefault="00D560D6" w:rsidP="00AF0E8D">
      <w:pPr>
        <w:pStyle w:val="EndnoteText"/>
        <w:spacing w:after="120"/>
        <w:rPr>
          <w:sz w:val="18"/>
          <w:szCs w:val="18"/>
        </w:rPr>
      </w:pPr>
      <w:r w:rsidRPr="003834D2">
        <w:rPr>
          <w:rStyle w:val="EndnoteReference"/>
          <w:sz w:val="18"/>
          <w:szCs w:val="18"/>
        </w:rPr>
        <w:endnoteRef/>
      </w:r>
      <w:r w:rsidRPr="003834D2">
        <w:rPr>
          <w:sz w:val="18"/>
          <w:szCs w:val="18"/>
        </w:rPr>
        <w:t xml:space="preserve"> Scott, N</w:t>
      </w:r>
      <w:r>
        <w:rPr>
          <w:sz w:val="18"/>
          <w:szCs w:val="18"/>
        </w:rPr>
        <w:t xml:space="preserve">., M. </w:t>
      </w:r>
      <w:r w:rsidRPr="003834D2">
        <w:rPr>
          <w:rFonts w:cs="Segoe UI"/>
          <w:sz w:val="18"/>
          <w:szCs w:val="18"/>
        </w:rPr>
        <w:t>Stoové</w:t>
      </w:r>
      <w:r>
        <w:rPr>
          <w:sz w:val="18"/>
          <w:szCs w:val="18"/>
        </w:rPr>
        <w:t xml:space="preserve">, D. P. Wilson </w:t>
      </w:r>
      <w:r w:rsidRPr="002D2DAC">
        <w:rPr>
          <w:i/>
          <w:sz w:val="18"/>
          <w:szCs w:val="18"/>
        </w:rPr>
        <w:t>et al.</w:t>
      </w:r>
      <w:r>
        <w:rPr>
          <w:sz w:val="18"/>
          <w:szCs w:val="18"/>
        </w:rPr>
        <w:t xml:space="preserve"> (2018).</w:t>
      </w:r>
      <w:r w:rsidRPr="003834D2">
        <w:rPr>
          <w:sz w:val="18"/>
          <w:szCs w:val="18"/>
        </w:rPr>
        <w:t xml:space="preserve"> </w:t>
      </w:r>
      <w:r>
        <w:rPr>
          <w:sz w:val="18"/>
          <w:szCs w:val="18"/>
        </w:rPr>
        <w:t>‘</w:t>
      </w:r>
      <w:r w:rsidRPr="003834D2">
        <w:rPr>
          <w:sz w:val="18"/>
          <w:szCs w:val="18"/>
        </w:rPr>
        <w:t>Eliminating hepatitis C virus as a public health threat among HIV-positive men who have sex with men: a multi-modelling approach to understand differences in sexual risk behaviour</w:t>
      </w:r>
      <w:r>
        <w:rPr>
          <w:sz w:val="18"/>
          <w:szCs w:val="18"/>
        </w:rPr>
        <w:t xml:space="preserve">.’ </w:t>
      </w:r>
      <w:r w:rsidRPr="00F52E20">
        <w:rPr>
          <w:sz w:val="18"/>
          <w:szCs w:val="18"/>
          <w:u w:val="single"/>
        </w:rPr>
        <w:t>Journal of the International AIDS Society</w:t>
      </w:r>
      <w:r>
        <w:rPr>
          <w:sz w:val="18"/>
          <w:szCs w:val="18"/>
        </w:rPr>
        <w:t xml:space="preserve">, </w:t>
      </w:r>
      <w:r w:rsidRPr="00F52E20">
        <w:rPr>
          <w:b/>
          <w:sz w:val="18"/>
          <w:szCs w:val="18"/>
        </w:rPr>
        <w:t>21</w:t>
      </w:r>
      <w:r>
        <w:rPr>
          <w:sz w:val="18"/>
          <w:szCs w:val="18"/>
        </w:rPr>
        <w:t>(1):</w:t>
      </w:r>
      <w:r w:rsidRPr="00F52E20">
        <w:rPr>
          <w:rFonts w:cs="Segoe UI"/>
          <w:sz w:val="18"/>
        </w:rPr>
        <w:t>10.1002/jia2.25059</w:t>
      </w:r>
      <w:r>
        <w:rPr>
          <w:rFonts w:cs="Segoe UI"/>
          <w:sz w:val="18"/>
        </w:rPr>
        <w:t>.</w:t>
      </w:r>
    </w:p>
  </w:endnote>
  <w:endnote w:id="18">
    <w:p w14:paraId="44470027" w14:textId="31657688" w:rsidR="00D560D6" w:rsidRPr="003834D2" w:rsidRDefault="00D560D6" w:rsidP="00411EF6">
      <w:pPr>
        <w:pStyle w:val="EndnoteText"/>
        <w:spacing w:after="120"/>
        <w:rPr>
          <w:sz w:val="18"/>
          <w:szCs w:val="18"/>
        </w:rPr>
      </w:pPr>
      <w:r w:rsidRPr="003834D2">
        <w:rPr>
          <w:rStyle w:val="EndnoteReference"/>
          <w:sz w:val="18"/>
          <w:szCs w:val="18"/>
        </w:rPr>
        <w:endnoteRef/>
      </w:r>
      <w:r w:rsidRPr="003834D2">
        <w:rPr>
          <w:sz w:val="18"/>
          <w:szCs w:val="18"/>
        </w:rPr>
        <w:t xml:space="preserve"> World Health Organization. </w:t>
      </w:r>
      <w:r>
        <w:rPr>
          <w:sz w:val="18"/>
          <w:szCs w:val="18"/>
        </w:rPr>
        <w:t xml:space="preserve">(2017). </w:t>
      </w:r>
      <w:r w:rsidRPr="003834D2">
        <w:rPr>
          <w:sz w:val="18"/>
          <w:szCs w:val="18"/>
          <w:u w:val="single"/>
        </w:rPr>
        <w:t>Hepatitis C Fact Sheet.</w:t>
      </w:r>
      <w:r w:rsidRPr="003834D2">
        <w:rPr>
          <w:sz w:val="18"/>
          <w:szCs w:val="18"/>
        </w:rPr>
        <w:t xml:space="preserve"> Published October 2017. Accessed 15 March </w:t>
      </w:r>
      <w:r>
        <w:rPr>
          <w:sz w:val="18"/>
          <w:szCs w:val="18"/>
        </w:rPr>
        <w:t xml:space="preserve">2018 </w:t>
      </w:r>
      <w:r w:rsidRPr="003834D2">
        <w:rPr>
          <w:sz w:val="18"/>
          <w:szCs w:val="18"/>
        </w:rPr>
        <w:t>at</w:t>
      </w:r>
      <w:r>
        <w:rPr>
          <w:sz w:val="18"/>
          <w:szCs w:val="18"/>
        </w:rPr>
        <w:t>:</w:t>
      </w:r>
      <w:r w:rsidRPr="003834D2">
        <w:rPr>
          <w:sz w:val="18"/>
          <w:szCs w:val="18"/>
        </w:rPr>
        <w:t xml:space="preserve"> </w:t>
      </w:r>
      <w:hyperlink r:id="rId4" w:tooltip="World Health Organization " w:history="1">
        <w:r w:rsidRPr="003834D2">
          <w:rPr>
            <w:rStyle w:val="Hyperlink"/>
            <w:sz w:val="18"/>
            <w:szCs w:val="18"/>
          </w:rPr>
          <w:t>http://www.who.int/mediacentre/factsheets/fs164/en/</w:t>
        </w:r>
      </w:hyperlink>
    </w:p>
  </w:endnote>
  <w:endnote w:id="19">
    <w:p w14:paraId="72DDC197" w14:textId="2D180ECC" w:rsidR="00D560D6" w:rsidRPr="003834D2" w:rsidRDefault="00D560D6" w:rsidP="008B06EC">
      <w:pPr>
        <w:pStyle w:val="EndnoteText"/>
        <w:spacing w:after="120"/>
        <w:rPr>
          <w:sz w:val="18"/>
          <w:szCs w:val="18"/>
        </w:rPr>
      </w:pPr>
      <w:r w:rsidRPr="003834D2">
        <w:rPr>
          <w:rStyle w:val="EndnoteReference"/>
          <w:sz w:val="18"/>
          <w:szCs w:val="18"/>
        </w:rPr>
        <w:endnoteRef/>
      </w:r>
      <w:r w:rsidRPr="003834D2">
        <w:rPr>
          <w:sz w:val="18"/>
          <w:szCs w:val="18"/>
        </w:rPr>
        <w:t xml:space="preserve"> Dore, G. </w:t>
      </w:r>
      <w:r>
        <w:rPr>
          <w:sz w:val="18"/>
          <w:szCs w:val="18"/>
        </w:rPr>
        <w:t xml:space="preserve">(2017). </w:t>
      </w:r>
      <w:r w:rsidRPr="003834D2">
        <w:rPr>
          <w:sz w:val="18"/>
          <w:szCs w:val="18"/>
          <w:u w:val="single"/>
        </w:rPr>
        <w:t>Hepatitis C: The treatment landscape in 2017</w:t>
      </w:r>
      <w:r>
        <w:rPr>
          <w:sz w:val="18"/>
          <w:szCs w:val="18"/>
          <w:u w:val="single"/>
        </w:rPr>
        <w:t>—</w:t>
      </w:r>
      <w:r w:rsidRPr="003834D2">
        <w:rPr>
          <w:sz w:val="18"/>
          <w:szCs w:val="18"/>
          <w:u w:val="single"/>
        </w:rPr>
        <w:t>on the road to HCV elimination?</w:t>
      </w:r>
      <w:r w:rsidRPr="003834D2">
        <w:rPr>
          <w:sz w:val="18"/>
          <w:szCs w:val="18"/>
        </w:rPr>
        <w:t xml:space="preserve"> Presented </w:t>
      </w:r>
      <w:r>
        <w:rPr>
          <w:sz w:val="18"/>
          <w:szCs w:val="18"/>
        </w:rPr>
        <w:t xml:space="preserve">at the 2017 Australasian Viral Hepatitis Elimination Conference, </w:t>
      </w:r>
      <w:r w:rsidRPr="003834D2">
        <w:rPr>
          <w:sz w:val="18"/>
          <w:szCs w:val="18"/>
        </w:rPr>
        <w:t xml:space="preserve">10 August 2017. </w:t>
      </w:r>
    </w:p>
  </w:endnote>
  <w:endnote w:id="20">
    <w:p w14:paraId="4058AD80" w14:textId="77777777" w:rsidR="00D560D6" w:rsidRPr="003834D2" w:rsidRDefault="00D560D6" w:rsidP="00253AC9">
      <w:pPr>
        <w:pStyle w:val="EndnoteText"/>
        <w:spacing w:after="120"/>
        <w:rPr>
          <w:sz w:val="18"/>
          <w:szCs w:val="18"/>
        </w:rPr>
      </w:pPr>
      <w:r w:rsidRPr="003834D2">
        <w:rPr>
          <w:rStyle w:val="EndnoteReference"/>
          <w:sz w:val="18"/>
          <w:szCs w:val="18"/>
        </w:rPr>
        <w:endnoteRef/>
      </w:r>
      <w:r w:rsidRPr="003834D2">
        <w:rPr>
          <w:sz w:val="18"/>
          <w:szCs w:val="18"/>
        </w:rPr>
        <w:t xml:space="preserve"> Australian Institute of Health and Welfare</w:t>
      </w:r>
      <w:r>
        <w:rPr>
          <w:sz w:val="18"/>
          <w:szCs w:val="18"/>
        </w:rPr>
        <w:t xml:space="preserve"> (AIHW). (2015)</w:t>
      </w:r>
      <w:r w:rsidRPr="003834D2">
        <w:rPr>
          <w:sz w:val="18"/>
          <w:szCs w:val="18"/>
        </w:rPr>
        <w:t xml:space="preserve">. </w:t>
      </w:r>
      <w:r w:rsidRPr="003834D2">
        <w:rPr>
          <w:sz w:val="18"/>
          <w:szCs w:val="18"/>
          <w:u w:val="single"/>
        </w:rPr>
        <w:t>The health of Australia’s prisoners 2015</w:t>
      </w:r>
      <w:r w:rsidRPr="003834D2">
        <w:rPr>
          <w:sz w:val="18"/>
          <w:szCs w:val="18"/>
        </w:rPr>
        <w:t xml:space="preserve">. </w:t>
      </w:r>
      <w:r>
        <w:rPr>
          <w:sz w:val="18"/>
          <w:szCs w:val="18"/>
        </w:rPr>
        <w:t>AIHW: Canberra.</w:t>
      </w:r>
    </w:p>
  </w:endnote>
  <w:endnote w:id="21">
    <w:p w14:paraId="2504D3DB" w14:textId="0EFC6E2C"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Department of Health. </w:t>
      </w:r>
      <w:r>
        <w:rPr>
          <w:sz w:val="18"/>
          <w:szCs w:val="18"/>
        </w:rPr>
        <w:t xml:space="preserve">(2009). </w:t>
      </w:r>
      <w:r w:rsidRPr="003834D2">
        <w:rPr>
          <w:sz w:val="18"/>
          <w:szCs w:val="18"/>
          <w:u w:val="single"/>
        </w:rPr>
        <w:t>Return on investment 2: evaluating the cost-effectiveness of needle and syringe programs in Australia</w:t>
      </w:r>
      <w:r w:rsidRPr="003834D2">
        <w:rPr>
          <w:sz w:val="18"/>
          <w:szCs w:val="18"/>
        </w:rPr>
        <w:t>. Accessed 27 February 2018 at</w:t>
      </w:r>
      <w:r>
        <w:rPr>
          <w:sz w:val="18"/>
          <w:szCs w:val="18"/>
        </w:rPr>
        <w:t>:</w:t>
      </w:r>
      <w:r w:rsidRPr="003834D2">
        <w:rPr>
          <w:sz w:val="18"/>
          <w:szCs w:val="18"/>
        </w:rPr>
        <w:t xml:space="preserve"> </w:t>
      </w:r>
      <w:hyperlink r:id="rId5" w:history="1">
        <w:r w:rsidRPr="003834D2">
          <w:rPr>
            <w:rStyle w:val="Hyperlink"/>
            <w:sz w:val="18"/>
            <w:szCs w:val="18"/>
          </w:rPr>
          <w:t>http://www.health.gov.au/internet/main/publishing.nsf/content/A407CF4FECBDC715CA257BF0001F98B2/%24File/return2.pdf</w:t>
        </w:r>
      </w:hyperlink>
    </w:p>
  </w:endnote>
  <w:endnote w:id="22">
    <w:p w14:paraId="45402F8E" w14:textId="175E7059"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w:t>
      </w:r>
      <w:r w:rsidRPr="003834D2">
        <w:rPr>
          <w:rFonts w:cs="Segoe UI"/>
          <w:sz w:val="18"/>
          <w:szCs w:val="18"/>
        </w:rPr>
        <w:t>Turner</w:t>
      </w:r>
      <w:r>
        <w:rPr>
          <w:rFonts w:cs="Segoe UI"/>
          <w:sz w:val="18"/>
          <w:szCs w:val="18"/>
        </w:rPr>
        <w:t>,</w:t>
      </w:r>
      <w:r w:rsidRPr="003834D2">
        <w:rPr>
          <w:rFonts w:cs="Segoe UI"/>
          <w:sz w:val="18"/>
          <w:szCs w:val="18"/>
        </w:rPr>
        <w:t xml:space="preserve"> K</w:t>
      </w:r>
      <w:r>
        <w:rPr>
          <w:rFonts w:cs="Segoe UI"/>
          <w:sz w:val="18"/>
          <w:szCs w:val="18"/>
        </w:rPr>
        <w:t>.</w:t>
      </w:r>
      <w:r w:rsidRPr="003834D2">
        <w:rPr>
          <w:rFonts w:cs="Segoe UI"/>
          <w:sz w:val="18"/>
          <w:szCs w:val="18"/>
        </w:rPr>
        <w:t xml:space="preserve">, </w:t>
      </w:r>
      <w:r>
        <w:rPr>
          <w:rFonts w:cs="Segoe UI"/>
          <w:sz w:val="18"/>
          <w:szCs w:val="18"/>
        </w:rPr>
        <w:t xml:space="preserve">S. </w:t>
      </w:r>
      <w:r w:rsidRPr="003834D2">
        <w:rPr>
          <w:rFonts w:cs="Segoe UI"/>
          <w:sz w:val="18"/>
          <w:szCs w:val="18"/>
        </w:rPr>
        <w:t xml:space="preserve">Hutchinson, </w:t>
      </w:r>
      <w:r>
        <w:rPr>
          <w:rFonts w:cs="Segoe UI"/>
          <w:sz w:val="18"/>
          <w:szCs w:val="18"/>
        </w:rPr>
        <w:t xml:space="preserve">P. Vickerman </w:t>
      </w:r>
      <w:r w:rsidRPr="002D2DAC">
        <w:rPr>
          <w:rFonts w:cs="Segoe UI"/>
          <w:i/>
          <w:sz w:val="18"/>
          <w:szCs w:val="18"/>
        </w:rPr>
        <w:t>et al.</w:t>
      </w:r>
      <w:r>
        <w:rPr>
          <w:rFonts w:cs="Segoe UI"/>
          <w:sz w:val="18"/>
          <w:szCs w:val="18"/>
        </w:rPr>
        <w:t xml:space="preserve"> (2011). ‘</w:t>
      </w:r>
      <w:r w:rsidRPr="003834D2">
        <w:rPr>
          <w:rFonts w:cs="Segoe UI"/>
          <w:sz w:val="18"/>
          <w:szCs w:val="18"/>
        </w:rPr>
        <w:t>The impact of needle and syringe provision and opiate substitution therapy on the incidence of hepatitis C virus in injecting drug users: pooling of UK evidence.</w:t>
      </w:r>
      <w:r>
        <w:rPr>
          <w:rFonts w:cs="Segoe UI"/>
          <w:sz w:val="18"/>
          <w:szCs w:val="18"/>
        </w:rPr>
        <w:t>’</w:t>
      </w:r>
      <w:r w:rsidRPr="003834D2">
        <w:rPr>
          <w:rFonts w:cs="Segoe UI"/>
          <w:sz w:val="18"/>
          <w:szCs w:val="18"/>
        </w:rPr>
        <w:t xml:space="preserve"> </w:t>
      </w:r>
      <w:r w:rsidRPr="00F52E20">
        <w:rPr>
          <w:rFonts w:cs="Segoe UI"/>
          <w:sz w:val="18"/>
          <w:szCs w:val="18"/>
          <w:u w:val="single"/>
        </w:rPr>
        <w:t>Addiction</w:t>
      </w:r>
      <w:r>
        <w:rPr>
          <w:rFonts w:cs="Segoe UI"/>
          <w:sz w:val="18"/>
          <w:szCs w:val="18"/>
        </w:rPr>
        <w:t>,</w:t>
      </w:r>
      <w:r w:rsidRPr="003834D2">
        <w:rPr>
          <w:rFonts w:cs="Segoe UI"/>
          <w:sz w:val="18"/>
          <w:szCs w:val="18"/>
        </w:rPr>
        <w:t xml:space="preserve"> </w:t>
      </w:r>
      <w:r w:rsidRPr="00F52E20">
        <w:rPr>
          <w:rFonts w:cs="Segoe UI"/>
          <w:b/>
          <w:sz w:val="18"/>
          <w:szCs w:val="18"/>
        </w:rPr>
        <w:t>106</w:t>
      </w:r>
      <w:r w:rsidRPr="003834D2">
        <w:rPr>
          <w:rFonts w:cs="Segoe UI"/>
          <w:sz w:val="18"/>
          <w:szCs w:val="18"/>
        </w:rPr>
        <w:t>(11):1978</w:t>
      </w:r>
      <w:r>
        <w:rPr>
          <w:rFonts w:cs="Segoe UI"/>
          <w:sz w:val="18"/>
          <w:szCs w:val="18"/>
        </w:rPr>
        <w:t>–</w:t>
      </w:r>
      <w:r w:rsidRPr="003834D2">
        <w:rPr>
          <w:rFonts w:cs="Segoe UI"/>
          <w:sz w:val="18"/>
          <w:szCs w:val="18"/>
        </w:rPr>
        <w:t>1988.</w:t>
      </w:r>
    </w:p>
  </w:endnote>
  <w:endnote w:id="23">
    <w:p w14:paraId="4A6D40DD" w14:textId="51715EDE"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Australasian Society for HIV, Viral Hepatitis and Sexual Health Medicine</w:t>
      </w:r>
      <w:r w:rsidRPr="003834D2">
        <w:rPr>
          <w:rFonts w:cs="Segoe UI"/>
          <w:sz w:val="18"/>
          <w:szCs w:val="18"/>
        </w:rPr>
        <w:t xml:space="preserve"> (ASHM). </w:t>
      </w:r>
      <w:r>
        <w:rPr>
          <w:rFonts w:cs="Segoe UI"/>
          <w:sz w:val="18"/>
          <w:szCs w:val="18"/>
        </w:rPr>
        <w:t xml:space="preserve">(2016). </w:t>
      </w:r>
      <w:r w:rsidRPr="00F52E20">
        <w:rPr>
          <w:rFonts w:cs="Segoe UI"/>
          <w:sz w:val="18"/>
          <w:szCs w:val="18"/>
          <w:u w:val="single"/>
        </w:rPr>
        <w:t>Prisons Could Unlock Hepatitis C Free Future</w:t>
      </w:r>
      <w:r>
        <w:rPr>
          <w:rFonts w:cs="Segoe UI"/>
          <w:sz w:val="18"/>
          <w:szCs w:val="18"/>
        </w:rPr>
        <w:t xml:space="preserve"> [press release], 8 September 2016. Accessed 23 February at: </w:t>
      </w:r>
      <w:hyperlink r:id="rId6" w:tooltip="ASHM" w:history="1">
        <w:r w:rsidRPr="009F5940">
          <w:rPr>
            <w:rStyle w:val="Hyperlink"/>
            <w:rFonts w:cs="Segoe UI"/>
            <w:sz w:val="18"/>
            <w:szCs w:val="18"/>
          </w:rPr>
          <w:t>http://www.ashm.org.au/news/prisons-could-unlock-hepatitis-c-free-future/</w:t>
        </w:r>
      </w:hyperlink>
    </w:p>
  </w:endnote>
  <w:endnote w:id="24">
    <w:p w14:paraId="5C5E35CD" w14:textId="21B04633"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w:t>
      </w:r>
      <w:r w:rsidRPr="003834D2">
        <w:rPr>
          <w:rFonts w:cs="Segoe UI"/>
          <w:sz w:val="18"/>
          <w:szCs w:val="18"/>
        </w:rPr>
        <w:t>Stoové, M., C. J. Treloar, L. Maher, H. Tyrell</w:t>
      </w:r>
      <w:r>
        <w:rPr>
          <w:rFonts w:cs="Segoe UI"/>
          <w:sz w:val="18"/>
          <w:szCs w:val="18"/>
        </w:rPr>
        <w:t>,</w:t>
      </w:r>
      <w:r w:rsidRPr="003834D2">
        <w:rPr>
          <w:rFonts w:cs="Segoe UI"/>
          <w:sz w:val="18"/>
          <w:szCs w:val="18"/>
        </w:rPr>
        <w:t xml:space="preserve"> and J. Wallace.</w:t>
      </w:r>
      <w:r>
        <w:rPr>
          <w:rFonts w:cs="Segoe UI"/>
          <w:sz w:val="18"/>
          <w:szCs w:val="18"/>
        </w:rPr>
        <w:t xml:space="preserve"> (2015).</w:t>
      </w:r>
      <w:r w:rsidRPr="003834D2">
        <w:rPr>
          <w:rFonts w:cs="Segoe UI"/>
          <w:sz w:val="18"/>
          <w:szCs w:val="18"/>
        </w:rPr>
        <w:t xml:space="preserve"> </w:t>
      </w:r>
      <w:r>
        <w:rPr>
          <w:rFonts w:cs="Segoe UI"/>
          <w:sz w:val="18"/>
          <w:szCs w:val="18"/>
        </w:rPr>
        <w:t>‘</w:t>
      </w:r>
      <w:r w:rsidRPr="003834D2">
        <w:rPr>
          <w:rFonts w:cs="Segoe UI"/>
          <w:sz w:val="18"/>
          <w:szCs w:val="18"/>
        </w:rPr>
        <w:t>Salvaging a prison needle and syringe program trial in Australia requires leadership and respect for evidence.</w:t>
      </w:r>
      <w:r>
        <w:rPr>
          <w:rFonts w:cs="Segoe UI"/>
          <w:sz w:val="18"/>
          <w:szCs w:val="18"/>
        </w:rPr>
        <w:t>’</w:t>
      </w:r>
      <w:r w:rsidRPr="003834D2">
        <w:rPr>
          <w:rFonts w:cs="Segoe UI"/>
          <w:sz w:val="18"/>
          <w:szCs w:val="18"/>
        </w:rPr>
        <w:t xml:space="preserve"> </w:t>
      </w:r>
      <w:r w:rsidRPr="00F52E20">
        <w:rPr>
          <w:rFonts w:cs="Segoe UI"/>
          <w:sz w:val="18"/>
          <w:szCs w:val="18"/>
          <w:u w:val="single"/>
        </w:rPr>
        <w:t>Medical Journal of Australia</w:t>
      </w:r>
      <w:r w:rsidRPr="003834D2">
        <w:rPr>
          <w:rFonts w:cs="Segoe UI"/>
          <w:sz w:val="18"/>
          <w:szCs w:val="18"/>
        </w:rPr>
        <w:t xml:space="preserve">, </w:t>
      </w:r>
      <w:r w:rsidRPr="00F52E20">
        <w:rPr>
          <w:rFonts w:cs="Segoe UI"/>
          <w:b/>
          <w:sz w:val="18"/>
          <w:szCs w:val="18"/>
        </w:rPr>
        <w:t>203</w:t>
      </w:r>
      <w:r w:rsidRPr="003834D2">
        <w:rPr>
          <w:rFonts w:cs="Segoe UI"/>
          <w:sz w:val="18"/>
          <w:szCs w:val="18"/>
        </w:rPr>
        <w:t>(8):319</w:t>
      </w:r>
      <w:r>
        <w:rPr>
          <w:rFonts w:cs="Segoe UI"/>
          <w:sz w:val="18"/>
          <w:szCs w:val="18"/>
        </w:rPr>
        <w:t>–3</w:t>
      </w:r>
      <w:r w:rsidRPr="003834D2">
        <w:rPr>
          <w:rFonts w:cs="Segoe UI"/>
          <w:sz w:val="18"/>
          <w:szCs w:val="18"/>
        </w:rPr>
        <w:t>20</w:t>
      </w:r>
      <w:r>
        <w:rPr>
          <w:rFonts w:cs="Segoe UI"/>
          <w:sz w:val="18"/>
          <w:szCs w:val="18"/>
        </w:rPr>
        <w:t>.</w:t>
      </w:r>
    </w:p>
  </w:endnote>
  <w:endnote w:id="25">
    <w:p w14:paraId="2542D94F" w14:textId="4BF133DB"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Islam, M. M.</w:t>
      </w:r>
      <w:r>
        <w:rPr>
          <w:sz w:val="18"/>
          <w:szCs w:val="18"/>
        </w:rPr>
        <w:t>,</w:t>
      </w:r>
      <w:r w:rsidRPr="003834D2">
        <w:rPr>
          <w:sz w:val="18"/>
          <w:szCs w:val="18"/>
        </w:rPr>
        <w:t xml:space="preserve"> and K. M. Conigrave. </w:t>
      </w:r>
      <w:r>
        <w:rPr>
          <w:sz w:val="18"/>
          <w:szCs w:val="18"/>
        </w:rPr>
        <w:t>(2007). ‘</w:t>
      </w:r>
      <w:r w:rsidRPr="003834D2">
        <w:rPr>
          <w:sz w:val="18"/>
          <w:szCs w:val="18"/>
        </w:rPr>
        <w:t>Assessing the role of syringe dispensing machines and mobile van outlets in reaching hard-to-reach and high-risk groups of injecting drug users (IDUs): a review.</w:t>
      </w:r>
      <w:r>
        <w:rPr>
          <w:sz w:val="18"/>
          <w:szCs w:val="18"/>
        </w:rPr>
        <w:t>’</w:t>
      </w:r>
      <w:r w:rsidRPr="003834D2">
        <w:rPr>
          <w:sz w:val="18"/>
          <w:szCs w:val="18"/>
        </w:rPr>
        <w:t xml:space="preserve"> </w:t>
      </w:r>
      <w:r w:rsidRPr="00F52E20">
        <w:rPr>
          <w:sz w:val="18"/>
          <w:szCs w:val="18"/>
          <w:u w:val="single"/>
        </w:rPr>
        <w:t>Harm Reduction Journal</w:t>
      </w:r>
      <w:r>
        <w:rPr>
          <w:sz w:val="18"/>
          <w:szCs w:val="18"/>
        </w:rPr>
        <w:t>,</w:t>
      </w:r>
      <w:r w:rsidRPr="00F52E20">
        <w:rPr>
          <w:sz w:val="18"/>
          <w:szCs w:val="18"/>
        </w:rPr>
        <w:t xml:space="preserve"> </w:t>
      </w:r>
      <w:r w:rsidRPr="00F52E20">
        <w:rPr>
          <w:b/>
          <w:sz w:val="18"/>
          <w:szCs w:val="18"/>
        </w:rPr>
        <w:t>4</w:t>
      </w:r>
      <w:r>
        <w:rPr>
          <w:sz w:val="18"/>
          <w:szCs w:val="18"/>
        </w:rPr>
        <w:t>:14.</w:t>
      </w:r>
    </w:p>
  </w:endnote>
  <w:endnote w:id="26">
    <w:p w14:paraId="10976B64" w14:textId="184382E9" w:rsidR="00D560D6" w:rsidRPr="003834D2" w:rsidRDefault="00D560D6" w:rsidP="00215B49">
      <w:pPr>
        <w:pStyle w:val="EndnoteText"/>
        <w:spacing w:after="120"/>
        <w:rPr>
          <w:sz w:val="18"/>
          <w:szCs w:val="18"/>
        </w:rPr>
      </w:pPr>
      <w:r w:rsidRPr="003834D2">
        <w:rPr>
          <w:rStyle w:val="EndnoteReference"/>
          <w:sz w:val="18"/>
          <w:szCs w:val="18"/>
        </w:rPr>
        <w:endnoteRef/>
      </w:r>
      <w:r w:rsidRPr="003834D2">
        <w:rPr>
          <w:sz w:val="18"/>
          <w:szCs w:val="18"/>
        </w:rPr>
        <w:t xml:space="preserve"> Hellard, M. D.</w:t>
      </w:r>
      <w:r>
        <w:rPr>
          <w:sz w:val="18"/>
          <w:szCs w:val="18"/>
        </w:rPr>
        <w:t>,</w:t>
      </w:r>
      <w:r w:rsidRPr="003834D2">
        <w:rPr>
          <w:sz w:val="18"/>
          <w:szCs w:val="18"/>
        </w:rPr>
        <w:t xml:space="preserve"> A. Rolls, R. Sacks-Davis</w:t>
      </w:r>
      <w:r>
        <w:rPr>
          <w:sz w:val="18"/>
          <w:szCs w:val="18"/>
        </w:rPr>
        <w:t xml:space="preserve"> </w:t>
      </w:r>
      <w:r w:rsidRPr="002D2DAC">
        <w:rPr>
          <w:i/>
          <w:sz w:val="18"/>
          <w:szCs w:val="18"/>
        </w:rPr>
        <w:t xml:space="preserve">et </w:t>
      </w:r>
      <w:r w:rsidRPr="004F1B2F">
        <w:rPr>
          <w:sz w:val="18"/>
          <w:szCs w:val="18"/>
        </w:rPr>
        <w:t>al.</w:t>
      </w:r>
      <w:r>
        <w:rPr>
          <w:sz w:val="18"/>
          <w:szCs w:val="18"/>
        </w:rPr>
        <w:t xml:space="preserve"> (</w:t>
      </w:r>
      <w:r w:rsidRPr="004F1B2F">
        <w:rPr>
          <w:sz w:val="18"/>
          <w:szCs w:val="18"/>
        </w:rPr>
        <w:t>2014</w:t>
      </w:r>
      <w:r>
        <w:rPr>
          <w:sz w:val="18"/>
          <w:szCs w:val="18"/>
        </w:rPr>
        <w:t>) ‘</w:t>
      </w:r>
      <w:r w:rsidRPr="003834D2">
        <w:rPr>
          <w:sz w:val="18"/>
          <w:szCs w:val="18"/>
        </w:rPr>
        <w:t>The impact of injecting networks on hepatitis C transmission and treatment in people who inject drugs.</w:t>
      </w:r>
      <w:r>
        <w:rPr>
          <w:sz w:val="18"/>
          <w:szCs w:val="18"/>
        </w:rPr>
        <w:t>’</w:t>
      </w:r>
      <w:r w:rsidRPr="003834D2">
        <w:rPr>
          <w:sz w:val="18"/>
          <w:szCs w:val="18"/>
        </w:rPr>
        <w:t xml:space="preserve"> </w:t>
      </w:r>
      <w:r w:rsidRPr="00F52E20">
        <w:rPr>
          <w:sz w:val="18"/>
          <w:szCs w:val="18"/>
          <w:u w:val="single"/>
        </w:rPr>
        <w:t>Hepatology</w:t>
      </w:r>
      <w:r w:rsidRPr="003834D2">
        <w:rPr>
          <w:sz w:val="18"/>
          <w:szCs w:val="18"/>
        </w:rPr>
        <w:t>,</w:t>
      </w:r>
      <w:r>
        <w:rPr>
          <w:sz w:val="18"/>
          <w:szCs w:val="18"/>
        </w:rPr>
        <w:t xml:space="preserve"> 60(6)</w:t>
      </w:r>
      <w:r w:rsidRPr="003834D2">
        <w:rPr>
          <w:sz w:val="18"/>
          <w:szCs w:val="18"/>
        </w:rPr>
        <w:t>:1861</w:t>
      </w:r>
      <w:r>
        <w:rPr>
          <w:sz w:val="18"/>
          <w:szCs w:val="18"/>
        </w:rPr>
        <w:t>–</w:t>
      </w:r>
      <w:r w:rsidRPr="003834D2">
        <w:rPr>
          <w:sz w:val="18"/>
          <w:szCs w:val="18"/>
        </w:rPr>
        <w:t>1870</w:t>
      </w:r>
      <w:r>
        <w:rPr>
          <w:sz w:val="18"/>
          <w:szCs w:val="18"/>
        </w:rPr>
        <w:t>.</w:t>
      </w:r>
    </w:p>
  </w:endnote>
  <w:endnote w:id="27">
    <w:p w14:paraId="1BFF9DF1" w14:textId="28FA65F9"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Spera, A. M., R. K. Eldin, G. Tosone</w:t>
      </w:r>
      <w:r>
        <w:rPr>
          <w:sz w:val="18"/>
          <w:szCs w:val="18"/>
        </w:rPr>
        <w:t>,</w:t>
      </w:r>
      <w:r w:rsidRPr="003834D2">
        <w:rPr>
          <w:sz w:val="18"/>
          <w:szCs w:val="18"/>
        </w:rPr>
        <w:t xml:space="preserve"> and R. Orlando. </w:t>
      </w:r>
      <w:r>
        <w:rPr>
          <w:sz w:val="18"/>
          <w:szCs w:val="18"/>
        </w:rPr>
        <w:t>(2016). ‘</w:t>
      </w:r>
      <w:r w:rsidRPr="003834D2">
        <w:rPr>
          <w:sz w:val="18"/>
          <w:szCs w:val="18"/>
        </w:rPr>
        <w:t>Antiviral therapy for hepatitis C: has anything changed for pregnant/lactating women?</w:t>
      </w:r>
      <w:r>
        <w:rPr>
          <w:sz w:val="18"/>
          <w:szCs w:val="18"/>
        </w:rPr>
        <w:t>’</w:t>
      </w:r>
      <w:r w:rsidRPr="003834D2">
        <w:rPr>
          <w:sz w:val="18"/>
          <w:szCs w:val="18"/>
        </w:rPr>
        <w:t xml:space="preserve"> </w:t>
      </w:r>
      <w:r w:rsidRPr="00F52E20">
        <w:rPr>
          <w:sz w:val="18"/>
          <w:szCs w:val="18"/>
          <w:u w:val="single"/>
        </w:rPr>
        <w:t>World Journal of Hepatology</w:t>
      </w:r>
      <w:r w:rsidRPr="003834D2">
        <w:rPr>
          <w:sz w:val="18"/>
          <w:szCs w:val="18"/>
        </w:rPr>
        <w:t xml:space="preserve">, </w:t>
      </w:r>
      <w:r w:rsidRPr="00F52E20">
        <w:rPr>
          <w:b/>
          <w:sz w:val="18"/>
          <w:szCs w:val="18"/>
        </w:rPr>
        <w:t>8</w:t>
      </w:r>
      <w:r w:rsidRPr="003834D2">
        <w:rPr>
          <w:sz w:val="18"/>
          <w:szCs w:val="18"/>
        </w:rPr>
        <w:t>(12):557</w:t>
      </w:r>
      <w:r>
        <w:rPr>
          <w:sz w:val="18"/>
          <w:szCs w:val="18"/>
        </w:rPr>
        <w:t>–</w:t>
      </w:r>
      <w:r w:rsidRPr="003834D2">
        <w:rPr>
          <w:sz w:val="18"/>
          <w:szCs w:val="18"/>
        </w:rPr>
        <w:t>565</w:t>
      </w:r>
      <w:r>
        <w:rPr>
          <w:sz w:val="18"/>
          <w:szCs w:val="18"/>
        </w:rPr>
        <w:t>.</w:t>
      </w:r>
    </w:p>
  </w:endnote>
  <w:endnote w:id="28">
    <w:p w14:paraId="385AEC62" w14:textId="2447B5F8"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ASHM. </w:t>
      </w:r>
      <w:r>
        <w:rPr>
          <w:sz w:val="18"/>
          <w:szCs w:val="18"/>
        </w:rPr>
        <w:t xml:space="preserve">(2016). </w:t>
      </w:r>
      <w:r w:rsidRPr="00F52E20">
        <w:rPr>
          <w:sz w:val="18"/>
          <w:szCs w:val="18"/>
          <w:u w:val="single"/>
        </w:rPr>
        <w:t>National Hepatitis C Testing Policy</w:t>
      </w:r>
      <w:r w:rsidRPr="003834D2">
        <w:rPr>
          <w:sz w:val="18"/>
          <w:szCs w:val="18"/>
        </w:rPr>
        <w:t>. Accessed 27 February 2018 at</w:t>
      </w:r>
      <w:r>
        <w:rPr>
          <w:sz w:val="18"/>
          <w:szCs w:val="18"/>
        </w:rPr>
        <w:t>:</w:t>
      </w:r>
      <w:r w:rsidRPr="003834D2">
        <w:rPr>
          <w:sz w:val="18"/>
          <w:szCs w:val="18"/>
        </w:rPr>
        <w:t xml:space="preserve"> </w:t>
      </w:r>
      <w:hyperlink r:id="rId7" w:tooltip="Testing Portal" w:history="1">
        <w:r w:rsidRPr="003834D2">
          <w:rPr>
            <w:rStyle w:val="Hyperlink"/>
            <w:sz w:val="18"/>
            <w:szCs w:val="18"/>
          </w:rPr>
          <w:t>http://testingportal.ashm.org.au/images/HCV/HCV_TESTING_POLICY_Mar_2017.pdf</w:t>
        </w:r>
      </w:hyperlink>
    </w:p>
  </w:endnote>
  <w:endnote w:id="29">
    <w:p w14:paraId="132B5088" w14:textId="4BB8C290"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Gastroenterological Society of Australia. </w:t>
      </w:r>
      <w:r>
        <w:rPr>
          <w:sz w:val="18"/>
          <w:szCs w:val="18"/>
        </w:rPr>
        <w:t xml:space="preserve">(2017). </w:t>
      </w:r>
      <w:r w:rsidRPr="00F52E20">
        <w:rPr>
          <w:sz w:val="18"/>
          <w:szCs w:val="18"/>
          <w:u w:val="single"/>
        </w:rPr>
        <w:t>Hepatitis C Treatment</w:t>
      </w:r>
      <w:r w:rsidRPr="003834D2">
        <w:rPr>
          <w:sz w:val="18"/>
          <w:szCs w:val="18"/>
        </w:rPr>
        <w:t>. Accessed 27 February 2018 at</w:t>
      </w:r>
      <w:r>
        <w:rPr>
          <w:sz w:val="18"/>
          <w:szCs w:val="18"/>
        </w:rPr>
        <w:t>:</w:t>
      </w:r>
      <w:r w:rsidRPr="003834D2">
        <w:rPr>
          <w:sz w:val="18"/>
          <w:szCs w:val="18"/>
        </w:rPr>
        <w:t xml:space="preserve"> </w:t>
      </w:r>
      <w:hyperlink r:id="rId8" w:tooltip="Gastroenterological Society of Australia" w:history="1">
        <w:r w:rsidRPr="003834D2">
          <w:rPr>
            <w:rStyle w:val="Hyperlink"/>
            <w:sz w:val="18"/>
            <w:szCs w:val="18"/>
          </w:rPr>
          <w:t>http://www.gesa.org.au/resources/hepatitis-c-treatment/</w:t>
        </w:r>
      </w:hyperlink>
    </w:p>
  </w:endnote>
  <w:endnote w:id="30">
    <w:p w14:paraId="7FBD3E94" w14:textId="1775C88C" w:rsidR="00D560D6" w:rsidRPr="003834D2" w:rsidRDefault="00D560D6" w:rsidP="00361CC5">
      <w:pPr>
        <w:pStyle w:val="EndnoteText"/>
        <w:spacing w:after="120"/>
        <w:rPr>
          <w:sz w:val="18"/>
          <w:szCs w:val="18"/>
          <w:lang w:val="en-US"/>
        </w:rPr>
      </w:pPr>
      <w:r w:rsidRPr="003834D2">
        <w:rPr>
          <w:rStyle w:val="EndnoteReference"/>
          <w:sz w:val="18"/>
          <w:szCs w:val="18"/>
        </w:rPr>
        <w:endnoteRef/>
      </w:r>
      <w:r w:rsidRPr="003834D2">
        <w:rPr>
          <w:sz w:val="18"/>
          <w:szCs w:val="18"/>
        </w:rPr>
        <w:t xml:space="preserve"> </w:t>
      </w:r>
      <w:r w:rsidRPr="003834D2">
        <w:rPr>
          <w:sz w:val="18"/>
          <w:szCs w:val="18"/>
          <w:lang w:val="en-US"/>
        </w:rPr>
        <w:t>Baumert, T. F., F. J</w:t>
      </w:r>
      <w:r w:rsidRPr="003834D2">
        <w:rPr>
          <w:rFonts w:cs="Segoe UI"/>
          <w:sz w:val="18"/>
          <w:szCs w:val="18"/>
          <w:lang w:val="en-US"/>
        </w:rPr>
        <w:t>ü</w:t>
      </w:r>
      <w:r w:rsidRPr="003834D2">
        <w:rPr>
          <w:sz w:val="18"/>
          <w:szCs w:val="18"/>
          <w:lang w:val="en-US"/>
        </w:rPr>
        <w:t>hling, A. Ono</w:t>
      </w:r>
      <w:r>
        <w:rPr>
          <w:sz w:val="18"/>
          <w:szCs w:val="18"/>
          <w:lang w:val="en-US"/>
        </w:rPr>
        <w:t>,</w:t>
      </w:r>
      <w:r w:rsidRPr="003834D2">
        <w:rPr>
          <w:sz w:val="18"/>
          <w:szCs w:val="18"/>
          <w:lang w:val="en-US"/>
        </w:rPr>
        <w:t xml:space="preserve"> and Y. Hoshida. </w:t>
      </w:r>
      <w:r>
        <w:rPr>
          <w:sz w:val="18"/>
          <w:szCs w:val="18"/>
          <w:lang w:val="en-US"/>
        </w:rPr>
        <w:t>(2017). ‘</w:t>
      </w:r>
      <w:r w:rsidRPr="003834D2">
        <w:rPr>
          <w:sz w:val="18"/>
          <w:szCs w:val="18"/>
          <w:lang w:val="en-US"/>
        </w:rPr>
        <w:t>Hepatitis C-related hepatocellular carcinoma in the era of new generation antivirals.</w:t>
      </w:r>
      <w:r>
        <w:rPr>
          <w:sz w:val="18"/>
          <w:szCs w:val="18"/>
          <w:lang w:val="en-US"/>
        </w:rPr>
        <w:t>’</w:t>
      </w:r>
      <w:r w:rsidRPr="003834D2">
        <w:rPr>
          <w:sz w:val="18"/>
          <w:szCs w:val="18"/>
          <w:lang w:val="en-US"/>
        </w:rPr>
        <w:t xml:space="preserve"> </w:t>
      </w:r>
      <w:r w:rsidRPr="00F52E20">
        <w:rPr>
          <w:sz w:val="18"/>
          <w:szCs w:val="18"/>
          <w:u w:val="single"/>
          <w:lang w:val="en-US"/>
        </w:rPr>
        <w:t>BMC Medicine</w:t>
      </w:r>
      <w:r w:rsidRPr="003834D2">
        <w:rPr>
          <w:sz w:val="18"/>
          <w:szCs w:val="18"/>
          <w:lang w:val="en-US"/>
        </w:rPr>
        <w:t>,</w:t>
      </w:r>
      <w:r w:rsidRPr="00F52E20">
        <w:rPr>
          <w:b/>
          <w:sz w:val="18"/>
          <w:szCs w:val="18"/>
          <w:lang w:val="en-US"/>
        </w:rPr>
        <w:t xml:space="preserve"> 15</w:t>
      </w:r>
      <w:r w:rsidRPr="003834D2">
        <w:rPr>
          <w:sz w:val="18"/>
          <w:szCs w:val="18"/>
          <w:lang w:val="en-US"/>
        </w:rPr>
        <w:t>(52):1</w:t>
      </w:r>
      <w:r>
        <w:rPr>
          <w:sz w:val="18"/>
          <w:szCs w:val="18"/>
          <w:lang w:val="en-US"/>
        </w:rPr>
        <w:t>–</w:t>
      </w:r>
      <w:r w:rsidRPr="003834D2">
        <w:rPr>
          <w:sz w:val="18"/>
          <w:szCs w:val="18"/>
          <w:lang w:val="en-US"/>
        </w:rPr>
        <w:t>10</w:t>
      </w:r>
      <w:r>
        <w:rPr>
          <w:sz w:val="18"/>
          <w:szCs w:val="18"/>
          <w:lang w:val="en-US"/>
        </w:rPr>
        <w:t>.</w:t>
      </w:r>
    </w:p>
  </w:endnote>
  <w:endnote w:id="31">
    <w:p w14:paraId="1A16B76B" w14:textId="7D257AF2" w:rsidR="00D560D6" w:rsidRPr="003834D2" w:rsidRDefault="00D560D6" w:rsidP="005B4521">
      <w:pPr>
        <w:pStyle w:val="EndnoteText"/>
        <w:spacing w:after="120"/>
        <w:rPr>
          <w:sz w:val="18"/>
          <w:szCs w:val="18"/>
        </w:rPr>
      </w:pPr>
      <w:r w:rsidRPr="003834D2">
        <w:rPr>
          <w:rStyle w:val="EndnoteReference"/>
          <w:sz w:val="18"/>
          <w:szCs w:val="18"/>
        </w:rPr>
        <w:endnoteRef/>
      </w:r>
      <w:r w:rsidRPr="003834D2">
        <w:rPr>
          <w:sz w:val="18"/>
          <w:szCs w:val="18"/>
        </w:rPr>
        <w:t xml:space="preserve"> Lloyd, A. R., J. Clegg</w:t>
      </w:r>
      <w:r>
        <w:rPr>
          <w:sz w:val="18"/>
          <w:szCs w:val="18"/>
        </w:rPr>
        <w:t>,</w:t>
      </w:r>
      <w:r w:rsidRPr="003834D2">
        <w:rPr>
          <w:sz w:val="18"/>
          <w:szCs w:val="18"/>
        </w:rPr>
        <w:t xml:space="preserve"> J. Lange </w:t>
      </w:r>
      <w:r w:rsidRPr="003834D2">
        <w:rPr>
          <w:i/>
          <w:sz w:val="18"/>
          <w:szCs w:val="18"/>
        </w:rPr>
        <w:t>et al.</w:t>
      </w:r>
      <w:r w:rsidRPr="003834D2">
        <w:rPr>
          <w:sz w:val="18"/>
          <w:szCs w:val="18"/>
        </w:rPr>
        <w:t xml:space="preserve"> </w:t>
      </w:r>
      <w:r>
        <w:rPr>
          <w:sz w:val="18"/>
          <w:szCs w:val="18"/>
        </w:rPr>
        <w:t>(2013). ‘</w:t>
      </w:r>
      <w:r w:rsidRPr="003834D2">
        <w:rPr>
          <w:sz w:val="18"/>
          <w:szCs w:val="18"/>
        </w:rPr>
        <w:t>Safety and effectiveness of a nurse-led outreach program for assessment and treatment of chronic hepatitis C in the custodial setting.</w:t>
      </w:r>
      <w:r>
        <w:rPr>
          <w:sz w:val="18"/>
          <w:szCs w:val="18"/>
        </w:rPr>
        <w:t>’</w:t>
      </w:r>
      <w:r w:rsidRPr="003834D2">
        <w:rPr>
          <w:sz w:val="18"/>
          <w:szCs w:val="18"/>
        </w:rPr>
        <w:t xml:space="preserve"> </w:t>
      </w:r>
      <w:r w:rsidRPr="00F52E20">
        <w:rPr>
          <w:sz w:val="18"/>
          <w:szCs w:val="18"/>
          <w:u w:val="single"/>
        </w:rPr>
        <w:t>Clinical Infectious Diseases</w:t>
      </w:r>
      <w:r w:rsidRPr="003834D2">
        <w:rPr>
          <w:sz w:val="18"/>
          <w:szCs w:val="18"/>
        </w:rPr>
        <w:t xml:space="preserve">, </w:t>
      </w:r>
      <w:r w:rsidRPr="00F52E20">
        <w:rPr>
          <w:b/>
          <w:sz w:val="18"/>
          <w:szCs w:val="18"/>
        </w:rPr>
        <w:t>56</w:t>
      </w:r>
      <w:r w:rsidRPr="003834D2">
        <w:rPr>
          <w:sz w:val="18"/>
          <w:szCs w:val="18"/>
        </w:rPr>
        <w:t>(9):1078</w:t>
      </w:r>
      <w:r>
        <w:rPr>
          <w:sz w:val="18"/>
          <w:szCs w:val="18"/>
        </w:rPr>
        <w:t>–</w:t>
      </w:r>
      <w:r w:rsidRPr="003834D2">
        <w:rPr>
          <w:sz w:val="18"/>
          <w:szCs w:val="18"/>
        </w:rPr>
        <w:t>1084</w:t>
      </w:r>
      <w:r>
        <w:rPr>
          <w:sz w:val="18"/>
          <w:szCs w:val="18"/>
        </w:rPr>
        <w:t>.</w:t>
      </w:r>
    </w:p>
  </w:endnote>
  <w:endnote w:id="32">
    <w:p w14:paraId="74873CE3" w14:textId="4FB8CD3B" w:rsidR="00D560D6" w:rsidRPr="003834D2" w:rsidRDefault="00D560D6" w:rsidP="005B4521">
      <w:pPr>
        <w:pStyle w:val="EndnoteText"/>
        <w:spacing w:after="120"/>
        <w:rPr>
          <w:sz w:val="18"/>
          <w:szCs w:val="18"/>
        </w:rPr>
      </w:pPr>
      <w:r w:rsidRPr="003834D2">
        <w:rPr>
          <w:rStyle w:val="EndnoteReference"/>
          <w:sz w:val="18"/>
          <w:szCs w:val="18"/>
        </w:rPr>
        <w:endnoteRef/>
      </w:r>
      <w:r w:rsidRPr="003834D2">
        <w:rPr>
          <w:sz w:val="18"/>
          <w:szCs w:val="18"/>
        </w:rPr>
        <w:t xml:space="preserve"> Department of Health and Human Services Victoria. </w:t>
      </w:r>
      <w:r>
        <w:rPr>
          <w:sz w:val="18"/>
          <w:szCs w:val="18"/>
        </w:rPr>
        <w:t>(2016). ‘</w:t>
      </w:r>
      <w:r w:rsidRPr="003834D2">
        <w:rPr>
          <w:sz w:val="18"/>
          <w:szCs w:val="18"/>
        </w:rPr>
        <w:t>Highlight: Prison Programs.</w:t>
      </w:r>
      <w:r>
        <w:rPr>
          <w:sz w:val="18"/>
          <w:szCs w:val="18"/>
        </w:rPr>
        <w:t>’ In:</w:t>
      </w:r>
      <w:r w:rsidRPr="003834D2">
        <w:rPr>
          <w:sz w:val="18"/>
          <w:szCs w:val="18"/>
        </w:rPr>
        <w:t xml:space="preserve"> </w:t>
      </w:r>
      <w:r w:rsidRPr="00F52E20">
        <w:rPr>
          <w:sz w:val="18"/>
          <w:szCs w:val="18"/>
          <w:u w:val="single"/>
        </w:rPr>
        <w:t>Victorian hepatitis C strategy 2016</w:t>
      </w:r>
      <w:r>
        <w:rPr>
          <w:sz w:val="18"/>
          <w:szCs w:val="18"/>
          <w:u w:val="single"/>
        </w:rPr>
        <w:t>–</w:t>
      </w:r>
      <w:r w:rsidRPr="00F52E20">
        <w:rPr>
          <w:sz w:val="18"/>
          <w:szCs w:val="18"/>
          <w:u w:val="single"/>
        </w:rPr>
        <w:t>2020</w:t>
      </w:r>
      <w:r w:rsidRPr="003834D2">
        <w:rPr>
          <w:sz w:val="18"/>
          <w:szCs w:val="18"/>
        </w:rPr>
        <w:t>, p</w:t>
      </w:r>
      <w:r>
        <w:rPr>
          <w:sz w:val="18"/>
          <w:szCs w:val="18"/>
        </w:rPr>
        <w:t>.</w:t>
      </w:r>
      <w:r w:rsidRPr="003834D2">
        <w:rPr>
          <w:sz w:val="18"/>
          <w:szCs w:val="18"/>
        </w:rPr>
        <w:t xml:space="preserve"> 15. </w:t>
      </w:r>
    </w:p>
  </w:endnote>
  <w:endnote w:id="33">
    <w:p w14:paraId="0337D970" w14:textId="22964D8F"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Richmond, J. A., T. L. Dunning</w:t>
      </w:r>
      <w:r>
        <w:rPr>
          <w:sz w:val="18"/>
          <w:szCs w:val="18"/>
        </w:rPr>
        <w:t>,</w:t>
      </w:r>
      <w:r w:rsidRPr="003834D2">
        <w:rPr>
          <w:sz w:val="18"/>
          <w:szCs w:val="18"/>
        </w:rPr>
        <w:t xml:space="preserve"> and O. V Desmond. </w:t>
      </w:r>
      <w:r>
        <w:rPr>
          <w:sz w:val="18"/>
          <w:szCs w:val="18"/>
        </w:rPr>
        <w:t>(2007). ‘</w:t>
      </w:r>
      <w:r w:rsidRPr="003834D2">
        <w:rPr>
          <w:sz w:val="18"/>
          <w:szCs w:val="18"/>
        </w:rPr>
        <w:t>Health professionals’ attitudes toward caring for people with hepatitis C.</w:t>
      </w:r>
      <w:r>
        <w:rPr>
          <w:sz w:val="18"/>
          <w:szCs w:val="18"/>
        </w:rPr>
        <w:t>’</w:t>
      </w:r>
      <w:r w:rsidRPr="003834D2">
        <w:rPr>
          <w:sz w:val="18"/>
          <w:szCs w:val="18"/>
        </w:rPr>
        <w:t xml:space="preserve"> </w:t>
      </w:r>
      <w:r w:rsidRPr="00F52E20">
        <w:rPr>
          <w:sz w:val="18"/>
          <w:szCs w:val="18"/>
          <w:u w:val="single"/>
        </w:rPr>
        <w:t>Journal of Viral Hepatitis</w:t>
      </w:r>
      <w:r>
        <w:rPr>
          <w:sz w:val="18"/>
          <w:szCs w:val="18"/>
        </w:rPr>
        <w:t>,</w:t>
      </w:r>
      <w:r w:rsidRPr="003834D2">
        <w:rPr>
          <w:sz w:val="18"/>
          <w:szCs w:val="18"/>
        </w:rPr>
        <w:t xml:space="preserve"> </w:t>
      </w:r>
      <w:r w:rsidRPr="00F52E20">
        <w:rPr>
          <w:b/>
          <w:sz w:val="18"/>
          <w:szCs w:val="18"/>
        </w:rPr>
        <w:t>14</w:t>
      </w:r>
      <w:r w:rsidRPr="003834D2">
        <w:rPr>
          <w:sz w:val="18"/>
          <w:szCs w:val="18"/>
        </w:rPr>
        <w:t>(9):624</w:t>
      </w:r>
      <w:r>
        <w:rPr>
          <w:sz w:val="18"/>
          <w:szCs w:val="18"/>
        </w:rPr>
        <w:t>–6</w:t>
      </w:r>
      <w:r w:rsidRPr="003834D2">
        <w:rPr>
          <w:sz w:val="18"/>
          <w:szCs w:val="18"/>
        </w:rPr>
        <w:t>32</w:t>
      </w:r>
      <w:r>
        <w:rPr>
          <w:sz w:val="18"/>
          <w:szCs w:val="18"/>
        </w:rPr>
        <w:t>.</w:t>
      </w:r>
    </w:p>
  </w:endnote>
  <w:endnote w:id="34">
    <w:p w14:paraId="0B14D621" w14:textId="418E5A29" w:rsidR="00D560D6" w:rsidRPr="003834D2" w:rsidRDefault="00D560D6" w:rsidP="00F376C5">
      <w:pPr>
        <w:pStyle w:val="EndnoteText"/>
        <w:spacing w:after="120"/>
        <w:rPr>
          <w:sz w:val="18"/>
          <w:szCs w:val="18"/>
          <w:lang w:val="en-US"/>
        </w:rPr>
      </w:pPr>
      <w:r w:rsidRPr="003834D2">
        <w:rPr>
          <w:rStyle w:val="EndnoteReference"/>
          <w:sz w:val="18"/>
          <w:szCs w:val="18"/>
        </w:rPr>
        <w:endnoteRef/>
      </w:r>
      <w:r w:rsidRPr="003834D2">
        <w:rPr>
          <w:sz w:val="18"/>
          <w:szCs w:val="18"/>
        </w:rPr>
        <w:t xml:space="preserve"> </w:t>
      </w:r>
      <w:r w:rsidRPr="003834D2">
        <w:rPr>
          <w:sz w:val="18"/>
          <w:szCs w:val="18"/>
          <w:lang w:val="en-US"/>
        </w:rPr>
        <w:t>Cama, E., L. Brener, M. Hopwood, J. de Wit</w:t>
      </w:r>
      <w:r>
        <w:rPr>
          <w:sz w:val="18"/>
          <w:szCs w:val="18"/>
          <w:lang w:val="en-US"/>
        </w:rPr>
        <w:t>,</w:t>
      </w:r>
      <w:r w:rsidRPr="003834D2">
        <w:rPr>
          <w:sz w:val="18"/>
          <w:szCs w:val="18"/>
          <w:lang w:val="en-US"/>
        </w:rPr>
        <w:t xml:space="preserve"> and C. Treloar. </w:t>
      </w:r>
      <w:r>
        <w:rPr>
          <w:sz w:val="18"/>
          <w:szCs w:val="18"/>
          <w:lang w:val="en-US"/>
        </w:rPr>
        <w:t xml:space="preserve">(2017). </w:t>
      </w:r>
      <w:r w:rsidRPr="00F52E20">
        <w:rPr>
          <w:sz w:val="18"/>
          <w:szCs w:val="18"/>
          <w:u w:val="single"/>
          <w:lang w:val="en-US"/>
        </w:rPr>
        <w:t>Stigma Indicators Monitoring Project</w:t>
      </w:r>
      <w:r>
        <w:rPr>
          <w:sz w:val="18"/>
          <w:szCs w:val="18"/>
          <w:u w:val="single"/>
          <w:lang w:val="en-US"/>
        </w:rPr>
        <w:t>—</w:t>
      </w:r>
      <w:r w:rsidRPr="00F52E20">
        <w:rPr>
          <w:sz w:val="18"/>
          <w:szCs w:val="18"/>
          <w:u w:val="single"/>
          <w:lang w:val="en-US"/>
        </w:rPr>
        <w:t>Final Report</w:t>
      </w:r>
      <w:r w:rsidRPr="003834D2">
        <w:rPr>
          <w:sz w:val="18"/>
          <w:szCs w:val="18"/>
          <w:lang w:val="en-US"/>
        </w:rPr>
        <w:t>. Centre for S</w:t>
      </w:r>
      <w:r>
        <w:rPr>
          <w:sz w:val="18"/>
          <w:szCs w:val="18"/>
          <w:lang w:val="en-US"/>
        </w:rPr>
        <w:t>ocial Research in Health (CSRH), UNSW: Sydney.</w:t>
      </w:r>
    </w:p>
  </w:endnote>
  <w:endnote w:id="35">
    <w:p w14:paraId="7E790758" w14:textId="15657779"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Marinho, R. T</w:t>
      </w:r>
      <w:r>
        <w:rPr>
          <w:sz w:val="18"/>
          <w:szCs w:val="18"/>
        </w:rPr>
        <w:t>,</w:t>
      </w:r>
      <w:r w:rsidRPr="003834D2">
        <w:rPr>
          <w:sz w:val="18"/>
          <w:szCs w:val="18"/>
        </w:rPr>
        <w:t xml:space="preserve"> and </w:t>
      </w:r>
      <w:r>
        <w:rPr>
          <w:sz w:val="18"/>
          <w:szCs w:val="18"/>
        </w:rPr>
        <w:t xml:space="preserve">D. P. </w:t>
      </w:r>
      <w:r w:rsidRPr="003834D2">
        <w:rPr>
          <w:sz w:val="18"/>
          <w:szCs w:val="18"/>
        </w:rPr>
        <w:t xml:space="preserve">Barreira. </w:t>
      </w:r>
      <w:r>
        <w:rPr>
          <w:sz w:val="18"/>
          <w:szCs w:val="18"/>
        </w:rPr>
        <w:t>(2013). ‘</w:t>
      </w:r>
      <w:r w:rsidRPr="003834D2">
        <w:rPr>
          <w:sz w:val="18"/>
          <w:szCs w:val="18"/>
        </w:rPr>
        <w:t>Hepatitis C, stigma and cure.</w:t>
      </w:r>
      <w:r>
        <w:rPr>
          <w:sz w:val="18"/>
          <w:szCs w:val="18"/>
        </w:rPr>
        <w:t>’</w:t>
      </w:r>
      <w:r w:rsidRPr="003834D2">
        <w:rPr>
          <w:sz w:val="18"/>
          <w:szCs w:val="18"/>
        </w:rPr>
        <w:t xml:space="preserve"> </w:t>
      </w:r>
      <w:r w:rsidRPr="00F52E20">
        <w:rPr>
          <w:sz w:val="18"/>
          <w:szCs w:val="18"/>
          <w:u w:val="single"/>
        </w:rPr>
        <w:t>World Journal of Gastroenterology</w:t>
      </w:r>
      <w:r>
        <w:rPr>
          <w:sz w:val="18"/>
          <w:szCs w:val="18"/>
        </w:rPr>
        <w:t>,</w:t>
      </w:r>
      <w:r w:rsidRPr="003834D2">
        <w:rPr>
          <w:sz w:val="18"/>
          <w:szCs w:val="18"/>
        </w:rPr>
        <w:t xml:space="preserve"> </w:t>
      </w:r>
      <w:r w:rsidRPr="00F52E20">
        <w:rPr>
          <w:b/>
          <w:sz w:val="18"/>
          <w:szCs w:val="18"/>
        </w:rPr>
        <w:t>19</w:t>
      </w:r>
      <w:r w:rsidRPr="003834D2">
        <w:rPr>
          <w:sz w:val="18"/>
          <w:szCs w:val="18"/>
        </w:rPr>
        <w:t>(4):6703</w:t>
      </w:r>
      <w:r>
        <w:rPr>
          <w:sz w:val="18"/>
          <w:szCs w:val="18"/>
        </w:rPr>
        <w:t>–</w:t>
      </w:r>
      <w:r w:rsidRPr="003834D2">
        <w:rPr>
          <w:sz w:val="18"/>
          <w:szCs w:val="18"/>
        </w:rPr>
        <w:t>6709</w:t>
      </w:r>
      <w:r>
        <w:rPr>
          <w:sz w:val="18"/>
          <w:szCs w:val="18"/>
        </w:rPr>
        <w:t>.</w:t>
      </w:r>
    </w:p>
  </w:endnote>
  <w:endnote w:id="36">
    <w:p w14:paraId="041BA5AC" w14:textId="4219DD72" w:rsidR="00D560D6" w:rsidRPr="003834D2" w:rsidRDefault="00D560D6" w:rsidP="00F376C5">
      <w:pPr>
        <w:pStyle w:val="EndnoteText"/>
        <w:spacing w:after="120"/>
        <w:rPr>
          <w:sz w:val="18"/>
          <w:szCs w:val="18"/>
        </w:rPr>
      </w:pPr>
      <w:r w:rsidRPr="003834D2">
        <w:rPr>
          <w:rStyle w:val="EndnoteReference"/>
          <w:sz w:val="18"/>
          <w:szCs w:val="18"/>
        </w:rPr>
        <w:endnoteRef/>
      </w:r>
      <w:r w:rsidRPr="003834D2">
        <w:rPr>
          <w:sz w:val="18"/>
          <w:szCs w:val="18"/>
        </w:rPr>
        <w:t xml:space="preserve"> Butt, G. </w:t>
      </w:r>
      <w:r>
        <w:rPr>
          <w:sz w:val="18"/>
          <w:szCs w:val="18"/>
        </w:rPr>
        <w:t>(2008). ‘</w:t>
      </w:r>
      <w:r w:rsidRPr="003834D2">
        <w:rPr>
          <w:sz w:val="18"/>
          <w:szCs w:val="18"/>
        </w:rPr>
        <w:t>Stigma in the context of hepatitis C: concept analysis.</w:t>
      </w:r>
      <w:r>
        <w:rPr>
          <w:sz w:val="18"/>
          <w:szCs w:val="18"/>
        </w:rPr>
        <w:t>’</w:t>
      </w:r>
      <w:r w:rsidRPr="003834D2">
        <w:rPr>
          <w:sz w:val="18"/>
          <w:szCs w:val="18"/>
        </w:rPr>
        <w:t xml:space="preserve"> </w:t>
      </w:r>
      <w:r w:rsidRPr="00F52E20">
        <w:rPr>
          <w:sz w:val="18"/>
          <w:szCs w:val="18"/>
          <w:u w:val="single"/>
        </w:rPr>
        <w:t>Journal of Advanced Nursing</w:t>
      </w:r>
      <w:r>
        <w:rPr>
          <w:sz w:val="18"/>
          <w:szCs w:val="18"/>
        </w:rPr>
        <w:t>,</w:t>
      </w:r>
      <w:r w:rsidRPr="003834D2">
        <w:rPr>
          <w:sz w:val="18"/>
          <w:szCs w:val="18"/>
        </w:rPr>
        <w:t xml:space="preserve"> </w:t>
      </w:r>
      <w:r w:rsidRPr="00F52E20">
        <w:rPr>
          <w:b/>
          <w:sz w:val="18"/>
          <w:szCs w:val="18"/>
        </w:rPr>
        <w:t>62</w:t>
      </w:r>
      <w:r>
        <w:rPr>
          <w:sz w:val="18"/>
          <w:szCs w:val="18"/>
        </w:rPr>
        <w:t>(6):</w:t>
      </w:r>
      <w:r w:rsidRPr="003834D2">
        <w:rPr>
          <w:sz w:val="18"/>
          <w:szCs w:val="18"/>
        </w:rPr>
        <w:t>712</w:t>
      </w:r>
      <w:r>
        <w:rPr>
          <w:sz w:val="18"/>
          <w:szCs w:val="18"/>
        </w:rPr>
        <w:t>–</w:t>
      </w:r>
      <w:r w:rsidRPr="003834D2">
        <w:rPr>
          <w:sz w:val="18"/>
          <w:szCs w:val="18"/>
        </w:rPr>
        <w:t xml:space="preserve">724. </w:t>
      </w:r>
    </w:p>
  </w:endnote>
  <w:endnote w:id="37">
    <w:p w14:paraId="33AF5DC6" w14:textId="77777777" w:rsidR="00D560D6" w:rsidRPr="003834D2" w:rsidRDefault="00D560D6" w:rsidP="00990739">
      <w:pPr>
        <w:pStyle w:val="CommentText"/>
        <w:rPr>
          <w:sz w:val="18"/>
          <w:szCs w:val="18"/>
        </w:rPr>
      </w:pPr>
      <w:r w:rsidRPr="003834D2">
        <w:rPr>
          <w:rStyle w:val="EndnoteReference"/>
          <w:sz w:val="18"/>
          <w:szCs w:val="18"/>
        </w:rPr>
        <w:endnoteRef/>
      </w:r>
      <w:r w:rsidRPr="003834D2">
        <w:rPr>
          <w:sz w:val="18"/>
          <w:szCs w:val="18"/>
        </w:rPr>
        <w:t xml:space="preserve"> Treloar, C. </w:t>
      </w:r>
      <w:r>
        <w:rPr>
          <w:sz w:val="18"/>
          <w:szCs w:val="18"/>
        </w:rPr>
        <w:t xml:space="preserve">(2016). </w:t>
      </w:r>
      <w:r w:rsidRPr="00F52E20">
        <w:rPr>
          <w:sz w:val="18"/>
          <w:szCs w:val="18"/>
          <w:u w:val="single"/>
        </w:rPr>
        <w:t>Peer distribution of sterile injecting equipment: UNSW and Monash research supports recent change of laws in three Australian jurisdictions</w:t>
      </w:r>
      <w:r w:rsidRPr="003834D2">
        <w:rPr>
          <w:sz w:val="18"/>
          <w:szCs w:val="18"/>
        </w:rPr>
        <w:t>. CSRH, U</w:t>
      </w:r>
      <w:r>
        <w:rPr>
          <w:sz w:val="18"/>
          <w:szCs w:val="18"/>
        </w:rPr>
        <w:t>NSW: Sydney.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NeueLT Std L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0EC0" w14:textId="51C4B23D" w:rsidR="00D560D6" w:rsidRPr="005E0C99" w:rsidRDefault="00D560D6" w:rsidP="005E0C99">
    <w:pPr>
      <w:pStyle w:val="Footer"/>
    </w:pPr>
    <w:r>
      <w:rPr>
        <w:color w:val="808080" w:themeColor="background1" w:themeShade="80"/>
        <w:sz w:val="15"/>
      </w:rPr>
      <w:t xml:space="preserve">Fifth National Hepatitis C </w:t>
    </w:r>
    <w:r w:rsidRPr="00FE6CED">
      <w:rPr>
        <w:color w:val="808080" w:themeColor="background1" w:themeShade="80"/>
        <w:sz w:val="15"/>
      </w:rPr>
      <w:t>Strategy 2018-2022</w:t>
    </w:r>
    <w:r>
      <w:rPr>
        <w:color w:val="808080" w:themeColor="background1" w:themeShade="80"/>
        <w:sz w:val="15"/>
      </w:rPr>
      <w:tab/>
    </w:r>
    <w:r w:rsidRPr="00FD4AB1">
      <w:rPr>
        <w:rFonts w:cs="Segoe UI"/>
        <w:color w:val="A5A5A5"/>
      </w:rPr>
      <w:tab/>
      <w:t xml:space="preserve">| </w:t>
    </w:r>
    <w:r w:rsidRPr="003B464C">
      <w:rPr>
        <w:rFonts w:cs="Segoe UI"/>
        <w:b/>
        <w:color w:val="A5A5A5"/>
        <w:sz w:val="16"/>
        <w:szCs w:val="16"/>
      </w:rPr>
      <w:fldChar w:fldCharType="begin"/>
    </w:r>
    <w:r w:rsidRPr="003B464C">
      <w:rPr>
        <w:rFonts w:cs="Segoe UI"/>
        <w:color w:val="A5A5A5"/>
        <w:sz w:val="16"/>
        <w:szCs w:val="16"/>
      </w:rPr>
      <w:instrText xml:space="preserve"> PAGE  \* roman  \* MERGEFORMAT </w:instrText>
    </w:r>
    <w:r w:rsidRPr="003B464C">
      <w:rPr>
        <w:rFonts w:cs="Segoe UI"/>
        <w:b/>
        <w:color w:val="A5A5A5"/>
        <w:sz w:val="16"/>
        <w:szCs w:val="16"/>
      </w:rPr>
      <w:fldChar w:fldCharType="separate"/>
    </w:r>
    <w:r w:rsidR="00FD0355" w:rsidRPr="00FD0355">
      <w:rPr>
        <w:rFonts w:cs="Segoe UI"/>
        <w:b/>
        <w:noProof/>
        <w:color w:val="A5A5A5"/>
        <w:sz w:val="16"/>
        <w:szCs w:val="16"/>
      </w:rPr>
      <w:t>ii</w:t>
    </w:r>
    <w:r w:rsidRPr="003B464C">
      <w:rPr>
        <w:rFonts w:cs="Segoe UI"/>
        <w:b/>
        <w:color w:val="A5A5A5"/>
        <w:sz w:val="16"/>
        <w:szCs w:val="16"/>
      </w:rPr>
      <w:fldChar w:fldCharType="end"/>
    </w:r>
    <w:r w:rsidRPr="003B464C">
      <w:rPr>
        <w:rFonts w:cs="Segoe UI"/>
        <w:color w:val="A5A5A5"/>
        <w:sz w:val="16"/>
        <w:szCs w:val="16"/>
      </w:rPr>
      <w:t xml:space="preserve"> </w:t>
    </w:r>
    <w:r w:rsidRPr="00FD4AB1">
      <w:rPr>
        <w:rFonts w:cs="Segoe UI"/>
        <w:color w:val="A5A5A5"/>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2657" w14:textId="3D462883" w:rsidR="00D560D6" w:rsidRPr="005E0C99" w:rsidRDefault="00D560D6" w:rsidP="005E0C99">
    <w:pPr>
      <w:pStyle w:val="Footer"/>
    </w:pPr>
    <w:r>
      <w:rPr>
        <w:color w:val="808080" w:themeColor="background1" w:themeShade="80"/>
        <w:sz w:val="15"/>
      </w:rPr>
      <w:t xml:space="preserve">Fifth National Hepatitis C </w:t>
    </w:r>
    <w:r w:rsidRPr="00FE6CED">
      <w:rPr>
        <w:color w:val="808080" w:themeColor="background1" w:themeShade="80"/>
        <w:sz w:val="15"/>
      </w:rPr>
      <w:t xml:space="preserve">Strategy 2018-2022 </w:t>
    </w:r>
    <w:r>
      <w:rPr>
        <w:color w:val="808080" w:themeColor="background1" w:themeShade="80"/>
        <w:sz w:val="15"/>
      </w:rPr>
      <w:tab/>
    </w:r>
    <w:r w:rsidRPr="00FD4AB1">
      <w:rPr>
        <w:rFonts w:cs="Segoe UI"/>
        <w:color w:val="A5A5A5"/>
      </w:rPr>
      <w:tab/>
      <w:t>|</w:t>
    </w:r>
    <w:r w:rsidRPr="00076505">
      <w:rPr>
        <w:rFonts w:cs="Segoe UI"/>
        <w:color w:val="808080"/>
      </w:rPr>
      <w:t xml:space="preserve"> </w:t>
    </w:r>
    <w:r w:rsidRPr="003B464C">
      <w:rPr>
        <w:rFonts w:ascii="Segoe UI Semibold" w:hAnsi="Segoe UI Semibold" w:cs="Segoe UI"/>
        <w:b/>
        <w:color w:val="808080"/>
        <w:sz w:val="16"/>
        <w:szCs w:val="16"/>
      </w:rPr>
      <w:fldChar w:fldCharType="begin"/>
    </w:r>
    <w:r w:rsidRPr="003B464C">
      <w:rPr>
        <w:rFonts w:ascii="Segoe UI Semibold" w:hAnsi="Segoe UI Semibold" w:cs="Segoe UI"/>
        <w:color w:val="808080"/>
        <w:sz w:val="16"/>
        <w:szCs w:val="16"/>
      </w:rPr>
      <w:instrText xml:space="preserve"> PAGE  \* Arabic  \* MERGEFORMAT </w:instrText>
    </w:r>
    <w:r w:rsidRPr="003B464C">
      <w:rPr>
        <w:rFonts w:ascii="Segoe UI Semibold" w:hAnsi="Segoe UI Semibold" w:cs="Segoe UI"/>
        <w:b/>
        <w:color w:val="808080"/>
        <w:sz w:val="16"/>
        <w:szCs w:val="16"/>
      </w:rPr>
      <w:fldChar w:fldCharType="separate"/>
    </w:r>
    <w:r w:rsidR="00FD0355" w:rsidRPr="00FD0355">
      <w:rPr>
        <w:rFonts w:ascii="Segoe UI Semibold" w:hAnsi="Segoe UI Semibold" w:cs="Segoe UI"/>
        <w:b/>
        <w:noProof/>
        <w:color w:val="808080"/>
        <w:sz w:val="16"/>
        <w:szCs w:val="16"/>
      </w:rPr>
      <w:t>5</w:t>
    </w:r>
    <w:r w:rsidRPr="003B464C">
      <w:rPr>
        <w:rFonts w:ascii="Segoe UI Semibold" w:hAnsi="Segoe UI Semibold" w:cs="Segoe UI"/>
        <w:b/>
        <w:color w:val="808080"/>
        <w:sz w:val="16"/>
        <w:szCs w:val="16"/>
      </w:rPr>
      <w:fldChar w:fldCharType="end"/>
    </w:r>
    <w:r>
      <w:rPr>
        <w:rFonts w:ascii="Segoe UI Semibold" w:hAnsi="Segoe UI Semibold" w:cs="Segoe UI"/>
        <w:b/>
        <w:color w:val="808080"/>
      </w:rPr>
      <w:t xml:space="preserve"> </w:t>
    </w:r>
    <w:r w:rsidRPr="00FD4AB1">
      <w:rPr>
        <w:rFonts w:cs="Segoe UI"/>
        <w:color w:val="A5A5A5"/>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4A10" w14:textId="77777777" w:rsidR="00D560D6" w:rsidRDefault="00D560D6" w:rsidP="00302076">
      <w:pPr>
        <w:spacing w:after="0"/>
      </w:pPr>
      <w:r>
        <w:separator/>
      </w:r>
    </w:p>
  </w:footnote>
  <w:footnote w:type="continuationSeparator" w:id="0">
    <w:p w14:paraId="06CFD96D" w14:textId="77777777" w:rsidR="00D560D6" w:rsidRDefault="00D560D6" w:rsidP="00302076">
      <w:pPr>
        <w:spacing w:after="0"/>
      </w:pPr>
      <w:r>
        <w:continuationSeparator/>
      </w:r>
    </w:p>
  </w:footnote>
  <w:footnote w:type="continuationNotice" w:id="1">
    <w:p w14:paraId="771ED328" w14:textId="77777777" w:rsidR="00D560D6" w:rsidRDefault="00D560D6">
      <w:pPr>
        <w:spacing w:after="0"/>
      </w:pPr>
    </w:p>
  </w:footnote>
  <w:footnote w:id="2">
    <w:p w14:paraId="554D920E" w14:textId="5C94B602" w:rsidR="00D560D6" w:rsidRDefault="00D560D6">
      <w:pPr>
        <w:pStyle w:val="FootnoteText"/>
      </w:pPr>
      <w:r>
        <w:rPr>
          <w:rStyle w:val="FootnoteReference"/>
        </w:rPr>
        <w:footnoteRef/>
      </w:r>
      <w:r>
        <w:t xml:space="preserve"> </w:t>
      </w:r>
      <w:r w:rsidRPr="00012532">
        <w:rPr>
          <w:sz w:val="17"/>
          <w:szCs w:val="17"/>
          <w:lang w:val="en-US"/>
        </w:rPr>
        <w:t>This includes the priority populations, as described in Section 6 below. Specific targets for Aborig</w:t>
      </w:r>
      <w:r>
        <w:rPr>
          <w:sz w:val="17"/>
          <w:szCs w:val="17"/>
          <w:lang w:val="en-US"/>
        </w:rPr>
        <w:t xml:space="preserve">inal and Torres Strait Islander </w:t>
      </w:r>
      <w:r w:rsidRPr="00012532">
        <w:rPr>
          <w:sz w:val="17"/>
          <w:szCs w:val="17"/>
          <w:lang w:val="en-US"/>
        </w:rPr>
        <w:t>people are included in the</w:t>
      </w:r>
      <w:r w:rsidRPr="00012532">
        <w:rPr>
          <w:i/>
          <w:sz w:val="17"/>
          <w:szCs w:val="17"/>
          <w:lang w:val="en-US"/>
        </w:rPr>
        <w:t xml:space="preserve"> </w:t>
      </w:r>
      <w:r w:rsidRPr="003724D1">
        <w:rPr>
          <w:sz w:val="17"/>
          <w:szCs w:val="17"/>
          <w:lang w:val="en-US"/>
        </w:rPr>
        <w:t>Fifth National Aboriginal and Torres Strait Islander Blood Borne Viruses and Sexually Transmissible Infections Strategy</w:t>
      </w:r>
      <w:r>
        <w:rPr>
          <w:sz w:val="17"/>
          <w:szCs w:val="17"/>
          <w:lang w:val="en-US"/>
        </w:rPr>
        <w:t xml:space="preserve"> 2018–2022</w:t>
      </w:r>
      <w:r w:rsidRPr="00012532">
        <w:rPr>
          <w:sz w:val="17"/>
          <w:szCs w:val="17"/>
          <w:lang w:val="en-US"/>
        </w:rPr>
        <w:t>.</w:t>
      </w:r>
    </w:p>
  </w:footnote>
  <w:footnote w:id="3">
    <w:p w14:paraId="1BE91308" w14:textId="1A565B1F" w:rsidR="00D560D6" w:rsidRPr="002769AC" w:rsidRDefault="00D560D6" w:rsidP="00F32B78">
      <w:pPr>
        <w:pStyle w:val="Listnumbered"/>
        <w:numPr>
          <w:ilvl w:val="0"/>
          <w:numId w:val="0"/>
        </w:numPr>
        <w:spacing w:after="0"/>
        <w:ind w:left="397" w:hanging="397"/>
        <w:rPr>
          <w:sz w:val="17"/>
          <w:szCs w:val="17"/>
          <w:lang w:val="en-US"/>
        </w:rPr>
      </w:pPr>
      <w:r>
        <w:rPr>
          <w:rStyle w:val="FootnoteReference"/>
        </w:rPr>
        <w:footnoteRef/>
      </w:r>
      <w:r>
        <w:t xml:space="preserve"> </w:t>
      </w:r>
      <w:r>
        <w:rPr>
          <w:sz w:val="17"/>
          <w:szCs w:val="17"/>
          <w:lang w:val="en-US"/>
        </w:rPr>
        <w:t>C</w:t>
      </w:r>
      <w:r w:rsidRPr="000452B3">
        <w:rPr>
          <w:sz w:val="17"/>
          <w:szCs w:val="17"/>
          <w:lang w:val="en-US"/>
        </w:rPr>
        <w:t>ompared</w:t>
      </w:r>
      <w:r>
        <w:rPr>
          <w:sz w:val="17"/>
          <w:szCs w:val="17"/>
          <w:lang w:val="en-US"/>
        </w:rPr>
        <w:t xml:space="preserve"> with / based on 2016 data.</w:t>
      </w:r>
    </w:p>
  </w:footnote>
  <w:footnote w:id="4">
    <w:p w14:paraId="578BDB9E" w14:textId="5FD5F21E" w:rsidR="00D560D6" w:rsidRPr="00157E83" w:rsidRDefault="00D560D6">
      <w:pPr>
        <w:pStyle w:val="FootnoteText"/>
        <w:rPr>
          <w:sz w:val="17"/>
          <w:szCs w:val="17"/>
          <w:lang w:val="en-US"/>
        </w:rPr>
      </w:pPr>
      <w:r>
        <w:rPr>
          <w:rStyle w:val="FootnoteReference"/>
        </w:rPr>
        <w:footnoteRef/>
      </w:r>
      <w:r>
        <w:t xml:space="preserve"> </w:t>
      </w:r>
      <w:r>
        <w:rPr>
          <w:sz w:val="17"/>
          <w:szCs w:val="17"/>
          <w:lang w:val="en-US"/>
        </w:rPr>
        <w:t>Baseline</w:t>
      </w:r>
      <w:r w:rsidRPr="00157E83">
        <w:rPr>
          <w:sz w:val="17"/>
          <w:szCs w:val="17"/>
          <w:lang w:val="en-US"/>
        </w:rPr>
        <w:t xml:space="preserve"> to be determined</w:t>
      </w:r>
      <w:r>
        <w:rPr>
          <w:sz w:val="17"/>
          <w:szCs w:val="17"/>
          <w:lang w:val="en-US"/>
        </w:rPr>
        <w:t>.</w:t>
      </w:r>
    </w:p>
  </w:footnote>
  <w:footnote w:id="5">
    <w:p w14:paraId="2B7521B4" w14:textId="48124CB0" w:rsidR="00D560D6" w:rsidRDefault="00D560D6">
      <w:pPr>
        <w:pStyle w:val="FootnoteText"/>
      </w:pPr>
      <w:r>
        <w:rPr>
          <w:rStyle w:val="FootnoteReference"/>
        </w:rPr>
        <w:footnoteRef/>
      </w:r>
      <w:r>
        <w:t xml:space="preserve"> </w:t>
      </w:r>
      <w:r>
        <w:rPr>
          <w:sz w:val="17"/>
          <w:szCs w:val="17"/>
          <w:lang w:val="en-US"/>
        </w:rPr>
        <w:t>Links to Section 7,</w:t>
      </w:r>
      <w:r w:rsidRPr="00E84837">
        <w:rPr>
          <w:sz w:val="17"/>
          <w:szCs w:val="17"/>
          <w:lang w:val="en-US"/>
        </w:rPr>
        <w:t xml:space="preserve"> ‘Priority </w:t>
      </w:r>
      <w:r>
        <w:rPr>
          <w:sz w:val="17"/>
          <w:szCs w:val="17"/>
          <w:lang w:val="en-US"/>
        </w:rPr>
        <w:t>a</w:t>
      </w:r>
      <w:r w:rsidRPr="00E84837">
        <w:rPr>
          <w:sz w:val="17"/>
          <w:szCs w:val="17"/>
          <w:lang w:val="en-US"/>
        </w:rPr>
        <w:t xml:space="preserve">reas for </w:t>
      </w:r>
      <w:r>
        <w:rPr>
          <w:sz w:val="17"/>
          <w:szCs w:val="17"/>
          <w:lang w:val="en-US"/>
        </w:rPr>
        <w:t>a</w:t>
      </w:r>
      <w:r w:rsidRPr="00E84837">
        <w:rPr>
          <w:sz w:val="17"/>
          <w:szCs w:val="17"/>
          <w:lang w:val="en-US"/>
        </w:rPr>
        <w:t>ction’</w:t>
      </w:r>
      <w:r>
        <w:rPr>
          <w:sz w:val="17"/>
          <w:szCs w:val="17"/>
          <w:lang w:val="en-US"/>
        </w:rPr>
        <w:t>. Priority population and priority settings are described in Section 6, ‘Priority populations and settings’.</w:t>
      </w:r>
    </w:p>
  </w:footnote>
  <w:footnote w:id="6">
    <w:p w14:paraId="479AC00C" w14:textId="24C813EC" w:rsidR="00D560D6" w:rsidRPr="00315023" w:rsidRDefault="00D560D6">
      <w:pPr>
        <w:pStyle w:val="FootnoteText"/>
        <w:rPr>
          <w:sz w:val="17"/>
          <w:szCs w:val="17"/>
        </w:rPr>
      </w:pPr>
      <w:r w:rsidRPr="00315023">
        <w:rPr>
          <w:rStyle w:val="FootnoteReference"/>
          <w:sz w:val="17"/>
          <w:szCs w:val="17"/>
        </w:rPr>
        <w:footnoteRef/>
      </w:r>
      <w:r w:rsidRPr="00315023">
        <w:rPr>
          <w:sz w:val="17"/>
          <w:szCs w:val="17"/>
        </w:rPr>
        <w:t xml:space="preserve"> Refers to the utilisation of a</w:t>
      </w:r>
      <w:r>
        <w:rPr>
          <w:sz w:val="17"/>
          <w:szCs w:val="17"/>
        </w:rPr>
        <w:t>n</w:t>
      </w:r>
      <w:r w:rsidRPr="00315023">
        <w:rPr>
          <w:sz w:val="17"/>
          <w:szCs w:val="17"/>
        </w:rPr>
        <w:t xml:space="preserve"> RNA confirmation test in accordance with testing protocols</w:t>
      </w:r>
      <w:r>
        <w:rPr>
          <w:sz w:val="17"/>
          <w:szCs w:val="17"/>
        </w:rPr>
        <w:t>.</w:t>
      </w:r>
    </w:p>
  </w:footnote>
  <w:footnote w:id="7">
    <w:p w14:paraId="16C6550B" w14:textId="66C3CC86" w:rsidR="00D560D6" w:rsidRDefault="00D560D6">
      <w:pPr>
        <w:pStyle w:val="FootnoteText"/>
      </w:pPr>
      <w:r>
        <w:rPr>
          <w:rStyle w:val="FootnoteReference"/>
        </w:rPr>
        <w:footnoteRef/>
      </w:r>
      <w:r>
        <w:t xml:space="preserve"> </w:t>
      </w:r>
      <w:r w:rsidRPr="0046087F">
        <w:rPr>
          <w:sz w:val="16"/>
          <w:szCs w:val="16"/>
        </w:rPr>
        <w:t>Refers to the utilisation of a</w:t>
      </w:r>
      <w:r>
        <w:rPr>
          <w:sz w:val="16"/>
          <w:szCs w:val="16"/>
        </w:rPr>
        <w:t>n</w:t>
      </w:r>
      <w:r w:rsidRPr="0046087F">
        <w:rPr>
          <w:sz w:val="16"/>
          <w:szCs w:val="16"/>
        </w:rPr>
        <w:t xml:space="preserve"> RNA confirmation test in accordance with testing protocols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FF3B" w14:textId="4137F608" w:rsidR="00D560D6" w:rsidRDefault="00D56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3D30C" w14:textId="1AE66D98" w:rsidR="00D560D6" w:rsidRPr="00A329AC" w:rsidRDefault="00D560D6" w:rsidP="00A32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E3F0" w14:textId="19BEA120" w:rsidR="00D560D6" w:rsidRDefault="00D56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F23"/>
    <w:multiLevelType w:val="hybridMultilevel"/>
    <w:tmpl w:val="DEF02C28"/>
    <w:lvl w:ilvl="0" w:tplc="46941EBE">
      <w:start w:val="1"/>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43268"/>
    <w:multiLevelType w:val="hybridMultilevel"/>
    <w:tmpl w:val="28E09B5C"/>
    <w:lvl w:ilvl="0" w:tplc="0C09000F">
      <w:start w:val="1"/>
      <w:numFmt w:val="decimal"/>
      <w:lvlText w:val="%1."/>
      <w:lvlJc w:val="left"/>
      <w:pPr>
        <w:ind w:left="360" w:hanging="360"/>
      </w:pPr>
      <w:rPr>
        <w:rFonts w:hint="default"/>
        <w:b/>
        <w:color w:val="F8981D"/>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417185"/>
    <w:multiLevelType w:val="hybridMultilevel"/>
    <w:tmpl w:val="90EC159E"/>
    <w:lvl w:ilvl="0" w:tplc="DE1C7974">
      <w:numFmt w:val="bullet"/>
      <w:lvlText w:val="-"/>
      <w:lvlJc w:val="left"/>
      <w:pPr>
        <w:ind w:left="1440" w:hanging="360"/>
      </w:pPr>
      <w:rPr>
        <w:rFonts w:ascii="Segoe UI" w:eastAsia="Calibri" w:hAnsi="Segoe UI" w:cs="Segoe U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27C5F69"/>
    <w:multiLevelType w:val="hybridMultilevel"/>
    <w:tmpl w:val="F25E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25D8B"/>
    <w:multiLevelType w:val="hybridMultilevel"/>
    <w:tmpl w:val="81F4E3EE"/>
    <w:lvl w:ilvl="0" w:tplc="93F6B3E2">
      <w:start w:val="5"/>
      <w:numFmt w:val="decimal"/>
      <w:pStyle w:val="Listnumbered"/>
      <w:lvlText w:val="%1."/>
      <w:lvlJc w:val="left"/>
      <w:pPr>
        <w:ind w:left="397" w:hanging="397"/>
      </w:pPr>
      <w:rPr>
        <w:rFonts w:hint="default"/>
        <w:b/>
        <w:color w:val="171B47"/>
      </w:rPr>
    </w:lvl>
    <w:lvl w:ilvl="1" w:tplc="0C090019">
      <w:start w:val="1"/>
      <w:numFmt w:val="lowerLetter"/>
      <w:lvlText w:val="%2."/>
      <w:lvlJc w:val="left"/>
      <w:pPr>
        <w:ind w:left="794" w:hanging="397"/>
      </w:pPr>
      <w:rPr>
        <w:rFonts w:hint="default"/>
      </w:rPr>
    </w:lvl>
    <w:lvl w:ilvl="2" w:tplc="0C09001B">
      <w:start w:val="1"/>
      <w:numFmt w:val="lowerRoman"/>
      <w:lvlText w:val="%3."/>
      <w:lvlJc w:val="right"/>
      <w:pPr>
        <w:ind w:left="1247" w:hanging="34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0E6C54"/>
    <w:multiLevelType w:val="hybridMultilevel"/>
    <w:tmpl w:val="28F00E1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A52F5D"/>
    <w:multiLevelType w:val="hybridMultilevel"/>
    <w:tmpl w:val="8AD22A36"/>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F173F5"/>
    <w:multiLevelType w:val="hybridMultilevel"/>
    <w:tmpl w:val="A2DEB052"/>
    <w:lvl w:ilvl="0" w:tplc="2FCE8212">
      <w:start w:val="1"/>
      <w:numFmt w:val="bullet"/>
      <w:pStyle w:val="TableExpbullet"/>
      <w:lvlText w:val=""/>
      <w:lvlJc w:val="left"/>
      <w:pPr>
        <w:ind w:left="720" w:hanging="360"/>
      </w:pPr>
      <w:rPr>
        <w:rFonts w:ascii="Symbol" w:hAnsi="Symbol" w:hint="default"/>
        <w:b w:val="0"/>
        <w:i w:val="0"/>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6937E9"/>
    <w:multiLevelType w:val="hybridMultilevel"/>
    <w:tmpl w:val="EDC0937C"/>
    <w:lvl w:ilvl="0" w:tplc="BE18282E">
      <w:start w:val="1"/>
      <w:numFmt w:val="decimal"/>
      <w:lvlText w:val="%1."/>
      <w:lvlJc w:val="left"/>
      <w:pPr>
        <w:ind w:left="720" w:hanging="360"/>
      </w:pPr>
      <w:rPr>
        <w:b/>
        <w:color w:val="F8981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4B1162"/>
    <w:multiLevelType w:val="hybridMultilevel"/>
    <w:tmpl w:val="3654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6A2698"/>
    <w:multiLevelType w:val="hybridMultilevel"/>
    <w:tmpl w:val="FF6EE4A2"/>
    <w:lvl w:ilvl="0" w:tplc="9E3E472C">
      <w:start w:val="1"/>
      <w:numFmt w:val="decimal"/>
      <w:pStyle w:val="TableN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D1413D"/>
    <w:multiLevelType w:val="multilevel"/>
    <w:tmpl w:val="E14812AE"/>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67" w:hanging="283"/>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3CC51DCC"/>
    <w:multiLevelType w:val="hybridMultilevel"/>
    <w:tmpl w:val="96B2A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0C0623"/>
    <w:multiLevelType w:val="hybridMultilevel"/>
    <w:tmpl w:val="56D48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A27345"/>
    <w:multiLevelType w:val="hybridMultilevel"/>
    <w:tmpl w:val="F6604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B9346E"/>
    <w:multiLevelType w:val="hybridMultilevel"/>
    <w:tmpl w:val="43FC99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4B4F21"/>
    <w:multiLevelType w:val="hybridMultilevel"/>
    <w:tmpl w:val="F84ACE36"/>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1465A9"/>
    <w:multiLevelType w:val="hybridMultilevel"/>
    <w:tmpl w:val="B470BC00"/>
    <w:lvl w:ilvl="0" w:tplc="1EDE94BA">
      <w:start w:val="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D0CBA"/>
    <w:multiLevelType w:val="hybridMultilevel"/>
    <w:tmpl w:val="F46EE16E"/>
    <w:lvl w:ilvl="0" w:tplc="DE1C7974">
      <w:numFmt w:val="bullet"/>
      <w:lvlText w:val="-"/>
      <w:lvlJc w:val="left"/>
      <w:pPr>
        <w:ind w:left="1800" w:hanging="360"/>
      </w:pPr>
      <w:rPr>
        <w:rFonts w:ascii="Segoe UI" w:eastAsia="Calibri" w:hAnsi="Segoe UI" w:cs="Segoe U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5E3146DE"/>
    <w:multiLevelType w:val="hybridMultilevel"/>
    <w:tmpl w:val="5400E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783C8B"/>
    <w:multiLevelType w:val="hybridMultilevel"/>
    <w:tmpl w:val="D960B870"/>
    <w:lvl w:ilvl="0" w:tplc="DE1C7974">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D67E98"/>
    <w:multiLevelType w:val="hybridMultilevel"/>
    <w:tmpl w:val="9D32111C"/>
    <w:lvl w:ilvl="0" w:tplc="B366C3C8">
      <w:start w:val="1"/>
      <w:numFmt w:val="decimal"/>
      <w:lvlText w:val="%1."/>
      <w:lvlJc w:val="left"/>
      <w:pPr>
        <w:ind w:left="927" w:hanging="360"/>
      </w:pPr>
      <w:rPr>
        <w:rFonts w:hint="default"/>
        <w:b w:val="0"/>
        <w:color w:val="auto"/>
        <w:sz w:val="20"/>
        <w:szCs w:val="20"/>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2" w15:restartNumberingAfterBreak="0">
    <w:nsid w:val="6DFB0DDF"/>
    <w:multiLevelType w:val="hybridMultilevel"/>
    <w:tmpl w:val="90DE25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6582A"/>
    <w:multiLevelType w:val="hybridMultilevel"/>
    <w:tmpl w:val="979266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A16EBA"/>
    <w:multiLevelType w:val="multilevel"/>
    <w:tmpl w:val="D060ABD0"/>
    <w:lvl w:ilvl="0">
      <w:start w:val="1"/>
      <w:numFmt w:val="upperLetter"/>
      <w:pStyle w:val="xAppendixLevel1"/>
      <w:lvlText w:val="Appendix %1"/>
      <w:lvlJc w:val="left"/>
      <w:pPr>
        <w:ind w:left="2410" w:hanging="2268"/>
      </w:pPr>
      <w:rPr>
        <w:b/>
        <w:bCs w:val="0"/>
        <w:i w:val="0"/>
        <w:iCs w:val="0"/>
        <w:caps w:val="0"/>
        <w:smallCaps w:val="0"/>
        <w:strike w:val="0"/>
        <w:dstrike w:val="0"/>
        <w:noProof w:val="0"/>
        <w:vanish w:val="0"/>
        <w:color w:val="A5A5A5"/>
        <w:spacing w:val="0"/>
        <w:kern w:val="0"/>
        <w:position w:val="0"/>
        <w:u w:val="none"/>
        <w:effect w:val="none"/>
        <w:vertAlign w:val="baseline"/>
        <w:em w:val="none"/>
        <w:specVanish w:val="0"/>
      </w:rPr>
    </w:lvl>
    <w:lvl w:ilvl="1">
      <w:start w:val="1"/>
      <w:numFmt w:val="decimal"/>
      <w:pStyle w:val="xAppendixLevel2"/>
      <w:lvlText w:val="%1.%2"/>
      <w:lvlJc w:val="left"/>
      <w:pPr>
        <w:ind w:left="993" w:hanging="851"/>
      </w:pPr>
      <w:rPr>
        <w:rFonts w:hint="default"/>
        <w:color w:val="00264D"/>
        <w:sz w:val="34"/>
        <w:szCs w:val="34"/>
      </w:rPr>
    </w:lvl>
    <w:lvl w:ilvl="2">
      <w:start w:val="1"/>
      <w:numFmt w:val="decimal"/>
      <w:pStyle w:val="xAppendixLevel3"/>
      <w:lvlText w:val="%1.%2.%3"/>
      <w:lvlJc w:val="left"/>
      <w:pPr>
        <w:ind w:left="993" w:hanging="851"/>
      </w:pPr>
      <w:rPr>
        <w:rFonts w:hint="default"/>
        <w:color w:val="00264D"/>
        <w:sz w:val="28"/>
        <w:szCs w:val="28"/>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5" w15:restartNumberingAfterBreak="0">
    <w:nsid w:val="768A6C06"/>
    <w:multiLevelType w:val="hybridMultilevel"/>
    <w:tmpl w:val="8AD22A36"/>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B7218E"/>
    <w:multiLevelType w:val="hybridMultilevel"/>
    <w:tmpl w:val="FA845EDE"/>
    <w:lvl w:ilvl="0" w:tplc="EFD6ABCE">
      <w:start w:val="1"/>
      <w:numFmt w:val="bullet"/>
      <w:lvlText w:val=""/>
      <w:lvlJc w:val="left"/>
      <w:pPr>
        <w:ind w:left="340" w:hanging="340"/>
      </w:pPr>
      <w:rPr>
        <w:rFonts w:ascii="Wingdings 2" w:hAnsi="Wingdings 2" w:hint="default"/>
        <w:b w:val="0"/>
        <w:i w:val="0"/>
        <w:color w:val="F49B00"/>
        <w:sz w:val="10"/>
        <w:szCs w:val="10"/>
      </w:rPr>
    </w:lvl>
    <w:lvl w:ilvl="1" w:tplc="168E9C4C">
      <w:start w:val="1"/>
      <w:numFmt w:val="bullet"/>
      <w:lvlText w:val=""/>
      <w:lvlJc w:val="left"/>
      <w:pPr>
        <w:ind w:left="680" w:hanging="340"/>
      </w:pPr>
      <w:rPr>
        <w:rFonts w:ascii="Symbol" w:hAnsi="Symbol" w:hint="default"/>
        <w:sz w:val="16"/>
      </w:rPr>
    </w:lvl>
    <w:lvl w:ilvl="2" w:tplc="B88EB012">
      <w:start w:val="1"/>
      <w:numFmt w:val="bullet"/>
      <w:lvlText w:val=""/>
      <w:lvlJc w:val="left"/>
      <w:pPr>
        <w:ind w:left="1134" w:hanging="454"/>
      </w:pPr>
      <w:rPr>
        <w:rFonts w:ascii="Symbol" w:hAnsi="Symbol" w:hint="default"/>
        <w:sz w:val="16"/>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50299B"/>
    <w:multiLevelType w:val="hybridMultilevel"/>
    <w:tmpl w:val="D798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4"/>
  </w:num>
  <w:num w:numId="4">
    <w:abstractNumId w:val="7"/>
  </w:num>
  <w:num w:numId="5">
    <w:abstractNumId w:val="11"/>
  </w:num>
  <w:num w:numId="6">
    <w:abstractNumId w:val="1"/>
  </w:num>
  <w:num w:numId="7">
    <w:abstractNumId w:val="8"/>
  </w:num>
  <w:num w:numId="8">
    <w:abstractNumId w:val="4"/>
  </w:num>
  <w:num w:numId="9">
    <w:abstractNumId w:val="19"/>
  </w:num>
  <w:num w:numId="10">
    <w:abstractNumId w:val="14"/>
  </w:num>
  <w:num w:numId="11">
    <w:abstractNumId w:val="13"/>
  </w:num>
  <w:num w:numId="12">
    <w:abstractNumId w:val="22"/>
  </w:num>
  <w:num w:numId="13">
    <w:abstractNumId w:val="16"/>
  </w:num>
  <w:num w:numId="14">
    <w:abstractNumId w:val="21"/>
  </w:num>
  <w:num w:numId="15">
    <w:abstractNumId w:val="3"/>
  </w:num>
  <w:num w:numId="16">
    <w:abstractNumId w:val="5"/>
  </w:num>
  <w:num w:numId="17">
    <w:abstractNumId w:val="20"/>
  </w:num>
  <w:num w:numId="18">
    <w:abstractNumId w:val="2"/>
  </w:num>
  <w:num w:numId="19">
    <w:abstractNumId w:val="27"/>
  </w:num>
  <w:num w:numId="20">
    <w:abstractNumId w:val="9"/>
  </w:num>
  <w:num w:numId="21">
    <w:abstractNumId w:val="26"/>
  </w:num>
  <w:num w:numId="22">
    <w:abstractNumId w:val="6"/>
  </w:num>
  <w:num w:numId="23">
    <w:abstractNumId w:val="23"/>
  </w:num>
  <w:num w:numId="24">
    <w:abstractNumId w:val="0"/>
  </w:num>
  <w:num w:numId="25">
    <w:abstractNumId w:val="17"/>
  </w:num>
  <w:num w:numId="26">
    <w:abstractNumId w:val="15"/>
  </w:num>
  <w:num w:numId="27">
    <w:abstractNumId w:val="25"/>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7F"/>
    <w:rsid w:val="000008AC"/>
    <w:rsid w:val="000028D1"/>
    <w:rsid w:val="000029B4"/>
    <w:rsid w:val="0000311D"/>
    <w:rsid w:val="0000359F"/>
    <w:rsid w:val="00003BF4"/>
    <w:rsid w:val="0000444A"/>
    <w:rsid w:val="000044E4"/>
    <w:rsid w:val="0000459F"/>
    <w:rsid w:val="0000565E"/>
    <w:rsid w:val="00007163"/>
    <w:rsid w:val="0001125F"/>
    <w:rsid w:val="00012532"/>
    <w:rsid w:val="000133DB"/>
    <w:rsid w:val="000137FA"/>
    <w:rsid w:val="00013F44"/>
    <w:rsid w:val="0001409B"/>
    <w:rsid w:val="00014CCE"/>
    <w:rsid w:val="00015666"/>
    <w:rsid w:val="00015C22"/>
    <w:rsid w:val="0002047C"/>
    <w:rsid w:val="00021B16"/>
    <w:rsid w:val="00021CD9"/>
    <w:rsid w:val="000223B3"/>
    <w:rsid w:val="0002282F"/>
    <w:rsid w:val="00022FEE"/>
    <w:rsid w:val="00024DC3"/>
    <w:rsid w:val="00024F78"/>
    <w:rsid w:val="00025E0B"/>
    <w:rsid w:val="00025F2E"/>
    <w:rsid w:val="00025FE8"/>
    <w:rsid w:val="000261E7"/>
    <w:rsid w:val="0003003E"/>
    <w:rsid w:val="00031711"/>
    <w:rsid w:val="00031D80"/>
    <w:rsid w:val="0003215D"/>
    <w:rsid w:val="00032C34"/>
    <w:rsid w:val="00033784"/>
    <w:rsid w:val="00034CB7"/>
    <w:rsid w:val="0003550B"/>
    <w:rsid w:val="0003602A"/>
    <w:rsid w:val="00036C7B"/>
    <w:rsid w:val="00036CE7"/>
    <w:rsid w:val="0003717A"/>
    <w:rsid w:val="00037330"/>
    <w:rsid w:val="00037C03"/>
    <w:rsid w:val="0004033A"/>
    <w:rsid w:val="00040ADB"/>
    <w:rsid w:val="000414B7"/>
    <w:rsid w:val="00042CE3"/>
    <w:rsid w:val="000441D8"/>
    <w:rsid w:val="000442D9"/>
    <w:rsid w:val="00044591"/>
    <w:rsid w:val="00044CD4"/>
    <w:rsid w:val="000467F3"/>
    <w:rsid w:val="00046B1B"/>
    <w:rsid w:val="0004740F"/>
    <w:rsid w:val="00047B1E"/>
    <w:rsid w:val="0005187D"/>
    <w:rsid w:val="00051E95"/>
    <w:rsid w:val="00052776"/>
    <w:rsid w:val="000535EF"/>
    <w:rsid w:val="00053AF8"/>
    <w:rsid w:val="00054A43"/>
    <w:rsid w:val="00054EBA"/>
    <w:rsid w:val="0005515D"/>
    <w:rsid w:val="000552B6"/>
    <w:rsid w:val="00055728"/>
    <w:rsid w:val="00055771"/>
    <w:rsid w:val="000565DF"/>
    <w:rsid w:val="0005698E"/>
    <w:rsid w:val="0005787E"/>
    <w:rsid w:val="00060BC9"/>
    <w:rsid w:val="000630CC"/>
    <w:rsid w:val="00063221"/>
    <w:rsid w:val="00063DA2"/>
    <w:rsid w:val="00065E39"/>
    <w:rsid w:val="000666C6"/>
    <w:rsid w:val="00066849"/>
    <w:rsid w:val="00067990"/>
    <w:rsid w:val="00070A8E"/>
    <w:rsid w:val="00070ED0"/>
    <w:rsid w:val="000715F2"/>
    <w:rsid w:val="00071DFF"/>
    <w:rsid w:val="00072958"/>
    <w:rsid w:val="0007319D"/>
    <w:rsid w:val="000733AA"/>
    <w:rsid w:val="000741E4"/>
    <w:rsid w:val="00074B44"/>
    <w:rsid w:val="00074E68"/>
    <w:rsid w:val="00074E95"/>
    <w:rsid w:val="00075864"/>
    <w:rsid w:val="00077FEF"/>
    <w:rsid w:val="0008080A"/>
    <w:rsid w:val="00082279"/>
    <w:rsid w:val="00084CED"/>
    <w:rsid w:val="00085C96"/>
    <w:rsid w:val="000863C3"/>
    <w:rsid w:val="0008644E"/>
    <w:rsid w:val="000866F4"/>
    <w:rsid w:val="0008717B"/>
    <w:rsid w:val="0008749C"/>
    <w:rsid w:val="00090178"/>
    <w:rsid w:val="00090C0C"/>
    <w:rsid w:val="00090CBA"/>
    <w:rsid w:val="00090FB1"/>
    <w:rsid w:val="000918EE"/>
    <w:rsid w:val="00092775"/>
    <w:rsid w:val="00093719"/>
    <w:rsid w:val="0009386F"/>
    <w:rsid w:val="00093A11"/>
    <w:rsid w:val="00094F55"/>
    <w:rsid w:val="000957BE"/>
    <w:rsid w:val="00095948"/>
    <w:rsid w:val="00097466"/>
    <w:rsid w:val="000A00D0"/>
    <w:rsid w:val="000A02F2"/>
    <w:rsid w:val="000A1ADD"/>
    <w:rsid w:val="000A211A"/>
    <w:rsid w:val="000A332B"/>
    <w:rsid w:val="000A41A2"/>
    <w:rsid w:val="000A6EA1"/>
    <w:rsid w:val="000A7A54"/>
    <w:rsid w:val="000B3D73"/>
    <w:rsid w:val="000B3E19"/>
    <w:rsid w:val="000B54C2"/>
    <w:rsid w:val="000B6606"/>
    <w:rsid w:val="000B6BB7"/>
    <w:rsid w:val="000B6D47"/>
    <w:rsid w:val="000B797A"/>
    <w:rsid w:val="000C0A8B"/>
    <w:rsid w:val="000C16F5"/>
    <w:rsid w:val="000C2BB5"/>
    <w:rsid w:val="000C3A60"/>
    <w:rsid w:val="000C689B"/>
    <w:rsid w:val="000C6E0C"/>
    <w:rsid w:val="000C702B"/>
    <w:rsid w:val="000C7C57"/>
    <w:rsid w:val="000D0852"/>
    <w:rsid w:val="000D0D51"/>
    <w:rsid w:val="000D2593"/>
    <w:rsid w:val="000D2F1A"/>
    <w:rsid w:val="000D5CE3"/>
    <w:rsid w:val="000D657B"/>
    <w:rsid w:val="000D6A04"/>
    <w:rsid w:val="000D6BFC"/>
    <w:rsid w:val="000D74E2"/>
    <w:rsid w:val="000E0826"/>
    <w:rsid w:val="000E15EE"/>
    <w:rsid w:val="000E21D6"/>
    <w:rsid w:val="000E3ADF"/>
    <w:rsid w:val="000E40A0"/>
    <w:rsid w:val="000E43AC"/>
    <w:rsid w:val="000E43E2"/>
    <w:rsid w:val="000E58F7"/>
    <w:rsid w:val="000E7A98"/>
    <w:rsid w:val="000E7DC9"/>
    <w:rsid w:val="000F0338"/>
    <w:rsid w:val="000F083C"/>
    <w:rsid w:val="000F0F69"/>
    <w:rsid w:val="000F16E0"/>
    <w:rsid w:val="000F1771"/>
    <w:rsid w:val="000F1799"/>
    <w:rsid w:val="000F4E80"/>
    <w:rsid w:val="000F582D"/>
    <w:rsid w:val="000F5F16"/>
    <w:rsid w:val="000F5FDD"/>
    <w:rsid w:val="000F734A"/>
    <w:rsid w:val="00100A08"/>
    <w:rsid w:val="0010132E"/>
    <w:rsid w:val="001035F1"/>
    <w:rsid w:val="0010462B"/>
    <w:rsid w:val="00105237"/>
    <w:rsid w:val="00106E43"/>
    <w:rsid w:val="00106FCC"/>
    <w:rsid w:val="00107E72"/>
    <w:rsid w:val="001101A3"/>
    <w:rsid w:val="00110705"/>
    <w:rsid w:val="00110B59"/>
    <w:rsid w:val="0011221D"/>
    <w:rsid w:val="00112FCA"/>
    <w:rsid w:val="001136B4"/>
    <w:rsid w:val="00113E17"/>
    <w:rsid w:val="00115786"/>
    <w:rsid w:val="001159AF"/>
    <w:rsid w:val="0011622C"/>
    <w:rsid w:val="001167F6"/>
    <w:rsid w:val="00117C19"/>
    <w:rsid w:val="00122A20"/>
    <w:rsid w:val="0012383A"/>
    <w:rsid w:val="00123EF4"/>
    <w:rsid w:val="00125349"/>
    <w:rsid w:val="001253C8"/>
    <w:rsid w:val="001270BD"/>
    <w:rsid w:val="001273AB"/>
    <w:rsid w:val="00130056"/>
    <w:rsid w:val="00130356"/>
    <w:rsid w:val="00133391"/>
    <w:rsid w:val="00134D20"/>
    <w:rsid w:val="0013544A"/>
    <w:rsid w:val="001359EF"/>
    <w:rsid w:val="00135D1E"/>
    <w:rsid w:val="0013620D"/>
    <w:rsid w:val="001368DB"/>
    <w:rsid w:val="0013709C"/>
    <w:rsid w:val="00137932"/>
    <w:rsid w:val="00137E90"/>
    <w:rsid w:val="001401FC"/>
    <w:rsid w:val="00140FCC"/>
    <w:rsid w:val="0014182B"/>
    <w:rsid w:val="00141D09"/>
    <w:rsid w:val="0014685A"/>
    <w:rsid w:val="00147535"/>
    <w:rsid w:val="00152B92"/>
    <w:rsid w:val="00152C73"/>
    <w:rsid w:val="00153328"/>
    <w:rsid w:val="0015361B"/>
    <w:rsid w:val="00154705"/>
    <w:rsid w:val="001560C0"/>
    <w:rsid w:val="00157620"/>
    <w:rsid w:val="00157E83"/>
    <w:rsid w:val="00160288"/>
    <w:rsid w:val="00160E32"/>
    <w:rsid w:val="00161391"/>
    <w:rsid w:val="001618FE"/>
    <w:rsid w:val="0016260B"/>
    <w:rsid w:val="00162935"/>
    <w:rsid w:val="0016330B"/>
    <w:rsid w:val="00164D8E"/>
    <w:rsid w:val="00165521"/>
    <w:rsid w:val="001659A6"/>
    <w:rsid w:val="00166D85"/>
    <w:rsid w:val="0017057B"/>
    <w:rsid w:val="001719D2"/>
    <w:rsid w:val="00171BCB"/>
    <w:rsid w:val="001728AB"/>
    <w:rsid w:val="00174800"/>
    <w:rsid w:val="0017522C"/>
    <w:rsid w:val="00175388"/>
    <w:rsid w:val="001758E3"/>
    <w:rsid w:val="00175AC1"/>
    <w:rsid w:val="00175DB5"/>
    <w:rsid w:val="0017660C"/>
    <w:rsid w:val="001767DA"/>
    <w:rsid w:val="00176A2B"/>
    <w:rsid w:val="00176CF8"/>
    <w:rsid w:val="001810BD"/>
    <w:rsid w:val="00182393"/>
    <w:rsid w:val="0018241A"/>
    <w:rsid w:val="0018332C"/>
    <w:rsid w:val="001842C2"/>
    <w:rsid w:val="00184A4A"/>
    <w:rsid w:val="00185B0C"/>
    <w:rsid w:val="00186DB1"/>
    <w:rsid w:val="00191AF9"/>
    <w:rsid w:val="00192E71"/>
    <w:rsid w:val="00193722"/>
    <w:rsid w:val="0019462D"/>
    <w:rsid w:val="00195782"/>
    <w:rsid w:val="00195BA8"/>
    <w:rsid w:val="00195C9B"/>
    <w:rsid w:val="001967AE"/>
    <w:rsid w:val="00196E9A"/>
    <w:rsid w:val="001A33CC"/>
    <w:rsid w:val="001A6FA6"/>
    <w:rsid w:val="001A704B"/>
    <w:rsid w:val="001A7407"/>
    <w:rsid w:val="001B00A6"/>
    <w:rsid w:val="001B07C9"/>
    <w:rsid w:val="001B0C7D"/>
    <w:rsid w:val="001B1996"/>
    <w:rsid w:val="001B299C"/>
    <w:rsid w:val="001B4106"/>
    <w:rsid w:val="001B50EB"/>
    <w:rsid w:val="001B520B"/>
    <w:rsid w:val="001B5FEA"/>
    <w:rsid w:val="001B6497"/>
    <w:rsid w:val="001B77FE"/>
    <w:rsid w:val="001B7866"/>
    <w:rsid w:val="001B7D52"/>
    <w:rsid w:val="001C0270"/>
    <w:rsid w:val="001C0E9D"/>
    <w:rsid w:val="001C1F67"/>
    <w:rsid w:val="001C2829"/>
    <w:rsid w:val="001C407B"/>
    <w:rsid w:val="001C4992"/>
    <w:rsid w:val="001C4DEC"/>
    <w:rsid w:val="001C5990"/>
    <w:rsid w:val="001C5E73"/>
    <w:rsid w:val="001C6B53"/>
    <w:rsid w:val="001C7C91"/>
    <w:rsid w:val="001D0E0F"/>
    <w:rsid w:val="001D198E"/>
    <w:rsid w:val="001D2806"/>
    <w:rsid w:val="001D3B64"/>
    <w:rsid w:val="001D419B"/>
    <w:rsid w:val="001D4B26"/>
    <w:rsid w:val="001D4CB2"/>
    <w:rsid w:val="001D4CC8"/>
    <w:rsid w:val="001E0877"/>
    <w:rsid w:val="001E0D8A"/>
    <w:rsid w:val="001E1F13"/>
    <w:rsid w:val="001E218B"/>
    <w:rsid w:val="001E27B2"/>
    <w:rsid w:val="001E295A"/>
    <w:rsid w:val="001E318F"/>
    <w:rsid w:val="001E5CE8"/>
    <w:rsid w:val="001E7E5A"/>
    <w:rsid w:val="001F0097"/>
    <w:rsid w:val="001F19D0"/>
    <w:rsid w:val="001F4729"/>
    <w:rsid w:val="001F5E92"/>
    <w:rsid w:val="001F66DF"/>
    <w:rsid w:val="001F6A29"/>
    <w:rsid w:val="001F76D5"/>
    <w:rsid w:val="0020000D"/>
    <w:rsid w:val="002001E5"/>
    <w:rsid w:val="002008F0"/>
    <w:rsid w:val="002023C3"/>
    <w:rsid w:val="0020311A"/>
    <w:rsid w:val="00203701"/>
    <w:rsid w:val="002045FC"/>
    <w:rsid w:val="00204F0A"/>
    <w:rsid w:val="0020566B"/>
    <w:rsid w:val="002075C9"/>
    <w:rsid w:val="00207F96"/>
    <w:rsid w:val="00210346"/>
    <w:rsid w:val="00210BA8"/>
    <w:rsid w:val="00210F3F"/>
    <w:rsid w:val="0021114A"/>
    <w:rsid w:val="00211467"/>
    <w:rsid w:val="00214993"/>
    <w:rsid w:val="00214C96"/>
    <w:rsid w:val="00215B49"/>
    <w:rsid w:val="00215C9A"/>
    <w:rsid w:val="00216998"/>
    <w:rsid w:val="00217027"/>
    <w:rsid w:val="00220DAF"/>
    <w:rsid w:val="00221D0F"/>
    <w:rsid w:val="002220DC"/>
    <w:rsid w:val="002240DF"/>
    <w:rsid w:val="00224DF6"/>
    <w:rsid w:val="002256F8"/>
    <w:rsid w:val="00230A28"/>
    <w:rsid w:val="00230D8D"/>
    <w:rsid w:val="00232145"/>
    <w:rsid w:val="00232F05"/>
    <w:rsid w:val="002339F7"/>
    <w:rsid w:val="00233A78"/>
    <w:rsid w:val="00233F73"/>
    <w:rsid w:val="00235C22"/>
    <w:rsid w:val="002374D4"/>
    <w:rsid w:val="00237733"/>
    <w:rsid w:val="0024059F"/>
    <w:rsid w:val="00240D02"/>
    <w:rsid w:val="00240FC3"/>
    <w:rsid w:val="00241446"/>
    <w:rsid w:val="0024164D"/>
    <w:rsid w:val="00242337"/>
    <w:rsid w:val="0024246F"/>
    <w:rsid w:val="00243590"/>
    <w:rsid w:val="00244AB7"/>
    <w:rsid w:val="002453DD"/>
    <w:rsid w:val="00245AF6"/>
    <w:rsid w:val="00246ED5"/>
    <w:rsid w:val="00247B92"/>
    <w:rsid w:val="00250560"/>
    <w:rsid w:val="002513A3"/>
    <w:rsid w:val="00253AC9"/>
    <w:rsid w:val="00254E31"/>
    <w:rsid w:val="00255BCC"/>
    <w:rsid w:val="00256946"/>
    <w:rsid w:val="00256BFC"/>
    <w:rsid w:val="002578D2"/>
    <w:rsid w:val="00260C2E"/>
    <w:rsid w:val="00263A04"/>
    <w:rsid w:val="00263BA9"/>
    <w:rsid w:val="0026466D"/>
    <w:rsid w:val="002648AB"/>
    <w:rsid w:val="00264EA0"/>
    <w:rsid w:val="00266533"/>
    <w:rsid w:val="00266E31"/>
    <w:rsid w:val="0026707B"/>
    <w:rsid w:val="002672A9"/>
    <w:rsid w:val="00267327"/>
    <w:rsid w:val="002701EB"/>
    <w:rsid w:val="0027049F"/>
    <w:rsid w:val="00271343"/>
    <w:rsid w:val="00271878"/>
    <w:rsid w:val="002748FD"/>
    <w:rsid w:val="002752FE"/>
    <w:rsid w:val="00275EA1"/>
    <w:rsid w:val="00276187"/>
    <w:rsid w:val="002769AC"/>
    <w:rsid w:val="00277127"/>
    <w:rsid w:val="002806B2"/>
    <w:rsid w:val="0028354A"/>
    <w:rsid w:val="002836C9"/>
    <w:rsid w:val="00283B37"/>
    <w:rsid w:val="002842DE"/>
    <w:rsid w:val="00284DF1"/>
    <w:rsid w:val="00285301"/>
    <w:rsid w:val="00286BAE"/>
    <w:rsid w:val="002874ED"/>
    <w:rsid w:val="00287588"/>
    <w:rsid w:val="0029034F"/>
    <w:rsid w:val="002903C3"/>
    <w:rsid w:val="0029085D"/>
    <w:rsid w:val="00290926"/>
    <w:rsid w:val="00291600"/>
    <w:rsid w:val="0029320C"/>
    <w:rsid w:val="00293CAA"/>
    <w:rsid w:val="002942C1"/>
    <w:rsid w:val="0029483E"/>
    <w:rsid w:val="00294C7F"/>
    <w:rsid w:val="002950D7"/>
    <w:rsid w:val="0029596C"/>
    <w:rsid w:val="00295C20"/>
    <w:rsid w:val="00296296"/>
    <w:rsid w:val="00297811"/>
    <w:rsid w:val="00297844"/>
    <w:rsid w:val="002A006E"/>
    <w:rsid w:val="002A0C37"/>
    <w:rsid w:val="002A1571"/>
    <w:rsid w:val="002A2970"/>
    <w:rsid w:val="002A370A"/>
    <w:rsid w:val="002A3CFD"/>
    <w:rsid w:val="002A4A16"/>
    <w:rsid w:val="002A59ED"/>
    <w:rsid w:val="002A5FC2"/>
    <w:rsid w:val="002A63E7"/>
    <w:rsid w:val="002A6A5C"/>
    <w:rsid w:val="002A6E6F"/>
    <w:rsid w:val="002B0099"/>
    <w:rsid w:val="002B015D"/>
    <w:rsid w:val="002B19F3"/>
    <w:rsid w:val="002B2725"/>
    <w:rsid w:val="002B2C82"/>
    <w:rsid w:val="002B3323"/>
    <w:rsid w:val="002B4151"/>
    <w:rsid w:val="002B45F5"/>
    <w:rsid w:val="002B4D07"/>
    <w:rsid w:val="002B5822"/>
    <w:rsid w:val="002B5BA1"/>
    <w:rsid w:val="002B6204"/>
    <w:rsid w:val="002B7006"/>
    <w:rsid w:val="002C0C00"/>
    <w:rsid w:val="002C0D8E"/>
    <w:rsid w:val="002C1894"/>
    <w:rsid w:val="002C22CA"/>
    <w:rsid w:val="002C3655"/>
    <w:rsid w:val="002C41FB"/>
    <w:rsid w:val="002C4390"/>
    <w:rsid w:val="002C4AEB"/>
    <w:rsid w:val="002D1CFF"/>
    <w:rsid w:val="002D2DAC"/>
    <w:rsid w:val="002D4051"/>
    <w:rsid w:val="002D494A"/>
    <w:rsid w:val="002D4A43"/>
    <w:rsid w:val="002D5861"/>
    <w:rsid w:val="002D5890"/>
    <w:rsid w:val="002D6A83"/>
    <w:rsid w:val="002D6D0E"/>
    <w:rsid w:val="002D7AF8"/>
    <w:rsid w:val="002E017F"/>
    <w:rsid w:val="002E05E5"/>
    <w:rsid w:val="002E17D2"/>
    <w:rsid w:val="002E2149"/>
    <w:rsid w:val="002E23B8"/>
    <w:rsid w:val="002E2F0E"/>
    <w:rsid w:val="002E3828"/>
    <w:rsid w:val="002E5A18"/>
    <w:rsid w:val="002E6870"/>
    <w:rsid w:val="002E7885"/>
    <w:rsid w:val="002E7BDA"/>
    <w:rsid w:val="002E7EE2"/>
    <w:rsid w:val="002E7F7F"/>
    <w:rsid w:val="002F032A"/>
    <w:rsid w:val="002F07A6"/>
    <w:rsid w:val="002F18F3"/>
    <w:rsid w:val="002F6EEE"/>
    <w:rsid w:val="00300855"/>
    <w:rsid w:val="00301424"/>
    <w:rsid w:val="00301499"/>
    <w:rsid w:val="00301F3D"/>
    <w:rsid w:val="00302076"/>
    <w:rsid w:val="00303314"/>
    <w:rsid w:val="00306129"/>
    <w:rsid w:val="003067DB"/>
    <w:rsid w:val="00307DD8"/>
    <w:rsid w:val="00310F3A"/>
    <w:rsid w:val="00313095"/>
    <w:rsid w:val="00313689"/>
    <w:rsid w:val="00313BEF"/>
    <w:rsid w:val="00315023"/>
    <w:rsid w:val="00315579"/>
    <w:rsid w:val="00316ADA"/>
    <w:rsid w:val="00316F76"/>
    <w:rsid w:val="00317327"/>
    <w:rsid w:val="00317495"/>
    <w:rsid w:val="00317930"/>
    <w:rsid w:val="0032099F"/>
    <w:rsid w:val="00320B19"/>
    <w:rsid w:val="00321DB8"/>
    <w:rsid w:val="00321EB3"/>
    <w:rsid w:val="00322070"/>
    <w:rsid w:val="0032209D"/>
    <w:rsid w:val="00323D39"/>
    <w:rsid w:val="0032449F"/>
    <w:rsid w:val="0032486C"/>
    <w:rsid w:val="00324E51"/>
    <w:rsid w:val="0032739D"/>
    <w:rsid w:val="003275B9"/>
    <w:rsid w:val="00327C91"/>
    <w:rsid w:val="00331A86"/>
    <w:rsid w:val="00331DE9"/>
    <w:rsid w:val="003321E3"/>
    <w:rsid w:val="00332D1C"/>
    <w:rsid w:val="003337BA"/>
    <w:rsid w:val="003337C0"/>
    <w:rsid w:val="003344B9"/>
    <w:rsid w:val="00334A08"/>
    <w:rsid w:val="00334D71"/>
    <w:rsid w:val="00334DE3"/>
    <w:rsid w:val="00335032"/>
    <w:rsid w:val="003358EC"/>
    <w:rsid w:val="00335FBF"/>
    <w:rsid w:val="003368E1"/>
    <w:rsid w:val="00336FF4"/>
    <w:rsid w:val="00337114"/>
    <w:rsid w:val="00340022"/>
    <w:rsid w:val="00341121"/>
    <w:rsid w:val="003414E8"/>
    <w:rsid w:val="00341583"/>
    <w:rsid w:val="00341987"/>
    <w:rsid w:val="00343845"/>
    <w:rsid w:val="00343B52"/>
    <w:rsid w:val="00344C24"/>
    <w:rsid w:val="00345F24"/>
    <w:rsid w:val="00346FB4"/>
    <w:rsid w:val="003475A9"/>
    <w:rsid w:val="00347671"/>
    <w:rsid w:val="00351CFB"/>
    <w:rsid w:val="00351F68"/>
    <w:rsid w:val="00352804"/>
    <w:rsid w:val="00353661"/>
    <w:rsid w:val="003537C8"/>
    <w:rsid w:val="00353E7C"/>
    <w:rsid w:val="00354543"/>
    <w:rsid w:val="00355495"/>
    <w:rsid w:val="003556E9"/>
    <w:rsid w:val="003578C1"/>
    <w:rsid w:val="00360D4C"/>
    <w:rsid w:val="00360DE4"/>
    <w:rsid w:val="00361906"/>
    <w:rsid w:val="0036192D"/>
    <w:rsid w:val="00361CC5"/>
    <w:rsid w:val="00361D74"/>
    <w:rsid w:val="00362999"/>
    <w:rsid w:val="00362B35"/>
    <w:rsid w:val="0036332A"/>
    <w:rsid w:val="00363531"/>
    <w:rsid w:val="00363830"/>
    <w:rsid w:val="00365056"/>
    <w:rsid w:val="003659C6"/>
    <w:rsid w:val="00367473"/>
    <w:rsid w:val="00370154"/>
    <w:rsid w:val="003710E5"/>
    <w:rsid w:val="00371AB7"/>
    <w:rsid w:val="00371CB0"/>
    <w:rsid w:val="00372129"/>
    <w:rsid w:val="003724D1"/>
    <w:rsid w:val="00373839"/>
    <w:rsid w:val="00373E03"/>
    <w:rsid w:val="0037478D"/>
    <w:rsid w:val="00376295"/>
    <w:rsid w:val="00376B68"/>
    <w:rsid w:val="0037732C"/>
    <w:rsid w:val="0037796D"/>
    <w:rsid w:val="00380F67"/>
    <w:rsid w:val="00381DB5"/>
    <w:rsid w:val="003834D2"/>
    <w:rsid w:val="00383F60"/>
    <w:rsid w:val="003869AA"/>
    <w:rsid w:val="00390372"/>
    <w:rsid w:val="003907DE"/>
    <w:rsid w:val="00391529"/>
    <w:rsid w:val="00392822"/>
    <w:rsid w:val="00392B99"/>
    <w:rsid w:val="003931D2"/>
    <w:rsid w:val="00394580"/>
    <w:rsid w:val="0039460B"/>
    <w:rsid w:val="003970AB"/>
    <w:rsid w:val="00397C61"/>
    <w:rsid w:val="00397F4C"/>
    <w:rsid w:val="003A0EDC"/>
    <w:rsid w:val="003A1A8A"/>
    <w:rsid w:val="003A1E48"/>
    <w:rsid w:val="003A2D2E"/>
    <w:rsid w:val="003A3954"/>
    <w:rsid w:val="003A43E1"/>
    <w:rsid w:val="003A4964"/>
    <w:rsid w:val="003A4BE8"/>
    <w:rsid w:val="003A4CF3"/>
    <w:rsid w:val="003A7611"/>
    <w:rsid w:val="003A792E"/>
    <w:rsid w:val="003A7CF0"/>
    <w:rsid w:val="003B14E8"/>
    <w:rsid w:val="003B2170"/>
    <w:rsid w:val="003B3192"/>
    <w:rsid w:val="003B3949"/>
    <w:rsid w:val="003B39C3"/>
    <w:rsid w:val="003B438D"/>
    <w:rsid w:val="003B464C"/>
    <w:rsid w:val="003B4DC3"/>
    <w:rsid w:val="003B62D8"/>
    <w:rsid w:val="003B6624"/>
    <w:rsid w:val="003B6886"/>
    <w:rsid w:val="003B68F5"/>
    <w:rsid w:val="003B69F2"/>
    <w:rsid w:val="003B725C"/>
    <w:rsid w:val="003C1188"/>
    <w:rsid w:val="003C23F5"/>
    <w:rsid w:val="003C2917"/>
    <w:rsid w:val="003C3644"/>
    <w:rsid w:val="003C3685"/>
    <w:rsid w:val="003C41AD"/>
    <w:rsid w:val="003C47F7"/>
    <w:rsid w:val="003C4E00"/>
    <w:rsid w:val="003C54DE"/>
    <w:rsid w:val="003C7132"/>
    <w:rsid w:val="003D168A"/>
    <w:rsid w:val="003D296F"/>
    <w:rsid w:val="003D2A98"/>
    <w:rsid w:val="003D4470"/>
    <w:rsid w:val="003D46C6"/>
    <w:rsid w:val="003D53D0"/>
    <w:rsid w:val="003D6899"/>
    <w:rsid w:val="003E00B7"/>
    <w:rsid w:val="003E0EDD"/>
    <w:rsid w:val="003E146F"/>
    <w:rsid w:val="003E3641"/>
    <w:rsid w:val="003E404F"/>
    <w:rsid w:val="003E47F2"/>
    <w:rsid w:val="003E5907"/>
    <w:rsid w:val="003E5C19"/>
    <w:rsid w:val="003E6ACE"/>
    <w:rsid w:val="003E7051"/>
    <w:rsid w:val="003E7C48"/>
    <w:rsid w:val="003F064C"/>
    <w:rsid w:val="003F0C25"/>
    <w:rsid w:val="003F2421"/>
    <w:rsid w:val="003F2EAB"/>
    <w:rsid w:val="003F3283"/>
    <w:rsid w:val="003F3664"/>
    <w:rsid w:val="003F3735"/>
    <w:rsid w:val="003F4F6A"/>
    <w:rsid w:val="003F75D7"/>
    <w:rsid w:val="003F797C"/>
    <w:rsid w:val="00400664"/>
    <w:rsid w:val="004015B9"/>
    <w:rsid w:val="00401EFC"/>
    <w:rsid w:val="00402ED5"/>
    <w:rsid w:val="00404EFA"/>
    <w:rsid w:val="00405455"/>
    <w:rsid w:val="00405EC2"/>
    <w:rsid w:val="00406487"/>
    <w:rsid w:val="00406F7B"/>
    <w:rsid w:val="004070CE"/>
    <w:rsid w:val="00407B19"/>
    <w:rsid w:val="00411921"/>
    <w:rsid w:val="00411AF6"/>
    <w:rsid w:val="00411B02"/>
    <w:rsid w:val="00411EF6"/>
    <w:rsid w:val="00414CFF"/>
    <w:rsid w:val="00414EAC"/>
    <w:rsid w:val="004152C8"/>
    <w:rsid w:val="00415844"/>
    <w:rsid w:val="00416A10"/>
    <w:rsid w:val="00417B24"/>
    <w:rsid w:val="00417D53"/>
    <w:rsid w:val="00421AD2"/>
    <w:rsid w:val="00423484"/>
    <w:rsid w:val="00423D04"/>
    <w:rsid w:val="00425092"/>
    <w:rsid w:val="00425A22"/>
    <w:rsid w:val="004266A2"/>
    <w:rsid w:val="0042672B"/>
    <w:rsid w:val="00426B72"/>
    <w:rsid w:val="0042722C"/>
    <w:rsid w:val="004300DC"/>
    <w:rsid w:val="00430E9B"/>
    <w:rsid w:val="00430FB4"/>
    <w:rsid w:val="004318E1"/>
    <w:rsid w:val="00432047"/>
    <w:rsid w:val="00433F61"/>
    <w:rsid w:val="00434991"/>
    <w:rsid w:val="00434F7D"/>
    <w:rsid w:val="004366D4"/>
    <w:rsid w:val="0044003C"/>
    <w:rsid w:val="004409F7"/>
    <w:rsid w:val="00441C61"/>
    <w:rsid w:val="00442209"/>
    <w:rsid w:val="004427F8"/>
    <w:rsid w:val="00444F45"/>
    <w:rsid w:val="004451DC"/>
    <w:rsid w:val="0044527D"/>
    <w:rsid w:val="00445764"/>
    <w:rsid w:val="00445DAD"/>
    <w:rsid w:val="00447A50"/>
    <w:rsid w:val="004504D6"/>
    <w:rsid w:val="00451F13"/>
    <w:rsid w:val="00453D02"/>
    <w:rsid w:val="004554B3"/>
    <w:rsid w:val="00457549"/>
    <w:rsid w:val="00457DCB"/>
    <w:rsid w:val="0046087F"/>
    <w:rsid w:val="00460D7C"/>
    <w:rsid w:val="00462562"/>
    <w:rsid w:val="00463269"/>
    <w:rsid w:val="0046452E"/>
    <w:rsid w:val="00465A11"/>
    <w:rsid w:val="00465A5B"/>
    <w:rsid w:val="00465EB9"/>
    <w:rsid w:val="00467724"/>
    <w:rsid w:val="00467C01"/>
    <w:rsid w:val="004700A8"/>
    <w:rsid w:val="00470E70"/>
    <w:rsid w:val="0047113B"/>
    <w:rsid w:val="0047156A"/>
    <w:rsid w:val="004746E6"/>
    <w:rsid w:val="00474CC9"/>
    <w:rsid w:val="00474F53"/>
    <w:rsid w:val="004755AF"/>
    <w:rsid w:val="00475C0B"/>
    <w:rsid w:val="00477464"/>
    <w:rsid w:val="00477CB2"/>
    <w:rsid w:val="00480210"/>
    <w:rsid w:val="0048036E"/>
    <w:rsid w:val="004803CD"/>
    <w:rsid w:val="004806F7"/>
    <w:rsid w:val="0048175A"/>
    <w:rsid w:val="00482A4E"/>
    <w:rsid w:val="00484126"/>
    <w:rsid w:val="00485250"/>
    <w:rsid w:val="00486A96"/>
    <w:rsid w:val="00486DC4"/>
    <w:rsid w:val="004872C4"/>
    <w:rsid w:val="00487451"/>
    <w:rsid w:val="0048762E"/>
    <w:rsid w:val="0049082C"/>
    <w:rsid w:val="0049156F"/>
    <w:rsid w:val="00493FD8"/>
    <w:rsid w:val="00495771"/>
    <w:rsid w:val="00497336"/>
    <w:rsid w:val="0049738B"/>
    <w:rsid w:val="00497E20"/>
    <w:rsid w:val="004A1430"/>
    <w:rsid w:val="004A1497"/>
    <w:rsid w:val="004A498B"/>
    <w:rsid w:val="004A4AF9"/>
    <w:rsid w:val="004A5405"/>
    <w:rsid w:val="004A63C3"/>
    <w:rsid w:val="004A6588"/>
    <w:rsid w:val="004A6A06"/>
    <w:rsid w:val="004B0A4F"/>
    <w:rsid w:val="004B15D5"/>
    <w:rsid w:val="004B185F"/>
    <w:rsid w:val="004B1B53"/>
    <w:rsid w:val="004B1E68"/>
    <w:rsid w:val="004B2864"/>
    <w:rsid w:val="004B354C"/>
    <w:rsid w:val="004B3819"/>
    <w:rsid w:val="004B4499"/>
    <w:rsid w:val="004B7A7F"/>
    <w:rsid w:val="004C0D18"/>
    <w:rsid w:val="004C187D"/>
    <w:rsid w:val="004C1E6D"/>
    <w:rsid w:val="004C2E51"/>
    <w:rsid w:val="004C3D11"/>
    <w:rsid w:val="004C50F3"/>
    <w:rsid w:val="004C58E0"/>
    <w:rsid w:val="004C6725"/>
    <w:rsid w:val="004C7F4C"/>
    <w:rsid w:val="004D0331"/>
    <w:rsid w:val="004D05C8"/>
    <w:rsid w:val="004D08F9"/>
    <w:rsid w:val="004D1067"/>
    <w:rsid w:val="004D1676"/>
    <w:rsid w:val="004D26B2"/>
    <w:rsid w:val="004D2C10"/>
    <w:rsid w:val="004D33B9"/>
    <w:rsid w:val="004D36E4"/>
    <w:rsid w:val="004D4852"/>
    <w:rsid w:val="004D496C"/>
    <w:rsid w:val="004D5092"/>
    <w:rsid w:val="004D54CA"/>
    <w:rsid w:val="004D5599"/>
    <w:rsid w:val="004D581D"/>
    <w:rsid w:val="004D6806"/>
    <w:rsid w:val="004D7189"/>
    <w:rsid w:val="004E3413"/>
    <w:rsid w:val="004E4A8D"/>
    <w:rsid w:val="004E63D9"/>
    <w:rsid w:val="004E6592"/>
    <w:rsid w:val="004E6B63"/>
    <w:rsid w:val="004E7C01"/>
    <w:rsid w:val="004F108A"/>
    <w:rsid w:val="004F1B2F"/>
    <w:rsid w:val="004F1F97"/>
    <w:rsid w:val="004F211B"/>
    <w:rsid w:val="004F31A9"/>
    <w:rsid w:val="004F33D9"/>
    <w:rsid w:val="004F47E4"/>
    <w:rsid w:val="004F58FB"/>
    <w:rsid w:val="004F5A58"/>
    <w:rsid w:val="004F683A"/>
    <w:rsid w:val="004F6BFE"/>
    <w:rsid w:val="004F6D15"/>
    <w:rsid w:val="004F7731"/>
    <w:rsid w:val="005000F5"/>
    <w:rsid w:val="00500547"/>
    <w:rsid w:val="005014DE"/>
    <w:rsid w:val="00501834"/>
    <w:rsid w:val="005018AE"/>
    <w:rsid w:val="00501A78"/>
    <w:rsid w:val="00503F30"/>
    <w:rsid w:val="00504C1D"/>
    <w:rsid w:val="00505F35"/>
    <w:rsid w:val="00512C9C"/>
    <w:rsid w:val="005137B2"/>
    <w:rsid w:val="00514A54"/>
    <w:rsid w:val="00514D6C"/>
    <w:rsid w:val="00515290"/>
    <w:rsid w:val="00515B86"/>
    <w:rsid w:val="00516B91"/>
    <w:rsid w:val="005173E5"/>
    <w:rsid w:val="00520288"/>
    <w:rsid w:val="00521ECB"/>
    <w:rsid w:val="005233E4"/>
    <w:rsid w:val="00523FA9"/>
    <w:rsid w:val="00524069"/>
    <w:rsid w:val="005260C2"/>
    <w:rsid w:val="0052799F"/>
    <w:rsid w:val="00532270"/>
    <w:rsid w:val="00532909"/>
    <w:rsid w:val="00532B9B"/>
    <w:rsid w:val="00533681"/>
    <w:rsid w:val="0053378A"/>
    <w:rsid w:val="00533DB9"/>
    <w:rsid w:val="00533EAB"/>
    <w:rsid w:val="00534534"/>
    <w:rsid w:val="00535D48"/>
    <w:rsid w:val="00537A0B"/>
    <w:rsid w:val="00537D88"/>
    <w:rsid w:val="00537E2F"/>
    <w:rsid w:val="0054153A"/>
    <w:rsid w:val="00541D34"/>
    <w:rsid w:val="00541E6F"/>
    <w:rsid w:val="0054264A"/>
    <w:rsid w:val="005428CD"/>
    <w:rsid w:val="00543C06"/>
    <w:rsid w:val="00544354"/>
    <w:rsid w:val="00544FBE"/>
    <w:rsid w:val="00545917"/>
    <w:rsid w:val="005460BF"/>
    <w:rsid w:val="0054715D"/>
    <w:rsid w:val="005506BE"/>
    <w:rsid w:val="00550A63"/>
    <w:rsid w:val="00550B16"/>
    <w:rsid w:val="005513F9"/>
    <w:rsid w:val="0055193D"/>
    <w:rsid w:val="00551C35"/>
    <w:rsid w:val="00551F54"/>
    <w:rsid w:val="00553444"/>
    <w:rsid w:val="0055378F"/>
    <w:rsid w:val="00553C71"/>
    <w:rsid w:val="0055487E"/>
    <w:rsid w:val="00555598"/>
    <w:rsid w:val="005560E0"/>
    <w:rsid w:val="005571FC"/>
    <w:rsid w:val="005575AB"/>
    <w:rsid w:val="005578F0"/>
    <w:rsid w:val="00557E65"/>
    <w:rsid w:val="00557F48"/>
    <w:rsid w:val="00561079"/>
    <w:rsid w:val="0056165F"/>
    <w:rsid w:val="0056192A"/>
    <w:rsid w:val="00561CCB"/>
    <w:rsid w:val="00562734"/>
    <w:rsid w:val="00562BB5"/>
    <w:rsid w:val="005631B5"/>
    <w:rsid w:val="00563AD5"/>
    <w:rsid w:val="00563F59"/>
    <w:rsid w:val="005649D4"/>
    <w:rsid w:val="00564C97"/>
    <w:rsid w:val="00564F03"/>
    <w:rsid w:val="005652BE"/>
    <w:rsid w:val="005653E7"/>
    <w:rsid w:val="00565D08"/>
    <w:rsid w:val="00566A7A"/>
    <w:rsid w:val="0056713F"/>
    <w:rsid w:val="005706B0"/>
    <w:rsid w:val="00570D37"/>
    <w:rsid w:val="00572391"/>
    <w:rsid w:val="005732D1"/>
    <w:rsid w:val="00573411"/>
    <w:rsid w:val="0057550F"/>
    <w:rsid w:val="00575D6B"/>
    <w:rsid w:val="00576382"/>
    <w:rsid w:val="00576998"/>
    <w:rsid w:val="00576C8A"/>
    <w:rsid w:val="00576DDE"/>
    <w:rsid w:val="0057736C"/>
    <w:rsid w:val="00580B5C"/>
    <w:rsid w:val="00582454"/>
    <w:rsid w:val="005828A0"/>
    <w:rsid w:val="005828EC"/>
    <w:rsid w:val="00583510"/>
    <w:rsid w:val="0058478C"/>
    <w:rsid w:val="0058512B"/>
    <w:rsid w:val="00585707"/>
    <w:rsid w:val="00585E00"/>
    <w:rsid w:val="00586310"/>
    <w:rsid w:val="005864FF"/>
    <w:rsid w:val="00586AAC"/>
    <w:rsid w:val="00586E07"/>
    <w:rsid w:val="00590954"/>
    <w:rsid w:val="00590EE9"/>
    <w:rsid w:val="00591B43"/>
    <w:rsid w:val="00591F89"/>
    <w:rsid w:val="005921E3"/>
    <w:rsid w:val="0059293F"/>
    <w:rsid w:val="00592F7A"/>
    <w:rsid w:val="005935A7"/>
    <w:rsid w:val="0059472C"/>
    <w:rsid w:val="00595278"/>
    <w:rsid w:val="00596193"/>
    <w:rsid w:val="00596456"/>
    <w:rsid w:val="005A009C"/>
    <w:rsid w:val="005A05B4"/>
    <w:rsid w:val="005A09E3"/>
    <w:rsid w:val="005A2431"/>
    <w:rsid w:val="005A2466"/>
    <w:rsid w:val="005A429D"/>
    <w:rsid w:val="005A5CB4"/>
    <w:rsid w:val="005A7A58"/>
    <w:rsid w:val="005B095A"/>
    <w:rsid w:val="005B0F1C"/>
    <w:rsid w:val="005B12CB"/>
    <w:rsid w:val="005B2216"/>
    <w:rsid w:val="005B33B7"/>
    <w:rsid w:val="005B4521"/>
    <w:rsid w:val="005B5CD7"/>
    <w:rsid w:val="005B5D08"/>
    <w:rsid w:val="005B7DBB"/>
    <w:rsid w:val="005C12DB"/>
    <w:rsid w:val="005C1984"/>
    <w:rsid w:val="005C1CE2"/>
    <w:rsid w:val="005C2538"/>
    <w:rsid w:val="005C30E5"/>
    <w:rsid w:val="005C370A"/>
    <w:rsid w:val="005C3CB8"/>
    <w:rsid w:val="005C71E1"/>
    <w:rsid w:val="005C77E5"/>
    <w:rsid w:val="005C7CE5"/>
    <w:rsid w:val="005C7EA6"/>
    <w:rsid w:val="005C7F1D"/>
    <w:rsid w:val="005D1F69"/>
    <w:rsid w:val="005D2288"/>
    <w:rsid w:val="005D3DB2"/>
    <w:rsid w:val="005D43C4"/>
    <w:rsid w:val="005D4B88"/>
    <w:rsid w:val="005D4F3E"/>
    <w:rsid w:val="005D5B4D"/>
    <w:rsid w:val="005D5FFA"/>
    <w:rsid w:val="005D661C"/>
    <w:rsid w:val="005D6B51"/>
    <w:rsid w:val="005E0C99"/>
    <w:rsid w:val="005E16D4"/>
    <w:rsid w:val="005E1819"/>
    <w:rsid w:val="005E2366"/>
    <w:rsid w:val="005E409D"/>
    <w:rsid w:val="005E4B5E"/>
    <w:rsid w:val="005E53C1"/>
    <w:rsid w:val="005E6160"/>
    <w:rsid w:val="005E624B"/>
    <w:rsid w:val="005E6409"/>
    <w:rsid w:val="005E65C2"/>
    <w:rsid w:val="005E6CA1"/>
    <w:rsid w:val="005E7A29"/>
    <w:rsid w:val="005E7C43"/>
    <w:rsid w:val="005F34E0"/>
    <w:rsid w:val="005F3541"/>
    <w:rsid w:val="005F387D"/>
    <w:rsid w:val="005F49D8"/>
    <w:rsid w:val="005F4F28"/>
    <w:rsid w:val="005F51A1"/>
    <w:rsid w:val="005F7357"/>
    <w:rsid w:val="005F7EF7"/>
    <w:rsid w:val="00601AEB"/>
    <w:rsid w:val="00601CA2"/>
    <w:rsid w:val="00603849"/>
    <w:rsid w:val="00603A59"/>
    <w:rsid w:val="00604D7B"/>
    <w:rsid w:val="006057B1"/>
    <w:rsid w:val="00605D6A"/>
    <w:rsid w:val="00606E07"/>
    <w:rsid w:val="00607785"/>
    <w:rsid w:val="00610AEB"/>
    <w:rsid w:val="00611A1D"/>
    <w:rsid w:val="00612166"/>
    <w:rsid w:val="00614D64"/>
    <w:rsid w:val="006150FE"/>
    <w:rsid w:val="00617859"/>
    <w:rsid w:val="00617E45"/>
    <w:rsid w:val="00620758"/>
    <w:rsid w:val="006214FB"/>
    <w:rsid w:val="006217C6"/>
    <w:rsid w:val="00621BEA"/>
    <w:rsid w:val="00621CEB"/>
    <w:rsid w:val="006223DF"/>
    <w:rsid w:val="006231C9"/>
    <w:rsid w:val="00624866"/>
    <w:rsid w:val="00624B7D"/>
    <w:rsid w:val="00624E56"/>
    <w:rsid w:val="00625153"/>
    <w:rsid w:val="0062619A"/>
    <w:rsid w:val="0062640C"/>
    <w:rsid w:val="0062688C"/>
    <w:rsid w:val="00632042"/>
    <w:rsid w:val="0063295B"/>
    <w:rsid w:val="0063473A"/>
    <w:rsid w:val="00634DE3"/>
    <w:rsid w:val="0063553D"/>
    <w:rsid w:val="006371F1"/>
    <w:rsid w:val="006400E7"/>
    <w:rsid w:val="0064064A"/>
    <w:rsid w:val="00641F92"/>
    <w:rsid w:val="00642420"/>
    <w:rsid w:val="00642CB8"/>
    <w:rsid w:val="00643260"/>
    <w:rsid w:val="00643FF6"/>
    <w:rsid w:val="00644DCB"/>
    <w:rsid w:val="00645EDB"/>
    <w:rsid w:val="00647E7B"/>
    <w:rsid w:val="00650B90"/>
    <w:rsid w:val="00651613"/>
    <w:rsid w:val="00651641"/>
    <w:rsid w:val="00652F82"/>
    <w:rsid w:val="006532B9"/>
    <w:rsid w:val="00653916"/>
    <w:rsid w:val="00655A0D"/>
    <w:rsid w:val="00656857"/>
    <w:rsid w:val="00657F13"/>
    <w:rsid w:val="00657FF7"/>
    <w:rsid w:val="00660ED0"/>
    <w:rsid w:val="00661CA8"/>
    <w:rsid w:val="00665E14"/>
    <w:rsid w:val="00666F97"/>
    <w:rsid w:val="00667349"/>
    <w:rsid w:val="006709C6"/>
    <w:rsid w:val="006710C1"/>
    <w:rsid w:val="00671AA1"/>
    <w:rsid w:val="0067364D"/>
    <w:rsid w:val="006755E7"/>
    <w:rsid w:val="00675A09"/>
    <w:rsid w:val="006773BF"/>
    <w:rsid w:val="006777B0"/>
    <w:rsid w:val="0067785F"/>
    <w:rsid w:val="00677C68"/>
    <w:rsid w:val="00677F86"/>
    <w:rsid w:val="00680CF4"/>
    <w:rsid w:val="006819D7"/>
    <w:rsid w:val="0068218C"/>
    <w:rsid w:val="006821FD"/>
    <w:rsid w:val="00683F35"/>
    <w:rsid w:val="0068464E"/>
    <w:rsid w:val="006849B1"/>
    <w:rsid w:val="00684D08"/>
    <w:rsid w:val="00684E2E"/>
    <w:rsid w:val="00686172"/>
    <w:rsid w:val="006871EC"/>
    <w:rsid w:val="00687526"/>
    <w:rsid w:val="006937F2"/>
    <w:rsid w:val="00693BA7"/>
    <w:rsid w:val="0069401B"/>
    <w:rsid w:val="0069486A"/>
    <w:rsid w:val="00694C6C"/>
    <w:rsid w:val="00694E09"/>
    <w:rsid w:val="00696D8A"/>
    <w:rsid w:val="006979F5"/>
    <w:rsid w:val="006A110B"/>
    <w:rsid w:val="006A2D7A"/>
    <w:rsid w:val="006A3681"/>
    <w:rsid w:val="006A3D94"/>
    <w:rsid w:val="006A516A"/>
    <w:rsid w:val="006A524D"/>
    <w:rsid w:val="006A61AE"/>
    <w:rsid w:val="006A6EB3"/>
    <w:rsid w:val="006A70F1"/>
    <w:rsid w:val="006A777C"/>
    <w:rsid w:val="006B0E49"/>
    <w:rsid w:val="006B1E02"/>
    <w:rsid w:val="006B2D11"/>
    <w:rsid w:val="006B3530"/>
    <w:rsid w:val="006B3C1E"/>
    <w:rsid w:val="006B4DF8"/>
    <w:rsid w:val="006B5EB3"/>
    <w:rsid w:val="006B6602"/>
    <w:rsid w:val="006C0A29"/>
    <w:rsid w:val="006C1BB5"/>
    <w:rsid w:val="006C2C58"/>
    <w:rsid w:val="006C44A4"/>
    <w:rsid w:val="006C625C"/>
    <w:rsid w:val="006C6433"/>
    <w:rsid w:val="006D05FD"/>
    <w:rsid w:val="006D1293"/>
    <w:rsid w:val="006D329F"/>
    <w:rsid w:val="006D3DEB"/>
    <w:rsid w:val="006D40D2"/>
    <w:rsid w:val="006D79AA"/>
    <w:rsid w:val="006E05A6"/>
    <w:rsid w:val="006E0AB4"/>
    <w:rsid w:val="006E1226"/>
    <w:rsid w:val="006E44BB"/>
    <w:rsid w:val="006E62B7"/>
    <w:rsid w:val="006E681D"/>
    <w:rsid w:val="006F04A1"/>
    <w:rsid w:val="006F2DC2"/>
    <w:rsid w:val="006F3BCA"/>
    <w:rsid w:val="006F3F54"/>
    <w:rsid w:val="006F5A36"/>
    <w:rsid w:val="006F7A69"/>
    <w:rsid w:val="00700D43"/>
    <w:rsid w:val="0070174E"/>
    <w:rsid w:val="00703330"/>
    <w:rsid w:val="00703712"/>
    <w:rsid w:val="0070473D"/>
    <w:rsid w:val="00705D8E"/>
    <w:rsid w:val="00706797"/>
    <w:rsid w:val="007067F7"/>
    <w:rsid w:val="00707F59"/>
    <w:rsid w:val="00710D51"/>
    <w:rsid w:val="00710F92"/>
    <w:rsid w:val="00711B5A"/>
    <w:rsid w:val="00713089"/>
    <w:rsid w:val="00713358"/>
    <w:rsid w:val="00713CA0"/>
    <w:rsid w:val="00713E87"/>
    <w:rsid w:val="0071574B"/>
    <w:rsid w:val="00715BC1"/>
    <w:rsid w:val="00716B1B"/>
    <w:rsid w:val="00720302"/>
    <w:rsid w:val="0072096D"/>
    <w:rsid w:val="007216C7"/>
    <w:rsid w:val="007228DB"/>
    <w:rsid w:val="00723730"/>
    <w:rsid w:val="00723E62"/>
    <w:rsid w:val="00723FEA"/>
    <w:rsid w:val="0072460A"/>
    <w:rsid w:val="00725576"/>
    <w:rsid w:val="0072652B"/>
    <w:rsid w:val="007266D8"/>
    <w:rsid w:val="00726CD5"/>
    <w:rsid w:val="00727C0B"/>
    <w:rsid w:val="0073030E"/>
    <w:rsid w:val="00730F01"/>
    <w:rsid w:val="00731EA3"/>
    <w:rsid w:val="007320CD"/>
    <w:rsid w:val="007321C0"/>
    <w:rsid w:val="007329F5"/>
    <w:rsid w:val="00732B49"/>
    <w:rsid w:val="00732FCF"/>
    <w:rsid w:val="00733345"/>
    <w:rsid w:val="007349F6"/>
    <w:rsid w:val="007366DB"/>
    <w:rsid w:val="00737473"/>
    <w:rsid w:val="00737D86"/>
    <w:rsid w:val="00740785"/>
    <w:rsid w:val="00740FED"/>
    <w:rsid w:val="007414E4"/>
    <w:rsid w:val="007417BC"/>
    <w:rsid w:val="007425E1"/>
    <w:rsid w:val="00742F89"/>
    <w:rsid w:val="007441E5"/>
    <w:rsid w:val="00744730"/>
    <w:rsid w:val="007447AF"/>
    <w:rsid w:val="007458E1"/>
    <w:rsid w:val="007476D5"/>
    <w:rsid w:val="007477A6"/>
    <w:rsid w:val="007509CC"/>
    <w:rsid w:val="007512A6"/>
    <w:rsid w:val="00751547"/>
    <w:rsid w:val="00751B33"/>
    <w:rsid w:val="00752993"/>
    <w:rsid w:val="00753185"/>
    <w:rsid w:val="00753202"/>
    <w:rsid w:val="007564BD"/>
    <w:rsid w:val="007605AA"/>
    <w:rsid w:val="0076080A"/>
    <w:rsid w:val="00760DDA"/>
    <w:rsid w:val="00761D99"/>
    <w:rsid w:val="00762474"/>
    <w:rsid w:val="007628D5"/>
    <w:rsid w:val="007629C1"/>
    <w:rsid w:val="00763B73"/>
    <w:rsid w:val="00764F40"/>
    <w:rsid w:val="007654B3"/>
    <w:rsid w:val="007655D8"/>
    <w:rsid w:val="00765A8D"/>
    <w:rsid w:val="00766F75"/>
    <w:rsid w:val="007703E9"/>
    <w:rsid w:val="007703EE"/>
    <w:rsid w:val="00771A1A"/>
    <w:rsid w:val="007725B2"/>
    <w:rsid w:val="007739E7"/>
    <w:rsid w:val="007767F0"/>
    <w:rsid w:val="00777A76"/>
    <w:rsid w:val="0078018D"/>
    <w:rsid w:val="007802FF"/>
    <w:rsid w:val="007804D9"/>
    <w:rsid w:val="007807EF"/>
    <w:rsid w:val="00780A4A"/>
    <w:rsid w:val="007826AD"/>
    <w:rsid w:val="00782C27"/>
    <w:rsid w:val="007842C4"/>
    <w:rsid w:val="00784791"/>
    <w:rsid w:val="00786979"/>
    <w:rsid w:val="00786F8D"/>
    <w:rsid w:val="0078726A"/>
    <w:rsid w:val="0078731F"/>
    <w:rsid w:val="00787B31"/>
    <w:rsid w:val="00792211"/>
    <w:rsid w:val="00792955"/>
    <w:rsid w:val="0079364A"/>
    <w:rsid w:val="007940DC"/>
    <w:rsid w:val="007946BB"/>
    <w:rsid w:val="00795DA8"/>
    <w:rsid w:val="0079658F"/>
    <w:rsid w:val="0079746A"/>
    <w:rsid w:val="007A122E"/>
    <w:rsid w:val="007A2826"/>
    <w:rsid w:val="007A2BC7"/>
    <w:rsid w:val="007A35E3"/>
    <w:rsid w:val="007A3BA9"/>
    <w:rsid w:val="007A550F"/>
    <w:rsid w:val="007A6624"/>
    <w:rsid w:val="007A7649"/>
    <w:rsid w:val="007A7B64"/>
    <w:rsid w:val="007B05D5"/>
    <w:rsid w:val="007B1538"/>
    <w:rsid w:val="007B1B39"/>
    <w:rsid w:val="007B1EEC"/>
    <w:rsid w:val="007B22CC"/>
    <w:rsid w:val="007B2793"/>
    <w:rsid w:val="007B4949"/>
    <w:rsid w:val="007B4AEF"/>
    <w:rsid w:val="007B4B31"/>
    <w:rsid w:val="007B68DD"/>
    <w:rsid w:val="007C0FA3"/>
    <w:rsid w:val="007C1901"/>
    <w:rsid w:val="007C2B73"/>
    <w:rsid w:val="007C561A"/>
    <w:rsid w:val="007C684A"/>
    <w:rsid w:val="007C7983"/>
    <w:rsid w:val="007C7FAA"/>
    <w:rsid w:val="007D0635"/>
    <w:rsid w:val="007D217C"/>
    <w:rsid w:val="007D26A8"/>
    <w:rsid w:val="007D30C5"/>
    <w:rsid w:val="007D3D8E"/>
    <w:rsid w:val="007D456F"/>
    <w:rsid w:val="007D4749"/>
    <w:rsid w:val="007D49FD"/>
    <w:rsid w:val="007D6F74"/>
    <w:rsid w:val="007D789B"/>
    <w:rsid w:val="007D7A95"/>
    <w:rsid w:val="007E05EB"/>
    <w:rsid w:val="007E216A"/>
    <w:rsid w:val="007E27A0"/>
    <w:rsid w:val="007E2987"/>
    <w:rsid w:val="007E2D71"/>
    <w:rsid w:val="007E3476"/>
    <w:rsid w:val="007E44D2"/>
    <w:rsid w:val="007E4A58"/>
    <w:rsid w:val="007E504C"/>
    <w:rsid w:val="007E58E1"/>
    <w:rsid w:val="007E59F9"/>
    <w:rsid w:val="007E621E"/>
    <w:rsid w:val="007E6E6D"/>
    <w:rsid w:val="007E7469"/>
    <w:rsid w:val="007E74B1"/>
    <w:rsid w:val="007F0FC6"/>
    <w:rsid w:val="007F12CE"/>
    <w:rsid w:val="007F184B"/>
    <w:rsid w:val="007F1C72"/>
    <w:rsid w:val="007F2F02"/>
    <w:rsid w:val="007F3591"/>
    <w:rsid w:val="007F35B0"/>
    <w:rsid w:val="007F3793"/>
    <w:rsid w:val="007F3B9C"/>
    <w:rsid w:val="007F4E9E"/>
    <w:rsid w:val="007F62DB"/>
    <w:rsid w:val="007F700C"/>
    <w:rsid w:val="007F734E"/>
    <w:rsid w:val="008007D3"/>
    <w:rsid w:val="00801716"/>
    <w:rsid w:val="008022D7"/>
    <w:rsid w:val="0080275E"/>
    <w:rsid w:val="008036FE"/>
    <w:rsid w:val="00803723"/>
    <w:rsid w:val="00803985"/>
    <w:rsid w:val="00803D14"/>
    <w:rsid w:val="00804329"/>
    <w:rsid w:val="00804C94"/>
    <w:rsid w:val="00804EEE"/>
    <w:rsid w:val="00805418"/>
    <w:rsid w:val="00807B69"/>
    <w:rsid w:val="00807BBF"/>
    <w:rsid w:val="0081128A"/>
    <w:rsid w:val="00811B5C"/>
    <w:rsid w:val="00812A9D"/>
    <w:rsid w:val="00813949"/>
    <w:rsid w:val="00814B6A"/>
    <w:rsid w:val="00814C99"/>
    <w:rsid w:val="008156F8"/>
    <w:rsid w:val="00816D87"/>
    <w:rsid w:val="00821785"/>
    <w:rsid w:val="008227F1"/>
    <w:rsid w:val="0082293B"/>
    <w:rsid w:val="00823178"/>
    <w:rsid w:val="00823314"/>
    <w:rsid w:val="00823415"/>
    <w:rsid w:val="0082386B"/>
    <w:rsid w:val="00825BF5"/>
    <w:rsid w:val="00826106"/>
    <w:rsid w:val="0082751D"/>
    <w:rsid w:val="00830E2C"/>
    <w:rsid w:val="00831D15"/>
    <w:rsid w:val="00831E03"/>
    <w:rsid w:val="008327A6"/>
    <w:rsid w:val="00833890"/>
    <w:rsid w:val="00834191"/>
    <w:rsid w:val="00834AF4"/>
    <w:rsid w:val="00834C01"/>
    <w:rsid w:val="00834C11"/>
    <w:rsid w:val="00835D0D"/>
    <w:rsid w:val="008370F4"/>
    <w:rsid w:val="00837487"/>
    <w:rsid w:val="008410D2"/>
    <w:rsid w:val="008447B0"/>
    <w:rsid w:val="00845064"/>
    <w:rsid w:val="008500DC"/>
    <w:rsid w:val="00850175"/>
    <w:rsid w:val="0085134F"/>
    <w:rsid w:val="00851396"/>
    <w:rsid w:val="00852EB5"/>
    <w:rsid w:val="008531F4"/>
    <w:rsid w:val="008537CA"/>
    <w:rsid w:val="00853CAD"/>
    <w:rsid w:val="0085458E"/>
    <w:rsid w:val="008551C0"/>
    <w:rsid w:val="008555C7"/>
    <w:rsid w:val="0085560E"/>
    <w:rsid w:val="0085619A"/>
    <w:rsid w:val="00856202"/>
    <w:rsid w:val="00857803"/>
    <w:rsid w:val="0085783E"/>
    <w:rsid w:val="008605FE"/>
    <w:rsid w:val="00861BA9"/>
    <w:rsid w:val="0086264E"/>
    <w:rsid w:val="008629B6"/>
    <w:rsid w:val="0086585A"/>
    <w:rsid w:val="008659A5"/>
    <w:rsid w:val="00865C92"/>
    <w:rsid w:val="00866104"/>
    <w:rsid w:val="00866CDC"/>
    <w:rsid w:val="00867624"/>
    <w:rsid w:val="00867653"/>
    <w:rsid w:val="00867F1E"/>
    <w:rsid w:val="00871959"/>
    <w:rsid w:val="00872CA3"/>
    <w:rsid w:val="00874A9C"/>
    <w:rsid w:val="0087558E"/>
    <w:rsid w:val="0087760E"/>
    <w:rsid w:val="00877726"/>
    <w:rsid w:val="00877A83"/>
    <w:rsid w:val="0088039D"/>
    <w:rsid w:val="00881110"/>
    <w:rsid w:val="00881A4B"/>
    <w:rsid w:val="008839C7"/>
    <w:rsid w:val="00884CBF"/>
    <w:rsid w:val="00885567"/>
    <w:rsid w:val="00886A70"/>
    <w:rsid w:val="00886B7E"/>
    <w:rsid w:val="00886BF6"/>
    <w:rsid w:val="0088780A"/>
    <w:rsid w:val="008879FE"/>
    <w:rsid w:val="00887BEC"/>
    <w:rsid w:val="00890475"/>
    <w:rsid w:val="00891800"/>
    <w:rsid w:val="00891986"/>
    <w:rsid w:val="008919A9"/>
    <w:rsid w:val="008927F6"/>
    <w:rsid w:val="0089361A"/>
    <w:rsid w:val="008940C5"/>
    <w:rsid w:val="008945B1"/>
    <w:rsid w:val="00894846"/>
    <w:rsid w:val="00895661"/>
    <w:rsid w:val="00897674"/>
    <w:rsid w:val="008A0248"/>
    <w:rsid w:val="008A2775"/>
    <w:rsid w:val="008A344A"/>
    <w:rsid w:val="008A3F5B"/>
    <w:rsid w:val="008A4363"/>
    <w:rsid w:val="008A4763"/>
    <w:rsid w:val="008A50FE"/>
    <w:rsid w:val="008A6817"/>
    <w:rsid w:val="008A68A7"/>
    <w:rsid w:val="008A706C"/>
    <w:rsid w:val="008B06EC"/>
    <w:rsid w:val="008B0D63"/>
    <w:rsid w:val="008B24A9"/>
    <w:rsid w:val="008B24B1"/>
    <w:rsid w:val="008B327B"/>
    <w:rsid w:val="008B3ABE"/>
    <w:rsid w:val="008B641A"/>
    <w:rsid w:val="008B6C91"/>
    <w:rsid w:val="008C0458"/>
    <w:rsid w:val="008C0B90"/>
    <w:rsid w:val="008C0C05"/>
    <w:rsid w:val="008C0F0A"/>
    <w:rsid w:val="008C19F4"/>
    <w:rsid w:val="008C4298"/>
    <w:rsid w:val="008C6C56"/>
    <w:rsid w:val="008C6D6F"/>
    <w:rsid w:val="008C715E"/>
    <w:rsid w:val="008C772D"/>
    <w:rsid w:val="008C7CD3"/>
    <w:rsid w:val="008C7D5E"/>
    <w:rsid w:val="008D0269"/>
    <w:rsid w:val="008D0A77"/>
    <w:rsid w:val="008D0E86"/>
    <w:rsid w:val="008D1A0F"/>
    <w:rsid w:val="008D28AF"/>
    <w:rsid w:val="008D2CA8"/>
    <w:rsid w:val="008D3542"/>
    <w:rsid w:val="008D3DEE"/>
    <w:rsid w:val="008D4809"/>
    <w:rsid w:val="008D4F54"/>
    <w:rsid w:val="008D75DD"/>
    <w:rsid w:val="008D789C"/>
    <w:rsid w:val="008E02DE"/>
    <w:rsid w:val="008E03B7"/>
    <w:rsid w:val="008E080E"/>
    <w:rsid w:val="008E1291"/>
    <w:rsid w:val="008E2639"/>
    <w:rsid w:val="008E35CE"/>
    <w:rsid w:val="008E41C7"/>
    <w:rsid w:val="008E4A45"/>
    <w:rsid w:val="008E4D5C"/>
    <w:rsid w:val="008E51F4"/>
    <w:rsid w:val="008E537F"/>
    <w:rsid w:val="008E690A"/>
    <w:rsid w:val="008E6E0F"/>
    <w:rsid w:val="008E7333"/>
    <w:rsid w:val="008F0349"/>
    <w:rsid w:val="008F0CDA"/>
    <w:rsid w:val="008F0E99"/>
    <w:rsid w:val="008F1711"/>
    <w:rsid w:val="008F1C7F"/>
    <w:rsid w:val="008F3E36"/>
    <w:rsid w:val="008F45EC"/>
    <w:rsid w:val="008F4DD4"/>
    <w:rsid w:val="008F51FF"/>
    <w:rsid w:val="008F523F"/>
    <w:rsid w:val="008F5316"/>
    <w:rsid w:val="008F5EC7"/>
    <w:rsid w:val="008F6AA7"/>
    <w:rsid w:val="008F73F2"/>
    <w:rsid w:val="008F7992"/>
    <w:rsid w:val="00901AF8"/>
    <w:rsid w:val="00901D36"/>
    <w:rsid w:val="00902083"/>
    <w:rsid w:val="0090293A"/>
    <w:rsid w:val="0090655D"/>
    <w:rsid w:val="00906583"/>
    <w:rsid w:val="009066D8"/>
    <w:rsid w:val="00910C27"/>
    <w:rsid w:val="00911230"/>
    <w:rsid w:val="00912ABD"/>
    <w:rsid w:val="00913518"/>
    <w:rsid w:val="00913C8D"/>
    <w:rsid w:val="00914268"/>
    <w:rsid w:val="00914780"/>
    <w:rsid w:val="009155C0"/>
    <w:rsid w:val="00915779"/>
    <w:rsid w:val="0091679B"/>
    <w:rsid w:val="00916A08"/>
    <w:rsid w:val="0092070B"/>
    <w:rsid w:val="00921352"/>
    <w:rsid w:val="009232EE"/>
    <w:rsid w:val="00924A86"/>
    <w:rsid w:val="00925365"/>
    <w:rsid w:val="009275A1"/>
    <w:rsid w:val="00927BC1"/>
    <w:rsid w:val="00930014"/>
    <w:rsid w:val="009312B1"/>
    <w:rsid w:val="00931441"/>
    <w:rsid w:val="00931EB4"/>
    <w:rsid w:val="0093247C"/>
    <w:rsid w:val="00932E1E"/>
    <w:rsid w:val="00933B68"/>
    <w:rsid w:val="009344DD"/>
    <w:rsid w:val="00935899"/>
    <w:rsid w:val="009363FD"/>
    <w:rsid w:val="0093675A"/>
    <w:rsid w:val="009400FF"/>
    <w:rsid w:val="009407AE"/>
    <w:rsid w:val="0094188C"/>
    <w:rsid w:val="009422D3"/>
    <w:rsid w:val="00943091"/>
    <w:rsid w:val="00943A2F"/>
    <w:rsid w:val="00944169"/>
    <w:rsid w:val="009444E8"/>
    <w:rsid w:val="009454A2"/>
    <w:rsid w:val="00946294"/>
    <w:rsid w:val="00946F3C"/>
    <w:rsid w:val="00950F56"/>
    <w:rsid w:val="009526CD"/>
    <w:rsid w:val="0095359F"/>
    <w:rsid w:val="00953A03"/>
    <w:rsid w:val="00953B23"/>
    <w:rsid w:val="0095455D"/>
    <w:rsid w:val="00954F91"/>
    <w:rsid w:val="00955FE6"/>
    <w:rsid w:val="009609E7"/>
    <w:rsid w:val="00960D04"/>
    <w:rsid w:val="009620FE"/>
    <w:rsid w:val="009626A6"/>
    <w:rsid w:val="00962D66"/>
    <w:rsid w:val="00966060"/>
    <w:rsid w:val="00966E9D"/>
    <w:rsid w:val="0096761E"/>
    <w:rsid w:val="00970659"/>
    <w:rsid w:val="009713D1"/>
    <w:rsid w:val="00973219"/>
    <w:rsid w:val="00973619"/>
    <w:rsid w:val="00973D3F"/>
    <w:rsid w:val="00975189"/>
    <w:rsid w:val="00977CDB"/>
    <w:rsid w:val="00980268"/>
    <w:rsid w:val="009802E3"/>
    <w:rsid w:val="009814CF"/>
    <w:rsid w:val="009819F8"/>
    <w:rsid w:val="00981A5E"/>
    <w:rsid w:val="0098310A"/>
    <w:rsid w:val="009832D9"/>
    <w:rsid w:val="00985023"/>
    <w:rsid w:val="0098545F"/>
    <w:rsid w:val="0098628F"/>
    <w:rsid w:val="00986DE7"/>
    <w:rsid w:val="00990739"/>
    <w:rsid w:val="00990B50"/>
    <w:rsid w:val="00990C1A"/>
    <w:rsid w:val="009911BB"/>
    <w:rsid w:val="009912E5"/>
    <w:rsid w:val="00993709"/>
    <w:rsid w:val="00995695"/>
    <w:rsid w:val="00996419"/>
    <w:rsid w:val="009972F5"/>
    <w:rsid w:val="009973DA"/>
    <w:rsid w:val="00997414"/>
    <w:rsid w:val="009A094D"/>
    <w:rsid w:val="009A2664"/>
    <w:rsid w:val="009A3700"/>
    <w:rsid w:val="009A3803"/>
    <w:rsid w:val="009A39E1"/>
    <w:rsid w:val="009A551B"/>
    <w:rsid w:val="009A55EF"/>
    <w:rsid w:val="009A6094"/>
    <w:rsid w:val="009A67A2"/>
    <w:rsid w:val="009A6996"/>
    <w:rsid w:val="009A6F37"/>
    <w:rsid w:val="009A755F"/>
    <w:rsid w:val="009B1FF4"/>
    <w:rsid w:val="009B2048"/>
    <w:rsid w:val="009B2AF5"/>
    <w:rsid w:val="009B397B"/>
    <w:rsid w:val="009B3E3E"/>
    <w:rsid w:val="009B50D9"/>
    <w:rsid w:val="009B541E"/>
    <w:rsid w:val="009B5DAC"/>
    <w:rsid w:val="009B6036"/>
    <w:rsid w:val="009C12CE"/>
    <w:rsid w:val="009C1B3C"/>
    <w:rsid w:val="009C211A"/>
    <w:rsid w:val="009C22A3"/>
    <w:rsid w:val="009C2858"/>
    <w:rsid w:val="009C2DF4"/>
    <w:rsid w:val="009C373A"/>
    <w:rsid w:val="009C4507"/>
    <w:rsid w:val="009C471D"/>
    <w:rsid w:val="009C4B34"/>
    <w:rsid w:val="009C5452"/>
    <w:rsid w:val="009C5D37"/>
    <w:rsid w:val="009C6739"/>
    <w:rsid w:val="009C676C"/>
    <w:rsid w:val="009C71B2"/>
    <w:rsid w:val="009C79B4"/>
    <w:rsid w:val="009D0080"/>
    <w:rsid w:val="009D2769"/>
    <w:rsid w:val="009D3054"/>
    <w:rsid w:val="009D355A"/>
    <w:rsid w:val="009D3E0C"/>
    <w:rsid w:val="009D7B2D"/>
    <w:rsid w:val="009D7CD8"/>
    <w:rsid w:val="009D7F44"/>
    <w:rsid w:val="009E005E"/>
    <w:rsid w:val="009E0242"/>
    <w:rsid w:val="009E107A"/>
    <w:rsid w:val="009E1869"/>
    <w:rsid w:val="009E2574"/>
    <w:rsid w:val="009E4120"/>
    <w:rsid w:val="009E56FC"/>
    <w:rsid w:val="009E570D"/>
    <w:rsid w:val="009E6AFE"/>
    <w:rsid w:val="009E7D8A"/>
    <w:rsid w:val="009F1E5E"/>
    <w:rsid w:val="009F376E"/>
    <w:rsid w:val="009F40A6"/>
    <w:rsid w:val="009F4507"/>
    <w:rsid w:val="009F5219"/>
    <w:rsid w:val="009F583B"/>
    <w:rsid w:val="009F5A5E"/>
    <w:rsid w:val="009F6314"/>
    <w:rsid w:val="009F701B"/>
    <w:rsid w:val="009F7265"/>
    <w:rsid w:val="00A023AC"/>
    <w:rsid w:val="00A02B73"/>
    <w:rsid w:val="00A03162"/>
    <w:rsid w:val="00A04463"/>
    <w:rsid w:val="00A0585C"/>
    <w:rsid w:val="00A058E6"/>
    <w:rsid w:val="00A05ED4"/>
    <w:rsid w:val="00A06207"/>
    <w:rsid w:val="00A06350"/>
    <w:rsid w:val="00A07C2E"/>
    <w:rsid w:val="00A07DB1"/>
    <w:rsid w:val="00A10340"/>
    <w:rsid w:val="00A10660"/>
    <w:rsid w:val="00A109EC"/>
    <w:rsid w:val="00A14651"/>
    <w:rsid w:val="00A16A66"/>
    <w:rsid w:val="00A16AB5"/>
    <w:rsid w:val="00A174A8"/>
    <w:rsid w:val="00A17D9A"/>
    <w:rsid w:val="00A216F0"/>
    <w:rsid w:val="00A22AEF"/>
    <w:rsid w:val="00A23624"/>
    <w:rsid w:val="00A25A6D"/>
    <w:rsid w:val="00A260C0"/>
    <w:rsid w:val="00A31135"/>
    <w:rsid w:val="00A3197E"/>
    <w:rsid w:val="00A32165"/>
    <w:rsid w:val="00A329AC"/>
    <w:rsid w:val="00A32ED3"/>
    <w:rsid w:val="00A33BA3"/>
    <w:rsid w:val="00A3486F"/>
    <w:rsid w:val="00A348BA"/>
    <w:rsid w:val="00A34F29"/>
    <w:rsid w:val="00A35326"/>
    <w:rsid w:val="00A368C7"/>
    <w:rsid w:val="00A36EDE"/>
    <w:rsid w:val="00A40447"/>
    <w:rsid w:val="00A40CD1"/>
    <w:rsid w:val="00A4170A"/>
    <w:rsid w:val="00A4190C"/>
    <w:rsid w:val="00A41C25"/>
    <w:rsid w:val="00A41E14"/>
    <w:rsid w:val="00A42CFE"/>
    <w:rsid w:val="00A44E48"/>
    <w:rsid w:val="00A45281"/>
    <w:rsid w:val="00A47621"/>
    <w:rsid w:val="00A47C89"/>
    <w:rsid w:val="00A507E3"/>
    <w:rsid w:val="00A513E6"/>
    <w:rsid w:val="00A521E7"/>
    <w:rsid w:val="00A52AF0"/>
    <w:rsid w:val="00A53618"/>
    <w:rsid w:val="00A55E47"/>
    <w:rsid w:val="00A56A06"/>
    <w:rsid w:val="00A56A1B"/>
    <w:rsid w:val="00A56D0A"/>
    <w:rsid w:val="00A56DAC"/>
    <w:rsid w:val="00A60AA0"/>
    <w:rsid w:val="00A6135B"/>
    <w:rsid w:val="00A62353"/>
    <w:rsid w:val="00A628D1"/>
    <w:rsid w:val="00A62B60"/>
    <w:rsid w:val="00A66696"/>
    <w:rsid w:val="00A67010"/>
    <w:rsid w:val="00A67118"/>
    <w:rsid w:val="00A71CED"/>
    <w:rsid w:val="00A73A2D"/>
    <w:rsid w:val="00A74392"/>
    <w:rsid w:val="00A744A3"/>
    <w:rsid w:val="00A75366"/>
    <w:rsid w:val="00A8087A"/>
    <w:rsid w:val="00A810CA"/>
    <w:rsid w:val="00A81700"/>
    <w:rsid w:val="00A8171B"/>
    <w:rsid w:val="00A8186E"/>
    <w:rsid w:val="00A8362B"/>
    <w:rsid w:val="00A84174"/>
    <w:rsid w:val="00A84468"/>
    <w:rsid w:val="00A85683"/>
    <w:rsid w:val="00A86D8F"/>
    <w:rsid w:val="00A924FA"/>
    <w:rsid w:val="00A92784"/>
    <w:rsid w:val="00A92789"/>
    <w:rsid w:val="00A930B1"/>
    <w:rsid w:val="00A93452"/>
    <w:rsid w:val="00A94263"/>
    <w:rsid w:val="00A946A2"/>
    <w:rsid w:val="00A9599B"/>
    <w:rsid w:val="00A96CE2"/>
    <w:rsid w:val="00AA1E26"/>
    <w:rsid w:val="00AA2492"/>
    <w:rsid w:val="00AA3DAB"/>
    <w:rsid w:val="00AA46AA"/>
    <w:rsid w:val="00AA57FB"/>
    <w:rsid w:val="00AA5A7A"/>
    <w:rsid w:val="00AA6995"/>
    <w:rsid w:val="00AB0964"/>
    <w:rsid w:val="00AB0A93"/>
    <w:rsid w:val="00AB1D36"/>
    <w:rsid w:val="00AB3F5F"/>
    <w:rsid w:val="00AB42BF"/>
    <w:rsid w:val="00AB4A52"/>
    <w:rsid w:val="00AB4DA7"/>
    <w:rsid w:val="00AB5070"/>
    <w:rsid w:val="00AB567A"/>
    <w:rsid w:val="00AB74AF"/>
    <w:rsid w:val="00AC1F6D"/>
    <w:rsid w:val="00AC1F98"/>
    <w:rsid w:val="00AC33B1"/>
    <w:rsid w:val="00AC3840"/>
    <w:rsid w:val="00AC3C8B"/>
    <w:rsid w:val="00AC3EDA"/>
    <w:rsid w:val="00AC47D5"/>
    <w:rsid w:val="00AC4F04"/>
    <w:rsid w:val="00AC6CE6"/>
    <w:rsid w:val="00AC7B6A"/>
    <w:rsid w:val="00AD155F"/>
    <w:rsid w:val="00AD2589"/>
    <w:rsid w:val="00AD422F"/>
    <w:rsid w:val="00AE073A"/>
    <w:rsid w:val="00AE0B23"/>
    <w:rsid w:val="00AE2F94"/>
    <w:rsid w:val="00AE403D"/>
    <w:rsid w:val="00AE53E7"/>
    <w:rsid w:val="00AE57F9"/>
    <w:rsid w:val="00AE6128"/>
    <w:rsid w:val="00AE7634"/>
    <w:rsid w:val="00AE76F1"/>
    <w:rsid w:val="00AE7959"/>
    <w:rsid w:val="00AE7970"/>
    <w:rsid w:val="00AF004D"/>
    <w:rsid w:val="00AF09B5"/>
    <w:rsid w:val="00AF0E8D"/>
    <w:rsid w:val="00AF0EE3"/>
    <w:rsid w:val="00AF1398"/>
    <w:rsid w:val="00AF1611"/>
    <w:rsid w:val="00AF19DC"/>
    <w:rsid w:val="00AF4961"/>
    <w:rsid w:val="00AF669D"/>
    <w:rsid w:val="00AF76CC"/>
    <w:rsid w:val="00B002E4"/>
    <w:rsid w:val="00B0111F"/>
    <w:rsid w:val="00B01950"/>
    <w:rsid w:val="00B01B11"/>
    <w:rsid w:val="00B038A2"/>
    <w:rsid w:val="00B03A10"/>
    <w:rsid w:val="00B040F4"/>
    <w:rsid w:val="00B05194"/>
    <w:rsid w:val="00B054F7"/>
    <w:rsid w:val="00B10CD7"/>
    <w:rsid w:val="00B10F9B"/>
    <w:rsid w:val="00B113BB"/>
    <w:rsid w:val="00B11ACF"/>
    <w:rsid w:val="00B1261B"/>
    <w:rsid w:val="00B12A5F"/>
    <w:rsid w:val="00B13480"/>
    <w:rsid w:val="00B13DF5"/>
    <w:rsid w:val="00B13DF6"/>
    <w:rsid w:val="00B144D8"/>
    <w:rsid w:val="00B14667"/>
    <w:rsid w:val="00B1635A"/>
    <w:rsid w:val="00B1654C"/>
    <w:rsid w:val="00B212EA"/>
    <w:rsid w:val="00B2291D"/>
    <w:rsid w:val="00B24B1F"/>
    <w:rsid w:val="00B24F4E"/>
    <w:rsid w:val="00B254FB"/>
    <w:rsid w:val="00B268B2"/>
    <w:rsid w:val="00B30951"/>
    <w:rsid w:val="00B30FFD"/>
    <w:rsid w:val="00B3185A"/>
    <w:rsid w:val="00B32551"/>
    <w:rsid w:val="00B3349F"/>
    <w:rsid w:val="00B36D81"/>
    <w:rsid w:val="00B370D3"/>
    <w:rsid w:val="00B40A7F"/>
    <w:rsid w:val="00B40D01"/>
    <w:rsid w:val="00B41434"/>
    <w:rsid w:val="00B421F8"/>
    <w:rsid w:val="00B42277"/>
    <w:rsid w:val="00B42346"/>
    <w:rsid w:val="00B44275"/>
    <w:rsid w:val="00B444EC"/>
    <w:rsid w:val="00B4542B"/>
    <w:rsid w:val="00B45520"/>
    <w:rsid w:val="00B45769"/>
    <w:rsid w:val="00B45A9F"/>
    <w:rsid w:val="00B463E9"/>
    <w:rsid w:val="00B4701A"/>
    <w:rsid w:val="00B47747"/>
    <w:rsid w:val="00B47F52"/>
    <w:rsid w:val="00B50724"/>
    <w:rsid w:val="00B507CB"/>
    <w:rsid w:val="00B53368"/>
    <w:rsid w:val="00B5342A"/>
    <w:rsid w:val="00B53D2A"/>
    <w:rsid w:val="00B54010"/>
    <w:rsid w:val="00B545AD"/>
    <w:rsid w:val="00B54F45"/>
    <w:rsid w:val="00B554DF"/>
    <w:rsid w:val="00B55593"/>
    <w:rsid w:val="00B55743"/>
    <w:rsid w:val="00B55D79"/>
    <w:rsid w:val="00B569B8"/>
    <w:rsid w:val="00B56B18"/>
    <w:rsid w:val="00B575F0"/>
    <w:rsid w:val="00B60EE9"/>
    <w:rsid w:val="00B610BF"/>
    <w:rsid w:val="00B6111D"/>
    <w:rsid w:val="00B6163C"/>
    <w:rsid w:val="00B6194C"/>
    <w:rsid w:val="00B61F46"/>
    <w:rsid w:val="00B62B7A"/>
    <w:rsid w:val="00B62F98"/>
    <w:rsid w:val="00B64138"/>
    <w:rsid w:val="00B64219"/>
    <w:rsid w:val="00B65469"/>
    <w:rsid w:val="00B65B71"/>
    <w:rsid w:val="00B67B6C"/>
    <w:rsid w:val="00B67DED"/>
    <w:rsid w:val="00B67F93"/>
    <w:rsid w:val="00B7048D"/>
    <w:rsid w:val="00B7156F"/>
    <w:rsid w:val="00B72013"/>
    <w:rsid w:val="00B74251"/>
    <w:rsid w:val="00B749F3"/>
    <w:rsid w:val="00B75444"/>
    <w:rsid w:val="00B75835"/>
    <w:rsid w:val="00B75B48"/>
    <w:rsid w:val="00B76BAB"/>
    <w:rsid w:val="00B76BC5"/>
    <w:rsid w:val="00B77425"/>
    <w:rsid w:val="00B81274"/>
    <w:rsid w:val="00B814E3"/>
    <w:rsid w:val="00B83963"/>
    <w:rsid w:val="00B85796"/>
    <w:rsid w:val="00B86805"/>
    <w:rsid w:val="00B86908"/>
    <w:rsid w:val="00B86DDF"/>
    <w:rsid w:val="00B9113D"/>
    <w:rsid w:val="00B91D13"/>
    <w:rsid w:val="00B91F3D"/>
    <w:rsid w:val="00B92B2C"/>
    <w:rsid w:val="00B9498B"/>
    <w:rsid w:val="00B94A48"/>
    <w:rsid w:val="00B94E4A"/>
    <w:rsid w:val="00B9657A"/>
    <w:rsid w:val="00B97D88"/>
    <w:rsid w:val="00BA0196"/>
    <w:rsid w:val="00BA0E65"/>
    <w:rsid w:val="00BA2F53"/>
    <w:rsid w:val="00BA3AE8"/>
    <w:rsid w:val="00BA3C1F"/>
    <w:rsid w:val="00BA3DB6"/>
    <w:rsid w:val="00BA4083"/>
    <w:rsid w:val="00BA4661"/>
    <w:rsid w:val="00BA4AF7"/>
    <w:rsid w:val="00BA545D"/>
    <w:rsid w:val="00BA7012"/>
    <w:rsid w:val="00BA71FE"/>
    <w:rsid w:val="00BB08A8"/>
    <w:rsid w:val="00BB0DD1"/>
    <w:rsid w:val="00BB0F39"/>
    <w:rsid w:val="00BB152B"/>
    <w:rsid w:val="00BB23B6"/>
    <w:rsid w:val="00BB2B91"/>
    <w:rsid w:val="00BB30D1"/>
    <w:rsid w:val="00BB3399"/>
    <w:rsid w:val="00BB45D9"/>
    <w:rsid w:val="00BB46EA"/>
    <w:rsid w:val="00BB70D5"/>
    <w:rsid w:val="00BC0BE3"/>
    <w:rsid w:val="00BC0F96"/>
    <w:rsid w:val="00BC11BD"/>
    <w:rsid w:val="00BC1569"/>
    <w:rsid w:val="00BC175E"/>
    <w:rsid w:val="00BC23BE"/>
    <w:rsid w:val="00BC299E"/>
    <w:rsid w:val="00BC29DA"/>
    <w:rsid w:val="00BC3AF5"/>
    <w:rsid w:val="00BC4164"/>
    <w:rsid w:val="00BC483A"/>
    <w:rsid w:val="00BC4FC6"/>
    <w:rsid w:val="00BC62A4"/>
    <w:rsid w:val="00BC690F"/>
    <w:rsid w:val="00BD0962"/>
    <w:rsid w:val="00BD349D"/>
    <w:rsid w:val="00BD4656"/>
    <w:rsid w:val="00BD4D85"/>
    <w:rsid w:val="00BD63E4"/>
    <w:rsid w:val="00BD673F"/>
    <w:rsid w:val="00BD71AA"/>
    <w:rsid w:val="00BE0325"/>
    <w:rsid w:val="00BE05BE"/>
    <w:rsid w:val="00BE0957"/>
    <w:rsid w:val="00BE0959"/>
    <w:rsid w:val="00BE0D36"/>
    <w:rsid w:val="00BE3318"/>
    <w:rsid w:val="00BE4DE6"/>
    <w:rsid w:val="00BE71B6"/>
    <w:rsid w:val="00BE75A5"/>
    <w:rsid w:val="00BE7C83"/>
    <w:rsid w:val="00BF1358"/>
    <w:rsid w:val="00BF1709"/>
    <w:rsid w:val="00BF2B3A"/>
    <w:rsid w:val="00BF4420"/>
    <w:rsid w:val="00BF5B92"/>
    <w:rsid w:val="00BF6927"/>
    <w:rsid w:val="00BF7C7A"/>
    <w:rsid w:val="00BF7E58"/>
    <w:rsid w:val="00C00710"/>
    <w:rsid w:val="00C00C99"/>
    <w:rsid w:val="00C023C4"/>
    <w:rsid w:val="00C03C8A"/>
    <w:rsid w:val="00C0597D"/>
    <w:rsid w:val="00C06818"/>
    <w:rsid w:val="00C0760E"/>
    <w:rsid w:val="00C108A3"/>
    <w:rsid w:val="00C11549"/>
    <w:rsid w:val="00C11C92"/>
    <w:rsid w:val="00C1250D"/>
    <w:rsid w:val="00C138D9"/>
    <w:rsid w:val="00C13B61"/>
    <w:rsid w:val="00C14280"/>
    <w:rsid w:val="00C15279"/>
    <w:rsid w:val="00C16CB3"/>
    <w:rsid w:val="00C16FEE"/>
    <w:rsid w:val="00C1705A"/>
    <w:rsid w:val="00C20AD6"/>
    <w:rsid w:val="00C21065"/>
    <w:rsid w:val="00C22B30"/>
    <w:rsid w:val="00C22CCD"/>
    <w:rsid w:val="00C22ED7"/>
    <w:rsid w:val="00C240EA"/>
    <w:rsid w:val="00C24C23"/>
    <w:rsid w:val="00C24D5B"/>
    <w:rsid w:val="00C2520E"/>
    <w:rsid w:val="00C25521"/>
    <w:rsid w:val="00C275CF"/>
    <w:rsid w:val="00C30A31"/>
    <w:rsid w:val="00C30EC4"/>
    <w:rsid w:val="00C31DBC"/>
    <w:rsid w:val="00C327C7"/>
    <w:rsid w:val="00C34C2E"/>
    <w:rsid w:val="00C35A88"/>
    <w:rsid w:val="00C35BC1"/>
    <w:rsid w:val="00C363C5"/>
    <w:rsid w:val="00C37126"/>
    <w:rsid w:val="00C4046D"/>
    <w:rsid w:val="00C42305"/>
    <w:rsid w:val="00C4319D"/>
    <w:rsid w:val="00C439C7"/>
    <w:rsid w:val="00C43A72"/>
    <w:rsid w:val="00C43ABA"/>
    <w:rsid w:val="00C44221"/>
    <w:rsid w:val="00C4437A"/>
    <w:rsid w:val="00C44F1C"/>
    <w:rsid w:val="00C452F7"/>
    <w:rsid w:val="00C4573C"/>
    <w:rsid w:val="00C459CC"/>
    <w:rsid w:val="00C5192C"/>
    <w:rsid w:val="00C524FA"/>
    <w:rsid w:val="00C54C4E"/>
    <w:rsid w:val="00C56498"/>
    <w:rsid w:val="00C574BE"/>
    <w:rsid w:val="00C6145C"/>
    <w:rsid w:val="00C62619"/>
    <w:rsid w:val="00C62A2F"/>
    <w:rsid w:val="00C64054"/>
    <w:rsid w:val="00C64E96"/>
    <w:rsid w:val="00C66C8B"/>
    <w:rsid w:val="00C6724A"/>
    <w:rsid w:val="00C67EC9"/>
    <w:rsid w:val="00C70C5D"/>
    <w:rsid w:val="00C71156"/>
    <w:rsid w:val="00C71564"/>
    <w:rsid w:val="00C72F6E"/>
    <w:rsid w:val="00C755E9"/>
    <w:rsid w:val="00C759BA"/>
    <w:rsid w:val="00C75E6A"/>
    <w:rsid w:val="00C76589"/>
    <w:rsid w:val="00C76F9C"/>
    <w:rsid w:val="00C772E0"/>
    <w:rsid w:val="00C77A1D"/>
    <w:rsid w:val="00C800CB"/>
    <w:rsid w:val="00C80D72"/>
    <w:rsid w:val="00C82BFA"/>
    <w:rsid w:val="00C832A9"/>
    <w:rsid w:val="00C84897"/>
    <w:rsid w:val="00C84AFE"/>
    <w:rsid w:val="00C84C40"/>
    <w:rsid w:val="00C84C83"/>
    <w:rsid w:val="00C84DDA"/>
    <w:rsid w:val="00C84F8B"/>
    <w:rsid w:val="00C850C8"/>
    <w:rsid w:val="00C86BFE"/>
    <w:rsid w:val="00C87BA0"/>
    <w:rsid w:val="00C91217"/>
    <w:rsid w:val="00C929EB"/>
    <w:rsid w:val="00C92B10"/>
    <w:rsid w:val="00C93D2A"/>
    <w:rsid w:val="00C9512D"/>
    <w:rsid w:val="00C9685D"/>
    <w:rsid w:val="00C96C2D"/>
    <w:rsid w:val="00CA02CF"/>
    <w:rsid w:val="00CA0486"/>
    <w:rsid w:val="00CA07A8"/>
    <w:rsid w:val="00CA186C"/>
    <w:rsid w:val="00CA1A13"/>
    <w:rsid w:val="00CA1EFB"/>
    <w:rsid w:val="00CA3676"/>
    <w:rsid w:val="00CA3CDF"/>
    <w:rsid w:val="00CA3EC1"/>
    <w:rsid w:val="00CA40A2"/>
    <w:rsid w:val="00CA6801"/>
    <w:rsid w:val="00CA6B42"/>
    <w:rsid w:val="00CA7164"/>
    <w:rsid w:val="00CB037E"/>
    <w:rsid w:val="00CB09FF"/>
    <w:rsid w:val="00CB1F13"/>
    <w:rsid w:val="00CB269D"/>
    <w:rsid w:val="00CB381B"/>
    <w:rsid w:val="00CB5829"/>
    <w:rsid w:val="00CB66BB"/>
    <w:rsid w:val="00CB7EDB"/>
    <w:rsid w:val="00CC08CD"/>
    <w:rsid w:val="00CC0C63"/>
    <w:rsid w:val="00CC278A"/>
    <w:rsid w:val="00CC28DB"/>
    <w:rsid w:val="00CC4223"/>
    <w:rsid w:val="00CC52E9"/>
    <w:rsid w:val="00CC53C8"/>
    <w:rsid w:val="00CC5424"/>
    <w:rsid w:val="00CC6FF1"/>
    <w:rsid w:val="00CD1030"/>
    <w:rsid w:val="00CD1230"/>
    <w:rsid w:val="00CD1ABE"/>
    <w:rsid w:val="00CD1C87"/>
    <w:rsid w:val="00CD21B2"/>
    <w:rsid w:val="00CD2775"/>
    <w:rsid w:val="00CD2943"/>
    <w:rsid w:val="00CD2F31"/>
    <w:rsid w:val="00CD3BCB"/>
    <w:rsid w:val="00CD453E"/>
    <w:rsid w:val="00CD54A5"/>
    <w:rsid w:val="00CD5953"/>
    <w:rsid w:val="00CD6EBE"/>
    <w:rsid w:val="00CE01A8"/>
    <w:rsid w:val="00CE1750"/>
    <w:rsid w:val="00CE248A"/>
    <w:rsid w:val="00CE316D"/>
    <w:rsid w:val="00CE5B8B"/>
    <w:rsid w:val="00CE665E"/>
    <w:rsid w:val="00CF0EE4"/>
    <w:rsid w:val="00CF1031"/>
    <w:rsid w:val="00CF1334"/>
    <w:rsid w:val="00CF1DF3"/>
    <w:rsid w:val="00CF2CBF"/>
    <w:rsid w:val="00CF35DE"/>
    <w:rsid w:val="00CF3ED4"/>
    <w:rsid w:val="00CF47EA"/>
    <w:rsid w:val="00CF64ED"/>
    <w:rsid w:val="00CF6FB5"/>
    <w:rsid w:val="00CF7BA0"/>
    <w:rsid w:val="00D00056"/>
    <w:rsid w:val="00D000F5"/>
    <w:rsid w:val="00D005E4"/>
    <w:rsid w:val="00D01017"/>
    <w:rsid w:val="00D014AC"/>
    <w:rsid w:val="00D017C4"/>
    <w:rsid w:val="00D01A61"/>
    <w:rsid w:val="00D01BAB"/>
    <w:rsid w:val="00D01E9D"/>
    <w:rsid w:val="00D031A5"/>
    <w:rsid w:val="00D04B1F"/>
    <w:rsid w:val="00D05B0F"/>
    <w:rsid w:val="00D060E5"/>
    <w:rsid w:val="00D0633C"/>
    <w:rsid w:val="00D07562"/>
    <w:rsid w:val="00D07625"/>
    <w:rsid w:val="00D100EC"/>
    <w:rsid w:val="00D10FF9"/>
    <w:rsid w:val="00D11D24"/>
    <w:rsid w:val="00D12823"/>
    <w:rsid w:val="00D13C3F"/>
    <w:rsid w:val="00D13CA4"/>
    <w:rsid w:val="00D14A30"/>
    <w:rsid w:val="00D15252"/>
    <w:rsid w:val="00D161A0"/>
    <w:rsid w:val="00D1660C"/>
    <w:rsid w:val="00D20072"/>
    <w:rsid w:val="00D20FAE"/>
    <w:rsid w:val="00D2358E"/>
    <w:rsid w:val="00D2368E"/>
    <w:rsid w:val="00D24105"/>
    <w:rsid w:val="00D246C7"/>
    <w:rsid w:val="00D2487C"/>
    <w:rsid w:val="00D24A1C"/>
    <w:rsid w:val="00D24E10"/>
    <w:rsid w:val="00D25538"/>
    <w:rsid w:val="00D256FA"/>
    <w:rsid w:val="00D25D39"/>
    <w:rsid w:val="00D2610E"/>
    <w:rsid w:val="00D30960"/>
    <w:rsid w:val="00D31280"/>
    <w:rsid w:val="00D316BF"/>
    <w:rsid w:val="00D3313F"/>
    <w:rsid w:val="00D33478"/>
    <w:rsid w:val="00D34115"/>
    <w:rsid w:val="00D34E0E"/>
    <w:rsid w:val="00D34F1E"/>
    <w:rsid w:val="00D35251"/>
    <w:rsid w:val="00D35521"/>
    <w:rsid w:val="00D3617B"/>
    <w:rsid w:val="00D3697E"/>
    <w:rsid w:val="00D36F9F"/>
    <w:rsid w:val="00D37A56"/>
    <w:rsid w:val="00D40568"/>
    <w:rsid w:val="00D40657"/>
    <w:rsid w:val="00D4102D"/>
    <w:rsid w:val="00D4120E"/>
    <w:rsid w:val="00D41792"/>
    <w:rsid w:val="00D41E0F"/>
    <w:rsid w:val="00D4208A"/>
    <w:rsid w:val="00D43FF7"/>
    <w:rsid w:val="00D44777"/>
    <w:rsid w:val="00D44DC8"/>
    <w:rsid w:val="00D47B97"/>
    <w:rsid w:val="00D516F5"/>
    <w:rsid w:val="00D52095"/>
    <w:rsid w:val="00D532B2"/>
    <w:rsid w:val="00D53366"/>
    <w:rsid w:val="00D560D6"/>
    <w:rsid w:val="00D6121F"/>
    <w:rsid w:val="00D61ED8"/>
    <w:rsid w:val="00D65BFE"/>
    <w:rsid w:val="00D65C51"/>
    <w:rsid w:val="00D67FC7"/>
    <w:rsid w:val="00D72F6A"/>
    <w:rsid w:val="00D73562"/>
    <w:rsid w:val="00D738B8"/>
    <w:rsid w:val="00D73D55"/>
    <w:rsid w:val="00D75EF7"/>
    <w:rsid w:val="00D7661F"/>
    <w:rsid w:val="00D7750F"/>
    <w:rsid w:val="00D8006A"/>
    <w:rsid w:val="00D808BF"/>
    <w:rsid w:val="00D82874"/>
    <w:rsid w:val="00D82F6C"/>
    <w:rsid w:val="00D83110"/>
    <w:rsid w:val="00D848BE"/>
    <w:rsid w:val="00D8496E"/>
    <w:rsid w:val="00D84FFD"/>
    <w:rsid w:val="00D85585"/>
    <w:rsid w:val="00D86D47"/>
    <w:rsid w:val="00D86F5D"/>
    <w:rsid w:val="00D91BE3"/>
    <w:rsid w:val="00D92033"/>
    <w:rsid w:val="00D9213A"/>
    <w:rsid w:val="00D93781"/>
    <w:rsid w:val="00D937BD"/>
    <w:rsid w:val="00D941F3"/>
    <w:rsid w:val="00D9480E"/>
    <w:rsid w:val="00D94C51"/>
    <w:rsid w:val="00D9554E"/>
    <w:rsid w:val="00D95B02"/>
    <w:rsid w:val="00D960DE"/>
    <w:rsid w:val="00D9630C"/>
    <w:rsid w:val="00D9697E"/>
    <w:rsid w:val="00DA0504"/>
    <w:rsid w:val="00DA0D87"/>
    <w:rsid w:val="00DA2CC7"/>
    <w:rsid w:val="00DA43A0"/>
    <w:rsid w:val="00DA595E"/>
    <w:rsid w:val="00DA6291"/>
    <w:rsid w:val="00DA67CB"/>
    <w:rsid w:val="00DA6EDF"/>
    <w:rsid w:val="00DA746D"/>
    <w:rsid w:val="00DA77D9"/>
    <w:rsid w:val="00DA7A1E"/>
    <w:rsid w:val="00DB0643"/>
    <w:rsid w:val="00DB116C"/>
    <w:rsid w:val="00DB1493"/>
    <w:rsid w:val="00DB37AD"/>
    <w:rsid w:val="00DB45E3"/>
    <w:rsid w:val="00DB4782"/>
    <w:rsid w:val="00DB4A0D"/>
    <w:rsid w:val="00DB4B39"/>
    <w:rsid w:val="00DB52CD"/>
    <w:rsid w:val="00DB5A42"/>
    <w:rsid w:val="00DB5F44"/>
    <w:rsid w:val="00DB6C07"/>
    <w:rsid w:val="00DB7D20"/>
    <w:rsid w:val="00DC22EE"/>
    <w:rsid w:val="00DC26CA"/>
    <w:rsid w:val="00DC4777"/>
    <w:rsid w:val="00DC527A"/>
    <w:rsid w:val="00DC5500"/>
    <w:rsid w:val="00DC72E4"/>
    <w:rsid w:val="00DC75C4"/>
    <w:rsid w:val="00DC7886"/>
    <w:rsid w:val="00DD0936"/>
    <w:rsid w:val="00DD12C1"/>
    <w:rsid w:val="00DD133C"/>
    <w:rsid w:val="00DD20C2"/>
    <w:rsid w:val="00DD21CE"/>
    <w:rsid w:val="00DD2EB6"/>
    <w:rsid w:val="00DD409D"/>
    <w:rsid w:val="00DD46E8"/>
    <w:rsid w:val="00DD4D55"/>
    <w:rsid w:val="00DD532C"/>
    <w:rsid w:val="00DD55A3"/>
    <w:rsid w:val="00DD65FF"/>
    <w:rsid w:val="00DE1078"/>
    <w:rsid w:val="00DE1082"/>
    <w:rsid w:val="00DE22FF"/>
    <w:rsid w:val="00DE303D"/>
    <w:rsid w:val="00DE39F5"/>
    <w:rsid w:val="00DE48A2"/>
    <w:rsid w:val="00DE532A"/>
    <w:rsid w:val="00DE5BC2"/>
    <w:rsid w:val="00DE6BC9"/>
    <w:rsid w:val="00DE7250"/>
    <w:rsid w:val="00DF17F5"/>
    <w:rsid w:val="00DF21DD"/>
    <w:rsid w:val="00DF2B2A"/>
    <w:rsid w:val="00DF481D"/>
    <w:rsid w:val="00DF4974"/>
    <w:rsid w:val="00DF64D8"/>
    <w:rsid w:val="00E004CD"/>
    <w:rsid w:val="00E03EAD"/>
    <w:rsid w:val="00E041C7"/>
    <w:rsid w:val="00E052E5"/>
    <w:rsid w:val="00E05D92"/>
    <w:rsid w:val="00E1030B"/>
    <w:rsid w:val="00E133B2"/>
    <w:rsid w:val="00E13BB6"/>
    <w:rsid w:val="00E14AC9"/>
    <w:rsid w:val="00E16D7B"/>
    <w:rsid w:val="00E17045"/>
    <w:rsid w:val="00E20B2B"/>
    <w:rsid w:val="00E21074"/>
    <w:rsid w:val="00E21577"/>
    <w:rsid w:val="00E21D7C"/>
    <w:rsid w:val="00E22376"/>
    <w:rsid w:val="00E22F49"/>
    <w:rsid w:val="00E2320C"/>
    <w:rsid w:val="00E23F4A"/>
    <w:rsid w:val="00E241AF"/>
    <w:rsid w:val="00E24262"/>
    <w:rsid w:val="00E24A63"/>
    <w:rsid w:val="00E2507B"/>
    <w:rsid w:val="00E2645B"/>
    <w:rsid w:val="00E26E9C"/>
    <w:rsid w:val="00E272B6"/>
    <w:rsid w:val="00E30DAB"/>
    <w:rsid w:val="00E310CC"/>
    <w:rsid w:val="00E311DE"/>
    <w:rsid w:val="00E3462D"/>
    <w:rsid w:val="00E3537C"/>
    <w:rsid w:val="00E359F6"/>
    <w:rsid w:val="00E35B53"/>
    <w:rsid w:val="00E3613F"/>
    <w:rsid w:val="00E36B50"/>
    <w:rsid w:val="00E41720"/>
    <w:rsid w:val="00E43787"/>
    <w:rsid w:val="00E45080"/>
    <w:rsid w:val="00E4516B"/>
    <w:rsid w:val="00E47569"/>
    <w:rsid w:val="00E50981"/>
    <w:rsid w:val="00E50FF2"/>
    <w:rsid w:val="00E537D6"/>
    <w:rsid w:val="00E54FBC"/>
    <w:rsid w:val="00E55B62"/>
    <w:rsid w:val="00E5602C"/>
    <w:rsid w:val="00E56278"/>
    <w:rsid w:val="00E56D99"/>
    <w:rsid w:val="00E60441"/>
    <w:rsid w:val="00E60C8B"/>
    <w:rsid w:val="00E61165"/>
    <w:rsid w:val="00E623EE"/>
    <w:rsid w:val="00E62A2F"/>
    <w:rsid w:val="00E64250"/>
    <w:rsid w:val="00E6441A"/>
    <w:rsid w:val="00E648A1"/>
    <w:rsid w:val="00E648FA"/>
    <w:rsid w:val="00E664F5"/>
    <w:rsid w:val="00E70AC8"/>
    <w:rsid w:val="00E715F2"/>
    <w:rsid w:val="00E7290B"/>
    <w:rsid w:val="00E73FE7"/>
    <w:rsid w:val="00E74936"/>
    <w:rsid w:val="00E75643"/>
    <w:rsid w:val="00E76320"/>
    <w:rsid w:val="00E76361"/>
    <w:rsid w:val="00E770A0"/>
    <w:rsid w:val="00E77C92"/>
    <w:rsid w:val="00E80E19"/>
    <w:rsid w:val="00E80EC0"/>
    <w:rsid w:val="00E80EE2"/>
    <w:rsid w:val="00E82AC7"/>
    <w:rsid w:val="00E83746"/>
    <w:rsid w:val="00E84228"/>
    <w:rsid w:val="00E850B0"/>
    <w:rsid w:val="00E85AAE"/>
    <w:rsid w:val="00E86625"/>
    <w:rsid w:val="00E87370"/>
    <w:rsid w:val="00E92020"/>
    <w:rsid w:val="00E929DD"/>
    <w:rsid w:val="00E92D27"/>
    <w:rsid w:val="00E92ECF"/>
    <w:rsid w:val="00E94577"/>
    <w:rsid w:val="00E963C9"/>
    <w:rsid w:val="00E977E1"/>
    <w:rsid w:val="00E97CFC"/>
    <w:rsid w:val="00E97E42"/>
    <w:rsid w:val="00EA1123"/>
    <w:rsid w:val="00EA1F8D"/>
    <w:rsid w:val="00EA364B"/>
    <w:rsid w:val="00EA3F7A"/>
    <w:rsid w:val="00EA4474"/>
    <w:rsid w:val="00EA4B96"/>
    <w:rsid w:val="00EA602E"/>
    <w:rsid w:val="00EA6CD2"/>
    <w:rsid w:val="00EB02A0"/>
    <w:rsid w:val="00EB17AF"/>
    <w:rsid w:val="00EB3360"/>
    <w:rsid w:val="00EB3C41"/>
    <w:rsid w:val="00EB410A"/>
    <w:rsid w:val="00EB5BD9"/>
    <w:rsid w:val="00EB62FF"/>
    <w:rsid w:val="00EB6DA6"/>
    <w:rsid w:val="00EC256B"/>
    <w:rsid w:val="00EC395D"/>
    <w:rsid w:val="00EC4745"/>
    <w:rsid w:val="00EC4FE3"/>
    <w:rsid w:val="00EC5A02"/>
    <w:rsid w:val="00EC5CDD"/>
    <w:rsid w:val="00EC76A9"/>
    <w:rsid w:val="00EC7ACA"/>
    <w:rsid w:val="00ED0252"/>
    <w:rsid w:val="00ED0719"/>
    <w:rsid w:val="00ED1EEE"/>
    <w:rsid w:val="00ED2684"/>
    <w:rsid w:val="00ED2935"/>
    <w:rsid w:val="00ED33D0"/>
    <w:rsid w:val="00ED354F"/>
    <w:rsid w:val="00ED54FF"/>
    <w:rsid w:val="00ED56B6"/>
    <w:rsid w:val="00ED6640"/>
    <w:rsid w:val="00ED6B3E"/>
    <w:rsid w:val="00ED70B1"/>
    <w:rsid w:val="00ED7203"/>
    <w:rsid w:val="00ED7362"/>
    <w:rsid w:val="00ED747D"/>
    <w:rsid w:val="00EE0400"/>
    <w:rsid w:val="00EE0B30"/>
    <w:rsid w:val="00EE0B54"/>
    <w:rsid w:val="00EE10C3"/>
    <w:rsid w:val="00EE24FA"/>
    <w:rsid w:val="00EE5027"/>
    <w:rsid w:val="00EE7E46"/>
    <w:rsid w:val="00EF32F0"/>
    <w:rsid w:val="00EF3363"/>
    <w:rsid w:val="00EF3745"/>
    <w:rsid w:val="00EF4140"/>
    <w:rsid w:val="00EF548F"/>
    <w:rsid w:val="00EF6BBC"/>
    <w:rsid w:val="00EF7338"/>
    <w:rsid w:val="00F003B5"/>
    <w:rsid w:val="00F018AA"/>
    <w:rsid w:val="00F018C1"/>
    <w:rsid w:val="00F02209"/>
    <w:rsid w:val="00F02324"/>
    <w:rsid w:val="00F02E5C"/>
    <w:rsid w:val="00F0363A"/>
    <w:rsid w:val="00F06376"/>
    <w:rsid w:val="00F07A4D"/>
    <w:rsid w:val="00F07C81"/>
    <w:rsid w:val="00F148BB"/>
    <w:rsid w:val="00F14BEB"/>
    <w:rsid w:val="00F154D2"/>
    <w:rsid w:val="00F15B2E"/>
    <w:rsid w:val="00F1647D"/>
    <w:rsid w:val="00F16DCC"/>
    <w:rsid w:val="00F17BCE"/>
    <w:rsid w:val="00F203FF"/>
    <w:rsid w:val="00F2060B"/>
    <w:rsid w:val="00F20A24"/>
    <w:rsid w:val="00F20FBA"/>
    <w:rsid w:val="00F22F38"/>
    <w:rsid w:val="00F23976"/>
    <w:rsid w:val="00F23F79"/>
    <w:rsid w:val="00F242AD"/>
    <w:rsid w:val="00F24637"/>
    <w:rsid w:val="00F24DDF"/>
    <w:rsid w:val="00F251B1"/>
    <w:rsid w:val="00F26F92"/>
    <w:rsid w:val="00F31039"/>
    <w:rsid w:val="00F3134E"/>
    <w:rsid w:val="00F31B09"/>
    <w:rsid w:val="00F32B78"/>
    <w:rsid w:val="00F32E3D"/>
    <w:rsid w:val="00F33043"/>
    <w:rsid w:val="00F34587"/>
    <w:rsid w:val="00F3569D"/>
    <w:rsid w:val="00F363CC"/>
    <w:rsid w:val="00F376C5"/>
    <w:rsid w:val="00F376F6"/>
    <w:rsid w:val="00F41A48"/>
    <w:rsid w:val="00F41E7F"/>
    <w:rsid w:val="00F42A4B"/>
    <w:rsid w:val="00F43ED3"/>
    <w:rsid w:val="00F44146"/>
    <w:rsid w:val="00F45C6F"/>
    <w:rsid w:val="00F45D42"/>
    <w:rsid w:val="00F4665D"/>
    <w:rsid w:val="00F52E20"/>
    <w:rsid w:val="00F52E31"/>
    <w:rsid w:val="00F556CA"/>
    <w:rsid w:val="00F573B5"/>
    <w:rsid w:val="00F6026F"/>
    <w:rsid w:val="00F60633"/>
    <w:rsid w:val="00F6164F"/>
    <w:rsid w:val="00F61D4D"/>
    <w:rsid w:val="00F62D79"/>
    <w:rsid w:val="00F63193"/>
    <w:rsid w:val="00F64ECF"/>
    <w:rsid w:val="00F65715"/>
    <w:rsid w:val="00F657C7"/>
    <w:rsid w:val="00F677B5"/>
    <w:rsid w:val="00F677E7"/>
    <w:rsid w:val="00F70712"/>
    <w:rsid w:val="00F7167C"/>
    <w:rsid w:val="00F7277D"/>
    <w:rsid w:val="00F72790"/>
    <w:rsid w:val="00F72D40"/>
    <w:rsid w:val="00F72E7D"/>
    <w:rsid w:val="00F73C81"/>
    <w:rsid w:val="00F757A8"/>
    <w:rsid w:val="00F762AD"/>
    <w:rsid w:val="00F7658F"/>
    <w:rsid w:val="00F768A8"/>
    <w:rsid w:val="00F770F0"/>
    <w:rsid w:val="00F77952"/>
    <w:rsid w:val="00F8020C"/>
    <w:rsid w:val="00F80AAF"/>
    <w:rsid w:val="00F8138A"/>
    <w:rsid w:val="00F825B3"/>
    <w:rsid w:val="00F82ADD"/>
    <w:rsid w:val="00F8334D"/>
    <w:rsid w:val="00F84116"/>
    <w:rsid w:val="00F84ABC"/>
    <w:rsid w:val="00F8531F"/>
    <w:rsid w:val="00F8613B"/>
    <w:rsid w:val="00F862B6"/>
    <w:rsid w:val="00F86788"/>
    <w:rsid w:val="00F878B9"/>
    <w:rsid w:val="00F90975"/>
    <w:rsid w:val="00F90BFF"/>
    <w:rsid w:val="00F91BB8"/>
    <w:rsid w:val="00F931BD"/>
    <w:rsid w:val="00F9365D"/>
    <w:rsid w:val="00F94064"/>
    <w:rsid w:val="00F9422E"/>
    <w:rsid w:val="00F94A06"/>
    <w:rsid w:val="00F95926"/>
    <w:rsid w:val="00F965E2"/>
    <w:rsid w:val="00F96C5F"/>
    <w:rsid w:val="00F97472"/>
    <w:rsid w:val="00F97750"/>
    <w:rsid w:val="00F97C1B"/>
    <w:rsid w:val="00F97D45"/>
    <w:rsid w:val="00FA1DFB"/>
    <w:rsid w:val="00FA2B43"/>
    <w:rsid w:val="00FA2E04"/>
    <w:rsid w:val="00FA2EEA"/>
    <w:rsid w:val="00FA3EF6"/>
    <w:rsid w:val="00FA483A"/>
    <w:rsid w:val="00FA4B20"/>
    <w:rsid w:val="00FA7256"/>
    <w:rsid w:val="00FA739B"/>
    <w:rsid w:val="00FA79D0"/>
    <w:rsid w:val="00FB5354"/>
    <w:rsid w:val="00FB56CF"/>
    <w:rsid w:val="00FB5FC4"/>
    <w:rsid w:val="00FC047B"/>
    <w:rsid w:val="00FC0FC9"/>
    <w:rsid w:val="00FC1BA8"/>
    <w:rsid w:val="00FC2AEE"/>
    <w:rsid w:val="00FC321B"/>
    <w:rsid w:val="00FC41BD"/>
    <w:rsid w:val="00FC43F4"/>
    <w:rsid w:val="00FC452F"/>
    <w:rsid w:val="00FC6013"/>
    <w:rsid w:val="00FC662A"/>
    <w:rsid w:val="00FC79B8"/>
    <w:rsid w:val="00FC7A34"/>
    <w:rsid w:val="00FD0355"/>
    <w:rsid w:val="00FD1812"/>
    <w:rsid w:val="00FD3394"/>
    <w:rsid w:val="00FD3879"/>
    <w:rsid w:val="00FD4AB1"/>
    <w:rsid w:val="00FD5219"/>
    <w:rsid w:val="00FD57A9"/>
    <w:rsid w:val="00FD6063"/>
    <w:rsid w:val="00FD77BA"/>
    <w:rsid w:val="00FD77EC"/>
    <w:rsid w:val="00FE1461"/>
    <w:rsid w:val="00FE1E7A"/>
    <w:rsid w:val="00FE2F5A"/>
    <w:rsid w:val="00FE3A0B"/>
    <w:rsid w:val="00FE3D88"/>
    <w:rsid w:val="00FE486E"/>
    <w:rsid w:val="00FE4972"/>
    <w:rsid w:val="00FE4FE1"/>
    <w:rsid w:val="00FE50F2"/>
    <w:rsid w:val="00FE681B"/>
    <w:rsid w:val="00FE7F04"/>
    <w:rsid w:val="00FF1836"/>
    <w:rsid w:val="00FF3F27"/>
    <w:rsid w:val="00FF4947"/>
    <w:rsid w:val="00FF4A53"/>
    <w:rsid w:val="00FF53A7"/>
    <w:rsid w:val="00FF5AEB"/>
    <w:rsid w:val="00FF7975"/>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6B8E31"/>
  <w15:docId w15:val="{8E813ADC-7FA5-4BB0-9101-19EC1AA3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F4"/>
    <w:pPr>
      <w:spacing w:after="120"/>
    </w:pPr>
    <w:rPr>
      <w:rFonts w:ascii="Segoe UI" w:hAnsi="Segoe UI"/>
      <w:sz w:val="19"/>
      <w:szCs w:val="22"/>
      <w:lang w:val="en-AU"/>
    </w:rPr>
  </w:style>
  <w:style w:type="paragraph" w:styleId="Heading1">
    <w:name w:val="heading 1"/>
    <w:basedOn w:val="Normal"/>
    <w:next w:val="Normal"/>
    <w:link w:val="Heading1Char"/>
    <w:uiPriority w:val="1"/>
    <w:qFormat/>
    <w:rsid w:val="00297811"/>
    <w:pPr>
      <w:keepNext/>
      <w:spacing w:after="240" w:line="440" w:lineRule="exact"/>
      <w:outlineLvl w:val="0"/>
    </w:pPr>
    <w:rPr>
      <w:rFonts w:eastAsia="Times New Roman"/>
      <w:b/>
      <w:color w:val="00264D"/>
      <w:sz w:val="36"/>
      <w:szCs w:val="19"/>
      <w:lang w:eastAsia="en-AU"/>
    </w:rPr>
  </w:style>
  <w:style w:type="paragraph" w:styleId="Heading2">
    <w:name w:val="heading 2"/>
    <w:basedOn w:val="Normal"/>
    <w:next w:val="Normal"/>
    <w:link w:val="Heading2Char"/>
    <w:uiPriority w:val="1"/>
    <w:qFormat/>
    <w:rsid w:val="00A73A2D"/>
    <w:pPr>
      <w:keepNext/>
      <w:spacing w:before="480" w:after="180"/>
      <w:outlineLvl w:val="1"/>
    </w:pPr>
    <w:rPr>
      <w:rFonts w:ascii="Segoe UI Semibold" w:eastAsia="Times New Roman" w:hAnsi="Segoe UI Semibold"/>
      <w:color w:val="00264D"/>
      <w:sz w:val="30"/>
      <w:szCs w:val="19"/>
      <w:lang w:eastAsia="en-AU"/>
    </w:rPr>
  </w:style>
  <w:style w:type="paragraph" w:styleId="Heading3">
    <w:name w:val="heading 3"/>
    <w:basedOn w:val="Normal"/>
    <w:next w:val="Normal"/>
    <w:link w:val="Heading3Char"/>
    <w:uiPriority w:val="1"/>
    <w:qFormat/>
    <w:rsid w:val="00BA3DB6"/>
    <w:pPr>
      <w:keepNext/>
      <w:spacing w:before="480" w:after="60"/>
      <w:outlineLvl w:val="2"/>
    </w:pPr>
    <w:rPr>
      <w:rFonts w:ascii="Segoe UI Semibold" w:eastAsia="Times New Roman" w:hAnsi="Segoe UI Semibold"/>
      <w:color w:val="00264D"/>
      <w:sz w:val="26"/>
      <w:szCs w:val="19"/>
      <w:lang w:eastAsia="en-AU"/>
    </w:rPr>
  </w:style>
  <w:style w:type="paragraph" w:styleId="Heading4">
    <w:name w:val="heading 4"/>
    <w:basedOn w:val="Normal"/>
    <w:next w:val="Normal"/>
    <w:link w:val="Heading4Char"/>
    <w:uiPriority w:val="1"/>
    <w:qFormat/>
    <w:rsid w:val="00857803"/>
    <w:pPr>
      <w:keepNext/>
      <w:spacing w:before="240" w:after="60"/>
      <w:outlineLvl w:val="3"/>
    </w:pPr>
    <w:rPr>
      <w:rFonts w:ascii="Segoe UI Semibold" w:eastAsia="Times New Roman" w:hAnsi="Segoe UI Semibold"/>
      <w:color w:val="00264D"/>
      <w:sz w:val="22"/>
      <w:szCs w:val="19"/>
      <w:lang w:eastAsia="en-AU"/>
    </w:rPr>
  </w:style>
  <w:style w:type="paragraph" w:styleId="Heading5">
    <w:name w:val="heading 5"/>
    <w:basedOn w:val="Normal"/>
    <w:next w:val="Normal"/>
    <w:link w:val="Heading5Char"/>
    <w:uiPriority w:val="1"/>
    <w:qFormat/>
    <w:rsid w:val="00857803"/>
    <w:pPr>
      <w:keepNext/>
      <w:spacing w:before="240" w:after="60"/>
      <w:outlineLvl w:val="4"/>
    </w:pPr>
    <w:rPr>
      <w:rFonts w:eastAsia="Times New Roman"/>
      <w:b/>
      <w:color w:val="808080"/>
      <w:sz w:val="20"/>
      <w:szCs w:val="24"/>
      <w:lang w:eastAsia="en-AU"/>
    </w:rPr>
  </w:style>
  <w:style w:type="paragraph" w:styleId="Heading6">
    <w:name w:val="heading 6"/>
    <w:basedOn w:val="Normal"/>
    <w:next w:val="Normal"/>
    <w:link w:val="Heading6Char"/>
    <w:uiPriority w:val="19"/>
    <w:semiHidden/>
    <w:qFormat/>
    <w:rsid w:val="00BA3DB6"/>
    <w:pPr>
      <w:keepNext/>
      <w:keepLines/>
      <w:spacing w:before="200" w:after="60"/>
      <w:outlineLvl w:val="5"/>
    </w:pPr>
    <w:rPr>
      <w:rFonts w:eastAsia="Times New Roman"/>
      <w:b/>
      <w:i/>
      <w:iCs/>
      <w:color w:val="00264D"/>
      <w:szCs w:val="19"/>
      <w:lang w:eastAsia="en-AU"/>
    </w:rPr>
  </w:style>
  <w:style w:type="paragraph" w:styleId="Heading7">
    <w:name w:val="heading 7"/>
    <w:basedOn w:val="Normal"/>
    <w:next w:val="Normal"/>
    <w:link w:val="Heading7Char"/>
    <w:uiPriority w:val="19"/>
    <w:semiHidden/>
    <w:rsid w:val="000137FA"/>
    <w:pPr>
      <w:keepNext/>
      <w:keepLines/>
      <w:spacing w:before="200" w:after="0"/>
      <w:outlineLvl w:val="6"/>
    </w:pPr>
    <w:rPr>
      <w:rFonts w:eastAsia="Times New Roman"/>
      <w:i/>
      <w:iCs/>
      <w:color w:val="404040"/>
    </w:rPr>
  </w:style>
  <w:style w:type="paragraph" w:styleId="Heading8">
    <w:name w:val="heading 8"/>
    <w:basedOn w:val="Normal"/>
    <w:next w:val="Normal"/>
    <w:link w:val="Heading8Char"/>
    <w:uiPriority w:val="19"/>
    <w:semiHidden/>
    <w:rsid w:val="000137FA"/>
    <w:pPr>
      <w:keepNext/>
      <w:keepLines/>
      <w:spacing w:before="200" w:after="0"/>
      <w:outlineLvl w:val="7"/>
    </w:pPr>
    <w:rPr>
      <w:rFonts w:eastAsia="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usTable">
    <w:name w:val="Nous Table"/>
    <w:basedOn w:val="TableNormal"/>
    <w:uiPriority w:val="99"/>
    <w:rsid w:val="00653916"/>
    <w:rPr>
      <w:rFonts w:eastAsia="Times New Roman"/>
      <w:lang w:val="en-AU" w:eastAsia="en-AU"/>
    </w:rPr>
    <w:tblPr>
      <w:tblStyleRowBandSize w:val="1"/>
      <w:jc w:val="center"/>
      <w:tblBorders>
        <w:insideH w:val="single" w:sz="4" w:space="0" w:color="FF888B"/>
        <w:insideV w:val="single" w:sz="4" w:space="0" w:color="FF888B"/>
      </w:tblBorders>
    </w:tblPr>
    <w:trPr>
      <w:cantSplit/>
      <w:jc w:val="center"/>
    </w:trPr>
    <w:tcPr>
      <w:tcMar>
        <w:top w:w="57" w:type="dxa"/>
        <w:left w:w="57" w:type="dxa"/>
        <w:bottom w:w="57" w:type="dxa"/>
        <w:right w:w="57" w:type="dxa"/>
      </w:tcMar>
      <w:vAlign w:val="center"/>
    </w:tcPr>
    <w:tblStylePr w:type="firstRow">
      <w:pPr>
        <w:keepNext/>
        <w:wordWrap/>
      </w:pPr>
      <w:rPr>
        <w:b w:val="0"/>
        <w:color w:val="FFFFFF"/>
      </w:rPr>
      <w:tblPr/>
      <w:trPr>
        <w:tblHeader/>
      </w:trPr>
      <w:tcPr>
        <w:shd w:val="clear" w:color="auto" w:fill="FF3A40"/>
      </w:tcPr>
    </w:tblStylePr>
    <w:tblStylePr w:type="lastRow">
      <w:tblPr/>
      <w:tcPr>
        <w:tcBorders>
          <w:top w:val="double" w:sz="4" w:space="0" w:color="FF3A40"/>
        </w:tcBorders>
      </w:tcPr>
    </w:tblStylePr>
    <w:tblStylePr w:type="firstCol">
      <w:rPr>
        <w:b w:val="0"/>
        <w:color w:val="FFFFFF"/>
      </w:rPr>
      <w:tblPr/>
      <w:tcPr>
        <w:shd w:val="clear" w:color="auto" w:fill="FF3A40"/>
      </w:tcPr>
    </w:tblStylePr>
    <w:tblStylePr w:type="lastCol">
      <w:tblPr/>
      <w:tcPr>
        <w:tcBorders>
          <w:left w:val="double" w:sz="4" w:space="0" w:color="FF3A40"/>
        </w:tcBorders>
      </w:tcPr>
    </w:tblStylePr>
  </w:style>
  <w:style w:type="character" w:customStyle="1" w:styleId="Heading1Char">
    <w:name w:val="Heading 1 Char"/>
    <w:link w:val="Heading1"/>
    <w:uiPriority w:val="1"/>
    <w:rsid w:val="008C19F4"/>
    <w:rPr>
      <w:rFonts w:ascii="Segoe UI" w:eastAsia="Times New Roman" w:hAnsi="Segoe UI" w:cs="Times New Roman"/>
      <w:b/>
      <w:color w:val="00264D"/>
      <w:sz w:val="36"/>
      <w:szCs w:val="19"/>
      <w:lang w:val="en-AU" w:eastAsia="en-AU"/>
    </w:rPr>
  </w:style>
  <w:style w:type="character" w:customStyle="1" w:styleId="Heading2Char">
    <w:name w:val="Heading 2 Char"/>
    <w:link w:val="Heading2"/>
    <w:uiPriority w:val="1"/>
    <w:rsid w:val="008C19F4"/>
    <w:rPr>
      <w:rFonts w:ascii="Segoe UI Semibold" w:eastAsia="Times New Roman" w:hAnsi="Segoe UI Semibold" w:cs="Times New Roman"/>
      <w:color w:val="00264D"/>
      <w:sz w:val="30"/>
      <w:szCs w:val="19"/>
      <w:lang w:val="en-AU" w:eastAsia="en-AU"/>
    </w:rPr>
  </w:style>
  <w:style w:type="character" w:customStyle="1" w:styleId="Heading3Char">
    <w:name w:val="Heading 3 Char"/>
    <w:link w:val="Heading3"/>
    <w:uiPriority w:val="1"/>
    <w:rsid w:val="008C19F4"/>
    <w:rPr>
      <w:rFonts w:ascii="Segoe UI Semibold" w:eastAsia="Times New Roman" w:hAnsi="Segoe UI Semibold" w:cs="Times New Roman"/>
      <w:color w:val="00264D"/>
      <w:sz w:val="26"/>
      <w:szCs w:val="19"/>
      <w:lang w:val="en-AU" w:eastAsia="en-AU"/>
    </w:rPr>
  </w:style>
  <w:style w:type="character" w:customStyle="1" w:styleId="Heading4Char">
    <w:name w:val="Heading 4 Char"/>
    <w:link w:val="Heading4"/>
    <w:uiPriority w:val="1"/>
    <w:rsid w:val="008C19F4"/>
    <w:rPr>
      <w:rFonts w:ascii="Segoe UI Semibold" w:eastAsia="Times New Roman" w:hAnsi="Segoe UI Semibold" w:cs="Times New Roman"/>
      <w:color w:val="00264D"/>
      <w:szCs w:val="19"/>
      <w:lang w:val="en-AU" w:eastAsia="en-AU"/>
    </w:rPr>
  </w:style>
  <w:style w:type="character" w:customStyle="1" w:styleId="Heading5Char">
    <w:name w:val="Heading 5 Char"/>
    <w:link w:val="Heading5"/>
    <w:uiPriority w:val="1"/>
    <w:rsid w:val="008C19F4"/>
    <w:rPr>
      <w:rFonts w:ascii="Segoe UI" w:eastAsia="Times New Roman" w:hAnsi="Segoe UI" w:cs="Times New Roman"/>
      <w:b/>
      <w:color w:val="808080"/>
      <w:sz w:val="20"/>
      <w:szCs w:val="24"/>
      <w:lang w:val="en-AU" w:eastAsia="en-AU"/>
    </w:rPr>
  </w:style>
  <w:style w:type="character" w:customStyle="1" w:styleId="Heading6Char">
    <w:name w:val="Heading 6 Char"/>
    <w:link w:val="Heading6"/>
    <w:uiPriority w:val="19"/>
    <w:semiHidden/>
    <w:rsid w:val="008C19F4"/>
    <w:rPr>
      <w:rFonts w:ascii="Segoe UI" w:eastAsia="Times New Roman" w:hAnsi="Segoe UI" w:cs="Times New Roman"/>
      <w:b/>
      <w:i/>
      <w:iCs/>
      <w:color w:val="00264D"/>
      <w:sz w:val="19"/>
      <w:szCs w:val="19"/>
      <w:lang w:val="en-AU" w:eastAsia="en-AU"/>
    </w:rPr>
  </w:style>
  <w:style w:type="paragraph" w:customStyle="1" w:styleId="Bullet">
    <w:name w:val="Bullet"/>
    <w:basedOn w:val="Normal"/>
    <w:link w:val="BulletChar"/>
    <w:uiPriority w:val="2"/>
    <w:qFormat/>
    <w:rsid w:val="00E20B2B"/>
    <w:pPr>
      <w:suppressAutoHyphens/>
    </w:pPr>
    <w:rPr>
      <w:rFonts w:eastAsia="Times New Roman"/>
      <w:szCs w:val="19"/>
      <w:lang w:eastAsia="en-AU"/>
    </w:rPr>
  </w:style>
  <w:style w:type="paragraph" w:customStyle="1" w:styleId="TableNheader">
    <w:name w:val="Table N header"/>
    <w:basedOn w:val="Heading5"/>
    <w:uiPriority w:val="1"/>
    <w:qFormat/>
    <w:rsid w:val="00294C7F"/>
    <w:pPr>
      <w:spacing w:before="40" w:after="40"/>
    </w:pPr>
    <w:rPr>
      <w:rFonts w:ascii="Segoe UI Semibold" w:hAnsi="Segoe UI Semibold"/>
      <w:b w:val="0"/>
      <w:color w:val="00264D"/>
      <w:sz w:val="18"/>
    </w:rPr>
  </w:style>
  <w:style w:type="paragraph" w:customStyle="1" w:styleId="TableNText">
    <w:name w:val="Table N Text"/>
    <w:basedOn w:val="TableNheader"/>
    <w:uiPriority w:val="1"/>
    <w:qFormat/>
    <w:rsid w:val="00294C7F"/>
    <w:rPr>
      <w:rFonts w:ascii="Segoe UI" w:hAnsi="Segoe UI"/>
      <w:color w:val="auto"/>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link w:val="Header"/>
    <w:uiPriority w:val="99"/>
    <w:rsid w:val="00302076"/>
    <w:rPr>
      <w:rFonts w:ascii="Segoe UI" w:hAnsi="Segoe UI"/>
      <w:sz w:val="19"/>
    </w:rPr>
  </w:style>
  <w:style w:type="paragraph" w:styleId="Footer">
    <w:name w:val="footer"/>
    <w:basedOn w:val="Normal"/>
    <w:link w:val="FooterChar"/>
    <w:uiPriority w:val="99"/>
    <w:unhideWhenUsed/>
    <w:rsid w:val="00302076"/>
    <w:pPr>
      <w:tabs>
        <w:tab w:val="center" w:pos="4513"/>
        <w:tab w:val="right" w:pos="9026"/>
      </w:tabs>
      <w:spacing w:after="0"/>
    </w:pPr>
  </w:style>
  <w:style w:type="character" w:customStyle="1" w:styleId="FooterChar">
    <w:name w:val="Footer Char"/>
    <w:link w:val="Footer"/>
    <w:uiPriority w:val="99"/>
    <w:rsid w:val="00302076"/>
    <w:rPr>
      <w:rFonts w:ascii="Segoe UI" w:hAnsi="Segoe UI"/>
      <w:sz w:val="19"/>
    </w:rPr>
  </w:style>
  <w:style w:type="paragraph" w:styleId="Caption">
    <w:name w:val="caption"/>
    <w:basedOn w:val="Normal"/>
    <w:next w:val="Normal"/>
    <w:uiPriority w:val="39"/>
    <w:qFormat/>
    <w:rsid w:val="00294C7F"/>
    <w:pPr>
      <w:spacing w:before="360"/>
    </w:pPr>
    <w:rPr>
      <w:rFonts w:ascii="Segoe UI Semibold" w:hAnsi="Segoe UI Semibold"/>
      <w:bCs/>
      <w:color w:val="00264D"/>
      <w:sz w:val="20"/>
      <w:szCs w:val="18"/>
    </w:rPr>
  </w:style>
  <w:style w:type="paragraph" w:customStyle="1" w:styleId="TableNBullet">
    <w:name w:val="Table N Bullet"/>
    <w:basedOn w:val="Bullet"/>
    <w:link w:val="TableNBulletChar"/>
    <w:uiPriority w:val="9"/>
    <w:qFormat/>
    <w:rsid w:val="0073030E"/>
    <w:pPr>
      <w:numPr>
        <w:numId w:val="5"/>
      </w:numPr>
      <w:spacing w:before="40" w:after="40"/>
    </w:pPr>
    <w:rPr>
      <w:sz w:val="17"/>
    </w:rPr>
  </w:style>
  <w:style w:type="paragraph" w:customStyle="1" w:styleId="TableNListnumbered">
    <w:name w:val="Table N List (numbered)"/>
    <w:basedOn w:val="TableNBullet"/>
    <w:uiPriority w:val="2"/>
    <w:qFormat/>
    <w:rsid w:val="0029320C"/>
    <w:pPr>
      <w:numPr>
        <w:numId w:val="1"/>
      </w:numPr>
      <w:ind w:left="170" w:hanging="170"/>
    </w:pPr>
  </w:style>
  <w:style w:type="paragraph" w:customStyle="1" w:styleId="xAppendixLevel1">
    <w:name w:val="xAppendix Level 1"/>
    <w:basedOn w:val="Heading1"/>
    <w:next w:val="Normal"/>
    <w:uiPriority w:val="98"/>
    <w:qFormat/>
    <w:rsid w:val="0004033A"/>
    <w:pPr>
      <w:pageBreakBefore/>
      <w:numPr>
        <w:numId w:val="2"/>
      </w:numPr>
      <w:ind w:hanging="2410"/>
      <w:jc w:val="both"/>
    </w:pPr>
    <w:rPr>
      <w:rFonts w:cs="Segoe UI"/>
      <w:bCs/>
      <w:szCs w:val="36"/>
    </w:rPr>
  </w:style>
  <w:style w:type="paragraph" w:customStyle="1" w:styleId="xAppendixLevel2">
    <w:name w:val="xAppendix Level 2"/>
    <w:basedOn w:val="Heading2"/>
    <w:next w:val="Normal"/>
    <w:uiPriority w:val="98"/>
    <w:qFormat/>
    <w:rsid w:val="002B5822"/>
    <w:pPr>
      <w:numPr>
        <w:ilvl w:val="1"/>
        <w:numId w:val="3"/>
      </w:numPr>
    </w:pPr>
    <w:rPr>
      <w:bCs/>
      <w:sz w:val="34"/>
    </w:rPr>
  </w:style>
  <w:style w:type="paragraph" w:customStyle="1" w:styleId="xAppendixLevel3">
    <w:name w:val="xAppendix Level 3"/>
    <w:basedOn w:val="Heading3"/>
    <w:next w:val="Normal"/>
    <w:uiPriority w:val="98"/>
    <w:qFormat/>
    <w:rsid w:val="002B5822"/>
    <w:pPr>
      <w:numPr>
        <w:ilvl w:val="2"/>
        <w:numId w:val="3"/>
      </w:numPr>
    </w:pPr>
    <w:rPr>
      <w:bCs/>
    </w:rPr>
  </w:style>
  <w:style w:type="paragraph" w:customStyle="1" w:styleId="Listnumbered">
    <w:name w:val="List (numbered)"/>
    <w:basedOn w:val="Normal"/>
    <w:uiPriority w:val="1"/>
    <w:qFormat/>
    <w:rsid w:val="00294C7F"/>
    <w:pPr>
      <w:numPr>
        <w:numId w:val="8"/>
      </w:numPr>
    </w:pPr>
  </w:style>
  <w:style w:type="paragraph" w:customStyle="1" w:styleId="Figure">
    <w:name w:val="Figure"/>
    <w:basedOn w:val="Normal"/>
    <w:next w:val="Normal"/>
    <w:uiPriority w:val="40"/>
    <w:unhideWhenUsed/>
    <w:rsid w:val="0020000D"/>
    <w:pPr>
      <w:jc w:val="center"/>
    </w:pPr>
    <w:rPr>
      <w:rFonts w:eastAsia="Times New Roman"/>
      <w:szCs w:val="19"/>
      <w:lang w:eastAsia="en-AU"/>
    </w:rPr>
  </w:style>
  <w:style w:type="paragraph" w:customStyle="1" w:styleId="Source">
    <w:name w:val="Source"/>
    <w:basedOn w:val="Normal"/>
    <w:next w:val="Normal"/>
    <w:link w:val="SourceChar"/>
    <w:uiPriority w:val="39"/>
    <w:rsid w:val="0020000D"/>
    <w:pPr>
      <w:spacing w:before="120" w:after="240"/>
      <w:jc w:val="center"/>
    </w:pPr>
    <w:rPr>
      <w:rFonts w:eastAsia="Times New Roman"/>
      <w:i/>
      <w:sz w:val="17"/>
      <w:szCs w:val="19"/>
      <w:lang w:eastAsia="en-AU"/>
    </w:rPr>
  </w:style>
  <w:style w:type="character" w:customStyle="1" w:styleId="SourceChar">
    <w:name w:val="Source Char"/>
    <w:link w:val="Source"/>
    <w:uiPriority w:val="39"/>
    <w:rsid w:val="0020000D"/>
    <w:rPr>
      <w:rFonts w:ascii="Segoe UI" w:eastAsia="Times New Roman" w:hAnsi="Segoe UI" w:cs="Times New Roman"/>
      <w:i/>
      <w:sz w:val="17"/>
      <w:szCs w:val="19"/>
      <w:lang w:val="en-AU" w:eastAsia="en-AU"/>
    </w:rPr>
  </w:style>
  <w:style w:type="paragraph" w:customStyle="1" w:styleId="TableExpbullet">
    <w:name w:val="Table Exp bullet"/>
    <w:basedOn w:val="TableNBullet"/>
    <w:uiPriority w:val="2"/>
    <w:qFormat/>
    <w:rsid w:val="00A10340"/>
    <w:pPr>
      <w:numPr>
        <w:numId w:val="4"/>
      </w:numPr>
    </w:pPr>
    <w:rPr>
      <w:sz w:val="16"/>
    </w:rPr>
  </w:style>
  <w:style w:type="paragraph" w:customStyle="1" w:styleId="Tableexpheader">
    <w:name w:val="Table exp header"/>
    <w:basedOn w:val="TableNheader"/>
    <w:uiPriority w:val="2"/>
    <w:qFormat/>
    <w:rsid w:val="0029320C"/>
    <w:rPr>
      <w:sz w:val="17"/>
    </w:rPr>
  </w:style>
  <w:style w:type="paragraph" w:customStyle="1" w:styleId="TableexpListnumbered">
    <w:name w:val="Table exp List (numbered)"/>
    <w:basedOn w:val="TableNListnumbered"/>
    <w:uiPriority w:val="2"/>
    <w:qFormat/>
    <w:rsid w:val="0029320C"/>
    <w:rPr>
      <w:sz w:val="16"/>
    </w:rPr>
  </w:style>
  <w:style w:type="paragraph" w:customStyle="1" w:styleId="TableExpText">
    <w:name w:val="Table Exp Text"/>
    <w:basedOn w:val="TableNText"/>
    <w:uiPriority w:val="2"/>
    <w:qFormat/>
    <w:rsid w:val="0029320C"/>
    <w:rPr>
      <w:sz w:val="16"/>
    </w:rPr>
  </w:style>
  <w:style w:type="character" w:customStyle="1" w:styleId="Heading7Char">
    <w:name w:val="Heading 7 Char"/>
    <w:link w:val="Heading7"/>
    <w:uiPriority w:val="19"/>
    <w:semiHidden/>
    <w:rsid w:val="000137FA"/>
    <w:rPr>
      <w:rFonts w:ascii="Segoe UI" w:eastAsia="Times New Roman" w:hAnsi="Segoe UI" w:cs="Times New Roman"/>
      <w:i/>
      <w:iCs/>
      <w:color w:val="404040"/>
      <w:sz w:val="19"/>
    </w:rPr>
  </w:style>
  <w:style w:type="paragraph" w:customStyle="1" w:styleId="TableText">
    <w:name w:val="Table Text"/>
    <w:link w:val="TableTextChar"/>
    <w:uiPriority w:val="1"/>
    <w:rsid w:val="00653916"/>
    <w:pPr>
      <w:spacing w:before="40" w:after="40"/>
    </w:pPr>
    <w:rPr>
      <w:rFonts w:ascii="Segoe UI" w:eastAsia="Times New Roman" w:hAnsi="Segoe UI"/>
      <w:sz w:val="17"/>
      <w:szCs w:val="19"/>
      <w:lang w:val="en-AU" w:eastAsia="en-AU"/>
    </w:rPr>
  </w:style>
  <w:style w:type="paragraph" w:customStyle="1" w:styleId="Tablecolumnheading">
    <w:name w:val="Table column heading"/>
    <w:basedOn w:val="Normal"/>
    <w:link w:val="TablecolumnheadingChar"/>
    <w:uiPriority w:val="1"/>
    <w:rsid w:val="00653916"/>
    <w:pPr>
      <w:keepNext/>
      <w:spacing w:before="40" w:after="40"/>
    </w:pPr>
    <w:rPr>
      <w:rFonts w:ascii="Segoe UI Semibold" w:eastAsia="Times New Roman" w:hAnsi="Segoe UI Semibold"/>
      <w:color w:val="00264D"/>
      <w:sz w:val="18"/>
      <w:szCs w:val="17"/>
      <w:lang w:eastAsia="en-AU"/>
    </w:rPr>
  </w:style>
  <w:style w:type="character" w:customStyle="1" w:styleId="TableTextChar">
    <w:name w:val="Table Text Char"/>
    <w:link w:val="TableText"/>
    <w:uiPriority w:val="1"/>
    <w:rsid w:val="00653916"/>
    <w:rPr>
      <w:rFonts w:ascii="Segoe UI" w:eastAsia="Times New Roman" w:hAnsi="Segoe UI"/>
      <w:sz w:val="17"/>
      <w:szCs w:val="19"/>
      <w:lang w:val="en-AU" w:eastAsia="en-AU" w:bidi="ar-SA"/>
    </w:rPr>
  </w:style>
  <w:style w:type="character" w:customStyle="1" w:styleId="TablecolumnheadingChar">
    <w:name w:val="Table column heading Char"/>
    <w:link w:val="Tablecolumnheading"/>
    <w:uiPriority w:val="1"/>
    <w:rsid w:val="00653916"/>
    <w:rPr>
      <w:rFonts w:ascii="Segoe UI Semibold" w:eastAsia="Times New Roman" w:hAnsi="Segoe UI Semibold" w:cs="Times New Roman"/>
      <w:color w:val="00264D"/>
      <w:sz w:val="18"/>
      <w:szCs w:val="17"/>
      <w:lang w:val="en-AU" w:eastAsia="en-AU"/>
    </w:rPr>
  </w:style>
  <w:style w:type="table" w:customStyle="1" w:styleId="Style1">
    <w:name w:val="Style1"/>
    <w:basedOn w:val="TableNormal"/>
    <w:uiPriority w:val="99"/>
    <w:rsid w:val="00653916"/>
    <w:tblPr/>
    <w:tcPr>
      <w:shd w:val="clear" w:color="auto" w:fill="EDEDE8"/>
    </w:tcPr>
  </w:style>
  <w:style w:type="paragraph" w:styleId="BalloonText">
    <w:name w:val="Balloon Text"/>
    <w:basedOn w:val="Normal"/>
    <w:link w:val="BalloonTextChar"/>
    <w:uiPriority w:val="99"/>
    <w:semiHidden/>
    <w:unhideWhenUsed/>
    <w:rsid w:val="00037C03"/>
    <w:pPr>
      <w:spacing w:after="0"/>
    </w:pPr>
    <w:rPr>
      <w:rFonts w:ascii="Tahoma" w:hAnsi="Tahoma" w:cs="Tahoma"/>
      <w:sz w:val="16"/>
      <w:szCs w:val="16"/>
    </w:rPr>
  </w:style>
  <w:style w:type="character" w:customStyle="1" w:styleId="BalloonTextChar">
    <w:name w:val="Balloon Text Char"/>
    <w:link w:val="BalloonText"/>
    <w:uiPriority w:val="99"/>
    <w:semiHidden/>
    <w:rsid w:val="00037C03"/>
    <w:rPr>
      <w:rFonts w:ascii="Tahoma" w:hAnsi="Tahoma" w:cs="Tahoma"/>
      <w:sz w:val="16"/>
      <w:szCs w:val="16"/>
    </w:rPr>
  </w:style>
  <w:style w:type="paragraph" w:customStyle="1" w:styleId="URL-groupcomau">
    <w:name w:val="URL - group.com.au"/>
    <w:basedOn w:val="Normal"/>
    <w:link w:val="URL-groupcomauChar"/>
    <w:uiPriority w:val="89"/>
    <w:semiHidden/>
    <w:qFormat/>
    <w:rsid w:val="00FD4AB1"/>
    <w:pPr>
      <w:spacing w:after="0"/>
    </w:pPr>
    <w:rPr>
      <w:rFonts w:eastAsia="Times New Roman"/>
      <w:color w:val="2E368F"/>
      <w:spacing w:val="20"/>
      <w:sz w:val="14"/>
      <w:szCs w:val="19"/>
      <w:lang w:eastAsia="en-AU"/>
    </w:rPr>
  </w:style>
  <w:style w:type="character" w:customStyle="1" w:styleId="URL-groupcomauChar">
    <w:name w:val="URL - group.com.au Char"/>
    <w:link w:val="URL-groupcomau"/>
    <w:uiPriority w:val="89"/>
    <w:semiHidden/>
    <w:rsid w:val="00FD4AB1"/>
    <w:rPr>
      <w:rFonts w:ascii="Segoe UI" w:eastAsia="Times New Roman" w:hAnsi="Segoe UI" w:cs="Times New Roman"/>
      <w:color w:val="2E368F"/>
      <w:spacing w:val="20"/>
      <w:sz w:val="14"/>
      <w:szCs w:val="19"/>
      <w:lang w:val="en-AU" w:eastAsia="en-AU"/>
    </w:rPr>
  </w:style>
  <w:style w:type="paragraph" w:customStyle="1" w:styleId="URL-nous">
    <w:name w:val="URL - nous"/>
    <w:basedOn w:val="Normal"/>
    <w:link w:val="URL-nousChar"/>
    <w:uiPriority w:val="89"/>
    <w:semiHidden/>
    <w:qFormat/>
    <w:rsid w:val="00FD4AB1"/>
    <w:pPr>
      <w:spacing w:after="0"/>
    </w:pPr>
    <w:rPr>
      <w:rFonts w:eastAsia="Times New Roman"/>
      <w:color w:val="FF3A40"/>
      <w:spacing w:val="20"/>
      <w:sz w:val="14"/>
      <w:szCs w:val="19"/>
      <w:lang w:eastAsia="en-AU"/>
    </w:rPr>
  </w:style>
  <w:style w:type="character" w:customStyle="1" w:styleId="URL-nousChar">
    <w:name w:val="URL - nous Char"/>
    <w:link w:val="URL-nous"/>
    <w:uiPriority w:val="89"/>
    <w:semiHidden/>
    <w:rsid w:val="00FD4AB1"/>
    <w:rPr>
      <w:rFonts w:ascii="Segoe UI" w:eastAsia="Times New Roman" w:hAnsi="Segoe UI" w:cs="Times New Roman"/>
      <w:color w:val="FF3A40"/>
      <w:spacing w:val="20"/>
      <w:sz w:val="14"/>
      <w:szCs w:val="19"/>
      <w:lang w:val="en-AU" w:eastAsia="en-AU"/>
    </w:rPr>
  </w:style>
  <w:style w:type="paragraph" w:customStyle="1" w:styleId="ContentsHeading">
    <w:name w:val="Contents Heading"/>
    <w:basedOn w:val="Normal"/>
    <w:rsid w:val="00CF7BA0"/>
    <w:pPr>
      <w:spacing w:before="360" w:after="600"/>
    </w:pPr>
    <w:rPr>
      <w:rFonts w:eastAsia="Times New Roman" w:cs="Segoe UI"/>
      <w:b/>
      <w:color w:val="00264D"/>
      <w:sz w:val="36"/>
      <w:szCs w:val="36"/>
      <w:lang w:eastAsia="en-AU"/>
    </w:rPr>
  </w:style>
  <w:style w:type="paragraph" w:styleId="BodyText">
    <w:name w:val="Body Text"/>
    <w:basedOn w:val="Normal"/>
    <w:link w:val="BodyTextChar"/>
    <w:uiPriority w:val="1"/>
    <w:rsid w:val="00621CEB"/>
    <w:pPr>
      <w:widowControl w:val="0"/>
    </w:pPr>
    <w:rPr>
      <w:rFonts w:eastAsia="Source Sans Pro Light"/>
      <w:szCs w:val="17"/>
    </w:rPr>
  </w:style>
  <w:style w:type="character" w:customStyle="1" w:styleId="BodyTextChar">
    <w:name w:val="Body Text Char"/>
    <w:link w:val="BodyText"/>
    <w:uiPriority w:val="1"/>
    <w:rsid w:val="00621CEB"/>
    <w:rPr>
      <w:rFonts w:ascii="Segoe UI" w:eastAsia="Source Sans Pro Light" w:hAnsi="Segoe UI"/>
      <w:sz w:val="19"/>
      <w:szCs w:val="17"/>
    </w:rPr>
  </w:style>
  <w:style w:type="character" w:customStyle="1" w:styleId="BulletChar">
    <w:name w:val="Bullet Char"/>
    <w:link w:val="Bullet"/>
    <w:uiPriority w:val="2"/>
    <w:rsid w:val="00E20B2B"/>
    <w:rPr>
      <w:rFonts w:ascii="Segoe UI" w:eastAsia="Times New Roman" w:hAnsi="Segoe UI" w:cs="Times New Roman"/>
      <w:sz w:val="19"/>
      <w:szCs w:val="19"/>
      <w:lang w:val="en-AU" w:eastAsia="en-AU"/>
    </w:rPr>
  </w:style>
  <w:style w:type="paragraph" w:customStyle="1" w:styleId="Sectiondividerheading">
    <w:name w:val="Section divider heading"/>
    <w:basedOn w:val="Normal"/>
    <w:link w:val="SectiondividerheadingChar"/>
    <w:uiPriority w:val="1"/>
    <w:qFormat/>
    <w:rsid w:val="00A10340"/>
    <w:pPr>
      <w:spacing w:after="0"/>
    </w:pPr>
    <w:rPr>
      <w:rFonts w:eastAsia="Source Sans Pro" w:cs="Segoe UI"/>
      <w:b/>
      <w:bCs/>
      <w:color w:val="F8981D"/>
      <w:sz w:val="56"/>
      <w:szCs w:val="56"/>
      <w:lang w:eastAsia="en-AU"/>
    </w:rPr>
  </w:style>
  <w:style w:type="character" w:customStyle="1" w:styleId="SectiondividerheadingChar">
    <w:name w:val="Section divider heading Char"/>
    <w:link w:val="Sectiondividerheading"/>
    <w:uiPriority w:val="1"/>
    <w:rsid w:val="00A10340"/>
    <w:rPr>
      <w:rFonts w:ascii="Segoe UI" w:eastAsia="Source Sans Pro" w:hAnsi="Segoe UI" w:cs="Segoe UI"/>
      <w:b/>
      <w:bCs/>
      <w:color w:val="F8981D"/>
      <w:sz w:val="56"/>
      <w:szCs w:val="56"/>
      <w:lang w:val="en-AU" w:eastAsia="en-AU"/>
    </w:rPr>
  </w:style>
  <w:style w:type="paragraph" w:styleId="TOC2">
    <w:name w:val="toc 2"/>
    <w:basedOn w:val="Normal"/>
    <w:next w:val="Normal"/>
    <w:autoRedefine/>
    <w:uiPriority w:val="39"/>
    <w:unhideWhenUsed/>
    <w:rsid w:val="008A4363"/>
    <w:pPr>
      <w:spacing w:after="100"/>
      <w:ind w:left="190"/>
    </w:pPr>
  </w:style>
  <w:style w:type="paragraph" w:styleId="TOC1">
    <w:name w:val="toc 1"/>
    <w:basedOn w:val="Normal"/>
    <w:next w:val="Normal"/>
    <w:autoRedefine/>
    <w:uiPriority w:val="39"/>
    <w:unhideWhenUsed/>
    <w:rsid w:val="008A4363"/>
    <w:pPr>
      <w:spacing w:after="100"/>
    </w:pPr>
  </w:style>
  <w:style w:type="character" w:styleId="Hyperlink">
    <w:name w:val="Hyperlink"/>
    <w:uiPriority w:val="99"/>
    <w:unhideWhenUsed/>
    <w:rsid w:val="008A4363"/>
    <w:rPr>
      <w:color w:val="0048C7"/>
      <w:u w:val="single"/>
    </w:rPr>
  </w:style>
  <w:style w:type="table" w:styleId="TableGrid">
    <w:name w:val="Table Grid"/>
    <w:aliases w:val="Table"/>
    <w:basedOn w:val="TableNormal"/>
    <w:uiPriority w:val="39"/>
    <w:rsid w:val="0054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071DFF"/>
    <w:tblPr>
      <w:tblStyleRowBandSize w:val="1"/>
      <w:tblStyleColBandSize w:val="1"/>
      <w:tblBorders>
        <w:top w:val="single" w:sz="8" w:space="0" w:color="EDEDE8"/>
        <w:left w:val="single" w:sz="8" w:space="0" w:color="EDEDE8"/>
        <w:bottom w:val="single" w:sz="8" w:space="0" w:color="EDEDE8"/>
        <w:right w:val="single" w:sz="8" w:space="0" w:color="EDEDE8"/>
        <w:insideH w:val="single" w:sz="8" w:space="0" w:color="EDEDE8"/>
        <w:insideV w:val="single" w:sz="8" w:space="0" w:color="EDEDE8"/>
      </w:tblBorders>
    </w:tblPr>
    <w:tblStylePr w:type="firstRow">
      <w:pPr>
        <w:spacing w:before="0" w:after="0" w:line="240" w:lineRule="auto"/>
      </w:pPr>
      <w:rPr>
        <w:rFonts w:ascii="Century Gothic" w:eastAsia="Times New Roman" w:hAnsi="Century Gothic" w:cs="Times New Roman"/>
        <w:b/>
        <w:bCs/>
      </w:rPr>
      <w:tblPr/>
      <w:tcPr>
        <w:tcBorders>
          <w:top w:val="single" w:sz="8" w:space="0" w:color="EDEDE8"/>
          <w:left w:val="single" w:sz="8" w:space="0" w:color="EDEDE8"/>
          <w:bottom w:val="single" w:sz="18" w:space="0" w:color="EDEDE8"/>
          <w:right w:val="single" w:sz="8" w:space="0" w:color="EDEDE8"/>
          <w:insideH w:val="nil"/>
          <w:insideV w:val="single" w:sz="8" w:space="0" w:color="EDEDE8"/>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EDEDE8"/>
          <w:left w:val="single" w:sz="8" w:space="0" w:color="EDEDE8"/>
          <w:bottom w:val="single" w:sz="8" w:space="0" w:color="EDEDE8"/>
          <w:right w:val="single" w:sz="8" w:space="0" w:color="EDEDE8"/>
          <w:insideH w:val="nil"/>
          <w:insideV w:val="single" w:sz="8" w:space="0" w:color="EDEDE8"/>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EDEDE8"/>
          <w:left w:val="single" w:sz="8" w:space="0" w:color="EDEDE8"/>
          <w:bottom w:val="single" w:sz="8" w:space="0" w:color="EDEDE8"/>
          <w:right w:val="single" w:sz="8" w:space="0" w:color="EDEDE8"/>
        </w:tcBorders>
      </w:tcPr>
    </w:tblStylePr>
    <w:tblStylePr w:type="band1Vert">
      <w:tblPr/>
      <w:tcPr>
        <w:tcBorders>
          <w:top w:val="single" w:sz="8" w:space="0" w:color="EDEDE8"/>
          <w:left w:val="single" w:sz="8" w:space="0" w:color="EDEDE8"/>
          <w:bottom w:val="single" w:sz="8" w:space="0" w:color="EDEDE8"/>
          <w:right w:val="single" w:sz="8" w:space="0" w:color="EDEDE8"/>
        </w:tcBorders>
        <w:shd w:val="clear" w:color="auto" w:fill="FAFAF9"/>
      </w:tcPr>
    </w:tblStylePr>
    <w:tblStylePr w:type="band1Horz">
      <w:tblPr/>
      <w:tcPr>
        <w:tcBorders>
          <w:top w:val="single" w:sz="8" w:space="0" w:color="EDEDE8"/>
          <w:left w:val="single" w:sz="8" w:space="0" w:color="EDEDE8"/>
          <w:bottom w:val="single" w:sz="8" w:space="0" w:color="EDEDE8"/>
          <w:right w:val="single" w:sz="8" w:space="0" w:color="EDEDE8"/>
          <w:insideV w:val="single" w:sz="8" w:space="0" w:color="EDEDE8"/>
        </w:tcBorders>
        <w:shd w:val="clear" w:color="auto" w:fill="FAFAF9"/>
      </w:tcPr>
    </w:tblStylePr>
    <w:tblStylePr w:type="band2Horz">
      <w:tblPr/>
      <w:tcPr>
        <w:tcBorders>
          <w:top w:val="single" w:sz="8" w:space="0" w:color="EDEDE8"/>
          <w:left w:val="single" w:sz="8" w:space="0" w:color="EDEDE8"/>
          <w:bottom w:val="single" w:sz="8" w:space="0" w:color="EDEDE8"/>
          <w:right w:val="single" w:sz="8" w:space="0" w:color="EDEDE8"/>
          <w:insideV w:val="single" w:sz="8" w:space="0" w:color="EDEDE8"/>
        </w:tcBorders>
      </w:tcPr>
    </w:tblStylePr>
  </w:style>
  <w:style w:type="table" w:styleId="LightList-Accent5">
    <w:name w:val="Light List Accent 5"/>
    <w:basedOn w:val="TableNormal"/>
    <w:uiPriority w:val="61"/>
    <w:rsid w:val="00071DFF"/>
    <w:tblPr>
      <w:tblStyleRowBandSize w:val="1"/>
      <w:tblStyleColBandSize w:val="1"/>
      <w:tblBorders>
        <w:top w:val="single" w:sz="8" w:space="0" w:color="EDEDE8"/>
        <w:left w:val="single" w:sz="8" w:space="0" w:color="EDEDE8"/>
        <w:bottom w:val="single" w:sz="8" w:space="0" w:color="EDEDE8"/>
        <w:right w:val="single" w:sz="8" w:space="0" w:color="EDEDE8"/>
      </w:tblBorders>
    </w:tblPr>
    <w:tblStylePr w:type="firstRow">
      <w:pPr>
        <w:spacing w:before="0" w:after="0" w:line="240" w:lineRule="auto"/>
      </w:pPr>
      <w:rPr>
        <w:b/>
        <w:bCs/>
        <w:color w:val="FFFFFF"/>
      </w:rPr>
      <w:tblPr/>
      <w:tcPr>
        <w:shd w:val="clear" w:color="auto" w:fill="EDEDE8"/>
      </w:tcPr>
    </w:tblStylePr>
    <w:tblStylePr w:type="lastRow">
      <w:pPr>
        <w:spacing w:before="0" w:after="0" w:line="240" w:lineRule="auto"/>
      </w:pPr>
      <w:rPr>
        <w:b/>
        <w:bCs/>
      </w:rPr>
      <w:tblPr/>
      <w:tcPr>
        <w:tcBorders>
          <w:top w:val="double" w:sz="6" w:space="0" w:color="EDEDE8"/>
          <w:left w:val="single" w:sz="8" w:space="0" w:color="EDEDE8"/>
          <w:bottom w:val="single" w:sz="8" w:space="0" w:color="EDEDE8"/>
          <w:right w:val="single" w:sz="8" w:space="0" w:color="EDEDE8"/>
        </w:tcBorders>
      </w:tcPr>
    </w:tblStylePr>
    <w:tblStylePr w:type="firstCol">
      <w:rPr>
        <w:b/>
        <w:bCs/>
      </w:rPr>
    </w:tblStylePr>
    <w:tblStylePr w:type="lastCol">
      <w:rPr>
        <w:b/>
        <w:bCs/>
      </w:rPr>
    </w:tblStylePr>
    <w:tblStylePr w:type="band1Vert">
      <w:tblPr/>
      <w:tcPr>
        <w:tcBorders>
          <w:top w:val="single" w:sz="8" w:space="0" w:color="EDEDE8"/>
          <w:left w:val="single" w:sz="8" w:space="0" w:color="EDEDE8"/>
          <w:bottom w:val="single" w:sz="8" w:space="0" w:color="EDEDE8"/>
          <w:right w:val="single" w:sz="8" w:space="0" w:color="EDEDE8"/>
        </w:tcBorders>
      </w:tcPr>
    </w:tblStylePr>
    <w:tblStylePr w:type="band1Horz">
      <w:tblPr/>
      <w:tcPr>
        <w:tcBorders>
          <w:top w:val="single" w:sz="8" w:space="0" w:color="EDEDE8"/>
          <w:left w:val="single" w:sz="8" w:space="0" w:color="EDEDE8"/>
          <w:bottom w:val="single" w:sz="8" w:space="0" w:color="EDEDE8"/>
          <w:right w:val="single" w:sz="8" w:space="0" w:color="EDEDE8"/>
        </w:tcBorders>
      </w:tcPr>
    </w:tblStylePr>
  </w:style>
  <w:style w:type="table" w:styleId="MediumShading1-Accent5">
    <w:name w:val="Medium Shading 1 Accent 5"/>
    <w:basedOn w:val="TableNormal"/>
    <w:uiPriority w:val="63"/>
    <w:rsid w:val="00071DFF"/>
    <w:tblPr>
      <w:tblStyleRowBandSize w:val="1"/>
      <w:tblStyleColBandSize w:val="1"/>
      <w:tblBorders>
        <w:top w:val="single" w:sz="8" w:space="0" w:color="F1F1ED"/>
        <w:left w:val="single" w:sz="8" w:space="0" w:color="F1F1ED"/>
        <w:bottom w:val="single" w:sz="8" w:space="0" w:color="F1F1ED"/>
        <w:right w:val="single" w:sz="8" w:space="0" w:color="F1F1ED"/>
        <w:insideH w:val="single" w:sz="8" w:space="0" w:color="F1F1ED"/>
      </w:tblBorders>
    </w:tblPr>
    <w:tblStylePr w:type="firstRow">
      <w:pPr>
        <w:spacing w:before="0" w:after="0" w:line="240" w:lineRule="auto"/>
      </w:pPr>
      <w:rPr>
        <w:b/>
        <w:bCs/>
        <w:color w:val="FFFFFF"/>
      </w:rPr>
      <w:tblPr/>
      <w:tcPr>
        <w:tcBorders>
          <w:top w:val="single" w:sz="8" w:space="0" w:color="F1F1ED"/>
          <w:left w:val="single" w:sz="8" w:space="0" w:color="F1F1ED"/>
          <w:bottom w:val="single" w:sz="8" w:space="0" w:color="F1F1ED"/>
          <w:right w:val="single" w:sz="8" w:space="0" w:color="F1F1ED"/>
          <w:insideH w:val="nil"/>
          <w:insideV w:val="nil"/>
        </w:tcBorders>
        <w:shd w:val="clear" w:color="auto" w:fill="EDEDE8"/>
      </w:tcPr>
    </w:tblStylePr>
    <w:tblStylePr w:type="lastRow">
      <w:pPr>
        <w:spacing w:before="0" w:after="0" w:line="240" w:lineRule="auto"/>
      </w:pPr>
      <w:rPr>
        <w:b/>
        <w:bCs/>
      </w:rPr>
      <w:tblPr/>
      <w:tcPr>
        <w:tcBorders>
          <w:top w:val="double" w:sz="6" w:space="0" w:color="F1F1ED"/>
          <w:left w:val="single" w:sz="8" w:space="0" w:color="F1F1ED"/>
          <w:bottom w:val="single" w:sz="8" w:space="0" w:color="F1F1ED"/>
          <w:right w:val="single" w:sz="8" w:space="0" w:color="F1F1ED"/>
          <w:insideH w:val="nil"/>
          <w:insideV w:val="nil"/>
        </w:tcBorders>
      </w:tcPr>
    </w:tblStylePr>
    <w:tblStylePr w:type="firstCol">
      <w:rPr>
        <w:b/>
        <w:bCs/>
      </w:rPr>
    </w:tblStylePr>
    <w:tblStylePr w:type="lastCol">
      <w:rPr>
        <w:b/>
        <w:bCs/>
      </w:rPr>
    </w:tblStylePr>
    <w:tblStylePr w:type="band1Vert">
      <w:tblPr/>
      <w:tcPr>
        <w:shd w:val="clear" w:color="auto" w:fill="FAFAF9"/>
      </w:tcPr>
    </w:tblStylePr>
    <w:tblStylePr w:type="band1Horz">
      <w:tblPr/>
      <w:tcPr>
        <w:tcBorders>
          <w:insideH w:val="nil"/>
          <w:insideV w:val="nil"/>
        </w:tcBorders>
        <w:shd w:val="clear" w:color="auto" w:fill="FAFAF9"/>
      </w:tcPr>
    </w:tblStylePr>
    <w:tblStylePr w:type="band2Horz">
      <w:tblPr/>
      <w:tcPr>
        <w:tcBorders>
          <w:insideH w:val="nil"/>
          <w:insideV w:val="nil"/>
        </w:tcBorders>
      </w:tcPr>
    </w:tblStylePr>
  </w:style>
  <w:style w:type="character" w:customStyle="1" w:styleId="TableNBulletChar">
    <w:name w:val="Table N Bullet Char"/>
    <w:link w:val="TableNBullet"/>
    <w:uiPriority w:val="9"/>
    <w:rsid w:val="0073030E"/>
    <w:rPr>
      <w:rFonts w:ascii="Segoe UI" w:eastAsia="Times New Roman" w:hAnsi="Segoe UI" w:cs="Times New Roman"/>
      <w:sz w:val="17"/>
      <w:szCs w:val="19"/>
      <w:lang w:val="en-AU" w:eastAsia="en-AU"/>
    </w:rPr>
  </w:style>
  <w:style w:type="table" w:customStyle="1" w:styleId="NOUSSideHeader">
    <w:name w:val="NOUS Side Header"/>
    <w:basedOn w:val="TableNormal"/>
    <w:uiPriority w:val="99"/>
    <w:rsid w:val="006937F2"/>
    <w:pPr>
      <w:ind w:left="57"/>
    </w:pPr>
    <w:rPr>
      <w:rFonts w:ascii="Segoe UI" w:hAnsi="Segoe UI"/>
      <w:sz w:val="17"/>
    </w:rPr>
    <w:tblPr>
      <w:tblBorders>
        <w:top w:val="single" w:sz="8" w:space="0" w:color="EDEDE8"/>
        <w:bottom w:val="single" w:sz="8" w:space="0" w:color="EDEDE8"/>
        <w:insideH w:val="single" w:sz="8" w:space="0" w:color="EDEDE8"/>
      </w:tblBorders>
    </w:tblPr>
    <w:tblStylePr w:type="firstCol">
      <w:pPr>
        <w:wordWrap/>
        <w:jc w:val="center"/>
      </w:pPr>
      <w:rPr>
        <w:rFonts w:ascii="Segoe UI" w:hAnsi="Segoe UI"/>
        <w:b/>
        <w:color w:val="00264D"/>
        <w:sz w:val="18"/>
      </w:rPr>
      <w:tblPr/>
      <w:tcPr>
        <w:tcBorders>
          <w:top w:val="nil"/>
          <w:left w:val="single" w:sz="24" w:space="0" w:color="F8981D"/>
          <w:bottom w:val="nil"/>
          <w:right w:val="nil"/>
          <w:insideH w:val="nil"/>
          <w:insideV w:val="nil"/>
          <w:tl2br w:val="nil"/>
          <w:tr2bl w:val="nil"/>
        </w:tcBorders>
        <w:shd w:val="clear" w:color="auto" w:fill="EDEDE8"/>
      </w:tcPr>
    </w:tblStylePr>
  </w:style>
  <w:style w:type="table" w:customStyle="1" w:styleId="NOUS">
    <w:name w:val="NOUS"/>
    <w:basedOn w:val="TableNormal"/>
    <w:uiPriority w:val="99"/>
    <w:rsid w:val="0017660C"/>
    <w:rPr>
      <w:rFonts w:ascii="Segoe UI" w:hAnsi="Segoe UI"/>
      <w:sz w:val="17"/>
    </w:rPr>
    <w:tblPr>
      <w:tblBorders>
        <w:bottom w:val="single" w:sz="8" w:space="0" w:color="EDEDE8"/>
        <w:insideH w:val="single" w:sz="8" w:space="0" w:color="EDEDE8"/>
      </w:tblBorders>
      <w:tblCellMar>
        <w:top w:w="57" w:type="dxa"/>
        <w:left w:w="85" w:type="dxa"/>
        <w:bottom w:w="57" w:type="dxa"/>
        <w:right w:w="85" w:type="dxa"/>
      </w:tblCellMar>
    </w:tblPr>
    <w:tblStylePr w:type="firstRow">
      <w:rPr>
        <w:rFonts w:ascii="Segoe UI" w:hAnsi="Segoe UI"/>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DEDE8"/>
      </w:tcPr>
    </w:tblStylePr>
  </w:style>
  <w:style w:type="character" w:customStyle="1" w:styleId="Heading8Char">
    <w:name w:val="Heading 8 Char"/>
    <w:link w:val="Heading8"/>
    <w:uiPriority w:val="19"/>
    <w:semiHidden/>
    <w:rsid w:val="000137FA"/>
    <w:rPr>
      <w:rFonts w:ascii="Segoe UI" w:eastAsia="Times New Roman" w:hAnsi="Segoe UI" w:cs="Times New Roman"/>
      <w:color w:val="404040"/>
      <w:sz w:val="20"/>
      <w:szCs w:val="20"/>
    </w:rPr>
  </w:style>
  <w:style w:type="paragraph" w:customStyle="1" w:styleId="Covertitle">
    <w:name w:val="Cover title"/>
    <w:basedOn w:val="Normal"/>
    <w:link w:val="CovertitleChar"/>
    <w:uiPriority w:val="99"/>
    <w:semiHidden/>
    <w:rsid w:val="00F41E7F"/>
    <w:pPr>
      <w:suppressAutoHyphens/>
      <w:spacing w:after="0" w:line="720" w:lineRule="exact"/>
    </w:pPr>
    <w:rPr>
      <w:rFonts w:eastAsia="Times New Roman"/>
      <w:color w:val="2E368F"/>
      <w:sz w:val="84"/>
      <w:szCs w:val="19"/>
      <w:lang w:eastAsia="en-AU"/>
    </w:rPr>
  </w:style>
  <w:style w:type="character" w:customStyle="1" w:styleId="CovertitleChar">
    <w:name w:val="Cover title Char"/>
    <w:link w:val="Covertitle"/>
    <w:uiPriority w:val="99"/>
    <w:semiHidden/>
    <w:rsid w:val="00F41E7F"/>
    <w:rPr>
      <w:rFonts w:ascii="Segoe UI" w:eastAsia="Times New Roman" w:hAnsi="Segoe UI" w:cs="Times New Roman"/>
      <w:color w:val="2E368F"/>
      <w:sz w:val="84"/>
      <w:szCs w:val="19"/>
      <w:lang w:val="en-AU" w:eastAsia="en-AU"/>
    </w:rPr>
  </w:style>
  <w:style w:type="paragraph" w:customStyle="1" w:styleId="CoverPage-Client">
    <w:name w:val="Cover Page - Client"/>
    <w:basedOn w:val="Normal"/>
    <w:link w:val="CoverPage-ClientChar"/>
    <w:uiPriority w:val="99"/>
    <w:semiHidden/>
    <w:rsid w:val="00F41E7F"/>
    <w:pPr>
      <w:suppressAutoHyphens/>
      <w:spacing w:before="480" w:after="0" w:line="380" w:lineRule="exact"/>
    </w:pPr>
    <w:rPr>
      <w:rFonts w:eastAsia="Times New Roman"/>
      <w:color w:val="2E368F"/>
      <w:sz w:val="36"/>
      <w:szCs w:val="19"/>
      <w:lang w:eastAsia="en-AU"/>
    </w:rPr>
  </w:style>
  <w:style w:type="character" w:customStyle="1" w:styleId="CoverPage-ClientChar">
    <w:name w:val="Cover Page - Client Char"/>
    <w:link w:val="CoverPage-Client"/>
    <w:uiPriority w:val="99"/>
    <w:semiHidden/>
    <w:rsid w:val="00F41E7F"/>
    <w:rPr>
      <w:rFonts w:ascii="Segoe UI" w:eastAsia="Times New Roman" w:hAnsi="Segoe UI" w:cs="Times New Roman"/>
      <w:color w:val="2E368F"/>
      <w:sz w:val="36"/>
      <w:szCs w:val="19"/>
      <w:lang w:val="en-AU" w:eastAsia="en-AU"/>
    </w:rPr>
  </w:style>
  <w:style w:type="paragraph" w:customStyle="1" w:styleId="CoverPage-Date">
    <w:name w:val="Cover Page - Date"/>
    <w:basedOn w:val="Normal"/>
    <w:link w:val="CoverPage-DateChar"/>
    <w:uiPriority w:val="99"/>
    <w:semiHidden/>
    <w:rsid w:val="00F41E7F"/>
    <w:pPr>
      <w:suppressAutoHyphens/>
      <w:spacing w:before="320" w:after="0" w:line="280" w:lineRule="exact"/>
    </w:pPr>
    <w:rPr>
      <w:rFonts w:eastAsia="Times New Roman"/>
      <w:color w:val="00264D"/>
      <w:sz w:val="24"/>
      <w:szCs w:val="19"/>
      <w:lang w:eastAsia="en-AU"/>
    </w:rPr>
  </w:style>
  <w:style w:type="character" w:customStyle="1" w:styleId="CoverPage-DateChar">
    <w:name w:val="Cover Page - Date Char"/>
    <w:link w:val="CoverPage-Date"/>
    <w:uiPriority w:val="99"/>
    <w:semiHidden/>
    <w:rsid w:val="00F41E7F"/>
    <w:rPr>
      <w:rFonts w:ascii="Segoe UI" w:eastAsia="Times New Roman" w:hAnsi="Segoe UI" w:cs="Times New Roman"/>
      <w:color w:val="00264D"/>
      <w:sz w:val="24"/>
      <w:szCs w:val="19"/>
      <w:lang w:val="en-AU" w:eastAsia="en-AU"/>
    </w:rPr>
  </w:style>
  <w:style w:type="character" w:styleId="PlaceholderText">
    <w:name w:val="Placeholder Text"/>
    <w:uiPriority w:val="99"/>
    <w:semiHidden/>
    <w:rsid w:val="00F41E7F"/>
    <w:rPr>
      <w:color w:val="808080"/>
    </w:rPr>
  </w:style>
  <w:style w:type="paragraph" w:styleId="ListParagraph">
    <w:name w:val="List Paragraph"/>
    <w:aliases w:val="Bullet point,Bullet text,Bulleted Para,Bullets,CV text,Dot pt,F5 List Paragraph,FooterText,L,List Paragraph1,List Paragraph11,List Paragraph111,List Paragraph2,Medium Grid 1 - Accent 21,NFP GP Bulleted List,Recommendation,NAST Quote,列"/>
    <w:basedOn w:val="Normal"/>
    <w:link w:val="ListParagraphChar"/>
    <w:uiPriority w:val="34"/>
    <w:qFormat/>
    <w:rsid w:val="003E5907"/>
    <w:pPr>
      <w:ind w:left="720"/>
      <w:contextualSpacing/>
    </w:pPr>
  </w:style>
  <w:style w:type="character" w:styleId="CommentReference">
    <w:name w:val="annotation reference"/>
    <w:uiPriority w:val="99"/>
    <w:unhideWhenUsed/>
    <w:rsid w:val="003E5907"/>
    <w:rPr>
      <w:sz w:val="16"/>
      <w:szCs w:val="16"/>
    </w:rPr>
  </w:style>
  <w:style w:type="paragraph" w:styleId="CommentText">
    <w:name w:val="annotation text"/>
    <w:basedOn w:val="Normal"/>
    <w:link w:val="CommentTextChar"/>
    <w:uiPriority w:val="99"/>
    <w:unhideWhenUsed/>
    <w:rsid w:val="003E5907"/>
    <w:rPr>
      <w:sz w:val="20"/>
      <w:szCs w:val="20"/>
    </w:rPr>
  </w:style>
  <w:style w:type="character" w:customStyle="1" w:styleId="CommentTextChar">
    <w:name w:val="Comment Text Char"/>
    <w:link w:val="CommentText"/>
    <w:uiPriority w:val="99"/>
    <w:rsid w:val="003E5907"/>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5907"/>
    <w:rPr>
      <w:b/>
      <w:bCs/>
    </w:rPr>
  </w:style>
  <w:style w:type="character" w:customStyle="1" w:styleId="CommentSubjectChar">
    <w:name w:val="Comment Subject Char"/>
    <w:link w:val="CommentSubject"/>
    <w:uiPriority w:val="99"/>
    <w:semiHidden/>
    <w:rsid w:val="003E5907"/>
    <w:rPr>
      <w:rFonts w:ascii="Segoe UI" w:hAnsi="Segoe UI"/>
      <w:b/>
      <w:bCs/>
      <w:sz w:val="20"/>
      <w:szCs w:val="20"/>
    </w:rPr>
  </w:style>
  <w:style w:type="paragraph" w:styleId="TOC3">
    <w:name w:val="toc 3"/>
    <w:basedOn w:val="Normal"/>
    <w:next w:val="Normal"/>
    <w:autoRedefine/>
    <w:uiPriority w:val="39"/>
    <w:unhideWhenUsed/>
    <w:rsid w:val="00025E0B"/>
    <w:pPr>
      <w:spacing w:after="100"/>
      <w:ind w:left="380"/>
    </w:pPr>
  </w:style>
  <w:style w:type="paragraph" w:styleId="Revision">
    <w:name w:val="Revision"/>
    <w:hidden/>
    <w:uiPriority w:val="99"/>
    <w:semiHidden/>
    <w:rsid w:val="00D34F1E"/>
    <w:rPr>
      <w:rFonts w:ascii="Segoe UI" w:hAnsi="Segoe UI"/>
      <w:sz w:val="19"/>
      <w:szCs w:val="22"/>
    </w:rPr>
  </w:style>
  <w:style w:type="paragraph" w:styleId="EndnoteText">
    <w:name w:val="endnote text"/>
    <w:basedOn w:val="Normal"/>
    <w:link w:val="EndnoteTextChar"/>
    <w:uiPriority w:val="99"/>
    <w:unhideWhenUsed/>
    <w:rsid w:val="0014685A"/>
    <w:pPr>
      <w:spacing w:after="0"/>
    </w:pPr>
    <w:rPr>
      <w:sz w:val="20"/>
      <w:szCs w:val="20"/>
    </w:rPr>
  </w:style>
  <w:style w:type="character" w:customStyle="1" w:styleId="EndnoteTextChar">
    <w:name w:val="Endnote Text Char"/>
    <w:link w:val="EndnoteText"/>
    <w:uiPriority w:val="99"/>
    <w:rsid w:val="0014685A"/>
    <w:rPr>
      <w:rFonts w:ascii="Segoe UI" w:hAnsi="Segoe UI"/>
      <w:sz w:val="20"/>
      <w:szCs w:val="20"/>
    </w:rPr>
  </w:style>
  <w:style w:type="character" w:styleId="EndnoteReference">
    <w:name w:val="endnote reference"/>
    <w:uiPriority w:val="99"/>
    <w:unhideWhenUsed/>
    <w:rsid w:val="0014685A"/>
    <w:rPr>
      <w:vertAlign w:val="superscript"/>
    </w:rPr>
  </w:style>
  <w:style w:type="paragraph" w:styleId="FootnoteText">
    <w:name w:val="footnote text"/>
    <w:basedOn w:val="Normal"/>
    <w:link w:val="FootnoteTextChar"/>
    <w:uiPriority w:val="99"/>
    <w:semiHidden/>
    <w:unhideWhenUsed/>
    <w:rsid w:val="00FD5219"/>
    <w:pPr>
      <w:spacing w:after="0"/>
    </w:pPr>
    <w:rPr>
      <w:sz w:val="20"/>
      <w:szCs w:val="20"/>
    </w:rPr>
  </w:style>
  <w:style w:type="character" w:customStyle="1" w:styleId="FootnoteTextChar">
    <w:name w:val="Footnote Text Char"/>
    <w:link w:val="FootnoteText"/>
    <w:uiPriority w:val="99"/>
    <w:semiHidden/>
    <w:rsid w:val="00FD5219"/>
    <w:rPr>
      <w:rFonts w:ascii="Segoe UI" w:hAnsi="Segoe UI"/>
      <w:sz w:val="20"/>
      <w:szCs w:val="20"/>
    </w:rPr>
  </w:style>
  <w:style w:type="character" w:styleId="FootnoteReference">
    <w:name w:val="footnote reference"/>
    <w:uiPriority w:val="99"/>
    <w:semiHidden/>
    <w:unhideWhenUsed/>
    <w:rsid w:val="00FD5219"/>
    <w:rPr>
      <w:vertAlign w:val="superscript"/>
    </w:rPr>
  </w:style>
  <w:style w:type="paragraph" w:customStyle="1" w:styleId="Default">
    <w:name w:val="Default"/>
    <w:rsid w:val="00B3185A"/>
    <w:pPr>
      <w:autoSpaceDE w:val="0"/>
      <w:autoSpaceDN w:val="0"/>
      <w:adjustRightInd w:val="0"/>
    </w:pPr>
    <w:rPr>
      <w:rFonts w:ascii="HelveticaNeueLT Std Lt" w:hAnsi="HelveticaNeueLT Std Lt" w:cs="HelveticaNeueLT Std Lt"/>
      <w:color w:val="000000"/>
      <w:sz w:val="24"/>
      <w:szCs w:val="24"/>
      <w:lang w:val="en-AU"/>
    </w:rPr>
  </w:style>
  <w:style w:type="character" w:customStyle="1" w:styleId="A8">
    <w:name w:val="A8"/>
    <w:uiPriority w:val="99"/>
    <w:rsid w:val="00B3185A"/>
    <w:rPr>
      <w:rFonts w:cs="HelveticaNeueLT Std Lt"/>
      <w:color w:val="000000"/>
    </w:rPr>
  </w:style>
  <w:style w:type="character" w:customStyle="1" w:styleId="A3">
    <w:name w:val="A3"/>
    <w:uiPriority w:val="99"/>
    <w:rsid w:val="00833890"/>
    <w:rPr>
      <w:rFonts w:cs="HelveticaNeueLT Std Lt"/>
      <w:color w:val="000000"/>
      <w:sz w:val="16"/>
      <w:szCs w:val="16"/>
    </w:rPr>
  </w:style>
  <w:style w:type="character" w:customStyle="1" w:styleId="A11">
    <w:name w:val="A11"/>
    <w:uiPriority w:val="99"/>
    <w:rsid w:val="00833890"/>
    <w:rPr>
      <w:rFonts w:cs="HelveticaNeueLT Std Lt"/>
      <w:color w:val="000000"/>
      <w:sz w:val="9"/>
      <w:szCs w:val="9"/>
    </w:rPr>
  </w:style>
  <w:style w:type="character" w:customStyle="1" w:styleId="A9">
    <w:name w:val="A9"/>
    <w:uiPriority w:val="99"/>
    <w:rsid w:val="00833890"/>
    <w:rPr>
      <w:rFonts w:cs="HelveticaNeueLT Std Lt"/>
      <w:color w:val="000000"/>
    </w:rPr>
  </w:style>
  <w:style w:type="paragraph" w:styleId="NormalWeb">
    <w:name w:val="Normal (Web)"/>
    <w:basedOn w:val="Normal"/>
    <w:uiPriority w:val="99"/>
    <w:semiHidden/>
    <w:unhideWhenUsed/>
    <w:rsid w:val="005A2466"/>
    <w:pPr>
      <w:spacing w:before="100" w:beforeAutospacing="1" w:after="100" w:afterAutospacing="1"/>
    </w:pPr>
    <w:rPr>
      <w:rFonts w:ascii="Times New Roman" w:eastAsia="Times New Roman" w:hAnsi="Times New Roman"/>
      <w:sz w:val="24"/>
      <w:szCs w:val="24"/>
      <w:lang w:eastAsia="en-AU"/>
    </w:rPr>
  </w:style>
  <w:style w:type="table" w:customStyle="1" w:styleId="Table1">
    <w:name w:val="Table1"/>
    <w:basedOn w:val="TableNormal"/>
    <w:next w:val="TableGrid"/>
    <w:uiPriority w:val="39"/>
    <w:rsid w:val="008C772D"/>
    <w:rPr>
      <w:rFonts w:ascii="Segoe UI" w:hAnsi="Segoe UI"/>
      <w:sz w:val="18"/>
    </w:rPr>
    <w:tblPr>
      <w:tblBorders>
        <w:top w:val="single" w:sz="8" w:space="0" w:color="E6E6E1"/>
        <w:bottom w:val="single" w:sz="8" w:space="0" w:color="E6E6E1"/>
        <w:insideH w:val="single" w:sz="8" w:space="0" w:color="E6E6E1"/>
      </w:tblBorders>
      <w:tblCellMar>
        <w:top w:w="57" w:type="dxa"/>
        <w:left w:w="85" w:type="dxa"/>
        <w:bottom w:w="57" w:type="dxa"/>
        <w:right w:w="85" w:type="dxa"/>
      </w:tblCellMar>
    </w:tblPr>
    <w:tcPr>
      <w:vAlign w:val="center"/>
    </w:tcPr>
    <w:tblStylePr w:type="firstRow">
      <w:pPr>
        <w:jc w:val="left"/>
      </w:pPr>
      <w:rPr>
        <w:rFonts w:ascii="Segoe UI" w:hAnsi="Segoe UI"/>
        <w:b/>
        <w:color w:val="00264D"/>
        <w:sz w:val="18"/>
      </w:rPr>
      <w:tblPr/>
      <w:trPr>
        <w:cantSplit/>
        <w:tblHeader/>
      </w:tr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Table2">
    <w:name w:val="Table2"/>
    <w:basedOn w:val="TableNormal"/>
    <w:next w:val="TableGrid"/>
    <w:uiPriority w:val="39"/>
    <w:rsid w:val="0090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US1">
    <w:name w:val="NOUS1"/>
    <w:basedOn w:val="TableNormal"/>
    <w:uiPriority w:val="99"/>
    <w:rsid w:val="0089047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Segoe UI" w:hAnsi="Segoe UI"/>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2">
    <w:name w:val="NOUS2"/>
    <w:basedOn w:val="TableNormal"/>
    <w:uiPriority w:val="99"/>
    <w:rsid w:val="00FF5AEB"/>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Segoe UI" w:hAnsi="Segoe UI"/>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3">
    <w:name w:val="NOUS3"/>
    <w:basedOn w:val="TableNormal"/>
    <w:uiPriority w:val="99"/>
    <w:rsid w:val="00E75643"/>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Segoe UI" w:hAnsi="Segoe UI"/>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Table3">
    <w:name w:val="Table3"/>
    <w:basedOn w:val="TableNormal"/>
    <w:next w:val="TableGrid"/>
    <w:uiPriority w:val="39"/>
    <w:rsid w:val="00CB5829"/>
    <w:rPr>
      <w:rFonts w:ascii="Segoe UI" w:hAnsi="Segoe UI"/>
      <w:sz w:val="18"/>
    </w:rPr>
    <w:tblPr>
      <w:tblBorders>
        <w:top w:val="single" w:sz="8" w:space="0" w:color="E6E6E1"/>
        <w:bottom w:val="single" w:sz="8" w:space="0" w:color="E6E6E1"/>
        <w:insideH w:val="single" w:sz="8" w:space="0" w:color="E6E6E1"/>
      </w:tblBorders>
      <w:tblCellMar>
        <w:top w:w="57" w:type="dxa"/>
        <w:left w:w="85" w:type="dxa"/>
        <w:bottom w:w="57" w:type="dxa"/>
        <w:right w:w="85" w:type="dxa"/>
      </w:tblCellMar>
    </w:tblPr>
    <w:tcPr>
      <w:vAlign w:val="center"/>
    </w:tcPr>
    <w:tblStylePr w:type="firstRow">
      <w:pPr>
        <w:jc w:val="left"/>
      </w:pPr>
      <w:rPr>
        <w:rFonts w:ascii="Segoe UI" w:hAnsi="Segoe UI"/>
        <w:b/>
        <w:color w:val="00264D"/>
        <w:sz w:val="18"/>
      </w:rPr>
      <w:tblPr/>
      <w:trPr>
        <w:cantSplit/>
        <w:tblHeader/>
      </w:tr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4">
    <w:name w:val="NOUS4"/>
    <w:basedOn w:val="TableNormal"/>
    <w:uiPriority w:val="99"/>
    <w:rsid w:val="0003717A"/>
    <w:rPr>
      <w:rFonts w:ascii="Segoe UI" w:hAnsi="Segoe UI"/>
      <w:sz w:val="17"/>
    </w:rPr>
    <w:tblPr>
      <w:tblBorders>
        <w:bottom w:val="single" w:sz="8" w:space="0" w:color="EDEDE8"/>
        <w:insideH w:val="single" w:sz="8" w:space="0" w:color="EDEDE8"/>
      </w:tblBorders>
      <w:tblCellMar>
        <w:top w:w="57" w:type="dxa"/>
        <w:left w:w="85" w:type="dxa"/>
        <w:bottom w:w="57" w:type="dxa"/>
        <w:right w:w="85" w:type="dxa"/>
      </w:tblCellMar>
    </w:tblPr>
    <w:tblStylePr w:type="firstRow">
      <w:rPr>
        <w:rFonts w:ascii="Segoe UI" w:hAnsi="Segoe UI"/>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DEDE8"/>
      </w:tcPr>
    </w:tblStylePr>
  </w:style>
  <w:style w:type="table" w:customStyle="1" w:styleId="Table4">
    <w:name w:val="Table4"/>
    <w:basedOn w:val="TableNormal"/>
    <w:next w:val="TableGrid"/>
    <w:uiPriority w:val="39"/>
    <w:rsid w:val="0025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5">
    <w:name w:val="Table5"/>
    <w:basedOn w:val="TableNormal"/>
    <w:next w:val="TableGrid"/>
    <w:uiPriority w:val="39"/>
    <w:rsid w:val="002D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6">
    <w:name w:val="Table6"/>
    <w:basedOn w:val="TableNormal"/>
    <w:next w:val="TableGrid"/>
    <w:uiPriority w:val="39"/>
    <w:rsid w:val="002D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7">
    <w:name w:val="Table7"/>
    <w:basedOn w:val="TableNormal"/>
    <w:next w:val="TableGrid"/>
    <w:uiPriority w:val="39"/>
    <w:rsid w:val="002D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8">
    <w:name w:val="Table8"/>
    <w:basedOn w:val="TableNormal"/>
    <w:next w:val="TableGrid"/>
    <w:uiPriority w:val="39"/>
    <w:rsid w:val="002D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9">
    <w:name w:val="Table9"/>
    <w:basedOn w:val="TableNormal"/>
    <w:next w:val="TableGrid"/>
    <w:uiPriority w:val="39"/>
    <w:rsid w:val="0056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0">
    <w:name w:val="Table10"/>
    <w:basedOn w:val="TableNormal"/>
    <w:next w:val="TableGrid"/>
    <w:uiPriority w:val="39"/>
    <w:rsid w:val="00B6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text Char,Bulleted Para Char,Bullets Char,CV text Char,Dot pt Char,F5 List Paragraph Char,FooterText Char,L Char,List Paragraph1 Char,List Paragraph11 Char,List Paragraph111 Char,List Paragraph2 Char,列 Char"/>
    <w:link w:val="ListParagraph"/>
    <w:uiPriority w:val="34"/>
    <w:qFormat/>
    <w:locked/>
    <w:rsid w:val="00A42CFE"/>
    <w:rPr>
      <w:rFonts w:ascii="Segoe UI" w:hAnsi="Segoe UI"/>
      <w:sz w:val="19"/>
      <w:lang w:val="en-AU"/>
    </w:rPr>
  </w:style>
  <w:style w:type="character" w:customStyle="1" w:styleId="st1">
    <w:name w:val="st1"/>
    <w:basedOn w:val="DefaultParagraphFont"/>
    <w:rsid w:val="005460BF"/>
  </w:style>
  <w:style w:type="character" w:styleId="Emphasis">
    <w:name w:val="Emphasis"/>
    <w:uiPriority w:val="20"/>
    <w:qFormat/>
    <w:rsid w:val="00EF548F"/>
    <w:rPr>
      <w:b/>
      <w:bCs/>
      <w:i w:val="0"/>
      <w:iCs w:val="0"/>
    </w:rPr>
  </w:style>
  <w:style w:type="character" w:styleId="FollowedHyperlink">
    <w:name w:val="FollowedHyperlink"/>
    <w:uiPriority w:val="99"/>
    <w:semiHidden/>
    <w:unhideWhenUsed/>
    <w:rsid w:val="00E241AF"/>
    <w:rPr>
      <w:color w:val="0048C7"/>
      <w:u w:val="single"/>
    </w:rPr>
  </w:style>
  <w:style w:type="character" w:customStyle="1" w:styleId="cit">
    <w:name w:val="cit"/>
    <w:basedOn w:val="DefaultParagraphFont"/>
    <w:rsid w:val="00F5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902">
      <w:bodyDiv w:val="1"/>
      <w:marLeft w:val="0"/>
      <w:marRight w:val="0"/>
      <w:marTop w:val="0"/>
      <w:marBottom w:val="0"/>
      <w:divBdr>
        <w:top w:val="none" w:sz="0" w:space="0" w:color="auto"/>
        <w:left w:val="none" w:sz="0" w:space="0" w:color="auto"/>
        <w:bottom w:val="none" w:sz="0" w:space="0" w:color="auto"/>
        <w:right w:val="none" w:sz="0" w:space="0" w:color="auto"/>
      </w:divBdr>
    </w:div>
    <w:div w:id="26877583">
      <w:bodyDiv w:val="1"/>
      <w:marLeft w:val="0"/>
      <w:marRight w:val="0"/>
      <w:marTop w:val="0"/>
      <w:marBottom w:val="0"/>
      <w:divBdr>
        <w:top w:val="none" w:sz="0" w:space="0" w:color="auto"/>
        <w:left w:val="none" w:sz="0" w:space="0" w:color="auto"/>
        <w:bottom w:val="none" w:sz="0" w:space="0" w:color="auto"/>
        <w:right w:val="none" w:sz="0" w:space="0" w:color="auto"/>
      </w:divBdr>
    </w:div>
    <w:div w:id="71701161">
      <w:bodyDiv w:val="1"/>
      <w:marLeft w:val="0"/>
      <w:marRight w:val="0"/>
      <w:marTop w:val="0"/>
      <w:marBottom w:val="0"/>
      <w:divBdr>
        <w:top w:val="none" w:sz="0" w:space="0" w:color="auto"/>
        <w:left w:val="none" w:sz="0" w:space="0" w:color="auto"/>
        <w:bottom w:val="none" w:sz="0" w:space="0" w:color="auto"/>
        <w:right w:val="none" w:sz="0" w:space="0" w:color="auto"/>
      </w:divBdr>
    </w:div>
    <w:div w:id="123082862">
      <w:bodyDiv w:val="1"/>
      <w:marLeft w:val="0"/>
      <w:marRight w:val="0"/>
      <w:marTop w:val="0"/>
      <w:marBottom w:val="0"/>
      <w:divBdr>
        <w:top w:val="none" w:sz="0" w:space="0" w:color="auto"/>
        <w:left w:val="none" w:sz="0" w:space="0" w:color="auto"/>
        <w:bottom w:val="none" w:sz="0" w:space="0" w:color="auto"/>
        <w:right w:val="none" w:sz="0" w:space="0" w:color="auto"/>
      </w:divBdr>
      <w:divsChild>
        <w:div w:id="1633245464">
          <w:marLeft w:val="0"/>
          <w:marRight w:val="0"/>
          <w:marTop w:val="0"/>
          <w:marBottom w:val="0"/>
          <w:divBdr>
            <w:top w:val="none" w:sz="0" w:space="0" w:color="auto"/>
            <w:left w:val="none" w:sz="0" w:space="0" w:color="auto"/>
            <w:bottom w:val="none" w:sz="0" w:space="0" w:color="auto"/>
            <w:right w:val="none" w:sz="0" w:space="0" w:color="auto"/>
          </w:divBdr>
          <w:divsChild>
            <w:div w:id="144400016">
              <w:marLeft w:val="0"/>
              <w:marRight w:val="0"/>
              <w:marTop w:val="0"/>
              <w:marBottom w:val="0"/>
              <w:divBdr>
                <w:top w:val="none" w:sz="0" w:space="0" w:color="auto"/>
                <w:left w:val="none" w:sz="0" w:space="0" w:color="auto"/>
                <w:bottom w:val="none" w:sz="0" w:space="0" w:color="auto"/>
                <w:right w:val="none" w:sz="0" w:space="0" w:color="auto"/>
              </w:divBdr>
              <w:divsChild>
                <w:div w:id="1577861058">
                  <w:marLeft w:val="0"/>
                  <w:marRight w:val="0"/>
                  <w:marTop w:val="0"/>
                  <w:marBottom w:val="0"/>
                  <w:divBdr>
                    <w:top w:val="none" w:sz="0" w:space="0" w:color="auto"/>
                    <w:left w:val="none" w:sz="0" w:space="0" w:color="auto"/>
                    <w:bottom w:val="none" w:sz="0" w:space="0" w:color="auto"/>
                    <w:right w:val="none" w:sz="0" w:space="0" w:color="auto"/>
                  </w:divBdr>
                  <w:divsChild>
                    <w:div w:id="1893037914">
                      <w:marLeft w:val="0"/>
                      <w:marRight w:val="0"/>
                      <w:marTop w:val="0"/>
                      <w:marBottom w:val="0"/>
                      <w:divBdr>
                        <w:top w:val="none" w:sz="0" w:space="0" w:color="auto"/>
                        <w:left w:val="none" w:sz="0" w:space="0" w:color="auto"/>
                        <w:bottom w:val="none" w:sz="0" w:space="0" w:color="auto"/>
                        <w:right w:val="none" w:sz="0" w:space="0" w:color="auto"/>
                      </w:divBdr>
                      <w:divsChild>
                        <w:div w:id="2782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69969">
      <w:bodyDiv w:val="1"/>
      <w:marLeft w:val="0"/>
      <w:marRight w:val="0"/>
      <w:marTop w:val="0"/>
      <w:marBottom w:val="0"/>
      <w:divBdr>
        <w:top w:val="none" w:sz="0" w:space="0" w:color="auto"/>
        <w:left w:val="none" w:sz="0" w:space="0" w:color="auto"/>
        <w:bottom w:val="none" w:sz="0" w:space="0" w:color="auto"/>
        <w:right w:val="none" w:sz="0" w:space="0" w:color="auto"/>
      </w:divBdr>
    </w:div>
    <w:div w:id="164714127">
      <w:bodyDiv w:val="1"/>
      <w:marLeft w:val="0"/>
      <w:marRight w:val="0"/>
      <w:marTop w:val="0"/>
      <w:marBottom w:val="0"/>
      <w:divBdr>
        <w:top w:val="none" w:sz="0" w:space="0" w:color="auto"/>
        <w:left w:val="none" w:sz="0" w:space="0" w:color="auto"/>
        <w:bottom w:val="none" w:sz="0" w:space="0" w:color="auto"/>
        <w:right w:val="none" w:sz="0" w:space="0" w:color="auto"/>
      </w:divBdr>
    </w:div>
    <w:div w:id="177307334">
      <w:bodyDiv w:val="1"/>
      <w:marLeft w:val="0"/>
      <w:marRight w:val="0"/>
      <w:marTop w:val="0"/>
      <w:marBottom w:val="0"/>
      <w:divBdr>
        <w:top w:val="none" w:sz="0" w:space="0" w:color="auto"/>
        <w:left w:val="none" w:sz="0" w:space="0" w:color="auto"/>
        <w:bottom w:val="none" w:sz="0" w:space="0" w:color="auto"/>
        <w:right w:val="none" w:sz="0" w:space="0" w:color="auto"/>
      </w:divBdr>
    </w:div>
    <w:div w:id="256603121">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26131934">
      <w:bodyDiv w:val="1"/>
      <w:marLeft w:val="0"/>
      <w:marRight w:val="0"/>
      <w:marTop w:val="0"/>
      <w:marBottom w:val="0"/>
      <w:divBdr>
        <w:top w:val="none" w:sz="0" w:space="0" w:color="auto"/>
        <w:left w:val="none" w:sz="0" w:space="0" w:color="auto"/>
        <w:bottom w:val="none" w:sz="0" w:space="0" w:color="auto"/>
        <w:right w:val="none" w:sz="0" w:space="0" w:color="auto"/>
      </w:divBdr>
    </w:div>
    <w:div w:id="380247851">
      <w:bodyDiv w:val="1"/>
      <w:marLeft w:val="0"/>
      <w:marRight w:val="0"/>
      <w:marTop w:val="0"/>
      <w:marBottom w:val="0"/>
      <w:divBdr>
        <w:top w:val="none" w:sz="0" w:space="0" w:color="auto"/>
        <w:left w:val="none" w:sz="0" w:space="0" w:color="auto"/>
        <w:bottom w:val="none" w:sz="0" w:space="0" w:color="auto"/>
        <w:right w:val="none" w:sz="0" w:space="0" w:color="auto"/>
      </w:divBdr>
    </w:div>
    <w:div w:id="460609383">
      <w:bodyDiv w:val="1"/>
      <w:marLeft w:val="0"/>
      <w:marRight w:val="0"/>
      <w:marTop w:val="0"/>
      <w:marBottom w:val="0"/>
      <w:divBdr>
        <w:top w:val="none" w:sz="0" w:space="0" w:color="auto"/>
        <w:left w:val="none" w:sz="0" w:space="0" w:color="auto"/>
        <w:bottom w:val="none" w:sz="0" w:space="0" w:color="auto"/>
        <w:right w:val="none" w:sz="0" w:space="0" w:color="auto"/>
      </w:divBdr>
    </w:div>
    <w:div w:id="485247907">
      <w:bodyDiv w:val="1"/>
      <w:marLeft w:val="0"/>
      <w:marRight w:val="0"/>
      <w:marTop w:val="0"/>
      <w:marBottom w:val="0"/>
      <w:divBdr>
        <w:top w:val="none" w:sz="0" w:space="0" w:color="auto"/>
        <w:left w:val="none" w:sz="0" w:space="0" w:color="auto"/>
        <w:bottom w:val="none" w:sz="0" w:space="0" w:color="auto"/>
        <w:right w:val="none" w:sz="0" w:space="0" w:color="auto"/>
      </w:divBdr>
    </w:div>
    <w:div w:id="529072763">
      <w:bodyDiv w:val="1"/>
      <w:marLeft w:val="0"/>
      <w:marRight w:val="0"/>
      <w:marTop w:val="0"/>
      <w:marBottom w:val="0"/>
      <w:divBdr>
        <w:top w:val="none" w:sz="0" w:space="0" w:color="auto"/>
        <w:left w:val="none" w:sz="0" w:space="0" w:color="auto"/>
        <w:bottom w:val="none" w:sz="0" w:space="0" w:color="auto"/>
        <w:right w:val="none" w:sz="0" w:space="0" w:color="auto"/>
      </w:divBdr>
    </w:div>
    <w:div w:id="548149600">
      <w:bodyDiv w:val="1"/>
      <w:marLeft w:val="0"/>
      <w:marRight w:val="0"/>
      <w:marTop w:val="0"/>
      <w:marBottom w:val="0"/>
      <w:divBdr>
        <w:top w:val="none" w:sz="0" w:space="0" w:color="auto"/>
        <w:left w:val="none" w:sz="0" w:space="0" w:color="auto"/>
        <w:bottom w:val="none" w:sz="0" w:space="0" w:color="auto"/>
        <w:right w:val="none" w:sz="0" w:space="0" w:color="auto"/>
      </w:divBdr>
      <w:divsChild>
        <w:div w:id="315570531">
          <w:marLeft w:val="0"/>
          <w:marRight w:val="0"/>
          <w:marTop w:val="0"/>
          <w:marBottom w:val="0"/>
          <w:divBdr>
            <w:top w:val="none" w:sz="0" w:space="0" w:color="auto"/>
            <w:left w:val="none" w:sz="0" w:space="0" w:color="auto"/>
            <w:bottom w:val="none" w:sz="0" w:space="0" w:color="auto"/>
            <w:right w:val="none" w:sz="0" w:space="0" w:color="auto"/>
          </w:divBdr>
          <w:divsChild>
            <w:div w:id="1349260406">
              <w:marLeft w:val="0"/>
              <w:marRight w:val="0"/>
              <w:marTop w:val="0"/>
              <w:marBottom w:val="0"/>
              <w:divBdr>
                <w:top w:val="none" w:sz="0" w:space="0" w:color="auto"/>
                <w:left w:val="none" w:sz="0" w:space="0" w:color="auto"/>
                <w:bottom w:val="none" w:sz="0" w:space="0" w:color="auto"/>
                <w:right w:val="none" w:sz="0" w:space="0" w:color="auto"/>
              </w:divBdr>
              <w:divsChild>
                <w:div w:id="1579510837">
                  <w:marLeft w:val="0"/>
                  <w:marRight w:val="0"/>
                  <w:marTop w:val="0"/>
                  <w:marBottom w:val="0"/>
                  <w:divBdr>
                    <w:top w:val="none" w:sz="0" w:space="0" w:color="auto"/>
                    <w:left w:val="none" w:sz="0" w:space="0" w:color="auto"/>
                    <w:bottom w:val="none" w:sz="0" w:space="0" w:color="auto"/>
                    <w:right w:val="none" w:sz="0" w:space="0" w:color="auto"/>
                  </w:divBdr>
                  <w:divsChild>
                    <w:div w:id="590820985">
                      <w:marLeft w:val="0"/>
                      <w:marRight w:val="0"/>
                      <w:marTop w:val="0"/>
                      <w:marBottom w:val="0"/>
                      <w:divBdr>
                        <w:top w:val="none" w:sz="0" w:space="0" w:color="auto"/>
                        <w:left w:val="none" w:sz="0" w:space="0" w:color="auto"/>
                        <w:bottom w:val="none" w:sz="0" w:space="0" w:color="auto"/>
                        <w:right w:val="none" w:sz="0" w:space="0" w:color="auto"/>
                      </w:divBdr>
                      <w:divsChild>
                        <w:div w:id="792673896">
                          <w:marLeft w:val="0"/>
                          <w:marRight w:val="0"/>
                          <w:marTop w:val="0"/>
                          <w:marBottom w:val="0"/>
                          <w:divBdr>
                            <w:top w:val="none" w:sz="0" w:space="0" w:color="auto"/>
                            <w:left w:val="none" w:sz="0" w:space="0" w:color="auto"/>
                            <w:bottom w:val="none" w:sz="0" w:space="0" w:color="auto"/>
                            <w:right w:val="none" w:sz="0" w:space="0" w:color="auto"/>
                          </w:divBdr>
                          <w:divsChild>
                            <w:div w:id="1471288673">
                              <w:marLeft w:val="0"/>
                              <w:marRight w:val="0"/>
                              <w:marTop w:val="0"/>
                              <w:marBottom w:val="0"/>
                              <w:divBdr>
                                <w:top w:val="none" w:sz="0" w:space="0" w:color="auto"/>
                                <w:left w:val="none" w:sz="0" w:space="0" w:color="auto"/>
                                <w:bottom w:val="none" w:sz="0" w:space="0" w:color="auto"/>
                                <w:right w:val="none" w:sz="0" w:space="0" w:color="auto"/>
                              </w:divBdr>
                              <w:divsChild>
                                <w:div w:id="377315107">
                                  <w:marLeft w:val="0"/>
                                  <w:marRight w:val="0"/>
                                  <w:marTop w:val="0"/>
                                  <w:marBottom w:val="0"/>
                                  <w:divBdr>
                                    <w:top w:val="none" w:sz="0" w:space="0" w:color="auto"/>
                                    <w:left w:val="none" w:sz="0" w:space="0" w:color="auto"/>
                                    <w:bottom w:val="none" w:sz="0" w:space="0" w:color="auto"/>
                                    <w:right w:val="none" w:sz="0" w:space="0" w:color="auto"/>
                                  </w:divBdr>
                                  <w:divsChild>
                                    <w:div w:id="1797865961">
                                      <w:marLeft w:val="0"/>
                                      <w:marRight w:val="0"/>
                                      <w:marTop w:val="0"/>
                                      <w:marBottom w:val="0"/>
                                      <w:divBdr>
                                        <w:top w:val="none" w:sz="0" w:space="0" w:color="auto"/>
                                        <w:left w:val="none" w:sz="0" w:space="0" w:color="auto"/>
                                        <w:bottom w:val="none" w:sz="0" w:space="0" w:color="auto"/>
                                        <w:right w:val="none" w:sz="0" w:space="0" w:color="auto"/>
                                      </w:divBdr>
                                      <w:divsChild>
                                        <w:div w:id="1696033312">
                                          <w:marLeft w:val="0"/>
                                          <w:marRight w:val="0"/>
                                          <w:marTop w:val="0"/>
                                          <w:marBottom w:val="0"/>
                                          <w:divBdr>
                                            <w:top w:val="none" w:sz="0" w:space="0" w:color="auto"/>
                                            <w:left w:val="none" w:sz="0" w:space="0" w:color="auto"/>
                                            <w:bottom w:val="none" w:sz="0" w:space="0" w:color="auto"/>
                                            <w:right w:val="none" w:sz="0" w:space="0" w:color="auto"/>
                                          </w:divBdr>
                                          <w:divsChild>
                                            <w:div w:id="41295600">
                                              <w:marLeft w:val="0"/>
                                              <w:marRight w:val="0"/>
                                              <w:marTop w:val="0"/>
                                              <w:marBottom w:val="0"/>
                                              <w:divBdr>
                                                <w:top w:val="none" w:sz="0" w:space="0" w:color="auto"/>
                                                <w:left w:val="none" w:sz="0" w:space="0" w:color="auto"/>
                                                <w:bottom w:val="none" w:sz="0" w:space="0" w:color="auto"/>
                                                <w:right w:val="none" w:sz="0" w:space="0" w:color="auto"/>
                                              </w:divBdr>
                                              <w:divsChild>
                                                <w:div w:id="19929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016389">
      <w:bodyDiv w:val="1"/>
      <w:marLeft w:val="0"/>
      <w:marRight w:val="0"/>
      <w:marTop w:val="0"/>
      <w:marBottom w:val="0"/>
      <w:divBdr>
        <w:top w:val="none" w:sz="0" w:space="0" w:color="auto"/>
        <w:left w:val="none" w:sz="0" w:space="0" w:color="auto"/>
        <w:bottom w:val="none" w:sz="0" w:space="0" w:color="auto"/>
        <w:right w:val="none" w:sz="0" w:space="0" w:color="auto"/>
      </w:divBdr>
      <w:divsChild>
        <w:div w:id="1629049836">
          <w:marLeft w:val="0"/>
          <w:marRight w:val="0"/>
          <w:marTop w:val="0"/>
          <w:marBottom w:val="0"/>
          <w:divBdr>
            <w:top w:val="none" w:sz="0" w:space="0" w:color="auto"/>
            <w:left w:val="none" w:sz="0" w:space="0" w:color="auto"/>
            <w:bottom w:val="none" w:sz="0" w:space="0" w:color="auto"/>
            <w:right w:val="none" w:sz="0" w:space="0" w:color="auto"/>
          </w:divBdr>
          <w:divsChild>
            <w:div w:id="15595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8066">
      <w:bodyDiv w:val="1"/>
      <w:marLeft w:val="0"/>
      <w:marRight w:val="0"/>
      <w:marTop w:val="0"/>
      <w:marBottom w:val="0"/>
      <w:divBdr>
        <w:top w:val="none" w:sz="0" w:space="0" w:color="auto"/>
        <w:left w:val="none" w:sz="0" w:space="0" w:color="auto"/>
        <w:bottom w:val="none" w:sz="0" w:space="0" w:color="auto"/>
        <w:right w:val="none" w:sz="0" w:space="0" w:color="auto"/>
      </w:divBdr>
    </w:div>
    <w:div w:id="662582707">
      <w:bodyDiv w:val="1"/>
      <w:marLeft w:val="0"/>
      <w:marRight w:val="0"/>
      <w:marTop w:val="0"/>
      <w:marBottom w:val="0"/>
      <w:divBdr>
        <w:top w:val="none" w:sz="0" w:space="0" w:color="auto"/>
        <w:left w:val="none" w:sz="0" w:space="0" w:color="auto"/>
        <w:bottom w:val="none" w:sz="0" w:space="0" w:color="auto"/>
        <w:right w:val="none" w:sz="0" w:space="0" w:color="auto"/>
      </w:divBdr>
    </w:div>
    <w:div w:id="690030601">
      <w:bodyDiv w:val="1"/>
      <w:marLeft w:val="0"/>
      <w:marRight w:val="0"/>
      <w:marTop w:val="0"/>
      <w:marBottom w:val="0"/>
      <w:divBdr>
        <w:top w:val="none" w:sz="0" w:space="0" w:color="auto"/>
        <w:left w:val="none" w:sz="0" w:space="0" w:color="auto"/>
        <w:bottom w:val="none" w:sz="0" w:space="0" w:color="auto"/>
        <w:right w:val="none" w:sz="0" w:space="0" w:color="auto"/>
      </w:divBdr>
    </w:div>
    <w:div w:id="736710475">
      <w:bodyDiv w:val="1"/>
      <w:marLeft w:val="0"/>
      <w:marRight w:val="0"/>
      <w:marTop w:val="0"/>
      <w:marBottom w:val="0"/>
      <w:divBdr>
        <w:top w:val="none" w:sz="0" w:space="0" w:color="auto"/>
        <w:left w:val="none" w:sz="0" w:space="0" w:color="auto"/>
        <w:bottom w:val="none" w:sz="0" w:space="0" w:color="auto"/>
        <w:right w:val="none" w:sz="0" w:space="0" w:color="auto"/>
      </w:divBdr>
    </w:div>
    <w:div w:id="761334854">
      <w:bodyDiv w:val="1"/>
      <w:marLeft w:val="0"/>
      <w:marRight w:val="0"/>
      <w:marTop w:val="0"/>
      <w:marBottom w:val="0"/>
      <w:divBdr>
        <w:top w:val="none" w:sz="0" w:space="0" w:color="auto"/>
        <w:left w:val="none" w:sz="0" w:space="0" w:color="auto"/>
        <w:bottom w:val="none" w:sz="0" w:space="0" w:color="auto"/>
        <w:right w:val="none" w:sz="0" w:space="0" w:color="auto"/>
      </w:divBdr>
    </w:div>
    <w:div w:id="809245773">
      <w:bodyDiv w:val="1"/>
      <w:marLeft w:val="0"/>
      <w:marRight w:val="0"/>
      <w:marTop w:val="0"/>
      <w:marBottom w:val="0"/>
      <w:divBdr>
        <w:top w:val="none" w:sz="0" w:space="0" w:color="auto"/>
        <w:left w:val="none" w:sz="0" w:space="0" w:color="auto"/>
        <w:bottom w:val="none" w:sz="0" w:space="0" w:color="auto"/>
        <w:right w:val="none" w:sz="0" w:space="0" w:color="auto"/>
      </w:divBdr>
    </w:div>
    <w:div w:id="823158144">
      <w:bodyDiv w:val="1"/>
      <w:marLeft w:val="0"/>
      <w:marRight w:val="0"/>
      <w:marTop w:val="0"/>
      <w:marBottom w:val="0"/>
      <w:divBdr>
        <w:top w:val="none" w:sz="0" w:space="0" w:color="auto"/>
        <w:left w:val="none" w:sz="0" w:space="0" w:color="auto"/>
        <w:bottom w:val="none" w:sz="0" w:space="0" w:color="auto"/>
        <w:right w:val="none" w:sz="0" w:space="0" w:color="auto"/>
      </w:divBdr>
    </w:div>
    <w:div w:id="850219795">
      <w:bodyDiv w:val="1"/>
      <w:marLeft w:val="0"/>
      <w:marRight w:val="0"/>
      <w:marTop w:val="0"/>
      <w:marBottom w:val="0"/>
      <w:divBdr>
        <w:top w:val="none" w:sz="0" w:space="0" w:color="auto"/>
        <w:left w:val="none" w:sz="0" w:space="0" w:color="auto"/>
        <w:bottom w:val="none" w:sz="0" w:space="0" w:color="auto"/>
        <w:right w:val="none" w:sz="0" w:space="0" w:color="auto"/>
      </w:divBdr>
    </w:div>
    <w:div w:id="906376513">
      <w:bodyDiv w:val="1"/>
      <w:marLeft w:val="0"/>
      <w:marRight w:val="0"/>
      <w:marTop w:val="0"/>
      <w:marBottom w:val="0"/>
      <w:divBdr>
        <w:top w:val="none" w:sz="0" w:space="0" w:color="auto"/>
        <w:left w:val="none" w:sz="0" w:space="0" w:color="auto"/>
        <w:bottom w:val="none" w:sz="0" w:space="0" w:color="auto"/>
        <w:right w:val="none" w:sz="0" w:space="0" w:color="auto"/>
      </w:divBdr>
    </w:div>
    <w:div w:id="974873542">
      <w:bodyDiv w:val="1"/>
      <w:marLeft w:val="0"/>
      <w:marRight w:val="0"/>
      <w:marTop w:val="0"/>
      <w:marBottom w:val="0"/>
      <w:divBdr>
        <w:top w:val="none" w:sz="0" w:space="0" w:color="auto"/>
        <w:left w:val="none" w:sz="0" w:space="0" w:color="auto"/>
        <w:bottom w:val="none" w:sz="0" w:space="0" w:color="auto"/>
        <w:right w:val="none" w:sz="0" w:space="0" w:color="auto"/>
      </w:divBdr>
      <w:divsChild>
        <w:div w:id="883637784">
          <w:marLeft w:val="446"/>
          <w:marRight w:val="0"/>
          <w:marTop w:val="0"/>
          <w:marBottom w:val="0"/>
          <w:divBdr>
            <w:top w:val="none" w:sz="0" w:space="0" w:color="auto"/>
            <w:left w:val="none" w:sz="0" w:space="0" w:color="auto"/>
            <w:bottom w:val="none" w:sz="0" w:space="0" w:color="auto"/>
            <w:right w:val="none" w:sz="0" w:space="0" w:color="auto"/>
          </w:divBdr>
        </w:div>
        <w:div w:id="1644309336">
          <w:marLeft w:val="446"/>
          <w:marRight w:val="0"/>
          <w:marTop w:val="0"/>
          <w:marBottom w:val="0"/>
          <w:divBdr>
            <w:top w:val="none" w:sz="0" w:space="0" w:color="auto"/>
            <w:left w:val="none" w:sz="0" w:space="0" w:color="auto"/>
            <w:bottom w:val="none" w:sz="0" w:space="0" w:color="auto"/>
            <w:right w:val="none" w:sz="0" w:space="0" w:color="auto"/>
          </w:divBdr>
        </w:div>
        <w:div w:id="1700857687">
          <w:marLeft w:val="446"/>
          <w:marRight w:val="0"/>
          <w:marTop w:val="0"/>
          <w:marBottom w:val="0"/>
          <w:divBdr>
            <w:top w:val="none" w:sz="0" w:space="0" w:color="auto"/>
            <w:left w:val="none" w:sz="0" w:space="0" w:color="auto"/>
            <w:bottom w:val="none" w:sz="0" w:space="0" w:color="auto"/>
            <w:right w:val="none" w:sz="0" w:space="0" w:color="auto"/>
          </w:divBdr>
        </w:div>
        <w:div w:id="1889024331">
          <w:marLeft w:val="446"/>
          <w:marRight w:val="0"/>
          <w:marTop w:val="0"/>
          <w:marBottom w:val="0"/>
          <w:divBdr>
            <w:top w:val="none" w:sz="0" w:space="0" w:color="auto"/>
            <w:left w:val="none" w:sz="0" w:space="0" w:color="auto"/>
            <w:bottom w:val="none" w:sz="0" w:space="0" w:color="auto"/>
            <w:right w:val="none" w:sz="0" w:space="0" w:color="auto"/>
          </w:divBdr>
        </w:div>
      </w:divsChild>
    </w:div>
    <w:div w:id="1178734358">
      <w:bodyDiv w:val="1"/>
      <w:marLeft w:val="0"/>
      <w:marRight w:val="0"/>
      <w:marTop w:val="0"/>
      <w:marBottom w:val="0"/>
      <w:divBdr>
        <w:top w:val="none" w:sz="0" w:space="0" w:color="auto"/>
        <w:left w:val="none" w:sz="0" w:space="0" w:color="auto"/>
        <w:bottom w:val="none" w:sz="0" w:space="0" w:color="auto"/>
        <w:right w:val="none" w:sz="0" w:space="0" w:color="auto"/>
      </w:divBdr>
    </w:div>
    <w:div w:id="1183280433">
      <w:bodyDiv w:val="1"/>
      <w:marLeft w:val="0"/>
      <w:marRight w:val="0"/>
      <w:marTop w:val="0"/>
      <w:marBottom w:val="0"/>
      <w:divBdr>
        <w:top w:val="none" w:sz="0" w:space="0" w:color="auto"/>
        <w:left w:val="none" w:sz="0" w:space="0" w:color="auto"/>
        <w:bottom w:val="none" w:sz="0" w:space="0" w:color="auto"/>
        <w:right w:val="none" w:sz="0" w:space="0" w:color="auto"/>
      </w:divBdr>
    </w:div>
    <w:div w:id="1305426317">
      <w:bodyDiv w:val="1"/>
      <w:marLeft w:val="0"/>
      <w:marRight w:val="0"/>
      <w:marTop w:val="0"/>
      <w:marBottom w:val="0"/>
      <w:divBdr>
        <w:top w:val="none" w:sz="0" w:space="0" w:color="auto"/>
        <w:left w:val="none" w:sz="0" w:space="0" w:color="auto"/>
        <w:bottom w:val="none" w:sz="0" w:space="0" w:color="auto"/>
        <w:right w:val="none" w:sz="0" w:space="0" w:color="auto"/>
      </w:divBdr>
    </w:div>
    <w:div w:id="1312518560">
      <w:bodyDiv w:val="1"/>
      <w:marLeft w:val="0"/>
      <w:marRight w:val="0"/>
      <w:marTop w:val="0"/>
      <w:marBottom w:val="0"/>
      <w:divBdr>
        <w:top w:val="none" w:sz="0" w:space="0" w:color="auto"/>
        <w:left w:val="none" w:sz="0" w:space="0" w:color="auto"/>
        <w:bottom w:val="none" w:sz="0" w:space="0" w:color="auto"/>
        <w:right w:val="none" w:sz="0" w:space="0" w:color="auto"/>
      </w:divBdr>
    </w:div>
    <w:div w:id="1472166437">
      <w:bodyDiv w:val="1"/>
      <w:marLeft w:val="0"/>
      <w:marRight w:val="0"/>
      <w:marTop w:val="0"/>
      <w:marBottom w:val="0"/>
      <w:divBdr>
        <w:top w:val="none" w:sz="0" w:space="0" w:color="auto"/>
        <w:left w:val="none" w:sz="0" w:space="0" w:color="auto"/>
        <w:bottom w:val="none" w:sz="0" w:space="0" w:color="auto"/>
        <w:right w:val="none" w:sz="0" w:space="0" w:color="auto"/>
      </w:divBdr>
    </w:div>
    <w:div w:id="1550267906">
      <w:bodyDiv w:val="1"/>
      <w:marLeft w:val="0"/>
      <w:marRight w:val="0"/>
      <w:marTop w:val="0"/>
      <w:marBottom w:val="0"/>
      <w:divBdr>
        <w:top w:val="none" w:sz="0" w:space="0" w:color="auto"/>
        <w:left w:val="none" w:sz="0" w:space="0" w:color="auto"/>
        <w:bottom w:val="none" w:sz="0" w:space="0" w:color="auto"/>
        <w:right w:val="none" w:sz="0" w:space="0" w:color="auto"/>
      </w:divBdr>
    </w:div>
    <w:div w:id="1567449523">
      <w:bodyDiv w:val="1"/>
      <w:marLeft w:val="0"/>
      <w:marRight w:val="0"/>
      <w:marTop w:val="0"/>
      <w:marBottom w:val="0"/>
      <w:divBdr>
        <w:top w:val="none" w:sz="0" w:space="0" w:color="auto"/>
        <w:left w:val="none" w:sz="0" w:space="0" w:color="auto"/>
        <w:bottom w:val="none" w:sz="0" w:space="0" w:color="auto"/>
        <w:right w:val="none" w:sz="0" w:space="0" w:color="auto"/>
      </w:divBdr>
    </w:div>
    <w:div w:id="1607078262">
      <w:bodyDiv w:val="1"/>
      <w:marLeft w:val="0"/>
      <w:marRight w:val="0"/>
      <w:marTop w:val="0"/>
      <w:marBottom w:val="0"/>
      <w:divBdr>
        <w:top w:val="none" w:sz="0" w:space="0" w:color="auto"/>
        <w:left w:val="none" w:sz="0" w:space="0" w:color="auto"/>
        <w:bottom w:val="none" w:sz="0" w:space="0" w:color="auto"/>
        <w:right w:val="none" w:sz="0" w:space="0" w:color="auto"/>
      </w:divBdr>
    </w:div>
    <w:div w:id="1647318892">
      <w:bodyDiv w:val="1"/>
      <w:marLeft w:val="0"/>
      <w:marRight w:val="0"/>
      <w:marTop w:val="0"/>
      <w:marBottom w:val="0"/>
      <w:divBdr>
        <w:top w:val="none" w:sz="0" w:space="0" w:color="auto"/>
        <w:left w:val="none" w:sz="0" w:space="0" w:color="auto"/>
        <w:bottom w:val="none" w:sz="0" w:space="0" w:color="auto"/>
        <w:right w:val="none" w:sz="0" w:space="0" w:color="auto"/>
      </w:divBdr>
    </w:div>
    <w:div w:id="1679889061">
      <w:bodyDiv w:val="1"/>
      <w:marLeft w:val="0"/>
      <w:marRight w:val="0"/>
      <w:marTop w:val="0"/>
      <w:marBottom w:val="0"/>
      <w:divBdr>
        <w:top w:val="none" w:sz="0" w:space="0" w:color="auto"/>
        <w:left w:val="none" w:sz="0" w:space="0" w:color="auto"/>
        <w:bottom w:val="none" w:sz="0" w:space="0" w:color="auto"/>
        <w:right w:val="none" w:sz="0" w:space="0" w:color="auto"/>
      </w:divBdr>
    </w:div>
    <w:div w:id="1742753984">
      <w:bodyDiv w:val="1"/>
      <w:marLeft w:val="0"/>
      <w:marRight w:val="0"/>
      <w:marTop w:val="0"/>
      <w:marBottom w:val="0"/>
      <w:divBdr>
        <w:top w:val="none" w:sz="0" w:space="0" w:color="auto"/>
        <w:left w:val="none" w:sz="0" w:space="0" w:color="auto"/>
        <w:bottom w:val="none" w:sz="0" w:space="0" w:color="auto"/>
        <w:right w:val="none" w:sz="0" w:space="0" w:color="auto"/>
      </w:divBdr>
    </w:div>
    <w:div w:id="1812332564">
      <w:bodyDiv w:val="1"/>
      <w:marLeft w:val="0"/>
      <w:marRight w:val="0"/>
      <w:marTop w:val="0"/>
      <w:marBottom w:val="0"/>
      <w:divBdr>
        <w:top w:val="none" w:sz="0" w:space="0" w:color="auto"/>
        <w:left w:val="none" w:sz="0" w:space="0" w:color="auto"/>
        <w:bottom w:val="none" w:sz="0" w:space="0" w:color="auto"/>
        <w:right w:val="none" w:sz="0" w:space="0" w:color="auto"/>
      </w:divBdr>
    </w:div>
    <w:div w:id="1959951340">
      <w:bodyDiv w:val="1"/>
      <w:marLeft w:val="0"/>
      <w:marRight w:val="0"/>
      <w:marTop w:val="0"/>
      <w:marBottom w:val="0"/>
      <w:divBdr>
        <w:top w:val="none" w:sz="0" w:space="0" w:color="auto"/>
        <w:left w:val="none" w:sz="0" w:space="0" w:color="auto"/>
        <w:bottom w:val="none" w:sz="0" w:space="0" w:color="auto"/>
        <w:right w:val="none" w:sz="0" w:space="0" w:color="auto"/>
      </w:divBdr>
    </w:div>
    <w:div w:id="2019892412">
      <w:bodyDiv w:val="1"/>
      <w:marLeft w:val="0"/>
      <w:marRight w:val="0"/>
      <w:marTop w:val="0"/>
      <w:marBottom w:val="0"/>
      <w:divBdr>
        <w:top w:val="none" w:sz="0" w:space="0" w:color="auto"/>
        <w:left w:val="none" w:sz="0" w:space="0" w:color="auto"/>
        <w:bottom w:val="none" w:sz="0" w:space="0" w:color="auto"/>
        <w:right w:val="none" w:sz="0" w:space="0" w:color="auto"/>
      </w:divBdr>
    </w:div>
    <w:div w:id="2029527846">
      <w:bodyDiv w:val="1"/>
      <w:marLeft w:val="0"/>
      <w:marRight w:val="0"/>
      <w:marTop w:val="0"/>
      <w:marBottom w:val="0"/>
      <w:divBdr>
        <w:top w:val="none" w:sz="0" w:space="0" w:color="auto"/>
        <w:left w:val="none" w:sz="0" w:space="0" w:color="auto"/>
        <w:bottom w:val="none" w:sz="0" w:space="0" w:color="auto"/>
        <w:right w:val="none" w:sz="0" w:space="0" w:color="auto"/>
      </w:divBdr>
    </w:div>
    <w:div w:id="2057779549">
      <w:bodyDiv w:val="1"/>
      <w:marLeft w:val="0"/>
      <w:marRight w:val="0"/>
      <w:marTop w:val="0"/>
      <w:marBottom w:val="0"/>
      <w:divBdr>
        <w:top w:val="none" w:sz="0" w:space="0" w:color="auto"/>
        <w:left w:val="none" w:sz="0" w:space="0" w:color="auto"/>
        <w:bottom w:val="none" w:sz="0" w:space="0" w:color="auto"/>
        <w:right w:val="none" w:sz="0" w:space="0" w:color="auto"/>
      </w:divBdr>
    </w:div>
    <w:div w:id="21157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s>
</file>

<file path=word/_rels/endnotes.xml.rels><?xml version="1.0" encoding="UTF-8" standalone="yes"?>
<Relationships xmlns="http://schemas.openxmlformats.org/package/2006/relationships"><Relationship Id="rId8" Type="http://schemas.openxmlformats.org/officeDocument/2006/relationships/hyperlink" Target="http://www.gesa.org.au/resources/hepatitis-c-treatment/" TargetMode="External"/><Relationship Id="rId3" Type="http://schemas.openxmlformats.org/officeDocument/2006/relationships/hyperlink" Target="https://www.hepatitisaustralia.com/living-with-hepatitis-c/women-and-hepatitis-c" TargetMode="External"/><Relationship Id="rId7" Type="http://schemas.openxmlformats.org/officeDocument/2006/relationships/hyperlink" Target="http://testingportal.ashm.org.au/images/HCV/HCV_TESTING_POLICY_Mar_2017.pdf" TargetMode="External"/><Relationship Id="rId2" Type="http://schemas.openxmlformats.org/officeDocument/2006/relationships/hyperlink" Target="https://www.cmtedd.act.gov.au/open_government/inform/act_government_media_releases/rattenbury/2017/world-hepatitis-day-2017-effective-treatment-reducing-hepatitis-c-rates-in-amc" TargetMode="External"/><Relationship Id="rId1" Type="http://schemas.openxmlformats.org/officeDocument/2006/relationships/hyperlink" Target="https://kirby.unsw.edu.au/sites/default/files/kirby/report/Monitoring-hep-C-treatment-uptake-in-Australia_Iss8-DEC17.pdf" TargetMode="External"/><Relationship Id="rId6" Type="http://schemas.openxmlformats.org/officeDocument/2006/relationships/hyperlink" Target="http://www.ashm.org.au/news/prisons-could-unlock-hepatitis-c-free-future/" TargetMode="External"/><Relationship Id="rId5" Type="http://schemas.openxmlformats.org/officeDocument/2006/relationships/hyperlink" Target="http://www.health.gov.au/internet/main/publishing.nsf/content/A407CF4FECBDC715CA257BF0001F98B2/%24File/return2.pdf" TargetMode="External"/><Relationship Id="rId4" Type="http://schemas.openxmlformats.org/officeDocument/2006/relationships/hyperlink" Target="http://www.who.int/mediacentre/factsheets/fs16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norrie\AppData\Roaming\Microsoft\Templates\2%20Report\Report%20template%20-%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AAA90A6044A946998B6A8D480D9E4B" ma:contentTypeVersion="" ma:contentTypeDescription="Create a new document." ma:contentTypeScope="" ma:versionID="dfe6c0f2c02e2b732aee51d581c06d44">
  <xsd:schema xmlns:xsd="http://www.w3.org/2001/XMLSchema" xmlns:xs="http://www.w3.org/2001/XMLSchema" xmlns:p="http://schemas.microsoft.com/office/2006/metadata/properties" xmlns:ns2="5C676FE6-B487-45BE-9847-DC022B6FE6F3" xmlns:ns3="176e9d42-f00c-4951-a3f2-ca011614ad33" targetNamespace="http://schemas.microsoft.com/office/2006/metadata/properties" ma:root="true" ma:fieldsID="551ddef6a34f7a8eab74ba7ce87d8601" ns2:_="" ns3:_="">
    <xsd:import namespace="5C676FE6-B487-45BE-9847-DC022B6FE6F3"/>
    <xsd:import namespace="176e9d42-f00c-4951-a3f2-ca011614ad33"/>
    <xsd:element name="properties">
      <xsd:complexType>
        <xsd:sequence>
          <xsd:element name="documentManagement">
            <xsd:complexType>
              <xsd:all>
                <xsd:element ref="ns2:pc8457cba08d42be841822dbe092508a" minOccurs="0"/>
                <xsd:element ref="ns3:TaxCatchAll" minOccurs="0"/>
                <xsd:element ref="ns2:n881213a598c43e19c46d2040c5fc651" minOccurs="0"/>
                <xsd:element ref="ns2:Archive_x003f_" minOccurs="0"/>
                <xsd:element ref="ns2:Key_x0020_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76FE6-B487-45BE-9847-DC022B6FE6F3" elementFormDefault="qualified">
    <xsd:import namespace="http://schemas.microsoft.com/office/2006/documentManagement/types"/>
    <xsd:import namespace="http://schemas.microsoft.com/office/infopath/2007/PartnerControls"/>
    <xsd:element name="pc8457cba08d42be841822dbe092508a" ma:index="9" nillable="true" ma:taxonomy="true" ma:internalName="pc8457cba08d42be841822dbe092508a" ma:taxonomyFieldName="Project_x0020_doc_x0020_type" ma:displayName="Doc type - level 1" ma:indexed="true" ma:default="54;#A. Admin ＆ Planning|b1f780b9-1325-41ee-b0f8-f9c50aa7f53e" ma:fieldId="{9c8457cb-a08d-42be-8418-22dbe092508a}" ma:sspId="fedc91e1-0723-4b19-918f-d2290fbc9877" ma:termSetId="3bda15ed-e623-4b4d-b65f-38bb1b335511" ma:anchorId="cc91d83d-1e1c-4c13-b867-348b43ba510f" ma:open="true" ma:isKeyword="false">
      <xsd:complexType>
        <xsd:sequence>
          <xsd:element ref="pc:Terms" minOccurs="0" maxOccurs="1"/>
        </xsd:sequence>
      </xsd:complexType>
    </xsd:element>
    <xsd:element name="n881213a598c43e19c46d2040c5fc651" ma:index="12" nillable="true" ma:taxonomy="true" ma:internalName="n881213a598c43e19c46d2040c5fc651" ma:taxonomyFieldName="Doc_x0020_type_x0020__x002d__x0020_level_x0020_2" ma:displayName="Doc type - level 2" ma:indexed="true" ma:default="" ma:fieldId="{7881213a-598c-43e1-9c46-d2040c5fc651}" ma:sspId="fedc91e1-0723-4b19-918f-d2290fbc9877" ma:termSetId="3bda15ed-e623-4b4d-b65f-38bb1b335511" ma:anchorId="cc91d83d-1e1c-4c13-b867-348b43ba510f" ma:open="true" ma:isKeyword="false">
      <xsd:complexType>
        <xsd:sequence>
          <xsd:element ref="pc:Terms" minOccurs="0" maxOccurs="1"/>
        </xsd:sequence>
      </xsd:complexType>
    </xsd:element>
    <xsd:element name="Archive_x003f_" ma:index="13" nillable="true" ma:displayName="Archive?" ma:default="0" ma:internalName="Archive_x003f_">
      <xsd:simpleType>
        <xsd:restriction base="dms:Boolean"/>
      </xsd:simpleType>
    </xsd:element>
    <xsd:element name="Key_x0020_doc_x003f_" ma:index="14" nillable="true" ma:displayName="Key doc?" ma:default="0" ma:internalName="Key_x0020_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6e9d42-f00c-4951-a3f2-ca011614ad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E55A9F2-6D63-4D76-8C95-B270ACB04950}" ma:internalName="TaxCatchAll" ma:showField="CatchAllData" ma:web="{1e38e079-2029-4933-8525-a41bc320e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c8457cba08d42be841822dbe092508a xmlns="5C676FE6-B487-45BE-9847-DC022B6FE6F3">A. Admin ＆ Planning|b1f780b9-1325-41ee-b0f8-f9c50aa7f53e</pc8457cba08d42be841822dbe092508a>
    <Key_x0020_doc_x003f_ xmlns="5C676FE6-B487-45BE-9847-DC022B6FE6F3">false</Key_x0020_doc_x003f_>
    <n881213a598c43e19c46d2040c5fc651 xmlns="5C676FE6-B487-45BE-9847-DC022B6FE6F3" xsi:nil="true"/>
    <TaxCatchAll xmlns="176e9d42-f00c-4951-a3f2-ca011614ad33">
      <Value xmlns="176e9d42-f00c-4951-a3f2-ca011614ad33">48</Value>
    </TaxCatchAll>
    <Archive_x003f_ xmlns="5C676FE6-B487-45BE-9847-DC022B6FE6F3">false</Archive_x003f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985294-C98F-4129-8911-9E5E15421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76FE6-B487-45BE-9847-DC022B6FE6F3"/>
    <ds:schemaRef ds:uri="176e9d42-f00c-4951-a3f2-ca011614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B4A30-4335-4615-B531-124E826026D8}">
  <ds:schemaRefs>
    <ds:schemaRef ds:uri="http://schemas.microsoft.com/sharepoint/v3/contenttype/forms"/>
  </ds:schemaRefs>
</ds:datastoreItem>
</file>

<file path=customXml/itemProps4.xml><?xml version="1.0" encoding="utf-8"?>
<ds:datastoreItem xmlns:ds="http://schemas.openxmlformats.org/officeDocument/2006/customXml" ds:itemID="{4E628A0D-57DA-4283-A63E-AC02615C07B8}">
  <ds:schemaRefs>
    <ds:schemaRef ds:uri="http://schemas.microsoft.com/office/2006/metadata/properties"/>
    <ds:schemaRef ds:uri="5C676FE6-B487-45BE-9847-DC022B6FE6F3"/>
    <ds:schemaRef ds:uri="176e9d42-f00c-4951-a3f2-ca011614ad33"/>
  </ds:schemaRefs>
</ds:datastoreItem>
</file>

<file path=customXml/itemProps5.xml><?xml version="1.0" encoding="utf-8"?>
<ds:datastoreItem xmlns:ds="http://schemas.openxmlformats.org/officeDocument/2006/customXml" ds:itemID="{B9F6A8A0-888B-48C5-9E76-33F49BB5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Portrait</Template>
  <TotalTime>103</TotalTime>
  <Pages>28</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Fifth National Hepatitis C Strategy 2018-2022 (Draft for consultation)</vt:lpstr>
    </vt:vector>
  </TitlesOfParts>
  <Company>The Nous Group</Company>
  <LinksUpToDate>false</LinksUpToDate>
  <CharactersWithSpaces>60476</CharactersWithSpaces>
  <SharedDoc>false</SharedDoc>
  <HLinks>
    <vt:vector size="78" baseType="variant">
      <vt:variant>
        <vt:i4>1376316</vt:i4>
      </vt:variant>
      <vt:variant>
        <vt:i4>50</vt:i4>
      </vt:variant>
      <vt:variant>
        <vt:i4>0</vt:i4>
      </vt:variant>
      <vt:variant>
        <vt:i4>5</vt:i4>
      </vt:variant>
      <vt:variant>
        <vt:lpwstr/>
      </vt:variant>
      <vt:variant>
        <vt:lpwstr>_Toc509298988</vt:lpwstr>
      </vt:variant>
      <vt:variant>
        <vt:i4>1376316</vt:i4>
      </vt:variant>
      <vt:variant>
        <vt:i4>44</vt:i4>
      </vt:variant>
      <vt:variant>
        <vt:i4>0</vt:i4>
      </vt:variant>
      <vt:variant>
        <vt:i4>5</vt:i4>
      </vt:variant>
      <vt:variant>
        <vt:lpwstr/>
      </vt:variant>
      <vt:variant>
        <vt:lpwstr>_Toc509298987</vt:lpwstr>
      </vt:variant>
      <vt:variant>
        <vt:i4>1376316</vt:i4>
      </vt:variant>
      <vt:variant>
        <vt:i4>38</vt:i4>
      </vt:variant>
      <vt:variant>
        <vt:i4>0</vt:i4>
      </vt:variant>
      <vt:variant>
        <vt:i4>5</vt:i4>
      </vt:variant>
      <vt:variant>
        <vt:lpwstr/>
      </vt:variant>
      <vt:variant>
        <vt:lpwstr>_Toc509298986</vt:lpwstr>
      </vt:variant>
      <vt:variant>
        <vt:i4>1376316</vt:i4>
      </vt:variant>
      <vt:variant>
        <vt:i4>32</vt:i4>
      </vt:variant>
      <vt:variant>
        <vt:i4>0</vt:i4>
      </vt:variant>
      <vt:variant>
        <vt:i4>5</vt:i4>
      </vt:variant>
      <vt:variant>
        <vt:lpwstr/>
      </vt:variant>
      <vt:variant>
        <vt:lpwstr>_Toc509298985</vt:lpwstr>
      </vt:variant>
      <vt:variant>
        <vt:i4>1376316</vt:i4>
      </vt:variant>
      <vt:variant>
        <vt:i4>26</vt:i4>
      </vt:variant>
      <vt:variant>
        <vt:i4>0</vt:i4>
      </vt:variant>
      <vt:variant>
        <vt:i4>5</vt:i4>
      </vt:variant>
      <vt:variant>
        <vt:lpwstr/>
      </vt:variant>
      <vt:variant>
        <vt:lpwstr>_Toc509298984</vt:lpwstr>
      </vt:variant>
      <vt:variant>
        <vt:i4>1376316</vt:i4>
      </vt:variant>
      <vt:variant>
        <vt:i4>20</vt:i4>
      </vt:variant>
      <vt:variant>
        <vt:i4>0</vt:i4>
      </vt:variant>
      <vt:variant>
        <vt:i4>5</vt:i4>
      </vt:variant>
      <vt:variant>
        <vt:lpwstr/>
      </vt:variant>
      <vt:variant>
        <vt:lpwstr>_Toc509298983</vt:lpwstr>
      </vt:variant>
      <vt:variant>
        <vt:i4>1376316</vt:i4>
      </vt:variant>
      <vt:variant>
        <vt:i4>14</vt:i4>
      </vt:variant>
      <vt:variant>
        <vt:i4>0</vt:i4>
      </vt:variant>
      <vt:variant>
        <vt:i4>5</vt:i4>
      </vt:variant>
      <vt:variant>
        <vt:lpwstr/>
      </vt:variant>
      <vt:variant>
        <vt:lpwstr>_Toc509298982</vt:lpwstr>
      </vt:variant>
      <vt:variant>
        <vt:i4>1376316</vt:i4>
      </vt:variant>
      <vt:variant>
        <vt:i4>8</vt:i4>
      </vt:variant>
      <vt:variant>
        <vt:i4>0</vt:i4>
      </vt:variant>
      <vt:variant>
        <vt:i4>5</vt:i4>
      </vt:variant>
      <vt:variant>
        <vt:lpwstr/>
      </vt:variant>
      <vt:variant>
        <vt:lpwstr>_Toc509298981</vt:lpwstr>
      </vt:variant>
      <vt:variant>
        <vt:i4>1376316</vt:i4>
      </vt:variant>
      <vt:variant>
        <vt:i4>2</vt:i4>
      </vt:variant>
      <vt:variant>
        <vt:i4>0</vt:i4>
      </vt:variant>
      <vt:variant>
        <vt:i4>5</vt:i4>
      </vt:variant>
      <vt:variant>
        <vt:lpwstr/>
      </vt:variant>
      <vt:variant>
        <vt:lpwstr>_Toc509298980</vt:lpwstr>
      </vt:variant>
      <vt:variant>
        <vt:i4>2097204</vt:i4>
      </vt:variant>
      <vt:variant>
        <vt:i4>9</vt:i4>
      </vt:variant>
      <vt:variant>
        <vt:i4>0</vt:i4>
      </vt:variant>
      <vt:variant>
        <vt:i4>5</vt:i4>
      </vt:variant>
      <vt:variant>
        <vt:lpwstr>http://www.gesa.org.au/resources/hepatitis-c-treatment/</vt:lpwstr>
      </vt:variant>
      <vt:variant>
        <vt:lpwstr/>
      </vt:variant>
      <vt:variant>
        <vt:i4>6291578</vt:i4>
      </vt:variant>
      <vt:variant>
        <vt:i4>6</vt:i4>
      </vt:variant>
      <vt:variant>
        <vt:i4>0</vt:i4>
      </vt:variant>
      <vt:variant>
        <vt:i4>5</vt:i4>
      </vt:variant>
      <vt:variant>
        <vt:lpwstr>http://testingportal.ashm.org.au/images/HCV/HCV_TESTING_POLICY_Mar_2017.pdf</vt:lpwstr>
      </vt:variant>
      <vt:variant>
        <vt:lpwstr/>
      </vt:variant>
      <vt:variant>
        <vt:i4>2228257</vt:i4>
      </vt:variant>
      <vt:variant>
        <vt:i4>3</vt:i4>
      </vt:variant>
      <vt:variant>
        <vt:i4>0</vt:i4>
      </vt:variant>
      <vt:variant>
        <vt:i4>5</vt:i4>
      </vt:variant>
      <vt:variant>
        <vt:lpwstr>http://www.health.gov.au/internet/main/publishing.nsf/content/A407CF4FECBDC715CA257BF0001F98B2/%24File/return2.pdf</vt:lpwstr>
      </vt:variant>
      <vt:variant>
        <vt:lpwstr/>
      </vt:variant>
      <vt:variant>
        <vt:i4>8257638</vt:i4>
      </vt:variant>
      <vt:variant>
        <vt:i4>0</vt:i4>
      </vt:variant>
      <vt:variant>
        <vt:i4>0</vt:i4>
      </vt:variant>
      <vt:variant>
        <vt:i4>5</vt:i4>
      </vt:variant>
      <vt:variant>
        <vt:lpwstr>http://www.who.int/mediacentre/factsheets/fs164/en/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Fifth National Hepatitis C Strategy 2018-2022 (Draft for consultation)</dc:title>
  <dc:subject>Commonwealth Department of Health</dc:subject>
  <dc:creator>Holly Norrie</dc:creator>
  <cp:lastModifiedBy>Office of Health Protection</cp:lastModifiedBy>
  <cp:revision>20</cp:revision>
  <cp:lastPrinted>2018-10-15T23:27:00Z</cp:lastPrinted>
  <dcterms:created xsi:type="dcterms:W3CDTF">2018-11-09T03:58:00Z</dcterms:created>
  <dcterms:modified xsi:type="dcterms:W3CDTF">2018-11-27T00:27:00Z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0x01010040AAA90A6044A946998B6A8D480D9E4B</vt:lpwstr>
  </property>
  <property fmtid="{D5CDD505-2E9C-101B-9397-08002B2CF9AE}" pid="3" name="Doc type - level 2">
    <vt:lpwstr/>
  </property>
  <property fmtid="{D5CDD505-2E9C-101B-9397-08002B2CF9AE}" pid="4" name="Project doc type">
    <vt:lpwstr>48;#E. Deliverables|0f05b71d-e5f3-4d2e-afe4-cc2f30331a3f</vt:lpwstr>
  </property>
</Properties>
</file>