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4C" w:rsidRDefault="0051244C"/>
    <w:tbl>
      <w:tblPr>
        <w:tblpPr w:leftFromText="180" w:rightFromText="180" w:vertAnchor="text" w:horzAnchor="page" w:tblpX="9165" w:tblpY="-4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</w:tblGrid>
      <w:tr w:rsidR="008E6942" w:rsidTr="008E6942">
        <w:trPr>
          <w:trHeight w:val="1134"/>
        </w:trPr>
        <w:tc>
          <w:tcPr>
            <w:tcW w:w="2235" w:type="dxa"/>
            <w:shd w:val="clear" w:color="auto" w:fill="FF0000"/>
          </w:tcPr>
          <w:p w:rsidR="008E6942" w:rsidRPr="00822A1B" w:rsidRDefault="008E6942" w:rsidP="008E6942">
            <w:pPr>
              <w:jc w:val="center"/>
              <w:rPr>
                <w:color w:val="FFFFFF"/>
              </w:rPr>
            </w:pPr>
            <w:r w:rsidRPr="00822A1B">
              <w:rPr>
                <w:color w:val="FFFFFF"/>
              </w:rPr>
              <w:t>Australian</w:t>
            </w:r>
          </w:p>
          <w:p w:rsidR="008E6942" w:rsidRPr="00822A1B" w:rsidRDefault="008E6942" w:rsidP="008E6942">
            <w:pPr>
              <w:jc w:val="center"/>
              <w:rPr>
                <w:color w:val="FFFFFF"/>
              </w:rPr>
            </w:pPr>
            <w:r w:rsidRPr="00822A1B">
              <w:rPr>
                <w:color w:val="FFFFFF"/>
              </w:rPr>
              <w:t>Health</w:t>
            </w:r>
          </w:p>
          <w:p w:rsidR="008E6942" w:rsidRDefault="008E6942" w:rsidP="008E6942">
            <w:pPr>
              <w:jc w:val="center"/>
            </w:pPr>
            <w:r w:rsidRPr="00822A1B">
              <w:rPr>
                <w:color w:val="FFFFFF"/>
              </w:rPr>
              <w:t>Protection Principal Committee</w:t>
            </w:r>
          </w:p>
        </w:tc>
      </w:tr>
    </w:tbl>
    <w:p w:rsidR="00206DA0" w:rsidRDefault="00206DA0" w:rsidP="00EE3308">
      <w:pPr>
        <w:ind w:left="851" w:right="396" w:hanging="284"/>
        <w:jc w:val="center"/>
        <w:rPr>
          <w:b/>
          <w:bCs/>
          <w:sz w:val="28"/>
          <w:szCs w:val="28"/>
        </w:rPr>
      </w:pPr>
    </w:p>
    <w:p w:rsidR="00206DA0" w:rsidRDefault="00206DA0" w:rsidP="00EE3308">
      <w:pPr>
        <w:ind w:left="851" w:right="396" w:hanging="284"/>
        <w:jc w:val="center"/>
        <w:rPr>
          <w:b/>
          <w:bCs/>
          <w:sz w:val="28"/>
          <w:szCs w:val="28"/>
        </w:rPr>
      </w:pPr>
    </w:p>
    <w:p w:rsidR="00206DA0" w:rsidRDefault="00206DA0" w:rsidP="00EE3308">
      <w:pPr>
        <w:ind w:left="851" w:right="396" w:hanging="284"/>
        <w:jc w:val="center"/>
        <w:rPr>
          <w:b/>
          <w:bCs/>
          <w:sz w:val="28"/>
          <w:szCs w:val="28"/>
        </w:rPr>
      </w:pPr>
    </w:p>
    <w:p w:rsidR="00206DA0" w:rsidRDefault="00206DA0" w:rsidP="00EE3308">
      <w:pPr>
        <w:ind w:left="851" w:right="396" w:hanging="284"/>
        <w:jc w:val="center"/>
        <w:rPr>
          <w:b/>
          <w:bCs/>
          <w:sz w:val="28"/>
          <w:szCs w:val="28"/>
        </w:rPr>
      </w:pPr>
    </w:p>
    <w:p w:rsidR="00003743" w:rsidRDefault="009F6F87" w:rsidP="00EE3308">
      <w:pPr>
        <w:ind w:left="851" w:right="396" w:hanging="284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National strateg</w:t>
      </w:r>
      <w:r w:rsidR="007035C7">
        <w:rPr>
          <w:b/>
          <w:bCs/>
          <w:sz w:val="28"/>
          <w:szCs w:val="28"/>
        </w:rPr>
        <w:t>ic approach</w:t>
      </w:r>
      <w:r>
        <w:rPr>
          <w:b/>
          <w:bCs/>
          <w:sz w:val="28"/>
          <w:szCs w:val="28"/>
        </w:rPr>
        <w:t xml:space="preserve"> for an e</w:t>
      </w:r>
      <w:r w:rsidR="00772340" w:rsidRPr="009F6F87">
        <w:rPr>
          <w:b/>
          <w:bCs/>
          <w:sz w:val="28"/>
          <w:szCs w:val="28"/>
        </w:rPr>
        <w:t>nhanced response to</w:t>
      </w:r>
      <w:r w:rsidR="003D3390">
        <w:rPr>
          <w:b/>
          <w:bCs/>
          <w:sz w:val="28"/>
          <w:szCs w:val="28"/>
        </w:rPr>
        <w:t xml:space="preserve"> the disproportionately high</w:t>
      </w:r>
      <w:bookmarkEnd w:id="0"/>
      <w:r w:rsidR="003D3390">
        <w:rPr>
          <w:b/>
          <w:bCs/>
          <w:sz w:val="28"/>
          <w:szCs w:val="28"/>
        </w:rPr>
        <w:t xml:space="preserve"> rates of STI and BBV in </w:t>
      </w:r>
      <w:r w:rsidR="00EE3308">
        <w:rPr>
          <w:b/>
          <w:bCs/>
          <w:sz w:val="28"/>
          <w:szCs w:val="28"/>
        </w:rPr>
        <w:t>Aboriginal and Torres Strait Islander people</w:t>
      </w:r>
    </w:p>
    <w:p w:rsidR="00447209" w:rsidRPr="00E835C4" w:rsidRDefault="00447209" w:rsidP="00EE3308">
      <w:pPr>
        <w:ind w:left="851" w:right="396" w:hanging="284"/>
        <w:jc w:val="center"/>
        <w:rPr>
          <w:b/>
          <w:bCs/>
          <w:sz w:val="16"/>
          <w:szCs w:val="16"/>
        </w:rPr>
      </w:pPr>
    </w:p>
    <w:p w:rsidR="007B2C64" w:rsidRDefault="00447209" w:rsidP="00E835C4">
      <w:pPr>
        <w:ind w:left="851" w:right="397" w:hanging="284"/>
        <w:jc w:val="center"/>
        <w:rPr>
          <w:bCs/>
          <w:i/>
        </w:rPr>
      </w:pPr>
      <w:r w:rsidRPr="0069162C">
        <w:rPr>
          <w:bCs/>
          <w:i/>
        </w:rPr>
        <w:t xml:space="preserve">This </w:t>
      </w:r>
      <w:r w:rsidR="007035C7">
        <w:rPr>
          <w:bCs/>
          <w:i/>
        </w:rPr>
        <w:t>Strategic Approach</w:t>
      </w:r>
      <w:r w:rsidRPr="0069162C">
        <w:rPr>
          <w:bCs/>
          <w:i/>
        </w:rPr>
        <w:t xml:space="preserve"> was prepared by the enhanced national response Governance Group of </w:t>
      </w:r>
      <w:r w:rsidR="0069162C">
        <w:rPr>
          <w:bCs/>
          <w:i/>
        </w:rPr>
        <w:t>A</w:t>
      </w:r>
      <w:r w:rsidR="00FE08B2">
        <w:rPr>
          <w:bCs/>
          <w:i/>
        </w:rPr>
        <w:t xml:space="preserve">ustralian Health Protection Principal Committee </w:t>
      </w:r>
      <w:r w:rsidRPr="0069162C">
        <w:rPr>
          <w:bCs/>
          <w:i/>
        </w:rPr>
        <w:t xml:space="preserve">and endorsed by the Australian Health Ministers’ Advisory Council on </w:t>
      </w:r>
    </w:p>
    <w:p w:rsidR="00447209" w:rsidRPr="0069162C" w:rsidRDefault="00206DA0" w:rsidP="00E835C4">
      <w:pPr>
        <w:ind w:left="851" w:right="397" w:hanging="284"/>
        <w:jc w:val="center"/>
        <w:rPr>
          <w:bCs/>
          <w:i/>
        </w:rPr>
      </w:pPr>
      <w:r w:rsidRPr="00206DA0">
        <w:rPr>
          <w:bCs/>
          <w:i/>
        </w:rPr>
        <w:t>8</w:t>
      </w:r>
      <w:r w:rsidR="00447209" w:rsidRPr="00206DA0">
        <w:rPr>
          <w:bCs/>
          <w:i/>
        </w:rPr>
        <w:t xml:space="preserve"> December 2017</w:t>
      </w:r>
    </w:p>
    <w:p w:rsidR="007F06B5" w:rsidRDefault="007F06B5" w:rsidP="00EE0BB0">
      <w:pPr>
        <w:ind w:left="851" w:right="849"/>
        <w:rPr>
          <w:b/>
          <w:bCs/>
        </w:rPr>
      </w:pPr>
    </w:p>
    <w:p w:rsidR="00EE0BB0" w:rsidRPr="00B6438E" w:rsidRDefault="007035C7" w:rsidP="00EE0BB0">
      <w:pPr>
        <w:ind w:left="851" w:right="849"/>
        <w:rPr>
          <w:b/>
          <w:bCs/>
        </w:rPr>
      </w:pPr>
      <w:r>
        <w:rPr>
          <w:b/>
          <w:bCs/>
        </w:rPr>
        <w:t>Strategic approach</w:t>
      </w:r>
      <w:r w:rsidR="007F06B5">
        <w:rPr>
          <w:b/>
          <w:bCs/>
        </w:rPr>
        <w:t xml:space="preserve"> </w:t>
      </w:r>
      <w:r w:rsidR="00EE0BB0" w:rsidRPr="00B6438E">
        <w:rPr>
          <w:b/>
          <w:bCs/>
        </w:rPr>
        <w:t>objectives</w:t>
      </w:r>
    </w:p>
    <w:p w:rsidR="00B268B3" w:rsidRDefault="002F527A" w:rsidP="00EE0BB0">
      <w:pPr>
        <w:ind w:left="851" w:right="849"/>
      </w:pPr>
      <w:r>
        <w:t xml:space="preserve">Indigenous people </w:t>
      </w:r>
      <w:r w:rsidRPr="00A87A5B">
        <w:t>are disproportionately represented in notifications of sexually transmissible infections (STI) and blood</w:t>
      </w:r>
      <w:r>
        <w:t xml:space="preserve"> </w:t>
      </w:r>
      <w:r w:rsidRPr="00A87A5B">
        <w:t>borne viruses (BBV).</w:t>
      </w:r>
      <w:r>
        <w:t xml:space="preserve"> </w:t>
      </w:r>
      <w:r w:rsidR="00B268B3" w:rsidRPr="00A87A5B">
        <w:t xml:space="preserve">Most immediately concerning is the outbreak of infectious syphilis affecting predominately young (15-29 year old) </w:t>
      </w:r>
      <w:r w:rsidR="0010655F">
        <w:t xml:space="preserve">Aboriginal and Torres Strait Islander (hereafter Indigenous) </w:t>
      </w:r>
      <w:r w:rsidR="00B268B3" w:rsidRPr="00A87A5B">
        <w:t>people in communities across northern and central Australia</w:t>
      </w:r>
      <w:r w:rsidR="00B268B3" w:rsidRPr="00A87A5B">
        <w:rPr>
          <w:vertAlign w:val="superscript"/>
        </w:rPr>
        <w:t>1</w:t>
      </w:r>
      <w:r w:rsidR="00B268B3" w:rsidRPr="00A87A5B">
        <w:t>.</w:t>
      </w:r>
    </w:p>
    <w:p w:rsidR="00206DA0" w:rsidRDefault="00206DA0" w:rsidP="00EE0BB0">
      <w:pPr>
        <w:ind w:left="851" w:right="849"/>
      </w:pPr>
    </w:p>
    <w:p w:rsidR="00B268B3" w:rsidRDefault="00B268B3" w:rsidP="00EE0BB0">
      <w:pPr>
        <w:ind w:left="851" w:right="849"/>
      </w:pPr>
      <w:r>
        <w:t>Under</w:t>
      </w:r>
      <w:r w:rsidR="00F36148">
        <w:t xml:space="preserve"> the leadership of </w:t>
      </w:r>
      <w:r w:rsidR="00F36148" w:rsidRPr="00F36148">
        <w:t>Australian Health Protection Principal Committee (AHPPC)</w:t>
      </w:r>
      <w:r w:rsidR="00F36148">
        <w:t>,</w:t>
      </w:r>
      <w:r>
        <w:t xml:space="preserve"> </w:t>
      </w:r>
      <w:r w:rsidR="00F36148">
        <w:t xml:space="preserve">key stakeholders </w:t>
      </w:r>
      <w:r>
        <w:t>will drive a national</w:t>
      </w:r>
      <w:r w:rsidR="00D61110">
        <w:t>ly</w:t>
      </w:r>
      <w:r>
        <w:t xml:space="preserve"> </w:t>
      </w:r>
      <w:r w:rsidR="00D61110">
        <w:t xml:space="preserve">co-ordinated and </w:t>
      </w:r>
      <w:r>
        <w:t xml:space="preserve">enhanced response to </w:t>
      </w:r>
      <w:r w:rsidR="00D34A0B">
        <w:t>control</w:t>
      </w:r>
      <w:r>
        <w:t xml:space="preserve"> the syphilis outbreak</w:t>
      </w:r>
      <w:r w:rsidR="00EE0BB0">
        <w:t>.</w:t>
      </w:r>
    </w:p>
    <w:p w:rsidR="00381B85" w:rsidRDefault="00381B85" w:rsidP="00EE0BB0">
      <w:pPr>
        <w:ind w:left="851" w:right="849"/>
      </w:pPr>
    </w:p>
    <w:p w:rsidR="00D61110" w:rsidRDefault="00B270E9" w:rsidP="00D61110">
      <w:pPr>
        <w:ind w:left="851" w:right="849"/>
      </w:pPr>
      <w:r>
        <w:t>I</w:t>
      </w:r>
      <w:r w:rsidR="00D34A0B">
        <w:t>t is acknowledged that significant work has been done individually by State and Territory Health services, Aboriginal Community Controlled Health O</w:t>
      </w:r>
      <w:r>
        <w:t>rganisation</w:t>
      </w:r>
      <w:r w:rsidR="00D34A0B">
        <w:t>s, primary health care and other community organisations to address the syphilis outbreak</w:t>
      </w:r>
      <w:r w:rsidR="00D61110">
        <w:t>. T</w:t>
      </w:r>
      <w:r w:rsidR="00D34A0B">
        <w:t>he enhanced response</w:t>
      </w:r>
      <w:r>
        <w:t xml:space="preserve"> provides an opportunity to draw on </w:t>
      </w:r>
      <w:r w:rsidR="00D61110">
        <w:t xml:space="preserve">their </w:t>
      </w:r>
      <w:r>
        <w:t>successes</w:t>
      </w:r>
      <w:r w:rsidR="0010655F">
        <w:t xml:space="preserve">, identify </w:t>
      </w:r>
      <w:r w:rsidR="007F06B5">
        <w:t xml:space="preserve">remaining barriers, </w:t>
      </w:r>
      <w:r>
        <w:t xml:space="preserve">and collectively develop </w:t>
      </w:r>
      <w:r w:rsidR="00D61110">
        <w:t xml:space="preserve">sustainable </w:t>
      </w:r>
      <w:r>
        <w:t>solutions</w:t>
      </w:r>
      <w:r w:rsidR="007F06B5">
        <w:t xml:space="preserve"> (</w:t>
      </w:r>
      <w:r w:rsidR="00D61110">
        <w:t xml:space="preserve">recognising </w:t>
      </w:r>
      <w:r w:rsidR="0010655F">
        <w:t xml:space="preserve">the </w:t>
      </w:r>
      <w:r w:rsidR="00381B85">
        <w:t xml:space="preserve">different needs </w:t>
      </w:r>
      <w:r w:rsidR="00D61110">
        <w:t>within</w:t>
      </w:r>
      <w:r w:rsidR="00381B85">
        <w:t xml:space="preserve"> jurisdictions</w:t>
      </w:r>
      <w:r w:rsidR="007F06B5">
        <w:t>)</w:t>
      </w:r>
      <w:r w:rsidR="00381B85">
        <w:t xml:space="preserve">. </w:t>
      </w:r>
    </w:p>
    <w:p w:rsidR="00D61110" w:rsidRDefault="00D61110" w:rsidP="00D61110">
      <w:pPr>
        <w:ind w:left="851" w:right="849"/>
      </w:pPr>
    </w:p>
    <w:p w:rsidR="00B268B3" w:rsidRDefault="0010655F" w:rsidP="0010655F">
      <w:pPr>
        <w:ind w:left="851" w:right="849"/>
      </w:pPr>
      <w:r w:rsidRPr="00381B85">
        <w:t>While much of the focus has been on syphilis, the epidemiology for other STI and BBV are similarly concerning.</w:t>
      </w:r>
      <w:r>
        <w:t xml:space="preserve"> </w:t>
      </w:r>
      <w:r w:rsidR="00D61110">
        <w:t>The enhanced response</w:t>
      </w:r>
      <w:r w:rsidR="00381B85">
        <w:t xml:space="preserve"> also provides an opportunity to address the disproportionate rates of other STI and BBV.</w:t>
      </w:r>
      <w:r>
        <w:t xml:space="preserve"> </w:t>
      </w:r>
    </w:p>
    <w:p w:rsidR="00F36148" w:rsidRDefault="00F36148" w:rsidP="0010655F">
      <w:pPr>
        <w:ind w:right="849"/>
      </w:pPr>
    </w:p>
    <w:p w:rsidR="00F36148" w:rsidRDefault="00F36148" w:rsidP="00F36148">
      <w:pPr>
        <w:ind w:left="851" w:right="849"/>
      </w:pPr>
      <w:r>
        <w:t>The</w:t>
      </w:r>
      <w:r w:rsidR="0010655F">
        <w:t>refore,</w:t>
      </w:r>
      <w:r>
        <w:t xml:space="preserve"> </w:t>
      </w:r>
      <w:r w:rsidR="0010655F">
        <w:t xml:space="preserve">the </w:t>
      </w:r>
      <w:r>
        <w:t xml:space="preserve">primary, secondary and tertiary objectives of the </w:t>
      </w:r>
      <w:r w:rsidR="0010655F">
        <w:t>Strateg</w:t>
      </w:r>
      <w:r w:rsidR="007035C7">
        <w:t>ic Approach</w:t>
      </w:r>
      <w:r>
        <w:t xml:space="preserve"> are to:</w:t>
      </w:r>
    </w:p>
    <w:p w:rsidR="00F36148" w:rsidRDefault="00F36148" w:rsidP="00F36148">
      <w:pPr>
        <w:ind w:left="851" w:right="849"/>
      </w:pPr>
      <w:r>
        <w:t>1.</w:t>
      </w:r>
      <w:r>
        <w:tab/>
      </w:r>
      <w:r w:rsidR="0010655F" w:rsidRPr="0010655F">
        <w:t>Control the current syphilis outbreak in northern and central Australia</w:t>
      </w:r>
      <w:r>
        <w:t xml:space="preserve"> (primary);</w:t>
      </w:r>
    </w:p>
    <w:p w:rsidR="00F36148" w:rsidRDefault="00F36148" w:rsidP="0010655F">
      <w:pPr>
        <w:ind w:left="1436" w:right="849" w:hanging="585"/>
      </w:pPr>
      <w:r>
        <w:t>2.</w:t>
      </w:r>
      <w:r>
        <w:tab/>
        <w:t>Undertake opportunistic control efforts for other STI and BBV (secondary);</w:t>
      </w:r>
    </w:p>
    <w:p w:rsidR="00F36148" w:rsidRDefault="00F36148" w:rsidP="007F06B5">
      <w:pPr>
        <w:ind w:left="1436" w:hanging="585"/>
      </w:pPr>
      <w:r>
        <w:t>3.</w:t>
      </w:r>
      <w:r>
        <w:tab/>
        <w:t>Consider the long-term sustainable response to STI and BBV issues</w:t>
      </w:r>
      <w:r w:rsidR="0010655F">
        <w:t xml:space="preserve"> in Indigenous people</w:t>
      </w:r>
      <w:r>
        <w:t>, in-line with the National BBV and STI Strategies</w:t>
      </w:r>
      <w:r w:rsidR="0010655F">
        <w:t xml:space="preserve"> for 2018-2022 </w:t>
      </w:r>
      <w:r>
        <w:t>(tertiary)</w:t>
      </w:r>
      <w:r w:rsidR="007F06B5">
        <w:t>, with the ultimate goal of</w:t>
      </w:r>
      <w:r w:rsidR="007F06B5" w:rsidRPr="007F06B5">
        <w:t xml:space="preserve"> </w:t>
      </w:r>
      <w:r w:rsidR="007F06B5">
        <w:t xml:space="preserve">reducing rates </w:t>
      </w:r>
      <w:r w:rsidR="007F06B5" w:rsidRPr="007F06B5">
        <w:t>of STI and BBV</w:t>
      </w:r>
      <w:r w:rsidR="007F06B5">
        <w:t xml:space="preserve"> to a sustainably</w:t>
      </w:r>
      <w:r w:rsidR="007F06B5" w:rsidRPr="007F06B5">
        <w:t xml:space="preserve"> low </w:t>
      </w:r>
      <w:r w:rsidR="007F06B5">
        <w:t>level</w:t>
      </w:r>
      <w:r w:rsidR="007F06B5" w:rsidRPr="007F06B5">
        <w:t>.</w:t>
      </w:r>
    </w:p>
    <w:p w:rsidR="00EE0BB0" w:rsidRDefault="00EE0BB0" w:rsidP="00EE0BB0">
      <w:pPr>
        <w:ind w:left="851" w:right="849"/>
      </w:pPr>
    </w:p>
    <w:p w:rsidR="001D727C" w:rsidRPr="001D727C" w:rsidRDefault="001D727C" w:rsidP="003D3390">
      <w:pPr>
        <w:ind w:left="851" w:right="849"/>
        <w:rPr>
          <w:b/>
        </w:rPr>
      </w:pPr>
      <w:r>
        <w:rPr>
          <w:b/>
        </w:rPr>
        <w:t>Action Plan</w:t>
      </w:r>
    </w:p>
    <w:p w:rsidR="007F06B5" w:rsidRDefault="003D3390" w:rsidP="00C76FF5">
      <w:pPr>
        <w:ind w:left="851" w:right="849"/>
      </w:pPr>
      <w:r w:rsidRPr="007F06B5">
        <w:t>Supporting this S</w:t>
      </w:r>
      <w:r w:rsidR="007035C7">
        <w:t>trategic Approach</w:t>
      </w:r>
      <w:r w:rsidRPr="007F06B5">
        <w:t xml:space="preserve"> is an Action Plan that outlines activities</w:t>
      </w:r>
      <w:r w:rsidR="002F527A" w:rsidRPr="007F06B5">
        <w:t xml:space="preserve"> that are or </w:t>
      </w:r>
      <w:proofErr w:type="gramStart"/>
      <w:r w:rsidR="002F527A" w:rsidRPr="007F06B5">
        <w:t>will be undertaken</w:t>
      </w:r>
      <w:proofErr w:type="gramEnd"/>
      <w:r w:rsidR="002F527A" w:rsidRPr="007F06B5">
        <w:t xml:space="preserve"> to respond to the syphilis outbreak</w:t>
      </w:r>
      <w:r w:rsidR="007F06B5">
        <w:t xml:space="preserve"> under </w:t>
      </w:r>
      <w:r w:rsidR="00C715D9">
        <w:t>four</w:t>
      </w:r>
      <w:r w:rsidR="007F06B5">
        <w:t xml:space="preserve"> main priority areas</w:t>
      </w:r>
      <w:r w:rsidR="00FE08B2" w:rsidRPr="007F06B5">
        <w:t>.  Embedded in each priority area are activities that aim to build a stable and skilled health workforce, which will be critical to the success of this Strateg</w:t>
      </w:r>
      <w:r w:rsidR="007035C7">
        <w:t>ic Approach</w:t>
      </w:r>
      <w:r w:rsidR="00C715D9">
        <w:t>.</w:t>
      </w:r>
    </w:p>
    <w:p w:rsidR="007F06B5" w:rsidRDefault="007F06B5" w:rsidP="00C76FF5">
      <w:pPr>
        <w:ind w:left="851" w:right="849"/>
      </w:pPr>
    </w:p>
    <w:p w:rsidR="00B6438E" w:rsidRDefault="003D3390" w:rsidP="00206DA0">
      <w:pPr>
        <w:ind w:left="851" w:right="849"/>
      </w:pPr>
      <w:r w:rsidRPr="007F06B5">
        <w:t xml:space="preserve">While this Action Plan has been developed with the primary objective of responding to the syphilis </w:t>
      </w:r>
      <w:r w:rsidR="001D727C" w:rsidRPr="007F06B5">
        <w:t>outbreak</w:t>
      </w:r>
      <w:r w:rsidR="007F06B5">
        <w:t>, in meeting this Strateg</w:t>
      </w:r>
      <w:r w:rsidR="007035C7">
        <w:t>ic Approach</w:t>
      </w:r>
      <w:r w:rsidR="007F06B5">
        <w:t>’s objectives,</w:t>
      </w:r>
      <w:r w:rsidR="001D727C" w:rsidRPr="007F06B5">
        <w:t xml:space="preserve"> it is expected that the Action Plan will evolve over time as the priorities for </w:t>
      </w:r>
      <w:r w:rsidR="007F06B5">
        <w:t xml:space="preserve">managing </w:t>
      </w:r>
      <w:r w:rsidR="001D727C" w:rsidRPr="007F06B5">
        <w:t xml:space="preserve">Indigenous </w:t>
      </w:r>
      <w:r w:rsidR="007F06B5">
        <w:t xml:space="preserve">BBV and STI </w:t>
      </w:r>
      <w:r w:rsidR="001D727C" w:rsidRPr="007F06B5">
        <w:t>change.</w:t>
      </w:r>
    </w:p>
    <w:p w:rsidR="00206DA0" w:rsidRDefault="00206DA0" w:rsidP="00206DA0">
      <w:pPr>
        <w:ind w:left="851" w:right="849"/>
      </w:pPr>
    </w:p>
    <w:p w:rsidR="00B6438E" w:rsidRDefault="00FE08B2" w:rsidP="004A0976">
      <w:pPr>
        <w:ind w:left="851" w:right="849"/>
        <w:rPr>
          <w:b/>
          <w:bCs/>
        </w:rPr>
      </w:pPr>
      <w:r>
        <w:rPr>
          <w:b/>
          <w:bCs/>
        </w:rPr>
        <w:t>G</w:t>
      </w:r>
      <w:r w:rsidR="00B6438E">
        <w:rPr>
          <w:b/>
          <w:bCs/>
        </w:rPr>
        <w:t xml:space="preserve">overnance </w:t>
      </w:r>
    </w:p>
    <w:p w:rsidR="00116783" w:rsidRPr="00B6438E" w:rsidRDefault="00FE08B2" w:rsidP="004A0976">
      <w:pPr>
        <w:ind w:left="851" w:right="849"/>
        <w:rPr>
          <w:b/>
          <w:bCs/>
        </w:rPr>
      </w:pPr>
      <w:r>
        <w:rPr>
          <w:bCs/>
        </w:rPr>
        <w:t xml:space="preserve">AHPPC </w:t>
      </w:r>
      <w:r w:rsidR="00C715D9">
        <w:rPr>
          <w:bCs/>
        </w:rPr>
        <w:t>is</w:t>
      </w:r>
      <w:r>
        <w:rPr>
          <w:bCs/>
        </w:rPr>
        <w:t xml:space="preserve"> </w:t>
      </w:r>
      <w:r w:rsidR="00063D62">
        <w:rPr>
          <w:bCs/>
        </w:rPr>
        <w:t xml:space="preserve">supported </w:t>
      </w:r>
      <w:r w:rsidR="00B1442C">
        <w:rPr>
          <w:bCs/>
        </w:rPr>
        <w:t>in achieving the objectives of this Strateg</w:t>
      </w:r>
      <w:r w:rsidR="007035C7">
        <w:rPr>
          <w:bCs/>
        </w:rPr>
        <w:t>ic Approach</w:t>
      </w:r>
      <w:r w:rsidR="00B1442C">
        <w:rPr>
          <w:bCs/>
        </w:rPr>
        <w:t xml:space="preserve"> </w:t>
      </w:r>
      <w:r w:rsidR="00063D62">
        <w:rPr>
          <w:bCs/>
        </w:rPr>
        <w:t xml:space="preserve">by </w:t>
      </w:r>
      <w:r w:rsidR="00B1442C">
        <w:rPr>
          <w:bCs/>
        </w:rPr>
        <w:t xml:space="preserve">the Commonwealth </w:t>
      </w:r>
      <w:r w:rsidR="00063D62">
        <w:rPr>
          <w:bCs/>
        </w:rPr>
        <w:t>Department</w:t>
      </w:r>
      <w:r w:rsidR="00B1442C">
        <w:rPr>
          <w:bCs/>
        </w:rPr>
        <w:t>s</w:t>
      </w:r>
      <w:r w:rsidR="00063D62">
        <w:rPr>
          <w:bCs/>
        </w:rPr>
        <w:t xml:space="preserve"> of Health</w:t>
      </w:r>
      <w:r w:rsidR="00B1442C">
        <w:rPr>
          <w:bCs/>
        </w:rPr>
        <w:t xml:space="preserve"> and Prime Minister and Cabinet</w:t>
      </w:r>
      <w:r w:rsidR="00063D62">
        <w:rPr>
          <w:bCs/>
        </w:rPr>
        <w:t xml:space="preserve">, </w:t>
      </w:r>
      <w:r w:rsidR="00B1442C">
        <w:rPr>
          <w:bCs/>
        </w:rPr>
        <w:t xml:space="preserve">jurisdictional Health Departments, relevant </w:t>
      </w:r>
      <w:r w:rsidR="00063D62">
        <w:rPr>
          <w:bCs/>
        </w:rPr>
        <w:t>AHPPC su</w:t>
      </w:r>
      <w:r w:rsidR="00B1442C">
        <w:rPr>
          <w:bCs/>
        </w:rPr>
        <w:t>b-committees and working groups</w:t>
      </w:r>
      <w:r w:rsidR="00063D62">
        <w:rPr>
          <w:bCs/>
        </w:rPr>
        <w:t>, and key non-Government agencies.</w:t>
      </w:r>
    </w:p>
    <w:sectPr w:rsidR="00116783" w:rsidRPr="00B6438E" w:rsidSect="006B3CA7">
      <w:footerReference w:type="default" r:id="rId11"/>
      <w:headerReference w:type="first" r:id="rId12"/>
      <w:footerReference w:type="first" r:id="rId13"/>
      <w:pgSz w:w="11906" w:h="16838"/>
      <w:pgMar w:top="0" w:right="0" w:bottom="1134" w:left="0" w:header="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B5" w:rsidRDefault="002470B5" w:rsidP="002470B5">
      <w:r>
        <w:separator/>
      </w:r>
    </w:p>
  </w:endnote>
  <w:endnote w:type="continuationSeparator" w:id="0">
    <w:p w:rsidR="002470B5" w:rsidRDefault="002470B5" w:rsidP="0024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venirNext LT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E7881928119C41AD80BD77D0E85F9067"/>
      </w:placeholder>
      <w:temporary/>
      <w:showingPlcHdr/>
    </w:sdtPr>
    <w:sdtEndPr/>
    <w:sdtContent>
      <w:p w:rsidR="004015CA" w:rsidRDefault="004015CA">
        <w:pPr>
          <w:pStyle w:val="Footer"/>
        </w:pPr>
        <w:r>
          <w:t>[Type text]</w:t>
        </w:r>
      </w:p>
    </w:sdtContent>
  </w:sdt>
  <w:p w:rsidR="004015CA" w:rsidRDefault="00401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CA" w:rsidRPr="0092359A" w:rsidRDefault="004015CA" w:rsidP="00206DA0">
    <w:pPr>
      <w:pStyle w:val="Footer"/>
      <w:ind w:left="420" w:firstLine="6"/>
    </w:pPr>
    <w:r>
      <w:rPr>
        <w:vertAlign w:val="superscript"/>
      </w:rPr>
      <w:t>1</w:t>
    </w:r>
    <w:r w:rsidRPr="004015CA">
      <w:rPr>
        <w:sz w:val="20"/>
        <w:szCs w:val="20"/>
      </w:rPr>
      <w:t>Affected areas as at October 2017 include:</w:t>
    </w:r>
    <w:r w:rsidR="0092359A">
      <w:rPr>
        <w:sz w:val="20"/>
        <w:szCs w:val="20"/>
      </w:rPr>
      <w:t xml:space="preserve"> </w:t>
    </w:r>
    <w:r w:rsidR="0092359A">
      <w:rPr>
        <w:b/>
        <w:sz w:val="20"/>
        <w:szCs w:val="20"/>
      </w:rPr>
      <w:t>Queensland</w:t>
    </w:r>
    <w:r w:rsidR="0092359A">
      <w:rPr>
        <w:sz w:val="20"/>
        <w:szCs w:val="20"/>
      </w:rPr>
      <w:t xml:space="preserve"> (Hospital and Health Service areas -Cairns and Hinterland, Torres and Cape, </w:t>
    </w:r>
    <w:r w:rsidR="008E6942">
      <w:rPr>
        <w:sz w:val="20"/>
        <w:szCs w:val="20"/>
      </w:rPr>
      <w:br/>
    </w:r>
    <w:r w:rsidR="0092359A">
      <w:rPr>
        <w:sz w:val="20"/>
        <w:szCs w:val="20"/>
      </w:rPr>
      <w:t xml:space="preserve">North West and Townsville); </w:t>
    </w:r>
    <w:r w:rsidR="0092359A">
      <w:rPr>
        <w:b/>
        <w:sz w:val="20"/>
        <w:szCs w:val="20"/>
      </w:rPr>
      <w:t>Northern Territory</w:t>
    </w:r>
    <w:r w:rsidR="0092359A">
      <w:rPr>
        <w:sz w:val="20"/>
        <w:szCs w:val="20"/>
      </w:rPr>
      <w:t xml:space="preserve"> (all districts); </w:t>
    </w:r>
    <w:r w:rsidR="0092359A">
      <w:rPr>
        <w:b/>
        <w:sz w:val="20"/>
        <w:szCs w:val="20"/>
      </w:rPr>
      <w:t xml:space="preserve">Western Australia </w:t>
    </w:r>
    <w:r w:rsidR="0092359A">
      <w:rPr>
        <w:sz w:val="20"/>
        <w:szCs w:val="20"/>
      </w:rPr>
      <w:t xml:space="preserve">(Kimberly region), and; </w:t>
    </w:r>
    <w:r w:rsidR="0092359A">
      <w:rPr>
        <w:b/>
        <w:sz w:val="20"/>
        <w:szCs w:val="20"/>
      </w:rPr>
      <w:t xml:space="preserve">South Australia </w:t>
    </w:r>
    <w:r w:rsidR="008E6942">
      <w:rPr>
        <w:b/>
        <w:sz w:val="20"/>
        <w:szCs w:val="20"/>
      </w:rPr>
      <w:br/>
    </w:r>
    <w:r w:rsidR="0092359A">
      <w:rPr>
        <w:sz w:val="20"/>
        <w:szCs w:val="20"/>
      </w:rPr>
      <w:t>(Western, Eyre and Far North regions).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B5" w:rsidRDefault="002470B5" w:rsidP="002470B5">
      <w:r>
        <w:separator/>
      </w:r>
    </w:p>
  </w:footnote>
  <w:footnote w:type="continuationSeparator" w:id="0">
    <w:p w:rsidR="002470B5" w:rsidRDefault="002470B5" w:rsidP="0024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A7" w:rsidRDefault="006B3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AF5"/>
    <w:multiLevelType w:val="hybridMultilevel"/>
    <w:tmpl w:val="7BC6F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97"/>
    <w:multiLevelType w:val="hybridMultilevel"/>
    <w:tmpl w:val="CAACC4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DE0"/>
    <w:multiLevelType w:val="hybridMultilevel"/>
    <w:tmpl w:val="278A3A38"/>
    <w:lvl w:ilvl="0" w:tplc="68E2246E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80E75"/>
    <w:multiLevelType w:val="hybridMultilevel"/>
    <w:tmpl w:val="C65C3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89F"/>
    <w:multiLevelType w:val="hybridMultilevel"/>
    <w:tmpl w:val="55B6844C"/>
    <w:lvl w:ilvl="0" w:tplc="DE06226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D99594" w:themeColor="accent2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24F7"/>
    <w:multiLevelType w:val="hybridMultilevel"/>
    <w:tmpl w:val="8AC2C736"/>
    <w:lvl w:ilvl="0" w:tplc="68E22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14FDD"/>
    <w:multiLevelType w:val="hybridMultilevel"/>
    <w:tmpl w:val="E32A58F8"/>
    <w:lvl w:ilvl="0" w:tplc="94562EF8">
      <w:numFmt w:val="bullet"/>
      <w:lvlText w:val=""/>
      <w:lvlJc w:val="left"/>
      <w:pPr>
        <w:ind w:left="2422" w:hanging="360"/>
      </w:pPr>
      <w:rPr>
        <w:rFonts w:ascii="Wingdings" w:eastAsia="Times New Roman" w:hAnsi="Wingdings" w:cs="Times New Roman" w:hint="default"/>
        <w:b/>
        <w:color w:val="B2A1C7" w:themeColor="accent4" w:themeTint="99"/>
      </w:rPr>
    </w:lvl>
    <w:lvl w:ilvl="1" w:tplc="831EB4A6">
      <w:numFmt w:val="bullet"/>
      <w:lvlText w:val=""/>
      <w:lvlJc w:val="left"/>
      <w:pPr>
        <w:ind w:left="2291" w:hanging="360"/>
      </w:pPr>
      <w:rPr>
        <w:rFonts w:ascii="Wingdings" w:eastAsia="Times New Roman" w:hAnsi="Wingdings" w:cs="Times New Roman" w:hint="default"/>
        <w:b/>
        <w:color w:val="92D050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F4D4AA4"/>
    <w:multiLevelType w:val="hybridMultilevel"/>
    <w:tmpl w:val="71347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8145F"/>
    <w:multiLevelType w:val="hybridMultilevel"/>
    <w:tmpl w:val="64741A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67F"/>
    <w:multiLevelType w:val="hybridMultilevel"/>
    <w:tmpl w:val="55B6844C"/>
    <w:lvl w:ilvl="0" w:tplc="DE06226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D99594" w:themeColor="accent2" w:themeTint="9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673B3"/>
    <w:multiLevelType w:val="hybridMultilevel"/>
    <w:tmpl w:val="4634B2E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243C55"/>
    <w:multiLevelType w:val="hybridMultilevel"/>
    <w:tmpl w:val="F7DEC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85249"/>
    <w:multiLevelType w:val="hybridMultilevel"/>
    <w:tmpl w:val="1296593A"/>
    <w:lvl w:ilvl="0" w:tplc="0C09000F">
      <w:start w:val="1"/>
      <w:numFmt w:val="decimal"/>
      <w:lvlText w:val="%1."/>
      <w:lvlJc w:val="left"/>
      <w:pPr>
        <w:ind w:left="1212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AC4201"/>
    <w:multiLevelType w:val="hybridMultilevel"/>
    <w:tmpl w:val="B4AE0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25C02"/>
    <w:multiLevelType w:val="hybridMultilevel"/>
    <w:tmpl w:val="B55290E2"/>
    <w:lvl w:ilvl="0" w:tplc="94562EF8">
      <w:numFmt w:val="bullet"/>
      <w:lvlText w:val=""/>
      <w:lvlJc w:val="left"/>
      <w:pPr>
        <w:ind w:left="1571" w:hanging="360"/>
      </w:pPr>
      <w:rPr>
        <w:rFonts w:ascii="Wingdings" w:eastAsia="Times New Roman" w:hAnsi="Wingdings" w:cs="Times New Roman" w:hint="default"/>
        <w:b/>
        <w:color w:val="B2A1C7" w:themeColor="accent4" w:themeTint="99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657084"/>
    <w:multiLevelType w:val="hybridMultilevel"/>
    <w:tmpl w:val="0F20C49C"/>
    <w:lvl w:ilvl="0" w:tplc="47563B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92CDDC" w:themeColor="accent5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22F27"/>
    <w:multiLevelType w:val="hybridMultilevel"/>
    <w:tmpl w:val="0F20C49C"/>
    <w:lvl w:ilvl="0" w:tplc="47563B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92CDDC" w:themeColor="accent5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3B22"/>
    <w:multiLevelType w:val="hybridMultilevel"/>
    <w:tmpl w:val="0F20C49C"/>
    <w:lvl w:ilvl="0" w:tplc="47563B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92CDDC" w:themeColor="accent5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16"/>
  </w:num>
  <w:num w:numId="13">
    <w:abstractNumId w:val="17"/>
  </w:num>
  <w:num w:numId="14">
    <w:abstractNumId w:val="14"/>
  </w:num>
  <w:num w:numId="15">
    <w:abstractNumId w:val="6"/>
  </w:num>
  <w:num w:numId="16">
    <w:abstractNumId w:val="13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40"/>
    <w:rsid w:val="00003743"/>
    <w:rsid w:val="00043220"/>
    <w:rsid w:val="00063D62"/>
    <w:rsid w:val="00067456"/>
    <w:rsid w:val="00077FDF"/>
    <w:rsid w:val="00095003"/>
    <w:rsid w:val="0010655F"/>
    <w:rsid w:val="00116783"/>
    <w:rsid w:val="00133B87"/>
    <w:rsid w:val="00171A20"/>
    <w:rsid w:val="001744EF"/>
    <w:rsid w:val="00196257"/>
    <w:rsid w:val="001B3443"/>
    <w:rsid w:val="001D727C"/>
    <w:rsid w:val="00206DA0"/>
    <w:rsid w:val="00207970"/>
    <w:rsid w:val="00225A4E"/>
    <w:rsid w:val="00243847"/>
    <w:rsid w:val="002470B5"/>
    <w:rsid w:val="00251A43"/>
    <w:rsid w:val="00287BC8"/>
    <w:rsid w:val="002B36C1"/>
    <w:rsid w:val="002D4442"/>
    <w:rsid w:val="002D44D9"/>
    <w:rsid w:val="002F28C3"/>
    <w:rsid w:val="002F3AE3"/>
    <w:rsid w:val="002F527A"/>
    <w:rsid w:val="002F72C2"/>
    <w:rsid w:val="0030786C"/>
    <w:rsid w:val="00315DA2"/>
    <w:rsid w:val="00381B85"/>
    <w:rsid w:val="003C021F"/>
    <w:rsid w:val="003D17F9"/>
    <w:rsid w:val="003D3390"/>
    <w:rsid w:val="004015CA"/>
    <w:rsid w:val="0041194A"/>
    <w:rsid w:val="00447209"/>
    <w:rsid w:val="004867E2"/>
    <w:rsid w:val="004A0976"/>
    <w:rsid w:val="004A16B7"/>
    <w:rsid w:val="0051244C"/>
    <w:rsid w:val="005E0A83"/>
    <w:rsid w:val="0069162C"/>
    <w:rsid w:val="006B3CA7"/>
    <w:rsid w:val="006E7CE1"/>
    <w:rsid w:val="007035C7"/>
    <w:rsid w:val="007078F0"/>
    <w:rsid w:val="00752E5B"/>
    <w:rsid w:val="00772340"/>
    <w:rsid w:val="007728C7"/>
    <w:rsid w:val="007B2C64"/>
    <w:rsid w:val="007F06B5"/>
    <w:rsid w:val="00822A1B"/>
    <w:rsid w:val="008264EB"/>
    <w:rsid w:val="00864183"/>
    <w:rsid w:val="00877483"/>
    <w:rsid w:val="008B2138"/>
    <w:rsid w:val="008C5CC6"/>
    <w:rsid w:val="008E6942"/>
    <w:rsid w:val="008F0575"/>
    <w:rsid w:val="00917342"/>
    <w:rsid w:val="0092359A"/>
    <w:rsid w:val="009262B3"/>
    <w:rsid w:val="00937DDD"/>
    <w:rsid w:val="0094665E"/>
    <w:rsid w:val="009F0377"/>
    <w:rsid w:val="009F6F87"/>
    <w:rsid w:val="00A07FF2"/>
    <w:rsid w:val="00A3402C"/>
    <w:rsid w:val="00A4512D"/>
    <w:rsid w:val="00A705AF"/>
    <w:rsid w:val="00AA57FC"/>
    <w:rsid w:val="00AB3FCB"/>
    <w:rsid w:val="00AC0FF6"/>
    <w:rsid w:val="00B1442C"/>
    <w:rsid w:val="00B268B3"/>
    <w:rsid w:val="00B270E9"/>
    <w:rsid w:val="00B42851"/>
    <w:rsid w:val="00B6438E"/>
    <w:rsid w:val="00B8337A"/>
    <w:rsid w:val="00BE39B3"/>
    <w:rsid w:val="00BE61EC"/>
    <w:rsid w:val="00BF5A4F"/>
    <w:rsid w:val="00C715D9"/>
    <w:rsid w:val="00C7526E"/>
    <w:rsid w:val="00C76FF5"/>
    <w:rsid w:val="00C771FF"/>
    <w:rsid w:val="00CB5B1A"/>
    <w:rsid w:val="00D00B27"/>
    <w:rsid w:val="00D26BF6"/>
    <w:rsid w:val="00D34A0B"/>
    <w:rsid w:val="00D61110"/>
    <w:rsid w:val="00D72D5F"/>
    <w:rsid w:val="00DE3665"/>
    <w:rsid w:val="00E835C4"/>
    <w:rsid w:val="00EE0BB0"/>
    <w:rsid w:val="00EE3308"/>
    <w:rsid w:val="00EF7BD0"/>
    <w:rsid w:val="00F14557"/>
    <w:rsid w:val="00F2177F"/>
    <w:rsid w:val="00F36148"/>
    <w:rsid w:val="00FD3DD8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D5B943A-425F-42D5-811A-3CDFD55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 text,Bulleted Para,Bullets,CV text,Dot pt,F5 List Paragraph,FooterText,L,List Paragraph1,List Paragraph11,List Paragraph111,List Paragraph2,Medium Grid 1 - Accent 21,NFP GP Bulleted List,Numbered Paragraph,Recommendation,Table text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ListParagraphChar">
    <w:name w:val="List Paragraph Char"/>
    <w:aliases w:val="Bullet text Char,Bulleted Para Char,Bullets Char,CV text Char,Dot pt Char,F5 List Paragraph Char,FooterText Char,L Char,List Paragraph1 Char,List Paragraph11 Char,List Paragraph111 Char,List Paragraph2 Char,NFP GP Bulleted List Char"/>
    <w:link w:val="ListParagraph"/>
    <w:uiPriority w:val="34"/>
    <w:qFormat/>
    <w:locked/>
    <w:rsid w:val="00171A20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47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70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47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0B5"/>
    <w:rPr>
      <w:sz w:val="24"/>
      <w:szCs w:val="24"/>
      <w:lang w:eastAsia="en-US"/>
    </w:rPr>
  </w:style>
  <w:style w:type="paragraph" w:customStyle="1" w:styleId="Default">
    <w:name w:val="Default"/>
    <w:rsid w:val="002470B5"/>
    <w:pPr>
      <w:autoSpaceDE w:val="0"/>
      <w:autoSpaceDN w:val="0"/>
      <w:adjustRightInd w:val="0"/>
    </w:pPr>
    <w:rPr>
      <w:rFonts w:ascii="AvenirNext LT Pro Regular" w:hAnsi="AvenirNext LT Pro Regular" w:cs="AvenirNext LT Pro Regular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8641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183"/>
    <w:rPr>
      <w:lang w:eastAsia="en-US"/>
    </w:rPr>
  </w:style>
  <w:style w:type="character" w:styleId="FootnoteReference">
    <w:name w:val="footnote reference"/>
    <w:basedOn w:val="DefaultParagraphFont"/>
    <w:rsid w:val="00864183"/>
    <w:rPr>
      <w:vertAlign w:val="superscript"/>
    </w:rPr>
  </w:style>
  <w:style w:type="character" w:styleId="CommentReference">
    <w:name w:val="annotation reference"/>
    <w:basedOn w:val="DefaultParagraphFont"/>
    <w:rsid w:val="009F6F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6F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F8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F6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F8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BF5A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F5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881928119C41AD80BD77D0E85F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87AD-5716-4A59-B9AD-FB70539BF31F}"/>
      </w:docPartPr>
      <w:docPartBody>
        <w:p w:rsidR="00D10385" w:rsidRDefault="00A91E32" w:rsidP="00A91E32">
          <w:pPr>
            <w:pStyle w:val="E7881928119C41AD80BD77D0E85F906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venirNext LT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32"/>
    <w:rsid w:val="00A91E32"/>
    <w:rsid w:val="00D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881928119C41AD80BD77D0E85F9067">
    <w:name w:val="E7881928119C41AD80BD77D0E85F9067"/>
    <w:rsid w:val="00A91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12" ma:contentTypeDescription="Create a new document." ma:contentTypeScope="" ma:versionID="1d4ff37efb3388d6274b5fad02dc121c">
  <xsd:schema xmlns:xsd="http://www.w3.org/2001/XMLSchema" xmlns:xs="http://www.w3.org/2001/XMLSchema" xmlns:p="http://schemas.microsoft.com/office/2006/metadata/properties" xmlns:ns2="dcf7b372-aaaa-46d8-9da6-ade9aab953df" xmlns:ns3="236487dd-ec90-4f99-8970-1318e5f29791" targetNamespace="http://schemas.microsoft.com/office/2006/metadata/properties" ma:root="true" ma:fieldsID="a10b7c6b2bdffd3aa1d9fd76c1e6f657" ns2:_="" ns3:_="">
    <xsd:import namespace="dcf7b372-aaaa-46d8-9da6-ade9aab953df"/>
    <xsd:import namespace="236487dd-ec90-4f99-8970-1318e5f2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FB89-E0CE-45A1-89C7-4D33584D58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36487dd-ec90-4f99-8970-1318e5f29791"/>
    <ds:schemaRef ds:uri="dcf7b372-aaaa-46d8-9da6-ade9aab953d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64761D-F0B7-4184-AA5D-C2E243F96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124F6-200B-4A32-A52B-F77081BB3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EF481-D9D5-4078-BCF5-9505C6A4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Checksfield</dc:creator>
  <cp:lastModifiedBy>MARTIN, Mel</cp:lastModifiedBy>
  <cp:revision>2</cp:revision>
  <cp:lastPrinted>2017-10-09T01:01:00Z</cp:lastPrinted>
  <dcterms:created xsi:type="dcterms:W3CDTF">2020-12-04T01:18:00Z</dcterms:created>
  <dcterms:modified xsi:type="dcterms:W3CDTF">2020-12-04T01:18:00Z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0x010100BA217076F0871349BCBE5A6EC7EEC4B3</vt:lpwstr>
  </property>
</Properties>
</file>