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2E69F" w14:textId="5843C404" w:rsidR="00751A23" w:rsidRPr="00A30C12" w:rsidRDefault="009538A5" w:rsidP="00542C0D">
      <w:pPr>
        <w:pStyle w:val="Title"/>
      </w:pPr>
      <w:r w:rsidRPr="00A30C12">
        <w:t>2024</w:t>
      </w:r>
      <w:r w:rsidR="00EA3CE4" w:rsidRPr="00A30C12">
        <w:t xml:space="preserve"> </w:t>
      </w:r>
      <w:r w:rsidRPr="00A30C12">
        <w:t xml:space="preserve">Mpox </w:t>
      </w:r>
      <w:r w:rsidR="00EA3CE4" w:rsidRPr="00A30C12">
        <w:t>Treatment Guidelines</w:t>
      </w:r>
    </w:p>
    <w:p w14:paraId="389B8E22" w14:textId="6E3AD0C4" w:rsidR="009F4231" w:rsidRPr="00A30C12" w:rsidRDefault="00EA3CE4" w:rsidP="009F4231">
      <w:pPr>
        <w:pStyle w:val="Subtitle"/>
        <w:rPr>
          <w:color w:val="auto"/>
        </w:rPr>
      </w:pPr>
      <w:r w:rsidRPr="00A30C12">
        <w:rPr>
          <w:color w:val="auto"/>
        </w:rPr>
        <w:t xml:space="preserve">Updated </w:t>
      </w:r>
      <w:r w:rsidR="00E3030C" w:rsidRPr="00A30C12">
        <w:rPr>
          <w:color w:val="auto"/>
        </w:rPr>
        <w:t>2</w:t>
      </w:r>
      <w:r w:rsidR="007F2D9F">
        <w:rPr>
          <w:color w:val="auto"/>
        </w:rPr>
        <w:t>0</w:t>
      </w:r>
      <w:r w:rsidR="0071133E" w:rsidRPr="00A30C12">
        <w:rPr>
          <w:color w:val="auto"/>
        </w:rPr>
        <w:t> </w:t>
      </w:r>
      <w:r w:rsidR="007F2D9F">
        <w:rPr>
          <w:color w:val="auto"/>
        </w:rPr>
        <w:t>November</w:t>
      </w:r>
      <w:r w:rsidRPr="00A30C12">
        <w:rPr>
          <w:color w:val="auto"/>
        </w:rPr>
        <w:t xml:space="preserve"> 2024</w:t>
      </w:r>
    </w:p>
    <w:p w14:paraId="2966159D" w14:textId="77777777" w:rsidR="009F4231" w:rsidRPr="00A30C12" w:rsidRDefault="009F4231" w:rsidP="009F4231">
      <w:pPr>
        <w:rPr>
          <w:color w:val="auto"/>
        </w:rPr>
        <w:sectPr w:rsidR="009F4231" w:rsidRPr="00A30C12" w:rsidSect="00D45D94">
          <w:headerReference w:type="first" r:id="rId11"/>
          <w:type w:val="continuous"/>
          <w:pgSz w:w="11906" w:h="16838"/>
          <w:pgMar w:top="1701" w:right="1418" w:bottom="1418" w:left="1418" w:header="850" w:footer="709" w:gutter="0"/>
          <w:cols w:space="708"/>
          <w:titlePg/>
          <w:docGrid w:linePitch="360"/>
        </w:sectPr>
      </w:pPr>
    </w:p>
    <w:p w14:paraId="4C57F62F" w14:textId="4CF7EAF7" w:rsidR="00CA4BE3" w:rsidRPr="00A30C12" w:rsidRDefault="00EA3CE4" w:rsidP="00CA4BE3">
      <w:pPr>
        <w:pStyle w:val="Heading1"/>
        <w:rPr>
          <w:color w:val="auto"/>
        </w:rPr>
      </w:pPr>
      <w:r w:rsidRPr="00A30C12">
        <w:rPr>
          <w:color w:val="auto"/>
        </w:rPr>
        <w:lastRenderedPageBreak/>
        <w:t>Revision History</w:t>
      </w:r>
    </w:p>
    <w:p w14:paraId="6771F75A" w14:textId="1892D9B7" w:rsidR="00EA3CE4" w:rsidRPr="00A30C12" w:rsidRDefault="00EA3CE4" w:rsidP="00EA3CE4">
      <w:pPr>
        <w:rPr>
          <w:color w:val="auto"/>
        </w:rPr>
      </w:pPr>
      <w:r w:rsidRPr="00A30C12">
        <w:rPr>
          <w:color w:val="auto"/>
        </w:rPr>
        <w:t>First published Friday, 24 June 2022</w:t>
      </w:r>
      <w:r w:rsidR="000F2430" w:rsidRPr="00A30C12">
        <w:rPr>
          <w:color w:val="auto"/>
        </w:rPr>
        <w:t>.</w:t>
      </w:r>
    </w:p>
    <w:p w14:paraId="1A2B1CDA" w14:textId="25DAB934" w:rsidR="00EA3CE4" w:rsidRPr="00A30C12" w:rsidRDefault="00EA3CE4" w:rsidP="00EA3CE4">
      <w:pPr>
        <w:rPr>
          <w:rFonts w:eastAsiaTheme="minorEastAsia"/>
          <w:color w:val="auto"/>
          <w:sz w:val="24"/>
        </w:rPr>
      </w:pPr>
      <w:r w:rsidRPr="00A30C12">
        <w:rPr>
          <w:color w:val="auto"/>
        </w:rPr>
        <w:t xml:space="preserve">Due to the emergence of the new monkeypox virus clade </w:t>
      </w:r>
      <w:proofErr w:type="spellStart"/>
      <w:r w:rsidRPr="00A30C12">
        <w:rPr>
          <w:color w:val="auto"/>
        </w:rPr>
        <w:t>Ib</w:t>
      </w:r>
      <w:proofErr w:type="spellEnd"/>
      <w:r w:rsidRPr="00A30C12">
        <w:rPr>
          <w:color w:val="auto"/>
        </w:rPr>
        <w:t xml:space="preserve"> and a resurgence of cases in the African region, a World Health Organization (WHO) Public Health Emergency of International Concern (PHEIC) was once again declared on 14</w:t>
      </w:r>
      <w:r w:rsidR="004461D1" w:rsidRPr="00A30C12">
        <w:rPr>
          <w:color w:val="auto"/>
        </w:rPr>
        <w:t> </w:t>
      </w:r>
      <w:r w:rsidRPr="00A30C12">
        <w:rPr>
          <w:color w:val="auto"/>
        </w:rPr>
        <w:t>August 2024.</w:t>
      </w:r>
    </w:p>
    <w:p w14:paraId="02FE92EB" w14:textId="049ED4EC" w:rsidR="00EA3CE4" w:rsidRPr="00A30C12" w:rsidRDefault="00EA3CE4" w:rsidP="00EA3CE4">
      <w:pPr>
        <w:rPr>
          <w:color w:val="auto"/>
          <w:sz w:val="24"/>
        </w:rPr>
      </w:pPr>
      <w:r w:rsidRPr="00A30C12">
        <w:rPr>
          <w:color w:val="auto"/>
          <w:sz w:val="24"/>
        </w:rPr>
        <w:t xml:space="preserve">These guidelines were reviewed and republished </w:t>
      </w:r>
      <w:r w:rsidR="00A30C12">
        <w:rPr>
          <w:color w:val="auto"/>
          <w:sz w:val="24"/>
        </w:rPr>
        <w:t>Wednes</w:t>
      </w:r>
      <w:r w:rsidR="00A30C12" w:rsidRPr="00A30C12">
        <w:rPr>
          <w:color w:val="auto"/>
          <w:sz w:val="24"/>
        </w:rPr>
        <w:t xml:space="preserve">day </w:t>
      </w:r>
      <w:r w:rsidR="00A30C12">
        <w:rPr>
          <w:color w:val="auto"/>
          <w:sz w:val="24"/>
        </w:rPr>
        <w:t>20</w:t>
      </w:r>
      <w:r w:rsidR="00A30C12" w:rsidRPr="00A30C12">
        <w:rPr>
          <w:color w:val="auto"/>
          <w:sz w:val="24"/>
        </w:rPr>
        <w:t> </w:t>
      </w:r>
      <w:r w:rsidR="00A30C12">
        <w:rPr>
          <w:color w:val="auto"/>
          <w:szCs w:val="22"/>
        </w:rPr>
        <w:t>November</w:t>
      </w:r>
      <w:r w:rsidR="00A30C12" w:rsidRPr="00A30C12">
        <w:rPr>
          <w:color w:val="auto"/>
          <w:sz w:val="24"/>
        </w:rPr>
        <w:t xml:space="preserve"> </w:t>
      </w:r>
      <w:r w:rsidRPr="00A30C12">
        <w:rPr>
          <w:color w:val="auto"/>
          <w:sz w:val="24"/>
        </w:rPr>
        <w:t>2024</w:t>
      </w:r>
      <w:r w:rsidR="000F2430" w:rsidRPr="00A30C12">
        <w:rPr>
          <w:color w:val="auto"/>
          <w:szCs w:val="22"/>
        </w:rPr>
        <w:t>.</w:t>
      </w:r>
    </w:p>
    <w:p w14:paraId="06FB0816" w14:textId="7B56EBED" w:rsidR="00EA3CE4" w:rsidRPr="00A30C12" w:rsidRDefault="00EA3CE4" w:rsidP="00EA3CE4">
      <w:pPr>
        <w:rPr>
          <w:color w:val="auto"/>
        </w:rPr>
      </w:pPr>
      <w:r w:rsidRPr="00A30C12">
        <w:rPr>
          <w:color w:val="auto"/>
        </w:rPr>
        <w:t>Most references to ACAM2000™ have been removed. During the mpox outbreak caused by monkeypox virus clade IIb, only three vials of ACAM2000™ were deployed from the National Medical Stockpile. ACAM2000™ is unlikely to be deployed for further mpox outbreaks. In the absence of ACAM2000™ use, there is no requirement for vaccinia immunoglobulin (VIG) for vaccinia-related complications.</w:t>
      </w:r>
    </w:p>
    <w:p w14:paraId="0AC72E73" w14:textId="77777777" w:rsidR="00EA3CE4" w:rsidRPr="00A30C12" w:rsidRDefault="00EA3CE4" w:rsidP="00EA3CE4">
      <w:pPr>
        <w:pStyle w:val="Heading1"/>
        <w:rPr>
          <w:color w:val="auto"/>
        </w:rPr>
      </w:pPr>
      <w:bookmarkStart w:id="0" w:name="_Hlk177736075"/>
      <w:r w:rsidRPr="00A30C12">
        <w:rPr>
          <w:color w:val="auto"/>
        </w:rPr>
        <w:t xml:space="preserve">Disclaimer </w:t>
      </w:r>
    </w:p>
    <w:p w14:paraId="362775A4" w14:textId="7F4E092F" w:rsidR="00EA3CE4" w:rsidRPr="00A30C12" w:rsidRDefault="00EA3CE4" w:rsidP="00EA3CE4">
      <w:pPr>
        <w:rPr>
          <w:color w:val="auto"/>
        </w:rPr>
      </w:pPr>
      <w:r w:rsidRPr="00A30C12">
        <w:rPr>
          <w:color w:val="auto"/>
        </w:rPr>
        <w:t>These guidelines ou</w:t>
      </w:r>
      <w:bookmarkEnd w:id="0"/>
      <w:r w:rsidRPr="00A30C12">
        <w:rPr>
          <w:color w:val="auto"/>
        </w:rPr>
        <w:t>tline Australia’s national human mpox treatment guidelines. The intention of these guidelines is to reflect the current available evidence base. Readers should not rely solely on the information contained within these guidelines. Guideline information is not intended to be a substitute for advice from other relevant sources</w:t>
      </w:r>
      <w:r w:rsidR="007A2BC8" w:rsidRPr="00A30C12">
        <w:rPr>
          <w:color w:val="auto"/>
        </w:rPr>
        <w:t>,</w:t>
      </w:r>
      <w:r w:rsidRPr="00A30C12">
        <w:rPr>
          <w:color w:val="auto"/>
        </w:rPr>
        <w:t xml:space="preserve"> including, but not limited to, advice from a public health specialist or other health professional. Clinical judgment and discretion may be required in the interpretation and application of these guidelines. The membership of the Communicable Diseases Network Australia (CDNA) and the Australian Health Principal Protection Committee (AHPC), and the Australian Government as represented by the Department of Health</w:t>
      </w:r>
      <w:r w:rsidR="0071087D" w:rsidRPr="00A30C12">
        <w:rPr>
          <w:color w:val="auto"/>
        </w:rPr>
        <w:t xml:space="preserve"> and Aged Care</w:t>
      </w:r>
      <w:r w:rsidRPr="00A30C12">
        <w:rPr>
          <w:color w:val="auto"/>
        </w:rPr>
        <w:t xml:space="preserve"> (</w:t>
      </w:r>
      <w:r w:rsidRPr="00A30C12">
        <w:rPr>
          <w:i/>
          <w:iCs/>
          <w:color w:val="auto"/>
        </w:rPr>
        <w:t>Health</w:t>
      </w:r>
      <w:r w:rsidRPr="00A30C12">
        <w:rPr>
          <w:color w:val="auto"/>
        </w:rPr>
        <w:t xml:space="preserve">) do not warrant or represent that the information contained in these guidelines is accurate, current or complete. CDNA, AHPC and </w:t>
      </w:r>
      <w:r w:rsidRPr="00A30C12">
        <w:rPr>
          <w:i/>
          <w:iCs/>
          <w:color w:val="auto"/>
        </w:rPr>
        <w:t>Health</w:t>
      </w:r>
      <w:r w:rsidRPr="00A30C12">
        <w:rPr>
          <w:color w:val="auto"/>
        </w:rPr>
        <w:t xml:space="preserve"> do not accept any legal liability or responsibility for any loss, damages, costs or expenses incurred </w:t>
      </w:r>
      <w:proofErr w:type="gramStart"/>
      <w:r w:rsidRPr="00A30C12">
        <w:rPr>
          <w:color w:val="auto"/>
        </w:rPr>
        <w:t>by the use of</w:t>
      </w:r>
      <w:proofErr w:type="gramEnd"/>
      <w:r w:rsidRPr="00A30C12">
        <w:rPr>
          <w:color w:val="auto"/>
        </w:rPr>
        <w:t>, or reliance on, or interpretation of, the information contained in these guidelines.</w:t>
      </w:r>
    </w:p>
    <w:p w14:paraId="7567E5C0" w14:textId="6F538B25" w:rsidR="00EA3CE4" w:rsidRPr="00A30C12" w:rsidRDefault="00EA3CE4">
      <w:pPr>
        <w:spacing w:before="0" w:after="0" w:line="240" w:lineRule="auto"/>
        <w:rPr>
          <w:color w:val="auto"/>
        </w:rPr>
      </w:pPr>
      <w:r w:rsidRPr="00A30C12">
        <w:rPr>
          <w:color w:val="auto"/>
        </w:rPr>
        <w:br w:type="page"/>
      </w:r>
    </w:p>
    <w:p w14:paraId="5DD54EA7" w14:textId="77777777" w:rsidR="00EA3CE4" w:rsidRPr="00A30C12" w:rsidRDefault="00EA3CE4" w:rsidP="00EA3CE4">
      <w:pPr>
        <w:pStyle w:val="Heading1"/>
        <w:rPr>
          <w:rFonts w:eastAsiaTheme="minorEastAsia"/>
          <w:color w:val="auto"/>
        </w:rPr>
      </w:pPr>
      <w:r w:rsidRPr="00A30C12">
        <w:rPr>
          <w:rFonts w:eastAsiaTheme="minorEastAsia"/>
          <w:color w:val="auto"/>
        </w:rPr>
        <w:t xml:space="preserve">Executive summary </w:t>
      </w:r>
    </w:p>
    <w:p w14:paraId="13874EB1" w14:textId="647DB758" w:rsidR="00EA3CE4" w:rsidRPr="00A30C12" w:rsidRDefault="00EA3CE4" w:rsidP="00EA3CE4">
      <w:pPr>
        <w:pStyle w:val="Heading2"/>
        <w:rPr>
          <w:color w:val="auto"/>
          <w:sz w:val="32"/>
          <w:szCs w:val="32"/>
        </w:rPr>
      </w:pPr>
      <w:bookmarkStart w:id="1" w:name="_Hlk177738750"/>
      <w:r w:rsidRPr="00A30C12">
        <w:rPr>
          <w:rFonts w:eastAsiaTheme="minorEastAsia"/>
          <w:color w:val="auto"/>
          <w:sz w:val="32"/>
          <w:szCs w:val="32"/>
        </w:rPr>
        <w:t>Guiding principles</w:t>
      </w:r>
      <w:bookmarkEnd w:id="1"/>
    </w:p>
    <w:p w14:paraId="0FA017EE" w14:textId="4CD8C498" w:rsidR="00EA3CE4" w:rsidRPr="00A30C12" w:rsidRDefault="00EA3CE4" w:rsidP="00EA3CE4">
      <w:pPr>
        <w:pStyle w:val="ListParagraph"/>
        <w:numPr>
          <w:ilvl w:val="0"/>
          <w:numId w:val="28"/>
        </w:numPr>
        <w:spacing w:before="0" w:after="160" w:line="259" w:lineRule="auto"/>
        <w:rPr>
          <w:color w:val="auto"/>
          <w:szCs w:val="22"/>
        </w:rPr>
      </w:pPr>
      <w:r w:rsidRPr="00A30C12">
        <w:rPr>
          <w:color w:val="auto"/>
          <w:szCs w:val="22"/>
        </w:rPr>
        <w:t xml:space="preserve">When required, seek expert guidance for clinical management of human mpox from an infectious diseases </w:t>
      </w:r>
      <w:r w:rsidR="002C168D" w:rsidRPr="00A30C12">
        <w:rPr>
          <w:color w:val="auto"/>
          <w:szCs w:val="22"/>
        </w:rPr>
        <w:t>and/</w:t>
      </w:r>
      <w:r w:rsidRPr="00A30C12">
        <w:rPr>
          <w:color w:val="auto"/>
          <w:szCs w:val="22"/>
        </w:rPr>
        <w:t>or sexual health physician. Because most infections caused by monkeypox virus (MPXV) clade IIb are mild, most patients will not require antiviral treatment. However, patients requiring antiviral treatment for mpox should have it initiated in consultation with an infectious diseases physician and/or a sexual health physician involved in case management.</w:t>
      </w:r>
      <w:r w:rsidRPr="00A30C12">
        <w:rPr>
          <w:color w:val="auto"/>
          <w:szCs w:val="22"/>
          <w:vertAlign w:val="superscript"/>
        </w:rPr>
        <w:footnoteReference w:id="2"/>
      </w:r>
      <w:r w:rsidRPr="00A30C12">
        <w:rPr>
          <w:color w:val="auto"/>
          <w:szCs w:val="22"/>
        </w:rPr>
        <w:t xml:space="preserve"> The severity of </w:t>
      </w:r>
      <w:r w:rsidR="000D7777" w:rsidRPr="00A30C12">
        <w:rPr>
          <w:color w:val="auto"/>
          <w:szCs w:val="22"/>
        </w:rPr>
        <w:t xml:space="preserve">infection of </w:t>
      </w:r>
      <w:r w:rsidRPr="00A30C12">
        <w:rPr>
          <w:color w:val="auto"/>
          <w:szCs w:val="22"/>
        </w:rPr>
        <w:t xml:space="preserve">the recently emerged </w:t>
      </w:r>
      <w:r w:rsidR="000D7777" w:rsidRPr="00A30C12">
        <w:rPr>
          <w:color w:val="auto"/>
          <w:szCs w:val="22"/>
        </w:rPr>
        <w:t xml:space="preserve">MPXV </w:t>
      </w:r>
      <w:r w:rsidRPr="00A30C12">
        <w:rPr>
          <w:color w:val="auto"/>
          <w:szCs w:val="22"/>
        </w:rPr>
        <w:t xml:space="preserve">clade </w:t>
      </w:r>
      <w:proofErr w:type="spellStart"/>
      <w:r w:rsidRPr="00A30C12">
        <w:rPr>
          <w:color w:val="auto"/>
          <w:szCs w:val="22"/>
        </w:rPr>
        <w:t>Ib</w:t>
      </w:r>
      <w:proofErr w:type="spellEnd"/>
      <w:r w:rsidRPr="00A30C12">
        <w:rPr>
          <w:color w:val="auto"/>
          <w:szCs w:val="22"/>
        </w:rPr>
        <w:t xml:space="preserve"> is yet to be determined.</w:t>
      </w:r>
    </w:p>
    <w:p w14:paraId="0BC2B964" w14:textId="6763771E" w:rsidR="00EA3CE4" w:rsidRPr="00A30C12" w:rsidRDefault="00EA3CE4" w:rsidP="00EA3CE4">
      <w:pPr>
        <w:pStyle w:val="ListParagraph"/>
        <w:numPr>
          <w:ilvl w:val="0"/>
          <w:numId w:val="28"/>
        </w:numPr>
        <w:spacing w:before="0" w:after="160" w:line="259" w:lineRule="auto"/>
        <w:rPr>
          <w:color w:val="auto"/>
          <w:szCs w:val="22"/>
        </w:rPr>
      </w:pPr>
      <w:r w:rsidRPr="00A30C12">
        <w:rPr>
          <w:color w:val="auto"/>
          <w:szCs w:val="22"/>
        </w:rPr>
        <w:t xml:space="preserve">Due to the emergence of the new MPXV clade </w:t>
      </w:r>
      <w:proofErr w:type="spellStart"/>
      <w:r w:rsidRPr="00A30C12">
        <w:rPr>
          <w:color w:val="auto"/>
          <w:szCs w:val="22"/>
        </w:rPr>
        <w:t>Ib</w:t>
      </w:r>
      <w:proofErr w:type="spellEnd"/>
      <w:r w:rsidRPr="00A30C12">
        <w:rPr>
          <w:color w:val="auto"/>
          <w:szCs w:val="22"/>
        </w:rPr>
        <w:t xml:space="preserve"> and a resurgence of cases in the African region, a World Health Organization (WHO) Public Health Emergency of International Concern (PHEIC) was once again declared on 14</w:t>
      </w:r>
      <w:r w:rsidR="00F122AC" w:rsidRPr="00A30C12">
        <w:rPr>
          <w:color w:val="auto"/>
          <w:szCs w:val="22"/>
        </w:rPr>
        <w:t> </w:t>
      </w:r>
      <w:r w:rsidRPr="00A30C12">
        <w:rPr>
          <w:color w:val="auto"/>
          <w:szCs w:val="22"/>
        </w:rPr>
        <w:t>August 2024.</w:t>
      </w:r>
    </w:p>
    <w:p w14:paraId="484EE015" w14:textId="3F290D36" w:rsidR="00EA3CE4" w:rsidRPr="00A30C12" w:rsidRDefault="00EA3CE4" w:rsidP="00EA3CE4">
      <w:pPr>
        <w:pStyle w:val="ListParagraph"/>
        <w:numPr>
          <w:ilvl w:val="0"/>
          <w:numId w:val="28"/>
        </w:numPr>
        <w:spacing w:before="0" w:after="160" w:line="259" w:lineRule="auto"/>
        <w:rPr>
          <w:color w:val="auto"/>
        </w:rPr>
      </w:pPr>
      <w:r w:rsidRPr="00A30C12">
        <w:rPr>
          <w:color w:val="auto"/>
        </w:rPr>
        <w:t xml:space="preserve">Patients with severe mpox requiring hospital admission, </w:t>
      </w:r>
      <w:r w:rsidR="00AF1D58" w:rsidRPr="00A30C12">
        <w:rPr>
          <w:color w:val="auto"/>
        </w:rPr>
        <w:t>e.g.,</w:t>
      </w:r>
      <w:r w:rsidRPr="00A30C12">
        <w:rPr>
          <w:color w:val="auto"/>
        </w:rPr>
        <w:t xml:space="preserve"> infection caused by MPXV clade I, may </w:t>
      </w:r>
      <w:r w:rsidR="00293963" w:rsidRPr="00A30C12">
        <w:rPr>
          <w:color w:val="auto"/>
        </w:rPr>
        <w:t>require management</w:t>
      </w:r>
      <w:r w:rsidRPr="00A30C12">
        <w:rPr>
          <w:color w:val="auto"/>
        </w:rPr>
        <w:t xml:space="preserve"> in a centre with a suitable level of biocontainment care capability</w:t>
      </w:r>
      <w:r w:rsidRPr="00A30C12">
        <w:rPr>
          <w:color w:val="auto"/>
          <w:vertAlign w:val="superscript"/>
        </w:rPr>
        <w:footnoteReference w:id="3"/>
      </w:r>
      <w:r w:rsidRPr="00A30C12">
        <w:rPr>
          <w:color w:val="auto"/>
        </w:rPr>
        <w:t xml:space="preserve"> such as a designated High Consequence Infectious Diseases (HCID) facility</w:t>
      </w:r>
      <w:r w:rsidR="002C168D" w:rsidRPr="00A30C12">
        <w:rPr>
          <w:color w:val="auto"/>
          <w:szCs w:val="22"/>
        </w:rPr>
        <w:t>,</w:t>
      </w:r>
      <w:r w:rsidRPr="00A30C12">
        <w:rPr>
          <w:color w:val="auto"/>
        </w:rPr>
        <w:t xml:space="preserve"> wherever possible. Such facilities can make the most of</w:t>
      </w:r>
      <w:r w:rsidRPr="00A30C12" w:rsidDel="008814AF">
        <w:rPr>
          <w:color w:val="auto"/>
          <w:szCs w:val="22"/>
        </w:rPr>
        <w:t xml:space="preserve"> </w:t>
      </w:r>
      <w:r w:rsidRPr="00A30C12">
        <w:rPr>
          <w:color w:val="auto"/>
        </w:rPr>
        <w:t>dedicated trained personnel in managing HCID. The use of HCID facilities is a jurisdiction’s decision.</w:t>
      </w:r>
    </w:p>
    <w:p w14:paraId="14F76CA9" w14:textId="77777777" w:rsidR="00EA3CE4" w:rsidRPr="00A30C12" w:rsidRDefault="00EA3CE4" w:rsidP="00EA3CE4">
      <w:pPr>
        <w:pStyle w:val="ListParagraph"/>
        <w:numPr>
          <w:ilvl w:val="0"/>
          <w:numId w:val="28"/>
        </w:numPr>
        <w:spacing w:before="0" w:after="160" w:line="259" w:lineRule="auto"/>
        <w:rPr>
          <w:color w:val="auto"/>
          <w:szCs w:val="22"/>
        </w:rPr>
      </w:pPr>
      <w:r w:rsidRPr="00A30C12">
        <w:rPr>
          <w:color w:val="auto"/>
          <w:szCs w:val="22"/>
        </w:rPr>
        <w:t>In patients who do not require admission to hospital, management should be coordinated with the patient's primary medical practitioner, with input from relevant specialists and public health units.</w:t>
      </w:r>
    </w:p>
    <w:p w14:paraId="73103980" w14:textId="14173651" w:rsidR="00EA3CE4" w:rsidRPr="00A30C12" w:rsidRDefault="00EA3CE4" w:rsidP="00EA3CE4">
      <w:pPr>
        <w:pStyle w:val="ListParagraph"/>
        <w:numPr>
          <w:ilvl w:val="0"/>
          <w:numId w:val="28"/>
        </w:numPr>
        <w:spacing w:before="0" w:after="160" w:line="259" w:lineRule="auto"/>
        <w:rPr>
          <w:color w:val="auto"/>
          <w:szCs w:val="22"/>
        </w:rPr>
      </w:pPr>
      <w:r w:rsidRPr="00A30C12">
        <w:rPr>
          <w:color w:val="auto"/>
          <w:szCs w:val="22"/>
        </w:rPr>
        <w:t xml:space="preserve">Available treatment options remain investigational. </w:t>
      </w:r>
      <w:r w:rsidR="00D654AA" w:rsidRPr="00A30C12">
        <w:rPr>
          <w:color w:val="auto"/>
          <w:szCs w:val="22"/>
        </w:rPr>
        <w:t>Before initiating treatment, i</w:t>
      </w:r>
      <w:r w:rsidRPr="00A30C12">
        <w:rPr>
          <w:color w:val="auto"/>
          <w:szCs w:val="22"/>
        </w:rPr>
        <w:t xml:space="preserve">t is important to carefully consider the benefits and risks </w:t>
      </w:r>
      <w:r w:rsidR="00D654AA" w:rsidRPr="00A30C12">
        <w:rPr>
          <w:color w:val="auto"/>
          <w:szCs w:val="22"/>
        </w:rPr>
        <w:t>for</w:t>
      </w:r>
      <w:r w:rsidRPr="00A30C12">
        <w:rPr>
          <w:color w:val="auto"/>
          <w:szCs w:val="22"/>
        </w:rPr>
        <w:t xml:space="preserve"> </w:t>
      </w:r>
      <w:r w:rsidR="00D654AA" w:rsidRPr="00A30C12">
        <w:rPr>
          <w:color w:val="auto"/>
          <w:szCs w:val="22"/>
        </w:rPr>
        <w:t>each</w:t>
      </w:r>
      <w:r w:rsidRPr="00A30C12">
        <w:rPr>
          <w:color w:val="auto"/>
          <w:szCs w:val="22"/>
        </w:rPr>
        <w:t xml:space="preserve"> patient.</w:t>
      </w:r>
    </w:p>
    <w:p w14:paraId="27BE1C86" w14:textId="77777777" w:rsidR="00EA3CE4" w:rsidRPr="00A30C12" w:rsidRDefault="00EA3CE4">
      <w:pPr>
        <w:spacing w:before="0" w:after="0" w:line="240" w:lineRule="auto"/>
        <w:rPr>
          <w:color w:val="auto"/>
          <w:szCs w:val="22"/>
        </w:rPr>
      </w:pPr>
      <w:r w:rsidRPr="00A30C12">
        <w:rPr>
          <w:color w:val="auto"/>
          <w:szCs w:val="22"/>
        </w:rPr>
        <w:br w:type="page"/>
      </w:r>
    </w:p>
    <w:p w14:paraId="006371A0" w14:textId="4256E3F5" w:rsidR="00EA3CE4" w:rsidRPr="00A30C12" w:rsidRDefault="00EA3CE4" w:rsidP="00EA3CE4">
      <w:pPr>
        <w:pStyle w:val="Heading1"/>
        <w:rPr>
          <w:rFonts w:eastAsiaTheme="minorEastAsia"/>
          <w:color w:val="auto"/>
        </w:rPr>
      </w:pPr>
      <w:r w:rsidRPr="00A30C12">
        <w:rPr>
          <w:color w:val="auto"/>
        </w:rPr>
        <w:t>Purpose of guidelines</w:t>
      </w:r>
      <w:r w:rsidRPr="00A30C12">
        <w:rPr>
          <w:rFonts w:eastAsiaTheme="minorEastAsia"/>
          <w:color w:val="auto"/>
        </w:rPr>
        <w:t xml:space="preserve"> </w:t>
      </w:r>
    </w:p>
    <w:p w14:paraId="037CDAAB" w14:textId="5FF59B7A" w:rsidR="00EA3CE4" w:rsidRPr="00A30C12" w:rsidRDefault="00EA3CE4" w:rsidP="00EA3CE4">
      <w:pPr>
        <w:rPr>
          <w:color w:val="auto"/>
          <w:szCs w:val="22"/>
        </w:rPr>
      </w:pPr>
      <w:r w:rsidRPr="00A30C12">
        <w:rPr>
          <w:color w:val="auto"/>
          <w:szCs w:val="22"/>
        </w:rPr>
        <w:t xml:space="preserve">The purpose of these guidelines is to outline the current therapeutic options for the management of human </w:t>
      </w:r>
      <w:r w:rsidR="002C168D" w:rsidRPr="00A30C12">
        <w:rPr>
          <w:color w:val="auto"/>
          <w:szCs w:val="22"/>
        </w:rPr>
        <w:t>MPXV</w:t>
      </w:r>
      <w:r w:rsidRPr="00A30C12">
        <w:rPr>
          <w:rStyle w:val="FootnoteReference"/>
          <w:color w:val="auto"/>
          <w:szCs w:val="22"/>
        </w:rPr>
        <w:footnoteReference w:id="4"/>
      </w:r>
      <w:r w:rsidRPr="00A30C12">
        <w:rPr>
          <w:color w:val="auto"/>
          <w:szCs w:val="22"/>
        </w:rPr>
        <w:t xml:space="preserve"> infection.</w:t>
      </w:r>
      <w:r w:rsidR="00590BEB" w:rsidRPr="00A30C12">
        <w:rPr>
          <w:color w:val="auto"/>
          <w:szCs w:val="22"/>
        </w:rPr>
        <w:t xml:space="preserve"> </w:t>
      </w:r>
      <w:r w:rsidRPr="00A30C12">
        <w:rPr>
          <w:color w:val="auto"/>
          <w:szCs w:val="22"/>
        </w:rPr>
        <w:t>These guidelines will be reviewed as the mpox situation evolves and as therapeutic options change.</w:t>
      </w:r>
    </w:p>
    <w:p w14:paraId="08EA5783" w14:textId="43CC5675" w:rsidR="00EA3CE4" w:rsidRPr="00A30C12" w:rsidRDefault="00EA3CE4" w:rsidP="00EA3CE4">
      <w:pPr>
        <w:pStyle w:val="Heading1"/>
        <w:rPr>
          <w:rFonts w:eastAsiaTheme="minorEastAsia"/>
          <w:color w:val="auto"/>
        </w:rPr>
      </w:pPr>
      <w:r w:rsidRPr="00A30C12">
        <w:rPr>
          <w:color w:val="auto"/>
        </w:rPr>
        <w:fldChar w:fldCharType="begin"/>
      </w:r>
      <w:r w:rsidRPr="00A30C12">
        <w:rPr>
          <w:color w:val="auto"/>
        </w:rPr>
        <w:instrText xml:space="preserve"> ADDIN EN.CITE &lt;EndNote&gt;&lt;Cite&gt;&lt;Author&gt;National Clinical Evidence Taskforce&lt;/Author&gt;&lt;Year&gt;2022&lt;/Year&gt;&lt;RecNum&gt;14&lt;/RecNum&gt;&lt;DisplayText&gt;(National Clinical Evidence Taskforce, 2022)&lt;/DisplayText&gt;&lt;record&gt;&lt;rec-number&gt;14&lt;/rec-number&gt;&lt;foreign-keys&gt;&lt;key app="EN" db-id="xersvedf1seaewezsr6xxxvbap22edxx2r55" timestamp="1726031432"&gt;14&lt;/key&gt;&lt;/foreign-keys&gt;&lt;ref-type name="Web Page"&gt;12&lt;/ref-type&gt;&lt;contributors&gt;&lt;authors&gt;&lt;author&gt;National Clinical Evidence Taskforce, &lt;/author&gt;&lt;/authors&gt;&lt;/contributors&gt;&lt;titles&gt;&lt;title&gt;Australian guidelines for the clinical care of people with MPX - Version 4.1&lt;/title&gt;&lt;/titles&gt;&lt;volume&gt;2024&lt;/volume&gt;&lt;number&gt;September 11, &lt;/number&gt;&lt;dates&gt;&lt;year&gt;2022&lt;/year&gt;&lt;/dates&gt;&lt;pub-location&gt;Victoria&lt;/pub-location&gt;&lt;urls&gt;&lt;related-urls&gt;&lt;url&gt;https://app.magicapp.org/#/guideline/6864&lt;/url&gt;&lt;/related-urls&gt;&lt;/urls&gt;&lt;/record&gt;&lt;/Cite&gt;&lt;/EndNote&gt;</w:instrText>
      </w:r>
      <w:r w:rsidR="00542C0D">
        <w:rPr>
          <w:color w:val="auto"/>
        </w:rPr>
        <w:fldChar w:fldCharType="separate"/>
      </w:r>
      <w:r w:rsidRPr="00A30C12">
        <w:rPr>
          <w:color w:val="auto"/>
        </w:rPr>
        <w:fldChar w:fldCharType="end"/>
      </w:r>
      <w:r w:rsidRPr="00A30C12">
        <w:rPr>
          <w:rFonts w:eastAsiaTheme="minorEastAsia"/>
          <w:color w:val="auto"/>
        </w:rPr>
        <w:t>Scope</w:t>
      </w:r>
    </w:p>
    <w:p w14:paraId="20C31354" w14:textId="77777777" w:rsidR="00EA3CE4" w:rsidRPr="00A30C12" w:rsidRDefault="00EA3CE4" w:rsidP="6E0F985C">
      <w:pPr>
        <w:pStyle w:val="ListParagraph"/>
        <w:numPr>
          <w:ilvl w:val="0"/>
          <w:numId w:val="28"/>
        </w:numPr>
        <w:spacing w:before="0" w:after="160" w:line="259" w:lineRule="auto"/>
        <w:rPr>
          <w:color w:val="auto"/>
        </w:rPr>
      </w:pPr>
      <w:r w:rsidRPr="00A30C12">
        <w:rPr>
          <w:color w:val="auto"/>
        </w:rPr>
        <w:t>This guidance focuses on the off-label treatment options for patients with confirmed mpox.</w:t>
      </w:r>
    </w:p>
    <w:p w14:paraId="6500DFA0" w14:textId="77777777" w:rsidR="00E32399" w:rsidRPr="00A30C12" w:rsidRDefault="00590BEB" w:rsidP="00590BEB">
      <w:pPr>
        <w:pStyle w:val="ListParagraph"/>
        <w:numPr>
          <w:ilvl w:val="0"/>
          <w:numId w:val="28"/>
        </w:numPr>
        <w:spacing w:before="0" w:after="160" w:line="259" w:lineRule="auto"/>
        <w:rPr>
          <w:b/>
          <w:bCs/>
          <w:color w:val="auto"/>
        </w:rPr>
      </w:pPr>
      <w:r w:rsidRPr="00A30C12">
        <w:rPr>
          <w:color w:val="auto"/>
        </w:rPr>
        <w:t>This guidance further provides pharmacological options for post-exposure prophylaxis (PEP) in those at risk of severe complications following mpox exposure (e.g., severely immunocompromised).</w:t>
      </w:r>
    </w:p>
    <w:p w14:paraId="0CDFB96D" w14:textId="07F9A73C" w:rsidR="00EA3CE4" w:rsidRPr="00A30C12" w:rsidRDefault="49412D48" w:rsidP="00590BEB">
      <w:pPr>
        <w:pStyle w:val="ListParagraph"/>
        <w:numPr>
          <w:ilvl w:val="0"/>
          <w:numId w:val="28"/>
        </w:numPr>
        <w:spacing w:before="0" w:after="160" w:line="259" w:lineRule="auto"/>
        <w:rPr>
          <w:b/>
          <w:bCs/>
          <w:color w:val="auto"/>
        </w:rPr>
      </w:pPr>
      <w:r w:rsidRPr="00A30C12">
        <w:rPr>
          <w:color w:val="auto"/>
        </w:rPr>
        <w:t>This guidance does not elaborate on the diagnostic work</w:t>
      </w:r>
      <w:r w:rsidR="00DA7E8D" w:rsidRPr="00A30C12">
        <w:rPr>
          <w:color w:val="auto"/>
        </w:rPr>
        <w:t>-</w:t>
      </w:r>
      <w:r w:rsidRPr="00A30C12">
        <w:rPr>
          <w:color w:val="auto"/>
        </w:rPr>
        <w:t>up and clinical management of patients prior to the confirmation of mpox or vaccine</w:t>
      </w:r>
      <w:r w:rsidR="00DA7E8D" w:rsidRPr="00A30C12">
        <w:rPr>
          <w:color w:val="auto"/>
        </w:rPr>
        <w:t>-</w:t>
      </w:r>
      <w:r w:rsidRPr="00A30C12">
        <w:rPr>
          <w:color w:val="auto"/>
        </w:rPr>
        <w:t>related complication</w:t>
      </w:r>
    </w:p>
    <w:p w14:paraId="5361C5F0" w14:textId="292E2D09" w:rsidR="00590BEB" w:rsidRPr="00A30C12" w:rsidRDefault="00590BEB" w:rsidP="00590BEB">
      <w:pPr>
        <w:pStyle w:val="ListParagraph"/>
        <w:numPr>
          <w:ilvl w:val="0"/>
          <w:numId w:val="28"/>
        </w:numPr>
        <w:spacing w:before="0" w:after="160" w:line="259" w:lineRule="auto"/>
        <w:rPr>
          <w:rFonts w:eastAsiaTheme="minorEastAsia"/>
          <w:color w:val="auto"/>
          <w:szCs w:val="22"/>
        </w:rPr>
      </w:pPr>
      <w:r w:rsidRPr="00A30C12">
        <w:rPr>
          <w:color w:val="auto"/>
          <w:szCs w:val="22"/>
        </w:rPr>
        <w:t xml:space="preserve">For further information on </w:t>
      </w:r>
      <w:r w:rsidRPr="00A30C12">
        <w:rPr>
          <w:b/>
          <w:bCs/>
          <w:color w:val="auto"/>
          <w:szCs w:val="22"/>
        </w:rPr>
        <w:t>diagnostic workflow</w:t>
      </w:r>
      <w:r w:rsidR="00B643C6">
        <w:rPr>
          <w:b/>
          <w:bCs/>
          <w:color w:val="auto"/>
          <w:szCs w:val="22"/>
        </w:rPr>
        <w:t xml:space="preserve"> </w:t>
      </w:r>
      <w:r w:rsidR="00B643C6" w:rsidRPr="00A30C12">
        <w:rPr>
          <w:color w:val="auto"/>
          <w:szCs w:val="22"/>
        </w:rPr>
        <w:t>see</w:t>
      </w:r>
      <w:r w:rsidRPr="00A30C12">
        <w:rPr>
          <w:color w:val="auto"/>
          <w:szCs w:val="22"/>
        </w:rPr>
        <w:t>:</w:t>
      </w:r>
    </w:p>
    <w:p w14:paraId="408D1450" w14:textId="673BF48A" w:rsidR="00590BEB" w:rsidRPr="00A30C12" w:rsidRDefault="00590BEB" w:rsidP="00590BEB">
      <w:pPr>
        <w:pStyle w:val="ListParagraph"/>
        <w:numPr>
          <w:ilvl w:val="1"/>
          <w:numId w:val="28"/>
        </w:numPr>
        <w:spacing w:before="0" w:after="160" w:line="259" w:lineRule="auto"/>
        <w:rPr>
          <w:rFonts w:eastAsiaTheme="minorEastAsia"/>
          <w:color w:val="auto"/>
          <w:szCs w:val="22"/>
        </w:rPr>
      </w:pPr>
      <w:r w:rsidRPr="00A30C12">
        <w:rPr>
          <w:rFonts w:eastAsiaTheme="minorEastAsia"/>
          <w:color w:val="auto"/>
          <w:szCs w:val="22"/>
        </w:rPr>
        <w:t xml:space="preserve">Public Health Laboratory Network (PHLN) </w:t>
      </w:r>
      <w:hyperlink r:id="rId12" w:history="1">
        <w:r w:rsidRPr="00A30C12">
          <w:rPr>
            <w:rStyle w:val="Hyperlink"/>
            <w:rFonts w:eastAsiaTheme="minorEastAsia"/>
          </w:rPr>
          <w:t>guidance on mpox patient referral, specimen collection and test requesting</w:t>
        </w:r>
      </w:hyperlink>
      <w:r w:rsidR="00E5039A" w:rsidRPr="00A30C12">
        <w:rPr>
          <w:rFonts w:eastAsiaTheme="minorEastAsia"/>
          <w:color w:val="auto"/>
          <w:szCs w:val="22"/>
        </w:rPr>
        <w:br/>
      </w:r>
    </w:p>
    <w:p w14:paraId="67B88F81" w14:textId="516F3549" w:rsidR="00590BEB" w:rsidRPr="00A30C12" w:rsidRDefault="00542C0D" w:rsidP="00590BEB">
      <w:pPr>
        <w:pStyle w:val="ListParagraph"/>
        <w:numPr>
          <w:ilvl w:val="1"/>
          <w:numId w:val="28"/>
        </w:numPr>
        <w:spacing w:before="0" w:after="160" w:line="259" w:lineRule="auto"/>
        <w:rPr>
          <w:rFonts w:eastAsiaTheme="minorEastAsia"/>
          <w:color w:val="auto"/>
          <w:szCs w:val="22"/>
        </w:rPr>
      </w:pPr>
      <w:hyperlink r:id="rId13" w:history="1">
        <w:r w:rsidR="00590BEB" w:rsidRPr="00A30C12">
          <w:rPr>
            <w:rStyle w:val="Hyperlink"/>
            <w:rFonts w:eastAsiaTheme="minorEastAsia"/>
          </w:rPr>
          <w:t>PHLN Laboratory Case</w:t>
        </w:r>
      </w:hyperlink>
      <w:r w:rsidR="00E5039A" w:rsidRPr="00A30C12">
        <w:rPr>
          <w:rFonts w:eastAsiaTheme="minorEastAsia"/>
          <w:color w:val="auto"/>
          <w:szCs w:val="22"/>
        </w:rPr>
        <w:br/>
      </w:r>
    </w:p>
    <w:p w14:paraId="7633D5EC" w14:textId="325C2151" w:rsidR="00590BEB" w:rsidRPr="00A30C12" w:rsidRDefault="00542C0D" w:rsidP="008C6A81">
      <w:pPr>
        <w:pStyle w:val="ListParagraph"/>
        <w:numPr>
          <w:ilvl w:val="1"/>
          <w:numId w:val="28"/>
        </w:numPr>
        <w:spacing w:before="0" w:after="160" w:line="259" w:lineRule="auto"/>
        <w:rPr>
          <w:rFonts w:eastAsiaTheme="minorEastAsia"/>
          <w:color w:val="auto"/>
          <w:szCs w:val="22"/>
        </w:rPr>
      </w:pPr>
      <w:hyperlink r:id="rId14" w:history="1">
        <w:r w:rsidR="00590BEB" w:rsidRPr="00A30C12">
          <w:rPr>
            <w:rStyle w:val="Hyperlink"/>
            <w:rFonts w:eastAsiaTheme="minorEastAsia"/>
          </w:rPr>
          <w:t>Communicable Disease Network Australia (CDNA) MPXV surveillance case definition:</w:t>
        </w:r>
      </w:hyperlink>
      <w:r w:rsidR="00E5039A" w:rsidRPr="00A30C12">
        <w:rPr>
          <w:rFonts w:eastAsiaTheme="minorEastAsia"/>
          <w:color w:val="auto"/>
          <w:szCs w:val="22"/>
        </w:rPr>
        <w:br/>
      </w:r>
    </w:p>
    <w:p w14:paraId="2BE8B9A3" w14:textId="45FD4579" w:rsidR="00590BEB" w:rsidRPr="00A30C12" w:rsidRDefault="00EA3CE4" w:rsidP="00EA3CE4">
      <w:pPr>
        <w:pStyle w:val="ListParagraph"/>
        <w:numPr>
          <w:ilvl w:val="0"/>
          <w:numId w:val="28"/>
        </w:numPr>
        <w:spacing w:before="0" w:after="160" w:line="259" w:lineRule="auto"/>
        <w:rPr>
          <w:i/>
          <w:color w:val="auto"/>
          <w:szCs w:val="22"/>
          <w:u w:val="single"/>
        </w:rPr>
      </w:pPr>
      <w:r w:rsidRPr="00A30C12">
        <w:rPr>
          <w:color w:val="auto"/>
          <w:szCs w:val="22"/>
        </w:rPr>
        <w:t xml:space="preserve">For further information on </w:t>
      </w:r>
      <w:r w:rsidRPr="00A30C12">
        <w:rPr>
          <w:b/>
          <w:bCs/>
          <w:color w:val="auto"/>
          <w:szCs w:val="22"/>
        </w:rPr>
        <w:t>vaccination</w:t>
      </w:r>
      <w:r w:rsidR="00B643C6" w:rsidRPr="00A30C12">
        <w:rPr>
          <w:color w:val="auto"/>
          <w:szCs w:val="22"/>
        </w:rPr>
        <w:t xml:space="preserve"> see</w:t>
      </w:r>
      <w:r w:rsidR="00590BEB" w:rsidRPr="00A30C12">
        <w:rPr>
          <w:b/>
          <w:bCs/>
          <w:color w:val="auto"/>
          <w:szCs w:val="22"/>
        </w:rPr>
        <w:t>:</w:t>
      </w:r>
      <w:r w:rsidRPr="00A30C12">
        <w:rPr>
          <w:i/>
          <w:iCs/>
          <w:color w:val="auto"/>
          <w:szCs w:val="22"/>
        </w:rPr>
        <w:t xml:space="preserve"> </w:t>
      </w:r>
    </w:p>
    <w:p w14:paraId="07CFF995" w14:textId="542A0E5E" w:rsidR="00590BEB" w:rsidRPr="00A30C12" w:rsidRDefault="00542C0D" w:rsidP="00590BEB">
      <w:pPr>
        <w:pStyle w:val="ListParagraph"/>
        <w:numPr>
          <w:ilvl w:val="1"/>
          <w:numId w:val="28"/>
        </w:numPr>
        <w:spacing w:before="0" w:after="160" w:line="259" w:lineRule="auto"/>
        <w:rPr>
          <w:rFonts w:eastAsiaTheme="minorEastAsia"/>
          <w:color w:val="auto"/>
          <w:szCs w:val="22"/>
        </w:rPr>
      </w:pPr>
      <w:hyperlink r:id="rId15" w:history="1">
        <w:r w:rsidR="00590BEB" w:rsidRPr="00A30C12">
          <w:rPr>
            <w:rStyle w:val="Hyperlink"/>
            <w:rFonts w:eastAsiaTheme="minorEastAsia"/>
          </w:rPr>
          <w:t>Australian Immunisation Handbook</w:t>
        </w:r>
      </w:hyperlink>
      <w:r w:rsidR="00590BEB" w:rsidRPr="00A30C12">
        <w:rPr>
          <w:rFonts w:eastAsiaTheme="minorEastAsia"/>
          <w:color w:val="auto"/>
          <w:szCs w:val="22"/>
        </w:rPr>
        <w:t xml:space="preserve"> (Mpox chapter)</w:t>
      </w:r>
      <w:r w:rsidR="00C25295" w:rsidRPr="00A30C12">
        <w:rPr>
          <w:rFonts w:eastAsiaTheme="minorEastAsia"/>
          <w:color w:val="auto"/>
          <w:szCs w:val="22"/>
        </w:rPr>
        <w:br/>
      </w:r>
    </w:p>
    <w:p w14:paraId="51840A77" w14:textId="4C3C3255" w:rsidR="00590BEB" w:rsidRPr="00A30C12" w:rsidRDefault="00EA3CE4" w:rsidP="22994686">
      <w:pPr>
        <w:pStyle w:val="ListParagraph"/>
        <w:numPr>
          <w:ilvl w:val="0"/>
          <w:numId w:val="28"/>
        </w:numPr>
        <w:spacing w:before="0" w:after="160" w:line="259" w:lineRule="auto"/>
        <w:rPr>
          <w:b/>
          <w:bCs/>
          <w:i/>
          <w:iCs/>
          <w:color w:val="auto"/>
        </w:rPr>
      </w:pPr>
      <w:r w:rsidRPr="00A30C12">
        <w:rPr>
          <w:color w:val="auto"/>
        </w:rPr>
        <w:t xml:space="preserve">For further information on </w:t>
      </w:r>
      <w:r w:rsidR="00590BEB" w:rsidRPr="00A30C12">
        <w:rPr>
          <w:b/>
          <w:bCs/>
          <w:color w:val="auto"/>
        </w:rPr>
        <w:t>public health response</w:t>
      </w:r>
      <w:r w:rsidR="00590BEB" w:rsidRPr="00A30C12">
        <w:rPr>
          <w:color w:val="auto"/>
        </w:rPr>
        <w:t xml:space="preserve"> </w:t>
      </w:r>
      <w:r w:rsidR="00590BEB" w:rsidRPr="00A30C12">
        <w:rPr>
          <w:b/>
          <w:bCs/>
          <w:color w:val="auto"/>
        </w:rPr>
        <w:t>guidance</w:t>
      </w:r>
      <w:r w:rsidR="00B643C6" w:rsidRPr="00A30C12">
        <w:rPr>
          <w:color w:val="auto"/>
        </w:rPr>
        <w:t xml:space="preserve"> see:</w:t>
      </w:r>
    </w:p>
    <w:p w14:paraId="33DA49C8" w14:textId="795EE31E" w:rsidR="00590BEB" w:rsidRPr="00A30C12" w:rsidRDefault="00542C0D" w:rsidP="666DEE53">
      <w:pPr>
        <w:pStyle w:val="ListParagraph"/>
        <w:numPr>
          <w:ilvl w:val="1"/>
          <w:numId w:val="28"/>
        </w:numPr>
        <w:spacing w:before="0" w:after="160" w:line="259" w:lineRule="auto"/>
        <w:rPr>
          <w:rFonts w:eastAsiaTheme="minorEastAsia"/>
          <w:color w:val="auto"/>
        </w:rPr>
      </w:pPr>
      <w:hyperlink r:id="rId16" w:history="1">
        <w:r w:rsidR="00590BEB" w:rsidRPr="00A30C12">
          <w:rPr>
            <w:rStyle w:val="Hyperlink"/>
            <w:rFonts w:eastAsiaTheme="minorEastAsia"/>
          </w:rPr>
          <w:t xml:space="preserve">MPXV </w:t>
        </w:r>
        <w:r w:rsidR="009065CA" w:rsidRPr="00A30C12">
          <w:rPr>
            <w:rStyle w:val="Hyperlink"/>
            <w:rFonts w:eastAsiaTheme="minorEastAsia"/>
          </w:rPr>
          <w:t xml:space="preserve">CDNA National </w:t>
        </w:r>
        <w:r w:rsidR="00590BEB" w:rsidRPr="00A30C12">
          <w:rPr>
            <w:rStyle w:val="Hyperlink"/>
            <w:rFonts w:eastAsiaTheme="minorEastAsia"/>
          </w:rPr>
          <w:t xml:space="preserve">Guidelines for Public </w:t>
        </w:r>
        <w:r w:rsidR="00C25295" w:rsidRPr="00A30C12">
          <w:rPr>
            <w:rStyle w:val="Hyperlink"/>
            <w:rFonts w:eastAsiaTheme="minorEastAsia"/>
          </w:rPr>
          <w:t>H</w:t>
        </w:r>
        <w:r w:rsidR="00590BEB" w:rsidRPr="00A30C12">
          <w:rPr>
            <w:rStyle w:val="Hyperlink"/>
            <w:rFonts w:eastAsiaTheme="minorEastAsia"/>
          </w:rPr>
          <w:t>ealth Units</w:t>
        </w:r>
      </w:hyperlink>
      <w:r w:rsidR="00C25295" w:rsidRPr="00A30C12">
        <w:rPr>
          <w:rFonts w:eastAsiaTheme="minorEastAsia"/>
          <w:color w:val="auto"/>
        </w:rPr>
        <w:br/>
      </w:r>
    </w:p>
    <w:p w14:paraId="4D5AEEBA" w14:textId="381FDBDE" w:rsidR="00590BEB" w:rsidRPr="00A30C12" w:rsidRDefault="00590BEB" w:rsidP="666DEE53">
      <w:pPr>
        <w:pStyle w:val="ListParagraph"/>
        <w:numPr>
          <w:ilvl w:val="1"/>
          <w:numId w:val="28"/>
        </w:numPr>
        <w:spacing w:before="0" w:after="160" w:line="259" w:lineRule="auto"/>
        <w:rPr>
          <w:rFonts w:eastAsiaTheme="minorEastAsia"/>
          <w:color w:val="auto"/>
        </w:rPr>
      </w:pPr>
      <w:r w:rsidRPr="00A30C12">
        <w:rPr>
          <w:rFonts w:eastAsiaTheme="minorEastAsia"/>
          <w:color w:val="auto"/>
        </w:rPr>
        <w:t xml:space="preserve">Information on </w:t>
      </w:r>
      <w:r w:rsidR="00EA3CE4" w:rsidRPr="00A30C12">
        <w:rPr>
          <w:color w:val="auto"/>
        </w:rPr>
        <w:t>infection prevention</w:t>
      </w:r>
      <w:r w:rsidRPr="00A30C12">
        <w:rPr>
          <w:color w:val="auto"/>
        </w:rPr>
        <w:t xml:space="preserve"> and </w:t>
      </w:r>
      <w:r w:rsidR="00EA3CE4" w:rsidRPr="00A30C12">
        <w:rPr>
          <w:color w:val="auto"/>
        </w:rPr>
        <w:t xml:space="preserve">control </w:t>
      </w:r>
      <w:r w:rsidR="005316D4" w:rsidRPr="00A30C12">
        <w:rPr>
          <w:color w:val="auto"/>
        </w:rPr>
        <w:t xml:space="preserve">(IPC) </w:t>
      </w:r>
      <w:r w:rsidR="00EA3CE4" w:rsidRPr="00A30C12">
        <w:rPr>
          <w:color w:val="auto"/>
        </w:rPr>
        <w:t>guidance for hospital and hospital in the home</w:t>
      </w:r>
      <w:r w:rsidRPr="00A30C12">
        <w:rPr>
          <w:color w:val="auto"/>
        </w:rPr>
        <w:t xml:space="preserve"> is also found in the above CDNA guidelines</w:t>
      </w:r>
      <w:r w:rsidR="004E504D" w:rsidRPr="00A30C12">
        <w:rPr>
          <w:color w:val="auto"/>
        </w:rPr>
        <w:t>.</w:t>
      </w:r>
      <w:r w:rsidR="005316D4" w:rsidRPr="00A30C12">
        <w:rPr>
          <w:color w:val="auto"/>
        </w:rPr>
        <w:t xml:space="preserve"> </w:t>
      </w:r>
      <w:r w:rsidR="00177D12" w:rsidRPr="00A30C12">
        <w:rPr>
          <w:color w:val="auto"/>
        </w:rPr>
        <w:t xml:space="preserve">It is recommended that </w:t>
      </w:r>
      <w:r w:rsidR="005316D4" w:rsidRPr="00A30C12">
        <w:rPr>
          <w:color w:val="auto"/>
        </w:rPr>
        <w:t>IPC</w:t>
      </w:r>
      <w:r w:rsidR="007B2305" w:rsidRPr="00A30C12">
        <w:rPr>
          <w:color w:val="auto"/>
        </w:rPr>
        <w:t xml:space="preserve"> coordinators</w:t>
      </w:r>
      <w:r w:rsidR="00DB007C" w:rsidRPr="00A30C12">
        <w:rPr>
          <w:color w:val="auto"/>
        </w:rPr>
        <w:t xml:space="preserve"> at a </w:t>
      </w:r>
      <w:r w:rsidR="001902A9" w:rsidRPr="00A30C12">
        <w:rPr>
          <w:color w:val="auto"/>
        </w:rPr>
        <w:t>facility</w:t>
      </w:r>
      <w:r w:rsidR="00DB007C" w:rsidRPr="00A30C12">
        <w:rPr>
          <w:color w:val="auto"/>
        </w:rPr>
        <w:t xml:space="preserve"> level</w:t>
      </w:r>
      <w:r w:rsidR="009E04FE" w:rsidRPr="00A30C12">
        <w:rPr>
          <w:color w:val="auto"/>
        </w:rPr>
        <w:t xml:space="preserve"> be</w:t>
      </w:r>
      <w:r w:rsidR="00177D12" w:rsidRPr="00A30C12">
        <w:rPr>
          <w:color w:val="auto"/>
        </w:rPr>
        <w:t xml:space="preserve"> </w:t>
      </w:r>
      <w:r w:rsidR="009E04FE" w:rsidRPr="00A30C12">
        <w:rPr>
          <w:color w:val="auto"/>
        </w:rPr>
        <w:t>appr</w:t>
      </w:r>
      <w:r w:rsidR="00482472" w:rsidRPr="00A30C12">
        <w:rPr>
          <w:color w:val="auto"/>
        </w:rPr>
        <w:t>o</w:t>
      </w:r>
      <w:r w:rsidR="009E04FE" w:rsidRPr="00A30C12">
        <w:rPr>
          <w:color w:val="auto"/>
        </w:rPr>
        <w:t>ached</w:t>
      </w:r>
      <w:r w:rsidR="00482472" w:rsidRPr="00A30C12">
        <w:rPr>
          <w:color w:val="auto"/>
        </w:rPr>
        <w:t xml:space="preserve"> for advi</w:t>
      </w:r>
      <w:r w:rsidR="00801788" w:rsidRPr="00A30C12">
        <w:rPr>
          <w:color w:val="auto"/>
        </w:rPr>
        <w:t>ce on reducing risk of nosocomial MPXV transmission.</w:t>
      </w:r>
    </w:p>
    <w:p w14:paraId="0039D4A3" w14:textId="483BEDA2" w:rsidR="00EA3CE4" w:rsidRPr="00B643C6" w:rsidRDefault="00EA3CE4" w:rsidP="00590BEB">
      <w:pPr>
        <w:pStyle w:val="ListParagraph"/>
        <w:numPr>
          <w:ilvl w:val="0"/>
          <w:numId w:val="28"/>
        </w:numPr>
        <w:spacing w:before="0" w:after="160" w:line="259" w:lineRule="auto"/>
        <w:rPr>
          <w:rStyle w:val="Hyperlink"/>
          <w:i/>
          <w:iCs/>
          <w:color w:val="auto"/>
          <w:szCs w:val="22"/>
        </w:rPr>
      </w:pPr>
      <w:r w:rsidRPr="00A30C12">
        <w:rPr>
          <w:color w:val="auto"/>
          <w:szCs w:val="22"/>
        </w:rPr>
        <w:t xml:space="preserve">For further information on </w:t>
      </w:r>
      <w:r w:rsidR="00590BEB" w:rsidRPr="00A30C12">
        <w:rPr>
          <w:b/>
          <w:bCs/>
          <w:color w:val="auto"/>
          <w:szCs w:val="22"/>
        </w:rPr>
        <w:t>other resources</w:t>
      </w:r>
      <w:r w:rsidR="00B643C6">
        <w:rPr>
          <w:color w:val="auto"/>
          <w:szCs w:val="22"/>
        </w:rPr>
        <w:t xml:space="preserve"> see the mpox collection on the </w:t>
      </w:r>
      <w:hyperlink r:id="rId17" w:history="1">
        <w:r w:rsidR="00B643C6" w:rsidRPr="00B643C6">
          <w:rPr>
            <w:rStyle w:val="Hyperlink"/>
            <w:szCs w:val="22"/>
          </w:rPr>
          <w:t>website</w:t>
        </w:r>
      </w:hyperlink>
      <w:r w:rsidR="00B643C6">
        <w:rPr>
          <w:color w:val="auto"/>
          <w:szCs w:val="22"/>
        </w:rPr>
        <w:t>.</w:t>
      </w:r>
      <w:r w:rsidR="00C25295" w:rsidRPr="00A30C12">
        <w:rPr>
          <w:color w:val="auto"/>
          <w:szCs w:val="22"/>
        </w:rPr>
        <w:br/>
      </w:r>
      <w:hyperlink r:id="rId18" w:history="1">
        <w:r w:rsidR="00590BEB" w:rsidRPr="00A30C12">
          <w:rPr>
            <w:rStyle w:val="Hyperlink"/>
            <w:i/>
            <w:iCs/>
            <w:color w:val="auto"/>
            <w:szCs w:val="22"/>
          </w:rPr>
          <w:t>https://www.health.gov.au/resources/collections/monkeypox-mpox-resources</w:t>
        </w:r>
      </w:hyperlink>
    </w:p>
    <w:p w14:paraId="5387DECE" w14:textId="3384329B" w:rsidR="00CA4BE3" w:rsidRPr="00A30C12" w:rsidRDefault="00EA3CE4" w:rsidP="00CA4BE3">
      <w:pPr>
        <w:pStyle w:val="Heading2"/>
        <w:rPr>
          <w:color w:val="auto"/>
          <w:sz w:val="44"/>
          <w:szCs w:val="44"/>
        </w:rPr>
      </w:pPr>
      <w:r w:rsidRPr="00A30C12">
        <w:rPr>
          <w:color w:val="auto"/>
          <w:sz w:val="44"/>
          <w:szCs w:val="44"/>
        </w:rPr>
        <w:t>Description of mpox</w:t>
      </w:r>
    </w:p>
    <w:p w14:paraId="2E790F58" w14:textId="2D42EB0B" w:rsidR="00EA3CE4" w:rsidRPr="00A30C12" w:rsidRDefault="00EA3CE4" w:rsidP="00EA3CE4">
      <w:pPr>
        <w:rPr>
          <w:color w:val="auto"/>
        </w:rPr>
      </w:pPr>
      <w:r w:rsidRPr="00A30C12">
        <w:rPr>
          <w:color w:val="auto"/>
        </w:rPr>
        <w:t xml:space="preserve">Mpox is an infectious disease caused by </w:t>
      </w:r>
      <w:r w:rsidR="00787B24" w:rsidRPr="00A30C12">
        <w:rPr>
          <w:color w:val="auto"/>
        </w:rPr>
        <w:t>MPXV</w:t>
      </w:r>
      <w:r w:rsidRPr="00A30C12">
        <w:rPr>
          <w:color w:val="auto"/>
        </w:rPr>
        <w:t xml:space="preserve"> which sits in the species: </w:t>
      </w:r>
      <w:proofErr w:type="spellStart"/>
      <w:r w:rsidRPr="00A30C12">
        <w:rPr>
          <w:i/>
          <w:iCs/>
          <w:color w:val="auto"/>
        </w:rPr>
        <w:t>Orthopoxvirus</w:t>
      </w:r>
      <w:proofErr w:type="spellEnd"/>
      <w:r w:rsidRPr="00A30C12">
        <w:rPr>
          <w:i/>
          <w:iCs/>
          <w:color w:val="auto"/>
        </w:rPr>
        <w:t xml:space="preserve"> monkeypox</w:t>
      </w:r>
      <w:r w:rsidRPr="00A30C12">
        <w:rPr>
          <w:color w:val="auto"/>
        </w:rPr>
        <w:t xml:space="preserve"> (2023 Release, MSL #39) of the </w:t>
      </w:r>
      <w:proofErr w:type="spellStart"/>
      <w:r w:rsidRPr="00A30C12">
        <w:rPr>
          <w:i/>
          <w:iCs/>
          <w:color w:val="auto"/>
        </w:rPr>
        <w:t>Orthopoxvirus</w:t>
      </w:r>
      <w:proofErr w:type="spellEnd"/>
      <w:r w:rsidRPr="00A30C12">
        <w:rPr>
          <w:color w:val="auto"/>
        </w:rPr>
        <w:t xml:space="preserve"> genus. MPXV is a DNA virus comprising two clades—Clade I (formerly known as the Congo Basin clade) and Clade II (formerly known as the West African clade), which further divides into subclades </w:t>
      </w:r>
      <w:proofErr w:type="spellStart"/>
      <w:r w:rsidRPr="00A30C12">
        <w:rPr>
          <w:color w:val="auto"/>
        </w:rPr>
        <w:t>IIa</w:t>
      </w:r>
      <w:proofErr w:type="spellEnd"/>
      <w:r w:rsidRPr="00A30C12">
        <w:rPr>
          <w:color w:val="auto"/>
        </w:rPr>
        <w:t xml:space="preserve"> and IIb. In 2024, a new subclade of Clade I, known as Clade </w:t>
      </w:r>
      <w:proofErr w:type="spellStart"/>
      <w:r w:rsidRPr="00A30C12">
        <w:rPr>
          <w:color w:val="auto"/>
        </w:rPr>
        <w:t>Ib</w:t>
      </w:r>
      <w:proofErr w:type="spellEnd"/>
      <w:r w:rsidRPr="00A30C12">
        <w:rPr>
          <w:color w:val="auto"/>
        </w:rPr>
        <w:t xml:space="preserve">, was identified in the </w:t>
      </w:r>
      <w:r w:rsidR="00A17D99" w:rsidRPr="00A30C12">
        <w:rPr>
          <w:color w:val="auto"/>
        </w:rPr>
        <w:t xml:space="preserve">central </w:t>
      </w:r>
      <w:r w:rsidRPr="00A30C12">
        <w:rPr>
          <w:color w:val="auto"/>
        </w:rPr>
        <w:t>African region.</w:t>
      </w:r>
    </w:p>
    <w:p w14:paraId="754E6C2C" w14:textId="77777777" w:rsidR="00EA3CE4" w:rsidRPr="00A30C12" w:rsidRDefault="00EA3CE4" w:rsidP="00EA3CE4">
      <w:pPr>
        <w:rPr>
          <w:color w:val="auto"/>
        </w:rPr>
      </w:pPr>
      <w:r w:rsidRPr="00A30C12">
        <w:rPr>
          <w:color w:val="auto"/>
        </w:rPr>
        <w:t>MPXV can be transmitted through contact with infected animals (bites, scratches, animal body fluids or consumption of insufficiently processed animal meat) or through human-to-human contact. Human-to-human transmission generally requires direct skin-to-skin contact or prolonged close contact, such as being face-to-face in close proximity or indirect contact with materials (fomites) such as contaminated sharps (needles and other instruments used to breach the skin or blood vessels) or bed linen (such as shaking bed linen which collects sloughed skin from lesions containing competent MPXV). Such exposures can occur in a range of settings, including in the household, in a healthcare setting or through sexual contact.</w:t>
      </w:r>
    </w:p>
    <w:p w14:paraId="5C98BF94" w14:textId="266F9AD4" w:rsidR="00EA3CE4" w:rsidRPr="00A30C12" w:rsidRDefault="00EA3CE4" w:rsidP="00EA3CE4">
      <w:pPr>
        <w:rPr>
          <w:color w:val="auto"/>
        </w:rPr>
      </w:pPr>
      <w:r w:rsidRPr="00A30C12">
        <w:rPr>
          <w:color w:val="auto"/>
        </w:rPr>
        <w:t xml:space="preserve">Since 1970, cases of mpox have been reported across several countries in the African </w:t>
      </w:r>
      <w:r w:rsidR="00A17D99" w:rsidRPr="00A30C12">
        <w:rPr>
          <w:color w:val="auto"/>
        </w:rPr>
        <w:t>continent</w:t>
      </w:r>
      <w:r w:rsidRPr="00A30C12">
        <w:rPr>
          <w:color w:val="auto"/>
        </w:rPr>
        <w:t xml:space="preserve"> where the disease is endemic. Mpox has been occasionally exported from these countries to other regions. In May 2022, several countries without endemic mpox began reporting cases. These cases occurred in persons with no recent travel history to endemic areas without links to imported animals. As the outbreak grew, the WHO declared it a public health emergency of international concern (PHEIC) on 23 July 2022. Over subsequent months and into 2023, the global outbreak subsided significantly, and on 10</w:t>
      </w:r>
      <w:r w:rsidR="00447383" w:rsidRPr="00A30C12">
        <w:rPr>
          <w:color w:val="auto"/>
        </w:rPr>
        <w:t> </w:t>
      </w:r>
      <w:r w:rsidRPr="00A30C12">
        <w:rPr>
          <w:color w:val="auto"/>
        </w:rPr>
        <w:t xml:space="preserve">May 2023, the PHEIC was lifted. The global outbreak of mpox, driven by </w:t>
      </w:r>
      <w:r w:rsidR="00AA196D" w:rsidRPr="00A30C12">
        <w:rPr>
          <w:color w:val="auto"/>
        </w:rPr>
        <w:t>MPXV c</w:t>
      </w:r>
      <w:r w:rsidRPr="00A30C12">
        <w:rPr>
          <w:color w:val="auto"/>
        </w:rPr>
        <w:t xml:space="preserve">lade IIb, primarily spread through sexual contact and mainly affected adult gay, bisexual and other men who have sex with men. However, due to the emergence of the new </w:t>
      </w:r>
      <w:r w:rsidR="00AA196D" w:rsidRPr="00A30C12">
        <w:rPr>
          <w:color w:val="auto"/>
        </w:rPr>
        <w:t>MPXV c</w:t>
      </w:r>
      <w:r w:rsidRPr="00A30C12">
        <w:rPr>
          <w:color w:val="auto"/>
        </w:rPr>
        <w:t xml:space="preserve">lade </w:t>
      </w:r>
      <w:proofErr w:type="spellStart"/>
      <w:r w:rsidRPr="00A30C12">
        <w:rPr>
          <w:color w:val="auto"/>
        </w:rPr>
        <w:t>Ib</w:t>
      </w:r>
      <w:proofErr w:type="spellEnd"/>
      <w:r w:rsidRPr="00A30C12">
        <w:rPr>
          <w:color w:val="auto"/>
        </w:rPr>
        <w:t xml:space="preserve"> and a resurgence of cases in the African region, a PHEIC was once again declared on 14</w:t>
      </w:r>
      <w:r w:rsidR="00447383" w:rsidRPr="00A30C12">
        <w:rPr>
          <w:color w:val="auto"/>
        </w:rPr>
        <w:t> </w:t>
      </w:r>
      <w:r w:rsidRPr="00A30C12">
        <w:rPr>
          <w:color w:val="auto"/>
        </w:rPr>
        <w:t>August 2024.</w:t>
      </w:r>
    </w:p>
    <w:p w14:paraId="6AFA8AAC" w14:textId="2E74CF45" w:rsidR="00EA3CE4" w:rsidRPr="00A30C12" w:rsidRDefault="00EA3CE4" w:rsidP="00EA3CE4">
      <w:pPr>
        <w:rPr>
          <w:color w:val="auto"/>
        </w:rPr>
      </w:pPr>
      <w:r w:rsidRPr="00A30C12">
        <w:rPr>
          <w:color w:val="auto"/>
        </w:rPr>
        <w:t xml:space="preserve">While the global mpox outbreak has been associated with MPXV clade IIb, African countries’ outbreaks have historically been driven by MPXV clades </w:t>
      </w:r>
      <w:r w:rsidR="00456CD2" w:rsidRPr="00A30C12">
        <w:rPr>
          <w:color w:val="auto"/>
        </w:rPr>
        <w:t xml:space="preserve">I </w:t>
      </w:r>
      <w:r w:rsidRPr="00A30C12">
        <w:rPr>
          <w:color w:val="auto"/>
        </w:rPr>
        <w:t>and I</w:t>
      </w:r>
      <w:r w:rsidR="00456CD2" w:rsidRPr="00A30C12">
        <w:rPr>
          <w:color w:val="auto"/>
        </w:rPr>
        <w:t>I</w:t>
      </w:r>
      <w:r w:rsidRPr="00A30C12">
        <w:rPr>
          <w:color w:val="auto"/>
        </w:rPr>
        <w:t xml:space="preserve">, with MPXV clade I being </w:t>
      </w:r>
      <w:r w:rsidR="00447383" w:rsidRPr="00A30C12">
        <w:rPr>
          <w:color w:val="auto"/>
        </w:rPr>
        <w:t xml:space="preserve">considered </w:t>
      </w:r>
      <w:r w:rsidRPr="00A30C12">
        <w:rPr>
          <w:color w:val="auto"/>
        </w:rPr>
        <w:t xml:space="preserve">more virulent than </w:t>
      </w:r>
      <w:r w:rsidR="00456CD2" w:rsidRPr="00A30C12">
        <w:rPr>
          <w:color w:val="auto"/>
        </w:rPr>
        <w:t xml:space="preserve">MPXV clade </w:t>
      </w:r>
      <w:r w:rsidRPr="00A30C12">
        <w:rPr>
          <w:color w:val="auto"/>
        </w:rPr>
        <w:t xml:space="preserve">II. In 2023, alongside the reported increase of mpox cases in endemic areas, transmission through sexual contact of the more virulent </w:t>
      </w:r>
      <w:r w:rsidR="00456CD2" w:rsidRPr="00A30C12">
        <w:rPr>
          <w:color w:val="auto"/>
        </w:rPr>
        <w:t xml:space="preserve">MPXV clade </w:t>
      </w:r>
      <w:r w:rsidRPr="00A30C12">
        <w:rPr>
          <w:color w:val="auto"/>
        </w:rPr>
        <w:t xml:space="preserve">I was documented for the first time in the DRC and has since been reported in other countries in the region. At that time, outbreaks involving MPXV clade </w:t>
      </w:r>
      <w:proofErr w:type="spellStart"/>
      <w:r w:rsidRPr="00A30C12">
        <w:rPr>
          <w:color w:val="auto"/>
        </w:rPr>
        <w:t>Ib</w:t>
      </w:r>
      <w:proofErr w:type="spellEnd"/>
      <w:r w:rsidRPr="00A30C12">
        <w:rPr>
          <w:color w:val="auto"/>
        </w:rPr>
        <w:t xml:space="preserve"> were predominantly characterised by heterosexual transmission linked to commercial sex work, as well as small clusters of cases among men who have sex with men </w:t>
      </w:r>
      <w:r w:rsidRPr="00A30C12">
        <w:rPr>
          <w:color w:val="auto"/>
        </w:rPr>
        <w:fldChar w:fldCharType="begin"/>
      </w:r>
      <w:r w:rsidRPr="00A30C12">
        <w:rPr>
          <w:color w:val="auto"/>
        </w:rPr>
        <w:instrText xml:space="preserve"> ADDIN EN.CITE &lt;EndNote&gt;&lt;Cite&gt;&lt;Author&gt;WHO&lt;/Author&gt;&lt;Year&gt;2023&lt;/Year&gt;&lt;RecNum&gt;6&lt;/RecNum&gt;&lt;DisplayText&gt;(WHO, 2023)&lt;/DisplayText&gt;&lt;record&gt;&lt;rec-number&gt;6&lt;/rec-number&gt;&lt;foreign-keys&gt;&lt;key app="EN" db-id="xersvedf1seaewezsr6xxxvbap22edxx2r55" timestamp="1726023311"&gt;6&lt;/key&gt;&lt;/foreign-keys&gt;&lt;ref-type name="Web Page"&gt;12&lt;/ref-type&gt;&lt;contributors&gt;&lt;authors&gt;&lt;author&gt;WHO,&lt;/author&gt;&lt;/authors&gt;&lt;/contributors&gt;&lt;titles&gt;&lt;title&gt;Multi-country outbreak of mpox, External situation report#31 – 22 December 2023&lt;/title&gt;&lt;/titles&gt;&lt;volume&gt;2024&lt;/volume&gt;&lt;dates&gt;&lt;year&gt;2023&lt;/year&gt;&lt;/dates&gt;&lt;pub-location&gt;Geneva&lt;/pub-location&gt;&lt;urls&gt;&lt;related-urls&gt;&lt;url&gt;https://www.who.int/publications/m/item/multi-country-outbreak-of-mpox--external-situation-report-31---22-december-2023&lt;/url&gt;&lt;/related-urls&gt;&lt;/urls&gt;&lt;/record&gt;&lt;/Cite&gt;&lt;/EndNote&gt;</w:instrText>
      </w:r>
      <w:r w:rsidRPr="00A30C12">
        <w:rPr>
          <w:color w:val="auto"/>
        </w:rPr>
        <w:fldChar w:fldCharType="separate"/>
      </w:r>
      <w:r w:rsidRPr="00A30C12">
        <w:rPr>
          <w:color w:val="auto"/>
        </w:rPr>
        <w:t>(WHO, 2023)</w:t>
      </w:r>
      <w:r w:rsidRPr="00A30C12">
        <w:rPr>
          <w:color w:val="auto"/>
        </w:rPr>
        <w:fldChar w:fldCharType="end"/>
      </w:r>
      <w:r w:rsidRPr="00A30C12">
        <w:rPr>
          <w:color w:val="auto"/>
        </w:rPr>
        <w:t>.</w:t>
      </w:r>
    </w:p>
    <w:p w14:paraId="322C9727" w14:textId="77777777" w:rsidR="00EA3CE4" w:rsidRPr="00A30C12" w:rsidRDefault="00EA3CE4" w:rsidP="00EA3CE4">
      <w:pPr>
        <w:pStyle w:val="Heading2"/>
        <w:rPr>
          <w:rFonts w:eastAsiaTheme="minorEastAsia"/>
          <w:color w:val="auto"/>
          <w:sz w:val="44"/>
          <w:szCs w:val="44"/>
        </w:rPr>
      </w:pPr>
      <w:r w:rsidRPr="00A30C12">
        <w:rPr>
          <w:rFonts w:eastAsiaTheme="minorEastAsia"/>
          <w:color w:val="auto"/>
          <w:sz w:val="44"/>
          <w:szCs w:val="44"/>
        </w:rPr>
        <w:t>Treatment of symptomatic infection</w:t>
      </w:r>
    </w:p>
    <w:p w14:paraId="0FC4D9B3" w14:textId="65AB0675" w:rsidR="00590BEB" w:rsidRPr="00A30C12" w:rsidRDefault="00590BEB" w:rsidP="00590BEB">
      <w:pPr>
        <w:pStyle w:val="Heading2"/>
        <w:rPr>
          <w:color w:val="auto"/>
          <w:sz w:val="32"/>
          <w:szCs w:val="32"/>
        </w:rPr>
      </w:pPr>
      <w:r w:rsidRPr="00A30C12">
        <w:rPr>
          <w:rFonts w:eastAsiaTheme="minorEastAsia"/>
          <w:color w:val="auto"/>
          <w:sz w:val="32"/>
          <w:szCs w:val="32"/>
        </w:rPr>
        <w:t xml:space="preserve">Treatment </w:t>
      </w:r>
      <w:r w:rsidR="00770E4E" w:rsidRPr="00A30C12">
        <w:rPr>
          <w:rFonts w:eastAsiaTheme="minorEastAsia"/>
          <w:color w:val="auto"/>
          <w:sz w:val="32"/>
          <w:szCs w:val="32"/>
        </w:rPr>
        <w:t>O</w:t>
      </w:r>
      <w:r w:rsidR="001A17FC" w:rsidRPr="00A30C12">
        <w:rPr>
          <w:rFonts w:eastAsiaTheme="minorEastAsia"/>
          <w:color w:val="auto"/>
          <w:sz w:val="32"/>
          <w:szCs w:val="32"/>
        </w:rPr>
        <w:t>verview</w:t>
      </w:r>
    </w:p>
    <w:p w14:paraId="3CAAAD6C" w14:textId="77777777" w:rsidR="00EA3CE4" w:rsidRPr="00A30C12" w:rsidRDefault="00EA3CE4" w:rsidP="00EA3CE4">
      <w:pPr>
        <w:pStyle w:val="ListParagraph"/>
        <w:numPr>
          <w:ilvl w:val="0"/>
          <w:numId w:val="27"/>
        </w:numPr>
        <w:spacing w:before="0" w:after="160" w:line="259" w:lineRule="auto"/>
        <w:rPr>
          <w:rFonts w:eastAsiaTheme="minorEastAsia"/>
          <w:color w:val="auto"/>
          <w:szCs w:val="22"/>
        </w:rPr>
      </w:pPr>
      <w:bookmarkStart w:id="2" w:name="_Hlk85795649"/>
      <w:r w:rsidRPr="00A30C12">
        <w:rPr>
          <w:color w:val="auto"/>
          <w:szCs w:val="22"/>
        </w:rPr>
        <w:t>Mpox is generally a self-limited infection. Most cases caused by MPXV clade IIb will not require specific treatment other than supportive management or treatment of complications (e.g., antibiotics for secondary cellulitis).</w:t>
      </w:r>
    </w:p>
    <w:p w14:paraId="7ACBD209" w14:textId="77777777" w:rsidR="00EA3CE4" w:rsidRPr="00A30C12" w:rsidRDefault="00EA3CE4" w:rsidP="00EA3CE4">
      <w:pPr>
        <w:pStyle w:val="ListParagraph"/>
        <w:numPr>
          <w:ilvl w:val="0"/>
          <w:numId w:val="27"/>
        </w:numPr>
        <w:spacing w:before="0" w:after="160" w:line="259" w:lineRule="auto"/>
        <w:rPr>
          <w:color w:val="auto"/>
          <w:szCs w:val="22"/>
        </w:rPr>
      </w:pPr>
      <w:r w:rsidRPr="00A30C12">
        <w:rPr>
          <w:color w:val="auto"/>
          <w:szCs w:val="22"/>
        </w:rPr>
        <w:t>Antiviral therapy should be initiated in consultation with an infectious diseases and/or sexual health physician</w:t>
      </w:r>
      <w:r w:rsidRPr="00A30C12">
        <w:rPr>
          <w:color w:val="auto"/>
          <w:sz w:val="20"/>
          <w:szCs w:val="22"/>
          <w:vertAlign w:val="superscript"/>
        </w:rPr>
        <w:footnoteReference w:id="5"/>
      </w:r>
      <w:r w:rsidRPr="00A30C12">
        <w:rPr>
          <w:color w:val="auto"/>
          <w:szCs w:val="22"/>
        </w:rPr>
        <w:t xml:space="preserve">. </w:t>
      </w:r>
    </w:p>
    <w:p w14:paraId="7845A03F" w14:textId="77777777" w:rsidR="00EA3CE4" w:rsidRPr="00A30C12" w:rsidRDefault="00EA3CE4" w:rsidP="6E0F985C">
      <w:pPr>
        <w:pStyle w:val="ListParagraph"/>
        <w:numPr>
          <w:ilvl w:val="0"/>
          <w:numId w:val="27"/>
        </w:numPr>
        <w:spacing w:before="0" w:after="160" w:line="259" w:lineRule="auto"/>
        <w:rPr>
          <w:rFonts w:eastAsiaTheme="minorEastAsia"/>
          <w:color w:val="auto"/>
        </w:rPr>
      </w:pPr>
      <w:r w:rsidRPr="00A30C12">
        <w:rPr>
          <w:color w:val="auto"/>
        </w:rPr>
        <w:t>Depending on the presentation and local protocols, patients admitted to a hospital may be managed in a centre with suitable biocontainment care capability</w:t>
      </w:r>
      <w:r w:rsidRPr="00A30C12">
        <w:rPr>
          <w:rStyle w:val="FootnoteReference"/>
          <w:color w:val="auto"/>
        </w:rPr>
        <w:footnoteReference w:id="6"/>
      </w:r>
      <w:r w:rsidRPr="00A30C12">
        <w:rPr>
          <w:color w:val="auto"/>
          <w:szCs w:val="22"/>
        </w:rPr>
        <w:t xml:space="preserve">. </w:t>
      </w:r>
    </w:p>
    <w:p w14:paraId="22219031" w14:textId="77777777" w:rsidR="00EA3CE4" w:rsidRPr="00A30C12" w:rsidRDefault="00EA3CE4" w:rsidP="00EA3CE4">
      <w:pPr>
        <w:pStyle w:val="ListParagraph"/>
        <w:numPr>
          <w:ilvl w:val="0"/>
          <w:numId w:val="27"/>
        </w:numPr>
        <w:spacing w:before="0" w:after="160" w:line="259" w:lineRule="auto"/>
        <w:rPr>
          <w:rFonts w:asciiTheme="minorEastAsia" w:eastAsiaTheme="minorEastAsia" w:hAnsiTheme="minorEastAsia" w:cstheme="minorEastAsia"/>
          <w:color w:val="auto"/>
          <w:szCs w:val="22"/>
        </w:rPr>
      </w:pPr>
      <w:r w:rsidRPr="00A30C12">
        <w:rPr>
          <w:color w:val="auto"/>
          <w:szCs w:val="22"/>
        </w:rPr>
        <w:t>Outpatient management and shared care with the patient’s primary medical practitioner are recommended for clinically well patients.</w:t>
      </w:r>
    </w:p>
    <w:p w14:paraId="7CA572A7" w14:textId="77777777" w:rsidR="00EA3CE4" w:rsidRPr="00A30C12" w:rsidRDefault="00EA3CE4" w:rsidP="00EA3CE4">
      <w:pPr>
        <w:pStyle w:val="ListParagraph"/>
        <w:numPr>
          <w:ilvl w:val="0"/>
          <w:numId w:val="27"/>
        </w:numPr>
        <w:spacing w:before="0" w:after="160" w:line="259" w:lineRule="auto"/>
        <w:rPr>
          <w:rFonts w:eastAsiaTheme="minorEastAsia"/>
          <w:color w:val="auto"/>
          <w:szCs w:val="22"/>
        </w:rPr>
      </w:pPr>
      <w:r w:rsidRPr="00A30C12">
        <w:rPr>
          <w:color w:val="auto"/>
          <w:szCs w:val="22"/>
        </w:rPr>
        <w:t>Tecovirimat is the preferred treatment for severe mpox.</w:t>
      </w:r>
    </w:p>
    <w:p w14:paraId="0A05CFFB" w14:textId="388F3873" w:rsidR="00CA4BE3" w:rsidRPr="00A30C12" w:rsidRDefault="00EA3CE4" w:rsidP="003D2D88">
      <w:pPr>
        <w:pStyle w:val="Heading1"/>
        <w:rPr>
          <w:color w:val="auto"/>
          <w:sz w:val="32"/>
          <w:szCs w:val="32"/>
        </w:rPr>
      </w:pPr>
      <w:bookmarkStart w:id="3" w:name="_Hlk177739411"/>
      <w:bookmarkEnd w:id="2"/>
      <w:r w:rsidRPr="00A30C12">
        <w:rPr>
          <w:color w:val="auto"/>
          <w:sz w:val="32"/>
          <w:szCs w:val="32"/>
        </w:rPr>
        <w:t>Treatment options</w:t>
      </w:r>
      <w:bookmarkEnd w:id="3"/>
    </w:p>
    <w:p w14:paraId="6AA48E42" w14:textId="77777777" w:rsidR="00EA3CE4" w:rsidRPr="00A30C12" w:rsidRDefault="00EA3CE4" w:rsidP="00EA3CE4">
      <w:pPr>
        <w:rPr>
          <w:color w:val="auto"/>
          <w:szCs w:val="22"/>
        </w:rPr>
      </w:pPr>
      <w:r w:rsidRPr="00A30C12">
        <w:rPr>
          <w:color w:val="auto"/>
          <w:szCs w:val="22"/>
        </w:rPr>
        <w:t xml:space="preserve">Current therapeutic options </w:t>
      </w:r>
      <w:r w:rsidRPr="00A30C12">
        <w:rPr>
          <w:color w:val="auto"/>
          <w:szCs w:val="22"/>
        </w:rPr>
        <w:fldChar w:fldCharType="begin">
          <w:fldData xml:space="preserve">PEVuZE5vdGU+PENpdGU+PEF1dGhvcj5Gb3g8L0F1dGhvcj48WWVhcj4yMDIzPC9ZZWFyPjxSZWNO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</w:fldData>
        </w:fldChar>
      </w:r>
      <w:r w:rsidRPr="00A30C12">
        <w:rPr>
          <w:color w:val="auto"/>
          <w:szCs w:val="22"/>
        </w:rPr>
        <w:instrText xml:space="preserve"> ADDIN EN.CITE </w:instrText>
      </w:r>
      <w:r w:rsidRPr="00A30C12">
        <w:rPr>
          <w:color w:val="auto"/>
          <w:szCs w:val="22"/>
        </w:rPr>
        <w:fldChar w:fldCharType="begin">
          <w:fldData xml:space="preserve">PEVuZE5vdGU+PENpdGU+PEF1dGhvcj5Gb3g8L0F1dGhvcj48WWVhcj4yMDIzPC9ZZWFyPjxSZWNO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</w:fldData>
        </w:fldChar>
      </w:r>
      <w:r w:rsidRPr="00A30C12">
        <w:rPr>
          <w:color w:val="auto"/>
          <w:szCs w:val="22"/>
        </w:rPr>
        <w:instrText xml:space="preserve"> ADDIN EN.CITE.DATA </w:instrText>
      </w:r>
      <w:r w:rsidRPr="00A30C12">
        <w:rPr>
          <w:color w:val="auto"/>
          <w:szCs w:val="22"/>
        </w:rPr>
      </w:r>
      <w:r w:rsidRPr="00A30C12">
        <w:rPr>
          <w:color w:val="auto"/>
          <w:szCs w:val="22"/>
        </w:rPr>
        <w:fldChar w:fldCharType="end"/>
      </w:r>
      <w:r w:rsidRPr="00A30C12">
        <w:rPr>
          <w:color w:val="auto"/>
          <w:szCs w:val="22"/>
        </w:rPr>
      </w:r>
      <w:r w:rsidRPr="00A30C12">
        <w:rPr>
          <w:color w:val="auto"/>
          <w:szCs w:val="22"/>
        </w:rPr>
        <w:fldChar w:fldCharType="separate"/>
      </w:r>
      <w:r w:rsidRPr="00A30C12">
        <w:rPr>
          <w:color w:val="auto"/>
          <w:szCs w:val="22"/>
        </w:rPr>
        <w:t>(Bruno &amp; Buccoliero, 2023; Fox et al., 2023)</w:t>
      </w:r>
      <w:r w:rsidRPr="00A30C12">
        <w:rPr>
          <w:color w:val="auto"/>
          <w:szCs w:val="22"/>
        </w:rPr>
        <w:fldChar w:fldCharType="end"/>
      </w:r>
      <w:r w:rsidRPr="00A30C12">
        <w:rPr>
          <w:color w:val="auto"/>
          <w:szCs w:val="22"/>
        </w:rPr>
        <w:t xml:space="preserve"> for human mpox in Australia include:</w:t>
      </w:r>
    </w:p>
    <w:p w14:paraId="3753C1FF" w14:textId="3535316B" w:rsidR="00EA3CE4" w:rsidRPr="00A30C12" w:rsidRDefault="00EA3CE4" w:rsidP="00EA3CE4">
      <w:pPr>
        <w:pStyle w:val="ListParagraph"/>
        <w:numPr>
          <w:ilvl w:val="0"/>
          <w:numId w:val="27"/>
        </w:numPr>
        <w:spacing w:before="0" w:after="160" w:line="259" w:lineRule="auto"/>
        <w:rPr>
          <w:rFonts w:eastAsiaTheme="minorEastAsia"/>
          <w:color w:val="auto"/>
          <w:szCs w:val="22"/>
        </w:rPr>
      </w:pPr>
      <w:r w:rsidRPr="00A30C12">
        <w:rPr>
          <w:color w:val="auto"/>
          <w:szCs w:val="22"/>
        </w:rPr>
        <w:t>Tecovirimat</w:t>
      </w:r>
    </w:p>
    <w:p w14:paraId="5670C9D4" w14:textId="075B28E5" w:rsidR="00EA3CE4" w:rsidRPr="00A30C12" w:rsidRDefault="00456CD2" w:rsidP="00EA3CE4">
      <w:pPr>
        <w:pStyle w:val="ListParagraph"/>
        <w:numPr>
          <w:ilvl w:val="0"/>
          <w:numId w:val="27"/>
        </w:numPr>
        <w:spacing w:before="0" w:after="160" w:line="259" w:lineRule="auto"/>
        <w:rPr>
          <w:rFonts w:eastAsiaTheme="minorEastAsia"/>
          <w:color w:val="auto"/>
          <w:szCs w:val="22"/>
        </w:rPr>
      </w:pPr>
      <w:r w:rsidRPr="00A30C12">
        <w:rPr>
          <w:color w:val="auto"/>
          <w:szCs w:val="22"/>
        </w:rPr>
        <w:t>Vaccinia immune globulin (VIG)</w:t>
      </w:r>
    </w:p>
    <w:p w14:paraId="3071757E" w14:textId="60AFAB3C" w:rsidR="00EA3CE4" w:rsidRPr="00A30C12" w:rsidRDefault="00EA3CE4" w:rsidP="00EA3CE4">
      <w:pPr>
        <w:rPr>
          <w:color w:val="auto"/>
          <w:szCs w:val="22"/>
        </w:rPr>
      </w:pPr>
      <w:r w:rsidRPr="00A30C12">
        <w:rPr>
          <w:color w:val="auto"/>
          <w:szCs w:val="22"/>
        </w:rPr>
        <w:t>If expert clinical judgement determines a patient requires specific treatment for mpox, the preferred first option for drug treatment is tecovirimat. If tecovirimat is unavailable, VIG is the next preferred option.</w:t>
      </w:r>
    </w:p>
    <w:p w14:paraId="6C369323" w14:textId="3394ACB8" w:rsidR="00EA3CE4" w:rsidRPr="00A30C12" w:rsidRDefault="00EA3CE4" w:rsidP="00EA3CE4">
      <w:pPr>
        <w:pStyle w:val="ListParagraph"/>
        <w:numPr>
          <w:ilvl w:val="0"/>
          <w:numId w:val="29"/>
        </w:numPr>
        <w:spacing w:before="0" w:after="160" w:line="259" w:lineRule="auto"/>
        <w:rPr>
          <w:color w:val="auto"/>
        </w:rPr>
      </w:pPr>
      <w:r w:rsidRPr="00A30C12">
        <w:rPr>
          <w:b/>
          <w:bCs/>
          <w:color w:val="auto"/>
        </w:rPr>
        <w:t>Tecovirimat</w:t>
      </w:r>
      <w:r w:rsidRPr="00A30C12">
        <w:rPr>
          <w:color w:val="auto"/>
        </w:rPr>
        <w:t>, which is held in the National Medical Stockpile (NMS)</w:t>
      </w:r>
      <w:r w:rsidR="00456CD2" w:rsidRPr="00A30C12">
        <w:rPr>
          <w:color w:val="auto"/>
          <w:szCs w:val="22"/>
        </w:rPr>
        <w:t>,</w:t>
      </w:r>
      <w:r w:rsidRPr="00A30C12">
        <w:rPr>
          <w:color w:val="auto"/>
        </w:rPr>
        <w:t xml:space="preserve"> is not approved for the treatment of human mpox by the Therapeutic Goods Administration (TGA)</w:t>
      </w:r>
      <w:r w:rsidRPr="00A30C12">
        <w:rPr>
          <w:rStyle w:val="FootnoteReference"/>
          <w:color w:val="auto"/>
        </w:rPr>
        <w:footnoteReference w:id="7"/>
      </w:r>
      <w:r w:rsidRPr="00A30C12">
        <w:rPr>
          <w:color w:val="auto"/>
          <w:szCs w:val="22"/>
        </w:rPr>
        <w:t xml:space="preserve"> </w:t>
      </w:r>
      <w:r w:rsidRPr="00A30C12">
        <w:rPr>
          <w:color w:val="auto"/>
          <w:szCs w:val="22"/>
        </w:rPr>
        <w:fldChar w:fldCharType="begin"/>
      </w:r>
      <w:r w:rsidRPr="00A30C12">
        <w:rPr>
          <w:color w:val="auto"/>
          <w:szCs w:val="22"/>
        </w:rPr>
        <w:instrText xml:space="preserve"> ADDIN EN.CITE &lt;EndNote&gt;&lt;Cite&gt;&lt;Author&gt;CDC&lt;/Author&gt;&lt;Year&gt;2024&lt;/Year&gt;&lt;RecNum&gt;15&lt;/RecNum&gt;&lt;DisplayText&gt;(CDC, 2024a)&lt;/DisplayText&gt;&lt;record&gt;&lt;rec-number&gt;15&lt;/rec-number&gt;&lt;foreign-keys&gt;&lt;key app="EN" db-id="xersvedf1seaewezsr6xxxvbap22edxx2r55" timestamp="1726032804"&gt;15&lt;/key&gt;&lt;/foreign-keys&gt;&lt;ref-type name="Government Document"&gt;46&lt;/ref-type&gt;&lt;contributors&gt;&lt;authors&gt;&lt;author&gt;CDC, &lt;/author&gt;&lt;/authors&gt;&lt;secondary-authors&gt;&lt;author&gt;US CDC&lt;/author&gt;&lt;/secondary-authors&gt;&lt;/contributors&gt;&lt;titles&gt;&lt;title&gt;Expanded Access IND Protocol: Use of Tecovirimat (TPOXX®) for Treatment of Human Non-Variola Orthopoxvirus Infections in Adults and Children - Version 6.4&lt;/title&gt;&lt;/titles&gt;&lt;dates&gt;&lt;year&gt;2024&lt;/year&gt;&lt;/dates&gt;&lt;pub-location&gt;Atlanta, GA.&lt;/pub-location&gt;&lt;urls&gt;&lt;related-urls&gt;&lt;url&gt;https://www.cdc.gov/poxvirus/mpox/pdf/Tecovirimat-IND-Protocol-CDC-IRB.pdf&lt;/url&gt;&lt;/related-urls&gt;&lt;/urls&gt;&lt;/record&gt;&lt;/Cite&gt;&lt;/EndNote&gt;</w:instrText>
      </w:r>
      <w:r w:rsidRPr="00A30C12">
        <w:rPr>
          <w:color w:val="auto"/>
          <w:szCs w:val="22"/>
        </w:rPr>
        <w:fldChar w:fldCharType="separate"/>
      </w:r>
      <w:r w:rsidRPr="00A30C12">
        <w:rPr>
          <w:color w:val="auto"/>
        </w:rPr>
        <w:t>(CDC, 2024a)</w:t>
      </w:r>
      <w:r w:rsidRPr="00A30C12">
        <w:rPr>
          <w:color w:val="auto"/>
          <w:szCs w:val="22"/>
        </w:rPr>
        <w:fldChar w:fldCharType="end"/>
      </w:r>
      <w:r w:rsidRPr="00A30C12">
        <w:rPr>
          <w:color w:val="auto"/>
        </w:rPr>
        <w:t xml:space="preserve">. It appears to be well tolerated and active </w:t>
      </w:r>
      <w:r w:rsidRPr="00A30C12">
        <w:rPr>
          <w:i/>
          <w:iCs/>
          <w:color w:val="auto"/>
        </w:rPr>
        <w:t xml:space="preserve">in vitro </w:t>
      </w:r>
      <w:r w:rsidRPr="00A30C12">
        <w:rPr>
          <w:color w:val="auto"/>
        </w:rPr>
        <w:t xml:space="preserve">against </w:t>
      </w:r>
      <w:proofErr w:type="spellStart"/>
      <w:r w:rsidRPr="00A30C12">
        <w:rPr>
          <w:color w:val="auto"/>
        </w:rPr>
        <w:t>orthopoxviruses</w:t>
      </w:r>
      <w:proofErr w:type="spellEnd"/>
      <w:r w:rsidRPr="00A30C12">
        <w:rPr>
          <w:color w:val="auto"/>
        </w:rPr>
        <w:t xml:space="preserve">. It is highly efficacious as PEP and treatment in animal models </w:t>
      </w:r>
      <w:r w:rsidRPr="00A30C12">
        <w:rPr>
          <w:color w:val="auto"/>
          <w:szCs w:val="22"/>
        </w:rPr>
        <w:fldChar w:fldCharType="begin">
          <w:fldData xml:space="preserve">PEVuZE5vdGU+PENpdGU+PEF1dGhvcj5OSUFJRDwvQXV0aG9yPjxZZWFyPjIwMjQ8L1llYXI+PFJl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</w:fldData>
        </w:fldChar>
      </w:r>
      <w:r w:rsidRPr="00A30C12">
        <w:rPr>
          <w:color w:val="auto"/>
          <w:szCs w:val="22"/>
        </w:rPr>
        <w:instrText xml:space="preserve"> ADDIN EN.CITE </w:instrText>
      </w:r>
      <w:r w:rsidRPr="00A30C12">
        <w:rPr>
          <w:color w:val="auto"/>
          <w:szCs w:val="22"/>
        </w:rPr>
        <w:fldChar w:fldCharType="begin">
          <w:fldData xml:space="preserve">PEVuZE5vdGU+PENpdGU+PEF1dGhvcj5OSUFJRDwvQXV0aG9yPjxZZWFyPjIwMjQ8L1llYXI+PFJl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</w:fldData>
        </w:fldChar>
      </w:r>
      <w:r w:rsidRPr="00A30C12">
        <w:rPr>
          <w:color w:val="auto"/>
          <w:szCs w:val="22"/>
        </w:rPr>
        <w:instrText xml:space="preserve"> ADDIN EN.CITE.DATA </w:instrText>
      </w:r>
      <w:r w:rsidRPr="00A30C12">
        <w:rPr>
          <w:color w:val="auto"/>
          <w:szCs w:val="22"/>
        </w:rPr>
      </w:r>
      <w:r w:rsidRPr="00A30C12">
        <w:rPr>
          <w:color w:val="auto"/>
          <w:szCs w:val="22"/>
        </w:rPr>
        <w:fldChar w:fldCharType="end"/>
      </w:r>
      <w:r w:rsidRPr="00A30C12">
        <w:rPr>
          <w:color w:val="auto"/>
          <w:szCs w:val="22"/>
        </w:rPr>
      </w:r>
      <w:r w:rsidRPr="00A30C12">
        <w:rPr>
          <w:color w:val="auto"/>
          <w:szCs w:val="22"/>
        </w:rPr>
        <w:fldChar w:fldCharType="separate"/>
      </w:r>
      <w:r w:rsidRPr="00A30C12">
        <w:rPr>
          <w:color w:val="auto"/>
        </w:rPr>
        <w:t>(ECRAID, 2024; NIAID, 2024; NIHR, 2022; SIGA, 2024; Telford et al., 2023)</w:t>
      </w:r>
      <w:r w:rsidRPr="00A30C12">
        <w:rPr>
          <w:color w:val="auto"/>
          <w:szCs w:val="22"/>
        </w:rPr>
        <w:fldChar w:fldCharType="end"/>
      </w:r>
      <w:r w:rsidRPr="00A30C12">
        <w:rPr>
          <w:color w:val="auto"/>
        </w:rPr>
        <w:t xml:space="preserve">. See appendix for further details. </w:t>
      </w:r>
    </w:p>
    <w:p w14:paraId="67F15182" w14:textId="00AA00BD" w:rsidR="00AA71D6" w:rsidRPr="00A30C12" w:rsidRDefault="00EA3CE4" w:rsidP="6E0F985C">
      <w:pPr>
        <w:pStyle w:val="ListParagraph"/>
        <w:numPr>
          <w:ilvl w:val="0"/>
          <w:numId w:val="29"/>
        </w:numPr>
        <w:spacing w:before="0" w:after="160" w:line="259" w:lineRule="auto"/>
        <w:rPr>
          <w:color w:val="auto"/>
        </w:rPr>
      </w:pPr>
      <w:r w:rsidRPr="00A30C12">
        <w:rPr>
          <w:b/>
          <w:bCs/>
          <w:color w:val="auto"/>
        </w:rPr>
        <w:t>VIG</w:t>
      </w:r>
      <w:r w:rsidRPr="00A30C12">
        <w:rPr>
          <w:color w:val="auto"/>
        </w:rPr>
        <w:t xml:space="preserve"> is held in the NMS in limited quantities. It may need to be used when</w:t>
      </w:r>
      <w:r w:rsidR="00590BEB" w:rsidRPr="00A30C12">
        <w:rPr>
          <w:color w:val="auto"/>
        </w:rPr>
        <w:t xml:space="preserve"> the safety of</w:t>
      </w:r>
      <w:r w:rsidRPr="00A30C12">
        <w:rPr>
          <w:color w:val="auto"/>
        </w:rPr>
        <w:t xml:space="preserve"> Tecovirimat </w:t>
      </w:r>
      <w:r w:rsidR="00590BEB" w:rsidRPr="00A30C12">
        <w:rPr>
          <w:color w:val="auto"/>
        </w:rPr>
        <w:t xml:space="preserve">has not been established </w:t>
      </w:r>
      <w:r w:rsidR="0002698C" w:rsidRPr="00A30C12">
        <w:rPr>
          <w:color w:val="auto"/>
        </w:rPr>
        <w:t xml:space="preserve">such as </w:t>
      </w:r>
      <w:r w:rsidR="00590BEB" w:rsidRPr="00A30C12">
        <w:rPr>
          <w:color w:val="auto"/>
        </w:rPr>
        <w:t xml:space="preserve">during </w:t>
      </w:r>
      <w:hyperlink r:id="rId19" w:history="1">
        <w:r w:rsidR="00590BEB" w:rsidRPr="00A30C12">
          <w:rPr>
            <w:rStyle w:val="Hyperlink"/>
          </w:rPr>
          <w:t>pregnancy and breastfeeding</w:t>
        </w:r>
      </w:hyperlink>
      <w:r w:rsidR="00AA71D6" w:rsidRPr="00A30C12">
        <w:rPr>
          <w:color w:val="auto"/>
        </w:rPr>
        <w:t>:</w:t>
      </w:r>
      <w:r w:rsidR="003321FA" w:rsidRPr="00A30C12">
        <w:rPr>
          <w:color w:val="auto"/>
        </w:rPr>
        <w:br/>
      </w:r>
    </w:p>
    <w:p w14:paraId="5545405C" w14:textId="7DC27939" w:rsidR="00EA3CE4" w:rsidRPr="00A30C12" w:rsidRDefault="00EA3CE4" w:rsidP="00EA3CE4">
      <w:pPr>
        <w:pStyle w:val="Heading2"/>
        <w:rPr>
          <w:rFonts w:eastAsiaTheme="minorEastAsia"/>
          <w:color w:val="auto"/>
        </w:rPr>
      </w:pPr>
      <w:r w:rsidRPr="00A30C12">
        <w:rPr>
          <w:color w:val="auto"/>
        </w:rPr>
        <w:t>Other treatments with potential activity</w:t>
      </w:r>
    </w:p>
    <w:p w14:paraId="05CE6299" w14:textId="77777777" w:rsidR="00EA3CE4" w:rsidRPr="00A30C12" w:rsidRDefault="00EA3CE4" w:rsidP="00EA3CE4">
      <w:pPr>
        <w:pStyle w:val="ListParagraph"/>
        <w:numPr>
          <w:ilvl w:val="0"/>
          <w:numId w:val="29"/>
        </w:numPr>
        <w:spacing w:before="0" w:after="160" w:line="259" w:lineRule="auto"/>
        <w:rPr>
          <w:color w:val="auto"/>
          <w:szCs w:val="22"/>
        </w:rPr>
      </w:pPr>
      <w:r w:rsidRPr="00A30C12">
        <w:rPr>
          <w:b/>
          <w:color w:val="auto"/>
          <w:szCs w:val="22"/>
        </w:rPr>
        <w:t>Cidofovir</w:t>
      </w:r>
      <w:r w:rsidRPr="00A30C12">
        <w:rPr>
          <w:color w:val="auto"/>
          <w:szCs w:val="22"/>
        </w:rPr>
        <w:t xml:space="preserve">, which is currently TGA registered and used in Australia for the treatment of human cytomegalovirus (CMV) infections, other human herpesvirus, and adenovirus infections in immunocompromised patients. Cidofovir should be carefully considered for the treatment of mpox to preserve supply, particularly for patients with difficult to treat CMV disease and other viral infections in those that have undergone solid organ or hematopoietic stem cell transplantation. The significant adverse events profile especially </w:t>
      </w:r>
      <w:proofErr w:type="gramStart"/>
      <w:r w:rsidRPr="00A30C12">
        <w:rPr>
          <w:color w:val="auto"/>
          <w:szCs w:val="22"/>
        </w:rPr>
        <w:t>nephrotoxicity</w:t>
      </w:r>
      <w:proofErr w:type="gramEnd"/>
      <w:r w:rsidRPr="00A30C12">
        <w:rPr>
          <w:color w:val="auto"/>
          <w:szCs w:val="22"/>
        </w:rPr>
        <w:t xml:space="preserve"> and myelosuppression may outweigh the benefit.</w:t>
      </w:r>
    </w:p>
    <w:p w14:paraId="51A3D3AE" w14:textId="55C8DA24" w:rsidR="00EA3CE4" w:rsidRPr="00A30C12" w:rsidRDefault="00EA3CE4" w:rsidP="00EA3CE4">
      <w:pPr>
        <w:pStyle w:val="Heading2"/>
        <w:rPr>
          <w:color w:val="auto"/>
          <w:sz w:val="32"/>
          <w:szCs w:val="32"/>
        </w:rPr>
      </w:pPr>
      <w:r w:rsidRPr="00A30C12">
        <w:rPr>
          <w:color w:val="auto"/>
          <w:sz w:val="32"/>
          <w:szCs w:val="32"/>
        </w:rPr>
        <w:t>Indications for use</w:t>
      </w:r>
      <w:r w:rsidR="00590BEB" w:rsidRPr="00A30C12">
        <w:rPr>
          <w:color w:val="auto"/>
          <w:sz w:val="32"/>
          <w:szCs w:val="32"/>
        </w:rPr>
        <w:t xml:space="preserve"> in confirmed mpox</w:t>
      </w:r>
    </w:p>
    <w:p w14:paraId="7AEB328C" w14:textId="0696A46D" w:rsidR="00EA3CE4" w:rsidRPr="00A30C12" w:rsidRDefault="00EA3CE4" w:rsidP="6E0F985C">
      <w:pPr>
        <w:pStyle w:val="ListParagraph"/>
        <w:numPr>
          <w:ilvl w:val="0"/>
          <w:numId w:val="30"/>
        </w:numPr>
        <w:spacing w:before="0" w:after="160" w:line="259" w:lineRule="auto"/>
        <w:rPr>
          <w:rFonts w:eastAsiaTheme="minorEastAsia"/>
          <w:color w:val="auto"/>
        </w:rPr>
      </w:pPr>
      <w:r w:rsidRPr="00A30C12">
        <w:rPr>
          <w:rFonts w:eastAsiaTheme="minorEastAsia"/>
          <w:color w:val="auto"/>
        </w:rPr>
        <w:t>Tecovirimat for 14 days is the preferred treatment of mpox when treatment is deemed necessary.</w:t>
      </w:r>
      <w:r w:rsidR="002157BF" w:rsidRPr="00A30C12">
        <w:rPr>
          <w:rFonts w:eastAsiaTheme="minorEastAsia"/>
          <w:color w:val="auto"/>
        </w:rPr>
        <w:t xml:space="preserve"> See appendix for dose and route of administration.</w:t>
      </w:r>
    </w:p>
    <w:p w14:paraId="2BFF194D" w14:textId="77777777" w:rsidR="00EA3CE4" w:rsidRPr="00A30C12" w:rsidRDefault="00EA3CE4" w:rsidP="00EA3CE4">
      <w:pPr>
        <w:pStyle w:val="ListParagraph"/>
        <w:numPr>
          <w:ilvl w:val="0"/>
          <w:numId w:val="30"/>
        </w:numPr>
        <w:spacing w:before="0" w:after="160" w:line="259" w:lineRule="auto"/>
        <w:rPr>
          <w:rFonts w:eastAsiaTheme="minorEastAsia"/>
          <w:color w:val="auto"/>
          <w:szCs w:val="22"/>
        </w:rPr>
      </w:pPr>
      <w:r w:rsidRPr="00A30C12">
        <w:rPr>
          <w:color w:val="auto"/>
          <w:szCs w:val="22"/>
        </w:rPr>
        <w:t>Those who should be considered for treatment may include:</w:t>
      </w:r>
    </w:p>
    <w:p w14:paraId="747A5CEF" w14:textId="77777777" w:rsidR="00EA3CE4" w:rsidRPr="00A30C12" w:rsidRDefault="00EA3CE4" w:rsidP="00EA3CE4">
      <w:pPr>
        <w:pStyle w:val="ListParagraph"/>
        <w:numPr>
          <w:ilvl w:val="1"/>
          <w:numId w:val="30"/>
        </w:numPr>
        <w:spacing w:before="0" w:after="160" w:line="259" w:lineRule="auto"/>
        <w:rPr>
          <w:rFonts w:eastAsiaTheme="minorEastAsia"/>
          <w:color w:val="auto"/>
          <w:szCs w:val="22"/>
        </w:rPr>
      </w:pPr>
      <w:r w:rsidRPr="00A30C12">
        <w:rPr>
          <w:rFonts w:eastAsiaTheme="minorEastAsia"/>
          <w:color w:val="auto"/>
          <w:szCs w:val="22"/>
        </w:rPr>
        <w:t>Those with severe disease (e.g., haemorrhagic disease, confluent lesions, sepsis, encephalitis, or other conditions requiring hospitalisation)</w:t>
      </w:r>
    </w:p>
    <w:p w14:paraId="154C4559" w14:textId="77777777" w:rsidR="00EA3CE4" w:rsidRPr="00A30C12" w:rsidRDefault="00EA3CE4" w:rsidP="00EA3CE4">
      <w:pPr>
        <w:pStyle w:val="ListParagraph"/>
        <w:numPr>
          <w:ilvl w:val="1"/>
          <w:numId w:val="30"/>
        </w:numPr>
        <w:spacing w:before="0" w:after="160" w:line="259" w:lineRule="auto"/>
        <w:rPr>
          <w:rFonts w:eastAsiaTheme="minorEastAsia"/>
          <w:color w:val="auto"/>
          <w:szCs w:val="22"/>
        </w:rPr>
      </w:pPr>
      <w:r w:rsidRPr="00A30C12">
        <w:rPr>
          <w:rFonts w:eastAsiaTheme="minorEastAsia"/>
          <w:color w:val="auto"/>
          <w:szCs w:val="22"/>
        </w:rPr>
        <w:t>Those who may be at high risk of severe disease:</w:t>
      </w:r>
    </w:p>
    <w:p w14:paraId="2A0D1903" w14:textId="5E37BAC9" w:rsidR="00EA3CE4" w:rsidRPr="00A30C12" w:rsidRDefault="00EA3CE4" w:rsidP="00EA3CE4">
      <w:pPr>
        <w:pStyle w:val="ListParagraph"/>
        <w:numPr>
          <w:ilvl w:val="2"/>
          <w:numId w:val="30"/>
        </w:numPr>
        <w:spacing w:before="0" w:after="160" w:line="259" w:lineRule="auto"/>
        <w:rPr>
          <w:rFonts w:eastAsiaTheme="minorEastAsia"/>
          <w:color w:val="auto"/>
          <w:szCs w:val="22"/>
        </w:rPr>
      </w:pPr>
      <w:r w:rsidRPr="00A30C12">
        <w:rPr>
          <w:rFonts w:eastAsiaTheme="minorEastAsia"/>
          <w:color w:val="auto"/>
          <w:szCs w:val="22"/>
        </w:rPr>
        <w:t>Those who are immunocompromised (e.g., acquired immune deficiency syndrome with CD4 count &lt;200 cells/µL</w:t>
      </w:r>
      <w:r w:rsidRPr="00A30C12">
        <w:rPr>
          <w:rStyle w:val="FootnoteReference"/>
          <w:rFonts w:eastAsiaTheme="minorEastAsia"/>
          <w:color w:val="auto"/>
          <w:szCs w:val="22"/>
        </w:rPr>
        <w:footnoteReference w:id="8"/>
      </w:r>
      <w:r w:rsidRPr="00A30C12">
        <w:rPr>
          <w:rFonts w:eastAsiaTheme="minorEastAsia"/>
          <w:color w:val="auto"/>
          <w:szCs w:val="22"/>
        </w:rPr>
        <w:t xml:space="preserve"> leukaemia, lymphoma, generalised malignancy, solid organ transplantation, therapy with alkylating agents, antimetabolites, radiation, tumour necrosis factor inhibitors, high-dose corticosteroids,</w:t>
      </w:r>
      <w:r w:rsidR="00C00BCF" w:rsidRPr="00A30C12">
        <w:rPr>
          <w:rFonts w:eastAsiaTheme="minorEastAsia"/>
          <w:color w:val="auto"/>
          <w:szCs w:val="22"/>
        </w:rPr>
        <w:t xml:space="preserve"> </w:t>
      </w:r>
      <w:r w:rsidRPr="00A30C12">
        <w:rPr>
          <w:rFonts w:eastAsiaTheme="minorEastAsia"/>
          <w:color w:val="auto"/>
          <w:szCs w:val="22"/>
        </w:rPr>
        <w:t>hematopoietic stem cell transplant recipient &lt;24 months post-transplant or ≥24 months but with graft-versus-host disease or disease relapse, or having autoimmune disease with immunodeficiency as a clinical component)</w:t>
      </w:r>
      <w:r w:rsidR="00223051" w:rsidRPr="00A30C12">
        <w:rPr>
          <w:rFonts w:eastAsiaTheme="minorEastAsia"/>
          <w:color w:val="auto"/>
          <w:szCs w:val="22"/>
        </w:rPr>
        <w:t>.</w:t>
      </w:r>
    </w:p>
    <w:p w14:paraId="53854BF9" w14:textId="1B059700" w:rsidR="00EA3CE4" w:rsidRPr="00A30C12" w:rsidRDefault="00EA3CE4" w:rsidP="00EA3CE4">
      <w:pPr>
        <w:pStyle w:val="ListParagraph"/>
        <w:numPr>
          <w:ilvl w:val="2"/>
          <w:numId w:val="30"/>
        </w:numPr>
        <w:spacing w:before="0" w:after="160" w:line="259" w:lineRule="auto"/>
        <w:rPr>
          <w:rFonts w:eastAsiaTheme="minorEastAsia"/>
          <w:color w:val="auto"/>
          <w:szCs w:val="22"/>
        </w:rPr>
      </w:pPr>
      <w:r w:rsidRPr="00A30C12">
        <w:rPr>
          <w:rFonts w:eastAsiaTheme="minorEastAsia"/>
          <w:color w:val="auto"/>
          <w:szCs w:val="22"/>
        </w:rPr>
        <w:t>Paediatric populations, particularly patients younger than 8 years of age</w:t>
      </w:r>
      <w:r w:rsidR="00223051" w:rsidRPr="00A30C12">
        <w:rPr>
          <w:rFonts w:eastAsiaTheme="minorEastAsia"/>
          <w:color w:val="auto"/>
          <w:szCs w:val="22"/>
        </w:rPr>
        <w:t>.</w:t>
      </w:r>
    </w:p>
    <w:p w14:paraId="3BC07F07" w14:textId="536601E5" w:rsidR="00EA3CE4" w:rsidRPr="00A30C12" w:rsidRDefault="00EA3CE4" w:rsidP="00EA3CE4">
      <w:pPr>
        <w:pStyle w:val="ListParagraph"/>
        <w:numPr>
          <w:ilvl w:val="2"/>
          <w:numId w:val="30"/>
        </w:numPr>
        <w:spacing w:before="0" w:after="160" w:line="259" w:lineRule="auto"/>
        <w:rPr>
          <w:rFonts w:eastAsiaTheme="minorEastAsia"/>
          <w:color w:val="auto"/>
          <w:szCs w:val="22"/>
        </w:rPr>
      </w:pPr>
      <w:r w:rsidRPr="00A30C12">
        <w:rPr>
          <w:rFonts w:eastAsiaTheme="minorEastAsia"/>
          <w:color w:val="auto"/>
          <w:szCs w:val="22"/>
        </w:rPr>
        <w:t>Persons who are pregnant or breastfeeding</w:t>
      </w:r>
      <w:r w:rsidR="002157BF" w:rsidRPr="00A30C12">
        <w:rPr>
          <w:rFonts w:eastAsiaTheme="minorEastAsia"/>
          <w:color w:val="auto"/>
          <w:szCs w:val="22"/>
        </w:rPr>
        <w:t xml:space="preserve"> (see VIG under Treatment Options)</w:t>
      </w:r>
      <w:r w:rsidR="00223051" w:rsidRPr="00A30C12">
        <w:rPr>
          <w:rFonts w:eastAsiaTheme="minorEastAsia"/>
          <w:color w:val="auto"/>
          <w:szCs w:val="22"/>
        </w:rPr>
        <w:t>.</w:t>
      </w:r>
    </w:p>
    <w:p w14:paraId="62D5F4C6" w14:textId="20FA52D3" w:rsidR="00EA3CE4" w:rsidRPr="00A30C12" w:rsidRDefault="00EA3CE4" w:rsidP="00EA3CE4">
      <w:pPr>
        <w:pStyle w:val="ListParagraph"/>
        <w:numPr>
          <w:ilvl w:val="2"/>
          <w:numId w:val="30"/>
        </w:numPr>
        <w:spacing w:before="0" w:after="160" w:line="259" w:lineRule="auto"/>
        <w:rPr>
          <w:rFonts w:eastAsiaTheme="minorEastAsia"/>
          <w:color w:val="auto"/>
          <w:szCs w:val="22"/>
        </w:rPr>
      </w:pPr>
      <w:r w:rsidRPr="00A30C12">
        <w:rPr>
          <w:rFonts w:eastAsiaTheme="minorEastAsia"/>
          <w:color w:val="auto"/>
          <w:szCs w:val="22"/>
        </w:rPr>
        <w:t xml:space="preserve">Those with one or more complications (e.g., secondary bacterial skin infection; gastroenteritis with severe nausea/vomiting, diarrhoea, or dehydration; bronchopneumonia; concurrent disease or other comorbidities). Other complications include </w:t>
      </w:r>
      <w:r w:rsidRPr="00A30C12">
        <w:rPr>
          <w:color w:val="auto"/>
          <w:szCs w:val="22"/>
        </w:rPr>
        <w:t>aberrant infections that include its accidental implantation in eyes, mouth, or other anatomical areas where mpox might constitute a special hazard (e.g., the risk of secondary bacterial infection and Fournier’s gangrene in relevant sites where the risk of complicated skin and soft tissue infections are high).</w:t>
      </w:r>
    </w:p>
    <w:p w14:paraId="451C49D7" w14:textId="66D80241" w:rsidR="00EA3CE4" w:rsidRPr="00A30C12" w:rsidRDefault="00EA3CE4" w:rsidP="00EA3CE4">
      <w:pPr>
        <w:pStyle w:val="ListParagraph"/>
        <w:numPr>
          <w:ilvl w:val="0"/>
          <w:numId w:val="30"/>
        </w:numPr>
        <w:spacing w:before="0" w:after="160" w:line="259" w:lineRule="auto"/>
        <w:rPr>
          <w:color w:val="auto"/>
          <w:szCs w:val="22"/>
        </w:rPr>
      </w:pPr>
      <w:r w:rsidRPr="00A30C12">
        <w:rPr>
          <w:color w:val="auto"/>
          <w:szCs w:val="22"/>
        </w:rPr>
        <w:t>Early treatment in immunocompromised and other risk groups, e.g., children and pregnant patients. In pregnant patients, consult an infectious diseases physician for the management of pregnant persons. In very young children, consider treatment for confirmed infection with serious or progressive infection. Consult an infectious diseases paediatrician for management of paediatric infections.</w:t>
      </w:r>
    </w:p>
    <w:p w14:paraId="3FA6EB37" w14:textId="75FCFF98" w:rsidR="00EA3CE4" w:rsidRPr="00A30C12" w:rsidRDefault="00EA3CE4" w:rsidP="00EA3CE4">
      <w:pPr>
        <w:spacing w:before="0" w:after="0" w:line="240" w:lineRule="auto"/>
        <w:rPr>
          <w:color w:val="auto"/>
          <w:szCs w:val="22"/>
        </w:rPr>
      </w:pPr>
      <w:r w:rsidRPr="00A30C12">
        <w:rPr>
          <w:color w:val="auto"/>
          <w:szCs w:val="22"/>
        </w:rPr>
        <w:br w:type="page"/>
      </w:r>
    </w:p>
    <w:p w14:paraId="46ACD0A2" w14:textId="5AF5144E" w:rsidR="007640EE" w:rsidRPr="00A30C12" w:rsidRDefault="00EA3CE4" w:rsidP="000E39A8">
      <w:pPr>
        <w:pStyle w:val="Heading2"/>
        <w:rPr>
          <w:b w:val="0"/>
          <w:bCs w:val="0"/>
          <w:color w:val="auto"/>
          <w:sz w:val="44"/>
          <w:szCs w:val="44"/>
        </w:rPr>
      </w:pPr>
      <w:r w:rsidRPr="00A30C12">
        <w:rPr>
          <w:color w:val="auto"/>
          <w:sz w:val="44"/>
          <w:szCs w:val="44"/>
        </w:rPr>
        <w:t>Post-exposure prophylaxis following a significant mpox exposure in an individual at high-risk of complications.</w:t>
      </w:r>
    </w:p>
    <w:p w14:paraId="7F3E441F" w14:textId="5D42C1DA" w:rsidR="00590BEB" w:rsidRPr="00A30C12" w:rsidRDefault="00590BEB" w:rsidP="00590BEB">
      <w:pPr>
        <w:rPr>
          <w:b/>
          <w:bCs/>
          <w:color w:val="auto"/>
          <w:sz w:val="32"/>
          <w:szCs w:val="32"/>
        </w:rPr>
      </w:pPr>
      <w:r w:rsidRPr="00A30C12">
        <w:rPr>
          <w:b/>
          <w:bCs/>
          <w:color w:val="auto"/>
          <w:sz w:val="32"/>
          <w:szCs w:val="32"/>
        </w:rPr>
        <w:t xml:space="preserve">Identifying contacts </w:t>
      </w:r>
      <w:r w:rsidR="006F2EB7" w:rsidRPr="00A30C12">
        <w:rPr>
          <w:b/>
          <w:bCs/>
          <w:color w:val="auto"/>
          <w:sz w:val="32"/>
          <w:szCs w:val="32"/>
        </w:rPr>
        <w:t>of confirmed mpox cases</w:t>
      </w:r>
    </w:p>
    <w:p w14:paraId="387DD864" w14:textId="252C3F77" w:rsidR="00261338" w:rsidRPr="00A30C12" w:rsidRDefault="00590BEB" w:rsidP="666DEE53">
      <w:pPr>
        <w:pStyle w:val="ListParagraph"/>
        <w:numPr>
          <w:ilvl w:val="0"/>
          <w:numId w:val="27"/>
        </w:numPr>
        <w:rPr>
          <w:i/>
          <w:iCs/>
          <w:color w:val="auto"/>
        </w:rPr>
      </w:pPr>
      <w:r w:rsidRPr="00A30C12">
        <w:rPr>
          <w:color w:val="auto"/>
        </w:rPr>
        <w:t xml:space="preserve">Identifying contacts for potential PEP will be aided by referring to CDNA’s </w:t>
      </w:r>
      <w:hyperlink r:id="rId20" w:history="1">
        <w:r w:rsidRPr="00A30C12">
          <w:rPr>
            <w:rStyle w:val="Hyperlink"/>
          </w:rPr>
          <w:t>mpox national guidelines for public health units</w:t>
        </w:r>
      </w:hyperlink>
      <w:r w:rsidR="00D70E21">
        <w:rPr>
          <w:i/>
          <w:iCs/>
          <w:color w:val="auto"/>
        </w:rPr>
        <w:t>.</w:t>
      </w:r>
      <w:hyperlink w:history="1"/>
    </w:p>
    <w:p w14:paraId="4ADF1A9C" w14:textId="0344C03D" w:rsidR="00590BEB" w:rsidRPr="00A30C12" w:rsidRDefault="00590BEB" w:rsidP="00590BEB">
      <w:pPr>
        <w:rPr>
          <w:b/>
          <w:bCs/>
          <w:color w:val="auto"/>
          <w:sz w:val="32"/>
          <w:szCs w:val="32"/>
        </w:rPr>
      </w:pPr>
      <w:r w:rsidRPr="00A30C12">
        <w:rPr>
          <w:b/>
          <w:bCs/>
          <w:color w:val="auto"/>
          <w:sz w:val="32"/>
          <w:szCs w:val="32"/>
        </w:rPr>
        <w:t xml:space="preserve">PEP </w:t>
      </w:r>
      <w:r w:rsidR="00E57640" w:rsidRPr="00A30C12">
        <w:rPr>
          <w:b/>
          <w:bCs/>
          <w:color w:val="auto"/>
          <w:sz w:val="32"/>
          <w:szCs w:val="32"/>
        </w:rPr>
        <w:t>overview</w:t>
      </w:r>
      <w:r w:rsidRPr="00A30C12">
        <w:rPr>
          <w:b/>
          <w:bCs/>
          <w:color w:val="auto"/>
          <w:sz w:val="32"/>
          <w:szCs w:val="32"/>
        </w:rPr>
        <w:t xml:space="preserve"> and options </w:t>
      </w:r>
    </w:p>
    <w:p w14:paraId="1D26C946" w14:textId="650F0CD5" w:rsidR="00590BEB" w:rsidRPr="00A30C12" w:rsidRDefault="00590BEB" w:rsidP="00590BEB">
      <w:pPr>
        <w:pStyle w:val="ListParagraph"/>
        <w:numPr>
          <w:ilvl w:val="0"/>
          <w:numId w:val="27"/>
        </w:numPr>
        <w:spacing w:before="0" w:after="160" w:line="259" w:lineRule="auto"/>
        <w:rPr>
          <w:color w:val="auto"/>
        </w:rPr>
      </w:pPr>
      <w:r w:rsidRPr="00A30C12">
        <w:rPr>
          <w:color w:val="auto"/>
        </w:rPr>
        <w:t xml:space="preserve">There is a role for vaccination as PEP (PEPV). This guideline should be read in conjunction with </w:t>
      </w:r>
      <w:hyperlink r:id="rId21" w:anchor="recommendations" w:history="1">
        <w:r w:rsidRPr="00A30C12">
          <w:rPr>
            <w:rStyle w:val="Hyperlink"/>
          </w:rPr>
          <w:t>Australian Immunisation Handbook</w:t>
        </w:r>
      </w:hyperlink>
      <w:r w:rsidRPr="00A30C12">
        <w:rPr>
          <w:color w:val="auto"/>
        </w:rPr>
        <w:t xml:space="preserve"> advice on the use of mpox vaccines for PEP</w:t>
      </w:r>
      <w:r w:rsidR="00D70E21">
        <w:rPr>
          <w:color w:val="auto"/>
        </w:rPr>
        <w:t>.</w:t>
      </w:r>
    </w:p>
    <w:p w14:paraId="78EF621E" w14:textId="0C69B3CD" w:rsidR="00590BEB" w:rsidRPr="00A30C12" w:rsidRDefault="00590BEB" w:rsidP="00590BEB">
      <w:pPr>
        <w:pStyle w:val="ListParagraph"/>
        <w:numPr>
          <w:ilvl w:val="0"/>
          <w:numId w:val="27"/>
        </w:numPr>
        <w:spacing w:before="0" w:after="160" w:line="259" w:lineRule="auto"/>
        <w:rPr>
          <w:color w:val="auto"/>
        </w:rPr>
      </w:pPr>
      <w:r w:rsidRPr="00A30C12">
        <w:rPr>
          <w:color w:val="auto"/>
        </w:rPr>
        <w:t>Antiviral agents may be used for PEP. Evidence for the use of antiviral agents is limited.</w:t>
      </w:r>
    </w:p>
    <w:p w14:paraId="501C0C47" w14:textId="77777777" w:rsidR="00590BEB" w:rsidRPr="00A30C12" w:rsidRDefault="00590BEB" w:rsidP="00590BEB">
      <w:pPr>
        <w:pStyle w:val="ListParagraph"/>
        <w:numPr>
          <w:ilvl w:val="0"/>
          <w:numId w:val="27"/>
        </w:numPr>
        <w:spacing w:before="0" w:after="160" w:line="259" w:lineRule="auto"/>
        <w:rPr>
          <w:color w:val="auto"/>
        </w:rPr>
      </w:pPr>
      <w:r w:rsidRPr="00A30C12">
        <w:rPr>
          <w:color w:val="auto"/>
        </w:rPr>
        <w:t>A</w:t>
      </w:r>
      <w:r w:rsidRPr="00A30C12">
        <w:rPr>
          <w:color w:val="auto"/>
          <w:szCs w:val="22"/>
        </w:rPr>
        <w:t xml:space="preserve">ntiviral therapy for PEP should be initiated in consultation with an infectious diseases and/or sexual health physician. </w:t>
      </w:r>
    </w:p>
    <w:p w14:paraId="622AD86B" w14:textId="2303D7E2" w:rsidR="00590BEB" w:rsidRPr="00A30C12" w:rsidRDefault="00590BEB" w:rsidP="00590BEB">
      <w:pPr>
        <w:pStyle w:val="ListParagraph"/>
        <w:numPr>
          <w:ilvl w:val="0"/>
          <w:numId w:val="27"/>
        </w:numPr>
        <w:spacing w:before="0" w:after="160" w:line="259" w:lineRule="auto"/>
        <w:rPr>
          <w:color w:val="auto"/>
        </w:rPr>
      </w:pPr>
      <w:r w:rsidRPr="00A30C12">
        <w:rPr>
          <w:color w:val="auto"/>
          <w:szCs w:val="22"/>
        </w:rPr>
        <w:t xml:space="preserve">PEP with Tecovirimat is usually reserved </w:t>
      </w:r>
      <w:r w:rsidR="001F538F" w:rsidRPr="00A30C12">
        <w:rPr>
          <w:color w:val="auto"/>
          <w:szCs w:val="22"/>
        </w:rPr>
        <w:t>for</w:t>
      </w:r>
      <w:r w:rsidRPr="00A30C12">
        <w:rPr>
          <w:color w:val="auto"/>
          <w:szCs w:val="22"/>
        </w:rPr>
        <w:t xml:space="preserve"> high</w:t>
      </w:r>
      <w:r w:rsidR="001F538F" w:rsidRPr="00A30C12">
        <w:rPr>
          <w:color w:val="auto"/>
          <w:szCs w:val="22"/>
        </w:rPr>
        <w:t>-</w:t>
      </w:r>
      <w:r w:rsidRPr="00A30C12">
        <w:rPr>
          <w:color w:val="auto"/>
          <w:szCs w:val="22"/>
        </w:rPr>
        <w:t>risk, immunocompromised p</w:t>
      </w:r>
      <w:r w:rsidR="001F538F" w:rsidRPr="00A30C12">
        <w:rPr>
          <w:color w:val="auto"/>
          <w:szCs w:val="22"/>
        </w:rPr>
        <w:t>atient</w:t>
      </w:r>
      <w:r w:rsidRPr="00A30C12">
        <w:rPr>
          <w:color w:val="auto"/>
          <w:szCs w:val="22"/>
        </w:rPr>
        <w:t>s and</w:t>
      </w:r>
      <w:r w:rsidR="001F538F" w:rsidRPr="00A30C12">
        <w:rPr>
          <w:color w:val="auto"/>
          <w:szCs w:val="22"/>
        </w:rPr>
        <w:t xml:space="preserve"> is</w:t>
      </w:r>
      <w:r w:rsidRPr="00A30C12">
        <w:rPr>
          <w:color w:val="auto"/>
          <w:szCs w:val="22"/>
        </w:rPr>
        <w:t xml:space="preserve"> decided </w:t>
      </w:r>
      <w:r w:rsidR="001F538F" w:rsidRPr="00A30C12">
        <w:rPr>
          <w:color w:val="auto"/>
          <w:szCs w:val="22"/>
        </w:rPr>
        <w:t>case-by-case,</w:t>
      </w:r>
      <w:r w:rsidRPr="00A30C12">
        <w:rPr>
          <w:color w:val="auto"/>
          <w:szCs w:val="22"/>
        </w:rPr>
        <w:t xml:space="preserve"> </w:t>
      </w:r>
      <w:r w:rsidR="00DA3041" w:rsidRPr="00A30C12">
        <w:rPr>
          <w:color w:val="auto"/>
          <w:szCs w:val="22"/>
        </w:rPr>
        <w:t xml:space="preserve">depending </w:t>
      </w:r>
      <w:r w:rsidR="009701AA" w:rsidRPr="00A30C12">
        <w:rPr>
          <w:color w:val="auto"/>
          <w:szCs w:val="22"/>
        </w:rPr>
        <w:t xml:space="preserve">on </w:t>
      </w:r>
      <w:r w:rsidR="001F538F" w:rsidRPr="00A30C12">
        <w:rPr>
          <w:color w:val="auto"/>
          <w:szCs w:val="22"/>
        </w:rPr>
        <w:t>the</w:t>
      </w:r>
      <w:r w:rsidR="009701AA" w:rsidRPr="00A30C12">
        <w:rPr>
          <w:color w:val="auto"/>
          <w:szCs w:val="22"/>
        </w:rPr>
        <w:t xml:space="preserve"> </w:t>
      </w:r>
      <w:r w:rsidRPr="00A30C12">
        <w:rPr>
          <w:color w:val="auto"/>
          <w:szCs w:val="22"/>
        </w:rPr>
        <w:t>p</w:t>
      </w:r>
      <w:r w:rsidR="001F538F" w:rsidRPr="00A30C12">
        <w:rPr>
          <w:color w:val="auto"/>
          <w:szCs w:val="22"/>
        </w:rPr>
        <w:t>atient</w:t>
      </w:r>
      <w:r w:rsidRPr="00A30C12">
        <w:rPr>
          <w:color w:val="auto"/>
          <w:szCs w:val="22"/>
        </w:rPr>
        <w:t xml:space="preserve">’s risk of complications. </w:t>
      </w:r>
    </w:p>
    <w:p w14:paraId="5970E41C" w14:textId="103EE9CF" w:rsidR="00590BEB" w:rsidRPr="00542C0D" w:rsidRDefault="008E01F9" w:rsidP="00542C0D">
      <w:pPr>
        <w:pStyle w:val="ListParagraph"/>
        <w:numPr>
          <w:ilvl w:val="0"/>
          <w:numId w:val="27"/>
        </w:numPr>
        <w:spacing w:before="0" w:after="480" w:line="259" w:lineRule="auto"/>
        <w:ind w:left="357" w:hanging="357"/>
        <w:rPr>
          <w:color w:val="auto"/>
        </w:rPr>
      </w:pPr>
      <w:r w:rsidRPr="00A30C12">
        <w:rPr>
          <w:color w:val="auto"/>
          <w:szCs w:val="22"/>
        </w:rPr>
        <w:t>T</w:t>
      </w:r>
      <w:r w:rsidR="00590BEB" w:rsidRPr="00A30C12">
        <w:rPr>
          <w:color w:val="auto"/>
          <w:szCs w:val="22"/>
        </w:rPr>
        <w:t xml:space="preserve">here is no accepted guidance on </w:t>
      </w:r>
      <w:r w:rsidR="00987A7E" w:rsidRPr="00A30C12">
        <w:rPr>
          <w:color w:val="auto"/>
          <w:szCs w:val="22"/>
        </w:rPr>
        <w:t>the</w:t>
      </w:r>
      <w:r w:rsidR="00590BEB" w:rsidRPr="00A30C12">
        <w:rPr>
          <w:color w:val="auto"/>
          <w:szCs w:val="22"/>
        </w:rPr>
        <w:t xml:space="preserve"> dose </w:t>
      </w:r>
      <w:r w:rsidR="00987A7E" w:rsidRPr="00A30C12">
        <w:rPr>
          <w:color w:val="auto"/>
          <w:szCs w:val="22"/>
        </w:rPr>
        <w:t>an</w:t>
      </w:r>
      <w:r w:rsidR="00590BEB" w:rsidRPr="00A30C12">
        <w:rPr>
          <w:color w:val="auto"/>
          <w:szCs w:val="22"/>
        </w:rPr>
        <w:t xml:space="preserve">d </w:t>
      </w:r>
      <w:r w:rsidR="00987A7E" w:rsidRPr="00A30C12">
        <w:rPr>
          <w:color w:val="auto"/>
          <w:szCs w:val="22"/>
        </w:rPr>
        <w:t>duration</w:t>
      </w:r>
      <w:r w:rsidR="00590BEB" w:rsidRPr="00A30C12">
        <w:rPr>
          <w:color w:val="auto"/>
          <w:szCs w:val="22"/>
        </w:rPr>
        <w:t xml:space="preserve"> </w:t>
      </w:r>
      <w:r w:rsidR="00987A7E" w:rsidRPr="00A30C12">
        <w:rPr>
          <w:color w:val="auto"/>
          <w:szCs w:val="22"/>
        </w:rPr>
        <w:t>of</w:t>
      </w:r>
      <w:r w:rsidR="00590BEB" w:rsidRPr="00A30C12">
        <w:rPr>
          <w:color w:val="auto"/>
          <w:szCs w:val="22"/>
        </w:rPr>
        <w:t xml:space="preserve"> </w:t>
      </w:r>
      <w:r w:rsidR="00987A7E" w:rsidRPr="00A30C12">
        <w:rPr>
          <w:color w:val="auto"/>
          <w:szCs w:val="22"/>
        </w:rPr>
        <w:t>Tecovirimat</w:t>
      </w:r>
      <w:r w:rsidR="00835288" w:rsidRPr="00A30C12">
        <w:rPr>
          <w:color w:val="auto"/>
          <w:szCs w:val="22"/>
        </w:rPr>
        <w:t xml:space="preserve"> for</w:t>
      </w:r>
      <w:r w:rsidR="00590BEB" w:rsidRPr="00A30C12">
        <w:rPr>
          <w:color w:val="auto"/>
          <w:szCs w:val="22"/>
        </w:rPr>
        <w:t xml:space="preserve"> </w:t>
      </w:r>
      <w:r w:rsidR="00987A7E" w:rsidRPr="00A30C12">
        <w:rPr>
          <w:color w:val="auto"/>
          <w:szCs w:val="22"/>
        </w:rPr>
        <w:t>PEP</w:t>
      </w:r>
      <w:r w:rsidR="00590BEB" w:rsidRPr="00A30C12">
        <w:rPr>
          <w:color w:val="auto"/>
          <w:szCs w:val="22"/>
        </w:rPr>
        <w:t xml:space="preserve">. </w:t>
      </w:r>
      <w:r w:rsidR="001F538F" w:rsidRPr="00A30C12">
        <w:rPr>
          <w:color w:val="auto"/>
          <w:szCs w:val="22"/>
        </w:rPr>
        <w:t>The d</w:t>
      </w:r>
      <w:r w:rsidRPr="00A30C12">
        <w:rPr>
          <w:color w:val="auto"/>
          <w:szCs w:val="22"/>
        </w:rPr>
        <w:t xml:space="preserve">ose and duration will be determined by the clinical needs of the </w:t>
      </w:r>
      <w:r w:rsidR="00835288" w:rsidRPr="00A30C12">
        <w:rPr>
          <w:color w:val="auto"/>
          <w:szCs w:val="22"/>
        </w:rPr>
        <w:t>individual</w:t>
      </w:r>
      <w:r w:rsidRPr="00A30C12">
        <w:rPr>
          <w:color w:val="auto"/>
          <w:szCs w:val="22"/>
        </w:rPr>
        <w:t xml:space="preserve"> requiring </w:t>
      </w:r>
      <w:r w:rsidR="00BF3854" w:rsidRPr="00A30C12">
        <w:rPr>
          <w:color w:val="auto"/>
          <w:szCs w:val="22"/>
        </w:rPr>
        <w:t xml:space="preserve">antiviral therapy for </w:t>
      </w:r>
      <w:r w:rsidRPr="00A30C12">
        <w:rPr>
          <w:color w:val="auto"/>
          <w:szCs w:val="22"/>
        </w:rPr>
        <w:t>PEP.</w:t>
      </w:r>
    </w:p>
    <w:p w14:paraId="2B99DC42" w14:textId="267108F2" w:rsidR="00EA3CE4" w:rsidRPr="00A30C12" w:rsidRDefault="00EA3CE4" w:rsidP="00EA3CE4">
      <w:pPr>
        <w:pStyle w:val="Heading3"/>
        <w:rPr>
          <w:color w:val="auto"/>
          <w:sz w:val="44"/>
          <w:szCs w:val="44"/>
        </w:rPr>
      </w:pPr>
      <w:r w:rsidRPr="00A30C12">
        <w:rPr>
          <w:color w:val="auto"/>
          <w:sz w:val="44"/>
          <w:szCs w:val="44"/>
        </w:rPr>
        <w:t>Accessing the National Medical Stockpile</w:t>
      </w:r>
    </w:p>
    <w:p w14:paraId="446A207E" w14:textId="708B0A88" w:rsidR="0041755C" w:rsidRPr="00A30C12" w:rsidRDefault="00EA3CE4" w:rsidP="00EA3CE4">
      <w:pPr>
        <w:rPr>
          <w:color w:val="auto"/>
        </w:rPr>
      </w:pPr>
      <w:r w:rsidRPr="00A30C12">
        <w:rPr>
          <w:color w:val="auto"/>
        </w:rPr>
        <w:t>Any request to access treatments held by the NMS must be made from a state or territory Chief Health Officer (or authorised delegate)</w:t>
      </w:r>
      <w:r w:rsidR="00590BEB" w:rsidRPr="00A30C12">
        <w:rPr>
          <w:color w:val="auto"/>
        </w:rPr>
        <w:t>. Each state and territory ha</w:t>
      </w:r>
      <w:r w:rsidR="00987A7E" w:rsidRPr="00A30C12">
        <w:rPr>
          <w:color w:val="auto"/>
        </w:rPr>
        <w:t>s</w:t>
      </w:r>
      <w:r w:rsidR="00590BEB" w:rsidRPr="00A30C12">
        <w:rPr>
          <w:color w:val="auto"/>
        </w:rPr>
        <w:t xml:space="preserve"> procedural guidance, including relevant forms to </w:t>
      </w:r>
      <w:r w:rsidR="00987A7E" w:rsidRPr="00A30C12">
        <w:rPr>
          <w:color w:val="auto"/>
        </w:rPr>
        <w:t>complete</w:t>
      </w:r>
      <w:r w:rsidR="00590BEB" w:rsidRPr="00A30C12">
        <w:rPr>
          <w:color w:val="auto"/>
        </w:rPr>
        <w:t>, on how to access the NMS ahead of the request be</w:t>
      </w:r>
      <w:r w:rsidR="00987A7E" w:rsidRPr="00A30C12">
        <w:rPr>
          <w:color w:val="auto"/>
        </w:rPr>
        <w:t>ing</w:t>
      </w:r>
      <w:r w:rsidRPr="00A30C12">
        <w:rPr>
          <w:color w:val="auto"/>
        </w:rPr>
        <w:t xml:space="preserve"> e</w:t>
      </w:r>
      <w:r w:rsidR="0041755C" w:rsidRPr="00A30C12">
        <w:rPr>
          <w:color w:val="auto"/>
        </w:rPr>
        <w:t>-</w:t>
      </w:r>
      <w:r w:rsidRPr="00A30C12">
        <w:rPr>
          <w:color w:val="auto"/>
        </w:rPr>
        <w:t xml:space="preserve">mailed to the NMS via </w:t>
      </w:r>
      <w:hyperlink r:id="rId22">
        <w:r w:rsidRPr="00A30C12">
          <w:rPr>
            <w:rStyle w:val="Hyperlink"/>
            <w:color w:val="auto"/>
          </w:rPr>
          <w:t>stockpile.ops@health.gov.au</w:t>
        </w:r>
      </w:hyperlink>
      <w:r w:rsidRPr="00A30C12">
        <w:rPr>
          <w:color w:val="auto"/>
        </w:rPr>
        <w:t xml:space="preserve">. On receipt of this request, the NMS will seek approval from the Chief Medical Officer </w:t>
      </w:r>
      <w:r w:rsidR="00A03EAE" w:rsidRPr="00A30C12">
        <w:rPr>
          <w:color w:val="auto"/>
        </w:rPr>
        <w:t xml:space="preserve">for </w:t>
      </w:r>
      <w:r w:rsidRPr="00A30C12">
        <w:rPr>
          <w:color w:val="auto"/>
        </w:rPr>
        <w:t>the deployment of the treatments.</w:t>
      </w:r>
    </w:p>
    <w:p w14:paraId="004623EF" w14:textId="77777777" w:rsidR="00EA3CE4" w:rsidRPr="00A30C12" w:rsidRDefault="00EA3CE4">
      <w:pPr>
        <w:spacing w:before="0" w:after="0" w:line="240" w:lineRule="auto"/>
        <w:rPr>
          <w:color w:val="auto"/>
        </w:rPr>
      </w:pPr>
      <w:r w:rsidRPr="00A30C12">
        <w:rPr>
          <w:color w:val="auto"/>
        </w:rPr>
        <w:br w:type="page"/>
      </w:r>
    </w:p>
    <w:p w14:paraId="46CFCE13" w14:textId="37961F62" w:rsidR="00EA3CE4" w:rsidRPr="00A30C12" w:rsidRDefault="00EA3CE4" w:rsidP="00EA3CE4">
      <w:pPr>
        <w:pStyle w:val="Heading2"/>
        <w:rPr>
          <w:color w:val="auto"/>
          <w:sz w:val="44"/>
          <w:szCs w:val="44"/>
        </w:rPr>
      </w:pPr>
      <w:r w:rsidRPr="00A30C12">
        <w:rPr>
          <w:color w:val="auto"/>
          <w:sz w:val="44"/>
          <w:szCs w:val="44"/>
        </w:rPr>
        <w:t>Appendix</w:t>
      </w:r>
    </w:p>
    <w:p w14:paraId="4C7A0336" w14:textId="77777777" w:rsidR="00EA3CE4" w:rsidRPr="00A30C12" w:rsidRDefault="00EA3CE4" w:rsidP="00EA3CE4">
      <w:pPr>
        <w:pStyle w:val="TableTitle"/>
        <w:rPr>
          <w:bCs/>
          <w:i/>
          <w:iCs/>
          <w:color w:val="auto"/>
          <w:lang w:val="en-AU"/>
        </w:rPr>
      </w:pPr>
      <w:r w:rsidRPr="00A30C12">
        <w:rPr>
          <w:bCs/>
          <w:i/>
          <w:iCs/>
          <w:color w:val="auto"/>
          <w:lang w:val="en-AU"/>
        </w:rPr>
        <w:t xml:space="preserve">Tecovirimat </w:t>
      </w:r>
      <w:r w:rsidRPr="00A30C12">
        <w:rPr>
          <w:bCs/>
          <w:i/>
          <w:iCs/>
          <w:color w:val="auto"/>
          <w:lang w:val="en-AU"/>
        </w:rPr>
        <w:fldChar w:fldCharType="begin">
          <w:fldData xml:space="preserve">PEVuZE5vdGU+PENpdGU+PEF1dGhvcj5SdXNzbzwvQXV0aG9yPjxZZWFyPjIwMTg8L1llYXI+PFJl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</w:fldData>
        </w:fldChar>
      </w:r>
      <w:r w:rsidRPr="00A30C12">
        <w:rPr>
          <w:bCs/>
          <w:i/>
          <w:iCs/>
          <w:color w:val="auto"/>
          <w:lang w:val="en-AU"/>
        </w:rPr>
        <w:instrText xml:space="preserve"> ADDIN EN.CITE </w:instrText>
      </w:r>
      <w:r w:rsidRPr="00A30C12">
        <w:rPr>
          <w:bCs/>
          <w:i/>
          <w:iCs/>
          <w:color w:val="auto"/>
          <w:lang w:val="en-AU"/>
        </w:rPr>
        <w:fldChar w:fldCharType="begin">
          <w:fldData xml:space="preserve">PEVuZE5vdGU+PENpdGU+PEF1dGhvcj5SdXNzbzwvQXV0aG9yPjxZZWFyPjIwMTg8L1llYXI+PFJl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</w:fldData>
        </w:fldChar>
      </w:r>
      <w:r w:rsidRPr="00A30C12">
        <w:rPr>
          <w:bCs/>
          <w:i/>
          <w:iCs/>
          <w:color w:val="auto"/>
          <w:lang w:val="en-AU"/>
        </w:rPr>
        <w:instrText xml:space="preserve"> ADDIN EN.CITE.DATA </w:instrText>
      </w:r>
      <w:r w:rsidRPr="00A30C12">
        <w:rPr>
          <w:color w:val="auto"/>
          <w:lang w:val="en-AU"/>
        </w:rPr>
      </w:r>
      <w:r w:rsidRPr="00A30C12">
        <w:rPr>
          <w:color w:val="auto"/>
          <w:lang w:val="en-AU"/>
        </w:rPr>
        <w:fldChar w:fldCharType="end"/>
      </w:r>
      <w:r w:rsidRPr="00A30C12">
        <w:rPr>
          <w:bCs/>
          <w:i/>
          <w:iCs/>
          <w:color w:val="auto"/>
          <w:lang w:val="en-AU"/>
        </w:rPr>
      </w:r>
      <w:r w:rsidRPr="00A30C12">
        <w:rPr>
          <w:bCs/>
          <w:i/>
          <w:iCs/>
          <w:color w:val="auto"/>
          <w:lang w:val="en-AU"/>
        </w:rPr>
        <w:fldChar w:fldCharType="separate"/>
      </w:r>
      <w:r w:rsidRPr="00A30C12">
        <w:rPr>
          <w:bCs/>
          <w:i/>
          <w:iCs/>
          <w:color w:val="auto"/>
          <w:lang w:val="en-AU"/>
        </w:rPr>
        <w:t>(NLM, 2024; Russo et al., 2018; Russo et al., 2021)</w:t>
      </w:r>
      <w:r w:rsidRPr="00A30C12">
        <w:rPr>
          <w:color w:val="auto"/>
          <w:lang w:val="en-AU"/>
        </w:rPr>
        <w:fldChar w:fldCharType="end"/>
      </w:r>
    </w:p>
    <w:tbl>
      <w:tblPr>
        <w:tblStyle w:val="DepartmentofHealthtable"/>
        <w:tblW w:w="5000" w:type="pct"/>
        <w:tblLook w:val="04A0" w:firstRow="1" w:lastRow="0" w:firstColumn="1" w:lastColumn="0" w:noHBand="0" w:noVBand="1"/>
        <w:tblDescription w:val="Add Alt Text describing the content of the table"/>
      </w:tblPr>
      <w:tblGrid>
        <w:gridCol w:w="1843"/>
        <w:gridCol w:w="7227"/>
      </w:tblGrid>
      <w:tr w:rsidR="00B643C6" w:rsidRPr="00B643C6" w14:paraId="2CF783BE" w14:textId="77777777" w:rsidTr="6E0F985C">
        <w:trPr>
          <w:cnfStyle w:val="100000000000" w:firstRow="1" w:lastRow="0" w:firstColumn="0" w:lastColumn="0" w:oddVBand="0" w:evenVBand="0" w:oddHBand="0" w:evenHBand="0" w:firstRowFirstColumn="0" w:firstRowLastColumn="0" w:lastRowFirstColumn="0" w:lastRowLastColumn="0"/>
          <w:tblHeader/>
        </w:trPr>
        <w:tc>
          <w:tcPr>
            <w:tcW w:w="1016" w:type="pct"/>
          </w:tcPr>
          <w:p w14:paraId="2603C553" w14:textId="6A5C956B" w:rsidR="00EA3CE4" w:rsidRPr="00A30C12" w:rsidRDefault="00EA3CE4" w:rsidP="009425E9">
            <w:pPr>
              <w:pStyle w:val="TableHeaderWhite"/>
              <w:rPr>
                <w:b/>
                <w:bCs/>
                <w:color w:val="auto"/>
                <w:lang w:val="en-AU"/>
              </w:rPr>
            </w:pPr>
            <w:r w:rsidRPr="00A30C12">
              <w:rPr>
                <w:bCs/>
                <w:color w:val="auto"/>
                <w:lang w:val="en-AU"/>
              </w:rPr>
              <w:t>Other names</w:t>
            </w:r>
          </w:p>
        </w:tc>
        <w:tc>
          <w:tcPr>
            <w:tcW w:w="3984" w:type="pct"/>
          </w:tcPr>
          <w:p w14:paraId="79B5B7FF" w14:textId="657928FD" w:rsidR="00EA3CE4" w:rsidRPr="00A30C12" w:rsidRDefault="00EA3CE4" w:rsidP="009425E9">
            <w:pPr>
              <w:pStyle w:val="TableHeader"/>
              <w:rPr>
                <w:b/>
                <w:bCs/>
                <w:color w:val="auto"/>
                <w:lang w:val="en-AU"/>
              </w:rPr>
            </w:pPr>
            <w:r w:rsidRPr="00A30C12">
              <w:rPr>
                <w:bCs/>
                <w:color w:val="auto"/>
                <w:lang w:val="en-AU"/>
              </w:rPr>
              <w:t xml:space="preserve">ST-246, </w:t>
            </w:r>
            <w:proofErr w:type="spellStart"/>
            <w:r w:rsidRPr="00A30C12">
              <w:rPr>
                <w:bCs/>
                <w:color w:val="auto"/>
                <w:lang w:val="en-AU"/>
              </w:rPr>
              <w:t>Tpoxx</w:t>
            </w:r>
            <w:proofErr w:type="spellEnd"/>
            <w:r w:rsidRPr="00A30C12">
              <w:rPr>
                <w:bCs/>
                <w:color w:val="auto"/>
                <w:lang w:val="en-AU"/>
              </w:rPr>
              <w:t>®</w:t>
            </w:r>
          </w:p>
        </w:tc>
      </w:tr>
      <w:tr w:rsidR="00B643C6" w:rsidRPr="00B643C6" w14:paraId="581B5AE2" w14:textId="77777777" w:rsidTr="6E0F985C">
        <w:tc>
          <w:tcPr>
            <w:tcW w:w="1016" w:type="pct"/>
          </w:tcPr>
          <w:p w14:paraId="2E85D2A3" w14:textId="2CE61D2E" w:rsidR="00EA3CE4" w:rsidRPr="00A30C12" w:rsidRDefault="00EA3CE4" w:rsidP="00EA3CE4">
            <w:pPr>
              <w:pStyle w:val="Tabletextleft"/>
              <w:rPr>
                <w:rFonts w:cs="Arial"/>
                <w:color w:val="auto"/>
                <w:sz w:val="22"/>
                <w:szCs w:val="22"/>
              </w:rPr>
            </w:pPr>
            <w:r w:rsidRPr="00A30C12">
              <w:rPr>
                <w:rFonts w:cs="Arial"/>
                <w:color w:val="auto"/>
                <w:sz w:val="22"/>
                <w:szCs w:val="22"/>
              </w:rPr>
              <w:t>Dose</w:t>
            </w:r>
            <w:r w:rsidR="002157BF" w:rsidRPr="00A30C12">
              <w:rPr>
                <w:rFonts w:cs="Arial"/>
                <w:color w:val="auto"/>
                <w:sz w:val="22"/>
                <w:szCs w:val="22"/>
              </w:rPr>
              <w:t xml:space="preserve"> (treatment)</w:t>
            </w:r>
          </w:p>
        </w:tc>
        <w:tc>
          <w:tcPr>
            <w:tcW w:w="3984" w:type="pct"/>
          </w:tcPr>
          <w:p w14:paraId="3AEEDB0B" w14:textId="77777777" w:rsidR="00EA3CE4" w:rsidRPr="00A30C12" w:rsidRDefault="00EA3CE4" w:rsidP="00EA3CE4">
            <w:pPr>
              <w:rPr>
                <w:rFonts w:cs="Arial"/>
                <w:color w:val="auto"/>
                <w:szCs w:val="22"/>
              </w:rPr>
            </w:pPr>
            <w:r w:rsidRPr="00A30C12">
              <w:rPr>
                <w:rFonts w:cs="Arial"/>
                <w:color w:val="auto"/>
                <w:szCs w:val="22"/>
              </w:rPr>
              <w:t>200 mg capsules</w:t>
            </w:r>
          </w:p>
          <w:p w14:paraId="78560371" w14:textId="77777777" w:rsidR="00EA3CE4" w:rsidRPr="00A30C12" w:rsidRDefault="00EA3CE4" w:rsidP="6E0F985C">
            <w:pPr>
              <w:rPr>
                <w:rFonts w:cs="Arial"/>
                <w:color w:val="auto"/>
              </w:rPr>
            </w:pPr>
            <w:r w:rsidRPr="00A30C12">
              <w:rPr>
                <w:rFonts w:cs="Arial"/>
                <w:color w:val="auto"/>
              </w:rPr>
              <w:t>Adult 600 mg bd PO for 14 days; paediatric 13–25 kg: 200 mg bd, 25–40 kg: 400 mg bd, &gt;40 kg: 600 mg bd, with high fat meal</w:t>
            </w:r>
          </w:p>
          <w:p w14:paraId="5EEE7D0C" w14:textId="16CF0D13" w:rsidR="00EA3CE4" w:rsidRPr="00A30C12" w:rsidRDefault="00EA3CE4" w:rsidP="00EA3CE4">
            <w:pPr>
              <w:pStyle w:val="Tabletextleft"/>
              <w:rPr>
                <w:rFonts w:cs="Arial"/>
                <w:color w:val="auto"/>
                <w:sz w:val="22"/>
                <w:szCs w:val="22"/>
              </w:rPr>
            </w:pPr>
            <w:r w:rsidRPr="00A30C12">
              <w:rPr>
                <w:rFonts w:cs="Arial"/>
                <w:color w:val="auto"/>
                <w:sz w:val="22"/>
                <w:szCs w:val="22"/>
              </w:rPr>
              <w:t>No dose adjustments for renal/hepatic failure</w:t>
            </w:r>
          </w:p>
        </w:tc>
      </w:tr>
      <w:tr w:rsidR="00B643C6" w:rsidRPr="00B643C6" w14:paraId="3AE25F43" w14:textId="77777777" w:rsidTr="6E0F985C">
        <w:tc>
          <w:tcPr>
            <w:tcW w:w="1016" w:type="pct"/>
          </w:tcPr>
          <w:p w14:paraId="2C7A7D6C" w14:textId="388AD6B4" w:rsidR="00EA3CE4" w:rsidRPr="00A30C12" w:rsidRDefault="00EA3CE4" w:rsidP="00EA3CE4">
            <w:pPr>
              <w:pStyle w:val="Tabletextleft"/>
              <w:rPr>
                <w:rFonts w:cs="Arial"/>
                <w:color w:val="auto"/>
                <w:sz w:val="22"/>
                <w:szCs w:val="22"/>
              </w:rPr>
            </w:pPr>
            <w:r w:rsidRPr="00A30C12">
              <w:rPr>
                <w:rFonts w:cs="Arial"/>
                <w:color w:val="auto"/>
                <w:sz w:val="22"/>
                <w:szCs w:val="22"/>
              </w:rPr>
              <w:t>Regulatory history</w:t>
            </w:r>
          </w:p>
        </w:tc>
        <w:tc>
          <w:tcPr>
            <w:tcW w:w="3984" w:type="pct"/>
          </w:tcPr>
          <w:p w14:paraId="6D41BFBF" w14:textId="77777777" w:rsidR="00EA3CE4" w:rsidRPr="00A30C12" w:rsidRDefault="00EA3CE4" w:rsidP="00EA3CE4">
            <w:pPr>
              <w:spacing w:line="259" w:lineRule="auto"/>
              <w:rPr>
                <w:rFonts w:cs="Arial"/>
                <w:color w:val="auto"/>
                <w:szCs w:val="22"/>
              </w:rPr>
            </w:pPr>
            <w:r w:rsidRPr="00A30C12">
              <w:rPr>
                <w:rFonts w:cs="Arial"/>
                <w:color w:val="auto"/>
                <w:szCs w:val="22"/>
              </w:rPr>
              <w:t>Approved by the FDA for treatment of human smallpox disease.</w:t>
            </w:r>
          </w:p>
          <w:p w14:paraId="722A7298" w14:textId="0E65F268" w:rsidR="00EA3CE4" w:rsidRPr="00A30C12" w:rsidRDefault="00EA3CE4" w:rsidP="00EA3CE4">
            <w:pPr>
              <w:pStyle w:val="Tabletextleft"/>
              <w:rPr>
                <w:rFonts w:cs="Arial"/>
                <w:color w:val="auto"/>
                <w:sz w:val="22"/>
                <w:szCs w:val="22"/>
              </w:rPr>
            </w:pPr>
            <w:r w:rsidRPr="00A30C12">
              <w:rPr>
                <w:rFonts w:cs="Arial"/>
                <w:color w:val="auto"/>
                <w:sz w:val="22"/>
                <w:szCs w:val="22"/>
              </w:rPr>
              <w:t>Not TGA registered</w:t>
            </w:r>
          </w:p>
        </w:tc>
      </w:tr>
      <w:tr w:rsidR="00B643C6" w:rsidRPr="00B643C6" w14:paraId="03CBF099" w14:textId="77777777" w:rsidTr="6E0F985C">
        <w:tc>
          <w:tcPr>
            <w:tcW w:w="1016" w:type="pct"/>
          </w:tcPr>
          <w:p w14:paraId="54EEFD4F" w14:textId="78114889" w:rsidR="00EA3CE4" w:rsidRPr="00A30C12" w:rsidRDefault="00EA3CE4" w:rsidP="00EA3CE4">
            <w:pPr>
              <w:pStyle w:val="Tabletextleft"/>
              <w:rPr>
                <w:rFonts w:cs="Arial"/>
                <w:color w:val="auto"/>
                <w:sz w:val="22"/>
                <w:szCs w:val="22"/>
              </w:rPr>
            </w:pPr>
            <w:r w:rsidRPr="00A30C12">
              <w:rPr>
                <w:rFonts w:cs="Arial"/>
                <w:color w:val="auto"/>
                <w:sz w:val="22"/>
                <w:szCs w:val="22"/>
              </w:rPr>
              <w:t>Mechanism of action</w:t>
            </w:r>
          </w:p>
        </w:tc>
        <w:tc>
          <w:tcPr>
            <w:tcW w:w="3984" w:type="pct"/>
          </w:tcPr>
          <w:p w14:paraId="6F78AE84" w14:textId="4A1897EB" w:rsidR="00EA3CE4" w:rsidRPr="00A30C12" w:rsidRDefault="00EA3CE4" w:rsidP="00EA3CE4">
            <w:pPr>
              <w:pStyle w:val="Tabletextleft"/>
              <w:rPr>
                <w:rFonts w:cs="Arial"/>
                <w:color w:val="auto"/>
                <w:sz w:val="22"/>
                <w:szCs w:val="22"/>
              </w:rPr>
            </w:pPr>
            <w:r w:rsidRPr="00A30C12">
              <w:rPr>
                <w:rFonts w:cs="Arial"/>
                <w:color w:val="auto"/>
                <w:sz w:val="22"/>
                <w:szCs w:val="22"/>
              </w:rPr>
              <w:t xml:space="preserve">Antiviral drug that inhibits the </w:t>
            </w:r>
            <w:proofErr w:type="spellStart"/>
            <w:r w:rsidRPr="00A30C12">
              <w:rPr>
                <w:rFonts w:cs="Arial"/>
                <w:color w:val="auto"/>
                <w:sz w:val="22"/>
                <w:szCs w:val="22"/>
              </w:rPr>
              <w:t>orthopoxvirus</w:t>
            </w:r>
            <w:proofErr w:type="spellEnd"/>
            <w:r w:rsidRPr="00A30C12">
              <w:rPr>
                <w:rFonts w:cs="Arial"/>
                <w:color w:val="auto"/>
                <w:sz w:val="22"/>
                <w:szCs w:val="22"/>
              </w:rPr>
              <w:t xml:space="preserve"> VP37 envelope wrapping protein. Prevents the formation of egress competent enveloped virions necessary for cell-to-cell and long-range dissemination of virus.</w:t>
            </w:r>
          </w:p>
        </w:tc>
      </w:tr>
      <w:tr w:rsidR="00B643C6" w:rsidRPr="00B643C6" w14:paraId="740000B5" w14:textId="77777777" w:rsidTr="6E0F985C">
        <w:tc>
          <w:tcPr>
            <w:tcW w:w="1016" w:type="pct"/>
          </w:tcPr>
          <w:p w14:paraId="2A489177" w14:textId="2C88FECB" w:rsidR="00EA3CE4" w:rsidRPr="00A30C12" w:rsidRDefault="00EA3CE4" w:rsidP="00EA3CE4">
            <w:pPr>
              <w:pStyle w:val="Tabletextleft"/>
              <w:rPr>
                <w:rFonts w:cs="Arial"/>
                <w:color w:val="auto"/>
                <w:sz w:val="22"/>
                <w:szCs w:val="22"/>
              </w:rPr>
            </w:pPr>
            <w:r w:rsidRPr="00A30C12">
              <w:rPr>
                <w:rFonts w:cs="Arial"/>
                <w:color w:val="auto"/>
                <w:sz w:val="22"/>
                <w:szCs w:val="22"/>
              </w:rPr>
              <w:t>Clinical pharmacology</w:t>
            </w:r>
          </w:p>
        </w:tc>
        <w:tc>
          <w:tcPr>
            <w:tcW w:w="3984" w:type="pct"/>
          </w:tcPr>
          <w:p w14:paraId="1EA38538" w14:textId="77777777" w:rsidR="00EA3CE4" w:rsidRPr="00A30C12" w:rsidRDefault="00EA3CE4" w:rsidP="00EA3CE4">
            <w:pPr>
              <w:rPr>
                <w:rFonts w:cs="Arial"/>
                <w:color w:val="auto"/>
                <w:szCs w:val="22"/>
                <w:lang w:eastAsia="en-AU"/>
              </w:rPr>
            </w:pPr>
            <w:r w:rsidRPr="00A30C12">
              <w:rPr>
                <w:rFonts w:cs="Arial"/>
                <w:color w:val="auto"/>
                <w:szCs w:val="22"/>
                <w:lang w:eastAsia="en-AU"/>
              </w:rPr>
              <w:t xml:space="preserve">Resistance: mutations in target VP37. Treatment emergent resistance reported </w:t>
            </w:r>
            <w:r w:rsidRPr="00A30C12">
              <w:rPr>
                <w:rFonts w:cs="Arial"/>
                <w:color w:val="auto"/>
                <w:szCs w:val="22"/>
                <w:lang w:eastAsia="en-AU"/>
              </w:rPr>
              <w:fldChar w:fldCharType="begin">
                <w:fldData xml:space="preserve">PEVuZE5vdGU+PENpdGU+PEF1dGhvcj5MZWRlcm1hbjwvQXV0aG9yPjxZZWFyPjIwMTI8L1llYXI+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==
</w:fldData>
              </w:fldChar>
            </w:r>
            <w:r w:rsidRPr="00A30C12">
              <w:rPr>
                <w:rFonts w:cs="Arial"/>
                <w:color w:val="auto"/>
                <w:szCs w:val="22"/>
                <w:lang w:eastAsia="en-AU"/>
              </w:rPr>
              <w:instrText xml:space="preserve"> ADDIN EN.CITE </w:instrText>
            </w:r>
            <w:r w:rsidRPr="00A30C12">
              <w:rPr>
                <w:rFonts w:cs="Arial"/>
                <w:color w:val="auto"/>
                <w:szCs w:val="22"/>
                <w:lang w:eastAsia="en-AU"/>
              </w:rPr>
              <w:fldChar w:fldCharType="begin">
                <w:fldData xml:space="preserve">PEVuZE5vdGU+PENpdGU+PEF1dGhvcj5MZWRlcm1hbjwvQXV0aG9yPjxZZWFyPjIwMTI8L1llYXI+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==
</w:fldData>
              </w:fldChar>
            </w:r>
            <w:r w:rsidRPr="00A30C12">
              <w:rPr>
                <w:rFonts w:cs="Arial"/>
                <w:color w:val="auto"/>
                <w:szCs w:val="22"/>
                <w:lang w:eastAsia="en-AU"/>
              </w:rPr>
              <w:instrText xml:space="preserve"> ADDIN EN.CITE.DATA </w:instrText>
            </w:r>
            <w:r w:rsidRPr="00A30C12">
              <w:rPr>
                <w:rFonts w:cs="Arial"/>
                <w:color w:val="auto"/>
                <w:szCs w:val="22"/>
                <w:lang w:eastAsia="en-AU"/>
              </w:rPr>
            </w:r>
            <w:r w:rsidRPr="00A30C12">
              <w:rPr>
                <w:rFonts w:cs="Arial"/>
                <w:color w:val="auto"/>
                <w:szCs w:val="22"/>
                <w:lang w:eastAsia="en-AU"/>
              </w:rPr>
              <w:fldChar w:fldCharType="end"/>
            </w:r>
            <w:r w:rsidRPr="00A30C12">
              <w:rPr>
                <w:rFonts w:cs="Arial"/>
                <w:color w:val="auto"/>
                <w:szCs w:val="22"/>
                <w:lang w:eastAsia="en-AU"/>
              </w:rPr>
            </w:r>
            <w:r w:rsidRPr="00A30C12">
              <w:rPr>
                <w:rFonts w:cs="Arial"/>
                <w:color w:val="auto"/>
                <w:szCs w:val="22"/>
                <w:lang w:eastAsia="en-AU"/>
              </w:rPr>
              <w:fldChar w:fldCharType="separate"/>
            </w:r>
            <w:r w:rsidRPr="00A30C12">
              <w:rPr>
                <w:rFonts w:cs="Arial"/>
                <w:color w:val="auto"/>
                <w:szCs w:val="22"/>
                <w:lang w:eastAsia="en-AU"/>
              </w:rPr>
              <w:t>(Lederman et al., 2012)</w:t>
            </w:r>
            <w:r w:rsidRPr="00A30C12">
              <w:rPr>
                <w:rFonts w:cs="Arial"/>
                <w:color w:val="auto"/>
                <w:szCs w:val="22"/>
                <w:lang w:eastAsia="en-AU"/>
              </w:rPr>
              <w:fldChar w:fldCharType="end"/>
            </w:r>
            <w:r w:rsidRPr="00A30C12">
              <w:rPr>
                <w:rFonts w:cs="Arial"/>
                <w:color w:val="auto"/>
                <w:szCs w:val="22"/>
                <w:lang w:eastAsia="en-AU"/>
              </w:rPr>
              <w:t xml:space="preserve">. </w:t>
            </w:r>
          </w:p>
          <w:p w14:paraId="3D013FF9" w14:textId="023A7629" w:rsidR="00EA3CE4" w:rsidRPr="00A30C12" w:rsidRDefault="00EA3CE4" w:rsidP="00EA3CE4">
            <w:pPr>
              <w:pStyle w:val="Tabletextleft"/>
              <w:rPr>
                <w:rFonts w:cs="Arial"/>
                <w:color w:val="auto"/>
                <w:sz w:val="22"/>
                <w:szCs w:val="22"/>
              </w:rPr>
            </w:pPr>
            <w:r w:rsidRPr="00A30C12">
              <w:rPr>
                <w:rFonts w:cs="Arial"/>
                <w:color w:val="auto"/>
                <w:sz w:val="22"/>
                <w:szCs w:val="22"/>
                <w:lang w:eastAsia="en-AU"/>
              </w:rPr>
              <w:t>Peak serum concentration of tecovirimat under fed conditions is up to 50% higher than under fasting conditions.</w:t>
            </w:r>
          </w:p>
        </w:tc>
      </w:tr>
      <w:tr w:rsidR="00B643C6" w:rsidRPr="00B643C6" w14:paraId="24568C3B" w14:textId="77777777" w:rsidTr="6E0F985C">
        <w:tc>
          <w:tcPr>
            <w:tcW w:w="1016" w:type="pct"/>
          </w:tcPr>
          <w:p w14:paraId="0025FBC4" w14:textId="17D3BAF2" w:rsidR="00EA3CE4" w:rsidRPr="00A30C12" w:rsidRDefault="00EA3CE4" w:rsidP="00EA3CE4">
            <w:pPr>
              <w:pStyle w:val="Tabletextleft"/>
              <w:rPr>
                <w:rFonts w:cs="Arial"/>
                <w:color w:val="auto"/>
                <w:sz w:val="22"/>
                <w:szCs w:val="22"/>
              </w:rPr>
            </w:pPr>
            <w:r w:rsidRPr="00A30C12">
              <w:rPr>
                <w:rFonts w:cs="Arial"/>
                <w:color w:val="auto"/>
                <w:sz w:val="22"/>
                <w:szCs w:val="22"/>
              </w:rPr>
              <w:t>Efficacy</w:t>
            </w:r>
          </w:p>
        </w:tc>
        <w:tc>
          <w:tcPr>
            <w:tcW w:w="3984" w:type="pct"/>
          </w:tcPr>
          <w:p w14:paraId="30B7844C" w14:textId="77777777" w:rsidR="00EA3CE4" w:rsidRPr="00A30C12" w:rsidRDefault="00EA3CE4" w:rsidP="00EA3CE4">
            <w:pPr>
              <w:rPr>
                <w:rFonts w:cs="Arial"/>
                <w:color w:val="auto"/>
                <w:szCs w:val="22"/>
                <w:lang w:eastAsia="en-AU"/>
              </w:rPr>
            </w:pPr>
            <w:r w:rsidRPr="00A30C12">
              <w:rPr>
                <w:rFonts w:cs="Arial"/>
                <w:color w:val="auto"/>
                <w:szCs w:val="22"/>
                <w:lang w:eastAsia="en-AU"/>
              </w:rPr>
              <w:t>Efficacy based on animal studies (95% vs 5% mortality in non-human primates), may be less effective in immunocompromised and if given &gt;6 days after challenge (noting incubation period in animal models are much shorter than in humans so day 4 is approximately the onset of lesions)</w:t>
            </w:r>
          </w:p>
          <w:p w14:paraId="0B5B32CD" w14:textId="77777777" w:rsidR="00EA3CE4" w:rsidRPr="00A30C12" w:rsidRDefault="00EA3CE4" w:rsidP="00EA3CE4">
            <w:pPr>
              <w:rPr>
                <w:rFonts w:cs="Arial"/>
                <w:color w:val="auto"/>
                <w:szCs w:val="22"/>
                <w:lang w:eastAsia="en-AU"/>
              </w:rPr>
            </w:pPr>
            <w:r w:rsidRPr="00A30C12">
              <w:rPr>
                <w:rFonts w:cs="Arial"/>
                <w:color w:val="auto"/>
                <w:szCs w:val="22"/>
                <w:lang w:eastAsia="en-AU"/>
              </w:rPr>
              <w:t>Potential utility as post-exposure prophylaxis based on animal models, but duration of treatment unclear.</w:t>
            </w:r>
          </w:p>
          <w:p w14:paraId="4C383BAF" w14:textId="44B8981F" w:rsidR="00EA3CE4" w:rsidRPr="00A30C12" w:rsidRDefault="00EA3CE4" w:rsidP="00EA3CE4">
            <w:pPr>
              <w:pStyle w:val="Tabletextleft"/>
              <w:rPr>
                <w:rFonts w:cs="Arial"/>
                <w:color w:val="auto"/>
                <w:sz w:val="22"/>
                <w:szCs w:val="22"/>
              </w:rPr>
            </w:pPr>
            <w:r w:rsidRPr="00A30C12">
              <w:rPr>
                <w:rFonts w:cs="Arial"/>
                <w:color w:val="auto"/>
                <w:sz w:val="22"/>
                <w:szCs w:val="22"/>
                <w:lang w:eastAsia="en-AU"/>
              </w:rPr>
              <w:t xml:space="preserve">Recent PALM 007 trial suggests tecovirimat does not significantly improving the time to lesion resolution compared to a placebo. However, tecovirimat showed potential benefits for patients who received treatment early (within 7 days) and those with severe disease (&gt;100 lesions) </w:t>
            </w:r>
            <w:r w:rsidRPr="00A30C12">
              <w:rPr>
                <w:rFonts w:cs="Arial"/>
                <w:color w:val="auto"/>
                <w:sz w:val="22"/>
                <w:szCs w:val="22"/>
                <w:lang w:eastAsia="en-AU"/>
              </w:rPr>
              <w:fldChar w:fldCharType="begin"/>
            </w:r>
            <w:r w:rsidRPr="00A30C12">
              <w:rPr>
                <w:rFonts w:cs="Arial"/>
                <w:color w:val="auto"/>
                <w:sz w:val="22"/>
                <w:szCs w:val="22"/>
                <w:lang w:eastAsia="en-AU"/>
              </w:rPr>
              <w:instrText xml:space="preserve"> ADDIN EN.CITE &lt;EndNote&gt;&lt;Cite&gt;&lt;Author&gt;NIH&lt;/Author&gt;&lt;Year&gt;2024&lt;/Year&gt;&lt;RecNum&gt;20&lt;/RecNum&gt;&lt;DisplayText&gt;(NIH, 2024)&lt;/DisplayText&gt;&lt;record&gt;&lt;rec-number&gt;20&lt;/rec-number&gt;&lt;foreign-keys&gt;&lt;key app="EN" db-id="xersvedf1seaewezsr6xxxvbap22edxx2r55" timestamp="1726034744"&gt;20&lt;/key&gt;&lt;/foreign-keys&gt;&lt;ref-type name="Press Release"&gt;63&lt;/ref-type&gt;&lt;contributors&gt;&lt;authors&gt;&lt;author&gt;NIH,&lt;/author&gt;&lt;/authors&gt;&lt;/contributors&gt;&lt;titles&gt;&lt;title&gt;The antiviral tecovirimat is safe but did not improve clade I mpox resolution in Democratic Republic of the Congo&lt;/title&gt;&lt;/titles&gt;&lt;dates&gt;&lt;year&gt;2024&lt;/year&gt;&lt;/dates&gt;&lt;pub-location&gt;US&lt;/pub-location&gt;&lt;publisher&gt;Department of Health &amp;amp; Human Services&lt;/publisher&gt;&lt;urls&gt;&lt;related-urls&gt;&lt;url&gt;https://www.nih.gov/news-events/news-releases/antiviral-tecovirimat-safe-did-not-improve-clade-i-mpox-resolution-democratic-republic-congo&lt;/url&gt;&lt;/related-urls&gt;&lt;/urls&gt;&lt;/record&gt;&lt;/Cite&gt;&lt;/EndNote&gt;</w:instrText>
            </w:r>
            <w:r w:rsidRPr="00A30C12">
              <w:rPr>
                <w:rFonts w:cs="Arial"/>
                <w:color w:val="auto"/>
                <w:sz w:val="22"/>
                <w:szCs w:val="22"/>
                <w:lang w:eastAsia="en-AU"/>
              </w:rPr>
              <w:fldChar w:fldCharType="separate"/>
            </w:r>
            <w:r w:rsidRPr="00A30C12">
              <w:rPr>
                <w:rFonts w:cs="Arial"/>
                <w:color w:val="auto"/>
                <w:sz w:val="22"/>
                <w:szCs w:val="22"/>
                <w:lang w:eastAsia="en-AU"/>
              </w:rPr>
              <w:t>(NIH, 2024)</w:t>
            </w:r>
            <w:r w:rsidRPr="00A30C12">
              <w:rPr>
                <w:rFonts w:cs="Arial"/>
                <w:color w:val="auto"/>
                <w:sz w:val="22"/>
                <w:szCs w:val="22"/>
                <w:lang w:eastAsia="en-AU"/>
              </w:rPr>
              <w:fldChar w:fldCharType="end"/>
            </w:r>
            <w:r w:rsidRPr="00A30C12">
              <w:rPr>
                <w:rFonts w:cs="Arial"/>
                <w:color w:val="auto"/>
                <w:sz w:val="22"/>
                <w:szCs w:val="22"/>
                <w:lang w:eastAsia="en-AU"/>
              </w:rPr>
              <w:t>.</w:t>
            </w:r>
          </w:p>
        </w:tc>
      </w:tr>
      <w:tr w:rsidR="00B643C6" w:rsidRPr="00B643C6" w14:paraId="1C3A4CE1" w14:textId="77777777" w:rsidTr="6E0F985C">
        <w:tc>
          <w:tcPr>
            <w:tcW w:w="1016" w:type="pct"/>
          </w:tcPr>
          <w:p w14:paraId="7BFB0D3D" w14:textId="78B0B932" w:rsidR="00EA3CE4" w:rsidRPr="00A30C12" w:rsidRDefault="00EA3CE4" w:rsidP="00EA3CE4">
            <w:pPr>
              <w:pStyle w:val="Tabletextleft"/>
              <w:rPr>
                <w:rFonts w:cs="Arial"/>
                <w:color w:val="auto"/>
                <w:sz w:val="22"/>
                <w:szCs w:val="22"/>
              </w:rPr>
            </w:pPr>
            <w:r w:rsidRPr="00A30C12">
              <w:rPr>
                <w:rFonts w:cs="Arial"/>
                <w:color w:val="auto"/>
                <w:sz w:val="22"/>
                <w:szCs w:val="22"/>
              </w:rPr>
              <w:t>Safety</w:t>
            </w:r>
          </w:p>
        </w:tc>
        <w:tc>
          <w:tcPr>
            <w:tcW w:w="3984" w:type="pct"/>
          </w:tcPr>
          <w:p w14:paraId="2EBDAE7F" w14:textId="77777777" w:rsidR="00EA3CE4" w:rsidRPr="00A30C12" w:rsidRDefault="00EA3CE4" w:rsidP="00EA3CE4">
            <w:pPr>
              <w:rPr>
                <w:rFonts w:cs="Arial"/>
                <w:color w:val="auto"/>
                <w:szCs w:val="22"/>
              </w:rPr>
            </w:pPr>
            <w:r w:rsidRPr="00A30C12">
              <w:rPr>
                <w:rFonts w:cs="Arial"/>
                <w:color w:val="auto"/>
                <w:szCs w:val="22"/>
              </w:rPr>
              <w:t xml:space="preserve">Phase 1 study in humans (n=449, n=359 received active drug) - no safety signals. One fatal AE (PE) not related </w:t>
            </w:r>
            <w:r w:rsidRPr="00A30C12">
              <w:rPr>
                <w:rFonts w:cs="Arial"/>
                <w:color w:val="auto"/>
                <w:szCs w:val="22"/>
              </w:rPr>
              <w:fldChar w:fldCharType="begin"/>
            </w:r>
            <w:r w:rsidRPr="00A30C12">
              <w:rPr>
                <w:rFonts w:cs="Arial"/>
                <w:color w:val="auto"/>
                <w:szCs w:val="22"/>
              </w:rPr>
              <w:instrText xml:space="preserve"> ADDIN EN.CITE &lt;EndNote&gt;&lt;Cite&gt;&lt;Author&gt;Grosenbach&lt;/Author&gt;&lt;Year&gt;2018&lt;/Year&gt;&lt;RecNum&gt;13&lt;/RecNum&gt;&lt;DisplayText&gt;(Grosenbach et al., 2018)&lt;/DisplayText&gt;&lt;record&gt;&lt;rec-number&gt;13&lt;/rec-number&gt;&lt;foreign-keys&gt;&lt;key app="EN" db-id="xersvedf1seaewezsr6xxxvbap22edxx2r55" timestamp="1726025608"&gt;13&lt;/key&gt;&lt;/foreign-keys&gt;&lt;ref-type name="Journal Article"&gt;17&lt;/ref-type&gt;&lt;contributors&gt;&lt;authors&gt;&lt;author&gt;Douglas W. Grosenbach&lt;/author&gt;&lt;author&gt;Kady Honeychurch&lt;/author&gt;&lt;author&gt;Eric A. Rose&lt;/author&gt;&lt;author&gt;Jarasvech Chinsangaram&lt;/author&gt;&lt;author&gt;Annie Frimm&lt;/author&gt;&lt;author&gt;Biswajit Maiti&lt;/author&gt;&lt;author&gt;Candace Lovejoy&lt;/author&gt;&lt;author&gt;Ingrid Meara&lt;/author&gt;&lt;author&gt;Paul Long&lt;/author&gt;&lt;author&gt;Dennis E. Hruby&lt;/author&gt;&lt;/authors&gt;&lt;/contributors&gt;&lt;titles&gt;&lt;title&gt;Oral Tecovirimat for the Treatment of Smallpox&lt;/title&gt;&lt;secondary-title&gt;New England Journal of Medicine&lt;/secondary-title&gt;&lt;/titles&gt;&lt;periodical&gt;&lt;full-title&gt;New England Journal of Medicine&lt;/full-title&gt;&lt;/periodical&gt;&lt;pages&gt;44-53&lt;/pages&gt;&lt;volume&gt;379&lt;/volume&gt;&lt;number&gt;1&lt;/number&gt;&lt;dates&gt;&lt;year&gt;2018&lt;/year&gt;&lt;/dates&gt;&lt;urls&gt;&lt;related-urls&gt;&lt;url&gt;https://www.nejm.org/doi/full/10.1056/NEJMoa1705688&lt;/url&gt;&lt;/related-urls&gt;&lt;/urls&gt;&lt;electronic-resource-num&gt;doi:10.1056/NEJMoa1705688&lt;/electronic-resource-num&gt;&lt;/record&gt;&lt;/Cite&gt;&lt;/EndNote&gt;</w:instrText>
            </w:r>
            <w:r w:rsidRPr="00A30C12">
              <w:rPr>
                <w:rFonts w:cs="Arial"/>
                <w:color w:val="auto"/>
                <w:szCs w:val="22"/>
              </w:rPr>
              <w:fldChar w:fldCharType="separate"/>
            </w:r>
            <w:r w:rsidRPr="00A30C12">
              <w:rPr>
                <w:rFonts w:cs="Arial"/>
                <w:color w:val="auto"/>
                <w:szCs w:val="22"/>
              </w:rPr>
              <w:t>(Grosenbach et al., 2018)</w:t>
            </w:r>
            <w:r w:rsidRPr="00A30C12">
              <w:rPr>
                <w:rFonts w:cs="Arial"/>
                <w:color w:val="auto"/>
                <w:szCs w:val="22"/>
              </w:rPr>
              <w:fldChar w:fldCharType="end"/>
            </w:r>
            <w:r w:rsidRPr="00A30C12">
              <w:rPr>
                <w:rFonts w:cs="Arial"/>
                <w:color w:val="auto"/>
                <w:szCs w:val="22"/>
              </w:rPr>
              <w:t xml:space="preserve">. </w:t>
            </w:r>
          </w:p>
          <w:p w14:paraId="3DDC1760" w14:textId="06017A17" w:rsidR="00EA3CE4" w:rsidRPr="00A30C12" w:rsidRDefault="00EA3CE4" w:rsidP="00EA3CE4">
            <w:pPr>
              <w:rPr>
                <w:rFonts w:cs="Arial"/>
                <w:color w:val="auto"/>
                <w:szCs w:val="22"/>
                <w:lang w:eastAsia="en-AU"/>
              </w:rPr>
            </w:pPr>
            <w:r w:rsidRPr="00A30C12">
              <w:rPr>
                <w:rFonts w:cs="Arial"/>
                <w:color w:val="auto"/>
                <w:szCs w:val="22"/>
                <w:lang w:eastAsia="en-AU"/>
              </w:rPr>
              <w:t xml:space="preserve">Pregnancy </w:t>
            </w:r>
            <w:r w:rsidR="00223051" w:rsidRPr="00A30C12">
              <w:rPr>
                <w:rFonts w:cs="Arial"/>
                <w:color w:val="auto"/>
                <w:szCs w:val="22"/>
                <w:lang w:eastAsia="en-AU"/>
              </w:rPr>
              <w:t>—</w:t>
            </w:r>
            <w:r w:rsidRPr="00A30C12">
              <w:rPr>
                <w:rFonts w:cs="Arial"/>
                <w:color w:val="auto"/>
                <w:szCs w:val="22"/>
                <w:lang w:eastAsia="en-AU"/>
              </w:rPr>
              <w:t xml:space="preserve"> animal studies - no toxicity. Detectable in breast milk. </w:t>
            </w:r>
          </w:p>
          <w:p w14:paraId="6937C981" w14:textId="3F79A487" w:rsidR="00EA3CE4" w:rsidRPr="00A30C12" w:rsidRDefault="00EA3CE4" w:rsidP="00EA3CE4">
            <w:pPr>
              <w:pStyle w:val="Tabletextleft"/>
              <w:rPr>
                <w:rFonts w:cs="Arial"/>
                <w:color w:val="auto"/>
                <w:sz w:val="22"/>
                <w:szCs w:val="22"/>
              </w:rPr>
            </w:pPr>
            <w:r w:rsidRPr="00A30C12">
              <w:rPr>
                <w:rFonts w:cs="Arial"/>
                <w:color w:val="auto"/>
                <w:sz w:val="22"/>
                <w:szCs w:val="22"/>
              </w:rPr>
              <w:t xml:space="preserve">Common side effects include headache, nausea, abdominal pain, and vomiting. </w:t>
            </w:r>
          </w:p>
        </w:tc>
      </w:tr>
      <w:tr w:rsidR="00B643C6" w:rsidRPr="00B643C6" w14:paraId="1BC5D336" w14:textId="77777777" w:rsidTr="6E0F985C">
        <w:tc>
          <w:tcPr>
            <w:tcW w:w="1016" w:type="pct"/>
          </w:tcPr>
          <w:p w14:paraId="3D3A223F" w14:textId="38A9A30A" w:rsidR="00EA3CE4" w:rsidRPr="00A30C12" w:rsidRDefault="00EA3CE4" w:rsidP="00EA3CE4">
            <w:pPr>
              <w:pStyle w:val="Tabletextleft"/>
              <w:rPr>
                <w:rFonts w:cs="Arial"/>
                <w:color w:val="auto"/>
                <w:sz w:val="22"/>
                <w:szCs w:val="22"/>
              </w:rPr>
            </w:pPr>
            <w:r w:rsidRPr="00A30C12">
              <w:rPr>
                <w:rFonts w:cs="Arial"/>
                <w:color w:val="auto"/>
                <w:sz w:val="22"/>
                <w:szCs w:val="22"/>
              </w:rPr>
              <w:t>Practice points</w:t>
            </w:r>
          </w:p>
        </w:tc>
        <w:tc>
          <w:tcPr>
            <w:tcW w:w="3984" w:type="pct"/>
          </w:tcPr>
          <w:p w14:paraId="5EE081DC" w14:textId="77777777" w:rsidR="00EA3CE4" w:rsidRPr="00A30C12" w:rsidRDefault="00EA3CE4" w:rsidP="00EA3CE4">
            <w:pPr>
              <w:rPr>
                <w:rFonts w:cs="Arial"/>
                <w:color w:val="auto"/>
                <w:szCs w:val="22"/>
                <w:lang w:eastAsia="en-AU"/>
              </w:rPr>
            </w:pPr>
            <w:r w:rsidRPr="00A30C12">
              <w:rPr>
                <w:rFonts w:cs="Arial"/>
                <w:color w:val="auto"/>
                <w:szCs w:val="22"/>
                <w:lang w:eastAsia="en-AU"/>
              </w:rPr>
              <w:t>Interactions: repaglinide (hypoglycaemia)</w:t>
            </w:r>
          </w:p>
          <w:p w14:paraId="7A409CA1" w14:textId="65E2BCD8" w:rsidR="00EA3CE4" w:rsidRPr="00A30C12" w:rsidRDefault="00EA3CE4" w:rsidP="00EA3CE4">
            <w:pPr>
              <w:pStyle w:val="Tabletextleft"/>
              <w:rPr>
                <w:rFonts w:cs="Arial"/>
                <w:color w:val="auto"/>
                <w:sz w:val="22"/>
                <w:szCs w:val="22"/>
              </w:rPr>
            </w:pPr>
            <w:r w:rsidRPr="00A30C12">
              <w:rPr>
                <w:rFonts w:cs="Arial"/>
                <w:color w:val="auto"/>
                <w:sz w:val="22"/>
                <w:szCs w:val="22"/>
              </w:rPr>
              <w:t>For patients who have trouble swallowing capsules; capsules can be administered by carefully opening the capsule and mixing the entire contents in 30 mL of liquid (e.g., milk, chocolate milk) or soft food (e.g., apple sauce, yoghurt). The entire mixture should be administered within 30 minutes of its preparation.</w:t>
            </w:r>
          </w:p>
        </w:tc>
      </w:tr>
    </w:tbl>
    <w:p w14:paraId="6ED07436" w14:textId="77777777" w:rsidR="00EA3CE4" w:rsidRPr="00A30C12" w:rsidRDefault="00EA3CE4" w:rsidP="00EA3CE4">
      <w:pPr>
        <w:pStyle w:val="TableTitle"/>
        <w:rPr>
          <w:bCs/>
          <w:i/>
          <w:iCs/>
          <w:color w:val="auto"/>
          <w:lang w:val="en-AU"/>
        </w:rPr>
      </w:pPr>
      <w:r w:rsidRPr="00A30C12">
        <w:rPr>
          <w:bCs/>
          <w:i/>
          <w:iCs/>
          <w:color w:val="auto"/>
          <w:lang w:val="en-AU"/>
        </w:rPr>
        <w:t xml:space="preserve">Vaccinia immune globulin (VIG) </w:t>
      </w:r>
      <w:r w:rsidRPr="00A30C12">
        <w:rPr>
          <w:bCs/>
          <w:i/>
          <w:iCs/>
          <w:color w:val="auto"/>
          <w:lang w:val="en-AU"/>
        </w:rPr>
        <w:fldChar w:fldCharType="begin"/>
      </w:r>
      <w:r w:rsidRPr="00A30C12">
        <w:rPr>
          <w:bCs/>
          <w:i/>
          <w:iCs/>
          <w:color w:val="auto"/>
          <w:lang w:val="en-AU"/>
        </w:rPr>
        <w:instrText xml:space="preserve"> ADDIN EN.CITE &lt;EndNote&gt;&lt;Cite&gt;&lt;Author&gt;CDC&lt;/Author&gt;&lt;Year&gt;2024&lt;/Year&gt;&lt;RecNum&gt;24&lt;/RecNum&gt;&lt;DisplayText&gt;(CDC, 2024b; FDA, 2018)&lt;/DisplayText&gt;&lt;record&gt;&lt;rec-number&gt;24&lt;/rec-number&gt;&lt;foreign-keys&gt;&lt;key app="EN" db-id="xersvedf1seaewezsr6xxxvbap22edxx2r55" timestamp="1726036364"&gt;24&lt;/key&gt;&lt;/foreign-keys&gt;&lt;ref-type name="Web Page"&gt;12&lt;/ref-type&gt;&lt;contributors&gt;&lt;authors&gt;&lt;author&gt;CDC,&lt;/author&gt;&lt;/authors&gt;&lt;/contributors&gt;&lt;titles&gt;&lt;title&gt;Mpox - Patient’s Guide to Mpox Treatment with TPOXX (tecovirimat)&lt;/title&gt;&lt;/titles&gt;&lt;volume&gt;2024&lt;/volume&gt;&lt;dates&gt;&lt;year&gt;2024&lt;/year&gt;&lt;/dates&gt;&lt;pub-location&gt;US&lt;/pub-location&gt;&lt;urls&gt;&lt;related-urls&gt;&lt;url&gt;https://www.cdc.gov/poxvirus/mpox/if-sick/treatment.html&lt;/url&gt;&lt;/related-urls&gt;&lt;/urls&gt;&lt;/record&gt;&lt;/Cite&gt;&lt;Cite&gt;&lt;Author&gt;FDA&lt;/Author&gt;&lt;Year&gt;2018&lt;/Year&gt;&lt;RecNum&gt;21&lt;/RecNum&gt;&lt;record&gt;&lt;rec-number&gt;21&lt;/rec-number&gt;&lt;foreign-keys&gt;&lt;key app="EN" db-id="xersvedf1seaewezsr6xxxvbap22edxx2r55" timestamp="1726035546"&gt;21&lt;/key&gt;&lt;/foreign-keys&gt;&lt;ref-type name="Web Page"&gt;12&lt;/ref-type&gt;&lt;contributors&gt;&lt;authors&gt;&lt;author&gt;FDA,&lt;/author&gt;&lt;/authors&gt;&lt;/contributors&gt;&lt;titles&gt;&lt;title&gt;Vaccinia Immune Globulin Intravenous (Human)&lt;/title&gt;&lt;/titles&gt;&lt;volume&gt;2024&lt;/volume&gt;&lt;dates&gt;&lt;year&gt;2018&lt;/year&gt;&lt;/dates&gt;&lt;urls&gt;&lt;related-urls&gt;&lt;url&gt;https://www.fda.gov/vaccines-blood-biologics/approved-blood-products/vaccinia-immune-globulin-intravenous-human&lt;/url&gt;&lt;/related-urls&gt;&lt;/urls&gt;&lt;/record&gt;&lt;/Cite&gt;&lt;/EndNote&gt;</w:instrText>
      </w:r>
      <w:r w:rsidRPr="00A30C12">
        <w:rPr>
          <w:bCs/>
          <w:i/>
          <w:iCs/>
          <w:color w:val="auto"/>
          <w:lang w:val="en-AU"/>
        </w:rPr>
        <w:fldChar w:fldCharType="separate"/>
      </w:r>
      <w:r w:rsidRPr="00A30C12">
        <w:rPr>
          <w:bCs/>
          <w:i/>
          <w:iCs/>
          <w:color w:val="auto"/>
          <w:lang w:val="en-AU"/>
        </w:rPr>
        <w:t>(CDC, 2024b; FDA, 2018)</w:t>
      </w:r>
      <w:r w:rsidRPr="00A30C12">
        <w:rPr>
          <w:bCs/>
          <w:i/>
          <w:iCs/>
          <w:color w:val="auto"/>
          <w:lang w:val="en-AU"/>
        </w:rPr>
        <w:fldChar w:fldCharType="end"/>
      </w:r>
    </w:p>
    <w:tbl>
      <w:tblPr>
        <w:tblStyle w:val="DepartmentofHealthtable"/>
        <w:tblW w:w="5000" w:type="pct"/>
        <w:tblLook w:val="04A0" w:firstRow="1" w:lastRow="0" w:firstColumn="1" w:lastColumn="0" w:noHBand="0" w:noVBand="1"/>
        <w:tblDescription w:val="Add Alt Text describing the content of the table"/>
      </w:tblPr>
      <w:tblGrid>
        <w:gridCol w:w="1843"/>
        <w:gridCol w:w="7227"/>
      </w:tblGrid>
      <w:tr w:rsidR="00B643C6" w:rsidRPr="00B643C6" w14:paraId="0B0DB4FD" w14:textId="77777777" w:rsidTr="6E0F985C">
        <w:trPr>
          <w:cnfStyle w:val="100000000000" w:firstRow="1" w:lastRow="0" w:firstColumn="0" w:lastColumn="0" w:oddVBand="0" w:evenVBand="0" w:oddHBand="0" w:evenHBand="0" w:firstRowFirstColumn="0" w:firstRowLastColumn="0" w:lastRowFirstColumn="0" w:lastRowLastColumn="0"/>
          <w:tblHeader/>
        </w:trPr>
        <w:tc>
          <w:tcPr>
            <w:tcW w:w="1016" w:type="pct"/>
          </w:tcPr>
          <w:p w14:paraId="7472E189" w14:textId="77777777" w:rsidR="00EA3CE4" w:rsidRPr="00A30C12" w:rsidRDefault="00EA3CE4" w:rsidP="009425E9">
            <w:pPr>
              <w:pStyle w:val="TableHeaderWhite"/>
              <w:rPr>
                <w:b/>
                <w:bCs/>
                <w:color w:val="auto"/>
                <w:lang w:val="en-AU"/>
              </w:rPr>
            </w:pPr>
            <w:r w:rsidRPr="00A30C12">
              <w:rPr>
                <w:bCs/>
                <w:color w:val="auto"/>
                <w:lang w:val="en-AU"/>
              </w:rPr>
              <w:t>Other names</w:t>
            </w:r>
          </w:p>
        </w:tc>
        <w:tc>
          <w:tcPr>
            <w:tcW w:w="3984" w:type="pct"/>
          </w:tcPr>
          <w:p w14:paraId="76433323" w14:textId="4BD73948" w:rsidR="00EA3CE4" w:rsidRPr="00A30C12" w:rsidRDefault="00EA3CE4" w:rsidP="009425E9">
            <w:pPr>
              <w:pStyle w:val="TableHeader"/>
              <w:rPr>
                <w:b/>
                <w:bCs/>
                <w:color w:val="auto"/>
                <w:lang w:val="en-AU"/>
              </w:rPr>
            </w:pPr>
            <w:r w:rsidRPr="00A30C12">
              <w:rPr>
                <w:bCs/>
                <w:color w:val="auto"/>
                <w:lang w:val="en-AU"/>
              </w:rPr>
              <w:t>Vaccinia Immune Globulin Intravenous (Human)</w:t>
            </w:r>
          </w:p>
        </w:tc>
      </w:tr>
      <w:tr w:rsidR="00B643C6" w:rsidRPr="00B643C6" w14:paraId="03888A3B" w14:textId="77777777" w:rsidTr="6E0F985C">
        <w:tc>
          <w:tcPr>
            <w:tcW w:w="1016" w:type="pct"/>
          </w:tcPr>
          <w:p w14:paraId="27E4F759" w14:textId="49632F39" w:rsidR="00EA3CE4" w:rsidRPr="00A30C12" w:rsidRDefault="00EA3CE4" w:rsidP="00EA3CE4">
            <w:pPr>
              <w:pStyle w:val="Tabletextleft"/>
              <w:rPr>
                <w:rFonts w:cs="Arial"/>
                <w:color w:val="auto"/>
                <w:sz w:val="22"/>
                <w:szCs w:val="22"/>
              </w:rPr>
            </w:pPr>
            <w:r w:rsidRPr="00A30C12">
              <w:rPr>
                <w:rFonts w:eastAsia="Calibri" w:cs="Arial"/>
                <w:color w:val="auto"/>
                <w:sz w:val="22"/>
                <w:szCs w:val="22"/>
              </w:rPr>
              <w:t>Proposed dose</w:t>
            </w:r>
          </w:p>
        </w:tc>
        <w:tc>
          <w:tcPr>
            <w:tcW w:w="3984" w:type="pct"/>
          </w:tcPr>
          <w:p w14:paraId="08E1C112" w14:textId="24BA2F84" w:rsidR="00EA3CE4" w:rsidRPr="00A30C12" w:rsidRDefault="00EA3CE4" w:rsidP="00EA3CE4">
            <w:pPr>
              <w:rPr>
                <w:rFonts w:eastAsia="Calibri" w:cs="Arial"/>
                <w:color w:val="auto"/>
                <w:szCs w:val="22"/>
              </w:rPr>
            </w:pPr>
            <w:r w:rsidRPr="00A30C12">
              <w:rPr>
                <w:rFonts w:eastAsia="Calibri" w:cs="Arial"/>
                <w:color w:val="auto"/>
                <w:szCs w:val="22"/>
              </w:rPr>
              <w:t>Dose of 6000</w:t>
            </w:r>
            <w:r w:rsidR="00F14A62" w:rsidRPr="00A30C12">
              <w:rPr>
                <w:rFonts w:eastAsia="Calibri" w:cs="Arial"/>
                <w:color w:val="auto"/>
                <w:szCs w:val="22"/>
              </w:rPr>
              <w:t> </w:t>
            </w:r>
            <w:r w:rsidRPr="00A30C12">
              <w:rPr>
                <w:rFonts w:eastAsia="Calibri" w:cs="Arial"/>
                <w:color w:val="auto"/>
                <w:szCs w:val="22"/>
              </w:rPr>
              <w:t xml:space="preserve">Units/kg intravenous. </w:t>
            </w:r>
          </w:p>
          <w:p w14:paraId="15629F5E" w14:textId="57B87454" w:rsidR="00EA3CE4" w:rsidRPr="00A30C12" w:rsidRDefault="00EA3CE4" w:rsidP="00EA3CE4">
            <w:pPr>
              <w:pStyle w:val="Tabletextleft"/>
              <w:rPr>
                <w:rFonts w:cs="Arial"/>
                <w:color w:val="auto"/>
                <w:sz w:val="22"/>
                <w:szCs w:val="22"/>
              </w:rPr>
            </w:pPr>
            <w:r w:rsidRPr="00A30C12">
              <w:rPr>
                <w:rFonts w:eastAsia="Calibri" w:cs="Arial"/>
                <w:color w:val="auto"/>
                <w:sz w:val="22"/>
                <w:szCs w:val="22"/>
              </w:rPr>
              <w:t>Consider higher doses where the patient does not respond to the initial dose. Multiple and repeated treatments may be required.</w:t>
            </w:r>
          </w:p>
        </w:tc>
      </w:tr>
      <w:tr w:rsidR="00B643C6" w:rsidRPr="00B643C6" w14:paraId="2D4DE455" w14:textId="77777777" w:rsidTr="6E0F985C">
        <w:tc>
          <w:tcPr>
            <w:tcW w:w="1016" w:type="pct"/>
          </w:tcPr>
          <w:p w14:paraId="72FA95C3" w14:textId="5A539B79" w:rsidR="00EA3CE4" w:rsidRPr="00A30C12" w:rsidRDefault="00EA3CE4" w:rsidP="00EA3CE4">
            <w:pPr>
              <w:pStyle w:val="Tabletextleft"/>
              <w:rPr>
                <w:rFonts w:cs="Arial"/>
                <w:color w:val="auto"/>
                <w:sz w:val="22"/>
                <w:szCs w:val="22"/>
              </w:rPr>
            </w:pPr>
            <w:r w:rsidRPr="00A30C12">
              <w:rPr>
                <w:rFonts w:eastAsia="Calibri" w:cs="Arial"/>
                <w:color w:val="auto"/>
                <w:sz w:val="22"/>
                <w:szCs w:val="22"/>
              </w:rPr>
              <w:t>Regulatory history</w:t>
            </w:r>
          </w:p>
        </w:tc>
        <w:tc>
          <w:tcPr>
            <w:tcW w:w="3984" w:type="pct"/>
          </w:tcPr>
          <w:p w14:paraId="54804C72" w14:textId="77777777" w:rsidR="00EA3CE4" w:rsidRPr="00A30C12" w:rsidRDefault="00EA3CE4" w:rsidP="00EA3CE4">
            <w:pPr>
              <w:rPr>
                <w:rFonts w:eastAsiaTheme="minorEastAsia" w:cs="Arial"/>
                <w:color w:val="auto"/>
                <w:szCs w:val="22"/>
              </w:rPr>
            </w:pPr>
            <w:r w:rsidRPr="00A30C12">
              <w:rPr>
                <w:rFonts w:eastAsiaTheme="minorEastAsia" w:cs="Arial"/>
                <w:color w:val="auto"/>
                <w:szCs w:val="22"/>
              </w:rPr>
              <w:t xml:space="preserve">Not TGA registered. </w:t>
            </w:r>
          </w:p>
          <w:p w14:paraId="590182EF" w14:textId="77777777" w:rsidR="00EA3CE4" w:rsidRPr="00A30C12" w:rsidRDefault="00EA3CE4" w:rsidP="00EA3CE4">
            <w:pPr>
              <w:rPr>
                <w:rFonts w:eastAsiaTheme="minorEastAsia" w:cs="Arial"/>
                <w:color w:val="auto"/>
                <w:szCs w:val="22"/>
              </w:rPr>
            </w:pPr>
            <w:r w:rsidRPr="00A30C12">
              <w:rPr>
                <w:rFonts w:eastAsia="Calibri" w:cs="Arial"/>
                <w:color w:val="auto"/>
                <w:szCs w:val="22"/>
              </w:rPr>
              <w:t xml:space="preserve">Indications include: </w:t>
            </w:r>
          </w:p>
          <w:p w14:paraId="2A08FCA4" w14:textId="77777777" w:rsidR="00EA3CE4" w:rsidRPr="00A30C12" w:rsidRDefault="00EA3CE4" w:rsidP="00EA3CE4">
            <w:pPr>
              <w:pStyle w:val="ListParagraph"/>
              <w:numPr>
                <w:ilvl w:val="0"/>
                <w:numId w:val="31"/>
              </w:numPr>
              <w:spacing w:before="0" w:after="0" w:line="240" w:lineRule="auto"/>
              <w:rPr>
                <w:rFonts w:eastAsiaTheme="minorEastAsia" w:cs="Arial"/>
                <w:color w:val="auto"/>
                <w:szCs w:val="22"/>
              </w:rPr>
            </w:pPr>
            <w:r w:rsidRPr="00A30C12">
              <w:rPr>
                <w:rFonts w:eastAsia="Calibri" w:cs="Arial"/>
                <w:color w:val="auto"/>
                <w:szCs w:val="22"/>
              </w:rPr>
              <w:t>Eczema vaccinatum</w:t>
            </w:r>
          </w:p>
          <w:p w14:paraId="35D0F60C" w14:textId="77777777" w:rsidR="00EA3CE4" w:rsidRPr="00A30C12" w:rsidRDefault="00EA3CE4" w:rsidP="00EA3CE4">
            <w:pPr>
              <w:pStyle w:val="ListParagraph"/>
              <w:numPr>
                <w:ilvl w:val="0"/>
                <w:numId w:val="31"/>
              </w:numPr>
              <w:spacing w:before="0" w:after="0" w:line="240" w:lineRule="auto"/>
              <w:rPr>
                <w:rFonts w:eastAsiaTheme="minorEastAsia" w:cs="Arial"/>
                <w:color w:val="auto"/>
                <w:szCs w:val="22"/>
              </w:rPr>
            </w:pPr>
            <w:r w:rsidRPr="00A30C12">
              <w:rPr>
                <w:rFonts w:eastAsia="Calibri" w:cs="Arial"/>
                <w:color w:val="auto"/>
                <w:szCs w:val="22"/>
              </w:rPr>
              <w:t xml:space="preserve">Progressive vaccinia </w:t>
            </w:r>
          </w:p>
          <w:p w14:paraId="2C7BF55D" w14:textId="77777777" w:rsidR="00EA3CE4" w:rsidRPr="00A30C12" w:rsidRDefault="00EA3CE4" w:rsidP="00EA3CE4">
            <w:pPr>
              <w:pStyle w:val="ListParagraph"/>
              <w:numPr>
                <w:ilvl w:val="0"/>
                <w:numId w:val="31"/>
              </w:numPr>
              <w:spacing w:before="0" w:after="0" w:line="240" w:lineRule="auto"/>
              <w:rPr>
                <w:rFonts w:cs="Arial"/>
                <w:color w:val="auto"/>
                <w:szCs w:val="22"/>
              </w:rPr>
            </w:pPr>
            <w:r w:rsidRPr="00A30C12">
              <w:rPr>
                <w:rFonts w:eastAsia="Calibri" w:cs="Arial"/>
                <w:color w:val="auto"/>
                <w:szCs w:val="22"/>
              </w:rPr>
              <w:t xml:space="preserve">Severe generalised vaccinia </w:t>
            </w:r>
          </w:p>
          <w:p w14:paraId="2A80C3CF" w14:textId="77777777" w:rsidR="00EA3CE4" w:rsidRPr="00A30C12" w:rsidRDefault="00EA3CE4" w:rsidP="00EA3CE4">
            <w:pPr>
              <w:pStyle w:val="ListParagraph"/>
              <w:numPr>
                <w:ilvl w:val="0"/>
                <w:numId w:val="31"/>
              </w:numPr>
              <w:spacing w:before="0" w:after="0" w:line="240" w:lineRule="auto"/>
              <w:rPr>
                <w:rFonts w:cs="Arial"/>
                <w:color w:val="auto"/>
                <w:szCs w:val="22"/>
              </w:rPr>
            </w:pPr>
            <w:r w:rsidRPr="00A30C12">
              <w:rPr>
                <w:rFonts w:eastAsia="Calibri" w:cs="Arial"/>
                <w:color w:val="auto"/>
                <w:szCs w:val="22"/>
              </w:rPr>
              <w:t xml:space="preserve">Vaccinia infections in individuals who have skin conditions such as burns, impetigo, varicella-zoster, or poison ivy; or in individuals who have eczematous skin lesions because of either the activity or extensiveness of such lesions </w:t>
            </w:r>
          </w:p>
          <w:p w14:paraId="28E49991" w14:textId="77777777" w:rsidR="00EA3CE4" w:rsidRPr="00A30C12" w:rsidRDefault="00EA3CE4" w:rsidP="00EA3CE4">
            <w:pPr>
              <w:pStyle w:val="ListParagraph"/>
              <w:numPr>
                <w:ilvl w:val="0"/>
                <w:numId w:val="31"/>
              </w:numPr>
              <w:spacing w:before="0" w:after="0" w:line="240" w:lineRule="auto"/>
              <w:rPr>
                <w:rFonts w:cs="Arial"/>
                <w:color w:val="auto"/>
                <w:szCs w:val="22"/>
              </w:rPr>
            </w:pPr>
            <w:r w:rsidRPr="00A30C12">
              <w:rPr>
                <w:rFonts w:eastAsia="Calibri" w:cs="Arial"/>
                <w:color w:val="auto"/>
                <w:szCs w:val="22"/>
              </w:rPr>
              <w:t>Aberrant infections induced by vaccinia virus that include its accidental implantation in eyes (except in cases of isolated keratitis), mouth, or other areas where vaccinia infection would constitute a special hazard.</w:t>
            </w:r>
          </w:p>
          <w:p w14:paraId="12504AAF" w14:textId="64E42072" w:rsidR="00EA3CE4" w:rsidRPr="00A30C12" w:rsidRDefault="00EA3CE4" w:rsidP="00EA3CE4">
            <w:pPr>
              <w:rPr>
                <w:rFonts w:cs="Arial"/>
                <w:color w:val="auto"/>
                <w:szCs w:val="22"/>
              </w:rPr>
            </w:pPr>
            <w:r w:rsidRPr="00A30C12">
              <w:rPr>
                <w:rFonts w:eastAsia="Calibri" w:cs="Arial"/>
                <w:color w:val="auto"/>
                <w:szCs w:val="22"/>
              </w:rPr>
              <w:t xml:space="preserve">VIG is not considered to be effective in the treatment of </w:t>
            </w:r>
            <w:proofErr w:type="spellStart"/>
            <w:r w:rsidRPr="00A30C12">
              <w:rPr>
                <w:rFonts w:eastAsia="Calibri" w:cs="Arial"/>
                <w:color w:val="auto"/>
                <w:szCs w:val="22"/>
              </w:rPr>
              <w:t>postvaccinial</w:t>
            </w:r>
            <w:proofErr w:type="spellEnd"/>
            <w:r w:rsidRPr="00A30C12">
              <w:rPr>
                <w:rFonts w:eastAsia="Calibri" w:cs="Arial"/>
                <w:color w:val="auto"/>
                <w:szCs w:val="22"/>
              </w:rPr>
              <w:t xml:space="preserve"> encephalitis</w:t>
            </w:r>
          </w:p>
        </w:tc>
      </w:tr>
      <w:tr w:rsidR="00B643C6" w:rsidRPr="00B643C6" w14:paraId="4BBA698B" w14:textId="77777777" w:rsidTr="6E0F985C">
        <w:tc>
          <w:tcPr>
            <w:tcW w:w="1016" w:type="pct"/>
          </w:tcPr>
          <w:p w14:paraId="6ED46870" w14:textId="1EBDAE47" w:rsidR="00EA3CE4" w:rsidRPr="00A30C12" w:rsidRDefault="00EA3CE4" w:rsidP="00EA3CE4">
            <w:pPr>
              <w:pStyle w:val="Tabletextleft"/>
              <w:rPr>
                <w:rFonts w:cs="Arial"/>
                <w:color w:val="auto"/>
                <w:sz w:val="22"/>
                <w:szCs w:val="22"/>
              </w:rPr>
            </w:pPr>
            <w:r w:rsidRPr="00A30C12">
              <w:rPr>
                <w:rFonts w:eastAsia="Calibri" w:cs="Arial"/>
                <w:color w:val="auto"/>
                <w:sz w:val="22"/>
                <w:szCs w:val="22"/>
              </w:rPr>
              <w:t>Clinical pharmacology</w:t>
            </w:r>
          </w:p>
        </w:tc>
        <w:tc>
          <w:tcPr>
            <w:tcW w:w="3984" w:type="pct"/>
          </w:tcPr>
          <w:p w14:paraId="6DD38CBE" w14:textId="77777777" w:rsidR="00EA3CE4" w:rsidRPr="00A30C12" w:rsidRDefault="00EA3CE4" w:rsidP="00EA3CE4">
            <w:pPr>
              <w:rPr>
                <w:rFonts w:eastAsia="Calibri" w:cs="Arial"/>
                <w:color w:val="auto"/>
                <w:szCs w:val="22"/>
              </w:rPr>
            </w:pPr>
            <w:r w:rsidRPr="00A30C12">
              <w:rPr>
                <w:rFonts w:eastAsia="Calibri" w:cs="Arial"/>
                <w:color w:val="auto"/>
                <w:szCs w:val="22"/>
              </w:rPr>
              <w:t>VIG provides passive immunity for individuals with complications to vaccinia virus vaccination. The exact mechanism of action is not known</w:t>
            </w:r>
          </w:p>
          <w:p w14:paraId="65B7801B" w14:textId="29046A79" w:rsidR="00EA3CE4" w:rsidRPr="00A30C12" w:rsidRDefault="00EA3CE4" w:rsidP="00EA3CE4">
            <w:pPr>
              <w:rPr>
                <w:rFonts w:cs="Arial"/>
                <w:color w:val="auto"/>
                <w:szCs w:val="22"/>
              </w:rPr>
            </w:pPr>
            <w:r w:rsidRPr="00A30C12">
              <w:rPr>
                <w:rFonts w:eastAsia="Calibri" w:cs="Arial"/>
                <w:color w:val="auto"/>
                <w:szCs w:val="22"/>
              </w:rPr>
              <w:t>After intravenous administration of 6000</w:t>
            </w:r>
            <w:r w:rsidR="00F14A62" w:rsidRPr="00A30C12">
              <w:rPr>
                <w:rFonts w:eastAsia="Calibri" w:cs="Arial"/>
                <w:color w:val="auto"/>
                <w:szCs w:val="22"/>
              </w:rPr>
              <w:t> U</w:t>
            </w:r>
            <w:r w:rsidRPr="00A30C12">
              <w:rPr>
                <w:rFonts w:eastAsia="Calibri" w:cs="Arial"/>
                <w:color w:val="auto"/>
                <w:szCs w:val="22"/>
              </w:rPr>
              <w:t>nits per kg to 31 healthy subjects in a double-blind study, the peak plasma concentration was achieved within 2 hours. The half-life of VIG was 30 days (range of 13 to 67 days)</w:t>
            </w:r>
          </w:p>
        </w:tc>
      </w:tr>
      <w:tr w:rsidR="00B643C6" w:rsidRPr="00B643C6" w14:paraId="4D2B8ED2" w14:textId="77777777" w:rsidTr="6E0F985C">
        <w:tc>
          <w:tcPr>
            <w:tcW w:w="1016" w:type="pct"/>
          </w:tcPr>
          <w:p w14:paraId="2B8D3263" w14:textId="7BC883E3" w:rsidR="00EA3CE4" w:rsidRPr="00A30C12" w:rsidRDefault="00EA3CE4" w:rsidP="00EA3CE4">
            <w:pPr>
              <w:pStyle w:val="Tabletextleft"/>
              <w:rPr>
                <w:rFonts w:cs="Arial"/>
                <w:color w:val="auto"/>
                <w:sz w:val="22"/>
                <w:szCs w:val="22"/>
              </w:rPr>
            </w:pPr>
            <w:r w:rsidRPr="00A30C12">
              <w:rPr>
                <w:rFonts w:eastAsia="Calibri" w:cs="Arial"/>
                <w:color w:val="auto"/>
                <w:sz w:val="22"/>
                <w:szCs w:val="22"/>
              </w:rPr>
              <w:t>Efficacy</w:t>
            </w:r>
          </w:p>
        </w:tc>
        <w:tc>
          <w:tcPr>
            <w:tcW w:w="3984" w:type="pct"/>
          </w:tcPr>
          <w:p w14:paraId="62D2D468" w14:textId="56789466" w:rsidR="00EA3CE4" w:rsidRPr="00A30C12" w:rsidRDefault="00EA3CE4" w:rsidP="00EA3CE4">
            <w:pPr>
              <w:rPr>
                <w:rFonts w:cs="Arial"/>
                <w:color w:val="auto"/>
                <w:szCs w:val="22"/>
              </w:rPr>
            </w:pPr>
            <w:r w:rsidRPr="00A30C12">
              <w:rPr>
                <w:rFonts w:eastAsiaTheme="minorEastAsia" w:cs="Arial"/>
                <w:color w:val="auto"/>
                <w:szCs w:val="22"/>
              </w:rPr>
              <w:t>Clinical studies suggest reduced pox reaction and erythema area following VIG administration.</w:t>
            </w:r>
          </w:p>
        </w:tc>
      </w:tr>
      <w:tr w:rsidR="00B643C6" w:rsidRPr="00B643C6" w14:paraId="5591A23E" w14:textId="77777777" w:rsidTr="6E0F985C">
        <w:tc>
          <w:tcPr>
            <w:tcW w:w="1016" w:type="pct"/>
          </w:tcPr>
          <w:p w14:paraId="379D6F50" w14:textId="6AE1ED7C" w:rsidR="00EA3CE4" w:rsidRPr="00A30C12" w:rsidRDefault="00EA3CE4" w:rsidP="00EA3CE4">
            <w:pPr>
              <w:pStyle w:val="Tabletextleft"/>
              <w:rPr>
                <w:rFonts w:cs="Arial"/>
                <w:color w:val="auto"/>
                <w:sz w:val="22"/>
                <w:szCs w:val="22"/>
              </w:rPr>
            </w:pPr>
            <w:r w:rsidRPr="00A30C12">
              <w:rPr>
                <w:rFonts w:eastAsia="Calibri" w:cs="Arial"/>
                <w:color w:val="auto"/>
                <w:sz w:val="22"/>
                <w:szCs w:val="22"/>
              </w:rPr>
              <w:t>Safety</w:t>
            </w:r>
          </w:p>
        </w:tc>
        <w:tc>
          <w:tcPr>
            <w:tcW w:w="3984" w:type="pct"/>
          </w:tcPr>
          <w:p w14:paraId="7860A57B" w14:textId="77777777" w:rsidR="00EA3CE4" w:rsidRPr="00A30C12" w:rsidRDefault="00EA3CE4" w:rsidP="00EA3CE4">
            <w:pPr>
              <w:rPr>
                <w:rFonts w:eastAsia="Calibri" w:cs="Arial"/>
                <w:color w:val="auto"/>
                <w:szCs w:val="22"/>
              </w:rPr>
            </w:pPr>
            <w:r w:rsidRPr="00A30C12">
              <w:rPr>
                <w:rFonts w:eastAsia="Calibri" w:cs="Arial"/>
                <w:color w:val="auto"/>
                <w:szCs w:val="22"/>
              </w:rPr>
              <w:t xml:space="preserve">Contraindications: </w:t>
            </w:r>
          </w:p>
          <w:p w14:paraId="2EB94E34" w14:textId="77777777" w:rsidR="00EA3CE4" w:rsidRPr="00A30C12" w:rsidRDefault="00EA3CE4" w:rsidP="00EA3CE4">
            <w:pPr>
              <w:pStyle w:val="ListParagraph"/>
              <w:numPr>
                <w:ilvl w:val="0"/>
                <w:numId w:val="32"/>
              </w:numPr>
              <w:spacing w:before="0" w:after="0" w:line="240" w:lineRule="auto"/>
              <w:rPr>
                <w:rFonts w:eastAsiaTheme="minorEastAsia" w:cs="Arial"/>
                <w:color w:val="auto"/>
                <w:szCs w:val="22"/>
              </w:rPr>
            </w:pPr>
            <w:r w:rsidRPr="00A30C12">
              <w:rPr>
                <w:rFonts w:eastAsia="Calibri" w:cs="Arial"/>
                <w:color w:val="auto"/>
                <w:szCs w:val="22"/>
              </w:rPr>
              <w:t xml:space="preserve">isolated vaccinia keratitis </w:t>
            </w:r>
            <w:r w:rsidRPr="00A30C12">
              <w:rPr>
                <w:rFonts w:eastAsia="Calibri" w:cs="Arial"/>
                <w:color w:val="auto"/>
                <w:szCs w:val="22"/>
              </w:rPr>
              <w:fldChar w:fldCharType="begin">
                <w:fldData xml:space="preserve">PEVuZE5vdGU+PENpdGU+PEF1dGhvcj5BbHRtYW5uPC9BdXRob3I+PFllYXI+MjAxMTwvWWVhcj48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</w:fldData>
              </w:fldChar>
            </w:r>
            <w:r w:rsidRPr="00A30C12">
              <w:rPr>
                <w:rFonts w:eastAsia="Calibri" w:cs="Arial"/>
                <w:color w:val="auto"/>
                <w:szCs w:val="22"/>
              </w:rPr>
              <w:instrText xml:space="preserve"> ADDIN EN.CITE </w:instrText>
            </w:r>
            <w:r w:rsidRPr="00A30C12">
              <w:rPr>
                <w:rFonts w:eastAsia="Calibri" w:cs="Arial"/>
                <w:color w:val="auto"/>
                <w:szCs w:val="22"/>
              </w:rPr>
              <w:fldChar w:fldCharType="begin">
                <w:fldData xml:space="preserve">PEVuZE5vdGU+PENpdGU+PEF1dGhvcj5BbHRtYW5uPC9BdXRob3I+PFllYXI+MjAxMTwvWWVhcj48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</w:fldData>
              </w:fldChar>
            </w:r>
            <w:r w:rsidRPr="00A30C12">
              <w:rPr>
                <w:rFonts w:eastAsia="Calibri" w:cs="Arial"/>
                <w:color w:val="auto"/>
                <w:szCs w:val="22"/>
              </w:rPr>
              <w:instrText xml:space="preserve"> ADDIN EN.CITE.DATA </w:instrText>
            </w:r>
            <w:r w:rsidRPr="00A30C12">
              <w:rPr>
                <w:rFonts w:eastAsia="Calibri" w:cs="Arial"/>
                <w:color w:val="auto"/>
                <w:szCs w:val="22"/>
              </w:rPr>
            </w:r>
            <w:r w:rsidRPr="00A30C12">
              <w:rPr>
                <w:rFonts w:eastAsia="Calibri" w:cs="Arial"/>
                <w:color w:val="auto"/>
                <w:szCs w:val="22"/>
              </w:rPr>
              <w:fldChar w:fldCharType="end"/>
            </w:r>
            <w:r w:rsidRPr="00A30C12">
              <w:rPr>
                <w:rFonts w:eastAsia="Calibri" w:cs="Arial"/>
                <w:color w:val="auto"/>
                <w:szCs w:val="22"/>
              </w:rPr>
            </w:r>
            <w:r w:rsidRPr="00A30C12">
              <w:rPr>
                <w:rFonts w:eastAsia="Calibri" w:cs="Arial"/>
                <w:color w:val="auto"/>
                <w:szCs w:val="22"/>
              </w:rPr>
              <w:fldChar w:fldCharType="separate"/>
            </w:r>
            <w:r w:rsidRPr="00A30C12">
              <w:rPr>
                <w:rFonts w:eastAsia="Calibri" w:cs="Arial"/>
                <w:color w:val="auto"/>
                <w:szCs w:val="22"/>
              </w:rPr>
              <w:t>(Altmann et al., 2011)</w:t>
            </w:r>
            <w:r w:rsidRPr="00A30C12">
              <w:rPr>
                <w:rFonts w:eastAsia="Calibri" w:cs="Arial"/>
                <w:color w:val="auto"/>
                <w:szCs w:val="22"/>
              </w:rPr>
              <w:fldChar w:fldCharType="end"/>
            </w:r>
            <w:r w:rsidRPr="00A30C12">
              <w:rPr>
                <w:rFonts w:eastAsia="Calibri" w:cs="Arial"/>
                <w:color w:val="auto"/>
                <w:szCs w:val="22"/>
              </w:rPr>
              <w:t>.</w:t>
            </w:r>
          </w:p>
          <w:p w14:paraId="15F9F7BC" w14:textId="77777777" w:rsidR="00EA3CE4" w:rsidRPr="00A30C12" w:rsidRDefault="00EA3CE4" w:rsidP="00EA3CE4">
            <w:pPr>
              <w:pStyle w:val="ListParagraph"/>
              <w:numPr>
                <w:ilvl w:val="0"/>
                <w:numId w:val="32"/>
              </w:numPr>
              <w:spacing w:before="0" w:after="0" w:line="240" w:lineRule="auto"/>
              <w:rPr>
                <w:rFonts w:cs="Arial"/>
                <w:color w:val="auto"/>
                <w:szCs w:val="22"/>
              </w:rPr>
            </w:pPr>
            <w:r w:rsidRPr="00A30C12">
              <w:rPr>
                <w:rFonts w:eastAsia="Calibri" w:cs="Arial"/>
                <w:color w:val="auto"/>
                <w:szCs w:val="22"/>
              </w:rPr>
              <w:t>anaphylaxis or prior severe systemic reaction associated with the parenteral administration of this or other human immune globulin preparations</w:t>
            </w:r>
          </w:p>
          <w:p w14:paraId="31A1AEC8" w14:textId="77777777" w:rsidR="00EA3CE4" w:rsidRPr="00A30C12" w:rsidRDefault="00EA3CE4" w:rsidP="00EA3CE4">
            <w:pPr>
              <w:pStyle w:val="ListParagraph"/>
              <w:numPr>
                <w:ilvl w:val="0"/>
                <w:numId w:val="32"/>
              </w:numPr>
              <w:spacing w:before="0" w:after="0" w:line="240" w:lineRule="auto"/>
              <w:rPr>
                <w:rFonts w:cs="Arial"/>
                <w:color w:val="auto"/>
                <w:szCs w:val="22"/>
              </w:rPr>
            </w:pPr>
            <w:r w:rsidRPr="00A30C12">
              <w:rPr>
                <w:rFonts w:eastAsia="Calibri" w:cs="Arial"/>
                <w:color w:val="auto"/>
                <w:szCs w:val="22"/>
              </w:rPr>
              <w:t xml:space="preserve">IgA-deficient patients with antibodies against IgA and a history of IgA hypersensitivity, as it contains trace amounts of IgA. </w:t>
            </w:r>
          </w:p>
          <w:p w14:paraId="22BAED13" w14:textId="77777777" w:rsidR="00EA3CE4" w:rsidRPr="00A30C12" w:rsidRDefault="00EA3CE4" w:rsidP="00EA3CE4">
            <w:pPr>
              <w:rPr>
                <w:rFonts w:eastAsia="Calibri" w:cs="Arial"/>
                <w:color w:val="auto"/>
                <w:szCs w:val="22"/>
              </w:rPr>
            </w:pPr>
            <w:r w:rsidRPr="00A30C12">
              <w:rPr>
                <w:rFonts w:eastAsia="Calibri" w:cs="Arial"/>
                <w:color w:val="auto"/>
                <w:szCs w:val="22"/>
              </w:rPr>
              <w:t>Precautions: VIG administration is associated with aseptic meningitis syndrome, transfusion-related acute lung injury, acute renal dysfunction/failure, thrombosis, aseptic meningitis, and haemolysis.</w:t>
            </w:r>
          </w:p>
          <w:p w14:paraId="2DC40F74" w14:textId="01B56986" w:rsidR="00EA3CE4" w:rsidRPr="00A30C12" w:rsidRDefault="00EA3CE4" w:rsidP="00EA3CE4">
            <w:pPr>
              <w:rPr>
                <w:rFonts w:cs="Arial"/>
                <w:color w:val="auto"/>
                <w:szCs w:val="22"/>
              </w:rPr>
            </w:pPr>
            <w:r w:rsidRPr="00A30C12">
              <w:rPr>
                <w:rFonts w:eastAsia="Calibri" w:cs="Arial"/>
                <w:color w:val="auto"/>
                <w:szCs w:val="22"/>
              </w:rPr>
              <w:t>Common adverse reactions in clinical trials (&gt;10%) include headache, nausea, rigors, and dizziness.</w:t>
            </w:r>
          </w:p>
        </w:tc>
      </w:tr>
      <w:tr w:rsidR="00B643C6" w:rsidRPr="00B643C6" w14:paraId="276CD948" w14:textId="77777777" w:rsidTr="6E0F985C">
        <w:tc>
          <w:tcPr>
            <w:tcW w:w="1016" w:type="pct"/>
          </w:tcPr>
          <w:p w14:paraId="1EED7C09" w14:textId="5909979B" w:rsidR="00EA3CE4" w:rsidRPr="00A30C12" w:rsidRDefault="00EA3CE4" w:rsidP="00EA3CE4">
            <w:pPr>
              <w:pStyle w:val="Tabletextleft"/>
              <w:rPr>
                <w:rFonts w:cs="Arial"/>
                <w:color w:val="auto"/>
                <w:sz w:val="22"/>
                <w:szCs w:val="22"/>
              </w:rPr>
            </w:pPr>
            <w:r w:rsidRPr="00A30C12">
              <w:rPr>
                <w:rFonts w:eastAsia="Calibri" w:cs="Arial"/>
                <w:color w:val="auto"/>
                <w:sz w:val="22"/>
                <w:szCs w:val="22"/>
              </w:rPr>
              <w:t>Practice points</w:t>
            </w:r>
          </w:p>
        </w:tc>
        <w:tc>
          <w:tcPr>
            <w:tcW w:w="3984" w:type="pct"/>
          </w:tcPr>
          <w:p w14:paraId="6009F3F1" w14:textId="7129E2FF" w:rsidR="00EA3CE4" w:rsidRPr="00A30C12" w:rsidRDefault="00EA3CE4" w:rsidP="00EA3CE4">
            <w:pPr>
              <w:rPr>
                <w:rFonts w:eastAsiaTheme="minorEastAsia" w:cs="Arial"/>
                <w:color w:val="auto"/>
                <w:szCs w:val="22"/>
              </w:rPr>
            </w:pPr>
            <w:r w:rsidRPr="00A30C12">
              <w:rPr>
                <w:rFonts w:eastAsiaTheme="minorEastAsia" w:cs="Arial"/>
                <w:color w:val="auto"/>
                <w:szCs w:val="22"/>
              </w:rPr>
              <w:t>Product may be stored frozen at or below –15</w:t>
            </w:r>
            <w:r w:rsidR="00223051" w:rsidRPr="00A30C12">
              <w:rPr>
                <w:rFonts w:eastAsiaTheme="minorEastAsia" w:cs="Arial"/>
                <w:color w:val="auto"/>
                <w:szCs w:val="22"/>
              </w:rPr>
              <w:t> </w:t>
            </w:r>
            <w:r w:rsidRPr="00A30C12">
              <w:rPr>
                <w:rFonts w:eastAsiaTheme="minorEastAsia" w:cs="Arial"/>
                <w:color w:val="auto"/>
                <w:szCs w:val="22"/>
              </w:rPr>
              <w:t>°C or refrigerated at 2–8</w:t>
            </w:r>
            <w:r w:rsidR="00223051" w:rsidRPr="00A30C12">
              <w:rPr>
                <w:rFonts w:eastAsiaTheme="minorEastAsia" w:cs="Arial"/>
                <w:color w:val="auto"/>
                <w:szCs w:val="22"/>
              </w:rPr>
              <w:t> </w:t>
            </w:r>
            <w:r w:rsidRPr="00A30C12">
              <w:rPr>
                <w:rFonts w:eastAsiaTheme="minorEastAsia" w:cs="Arial"/>
                <w:color w:val="auto"/>
                <w:szCs w:val="22"/>
              </w:rPr>
              <w:t>°C.</w:t>
            </w:r>
          </w:p>
          <w:p w14:paraId="78E04E32" w14:textId="4487AA73" w:rsidR="00EA3CE4" w:rsidRPr="00A30C12" w:rsidRDefault="00EA3CE4" w:rsidP="00EA3CE4">
            <w:pPr>
              <w:rPr>
                <w:rFonts w:eastAsiaTheme="minorEastAsia" w:cs="Arial"/>
                <w:color w:val="auto"/>
                <w:szCs w:val="22"/>
              </w:rPr>
            </w:pPr>
            <w:r w:rsidRPr="00A30C12">
              <w:rPr>
                <w:rFonts w:eastAsiaTheme="minorEastAsia" w:cs="Arial"/>
                <w:color w:val="auto"/>
                <w:szCs w:val="22"/>
              </w:rPr>
              <w:t>Bring VIG vials to room temperature prior to dosing. Administer</w:t>
            </w:r>
            <w:r w:rsidRPr="00A30C12">
              <w:rPr>
                <w:rFonts w:eastAsia="Calibri" w:cs="Arial"/>
                <w:color w:val="auto"/>
                <w:szCs w:val="22"/>
              </w:rPr>
              <w:t xml:space="preserve"> 6000 U/kg </w:t>
            </w:r>
            <w:r w:rsidRPr="00A30C12">
              <w:rPr>
                <w:rFonts w:eastAsiaTheme="minorEastAsia" w:cs="Arial"/>
                <w:color w:val="auto"/>
                <w:szCs w:val="22"/>
              </w:rPr>
              <w:t>intravenously through a dedicated intravenous line with the infusion rate of no greater than 2 mL/min.</w:t>
            </w:r>
            <w:r w:rsidR="00C00BCF" w:rsidRPr="00A30C12">
              <w:rPr>
                <w:rFonts w:eastAsiaTheme="minorEastAsia" w:cs="Arial"/>
                <w:color w:val="auto"/>
                <w:szCs w:val="22"/>
              </w:rPr>
              <w:t xml:space="preserve"> </w:t>
            </w:r>
          </w:p>
          <w:p w14:paraId="5024D8B6" w14:textId="77777777" w:rsidR="00EA3CE4" w:rsidRPr="00A30C12" w:rsidRDefault="00EA3CE4" w:rsidP="00EA3CE4">
            <w:pPr>
              <w:rPr>
                <w:rFonts w:eastAsiaTheme="minorEastAsia" w:cs="Arial"/>
                <w:color w:val="auto"/>
                <w:szCs w:val="22"/>
              </w:rPr>
            </w:pPr>
          </w:p>
          <w:p w14:paraId="17BC21E4" w14:textId="3E472246" w:rsidR="00EA3CE4" w:rsidRPr="00A30C12" w:rsidRDefault="00EA3CE4" w:rsidP="6E0F985C">
            <w:pPr>
              <w:rPr>
                <w:rFonts w:cs="Arial"/>
                <w:color w:val="auto"/>
              </w:rPr>
            </w:pPr>
            <w:r w:rsidRPr="00A30C12">
              <w:rPr>
                <w:rFonts w:eastAsia="Calibri" w:cs="Arial"/>
                <w:color w:val="auto"/>
              </w:rPr>
              <w:t>Blood glucose measurement in patients receiving VIG must be done with a glucose-specific method (monitor and test strips) to avoid interference by maltose contained in VIG. Glucose dehydrogenase pyrroloquinoline</w:t>
            </w:r>
            <w:r w:rsidR="4924AB00" w:rsidRPr="00A30C12">
              <w:rPr>
                <w:rFonts w:eastAsia="Calibri" w:cs="Arial"/>
                <w:color w:val="auto"/>
              </w:rPr>
              <w:t xml:space="preserve"> </w:t>
            </w:r>
            <w:r w:rsidRPr="00A30C12">
              <w:rPr>
                <w:rFonts w:eastAsia="Calibri" w:cs="Arial"/>
                <w:color w:val="auto"/>
              </w:rPr>
              <w:t>quinone (GDH-PQQ) or glucose-dye</w:t>
            </w:r>
            <w:r w:rsidR="3AC003A9" w:rsidRPr="00A30C12">
              <w:rPr>
                <w:rFonts w:eastAsia="Calibri" w:cs="Arial"/>
                <w:color w:val="auto"/>
              </w:rPr>
              <w:t>-</w:t>
            </w:r>
            <w:r w:rsidRPr="00A30C12">
              <w:rPr>
                <w:rFonts w:eastAsia="Calibri" w:cs="Arial"/>
                <w:color w:val="auto"/>
              </w:rPr>
              <w:t xml:space="preserve">oxidoreductase method (monitor and test strips) must not be used for blood glucose testing in patients receiving VIG, since maltose in VIG products has been shown to give falsely high blood glucose levels in these testing systems. </w:t>
            </w:r>
          </w:p>
        </w:tc>
      </w:tr>
    </w:tbl>
    <w:p w14:paraId="7C075612" w14:textId="77777777" w:rsidR="00EA3CE4" w:rsidRPr="00A30C12" w:rsidRDefault="00EA3CE4" w:rsidP="00542C0D">
      <w:pPr>
        <w:pStyle w:val="TableTitle"/>
        <w:spacing w:before="360"/>
        <w:rPr>
          <w:bCs/>
          <w:i/>
          <w:iCs/>
          <w:color w:val="auto"/>
          <w:lang w:val="en-AU"/>
        </w:rPr>
      </w:pPr>
      <w:r w:rsidRPr="00A30C12">
        <w:rPr>
          <w:bCs/>
          <w:i/>
          <w:iCs/>
          <w:color w:val="auto"/>
          <w:lang w:val="en-AU"/>
        </w:rPr>
        <w:t xml:space="preserve">Cidofovir </w:t>
      </w:r>
      <w:r w:rsidRPr="00A30C12">
        <w:rPr>
          <w:bCs/>
          <w:i/>
          <w:iCs/>
          <w:color w:val="auto"/>
          <w:lang w:val="en-AU"/>
        </w:rPr>
        <w:fldChar w:fldCharType="begin">
          <w:fldData xml:space="preserve">PEVuZE5vdGU+PENpdGU+PEF1dGhvcj5TdGl0dGVsYWFyPC9BdXRob3I+PFllYXI+MjAwNjwvWWVh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</w:fldData>
        </w:fldChar>
      </w:r>
      <w:r w:rsidRPr="00A30C12">
        <w:rPr>
          <w:bCs/>
          <w:i/>
          <w:iCs/>
          <w:color w:val="auto"/>
          <w:lang w:val="en-AU"/>
        </w:rPr>
        <w:instrText xml:space="preserve"> ADDIN EN.CITE </w:instrText>
      </w:r>
      <w:r w:rsidRPr="00A30C12">
        <w:rPr>
          <w:bCs/>
          <w:i/>
          <w:iCs/>
          <w:color w:val="auto"/>
          <w:lang w:val="en-AU"/>
        </w:rPr>
        <w:fldChar w:fldCharType="begin">
          <w:fldData xml:space="preserve">PEVuZE5vdGU+PENpdGU+PEF1dGhvcj5TdGl0dGVsYWFyPC9BdXRob3I+PFllYXI+MjAwNjwvWWVh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</w:fldData>
        </w:fldChar>
      </w:r>
      <w:r w:rsidRPr="00A30C12">
        <w:rPr>
          <w:bCs/>
          <w:i/>
          <w:iCs/>
          <w:color w:val="auto"/>
          <w:lang w:val="en-AU"/>
        </w:rPr>
        <w:instrText xml:space="preserve"> ADDIN EN.CITE.DATA </w:instrText>
      </w:r>
      <w:r w:rsidRPr="00A30C12">
        <w:rPr>
          <w:bCs/>
          <w:i/>
          <w:iCs/>
          <w:color w:val="auto"/>
          <w:lang w:val="en-AU"/>
        </w:rPr>
      </w:r>
      <w:r w:rsidRPr="00A30C12">
        <w:rPr>
          <w:bCs/>
          <w:i/>
          <w:iCs/>
          <w:color w:val="auto"/>
          <w:lang w:val="en-AU"/>
        </w:rPr>
        <w:fldChar w:fldCharType="end"/>
      </w:r>
      <w:r w:rsidRPr="00A30C12">
        <w:rPr>
          <w:bCs/>
          <w:i/>
          <w:iCs/>
          <w:color w:val="auto"/>
          <w:lang w:val="en-AU"/>
        </w:rPr>
      </w:r>
      <w:r w:rsidRPr="00A30C12">
        <w:rPr>
          <w:bCs/>
          <w:i/>
          <w:iCs/>
          <w:color w:val="auto"/>
          <w:lang w:val="en-AU"/>
        </w:rPr>
        <w:fldChar w:fldCharType="separate"/>
      </w:r>
      <w:r w:rsidRPr="00A30C12">
        <w:rPr>
          <w:bCs/>
          <w:i/>
          <w:iCs/>
          <w:color w:val="auto"/>
          <w:lang w:val="en-AU"/>
        </w:rPr>
        <w:t>(</w:t>
      </w:r>
      <w:proofErr w:type="spellStart"/>
      <w:r w:rsidRPr="00A30C12">
        <w:rPr>
          <w:bCs/>
          <w:i/>
          <w:iCs/>
          <w:color w:val="auto"/>
          <w:lang w:val="en-AU"/>
        </w:rPr>
        <w:t>Stittelaar</w:t>
      </w:r>
      <w:proofErr w:type="spellEnd"/>
      <w:r w:rsidRPr="00A30C12">
        <w:rPr>
          <w:bCs/>
          <w:i/>
          <w:iCs/>
          <w:color w:val="auto"/>
          <w:lang w:val="en-AU"/>
        </w:rPr>
        <w:t xml:space="preserve"> et al., 2006; TGA, 2019)</w:t>
      </w:r>
      <w:r w:rsidRPr="00A30C12">
        <w:rPr>
          <w:bCs/>
          <w:i/>
          <w:iCs/>
          <w:color w:val="auto"/>
          <w:lang w:val="en-AU"/>
        </w:rPr>
        <w:fldChar w:fldCharType="end"/>
      </w:r>
    </w:p>
    <w:tbl>
      <w:tblPr>
        <w:tblStyle w:val="DepartmentofHealthtable"/>
        <w:tblW w:w="5000" w:type="pct"/>
        <w:tblLook w:val="04A0" w:firstRow="1" w:lastRow="0" w:firstColumn="1" w:lastColumn="0" w:noHBand="0" w:noVBand="1"/>
        <w:tblDescription w:val="Add Alt Text describing the content of the table"/>
      </w:tblPr>
      <w:tblGrid>
        <w:gridCol w:w="1843"/>
        <w:gridCol w:w="7227"/>
      </w:tblGrid>
      <w:tr w:rsidR="00B643C6" w:rsidRPr="00B643C6" w14:paraId="48AAB38A" w14:textId="77777777" w:rsidTr="009425E9">
        <w:trPr>
          <w:cnfStyle w:val="100000000000" w:firstRow="1" w:lastRow="0" w:firstColumn="0" w:lastColumn="0" w:oddVBand="0" w:evenVBand="0" w:oddHBand="0" w:evenHBand="0" w:firstRowFirstColumn="0" w:firstRowLastColumn="0" w:lastRowFirstColumn="0" w:lastRowLastColumn="0"/>
          <w:tblHeader/>
        </w:trPr>
        <w:tc>
          <w:tcPr>
            <w:tcW w:w="1016" w:type="pct"/>
          </w:tcPr>
          <w:p w14:paraId="61039C4C" w14:textId="77777777" w:rsidR="00EA3CE4" w:rsidRPr="00A30C12" w:rsidRDefault="00EA3CE4" w:rsidP="009425E9">
            <w:pPr>
              <w:pStyle w:val="TableHeaderWhite"/>
              <w:rPr>
                <w:b/>
                <w:bCs/>
                <w:color w:val="auto"/>
                <w:lang w:val="en-AU"/>
              </w:rPr>
            </w:pPr>
            <w:r w:rsidRPr="00A30C12">
              <w:rPr>
                <w:bCs/>
                <w:color w:val="auto"/>
                <w:lang w:val="en-AU"/>
              </w:rPr>
              <w:t>Other names</w:t>
            </w:r>
          </w:p>
        </w:tc>
        <w:tc>
          <w:tcPr>
            <w:tcW w:w="3984" w:type="pct"/>
          </w:tcPr>
          <w:p w14:paraId="628FFB5B" w14:textId="275606CD" w:rsidR="00EA3CE4" w:rsidRPr="00A30C12" w:rsidRDefault="00EA3CE4" w:rsidP="009425E9">
            <w:pPr>
              <w:pStyle w:val="TableHeader"/>
              <w:rPr>
                <w:b/>
                <w:bCs/>
                <w:color w:val="auto"/>
                <w:lang w:val="en-AU"/>
              </w:rPr>
            </w:pPr>
            <w:proofErr w:type="spellStart"/>
            <w:r w:rsidRPr="00A30C12">
              <w:rPr>
                <w:bCs/>
                <w:color w:val="auto"/>
                <w:lang w:val="en-AU"/>
              </w:rPr>
              <w:t>Vistide</w:t>
            </w:r>
            <w:proofErr w:type="spellEnd"/>
            <w:r w:rsidRPr="00A30C12">
              <w:rPr>
                <w:bCs/>
                <w:color w:val="auto"/>
                <w:lang w:val="en-AU"/>
              </w:rPr>
              <w:t>; EMPOVIR</w:t>
            </w:r>
          </w:p>
        </w:tc>
      </w:tr>
      <w:tr w:rsidR="00B643C6" w:rsidRPr="00B643C6" w14:paraId="42A9FF1C" w14:textId="77777777" w:rsidTr="009425E9">
        <w:tc>
          <w:tcPr>
            <w:tcW w:w="1016" w:type="pct"/>
          </w:tcPr>
          <w:p w14:paraId="57B69B09" w14:textId="05CD2CF3" w:rsidR="00EA3CE4" w:rsidRPr="00A30C12" w:rsidRDefault="00EA3CE4" w:rsidP="00EA3CE4">
            <w:pPr>
              <w:pStyle w:val="Tabletextleft"/>
              <w:rPr>
                <w:rFonts w:cs="Arial"/>
                <w:color w:val="auto"/>
                <w:sz w:val="22"/>
                <w:szCs w:val="22"/>
              </w:rPr>
            </w:pPr>
            <w:r w:rsidRPr="00A30C12">
              <w:rPr>
                <w:rFonts w:eastAsia="Calibri" w:cs="Arial"/>
                <w:color w:val="auto"/>
                <w:sz w:val="22"/>
                <w:szCs w:val="22"/>
              </w:rPr>
              <w:t>Proposed dose</w:t>
            </w:r>
          </w:p>
        </w:tc>
        <w:tc>
          <w:tcPr>
            <w:tcW w:w="3984" w:type="pct"/>
          </w:tcPr>
          <w:p w14:paraId="1FEEA94A" w14:textId="77777777" w:rsidR="00EA3CE4" w:rsidRPr="00A30C12" w:rsidRDefault="00EA3CE4" w:rsidP="00EA3CE4">
            <w:pPr>
              <w:rPr>
                <w:rFonts w:eastAsia="Calibri" w:cs="Arial"/>
                <w:color w:val="auto"/>
                <w:szCs w:val="22"/>
              </w:rPr>
            </w:pPr>
            <w:r w:rsidRPr="00A30C12">
              <w:rPr>
                <w:rFonts w:eastAsia="Calibri" w:cs="Arial"/>
                <w:color w:val="auto"/>
                <w:szCs w:val="22"/>
              </w:rPr>
              <w:t xml:space="preserve">5 mg/kg body weight, intravenous </w:t>
            </w:r>
          </w:p>
          <w:p w14:paraId="21E14970" w14:textId="3833E5B6" w:rsidR="00EA3CE4" w:rsidRPr="00A30C12" w:rsidRDefault="00EA3CE4" w:rsidP="00EA3CE4">
            <w:pPr>
              <w:rPr>
                <w:rFonts w:eastAsia="Calibri" w:cs="Arial"/>
                <w:color w:val="auto"/>
                <w:szCs w:val="22"/>
              </w:rPr>
            </w:pPr>
            <w:r w:rsidRPr="00A30C12">
              <w:rPr>
                <w:rFonts w:eastAsia="Calibri" w:cs="Arial"/>
                <w:color w:val="auto"/>
                <w:szCs w:val="22"/>
                <w:u w:val="single"/>
              </w:rPr>
              <w:t>Induction treatment:</w:t>
            </w:r>
            <w:r w:rsidRPr="00A30C12">
              <w:rPr>
                <w:rFonts w:eastAsia="Calibri" w:cs="Arial"/>
                <w:color w:val="auto"/>
                <w:szCs w:val="22"/>
              </w:rPr>
              <w:t xml:space="preserve"> Intravenous infusion at a constant rate over 1 hr administered once weekly for two consecutive weeks.</w:t>
            </w:r>
            <w:r w:rsidR="00C00BCF" w:rsidRPr="00A30C12">
              <w:rPr>
                <w:rFonts w:eastAsia="Calibri" w:cs="Arial"/>
                <w:color w:val="auto"/>
                <w:szCs w:val="22"/>
              </w:rPr>
              <w:t xml:space="preserve"> </w:t>
            </w:r>
          </w:p>
          <w:p w14:paraId="5EC83BC6" w14:textId="5ACB0116" w:rsidR="00EA3CE4" w:rsidRPr="00A30C12" w:rsidRDefault="00EA3CE4" w:rsidP="00EA3CE4">
            <w:pPr>
              <w:pStyle w:val="Tabletextleft"/>
              <w:rPr>
                <w:rFonts w:cs="Arial"/>
                <w:color w:val="auto"/>
                <w:sz w:val="22"/>
                <w:szCs w:val="22"/>
              </w:rPr>
            </w:pPr>
            <w:r w:rsidRPr="00A30C12">
              <w:rPr>
                <w:rFonts w:eastAsia="Calibri" w:cs="Arial"/>
                <w:color w:val="auto"/>
                <w:sz w:val="22"/>
                <w:szCs w:val="22"/>
                <w:u w:val="single"/>
              </w:rPr>
              <w:t>Maintenance treatment:</w:t>
            </w:r>
            <w:r w:rsidRPr="00A30C12">
              <w:rPr>
                <w:rFonts w:eastAsia="Calibri" w:cs="Arial"/>
                <w:color w:val="auto"/>
                <w:sz w:val="22"/>
                <w:szCs w:val="22"/>
              </w:rPr>
              <w:t xml:space="preserve"> Beginning two weeks after the completion of induction treatment, intravenous infusion at a constant rate over 1 hour administered once every two weeks. </w:t>
            </w:r>
          </w:p>
        </w:tc>
      </w:tr>
      <w:tr w:rsidR="00B643C6" w:rsidRPr="00B643C6" w14:paraId="4E7A4C79" w14:textId="77777777" w:rsidTr="009425E9">
        <w:tc>
          <w:tcPr>
            <w:tcW w:w="1016" w:type="pct"/>
          </w:tcPr>
          <w:p w14:paraId="2C3B276E" w14:textId="38F59A0F" w:rsidR="00EA3CE4" w:rsidRPr="00A30C12" w:rsidRDefault="00EA3CE4" w:rsidP="00EA3CE4">
            <w:pPr>
              <w:pStyle w:val="Tabletextleft"/>
              <w:rPr>
                <w:rFonts w:eastAsia="Calibri" w:cs="Arial"/>
                <w:color w:val="auto"/>
                <w:sz w:val="22"/>
                <w:szCs w:val="22"/>
              </w:rPr>
            </w:pPr>
            <w:r w:rsidRPr="00A30C12">
              <w:rPr>
                <w:rFonts w:eastAsia="Calibri" w:cs="Arial"/>
                <w:color w:val="auto"/>
                <w:sz w:val="22"/>
                <w:szCs w:val="22"/>
              </w:rPr>
              <w:t>Regulatory history</w:t>
            </w:r>
          </w:p>
        </w:tc>
        <w:tc>
          <w:tcPr>
            <w:tcW w:w="3984" w:type="pct"/>
          </w:tcPr>
          <w:p w14:paraId="74647F73" w14:textId="41240EF6" w:rsidR="00EA3CE4" w:rsidRPr="00A30C12" w:rsidRDefault="00EA3CE4" w:rsidP="00EA3CE4">
            <w:pPr>
              <w:rPr>
                <w:rFonts w:eastAsia="Calibri" w:cs="Arial"/>
                <w:color w:val="auto"/>
                <w:szCs w:val="22"/>
              </w:rPr>
            </w:pPr>
            <w:r w:rsidRPr="00A30C12">
              <w:rPr>
                <w:rFonts w:eastAsia="Calibri" w:cs="Arial"/>
                <w:color w:val="auto"/>
                <w:szCs w:val="22"/>
              </w:rPr>
              <w:t>Approved by the TGA for the treatment of CMV infection in adults with acquired immunodeficiency syndrome</w:t>
            </w:r>
          </w:p>
        </w:tc>
      </w:tr>
      <w:tr w:rsidR="00B643C6" w:rsidRPr="00B643C6" w14:paraId="5155A97C" w14:textId="77777777" w:rsidTr="009425E9">
        <w:tc>
          <w:tcPr>
            <w:tcW w:w="1016" w:type="pct"/>
          </w:tcPr>
          <w:p w14:paraId="5704CC6B" w14:textId="1F5EC138" w:rsidR="00EA3CE4" w:rsidRPr="00A30C12" w:rsidRDefault="00EA3CE4" w:rsidP="00EA3CE4">
            <w:pPr>
              <w:pStyle w:val="Tabletextleft"/>
              <w:rPr>
                <w:rFonts w:eastAsia="Calibri" w:cs="Arial"/>
                <w:color w:val="auto"/>
                <w:sz w:val="22"/>
                <w:szCs w:val="22"/>
              </w:rPr>
            </w:pPr>
            <w:r w:rsidRPr="00A30C12">
              <w:rPr>
                <w:rFonts w:eastAsia="Calibri" w:cs="Arial"/>
                <w:color w:val="auto"/>
                <w:sz w:val="22"/>
                <w:szCs w:val="22"/>
              </w:rPr>
              <w:t>Clinical pharmacology</w:t>
            </w:r>
          </w:p>
        </w:tc>
        <w:tc>
          <w:tcPr>
            <w:tcW w:w="3984" w:type="pct"/>
          </w:tcPr>
          <w:p w14:paraId="1127509F" w14:textId="77777777" w:rsidR="00EA3CE4" w:rsidRPr="00A30C12" w:rsidRDefault="00EA3CE4" w:rsidP="00EA3CE4">
            <w:pPr>
              <w:rPr>
                <w:rFonts w:eastAsia="Calibri" w:cs="Arial"/>
                <w:color w:val="auto"/>
                <w:szCs w:val="22"/>
              </w:rPr>
            </w:pPr>
            <w:r w:rsidRPr="00A30C12">
              <w:rPr>
                <w:rFonts w:eastAsia="Calibri" w:cs="Arial"/>
                <w:color w:val="auto"/>
                <w:szCs w:val="22"/>
              </w:rPr>
              <w:t>Inhibits viral DNA synthesis in CMV</w:t>
            </w:r>
          </w:p>
          <w:p w14:paraId="2C4C9DFC" w14:textId="77777777" w:rsidR="00EA3CE4" w:rsidRPr="00A30C12" w:rsidRDefault="00EA3CE4" w:rsidP="00EA3CE4">
            <w:pPr>
              <w:rPr>
                <w:rFonts w:cs="Arial"/>
                <w:color w:val="auto"/>
                <w:szCs w:val="22"/>
              </w:rPr>
            </w:pPr>
            <w:r w:rsidRPr="00A30C12">
              <w:rPr>
                <w:rFonts w:eastAsia="Calibri" w:cs="Arial"/>
                <w:color w:val="auto"/>
                <w:szCs w:val="22"/>
              </w:rPr>
              <w:t>Half-life elimination: 2.6 hours</w:t>
            </w:r>
          </w:p>
          <w:p w14:paraId="6E230A79" w14:textId="12558532" w:rsidR="00EA3CE4" w:rsidRPr="00A30C12" w:rsidRDefault="00EA3CE4" w:rsidP="00EA3CE4">
            <w:pPr>
              <w:rPr>
                <w:rFonts w:eastAsia="Calibri" w:cs="Arial"/>
                <w:color w:val="auto"/>
                <w:szCs w:val="22"/>
              </w:rPr>
            </w:pPr>
            <w:r w:rsidRPr="00A30C12">
              <w:rPr>
                <w:rFonts w:eastAsia="Calibri" w:cs="Arial"/>
                <w:color w:val="auto"/>
                <w:szCs w:val="22"/>
              </w:rPr>
              <w:t>Excretion: urine</w:t>
            </w:r>
          </w:p>
        </w:tc>
      </w:tr>
      <w:tr w:rsidR="00B643C6" w:rsidRPr="00B643C6" w14:paraId="3B1A77A3" w14:textId="77777777" w:rsidTr="009425E9">
        <w:tc>
          <w:tcPr>
            <w:tcW w:w="1016" w:type="pct"/>
          </w:tcPr>
          <w:p w14:paraId="600BFA1B" w14:textId="75E38EED" w:rsidR="00EA3CE4" w:rsidRPr="00A30C12" w:rsidRDefault="00EA3CE4" w:rsidP="00EA3CE4">
            <w:pPr>
              <w:pStyle w:val="Tabletextleft"/>
              <w:rPr>
                <w:rFonts w:eastAsia="Calibri" w:cs="Arial"/>
                <w:color w:val="auto"/>
                <w:sz w:val="22"/>
                <w:szCs w:val="22"/>
              </w:rPr>
            </w:pPr>
            <w:r w:rsidRPr="00A30C12">
              <w:rPr>
                <w:rFonts w:eastAsia="Calibri" w:cs="Arial"/>
                <w:color w:val="auto"/>
                <w:sz w:val="22"/>
                <w:szCs w:val="22"/>
              </w:rPr>
              <w:t>Efficacy</w:t>
            </w:r>
          </w:p>
        </w:tc>
        <w:tc>
          <w:tcPr>
            <w:tcW w:w="3984" w:type="pct"/>
          </w:tcPr>
          <w:p w14:paraId="35EF0A0B" w14:textId="77777777" w:rsidR="00EA3CE4" w:rsidRPr="00A30C12" w:rsidRDefault="00EA3CE4" w:rsidP="00EA3CE4">
            <w:pPr>
              <w:rPr>
                <w:rFonts w:eastAsia="Calibri" w:cs="Arial"/>
                <w:color w:val="auto"/>
                <w:szCs w:val="22"/>
              </w:rPr>
            </w:pPr>
            <w:r w:rsidRPr="00A30C12">
              <w:rPr>
                <w:rFonts w:eastAsia="Calibri" w:cs="Arial"/>
                <w:color w:val="auto"/>
                <w:szCs w:val="22"/>
              </w:rPr>
              <w:t xml:space="preserve">No clinical data regarding efficacy against mpox in humans </w:t>
            </w:r>
          </w:p>
          <w:p w14:paraId="2E6109DC" w14:textId="77777777" w:rsidR="00EA3CE4" w:rsidRPr="00A30C12" w:rsidRDefault="00EA3CE4" w:rsidP="00EA3CE4">
            <w:pPr>
              <w:rPr>
                <w:rFonts w:eastAsia="Calibri" w:cs="Arial"/>
                <w:color w:val="auto"/>
                <w:szCs w:val="22"/>
              </w:rPr>
            </w:pPr>
            <w:r w:rsidRPr="00A30C12">
              <w:rPr>
                <w:rFonts w:eastAsia="Calibri" w:cs="Arial"/>
                <w:color w:val="auto"/>
                <w:szCs w:val="22"/>
              </w:rPr>
              <w:t xml:space="preserve">Significant adverse events, including nephrotoxicity (kidney failure is cited as a common adverse effect in the PI) </w:t>
            </w:r>
          </w:p>
          <w:p w14:paraId="4686C403" w14:textId="5BC409CC" w:rsidR="00EA3CE4" w:rsidRPr="00A30C12" w:rsidRDefault="00EA3CE4" w:rsidP="00EA3CE4">
            <w:pPr>
              <w:rPr>
                <w:rFonts w:eastAsia="Calibri" w:cs="Arial"/>
                <w:color w:val="auto"/>
                <w:szCs w:val="22"/>
              </w:rPr>
            </w:pPr>
            <w:r w:rsidRPr="00A30C12">
              <w:rPr>
                <w:rFonts w:eastAsia="Calibri" w:cs="Arial"/>
                <w:color w:val="auto"/>
                <w:szCs w:val="22"/>
              </w:rPr>
              <w:t xml:space="preserve">In vitro activity against mpox and has been shown to be effective against lethal challenge in animal models </w:t>
            </w:r>
          </w:p>
        </w:tc>
      </w:tr>
      <w:tr w:rsidR="00B643C6" w:rsidRPr="00B643C6" w14:paraId="0B877D29" w14:textId="77777777" w:rsidTr="009425E9">
        <w:tc>
          <w:tcPr>
            <w:tcW w:w="1016" w:type="pct"/>
          </w:tcPr>
          <w:p w14:paraId="059ED71C" w14:textId="0AB8BEE3" w:rsidR="00EA3CE4" w:rsidRPr="00A30C12" w:rsidRDefault="00EA3CE4" w:rsidP="00EA3CE4">
            <w:pPr>
              <w:pStyle w:val="Tabletextleft"/>
              <w:rPr>
                <w:rFonts w:eastAsia="Calibri" w:cs="Arial"/>
                <w:color w:val="auto"/>
                <w:sz w:val="22"/>
                <w:szCs w:val="22"/>
              </w:rPr>
            </w:pPr>
            <w:r w:rsidRPr="00A30C12">
              <w:rPr>
                <w:rFonts w:eastAsia="Calibri" w:cs="Arial"/>
                <w:color w:val="auto"/>
                <w:sz w:val="22"/>
                <w:szCs w:val="22"/>
              </w:rPr>
              <w:t>Safety</w:t>
            </w:r>
          </w:p>
        </w:tc>
        <w:tc>
          <w:tcPr>
            <w:tcW w:w="3984" w:type="pct"/>
          </w:tcPr>
          <w:p w14:paraId="6C7FD3E4" w14:textId="77777777" w:rsidR="00EA3CE4" w:rsidRPr="00A30C12" w:rsidRDefault="00EA3CE4" w:rsidP="00EA3CE4">
            <w:pPr>
              <w:rPr>
                <w:rFonts w:eastAsia="Calibri" w:cs="Arial"/>
                <w:color w:val="auto"/>
                <w:szCs w:val="22"/>
              </w:rPr>
            </w:pPr>
            <w:r w:rsidRPr="00A30C12">
              <w:rPr>
                <w:rFonts w:eastAsia="Calibri" w:cs="Arial"/>
                <w:color w:val="auto"/>
                <w:szCs w:val="22"/>
              </w:rPr>
              <w:t>Contraindications: renal impairment; concomitant administration of cidofovir and potentially nephrotoxic agents (e.g., NSAIDs)</w:t>
            </w:r>
          </w:p>
          <w:p w14:paraId="7EF0D254" w14:textId="155CF090" w:rsidR="00EA3CE4" w:rsidRPr="00A30C12" w:rsidRDefault="00EA3CE4" w:rsidP="00EA3CE4">
            <w:pPr>
              <w:rPr>
                <w:rFonts w:eastAsia="Calibri" w:cs="Arial"/>
                <w:color w:val="auto"/>
                <w:szCs w:val="22"/>
              </w:rPr>
            </w:pPr>
            <w:r w:rsidRPr="00A30C12">
              <w:rPr>
                <w:rFonts w:eastAsia="Calibri" w:cs="Arial"/>
                <w:color w:val="auto"/>
                <w:szCs w:val="22"/>
              </w:rPr>
              <w:t xml:space="preserve">Precautions: dose-dependent nephrotoxicity; uveitis and/or iritis; decreased intraocular pressure/ocular hypotony; </w:t>
            </w:r>
            <w:proofErr w:type="spellStart"/>
            <w:r w:rsidRPr="00A30C12">
              <w:rPr>
                <w:rFonts w:eastAsia="Calibri" w:cs="Arial"/>
                <w:color w:val="auto"/>
                <w:szCs w:val="22"/>
              </w:rPr>
              <w:t>neutrop</w:t>
            </w:r>
            <w:r w:rsidR="002936DC" w:rsidRPr="00A30C12">
              <w:rPr>
                <w:rFonts w:eastAsia="Calibri" w:cs="Arial"/>
                <w:color w:val="auto"/>
                <w:szCs w:val="22"/>
              </w:rPr>
              <w:t>a</w:t>
            </w:r>
            <w:r w:rsidRPr="00A30C12">
              <w:rPr>
                <w:rFonts w:eastAsia="Calibri" w:cs="Arial"/>
                <w:color w:val="auto"/>
                <w:szCs w:val="22"/>
              </w:rPr>
              <w:t>enia</w:t>
            </w:r>
            <w:proofErr w:type="spellEnd"/>
            <w:r w:rsidR="002936DC" w:rsidRPr="00A30C12">
              <w:rPr>
                <w:rFonts w:eastAsia="Calibri" w:cs="Arial"/>
                <w:color w:val="auto"/>
                <w:szCs w:val="22"/>
              </w:rPr>
              <w:t>.</w:t>
            </w:r>
          </w:p>
          <w:p w14:paraId="77C1CE22" w14:textId="2985705F" w:rsidR="00EA3CE4" w:rsidRPr="00A30C12" w:rsidRDefault="00EA3CE4" w:rsidP="00EA3CE4">
            <w:pPr>
              <w:rPr>
                <w:rFonts w:eastAsia="Calibri" w:cs="Arial"/>
                <w:color w:val="auto"/>
                <w:szCs w:val="22"/>
              </w:rPr>
            </w:pPr>
            <w:r w:rsidRPr="00A30C12">
              <w:rPr>
                <w:rFonts w:eastAsia="Calibri" w:cs="Arial"/>
                <w:color w:val="auto"/>
                <w:szCs w:val="22"/>
              </w:rPr>
              <w:t>Pregnancy category D (do not use)</w:t>
            </w:r>
            <w:r w:rsidR="002936DC" w:rsidRPr="00A30C12">
              <w:rPr>
                <w:rFonts w:eastAsia="Calibri" w:cs="Arial"/>
                <w:color w:val="auto"/>
                <w:szCs w:val="22"/>
              </w:rPr>
              <w:t>.</w:t>
            </w:r>
          </w:p>
          <w:p w14:paraId="39AF0CB6" w14:textId="7F34BEDB" w:rsidR="00EA3CE4" w:rsidRPr="00A30C12" w:rsidRDefault="00EA3CE4" w:rsidP="00EA3CE4">
            <w:pPr>
              <w:rPr>
                <w:rFonts w:eastAsia="Calibri" w:cs="Arial"/>
                <w:color w:val="auto"/>
                <w:szCs w:val="22"/>
              </w:rPr>
            </w:pPr>
            <w:r w:rsidRPr="00A30C12">
              <w:rPr>
                <w:rFonts w:eastAsia="Calibri" w:cs="Arial"/>
                <w:color w:val="auto"/>
                <w:szCs w:val="22"/>
              </w:rPr>
              <w:t xml:space="preserve">Common adverse events include renal failure, </w:t>
            </w:r>
            <w:proofErr w:type="spellStart"/>
            <w:r w:rsidRPr="00A30C12">
              <w:rPr>
                <w:rFonts w:eastAsia="Calibri" w:cs="Arial"/>
                <w:color w:val="auto"/>
                <w:szCs w:val="22"/>
              </w:rPr>
              <w:t>neutropaenia</w:t>
            </w:r>
            <w:proofErr w:type="spellEnd"/>
            <w:r w:rsidRPr="00A30C12">
              <w:rPr>
                <w:rFonts w:eastAsia="Calibri" w:cs="Arial"/>
                <w:color w:val="auto"/>
                <w:szCs w:val="22"/>
              </w:rPr>
              <w:t>, iritis, uveitis, ocular hypotony, nausea, vomiting, diarrhoea, asthenia, fever, alopecia, and rash</w:t>
            </w:r>
            <w:r w:rsidR="002936DC" w:rsidRPr="00A30C12">
              <w:rPr>
                <w:rFonts w:eastAsia="Calibri" w:cs="Arial"/>
                <w:color w:val="auto"/>
                <w:szCs w:val="22"/>
              </w:rPr>
              <w:t>.</w:t>
            </w:r>
          </w:p>
        </w:tc>
      </w:tr>
      <w:tr w:rsidR="00B643C6" w:rsidRPr="00B643C6" w14:paraId="04BBD154" w14:textId="77777777" w:rsidTr="009425E9">
        <w:tc>
          <w:tcPr>
            <w:tcW w:w="1016" w:type="pct"/>
          </w:tcPr>
          <w:p w14:paraId="445E12A1" w14:textId="6D0A2067" w:rsidR="00EA3CE4" w:rsidRPr="00A30C12" w:rsidRDefault="00EA3CE4" w:rsidP="00EA3CE4">
            <w:pPr>
              <w:pStyle w:val="Tabletextleft"/>
              <w:rPr>
                <w:rFonts w:eastAsia="Calibri" w:cs="Arial"/>
                <w:color w:val="auto"/>
                <w:sz w:val="22"/>
                <w:szCs w:val="22"/>
              </w:rPr>
            </w:pPr>
            <w:r w:rsidRPr="00A30C12">
              <w:rPr>
                <w:rFonts w:eastAsia="Calibri" w:cs="Arial"/>
                <w:color w:val="auto"/>
                <w:sz w:val="22"/>
                <w:szCs w:val="22"/>
              </w:rPr>
              <w:t>Practice points</w:t>
            </w:r>
          </w:p>
        </w:tc>
        <w:tc>
          <w:tcPr>
            <w:tcW w:w="3984" w:type="pct"/>
          </w:tcPr>
          <w:p w14:paraId="3889F6AC" w14:textId="258AC94D" w:rsidR="00EA3CE4" w:rsidRPr="00A30C12" w:rsidRDefault="00EA3CE4" w:rsidP="00EA3CE4">
            <w:pPr>
              <w:rPr>
                <w:rFonts w:eastAsia="Calibri" w:cs="Arial"/>
                <w:color w:val="auto"/>
                <w:szCs w:val="22"/>
              </w:rPr>
            </w:pPr>
            <w:r w:rsidRPr="00A30C12">
              <w:rPr>
                <w:rFonts w:eastAsia="Calibri" w:cs="Arial"/>
                <w:color w:val="auto"/>
                <w:szCs w:val="22"/>
              </w:rPr>
              <w:t>Closely monitor renal function</w:t>
            </w:r>
            <w:r w:rsidR="002936DC" w:rsidRPr="00A30C12">
              <w:rPr>
                <w:rFonts w:eastAsia="Calibri" w:cs="Arial"/>
                <w:color w:val="auto"/>
                <w:szCs w:val="22"/>
              </w:rPr>
              <w:t>.</w:t>
            </w:r>
          </w:p>
          <w:p w14:paraId="1FC8E3A7" w14:textId="77777777" w:rsidR="00EA3CE4" w:rsidRPr="00A30C12" w:rsidRDefault="00EA3CE4" w:rsidP="00EA3CE4">
            <w:pPr>
              <w:rPr>
                <w:rFonts w:eastAsia="Calibri" w:cs="Arial"/>
                <w:color w:val="auto"/>
                <w:szCs w:val="22"/>
              </w:rPr>
            </w:pPr>
            <w:r w:rsidRPr="00A30C12">
              <w:rPr>
                <w:rFonts w:eastAsia="Calibri" w:cs="Arial"/>
                <w:color w:val="auto"/>
                <w:szCs w:val="22"/>
              </w:rPr>
              <w:t>With a syringe, transfer the appropriate dose of Cidofovir (5 mg/kg body weight) from the vial to an infusion bag containing 100 mL 0.9% (normal) saline solution, and mix thoroughly. The entire volume should be infused intravenously into the patient (adult aged 18 years or older) at a constant rate over a period of 1 hour by use of a 2 standard infusion pump.</w:t>
            </w:r>
          </w:p>
          <w:p w14:paraId="78D235DC" w14:textId="58595E9F" w:rsidR="00EA3CE4" w:rsidRPr="00A30C12" w:rsidRDefault="00EA3CE4" w:rsidP="00EA3CE4">
            <w:pPr>
              <w:rPr>
                <w:rFonts w:eastAsia="Calibri" w:cs="Arial"/>
                <w:color w:val="auto"/>
                <w:szCs w:val="22"/>
              </w:rPr>
            </w:pPr>
            <w:r w:rsidRPr="00A30C12">
              <w:rPr>
                <w:rFonts w:eastAsia="Calibri" w:cs="Arial"/>
                <w:color w:val="auto"/>
                <w:szCs w:val="22"/>
              </w:rPr>
              <w:t>Store at a temperature below 25 °C. Do not refrigerate or freeze. Infusion admixtures may be stored temporarily for up to 24 hours in a refrigerator (2–8 °C) when reconstitution is performed under aseptic conditions.</w:t>
            </w:r>
          </w:p>
          <w:p w14:paraId="67FD8A9F" w14:textId="336941F8" w:rsidR="00EA3CE4" w:rsidRPr="00A30C12" w:rsidRDefault="00EA3CE4" w:rsidP="00EA3CE4">
            <w:pPr>
              <w:rPr>
                <w:rFonts w:eastAsia="Calibri" w:cs="Arial"/>
                <w:color w:val="auto"/>
                <w:szCs w:val="22"/>
              </w:rPr>
            </w:pPr>
            <w:r w:rsidRPr="00A30C12">
              <w:rPr>
                <w:rFonts w:eastAsia="Calibri" w:cs="Arial"/>
                <w:color w:val="auto"/>
                <w:szCs w:val="22"/>
              </w:rPr>
              <w:t xml:space="preserve">Administration of Probenecid 2 g </w:t>
            </w:r>
            <w:r w:rsidRPr="00A30C12">
              <w:rPr>
                <w:rFonts w:eastAsia="Calibri" w:cs="Arial"/>
                <w:i/>
                <w:iCs/>
                <w:color w:val="auto"/>
                <w:szCs w:val="22"/>
              </w:rPr>
              <w:t>po</w:t>
            </w:r>
            <w:r w:rsidRPr="00A30C12">
              <w:rPr>
                <w:rFonts w:eastAsia="Calibri" w:cs="Arial"/>
                <w:color w:val="auto"/>
                <w:szCs w:val="22"/>
              </w:rPr>
              <w:t xml:space="preserve"> 3 hours before Cidofovir, and 1 g 2–8 hours post Cidofovir is recommended for most indications to increase blood levels. Probenecid may interact with several other medications. If probenecid cannot be administered the pharmacokinetics of Cidofovir may be less reliable.</w:t>
            </w:r>
          </w:p>
        </w:tc>
      </w:tr>
    </w:tbl>
    <w:p w14:paraId="0C091210" w14:textId="77777777" w:rsidR="00EA3CE4" w:rsidRPr="00A30C12" w:rsidRDefault="00EA3CE4">
      <w:pPr>
        <w:spacing w:before="0" w:after="0" w:line="240" w:lineRule="auto"/>
        <w:rPr>
          <w:color w:val="auto"/>
        </w:rPr>
      </w:pPr>
      <w:r w:rsidRPr="00A30C12">
        <w:rPr>
          <w:color w:val="auto"/>
        </w:rPr>
        <w:br w:type="page"/>
      </w:r>
    </w:p>
    <w:p w14:paraId="5F50F8CB" w14:textId="6D3FAB10" w:rsidR="00EA3CE4" w:rsidRPr="00A30C12" w:rsidRDefault="00EA3CE4" w:rsidP="00EA3CE4">
      <w:pPr>
        <w:pStyle w:val="Heading2"/>
        <w:rPr>
          <w:color w:val="auto"/>
          <w:sz w:val="44"/>
          <w:szCs w:val="44"/>
        </w:rPr>
      </w:pPr>
      <w:r w:rsidRPr="00A30C12">
        <w:rPr>
          <w:color w:val="auto"/>
          <w:sz w:val="44"/>
          <w:szCs w:val="44"/>
        </w:rPr>
        <w:t>References</w:t>
      </w:r>
    </w:p>
    <w:p w14:paraId="3659111D" w14:textId="77777777" w:rsidR="00EA3CE4" w:rsidRPr="00A30C12" w:rsidRDefault="00EA3CE4" w:rsidP="00542C0D">
      <w:pPr>
        <w:pStyle w:val="EndNoteBibliography"/>
        <w:numPr>
          <w:ilvl w:val="0"/>
          <w:numId w:val="0"/>
        </w:numPr>
        <w:spacing w:before="240" w:after="0"/>
        <w:rPr>
          <w:rFonts w:ascii="Arial" w:hAnsi="Arial" w:cs="Arial"/>
          <w:noProof w:val="0"/>
          <w:color w:val="auto"/>
          <w:lang w:val="en-AU"/>
        </w:rPr>
      </w:pPr>
      <w:r w:rsidRPr="00A30C12">
        <w:rPr>
          <w:rFonts w:ascii="Arial" w:hAnsi="Arial" w:cs="Arial"/>
          <w:noProof w:val="0"/>
          <w:color w:val="auto"/>
          <w:lang w:val="en-AU"/>
        </w:rPr>
        <w:fldChar w:fldCharType="begin"/>
      </w:r>
      <w:r w:rsidRPr="00A30C12">
        <w:rPr>
          <w:rFonts w:ascii="Arial" w:hAnsi="Arial" w:cs="Arial"/>
          <w:noProof w:val="0"/>
          <w:color w:val="auto"/>
          <w:lang w:val="en-AU"/>
        </w:rPr>
        <w:instrText xml:space="preserve"> ADDIN EN.REFLIST </w:instrText>
      </w:r>
      <w:r w:rsidRPr="00A30C12">
        <w:rPr>
          <w:rFonts w:ascii="Arial" w:hAnsi="Arial" w:cs="Arial"/>
          <w:noProof w:val="0"/>
          <w:color w:val="auto"/>
          <w:lang w:val="en-AU"/>
        </w:rPr>
        <w:fldChar w:fldCharType="separate"/>
      </w:r>
      <w:r w:rsidRPr="00A30C12">
        <w:rPr>
          <w:rFonts w:ascii="Arial" w:hAnsi="Arial" w:cs="Arial"/>
          <w:noProof w:val="0"/>
          <w:color w:val="auto"/>
          <w:lang w:val="en-AU"/>
        </w:rPr>
        <w:t xml:space="preserve">Altmann, S., Brandt, C. R., Murphy, C. J., Patnaikuni, R., Takla, T., Toomey, M., . . . Kodihalli, S. (2011). Evaluation of therapeutic interventions for vaccinia virus keratitis. </w:t>
      </w:r>
      <w:r w:rsidRPr="00A30C12">
        <w:rPr>
          <w:rFonts w:ascii="Arial" w:hAnsi="Arial" w:cs="Arial"/>
          <w:i/>
          <w:noProof w:val="0"/>
          <w:color w:val="auto"/>
          <w:lang w:val="en-AU"/>
        </w:rPr>
        <w:t>J Infect Dis, 203</w:t>
      </w:r>
      <w:r w:rsidRPr="00A30C12">
        <w:rPr>
          <w:rFonts w:ascii="Arial" w:hAnsi="Arial" w:cs="Arial"/>
          <w:noProof w:val="0"/>
          <w:color w:val="auto"/>
          <w:lang w:val="en-AU"/>
        </w:rPr>
        <w:t>(5), 683-690. doi:10.1093/infdis/jiq103</w:t>
      </w:r>
    </w:p>
    <w:p w14:paraId="1B640A7D" w14:textId="77777777" w:rsidR="00EA3CE4" w:rsidRPr="00A30C12" w:rsidRDefault="00EA3CE4" w:rsidP="00542C0D">
      <w:pPr>
        <w:pStyle w:val="EndNoteBibliography"/>
        <w:numPr>
          <w:ilvl w:val="0"/>
          <w:numId w:val="0"/>
        </w:numPr>
        <w:spacing w:before="240" w:after="0"/>
        <w:rPr>
          <w:rFonts w:ascii="Arial" w:hAnsi="Arial" w:cs="Arial"/>
          <w:noProof w:val="0"/>
          <w:color w:val="auto"/>
          <w:lang w:val="en-AU"/>
        </w:rPr>
      </w:pPr>
      <w:r w:rsidRPr="00A30C12">
        <w:rPr>
          <w:rFonts w:ascii="Arial" w:hAnsi="Arial" w:cs="Arial"/>
          <w:noProof w:val="0"/>
          <w:color w:val="auto"/>
          <w:lang w:val="en-AU"/>
        </w:rPr>
        <w:t xml:space="preserve">Bruno, G., &amp; Buccoliero, G. B. (2023). Antivirals against Monkeypox (Mpox) in Humans: An Updated Narrative Review. </w:t>
      </w:r>
      <w:r w:rsidRPr="00A30C12">
        <w:rPr>
          <w:rFonts w:ascii="Arial" w:hAnsi="Arial" w:cs="Arial"/>
          <w:i/>
          <w:noProof w:val="0"/>
          <w:color w:val="auto"/>
          <w:lang w:val="en-AU"/>
        </w:rPr>
        <w:t>Life, 13</w:t>
      </w:r>
      <w:r w:rsidRPr="00A30C12">
        <w:rPr>
          <w:rFonts w:ascii="Arial" w:hAnsi="Arial" w:cs="Arial"/>
          <w:noProof w:val="0"/>
          <w:color w:val="auto"/>
          <w:lang w:val="en-AU"/>
        </w:rPr>
        <w:t xml:space="preserve">(10), 1969. Retrieved from </w:t>
      </w:r>
      <w:hyperlink r:id="rId23" w:history="1">
        <w:r w:rsidRPr="00A30C12">
          <w:rPr>
            <w:rStyle w:val="Hyperlink"/>
            <w:rFonts w:ascii="Arial" w:hAnsi="Arial" w:cs="Arial"/>
            <w:noProof w:val="0"/>
            <w:color w:val="auto"/>
            <w:lang w:val="en-AU"/>
          </w:rPr>
          <w:t>https://www.mdpi.com/2075-1729/13/10/1969</w:t>
        </w:r>
      </w:hyperlink>
    </w:p>
    <w:p w14:paraId="73A7BCF4" w14:textId="3734AF70" w:rsidR="00EA3CE4" w:rsidRPr="00A30C12" w:rsidRDefault="00EA3CE4" w:rsidP="00542C0D">
      <w:pPr>
        <w:pStyle w:val="EndNoteBibliography"/>
        <w:numPr>
          <w:ilvl w:val="0"/>
          <w:numId w:val="0"/>
        </w:numPr>
        <w:spacing w:before="240" w:after="0"/>
        <w:rPr>
          <w:rFonts w:ascii="Arial" w:hAnsi="Arial" w:cs="Arial"/>
          <w:noProof w:val="0"/>
          <w:color w:val="auto"/>
          <w:lang w:val="en-AU"/>
        </w:rPr>
      </w:pPr>
      <w:r w:rsidRPr="00A30C12">
        <w:rPr>
          <w:rFonts w:ascii="Arial" w:hAnsi="Arial" w:cs="Arial"/>
          <w:noProof w:val="0"/>
          <w:color w:val="auto"/>
          <w:lang w:val="en-AU"/>
        </w:rPr>
        <w:t xml:space="preserve">CDC. (2024a). </w:t>
      </w:r>
      <w:r w:rsidRPr="00A30C12">
        <w:rPr>
          <w:rFonts w:ascii="Arial" w:hAnsi="Arial" w:cs="Arial"/>
          <w:i/>
          <w:iCs/>
          <w:noProof w:val="0"/>
          <w:color w:val="auto"/>
          <w:lang w:val="en-AU"/>
        </w:rPr>
        <w:t>Expanded Access IND Protocol: Use of Tecovirimat (TPOXX®) for Treatment of Human Non-Variola Orthopoxvirus Infections in Adults and Children - Version 6.4</w:t>
      </w:r>
      <w:r w:rsidRPr="00A30C12">
        <w:rPr>
          <w:rFonts w:ascii="Arial" w:hAnsi="Arial" w:cs="Arial"/>
          <w:noProof w:val="0"/>
          <w:color w:val="auto"/>
          <w:lang w:val="en-AU"/>
        </w:rPr>
        <w:t>. Atlanta, GA. Retrieved from</w:t>
      </w:r>
      <w:r w:rsidR="00C00BCF" w:rsidRPr="00A30C12">
        <w:rPr>
          <w:rFonts w:ascii="Arial" w:hAnsi="Arial" w:cs="Arial"/>
          <w:noProof w:val="0"/>
          <w:color w:val="auto"/>
          <w:lang w:val="en-AU"/>
        </w:rPr>
        <w:t xml:space="preserve"> </w:t>
      </w:r>
      <w:r w:rsidR="000B6FD5" w:rsidRPr="00A30C12">
        <w:rPr>
          <w:rStyle w:val="Hyperlink"/>
          <w:rFonts w:ascii="Arial" w:hAnsi="Arial" w:cs="Arial"/>
          <w:noProof w:val="0"/>
          <w:color w:val="auto"/>
          <w:lang w:val="en-AU"/>
        </w:rPr>
        <w:t>https://www.cdc.gov/mpox/media/pdfs/2024/08/Tecovirimat-IND-Protocol-CDC-IRB.pdf</w:t>
      </w:r>
    </w:p>
    <w:p w14:paraId="3C61266E" w14:textId="28E614B3" w:rsidR="00EA3CE4" w:rsidRPr="00A30C12" w:rsidRDefault="00EA3CE4" w:rsidP="00542C0D">
      <w:pPr>
        <w:pStyle w:val="EndNoteBibliography"/>
        <w:numPr>
          <w:ilvl w:val="0"/>
          <w:numId w:val="0"/>
        </w:numPr>
        <w:spacing w:before="240" w:after="0"/>
        <w:rPr>
          <w:rFonts w:ascii="Arial" w:hAnsi="Arial" w:cs="Arial"/>
          <w:noProof w:val="0"/>
          <w:color w:val="auto"/>
          <w:lang w:val="en-AU"/>
        </w:rPr>
      </w:pPr>
      <w:r w:rsidRPr="00A30C12">
        <w:rPr>
          <w:rFonts w:ascii="Arial" w:hAnsi="Arial" w:cs="Arial"/>
          <w:noProof w:val="0"/>
          <w:color w:val="auto"/>
          <w:lang w:val="en-AU"/>
        </w:rPr>
        <w:t>CDC. (2024b). Mpox - Patient’s Guide to Mpox Treatment with TPOXX (tecovirimat). Retrieved from</w:t>
      </w:r>
      <w:r w:rsidR="00C00BCF" w:rsidRPr="00A30C12">
        <w:rPr>
          <w:rFonts w:ascii="Arial" w:hAnsi="Arial" w:cs="Arial"/>
          <w:noProof w:val="0"/>
          <w:color w:val="auto"/>
          <w:lang w:val="en-AU"/>
        </w:rPr>
        <w:t xml:space="preserve"> </w:t>
      </w:r>
      <w:r w:rsidR="006B779F" w:rsidRPr="00A30C12">
        <w:rPr>
          <w:rStyle w:val="Hyperlink"/>
          <w:rFonts w:ascii="Arial" w:hAnsi="Arial" w:cs="Arial"/>
          <w:noProof w:val="0"/>
          <w:color w:val="auto"/>
          <w:lang w:val="en-AU"/>
        </w:rPr>
        <w:t>https://www.cdc.gov/mpox/caring/patients-guide-to-mpox-treatment-with-tpoxx-tecovirimat.html</w:t>
      </w:r>
    </w:p>
    <w:p w14:paraId="4B6FD984" w14:textId="77777777" w:rsidR="00EA3CE4" w:rsidRPr="00A30C12" w:rsidRDefault="00EA3CE4" w:rsidP="00542C0D">
      <w:pPr>
        <w:pStyle w:val="EndNoteBibliography"/>
        <w:numPr>
          <w:ilvl w:val="0"/>
          <w:numId w:val="0"/>
        </w:numPr>
        <w:spacing w:before="240" w:after="0"/>
        <w:rPr>
          <w:rFonts w:ascii="Arial" w:hAnsi="Arial" w:cs="Arial"/>
          <w:noProof w:val="0"/>
          <w:color w:val="auto"/>
          <w:lang w:val="en-AU"/>
        </w:rPr>
      </w:pPr>
      <w:r w:rsidRPr="00A30C12">
        <w:rPr>
          <w:rFonts w:ascii="Arial" w:hAnsi="Arial" w:cs="Arial"/>
          <w:noProof w:val="0"/>
          <w:color w:val="auto"/>
          <w:lang w:val="en-AU"/>
        </w:rPr>
        <w:t xml:space="preserve">ECRAID. (2024). European randomised clinical trial in mPOX Infection (EPOXI). Retrieved from </w:t>
      </w:r>
      <w:hyperlink r:id="rId24" w:history="1">
        <w:r w:rsidRPr="00A30C12">
          <w:rPr>
            <w:rStyle w:val="Hyperlink"/>
            <w:rFonts w:ascii="Arial" w:hAnsi="Arial" w:cs="Arial"/>
            <w:noProof w:val="0"/>
            <w:color w:val="auto"/>
            <w:lang w:val="en-AU"/>
          </w:rPr>
          <w:t>https://ecraid.eu/study/epoxi</w:t>
        </w:r>
      </w:hyperlink>
    </w:p>
    <w:p w14:paraId="00F27271" w14:textId="77777777" w:rsidR="00EA3CE4" w:rsidRPr="00A30C12" w:rsidRDefault="00EA3CE4" w:rsidP="00542C0D">
      <w:pPr>
        <w:pStyle w:val="EndNoteBibliography"/>
        <w:numPr>
          <w:ilvl w:val="0"/>
          <w:numId w:val="0"/>
        </w:numPr>
        <w:spacing w:before="240" w:after="0"/>
        <w:rPr>
          <w:rFonts w:ascii="Arial" w:hAnsi="Arial" w:cs="Arial"/>
          <w:noProof w:val="0"/>
          <w:color w:val="auto"/>
          <w:lang w:val="en-AU"/>
        </w:rPr>
      </w:pPr>
      <w:r w:rsidRPr="00A30C12">
        <w:rPr>
          <w:rFonts w:ascii="Arial" w:hAnsi="Arial" w:cs="Arial"/>
          <w:noProof w:val="0"/>
          <w:color w:val="auto"/>
          <w:lang w:val="en-AU"/>
        </w:rPr>
        <w:t xml:space="preserve">FDA. (2018). Vaccinia Immune Globulin Intravenous (Human). Retrieved from </w:t>
      </w:r>
      <w:hyperlink r:id="rId25" w:history="1">
        <w:r w:rsidRPr="00A30C12">
          <w:rPr>
            <w:rStyle w:val="Hyperlink"/>
            <w:rFonts w:ascii="Arial" w:hAnsi="Arial" w:cs="Arial"/>
            <w:noProof w:val="0"/>
            <w:color w:val="auto"/>
            <w:lang w:val="en-AU"/>
          </w:rPr>
          <w:t>https://www.fda.gov/vaccines-blood-biologics/approved-blood-products/vaccinia-immune-globulin-intravenous-human</w:t>
        </w:r>
      </w:hyperlink>
    </w:p>
    <w:p w14:paraId="2617617A" w14:textId="77777777" w:rsidR="00EA3CE4" w:rsidRPr="00A30C12" w:rsidRDefault="00EA3CE4" w:rsidP="00542C0D">
      <w:pPr>
        <w:pStyle w:val="EndNoteBibliography"/>
        <w:numPr>
          <w:ilvl w:val="0"/>
          <w:numId w:val="0"/>
        </w:numPr>
        <w:spacing w:before="240" w:after="0"/>
        <w:rPr>
          <w:rFonts w:ascii="Arial" w:hAnsi="Arial" w:cs="Arial"/>
          <w:noProof w:val="0"/>
          <w:color w:val="auto"/>
          <w:lang w:val="en-AU"/>
        </w:rPr>
      </w:pPr>
      <w:r w:rsidRPr="00A30C12">
        <w:rPr>
          <w:rFonts w:ascii="Arial" w:hAnsi="Arial" w:cs="Arial"/>
          <w:noProof w:val="0"/>
          <w:color w:val="auto"/>
          <w:lang w:val="en-AU"/>
        </w:rPr>
        <w:t xml:space="preserve">Fox, T., Gould, S., Princy, N., Rowland, T., Lutje, V., &amp; Kuehn, R. (2023). Therapeutics for treating mpox in humans. </w:t>
      </w:r>
      <w:r w:rsidRPr="00A30C12">
        <w:rPr>
          <w:rFonts w:ascii="Arial" w:hAnsi="Arial" w:cs="Arial"/>
          <w:i/>
          <w:noProof w:val="0"/>
          <w:color w:val="auto"/>
          <w:lang w:val="en-AU"/>
        </w:rPr>
        <w:t>Cochrane Database Syst Rev, 3</w:t>
      </w:r>
      <w:r w:rsidRPr="00A30C12">
        <w:rPr>
          <w:rFonts w:ascii="Arial" w:hAnsi="Arial" w:cs="Arial"/>
          <w:noProof w:val="0"/>
          <w:color w:val="auto"/>
          <w:lang w:val="en-AU"/>
        </w:rPr>
        <w:t>(3), Cd015769. doi:10.1002/14651858.Cd015769</w:t>
      </w:r>
    </w:p>
    <w:p w14:paraId="1A3929AE" w14:textId="77777777" w:rsidR="00EA3CE4" w:rsidRPr="00A30C12" w:rsidRDefault="00EA3CE4" w:rsidP="00542C0D">
      <w:pPr>
        <w:pStyle w:val="EndNoteBibliography"/>
        <w:numPr>
          <w:ilvl w:val="0"/>
          <w:numId w:val="0"/>
        </w:numPr>
        <w:spacing w:before="240" w:after="0"/>
        <w:rPr>
          <w:rFonts w:ascii="Arial" w:hAnsi="Arial" w:cs="Arial"/>
          <w:noProof w:val="0"/>
          <w:color w:val="auto"/>
          <w:lang w:val="en-AU"/>
        </w:rPr>
      </w:pPr>
      <w:r w:rsidRPr="00A30C12">
        <w:rPr>
          <w:rFonts w:ascii="Arial" w:hAnsi="Arial" w:cs="Arial"/>
          <w:noProof w:val="0"/>
          <w:color w:val="auto"/>
          <w:lang w:val="en-AU"/>
        </w:rPr>
        <w:t xml:space="preserve">Grosenbach, D. W., Honeychurch, K., Rose, E. A., Chinsangaram, J., Frimm, A., Maiti, B., . . . Hruby, D. E. (2018). Oral Tecovirimat for the Treatment of Smallpox. </w:t>
      </w:r>
      <w:r w:rsidRPr="00A30C12">
        <w:rPr>
          <w:rFonts w:ascii="Arial" w:hAnsi="Arial" w:cs="Arial"/>
          <w:i/>
          <w:noProof w:val="0"/>
          <w:color w:val="auto"/>
          <w:lang w:val="en-AU"/>
        </w:rPr>
        <w:t>New England Journal of Medicine, 379</w:t>
      </w:r>
      <w:r w:rsidRPr="00A30C12">
        <w:rPr>
          <w:rFonts w:ascii="Arial" w:hAnsi="Arial" w:cs="Arial"/>
          <w:noProof w:val="0"/>
          <w:color w:val="auto"/>
          <w:lang w:val="en-AU"/>
        </w:rPr>
        <w:t>(1), 44-53. doi:doi:10.1056/NEJMoa1705688</w:t>
      </w:r>
    </w:p>
    <w:p w14:paraId="1A7C93F9" w14:textId="77777777" w:rsidR="00EA3CE4" w:rsidRPr="00A30C12" w:rsidRDefault="00EA3CE4" w:rsidP="00542C0D">
      <w:pPr>
        <w:pStyle w:val="EndNoteBibliography"/>
        <w:numPr>
          <w:ilvl w:val="0"/>
          <w:numId w:val="0"/>
        </w:numPr>
        <w:spacing w:before="240" w:after="0"/>
        <w:rPr>
          <w:rFonts w:ascii="Arial" w:hAnsi="Arial" w:cs="Arial"/>
          <w:noProof w:val="0"/>
          <w:color w:val="auto"/>
          <w:lang w:val="en-AU"/>
        </w:rPr>
      </w:pPr>
      <w:r w:rsidRPr="00A30C12">
        <w:rPr>
          <w:rFonts w:ascii="Arial" w:hAnsi="Arial" w:cs="Arial"/>
          <w:noProof w:val="0"/>
          <w:color w:val="auto"/>
          <w:lang w:val="en-AU"/>
        </w:rPr>
        <w:t xml:space="preserve">Lederman, E. R., Davidson, W., Groff, H. L., Smith, S. K., Warkentien, T., Li, Y., . . . Damon, I. K. (2012). Progressive vaccinia: case description and laboratory-guided therapy with vaccinia immune globulin, ST-246, and CMX001. </w:t>
      </w:r>
      <w:r w:rsidRPr="00A30C12">
        <w:rPr>
          <w:rFonts w:ascii="Arial" w:hAnsi="Arial" w:cs="Arial"/>
          <w:i/>
          <w:noProof w:val="0"/>
          <w:color w:val="auto"/>
          <w:lang w:val="en-AU"/>
        </w:rPr>
        <w:t>J Infect Dis, 206</w:t>
      </w:r>
      <w:r w:rsidRPr="00A30C12">
        <w:rPr>
          <w:rFonts w:ascii="Arial" w:hAnsi="Arial" w:cs="Arial"/>
          <w:noProof w:val="0"/>
          <w:color w:val="auto"/>
          <w:lang w:val="en-AU"/>
        </w:rPr>
        <w:t>(9), 1372-1385. doi:10.1093/infdis/jis510</w:t>
      </w:r>
    </w:p>
    <w:p w14:paraId="059E69CC" w14:textId="2E6D6112" w:rsidR="00EA3CE4" w:rsidRPr="00A30C12" w:rsidRDefault="00EA3CE4" w:rsidP="00542C0D">
      <w:pPr>
        <w:pStyle w:val="EndNoteBibliography"/>
        <w:numPr>
          <w:ilvl w:val="0"/>
          <w:numId w:val="0"/>
        </w:numPr>
        <w:spacing w:before="240" w:after="0"/>
        <w:rPr>
          <w:rFonts w:ascii="Arial" w:hAnsi="Arial" w:cs="Arial"/>
          <w:noProof w:val="0"/>
          <w:color w:val="auto"/>
          <w:lang w:val="en-AU"/>
        </w:rPr>
      </w:pPr>
      <w:r w:rsidRPr="00A30C12">
        <w:rPr>
          <w:rFonts w:ascii="Arial" w:hAnsi="Arial" w:cs="Arial"/>
          <w:noProof w:val="0"/>
          <w:color w:val="auto"/>
          <w:lang w:val="en-AU"/>
        </w:rPr>
        <w:t xml:space="preserve">National Clinical Evidence Taskforce. (2022). Australian guidelines for the clinical care of people with MPX - Version 4.1. Retrieved from </w:t>
      </w:r>
      <w:hyperlink r:id="rId26" w:anchor="/guideline/6864" w:history="1">
        <w:r w:rsidRPr="00A30C12">
          <w:rPr>
            <w:rStyle w:val="Hyperlink"/>
            <w:rFonts w:ascii="Arial" w:hAnsi="Arial" w:cs="Arial"/>
            <w:noProof w:val="0"/>
            <w:color w:val="auto"/>
            <w:lang w:val="en-AU"/>
          </w:rPr>
          <w:t>https://app.magicapp.org/#/guideline/6864</w:t>
        </w:r>
      </w:hyperlink>
    </w:p>
    <w:p w14:paraId="17B7486C" w14:textId="672FC38A" w:rsidR="00EA3CE4" w:rsidRPr="00A30C12" w:rsidRDefault="00EA3CE4" w:rsidP="00542C0D">
      <w:pPr>
        <w:pStyle w:val="EndNoteBibliography"/>
        <w:numPr>
          <w:ilvl w:val="0"/>
          <w:numId w:val="0"/>
        </w:numPr>
        <w:spacing w:before="240" w:after="0"/>
        <w:rPr>
          <w:rFonts w:ascii="Arial" w:hAnsi="Arial" w:cs="Arial"/>
          <w:noProof w:val="0"/>
          <w:color w:val="auto"/>
          <w:lang w:val="en-AU"/>
        </w:rPr>
      </w:pPr>
      <w:r w:rsidRPr="00A30C12">
        <w:rPr>
          <w:rFonts w:ascii="Arial" w:hAnsi="Arial" w:cs="Arial"/>
          <w:noProof w:val="0"/>
          <w:color w:val="auto"/>
          <w:lang w:val="en-AU"/>
        </w:rPr>
        <w:t xml:space="preserve">NIAID. (2024). Study of Tecovirimat for Human Mpox Virus (STOMP). Retrieved from </w:t>
      </w:r>
      <w:hyperlink r:id="rId27" w:history="1">
        <w:r w:rsidRPr="00A30C12">
          <w:rPr>
            <w:rStyle w:val="Hyperlink"/>
            <w:rFonts w:ascii="Arial" w:hAnsi="Arial" w:cs="Arial"/>
            <w:noProof w:val="0"/>
            <w:color w:val="auto"/>
            <w:lang w:val="en-AU"/>
          </w:rPr>
          <w:t>https://clinicaltrials.gov/study/NCT05534984</w:t>
        </w:r>
      </w:hyperlink>
    </w:p>
    <w:p w14:paraId="6413E75E" w14:textId="14F797F7" w:rsidR="00EA3CE4" w:rsidRPr="00A30C12" w:rsidRDefault="00EA3CE4" w:rsidP="00542C0D">
      <w:pPr>
        <w:pStyle w:val="EndNoteBibliography"/>
        <w:keepNext/>
        <w:numPr>
          <w:ilvl w:val="0"/>
          <w:numId w:val="0"/>
        </w:numPr>
        <w:spacing w:before="240" w:after="0"/>
        <w:rPr>
          <w:rFonts w:ascii="Arial" w:hAnsi="Arial" w:cs="Arial"/>
          <w:noProof w:val="0"/>
          <w:color w:val="auto"/>
          <w:lang w:val="en-AU"/>
        </w:rPr>
      </w:pPr>
      <w:r w:rsidRPr="00A30C12">
        <w:rPr>
          <w:rFonts w:ascii="Arial" w:hAnsi="Arial" w:cs="Arial"/>
          <w:noProof w:val="0"/>
          <w:color w:val="auto"/>
          <w:lang w:val="en-AU"/>
        </w:rPr>
        <w:t xml:space="preserve">NIH. (2024). The antiviral tecovirimat is safe but did not improve clade I mpox resolution in Democratic Republic of the Congo [Press release]. Retrieved from </w:t>
      </w:r>
      <w:hyperlink r:id="rId28" w:history="1">
        <w:r w:rsidRPr="00A30C12">
          <w:rPr>
            <w:rStyle w:val="Hyperlink"/>
            <w:rFonts w:ascii="Arial" w:hAnsi="Arial" w:cs="Arial"/>
            <w:noProof w:val="0"/>
            <w:color w:val="auto"/>
            <w:lang w:val="en-AU"/>
          </w:rPr>
          <w:t>https://www.nih.gov/news-events/news-releases/antiviral-tecovirimat-safe-did-not-improve-clade-i-mpox-resolution-democratic-republic-congo</w:t>
        </w:r>
      </w:hyperlink>
    </w:p>
    <w:p w14:paraId="6EBFE666" w14:textId="77777777" w:rsidR="00542C0D" w:rsidRDefault="00542C0D" w:rsidP="00542C0D">
      <w:pPr>
        <w:pStyle w:val="EndNoteBibliography"/>
        <w:numPr>
          <w:ilvl w:val="0"/>
          <w:numId w:val="0"/>
        </w:numPr>
        <w:spacing w:before="240" w:after="0"/>
        <w:rPr>
          <w:rFonts w:ascii="Arial" w:hAnsi="Arial" w:cs="Arial"/>
          <w:noProof w:val="0"/>
          <w:color w:val="auto"/>
          <w:lang w:val="en-AU"/>
        </w:rPr>
      </w:pPr>
    </w:p>
    <w:p w14:paraId="251495B7" w14:textId="0E2CFBAD" w:rsidR="00C14F1A" w:rsidRPr="00542C0D" w:rsidRDefault="00EA3CE4" w:rsidP="00542C0D">
      <w:pPr>
        <w:pStyle w:val="EndNoteBibliography"/>
        <w:numPr>
          <w:ilvl w:val="0"/>
          <w:numId w:val="0"/>
        </w:numPr>
        <w:spacing w:before="240" w:after="0"/>
        <w:rPr>
          <w:rFonts w:ascii="Arial" w:hAnsi="Arial" w:cs="Arial"/>
          <w:noProof w:val="0"/>
          <w:color w:val="auto"/>
          <w:u w:val="single"/>
          <w:lang w:val="en-AU"/>
        </w:rPr>
      </w:pPr>
      <w:r w:rsidRPr="00A30C12">
        <w:rPr>
          <w:rFonts w:ascii="Arial" w:hAnsi="Arial" w:cs="Arial"/>
          <w:noProof w:val="0"/>
          <w:color w:val="auto"/>
          <w:lang w:val="en-AU"/>
        </w:rPr>
        <w:t>NIHR. (2022). New clinical trial to test treatment for mpox [Press release]. Retrieved from</w:t>
      </w:r>
      <w:r w:rsidR="00C00BCF" w:rsidRPr="00A30C12">
        <w:rPr>
          <w:rFonts w:ascii="Arial" w:hAnsi="Arial" w:cs="Arial"/>
          <w:noProof w:val="0"/>
          <w:color w:val="auto"/>
          <w:lang w:val="en-AU"/>
        </w:rPr>
        <w:t xml:space="preserve"> </w:t>
      </w:r>
      <w:r w:rsidR="00841A61" w:rsidRPr="00A30C12">
        <w:rPr>
          <w:rStyle w:val="Hyperlink"/>
          <w:rFonts w:ascii="Arial" w:hAnsi="Arial" w:cs="Arial"/>
          <w:noProof w:val="0"/>
          <w:color w:val="auto"/>
          <w:lang w:val="en-AU"/>
        </w:rPr>
        <w:t>https://www.nihr.ac.uk/about-us/news/new-clinical-trial-test-treatment-mpox#:~:text=The%20team%20behind%20the%20world,commissioned%20and%20funded%20the%20study.</w:t>
      </w:r>
    </w:p>
    <w:p w14:paraId="14418E65" w14:textId="12D310BB" w:rsidR="00EA3CE4" w:rsidRPr="00A30C12" w:rsidRDefault="00EA3CE4" w:rsidP="00542C0D">
      <w:pPr>
        <w:pStyle w:val="EndNoteBibliography"/>
        <w:numPr>
          <w:ilvl w:val="0"/>
          <w:numId w:val="0"/>
        </w:numPr>
        <w:spacing w:before="240" w:after="0"/>
        <w:rPr>
          <w:rFonts w:ascii="Arial" w:hAnsi="Arial" w:cs="Arial"/>
          <w:noProof w:val="0"/>
          <w:color w:val="auto"/>
          <w:lang w:val="en-AU"/>
        </w:rPr>
      </w:pPr>
      <w:r w:rsidRPr="00A30C12">
        <w:rPr>
          <w:rFonts w:ascii="Arial" w:hAnsi="Arial" w:cs="Arial"/>
          <w:noProof w:val="0"/>
          <w:color w:val="auto"/>
          <w:lang w:val="en-AU"/>
        </w:rPr>
        <w:t xml:space="preserve">NLM. (2024). Drug label: TPOXX- tecovirimat monohydrate injection, solution, concentrate TPOXX- tecovirimat monohydrate capsule. Retrieved from </w:t>
      </w:r>
      <w:hyperlink r:id="rId29" w:history="1">
        <w:r w:rsidRPr="00A30C12">
          <w:rPr>
            <w:rStyle w:val="Hyperlink"/>
            <w:rFonts w:ascii="Arial" w:hAnsi="Arial" w:cs="Arial"/>
            <w:noProof w:val="0"/>
            <w:color w:val="auto"/>
            <w:lang w:val="en-AU"/>
          </w:rPr>
          <w:t>https://dailymed.nlm.nih.gov/dailymed/drugInfo.cfm?setid=fce826ab-4d6a-4139-a2ee-a304a913a253</w:t>
        </w:r>
      </w:hyperlink>
    </w:p>
    <w:p w14:paraId="55DAD870" w14:textId="46359732" w:rsidR="00EA3CE4" w:rsidRPr="00A30C12" w:rsidRDefault="00EA3CE4" w:rsidP="00542C0D">
      <w:pPr>
        <w:pStyle w:val="EndNoteBibliography"/>
        <w:numPr>
          <w:ilvl w:val="0"/>
          <w:numId w:val="0"/>
        </w:numPr>
        <w:spacing w:before="240" w:after="0"/>
        <w:rPr>
          <w:rFonts w:ascii="Arial" w:hAnsi="Arial" w:cs="Arial"/>
          <w:noProof w:val="0"/>
          <w:color w:val="auto"/>
          <w:lang w:val="en-AU"/>
        </w:rPr>
      </w:pPr>
      <w:r w:rsidRPr="00A30C12">
        <w:rPr>
          <w:rFonts w:ascii="Arial" w:hAnsi="Arial" w:cs="Arial"/>
          <w:noProof w:val="0"/>
          <w:color w:val="auto"/>
          <w:lang w:val="en-AU"/>
        </w:rPr>
        <w:t xml:space="preserve">Russo, A. T., Grosenbach, D. W., Brasel, T. L., Baker, R. O., Cawthon, A. G., Reynolds, E., . . . Hruby, D. E. (2018). Effects of Treatment Delay on Efficacy of Tecovirimat Following Lethal Aerosol Monkeypox Virus Challenge in Cynomolgus Macaques. </w:t>
      </w:r>
      <w:r w:rsidRPr="00A30C12">
        <w:rPr>
          <w:rFonts w:ascii="Arial" w:hAnsi="Arial" w:cs="Arial"/>
          <w:i/>
          <w:noProof w:val="0"/>
          <w:color w:val="auto"/>
          <w:lang w:val="en-AU"/>
        </w:rPr>
        <w:t>J Infect Dis, 218</w:t>
      </w:r>
      <w:r w:rsidRPr="00A30C12">
        <w:rPr>
          <w:rFonts w:ascii="Arial" w:hAnsi="Arial" w:cs="Arial"/>
          <w:noProof w:val="0"/>
          <w:color w:val="auto"/>
          <w:lang w:val="en-AU"/>
        </w:rPr>
        <w:t>(9), 1490-1499. doi:10.1093/</w:t>
      </w:r>
      <w:proofErr w:type="spellStart"/>
      <w:r w:rsidRPr="00A30C12">
        <w:rPr>
          <w:rFonts w:ascii="Arial" w:hAnsi="Arial" w:cs="Arial"/>
          <w:noProof w:val="0"/>
          <w:color w:val="auto"/>
          <w:lang w:val="en-AU"/>
        </w:rPr>
        <w:t>infdis</w:t>
      </w:r>
      <w:proofErr w:type="spellEnd"/>
      <w:r w:rsidRPr="00A30C12">
        <w:rPr>
          <w:rFonts w:ascii="Arial" w:hAnsi="Arial" w:cs="Arial"/>
          <w:noProof w:val="0"/>
          <w:color w:val="auto"/>
          <w:lang w:val="en-AU"/>
        </w:rPr>
        <w:t>/jiy326</w:t>
      </w:r>
    </w:p>
    <w:p w14:paraId="7EEE8B2F" w14:textId="10F63B06" w:rsidR="00EA3CE4" w:rsidRPr="00A30C12" w:rsidRDefault="00EA3CE4" w:rsidP="00542C0D">
      <w:pPr>
        <w:pStyle w:val="EndNoteBibliography"/>
        <w:numPr>
          <w:ilvl w:val="0"/>
          <w:numId w:val="0"/>
        </w:numPr>
        <w:spacing w:before="240" w:after="0"/>
        <w:rPr>
          <w:rFonts w:ascii="Arial" w:hAnsi="Arial" w:cs="Arial"/>
          <w:noProof w:val="0"/>
          <w:color w:val="auto"/>
          <w:lang w:val="en-AU"/>
        </w:rPr>
      </w:pPr>
      <w:r w:rsidRPr="00A30C12">
        <w:rPr>
          <w:rFonts w:ascii="Arial" w:hAnsi="Arial" w:cs="Arial"/>
          <w:noProof w:val="0"/>
          <w:color w:val="auto"/>
          <w:lang w:val="en-AU"/>
        </w:rPr>
        <w:t xml:space="preserve">Russo, A. T., Grosenbach, D. W., Chinsangaram, J., Honeychurch, K. M., Long, P. G., Lovejoy, C., . . . Hruby, D. E. (2021). An overview of tecovirimat for smallpox treatment and expanded anti-orthopoxvirus applications. </w:t>
      </w:r>
      <w:r w:rsidRPr="00A30C12">
        <w:rPr>
          <w:rFonts w:ascii="Arial" w:hAnsi="Arial" w:cs="Arial"/>
          <w:i/>
          <w:noProof w:val="0"/>
          <w:color w:val="auto"/>
          <w:lang w:val="en-AU"/>
        </w:rPr>
        <w:t>Expert Rev Anti Infect Ther, 19</w:t>
      </w:r>
      <w:r w:rsidRPr="00A30C12">
        <w:rPr>
          <w:rFonts w:ascii="Arial" w:hAnsi="Arial" w:cs="Arial"/>
          <w:noProof w:val="0"/>
          <w:color w:val="auto"/>
          <w:lang w:val="en-AU"/>
        </w:rPr>
        <w:t>(3), 331-344. doi:10.1080/14787210.2020.1819791</w:t>
      </w:r>
    </w:p>
    <w:p w14:paraId="649586DA" w14:textId="51431132" w:rsidR="00EA3CE4" w:rsidRPr="00A30C12" w:rsidRDefault="00EA3CE4" w:rsidP="00542C0D">
      <w:pPr>
        <w:pStyle w:val="EndNoteBibliography"/>
        <w:numPr>
          <w:ilvl w:val="0"/>
          <w:numId w:val="0"/>
        </w:numPr>
        <w:spacing w:before="240" w:after="0"/>
        <w:rPr>
          <w:rFonts w:ascii="Arial" w:hAnsi="Arial" w:cs="Arial"/>
          <w:noProof w:val="0"/>
          <w:color w:val="auto"/>
          <w:lang w:val="en-AU"/>
        </w:rPr>
      </w:pPr>
      <w:r w:rsidRPr="00A30C12">
        <w:rPr>
          <w:rFonts w:ascii="Arial" w:hAnsi="Arial" w:cs="Arial"/>
          <w:noProof w:val="0"/>
          <w:color w:val="auto"/>
          <w:lang w:val="en-AU"/>
        </w:rPr>
        <w:t xml:space="preserve">SIGA. (2024). Topline Results from PALM 007 Study of SIGA’s Tecovirimat in Treatment of Mpox Released [Press release]. Retrieved from </w:t>
      </w:r>
      <w:hyperlink r:id="rId30" w:history="1">
        <w:r w:rsidRPr="00A30C12">
          <w:rPr>
            <w:rStyle w:val="Hyperlink"/>
            <w:rFonts w:ascii="Arial" w:hAnsi="Arial" w:cs="Arial"/>
            <w:noProof w:val="0"/>
            <w:color w:val="auto"/>
            <w:lang w:val="en-AU"/>
          </w:rPr>
          <w:t>https://s204.q4cdn.com/957130458/files/doc_news/2024/08/08-15-2024_SIGA_PALM-007-Press-Release_FINAL-FINAL.pdf</w:t>
        </w:r>
      </w:hyperlink>
    </w:p>
    <w:p w14:paraId="576350A1" w14:textId="77777777" w:rsidR="00EA3CE4" w:rsidRPr="00A30C12" w:rsidRDefault="00EA3CE4" w:rsidP="00542C0D">
      <w:pPr>
        <w:pStyle w:val="EndNoteBibliography"/>
        <w:numPr>
          <w:ilvl w:val="0"/>
          <w:numId w:val="0"/>
        </w:numPr>
        <w:spacing w:before="240" w:after="0"/>
        <w:rPr>
          <w:rFonts w:ascii="Arial" w:hAnsi="Arial" w:cs="Arial"/>
          <w:noProof w:val="0"/>
          <w:color w:val="auto"/>
          <w:lang w:val="en-AU"/>
        </w:rPr>
      </w:pPr>
      <w:r w:rsidRPr="00A30C12">
        <w:rPr>
          <w:rFonts w:ascii="Arial" w:hAnsi="Arial" w:cs="Arial"/>
          <w:noProof w:val="0"/>
          <w:color w:val="auto"/>
          <w:lang w:val="en-AU"/>
        </w:rPr>
        <w:t xml:space="preserve">Stittelaar, K. J., Neyts, J., Naesens, L., van Amerongen, G., van Lavieren, R. F., Holý, A., . . . Osterhaus, A. D. M. E. (2006). Antiviral treatment is more effective than smallpox vaccination upon lethal monkeypox virus infection. </w:t>
      </w:r>
      <w:r w:rsidRPr="00A30C12">
        <w:rPr>
          <w:rFonts w:ascii="Arial" w:hAnsi="Arial" w:cs="Arial"/>
          <w:i/>
          <w:noProof w:val="0"/>
          <w:color w:val="auto"/>
          <w:lang w:val="en-AU"/>
        </w:rPr>
        <w:t>Nature, 439</w:t>
      </w:r>
      <w:r w:rsidRPr="00A30C12">
        <w:rPr>
          <w:rFonts w:ascii="Arial" w:hAnsi="Arial" w:cs="Arial"/>
          <w:noProof w:val="0"/>
          <w:color w:val="auto"/>
          <w:lang w:val="en-AU"/>
        </w:rPr>
        <w:t>(7077), 745-748. doi:10.1038/nature04295</w:t>
      </w:r>
    </w:p>
    <w:p w14:paraId="16C1A6C1" w14:textId="77777777" w:rsidR="00EA3CE4" w:rsidRPr="00A30C12" w:rsidRDefault="00EA3CE4" w:rsidP="00542C0D">
      <w:pPr>
        <w:pStyle w:val="EndNoteBibliography"/>
        <w:numPr>
          <w:ilvl w:val="0"/>
          <w:numId w:val="0"/>
        </w:numPr>
        <w:spacing w:before="240" w:after="0"/>
        <w:rPr>
          <w:rFonts w:ascii="Arial" w:hAnsi="Arial" w:cs="Arial"/>
          <w:noProof w:val="0"/>
          <w:color w:val="auto"/>
          <w:lang w:val="en-AU"/>
        </w:rPr>
      </w:pPr>
      <w:r w:rsidRPr="00A30C12">
        <w:rPr>
          <w:rFonts w:ascii="Arial" w:hAnsi="Arial" w:cs="Arial"/>
          <w:noProof w:val="0"/>
          <w:color w:val="auto"/>
          <w:lang w:val="en-AU"/>
        </w:rPr>
        <w:t xml:space="preserve">Telford, E., Grinsztejn, B., Olsen, I. C., Pulik, N., Mentré, F., Haviari, S., . . . Calmy, A. (2023). The international Unity study for antivirals against mpox is a blueprint for future epidemics. </w:t>
      </w:r>
      <w:r w:rsidRPr="00A30C12">
        <w:rPr>
          <w:rFonts w:ascii="Arial" w:hAnsi="Arial" w:cs="Arial"/>
          <w:i/>
          <w:noProof w:val="0"/>
          <w:color w:val="auto"/>
          <w:lang w:val="en-AU"/>
        </w:rPr>
        <w:t>Nature Medicine, 29</w:t>
      </w:r>
      <w:r w:rsidRPr="00A30C12">
        <w:rPr>
          <w:rFonts w:ascii="Arial" w:hAnsi="Arial" w:cs="Arial"/>
          <w:noProof w:val="0"/>
          <w:color w:val="auto"/>
          <w:lang w:val="en-AU"/>
        </w:rPr>
        <w:t>(8), 1894-1895. doi:10.1038/s41591-023-02393-6</w:t>
      </w:r>
    </w:p>
    <w:p w14:paraId="59A5E6CC" w14:textId="77777777" w:rsidR="00EA3CE4" w:rsidRPr="00A30C12" w:rsidRDefault="00EA3CE4" w:rsidP="00542C0D">
      <w:pPr>
        <w:pStyle w:val="EndNoteBibliography"/>
        <w:numPr>
          <w:ilvl w:val="0"/>
          <w:numId w:val="0"/>
        </w:numPr>
        <w:spacing w:before="240" w:after="0"/>
        <w:rPr>
          <w:rFonts w:ascii="Arial" w:hAnsi="Arial" w:cs="Arial"/>
          <w:noProof w:val="0"/>
          <w:color w:val="auto"/>
          <w:lang w:val="en-AU"/>
        </w:rPr>
      </w:pPr>
      <w:r w:rsidRPr="00A30C12">
        <w:rPr>
          <w:rFonts w:ascii="Arial" w:hAnsi="Arial" w:cs="Arial"/>
          <w:noProof w:val="0"/>
          <w:color w:val="auto"/>
          <w:lang w:val="en-AU"/>
        </w:rPr>
        <w:t xml:space="preserve">TGA. (2019). </w:t>
      </w:r>
      <w:r w:rsidRPr="00A30C12">
        <w:rPr>
          <w:rFonts w:ascii="Arial" w:hAnsi="Arial" w:cs="Arial"/>
          <w:i/>
          <w:noProof w:val="0"/>
          <w:color w:val="auto"/>
          <w:lang w:val="en-AU"/>
        </w:rPr>
        <w:t>Australian Product Information - Empovir (Cidofovir) - Concentrated solution for injection</w:t>
      </w:r>
      <w:r w:rsidRPr="00A30C12">
        <w:rPr>
          <w:rFonts w:ascii="Arial" w:hAnsi="Arial" w:cs="Arial"/>
          <w:noProof w:val="0"/>
          <w:color w:val="auto"/>
          <w:lang w:val="en-AU"/>
        </w:rPr>
        <w:t xml:space="preserve">. Canberra, ACT. Retrieved from </w:t>
      </w:r>
      <w:hyperlink r:id="rId31" w:history="1">
        <w:r w:rsidRPr="00A30C12">
          <w:rPr>
            <w:rStyle w:val="Hyperlink"/>
            <w:rFonts w:ascii="Arial" w:hAnsi="Arial" w:cs="Arial"/>
            <w:noProof w:val="0"/>
            <w:color w:val="auto"/>
            <w:lang w:val="en-AU"/>
          </w:rPr>
          <w:t>https://www.ebs.tga.gov.au/ebs/picmi/picmirepository.nsf/pdf?OpenAgent&amp;id=CP-2018-PI-01541-1&amp;d=20220601172310101&amp;d=20240911172310101</w:t>
        </w:r>
      </w:hyperlink>
    </w:p>
    <w:p w14:paraId="66ABD122" w14:textId="77777777" w:rsidR="00EA3CE4" w:rsidRPr="00A30C12" w:rsidRDefault="00EA3CE4" w:rsidP="00542C0D">
      <w:pPr>
        <w:pStyle w:val="EndNoteBibliography"/>
        <w:numPr>
          <w:ilvl w:val="0"/>
          <w:numId w:val="0"/>
        </w:numPr>
        <w:spacing w:before="240" w:after="0"/>
        <w:rPr>
          <w:rFonts w:ascii="Arial" w:hAnsi="Arial" w:cs="Arial"/>
          <w:noProof w:val="0"/>
          <w:color w:val="auto"/>
          <w:lang w:val="en-AU"/>
        </w:rPr>
      </w:pPr>
      <w:r w:rsidRPr="00A30C12">
        <w:rPr>
          <w:rFonts w:ascii="Arial" w:hAnsi="Arial" w:cs="Arial"/>
          <w:noProof w:val="0"/>
          <w:color w:val="auto"/>
          <w:lang w:val="en-AU"/>
        </w:rPr>
        <w:t xml:space="preserve">WHO. (2023). Multi-country outbreak of mpox, External situation report#31 – 22 December 2023. Retrieved from </w:t>
      </w:r>
      <w:hyperlink r:id="rId32" w:history="1">
        <w:r w:rsidRPr="00A30C12">
          <w:rPr>
            <w:rStyle w:val="Hyperlink"/>
            <w:rFonts w:ascii="Arial" w:hAnsi="Arial" w:cs="Arial"/>
            <w:noProof w:val="0"/>
            <w:color w:val="auto"/>
            <w:lang w:val="en-AU"/>
          </w:rPr>
          <w:t>https://www.who.int/publications/m/item/multi-country-outbreak-of-mpox--external-situation-report-31---22-december-2023</w:t>
        </w:r>
      </w:hyperlink>
    </w:p>
    <w:p w14:paraId="02F5073B" w14:textId="77777777" w:rsidR="00EA3CE4" w:rsidRPr="00A30C12" w:rsidRDefault="00EA3CE4" w:rsidP="00542C0D">
      <w:pPr>
        <w:pStyle w:val="EndNoteBibliography"/>
        <w:numPr>
          <w:ilvl w:val="0"/>
          <w:numId w:val="0"/>
        </w:numPr>
        <w:spacing w:before="240"/>
        <w:rPr>
          <w:rFonts w:ascii="Arial" w:hAnsi="Arial" w:cs="Arial"/>
          <w:noProof w:val="0"/>
          <w:color w:val="auto"/>
          <w:lang w:val="en-AU"/>
        </w:rPr>
      </w:pPr>
      <w:r w:rsidRPr="00A30C12">
        <w:rPr>
          <w:rFonts w:ascii="Arial" w:hAnsi="Arial" w:cs="Arial"/>
          <w:noProof w:val="0"/>
          <w:color w:val="auto"/>
          <w:lang w:val="en-AU"/>
        </w:rPr>
        <w:t xml:space="preserve">Zerbini, F. M., Siddell, S. G., Mushegian, A. R., Walker, P. J., Lefkowitz, E. J., Adriaenssens, E. M., . . . Varsani, A. (2022). Differentiating between viruses and virus species by writing their names correctly. </w:t>
      </w:r>
      <w:r w:rsidRPr="00A30C12">
        <w:rPr>
          <w:rFonts w:ascii="Arial" w:hAnsi="Arial" w:cs="Arial"/>
          <w:i/>
          <w:noProof w:val="0"/>
          <w:color w:val="auto"/>
          <w:lang w:val="en-AU"/>
        </w:rPr>
        <w:t>Arch Virol, 167</w:t>
      </w:r>
      <w:r w:rsidRPr="00A30C12">
        <w:rPr>
          <w:rFonts w:ascii="Arial" w:hAnsi="Arial" w:cs="Arial"/>
          <w:noProof w:val="0"/>
          <w:color w:val="auto"/>
          <w:lang w:val="en-AU"/>
        </w:rPr>
        <w:t>(4), 1231-1234. doi:10.1007/s00705-021-05323-4</w:t>
      </w:r>
    </w:p>
    <w:p w14:paraId="44130F6A" w14:textId="302D08B6" w:rsidR="0051242B" w:rsidRPr="00542C0D" w:rsidRDefault="00EA3CE4" w:rsidP="00934368">
      <w:pPr>
        <w:rPr>
          <w:rFonts w:cs="Arial"/>
          <w:color w:val="auto"/>
        </w:rPr>
      </w:pPr>
      <w:r w:rsidRPr="00A30C12">
        <w:rPr>
          <w:rFonts w:cs="Arial"/>
          <w:color w:val="auto"/>
        </w:rPr>
        <w:fldChar w:fldCharType="end"/>
      </w:r>
    </w:p>
    <w:sectPr w:rsidR="0051242B" w:rsidRPr="00542C0D" w:rsidSect="00A74345">
      <w:headerReference w:type="default" r:id="rId33"/>
      <w:footerReference w:type="default" r:id="rId34"/>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90AA6A" w14:textId="77777777" w:rsidR="004051E5" w:rsidRDefault="004051E5" w:rsidP="00934368">
      <w:r>
        <w:separator/>
      </w:r>
    </w:p>
    <w:p w14:paraId="6AE64AA5" w14:textId="77777777" w:rsidR="004051E5" w:rsidRDefault="004051E5" w:rsidP="00934368"/>
  </w:endnote>
  <w:endnote w:type="continuationSeparator" w:id="0">
    <w:p w14:paraId="37B30D32" w14:textId="77777777" w:rsidR="004051E5" w:rsidRDefault="004051E5" w:rsidP="00934368">
      <w:r>
        <w:continuationSeparator/>
      </w:r>
    </w:p>
    <w:p w14:paraId="6B0E0F6D" w14:textId="77777777" w:rsidR="004051E5" w:rsidRDefault="004051E5" w:rsidP="00934368"/>
  </w:endnote>
  <w:endnote w:type="continuationNotice" w:id="1">
    <w:p w14:paraId="6F65F407" w14:textId="77777777" w:rsidR="004051E5" w:rsidRDefault="004051E5" w:rsidP="0093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CED5A" w14:textId="7A391991" w:rsidR="00751A23" w:rsidRPr="00751A23" w:rsidRDefault="009F4231" w:rsidP="00934368">
    <w:pPr>
      <w:pStyle w:val="Footer"/>
    </w:pPr>
    <w:r>
      <w:t>I</w:t>
    </w:r>
    <w:r w:rsidRPr="009F4231">
      <w:t xml:space="preserve">nterim Australian Centre for Disease Control </w:t>
    </w:r>
    <w:sdt>
      <w:sdtPr>
        <w:id w:val="-443848716"/>
        <w:docPartObj>
          <w:docPartGallery w:val="Page Numbers (Bottom of Page)"/>
          <w:docPartUnique/>
        </w:docPartObj>
      </w:sdtPr>
      <w:sdtEndPr>
        <w:rPr>
          <w:noProof/>
        </w:rPr>
      </w:sdtEndPr>
      <w:sdtContent>
        <w:r w:rsidR="00751A23">
          <w:tab/>
        </w:r>
        <w:r w:rsidR="00751A23" w:rsidRPr="006043C7">
          <w:fldChar w:fldCharType="begin"/>
        </w:r>
        <w:r w:rsidR="00751A23" w:rsidRPr="006043C7">
          <w:instrText xml:space="preserve"> PAGE   \* MERGEFORMAT </w:instrText>
        </w:r>
        <w:r w:rsidR="00751A23" w:rsidRPr="006043C7">
          <w:fldChar w:fldCharType="separate"/>
        </w:r>
        <w:r w:rsidR="007B3D03">
          <w:rPr>
            <w:noProof/>
          </w:rPr>
          <w:t>2</w:t>
        </w:r>
        <w:r w:rsidR="00751A23" w:rsidRPr="006043C7">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CEDD1E" w14:textId="77777777" w:rsidR="004051E5" w:rsidRDefault="004051E5" w:rsidP="00934368">
      <w:r>
        <w:separator/>
      </w:r>
    </w:p>
    <w:p w14:paraId="55058830" w14:textId="77777777" w:rsidR="004051E5" w:rsidRDefault="004051E5" w:rsidP="00934368"/>
  </w:footnote>
  <w:footnote w:type="continuationSeparator" w:id="0">
    <w:p w14:paraId="38E11D8E" w14:textId="77777777" w:rsidR="004051E5" w:rsidRDefault="004051E5" w:rsidP="00934368">
      <w:r>
        <w:continuationSeparator/>
      </w:r>
    </w:p>
    <w:p w14:paraId="2F37AF72" w14:textId="77777777" w:rsidR="004051E5" w:rsidRDefault="004051E5" w:rsidP="00934368"/>
  </w:footnote>
  <w:footnote w:type="continuationNotice" w:id="1">
    <w:p w14:paraId="261C8C22" w14:textId="77777777" w:rsidR="004051E5" w:rsidRDefault="004051E5" w:rsidP="00934368"/>
  </w:footnote>
  <w:footnote w:id="2">
    <w:p w14:paraId="507AE6D9" w14:textId="77777777" w:rsidR="00EA3CE4" w:rsidRPr="00EA3CE4" w:rsidRDefault="00EA3CE4" w:rsidP="00EA3CE4">
      <w:pPr>
        <w:pStyle w:val="FootnoteText"/>
        <w:rPr>
          <w:color w:val="033636" w:themeColor="text1"/>
          <w:sz w:val="18"/>
          <w:szCs w:val="18"/>
        </w:rPr>
      </w:pPr>
      <w:r w:rsidRPr="00EA3CE4">
        <w:rPr>
          <w:rStyle w:val="FootnoteReference"/>
          <w:color w:val="033636" w:themeColor="text1"/>
          <w:sz w:val="18"/>
          <w:szCs w:val="18"/>
        </w:rPr>
        <w:footnoteRef/>
      </w:r>
      <w:r w:rsidRPr="00EA3CE4">
        <w:rPr>
          <w:color w:val="033636" w:themeColor="text1"/>
          <w:sz w:val="18"/>
          <w:szCs w:val="18"/>
        </w:rPr>
        <w:t xml:space="preserve"> Guidance for managing patients infected with MPXV clade Ib will be added to this guideline as new information becomes available.</w:t>
      </w:r>
    </w:p>
  </w:footnote>
  <w:footnote w:id="3">
    <w:p w14:paraId="15F6FCB5" w14:textId="77777777" w:rsidR="00EA3CE4" w:rsidRDefault="00EA3CE4" w:rsidP="00EA3CE4">
      <w:pPr>
        <w:pStyle w:val="FootnoteText"/>
      </w:pPr>
      <w:r w:rsidRPr="00EA3CE4">
        <w:rPr>
          <w:rStyle w:val="FootnoteReference"/>
          <w:color w:val="033636" w:themeColor="text1"/>
          <w:sz w:val="18"/>
          <w:szCs w:val="18"/>
        </w:rPr>
        <w:footnoteRef/>
      </w:r>
      <w:r w:rsidRPr="00EA3CE4">
        <w:rPr>
          <w:color w:val="033636" w:themeColor="text1"/>
          <w:sz w:val="18"/>
          <w:szCs w:val="18"/>
        </w:rPr>
        <w:t xml:space="preserve"> For hospitalised patients, end to end patient management should be coordinated by a hospital incident management team. Biocontainment in a single room may be sufficient in uncomplicated cases. If aerosol generating procedures are undertaken, a single room with negative pressure may be required. A positive pressure room should not be used.</w:t>
      </w:r>
    </w:p>
  </w:footnote>
  <w:footnote w:id="4">
    <w:p w14:paraId="01CADAF0" w14:textId="77777777" w:rsidR="00EA3CE4" w:rsidRDefault="00EA3CE4" w:rsidP="00EA3CE4">
      <w:pPr>
        <w:pStyle w:val="FootnoteText"/>
      </w:pPr>
      <w:r w:rsidRPr="00EA3CE4">
        <w:rPr>
          <w:rStyle w:val="FootnoteReference"/>
          <w:color w:val="033636" w:themeColor="text1"/>
          <w:sz w:val="18"/>
          <w:szCs w:val="18"/>
        </w:rPr>
        <w:footnoteRef/>
      </w:r>
      <w:r w:rsidRPr="00EA3CE4">
        <w:rPr>
          <w:color w:val="033636" w:themeColor="text1"/>
          <w:sz w:val="18"/>
          <w:szCs w:val="18"/>
        </w:rPr>
        <w:t xml:space="preserve"> Mpox is caused by viruses (e.g., monkeypox viruses) in the species </w:t>
      </w:r>
      <w:r w:rsidRPr="00EA3CE4">
        <w:rPr>
          <w:i/>
          <w:iCs/>
          <w:color w:val="033636" w:themeColor="text1"/>
          <w:sz w:val="18"/>
          <w:szCs w:val="18"/>
        </w:rPr>
        <w:t>Orthopoxvirus monkeypox</w:t>
      </w:r>
      <w:r w:rsidRPr="00EA3CE4">
        <w:rPr>
          <w:color w:val="033636" w:themeColor="text1"/>
          <w:sz w:val="18"/>
          <w:szCs w:val="18"/>
        </w:rPr>
        <w:t xml:space="preserve"> (2023 Release, MSL #39) within the genus </w:t>
      </w:r>
      <w:r w:rsidRPr="00EA3CE4">
        <w:rPr>
          <w:i/>
          <w:iCs/>
          <w:color w:val="033636" w:themeColor="text1"/>
          <w:sz w:val="18"/>
          <w:szCs w:val="18"/>
        </w:rPr>
        <w:t>Orthopoxvirus</w:t>
      </w:r>
      <w:r w:rsidRPr="00EA3CE4">
        <w:rPr>
          <w:color w:val="033636" w:themeColor="text1"/>
          <w:sz w:val="18"/>
          <w:szCs w:val="18"/>
        </w:rPr>
        <w:t xml:space="preserve">. Taxonomical constructs follow the traditional binomial approach with genus and species epithets italicised. Virus names are not italicised </w:t>
      </w:r>
      <w:r w:rsidRPr="00EA3CE4">
        <w:rPr>
          <w:color w:val="033636" w:themeColor="text1"/>
          <w:sz w:val="18"/>
          <w:szCs w:val="18"/>
        </w:rPr>
        <w:fldChar w:fldCharType="begin">
          <w:fldData xml:space="preserve">PEVuZE5vdGU+PENpdGU+PEF1dGhvcj5aZXJiaW5pPC9BdXRob3I+PFllYXI+MjAyMjwvWWVhcj48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</w:fldData>
        </w:fldChar>
      </w:r>
      <w:r w:rsidRPr="00EA3CE4">
        <w:rPr>
          <w:color w:val="033636" w:themeColor="text1"/>
          <w:sz w:val="18"/>
          <w:szCs w:val="18"/>
        </w:rPr>
        <w:instrText xml:space="preserve"> ADDIN EN.CITE </w:instrText>
      </w:r>
      <w:r w:rsidRPr="00EA3CE4">
        <w:rPr>
          <w:color w:val="033636" w:themeColor="text1"/>
          <w:sz w:val="18"/>
          <w:szCs w:val="18"/>
        </w:rPr>
        <w:fldChar w:fldCharType="begin">
          <w:fldData xml:space="preserve">PEVuZE5vdGU+PENpdGU+PEF1dGhvcj5aZXJiaW5pPC9BdXRob3I+PFllYXI+MjAyMjwvWWVhcj48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</w:fldData>
        </w:fldChar>
      </w:r>
      <w:r w:rsidRPr="00EA3CE4">
        <w:rPr>
          <w:color w:val="033636" w:themeColor="text1"/>
          <w:sz w:val="18"/>
          <w:szCs w:val="18"/>
        </w:rPr>
        <w:instrText xml:space="preserve"> ADDIN EN.CITE.DATA </w:instrText>
      </w:r>
      <w:r w:rsidRPr="00EA3CE4">
        <w:rPr>
          <w:color w:val="033636" w:themeColor="text1"/>
          <w:sz w:val="18"/>
          <w:szCs w:val="18"/>
        </w:rPr>
      </w:r>
      <w:r w:rsidRPr="00EA3CE4">
        <w:rPr>
          <w:color w:val="033636" w:themeColor="text1"/>
          <w:sz w:val="18"/>
          <w:szCs w:val="18"/>
        </w:rPr>
        <w:fldChar w:fldCharType="end"/>
      </w:r>
      <w:r w:rsidRPr="00EA3CE4">
        <w:rPr>
          <w:color w:val="033636" w:themeColor="text1"/>
          <w:sz w:val="18"/>
          <w:szCs w:val="18"/>
        </w:rPr>
      </w:r>
      <w:r w:rsidRPr="00EA3CE4">
        <w:rPr>
          <w:color w:val="033636" w:themeColor="text1"/>
          <w:sz w:val="18"/>
          <w:szCs w:val="18"/>
        </w:rPr>
        <w:fldChar w:fldCharType="separate"/>
      </w:r>
      <w:r w:rsidRPr="00EA3CE4">
        <w:rPr>
          <w:noProof/>
          <w:color w:val="033636" w:themeColor="text1"/>
          <w:sz w:val="18"/>
          <w:szCs w:val="18"/>
        </w:rPr>
        <w:t>(Zerbini et al., 2022)</w:t>
      </w:r>
      <w:r w:rsidRPr="00EA3CE4">
        <w:rPr>
          <w:color w:val="033636" w:themeColor="text1"/>
          <w:sz w:val="18"/>
          <w:szCs w:val="18"/>
        </w:rPr>
        <w:fldChar w:fldCharType="end"/>
      </w:r>
      <w:r w:rsidRPr="00EA3CE4">
        <w:rPr>
          <w:color w:val="033636" w:themeColor="text1"/>
          <w:sz w:val="18"/>
          <w:szCs w:val="18"/>
        </w:rPr>
        <w:t xml:space="preserve">. </w:t>
      </w:r>
    </w:p>
  </w:footnote>
  <w:footnote w:id="5">
    <w:p w14:paraId="722C5C1D" w14:textId="36D6445F" w:rsidR="00EA3CE4" w:rsidRPr="00EA3CE4" w:rsidRDefault="00EA3CE4" w:rsidP="00EA3CE4">
      <w:pPr>
        <w:pStyle w:val="FootnoteText"/>
        <w:rPr>
          <w:color w:val="033636" w:themeColor="text1"/>
          <w:sz w:val="18"/>
          <w:szCs w:val="18"/>
        </w:rPr>
      </w:pPr>
      <w:r w:rsidRPr="00EA3CE4">
        <w:rPr>
          <w:rStyle w:val="FootnoteReference"/>
          <w:color w:val="033636" w:themeColor="text1"/>
          <w:sz w:val="18"/>
          <w:szCs w:val="18"/>
        </w:rPr>
        <w:footnoteRef/>
      </w:r>
      <w:r w:rsidRPr="00EA3CE4">
        <w:rPr>
          <w:color w:val="033636" w:themeColor="text1"/>
          <w:sz w:val="18"/>
          <w:szCs w:val="18"/>
        </w:rPr>
        <w:t xml:space="preserve"> If the outbreak becomes prolonged, clinical management and treatment initiation by primary care medical practitioners (GPs) may become routine.</w:t>
      </w:r>
    </w:p>
  </w:footnote>
  <w:footnote w:id="6">
    <w:p w14:paraId="2AD6B0A9" w14:textId="77777777" w:rsidR="00EA3CE4" w:rsidRPr="00EA3CE4" w:rsidRDefault="00EA3CE4" w:rsidP="00EA3CE4">
      <w:pPr>
        <w:pStyle w:val="FootnoteText"/>
        <w:rPr>
          <w:color w:val="033636" w:themeColor="text1"/>
        </w:rPr>
      </w:pPr>
      <w:r w:rsidRPr="00EA3CE4">
        <w:rPr>
          <w:rStyle w:val="FootnoteReference"/>
          <w:color w:val="033636" w:themeColor="text1"/>
          <w:sz w:val="18"/>
          <w:szCs w:val="18"/>
        </w:rPr>
        <w:footnoteRef/>
      </w:r>
      <w:r w:rsidRPr="00EA3CE4">
        <w:rPr>
          <w:color w:val="033636" w:themeColor="text1"/>
          <w:sz w:val="18"/>
          <w:szCs w:val="18"/>
        </w:rPr>
        <w:t xml:space="preserve"> End to end patient management should be coordinated by a hospital incident management team. </w:t>
      </w:r>
    </w:p>
  </w:footnote>
  <w:footnote w:id="7">
    <w:p w14:paraId="113D3E89" w14:textId="77777777" w:rsidR="00EA3CE4" w:rsidRDefault="00EA3CE4" w:rsidP="00EA3CE4">
      <w:pPr>
        <w:pStyle w:val="FootnoteText"/>
      </w:pPr>
      <w:r w:rsidRPr="00EA3CE4">
        <w:rPr>
          <w:rStyle w:val="FootnoteReference"/>
          <w:color w:val="033636" w:themeColor="text1"/>
          <w:sz w:val="18"/>
          <w:szCs w:val="18"/>
        </w:rPr>
        <w:footnoteRef/>
      </w:r>
      <w:r w:rsidRPr="00EA3CE4">
        <w:rPr>
          <w:color w:val="033636" w:themeColor="text1"/>
          <w:sz w:val="18"/>
          <w:szCs w:val="18"/>
        </w:rPr>
        <w:t xml:space="preserve"> The Therapeutic Goods Administration has granted an emergency exemption for the medicine Tecovirimat for use in Australia against mpox.</w:t>
      </w:r>
    </w:p>
  </w:footnote>
  <w:footnote w:id="8">
    <w:p w14:paraId="694984E2" w14:textId="77777777" w:rsidR="00EA3CE4" w:rsidRDefault="00EA3CE4" w:rsidP="00EA3CE4">
      <w:pPr>
        <w:pStyle w:val="FootnoteText"/>
      </w:pPr>
      <w:r w:rsidRPr="00EA3CE4">
        <w:rPr>
          <w:rStyle w:val="FootnoteReference"/>
          <w:color w:val="033636" w:themeColor="text1"/>
          <w:sz w:val="18"/>
          <w:szCs w:val="18"/>
        </w:rPr>
        <w:footnoteRef/>
      </w:r>
      <w:r w:rsidRPr="00EA3CE4">
        <w:rPr>
          <w:color w:val="033636" w:themeColor="text1"/>
          <w:sz w:val="18"/>
          <w:szCs w:val="18"/>
        </w:rPr>
        <w:t xml:space="preserve"> This threshold of 200 cells/</w:t>
      </w:r>
      <w:r w:rsidRPr="00EA3CE4">
        <w:rPr>
          <w:rFonts w:eastAsiaTheme="minorEastAsia"/>
          <w:color w:val="033636" w:themeColor="text1"/>
          <w:sz w:val="18"/>
          <w:szCs w:val="18"/>
        </w:rPr>
        <w:t>µ</w:t>
      </w:r>
      <w:r w:rsidRPr="00EA3CE4">
        <w:rPr>
          <w:color w:val="033636" w:themeColor="text1"/>
          <w:sz w:val="18"/>
          <w:szCs w:val="18"/>
        </w:rPr>
        <w:t>L represents a live vaccine cut-off between a moderate and severe definition of immunocompromise in a setting of HIV infection. This threshold will also balance antiviral supply.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0F864" w14:textId="77777777" w:rsidR="00751A23" w:rsidRDefault="00751A23" w:rsidP="00934368">
    <w:pPr>
      <w:pStyle w:val="Header"/>
    </w:pPr>
    <w:r>
      <w:rPr>
        <w:noProof/>
        <w:lang w:eastAsia="en-AU"/>
      </w:rPr>
      <w:drawing>
        <wp:anchor distT="0" distB="0" distL="114300" distR="114300" simplePos="0" relativeHeight="251658240" behindDoc="1" locked="1" layoutInCell="1" allowOverlap="1" wp14:anchorId="47856759" wp14:editId="53FE9D39">
          <wp:simplePos x="0" y="0"/>
          <wp:positionH relativeFrom="page">
            <wp:posOffset>0</wp:posOffset>
          </wp:positionH>
          <wp:positionV relativeFrom="page">
            <wp:align>top</wp:align>
          </wp:positionV>
          <wp:extent cx="7559040" cy="1068451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245" cy="1068457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43EDF" w14:textId="77777777" w:rsidR="008E0C77" w:rsidRDefault="008E0C77" w:rsidP="00934368">
    <w:pPr>
      <w:pStyle w:val="Header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B1E62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A42AD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F527F8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B60926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43A2D3E"/>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4F249D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271BE3"/>
    <w:multiLevelType w:val="hybridMultilevel"/>
    <w:tmpl w:val="FFFFFFFF"/>
    <w:lvl w:ilvl="0" w:tplc="F348B560">
      <w:start w:val="1"/>
      <w:numFmt w:val="bullet"/>
      <w:lvlText w:val=""/>
      <w:lvlJc w:val="left"/>
      <w:pPr>
        <w:ind w:left="360" w:hanging="360"/>
      </w:pPr>
      <w:rPr>
        <w:rFonts w:ascii="Symbol" w:hAnsi="Symbol" w:hint="default"/>
      </w:rPr>
    </w:lvl>
    <w:lvl w:ilvl="1" w:tplc="B74093F6">
      <w:start w:val="1"/>
      <w:numFmt w:val="bullet"/>
      <w:lvlText w:val="o"/>
      <w:lvlJc w:val="left"/>
      <w:pPr>
        <w:ind w:left="1080" w:hanging="360"/>
      </w:pPr>
      <w:rPr>
        <w:rFonts w:ascii="Courier New" w:hAnsi="Courier New" w:hint="default"/>
      </w:rPr>
    </w:lvl>
    <w:lvl w:ilvl="2" w:tplc="B44C5DEE">
      <w:start w:val="1"/>
      <w:numFmt w:val="bullet"/>
      <w:lvlText w:val=""/>
      <w:lvlJc w:val="left"/>
      <w:pPr>
        <w:ind w:left="1800" w:hanging="360"/>
      </w:pPr>
      <w:rPr>
        <w:rFonts w:ascii="Wingdings" w:hAnsi="Wingdings" w:hint="default"/>
      </w:rPr>
    </w:lvl>
    <w:lvl w:ilvl="3" w:tplc="ED242FA2">
      <w:start w:val="1"/>
      <w:numFmt w:val="bullet"/>
      <w:lvlText w:val=""/>
      <w:lvlJc w:val="left"/>
      <w:pPr>
        <w:ind w:left="2520" w:hanging="360"/>
      </w:pPr>
      <w:rPr>
        <w:rFonts w:ascii="Symbol" w:hAnsi="Symbol" w:hint="default"/>
      </w:rPr>
    </w:lvl>
    <w:lvl w:ilvl="4" w:tplc="DAD6E364">
      <w:start w:val="1"/>
      <w:numFmt w:val="bullet"/>
      <w:lvlText w:val="o"/>
      <w:lvlJc w:val="left"/>
      <w:pPr>
        <w:ind w:left="3240" w:hanging="360"/>
      </w:pPr>
      <w:rPr>
        <w:rFonts w:ascii="Courier New" w:hAnsi="Courier New" w:hint="default"/>
      </w:rPr>
    </w:lvl>
    <w:lvl w:ilvl="5" w:tplc="FBC445EA">
      <w:start w:val="1"/>
      <w:numFmt w:val="bullet"/>
      <w:lvlText w:val=""/>
      <w:lvlJc w:val="left"/>
      <w:pPr>
        <w:ind w:left="3960" w:hanging="360"/>
      </w:pPr>
      <w:rPr>
        <w:rFonts w:ascii="Wingdings" w:hAnsi="Wingdings" w:hint="default"/>
      </w:rPr>
    </w:lvl>
    <w:lvl w:ilvl="6" w:tplc="79507CD8">
      <w:start w:val="1"/>
      <w:numFmt w:val="bullet"/>
      <w:lvlText w:val=""/>
      <w:lvlJc w:val="left"/>
      <w:pPr>
        <w:ind w:left="4680" w:hanging="360"/>
      </w:pPr>
      <w:rPr>
        <w:rFonts w:ascii="Symbol" w:hAnsi="Symbol" w:hint="default"/>
      </w:rPr>
    </w:lvl>
    <w:lvl w:ilvl="7" w:tplc="FEC2DF92">
      <w:start w:val="1"/>
      <w:numFmt w:val="bullet"/>
      <w:lvlText w:val="o"/>
      <w:lvlJc w:val="left"/>
      <w:pPr>
        <w:ind w:left="5400" w:hanging="360"/>
      </w:pPr>
      <w:rPr>
        <w:rFonts w:ascii="Courier New" w:hAnsi="Courier New" w:hint="default"/>
      </w:rPr>
    </w:lvl>
    <w:lvl w:ilvl="8" w:tplc="625A9734">
      <w:start w:val="1"/>
      <w:numFmt w:val="bullet"/>
      <w:lvlText w:val=""/>
      <w:lvlJc w:val="left"/>
      <w:pPr>
        <w:ind w:left="6120" w:hanging="360"/>
      </w:pPr>
      <w:rPr>
        <w:rFonts w:ascii="Wingdings" w:hAnsi="Wingdings" w:hint="default"/>
      </w:rPr>
    </w:lvl>
  </w:abstractNum>
  <w:abstractNum w:abstractNumId="9"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62F732F"/>
    <w:multiLevelType w:val="hybridMultilevel"/>
    <w:tmpl w:val="FFFFFFFF"/>
    <w:lvl w:ilvl="0" w:tplc="51CA24B4">
      <w:start w:val="1"/>
      <w:numFmt w:val="bullet"/>
      <w:lvlText w:val="-"/>
      <w:lvlJc w:val="left"/>
      <w:pPr>
        <w:ind w:left="720" w:hanging="360"/>
      </w:pPr>
      <w:rPr>
        <w:rFonts w:ascii="Calibri" w:hAnsi="Calibri" w:hint="default"/>
      </w:rPr>
    </w:lvl>
    <w:lvl w:ilvl="1" w:tplc="77927626">
      <w:start w:val="1"/>
      <w:numFmt w:val="bullet"/>
      <w:lvlText w:val="o"/>
      <w:lvlJc w:val="left"/>
      <w:pPr>
        <w:ind w:left="1440" w:hanging="360"/>
      </w:pPr>
      <w:rPr>
        <w:rFonts w:ascii="Courier New" w:hAnsi="Courier New" w:hint="default"/>
      </w:rPr>
    </w:lvl>
    <w:lvl w:ilvl="2" w:tplc="0E401326">
      <w:start w:val="1"/>
      <w:numFmt w:val="bullet"/>
      <w:lvlText w:val=""/>
      <w:lvlJc w:val="left"/>
      <w:pPr>
        <w:ind w:left="2160" w:hanging="360"/>
      </w:pPr>
      <w:rPr>
        <w:rFonts w:ascii="Wingdings" w:hAnsi="Wingdings" w:hint="default"/>
      </w:rPr>
    </w:lvl>
    <w:lvl w:ilvl="3" w:tplc="DDF0CD62">
      <w:start w:val="1"/>
      <w:numFmt w:val="bullet"/>
      <w:lvlText w:val=""/>
      <w:lvlJc w:val="left"/>
      <w:pPr>
        <w:ind w:left="2880" w:hanging="360"/>
      </w:pPr>
      <w:rPr>
        <w:rFonts w:ascii="Symbol" w:hAnsi="Symbol" w:hint="default"/>
      </w:rPr>
    </w:lvl>
    <w:lvl w:ilvl="4" w:tplc="A8A075F0">
      <w:start w:val="1"/>
      <w:numFmt w:val="bullet"/>
      <w:lvlText w:val="o"/>
      <w:lvlJc w:val="left"/>
      <w:pPr>
        <w:ind w:left="3600" w:hanging="360"/>
      </w:pPr>
      <w:rPr>
        <w:rFonts w:ascii="Courier New" w:hAnsi="Courier New" w:hint="default"/>
      </w:rPr>
    </w:lvl>
    <w:lvl w:ilvl="5" w:tplc="DCD8E490">
      <w:start w:val="1"/>
      <w:numFmt w:val="bullet"/>
      <w:lvlText w:val=""/>
      <w:lvlJc w:val="left"/>
      <w:pPr>
        <w:ind w:left="4320" w:hanging="360"/>
      </w:pPr>
      <w:rPr>
        <w:rFonts w:ascii="Wingdings" w:hAnsi="Wingdings" w:hint="default"/>
      </w:rPr>
    </w:lvl>
    <w:lvl w:ilvl="6" w:tplc="1D8E48FC">
      <w:start w:val="1"/>
      <w:numFmt w:val="bullet"/>
      <w:lvlText w:val=""/>
      <w:lvlJc w:val="left"/>
      <w:pPr>
        <w:ind w:left="5040" w:hanging="360"/>
      </w:pPr>
      <w:rPr>
        <w:rFonts w:ascii="Symbol" w:hAnsi="Symbol" w:hint="default"/>
      </w:rPr>
    </w:lvl>
    <w:lvl w:ilvl="7" w:tplc="836085C0">
      <w:start w:val="1"/>
      <w:numFmt w:val="bullet"/>
      <w:lvlText w:val="o"/>
      <w:lvlJc w:val="left"/>
      <w:pPr>
        <w:ind w:left="5760" w:hanging="360"/>
      </w:pPr>
      <w:rPr>
        <w:rFonts w:ascii="Courier New" w:hAnsi="Courier New" w:hint="default"/>
      </w:rPr>
    </w:lvl>
    <w:lvl w:ilvl="8" w:tplc="B31A6486">
      <w:start w:val="1"/>
      <w:numFmt w:val="bullet"/>
      <w:lvlText w:val=""/>
      <w:lvlJc w:val="left"/>
      <w:pPr>
        <w:ind w:left="6480" w:hanging="360"/>
      </w:pPr>
      <w:rPr>
        <w:rFonts w:ascii="Wingdings" w:hAnsi="Wingdings" w:hint="default"/>
      </w:rPr>
    </w:lvl>
  </w:abstractNum>
  <w:abstractNum w:abstractNumId="11" w15:restartNumberingAfterBreak="0">
    <w:nsid w:val="07FD34B7"/>
    <w:multiLevelType w:val="hybridMultilevel"/>
    <w:tmpl w:val="1AD0EC8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8D50A5"/>
    <w:multiLevelType w:val="hybridMultilevel"/>
    <w:tmpl w:val="FFFFFFFF"/>
    <w:lvl w:ilvl="0" w:tplc="3EC8F43E">
      <w:start w:val="1"/>
      <w:numFmt w:val="bullet"/>
      <w:lvlText w:val=""/>
      <w:lvlJc w:val="left"/>
      <w:pPr>
        <w:ind w:left="360" w:hanging="360"/>
      </w:pPr>
      <w:rPr>
        <w:rFonts w:ascii="Symbol" w:hAnsi="Symbol" w:hint="default"/>
      </w:rPr>
    </w:lvl>
    <w:lvl w:ilvl="1" w:tplc="9BE4059E">
      <w:start w:val="1"/>
      <w:numFmt w:val="bullet"/>
      <w:lvlText w:val="o"/>
      <w:lvlJc w:val="left"/>
      <w:pPr>
        <w:ind w:left="1080" w:hanging="360"/>
      </w:pPr>
      <w:rPr>
        <w:rFonts w:ascii="Courier New" w:hAnsi="Courier New" w:hint="default"/>
      </w:rPr>
    </w:lvl>
    <w:lvl w:ilvl="2" w:tplc="D27ED2C2">
      <w:start w:val="1"/>
      <w:numFmt w:val="bullet"/>
      <w:lvlText w:val=""/>
      <w:lvlJc w:val="left"/>
      <w:pPr>
        <w:ind w:left="1800" w:hanging="360"/>
      </w:pPr>
      <w:rPr>
        <w:rFonts w:ascii="Wingdings" w:hAnsi="Wingdings" w:hint="default"/>
      </w:rPr>
    </w:lvl>
    <w:lvl w:ilvl="3" w:tplc="D3F86CDE">
      <w:start w:val="1"/>
      <w:numFmt w:val="bullet"/>
      <w:lvlText w:val=""/>
      <w:lvlJc w:val="left"/>
      <w:pPr>
        <w:ind w:left="2520" w:hanging="360"/>
      </w:pPr>
      <w:rPr>
        <w:rFonts w:ascii="Symbol" w:hAnsi="Symbol" w:hint="default"/>
      </w:rPr>
    </w:lvl>
    <w:lvl w:ilvl="4" w:tplc="031232E2">
      <w:start w:val="1"/>
      <w:numFmt w:val="bullet"/>
      <w:lvlText w:val="o"/>
      <w:lvlJc w:val="left"/>
      <w:pPr>
        <w:ind w:left="3240" w:hanging="360"/>
      </w:pPr>
      <w:rPr>
        <w:rFonts w:ascii="Courier New" w:hAnsi="Courier New" w:hint="default"/>
      </w:rPr>
    </w:lvl>
    <w:lvl w:ilvl="5" w:tplc="4E744040">
      <w:start w:val="1"/>
      <w:numFmt w:val="bullet"/>
      <w:lvlText w:val=""/>
      <w:lvlJc w:val="left"/>
      <w:pPr>
        <w:ind w:left="3960" w:hanging="360"/>
      </w:pPr>
      <w:rPr>
        <w:rFonts w:ascii="Wingdings" w:hAnsi="Wingdings" w:hint="default"/>
      </w:rPr>
    </w:lvl>
    <w:lvl w:ilvl="6" w:tplc="3326A2DC">
      <w:start w:val="1"/>
      <w:numFmt w:val="bullet"/>
      <w:lvlText w:val=""/>
      <w:lvlJc w:val="left"/>
      <w:pPr>
        <w:ind w:left="4680" w:hanging="360"/>
      </w:pPr>
      <w:rPr>
        <w:rFonts w:ascii="Symbol" w:hAnsi="Symbol" w:hint="default"/>
      </w:rPr>
    </w:lvl>
    <w:lvl w:ilvl="7" w:tplc="39387B8A">
      <w:start w:val="1"/>
      <w:numFmt w:val="bullet"/>
      <w:lvlText w:val="o"/>
      <w:lvlJc w:val="left"/>
      <w:pPr>
        <w:ind w:left="5400" w:hanging="360"/>
      </w:pPr>
      <w:rPr>
        <w:rFonts w:ascii="Courier New" w:hAnsi="Courier New" w:hint="default"/>
      </w:rPr>
    </w:lvl>
    <w:lvl w:ilvl="8" w:tplc="D3C00432">
      <w:start w:val="1"/>
      <w:numFmt w:val="bullet"/>
      <w:lvlText w:val=""/>
      <w:lvlJc w:val="left"/>
      <w:pPr>
        <w:ind w:left="6120" w:hanging="360"/>
      </w:pPr>
      <w:rPr>
        <w:rFonts w:ascii="Wingdings" w:hAnsi="Wingdings" w:hint="default"/>
      </w:rPr>
    </w:lvl>
  </w:abstractNum>
  <w:abstractNum w:abstractNumId="15"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280375F"/>
    <w:multiLevelType w:val="hybridMultilevel"/>
    <w:tmpl w:val="FFFFFFFF"/>
    <w:lvl w:ilvl="0" w:tplc="0D28F32E">
      <w:start w:val="1"/>
      <w:numFmt w:val="bullet"/>
      <w:lvlText w:val="-"/>
      <w:lvlJc w:val="left"/>
      <w:pPr>
        <w:ind w:left="720" w:hanging="360"/>
      </w:pPr>
      <w:rPr>
        <w:rFonts w:ascii="Calibri" w:hAnsi="Calibri" w:hint="default"/>
      </w:rPr>
    </w:lvl>
    <w:lvl w:ilvl="1" w:tplc="C26C3DEA">
      <w:start w:val="1"/>
      <w:numFmt w:val="bullet"/>
      <w:lvlText w:val="o"/>
      <w:lvlJc w:val="left"/>
      <w:pPr>
        <w:ind w:left="1440" w:hanging="360"/>
      </w:pPr>
      <w:rPr>
        <w:rFonts w:ascii="Courier New" w:hAnsi="Courier New" w:hint="default"/>
      </w:rPr>
    </w:lvl>
    <w:lvl w:ilvl="2" w:tplc="A5F8C468">
      <w:start w:val="1"/>
      <w:numFmt w:val="bullet"/>
      <w:lvlText w:val=""/>
      <w:lvlJc w:val="left"/>
      <w:pPr>
        <w:ind w:left="2160" w:hanging="360"/>
      </w:pPr>
      <w:rPr>
        <w:rFonts w:ascii="Wingdings" w:hAnsi="Wingdings" w:hint="default"/>
      </w:rPr>
    </w:lvl>
    <w:lvl w:ilvl="3" w:tplc="7D42E600">
      <w:start w:val="1"/>
      <w:numFmt w:val="bullet"/>
      <w:lvlText w:val=""/>
      <w:lvlJc w:val="left"/>
      <w:pPr>
        <w:ind w:left="2880" w:hanging="360"/>
      </w:pPr>
      <w:rPr>
        <w:rFonts w:ascii="Symbol" w:hAnsi="Symbol" w:hint="default"/>
      </w:rPr>
    </w:lvl>
    <w:lvl w:ilvl="4" w:tplc="10062DA8">
      <w:start w:val="1"/>
      <w:numFmt w:val="bullet"/>
      <w:lvlText w:val="o"/>
      <w:lvlJc w:val="left"/>
      <w:pPr>
        <w:ind w:left="3600" w:hanging="360"/>
      </w:pPr>
      <w:rPr>
        <w:rFonts w:ascii="Courier New" w:hAnsi="Courier New" w:hint="default"/>
      </w:rPr>
    </w:lvl>
    <w:lvl w:ilvl="5" w:tplc="0C521012">
      <w:start w:val="1"/>
      <w:numFmt w:val="bullet"/>
      <w:lvlText w:val=""/>
      <w:lvlJc w:val="left"/>
      <w:pPr>
        <w:ind w:left="4320" w:hanging="360"/>
      </w:pPr>
      <w:rPr>
        <w:rFonts w:ascii="Wingdings" w:hAnsi="Wingdings" w:hint="default"/>
      </w:rPr>
    </w:lvl>
    <w:lvl w:ilvl="6" w:tplc="DB0291B4">
      <w:start w:val="1"/>
      <w:numFmt w:val="bullet"/>
      <w:lvlText w:val=""/>
      <w:lvlJc w:val="left"/>
      <w:pPr>
        <w:ind w:left="5040" w:hanging="360"/>
      </w:pPr>
      <w:rPr>
        <w:rFonts w:ascii="Symbol" w:hAnsi="Symbol" w:hint="default"/>
      </w:rPr>
    </w:lvl>
    <w:lvl w:ilvl="7" w:tplc="4C548F6E">
      <w:start w:val="1"/>
      <w:numFmt w:val="bullet"/>
      <w:lvlText w:val="o"/>
      <w:lvlJc w:val="left"/>
      <w:pPr>
        <w:ind w:left="5760" w:hanging="360"/>
      </w:pPr>
      <w:rPr>
        <w:rFonts w:ascii="Courier New" w:hAnsi="Courier New" w:hint="default"/>
      </w:rPr>
    </w:lvl>
    <w:lvl w:ilvl="8" w:tplc="FABA5FCE">
      <w:start w:val="1"/>
      <w:numFmt w:val="bullet"/>
      <w:lvlText w:val=""/>
      <w:lvlJc w:val="left"/>
      <w:pPr>
        <w:ind w:left="6480" w:hanging="360"/>
      </w:pPr>
      <w:rPr>
        <w:rFonts w:ascii="Wingdings" w:hAnsi="Wingdings" w:hint="default"/>
      </w:rPr>
    </w:lvl>
  </w:abstractNum>
  <w:abstractNum w:abstractNumId="17"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390B0BDB"/>
    <w:multiLevelType w:val="hybridMultilevel"/>
    <w:tmpl w:val="E650322C"/>
    <w:lvl w:ilvl="0" w:tplc="2EEA2226">
      <w:start w:val="1"/>
      <w:numFmt w:val="bullet"/>
      <w:pStyle w:val="EndNoteBibliography"/>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B8C72A8"/>
    <w:multiLevelType w:val="hybridMultilevel"/>
    <w:tmpl w:val="C12C26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528762181">
    <w:abstractNumId w:val="7"/>
  </w:num>
  <w:num w:numId="2" w16cid:durableId="1909879506">
    <w:abstractNumId w:val="21"/>
  </w:num>
  <w:num w:numId="3" w16cid:durableId="855316002">
    <w:abstractNumId w:val="23"/>
  </w:num>
  <w:num w:numId="4" w16cid:durableId="819270231">
    <w:abstractNumId w:val="9"/>
  </w:num>
  <w:num w:numId="5" w16cid:durableId="624852735">
    <w:abstractNumId w:val="9"/>
    <w:lvlOverride w:ilvl="0">
      <w:startOverride w:val="1"/>
    </w:lvlOverride>
  </w:num>
  <w:num w:numId="6" w16cid:durableId="1471367351">
    <w:abstractNumId w:val="12"/>
  </w:num>
  <w:num w:numId="7" w16cid:durableId="314646392">
    <w:abstractNumId w:val="19"/>
  </w:num>
  <w:num w:numId="8" w16cid:durableId="1499927305">
    <w:abstractNumId w:val="22"/>
  </w:num>
  <w:num w:numId="9" w16cid:durableId="251470545">
    <w:abstractNumId w:val="5"/>
  </w:num>
  <w:num w:numId="10" w16cid:durableId="716706801">
    <w:abstractNumId w:val="4"/>
  </w:num>
  <w:num w:numId="11" w16cid:durableId="1328676878">
    <w:abstractNumId w:val="3"/>
  </w:num>
  <w:num w:numId="12" w16cid:durableId="541094559">
    <w:abstractNumId w:val="2"/>
  </w:num>
  <w:num w:numId="13" w16cid:durableId="1793085349">
    <w:abstractNumId w:val="6"/>
  </w:num>
  <w:num w:numId="14" w16cid:durableId="533345085">
    <w:abstractNumId w:val="1"/>
  </w:num>
  <w:num w:numId="15" w16cid:durableId="366374500">
    <w:abstractNumId w:val="0"/>
  </w:num>
  <w:num w:numId="16" w16cid:durableId="917133387">
    <w:abstractNumId w:val="25"/>
  </w:num>
  <w:num w:numId="17" w16cid:durableId="613557283">
    <w:abstractNumId w:val="13"/>
  </w:num>
  <w:num w:numId="18" w16cid:durableId="816261399">
    <w:abstractNumId w:val="15"/>
  </w:num>
  <w:num w:numId="19" w16cid:durableId="1097212103">
    <w:abstractNumId w:val="17"/>
  </w:num>
  <w:num w:numId="20" w16cid:durableId="1939170792">
    <w:abstractNumId w:val="13"/>
  </w:num>
  <w:num w:numId="21" w16cid:durableId="28997209">
    <w:abstractNumId w:val="17"/>
  </w:num>
  <w:num w:numId="22" w16cid:durableId="1504319644">
    <w:abstractNumId w:val="25"/>
  </w:num>
  <w:num w:numId="23" w16cid:durableId="1823959635">
    <w:abstractNumId w:val="21"/>
  </w:num>
  <w:num w:numId="24" w16cid:durableId="1449813617">
    <w:abstractNumId w:val="23"/>
  </w:num>
  <w:num w:numId="25" w16cid:durableId="1444181194">
    <w:abstractNumId w:val="9"/>
  </w:num>
  <w:num w:numId="26" w16cid:durableId="605428677">
    <w:abstractNumId w:val="20"/>
  </w:num>
  <w:num w:numId="27" w16cid:durableId="1987472158">
    <w:abstractNumId w:val="8"/>
  </w:num>
  <w:num w:numId="28" w16cid:durableId="903221078">
    <w:abstractNumId w:val="14"/>
  </w:num>
  <w:num w:numId="29" w16cid:durableId="1005597749">
    <w:abstractNumId w:val="24"/>
  </w:num>
  <w:num w:numId="30" w16cid:durableId="117916263">
    <w:abstractNumId w:val="11"/>
  </w:num>
  <w:num w:numId="31" w16cid:durableId="509105386">
    <w:abstractNumId w:val="16"/>
  </w:num>
  <w:num w:numId="32" w16cid:durableId="870338409">
    <w:abstractNumId w:val="10"/>
  </w:num>
  <w:num w:numId="33" w16cid:durableId="10900812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E3C"/>
    <w:rsid w:val="00001F41"/>
    <w:rsid w:val="00003743"/>
    <w:rsid w:val="000047B4"/>
    <w:rsid w:val="00005712"/>
    <w:rsid w:val="00007FD8"/>
    <w:rsid w:val="00010A39"/>
    <w:rsid w:val="000117F8"/>
    <w:rsid w:val="00026139"/>
    <w:rsid w:val="0002698C"/>
    <w:rsid w:val="00027071"/>
    <w:rsid w:val="00027601"/>
    <w:rsid w:val="00033321"/>
    <w:rsid w:val="000338E5"/>
    <w:rsid w:val="00033ECC"/>
    <w:rsid w:val="0003422F"/>
    <w:rsid w:val="00046FF0"/>
    <w:rsid w:val="00050176"/>
    <w:rsid w:val="00062B65"/>
    <w:rsid w:val="00064299"/>
    <w:rsid w:val="00067456"/>
    <w:rsid w:val="00071506"/>
    <w:rsid w:val="0007154F"/>
    <w:rsid w:val="00081AB1"/>
    <w:rsid w:val="0009011A"/>
    <w:rsid w:val="00090316"/>
    <w:rsid w:val="00093981"/>
    <w:rsid w:val="00093CD9"/>
    <w:rsid w:val="00095A02"/>
    <w:rsid w:val="000B067A"/>
    <w:rsid w:val="000B1540"/>
    <w:rsid w:val="000B33FD"/>
    <w:rsid w:val="000B4ABA"/>
    <w:rsid w:val="000B6FD5"/>
    <w:rsid w:val="000C2249"/>
    <w:rsid w:val="000C4B16"/>
    <w:rsid w:val="000C50C3"/>
    <w:rsid w:val="000D21F6"/>
    <w:rsid w:val="000D3AEE"/>
    <w:rsid w:val="000D42C3"/>
    <w:rsid w:val="000D4500"/>
    <w:rsid w:val="000D7777"/>
    <w:rsid w:val="000D7AEA"/>
    <w:rsid w:val="000E01A9"/>
    <w:rsid w:val="000E2C66"/>
    <w:rsid w:val="000E39A8"/>
    <w:rsid w:val="000E6E7D"/>
    <w:rsid w:val="000F123C"/>
    <w:rsid w:val="000F2430"/>
    <w:rsid w:val="000F2FED"/>
    <w:rsid w:val="000F372B"/>
    <w:rsid w:val="0010197D"/>
    <w:rsid w:val="00103F73"/>
    <w:rsid w:val="0010616D"/>
    <w:rsid w:val="00110478"/>
    <w:rsid w:val="0011711B"/>
    <w:rsid w:val="00117F8A"/>
    <w:rsid w:val="00121B9B"/>
    <w:rsid w:val="00122ADC"/>
    <w:rsid w:val="001262CD"/>
    <w:rsid w:val="00130F59"/>
    <w:rsid w:val="00133EC0"/>
    <w:rsid w:val="00141CE5"/>
    <w:rsid w:val="00144908"/>
    <w:rsid w:val="001571C7"/>
    <w:rsid w:val="00161094"/>
    <w:rsid w:val="00172A55"/>
    <w:rsid w:val="001758CD"/>
    <w:rsid w:val="0017665C"/>
    <w:rsid w:val="00177AD2"/>
    <w:rsid w:val="00177D12"/>
    <w:rsid w:val="001815A8"/>
    <w:rsid w:val="001840FA"/>
    <w:rsid w:val="0018552E"/>
    <w:rsid w:val="00190079"/>
    <w:rsid w:val="001902A9"/>
    <w:rsid w:val="00191132"/>
    <w:rsid w:val="0019622E"/>
    <w:rsid w:val="001966A7"/>
    <w:rsid w:val="001A17FC"/>
    <w:rsid w:val="001A4627"/>
    <w:rsid w:val="001A4979"/>
    <w:rsid w:val="001B15D3"/>
    <w:rsid w:val="001B3443"/>
    <w:rsid w:val="001C0326"/>
    <w:rsid w:val="001C192F"/>
    <w:rsid w:val="001C3C42"/>
    <w:rsid w:val="001D7869"/>
    <w:rsid w:val="001F2F78"/>
    <w:rsid w:val="001F538F"/>
    <w:rsid w:val="002026CD"/>
    <w:rsid w:val="002033FC"/>
    <w:rsid w:val="002044BB"/>
    <w:rsid w:val="00210B09"/>
    <w:rsid w:val="00210C9E"/>
    <w:rsid w:val="00211840"/>
    <w:rsid w:val="002157BF"/>
    <w:rsid w:val="00220E5F"/>
    <w:rsid w:val="002212B5"/>
    <w:rsid w:val="00223051"/>
    <w:rsid w:val="00224BB5"/>
    <w:rsid w:val="00226668"/>
    <w:rsid w:val="00233809"/>
    <w:rsid w:val="00240046"/>
    <w:rsid w:val="0024797F"/>
    <w:rsid w:val="0025119E"/>
    <w:rsid w:val="00251269"/>
    <w:rsid w:val="002535C0"/>
    <w:rsid w:val="002579FE"/>
    <w:rsid w:val="00261338"/>
    <w:rsid w:val="0026311C"/>
    <w:rsid w:val="0026668C"/>
    <w:rsid w:val="00266AC1"/>
    <w:rsid w:val="0027178C"/>
    <w:rsid w:val="002719FA"/>
    <w:rsid w:val="00272668"/>
    <w:rsid w:val="0027330B"/>
    <w:rsid w:val="002803AD"/>
    <w:rsid w:val="00281F5F"/>
    <w:rsid w:val="00282052"/>
    <w:rsid w:val="0028519E"/>
    <w:rsid w:val="002856A5"/>
    <w:rsid w:val="002872ED"/>
    <w:rsid w:val="002905C2"/>
    <w:rsid w:val="002936DC"/>
    <w:rsid w:val="00293963"/>
    <w:rsid w:val="00295AF2"/>
    <w:rsid w:val="00295C91"/>
    <w:rsid w:val="00297151"/>
    <w:rsid w:val="002A0910"/>
    <w:rsid w:val="002B20E6"/>
    <w:rsid w:val="002B42A3"/>
    <w:rsid w:val="002C0CDD"/>
    <w:rsid w:val="002C168D"/>
    <w:rsid w:val="002E1A1D"/>
    <w:rsid w:val="002E4081"/>
    <w:rsid w:val="002E5B78"/>
    <w:rsid w:val="002F3AE3"/>
    <w:rsid w:val="0030464B"/>
    <w:rsid w:val="0030786C"/>
    <w:rsid w:val="003233DE"/>
    <w:rsid w:val="0032466B"/>
    <w:rsid w:val="00327B44"/>
    <w:rsid w:val="003321FA"/>
    <w:rsid w:val="003330EB"/>
    <w:rsid w:val="003339CE"/>
    <w:rsid w:val="00336605"/>
    <w:rsid w:val="00336F6C"/>
    <w:rsid w:val="003415FD"/>
    <w:rsid w:val="003429F0"/>
    <w:rsid w:val="0035097A"/>
    <w:rsid w:val="003540A4"/>
    <w:rsid w:val="00360E4E"/>
    <w:rsid w:val="00370AAA"/>
    <w:rsid w:val="00375F77"/>
    <w:rsid w:val="00377A78"/>
    <w:rsid w:val="00381BBE"/>
    <w:rsid w:val="00382903"/>
    <w:rsid w:val="003846FF"/>
    <w:rsid w:val="00385AD4"/>
    <w:rsid w:val="00387924"/>
    <w:rsid w:val="00390A6F"/>
    <w:rsid w:val="0039384D"/>
    <w:rsid w:val="00393B97"/>
    <w:rsid w:val="00395761"/>
    <w:rsid w:val="00395C23"/>
    <w:rsid w:val="003A2E4F"/>
    <w:rsid w:val="003A4438"/>
    <w:rsid w:val="003A5013"/>
    <w:rsid w:val="003A5078"/>
    <w:rsid w:val="003A62DD"/>
    <w:rsid w:val="003A775A"/>
    <w:rsid w:val="003B0DAB"/>
    <w:rsid w:val="003B213A"/>
    <w:rsid w:val="003B43AD"/>
    <w:rsid w:val="003C0FEC"/>
    <w:rsid w:val="003C15B8"/>
    <w:rsid w:val="003C2AC8"/>
    <w:rsid w:val="003C46A6"/>
    <w:rsid w:val="003D17F9"/>
    <w:rsid w:val="003D2D88"/>
    <w:rsid w:val="003D41EA"/>
    <w:rsid w:val="003D4850"/>
    <w:rsid w:val="003D535A"/>
    <w:rsid w:val="003E5265"/>
    <w:rsid w:val="003F0955"/>
    <w:rsid w:val="003F6FE1"/>
    <w:rsid w:val="00400F00"/>
    <w:rsid w:val="00404F8B"/>
    <w:rsid w:val="004051E5"/>
    <w:rsid w:val="00405256"/>
    <w:rsid w:val="00410031"/>
    <w:rsid w:val="004115A2"/>
    <w:rsid w:val="00415C81"/>
    <w:rsid w:val="00416731"/>
    <w:rsid w:val="0041755C"/>
    <w:rsid w:val="00432378"/>
    <w:rsid w:val="00440D65"/>
    <w:rsid w:val="004435E6"/>
    <w:rsid w:val="004461D1"/>
    <w:rsid w:val="00447383"/>
    <w:rsid w:val="00447E31"/>
    <w:rsid w:val="00453923"/>
    <w:rsid w:val="00454B9B"/>
    <w:rsid w:val="00455B79"/>
    <w:rsid w:val="00456CD2"/>
    <w:rsid w:val="00457858"/>
    <w:rsid w:val="00460B0B"/>
    <w:rsid w:val="00461023"/>
    <w:rsid w:val="00462FAC"/>
    <w:rsid w:val="00464631"/>
    <w:rsid w:val="00464B79"/>
    <w:rsid w:val="00467BBF"/>
    <w:rsid w:val="00477A73"/>
    <w:rsid w:val="00482472"/>
    <w:rsid w:val="004867E2"/>
    <w:rsid w:val="004929A9"/>
    <w:rsid w:val="004A2493"/>
    <w:rsid w:val="004C2FEC"/>
    <w:rsid w:val="004C67C9"/>
    <w:rsid w:val="004C6BCF"/>
    <w:rsid w:val="004D58BF"/>
    <w:rsid w:val="004E4335"/>
    <w:rsid w:val="004E504D"/>
    <w:rsid w:val="004E5ACF"/>
    <w:rsid w:val="004E6E65"/>
    <w:rsid w:val="004F13EE"/>
    <w:rsid w:val="004F2022"/>
    <w:rsid w:val="004F7C05"/>
    <w:rsid w:val="00501C94"/>
    <w:rsid w:val="00506432"/>
    <w:rsid w:val="0051220C"/>
    <w:rsid w:val="0051242B"/>
    <w:rsid w:val="0052051D"/>
    <w:rsid w:val="005316D4"/>
    <w:rsid w:val="00542C0D"/>
    <w:rsid w:val="00545EE6"/>
    <w:rsid w:val="005550E7"/>
    <w:rsid w:val="005564FB"/>
    <w:rsid w:val="005572C7"/>
    <w:rsid w:val="005650ED"/>
    <w:rsid w:val="00575754"/>
    <w:rsid w:val="00580109"/>
    <w:rsid w:val="00581BBD"/>
    <w:rsid w:val="00586ACC"/>
    <w:rsid w:val="00590BEB"/>
    <w:rsid w:val="00591E20"/>
    <w:rsid w:val="00595408"/>
    <w:rsid w:val="00595E84"/>
    <w:rsid w:val="00597D79"/>
    <w:rsid w:val="005A0C59"/>
    <w:rsid w:val="005A48EB"/>
    <w:rsid w:val="005A66DE"/>
    <w:rsid w:val="005A6CFB"/>
    <w:rsid w:val="005C5AEB"/>
    <w:rsid w:val="005C781D"/>
    <w:rsid w:val="005D064F"/>
    <w:rsid w:val="005E0A3F"/>
    <w:rsid w:val="005E6883"/>
    <w:rsid w:val="005E772F"/>
    <w:rsid w:val="005F4ECA"/>
    <w:rsid w:val="00603340"/>
    <w:rsid w:val="006041BE"/>
    <w:rsid w:val="006043C7"/>
    <w:rsid w:val="006061D9"/>
    <w:rsid w:val="00624B52"/>
    <w:rsid w:val="00631DF4"/>
    <w:rsid w:val="00634175"/>
    <w:rsid w:val="006408AC"/>
    <w:rsid w:val="006511B6"/>
    <w:rsid w:val="00652742"/>
    <w:rsid w:val="00657FF8"/>
    <w:rsid w:val="00670D99"/>
    <w:rsid w:val="00670E2B"/>
    <w:rsid w:val="00672743"/>
    <w:rsid w:val="006734BB"/>
    <w:rsid w:val="00681A34"/>
    <w:rsid w:val="006821EB"/>
    <w:rsid w:val="006A51FA"/>
    <w:rsid w:val="006B2286"/>
    <w:rsid w:val="006B56BB"/>
    <w:rsid w:val="006B779F"/>
    <w:rsid w:val="006C6121"/>
    <w:rsid w:val="006C6DAF"/>
    <w:rsid w:val="006C77A8"/>
    <w:rsid w:val="006D4098"/>
    <w:rsid w:val="006D7681"/>
    <w:rsid w:val="006D7B2E"/>
    <w:rsid w:val="006E02EA"/>
    <w:rsid w:val="006E0968"/>
    <w:rsid w:val="006E2AF6"/>
    <w:rsid w:val="006F03AC"/>
    <w:rsid w:val="006F1E3C"/>
    <w:rsid w:val="006F2EB7"/>
    <w:rsid w:val="00701275"/>
    <w:rsid w:val="00707F56"/>
    <w:rsid w:val="0071087D"/>
    <w:rsid w:val="0071133E"/>
    <w:rsid w:val="00713558"/>
    <w:rsid w:val="00720D08"/>
    <w:rsid w:val="007263B9"/>
    <w:rsid w:val="007334F8"/>
    <w:rsid w:val="007339CD"/>
    <w:rsid w:val="007359D8"/>
    <w:rsid w:val="007362D4"/>
    <w:rsid w:val="00751A23"/>
    <w:rsid w:val="0075596F"/>
    <w:rsid w:val="00756C7B"/>
    <w:rsid w:val="007640EE"/>
    <w:rsid w:val="0076672A"/>
    <w:rsid w:val="00770E4E"/>
    <w:rsid w:val="00773EA2"/>
    <w:rsid w:val="00775E45"/>
    <w:rsid w:val="00776E74"/>
    <w:rsid w:val="00785169"/>
    <w:rsid w:val="00787B24"/>
    <w:rsid w:val="007954AB"/>
    <w:rsid w:val="007A14C5"/>
    <w:rsid w:val="007A2BC8"/>
    <w:rsid w:val="007A3E38"/>
    <w:rsid w:val="007A4A10"/>
    <w:rsid w:val="007B1760"/>
    <w:rsid w:val="007B2305"/>
    <w:rsid w:val="007B3D03"/>
    <w:rsid w:val="007B7DDA"/>
    <w:rsid w:val="007C6D9C"/>
    <w:rsid w:val="007C7DDB"/>
    <w:rsid w:val="007D2CC7"/>
    <w:rsid w:val="007D673D"/>
    <w:rsid w:val="007E2602"/>
    <w:rsid w:val="007F2220"/>
    <w:rsid w:val="007F2D9F"/>
    <w:rsid w:val="007F4B3E"/>
    <w:rsid w:val="007F588A"/>
    <w:rsid w:val="00801788"/>
    <w:rsid w:val="008100F2"/>
    <w:rsid w:val="008127AF"/>
    <w:rsid w:val="00812B46"/>
    <w:rsid w:val="00815700"/>
    <w:rsid w:val="00817B70"/>
    <w:rsid w:val="00822DE2"/>
    <w:rsid w:val="008264EB"/>
    <w:rsid w:val="00826B8F"/>
    <w:rsid w:val="00830BC5"/>
    <w:rsid w:val="00831E8A"/>
    <w:rsid w:val="008349EB"/>
    <w:rsid w:val="00835288"/>
    <w:rsid w:val="00835C76"/>
    <w:rsid w:val="00841A61"/>
    <w:rsid w:val="00843049"/>
    <w:rsid w:val="0085209B"/>
    <w:rsid w:val="00856B66"/>
    <w:rsid w:val="00861A5F"/>
    <w:rsid w:val="008644AD"/>
    <w:rsid w:val="00865735"/>
    <w:rsid w:val="00865DDB"/>
    <w:rsid w:val="00866B24"/>
    <w:rsid w:val="00867538"/>
    <w:rsid w:val="0086774F"/>
    <w:rsid w:val="00867B5D"/>
    <w:rsid w:val="00873D90"/>
    <w:rsid w:val="00873FC8"/>
    <w:rsid w:val="0088469C"/>
    <w:rsid w:val="00884C63"/>
    <w:rsid w:val="00885908"/>
    <w:rsid w:val="008864B7"/>
    <w:rsid w:val="008865BE"/>
    <w:rsid w:val="0089677E"/>
    <w:rsid w:val="00896E8C"/>
    <w:rsid w:val="008A7438"/>
    <w:rsid w:val="008B1334"/>
    <w:rsid w:val="008B64A4"/>
    <w:rsid w:val="008C0278"/>
    <w:rsid w:val="008C24E9"/>
    <w:rsid w:val="008C6A81"/>
    <w:rsid w:val="008C7766"/>
    <w:rsid w:val="008D0533"/>
    <w:rsid w:val="008D42CB"/>
    <w:rsid w:val="008D48C9"/>
    <w:rsid w:val="008D5B79"/>
    <w:rsid w:val="008D6381"/>
    <w:rsid w:val="008E01F9"/>
    <w:rsid w:val="008E0C77"/>
    <w:rsid w:val="008E5AC5"/>
    <w:rsid w:val="008E625F"/>
    <w:rsid w:val="008E7B38"/>
    <w:rsid w:val="008F264D"/>
    <w:rsid w:val="008F3B79"/>
    <w:rsid w:val="009065CA"/>
    <w:rsid w:val="009074E1"/>
    <w:rsid w:val="009112F7"/>
    <w:rsid w:val="009122AF"/>
    <w:rsid w:val="009127BC"/>
    <w:rsid w:val="00912D54"/>
    <w:rsid w:val="0091389F"/>
    <w:rsid w:val="009208F7"/>
    <w:rsid w:val="00922517"/>
    <w:rsid w:val="00922722"/>
    <w:rsid w:val="00925907"/>
    <w:rsid w:val="009261E6"/>
    <w:rsid w:val="009268E1"/>
    <w:rsid w:val="00934368"/>
    <w:rsid w:val="00945E7F"/>
    <w:rsid w:val="009538A5"/>
    <w:rsid w:val="009557C1"/>
    <w:rsid w:val="00960D6E"/>
    <w:rsid w:val="009630BE"/>
    <w:rsid w:val="009701AA"/>
    <w:rsid w:val="00972BC1"/>
    <w:rsid w:val="00974B59"/>
    <w:rsid w:val="0098340B"/>
    <w:rsid w:val="00986830"/>
    <w:rsid w:val="00987A7E"/>
    <w:rsid w:val="009924C3"/>
    <w:rsid w:val="00993102"/>
    <w:rsid w:val="009C4A39"/>
    <w:rsid w:val="009C6F10"/>
    <w:rsid w:val="009D148F"/>
    <w:rsid w:val="009D3D70"/>
    <w:rsid w:val="009E04FE"/>
    <w:rsid w:val="009E6F7E"/>
    <w:rsid w:val="009E715A"/>
    <w:rsid w:val="009E7A57"/>
    <w:rsid w:val="009F4231"/>
    <w:rsid w:val="009F4F6A"/>
    <w:rsid w:val="00A03EAE"/>
    <w:rsid w:val="00A04084"/>
    <w:rsid w:val="00A16E36"/>
    <w:rsid w:val="00A16E42"/>
    <w:rsid w:val="00A17D99"/>
    <w:rsid w:val="00A24961"/>
    <w:rsid w:val="00A24B10"/>
    <w:rsid w:val="00A30C12"/>
    <w:rsid w:val="00A30E9B"/>
    <w:rsid w:val="00A40D55"/>
    <w:rsid w:val="00A4410C"/>
    <w:rsid w:val="00A4512D"/>
    <w:rsid w:val="00A50244"/>
    <w:rsid w:val="00A50584"/>
    <w:rsid w:val="00A56F17"/>
    <w:rsid w:val="00A60647"/>
    <w:rsid w:val="00A627D7"/>
    <w:rsid w:val="00A656C7"/>
    <w:rsid w:val="00A705AF"/>
    <w:rsid w:val="00A72454"/>
    <w:rsid w:val="00A74345"/>
    <w:rsid w:val="00A77696"/>
    <w:rsid w:val="00A80557"/>
    <w:rsid w:val="00A81D33"/>
    <w:rsid w:val="00A877BB"/>
    <w:rsid w:val="00A930AE"/>
    <w:rsid w:val="00AA196D"/>
    <w:rsid w:val="00AA1A95"/>
    <w:rsid w:val="00AA260F"/>
    <w:rsid w:val="00AA71D6"/>
    <w:rsid w:val="00AB1EE7"/>
    <w:rsid w:val="00AB4B37"/>
    <w:rsid w:val="00AB5762"/>
    <w:rsid w:val="00AC2679"/>
    <w:rsid w:val="00AC4BE4"/>
    <w:rsid w:val="00AC6BF9"/>
    <w:rsid w:val="00AD05E6"/>
    <w:rsid w:val="00AD0D3F"/>
    <w:rsid w:val="00AD1C5A"/>
    <w:rsid w:val="00AE1D7D"/>
    <w:rsid w:val="00AE2A8B"/>
    <w:rsid w:val="00AE3F64"/>
    <w:rsid w:val="00AF1D58"/>
    <w:rsid w:val="00AF7386"/>
    <w:rsid w:val="00AF7934"/>
    <w:rsid w:val="00B00B81"/>
    <w:rsid w:val="00B04580"/>
    <w:rsid w:val="00B04B09"/>
    <w:rsid w:val="00B16A51"/>
    <w:rsid w:val="00B1754F"/>
    <w:rsid w:val="00B25440"/>
    <w:rsid w:val="00B32222"/>
    <w:rsid w:val="00B3618D"/>
    <w:rsid w:val="00B36233"/>
    <w:rsid w:val="00B40B4A"/>
    <w:rsid w:val="00B42851"/>
    <w:rsid w:val="00B45AC7"/>
    <w:rsid w:val="00B5372F"/>
    <w:rsid w:val="00B61129"/>
    <w:rsid w:val="00B643C6"/>
    <w:rsid w:val="00B67E7F"/>
    <w:rsid w:val="00B75A04"/>
    <w:rsid w:val="00B839B2"/>
    <w:rsid w:val="00B9209D"/>
    <w:rsid w:val="00B93AC0"/>
    <w:rsid w:val="00B94252"/>
    <w:rsid w:val="00B9715A"/>
    <w:rsid w:val="00BA14BE"/>
    <w:rsid w:val="00BA2732"/>
    <w:rsid w:val="00BA293D"/>
    <w:rsid w:val="00BA49BC"/>
    <w:rsid w:val="00BA56B7"/>
    <w:rsid w:val="00BA7A1E"/>
    <w:rsid w:val="00BA7CA9"/>
    <w:rsid w:val="00BB2F6C"/>
    <w:rsid w:val="00BB3875"/>
    <w:rsid w:val="00BB5860"/>
    <w:rsid w:val="00BB6AAD"/>
    <w:rsid w:val="00BC18A5"/>
    <w:rsid w:val="00BC3825"/>
    <w:rsid w:val="00BC4A19"/>
    <w:rsid w:val="00BC4E6D"/>
    <w:rsid w:val="00BD0617"/>
    <w:rsid w:val="00BD2E9B"/>
    <w:rsid w:val="00BE188D"/>
    <w:rsid w:val="00BF3854"/>
    <w:rsid w:val="00BF7AD7"/>
    <w:rsid w:val="00C00930"/>
    <w:rsid w:val="00C00BCF"/>
    <w:rsid w:val="00C060AD"/>
    <w:rsid w:val="00C062EF"/>
    <w:rsid w:val="00C0670D"/>
    <w:rsid w:val="00C113BF"/>
    <w:rsid w:val="00C14F1A"/>
    <w:rsid w:val="00C1782B"/>
    <w:rsid w:val="00C2176E"/>
    <w:rsid w:val="00C23430"/>
    <w:rsid w:val="00C25295"/>
    <w:rsid w:val="00C25E6E"/>
    <w:rsid w:val="00C27D67"/>
    <w:rsid w:val="00C4631F"/>
    <w:rsid w:val="00C50E16"/>
    <w:rsid w:val="00C55258"/>
    <w:rsid w:val="00C773D3"/>
    <w:rsid w:val="00C80B9A"/>
    <w:rsid w:val="00C82EEB"/>
    <w:rsid w:val="00C971DC"/>
    <w:rsid w:val="00CA16B7"/>
    <w:rsid w:val="00CA4BE3"/>
    <w:rsid w:val="00CA62AE"/>
    <w:rsid w:val="00CB5B1A"/>
    <w:rsid w:val="00CC1AC0"/>
    <w:rsid w:val="00CC220B"/>
    <w:rsid w:val="00CC5C43"/>
    <w:rsid w:val="00CD02AE"/>
    <w:rsid w:val="00CD1CC4"/>
    <w:rsid w:val="00CD2A4F"/>
    <w:rsid w:val="00CE03CA"/>
    <w:rsid w:val="00CE22F1"/>
    <w:rsid w:val="00CE50F2"/>
    <w:rsid w:val="00CE6502"/>
    <w:rsid w:val="00CF7D3C"/>
    <w:rsid w:val="00D03933"/>
    <w:rsid w:val="00D10F65"/>
    <w:rsid w:val="00D147EB"/>
    <w:rsid w:val="00D34667"/>
    <w:rsid w:val="00D401E1"/>
    <w:rsid w:val="00D408B4"/>
    <w:rsid w:val="00D423B1"/>
    <w:rsid w:val="00D45D94"/>
    <w:rsid w:val="00D4630C"/>
    <w:rsid w:val="00D524C8"/>
    <w:rsid w:val="00D56C1A"/>
    <w:rsid w:val="00D60E25"/>
    <w:rsid w:val="00D654AA"/>
    <w:rsid w:val="00D70E21"/>
    <w:rsid w:val="00D70E24"/>
    <w:rsid w:val="00D72B61"/>
    <w:rsid w:val="00DA1ECB"/>
    <w:rsid w:val="00DA3041"/>
    <w:rsid w:val="00DA3D1D"/>
    <w:rsid w:val="00DA7E8D"/>
    <w:rsid w:val="00DB007C"/>
    <w:rsid w:val="00DB0138"/>
    <w:rsid w:val="00DB6286"/>
    <w:rsid w:val="00DB645F"/>
    <w:rsid w:val="00DB76E9"/>
    <w:rsid w:val="00DC0A67"/>
    <w:rsid w:val="00DC1D5E"/>
    <w:rsid w:val="00DC2313"/>
    <w:rsid w:val="00DC431B"/>
    <w:rsid w:val="00DC5220"/>
    <w:rsid w:val="00DC571C"/>
    <w:rsid w:val="00DC7910"/>
    <w:rsid w:val="00DD2061"/>
    <w:rsid w:val="00DD7DAB"/>
    <w:rsid w:val="00DE3355"/>
    <w:rsid w:val="00DF486F"/>
    <w:rsid w:val="00DF5B5B"/>
    <w:rsid w:val="00DF7619"/>
    <w:rsid w:val="00E042D8"/>
    <w:rsid w:val="00E048A9"/>
    <w:rsid w:val="00E07EE7"/>
    <w:rsid w:val="00E1103B"/>
    <w:rsid w:val="00E17B44"/>
    <w:rsid w:val="00E27FEA"/>
    <w:rsid w:val="00E3030C"/>
    <w:rsid w:val="00E32399"/>
    <w:rsid w:val="00E4086F"/>
    <w:rsid w:val="00E43B3C"/>
    <w:rsid w:val="00E50188"/>
    <w:rsid w:val="00E5039A"/>
    <w:rsid w:val="00E515CB"/>
    <w:rsid w:val="00E52260"/>
    <w:rsid w:val="00E57640"/>
    <w:rsid w:val="00E639B6"/>
    <w:rsid w:val="00E6434B"/>
    <w:rsid w:val="00E6463D"/>
    <w:rsid w:val="00E72E9B"/>
    <w:rsid w:val="00E849DA"/>
    <w:rsid w:val="00E9462E"/>
    <w:rsid w:val="00EA3CE4"/>
    <w:rsid w:val="00EA470E"/>
    <w:rsid w:val="00EA47A7"/>
    <w:rsid w:val="00EA57EB"/>
    <w:rsid w:val="00EB3226"/>
    <w:rsid w:val="00EC213A"/>
    <w:rsid w:val="00EC6603"/>
    <w:rsid w:val="00EC7744"/>
    <w:rsid w:val="00ED0DAD"/>
    <w:rsid w:val="00ED0F46"/>
    <w:rsid w:val="00ED2373"/>
    <w:rsid w:val="00EE02B5"/>
    <w:rsid w:val="00EE3E8A"/>
    <w:rsid w:val="00EF6ECA"/>
    <w:rsid w:val="00F024E1"/>
    <w:rsid w:val="00F049F6"/>
    <w:rsid w:val="00F05C7A"/>
    <w:rsid w:val="00F06C10"/>
    <w:rsid w:val="00F10270"/>
    <w:rsid w:val="00F1096F"/>
    <w:rsid w:val="00F122AC"/>
    <w:rsid w:val="00F12589"/>
    <w:rsid w:val="00F12595"/>
    <w:rsid w:val="00F134D9"/>
    <w:rsid w:val="00F1403D"/>
    <w:rsid w:val="00F1463F"/>
    <w:rsid w:val="00F14A62"/>
    <w:rsid w:val="00F21302"/>
    <w:rsid w:val="00F321DE"/>
    <w:rsid w:val="00F32E9E"/>
    <w:rsid w:val="00F33777"/>
    <w:rsid w:val="00F40648"/>
    <w:rsid w:val="00F47DA2"/>
    <w:rsid w:val="00F519FC"/>
    <w:rsid w:val="00F6239D"/>
    <w:rsid w:val="00F715D2"/>
    <w:rsid w:val="00F7274F"/>
    <w:rsid w:val="00F76FA8"/>
    <w:rsid w:val="00F83CDF"/>
    <w:rsid w:val="00F93F08"/>
    <w:rsid w:val="00F94CED"/>
    <w:rsid w:val="00FA2CEE"/>
    <w:rsid w:val="00FA318C"/>
    <w:rsid w:val="00FB09CC"/>
    <w:rsid w:val="00FB3722"/>
    <w:rsid w:val="00FB6F92"/>
    <w:rsid w:val="00FC026E"/>
    <w:rsid w:val="00FC5124"/>
    <w:rsid w:val="00FD4731"/>
    <w:rsid w:val="00FE2653"/>
    <w:rsid w:val="00FF0AB0"/>
    <w:rsid w:val="00FF28AC"/>
    <w:rsid w:val="00FF44C1"/>
    <w:rsid w:val="00FF7F62"/>
    <w:rsid w:val="019062D0"/>
    <w:rsid w:val="0540C2EF"/>
    <w:rsid w:val="0565584B"/>
    <w:rsid w:val="066E4D08"/>
    <w:rsid w:val="06B7F8AA"/>
    <w:rsid w:val="0B075E5E"/>
    <w:rsid w:val="0BC183F4"/>
    <w:rsid w:val="0D057ACC"/>
    <w:rsid w:val="0F8B8CC3"/>
    <w:rsid w:val="10F881D1"/>
    <w:rsid w:val="12D696BE"/>
    <w:rsid w:val="12F67B64"/>
    <w:rsid w:val="141279EA"/>
    <w:rsid w:val="14EC6D00"/>
    <w:rsid w:val="150558B1"/>
    <w:rsid w:val="170BFC99"/>
    <w:rsid w:val="19411FD4"/>
    <w:rsid w:val="19D661CA"/>
    <w:rsid w:val="1ADBC832"/>
    <w:rsid w:val="1C2B4370"/>
    <w:rsid w:val="1CD93BE0"/>
    <w:rsid w:val="1EBF891C"/>
    <w:rsid w:val="2260B6C6"/>
    <w:rsid w:val="22994686"/>
    <w:rsid w:val="231F07A9"/>
    <w:rsid w:val="239E0670"/>
    <w:rsid w:val="2738AB22"/>
    <w:rsid w:val="282EAEBE"/>
    <w:rsid w:val="28EC2E92"/>
    <w:rsid w:val="297C06BC"/>
    <w:rsid w:val="2AFA3CBB"/>
    <w:rsid w:val="2B0E0ED0"/>
    <w:rsid w:val="2BE4F572"/>
    <w:rsid w:val="2DD8B580"/>
    <w:rsid w:val="2EC33DC9"/>
    <w:rsid w:val="33A77C34"/>
    <w:rsid w:val="39763E11"/>
    <w:rsid w:val="3AC003A9"/>
    <w:rsid w:val="3ADED418"/>
    <w:rsid w:val="3E41461B"/>
    <w:rsid w:val="4147E282"/>
    <w:rsid w:val="41B1215C"/>
    <w:rsid w:val="4441173D"/>
    <w:rsid w:val="465DA5B9"/>
    <w:rsid w:val="48020E46"/>
    <w:rsid w:val="484ECB4E"/>
    <w:rsid w:val="486E60EF"/>
    <w:rsid w:val="4924AB00"/>
    <w:rsid w:val="49412D48"/>
    <w:rsid w:val="4A83B536"/>
    <w:rsid w:val="4F65A64B"/>
    <w:rsid w:val="54F01D99"/>
    <w:rsid w:val="55B2B06B"/>
    <w:rsid w:val="57666081"/>
    <w:rsid w:val="5803BA77"/>
    <w:rsid w:val="58580C46"/>
    <w:rsid w:val="5B2400C5"/>
    <w:rsid w:val="5BA6B80A"/>
    <w:rsid w:val="5DBE6148"/>
    <w:rsid w:val="5E198C67"/>
    <w:rsid w:val="63E99D9A"/>
    <w:rsid w:val="648DA46C"/>
    <w:rsid w:val="666DEE53"/>
    <w:rsid w:val="6AA68AC5"/>
    <w:rsid w:val="6AD2AF30"/>
    <w:rsid w:val="6C498814"/>
    <w:rsid w:val="6D7184A7"/>
    <w:rsid w:val="6E0F985C"/>
    <w:rsid w:val="6F403924"/>
    <w:rsid w:val="706BC582"/>
    <w:rsid w:val="71D5B40F"/>
    <w:rsid w:val="7885D2CC"/>
    <w:rsid w:val="7B3135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BA437"/>
  <w15:docId w15:val="{949750BC-7C0F-4DAA-8850-8D439598F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C46A6"/>
    <w:pPr>
      <w:spacing w:before="120" w:after="120" w:line="276" w:lineRule="auto"/>
    </w:pPr>
    <w:rPr>
      <w:rFonts w:ascii="Arial" w:hAnsi="Arial"/>
      <w:color w:val="033636" w:themeColor="text1"/>
      <w:sz w:val="22"/>
      <w:szCs w:val="24"/>
      <w:lang w:eastAsia="en-US"/>
    </w:rPr>
  </w:style>
  <w:style w:type="paragraph" w:styleId="Heading1">
    <w:name w:val="heading 1"/>
    <w:next w:val="Normal"/>
    <w:link w:val="Heading1Char"/>
    <w:qFormat/>
    <w:rsid w:val="00281F5F"/>
    <w:pPr>
      <w:keepNext/>
      <w:spacing w:before="240" w:after="60"/>
      <w:outlineLvl w:val="0"/>
    </w:pPr>
    <w:rPr>
      <w:rFonts w:ascii="Arial" w:hAnsi="Arial" w:cs="Arial"/>
      <w:b/>
      <w:bCs/>
      <w:color w:val="033636" w:themeColor="text1"/>
      <w:kern w:val="28"/>
      <w:sz w:val="44"/>
      <w:szCs w:val="36"/>
      <w:lang w:eastAsia="en-US"/>
    </w:rPr>
  </w:style>
  <w:style w:type="paragraph" w:styleId="Heading2">
    <w:name w:val="heading 2"/>
    <w:next w:val="Normal"/>
    <w:qFormat/>
    <w:rsid w:val="00281F5F"/>
    <w:pPr>
      <w:keepNext/>
      <w:spacing w:before="240" w:after="60"/>
      <w:outlineLvl w:val="1"/>
    </w:pPr>
    <w:rPr>
      <w:rFonts w:ascii="Arial" w:hAnsi="Arial" w:cs="Arial"/>
      <w:b/>
      <w:bCs/>
      <w:iCs/>
      <w:color w:val="033636" w:themeColor="text1"/>
      <w:sz w:val="36"/>
      <w:szCs w:val="28"/>
      <w:lang w:eastAsia="en-US"/>
    </w:rPr>
  </w:style>
  <w:style w:type="paragraph" w:styleId="Heading3">
    <w:name w:val="heading 3"/>
    <w:next w:val="Normal"/>
    <w:qFormat/>
    <w:rsid w:val="00281F5F"/>
    <w:pPr>
      <w:keepNext/>
      <w:spacing w:before="180" w:after="60"/>
      <w:outlineLvl w:val="2"/>
    </w:pPr>
    <w:rPr>
      <w:rFonts w:ascii="Arial" w:hAnsi="Arial" w:cs="Arial"/>
      <w:b/>
      <w:bCs/>
      <w:color w:val="033636" w:themeColor="text1"/>
      <w:sz w:val="32"/>
      <w:szCs w:val="26"/>
      <w:lang w:eastAsia="en-US"/>
    </w:rPr>
  </w:style>
  <w:style w:type="paragraph" w:styleId="Heading4">
    <w:name w:val="heading 4"/>
    <w:next w:val="Normal"/>
    <w:qFormat/>
    <w:rsid w:val="00281F5F"/>
    <w:pPr>
      <w:keepNext/>
      <w:spacing w:before="240" w:after="60"/>
      <w:outlineLvl w:val="3"/>
    </w:pPr>
    <w:rPr>
      <w:rFonts w:ascii="Arial" w:hAnsi="Arial"/>
      <w:b/>
      <w:bCs/>
      <w:i/>
      <w:color w:val="033636" w:themeColor="text1"/>
      <w:sz w:val="28"/>
      <w:szCs w:val="28"/>
      <w:lang w:eastAsia="en-US"/>
    </w:rPr>
  </w:style>
  <w:style w:type="paragraph" w:styleId="Heading5">
    <w:name w:val="heading 5"/>
    <w:next w:val="Normal"/>
    <w:rsid w:val="00BF7AD7"/>
    <w:pPr>
      <w:keepNext/>
      <w:spacing w:before="240" w:after="60"/>
      <w:outlineLvl w:val="4"/>
    </w:pPr>
    <w:rPr>
      <w:rFonts w:ascii="Arial" w:hAnsi="Arial"/>
      <w:b/>
      <w:bCs/>
      <w:iCs/>
      <w:color w:val="C55500" w:themeColor="accent2"/>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eastAsiaTheme="majorEastAsia" w:hAnsi="Arial" w:cstheme="majorBidi"/>
      <w:b/>
      <w:i/>
      <w:iCs/>
      <w:color w:val="041E4D"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rsid w:val="00BF7AD7"/>
    <w:rPr>
      <w:b/>
      <w:bCs/>
    </w:rPr>
  </w:style>
  <w:style w:type="paragraph" w:styleId="Subtitle">
    <w:name w:val="Subtitle"/>
    <w:next w:val="Normal"/>
    <w:link w:val="SubtitleChar"/>
    <w:qFormat/>
    <w:rsid w:val="00281F5F"/>
    <w:pPr>
      <w:numPr>
        <w:ilvl w:val="1"/>
      </w:numPr>
      <w:spacing w:before="120" w:after="60"/>
    </w:pPr>
    <w:rPr>
      <w:rFonts w:ascii="Arial" w:eastAsiaTheme="majorEastAsia" w:hAnsi="Arial" w:cstheme="majorBidi"/>
      <w:iCs/>
      <w:color w:val="033636" w:themeColor="text1"/>
      <w:spacing w:val="15"/>
      <w:sz w:val="40"/>
      <w:szCs w:val="24"/>
      <w:lang w:eastAsia="en-US"/>
    </w:rPr>
  </w:style>
  <w:style w:type="character" w:customStyle="1" w:styleId="SubtitleChar">
    <w:name w:val="Subtitle Char"/>
    <w:basedOn w:val="DefaultParagraphFont"/>
    <w:link w:val="Subtitle"/>
    <w:rsid w:val="00281F5F"/>
    <w:rPr>
      <w:rFonts w:ascii="Arial" w:eastAsiaTheme="majorEastAsia" w:hAnsi="Arial" w:cstheme="majorBidi"/>
      <w:iCs/>
      <w:color w:val="033636" w:themeColor="text1"/>
      <w:spacing w:val="15"/>
      <w:sz w:val="40"/>
      <w:szCs w:val="24"/>
      <w:lang w:eastAsia="en-US"/>
    </w:rPr>
  </w:style>
  <w:style w:type="paragraph" w:styleId="Title">
    <w:name w:val="Title"/>
    <w:next w:val="Normal"/>
    <w:link w:val="TitleChar"/>
    <w:autoRedefine/>
    <w:uiPriority w:val="10"/>
    <w:qFormat/>
    <w:rsid w:val="00542C0D"/>
    <w:pPr>
      <w:spacing w:before="2040" w:after="360"/>
      <w:contextualSpacing/>
    </w:pPr>
    <w:rPr>
      <w:rFonts w:ascii="Arial" w:eastAsiaTheme="majorEastAsia" w:hAnsi="Arial" w:cstheme="majorBidi"/>
      <w:b/>
      <w:color w:val="033636" w:themeColor="text1"/>
      <w:kern w:val="28"/>
      <w:sz w:val="48"/>
      <w:szCs w:val="52"/>
      <w:lang w:eastAsia="en-US"/>
    </w:rPr>
  </w:style>
  <w:style w:type="character" w:customStyle="1" w:styleId="TitleChar">
    <w:name w:val="Title Char"/>
    <w:basedOn w:val="DefaultParagraphFont"/>
    <w:link w:val="Title"/>
    <w:uiPriority w:val="10"/>
    <w:rsid w:val="00542C0D"/>
    <w:rPr>
      <w:rFonts w:ascii="Arial" w:eastAsiaTheme="majorEastAsia" w:hAnsi="Arial" w:cstheme="majorBidi"/>
      <w:b/>
      <w:color w:val="033636" w:themeColor="text1"/>
      <w:kern w:val="28"/>
      <w:sz w:val="48"/>
      <w:szCs w:val="52"/>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29F3F3" w:themeColor="text1" w:themeTint="7F"/>
    </w:rPr>
  </w:style>
  <w:style w:type="character" w:styleId="IntenseEmphasis">
    <w:name w:val="Intense Emphasis"/>
    <w:basedOn w:val="DefaultParagraphFont"/>
    <w:uiPriority w:val="21"/>
    <w:rsid w:val="00BF7AD7"/>
    <w:rPr>
      <w:b/>
      <w:bCs/>
      <w:i/>
      <w:iCs/>
      <w:color w:val="083E9C" w:themeColor="accent1"/>
    </w:rPr>
  </w:style>
  <w:style w:type="paragraph" w:styleId="Quote">
    <w:name w:val="Quote"/>
    <w:next w:val="Normal"/>
    <w:link w:val="QuoteChar"/>
    <w:uiPriority w:val="29"/>
    <w:qFormat/>
    <w:rsid w:val="00BF7AD7"/>
    <w:pPr>
      <w:ind w:left="720"/>
    </w:pPr>
    <w:rPr>
      <w:rFonts w:ascii="Arial" w:hAnsi="Arial"/>
      <w:i/>
      <w:iCs/>
      <w:color w:val="033636"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033636" w:themeColor="text1"/>
      <w:sz w:val="22"/>
      <w:szCs w:val="24"/>
      <w:lang w:eastAsia="en-US"/>
    </w:rPr>
  </w:style>
  <w:style w:type="paragraph" w:styleId="IntenseQuote">
    <w:name w:val="Intense Quote"/>
    <w:next w:val="Normal"/>
    <w:link w:val="IntenseQuoteChar"/>
    <w:uiPriority w:val="30"/>
    <w:rsid w:val="00BF7AD7"/>
    <w:pPr>
      <w:pBdr>
        <w:bottom w:val="single" w:sz="4" w:space="4" w:color="083E9C" w:themeColor="accent1"/>
      </w:pBdr>
      <w:spacing w:before="200" w:after="280"/>
      <w:ind w:left="936" w:right="936"/>
    </w:pPr>
    <w:rPr>
      <w:rFonts w:ascii="Arial" w:hAnsi="Arial"/>
      <w:b/>
      <w:bCs/>
      <w:i/>
      <w:iCs/>
      <w:color w:val="083E9C"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083E9C" w:themeColor="accent1"/>
      <w:sz w:val="22"/>
      <w:szCs w:val="24"/>
      <w:lang w:eastAsia="en-US"/>
    </w:rPr>
  </w:style>
  <w:style w:type="character" w:styleId="SubtleReference">
    <w:name w:val="Subtle Reference"/>
    <w:basedOn w:val="DefaultParagraphFont"/>
    <w:uiPriority w:val="31"/>
    <w:rsid w:val="00BF7AD7"/>
    <w:rPr>
      <w:smallCaps/>
      <w:color w:val="C55500" w:themeColor="accent2"/>
      <w:u w:val="single"/>
    </w:rPr>
  </w:style>
  <w:style w:type="character" w:styleId="IntenseReference">
    <w:name w:val="Intense Reference"/>
    <w:basedOn w:val="DefaultParagraphFont"/>
    <w:uiPriority w:val="32"/>
    <w:rsid w:val="00BF7AD7"/>
    <w:rPr>
      <w:b/>
      <w:bCs/>
      <w:i/>
      <w:smallCaps/>
      <w:color w:val="C55500" w:themeColor="accent2"/>
      <w:spacing w:val="5"/>
      <w:u w:val="none"/>
    </w:rPr>
  </w:style>
  <w:style w:type="paragraph" w:styleId="ListBullet2">
    <w:name w:val="List Bullet 2"/>
    <w:basedOn w:val="ListNumber2"/>
    <w:rsid w:val="00BF7AD7"/>
    <w:pPr>
      <w:numPr>
        <w:numId w:val="22"/>
      </w:numPr>
    </w:pPr>
  </w:style>
  <w:style w:type="paragraph" w:styleId="ListNumber2">
    <w:name w:val="List Number 2"/>
    <w:basedOn w:val="ListBullet"/>
    <w:qFormat/>
    <w:rsid w:val="00BF7AD7"/>
    <w:pPr>
      <w:numPr>
        <w:numId w:val="21"/>
      </w:numPr>
    </w:pPr>
  </w:style>
  <w:style w:type="paragraph" w:styleId="ListBullet">
    <w:name w:val="List Bullet"/>
    <w:basedOn w:val="Normal"/>
    <w:qFormat/>
    <w:rsid w:val="00BF7AD7"/>
    <w:pPr>
      <w:numPr>
        <w:numId w:val="20"/>
      </w:numPr>
      <w:tabs>
        <w:tab w:val="left" w:pos="340"/>
        <w:tab w:val="left" w:pos="680"/>
      </w:tabs>
      <w:spacing w:before="60" w:after="60"/>
    </w:pPr>
  </w:style>
  <w:style w:type="paragraph" w:styleId="ListParagraph">
    <w:name w:val="List Paragraph"/>
    <w:basedOn w:val="Normal"/>
    <w:link w:val="ListParagraphChar"/>
    <w:uiPriority w:val="34"/>
    <w:qFormat/>
    <w:rsid w:val="00BF7AD7"/>
    <w:pPr>
      <w:ind w:left="720"/>
      <w:contextualSpacing/>
    </w:pPr>
  </w:style>
  <w:style w:type="paragraph" w:styleId="ListNumber3">
    <w:name w:val="List Number 3"/>
    <w:aliases w:val="List Third Level"/>
    <w:basedOn w:val="ListNumber2"/>
    <w:rsid w:val="00BF7AD7"/>
    <w:pPr>
      <w:numPr>
        <w:numId w:val="23"/>
      </w:numPr>
      <w:tabs>
        <w:tab w:val="num" w:pos="1440"/>
      </w:tabs>
    </w:pPr>
    <w:rPr>
      <w:rFonts w:eastAsia="Cambria"/>
      <w:color w:val="auto"/>
      <w:szCs w:val="22"/>
      <w:lang w:val="en-US"/>
    </w:rPr>
  </w:style>
  <w:style w:type="paragraph" w:customStyle="1" w:styleId="ImageTitle">
    <w:name w:val="Image Title"/>
    <w:locked/>
    <w:rsid w:val="00BF7AD7"/>
    <w:pPr>
      <w:tabs>
        <w:tab w:val="num" w:pos="1080"/>
      </w:tabs>
      <w:spacing w:before="120" w:line="240" w:lineRule="exact"/>
    </w:pPr>
    <w:rPr>
      <w:rFonts w:ascii="Arial" w:hAnsi="Arial"/>
      <w:color w:val="033636"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033636" w:themeColor="text1"/>
      <w:sz w:val="16"/>
      <w:szCs w:val="16"/>
      <w:lang w:eastAsia="en-US"/>
    </w:rPr>
  </w:style>
  <w:style w:type="table" w:styleId="TableGrid">
    <w:name w:val="Table Grid"/>
    <w:basedOn w:val="TableNormal"/>
    <w:locked/>
    <w:rsid w:val="00B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BF7AD7"/>
    <w:pPr>
      <w:spacing w:before="60" w:after="60"/>
    </w:pPr>
    <w:rPr>
      <w:rFonts w:ascii="Arial" w:hAnsi="Arial"/>
      <w:color w:val="033636" w:themeColor="text1"/>
      <w:sz w:val="21"/>
      <w:szCs w:val="24"/>
      <w:lang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BF7AD7"/>
    <w:pPr>
      <w:spacing w:before="120" w:after="120"/>
    </w:pPr>
    <w:rPr>
      <w:rFonts w:ascii="Arial" w:hAnsi="Arial"/>
      <w:b/>
      <w:color w:val="033636" w:themeColor="text1"/>
      <w:sz w:val="22"/>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BF7AD7"/>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F7AD7"/>
    <w:rPr>
      <w:rFonts w:ascii="Arial" w:hAnsi="Arial"/>
      <w:szCs w:val="24"/>
      <w:lang w:eastAsia="en-US"/>
    </w:rPr>
  </w:style>
  <w:style w:type="paragraph" w:customStyle="1" w:styleId="TableHeaderWhite">
    <w:name w:val="Table Header White"/>
    <w:basedOn w:val="Normal"/>
    <w:next w:val="Tabletextleft"/>
    <w:qFormat/>
    <w:rsid w:val="00281F5F"/>
    <w:pPr>
      <w:spacing w:before="80" w:after="80"/>
    </w:pPr>
    <w:rPr>
      <w:rFonts w:eastAsia="Cambria"/>
      <w:b/>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F7AD7"/>
    <w:pPr>
      <w:spacing w:before="60"/>
    </w:pPr>
    <w:rPr>
      <w:rFonts w:cs="Arial"/>
      <w:b/>
      <w:sz w:val="20"/>
    </w:rPr>
  </w:style>
  <w:style w:type="paragraph" w:customStyle="1" w:styleId="FigureTitle">
    <w:name w:val="Figure Title"/>
    <w:next w:val="Normal"/>
    <w:qFormat/>
    <w:rsid w:val="00BF7AD7"/>
    <w:pPr>
      <w:spacing w:before="120" w:after="120"/>
    </w:pPr>
    <w:rPr>
      <w:rFonts w:ascii="Arial" w:hAnsi="Arial" w:cs="Arial"/>
      <w:b/>
      <w:bCs/>
      <w:iCs/>
      <w:color w:val="033636" w:themeColor="text1"/>
      <w:sz w:val="22"/>
      <w:szCs w:val="22"/>
      <w:lang w:eastAsia="en-US"/>
    </w:rPr>
  </w:style>
  <w:style w:type="paragraph" w:styleId="NormalWeb">
    <w:name w:val="Normal (Web)"/>
    <w:basedOn w:val="Normal"/>
    <w:uiPriority w:val="99"/>
    <w:unhideWhenUsed/>
    <w:rsid w:val="00BF7AD7"/>
    <w:pPr>
      <w:spacing w:before="100" w:beforeAutospacing="1" w:after="100" w:afterAutospacing="1"/>
    </w:pPr>
    <w:rPr>
      <w:rFonts w:ascii="Times New Roman" w:hAnsi="Times New Roman"/>
      <w:sz w:val="24"/>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BF7AD7"/>
    <w:rPr>
      <w:color w:val="000000" w:themeColor="hyperlink"/>
      <w:u w:val="single"/>
    </w:rPr>
  </w:style>
  <w:style w:type="table" w:customStyle="1" w:styleId="PHNGreyTable">
    <w:name w:val="PHN Grey Table"/>
    <w:basedOn w:val="TableNormal"/>
    <w:uiPriority w:val="99"/>
    <w:rsid w:val="00BF7AD7"/>
    <w:pPr>
      <w:spacing w:before="120" w:after="120"/>
    </w:pPr>
    <w:rPr>
      <w:rFonts w:ascii="Arial" w:hAnsi="Arial"/>
      <w:sz w:val="22"/>
    </w:rPr>
    <w:tblPr>
      <w:tblBorders>
        <w:top w:val="single" w:sz="4" w:space="0" w:color="033636" w:themeColor="text1"/>
        <w:left w:val="single" w:sz="4" w:space="0" w:color="033636" w:themeColor="text1"/>
        <w:bottom w:val="single" w:sz="4" w:space="0" w:color="033636" w:themeColor="text1"/>
        <w:right w:val="single" w:sz="4" w:space="0" w:color="033636" w:themeColor="text1"/>
        <w:insideH w:val="single" w:sz="4" w:space="0" w:color="033636" w:themeColor="text1"/>
        <w:insideV w:val="single" w:sz="4" w:space="0" w:color="033636" w:themeColor="text1"/>
      </w:tblBorders>
    </w:tblPr>
    <w:tblStylePr w:type="firstRow">
      <w:rPr>
        <w:rFonts w:ascii="Arial" w:hAnsi="Arial"/>
        <w:b/>
        <w:color w:val="00DCA1" w:themeColor="background1"/>
        <w:sz w:val="22"/>
      </w:rPr>
      <w:tblPr/>
      <w:tcPr>
        <w:shd w:val="clear" w:color="auto" w:fill="32373A"/>
      </w:tcPr>
    </w:tblStylePr>
  </w:style>
  <w:style w:type="paragraph" w:customStyle="1" w:styleId="Tablelistbullet">
    <w:name w:val="Table list bullet"/>
    <w:basedOn w:val="Tabletextleft"/>
    <w:qFormat/>
    <w:rsid w:val="00BF7AD7"/>
    <w:pPr>
      <w:numPr>
        <w:numId w:val="24"/>
      </w:numPr>
    </w:pPr>
    <w:rPr>
      <w:szCs w:val="20"/>
    </w:rPr>
  </w:style>
  <w:style w:type="paragraph" w:customStyle="1" w:styleId="Tablelistnumber">
    <w:name w:val="Table list number"/>
    <w:basedOn w:val="Tabletextleft"/>
    <w:qFormat/>
    <w:rsid w:val="00BF7AD7"/>
    <w:pPr>
      <w:numPr>
        <w:numId w:val="25"/>
      </w:numPr>
    </w:pPr>
    <w:rPr>
      <w:bCs/>
      <w14:numSpacing w14:val="proportional"/>
    </w:rPr>
  </w:style>
  <w:style w:type="paragraph" w:customStyle="1" w:styleId="TableHeader">
    <w:name w:val="Table Header"/>
    <w:basedOn w:val="Normal"/>
    <w:next w:val="Tabletextleft"/>
    <w:qFormat/>
    <w:rsid w:val="00281F5F"/>
    <w:pPr>
      <w:spacing w:before="80" w:after="80"/>
    </w:pPr>
    <w:rPr>
      <w:rFonts w:eastAsia="Cambria"/>
      <w:b/>
      <w:szCs w:val="22"/>
      <w:lang w:val="en-US"/>
    </w:rPr>
  </w:style>
  <w:style w:type="paragraph" w:customStyle="1" w:styleId="SectionHeading">
    <w:name w:val="Section Heading"/>
    <w:basedOn w:val="Heading1"/>
    <w:next w:val="Normal"/>
    <w:rsid w:val="00BF7AD7"/>
    <w:rPr>
      <w:szCs w:val="32"/>
    </w:rPr>
  </w:style>
  <w:style w:type="paragraph" w:styleId="FootnoteText">
    <w:name w:val="footnote text"/>
    <w:link w:val="FootnoteTextChar"/>
    <w:uiPriority w:val="99"/>
    <w:rsid w:val="00BF7AD7"/>
    <w:rPr>
      <w:rFonts w:ascii="Arial" w:hAnsi="Arial"/>
      <w:lang w:eastAsia="en-US"/>
    </w:rPr>
  </w:style>
  <w:style w:type="character" w:customStyle="1" w:styleId="FootnoteTextChar">
    <w:name w:val="Footnote Text Char"/>
    <w:basedOn w:val="DefaultParagraphFont"/>
    <w:link w:val="FootnoteText"/>
    <w:uiPriority w:val="99"/>
    <w:rsid w:val="00BF7AD7"/>
    <w:rPr>
      <w:rFonts w:ascii="Arial" w:hAnsi="Arial"/>
      <w:lang w:eastAsia="en-US"/>
    </w:rPr>
  </w:style>
  <w:style w:type="paragraph" w:styleId="Caption">
    <w:name w:val="caption"/>
    <w:basedOn w:val="Normal"/>
    <w:next w:val="Normal"/>
    <w:unhideWhenUsed/>
    <w:rsid w:val="00BF7AD7"/>
    <w:pPr>
      <w:spacing w:after="200"/>
    </w:pPr>
    <w:rPr>
      <w:b/>
      <w:bCs/>
      <w:color w:val="083E9C" w:themeColor="accent1"/>
      <w:sz w:val="18"/>
      <w:szCs w:val="18"/>
    </w:rPr>
  </w:style>
  <w:style w:type="paragraph" w:customStyle="1" w:styleId="VisionBox">
    <w:name w:val="VisionBox"/>
    <w:basedOn w:val="Normal"/>
    <w:qFormat/>
    <w:rsid w:val="00281F5F"/>
    <w:pPr>
      <w:pBdr>
        <w:top w:val="single" w:sz="4" w:space="15" w:color="00DCA1" w:themeColor="background1"/>
        <w:bottom w:val="single" w:sz="4" w:space="10" w:color="00DCA1" w:themeColor="background1"/>
      </w:pBdr>
      <w:spacing w:before="240" w:after="240" w:line="340" w:lineRule="exact"/>
    </w:pPr>
    <w:rPr>
      <w:rFonts w:eastAsiaTheme="minorHAnsi"/>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33636"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281F5F"/>
    <w:pPr>
      <w:pBdr>
        <w:top w:val="single" w:sz="4" w:space="20" w:color="033636" w:themeColor="text1"/>
        <w:left w:val="single" w:sz="4" w:space="10" w:color="033636" w:themeColor="text1"/>
        <w:bottom w:val="single" w:sz="4" w:space="10" w:color="033636" w:themeColor="text1"/>
        <w:right w:val="single" w:sz="4" w:space="10" w:color="033636" w:themeColor="text1"/>
      </w:pBdr>
      <w:shd w:val="clear" w:color="auto" w:fill="033636" w:themeFill="text1"/>
      <w:spacing w:before="240" w:line="260" w:lineRule="auto"/>
      <w:ind w:left="227" w:right="227"/>
    </w:pPr>
    <w:rPr>
      <w:b/>
      <w:color w:val="FFFFFF"/>
    </w:rPr>
  </w:style>
  <w:style w:type="table" w:customStyle="1" w:styleId="DepartmentofHealthtable">
    <w:name w:val="Department of Health table"/>
    <w:basedOn w:val="TableNormal"/>
    <w:uiPriority w:val="99"/>
    <w:rsid w:val="00281F5F"/>
    <w:rPr>
      <w:rFonts w:ascii="Arial" w:hAnsi="Arial"/>
      <w:color w:val="033636" w:themeColor="text1"/>
      <w:sz w:val="21"/>
    </w:rPr>
    <w:tblPr>
      <w:tblStyleRowBandSize w:val="1"/>
      <w:tblStyleColBandSize w:val="1"/>
      <w:tblBorders>
        <w:top w:val="single" w:sz="4" w:space="0" w:color="00DCA1" w:themeColor="background1"/>
        <w:bottom w:val="single" w:sz="4" w:space="0" w:color="00DCA1" w:themeColor="background1"/>
        <w:insideH w:val="single" w:sz="4" w:space="0" w:color="00DCA1" w:themeColor="background1"/>
      </w:tblBorders>
    </w:tblPr>
    <w:tcPr>
      <w:shd w:val="clear" w:color="auto" w:fill="auto"/>
    </w:tcPr>
    <w:tblStylePr w:type="firstRow">
      <w:rPr>
        <w:rFonts w:ascii="Arial" w:hAnsi="Arial"/>
        <w:b/>
        <w:color w:val="000000" w:themeColor="text2"/>
        <w:sz w:val="22"/>
      </w:rPr>
      <w:tblPr/>
      <w:tcPr>
        <w:shd w:val="clear" w:color="auto" w:fill="00DCA1" w:themeFill="background1"/>
      </w:tcPr>
    </w:tblStylePr>
    <w:tblStylePr w:type="lastRow">
      <w:rPr>
        <w:rFonts w:ascii="Arial" w:hAnsi="Arial"/>
        <w:b w:val="0"/>
        <w:color w:val="033636" w:themeColor="text1"/>
      </w:rPr>
      <w:tblPr/>
      <w:tcPr>
        <w:tcBorders>
          <w:top w:val="nil"/>
          <w:left w:val="nil"/>
          <w:bottom w:val="nil"/>
          <w:right w:val="nil"/>
          <w:insideH w:val="nil"/>
          <w:insideV w:val="nil"/>
          <w:tl2br w:val="nil"/>
          <w:tr2bl w:val="nil"/>
        </w:tcBorders>
      </w:tcPr>
    </w:tblStylePr>
    <w:tblStylePr w:type="band1Vert">
      <w:tblPr/>
      <w:tcPr>
        <w:tcBorders>
          <w:top w:val="single" w:sz="4" w:space="0" w:color="00DCA1" w:themeColor="background1"/>
          <w:left w:val="nil"/>
          <w:bottom w:val="single" w:sz="4" w:space="0" w:color="00DCA1" w:themeColor="background1"/>
          <w:right w:val="nil"/>
          <w:insideH w:val="nil"/>
          <w:insideV w:val="nil"/>
          <w:tl2br w:val="nil"/>
          <w:tr2bl w:val="nil"/>
        </w:tcBorders>
        <w:shd w:val="clear" w:color="auto" w:fill="auto"/>
      </w:tcPr>
    </w:tblStylePr>
  </w:style>
  <w:style w:type="character" w:customStyle="1" w:styleId="TableTitleChar">
    <w:name w:val="Table Title Char"/>
    <w:basedOn w:val="DefaultParagraphFont"/>
    <w:link w:val="TableTitle"/>
    <w:rsid w:val="00BF7AD7"/>
    <w:rPr>
      <w:rFonts w:ascii="Arial" w:hAnsi="Arial"/>
      <w:b/>
      <w:color w:val="033636" w:themeColor="text1"/>
      <w:sz w:val="22"/>
      <w:szCs w:val="24"/>
      <w:lang w:val="en-US" w:eastAsia="en-US"/>
    </w:rPr>
  </w:style>
  <w:style w:type="paragraph" w:customStyle="1" w:styleId="IntroPara">
    <w:name w:val="Intro Para"/>
    <w:basedOn w:val="Normal"/>
    <w:next w:val="Normal"/>
    <w:qFormat/>
    <w:rsid w:val="00281F5F"/>
    <w:pPr>
      <w:spacing w:before="480" w:line="400" w:lineRule="exact"/>
    </w:pPr>
    <w:rPr>
      <w:sz w:val="28"/>
    </w:rPr>
  </w:style>
  <w:style w:type="paragraph" w:customStyle="1" w:styleId="TableTextright">
    <w:name w:val="Table Text right"/>
    <w:basedOn w:val="Tabletextleft"/>
    <w:rsid w:val="00BF7AD7"/>
    <w:pPr>
      <w:jc w:val="right"/>
    </w:pPr>
  </w:style>
  <w:style w:type="paragraph" w:customStyle="1" w:styleId="Tabletextright0">
    <w:name w:val="Table text right"/>
    <w:basedOn w:val="Tabletextleft"/>
    <w:rsid w:val="00BF7AD7"/>
    <w:pPr>
      <w:jc w:val="right"/>
    </w:pPr>
  </w:style>
  <w:style w:type="paragraph" w:customStyle="1" w:styleId="Tabletextcentre">
    <w:name w:val="Table text centre"/>
    <w:basedOn w:val="Tabletextleft"/>
    <w:rsid w:val="00BF7AD7"/>
    <w:pPr>
      <w:jc w:val="center"/>
    </w:pPr>
  </w:style>
  <w:style w:type="paragraph" w:customStyle="1" w:styleId="Boxheading">
    <w:name w:val="Box heading"/>
    <w:basedOn w:val="Boxtype"/>
    <w:qFormat/>
    <w:rsid w:val="00281F5F"/>
    <w:pPr>
      <w:spacing w:before="240"/>
    </w:pPr>
    <w:rPr>
      <w:rFonts w:cs="Times New Roman"/>
      <w:b/>
      <w:bCs/>
      <w:szCs w:val="20"/>
    </w:rPr>
  </w:style>
  <w:style w:type="paragraph" w:customStyle="1" w:styleId="Boxtype">
    <w:name w:val="Box type"/>
    <w:next w:val="Normal"/>
    <w:qFormat/>
    <w:rsid w:val="00281F5F"/>
    <w:pPr>
      <w:pBdr>
        <w:top w:val="single" w:sz="6" w:space="20" w:color="00DCA1" w:themeColor="background1"/>
        <w:left w:val="single" w:sz="6" w:space="10" w:color="00DCA1" w:themeColor="background1"/>
        <w:bottom w:val="single" w:sz="6" w:space="10" w:color="00DCA1" w:themeColor="background1"/>
        <w:right w:val="single" w:sz="6" w:space="10" w:color="00DCA1" w:themeColor="background1"/>
      </w:pBdr>
      <w:spacing w:after="240" w:line="276" w:lineRule="auto"/>
      <w:ind w:left="227" w:right="227"/>
    </w:pPr>
    <w:rPr>
      <w:rFonts w:ascii="Arial" w:hAnsi="Arial" w:cs="Arial"/>
      <w:color w:val="033636" w:themeColor="text1"/>
      <w:sz w:val="22"/>
      <w:szCs w:val="24"/>
      <w:lang w:val="en" w:eastAsia="en-US"/>
    </w:rPr>
  </w:style>
  <w:style w:type="paragraph" w:styleId="BodyText">
    <w:name w:val="Body Text"/>
    <w:basedOn w:val="Normal"/>
    <w:link w:val="BodyTextChar"/>
    <w:semiHidden/>
    <w:unhideWhenUsed/>
    <w:rsid w:val="00BF7AD7"/>
  </w:style>
  <w:style w:type="character" w:customStyle="1" w:styleId="BodyTextChar">
    <w:name w:val="Body Text Char"/>
    <w:basedOn w:val="DefaultParagraphFont"/>
    <w:link w:val="BodyText"/>
    <w:semiHidden/>
    <w:rsid w:val="00BF7AD7"/>
    <w:rPr>
      <w:rFonts w:ascii="Arial" w:hAnsi="Arial"/>
      <w:color w:val="033636"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041E4D" w:themeColor="accent1" w:themeShade="7F"/>
      <w:sz w:val="22"/>
      <w:szCs w:val="24"/>
      <w:lang w:eastAsia="en-US"/>
    </w:rPr>
  </w:style>
  <w:style w:type="paragraph" w:customStyle="1" w:styleId="URL">
    <w:name w:val="URL"/>
    <w:basedOn w:val="Normal"/>
    <w:rsid w:val="00BF7AD7"/>
    <w:pPr>
      <w:spacing w:before="3120"/>
      <w:jc w:val="center"/>
    </w:pPr>
    <w:rPr>
      <w:b/>
      <w:bCs/>
      <w:sz w:val="24"/>
      <w:szCs w:val="20"/>
    </w:rPr>
  </w:style>
  <w:style w:type="character" w:styleId="CommentReference">
    <w:name w:val="annotation reference"/>
    <w:basedOn w:val="DefaultParagraphFont"/>
    <w:semiHidden/>
    <w:unhideWhenUsed/>
    <w:rsid w:val="00EA3CE4"/>
    <w:rPr>
      <w:sz w:val="16"/>
      <w:szCs w:val="16"/>
    </w:rPr>
  </w:style>
  <w:style w:type="paragraph" w:styleId="CommentText">
    <w:name w:val="annotation text"/>
    <w:basedOn w:val="Normal"/>
    <w:link w:val="CommentTextChar"/>
    <w:unhideWhenUsed/>
    <w:rsid w:val="00EA3CE4"/>
    <w:pPr>
      <w:spacing w:line="240" w:lineRule="auto"/>
    </w:pPr>
    <w:rPr>
      <w:sz w:val="20"/>
      <w:szCs w:val="20"/>
    </w:rPr>
  </w:style>
  <w:style w:type="character" w:customStyle="1" w:styleId="CommentTextChar">
    <w:name w:val="Comment Text Char"/>
    <w:basedOn w:val="DefaultParagraphFont"/>
    <w:link w:val="CommentText"/>
    <w:rsid w:val="00EA3CE4"/>
    <w:rPr>
      <w:rFonts w:ascii="Arial" w:hAnsi="Arial"/>
      <w:color w:val="033636" w:themeColor="text1"/>
      <w:lang w:eastAsia="en-US"/>
    </w:rPr>
  </w:style>
  <w:style w:type="paragraph" w:styleId="CommentSubject">
    <w:name w:val="annotation subject"/>
    <w:basedOn w:val="CommentText"/>
    <w:next w:val="CommentText"/>
    <w:link w:val="CommentSubjectChar"/>
    <w:semiHidden/>
    <w:unhideWhenUsed/>
    <w:rsid w:val="00EA3CE4"/>
    <w:rPr>
      <w:b/>
      <w:bCs/>
    </w:rPr>
  </w:style>
  <w:style w:type="character" w:customStyle="1" w:styleId="CommentSubjectChar">
    <w:name w:val="Comment Subject Char"/>
    <w:basedOn w:val="CommentTextChar"/>
    <w:link w:val="CommentSubject"/>
    <w:semiHidden/>
    <w:rsid w:val="00EA3CE4"/>
    <w:rPr>
      <w:rFonts w:ascii="Arial" w:hAnsi="Arial"/>
      <w:b/>
      <w:bCs/>
      <w:color w:val="033636" w:themeColor="text1"/>
      <w:lang w:eastAsia="en-US"/>
    </w:rPr>
  </w:style>
  <w:style w:type="character" w:customStyle="1" w:styleId="Heading1Char">
    <w:name w:val="Heading 1 Char"/>
    <w:basedOn w:val="DefaultParagraphFont"/>
    <w:link w:val="Heading1"/>
    <w:rsid w:val="00EA3CE4"/>
    <w:rPr>
      <w:rFonts w:ascii="Arial" w:hAnsi="Arial" w:cs="Arial"/>
      <w:b/>
      <w:bCs/>
      <w:color w:val="033636" w:themeColor="text1"/>
      <w:kern w:val="28"/>
      <w:sz w:val="44"/>
      <w:szCs w:val="36"/>
      <w:lang w:eastAsia="en-US"/>
    </w:rPr>
  </w:style>
  <w:style w:type="character" w:styleId="FootnoteReference">
    <w:name w:val="footnote reference"/>
    <w:basedOn w:val="DefaultParagraphFont"/>
    <w:uiPriority w:val="99"/>
    <w:semiHidden/>
    <w:unhideWhenUsed/>
    <w:rsid w:val="00EA3CE4"/>
    <w:rPr>
      <w:vertAlign w:val="superscript"/>
    </w:rPr>
  </w:style>
  <w:style w:type="character" w:styleId="UnresolvedMention">
    <w:name w:val="Unresolved Mention"/>
    <w:basedOn w:val="DefaultParagraphFont"/>
    <w:uiPriority w:val="99"/>
    <w:semiHidden/>
    <w:unhideWhenUsed/>
    <w:rsid w:val="00EA3CE4"/>
    <w:rPr>
      <w:color w:val="605E5C"/>
      <w:shd w:val="clear" w:color="auto" w:fill="E1DFDD"/>
    </w:rPr>
  </w:style>
  <w:style w:type="character" w:customStyle="1" w:styleId="ListParagraphChar">
    <w:name w:val="List Paragraph Char"/>
    <w:basedOn w:val="DefaultParagraphFont"/>
    <w:link w:val="ListParagraph"/>
    <w:uiPriority w:val="34"/>
    <w:rsid w:val="00EA3CE4"/>
    <w:rPr>
      <w:rFonts w:ascii="Arial" w:hAnsi="Arial"/>
      <w:color w:val="033636" w:themeColor="text1"/>
      <w:sz w:val="22"/>
      <w:szCs w:val="24"/>
      <w:lang w:eastAsia="en-US"/>
    </w:rPr>
  </w:style>
  <w:style w:type="character" w:styleId="Mention">
    <w:name w:val="Mention"/>
    <w:basedOn w:val="DefaultParagraphFont"/>
    <w:uiPriority w:val="99"/>
    <w:unhideWhenUsed/>
    <w:rsid w:val="00EA3CE4"/>
    <w:rPr>
      <w:color w:val="2B579A"/>
      <w:shd w:val="clear" w:color="auto" w:fill="E1DFDD"/>
    </w:rPr>
  </w:style>
  <w:style w:type="paragraph" w:customStyle="1" w:styleId="EndNoteBibliography">
    <w:name w:val="EndNote Bibliography"/>
    <w:basedOn w:val="Normal"/>
    <w:link w:val="EndNoteBibliographyChar"/>
    <w:rsid w:val="00EA3CE4"/>
    <w:pPr>
      <w:numPr>
        <w:numId w:val="33"/>
      </w:numPr>
      <w:spacing w:before="0" w:after="160" w:line="240" w:lineRule="auto"/>
    </w:pPr>
    <w:rPr>
      <w:rFonts w:ascii="Calibri" w:eastAsiaTheme="minorHAnsi" w:hAnsi="Calibri" w:cs="Calibri"/>
      <w:noProof/>
      <w:szCs w:val="22"/>
      <w:lang w:val="en-US"/>
    </w:rPr>
  </w:style>
  <w:style w:type="character" w:customStyle="1" w:styleId="EndNoteBibliographyChar">
    <w:name w:val="EndNote Bibliography Char"/>
    <w:basedOn w:val="ListParagraphChar"/>
    <w:link w:val="EndNoteBibliography"/>
    <w:rsid w:val="00EA3CE4"/>
    <w:rPr>
      <w:rFonts w:ascii="Calibri" w:eastAsiaTheme="minorHAnsi" w:hAnsi="Calibri" w:cs="Calibri"/>
      <w:noProof/>
      <w:color w:val="033636" w:themeColor="text1"/>
      <w:sz w:val="22"/>
      <w:szCs w:val="22"/>
      <w:lang w:val="en-US" w:eastAsia="en-US"/>
    </w:rPr>
  </w:style>
  <w:style w:type="paragraph" w:styleId="Revision">
    <w:name w:val="Revision"/>
    <w:hidden/>
    <w:uiPriority w:val="99"/>
    <w:semiHidden/>
    <w:rsid w:val="000F2430"/>
    <w:rPr>
      <w:rFonts w:ascii="Arial" w:hAnsi="Arial"/>
      <w:color w:val="033636" w:themeColor="text1"/>
      <w:sz w:val="22"/>
      <w:szCs w:val="24"/>
      <w:lang w:eastAsia="en-US"/>
    </w:rPr>
  </w:style>
  <w:style w:type="character" w:styleId="FollowedHyperlink">
    <w:name w:val="FollowedHyperlink"/>
    <w:basedOn w:val="DefaultParagraphFont"/>
    <w:semiHidden/>
    <w:unhideWhenUsed/>
    <w:rsid w:val="002C168D"/>
    <w:rPr>
      <w:color w:val="D0CECE" w:themeColor="followedHyperlink"/>
      <w:u w:val="single"/>
    </w:rPr>
  </w:style>
  <w:style w:type="character" w:customStyle="1" w:styleId="cf11">
    <w:name w:val="cf11"/>
    <w:basedOn w:val="DefaultParagraphFont"/>
    <w:rsid w:val="0002698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856769">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66882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Definition:https://www.health.gov.au/resources/publications/monkeypox-laboratory-case-definition?language=en" TargetMode="External"/><Relationship Id="rId18" Type="http://schemas.openxmlformats.org/officeDocument/2006/relationships/hyperlink" Target="https://www.health.gov.au/resources/collections/monkeypox-mpox-resources" TargetMode="External"/><Relationship Id="rId26" Type="http://schemas.openxmlformats.org/officeDocument/2006/relationships/hyperlink" Target="https://app.magicapp.org/" TargetMode="External"/><Relationship Id="rId3" Type="http://schemas.openxmlformats.org/officeDocument/2006/relationships/customXml" Target="../customXml/item3.xml"/><Relationship Id="rId21" Type="http://schemas.openxmlformats.org/officeDocument/2006/relationships/hyperlink" Target="https://immunisationhandbook.health.gov.au/contents/vaccine-preventable-diseases/mpox-previously-known-as-monkeypox"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health.gov.au/resources/publications/phln-guidance-on-mpox-patient-referral-specimen-collection-and-test-requesting" TargetMode="External"/><Relationship Id="rId17" Type="http://schemas.openxmlformats.org/officeDocument/2006/relationships/hyperlink" Target="https://www.health.gov.au/resources/collections/monkeypox-mpox-resources" TargetMode="External"/><Relationship Id="rId25" Type="http://schemas.openxmlformats.org/officeDocument/2006/relationships/hyperlink" Target="https://www.fda.gov/vaccines-blood-biologics/approved-blood-products/vaccinia-immune-globulin-intravenous-human"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health.gov.au/resources/publications/mpox-cdna-national-guidelines-for-public-health-units?language=en" TargetMode="External"/><Relationship Id="rId20" Type="http://schemas.openxmlformats.org/officeDocument/2006/relationships/hyperlink" Target="https://www.health.gov.au/resources/publications/mpox-cdna-national-guidelines-for-public-health-units?language=en" TargetMode="External"/><Relationship Id="rId29" Type="http://schemas.openxmlformats.org/officeDocument/2006/relationships/hyperlink" Target="https://dailymed.nlm.nih.gov/dailymed/drugInfo.cfm?setid=fce826ab-4d6a-4139-a2ee-a304a913a25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ecraid.eu/study/epoxi" TargetMode="External"/><Relationship Id="rId32" Type="http://schemas.openxmlformats.org/officeDocument/2006/relationships/hyperlink" Target="https://www.who.int/publications/m/item/multi-country-outbreak-of-mpox--external-situation-report-31---22-december-2023" TargetMode="External"/><Relationship Id="rId5" Type="http://schemas.openxmlformats.org/officeDocument/2006/relationships/numbering" Target="numbering.xml"/><Relationship Id="rId15" Type="http://schemas.openxmlformats.org/officeDocument/2006/relationships/hyperlink" Target="https://immunisationhandbook.health.gov.au/contents/vaccine-preventable-diseases/mpox-previously-known-as-monkeypox" TargetMode="External"/><Relationship Id="rId23" Type="http://schemas.openxmlformats.org/officeDocument/2006/relationships/hyperlink" Target="https://www.mdpi.com/2075-1729/13/10/1969" TargetMode="External"/><Relationship Id="rId28" Type="http://schemas.openxmlformats.org/officeDocument/2006/relationships/hyperlink" Target="https://www.nih.gov/news-events/news-releases/antiviral-tecovirimat-safe-did-not-improve-clade-i-mpox-resolution-democratic-republic-congo"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dc.gov/mpox/hcp/clinical-care/pregnancy.html?CDC_AAref_Val=https://www.cdc.gov/poxvirus/mpox/clinicians/pregnancy.html" TargetMode="External"/><Relationship Id="rId31" Type="http://schemas.openxmlformats.org/officeDocument/2006/relationships/hyperlink" Target="https://www.ebs.tga.gov.au/ebs/picmi/picmirepository.nsf/pdf?OpenAgent&amp;id=CP-2018-PI-01541-1&amp;d=20220601172310101&amp;d=2024091117231010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resources/publications/monkeypox-virus-infection-surveillance-case-definition" TargetMode="External"/><Relationship Id="rId22" Type="http://schemas.openxmlformats.org/officeDocument/2006/relationships/hyperlink" Target="mailto:stockpile.ops@health.gov.au" TargetMode="External"/><Relationship Id="rId27" Type="http://schemas.openxmlformats.org/officeDocument/2006/relationships/hyperlink" Target="https://clinicaltrials.gov/study/NCT05534984" TargetMode="External"/><Relationship Id="rId30" Type="http://schemas.openxmlformats.org/officeDocument/2006/relationships/hyperlink" Target="https://s204.q4cdn.com/957130458/files/doc_news/2024/08/08-15-2024_SIGA_PALM-007-Press-Release_FINAL-FINAL.pdf"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DC">
  <a:themeElements>
    <a:clrScheme name="CDC">
      <a:dk1>
        <a:srgbClr val="033636"/>
      </a:dk1>
      <a:lt1>
        <a:srgbClr val="00DCA1"/>
      </a:lt1>
      <a:dk2>
        <a:srgbClr val="000000"/>
      </a:dk2>
      <a:lt2>
        <a:srgbClr val="B7C7D7"/>
      </a:lt2>
      <a:accent1>
        <a:srgbClr val="083E9C"/>
      </a:accent1>
      <a:accent2>
        <a:srgbClr val="C55500"/>
      </a:accent2>
      <a:accent3>
        <a:srgbClr val="511D81"/>
      </a:accent3>
      <a:accent4>
        <a:srgbClr val="FFD031"/>
      </a:accent4>
      <a:accent5>
        <a:srgbClr val="A10000"/>
      </a:accent5>
      <a:accent6>
        <a:srgbClr val="FF6E73"/>
      </a:accent6>
      <a:hlink>
        <a:srgbClr val="000000"/>
      </a:hlink>
      <a:folHlink>
        <a:srgbClr val="D0CEC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DC" id="{03A27568-D0A4-4B67-95AA-CA1E9E833DA3}" vid="{27FB942B-FA4F-4756-9360-D91B8DD8CE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E71144B0A72D48BAD5085EFC329F68" ma:contentTypeVersion="12" ma:contentTypeDescription="Create a new document." ma:contentTypeScope="" ma:versionID="293faa77b733c427cd0a6fb3d9cc1237">
  <xsd:schema xmlns:xsd="http://www.w3.org/2001/XMLSchema" xmlns:xs="http://www.w3.org/2001/XMLSchema" xmlns:p="http://schemas.microsoft.com/office/2006/metadata/properties" xmlns:ns2="c4876c76-5897-4d5d-ac80-954d0599e137" xmlns:ns3="01920aa1-7832-453e-a147-98c77996387c" targetNamespace="http://schemas.microsoft.com/office/2006/metadata/properties" ma:root="true" ma:fieldsID="ea3c27c2fcab0a7818d78c472d33e894" ns2:_="" ns3:_="">
    <xsd:import namespace="c4876c76-5897-4d5d-ac80-954d0599e137"/>
    <xsd:import namespace="01920aa1-7832-453e-a147-98c77996387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76c76-5897-4d5d-ac80-954d0599e13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920aa1-7832-453e-a147-98c77996387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00AD64-082C-46DB-8FE2-AC016864A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76c76-5897-4d5d-ac80-954d0599e137"/>
    <ds:schemaRef ds:uri="01920aa1-7832-453e-a147-98c7799638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B9117E-35B3-4AB3-A88F-834EF93E30D0}">
  <ds:schemaRefs>
    <ds:schemaRef ds:uri="http://schemas.openxmlformats.org/officeDocument/2006/bibliography"/>
  </ds:schemaRefs>
</ds:datastoreItem>
</file>

<file path=customXml/itemProps3.xml><?xml version="1.0" encoding="utf-8"?>
<ds:datastoreItem xmlns:ds="http://schemas.openxmlformats.org/officeDocument/2006/customXml" ds:itemID="{D20C6417-ADBB-487B-9091-DC3471F064BF}">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4876c76-5897-4d5d-ac80-954d0599e137"/>
    <ds:schemaRef ds:uri="http://purl.org/dc/terms/"/>
    <ds:schemaRef ds:uri="01920aa1-7832-453e-a147-98c77996387c"/>
    <ds:schemaRef ds:uri="http://www.w3.org/XML/1998/namespace"/>
    <ds:schemaRef ds:uri="http://purl.org/dc/dcmitype/"/>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3726</Words>
  <Characters>22875</Characters>
  <Application>Microsoft Office Word</Application>
  <DocSecurity>4</DocSecurity>
  <Lines>456</Lines>
  <Paragraphs>182</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2024 monkeypox (mpox) treatment guidelines</vt:lpstr>
      <vt:lpstr>Revision History</vt:lpstr>
      <vt:lpstr>Disclaimer </vt:lpstr>
      <vt:lpstr>Executive summary </vt:lpstr>
      <vt:lpstr>    Guiding principles</vt:lpstr>
      <vt:lpstr>Purpose of guidelines </vt:lpstr>
      <vt:lpstr>Scope</vt:lpstr>
      <vt:lpstr>    Description of mpox</vt:lpstr>
      <vt:lpstr>    Treatment of symptomatic infection</vt:lpstr>
      <vt:lpstr>    Treatment Overview</vt:lpstr>
      <vt:lpstr>Treatment options</vt:lpstr>
      <vt:lpstr>    Other treatments with potential activity</vt:lpstr>
      <vt:lpstr>    Indications for use in confirmed mpox</vt:lpstr>
      <vt:lpstr>    Post-exposure prophylaxis following a significant mpox exposure in an individual</vt:lpstr>
      <vt:lpstr>        Accessing the National Medical Stockpile</vt:lpstr>
      <vt:lpstr>    Appendix</vt:lpstr>
      <vt:lpstr>    References</vt:lpstr>
    </vt:vector>
  </TitlesOfParts>
  <Manager/>
  <Company/>
  <LinksUpToDate>false</LinksUpToDate>
  <CharactersWithSpaces>26477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monkeypox (mpox) treatment guidelines</dc:title>
  <dc:subject>Mpox (monkeypox)</dc:subject>
  <dc:creator>Australian Government Department of Health and Aged Care</dc:creator>
  <cp:keywords>monkeypox virus; mpox; communicable diseases</cp:keywords>
  <dc:description/>
  <cp:revision>2</cp:revision>
  <cp:lastPrinted>2022-06-22T22:44:00Z</cp:lastPrinted>
  <dcterms:created xsi:type="dcterms:W3CDTF">2024-11-20T00:26:00Z</dcterms:created>
  <dcterms:modified xsi:type="dcterms:W3CDTF">2024-11-20T00:26:00Z</dcterms:modified>
  <cp:category/>
</cp:coreProperties>
</file>