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40314" w14:textId="77777777" w:rsidR="00751A23" w:rsidRPr="005B734B" w:rsidRDefault="002E3591" w:rsidP="009D5119">
      <w:pPr>
        <w:pStyle w:val="Title"/>
        <w:rPr>
          <w:b w:val="0"/>
        </w:rPr>
      </w:pPr>
      <w:r w:rsidRPr="005B734B">
        <w:rPr>
          <w:b w:val="0"/>
        </w:rPr>
        <w:t>National Syphilis Surveillance Report</w:t>
      </w:r>
    </w:p>
    <w:p w14:paraId="6BB6EED4" w14:textId="5AC780C0" w:rsidR="009F4231" w:rsidRPr="005B734B" w:rsidRDefault="002E3591" w:rsidP="009F4231">
      <w:pPr>
        <w:pStyle w:val="Subtitle"/>
      </w:pPr>
      <w:r w:rsidRPr="005B734B">
        <w:t xml:space="preserve">Quarter </w:t>
      </w:r>
      <w:r w:rsidR="00171C1E" w:rsidRPr="005B734B">
        <w:t>2</w:t>
      </w:r>
      <w:r w:rsidRPr="005B734B">
        <w:t xml:space="preserve"> 2025</w:t>
      </w:r>
    </w:p>
    <w:p w14:paraId="63F52FAD" w14:textId="77777777" w:rsidR="009F4231" w:rsidRPr="005B734B" w:rsidRDefault="009F4231" w:rsidP="00E20DBB">
      <w:pPr>
        <w:sectPr w:rsidR="009F4231" w:rsidRPr="005B734B" w:rsidSect="00D45D94">
          <w:headerReference w:type="first" r:id="rId11"/>
          <w:type w:val="continuous"/>
          <w:pgSz w:w="11906" w:h="16838"/>
          <w:pgMar w:top="1701" w:right="1418" w:bottom="1418" w:left="1418" w:header="850" w:footer="709" w:gutter="0"/>
          <w:cols w:space="708"/>
          <w:titlePg/>
          <w:docGrid w:linePitch="360"/>
        </w:sectPr>
      </w:pPr>
    </w:p>
    <w:p w14:paraId="4E87908D" w14:textId="389CA942" w:rsidR="002E3591" w:rsidRPr="00182D4C" w:rsidRDefault="002E3591" w:rsidP="00182D4C">
      <w:pPr>
        <w:pStyle w:val="Heading1"/>
      </w:pPr>
      <w:r w:rsidRPr="00182D4C">
        <w:lastRenderedPageBreak/>
        <w:t>Introduction</w:t>
      </w:r>
    </w:p>
    <w:p w14:paraId="41C14E5C" w14:textId="58D865AE" w:rsidR="008D0421" w:rsidRPr="005B734B" w:rsidRDefault="008D0421" w:rsidP="00E20DBB">
      <w:r w:rsidRPr="005B734B">
        <w:t xml:space="preserve">On 21 November 2023, the Australian Health Protection Committee (AHPC) endorsed the </w:t>
      </w:r>
      <w:hyperlink r:id="rId12" w:history="1">
        <w:r w:rsidRPr="005B734B">
          <w:rPr>
            <w:rStyle w:val="Hyperlink"/>
          </w:rPr>
          <w:t>National Syphilis Response Plan 2025 – 2030</w:t>
        </w:r>
      </w:hyperlink>
      <w:r w:rsidRPr="005B734B">
        <w:t xml:space="preserve"> (Response Plan). Four overarching national goals have been adopted to be pursued throughout the life cycle of the Response Plan (2023-2030):</w:t>
      </w:r>
    </w:p>
    <w:p w14:paraId="2FE7F0CC" w14:textId="77777777" w:rsidR="008D0421" w:rsidRPr="005B734B" w:rsidRDefault="008D0421" w:rsidP="00E20DBB">
      <w:pPr>
        <w:pStyle w:val="ListNumber"/>
      </w:pPr>
      <w:r w:rsidRPr="005B734B">
        <w:t xml:space="preserve">Strengthen prevention and testing strategies for syphilis in priority populations and settings, targeting high-burden areas. </w:t>
      </w:r>
    </w:p>
    <w:p w14:paraId="700D7F9F" w14:textId="77777777" w:rsidR="008D0421" w:rsidRPr="005B734B" w:rsidRDefault="008D0421" w:rsidP="00E20DBB">
      <w:pPr>
        <w:pStyle w:val="ListNumber"/>
      </w:pPr>
      <w:r w:rsidRPr="005B734B">
        <w:t xml:space="preserve">Reduce ongoing transmission and incidence of syphilis across priority populations. </w:t>
      </w:r>
    </w:p>
    <w:p w14:paraId="50E5FBD5" w14:textId="77777777" w:rsidR="008D0421" w:rsidRPr="005B734B" w:rsidRDefault="008D0421" w:rsidP="00E20DBB">
      <w:pPr>
        <w:pStyle w:val="ListNumber"/>
      </w:pPr>
      <w:r w:rsidRPr="005B734B">
        <w:t xml:space="preserve">Reduce morbidity and mortality associated with syphilis. </w:t>
      </w:r>
    </w:p>
    <w:p w14:paraId="21FB0B00" w14:textId="77777777" w:rsidR="008D0421" w:rsidRPr="005B734B" w:rsidRDefault="008D0421" w:rsidP="00E20DBB">
      <w:pPr>
        <w:pStyle w:val="ListNumber"/>
      </w:pPr>
      <w:r w:rsidRPr="005B734B">
        <w:t>Eliminate congenital syphilis (defined as sustained zero congenital syphilis cases).</w:t>
      </w:r>
    </w:p>
    <w:p w14:paraId="36E1B2B4" w14:textId="77777777" w:rsidR="008D0421" w:rsidRPr="005B734B" w:rsidRDefault="008D0421" w:rsidP="00E20DBB">
      <w:r w:rsidRPr="005B734B">
        <w:t xml:space="preserve">The Response Plan builds on the efforts of the </w:t>
      </w:r>
      <w:hyperlink r:id="rId13" w:history="1">
        <w:r w:rsidRPr="005B734B">
          <w:rPr>
            <w:rStyle w:val="Hyperlink"/>
          </w:rPr>
          <w:t>National strategic approach for responding to rising rates of syphilis 2021</w:t>
        </w:r>
      </w:hyperlink>
      <w:r w:rsidRPr="005B734B">
        <w:t>.</w:t>
      </w:r>
    </w:p>
    <w:p w14:paraId="03607614" w14:textId="49EF266D" w:rsidR="00B4449F" w:rsidRPr="00E20DBB" w:rsidRDefault="008D0421" w:rsidP="00E20DBB">
      <w:r w:rsidRPr="005B734B">
        <w:t xml:space="preserve">The </w:t>
      </w:r>
      <w:hyperlink r:id="rId14" w:history="1">
        <w:r w:rsidRPr="005B734B">
          <w:rPr>
            <w:rStyle w:val="Hyperlink"/>
          </w:rPr>
          <w:t>National Syphilis Surveillance and Monitoring Plan</w:t>
        </w:r>
      </w:hyperlink>
      <w:r w:rsidRPr="005B734B">
        <w:t xml:space="preserve"> (the Surveillance Plan) outlines </w:t>
      </w:r>
      <w:r w:rsidR="00B4449F" w:rsidRPr="00B4449F">
        <w:t>indicators that will be used to monitor progress towards achieving the above goals. Each goal covers a set of related indicators that can be disaggregated to allow finer-grained interpretation.</w:t>
      </w:r>
    </w:p>
    <w:p w14:paraId="63A6FE55" w14:textId="195C4219" w:rsidR="002E3591" w:rsidRPr="00182D4C" w:rsidRDefault="002E3591" w:rsidP="00182D4C">
      <w:pPr>
        <w:pStyle w:val="Heading1"/>
      </w:pPr>
      <w:r w:rsidRPr="00182D4C">
        <w:t>Reporting</w:t>
      </w:r>
    </w:p>
    <w:p w14:paraId="1877F898" w14:textId="5DFC8270" w:rsidR="002E3591" w:rsidRPr="005B734B" w:rsidRDefault="008D0421" w:rsidP="00E20DBB">
      <w:r w:rsidRPr="005B734B">
        <w:t>This report provides a quarterly account of progress against the goals and selected indicators in the Surveillance Plan</w:t>
      </w:r>
      <w:r w:rsidR="00B37040" w:rsidRPr="005B734B">
        <w:t>, using data available at the time of writing.</w:t>
      </w:r>
      <w:r w:rsidRPr="005B734B">
        <w:t xml:space="preserve"> A complete list of indicators and the reporting schedule are provided at Appendix A.</w:t>
      </w:r>
    </w:p>
    <w:p w14:paraId="0D7E90AC" w14:textId="00594401" w:rsidR="008D0421" w:rsidRPr="005B734B" w:rsidRDefault="008D0421" w:rsidP="00E20DBB">
      <w:r w:rsidRPr="005B734B">
        <w:t xml:space="preserve">Completeness of NNDSS data used in this report have been calculated and are summarised at </w:t>
      </w:r>
      <w:hyperlink w:anchor="_Appendix_B_–" w:history="1">
        <w:r w:rsidRPr="007F766D">
          <w:rPr>
            <w:rStyle w:val="Hyperlink"/>
          </w:rPr>
          <w:t>Appendix B</w:t>
        </w:r>
      </w:hyperlink>
      <w:r w:rsidRPr="005B734B">
        <w:t>. Where completeness is less than 50% data have been excluded from reporting.</w:t>
      </w:r>
    </w:p>
    <w:p w14:paraId="33913EB7" w14:textId="0D692327" w:rsidR="007B6950" w:rsidRPr="005B734B" w:rsidRDefault="007B6950" w:rsidP="00E20DBB">
      <w:r w:rsidRPr="005B734B">
        <w:t xml:space="preserve">A quarterly summary of data reported against selected indicators is provided in </w:t>
      </w:r>
      <w:r w:rsidR="00E20DBB">
        <w:fldChar w:fldCharType="begin"/>
      </w:r>
      <w:r w:rsidR="00E20DBB">
        <w:instrText xml:space="preserve"> REF _Ref216445893 \h </w:instrText>
      </w:r>
      <w:r w:rsidR="00E20DBB">
        <w:fldChar w:fldCharType="separate"/>
      </w:r>
      <w:r w:rsidR="00E20DBB">
        <w:t xml:space="preserve">Table </w:t>
      </w:r>
      <w:r w:rsidR="00E20DBB">
        <w:rPr>
          <w:noProof/>
        </w:rPr>
        <w:t>1</w:t>
      </w:r>
      <w:r w:rsidR="00E20DBB">
        <w:fldChar w:fldCharType="end"/>
      </w:r>
      <w:r w:rsidRPr="005B734B">
        <w:t xml:space="preserve"> and </w:t>
      </w:r>
      <w:r w:rsidR="00E20DBB">
        <w:fldChar w:fldCharType="begin"/>
      </w:r>
      <w:r w:rsidR="00E20DBB">
        <w:instrText xml:space="preserve"> REF _Ref216446002 \h </w:instrText>
      </w:r>
      <w:r w:rsidR="00E20DBB">
        <w:fldChar w:fldCharType="separate"/>
      </w:r>
      <w:r w:rsidR="00E20DBB">
        <w:t xml:space="preserve">Table </w:t>
      </w:r>
      <w:r w:rsidR="00E20DBB">
        <w:rPr>
          <w:noProof/>
        </w:rPr>
        <w:t>2</w:t>
      </w:r>
      <w:r w:rsidR="00E20DBB">
        <w:fldChar w:fldCharType="end"/>
      </w:r>
      <w:r w:rsidRPr="005B734B">
        <w:t>.</w:t>
      </w:r>
    </w:p>
    <w:p w14:paraId="4315E52E" w14:textId="08A88A16" w:rsidR="00B37040" w:rsidRPr="00182D4C" w:rsidRDefault="00B37040" w:rsidP="00182D4C">
      <w:pPr>
        <w:pStyle w:val="Heading1"/>
      </w:pPr>
      <w:r w:rsidRPr="00182D4C">
        <w:t>Guidance</w:t>
      </w:r>
    </w:p>
    <w:p w14:paraId="5DB1BA3A" w14:textId="028EB121" w:rsidR="00B37040" w:rsidRPr="005B734B" w:rsidRDefault="00B37040" w:rsidP="00E20DBB">
      <w:r w:rsidRPr="005B734B">
        <w:t xml:space="preserve">When considering this report we recommend you refer to the </w:t>
      </w:r>
      <w:hyperlink r:id="rId15" w:history="1">
        <w:r w:rsidRPr="005B734B">
          <w:rPr>
            <w:rStyle w:val="Hyperlink"/>
          </w:rPr>
          <w:t>Surveillance Plan</w:t>
        </w:r>
      </w:hyperlink>
      <w:r w:rsidRPr="005B734B">
        <w:t xml:space="preserve"> for detailed notes on the indicators and data sources.</w:t>
      </w:r>
    </w:p>
    <w:p w14:paraId="7AD0480F" w14:textId="77777777" w:rsidR="007B6950" w:rsidRPr="005B734B" w:rsidRDefault="007B6950" w:rsidP="00E20DBB">
      <w:r w:rsidRPr="005B734B">
        <w:br w:type="page"/>
      </w:r>
    </w:p>
    <w:p w14:paraId="3C430315" w14:textId="77777777" w:rsidR="007B6950" w:rsidRPr="005B734B" w:rsidRDefault="007B6950" w:rsidP="00E20DBB">
      <w:pPr>
        <w:pStyle w:val="Caption"/>
        <w:sectPr w:rsidR="007B6950" w:rsidRPr="005B734B" w:rsidSect="004732E1">
          <w:headerReference w:type="even" r:id="rId16"/>
          <w:headerReference w:type="default" r:id="rId17"/>
          <w:footerReference w:type="default" r:id="rId18"/>
          <w:headerReference w:type="first" r:id="rId19"/>
          <w:pgSz w:w="11906" w:h="16838"/>
          <w:pgMar w:top="567" w:right="1418" w:bottom="1135" w:left="1418" w:header="426" w:footer="709" w:gutter="0"/>
          <w:cols w:space="708"/>
          <w:docGrid w:linePitch="360"/>
        </w:sectPr>
      </w:pPr>
    </w:p>
    <w:p w14:paraId="65D1EC7A" w14:textId="24B1808C" w:rsidR="007B6950" w:rsidRPr="005B734B" w:rsidRDefault="00E20DBB" w:rsidP="00E20DBB">
      <w:pPr>
        <w:pStyle w:val="Caption"/>
      </w:pPr>
      <w:bookmarkStart w:id="0" w:name="_Ref216445893"/>
      <w:r>
        <w:lastRenderedPageBreak/>
        <w:t xml:space="preserve">Table </w:t>
      </w:r>
      <w:r>
        <w:fldChar w:fldCharType="begin"/>
      </w:r>
      <w:r>
        <w:instrText xml:space="preserve"> SEQ Table \* ARABIC </w:instrText>
      </w:r>
      <w:r>
        <w:fldChar w:fldCharType="separate"/>
      </w:r>
      <w:r>
        <w:rPr>
          <w:noProof/>
        </w:rPr>
        <w:t>1</w:t>
      </w:r>
      <w:r>
        <w:fldChar w:fldCharType="end"/>
      </w:r>
      <w:bookmarkEnd w:id="0"/>
      <w:r w:rsidR="007B6950" w:rsidRPr="005B734B">
        <w:t>: Quarterly summary of indicator data for the reporting period</w:t>
      </w:r>
    </w:p>
    <w:p w14:paraId="07DDCB1A" w14:textId="4574B5D1" w:rsidR="005B3EA9" w:rsidRPr="005B734B" w:rsidRDefault="005B3EA9" w:rsidP="00E20DBB">
      <w:pPr>
        <w:pStyle w:val="Tabletextleft"/>
      </w:pPr>
      <w:r w:rsidRPr="005B734B">
        <w:t xml:space="preserve">Legend: </w:t>
      </w:r>
      <w:r w:rsidRPr="002F1557">
        <w:rPr>
          <w:rStyle w:val="uparrowredChar"/>
        </w:rPr>
        <w:t>↑</w:t>
      </w:r>
      <w:r w:rsidRPr="005B734B">
        <w:t xml:space="preserve">increase </w:t>
      </w:r>
      <w:r w:rsidRPr="002F1557">
        <w:rPr>
          <w:rStyle w:val="downarrowgreenChar"/>
        </w:rPr>
        <w:t>↓</w:t>
      </w:r>
      <w:r w:rsidRPr="005B734B">
        <w:t xml:space="preserve">decrease </w:t>
      </w:r>
      <w:r w:rsidRPr="002F1557">
        <w:rPr>
          <w:rStyle w:val="rightarroworangeChar"/>
        </w:rPr>
        <w:t>→</w:t>
      </w:r>
      <w:r w:rsidRPr="005B734B">
        <w:t xml:space="preserve"> stable</w:t>
      </w:r>
    </w:p>
    <w:tbl>
      <w:tblPr>
        <w:tblStyle w:val="TableGrid"/>
        <w:tblW w:w="15027" w:type="dxa"/>
        <w:tblLook w:val="04A0" w:firstRow="1" w:lastRow="0" w:firstColumn="1" w:lastColumn="0" w:noHBand="0" w:noVBand="1"/>
      </w:tblPr>
      <w:tblGrid>
        <w:gridCol w:w="1036"/>
        <w:gridCol w:w="6478"/>
        <w:gridCol w:w="3025"/>
        <w:gridCol w:w="2105"/>
        <w:gridCol w:w="2383"/>
      </w:tblGrid>
      <w:tr w:rsidR="007B6950" w:rsidRPr="005B734B" w14:paraId="14D7E3E2" w14:textId="77777777" w:rsidTr="008D4D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14" w:type="dxa"/>
            <w:gridSpan w:val="2"/>
          </w:tcPr>
          <w:p w14:paraId="5D1B4C4F" w14:textId="77777777" w:rsidR="007B6950" w:rsidRPr="00A04AE2" w:rsidRDefault="007B6950" w:rsidP="00E20DBB">
            <w:pPr>
              <w:pStyle w:val="TableHeader"/>
            </w:pPr>
            <w:r w:rsidRPr="00A04AE2">
              <w:t>Indicators</w:t>
            </w:r>
          </w:p>
        </w:tc>
        <w:tc>
          <w:tcPr>
            <w:tcW w:w="7513" w:type="dxa"/>
            <w:gridSpan w:val="3"/>
          </w:tcPr>
          <w:p w14:paraId="7B4B5A66" w14:textId="77777777" w:rsidR="007B6950" w:rsidRPr="00A04AE2" w:rsidRDefault="007B6950" w:rsidP="00E20DBB">
            <w:pPr>
              <w:pStyle w:val="TableHeader"/>
              <w:cnfStyle w:val="100000000000" w:firstRow="1" w:lastRow="0" w:firstColumn="0" w:lastColumn="0" w:oddVBand="0" w:evenVBand="0" w:oddHBand="0" w:evenHBand="0" w:firstRowFirstColumn="0" w:firstRowLastColumn="0" w:lastRowFirstColumn="0" w:lastRowLastColumn="0"/>
            </w:pPr>
            <w:r w:rsidRPr="00A04AE2">
              <w:t>Comparisons</w:t>
            </w:r>
          </w:p>
        </w:tc>
      </w:tr>
      <w:tr w:rsidR="007B6950" w:rsidRPr="005B734B" w14:paraId="5F772BA7" w14:textId="77777777" w:rsidTr="008D4D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36" w:type="dxa"/>
          </w:tcPr>
          <w:p w14:paraId="394E0D13" w14:textId="77777777" w:rsidR="007B6950" w:rsidRPr="00A04AE2" w:rsidRDefault="007B6950" w:rsidP="00E20DBB">
            <w:pPr>
              <w:pStyle w:val="TableHeader"/>
            </w:pPr>
            <w:r w:rsidRPr="00A04AE2">
              <w:t>Ref.</w:t>
            </w:r>
          </w:p>
        </w:tc>
        <w:tc>
          <w:tcPr>
            <w:tcW w:w="6478" w:type="dxa"/>
          </w:tcPr>
          <w:p w14:paraId="02585FAF" w14:textId="77777777" w:rsidR="007B6950" w:rsidRPr="00A04AE2" w:rsidRDefault="007B6950" w:rsidP="00E20DBB">
            <w:pPr>
              <w:pStyle w:val="TableHeader"/>
              <w:cnfStyle w:val="100000000000" w:firstRow="1" w:lastRow="0" w:firstColumn="0" w:lastColumn="0" w:oddVBand="0" w:evenVBand="0" w:oddHBand="0" w:evenHBand="0" w:firstRowFirstColumn="0" w:firstRowLastColumn="0" w:lastRowFirstColumn="0" w:lastRowLastColumn="0"/>
            </w:pPr>
            <w:r w:rsidRPr="00A04AE2">
              <w:t>Summarised indicator description</w:t>
            </w:r>
          </w:p>
        </w:tc>
        <w:tc>
          <w:tcPr>
            <w:tcW w:w="3025" w:type="dxa"/>
          </w:tcPr>
          <w:p w14:paraId="3345D2A9" w14:textId="74099327" w:rsidR="007B6950" w:rsidRPr="00A04AE2" w:rsidRDefault="007B6950" w:rsidP="00E20DBB">
            <w:pPr>
              <w:pStyle w:val="TableHeader"/>
              <w:cnfStyle w:val="100000000000" w:firstRow="1" w:lastRow="0" w:firstColumn="0" w:lastColumn="0" w:oddVBand="0" w:evenVBand="0" w:oddHBand="0" w:evenHBand="0" w:firstRowFirstColumn="0" w:firstRowLastColumn="0" w:lastRowFirstColumn="0" w:lastRowLastColumn="0"/>
            </w:pPr>
            <w:r w:rsidRPr="00A04AE2">
              <w:t>Current quarter (Q</w:t>
            </w:r>
            <w:r w:rsidR="00D908F9" w:rsidRPr="00A04AE2">
              <w:t>2</w:t>
            </w:r>
            <w:r w:rsidRPr="00A04AE2">
              <w:t xml:space="preserve"> 2025)</w:t>
            </w:r>
            <w:r w:rsidR="00216DF1" w:rsidRPr="00A04AE2">
              <w:t>*</w:t>
            </w:r>
            <w:r w:rsidR="00CB32B3" w:rsidRPr="00A04AE2">
              <w:t xml:space="preserve"> </w:t>
            </w:r>
          </w:p>
        </w:tc>
        <w:tc>
          <w:tcPr>
            <w:tcW w:w="2105" w:type="dxa"/>
          </w:tcPr>
          <w:p w14:paraId="1CE8BCB5" w14:textId="2FF798B5" w:rsidR="007B6950" w:rsidRPr="00A04AE2" w:rsidRDefault="007B6950" w:rsidP="00E20DBB">
            <w:pPr>
              <w:pStyle w:val="TableHeader"/>
              <w:cnfStyle w:val="100000000000" w:firstRow="1" w:lastRow="0" w:firstColumn="0" w:lastColumn="0" w:oddVBand="0" w:evenVBand="0" w:oddHBand="0" w:evenHBand="0" w:firstRowFirstColumn="0" w:firstRowLastColumn="0" w:lastRowFirstColumn="0" w:lastRowLastColumn="0"/>
            </w:pPr>
            <w:r w:rsidRPr="00A04AE2">
              <w:t>Previous quarter</w:t>
            </w:r>
            <w:r w:rsidR="00C71072" w:rsidRPr="00A04AE2">
              <w:t xml:space="preserve"> </w:t>
            </w:r>
            <w:r w:rsidRPr="00A04AE2">
              <w:t>(Q</w:t>
            </w:r>
            <w:r w:rsidR="00D908F9" w:rsidRPr="00A04AE2">
              <w:t>1</w:t>
            </w:r>
            <w:r w:rsidRPr="00A04AE2">
              <w:t xml:space="preserve"> 202</w:t>
            </w:r>
            <w:r w:rsidR="00490729" w:rsidRPr="00A04AE2">
              <w:t>5</w:t>
            </w:r>
            <w:r w:rsidRPr="00A04AE2">
              <w:t>)</w:t>
            </w:r>
          </w:p>
        </w:tc>
        <w:tc>
          <w:tcPr>
            <w:tcW w:w="2383" w:type="dxa"/>
          </w:tcPr>
          <w:p w14:paraId="2C2D432F" w14:textId="57C38407" w:rsidR="007B6950" w:rsidRPr="00A04AE2" w:rsidRDefault="007B6950" w:rsidP="00E20DBB">
            <w:pPr>
              <w:pStyle w:val="TableHeader"/>
              <w:cnfStyle w:val="100000000000" w:firstRow="1" w:lastRow="0" w:firstColumn="0" w:lastColumn="0" w:oddVBand="0" w:evenVBand="0" w:oddHBand="0" w:evenHBand="0" w:firstRowFirstColumn="0" w:firstRowLastColumn="0" w:lastRowFirstColumn="0" w:lastRowLastColumn="0"/>
            </w:pPr>
            <w:r w:rsidRPr="00A04AE2">
              <w:t>Previous 12 months (quarterly average)</w:t>
            </w:r>
            <w:r w:rsidR="00C71072" w:rsidRPr="00A04AE2">
              <w:t xml:space="preserve"> </w:t>
            </w:r>
            <w:r w:rsidRPr="00A04AE2">
              <w:t>(Q</w:t>
            </w:r>
            <w:r w:rsidR="00D908F9" w:rsidRPr="00A04AE2">
              <w:t>3</w:t>
            </w:r>
            <w:r w:rsidRPr="00A04AE2">
              <w:t xml:space="preserve"> 2024 – Q</w:t>
            </w:r>
            <w:r w:rsidR="00D908F9" w:rsidRPr="00A04AE2">
              <w:t>2</w:t>
            </w:r>
            <w:r w:rsidRPr="00A04AE2">
              <w:t xml:space="preserve"> 2025)</w:t>
            </w:r>
          </w:p>
        </w:tc>
      </w:tr>
      <w:tr w:rsidR="007B6950" w:rsidRPr="005B734B" w14:paraId="1D949754" w14:textId="77777777" w:rsidTr="00CF0C14">
        <w:trPr>
          <w:trHeight w:val="348"/>
        </w:trPr>
        <w:tc>
          <w:tcPr>
            <w:cnfStyle w:val="001000000000" w:firstRow="0" w:lastRow="0" w:firstColumn="1" w:lastColumn="0" w:oddVBand="0" w:evenVBand="0" w:oddHBand="0" w:evenHBand="0" w:firstRowFirstColumn="0" w:firstRowLastColumn="0" w:lastRowFirstColumn="0" w:lastRowLastColumn="0"/>
            <w:tcW w:w="15027" w:type="dxa"/>
            <w:gridSpan w:val="5"/>
          </w:tcPr>
          <w:p w14:paraId="79D28DBD" w14:textId="77777777" w:rsidR="007B6950" w:rsidRPr="005B734B" w:rsidRDefault="007B6950" w:rsidP="00E20DBB">
            <w:pPr>
              <w:rPr>
                <w:rStyle w:val="Strong"/>
              </w:rPr>
            </w:pPr>
            <w:r w:rsidRPr="005B734B">
              <w:rPr>
                <w:rStyle w:val="Strong"/>
              </w:rPr>
              <w:t>GOAL 1 - Strengthen prevention and testing strategies for syphilis in priority populations and settings, targeting high-burden areas</w:t>
            </w:r>
          </w:p>
        </w:tc>
      </w:tr>
      <w:tr w:rsidR="007B6950" w:rsidRPr="005B734B" w14:paraId="4FCAEC4B" w14:textId="77777777" w:rsidTr="00CF0C14">
        <w:tc>
          <w:tcPr>
            <w:cnfStyle w:val="001000000000" w:firstRow="0" w:lastRow="0" w:firstColumn="1" w:lastColumn="0" w:oddVBand="0" w:evenVBand="0" w:oddHBand="0" w:evenHBand="0" w:firstRowFirstColumn="0" w:firstRowLastColumn="0" w:lastRowFirstColumn="0" w:lastRowLastColumn="0"/>
            <w:tcW w:w="15027" w:type="dxa"/>
            <w:gridSpan w:val="5"/>
          </w:tcPr>
          <w:p w14:paraId="7B60E8AB" w14:textId="14ED278A" w:rsidR="007B6950" w:rsidRPr="005B734B" w:rsidRDefault="007B6950" w:rsidP="00E20DBB">
            <w:pPr>
              <w:pStyle w:val="Tabletextleft"/>
              <w:rPr>
                <w:rStyle w:val="Strong"/>
              </w:rPr>
            </w:pPr>
            <w:r w:rsidRPr="005B734B">
              <w:rPr>
                <w:rStyle w:val="Strong"/>
              </w:rPr>
              <w:t>Indicators 1.1 and 1.4 – 1.10 reported annually</w:t>
            </w:r>
          </w:p>
        </w:tc>
      </w:tr>
      <w:tr w:rsidR="007B6950" w:rsidRPr="005B734B" w14:paraId="4E2732C5" w14:textId="77777777" w:rsidTr="00CF0C14">
        <w:tc>
          <w:tcPr>
            <w:cnfStyle w:val="001000000000" w:firstRow="0" w:lastRow="0" w:firstColumn="1" w:lastColumn="0" w:oddVBand="0" w:evenVBand="0" w:oddHBand="0" w:evenHBand="0" w:firstRowFirstColumn="0" w:firstRowLastColumn="0" w:lastRowFirstColumn="0" w:lastRowLastColumn="0"/>
            <w:tcW w:w="1036" w:type="dxa"/>
          </w:tcPr>
          <w:p w14:paraId="687E3B2B" w14:textId="77777777" w:rsidR="007B6950" w:rsidRPr="005B734B" w:rsidRDefault="007B6950" w:rsidP="00436E19">
            <w:pPr>
              <w:rPr>
                <w:rStyle w:val="Strong"/>
              </w:rPr>
            </w:pPr>
            <w:r w:rsidRPr="005B734B">
              <w:rPr>
                <w:rStyle w:val="Strong"/>
              </w:rPr>
              <w:t>1.2</w:t>
            </w:r>
          </w:p>
        </w:tc>
        <w:tc>
          <w:tcPr>
            <w:tcW w:w="6478" w:type="dxa"/>
          </w:tcPr>
          <w:p w14:paraId="4DB0CFAA" w14:textId="77777777" w:rsidR="007B6950" w:rsidRPr="005B734B" w:rsidRDefault="007B6950" w:rsidP="00E20DBB">
            <w:pPr>
              <w:pStyle w:val="Tabletextleft"/>
              <w:cnfStyle w:val="000000000000" w:firstRow="0" w:lastRow="0" w:firstColumn="0" w:lastColumn="0" w:oddVBand="0" w:evenVBand="0" w:oddHBand="0" w:evenHBand="0" w:firstRowFirstColumn="0" w:firstRowLastColumn="0" w:lastRowFirstColumn="0" w:lastRowLastColumn="0"/>
            </w:pPr>
            <w:r w:rsidRPr="005B734B">
              <w:t xml:space="preserve">Number of syphilis tests </w:t>
            </w:r>
          </w:p>
        </w:tc>
        <w:tc>
          <w:tcPr>
            <w:tcW w:w="3025" w:type="dxa"/>
          </w:tcPr>
          <w:p w14:paraId="23212095" w14:textId="7118809B" w:rsidR="007B6950" w:rsidRPr="005B734B"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7,</w:t>
            </w:r>
            <w:r w:rsidR="00950B10" w:rsidRPr="005B734B">
              <w:t>631</w:t>
            </w:r>
            <w:r w:rsidRPr="005B734B">
              <w:t xml:space="preserve"> </w:t>
            </w:r>
            <w:r w:rsidR="00480B21" w:rsidRPr="002F1557">
              <w:rPr>
                <w:rStyle w:val="downarrowgreenChar"/>
              </w:rPr>
              <w:t>↓</w:t>
            </w:r>
            <w:r w:rsidRPr="002F1557">
              <w:rPr>
                <w:rStyle w:val="uparrowredChar"/>
              </w:rPr>
              <w:t>↑</w:t>
            </w:r>
            <w:r w:rsidR="00CB32B3" w:rsidRPr="002F1557">
              <w:rPr>
                <w:rStyle w:val="uparrowredChar"/>
              </w:rPr>
              <w:t xml:space="preserve"> </w:t>
            </w:r>
            <w:r w:rsidR="00216DF1" w:rsidRPr="002F1557">
              <w:rPr>
                <w:rStyle w:val="uparrowredChar"/>
              </w:rPr>
              <w:br/>
            </w:r>
            <w:r w:rsidRPr="005B734B">
              <w:t>(cumulative 16</w:t>
            </w:r>
            <w:r w:rsidR="00950B10" w:rsidRPr="005B734B">
              <w:t>8</w:t>
            </w:r>
            <w:r w:rsidRPr="005B734B">
              <w:t>,</w:t>
            </w:r>
            <w:r w:rsidR="00950B10" w:rsidRPr="005B734B">
              <w:t>804</w:t>
            </w:r>
            <w:r w:rsidRPr="005B734B">
              <w:t>)</w:t>
            </w:r>
          </w:p>
        </w:tc>
        <w:tc>
          <w:tcPr>
            <w:tcW w:w="2105" w:type="dxa"/>
          </w:tcPr>
          <w:p w14:paraId="48EBB94A" w14:textId="1354FB29" w:rsidR="007B6950" w:rsidRPr="005B734B" w:rsidRDefault="00950B10"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7,907</w:t>
            </w:r>
          </w:p>
        </w:tc>
        <w:tc>
          <w:tcPr>
            <w:tcW w:w="2383" w:type="dxa"/>
          </w:tcPr>
          <w:p w14:paraId="16301876" w14:textId="57D59DD5" w:rsidR="007B6950" w:rsidRPr="005B734B" w:rsidRDefault="00950B10"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7,475</w:t>
            </w:r>
          </w:p>
        </w:tc>
      </w:tr>
      <w:tr w:rsidR="007B6950" w:rsidRPr="005B734B" w14:paraId="1F33AD11" w14:textId="77777777" w:rsidTr="00CF0C14">
        <w:trPr>
          <w:trHeight w:val="373"/>
        </w:trPr>
        <w:tc>
          <w:tcPr>
            <w:cnfStyle w:val="001000000000" w:firstRow="0" w:lastRow="0" w:firstColumn="1" w:lastColumn="0" w:oddVBand="0" w:evenVBand="0" w:oddHBand="0" w:evenHBand="0" w:firstRowFirstColumn="0" w:firstRowLastColumn="0" w:lastRowFirstColumn="0" w:lastRowLastColumn="0"/>
            <w:tcW w:w="1036" w:type="dxa"/>
            <w:vMerge w:val="restart"/>
          </w:tcPr>
          <w:p w14:paraId="50D3897B" w14:textId="77777777" w:rsidR="007B6950" w:rsidRPr="005B734B" w:rsidRDefault="007B6950" w:rsidP="00436E19">
            <w:pPr>
              <w:rPr>
                <w:rStyle w:val="Strong"/>
              </w:rPr>
            </w:pPr>
            <w:r w:rsidRPr="005B734B">
              <w:rPr>
                <w:rStyle w:val="Strong"/>
              </w:rPr>
              <w:t>1.3</w:t>
            </w:r>
          </w:p>
        </w:tc>
        <w:tc>
          <w:tcPr>
            <w:tcW w:w="6478" w:type="dxa"/>
          </w:tcPr>
          <w:p w14:paraId="5E4E0C52" w14:textId="77777777" w:rsidR="007B6950" w:rsidRPr="005B734B" w:rsidRDefault="007B6950" w:rsidP="00E20DBB">
            <w:pPr>
              <w:pStyle w:val="Tabletextleft"/>
              <w:cnfStyle w:val="000000000000" w:firstRow="0" w:lastRow="0" w:firstColumn="0" w:lastColumn="0" w:oddVBand="0" w:evenVBand="0" w:oddHBand="0" w:evenHBand="0" w:firstRowFirstColumn="0" w:firstRowLastColumn="0" w:lastRowFirstColumn="0" w:lastRowLastColumn="0"/>
            </w:pPr>
            <w:r w:rsidRPr="005B734B">
              <w:t>Syphilis testing coverage – target population</w:t>
            </w:r>
          </w:p>
        </w:tc>
        <w:tc>
          <w:tcPr>
            <w:tcW w:w="3025" w:type="dxa"/>
          </w:tcPr>
          <w:p w14:paraId="733BA16B" w14:textId="2718323C" w:rsidR="007B6950" w:rsidRPr="005B734B"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16%</w:t>
            </w:r>
            <w:r w:rsidR="00216DF1" w:rsidRPr="002F1557">
              <w:rPr>
                <w:rStyle w:val="uparrowredChar"/>
              </w:rPr>
              <w:t xml:space="preserve"> </w:t>
            </w:r>
            <w:r w:rsidR="00480B21" w:rsidRPr="002F1557">
              <w:rPr>
                <w:rStyle w:val="rightarroworangeChar"/>
              </w:rPr>
              <w:t>→</w:t>
            </w:r>
            <w:r w:rsidR="00216DF1" w:rsidRPr="002F1557">
              <w:rPr>
                <w:rStyle w:val="uparrowredChar"/>
              </w:rPr>
              <w:t>↑</w:t>
            </w:r>
          </w:p>
        </w:tc>
        <w:tc>
          <w:tcPr>
            <w:tcW w:w="2105" w:type="dxa"/>
          </w:tcPr>
          <w:p w14:paraId="51AC7AD5" w14:textId="434FD96C" w:rsidR="007B6950" w:rsidRPr="005B734B"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1</w:t>
            </w:r>
            <w:r w:rsidR="00D3738F" w:rsidRPr="005B734B">
              <w:t>6</w:t>
            </w:r>
            <w:r w:rsidRPr="005B734B">
              <w:t>%</w:t>
            </w:r>
          </w:p>
        </w:tc>
        <w:tc>
          <w:tcPr>
            <w:tcW w:w="2383" w:type="dxa"/>
          </w:tcPr>
          <w:p w14:paraId="60F12C0C" w14:textId="77777777" w:rsidR="007B6950" w:rsidRPr="005B734B"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15%</w:t>
            </w:r>
          </w:p>
        </w:tc>
      </w:tr>
      <w:tr w:rsidR="007B6950" w:rsidRPr="005B734B" w14:paraId="392D8F84" w14:textId="77777777" w:rsidTr="00CF0C14">
        <w:trPr>
          <w:trHeight w:val="435"/>
        </w:trPr>
        <w:tc>
          <w:tcPr>
            <w:cnfStyle w:val="001000000000" w:firstRow="0" w:lastRow="0" w:firstColumn="1" w:lastColumn="0" w:oddVBand="0" w:evenVBand="0" w:oddHBand="0" w:evenHBand="0" w:firstRowFirstColumn="0" w:firstRowLastColumn="0" w:lastRowFirstColumn="0" w:lastRowLastColumn="0"/>
            <w:tcW w:w="1036" w:type="dxa"/>
            <w:vMerge/>
          </w:tcPr>
          <w:p w14:paraId="1C831D73" w14:textId="77777777" w:rsidR="007B6950" w:rsidRPr="005B734B" w:rsidRDefault="007B6950" w:rsidP="00E20DBB"/>
        </w:tc>
        <w:tc>
          <w:tcPr>
            <w:tcW w:w="6478" w:type="dxa"/>
          </w:tcPr>
          <w:p w14:paraId="6D0D880F" w14:textId="77777777" w:rsidR="007B6950" w:rsidRPr="005B734B" w:rsidRDefault="007B6950" w:rsidP="00E20DBB">
            <w:pPr>
              <w:pStyle w:val="Tabletextleft"/>
              <w:cnfStyle w:val="000000000000" w:firstRow="0" w:lastRow="0" w:firstColumn="0" w:lastColumn="0" w:oddVBand="0" w:evenVBand="0" w:oddHBand="0" w:evenHBand="0" w:firstRowFirstColumn="0" w:firstRowLastColumn="0" w:lastRowFirstColumn="0" w:lastRowLastColumn="0"/>
            </w:pPr>
            <w:r w:rsidRPr="005B734B">
              <w:t>Syphilis testing coverage – total population</w:t>
            </w:r>
          </w:p>
        </w:tc>
        <w:tc>
          <w:tcPr>
            <w:tcW w:w="3025" w:type="dxa"/>
          </w:tcPr>
          <w:p w14:paraId="3B29ABFF" w14:textId="0BC548F4" w:rsidR="007B6950" w:rsidRPr="005B734B"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26%</w:t>
            </w:r>
            <w:r w:rsidRPr="002F1557">
              <w:rPr>
                <w:rStyle w:val="uparrowredChar"/>
              </w:rPr>
              <w:t xml:space="preserve"> </w:t>
            </w:r>
            <w:r w:rsidR="00480B21" w:rsidRPr="002F1557">
              <w:rPr>
                <w:rStyle w:val="rightarroworangeChar"/>
              </w:rPr>
              <w:t>→</w:t>
            </w:r>
            <w:r w:rsidRPr="002F1557">
              <w:rPr>
                <w:rStyle w:val="uparrowredChar"/>
              </w:rPr>
              <w:t>↑</w:t>
            </w:r>
          </w:p>
        </w:tc>
        <w:tc>
          <w:tcPr>
            <w:tcW w:w="2105" w:type="dxa"/>
          </w:tcPr>
          <w:p w14:paraId="48B83BEA" w14:textId="76A4BE69" w:rsidR="007B6950" w:rsidRPr="005B734B"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2</w:t>
            </w:r>
            <w:r w:rsidR="00D3738F" w:rsidRPr="005B734B">
              <w:t>6</w:t>
            </w:r>
            <w:r w:rsidRPr="005B734B">
              <w:t>%</w:t>
            </w:r>
          </w:p>
        </w:tc>
        <w:tc>
          <w:tcPr>
            <w:tcW w:w="2383" w:type="dxa"/>
          </w:tcPr>
          <w:p w14:paraId="5EDF5786" w14:textId="3F17E46D" w:rsidR="007B6950" w:rsidRPr="005B734B"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2</w:t>
            </w:r>
            <w:r w:rsidR="00D3738F" w:rsidRPr="005B734B">
              <w:t>5</w:t>
            </w:r>
            <w:r w:rsidRPr="005B734B">
              <w:t>%</w:t>
            </w:r>
          </w:p>
        </w:tc>
      </w:tr>
      <w:tr w:rsidR="007B6950" w:rsidRPr="005B734B" w14:paraId="2794F95C" w14:textId="77777777" w:rsidTr="00CF0C14">
        <w:trPr>
          <w:trHeight w:val="371"/>
        </w:trPr>
        <w:tc>
          <w:tcPr>
            <w:cnfStyle w:val="001000000000" w:firstRow="0" w:lastRow="0" w:firstColumn="1" w:lastColumn="0" w:oddVBand="0" w:evenVBand="0" w:oddHBand="0" w:evenHBand="0" w:firstRowFirstColumn="0" w:firstRowLastColumn="0" w:lastRowFirstColumn="0" w:lastRowLastColumn="0"/>
            <w:tcW w:w="1036" w:type="dxa"/>
            <w:vMerge/>
          </w:tcPr>
          <w:p w14:paraId="23E77AA5" w14:textId="77777777" w:rsidR="007B6950" w:rsidRPr="005B734B" w:rsidRDefault="007B6950" w:rsidP="00E20DBB"/>
        </w:tc>
        <w:tc>
          <w:tcPr>
            <w:tcW w:w="6478" w:type="dxa"/>
            <w:vMerge w:val="restart"/>
          </w:tcPr>
          <w:p w14:paraId="0258CE8F" w14:textId="77777777" w:rsidR="007B6950" w:rsidRPr="005B734B" w:rsidRDefault="007B6950" w:rsidP="00E20DBB">
            <w:pPr>
              <w:pStyle w:val="Tabletextleft"/>
              <w:cnfStyle w:val="000000000000" w:firstRow="0" w:lastRow="0" w:firstColumn="0" w:lastColumn="0" w:oddVBand="0" w:evenVBand="0" w:oddHBand="0" w:evenHBand="0" w:firstRowFirstColumn="0" w:firstRowLastColumn="0" w:lastRowFirstColumn="0" w:lastRowLastColumn="0"/>
            </w:pPr>
            <w:r w:rsidRPr="005B734B">
              <w:t>Type of syphilis test – total population</w:t>
            </w:r>
          </w:p>
          <w:p w14:paraId="23F8E36C" w14:textId="77777777" w:rsidR="007B6950" w:rsidRPr="005B734B" w:rsidRDefault="007B6950" w:rsidP="00E20DBB">
            <w:pPr>
              <w:pStyle w:val="Tabletextright0"/>
              <w:cnfStyle w:val="000000000000" w:firstRow="0" w:lastRow="0" w:firstColumn="0" w:lastColumn="0" w:oddVBand="0" w:evenVBand="0" w:oddHBand="0" w:evenHBand="0" w:firstRowFirstColumn="0" w:firstRowLastColumn="0" w:lastRowFirstColumn="0" w:lastRowLastColumn="0"/>
            </w:pPr>
            <w:r w:rsidRPr="005B734B">
              <w:t>Serology only</w:t>
            </w:r>
          </w:p>
          <w:p w14:paraId="1E3964CE" w14:textId="77777777" w:rsidR="007B6950" w:rsidRPr="005B734B" w:rsidRDefault="007B6950" w:rsidP="00E20DBB">
            <w:pPr>
              <w:pStyle w:val="Tabletextright0"/>
              <w:cnfStyle w:val="000000000000" w:firstRow="0" w:lastRow="0" w:firstColumn="0" w:lastColumn="0" w:oddVBand="0" w:evenVBand="0" w:oddHBand="0" w:evenHBand="0" w:firstRowFirstColumn="0" w:firstRowLastColumn="0" w:lastRowFirstColumn="0" w:lastRowLastColumn="0"/>
            </w:pPr>
            <w:r w:rsidRPr="005B734B">
              <w:t>PoCT only</w:t>
            </w:r>
          </w:p>
          <w:p w14:paraId="1ADCF0A8" w14:textId="77777777" w:rsidR="007B6950" w:rsidRPr="005B734B" w:rsidRDefault="007B6950" w:rsidP="00E20DBB">
            <w:pPr>
              <w:pStyle w:val="Tabletextright0"/>
              <w:cnfStyle w:val="000000000000" w:firstRow="0" w:lastRow="0" w:firstColumn="0" w:lastColumn="0" w:oddVBand="0" w:evenVBand="0" w:oddHBand="0" w:evenHBand="0" w:firstRowFirstColumn="0" w:firstRowLastColumn="0" w:lastRowFirstColumn="0" w:lastRowLastColumn="0"/>
            </w:pPr>
            <w:r w:rsidRPr="005B734B">
              <w:t>Both (PoCT &amp; serology)</w:t>
            </w:r>
          </w:p>
        </w:tc>
        <w:tc>
          <w:tcPr>
            <w:tcW w:w="3025" w:type="dxa"/>
          </w:tcPr>
          <w:p w14:paraId="5AF38699" w14:textId="5FBA56DC" w:rsidR="00216DF1" w:rsidRPr="005B734B" w:rsidRDefault="005470DB"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87</w:t>
            </w:r>
            <w:r w:rsidR="007B6950" w:rsidRPr="005B734B">
              <w:t xml:space="preserve">% </w:t>
            </w:r>
            <w:r w:rsidR="00E41EBC" w:rsidRPr="002F1557">
              <w:rPr>
                <w:rStyle w:val="downarrowgreenChar"/>
              </w:rPr>
              <w:t>↓</w:t>
            </w:r>
            <w:r w:rsidRPr="002F1557">
              <w:rPr>
                <w:rStyle w:val="downarrowgreenChar"/>
              </w:rPr>
              <w:t>↓</w:t>
            </w:r>
            <w:r w:rsidR="007B6950" w:rsidRPr="005B734B">
              <w:t xml:space="preserve"> </w:t>
            </w:r>
          </w:p>
        </w:tc>
        <w:tc>
          <w:tcPr>
            <w:tcW w:w="2105" w:type="dxa"/>
          </w:tcPr>
          <w:p w14:paraId="740A9EEE" w14:textId="3C17B51F" w:rsidR="007B6950" w:rsidRPr="005B734B"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9</w:t>
            </w:r>
            <w:r w:rsidR="005470DB" w:rsidRPr="005B734B">
              <w:t>2</w:t>
            </w:r>
            <w:r w:rsidRPr="005B734B">
              <w:t>%</w:t>
            </w:r>
          </w:p>
        </w:tc>
        <w:tc>
          <w:tcPr>
            <w:tcW w:w="2383" w:type="dxa"/>
          </w:tcPr>
          <w:p w14:paraId="07461B60" w14:textId="3D68394C" w:rsidR="007B6950" w:rsidRPr="005B734B"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9</w:t>
            </w:r>
            <w:r w:rsidR="005470DB" w:rsidRPr="005B734B">
              <w:t>1</w:t>
            </w:r>
            <w:r w:rsidRPr="005B734B">
              <w:t>%</w:t>
            </w:r>
          </w:p>
        </w:tc>
      </w:tr>
      <w:tr w:rsidR="007B6950" w:rsidRPr="005B734B" w14:paraId="421CF746" w14:textId="77777777" w:rsidTr="00CF0C14">
        <w:trPr>
          <w:trHeight w:val="405"/>
        </w:trPr>
        <w:tc>
          <w:tcPr>
            <w:cnfStyle w:val="001000000000" w:firstRow="0" w:lastRow="0" w:firstColumn="1" w:lastColumn="0" w:oddVBand="0" w:evenVBand="0" w:oddHBand="0" w:evenHBand="0" w:firstRowFirstColumn="0" w:firstRowLastColumn="0" w:lastRowFirstColumn="0" w:lastRowLastColumn="0"/>
            <w:tcW w:w="1036" w:type="dxa"/>
            <w:vMerge/>
          </w:tcPr>
          <w:p w14:paraId="192EFCD7" w14:textId="77777777" w:rsidR="007B6950" w:rsidRPr="005B734B" w:rsidRDefault="007B6950" w:rsidP="00E20DBB"/>
        </w:tc>
        <w:tc>
          <w:tcPr>
            <w:tcW w:w="6478" w:type="dxa"/>
            <w:vMerge/>
          </w:tcPr>
          <w:p w14:paraId="3AA68358" w14:textId="77777777" w:rsidR="007B6950" w:rsidRPr="005B734B" w:rsidRDefault="007B6950" w:rsidP="00E20DBB">
            <w:pPr>
              <w:cnfStyle w:val="000000000000" w:firstRow="0" w:lastRow="0" w:firstColumn="0" w:lastColumn="0" w:oddVBand="0" w:evenVBand="0" w:oddHBand="0" w:evenHBand="0" w:firstRowFirstColumn="0" w:firstRowLastColumn="0" w:lastRowFirstColumn="0" w:lastRowLastColumn="0"/>
            </w:pPr>
          </w:p>
        </w:tc>
        <w:tc>
          <w:tcPr>
            <w:tcW w:w="3025" w:type="dxa"/>
          </w:tcPr>
          <w:p w14:paraId="2109AC80" w14:textId="19AB991B" w:rsidR="007B6950" w:rsidRPr="005B734B" w:rsidRDefault="005470DB"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3</w:t>
            </w:r>
            <w:r w:rsidR="007B6950" w:rsidRPr="005B734B">
              <w:t xml:space="preserve">% </w:t>
            </w:r>
            <w:r w:rsidRPr="002F1557">
              <w:rPr>
                <w:rStyle w:val="uparrowredChar"/>
              </w:rPr>
              <w:t>↑↑</w:t>
            </w:r>
          </w:p>
        </w:tc>
        <w:tc>
          <w:tcPr>
            <w:tcW w:w="2105" w:type="dxa"/>
          </w:tcPr>
          <w:p w14:paraId="0B2B62B3" w14:textId="6C3955DA" w:rsidR="007B6950" w:rsidRPr="005B734B" w:rsidRDefault="005470DB"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1</w:t>
            </w:r>
            <w:r w:rsidR="007B6950" w:rsidRPr="005B734B">
              <w:t>%</w:t>
            </w:r>
          </w:p>
        </w:tc>
        <w:tc>
          <w:tcPr>
            <w:tcW w:w="2383" w:type="dxa"/>
          </w:tcPr>
          <w:p w14:paraId="1A762959" w14:textId="77777777" w:rsidR="007B6950" w:rsidRPr="005B734B"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2%</w:t>
            </w:r>
          </w:p>
        </w:tc>
      </w:tr>
      <w:tr w:rsidR="007B6950" w:rsidRPr="005B734B" w14:paraId="71416635" w14:textId="77777777" w:rsidTr="00CF0C14">
        <w:tc>
          <w:tcPr>
            <w:cnfStyle w:val="001000000000" w:firstRow="0" w:lastRow="0" w:firstColumn="1" w:lastColumn="0" w:oddVBand="0" w:evenVBand="0" w:oddHBand="0" w:evenHBand="0" w:firstRowFirstColumn="0" w:firstRowLastColumn="0" w:lastRowFirstColumn="0" w:lastRowLastColumn="0"/>
            <w:tcW w:w="1036" w:type="dxa"/>
            <w:vMerge/>
          </w:tcPr>
          <w:p w14:paraId="6C471E41" w14:textId="77777777" w:rsidR="007B6950" w:rsidRPr="005B734B" w:rsidRDefault="007B6950" w:rsidP="00E20DBB"/>
        </w:tc>
        <w:tc>
          <w:tcPr>
            <w:tcW w:w="6478" w:type="dxa"/>
            <w:vMerge/>
          </w:tcPr>
          <w:p w14:paraId="7F609E0B" w14:textId="77777777" w:rsidR="007B6950" w:rsidRPr="005B734B" w:rsidRDefault="007B6950" w:rsidP="00E20DBB">
            <w:pPr>
              <w:cnfStyle w:val="000000000000" w:firstRow="0" w:lastRow="0" w:firstColumn="0" w:lastColumn="0" w:oddVBand="0" w:evenVBand="0" w:oddHBand="0" w:evenHBand="0" w:firstRowFirstColumn="0" w:firstRowLastColumn="0" w:lastRowFirstColumn="0" w:lastRowLastColumn="0"/>
            </w:pPr>
          </w:p>
        </w:tc>
        <w:tc>
          <w:tcPr>
            <w:tcW w:w="3025" w:type="dxa"/>
          </w:tcPr>
          <w:p w14:paraId="389C04B5" w14:textId="2ADB78F5" w:rsidR="007B6950" w:rsidRPr="005B734B" w:rsidRDefault="005470DB"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10</w:t>
            </w:r>
            <w:r w:rsidR="007B6950" w:rsidRPr="005B734B">
              <w:t xml:space="preserve">% </w:t>
            </w:r>
            <w:r w:rsidRPr="002F1557">
              <w:rPr>
                <w:rStyle w:val="uparrowredChar"/>
              </w:rPr>
              <w:t>↑</w:t>
            </w:r>
            <w:r w:rsidR="007B6950" w:rsidRPr="002F1557">
              <w:rPr>
                <w:rStyle w:val="uparrowredChar"/>
              </w:rPr>
              <w:t>↑</w:t>
            </w:r>
          </w:p>
        </w:tc>
        <w:tc>
          <w:tcPr>
            <w:tcW w:w="2105" w:type="dxa"/>
          </w:tcPr>
          <w:p w14:paraId="546D5F35" w14:textId="77777777" w:rsidR="007B6950" w:rsidRPr="005B734B"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7%</w:t>
            </w:r>
          </w:p>
        </w:tc>
        <w:tc>
          <w:tcPr>
            <w:tcW w:w="2383" w:type="dxa"/>
          </w:tcPr>
          <w:p w14:paraId="02EA4ABA" w14:textId="6A628FC2" w:rsidR="007B6950" w:rsidRPr="005B734B" w:rsidRDefault="005470DB"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7</w:t>
            </w:r>
            <w:r w:rsidR="007B6950" w:rsidRPr="005B734B">
              <w:t>%</w:t>
            </w:r>
          </w:p>
        </w:tc>
      </w:tr>
      <w:tr w:rsidR="007B6950" w:rsidRPr="005B734B" w14:paraId="5B218005" w14:textId="77777777" w:rsidTr="00CF0C14">
        <w:trPr>
          <w:trHeight w:val="360"/>
        </w:trPr>
        <w:tc>
          <w:tcPr>
            <w:cnfStyle w:val="001000000000" w:firstRow="0" w:lastRow="0" w:firstColumn="1" w:lastColumn="0" w:oddVBand="0" w:evenVBand="0" w:oddHBand="0" w:evenHBand="0" w:firstRowFirstColumn="0" w:firstRowLastColumn="0" w:lastRowFirstColumn="0" w:lastRowLastColumn="0"/>
            <w:tcW w:w="15027" w:type="dxa"/>
            <w:gridSpan w:val="5"/>
          </w:tcPr>
          <w:p w14:paraId="74FAF8A3" w14:textId="77777777" w:rsidR="007B6950" w:rsidRPr="005B734B" w:rsidRDefault="007B6950" w:rsidP="00E20DBB">
            <w:pPr>
              <w:rPr>
                <w:rStyle w:val="Strong"/>
              </w:rPr>
            </w:pPr>
            <w:r w:rsidRPr="005B734B">
              <w:rPr>
                <w:rStyle w:val="Strong"/>
              </w:rPr>
              <w:t>GOAL 2 - Reduce ongoing transmission and incidence of syphilis across priority populations</w:t>
            </w:r>
          </w:p>
        </w:tc>
      </w:tr>
      <w:tr w:rsidR="007B6950" w:rsidRPr="005B734B" w14:paraId="0DA7377C" w14:textId="77777777" w:rsidTr="00CF0C14">
        <w:tc>
          <w:tcPr>
            <w:cnfStyle w:val="001000000000" w:firstRow="0" w:lastRow="0" w:firstColumn="1" w:lastColumn="0" w:oddVBand="0" w:evenVBand="0" w:oddHBand="0" w:evenHBand="0" w:firstRowFirstColumn="0" w:firstRowLastColumn="0" w:lastRowFirstColumn="0" w:lastRowLastColumn="0"/>
            <w:tcW w:w="1036" w:type="dxa"/>
            <w:vMerge w:val="restart"/>
          </w:tcPr>
          <w:p w14:paraId="2F3934EE" w14:textId="77777777" w:rsidR="007B6950" w:rsidRPr="005B734B" w:rsidRDefault="007B6950" w:rsidP="00436E19">
            <w:pPr>
              <w:rPr>
                <w:rStyle w:val="Strong"/>
              </w:rPr>
            </w:pPr>
            <w:r w:rsidRPr="005B734B">
              <w:rPr>
                <w:rStyle w:val="Strong"/>
              </w:rPr>
              <w:t xml:space="preserve">2.1 </w:t>
            </w:r>
          </w:p>
        </w:tc>
        <w:tc>
          <w:tcPr>
            <w:tcW w:w="6478" w:type="dxa"/>
          </w:tcPr>
          <w:p w14:paraId="40B064A1" w14:textId="77777777" w:rsidR="007B6950" w:rsidRPr="005B734B" w:rsidRDefault="007B6950" w:rsidP="00E20DBB">
            <w:pPr>
              <w:pStyle w:val="Tabletextleft"/>
              <w:cnfStyle w:val="000000000000" w:firstRow="0" w:lastRow="0" w:firstColumn="0" w:lastColumn="0" w:oddVBand="0" w:evenVBand="0" w:oddHBand="0" w:evenHBand="0" w:firstRowFirstColumn="0" w:firstRowLastColumn="0" w:lastRowFirstColumn="0" w:lastRowLastColumn="0"/>
            </w:pPr>
            <w:r w:rsidRPr="005B734B">
              <w:t>Infectious syphilis rates – Aboriginal and Torres Strait Islander males</w:t>
            </w:r>
          </w:p>
        </w:tc>
        <w:tc>
          <w:tcPr>
            <w:tcW w:w="3025" w:type="dxa"/>
          </w:tcPr>
          <w:p w14:paraId="4A1149FB" w14:textId="1A7622BE" w:rsidR="007B6950" w:rsidRPr="005B734B" w:rsidRDefault="004418DA"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3</w:t>
            </w:r>
            <w:r w:rsidR="007B6950" w:rsidRPr="005B734B">
              <w:t xml:space="preserve">4 (per 100,000) </w:t>
            </w:r>
            <w:r w:rsidRPr="002F1557">
              <w:rPr>
                <w:rStyle w:val="downarrowgreenChar"/>
              </w:rPr>
              <w:t>↓↓</w:t>
            </w:r>
          </w:p>
        </w:tc>
        <w:tc>
          <w:tcPr>
            <w:tcW w:w="2105" w:type="dxa"/>
          </w:tcPr>
          <w:p w14:paraId="145005B1" w14:textId="1D0B9723" w:rsidR="007B6950" w:rsidRPr="005B734B" w:rsidRDefault="004418DA"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43</w:t>
            </w:r>
            <w:r w:rsidR="007B6950" w:rsidRPr="005B734B">
              <w:t xml:space="preserve"> (per 100,000)</w:t>
            </w:r>
          </w:p>
        </w:tc>
        <w:tc>
          <w:tcPr>
            <w:tcW w:w="2383" w:type="dxa"/>
          </w:tcPr>
          <w:p w14:paraId="5CF7132B" w14:textId="77777777" w:rsidR="007B6950" w:rsidRPr="005B734B"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36 (per 100,000)</w:t>
            </w:r>
          </w:p>
        </w:tc>
      </w:tr>
      <w:tr w:rsidR="007B6950" w:rsidRPr="005B734B" w14:paraId="4FE3201E" w14:textId="77777777" w:rsidTr="00CF0C14">
        <w:tc>
          <w:tcPr>
            <w:cnfStyle w:val="001000000000" w:firstRow="0" w:lastRow="0" w:firstColumn="1" w:lastColumn="0" w:oddVBand="0" w:evenVBand="0" w:oddHBand="0" w:evenHBand="0" w:firstRowFirstColumn="0" w:firstRowLastColumn="0" w:lastRowFirstColumn="0" w:lastRowLastColumn="0"/>
            <w:tcW w:w="1036" w:type="dxa"/>
            <w:vMerge/>
          </w:tcPr>
          <w:p w14:paraId="630841DF" w14:textId="77777777" w:rsidR="007B6950" w:rsidRPr="005B734B" w:rsidRDefault="007B6950" w:rsidP="00E20DBB"/>
        </w:tc>
        <w:tc>
          <w:tcPr>
            <w:tcW w:w="6478" w:type="dxa"/>
          </w:tcPr>
          <w:p w14:paraId="4ED40032" w14:textId="77777777" w:rsidR="007B6950" w:rsidRPr="005B734B" w:rsidRDefault="007B6950" w:rsidP="00E20DBB">
            <w:pPr>
              <w:pStyle w:val="Tabletextleft"/>
              <w:cnfStyle w:val="000000000000" w:firstRow="0" w:lastRow="0" w:firstColumn="0" w:lastColumn="0" w:oddVBand="0" w:evenVBand="0" w:oddHBand="0" w:evenHBand="0" w:firstRowFirstColumn="0" w:firstRowLastColumn="0" w:lastRowFirstColumn="0" w:lastRowLastColumn="0"/>
            </w:pPr>
            <w:r w:rsidRPr="005B734B">
              <w:t>Infectious syphilis rates – Aboriginal and Torres Strait Islander females</w:t>
            </w:r>
          </w:p>
        </w:tc>
        <w:tc>
          <w:tcPr>
            <w:tcW w:w="3025" w:type="dxa"/>
          </w:tcPr>
          <w:p w14:paraId="3618657E" w14:textId="18E1DDDE" w:rsidR="007B6950" w:rsidRPr="005B734B"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3</w:t>
            </w:r>
            <w:r w:rsidR="004418DA" w:rsidRPr="005B734B">
              <w:t>3</w:t>
            </w:r>
            <w:r w:rsidRPr="005B734B">
              <w:t xml:space="preserve"> (per 100,000) </w:t>
            </w:r>
            <w:r w:rsidR="004418DA" w:rsidRPr="002F1557">
              <w:rPr>
                <w:rStyle w:val="downarrowgreenChar"/>
              </w:rPr>
              <w:t>↓↓</w:t>
            </w:r>
          </w:p>
        </w:tc>
        <w:tc>
          <w:tcPr>
            <w:tcW w:w="2105" w:type="dxa"/>
          </w:tcPr>
          <w:p w14:paraId="60FA58C1" w14:textId="152A1A58" w:rsidR="007B6950" w:rsidRPr="005B734B" w:rsidRDefault="004418DA"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36</w:t>
            </w:r>
            <w:r w:rsidR="007B6950" w:rsidRPr="005B734B">
              <w:t xml:space="preserve"> (per 100,000)</w:t>
            </w:r>
          </w:p>
        </w:tc>
        <w:tc>
          <w:tcPr>
            <w:tcW w:w="2383" w:type="dxa"/>
          </w:tcPr>
          <w:p w14:paraId="7F2BD6FA" w14:textId="68829987" w:rsidR="007B6950" w:rsidRPr="005B734B"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3</w:t>
            </w:r>
            <w:r w:rsidR="004418DA" w:rsidRPr="005B734B">
              <w:t>1</w:t>
            </w:r>
            <w:r w:rsidRPr="005B734B">
              <w:t xml:space="preserve"> (per 100,000)</w:t>
            </w:r>
          </w:p>
        </w:tc>
      </w:tr>
      <w:tr w:rsidR="007B6950" w:rsidRPr="005B734B" w14:paraId="4498AABD" w14:textId="77777777" w:rsidTr="00CF0C14">
        <w:trPr>
          <w:trHeight w:val="465"/>
        </w:trPr>
        <w:tc>
          <w:tcPr>
            <w:cnfStyle w:val="001000000000" w:firstRow="0" w:lastRow="0" w:firstColumn="1" w:lastColumn="0" w:oddVBand="0" w:evenVBand="0" w:oddHBand="0" w:evenHBand="0" w:firstRowFirstColumn="0" w:firstRowLastColumn="0" w:lastRowFirstColumn="0" w:lastRowLastColumn="0"/>
            <w:tcW w:w="1036" w:type="dxa"/>
            <w:vMerge/>
          </w:tcPr>
          <w:p w14:paraId="5753FCEF" w14:textId="77777777" w:rsidR="007B6950" w:rsidRPr="005B734B" w:rsidRDefault="007B6950" w:rsidP="00E20DBB">
            <w:pPr>
              <w:pStyle w:val="Tabletextcentre"/>
            </w:pPr>
          </w:p>
        </w:tc>
        <w:tc>
          <w:tcPr>
            <w:tcW w:w="6478" w:type="dxa"/>
          </w:tcPr>
          <w:p w14:paraId="4C1B3517" w14:textId="77777777" w:rsidR="007B6950" w:rsidRPr="005B734B" w:rsidRDefault="007B6950" w:rsidP="00E20DBB">
            <w:pPr>
              <w:pStyle w:val="Tabletextleft"/>
              <w:cnfStyle w:val="000000000000" w:firstRow="0" w:lastRow="0" w:firstColumn="0" w:lastColumn="0" w:oddVBand="0" w:evenVBand="0" w:oddHBand="0" w:evenHBand="0" w:firstRowFirstColumn="0" w:firstRowLastColumn="0" w:lastRowFirstColumn="0" w:lastRowLastColumn="0"/>
            </w:pPr>
            <w:r w:rsidRPr="005B734B">
              <w:t>Infectious syphilis rates – Non-Indigenous males</w:t>
            </w:r>
          </w:p>
        </w:tc>
        <w:tc>
          <w:tcPr>
            <w:tcW w:w="3025" w:type="dxa"/>
          </w:tcPr>
          <w:p w14:paraId="4AD08C25" w14:textId="3640248A" w:rsidR="007B6950" w:rsidRPr="005B734B" w:rsidRDefault="004418DA"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8</w:t>
            </w:r>
            <w:r w:rsidR="007B6950" w:rsidRPr="005B734B">
              <w:t xml:space="preserve"> (per 100,000) </w:t>
            </w:r>
            <w:r w:rsidRPr="002F1557">
              <w:rPr>
                <w:rStyle w:val="downarrowgreenChar"/>
              </w:rPr>
              <w:t>↓</w:t>
            </w:r>
            <w:r w:rsidRPr="002F1557">
              <w:rPr>
                <w:rStyle w:val="rightarroworangeChar"/>
              </w:rPr>
              <w:t>→</w:t>
            </w:r>
          </w:p>
        </w:tc>
        <w:tc>
          <w:tcPr>
            <w:tcW w:w="2105" w:type="dxa"/>
          </w:tcPr>
          <w:p w14:paraId="3D9D4AA6" w14:textId="4BE10CFA" w:rsidR="007B6950" w:rsidRPr="005B734B" w:rsidRDefault="004418DA"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9</w:t>
            </w:r>
            <w:r w:rsidR="007B6950" w:rsidRPr="005B734B">
              <w:t xml:space="preserve"> (per 100,000)</w:t>
            </w:r>
          </w:p>
        </w:tc>
        <w:tc>
          <w:tcPr>
            <w:tcW w:w="2383" w:type="dxa"/>
          </w:tcPr>
          <w:p w14:paraId="564588A9" w14:textId="77777777" w:rsidR="007B6950" w:rsidRPr="005B734B"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8 (per 100,000)</w:t>
            </w:r>
          </w:p>
        </w:tc>
      </w:tr>
      <w:tr w:rsidR="007B6950" w:rsidRPr="005B734B" w14:paraId="1AB03154" w14:textId="77777777" w:rsidTr="00CF0C14">
        <w:trPr>
          <w:trHeight w:val="428"/>
        </w:trPr>
        <w:tc>
          <w:tcPr>
            <w:cnfStyle w:val="001000000000" w:firstRow="0" w:lastRow="0" w:firstColumn="1" w:lastColumn="0" w:oddVBand="0" w:evenVBand="0" w:oddHBand="0" w:evenHBand="0" w:firstRowFirstColumn="0" w:firstRowLastColumn="0" w:lastRowFirstColumn="0" w:lastRowLastColumn="0"/>
            <w:tcW w:w="1036" w:type="dxa"/>
            <w:vMerge/>
          </w:tcPr>
          <w:p w14:paraId="2FDAEB5A" w14:textId="77777777" w:rsidR="007B6950" w:rsidRPr="005B734B" w:rsidRDefault="007B6950" w:rsidP="00E20DBB">
            <w:pPr>
              <w:pStyle w:val="Tabletextcentre"/>
            </w:pPr>
          </w:p>
        </w:tc>
        <w:tc>
          <w:tcPr>
            <w:tcW w:w="6478" w:type="dxa"/>
          </w:tcPr>
          <w:p w14:paraId="7C83BB9A" w14:textId="77777777" w:rsidR="007B6950" w:rsidRPr="005B734B" w:rsidRDefault="007B6950" w:rsidP="00E20DBB">
            <w:pPr>
              <w:pStyle w:val="Tabletextleft"/>
              <w:cnfStyle w:val="000000000000" w:firstRow="0" w:lastRow="0" w:firstColumn="0" w:lastColumn="0" w:oddVBand="0" w:evenVBand="0" w:oddHBand="0" w:evenHBand="0" w:firstRowFirstColumn="0" w:firstRowLastColumn="0" w:lastRowFirstColumn="0" w:lastRowLastColumn="0"/>
            </w:pPr>
            <w:r w:rsidRPr="005B734B">
              <w:t>Infectious syphilis rates – Non-Indigenous females</w:t>
            </w:r>
          </w:p>
        </w:tc>
        <w:tc>
          <w:tcPr>
            <w:tcW w:w="3025" w:type="dxa"/>
          </w:tcPr>
          <w:p w14:paraId="64C0EFF7" w14:textId="3C6F12C1" w:rsidR="007B6950" w:rsidRPr="005B734B"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 xml:space="preserve">2 (per 100,000) </w:t>
            </w:r>
            <w:r w:rsidR="004418DA" w:rsidRPr="002F1557">
              <w:rPr>
                <w:rStyle w:val="rightarroworangeChar"/>
              </w:rPr>
              <w:t>→→</w:t>
            </w:r>
          </w:p>
        </w:tc>
        <w:tc>
          <w:tcPr>
            <w:tcW w:w="2105" w:type="dxa"/>
          </w:tcPr>
          <w:p w14:paraId="58C2BBA8" w14:textId="23D58A4F" w:rsidR="007B6950" w:rsidRPr="005B734B" w:rsidRDefault="004418DA"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2</w:t>
            </w:r>
            <w:r w:rsidR="007B6950" w:rsidRPr="005B734B">
              <w:t xml:space="preserve"> (per 100,000)</w:t>
            </w:r>
          </w:p>
        </w:tc>
        <w:tc>
          <w:tcPr>
            <w:tcW w:w="2383" w:type="dxa"/>
          </w:tcPr>
          <w:p w14:paraId="41A60F92" w14:textId="577DC696" w:rsidR="007B6950" w:rsidRPr="005B734B" w:rsidRDefault="004418DA"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2</w:t>
            </w:r>
            <w:r w:rsidR="007B6950" w:rsidRPr="005B734B">
              <w:t xml:space="preserve"> (per 100,000)</w:t>
            </w:r>
          </w:p>
        </w:tc>
      </w:tr>
      <w:tr w:rsidR="007B6950" w:rsidRPr="005B734B" w14:paraId="4C8DB681" w14:textId="77777777" w:rsidTr="00CF0C14">
        <w:tc>
          <w:tcPr>
            <w:cnfStyle w:val="001000000000" w:firstRow="0" w:lastRow="0" w:firstColumn="1" w:lastColumn="0" w:oddVBand="0" w:evenVBand="0" w:oddHBand="0" w:evenHBand="0" w:firstRowFirstColumn="0" w:firstRowLastColumn="0" w:lastRowFirstColumn="0" w:lastRowLastColumn="0"/>
            <w:tcW w:w="15027" w:type="dxa"/>
            <w:gridSpan w:val="5"/>
          </w:tcPr>
          <w:p w14:paraId="74611C75" w14:textId="243AAA68" w:rsidR="007B6950" w:rsidRPr="005B734B" w:rsidRDefault="007B6950" w:rsidP="00E20DBB">
            <w:pPr>
              <w:pStyle w:val="Tabletextleft"/>
              <w:rPr>
                <w:rStyle w:val="Strong"/>
              </w:rPr>
            </w:pPr>
            <w:r w:rsidRPr="005B734B">
              <w:rPr>
                <w:rStyle w:val="Strong"/>
              </w:rPr>
              <w:t>Mapped indicators 2.2 and 2.3</w:t>
            </w:r>
          </w:p>
        </w:tc>
      </w:tr>
      <w:tr w:rsidR="007B6950" w:rsidRPr="005B734B" w14:paraId="3DE1A809" w14:textId="77777777" w:rsidTr="00CF0C14">
        <w:trPr>
          <w:trHeight w:val="850"/>
        </w:trPr>
        <w:tc>
          <w:tcPr>
            <w:cnfStyle w:val="001000000000" w:firstRow="0" w:lastRow="0" w:firstColumn="1" w:lastColumn="0" w:oddVBand="0" w:evenVBand="0" w:oddHBand="0" w:evenHBand="0" w:firstRowFirstColumn="0" w:firstRowLastColumn="0" w:lastRowFirstColumn="0" w:lastRowLastColumn="0"/>
            <w:tcW w:w="1036" w:type="dxa"/>
            <w:vMerge w:val="restart"/>
          </w:tcPr>
          <w:p w14:paraId="739F5265" w14:textId="77777777" w:rsidR="007B6950" w:rsidRPr="005B734B" w:rsidRDefault="007B6950" w:rsidP="00436E19">
            <w:pPr>
              <w:rPr>
                <w:rStyle w:val="Strong"/>
              </w:rPr>
            </w:pPr>
            <w:r w:rsidRPr="005B734B">
              <w:rPr>
                <w:rStyle w:val="Strong"/>
              </w:rPr>
              <w:t>2.4</w:t>
            </w:r>
          </w:p>
        </w:tc>
        <w:tc>
          <w:tcPr>
            <w:tcW w:w="6478" w:type="dxa"/>
            <w:vMerge w:val="restart"/>
          </w:tcPr>
          <w:p w14:paraId="4228DD3C" w14:textId="77777777" w:rsidR="007B6950" w:rsidRPr="005B734B" w:rsidRDefault="007B6950" w:rsidP="00E20DBB">
            <w:pPr>
              <w:pStyle w:val="Tabletextleft"/>
              <w:cnfStyle w:val="000000000000" w:firstRow="0" w:lastRow="0" w:firstColumn="0" w:lastColumn="0" w:oddVBand="0" w:evenVBand="0" w:oddHBand="0" w:evenHBand="0" w:firstRowFirstColumn="0" w:firstRowLastColumn="0" w:lastRowFirstColumn="0" w:lastRowLastColumn="0"/>
            </w:pPr>
            <w:r w:rsidRPr="005B734B">
              <w:t>Remoteness area and women of reproductive age: Infectious syphilis rates – Aboriginal and Torres Strait Islander women</w:t>
            </w:r>
          </w:p>
          <w:p w14:paraId="34BC1A0B" w14:textId="77777777" w:rsidR="007B6950" w:rsidRPr="005B734B" w:rsidRDefault="007B6950" w:rsidP="00E20DBB">
            <w:pPr>
              <w:pStyle w:val="Tabletextright0"/>
              <w:cnfStyle w:val="000000000000" w:firstRow="0" w:lastRow="0" w:firstColumn="0" w:lastColumn="0" w:oddVBand="0" w:evenVBand="0" w:oddHBand="0" w:evenHBand="0" w:firstRowFirstColumn="0" w:firstRowLastColumn="0" w:lastRowFirstColumn="0" w:lastRowLastColumn="0"/>
            </w:pPr>
            <w:r w:rsidRPr="005B734B">
              <w:t>Major cities</w:t>
            </w:r>
          </w:p>
          <w:p w14:paraId="420B1D7A" w14:textId="34B7FEDD" w:rsidR="007B6950" w:rsidRPr="005B734B" w:rsidRDefault="007B6950" w:rsidP="00E20DBB">
            <w:pPr>
              <w:pStyle w:val="Tabletextright0"/>
              <w:cnfStyle w:val="000000000000" w:firstRow="0" w:lastRow="0" w:firstColumn="0" w:lastColumn="0" w:oddVBand="0" w:evenVBand="0" w:oddHBand="0" w:evenHBand="0" w:firstRowFirstColumn="0" w:firstRowLastColumn="0" w:lastRowFirstColumn="0" w:lastRowLastColumn="0"/>
            </w:pPr>
            <w:r w:rsidRPr="005B734B">
              <w:t>Inner/outer regional</w:t>
            </w:r>
          </w:p>
          <w:p w14:paraId="45A2804D" w14:textId="77777777" w:rsidR="007B6950" w:rsidRPr="005B734B" w:rsidRDefault="007B6950" w:rsidP="00E20DBB">
            <w:pPr>
              <w:pStyle w:val="Tabletextright0"/>
              <w:cnfStyle w:val="000000000000" w:firstRow="0" w:lastRow="0" w:firstColumn="0" w:lastColumn="0" w:oddVBand="0" w:evenVBand="0" w:oddHBand="0" w:evenHBand="0" w:firstRowFirstColumn="0" w:firstRowLastColumn="0" w:lastRowFirstColumn="0" w:lastRowLastColumn="0"/>
              <w:rPr>
                <w:color w:val="000000" w:themeColor="text2"/>
              </w:rPr>
            </w:pPr>
            <w:r w:rsidRPr="005B734B">
              <w:t>Remote/very remote</w:t>
            </w:r>
          </w:p>
        </w:tc>
        <w:tc>
          <w:tcPr>
            <w:tcW w:w="3025" w:type="dxa"/>
          </w:tcPr>
          <w:p w14:paraId="5A8DB68B" w14:textId="3AFD64B9" w:rsidR="007B6950" w:rsidRPr="005B734B" w:rsidRDefault="005516A4"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44</w:t>
            </w:r>
            <w:r w:rsidR="007B6950" w:rsidRPr="005B734B">
              <w:t xml:space="preserve"> (per 100,000) </w:t>
            </w:r>
            <w:r w:rsidR="007B6950" w:rsidRPr="002F1557">
              <w:rPr>
                <w:rStyle w:val="downarrowgreenChar"/>
              </w:rPr>
              <w:t>↓</w:t>
            </w:r>
            <w:r w:rsidRPr="002F1557">
              <w:rPr>
                <w:rStyle w:val="downarrowgreenChar"/>
              </w:rPr>
              <w:t>↓</w:t>
            </w:r>
          </w:p>
        </w:tc>
        <w:tc>
          <w:tcPr>
            <w:tcW w:w="2105" w:type="dxa"/>
          </w:tcPr>
          <w:p w14:paraId="7CE8CE26" w14:textId="6DABCDF0" w:rsidR="007B6950" w:rsidRPr="005B734B"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5</w:t>
            </w:r>
            <w:r w:rsidR="005516A4" w:rsidRPr="005B734B">
              <w:t>2</w:t>
            </w:r>
            <w:r w:rsidRPr="005B734B">
              <w:t xml:space="preserve"> (per 100,000)</w:t>
            </w:r>
          </w:p>
        </w:tc>
        <w:tc>
          <w:tcPr>
            <w:tcW w:w="2383" w:type="dxa"/>
          </w:tcPr>
          <w:p w14:paraId="30C2D7E8" w14:textId="26173AB7" w:rsidR="007B6950" w:rsidRPr="005B734B"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4</w:t>
            </w:r>
            <w:r w:rsidR="005516A4" w:rsidRPr="005B734B">
              <w:t>6</w:t>
            </w:r>
            <w:r w:rsidRPr="005B734B">
              <w:t xml:space="preserve"> (per 100,000)</w:t>
            </w:r>
          </w:p>
        </w:tc>
      </w:tr>
      <w:tr w:rsidR="007B6950" w:rsidRPr="005B734B" w14:paraId="5FEA08ED" w14:textId="77777777" w:rsidTr="00CF0C14">
        <w:trPr>
          <w:trHeight w:val="424"/>
        </w:trPr>
        <w:tc>
          <w:tcPr>
            <w:cnfStyle w:val="001000000000" w:firstRow="0" w:lastRow="0" w:firstColumn="1" w:lastColumn="0" w:oddVBand="0" w:evenVBand="0" w:oddHBand="0" w:evenHBand="0" w:firstRowFirstColumn="0" w:firstRowLastColumn="0" w:lastRowFirstColumn="0" w:lastRowLastColumn="0"/>
            <w:tcW w:w="1036" w:type="dxa"/>
            <w:vMerge/>
          </w:tcPr>
          <w:p w14:paraId="14F8496C" w14:textId="77777777" w:rsidR="007B6950" w:rsidRPr="005B734B" w:rsidRDefault="007B6950" w:rsidP="00436E19">
            <w:pPr>
              <w:rPr>
                <w:rStyle w:val="Strong"/>
              </w:rPr>
            </w:pPr>
          </w:p>
        </w:tc>
        <w:tc>
          <w:tcPr>
            <w:tcW w:w="6478" w:type="dxa"/>
            <w:vMerge/>
          </w:tcPr>
          <w:p w14:paraId="14257A25" w14:textId="77777777" w:rsidR="007B6950" w:rsidRPr="005B734B" w:rsidRDefault="007B6950" w:rsidP="00E20DBB">
            <w:pPr>
              <w:cnfStyle w:val="000000000000" w:firstRow="0" w:lastRow="0" w:firstColumn="0" w:lastColumn="0" w:oddVBand="0" w:evenVBand="0" w:oddHBand="0" w:evenHBand="0" w:firstRowFirstColumn="0" w:firstRowLastColumn="0" w:lastRowFirstColumn="0" w:lastRowLastColumn="0"/>
            </w:pPr>
          </w:p>
        </w:tc>
        <w:tc>
          <w:tcPr>
            <w:tcW w:w="3025" w:type="dxa"/>
          </w:tcPr>
          <w:p w14:paraId="7CCBA2F9" w14:textId="105DAA71" w:rsidR="007B6950" w:rsidRPr="005B734B" w:rsidRDefault="005516A4"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36</w:t>
            </w:r>
            <w:r w:rsidR="007B6950" w:rsidRPr="005B734B">
              <w:t xml:space="preserve"> (per 100,000) </w:t>
            </w:r>
            <w:r w:rsidRPr="002F1557">
              <w:rPr>
                <w:rStyle w:val="downarrowgreenChar"/>
              </w:rPr>
              <w:t>↓</w:t>
            </w:r>
            <w:r w:rsidR="007B6950" w:rsidRPr="002F1557">
              <w:rPr>
                <w:rStyle w:val="uparrowredChar"/>
              </w:rPr>
              <w:t>↑</w:t>
            </w:r>
          </w:p>
        </w:tc>
        <w:tc>
          <w:tcPr>
            <w:tcW w:w="2105" w:type="dxa"/>
          </w:tcPr>
          <w:p w14:paraId="2B3819E1" w14:textId="5881C18D" w:rsidR="007B6950" w:rsidRPr="005B734B" w:rsidRDefault="005516A4"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44</w:t>
            </w:r>
            <w:r w:rsidR="007B6950" w:rsidRPr="005B734B">
              <w:t xml:space="preserve"> (per 100,000)</w:t>
            </w:r>
          </w:p>
        </w:tc>
        <w:tc>
          <w:tcPr>
            <w:tcW w:w="2383" w:type="dxa"/>
          </w:tcPr>
          <w:p w14:paraId="2245841D" w14:textId="49B6731B" w:rsidR="007B6950" w:rsidRPr="005B734B"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3</w:t>
            </w:r>
            <w:r w:rsidR="005516A4" w:rsidRPr="005B734B">
              <w:t>5</w:t>
            </w:r>
            <w:r w:rsidRPr="005B734B">
              <w:t xml:space="preserve"> (per 100,000)</w:t>
            </w:r>
          </w:p>
        </w:tc>
      </w:tr>
      <w:tr w:rsidR="007B6950" w:rsidRPr="005B734B" w14:paraId="4FBA6A03" w14:textId="77777777" w:rsidTr="00CF0C14">
        <w:tc>
          <w:tcPr>
            <w:cnfStyle w:val="001000000000" w:firstRow="0" w:lastRow="0" w:firstColumn="1" w:lastColumn="0" w:oddVBand="0" w:evenVBand="0" w:oddHBand="0" w:evenHBand="0" w:firstRowFirstColumn="0" w:firstRowLastColumn="0" w:lastRowFirstColumn="0" w:lastRowLastColumn="0"/>
            <w:tcW w:w="1036" w:type="dxa"/>
            <w:vMerge/>
          </w:tcPr>
          <w:p w14:paraId="30655560" w14:textId="77777777" w:rsidR="007B6950" w:rsidRPr="005B734B" w:rsidRDefault="007B6950" w:rsidP="00436E19">
            <w:pPr>
              <w:rPr>
                <w:rStyle w:val="Strong"/>
              </w:rPr>
            </w:pPr>
          </w:p>
        </w:tc>
        <w:tc>
          <w:tcPr>
            <w:tcW w:w="6478" w:type="dxa"/>
            <w:vMerge/>
          </w:tcPr>
          <w:p w14:paraId="3A88FF38" w14:textId="77777777" w:rsidR="007B6950" w:rsidRPr="005B734B" w:rsidRDefault="007B6950" w:rsidP="00E20DBB">
            <w:pPr>
              <w:cnfStyle w:val="000000000000" w:firstRow="0" w:lastRow="0" w:firstColumn="0" w:lastColumn="0" w:oddVBand="0" w:evenVBand="0" w:oddHBand="0" w:evenHBand="0" w:firstRowFirstColumn="0" w:firstRowLastColumn="0" w:lastRowFirstColumn="0" w:lastRowLastColumn="0"/>
            </w:pPr>
          </w:p>
        </w:tc>
        <w:tc>
          <w:tcPr>
            <w:tcW w:w="3025" w:type="dxa"/>
          </w:tcPr>
          <w:p w14:paraId="6D9345A5" w14:textId="62034176" w:rsidR="007B6950" w:rsidRPr="005B734B"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2</w:t>
            </w:r>
            <w:r w:rsidR="005516A4" w:rsidRPr="005B734B">
              <w:t>01</w:t>
            </w:r>
            <w:r w:rsidRPr="005B734B">
              <w:t xml:space="preserve"> (per 100,000) </w:t>
            </w:r>
            <w:r w:rsidR="005516A4" w:rsidRPr="002F1557">
              <w:rPr>
                <w:rStyle w:val="downarrowgreenChar"/>
              </w:rPr>
              <w:t>↓</w:t>
            </w:r>
            <w:r w:rsidRPr="002F1557">
              <w:rPr>
                <w:rStyle w:val="uparrowredChar"/>
              </w:rPr>
              <w:t>↑</w:t>
            </w:r>
          </w:p>
        </w:tc>
        <w:tc>
          <w:tcPr>
            <w:tcW w:w="2105" w:type="dxa"/>
          </w:tcPr>
          <w:p w14:paraId="45E3CAFE" w14:textId="583D3DB8" w:rsidR="007B6950" w:rsidRPr="005B734B" w:rsidRDefault="005516A4"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208</w:t>
            </w:r>
            <w:r w:rsidR="007B6950" w:rsidRPr="005B734B">
              <w:t xml:space="preserve"> (per 100,000)</w:t>
            </w:r>
          </w:p>
        </w:tc>
        <w:tc>
          <w:tcPr>
            <w:tcW w:w="2383" w:type="dxa"/>
          </w:tcPr>
          <w:p w14:paraId="4EEF5C72" w14:textId="1B7A1801" w:rsidR="007B6950" w:rsidRPr="005B734B"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1</w:t>
            </w:r>
            <w:r w:rsidR="005516A4" w:rsidRPr="005B734B">
              <w:t>83</w:t>
            </w:r>
            <w:r w:rsidRPr="005B734B">
              <w:t xml:space="preserve"> (per 100,000)</w:t>
            </w:r>
          </w:p>
        </w:tc>
      </w:tr>
      <w:tr w:rsidR="007B6950" w:rsidRPr="005B734B" w14:paraId="1C549829" w14:textId="77777777" w:rsidTr="00CF0C14">
        <w:tc>
          <w:tcPr>
            <w:cnfStyle w:val="001000000000" w:firstRow="0" w:lastRow="0" w:firstColumn="1" w:lastColumn="0" w:oddVBand="0" w:evenVBand="0" w:oddHBand="0" w:evenHBand="0" w:firstRowFirstColumn="0" w:firstRowLastColumn="0" w:lastRowFirstColumn="0" w:lastRowLastColumn="0"/>
            <w:tcW w:w="1036" w:type="dxa"/>
            <w:vMerge/>
          </w:tcPr>
          <w:p w14:paraId="3D81E4CF" w14:textId="77777777" w:rsidR="007B6950" w:rsidRPr="005B734B" w:rsidRDefault="007B6950" w:rsidP="00436E19">
            <w:pPr>
              <w:rPr>
                <w:rStyle w:val="Strong"/>
              </w:rPr>
            </w:pPr>
          </w:p>
        </w:tc>
        <w:tc>
          <w:tcPr>
            <w:tcW w:w="6478" w:type="dxa"/>
            <w:vMerge w:val="restart"/>
          </w:tcPr>
          <w:p w14:paraId="3B33AC5F" w14:textId="77777777" w:rsidR="007B6950" w:rsidRPr="005B734B" w:rsidRDefault="007B6950" w:rsidP="00E20DBB">
            <w:pPr>
              <w:pStyle w:val="Tabletextleft"/>
              <w:cnfStyle w:val="000000000000" w:firstRow="0" w:lastRow="0" w:firstColumn="0" w:lastColumn="0" w:oddVBand="0" w:evenVBand="0" w:oddHBand="0" w:evenHBand="0" w:firstRowFirstColumn="0" w:firstRowLastColumn="0" w:lastRowFirstColumn="0" w:lastRowLastColumn="0"/>
            </w:pPr>
            <w:r w:rsidRPr="005B734B">
              <w:t>Remoteness area and women of reproductive age: Infectious syphilis rates – non-Indigenous women</w:t>
            </w:r>
          </w:p>
          <w:p w14:paraId="486883D1" w14:textId="77777777" w:rsidR="007B6950" w:rsidRPr="005B734B" w:rsidRDefault="007B6950" w:rsidP="00E20DBB">
            <w:pPr>
              <w:pStyle w:val="Tabletextright0"/>
              <w:cnfStyle w:val="000000000000" w:firstRow="0" w:lastRow="0" w:firstColumn="0" w:lastColumn="0" w:oddVBand="0" w:evenVBand="0" w:oddHBand="0" w:evenHBand="0" w:firstRowFirstColumn="0" w:firstRowLastColumn="0" w:lastRowFirstColumn="0" w:lastRowLastColumn="0"/>
            </w:pPr>
            <w:r w:rsidRPr="005B734B">
              <w:t>Major cities</w:t>
            </w:r>
          </w:p>
          <w:p w14:paraId="45C5A8C0" w14:textId="77777777" w:rsidR="007B6950" w:rsidRPr="005B734B" w:rsidRDefault="007B6950" w:rsidP="00E20DBB">
            <w:pPr>
              <w:pStyle w:val="Tabletextright0"/>
              <w:cnfStyle w:val="000000000000" w:firstRow="0" w:lastRow="0" w:firstColumn="0" w:lastColumn="0" w:oddVBand="0" w:evenVBand="0" w:oddHBand="0" w:evenHBand="0" w:firstRowFirstColumn="0" w:firstRowLastColumn="0" w:lastRowFirstColumn="0" w:lastRowLastColumn="0"/>
            </w:pPr>
            <w:r w:rsidRPr="005B734B">
              <w:t>Inner/outer regional</w:t>
            </w:r>
          </w:p>
          <w:p w14:paraId="32F5AA76" w14:textId="77777777" w:rsidR="007B6950" w:rsidRPr="005B734B" w:rsidRDefault="007B6950" w:rsidP="00E20DBB">
            <w:pPr>
              <w:pStyle w:val="Tabletextright0"/>
              <w:cnfStyle w:val="000000000000" w:firstRow="0" w:lastRow="0" w:firstColumn="0" w:lastColumn="0" w:oddVBand="0" w:evenVBand="0" w:oddHBand="0" w:evenHBand="0" w:firstRowFirstColumn="0" w:firstRowLastColumn="0" w:lastRowFirstColumn="0" w:lastRowLastColumn="0"/>
            </w:pPr>
            <w:r w:rsidRPr="005B734B">
              <w:t>Remote/very remote</w:t>
            </w:r>
          </w:p>
        </w:tc>
        <w:tc>
          <w:tcPr>
            <w:tcW w:w="3025" w:type="dxa"/>
          </w:tcPr>
          <w:p w14:paraId="33472546" w14:textId="2E57F7BB" w:rsidR="007B6950" w:rsidRPr="005B734B" w:rsidRDefault="005516A4"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3</w:t>
            </w:r>
            <w:r w:rsidR="007B6950" w:rsidRPr="005B734B">
              <w:t xml:space="preserve"> (per 100,000) </w:t>
            </w:r>
            <w:r w:rsidRPr="002F1557">
              <w:rPr>
                <w:rStyle w:val="downarrowgreenChar"/>
              </w:rPr>
              <w:t>↓</w:t>
            </w:r>
            <w:r w:rsidR="007B6950" w:rsidRPr="002F1557">
              <w:rPr>
                <w:rStyle w:val="rightarroworangeChar"/>
              </w:rPr>
              <w:t>→</w:t>
            </w:r>
          </w:p>
        </w:tc>
        <w:tc>
          <w:tcPr>
            <w:tcW w:w="2105" w:type="dxa"/>
          </w:tcPr>
          <w:p w14:paraId="05F5068D" w14:textId="3937D51A" w:rsidR="007B6950" w:rsidRPr="005B734B"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4 (per 100,000)</w:t>
            </w:r>
          </w:p>
        </w:tc>
        <w:tc>
          <w:tcPr>
            <w:tcW w:w="2383" w:type="dxa"/>
          </w:tcPr>
          <w:p w14:paraId="4E9DF1DD" w14:textId="7D9E36AE" w:rsidR="007B6950" w:rsidRPr="005B734B"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3 (per 100,000)</w:t>
            </w:r>
          </w:p>
        </w:tc>
      </w:tr>
      <w:tr w:rsidR="007B6950" w:rsidRPr="005B734B" w14:paraId="67C6BF8B" w14:textId="77777777" w:rsidTr="00CF0C14">
        <w:trPr>
          <w:trHeight w:val="584"/>
        </w:trPr>
        <w:tc>
          <w:tcPr>
            <w:cnfStyle w:val="001000000000" w:firstRow="0" w:lastRow="0" w:firstColumn="1" w:lastColumn="0" w:oddVBand="0" w:evenVBand="0" w:oddHBand="0" w:evenHBand="0" w:firstRowFirstColumn="0" w:firstRowLastColumn="0" w:lastRowFirstColumn="0" w:lastRowLastColumn="0"/>
            <w:tcW w:w="1036" w:type="dxa"/>
            <w:vMerge/>
          </w:tcPr>
          <w:p w14:paraId="745E0D72" w14:textId="77777777" w:rsidR="007B6950" w:rsidRPr="005B734B" w:rsidRDefault="007B6950" w:rsidP="00436E19">
            <w:pPr>
              <w:rPr>
                <w:rStyle w:val="Strong"/>
              </w:rPr>
            </w:pPr>
          </w:p>
        </w:tc>
        <w:tc>
          <w:tcPr>
            <w:tcW w:w="6478" w:type="dxa"/>
            <w:vMerge/>
          </w:tcPr>
          <w:p w14:paraId="5736C33A" w14:textId="77777777" w:rsidR="007B6950" w:rsidRPr="005B734B" w:rsidRDefault="007B6950" w:rsidP="00E20DBB">
            <w:pPr>
              <w:cnfStyle w:val="000000000000" w:firstRow="0" w:lastRow="0" w:firstColumn="0" w:lastColumn="0" w:oddVBand="0" w:evenVBand="0" w:oddHBand="0" w:evenHBand="0" w:firstRowFirstColumn="0" w:firstRowLastColumn="0" w:lastRowFirstColumn="0" w:lastRowLastColumn="0"/>
            </w:pPr>
          </w:p>
        </w:tc>
        <w:tc>
          <w:tcPr>
            <w:tcW w:w="3025" w:type="dxa"/>
          </w:tcPr>
          <w:p w14:paraId="6AEC68CD" w14:textId="5E8E76C1" w:rsidR="007B6950" w:rsidRPr="005B734B" w:rsidRDefault="005516A4"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 xml:space="preserve">3 </w:t>
            </w:r>
            <w:r w:rsidR="007B6950" w:rsidRPr="005B734B">
              <w:t xml:space="preserve">(per 100,000) </w:t>
            </w:r>
            <w:r w:rsidRPr="002F1557">
              <w:rPr>
                <w:rStyle w:val="uparrowredChar"/>
              </w:rPr>
              <w:t>↑</w:t>
            </w:r>
            <w:r w:rsidR="007B6950" w:rsidRPr="002F1557">
              <w:rPr>
                <w:rStyle w:val="rightarroworangeChar"/>
              </w:rPr>
              <w:t>→</w:t>
            </w:r>
          </w:p>
        </w:tc>
        <w:tc>
          <w:tcPr>
            <w:tcW w:w="2105" w:type="dxa"/>
          </w:tcPr>
          <w:p w14:paraId="0A7D6D6C" w14:textId="77777777" w:rsidR="007B6950" w:rsidRPr="005B734B"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2 (per 100,000)</w:t>
            </w:r>
          </w:p>
        </w:tc>
        <w:tc>
          <w:tcPr>
            <w:tcW w:w="2383" w:type="dxa"/>
          </w:tcPr>
          <w:p w14:paraId="08DB7FE9" w14:textId="77777777" w:rsidR="007B6950" w:rsidRPr="005B734B"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3 (per 100,000)</w:t>
            </w:r>
          </w:p>
        </w:tc>
      </w:tr>
      <w:tr w:rsidR="007B6950" w:rsidRPr="005B734B" w14:paraId="3B9210C5" w14:textId="77777777" w:rsidTr="00CF0C14">
        <w:trPr>
          <w:trHeight w:val="550"/>
        </w:trPr>
        <w:tc>
          <w:tcPr>
            <w:cnfStyle w:val="001000000000" w:firstRow="0" w:lastRow="0" w:firstColumn="1" w:lastColumn="0" w:oddVBand="0" w:evenVBand="0" w:oddHBand="0" w:evenHBand="0" w:firstRowFirstColumn="0" w:firstRowLastColumn="0" w:lastRowFirstColumn="0" w:lastRowLastColumn="0"/>
            <w:tcW w:w="1036" w:type="dxa"/>
            <w:vMerge/>
          </w:tcPr>
          <w:p w14:paraId="4EAF36A6" w14:textId="77777777" w:rsidR="007B6950" w:rsidRPr="005B734B" w:rsidRDefault="007B6950" w:rsidP="00436E19">
            <w:pPr>
              <w:rPr>
                <w:rStyle w:val="Strong"/>
              </w:rPr>
            </w:pPr>
          </w:p>
        </w:tc>
        <w:tc>
          <w:tcPr>
            <w:tcW w:w="6478" w:type="dxa"/>
            <w:vMerge/>
          </w:tcPr>
          <w:p w14:paraId="32D06183" w14:textId="77777777" w:rsidR="007B6950" w:rsidRPr="005B734B" w:rsidRDefault="007B6950" w:rsidP="00E20DBB">
            <w:pPr>
              <w:cnfStyle w:val="000000000000" w:firstRow="0" w:lastRow="0" w:firstColumn="0" w:lastColumn="0" w:oddVBand="0" w:evenVBand="0" w:oddHBand="0" w:evenHBand="0" w:firstRowFirstColumn="0" w:firstRowLastColumn="0" w:lastRowFirstColumn="0" w:lastRowLastColumn="0"/>
            </w:pPr>
          </w:p>
        </w:tc>
        <w:tc>
          <w:tcPr>
            <w:tcW w:w="3025" w:type="dxa"/>
          </w:tcPr>
          <w:p w14:paraId="7F39A4F2" w14:textId="2B2F8E10" w:rsidR="007B6950" w:rsidRPr="005B734B" w:rsidRDefault="005516A4"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2</w:t>
            </w:r>
            <w:r w:rsidR="007B6950" w:rsidRPr="005B734B">
              <w:t xml:space="preserve"> (per 100,000) </w:t>
            </w:r>
            <w:r w:rsidRPr="002F1557">
              <w:rPr>
                <w:rStyle w:val="downarrowgreenChar"/>
              </w:rPr>
              <w:t>↓</w:t>
            </w:r>
            <w:r w:rsidR="007B6950" w:rsidRPr="002F1557">
              <w:rPr>
                <w:rStyle w:val="rightarroworangeChar"/>
              </w:rPr>
              <w:t>→</w:t>
            </w:r>
          </w:p>
        </w:tc>
        <w:tc>
          <w:tcPr>
            <w:tcW w:w="2105" w:type="dxa"/>
          </w:tcPr>
          <w:p w14:paraId="6179C741" w14:textId="77777777" w:rsidR="007B6950" w:rsidRPr="005B734B"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4 (per 100,000)</w:t>
            </w:r>
          </w:p>
        </w:tc>
        <w:tc>
          <w:tcPr>
            <w:tcW w:w="2383" w:type="dxa"/>
          </w:tcPr>
          <w:p w14:paraId="17DE05D2" w14:textId="5484C67B" w:rsidR="007B6950" w:rsidRPr="005B734B" w:rsidRDefault="005516A4"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2</w:t>
            </w:r>
            <w:r w:rsidR="007B6950" w:rsidRPr="005B734B">
              <w:t xml:space="preserve"> (per 100,000)</w:t>
            </w:r>
          </w:p>
        </w:tc>
      </w:tr>
      <w:tr w:rsidR="007B6950" w:rsidRPr="005B734B" w14:paraId="6C28432F" w14:textId="77777777" w:rsidTr="00CF0C14">
        <w:trPr>
          <w:trHeight w:val="700"/>
        </w:trPr>
        <w:tc>
          <w:tcPr>
            <w:cnfStyle w:val="001000000000" w:firstRow="0" w:lastRow="0" w:firstColumn="1" w:lastColumn="0" w:oddVBand="0" w:evenVBand="0" w:oddHBand="0" w:evenHBand="0" w:firstRowFirstColumn="0" w:firstRowLastColumn="0" w:lastRowFirstColumn="0" w:lastRowLastColumn="0"/>
            <w:tcW w:w="1036" w:type="dxa"/>
          </w:tcPr>
          <w:p w14:paraId="6D9A3A58" w14:textId="77777777" w:rsidR="007B6950" w:rsidRPr="005B734B" w:rsidRDefault="007B6950" w:rsidP="00436E19">
            <w:pPr>
              <w:rPr>
                <w:rStyle w:val="Strong"/>
              </w:rPr>
            </w:pPr>
            <w:r w:rsidRPr="005B734B">
              <w:rPr>
                <w:rStyle w:val="Strong"/>
              </w:rPr>
              <w:t>2.5</w:t>
            </w:r>
          </w:p>
        </w:tc>
        <w:tc>
          <w:tcPr>
            <w:tcW w:w="6478" w:type="dxa"/>
          </w:tcPr>
          <w:p w14:paraId="50BD2792" w14:textId="77777777" w:rsidR="007B6950" w:rsidRPr="005B734B" w:rsidRDefault="007B6950" w:rsidP="00E20DBB">
            <w:pPr>
              <w:pStyle w:val="Tabletextleft"/>
              <w:cnfStyle w:val="000000000000" w:firstRow="0" w:lastRow="0" w:firstColumn="0" w:lastColumn="0" w:oddVBand="0" w:evenVBand="0" w:oddHBand="0" w:evenHBand="0" w:firstRowFirstColumn="0" w:firstRowLastColumn="0" w:lastRowFirstColumn="0" w:lastRowLastColumn="0"/>
            </w:pPr>
            <w:r w:rsidRPr="005B734B">
              <w:t>Men, notified with infectious syphilis, reporting sexual exposure with men only (%)</w:t>
            </w:r>
          </w:p>
        </w:tc>
        <w:tc>
          <w:tcPr>
            <w:tcW w:w="3025" w:type="dxa"/>
          </w:tcPr>
          <w:p w14:paraId="4377263C" w14:textId="49DE56CE" w:rsidR="007B6950" w:rsidRPr="005B734B" w:rsidRDefault="004418DA"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51</w:t>
            </w:r>
            <w:r w:rsidR="007B6950" w:rsidRPr="005B734B">
              <w:t xml:space="preserve">% </w:t>
            </w:r>
            <w:r w:rsidR="007B6950" w:rsidRPr="002F1557">
              <w:rPr>
                <w:rStyle w:val="rightarroworangeChar"/>
              </w:rPr>
              <w:t>→</w:t>
            </w:r>
            <w:r w:rsidRPr="002F1557">
              <w:rPr>
                <w:rStyle w:val="uparrowredChar"/>
              </w:rPr>
              <w:t>↑</w:t>
            </w:r>
          </w:p>
        </w:tc>
        <w:tc>
          <w:tcPr>
            <w:tcW w:w="2105" w:type="dxa"/>
          </w:tcPr>
          <w:p w14:paraId="7AEC609F" w14:textId="15C49097" w:rsidR="007B6950" w:rsidRPr="005B734B" w:rsidRDefault="004418DA"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51</w:t>
            </w:r>
            <w:r w:rsidR="007B6950" w:rsidRPr="005B734B">
              <w:t>%</w:t>
            </w:r>
          </w:p>
        </w:tc>
        <w:tc>
          <w:tcPr>
            <w:tcW w:w="2383" w:type="dxa"/>
          </w:tcPr>
          <w:p w14:paraId="1727C7CA" w14:textId="5BD8395E" w:rsidR="007B6950" w:rsidRPr="005B734B"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4</w:t>
            </w:r>
            <w:r w:rsidR="004418DA" w:rsidRPr="005B734B">
              <w:t>9</w:t>
            </w:r>
            <w:r w:rsidRPr="005B734B">
              <w:t>%</w:t>
            </w:r>
          </w:p>
        </w:tc>
      </w:tr>
      <w:tr w:rsidR="007B6950" w:rsidRPr="005B734B" w14:paraId="39DB93D1" w14:textId="77777777" w:rsidTr="00CF0C14">
        <w:trPr>
          <w:trHeight w:val="696"/>
        </w:trPr>
        <w:tc>
          <w:tcPr>
            <w:cnfStyle w:val="001000000000" w:firstRow="0" w:lastRow="0" w:firstColumn="1" w:lastColumn="0" w:oddVBand="0" w:evenVBand="0" w:oddHBand="0" w:evenHBand="0" w:firstRowFirstColumn="0" w:firstRowLastColumn="0" w:lastRowFirstColumn="0" w:lastRowLastColumn="0"/>
            <w:tcW w:w="1036" w:type="dxa"/>
          </w:tcPr>
          <w:p w14:paraId="5FA641C2" w14:textId="77777777" w:rsidR="007B6950" w:rsidRPr="005B734B" w:rsidRDefault="007B6950" w:rsidP="00436E19">
            <w:pPr>
              <w:rPr>
                <w:rStyle w:val="Strong"/>
              </w:rPr>
            </w:pPr>
            <w:r w:rsidRPr="005B734B">
              <w:rPr>
                <w:rStyle w:val="Strong"/>
              </w:rPr>
              <w:t>2.6</w:t>
            </w:r>
          </w:p>
        </w:tc>
        <w:tc>
          <w:tcPr>
            <w:tcW w:w="6478" w:type="dxa"/>
          </w:tcPr>
          <w:p w14:paraId="083587AC" w14:textId="77777777" w:rsidR="007B6950" w:rsidRPr="005B734B" w:rsidRDefault="007B6950" w:rsidP="00E20DBB">
            <w:pPr>
              <w:pStyle w:val="Tabletextleft"/>
              <w:cnfStyle w:val="000000000000" w:firstRow="0" w:lastRow="0" w:firstColumn="0" w:lastColumn="0" w:oddVBand="0" w:evenVBand="0" w:oddHBand="0" w:evenHBand="0" w:firstRowFirstColumn="0" w:firstRowLastColumn="0" w:lastRowFirstColumn="0" w:lastRowLastColumn="0"/>
            </w:pPr>
            <w:r w:rsidRPr="005B734B">
              <w:t>Men, notified with infectious syphilis, reporting sexual exposure with men and women (%)</w:t>
            </w:r>
          </w:p>
        </w:tc>
        <w:tc>
          <w:tcPr>
            <w:tcW w:w="3025" w:type="dxa"/>
          </w:tcPr>
          <w:p w14:paraId="5CA010E0" w14:textId="534F6394" w:rsidR="007B6950" w:rsidRPr="005B734B"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 xml:space="preserve">6% </w:t>
            </w:r>
            <w:r w:rsidR="005516A4" w:rsidRPr="002F1557">
              <w:rPr>
                <w:rStyle w:val="downarrowgreenChar"/>
              </w:rPr>
              <w:t>↓</w:t>
            </w:r>
            <w:r w:rsidR="004418DA" w:rsidRPr="002F1557">
              <w:rPr>
                <w:rStyle w:val="rightarroworangeChar"/>
              </w:rPr>
              <w:t>→</w:t>
            </w:r>
          </w:p>
        </w:tc>
        <w:tc>
          <w:tcPr>
            <w:tcW w:w="2105" w:type="dxa"/>
          </w:tcPr>
          <w:p w14:paraId="37167EB6" w14:textId="2DD3D8EC" w:rsidR="007B6950" w:rsidRPr="005B734B" w:rsidRDefault="004418DA"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7</w:t>
            </w:r>
            <w:r w:rsidR="007B6950" w:rsidRPr="005B734B">
              <w:t>%</w:t>
            </w:r>
          </w:p>
        </w:tc>
        <w:tc>
          <w:tcPr>
            <w:tcW w:w="2383" w:type="dxa"/>
          </w:tcPr>
          <w:p w14:paraId="47EBBDC2" w14:textId="291CBFF0" w:rsidR="007B6950" w:rsidRPr="005B734B" w:rsidRDefault="004418DA"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6</w:t>
            </w:r>
            <w:r w:rsidR="007B6950" w:rsidRPr="005B734B">
              <w:t>%</w:t>
            </w:r>
          </w:p>
        </w:tc>
      </w:tr>
      <w:tr w:rsidR="007B6950" w:rsidRPr="005B734B" w14:paraId="21FCECCB" w14:textId="77777777" w:rsidTr="00CF0C14">
        <w:trPr>
          <w:trHeight w:val="325"/>
        </w:trPr>
        <w:tc>
          <w:tcPr>
            <w:cnfStyle w:val="001000000000" w:firstRow="0" w:lastRow="0" w:firstColumn="1" w:lastColumn="0" w:oddVBand="0" w:evenVBand="0" w:oddHBand="0" w:evenHBand="0" w:firstRowFirstColumn="0" w:firstRowLastColumn="0" w:lastRowFirstColumn="0" w:lastRowLastColumn="0"/>
            <w:tcW w:w="15027" w:type="dxa"/>
            <w:gridSpan w:val="5"/>
          </w:tcPr>
          <w:p w14:paraId="55C5D804" w14:textId="51FDA081" w:rsidR="007B6950" w:rsidRPr="00A04AE2" w:rsidRDefault="007B6950" w:rsidP="00E20DBB">
            <w:pPr>
              <w:pStyle w:val="Tabletextleft"/>
              <w:rPr>
                <w:rStyle w:val="Strong"/>
              </w:rPr>
            </w:pPr>
            <w:r w:rsidRPr="00A04AE2">
              <w:rPr>
                <w:rStyle w:val="Strong"/>
              </w:rPr>
              <w:t>Indicators 2.7 – 2.10 reported annually</w:t>
            </w:r>
          </w:p>
        </w:tc>
      </w:tr>
      <w:tr w:rsidR="007B6950" w:rsidRPr="005B734B" w14:paraId="3F6850A9" w14:textId="77777777" w:rsidTr="00CF0C14">
        <w:trPr>
          <w:trHeight w:val="426"/>
        </w:trPr>
        <w:tc>
          <w:tcPr>
            <w:cnfStyle w:val="001000000000" w:firstRow="0" w:lastRow="0" w:firstColumn="1" w:lastColumn="0" w:oddVBand="0" w:evenVBand="0" w:oddHBand="0" w:evenHBand="0" w:firstRowFirstColumn="0" w:firstRowLastColumn="0" w:lastRowFirstColumn="0" w:lastRowLastColumn="0"/>
            <w:tcW w:w="15027" w:type="dxa"/>
            <w:gridSpan w:val="5"/>
          </w:tcPr>
          <w:p w14:paraId="37C298AF" w14:textId="77777777" w:rsidR="007B6950" w:rsidRPr="00A04AE2" w:rsidRDefault="007B6950" w:rsidP="00E20DBB">
            <w:pPr>
              <w:pStyle w:val="Tabletextleft"/>
              <w:rPr>
                <w:rStyle w:val="Strong"/>
              </w:rPr>
            </w:pPr>
            <w:r w:rsidRPr="00A04AE2">
              <w:rPr>
                <w:rStyle w:val="Strong"/>
              </w:rPr>
              <w:t>GOAL 3 - Reduce morbidity and mortality associated with syphilis</w:t>
            </w:r>
          </w:p>
        </w:tc>
      </w:tr>
      <w:tr w:rsidR="007B6950" w:rsidRPr="005B734B" w14:paraId="1BBBF973" w14:textId="77777777" w:rsidTr="00CF0C14">
        <w:trPr>
          <w:trHeight w:val="414"/>
        </w:trPr>
        <w:tc>
          <w:tcPr>
            <w:cnfStyle w:val="001000000000" w:firstRow="0" w:lastRow="0" w:firstColumn="1" w:lastColumn="0" w:oddVBand="0" w:evenVBand="0" w:oddHBand="0" w:evenHBand="0" w:firstRowFirstColumn="0" w:firstRowLastColumn="0" w:lastRowFirstColumn="0" w:lastRowLastColumn="0"/>
            <w:tcW w:w="15027" w:type="dxa"/>
            <w:gridSpan w:val="5"/>
          </w:tcPr>
          <w:p w14:paraId="1FEB2A21" w14:textId="5212AC34" w:rsidR="007B6950" w:rsidRPr="00A04AE2" w:rsidRDefault="007B6950" w:rsidP="00E20DBB">
            <w:pPr>
              <w:pStyle w:val="Tabletextleft"/>
              <w:rPr>
                <w:rStyle w:val="Strong"/>
              </w:rPr>
            </w:pPr>
            <w:r w:rsidRPr="00A04AE2">
              <w:rPr>
                <w:rStyle w:val="Strong"/>
              </w:rPr>
              <w:t>Data reported annually (indicators 3.1 – 3.3)</w:t>
            </w:r>
          </w:p>
        </w:tc>
      </w:tr>
      <w:tr w:rsidR="007B6950" w:rsidRPr="005B734B" w14:paraId="3D0C6A11" w14:textId="77777777" w:rsidTr="00CF0C14">
        <w:trPr>
          <w:trHeight w:val="425"/>
        </w:trPr>
        <w:tc>
          <w:tcPr>
            <w:cnfStyle w:val="001000000000" w:firstRow="0" w:lastRow="0" w:firstColumn="1" w:lastColumn="0" w:oddVBand="0" w:evenVBand="0" w:oddHBand="0" w:evenHBand="0" w:firstRowFirstColumn="0" w:firstRowLastColumn="0" w:lastRowFirstColumn="0" w:lastRowLastColumn="0"/>
            <w:tcW w:w="15027" w:type="dxa"/>
            <w:gridSpan w:val="5"/>
          </w:tcPr>
          <w:p w14:paraId="155D72DE" w14:textId="77777777" w:rsidR="007B6950" w:rsidRPr="00A04AE2" w:rsidRDefault="007B6950" w:rsidP="00E20DBB">
            <w:pPr>
              <w:pStyle w:val="Tabletextleft"/>
              <w:rPr>
                <w:rStyle w:val="Strong"/>
              </w:rPr>
            </w:pPr>
            <w:r w:rsidRPr="00A04AE2">
              <w:rPr>
                <w:rStyle w:val="Strong"/>
              </w:rPr>
              <w:t>GOAL 4 - Eliminate congenital syphilis (defined as sustained zero congenital syphilis cases)</w:t>
            </w:r>
          </w:p>
        </w:tc>
      </w:tr>
      <w:tr w:rsidR="00216DF1" w:rsidRPr="005B734B" w14:paraId="2670C011" w14:textId="77777777" w:rsidTr="00CF0C14">
        <w:trPr>
          <w:trHeight w:val="749"/>
        </w:trPr>
        <w:tc>
          <w:tcPr>
            <w:cnfStyle w:val="001000000000" w:firstRow="0" w:lastRow="0" w:firstColumn="1" w:lastColumn="0" w:oddVBand="0" w:evenVBand="0" w:oddHBand="0" w:evenHBand="0" w:firstRowFirstColumn="0" w:firstRowLastColumn="0" w:lastRowFirstColumn="0" w:lastRowLastColumn="0"/>
            <w:tcW w:w="1036" w:type="dxa"/>
            <w:vMerge w:val="restart"/>
          </w:tcPr>
          <w:p w14:paraId="204DE997" w14:textId="77777777" w:rsidR="00216DF1" w:rsidRPr="00436E19" w:rsidRDefault="00216DF1" w:rsidP="00436E19">
            <w:pPr>
              <w:rPr>
                <w:rStyle w:val="Strong"/>
              </w:rPr>
            </w:pPr>
            <w:r w:rsidRPr="00436E19">
              <w:rPr>
                <w:rStyle w:val="Strong"/>
              </w:rPr>
              <w:t>4.4</w:t>
            </w:r>
          </w:p>
        </w:tc>
        <w:tc>
          <w:tcPr>
            <w:tcW w:w="6478" w:type="dxa"/>
          </w:tcPr>
          <w:p w14:paraId="68071068" w14:textId="77777777" w:rsidR="00216DF1" w:rsidRPr="005B734B" w:rsidRDefault="00216DF1" w:rsidP="00E20DBB">
            <w:pPr>
              <w:pStyle w:val="Tabletextleft"/>
              <w:cnfStyle w:val="000000000000" w:firstRow="0" w:lastRow="0" w:firstColumn="0" w:lastColumn="0" w:oddVBand="0" w:evenVBand="0" w:oddHBand="0" w:evenHBand="0" w:firstRowFirstColumn="0" w:firstRowLastColumn="0" w:lastRowFirstColumn="0" w:lastRowLastColumn="0"/>
            </w:pPr>
            <w:r w:rsidRPr="005B734B">
              <w:t xml:space="preserve"> Women of reproductive age pregnant at infectious syphilis diagnosis – Aboriginal and Torres Strait Islander women</w:t>
            </w:r>
          </w:p>
        </w:tc>
        <w:tc>
          <w:tcPr>
            <w:tcW w:w="3025" w:type="dxa"/>
          </w:tcPr>
          <w:p w14:paraId="058477F1" w14:textId="4F2E65CA" w:rsidR="00216DF1" w:rsidRPr="005B734B" w:rsidRDefault="00216DF1"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1</w:t>
            </w:r>
            <w:r w:rsidR="005516A4" w:rsidRPr="005B734B">
              <w:t>1</w:t>
            </w:r>
            <w:r w:rsidRPr="005B734B">
              <w:t xml:space="preserve">% </w:t>
            </w:r>
            <w:r w:rsidR="005516A4" w:rsidRPr="002F1557">
              <w:rPr>
                <w:rStyle w:val="downarrowgreenChar"/>
              </w:rPr>
              <w:t>↓↓</w:t>
            </w:r>
          </w:p>
        </w:tc>
        <w:tc>
          <w:tcPr>
            <w:tcW w:w="2105" w:type="dxa"/>
          </w:tcPr>
          <w:p w14:paraId="22FD0D9E" w14:textId="46290646" w:rsidR="00216DF1" w:rsidRPr="005B734B" w:rsidRDefault="00216DF1"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1</w:t>
            </w:r>
            <w:r w:rsidR="005516A4" w:rsidRPr="005B734B">
              <w:t>6</w:t>
            </w:r>
            <w:r w:rsidRPr="005B734B">
              <w:t>%</w:t>
            </w:r>
          </w:p>
        </w:tc>
        <w:tc>
          <w:tcPr>
            <w:tcW w:w="2383" w:type="dxa"/>
          </w:tcPr>
          <w:p w14:paraId="5C82F152" w14:textId="43D49197" w:rsidR="00216DF1" w:rsidRPr="005B734B" w:rsidRDefault="00216DF1"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1</w:t>
            </w:r>
            <w:r w:rsidR="005516A4" w:rsidRPr="005B734B">
              <w:t>4</w:t>
            </w:r>
            <w:r w:rsidRPr="005B734B">
              <w:t>%</w:t>
            </w:r>
          </w:p>
        </w:tc>
      </w:tr>
      <w:tr w:rsidR="00216DF1" w:rsidRPr="005B734B" w14:paraId="1F8DB53A" w14:textId="77777777" w:rsidTr="00CF0C14">
        <w:trPr>
          <w:trHeight w:val="688"/>
        </w:trPr>
        <w:tc>
          <w:tcPr>
            <w:cnfStyle w:val="001000000000" w:firstRow="0" w:lastRow="0" w:firstColumn="1" w:lastColumn="0" w:oddVBand="0" w:evenVBand="0" w:oddHBand="0" w:evenHBand="0" w:firstRowFirstColumn="0" w:firstRowLastColumn="0" w:lastRowFirstColumn="0" w:lastRowLastColumn="0"/>
            <w:tcW w:w="1036" w:type="dxa"/>
            <w:vMerge/>
          </w:tcPr>
          <w:p w14:paraId="4E850785" w14:textId="77777777" w:rsidR="00216DF1" w:rsidRPr="005B734B" w:rsidRDefault="00216DF1" w:rsidP="00E20DBB">
            <w:pPr>
              <w:pStyle w:val="Tabletextcentre"/>
              <w:rPr>
                <w:rStyle w:val="Strong"/>
              </w:rPr>
            </w:pPr>
          </w:p>
        </w:tc>
        <w:tc>
          <w:tcPr>
            <w:tcW w:w="6478" w:type="dxa"/>
          </w:tcPr>
          <w:p w14:paraId="607E4DC2" w14:textId="77777777" w:rsidR="00216DF1" w:rsidRPr="005B734B" w:rsidRDefault="00216DF1" w:rsidP="00E20DBB">
            <w:pPr>
              <w:pStyle w:val="Tabletextleft"/>
              <w:cnfStyle w:val="000000000000" w:firstRow="0" w:lastRow="0" w:firstColumn="0" w:lastColumn="0" w:oddVBand="0" w:evenVBand="0" w:oddHBand="0" w:evenHBand="0" w:firstRowFirstColumn="0" w:firstRowLastColumn="0" w:lastRowFirstColumn="0" w:lastRowLastColumn="0"/>
            </w:pPr>
            <w:r w:rsidRPr="005B734B">
              <w:t>Women of reproductive age pregnant at infectious syphilis diagnosis – non-Indigenous women</w:t>
            </w:r>
          </w:p>
        </w:tc>
        <w:tc>
          <w:tcPr>
            <w:tcW w:w="3025" w:type="dxa"/>
          </w:tcPr>
          <w:p w14:paraId="2B729727" w14:textId="3B5CFA8D" w:rsidR="00216DF1" w:rsidRPr="005B734B" w:rsidRDefault="00216DF1"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1</w:t>
            </w:r>
            <w:r w:rsidR="005516A4" w:rsidRPr="005B734B">
              <w:t>4</w:t>
            </w:r>
            <w:r w:rsidRPr="005B734B">
              <w:t xml:space="preserve">% </w:t>
            </w:r>
            <w:r w:rsidR="005516A4" w:rsidRPr="002F1557">
              <w:rPr>
                <w:rStyle w:val="downarrowgreenChar"/>
              </w:rPr>
              <w:t>↓</w:t>
            </w:r>
            <w:r w:rsidR="005516A4" w:rsidRPr="002F1557">
              <w:rPr>
                <w:rStyle w:val="rightarroworangeChar"/>
              </w:rPr>
              <w:t>→</w:t>
            </w:r>
          </w:p>
        </w:tc>
        <w:tc>
          <w:tcPr>
            <w:tcW w:w="2105" w:type="dxa"/>
          </w:tcPr>
          <w:p w14:paraId="16AEB7CA" w14:textId="3C4831E5" w:rsidR="00216DF1" w:rsidRPr="005B734B" w:rsidRDefault="00216DF1"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1</w:t>
            </w:r>
            <w:r w:rsidR="005516A4" w:rsidRPr="005B734B">
              <w:t>6</w:t>
            </w:r>
            <w:r w:rsidRPr="005B734B">
              <w:t>%</w:t>
            </w:r>
          </w:p>
        </w:tc>
        <w:tc>
          <w:tcPr>
            <w:tcW w:w="2383" w:type="dxa"/>
          </w:tcPr>
          <w:p w14:paraId="31AB9C08" w14:textId="29857291" w:rsidR="00216DF1" w:rsidRPr="005B734B" w:rsidRDefault="00216DF1"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1</w:t>
            </w:r>
            <w:r w:rsidR="005516A4" w:rsidRPr="005B734B">
              <w:t>4</w:t>
            </w:r>
            <w:r w:rsidRPr="005B734B">
              <w:t>%</w:t>
            </w:r>
          </w:p>
        </w:tc>
      </w:tr>
      <w:tr w:rsidR="007B6950" w:rsidRPr="005B734B" w14:paraId="10132CFB" w14:textId="77777777" w:rsidTr="00CF0C14">
        <w:trPr>
          <w:trHeight w:val="307"/>
        </w:trPr>
        <w:tc>
          <w:tcPr>
            <w:cnfStyle w:val="001000000000" w:firstRow="0" w:lastRow="0" w:firstColumn="1" w:lastColumn="0" w:oddVBand="0" w:evenVBand="0" w:oddHBand="0" w:evenHBand="0" w:firstRowFirstColumn="0" w:firstRowLastColumn="0" w:lastRowFirstColumn="0" w:lastRowLastColumn="0"/>
            <w:tcW w:w="15027" w:type="dxa"/>
            <w:gridSpan w:val="5"/>
          </w:tcPr>
          <w:p w14:paraId="1A6E2F24" w14:textId="29296BF8" w:rsidR="007B6950" w:rsidRPr="00A04AE2" w:rsidRDefault="007B6950" w:rsidP="00E20DBB">
            <w:pPr>
              <w:pStyle w:val="Tabletextleft"/>
              <w:rPr>
                <w:rStyle w:val="Strong"/>
              </w:rPr>
            </w:pPr>
            <w:r w:rsidRPr="00A04AE2">
              <w:rPr>
                <w:rStyle w:val="Strong"/>
              </w:rPr>
              <w:t>Summary for indicators 4.1 – 4.3 and 4.5 - 4.8 in table 2</w:t>
            </w:r>
          </w:p>
        </w:tc>
      </w:tr>
    </w:tbl>
    <w:p w14:paraId="12B04C10" w14:textId="5CBFC8D6" w:rsidR="00B4449F" w:rsidRPr="00B4449F" w:rsidRDefault="00B4449F" w:rsidP="00E20DBB">
      <w:r w:rsidRPr="00B4449F">
        <w:t>*Arrows indicate increase/decrease compared to subsequent columns.</w:t>
      </w:r>
    </w:p>
    <w:p w14:paraId="21B52AB0" w14:textId="189CEFB0" w:rsidR="007B6950" w:rsidRPr="005B734B" w:rsidRDefault="00E20DBB" w:rsidP="00E20DBB">
      <w:pPr>
        <w:pStyle w:val="Caption"/>
      </w:pPr>
      <w:bookmarkStart w:id="1" w:name="_Ref216446002"/>
      <w:r>
        <w:t xml:space="preserve">Table </w:t>
      </w:r>
      <w:r>
        <w:fldChar w:fldCharType="begin"/>
      </w:r>
      <w:r>
        <w:instrText xml:space="preserve"> SEQ Table \* ARABIC </w:instrText>
      </w:r>
      <w:r>
        <w:fldChar w:fldCharType="separate"/>
      </w:r>
      <w:r>
        <w:rPr>
          <w:noProof/>
        </w:rPr>
        <w:t>2</w:t>
      </w:r>
      <w:r>
        <w:fldChar w:fldCharType="end"/>
      </w:r>
      <w:bookmarkEnd w:id="1"/>
      <w:r w:rsidR="007B6950" w:rsidRPr="005B734B">
        <w:t>: Summary of indicator data for the reporting period</w:t>
      </w:r>
    </w:p>
    <w:tbl>
      <w:tblPr>
        <w:tblStyle w:val="TableGrid"/>
        <w:tblW w:w="15027" w:type="dxa"/>
        <w:tblLook w:val="04A0" w:firstRow="1" w:lastRow="0" w:firstColumn="1" w:lastColumn="0" w:noHBand="0" w:noVBand="1"/>
      </w:tblPr>
      <w:tblGrid>
        <w:gridCol w:w="1280"/>
        <w:gridCol w:w="6234"/>
        <w:gridCol w:w="2551"/>
        <w:gridCol w:w="2473"/>
        <w:gridCol w:w="2489"/>
      </w:tblGrid>
      <w:tr w:rsidR="007B6950" w:rsidRPr="00A04AE2" w14:paraId="034009C3" w14:textId="77777777" w:rsidTr="008D4D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14" w:type="dxa"/>
            <w:gridSpan w:val="2"/>
          </w:tcPr>
          <w:p w14:paraId="0D286EDC" w14:textId="77777777" w:rsidR="007B6950" w:rsidRPr="00A04AE2" w:rsidRDefault="007B6950" w:rsidP="00E20DBB">
            <w:pPr>
              <w:pStyle w:val="TableHeader"/>
            </w:pPr>
            <w:r w:rsidRPr="00A04AE2">
              <w:t>Indicators</w:t>
            </w:r>
          </w:p>
        </w:tc>
        <w:tc>
          <w:tcPr>
            <w:tcW w:w="7513" w:type="dxa"/>
            <w:gridSpan w:val="3"/>
          </w:tcPr>
          <w:p w14:paraId="6331A97D" w14:textId="77777777" w:rsidR="007B6950" w:rsidRPr="00A04AE2" w:rsidRDefault="007B6950" w:rsidP="00E20DBB">
            <w:pPr>
              <w:pStyle w:val="TableHeader"/>
              <w:cnfStyle w:val="100000000000" w:firstRow="1" w:lastRow="0" w:firstColumn="0" w:lastColumn="0" w:oddVBand="0" w:evenVBand="0" w:oddHBand="0" w:evenHBand="0" w:firstRowFirstColumn="0" w:firstRowLastColumn="0" w:lastRowFirstColumn="0" w:lastRowLastColumn="0"/>
            </w:pPr>
            <w:r w:rsidRPr="00A04AE2">
              <w:t>Comparisons</w:t>
            </w:r>
          </w:p>
        </w:tc>
      </w:tr>
      <w:tr w:rsidR="007B6950" w:rsidRPr="00A04AE2" w14:paraId="75F206B7" w14:textId="77777777" w:rsidTr="008D4D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80" w:type="dxa"/>
          </w:tcPr>
          <w:p w14:paraId="4AC34027" w14:textId="555CD0DD" w:rsidR="007B6950" w:rsidRPr="00A04AE2" w:rsidRDefault="007B6950" w:rsidP="00E20DBB">
            <w:pPr>
              <w:pStyle w:val="TableHeader"/>
            </w:pPr>
            <w:r w:rsidRPr="00A04AE2">
              <w:t>Ref</w:t>
            </w:r>
            <w:r w:rsidR="00216DF1" w:rsidRPr="00A04AE2">
              <w:t>.</w:t>
            </w:r>
          </w:p>
        </w:tc>
        <w:tc>
          <w:tcPr>
            <w:tcW w:w="6234" w:type="dxa"/>
          </w:tcPr>
          <w:p w14:paraId="3F80E87E" w14:textId="77777777" w:rsidR="007B6950" w:rsidRPr="00A04AE2" w:rsidRDefault="007B6950" w:rsidP="00E20DBB">
            <w:pPr>
              <w:pStyle w:val="TableHeader"/>
              <w:cnfStyle w:val="100000000000" w:firstRow="1" w:lastRow="0" w:firstColumn="0" w:lastColumn="0" w:oddVBand="0" w:evenVBand="0" w:oddHBand="0" w:evenHBand="0" w:firstRowFirstColumn="0" w:firstRowLastColumn="0" w:lastRowFirstColumn="0" w:lastRowLastColumn="0"/>
            </w:pPr>
            <w:r w:rsidRPr="00A04AE2">
              <w:t>Summarised indicator description</w:t>
            </w:r>
          </w:p>
        </w:tc>
        <w:tc>
          <w:tcPr>
            <w:tcW w:w="2551" w:type="dxa"/>
          </w:tcPr>
          <w:p w14:paraId="4F640FD3" w14:textId="63F606B0" w:rsidR="007B6950" w:rsidRPr="00A04AE2" w:rsidRDefault="007B6950" w:rsidP="00E20DBB">
            <w:pPr>
              <w:pStyle w:val="TableHeader"/>
              <w:cnfStyle w:val="100000000000" w:firstRow="1" w:lastRow="0" w:firstColumn="0" w:lastColumn="0" w:oddVBand="0" w:evenVBand="0" w:oddHBand="0" w:evenHBand="0" w:firstRowFirstColumn="0" w:firstRowLastColumn="0" w:lastRowFirstColumn="0" w:lastRowLastColumn="0"/>
            </w:pPr>
            <w:r w:rsidRPr="00A04AE2">
              <w:t>Current year to date (Q</w:t>
            </w:r>
            <w:r w:rsidR="00474103" w:rsidRPr="00A04AE2">
              <w:t>1 - Q2</w:t>
            </w:r>
            <w:r w:rsidRPr="00A04AE2">
              <w:t xml:space="preserve"> 2025)</w:t>
            </w:r>
          </w:p>
        </w:tc>
        <w:tc>
          <w:tcPr>
            <w:tcW w:w="2473" w:type="dxa"/>
          </w:tcPr>
          <w:p w14:paraId="4CBFFAA0" w14:textId="77777777" w:rsidR="007B6950" w:rsidRPr="00A04AE2" w:rsidRDefault="007B6950" w:rsidP="00E20DBB">
            <w:pPr>
              <w:pStyle w:val="TableHeader"/>
              <w:cnfStyle w:val="100000000000" w:firstRow="1" w:lastRow="0" w:firstColumn="0" w:lastColumn="0" w:oddVBand="0" w:evenVBand="0" w:oddHBand="0" w:evenHBand="0" w:firstRowFirstColumn="0" w:firstRowLastColumn="0" w:lastRowFirstColumn="0" w:lastRowLastColumn="0"/>
            </w:pPr>
            <w:r w:rsidRPr="00A04AE2">
              <w:t>Last complete year (2024)</w:t>
            </w:r>
          </w:p>
        </w:tc>
        <w:tc>
          <w:tcPr>
            <w:tcW w:w="2489" w:type="dxa"/>
          </w:tcPr>
          <w:p w14:paraId="7BFEB851" w14:textId="77777777" w:rsidR="007B6950" w:rsidRPr="00A04AE2" w:rsidRDefault="007B6950" w:rsidP="00E20DBB">
            <w:pPr>
              <w:pStyle w:val="TableHeader"/>
              <w:cnfStyle w:val="100000000000" w:firstRow="1" w:lastRow="0" w:firstColumn="0" w:lastColumn="0" w:oddVBand="0" w:evenVBand="0" w:oddHBand="0" w:evenHBand="0" w:firstRowFirstColumn="0" w:firstRowLastColumn="0" w:lastRowFirstColumn="0" w:lastRowLastColumn="0"/>
            </w:pPr>
            <w:r w:rsidRPr="00A04AE2">
              <w:t>Previous complete year (2023)</w:t>
            </w:r>
          </w:p>
        </w:tc>
      </w:tr>
      <w:tr w:rsidR="007B6950" w:rsidRPr="005B734B" w14:paraId="3A70130C" w14:textId="77777777" w:rsidTr="008D4DDC">
        <w:trPr>
          <w:trHeight w:val="320"/>
        </w:trPr>
        <w:tc>
          <w:tcPr>
            <w:cnfStyle w:val="001000000000" w:firstRow="0" w:lastRow="0" w:firstColumn="1" w:lastColumn="0" w:oddVBand="0" w:evenVBand="0" w:oddHBand="0" w:evenHBand="0" w:firstRowFirstColumn="0" w:firstRowLastColumn="0" w:lastRowFirstColumn="0" w:lastRowLastColumn="0"/>
            <w:tcW w:w="15027" w:type="dxa"/>
            <w:gridSpan w:val="5"/>
          </w:tcPr>
          <w:p w14:paraId="60F88E18" w14:textId="77777777" w:rsidR="007B6950" w:rsidRPr="005B734B" w:rsidRDefault="007B6950" w:rsidP="00E20DBB">
            <w:pPr>
              <w:rPr>
                <w:rStyle w:val="Strong"/>
              </w:rPr>
            </w:pPr>
            <w:r w:rsidRPr="005B734B">
              <w:rPr>
                <w:rStyle w:val="Strong"/>
              </w:rPr>
              <w:t>GOAL 4 - Eliminate congenital syphilis (defined as sustained zero congenital syphilis cases)</w:t>
            </w:r>
          </w:p>
        </w:tc>
      </w:tr>
      <w:tr w:rsidR="007B6950" w:rsidRPr="005B734B" w14:paraId="7394FD36" w14:textId="77777777" w:rsidTr="008D4DDC">
        <w:trPr>
          <w:trHeight w:val="763"/>
        </w:trPr>
        <w:tc>
          <w:tcPr>
            <w:cnfStyle w:val="001000000000" w:firstRow="0" w:lastRow="0" w:firstColumn="1" w:lastColumn="0" w:oddVBand="0" w:evenVBand="0" w:oddHBand="0" w:evenHBand="0" w:firstRowFirstColumn="0" w:firstRowLastColumn="0" w:lastRowFirstColumn="0" w:lastRowLastColumn="0"/>
            <w:tcW w:w="1280" w:type="dxa"/>
            <w:vMerge w:val="restart"/>
          </w:tcPr>
          <w:p w14:paraId="78979583" w14:textId="77777777" w:rsidR="007B6950" w:rsidRPr="005B734B" w:rsidRDefault="007B6950" w:rsidP="00E20DBB">
            <w:pPr>
              <w:rPr>
                <w:rStyle w:val="Strong"/>
              </w:rPr>
            </w:pPr>
            <w:r w:rsidRPr="005B734B">
              <w:rPr>
                <w:rStyle w:val="Strong"/>
              </w:rPr>
              <w:t>4.1 &amp; 4.2</w:t>
            </w:r>
          </w:p>
        </w:tc>
        <w:tc>
          <w:tcPr>
            <w:tcW w:w="6234" w:type="dxa"/>
          </w:tcPr>
          <w:p w14:paraId="6A4FC0D7" w14:textId="77777777" w:rsidR="007B6950" w:rsidRPr="005B734B" w:rsidRDefault="007B6950" w:rsidP="00E20DBB">
            <w:pPr>
              <w:pStyle w:val="Tabletextleft"/>
              <w:cnfStyle w:val="000000000000" w:firstRow="0" w:lastRow="0" w:firstColumn="0" w:lastColumn="0" w:oddVBand="0" w:evenVBand="0" w:oddHBand="0" w:evenHBand="0" w:firstRowFirstColumn="0" w:firstRowLastColumn="0" w:lastRowFirstColumn="0" w:lastRowLastColumn="0"/>
            </w:pPr>
            <w:r w:rsidRPr="005B734B">
              <w:t>Congenital syphilis cases (deaths) Aboriginal and Torres Strait Islander infants</w:t>
            </w:r>
          </w:p>
        </w:tc>
        <w:tc>
          <w:tcPr>
            <w:tcW w:w="2551" w:type="dxa"/>
          </w:tcPr>
          <w:p w14:paraId="4A957BF9" w14:textId="11956E5C" w:rsidR="007B6950" w:rsidRPr="002F1557" w:rsidRDefault="00474103" w:rsidP="00E20DBB">
            <w:pPr>
              <w:pStyle w:val="Tabletextcentre"/>
              <w:cnfStyle w:val="000000000000" w:firstRow="0" w:lastRow="0" w:firstColumn="0" w:lastColumn="0" w:oddVBand="0" w:evenVBand="0" w:oddHBand="0" w:evenHBand="0" w:firstRowFirstColumn="0" w:firstRowLastColumn="0" w:lastRowFirstColumn="0" w:lastRowLastColumn="0"/>
            </w:pPr>
            <w:r w:rsidRPr="002F1557">
              <w:t>4</w:t>
            </w:r>
            <w:r w:rsidR="007B6950" w:rsidRPr="002F1557">
              <w:t xml:space="preserve"> (</w:t>
            </w:r>
            <w:r w:rsidRPr="002F1557">
              <w:t>3</w:t>
            </w:r>
            <w:r w:rsidR="007B6950" w:rsidRPr="002F1557">
              <w:t>)</w:t>
            </w:r>
          </w:p>
        </w:tc>
        <w:tc>
          <w:tcPr>
            <w:tcW w:w="2473" w:type="dxa"/>
          </w:tcPr>
          <w:p w14:paraId="20A8740A" w14:textId="77777777" w:rsidR="007B6950" w:rsidRPr="002F1557"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2F1557">
              <w:t>3 (0)</w:t>
            </w:r>
          </w:p>
        </w:tc>
        <w:tc>
          <w:tcPr>
            <w:tcW w:w="2489" w:type="dxa"/>
          </w:tcPr>
          <w:p w14:paraId="1BA3BCF6" w14:textId="77777777" w:rsidR="007B6950" w:rsidRPr="002F1557"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2F1557">
              <w:t>13 (7)</w:t>
            </w:r>
          </w:p>
        </w:tc>
      </w:tr>
      <w:tr w:rsidR="007B6950" w:rsidRPr="005B734B" w14:paraId="054A0ACF" w14:textId="77777777" w:rsidTr="008D4DDC">
        <w:trPr>
          <w:trHeight w:val="419"/>
        </w:trPr>
        <w:tc>
          <w:tcPr>
            <w:cnfStyle w:val="001000000000" w:firstRow="0" w:lastRow="0" w:firstColumn="1" w:lastColumn="0" w:oddVBand="0" w:evenVBand="0" w:oddHBand="0" w:evenHBand="0" w:firstRowFirstColumn="0" w:firstRowLastColumn="0" w:lastRowFirstColumn="0" w:lastRowLastColumn="0"/>
            <w:tcW w:w="1280" w:type="dxa"/>
            <w:vMerge/>
          </w:tcPr>
          <w:p w14:paraId="35C2E446" w14:textId="77777777" w:rsidR="007B6950" w:rsidRPr="005B734B" w:rsidRDefault="007B6950" w:rsidP="00E20DBB">
            <w:pPr>
              <w:rPr>
                <w:rStyle w:val="Strong"/>
              </w:rPr>
            </w:pPr>
          </w:p>
        </w:tc>
        <w:tc>
          <w:tcPr>
            <w:tcW w:w="6234" w:type="dxa"/>
          </w:tcPr>
          <w:p w14:paraId="10BC1B63" w14:textId="77777777" w:rsidR="007B6950" w:rsidRPr="005B734B" w:rsidRDefault="007B6950" w:rsidP="00E20DBB">
            <w:pPr>
              <w:pStyle w:val="Tabletextleft"/>
              <w:cnfStyle w:val="000000000000" w:firstRow="0" w:lastRow="0" w:firstColumn="0" w:lastColumn="0" w:oddVBand="0" w:evenVBand="0" w:oddHBand="0" w:evenHBand="0" w:firstRowFirstColumn="0" w:firstRowLastColumn="0" w:lastRowFirstColumn="0" w:lastRowLastColumn="0"/>
            </w:pPr>
            <w:r w:rsidRPr="005B734B">
              <w:t>Congenital syphilis cases (deaths) – non-Indigenous infants</w:t>
            </w:r>
          </w:p>
        </w:tc>
        <w:tc>
          <w:tcPr>
            <w:tcW w:w="2551" w:type="dxa"/>
          </w:tcPr>
          <w:p w14:paraId="1B736328" w14:textId="3CDEEC9A" w:rsidR="007B6950" w:rsidRPr="002F1557" w:rsidRDefault="00474103" w:rsidP="00E20DBB">
            <w:pPr>
              <w:pStyle w:val="Tabletextcentre"/>
              <w:cnfStyle w:val="000000000000" w:firstRow="0" w:lastRow="0" w:firstColumn="0" w:lastColumn="0" w:oddVBand="0" w:evenVBand="0" w:oddHBand="0" w:evenHBand="0" w:firstRowFirstColumn="0" w:firstRowLastColumn="0" w:lastRowFirstColumn="0" w:lastRowLastColumn="0"/>
            </w:pPr>
            <w:r w:rsidRPr="002F1557">
              <w:t>5</w:t>
            </w:r>
            <w:r w:rsidR="007B6950" w:rsidRPr="002F1557">
              <w:t xml:space="preserve"> (</w:t>
            </w:r>
            <w:r w:rsidRPr="002F1557">
              <w:t>1</w:t>
            </w:r>
            <w:r w:rsidR="007B6950" w:rsidRPr="002F1557">
              <w:t>)</w:t>
            </w:r>
          </w:p>
        </w:tc>
        <w:tc>
          <w:tcPr>
            <w:tcW w:w="2473" w:type="dxa"/>
          </w:tcPr>
          <w:p w14:paraId="34AFC63B" w14:textId="77777777" w:rsidR="007B6950" w:rsidRPr="002F1557"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2F1557">
              <w:t>6 (3)</w:t>
            </w:r>
          </w:p>
        </w:tc>
        <w:tc>
          <w:tcPr>
            <w:tcW w:w="2489" w:type="dxa"/>
          </w:tcPr>
          <w:p w14:paraId="565490F6" w14:textId="77777777" w:rsidR="007B6950" w:rsidRPr="002F1557"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2F1557">
              <w:t>7 (3)</w:t>
            </w:r>
          </w:p>
        </w:tc>
      </w:tr>
      <w:tr w:rsidR="007B6950" w:rsidRPr="005B734B" w14:paraId="6455D3FC" w14:textId="77777777" w:rsidTr="008D4DDC">
        <w:tc>
          <w:tcPr>
            <w:cnfStyle w:val="001000000000" w:firstRow="0" w:lastRow="0" w:firstColumn="1" w:lastColumn="0" w:oddVBand="0" w:evenVBand="0" w:oddHBand="0" w:evenHBand="0" w:firstRowFirstColumn="0" w:firstRowLastColumn="0" w:lastRowFirstColumn="0" w:lastRowLastColumn="0"/>
            <w:tcW w:w="1280" w:type="dxa"/>
            <w:vMerge/>
          </w:tcPr>
          <w:p w14:paraId="048D47B9" w14:textId="77777777" w:rsidR="007B6950" w:rsidRPr="005B734B" w:rsidRDefault="007B6950" w:rsidP="00E20DBB">
            <w:pPr>
              <w:pStyle w:val="Tabletextcentre"/>
              <w:rPr>
                <w:rStyle w:val="Strong"/>
              </w:rPr>
            </w:pPr>
          </w:p>
        </w:tc>
        <w:tc>
          <w:tcPr>
            <w:tcW w:w="6234" w:type="dxa"/>
          </w:tcPr>
          <w:p w14:paraId="3B05313D" w14:textId="77777777" w:rsidR="007B6950" w:rsidRPr="005B734B" w:rsidRDefault="007B6950" w:rsidP="00E20DBB">
            <w:pPr>
              <w:pStyle w:val="Tabletextleft"/>
              <w:cnfStyle w:val="000000000000" w:firstRow="0" w:lastRow="0" w:firstColumn="0" w:lastColumn="0" w:oddVBand="0" w:evenVBand="0" w:oddHBand="0" w:evenHBand="0" w:firstRowFirstColumn="0" w:firstRowLastColumn="0" w:lastRowFirstColumn="0" w:lastRowLastColumn="0"/>
            </w:pPr>
            <w:r w:rsidRPr="005B734B">
              <w:t>Congenital syphilis cases (deaths) – unknown Indigenous status</w:t>
            </w:r>
          </w:p>
        </w:tc>
        <w:tc>
          <w:tcPr>
            <w:tcW w:w="2551" w:type="dxa"/>
          </w:tcPr>
          <w:p w14:paraId="513ED15E" w14:textId="77777777" w:rsidR="007B6950" w:rsidRPr="002F1557"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2F1557">
              <w:t>-</w:t>
            </w:r>
          </w:p>
        </w:tc>
        <w:tc>
          <w:tcPr>
            <w:tcW w:w="2473" w:type="dxa"/>
          </w:tcPr>
          <w:p w14:paraId="71F2E5AD" w14:textId="77777777" w:rsidR="007B6950" w:rsidRPr="002F1557"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2F1557">
              <w:t>1 (1)</w:t>
            </w:r>
          </w:p>
        </w:tc>
        <w:tc>
          <w:tcPr>
            <w:tcW w:w="2489" w:type="dxa"/>
          </w:tcPr>
          <w:p w14:paraId="0E621895" w14:textId="77777777" w:rsidR="007B6950" w:rsidRPr="002F1557"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2F1557">
              <w:t>-</w:t>
            </w:r>
          </w:p>
        </w:tc>
      </w:tr>
      <w:tr w:rsidR="007B6950" w:rsidRPr="005B734B" w14:paraId="28D6E3EA" w14:textId="77777777" w:rsidTr="008D4DDC">
        <w:trPr>
          <w:trHeight w:val="603"/>
        </w:trPr>
        <w:tc>
          <w:tcPr>
            <w:cnfStyle w:val="001000000000" w:firstRow="0" w:lastRow="0" w:firstColumn="1" w:lastColumn="0" w:oddVBand="0" w:evenVBand="0" w:oddHBand="0" w:evenHBand="0" w:firstRowFirstColumn="0" w:firstRowLastColumn="0" w:lastRowFirstColumn="0" w:lastRowLastColumn="0"/>
            <w:tcW w:w="1280" w:type="dxa"/>
            <w:vMerge w:val="restart"/>
          </w:tcPr>
          <w:p w14:paraId="4BB24BCE" w14:textId="77777777" w:rsidR="007B6950" w:rsidRPr="005B734B" w:rsidRDefault="007B6950" w:rsidP="00436E19">
            <w:pPr>
              <w:rPr>
                <w:rStyle w:val="Strong"/>
              </w:rPr>
            </w:pPr>
            <w:r w:rsidRPr="005B734B">
              <w:rPr>
                <w:rStyle w:val="Strong"/>
              </w:rPr>
              <w:t>4.3</w:t>
            </w:r>
          </w:p>
        </w:tc>
        <w:tc>
          <w:tcPr>
            <w:tcW w:w="6234" w:type="dxa"/>
          </w:tcPr>
          <w:p w14:paraId="1212EED6" w14:textId="77777777" w:rsidR="007B6950" w:rsidRPr="005B734B" w:rsidRDefault="007B6950" w:rsidP="00E20DBB">
            <w:pPr>
              <w:pStyle w:val="Tabletextleft"/>
              <w:cnfStyle w:val="000000000000" w:firstRow="0" w:lastRow="0" w:firstColumn="0" w:lastColumn="0" w:oddVBand="0" w:evenVBand="0" w:oddHBand="0" w:evenHBand="0" w:firstRowFirstColumn="0" w:firstRowLastColumn="0" w:lastRowFirstColumn="0" w:lastRowLastColumn="0"/>
            </w:pPr>
            <w:r w:rsidRPr="005B734B">
              <w:t>Congenital syphilis notification rate (per 100,000 live births) - Aboriginal and Torres Strait Islander infants</w:t>
            </w:r>
          </w:p>
        </w:tc>
        <w:tc>
          <w:tcPr>
            <w:tcW w:w="2551" w:type="dxa"/>
          </w:tcPr>
          <w:p w14:paraId="5E31ED9B" w14:textId="07888101" w:rsidR="007B6950" w:rsidRPr="002F1557" w:rsidRDefault="0093172F" w:rsidP="00E20DBB">
            <w:pPr>
              <w:pStyle w:val="Tabletextcentre"/>
              <w:cnfStyle w:val="000000000000" w:firstRow="0" w:lastRow="0" w:firstColumn="0" w:lastColumn="0" w:oddVBand="0" w:evenVBand="0" w:oddHBand="0" w:evenHBand="0" w:firstRowFirstColumn="0" w:firstRowLastColumn="0" w:lastRowFirstColumn="0" w:lastRowLastColumn="0"/>
            </w:pPr>
            <w:r w:rsidRPr="002F1557">
              <w:t>16</w:t>
            </w:r>
            <w:r w:rsidR="007B6950" w:rsidRPr="002F1557">
              <w:t xml:space="preserve"> (per 100,000 live births)</w:t>
            </w:r>
            <w:bookmarkStart w:id="2" w:name="_Ref213312302"/>
            <w:r w:rsidR="006F156C" w:rsidRPr="002F1557">
              <w:footnoteReference w:id="2"/>
            </w:r>
            <w:bookmarkEnd w:id="2"/>
          </w:p>
        </w:tc>
        <w:tc>
          <w:tcPr>
            <w:tcW w:w="2473" w:type="dxa"/>
          </w:tcPr>
          <w:p w14:paraId="7976B843" w14:textId="77777777" w:rsidR="007B6950" w:rsidRPr="002F1557"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2F1557">
              <w:t>12 (per 100,000 live births)</w:t>
            </w:r>
          </w:p>
        </w:tc>
        <w:tc>
          <w:tcPr>
            <w:tcW w:w="2489" w:type="dxa"/>
          </w:tcPr>
          <w:p w14:paraId="29868632" w14:textId="77777777" w:rsidR="007B6950" w:rsidRPr="002F1557"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2F1557">
              <w:t>53 (per 100,000 live births)</w:t>
            </w:r>
          </w:p>
        </w:tc>
      </w:tr>
      <w:tr w:rsidR="007B6950" w:rsidRPr="005B734B" w14:paraId="0ACF6EDB" w14:textId="77777777" w:rsidTr="008D4DDC">
        <w:trPr>
          <w:trHeight w:val="711"/>
        </w:trPr>
        <w:tc>
          <w:tcPr>
            <w:cnfStyle w:val="001000000000" w:firstRow="0" w:lastRow="0" w:firstColumn="1" w:lastColumn="0" w:oddVBand="0" w:evenVBand="0" w:oddHBand="0" w:evenHBand="0" w:firstRowFirstColumn="0" w:firstRowLastColumn="0" w:lastRowFirstColumn="0" w:lastRowLastColumn="0"/>
            <w:tcW w:w="1280" w:type="dxa"/>
            <w:vMerge/>
          </w:tcPr>
          <w:p w14:paraId="56F240E1" w14:textId="77777777" w:rsidR="007B6950" w:rsidRPr="005B734B" w:rsidRDefault="007B6950" w:rsidP="00436E19">
            <w:pPr>
              <w:rPr>
                <w:rStyle w:val="Strong"/>
              </w:rPr>
            </w:pPr>
          </w:p>
        </w:tc>
        <w:tc>
          <w:tcPr>
            <w:tcW w:w="6234" w:type="dxa"/>
          </w:tcPr>
          <w:p w14:paraId="26AFCC69" w14:textId="77777777" w:rsidR="007B6950" w:rsidRPr="005B734B" w:rsidRDefault="007B6950" w:rsidP="00E20DBB">
            <w:pPr>
              <w:pStyle w:val="Tabletextleft"/>
              <w:cnfStyle w:val="000000000000" w:firstRow="0" w:lastRow="0" w:firstColumn="0" w:lastColumn="0" w:oddVBand="0" w:evenVBand="0" w:oddHBand="0" w:evenHBand="0" w:firstRowFirstColumn="0" w:firstRowLastColumn="0" w:lastRowFirstColumn="0" w:lastRowLastColumn="0"/>
            </w:pPr>
            <w:r w:rsidRPr="005B734B">
              <w:t>Congenital syphilis notification rate (per 100,000 live births) – non-Indigenous infants</w:t>
            </w:r>
          </w:p>
        </w:tc>
        <w:tc>
          <w:tcPr>
            <w:tcW w:w="2551" w:type="dxa"/>
          </w:tcPr>
          <w:p w14:paraId="0C0BD3A0" w14:textId="3B5E3FFC" w:rsidR="007B6950" w:rsidRPr="002F1557" w:rsidRDefault="0093172F" w:rsidP="00E20DBB">
            <w:pPr>
              <w:pStyle w:val="Tabletextcentre"/>
              <w:cnfStyle w:val="000000000000" w:firstRow="0" w:lastRow="0" w:firstColumn="0" w:lastColumn="0" w:oddVBand="0" w:evenVBand="0" w:oddHBand="0" w:evenHBand="0" w:firstRowFirstColumn="0" w:firstRowLastColumn="0" w:lastRowFirstColumn="0" w:lastRowLastColumn="0"/>
            </w:pPr>
            <w:r w:rsidRPr="002F1557">
              <w:t>2</w:t>
            </w:r>
            <w:r w:rsidR="007B6950" w:rsidRPr="002F1557">
              <w:t xml:space="preserve"> (per 100,000 live births)</w:t>
            </w:r>
            <w:r w:rsidR="006F156C" w:rsidRPr="002F1557">
              <w:fldChar w:fldCharType="begin"/>
            </w:r>
            <w:r w:rsidR="006F156C" w:rsidRPr="002F1557">
              <w:instrText xml:space="preserve"> NOTEREF _Ref213312302 \h  \* MERGEFORMAT </w:instrText>
            </w:r>
            <w:r w:rsidR="006F156C" w:rsidRPr="002F1557">
              <w:fldChar w:fldCharType="separate"/>
            </w:r>
            <w:r w:rsidR="00062812" w:rsidRPr="002F1557">
              <w:t>1</w:t>
            </w:r>
            <w:r w:rsidR="006F156C" w:rsidRPr="002F1557">
              <w:fldChar w:fldCharType="end"/>
            </w:r>
          </w:p>
        </w:tc>
        <w:tc>
          <w:tcPr>
            <w:tcW w:w="2473" w:type="dxa"/>
          </w:tcPr>
          <w:p w14:paraId="0656E812" w14:textId="77777777" w:rsidR="007B6950" w:rsidRPr="002F1557"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2F1557">
              <w:t>2 (per 100,000 live births)</w:t>
            </w:r>
          </w:p>
        </w:tc>
        <w:tc>
          <w:tcPr>
            <w:tcW w:w="2489" w:type="dxa"/>
          </w:tcPr>
          <w:p w14:paraId="7292F50A" w14:textId="77777777" w:rsidR="007B6950" w:rsidRPr="002F1557"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2F1557">
              <w:t>3 (per 100,000 live births)</w:t>
            </w:r>
          </w:p>
        </w:tc>
      </w:tr>
      <w:tr w:rsidR="007B6950" w:rsidRPr="005B734B" w14:paraId="3C54C3C6" w14:textId="77777777" w:rsidTr="008D4DDC">
        <w:tc>
          <w:tcPr>
            <w:cnfStyle w:val="001000000000" w:firstRow="0" w:lastRow="0" w:firstColumn="1" w:lastColumn="0" w:oddVBand="0" w:evenVBand="0" w:oddHBand="0" w:evenHBand="0" w:firstRowFirstColumn="0" w:firstRowLastColumn="0" w:lastRowFirstColumn="0" w:lastRowLastColumn="0"/>
            <w:tcW w:w="1280" w:type="dxa"/>
            <w:vMerge w:val="restart"/>
          </w:tcPr>
          <w:p w14:paraId="52DC8287" w14:textId="77777777" w:rsidR="007B6950" w:rsidRPr="005B734B" w:rsidRDefault="007B6950" w:rsidP="00436E19">
            <w:pPr>
              <w:rPr>
                <w:rStyle w:val="Strong"/>
              </w:rPr>
            </w:pPr>
            <w:r w:rsidRPr="005B734B">
              <w:rPr>
                <w:rStyle w:val="Strong"/>
              </w:rPr>
              <w:t>4.5</w:t>
            </w:r>
          </w:p>
        </w:tc>
        <w:tc>
          <w:tcPr>
            <w:tcW w:w="6234" w:type="dxa"/>
          </w:tcPr>
          <w:p w14:paraId="70884D02" w14:textId="77777777" w:rsidR="007B6950" w:rsidRPr="005B734B" w:rsidRDefault="007B6950" w:rsidP="00E20DBB">
            <w:pPr>
              <w:pStyle w:val="Tabletextleft"/>
              <w:cnfStyle w:val="000000000000" w:firstRow="0" w:lastRow="0" w:firstColumn="0" w:lastColumn="0" w:oddVBand="0" w:evenVBand="0" w:oddHBand="0" w:evenHBand="0" w:firstRowFirstColumn="0" w:firstRowLastColumn="0" w:lastRowFirstColumn="0" w:lastRowLastColumn="0"/>
            </w:pPr>
            <w:r w:rsidRPr="005B734B">
              <w:t>Women giving birth to an infant with congenital syphilis diagnosed late in pregnancy – Aboriginal and Torres Strait Islander women (% all cases)</w:t>
            </w:r>
          </w:p>
        </w:tc>
        <w:tc>
          <w:tcPr>
            <w:tcW w:w="2551" w:type="dxa"/>
          </w:tcPr>
          <w:p w14:paraId="52D4FF20" w14:textId="57917459" w:rsidR="007B6950" w:rsidRPr="002F1557" w:rsidRDefault="0093172F" w:rsidP="00E20DBB">
            <w:pPr>
              <w:pStyle w:val="Tabletextcentre"/>
              <w:cnfStyle w:val="000000000000" w:firstRow="0" w:lastRow="0" w:firstColumn="0" w:lastColumn="0" w:oddVBand="0" w:evenVBand="0" w:oddHBand="0" w:evenHBand="0" w:firstRowFirstColumn="0" w:firstRowLastColumn="0" w:lastRowFirstColumn="0" w:lastRowLastColumn="0"/>
            </w:pPr>
            <w:r w:rsidRPr="002F1557">
              <w:t>3</w:t>
            </w:r>
            <w:r w:rsidR="007B6950" w:rsidRPr="002F1557">
              <w:t xml:space="preserve"> (</w:t>
            </w:r>
            <w:r w:rsidRPr="002F1557">
              <w:t>75</w:t>
            </w:r>
            <w:r w:rsidR="007B6950" w:rsidRPr="002F1557">
              <w:t>%)</w:t>
            </w:r>
          </w:p>
        </w:tc>
        <w:tc>
          <w:tcPr>
            <w:tcW w:w="2473" w:type="dxa"/>
          </w:tcPr>
          <w:p w14:paraId="1D2B04E0" w14:textId="77777777" w:rsidR="007B6950" w:rsidRPr="002F1557"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2F1557">
              <w:t>2 (67%)</w:t>
            </w:r>
          </w:p>
        </w:tc>
        <w:tc>
          <w:tcPr>
            <w:tcW w:w="2489" w:type="dxa"/>
          </w:tcPr>
          <w:p w14:paraId="7E3E6FD2" w14:textId="77777777" w:rsidR="007B6950" w:rsidRPr="002F1557"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2F1557">
              <w:t>11 (85%)</w:t>
            </w:r>
          </w:p>
        </w:tc>
      </w:tr>
      <w:tr w:rsidR="007B6950" w:rsidRPr="005B734B" w14:paraId="79D33C3B" w14:textId="77777777" w:rsidTr="008D4DDC">
        <w:trPr>
          <w:trHeight w:val="774"/>
        </w:trPr>
        <w:tc>
          <w:tcPr>
            <w:cnfStyle w:val="001000000000" w:firstRow="0" w:lastRow="0" w:firstColumn="1" w:lastColumn="0" w:oddVBand="0" w:evenVBand="0" w:oddHBand="0" w:evenHBand="0" w:firstRowFirstColumn="0" w:firstRowLastColumn="0" w:lastRowFirstColumn="0" w:lastRowLastColumn="0"/>
            <w:tcW w:w="1280" w:type="dxa"/>
            <w:vMerge/>
          </w:tcPr>
          <w:p w14:paraId="1AE75FC5" w14:textId="77777777" w:rsidR="007B6950" w:rsidRPr="00436E19" w:rsidRDefault="007B6950" w:rsidP="00436E19">
            <w:pPr>
              <w:rPr>
                <w:rStyle w:val="Strong"/>
              </w:rPr>
            </w:pPr>
          </w:p>
        </w:tc>
        <w:tc>
          <w:tcPr>
            <w:tcW w:w="6234" w:type="dxa"/>
          </w:tcPr>
          <w:p w14:paraId="3951BE11" w14:textId="4AAD18FD" w:rsidR="007B6950" w:rsidRPr="005B734B" w:rsidRDefault="007B6950" w:rsidP="00E20DBB">
            <w:pPr>
              <w:pStyle w:val="Tabletextleft"/>
              <w:cnfStyle w:val="000000000000" w:firstRow="0" w:lastRow="0" w:firstColumn="0" w:lastColumn="0" w:oddVBand="0" w:evenVBand="0" w:oddHBand="0" w:evenHBand="0" w:firstRowFirstColumn="0" w:firstRowLastColumn="0" w:lastRowFirstColumn="0" w:lastRowLastColumn="0"/>
            </w:pPr>
            <w:r w:rsidRPr="005B734B">
              <w:t>Women giving birth to an infant with congenital syphilis diagnosed late in pregnancy – non-Indigenous women</w:t>
            </w:r>
            <w:r w:rsidR="00436E19">
              <w:t xml:space="preserve"> (% all cases)</w:t>
            </w:r>
          </w:p>
        </w:tc>
        <w:tc>
          <w:tcPr>
            <w:tcW w:w="2551" w:type="dxa"/>
          </w:tcPr>
          <w:p w14:paraId="53777B8F" w14:textId="4230110E" w:rsidR="007B6950" w:rsidRPr="002F1557" w:rsidRDefault="0093172F" w:rsidP="00E20DBB">
            <w:pPr>
              <w:pStyle w:val="Tabletextcentre"/>
              <w:cnfStyle w:val="000000000000" w:firstRow="0" w:lastRow="0" w:firstColumn="0" w:lastColumn="0" w:oddVBand="0" w:evenVBand="0" w:oddHBand="0" w:evenHBand="0" w:firstRowFirstColumn="0" w:firstRowLastColumn="0" w:lastRowFirstColumn="0" w:lastRowLastColumn="0"/>
            </w:pPr>
            <w:r w:rsidRPr="002F1557">
              <w:t>4</w:t>
            </w:r>
            <w:r w:rsidR="007B6950" w:rsidRPr="002F1557">
              <w:t xml:space="preserve"> (</w:t>
            </w:r>
            <w:r w:rsidRPr="002F1557">
              <w:t>80</w:t>
            </w:r>
            <w:r w:rsidR="007B6950" w:rsidRPr="002F1557">
              <w:t>%)</w:t>
            </w:r>
          </w:p>
        </w:tc>
        <w:tc>
          <w:tcPr>
            <w:tcW w:w="2473" w:type="dxa"/>
          </w:tcPr>
          <w:p w14:paraId="108DF7A5" w14:textId="77777777" w:rsidR="007B6950" w:rsidRPr="002F1557"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2F1557">
              <w:t>6 (100%)</w:t>
            </w:r>
          </w:p>
        </w:tc>
        <w:tc>
          <w:tcPr>
            <w:tcW w:w="2489" w:type="dxa"/>
          </w:tcPr>
          <w:p w14:paraId="1E7E997E" w14:textId="77777777" w:rsidR="007B6950" w:rsidRPr="002F1557"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2F1557">
              <w:t>4 (57%)</w:t>
            </w:r>
          </w:p>
        </w:tc>
      </w:tr>
      <w:tr w:rsidR="007B6950" w:rsidRPr="005B734B" w14:paraId="0C379C29" w14:textId="77777777" w:rsidTr="008D4DDC">
        <w:trPr>
          <w:trHeight w:val="908"/>
        </w:trPr>
        <w:tc>
          <w:tcPr>
            <w:cnfStyle w:val="001000000000" w:firstRow="0" w:lastRow="0" w:firstColumn="1" w:lastColumn="0" w:oddVBand="0" w:evenVBand="0" w:oddHBand="0" w:evenHBand="0" w:firstRowFirstColumn="0" w:firstRowLastColumn="0" w:lastRowFirstColumn="0" w:lastRowLastColumn="0"/>
            <w:tcW w:w="1280" w:type="dxa"/>
          </w:tcPr>
          <w:p w14:paraId="0A953F09" w14:textId="3F82B13C" w:rsidR="007B6950" w:rsidRPr="00436E19" w:rsidRDefault="007B6950" w:rsidP="00436E19">
            <w:pPr>
              <w:rPr>
                <w:rStyle w:val="Strong"/>
              </w:rPr>
            </w:pPr>
            <w:r w:rsidRPr="00436E19">
              <w:rPr>
                <w:rStyle w:val="Strong"/>
              </w:rPr>
              <w:t>4.6</w:t>
            </w:r>
          </w:p>
        </w:tc>
        <w:tc>
          <w:tcPr>
            <w:tcW w:w="6234" w:type="dxa"/>
          </w:tcPr>
          <w:p w14:paraId="1A9FFF42" w14:textId="77777777" w:rsidR="007B6950" w:rsidRPr="005B734B" w:rsidRDefault="007B6950" w:rsidP="00E20DBB">
            <w:pPr>
              <w:pStyle w:val="Tabletextleft"/>
              <w:cnfStyle w:val="000000000000" w:firstRow="0" w:lastRow="0" w:firstColumn="0" w:lastColumn="0" w:oddVBand="0" w:evenVBand="0" w:oddHBand="0" w:evenHBand="0" w:firstRowFirstColumn="0" w:firstRowLastColumn="0" w:lastRowFirstColumn="0" w:lastRowLastColumn="0"/>
            </w:pPr>
            <w:r w:rsidRPr="005B734B">
              <w:t>Women giving birth to an infant with congenital syphilis who did not receive adequate treatment prior to delivery (% all cases)</w:t>
            </w:r>
          </w:p>
        </w:tc>
        <w:tc>
          <w:tcPr>
            <w:tcW w:w="2551" w:type="dxa"/>
          </w:tcPr>
          <w:p w14:paraId="16D86C35" w14:textId="55EC3D03" w:rsidR="007B6950" w:rsidRPr="002F1557" w:rsidRDefault="0093172F" w:rsidP="00E20DBB">
            <w:pPr>
              <w:pStyle w:val="Tabletextcentre"/>
              <w:cnfStyle w:val="000000000000" w:firstRow="0" w:lastRow="0" w:firstColumn="0" w:lastColumn="0" w:oddVBand="0" w:evenVBand="0" w:oddHBand="0" w:evenHBand="0" w:firstRowFirstColumn="0" w:firstRowLastColumn="0" w:lastRowFirstColumn="0" w:lastRowLastColumn="0"/>
            </w:pPr>
            <w:r w:rsidRPr="002F1557">
              <w:t>8</w:t>
            </w:r>
            <w:r w:rsidR="007B6950" w:rsidRPr="002F1557">
              <w:t xml:space="preserve"> (</w:t>
            </w:r>
            <w:r w:rsidRPr="002F1557">
              <w:t>89</w:t>
            </w:r>
            <w:r w:rsidR="007B6950" w:rsidRPr="002F1557">
              <w:t>%)</w:t>
            </w:r>
          </w:p>
        </w:tc>
        <w:tc>
          <w:tcPr>
            <w:tcW w:w="2473" w:type="dxa"/>
          </w:tcPr>
          <w:p w14:paraId="51CB0803" w14:textId="77777777" w:rsidR="007B6950" w:rsidRPr="002F1557"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2F1557">
              <w:t>7 (70%)</w:t>
            </w:r>
          </w:p>
        </w:tc>
        <w:tc>
          <w:tcPr>
            <w:tcW w:w="2489" w:type="dxa"/>
          </w:tcPr>
          <w:p w14:paraId="003F01E0" w14:textId="77777777" w:rsidR="007B6950" w:rsidRPr="002F1557"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2F1557">
              <w:t>19 (95%)</w:t>
            </w:r>
          </w:p>
        </w:tc>
      </w:tr>
      <w:tr w:rsidR="007B6950" w:rsidRPr="005B734B" w14:paraId="46BF31B9" w14:textId="77777777" w:rsidTr="008D4DDC">
        <w:trPr>
          <w:trHeight w:val="367"/>
        </w:trPr>
        <w:tc>
          <w:tcPr>
            <w:cnfStyle w:val="001000000000" w:firstRow="0" w:lastRow="0" w:firstColumn="1" w:lastColumn="0" w:oddVBand="0" w:evenVBand="0" w:oddHBand="0" w:evenHBand="0" w:firstRowFirstColumn="0" w:firstRowLastColumn="0" w:lastRowFirstColumn="0" w:lastRowLastColumn="0"/>
            <w:tcW w:w="15027" w:type="dxa"/>
            <w:gridSpan w:val="5"/>
          </w:tcPr>
          <w:p w14:paraId="4C6E83B2" w14:textId="4A0BA60E" w:rsidR="007B6950" w:rsidRPr="005B734B" w:rsidRDefault="007B6950" w:rsidP="00E20DBB">
            <w:pPr>
              <w:pStyle w:val="Tabletextleft"/>
              <w:rPr>
                <w:rStyle w:val="Strong"/>
              </w:rPr>
            </w:pPr>
            <w:r w:rsidRPr="005B734B">
              <w:rPr>
                <w:rStyle w:val="Strong"/>
              </w:rPr>
              <w:t>Total numbers reported for indicators 4.7 – 4.8 (2020 – Q</w:t>
            </w:r>
            <w:r w:rsidR="0093172F" w:rsidRPr="005B734B">
              <w:rPr>
                <w:rStyle w:val="Strong"/>
              </w:rPr>
              <w:t>2</w:t>
            </w:r>
            <w:r w:rsidRPr="005B734B">
              <w:rPr>
                <w:rStyle w:val="Strong"/>
              </w:rPr>
              <w:t xml:space="preserve"> 2025)</w:t>
            </w:r>
          </w:p>
        </w:tc>
      </w:tr>
      <w:tr w:rsidR="007B6950" w:rsidRPr="005B734B" w14:paraId="14F4790C" w14:textId="77777777" w:rsidTr="008D4DDC">
        <w:tc>
          <w:tcPr>
            <w:cnfStyle w:val="001000000000" w:firstRow="0" w:lastRow="0" w:firstColumn="1" w:lastColumn="0" w:oddVBand="0" w:evenVBand="0" w:oddHBand="0" w:evenHBand="0" w:firstRowFirstColumn="0" w:firstRowLastColumn="0" w:lastRowFirstColumn="0" w:lastRowLastColumn="0"/>
            <w:tcW w:w="1280" w:type="dxa"/>
          </w:tcPr>
          <w:p w14:paraId="2FE3709B" w14:textId="77777777" w:rsidR="007B6950" w:rsidRPr="00436E19" w:rsidRDefault="007B6950" w:rsidP="00436E19">
            <w:pPr>
              <w:rPr>
                <w:rStyle w:val="Strong"/>
              </w:rPr>
            </w:pPr>
            <w:r w:rsidRPr="00436E19">
              <w:rPr>
                <w:rStyle w:val="Strong"/>
              </w:rPr>
              <w:t>4.7</w:t>
            </w:r>
          </w:p>
        </w:tc>
        <w:tc>
          <w:tcPr>
            <w:tcW w:w="6234" w:type="dxa"/>
          </w:tcPr>
          <w:p w14:paraId="4363C173" w14:textId="6FBC5BD1" w:rsidR="007B6950" w:rsidRPr="005B734B" w:rsidRDefault="007B6950" w:rsidP="00E20DBB">
            <w:pPr>
              <w:pStyle w:val="Tabletextleft"/>
              <w:cnfStyle w:val="000000000000" w:firstRow="0" w:lastRow="0" w:firstColumn="0" w:lastColumn="0" w:oddVBand="0" w:evenVBand="0" w:oddHBand="0" w:evenHBand="0" w:firstRowFirstColumn="0" w:firstRowLastColumn="0" w:lastRowFirstColumn="0" w:lastRowLastColumn="0"/>
            </w:pPr>
            <w:r w:rsidRPr="005B734B">
              <w:t>Number of women giving birth to an infant with congenital syphilis that did not have a syphilis test/s prior to diagnosis during their pregnancy (% of all cases)</w:t>
            </w:r>
          </w:p>
        </w:tc>
        <w:tc>
          <w:tcPr>
            <w:tcW w:w="7513" w:type="dxa"/>
            <w:gridSpan w:val="3"/>
          </w:tcPr>
          <w:p w14:paraId="7B6CB8A5" w14:textId="408ADB42" w:rsidR="007B6950" w:rsidRPr="002F1557"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2F1557">
              <w:t>5</w:t>
            </w:r>
            <w:r w:rsidR="0093172F" w:rsidRPr="002F1557">
              <w:t>2</w:t>
            </w:r>
            <w:r w:rsidRPr="002F1557">
              <w:t xml:space="preserve"> (63%)</w:t>
            </w:r>
          </w:p>
        </w:tc>
      </w:tr>
      <w:tr w:rsidR="007B6950" w:rsidRPr="005B734B" w14:paraId="5EE157E5" w14:textId="77777777" w:rsidTr="008D4DDC">
        <w:trPr>
          <w:trHeight w:val="757"/>
        </w:trPr>
        <w:tc>
          <w:tcPr>
            <w:cnfStyle w:val="001000000000" w:firstRow="0" w:lastRow="0" w:firstColumn="1" w:lastColumn="0" w:oddVBand="0" w:evenVBand="0" w:oddHBand="0" w:evenHBand="0" w:firstRowFirstColumn="0" w:firstRowLastColumn="0" w:lastRowFirstColumn="0" w:lastRowLastColumn="0"/>
            <w:tcW w:w="1280" w:type="dxa"/>
          </w:tcPr>
          <w:p w14:paraId="01D47271" w14:textId="77777777" w:rsidR="007B6950" w:rsidRPr="00436E19" w:rsidRDefault="007B6950" w:rsidP="00436E19">
            <w:pPr>
              <w:rPr>
                <w:rStyle w:val="Strong"/>
              </w:rPr>
            </w:pPr>
            <w:r w:rsidRPr="00436E19">
              <w:rPr>
                <w:rStyle w:val="Strong"/>
              </w:rPr>
              <w:t>4.8</w:t>
            </w:r>
          </w:p>
        </w:tc>
        <w:tc>
          <w:tcPr>
            <w:tcW w:w="6234" w:type="dxa"/>
          </w:tcPr>
          <w:p w14:paraId="4E370B8D" w14:textId="77777777" w:rsidR="007B6950" w:rsidRPr="005B734B" w:rsidRDefault="007B6950" w:rsidP="00E20DBB">
            <w:pPr>
              <w:pStyle w:val="Tabletextleft"/>
              <w:cnfStyle w:val="000000000000" w:firstRow="0" w:lastRow="0" w:firstColumn="0" w:lastColumn="0" w:oddVBand="0" w:evenVBand="0" w:oddHBand="0" w:evenHBand="0" w:firstRowFirstColumn="0" w:firstRowLastColumn="0" w:lastRowFirstColumn="0" w:lastRowLastColumn="0"/>
            </w:pPr>
            <w:r w:rsidRPr="005B734B">
              <w:t>Number of women giving birth to an infant with congenital syphilis reinfected during the current pregnancy (% of all cases)</w:t>
            </w:r>
          </w:p>
        </w:tc>
        <w:tc>
          <w:tcPr>
            <w:tcW w:w="7513" w:type="dxa"/>
            <w:gridSpan w:val="3"/>
          </w:tcPr>
          <w:p w14:paraId="4572C44B" w14:textId="77777777" w:rsidR="007B6950" w:rsidRPr="002F1557" w:rsidRDefault="007B6950" w:rsidP="00E20DBB">
            <w:pPr>
              <w:pStyle w:val="Tabletextcentre"/>
              <w:cnfStyle w:val="000000000000" w:firstRow="0" w:lastRow="0" w:firstColumn="0" w:lastColumn="0" w:oddVBand="0" w:evenVBand="0" w:oddHBand="0" w:evenHBand="0" w:firstRowFirstColumn="0" w:firstRowLastColumn="0" w:lastRowFirstColumn="0" w:lastRowLastColumn="0"/>
            </w:pPr>
            <w:r w:rsidRPr="002F1557">
              <w:t>2 (3%)</w:t>
            </w:r>
          </w:p>
        </w:tc>
      </w:tr>
    </w:tbl>
    <w:p w14:paraId="71DA14F7" w14:textId="77777777" w:rsidR="005B3EA9" w:rsidRPr="005B734B" w:rsidRDefault="005B3EA9" w:rsidP="00E20DBB">
      <w:pPr>
        <w:rPr>
          <w:lang w:val="en-US"/>
        </w:rPr>
        <w:sectPr w:rsidR="005B3EA9" w:rsidRPr="005B734B" w:rsidSect="00A04AE2">
          <w:pgSz w:w="16838" w:h="11906" w:orient="landscape"/>
          <w:pgMar w:top="1418" w:right="567" w:bottom="1418" w:left="1134" w:header="425" w:footer="477" w:gutter="0"/>
          <w:cols w:space="708"/>
          <w:docGrid w:linePitch="360"/>
        </w:sectPr>
      </w:pPr>
    </w:p>
    <w:p w14:paraId="7C13A48A" w14:textId="77777777" w:rsidR="008D0421" w:rsidRPr="005B734B" w:rsidRDefault="008D0421" w:rsidP="00216DF1">
      <w:pPr>
        <w:pStyle w:val="Heading1"/>
      </w:pPr>
      <w:r w:rsidRPr="005B734B">
        <w:lastRenderedPageBreak/>
        <w:t>Goal 1: Strengthen prevention and testing strategies for syphilis in priority populations and settings, targeting high-burden area</w:t>
      </w:r>
    </w:p>
    <w:p w14:paraId="66D6C9A1" w14:textId="77777777" w:rsidR="00E52D2A" w:rsidRPr="005B734B" w:rsidRDefault="00E52D2A" w:rsidP="00E52D2A">
      <w:pPr>
        <w:pStyle w:val="Boxheading"/>
      </w:pPr>
      <w:r w:rsidRPr="005B734B">
        <w:t>Key facts</w:t>
      </w:r>
    </w:p>
    <w:p w14:paraId="59021BE0" w14:textId="56639074" w:rsidR="00E52D2A" w:rsidRPr="005B734B" w:rsidRDefault="00E52D2A" w:rsidP="00954020">
      <w:pPr>
        <w:pStyle w:val="Boxtypelistbullet"/>
      </w:pPr>
      <w:r w:rsidRPr="005B734B">
        <w:t xml:space="preserve">More than </w:t>
      </w:r>
      <w:r w:rsidRPr="005B734B">
        <w:rPr>
          <w:rStyle w:val="Strong"/>
        </w:rPr>
        <w:t>16</w:t>
      </w:r>
      <w:r w:rsidR="005C2F12" w:rsidRPr="005B734B">
        <w:rPr>
          <w:rStyle w:val="Strong"/>
        </w:rPr>
        <w:t>8</w:t>
      </w:r>
      <w:r w:rsidRPr="005B734B">
        <w:rPr>
          <w:rStyle w:val="Strong"/>
        </w:rPr>
        <w:t>,000 syphilis tests</w:t>
      </w:r>
      <w:r w:rsidRPr="005B734B">
        <w:t xml:space="preserve"> were administered through participating Aboriginal Community Controlled Health Services (ACCHS).</w:t>
      </w:r>
    </w:p>
    <w:p w14:paraId="40F439EA" w14:textId="1AE22459" w:rsidR="00E52D2A" w:rsidRPr="005B734B" w:rsidRDefault="00E52D2A" w:rsidP="00954020">
      <w:pPr>
        <w:pStyle w:val="Boxtypelistbullet"/>
      </w:pPr>
      <w:r w:rsidRPr="005B734B">
        <w:t xml:space="preserve">Quarter </w:t>
      </w:r>
      <w:r w:rsidR="002C3DDE" w:rsidRPr="005B734B">
        <w:t>2</w:t>
      </w:r>
      <w:r w:rsidRPr="005B734B">
        <w:t xml:space="preserve"> (Q</w:t>
      </w:r>
      <w:r w:rsidR="002C3DDE" w:rsidRPr="005B734B">
        <w:t>2</w:t>
      </w:r>
      <w:r w:rsidRPr="005B734B">
        <w:t xml:space="preserve">) 2025 </w:t>
      </w:r>
      <w:r w:rsidR="0098066C" w:rsidRPr="005B734B">
        <w:t xml:space="preserve">maintained the </w:t>
      </w:r>
      <w:r w:rsidR="0098066C" w:rsidRPr="00954020">
        <w:rPr>
          <w:rStyle w:val="Strong"/>
        </w:rPr>
        <w:t>highest reported testing coverage</w:t>
      </w:r>
      <w:r w:rsidR="0098066C" w:rsidRPr="005B734B">
        <w:t xml:space="preserve"> for all age groups (16%) </w:t>
      </w:r>
      <w:r w:rsidR="00711933">
        <w:t>including</w:t>
      </w:r>
      <w:r w:rsidR="00711933" w:rsidRPr="005B734B">
        <w:t xml:space="preserve"> </w:t>
      </w:r>
      <w:r w:rsidR="0098066C" w:rsidRPr="005B734B">
        <w:t>the target age group</w:t>
      </w:r>
      <w:r w:rsidR="00711933">
        <w:t xml:space="preserve"> of </w:t>
      </w:r>
      <w:r w:rsidR="00711933" w:rsidRPr="005B734B">
        <w:t>15- 34 years</w:t>
      </w:r>
      <w:r w:rsidR="0098066C" w:rsidRPr="005B734B">
        <w:t xml:space="preserve"> (26%) at participating ACCHS.</w:t>
      </w:r>
    </w:p>
    <w:p w14:paraId="189C4FAD" w14:textId="6C73D880" w:rsidR="008D0421" w:rsidRPr="005B734B" w:rsidRDefault="00E52D2A" w:rsidP="00954020">
      <w:pPr>
        <w:pStyle w:val="Boxtypelistbullet"/>
      </w:pPr>
      <w:r w:rsidRPr="005B734B">
        <w:rPr>
          <w:rStyle w:val="Strong"/>
        </w:rPr>
        <w:t>Serology</w:t>
      </w:r>
      <w:r w:rsidRPr="005B734B">
        <w:t xml:space="preserve"> was the </w:t>
      </w:r>
      <w:r w:rsidRPr="005B734B">
        <w:rPr>
          <w:rStyle w:val="Strong"/>
        </w:rPr>
        <w:t>most common</w:t>
      </w:r>
      <w:r w:rsidRPr="005B734B">
        <w:t xml:space="preserve"> method of syphilis diagnosis (</w:t>
      </w:r>
      <w:r w:rsidR="0098066C" w:rsidRPr="005B734B">
        <w:t>87</w:t>
      </w:r>
      <w:r w:rsidRPr="005B734B">
        <w:t>%) in participating ACCHS.</w:t>
      </w:r>
    </w:p>
    <w:p w14:paraId="02BF5CE0" w14:textId="3AD4CE50" w:rsidR="00445596" w:rsidRPr="005B734B" w:rsidRDefault="00932ECA" w:rsidP="00E20DBB">
      <w:r w:rsidRPr="005B734B">
        <w:t>Strengthening Australia’s prevention and testing strategies for syphilis requires ongoing evaluation of current approaches, and reflection on required improvements and missed opportunities among vulnerable people and communities at a greater risk of infection. This includes people who are pregnant and have a syphilis infection, and regions and populations with disproportionately high rates of syphilis, for example Aboriginal and Torres Strait Islander people</w:t>
      </w:r>
      <w:r w:rsidR="00F46CB4">
        <w:t>s</w:t>
      </w:r>
      <w:r w:rsidRPr="005B734B">
        <w:t>.</w:t>
      </w:r>
    </w:p>
    <w:p w14:paraId="5ED9094B" w14:textId="70A8B232" w:rsidR="00B37040" w:rsidRPr="005B734B" w:rsidRDefault="00B37040" w:rsidP="00E20DBB">
      <w:r w:rsidRPr="005B734B">
        <w:t>An important consideration when interpreting these data is that syphilis testing coverage reflects only a proportion of Aboriginal and Torres Strait Islander people</w:t>
      </w:r>
      <w:r w:rsidR="00490729">
        <w:t>s</w:t>
      </w:r>
      <w:r w:rsidRPr="005B734B">
        <w:t xml:space="preserve"> attending selected ACCHS, funded by the Australian Centre for Disease Control to deliver point of care testing</w:t>
      </w:r>
      <w:r w:rsidR="0039252F" w:rsidRPr="005B734B">
        <w:t>.</w:t>
      </w:r>
      <w:r w:rsidRPr="005B734B">
        <w:t xml:space="preserve"> These data do not </w:t>
      </w:r>
      <w:r w:rsidR="0039252F" w:rsidRPr="005B734B">
        <w:t xml:space="preserve">include </w:t>
      </w:r>
      <w:r w:rsidRPr="005B734B">
        <w:t xml:space="preserve">individuals accessing care outside of participating ACCHS or data from other health </w:t>
      </w:r>
      <w:r w:rsidR="0039252F" w:rsidRPr="005B734B">
        <w:t xml:space="preserve">services and therefore may not be representative of the health service participation or </w:t>
      </w:r>
      <w:r w:rsidR="00950240" w:rsidRPr="005B734B">
        <w:t>testing coverage among</w:t>
      </w:r>
      <w:r w:rsidR="0039252F" w:rsidRPr="005B734B">
        <w:t xml:space="preserve"> the Aboriginal and Torres Strait Islander population</w:t>
      </w:r>
      <w:r w:rsidR="00950240" w:rsidRPr="005B734B">
        <w:t xml:space="preserve"> more broadly</w:t>
      </w:r>
      <w:r w:rsidRPr="005B734B">
        <w:t>. Routine collection of other suitable data sources, including data from mainstream services and ACCHS not currently funded through the national syphilis response are currently being explored and will be indicated, as appropriate, in future iterations of the Surveillance Plan.</w:t>
      </w:r>
    </w:p>
    <w:p w14:paraId="0A51D1C2" w14:textId="7A0048B8" w:rsidR="008D0421" w:rsidRPr="007F766D" w:rsidRDefault="008D0421" w:rsidP="007F766D">
      <w:pPr>
        <w:pStyle w:val="Heading2"/>
      </w:pPr>
      <w:r w:rsidRPr="005B734B">
        <w:t>1.2 Cumulative number of syphilis tests delivered through participating ACCHS, by target and total population</w:t>
      </w:r>
    </w:p>
    <w:p w14:paraId="37A27085" w14:textId="77777777" w:rsidR="00932ECA" w:rsidRPr="005B734B" w:rsidRDefault="00932ECA" w:rsidP="007F766D">
      <w:pPr>
        <w:pStyle w:val="Heading2"/>
      </w:pPr>
      <w:r w:rsidRPr="005B734B">
        <w:t>1.3 Proportion of people attending participating ACCHS receiving a syphilis test within the previous 12 months, by target and total population (syphilis testing coverage)</w:t>
      </w:r>
    </w:p>
    <w:p w14:paraId="062F9B31" w14:textId="5128586D" w:rsidR="00932ECA" w:rsidRPr="005B734B" w:rsidRDefault="00932ECA" w:rsidP="00E20DBB">
      <w:r w:rsidRPr="005B734B">
        <w:t xml:space="preserve">In August 2018 as part of the Enhanced Syphilis Response, the test and treat model commenced at selected </w:t>
      </w:r>
      <w:r w:rsidR="00445596" w:rsidRPr="005B734B">
        <w:t xml:space="preserve">ACCHS </w:t>
      </w:r>
      <w:r w:rsidRPr="005B734B">
        <w:t xml:space="preserve">in Queensland, the Northern Territory and Western Australia. </w:t>
      </w:r>
      <w:r w:rsidRPr="005B734B">
        <w:fldChar w:fldCharType="begin"/>
      </w:r>
      <w:r w:rsidR="009723F9" w:rsidRPr="005B734B">
        <w:instrText xml:space="preserve"> ADDIN EN.CITE &lt;EndNote&gt;&lt;Cite&gt;&lt;Author&gt;Equity Economics&lt;/Author&gt;&lt;Year&gt;2021&lt;/Year&gt;&lt;RecNum&gt;17&lt;/RecNum&gt;&lt;DisplayText&gt;(1, 2)&lt;/DisplayText&gt;&lt;record&gt;&lt;rec-number&gt;17&lt;/rec-number&gt;&lt;foreign-keys&gt;&lt;key app="EN" db-id="rerr5wt9dra05fetxw4p02tp0vtzztp05ef0" timestamp="1754349890"&gt;17&lt;/key&gt;&lt;/foreign-keys&gt;&lt;ref-type name="Report"&gt;27&lt;/ref-type&gt;&lt;contributors&gt;&lt;authors&gt;&lt;author&gt;Equity Economics,&lt;/author&gt;&lt;/authors&gt;&lt;/contributors&gt;&lt;titles&gt;&lt;title&gt;Blueprint for the Future: Evaluation of NACCHO’s Role under the Enhanced Syphilis Response. A Report prepared for the National Aboriginal Community Controlled Health Organisation (NACCHO).&lt;/title&gt;&lt;/titles&gt;&lt;dates&gt;&lt;year&gt;2021&lt;/year&gt;&lt;/dates&gt;&lt;urls&gt;&lt;related-urls&gt;&lt;url&gt;https://www.naccho.org.au/wp-content/uploads/2024/11/NACCHO-ESR-Report-February-2021.pdf&lt;/url&gt;&lt;/related-urls&gt;&lt;/urls&gt;&lt;/record&gt;&lt;/Cite&gt;&lt;Cite&gt;&lt;Year&gt;2025&lt;/Year&gt;&lt;RecNum&gt;18&lt;/RecNum&gt;&lt;record&gt;&lt;rec-number&gt;18&lt;/rec-number&gt;&lt;foreign-keys&gt;&lt;key app="EN" db-id="rerr5wt9dra05fetxw4p02tp0vtzztp05ef0" timestamp="1754350128"&gt;18&lt;/key&gt;&lt;/foreign-keys&gt;&lt;ref-type name="Report"&gt;27&lt;/ref-type&gt;&lt;contributors&gt;&lt;/contributors&gt;&lt;titles&gt;&lt;title&gt;National Syphilis Surveillance Quarterly Report (Quarter 4: 1 October - 31 December 2025)&lt;/title&gt;&lt;/titles&gt;&lt;dates&gt;&lt;year&gt;2025&lt;/year&gt;&lt;/dates&gt;&lt;urls&gt;&lt;related-urls&gt;&lt;url&gt;https://www.health.gov.au/resources/publications/national-syphilis-surveillance-quarterly-report-october-to-december-2024?language=en&lt;/url&gt;&lt;/related-urls&gt;&lt;/urls&gt;&lt;/record&gt;&lt;/Cite&gt;&lt;/EndNote&gt;</w:instrText>
      </w:r>
      <w:r w:rsidRPr="005B734B">
        <w:fldChar w:fldCharType="separate"/>
      </w:r>
      <w:r w:rsidR="009723F9" w:rsidRPr="005B734B">
        <w:t>(1, 2)</w:t>
      </w:r>
      <w:r w:rsidRPr="005B734B">
        <w:fldChar w:fldCharType="end"/>
      </w:r>
      <w:r w:rsidRPr="005B734B">
        <w:t xml:space="preserve"> Since then the program has expanded, with a view for further expansion in the future to target high burden areas and communities impacted by syphilis. </w:t>
      </w:r>
    </w:p>
    <w:p w14:paraId="5D2E3AEE" w14:textId="77777777" w:rsidR="00060EE0" w:rsidRPr="005B734B" w:rsidRDefault="00060EE0" w:rsidP="00E20DBB">
      <w:r w:rsidRPr="005B734B">
        <w:t>Between August 2018 to the end of (Q2) 2025, through participating ACCHS (Figure 1) 168,804 syphilis tests, point-of-care tests (PoCT) and serological tests were delivered at over 20 services. Over this period on average 6,029 new tests were performed each quarter.</w:t>
      </w:r>
    </w:p>
    <w:p w14:paraId="3F6819E7" w14:textId="77777777" w:rsidR="00060EE0" w:rsidRPr="005B734B" w:rsidRDefault="00060EE0" w:rsidP="00E20DBB">
      <w:r w:rsidRPr="005B734B">
        <w:t>In Q2 2025 testing coverage for clients attending participating services for all age groups and the target age group (15- 34 years) was 16% and 26% respectively. This was the same as Q1 2025 and is the highest recorded percentage coverage since the program commenced (Figures 2 a-b).</w:t>
      </w:r>
    </w:p>
    <w:p w14:paraId="526DB2B3" w14:textId="5B1C5112" w:rsidR="00060EE0" w:rsidRPr="005B734B" w:rsidRDefault="00060EE0" w:rsidP="00E20DBB">
      <w:r w:rsidRPr="005B734B">
        <w:lastRenderedPageBreak/>
        <w:t>In Q2 2025 diagnosis by serology only was the most common method of detecting syphilis (87%) consistent with historical trends (average 89%).  A combination of serology and PoCT represented the second highest proportion (10%; historical average 8%) followed by PoCT only (3%; historical average 3%) (Figure 3).</w:t>
      </w:r>
    </w:p>
    <w:p w14:paraId="4996C575" w14:textId="54E81C7F" w:rsidR="00060EE0" w:rsidRPr="005B734B" w:rsidRDefault="00060EE0" w:rsidP="00E20DBB">
      <w:r w:rsidRPr="005B734B">
        <w:t>Please note that at the time of writing data were missing for some services and therefore testing numbers reported are likely to be an underestimate of all tests delivered.</w:t>
      </w:r>
    </w:p>
    <w:p w14:paraId="5FAC1A1A" w14:textId="1E0B2AFE" w:rsidR="008D0421" w:rsidRPr="005B734B" w:rsidRDefault="008D0421" w:rsidP="00E20DBB">
      <w:pPr>
        <w:pStyle w:val="Caption"/>
      </w:pPr>
      <w:r w:rsidRPr="005B734B">
        <w:t>Figure 1: Cumulative number of syphilis tests (PoCT and/or serology) delivered through participating ACCHS to Aboriginal and Torres Strait Islander peoples, by quarter and year, Q3 2018</w:t>
      </w:r>
      <w:bookmarkStart w:id="4" w:name="_Ref204777368"/>
      <w:r w:rsidRPr="005B734B">
        <w:rPr>
          <w:vertAlign w:val="superscript"/>
        </w:rPr>
        <w:footnoteReference w:id="3"/>
      </w:r>
      <w:bookmarkEnd w:id="4"/>
      <w:r w:rsidRPr="005B734B">
        <w:t xml:space="preserve"> – Q</w:t>
      </w:r>
      <w:r w:rsidR="00F900B2" w:rsidRPr="005B734B">
        <w:t>2</w:t>
      </w:r>
      <w:r w:rsidRPr="005B734B">
        <w:t xml:space="preserve"> 2025</w:t>
      </w:r>
    </w:p>
    <w:p w14:paraId="68723FE5" w14:textId="7459D424" w:rsidR="008D0421" w:rsidRPr="005B734B" w:rsidRDefault="00113354" w:rsidP="00E20DBB">
      <w:r w:rsidRPr="005B734B">
        <w:rPr>
          <w:noProof/>
        </w:rPr>
        <w:drawing>
          <wp:inline distT="0" distB="0" distL="0" distR="0" wp14:anchorId="352C6C5A" wp14:editId="26220232">
            <wp:extent cx="5960853" cy="3884006"/>
            <wp:effectExtent l="0" t="0" r="1905" b="2540"/>
            <wp:docPr id="5777518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51838" name="Picture 1">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94609" cy="3906001"/>
                    </a:xfrm>
                    <a:prstGeom prst="rect">
                      <a:avLst/>
                    </a:prstGeom>
                    <a:noFill/>
                  </pic:spPr>
                </pic:pic>
              </a:graphicData>
            </a:graphic>
          </wp:inline>
        </w:drawing>
      </w:r>
    </w:p>
    <w:p w14:paraId="09870E42" w14:textId="34E4D463" w:rsidR="008D0421" w:rsidRPr="005B734B" w:rsidRDefault="008D0421" w:rsidP="00E20DBB">
      <w:pPr>
        <w:pStyle w:val="Caption"/>
      </w:pPr>
      <w:r w:rsidRPr="005B734B">
        <w:lastRenderedPageBreak/>
        <w:t>Figure 2: Proportion of Aboriginal and Torres Strait Islander clients attending participating ACCHS who received a syphilis test (PoCT and/or serology), quarter and year, Q3 2018 – Q</w:t>
      </w:r>
      <w:r w:rsidR="00F900B2" w:rsidRPr="005B734B">
        <w:t>2</w:t>
      </w:r>
      <w:r w:rsidRPr="005B734B">
        <w:t xml:space="preserve"> 2025</w:t>
      </w:r>
      <w:r w:rsidRPr="005B734B">
        <w:rPr>
          <w:vertAlign w:val="superscript"/>
        </w:rPr>
        <w:footnoteReference w:id="4"/>
      </w:r>
      <w:r w:rsidRPr="005B734B">
        <w:t xml:space="preserve"> (a. all age groups b. target age group 15-34 years)</w:t>
      </w:r>
    </w:p>
    <w:p w14:paraId="1D3AA0A4" w14:textId="41D7FAA2" w:rsidR="008D0421" w:rsidRPr="005B734B" w:rsidRDefault="00D63CC6" w:rsidP="00E20DBB">
      <w:r w:rsidRPr="005B734B">
        <w:rPr>
          <w:noProof/>
        </w:rPr>
        <w:drawing>
          <wp:inline distT="0" distB="0" distL="0" distR="0" wp14:anchorId="15B6E222" wp14:editId="01BB0A97">
            <wp:extent cx="5838448" cy="3804249"/>
            <wp:effectExtent l="0" t="0" r="0" b="6350"/>
            <wp:docPr id="165505719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57193" name="Picture 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77935" cy="3829978"/>
                    </a:xfrm>
                    <a:prstGeom prst="rect">
                      <a:avLst/>
                    </a:prstGeom>
                    <a:noFill/>
                  </pic:spPr>
                </pic:pic>
              </a:graphicData>
            </a:graphic>
          </wp:inline>
        </w:drawing>
      </w:r>
    </w:p>
    <w:p w14:paraId="17EFD244" w14:textId="6662476D" w:rsidR="00BA3703" w:rsidRPr="005B734B" w:rsidRDefault="00BA3703" w:rsidP="00E20DBB">
      <w:r w:rsidRPr="005B734B">
        <w:rPr>
          <w:noProof/>
        </w:rPr>
        <w:drawing>
          <wp:inline distT="0" distB="0" distL="0" distR="0" wp14:anchorId="635B20CC" wp14:editId="7F91EED6">
            <wp:extent cx="5857336" cy="3816640"/>
            <wp:effectExtent l="0" t="0" r="0" b="0"/>
            <wp:docPr id="101679174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791742" name="Picture 3">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2909" cy="3820271"/>
                    </a:xfrm>
                    <a:prstGeom prst="rect">
                      <a:avLst/>
                    </a:prstGeom>
                    <a:noFill/>
                  </pic:spPr>
                </pic:pic>
              </a:graphicData>
            </a:graphic>
          </wp:inline>
        </w:drawing>
      </w:r>
    </w:p>
    <w:p w14:paraId="1F78A5A7" w14:textId="6BBB9731" w:rsidR="008D0421" w:rsidRPr="005B734B" w:rsidRDefault="008D0421" w:rsidP="00E20DBB">
      <w:pPr>
        <w:pStyle w:val="Caption"/>
      </w:pPr>
      <w:r w:rsidRPr="005B734B">
        <w:lastRenderedPageBreak/>
        <w:t xml:space="preserve">Figure 3: </w:t>
      </w:r>
      <w:r w:rsidR="00AF1305" w:rsidRPr="005B734B">
        <w:t>Proportion of s</w:t>
      </w:r>
      <w:r w:rsidRPr="005B734B">
        <w:t>yphilis tests delivered through participating ACCHS, by test type (PoCT only, serology only and both serology and PoCT), by quarter and year, Q3</w:t>
      </w:r>
      <w:r w:rsidRPr="005B734B">
        <w:rPr>
          <w:vertAlign w:val="superscript"/>
        </w:rPr>
        <w:fldChar w:fldCharType="begin"/>
      </w:r>
      <w:r w:rsidRPr="005B734B">
        <w:rPr>
          <w:vertAlign w:val="superscript"/>
        </w:rPr>
        <w:instrText xml:space="preserve"> NOTEREF _Ref204777368 \h  \* MERGEFORMAT </w:instrText>
      </w:r>
      <w:r w:rsidRPr="005B734B">
        <w:rPr>
          <w:vertAlign w:val="superscript"/>
        </w:rPr>
      </w:r>
      <w:r w:rsidRPr="005B734B">
        <w:rPr>
          <w:vertAlign w:val="superscript"/>
        </w:rPr>
        <w:fldChar w:fldCharType="separate"/>
      </w:r>
      <w:r w:rsidR="00062812">
        <w:rPr>
          <w:vertAlign w:val="superscript"/>
        </w:rPr>
        <w:t>2</w:t>
      </w:r>
      <w:r w:rsidRPr="005B734B">
        <w:rPr>
          <w:vertAlign w:val="superscript"/>
        </w:rPr>
        <w:fldChar w:fldCharType="end"/>
      </w:r>
      <w:r w:rsidRPr="005B734B">
        <w:t xml:space="preserve"> 2018 – Q</w:t>
      </w:r>
      <w:r w:rsidR="00E61869" w:rsidRPr="005B734B">
        <w:t>2</w:t>
      </w:r>
      <w:r w:rsidRPr="005B734B">
        <w:t xml:space="preserve"> 2025</w:t>
      </w:r>
    </w:p>
    <w:p w14:paraId="1B35801E" w14:textId="114B3372" w:rsidR="00932ECA" w:rsidRPr="005B734B" w:rsidRDefault="00893112" w:rsidP="00E20DBB">
      <w:r w:rsidRPr="00A73671">
        <w:rPr>
          <w:noProof/>
        </w:rPr>
        <w:drawing>
          <wp:inline distT="0" distB="0" distL="0" distR="0" wp14:anchorId="0D0150F1" wp14:editId="1C84797D">
            <wp:extent cx="5904335" cy="3847381"/>
            <wp:effectExtent l="0" t="0" r="1270" b="1270"/>
            <wp:docPr id="151525666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56666" name="Picture 4">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17254" cy="3855799"/>
                    </a:xfrm>
                    <a:prstGeom prst="rect">
                      <a:avLst/>
                    </a:prstGeom>
                    <a:noFill/>
                  </pic:spPr>
                </pic:pic>
              </a:graphicData>
            </a:graphic>
          </wp:inline>
        </w:drawing>
      </w:r>
    </w:p>
    <w:p w14:paraId="73A1BD27" w14:textId="628751A6" w:rsidR="007F766D" w:rsidRPr="00E20DBB" w:rsidRDefault="007F766D" w:rsidP="00E20DBB">
      <w:r w:rsidRPr="00E20DBB">
        <w:br w:type="page"/>
      </w:r>
    </w:p>
    <w:p w14:paraId="7277AC57" w14:textId="009F202B" w:rsidR="008D0421" w:rsidRPr="005B734B" w:rsidRDefault="008D0421" w:rsidP="007F766D">
      <w:pPr>
        <w:pStyle w:val="Heading1"/>
      </w:pPr>
      <w:r w:rsidRPr="005B734B">
        <w:lastRenderedPageBreak/>
        <w:t>Goal 2: Reduce ongoing transmission and incidence of syphilis across priority populations</w:t>
      </w:r>
    </w:p>
    <w:p w14:paraId="12B81E57" w14:textId="77777777" w:rsidR="00E52D2A" w:rsidRPr="005B734B" w:rsidRDefault="00E52D2A" w:rsidP="00E52D2A">
      <w:pPr>
        <w:pStyle w:val="Boxheading"/>
      </w:pPr>
      <w:r w:rsidRPr="005B734B">
        <w:t>Key facts</w:t>
      </w:r>
    </w:p>
    <w:p w14:paraId="4E31FCDE" w14:textId="1A1E3307" w:rsidR="008038FD" w:rsidRPr="005B734B" w:rsidRDefault="008038FD" w:rsidP="00954020">
      <w:pPr>
        <w:pStyle w:val="Boxtypelistbullet"/>
      </w:pPr>
      <w:r w:rsidRPr="00A73671">
        <w:rPr>
          <w:rStyle w:val="Strong"/>
        </w:rPr>
        <w:t xml:space="preserve">In the first 6 months of 2025, </w:t>
      </w:r>
      <w:r w:rsidRPr="005B734B">
        <w:rPr>
          <w:rStyle w:val="Strong"/>
        </w:rPr>
        <w:t>3,153 infectious syphilis</w:t>
      </w:r>
      <w:r w:rsidRPr="005B734B">
        <w:t xml:space="preserve"> cases were notified.</w:t>
      </w:r>
    </w:p>
    <w:p w14:paraId="54945EFD" w14:textId="65948568" w:rsidR="008038FD" w:rsidRPr="005B734B" w:rsidRDefault="00E52D2A" w:rsidP="008038FD">
      <w:pPr>
        <w:pStyle w:val="Boxtype"/>
      </w:pPr>
      <w:r w:rsidRPr="005B734B">
        <w:t xml:space="preserve">In </w:t>
      </w:r>
      <w:r w:rsidR="008038FD" w:rsidRPr="0006215A">
        <w:rPr>
          <w:rStyle w:val="Strong"/>
        </w:rPr>
        <w:t>Q2 2025</w:t>
      </w:r>
      <w:r w:rsidR="008038FD" w:rsidRPr="005B734B">
        <w:t>:</w:t>
      </w:r>
    </w:p>
    <w:p w14:paraId="4B85C7C3" w14:textId="4B5A9FCB" w:rsidR="00E52D2A" w:rsidRPr="005B734B" w:rsidRDefault="00E52D2A" w:rsidP="00954020">
      <w:pPr>
        <w:pStyle w:val="Boxtypelistbullet"/>
      </w:pPr>
      <w:r w:rsidRPr="005B734B">
        <w:rPr>
          <w:rStyle w:val="Strong"/>
        </w:rPr>
        <w:t>1,</w:t>
      </w:r>
      <w:r w:rsidR="008038FD" w:rsidRPr="005B734B">
        <w:rPr>
          <w:rStyle w:val="Strong"/>
        </w:rPr>
        <w:t>550</w:t>
      </w:r>
      <w:r w:rsidRPr="005B734B">
        <w:rPr>
          <w:rStyle w:val="Strong"/>
        </w:rPr>
        <w:t xml:space="preserve"> infectious syphilis</w:t>
      </w:r>
      <w:r w:rsidRPr="005B734B">
        <w:t xml:space="preserve"> cases </w:t>
      </w:r>
      <w:r w:rsidR="008038FD" w:rsidRPr="005B734B">
        <w:t xml:space="preserve">were </w:t>
      </w:r>
      <w:r w:rsidRPr="005B734B">
        <w:t xml:space="preserve">notified, a </w:t>
      </w:r>
      <w:r w:rsidR="008038FD" w:rsidRPr="00954020">
        <w:rPr>
          <w:rStyle w:val="Strong"/>
        </w:rPr>
        <w:t>2</w:t>
      </w:r>
      <w:r w:rsidRPr="00A73671">
        <w:rPr>
          <w:rStyle w:val="Strong"/>
        </w:rPr>
        <w:t>%</w:t>
      </w:r>
      <w:r w:rsidRPr="005B734B">
        <w:rPr>
          <w:rStyle w:val="Strong"/>
        </w:rPr>
        <w:t xml:space="preserve"> </w:t>
      </w:r>
      <w:r w:rsidR="008038FD" w:rsidRPr="00A73671">
        <w:rPr>
          <w:rStyle w:val="Strong"/>
        </w:rPr>
        <w:t>and</w:t>
      </w:r>
      <w:r w:rsidR="008038FD" w:rsidRPr="005B734B">
        <w:rPr>
          <w:rStyle w:val="Strong"/>
        </w:rPr>
        <w:t xml:space="preserve"> 3% </w:t>
      </w:r>
      <w:r w:rsidRPr="005B734B">
        <w:rPr>
          <w:rStyle w:val="Strong"/>
        </w:rPr>
        <w:t>increase</w:t>
      </w:r>
      <w:r w:rsidRPr="005B734B">
        <w:t xml:space="preserve"> compared to the 12 month quarterly mean and</w:t>
      </w:r>
      <w:r w:rsidR="008038FD" w:rsidRPr="005B734B">
        <w:t xml:space="preserve"> </w:t>
      </w:r>
      <w:r w:rsidRPr="005B734B">
        <w:t>the 5 year quarterly mean.</w:t>
      </w:r>
    </w:p>
    <w:p w14:paraId="664D5CC7" w14:textId="06F77701" w:rsidR="00E52D2A" w:rsidRPr="005B734B" w:rsidRDefault="00E52D2A" w:rsidP="00954020">
      <w:pPr>
        <w:pStyle w:val="Boxtypelistbullet"/>
      </w:pPr>
      <w:r w:rsidRPr="005B734B">
        <w:rPr>
          <w:rStyle w:val="Strong"/>
        </w:rPr>
        <w:t>Highest</w:t>
      </w:r>
      <w:r w:rsidRPr="005B734B">
        <w:t xml:space="preserve"> </w:t>
      </w:r>
      <w:r w:rsidR="00FB7BF5">
        <w:t xml:space="preserve">notification </w:t>
      </w:r>
      <w:r w:rsidRPr="005B734B">
        <w:t>rates</w:t>
      </w:r>
      <w:r w:rsidR="00FB7BF5">
        <w:t xml:space="preserve"> were</w:t>
      </w:r>
      <w:r w:rsidRPr="005B734B">
        <w:t xml:space="preserve"> reported in</w:t>
      </w:r>
      <w:r w:rsidR="00CE3E78" w:rsidRPr="005B734B">
        <w:t xml:space="preserve"> 15-24 year old</w:t>
      </w:r>
      <w:r w:rsidRPr="005B734B">
        <w:t xml:space="preserve"> </w:t>
      </w:r>
      <w:r w:rsidRPr="005B734B">
        <w:rPr>
          <w:rStyle w:val="Strong"/>
        </w:rPr>
        <w:t xml:space="preserve">Aboriginal and Torres Strait Islander </w:t>
      </w:r>
      <w:r w:rsidR="00CE3E78" w:rsidRPr="005B734B">
        <w:rPr>
          <w:rStyle w:val="Strong"/>
        </w:rPr>
        <w:t>peoples</w:t>
      </w:r>
      <w:r w:rsidRPr="005B734B">
        <w:rPr>
          <w:rStyle w:val="Strong"/>
        </w:rPr>
        <w:t xml:space="preserve"> </w:t>
      </w:r>
      <w:r w:rsidRPr="00A73671">
        <w:rPr>
          <w:rStyle w:val="Strong"/>
        </w:rPr>
        <w:t>in</w:t>
      </w:r>
      <w:r w:rsidRPr="005B734B">
        <w:rPr>
          <w:rStyle w:val="Strong"/>
        </w:rPr>
        <w:t xml:space="preserve"> remote/very remote</w:t>
      </w:r>
      <w:r w:rsidRPr="005B734B">
        <w:t xml:space="preserve"> areas.</w:t>
      </w:r>
    </w:p>
    <w:p w14:paraId="049A5A24" w14:textId="133CD8FC" w:rsidR="00CE3E78" w:rsidRPr="005B734B" w:rsidRDefault="00E52D2A" w:rsidP="00954020">
      <w:pPr>
        <w:pStyle w:val="Boxtypelistbullet"/>
      </w:pPr>
      <w:r w:rsidRPr="005B734B">
        <w:t xml:space="preserve">Compared to the </w:t>
      </w:r>
      <w:r w:rsidR="00CE3E78" w:rsidRPr="005B734B">
        <w:t>12-month</w:t>
      </w:r>
      <w:r w:rsidRPr="005B734B">
        <w:t xml:space="preserve"> quarterly average, notification rates in:</w:t>
      </w:r>
      <w:r w:rsidR="00CE3E78" w:rsidRPr="005B734B">
        <w:t xml:space="preserve"> </w:t>
      </w:r>
    </w:p>
    <w:p w14:paraId="664199CD" w14:textId="20E85734" w:rsidR="00E52D2A" w:rsidRPr="0006215A" w:rsidRDefault="00E52D2A" w:rsidP="0006215A">
      <w:pPr>
        <w:pStyle w:val="Boxtype"/>
        <w:numPr>
          <w:ilvl w:val="0"/>
          <w:numId w:val="50"/>
        </w:numPr>
      </w:pPr>
      <w:r w:rsidRPr="0006215A">
        <w:rPr>
          <w:rFonts w:eastAsiaTheme="majorEastAsia"/>
        </w:rPr>
        <w:t>Aboriginal and Torres Strait Islander males</w:t>
      </w:r>
      <w:r w:rsidRPr="0006215A">
        <w:t xml:space="preserve"> </w:t>
      </w:r>
      <w:r w:rsidR="00CE3E78" w:rsidRPr="0006215A">
        <w:t>declined in 15-24 year olds</w:t>
      </w:r>
      <w:r w:rsidR="004418DA" w:rsidRPr="0006215A">
        <w:t xml:space="preserve"> across all remoteness areas</w:t>
      </w:r>
      <w:r w:rsidR="0093172F" w:rsidRPr="0006215A">
        <w:t>.</w:t>
      </w:r>
    </w:p>
    <w:p w14:paraId="7DB63D90" w14:textId="7B3616BF" w:rsidR="00E52D2A" w:rsidRPr="0006215A" w:rsidRDefault="00E52D2A" w:rsidP="0006215A">
      <w:pPr>
        <w:pStyle w:val="Boxtype"/>
        <w:numPr>
          <w:ilvl w:val="0"/>
          <w:numId w:val="50"/>
        </w:numPr>
      </w:pPr>
      <w:r w:rsidRPr="0006215A">
        <w:rPr>
          <w:rFonts w:eastAsiaTheme="majorEastAsia"/>
        </w:rPr>
        <w:t>Aboriginal and Torres Strait Islander females</w:t>
      </w:r>
      <w:r w:rsidRPr="0006215A">
        <w:t xml:space="preserve"> </w:t>
      </w:r>
      <w:r w:rsidRPr="0006215A">
        <w:rPr>
          <w:rFonts w:eastAsiaTheme="majorEastAsia"/>
        </w:rPr>
        <w:t>increase</w:t>
      </w:r>
      <w:r w:rsidR="00CE3E78" w:rsidRPr="0006215A">
        <w:rPr>
          <w:rFonts w:eastAsiaTheme="majorEastAsia"/>
        </w:rPr>
        <w:t>d</w:t>
      </w:r>
      <w:r w:rsidRPr="0006215A">
        <w:rPr>
          <w:rFonts w:eastAsiaTheme="majorEastAsia"/>
        </w:rPr>
        <w:t xml:space="preserve"> in inner/outer</w:t>
      </w:r>
      <w:r w:rsidRPr="0006215A">
        <w:t xml:space="preserve"> and </w:t>
      </w:r>
      <w:r w:rsidRPr="0006215A">
        <w:rPr>
          <w:rFonts w:eastAsiaTheme="majorEastAsia"/>
        </w:rPr>
        <w:t>remote/very remote</w:t>
      </w:r>
      <w:r w:rsidRPr="0006215A">
        <w:t xml:space="preserve"> areas in people </w:t>
      </w:r>
      <w:r w:rsidR="00CE3E78" w:rsidRPr="0006215A">
        <w:t>15-24 and 25-34 year olds</w:t>
      </w:r>
      <w:r w:rsidRPr="0006215A">
        <w:t>.</w:t>
      </w:r>
    </w:p>
    <w:p w14:paraId="5364B353" w14:textId="49D1EEF1" w:rsidR="00E52D2A" w:rsidRPr="0006215A" w:rsidRDefault="00E52D2A" w:rsidP="0006215A">
      <w:pPr>
        <w:pStyle w:val="Boxtype"/>
        <w:numPr>
          <w:ilvl w:val="0"/>
          <w:numId w:val="50"/>
        </w:numPr>
      </w:pPr>
      <w:r w:rsidRPr="0006215A">
        <w:rPr>
          <w:rFonts w:eastAsiaTheme="majorEastAsia"/>
        </w:rPr>
        <w:t>Non-Indigenous males</w:t>
      </w:r>
      <w:r w:rsidRPr="0006215A">
        <w:t xml:space="preserve"> decrease</w:t>
      </w:r>
      <w:r w:rsidR="004418DA" w:rsidRPr="0006215A">
        <w:t>d</w:t>
      </w:r>
      <w:r w:rsidRPr="0006215A">
        <w:t xml:space="preserve"> across most age groups and </w:t>
      </w:r>
      <w:r w:rsidR="004418DA" w:rsidRPr="0006215A">
        <w:t>r</w:t>
      </w:r>
      <w:r w:rsidRPr="0006215A">
        <w:rPr>
          <w:rFonts w:eastAsiaTheme="majorEastAsia"/>
        </w:rPr>
        <w:t>emoteness areas.</w:t>
      </w:r>
    </w:p>
    <w:p w14:paraId="59405449" w14:textId="5EA7E0F5" w:rsidR="00E52D2A" w:rsidRPr="0006215A" w:rsidRDefault="00E52D2A" w:rsidP="0006215A">
      <w:pPr>
        <w:pStyle w:val="Boxtype"/>
        <w:numPr>
          <w:ilvl w:val="0"/>
          <w:numId w:val="50"/>
        </w:numPr>
      </w:pPr>
      <w:r w:rsidRPr="0006215A">
        <w:rPr>
          <w:rFonts w:eastAsiaTheme="majorEastAsia"/>
        </w:rPr>
        <w:t>Non-Indigenous females</w:t>
      </w:r>
      <w:r w:rsidRPr="0006215A">
        <w:t xml:space="preserve"> decline</w:t>
      </w:r>
      <w:r w:rsidR="004418DA" w:rsidRPr="0006215A">
        <w:t>d slightly</w:t>
      </w:r>
      <w:r w:rsidRPr="0006215A">
        <w:t xml:space="preserve"> or remained the same.</w:t>
      </w:r>
    </w:p>
    <w:p w14:paraId="1F047B4A" w14:textId="1895B03D" w:rsidR="008A47F4" w:rsidRPr="005B734B" w:rsidRDefault="008A47F4" w:rsidP="00E20DBB">
      <w:r w:rsidRPr="005B734B">
        <w:t xml:space="preserve">In the first half of 2025, 3,153 cases of infectious syphilis were notified, slightly higher than the same reporting period in 2024 (n=3,020) and </w:t>
      </w:r>
      <w:r w:rsidR="0093172F" w:rsidRPr="005B734B">
        <w:t>5-year</w:t>
      </w:r>
      <w:r w:rsidRPr="005B734B">
        <w:t xml:space="preserve"> average (n=3,121). In Q2 2025, 1,550 infectious syphilis cases were notified, a 3% decrease compared to Q1 2025 (n=1,603) but a small increase compared to the quarterly mean over the past 12 months (1,526, Q3 2024 – Q2 2025) and 5 years (1,508, Q3 2020 – Q2 2025) (Figure 4). </w:t>
      </w:r>
    </w:p>
    <w:p w14:paraId="161AAB85" w14:textId="5F4AF806" w:rsidR="0021216D" w:rsidRPr="005B734B" w:rsidRDefault="008A47F4" w:rsidP="00E20DBB">
      <w:r w:rsidRPr="005B734B">
        <w:t>Consistent with historical trends, in Q2 2025 notifications were predominately reported in males (78%) and were aged 25-34 years (35%) (</w:t>
      </w:r>
      <w:r w:rsidR="00E20DBB">
        <w:fldChar w:fldCharType="begin"/>
      </w:r>
      <w:r w:rsidR="00E20DBB">
        <w:instrText xml:space="preserve"> REF _Ref216446021 \h </w:instrText>
      </w:r>
      <w:r w:rsidR="00E20DBB">
        <w:fldChar w:fldCharType="separate"/>
      </w:r>
      <w:r w:rsidR="00E20DBB">
        <w:t xml:space="preserve">Table </w:t>
      </w:r>
      <w:r w:rsidR="00E20DBB">
        <w:rPr>
          <w:noProof/>
        </w:rPr>
        <w:t>3</w:t>
      </w:r>
      <w:r w:rsidR="00E20DBB">
        <w:fldChar w:fldCharType="end"/>
      </w:r>
      <w:r w:rsidRPr="005B734B">
        <w:t xml:space="preserve">). While notifications were largely reported among residents of major cities (73%), proportions in inner/outer regional areas are continuing to increase due in part to rises in notifications in urban areas in the Northern Territory (Darwin classified as an outer regional area), </w:t>
      </w:r>
      <w:r w:rsidR="002C130C" w:rsidRPr="005B734B">
        <w:t>and areas in north Queensland (Map 2). Proportional increases in remote/very remote areas reflects consistent reporting of cases in these areas, and rises in remote/very remote areas in the Northern Territory, including previously unaffected communities (Groote Eylandt and Maningrida in East Arnhem)</w:t>
      </w:r>
      <w:r w:rsidR="006D2C62" w:rsidRPr="005B734B">
        <w:t xml:space="preserve"> (Map 1 and 2)</w:t>
      </w:r>
      <w:r w:rsidR="002C130C" w:rsidRPr="005B734B">
        <w:t xml:space="preserve"> </w:t>
      </w:r>
      <w:r w:rsidR="002C130C" w:rsidRPr="005B734B">
        <w:fldChar w:fldCharType="begin"/>
      </w:r>
      <w:r w:rsidR="002C130C" w:rsidRPr="005B734B">
        <w:instrText xml:space="preserve"> ADDIN EN.CITE &lt;EndNote&gt;&lt;Cite&gt;&lt;Year&gt;2025&lt;/Year&gt;&lt;RecNum&gt;26&lt;/RecNum&gt;&lt;DisplayText&gt;(3)&lt;/DisplayText&gt;&lt;record&gt;&lt;rec-number&gt;26&lt;/rec-number&gt;&lt;foreign-keys&gt;&lt;key app="EN" db-id="rerr5wt9dra05fetxw4p02tp0vtzztp05ef0" timestamp="1757458198"&gt;26&lt;/key&gt;&lt;/foreign-keys&gt;&lt;ref-type name="Web Page"&gt;12&lt;/ref-type&gt;&lt;contributors&gt;&lt;/contributors&gt;&lt;titles&gt;&lt;title&gt;Health alert: Syphilis &lt;/title&gt;&lt;/titles&gt;&lt;volume&gt;2025&lt;/volume&gt;&lt;number&gt;10 September&lt;/number&gt;&lt;dates&gt;&lt;year&gt;2025&lt;/year&gt;&lt;/dates&gt;&lt;urls&gt;&lt;related-urls&gt;&lt;url&gt;https://health.nt.gov.au/public-health-notifiable-diseases/syphilis&lt;/url&gt;&lt;/related-urls&gt;&lt;/urls&gt;&lt;/record&gt;&lt;/Cite&gt;&lt;/EndNote&gt;</w:instrText>
      </w:r>
      <w:r w:rsidR="002C130C" w:rsidRPr="005B734B">
        <w:fldChar w:fldCharType="separate"/>
      </w:r>
      <w:r w:rsidR="002C130C" w:rsidRPr="005B734B">
        <w:t>(3)</w:t>
      </w:r>
      <w:r w:rsidR="002C130C" w:rsidRPr="005B734B">
        <w:fldChar w:fldCharType="end"/>
      </w:r>
      <w:r w:rsidR="002C130C" w:rsidRPr="005B734B">
        <w:t>.</w:t>
      </w:r>
    </w:p>
    <w:p w14:paraId="38DC6324" w14:textId="5BE105C3" w:rsidR="004732E1" w:rsidRPr="007F766D" w:rsidRDefault="004732E1" w:rsidP="00E20DBB">
      <w:pPr>
        <w:pStyle w:val="Caption"/>
      </w:pPr>
      <w:r w:rsidRPr="005B734B">
        <w:lastRenderedPageBreak/>
        <w:t>Figure 4: Notifications (n) and notification rate (per 100,000) of infectious syphilis, by Indigenous status, sex, year and quarter, 2020 – Q</w:t>
      </w:r>
      <w:r w:rsidR="008A47F4" w:rsidRPr="005B734B">
        <w:t>2</w:t>
      </w:r>
      <w:r w:rsidRPr="005B734B">
        <w:t xml:space="preserve"> 2025</w:t>
      </w:r>
    </w:p>
    <w:p w14:paraId="5E6FDB2B" w14:textId="5D25925E" w:rsidR="004732E1" w:rsidRPr="005B734B" w:rsidRDefault="004449CC" w:rsidP="00E20DBB">
      <w:r w:rsidRPr="00954020">
        <w:rPr>
          <w:noProof/>
        </w:rPr>
        <w:drawing>
          <wp:inline distT="0" distB="0" distL="0" distR="0" wp14:anchorId="056D0468" wp14:editId="53748181">
            <wp:extent cx="5676181" cy="3701114"/>
            <wp:effectExtent l="0" t="0" r="1270" b="0"/>
            <wp:docPr id="6562933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93337" name="Picture 1">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92349" cy="3711656"/>
                    </a:xfrm>
                    <a:prstGeom prst="rect">
                      <a:avLst/>
                    </a:prstGeom>
                    <a:noFill/>
                  </pic:spPr>
                </pic:pic>
              </a:graphicData>
            </a:graphic>
          </wp:inline>
        </w:drawing>
      </w:r>
    </w:p>
    <w:p w14:paraId="06AC92F6" w14:textId="17196FE9" w:rsidR="0021216D" w:rsidRPr="005B734B" w:rsidRDefault="00E20DBB" w:rsidP="00E20DBB">
      <w:pPr>
        <w:pStyle w:val="Caption"/>
      </w:pPr>
      <w:bookmarkStart w:id="5" w:name="_Ref216446021"/>
      <w:r>
        <w:t xml:space="preserve">Table </w:t>
      </w:r>
      <w:r>
        <w:fldChar w:fldCharType="begin"/>
      </w:r>
      <w:r>
        <w:instrText xml:space="preserve"> SEQ Table \* ARABIC </w:instrText>
      </w:r>
      <w:r>
        <w:fldChar w:fldCharType="separate"/>
      </w:r>
      <w:r>
        <w:rPr>
          <w:noProof/>
        </w:rPr>
        <w:t>3</w:t>
      </w:r>
      <w:r>
        <w:fldChar w:fldCharType="end"/>
      </w:r>
      <w:bookmarkEnd w:id="5"/>
      <w:r w:rsidR="0021216D" w:rsidRPr="005B734B">
        <w:t xml:space="preserve">: </w:t>
      </w:r>
      <w:r w:rsidR="00AF1305" w:rsidRPr="005B734B">
        <w:t xml:space="preserve">Demographic summary </w:t>
      </w:r>
      <w:r w:rsidR="0021216D" w:rsidRPr="005B734B">
        <w:t>of infectious syphilis notifications, 2020 – Q</w:t>
      </w:r>
      <w:r w:rsidR="003D3182" w:rsidRPr="005B734B">
        <w:t>2</w:t>
      </w:r>
      <w:r w:rsidR="0021216D" w:rsidRPr="005B734B">
        <w:t xml:space="preserve"> 2025</w:t>
      </w:r>
    </w:p>
    <w:tbl>
      <w:tblPr>
        <w:tblStyle w:val="TableGrid"/>
        <w:tblW w:w="9923" w:type="dxa"/>
        <w:tblInd w:w="-289" w:type="dxa"/>
        <w:tblLook w:val="04A0" w:firstRow="1" w:lastRow="0" w:firstColumn="1" w:lastColumn="0" w:noHBand="0" w:noVBand="1"/>
      </w:tblPr>
      <w:tblGrid>
        <w:gridCol w:w="1539"/>
        <w:gridCol w:w="3365"/>
        <w:gridCol w:w="717"/>
        <w:gridCol w:w="717"/>
        <w:gridCol w:w="717"/>
        <w:gridCol w:w="717"/>
        <w:gridCol w:w="717"/>
        <w:gridCol w:w="717"/>
        <w:gridCol w:w="717"/>
      </w:tblGrid>
      <w:tr w:rsidR="00E92518" w:rsidRPr="005B734B" w14:paraId="7FCD37C0" w14:textId="77777777" w:rsidTr="00E925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gridSpan w:val="2"/>
            <w:vMerge w:val="restart"/>
          </w:tcPr>
          <w:p w14:paraId="518CDD63" w14:textId="4315608C" w:rsidR="00C355C7" w:rsidRPr="00B4449F" w:rsidRDefault="00C355C7" w:rsidP="00E20DBB">
            <w:pPr>
              <w:pStyle w:val="TableHeader"/>
            </w:pPr>
            <w:r w:rsidRPr="00B4449F">
              <w:t>Characteristics</w:t>
            </w:r>
          </w:p>
        </w:tc>
        <w:tc>
          <w:tcPr>
            <w:tcW w:w="659" w:type="dxa"/>
            <w:vMerge w:val="restart"/>
          </w:tcPr>
          <w:p w14:paraId="01BA0FBC" w14:textId="5BE73FF1" w:rsidR="00C355C7" w:rsidRPr="00B4449F" w:rsidRDefault="00C355C7" w:rsidP="00E20DBB">
            <w:pPr>
              <w:pStyle w:val="TableHeader"/>
              <w:cnfStyle w:val="100000000000" w:firstRow="1" w:lastRow="0" w:firstColumn="0" w:lastColumn="0" w:oddVBand="0" w:evenVBand="0" w:oddHBand="0" w:evenHBand="0" w:firstRowFirstColumn="0" w:firstRowLastColumn="0" w:lastRowFirstColumn="0" w:lastRowLastColumn="0"/>
            </w:pPr>
            <w:r w:rsidRPr="00B4449F">
              <w:t>2020</w:t>
            </w:r>
          </w:p>
        </w:tc>
        <w:tc>
          <w:tcPr>
            <w:tcW w:w="717" w:type="dxa"/>
            <w:vMerge w:val="restart"/>
          </w:tcPr>
          <w:p w14:paraId="59FA4B21" w14:textId="77777777" w:rsidR="00C355C7" w:rsidRPr="00B4449F" w:rsidRDefault="00C355C7" w:rsidP="00E20DBB">
            <w:pPr>
              <w:pStyle w:val="TableHeader"/>
              <w:cnfStyle w:val="100000000000" w:firstRow="1" w:lastRow="0" w:firstColumn="0" w:lastColumn="0" w:oddVBand="0" w:evenVBand="0" w:oddHBand="0" w:evenHBand="0" w:firstRowFirstColumn="0" w:firstRowLastColumn="0" w:lastRowFirstColumn="0" w:lastRowLastColumn="0"/>
            </w:pPr>
            <w:r w:rsidRPr="00B4449F">
              <w:t>2021</w:t>
            </w:r>
          </w:p>
        </w:tc>
        <w:tc>
          <w:tcPr>
            <w:tcW w:w="717" w:type="dxa"/>
            <w:vMerge w:val="restart"/>
          </w:tcPr>
          <w:p w14:paraId="722114CB" w14:textId="77777777" w:rsidR="00C355C7" w:rsidRPr="00B4449F" w:rsidRDefault="00C355C7" w:rsidP="00E20DBB">
            <w:pPr>
              <w:pStyle w:val="TableHeader"/>
              <w:cnfStyle w:val="100000000000" w:firstRow="1" w:lastRow="0" w:firstColumn="0" w:lastColumn="0" w:oddVBand="0" w:evenVBand="0" w:oddHBand="0" w:evenHBand="0" w:firstRowFirstColumn="0" w:firstRowLastColumn="0" w:lastRowFirstColumn="0" w:lastRowLastColumn="0"/>
            </w:pPr>
            <w:r w:rsidRPr="00B4449F">
              <w:t>2022</w:t>
            </w:r>
          </w:p>
        </w:tc>
        <w:tc>
          <w:tcPr>
            <w:tcW w:w="717" w:type="dxa"/>
            <w:vMerge w:val="restart"/>
          </w:tcPr>
          <w:p w14:paraId="7A279E7D" w14:textId="77777777" w:rsidR="00C355C7" w:rsidRPr="00B4449F" w:rsidRDefault="00C355C7" w:rsidP="00E20DBB">
            <w:pPr>
              <w:pStyle w:val="TableHeader"/>
              <w:cnfStyle w:val="100000000000" w:firstRow="1" w:lastRow="0" w:firstColumn="0" w:lastColumn="0" w:oddVBand="0" w:evenVBand="0" w:oddHBand="0" w:evenHBand="0" w:firstRowFirstColumn="0" w:firstRowLastColumn="0" w:lastRowFirstColumn="0" w:lastRowLastColumn="0"/>
            </w:pPr>
            <w:r w:rsidRPr="00B4449F">
              <w:t>2023</w:t>
            </w:r>
          </w:p>
        </w:tc>
        <w:tc>
          <w:tcPr>
            <w:tcW w:w="717" w:type="dxa"/>
            <w:vMerge w:val="restart"/>
          </w:tcPr>
          <w:p w14:paraId="5CF80D3B" w14:textId="77777777" w:rsidR="00C355C7" w:rsidRPr="00B4449F" w:rsidRDefault="00C355C7" w:rsidP="00E20DBB">
            <w:pPr>
              <w:pStyle w:val="TableHeader"/>
              <w:cnfStyle w:val="100000000000" w:firstRow="1" w:lastRow="0" w:firstColumn="0" w:lastColumn="0" w:oddVBand="0" w:evenVBand="0" w:oddHBand="0" w:evenHBand="0" w:firstRowFirstColumn="0" w:firstRowLastColumn="0" w:lastRowFirstColumn="0" w:lastRowLastColumn="0"/>
            </w:pPr>
            <w:r w:rsidRPr="00B4449F">
              <w:t>2024</w:t>
            </w:r>
          </w:p>
        </w:tc>
        <w:tc>
          <w:tcPr>
            <w:tcW w:w="1434" w:type="dxa"/>
            <w:gridSpan w:val="2"/>
          </w:tcPr>
          <w:p w14:paraId="332078F6" w14:textId="77777777" w:rsidR="00C355C7" w:rsidRPr="00B4449F" w:rsidRDefault="00C355C7" w:rsidP="00E20DBB">
            <w:pPr>
              <w:pStyle w:val="TableHeader"/>
              <w:cnfStyle w:val="100000000000" w:firstRow="1" w:lastRow="0" w:firstColumn="0" w:lastColumn="0" w:oddVBand="0" w:evenVBand="0" w:oddHBand="0" w:evenHBand="0" w:firstRowFirstColumn="0" w:firstRowLastColumn="0" w:lastRowFirstColumn="0" w:lastRowLastColumn="0"/>
            </w:pPr>
            <w:r w:rsidRPr="00B4449F">
              <w:t>2025</w:t>
            </w:r>
          </w:p>
        </w:tc>
      </w:tr>
      <w:tr w:rsidR="00E92518" w:rsidRPr="005B734B" w14:paraId="06D3E5D5" w14:textId="77777777" w:rsidTr="00E925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gridSpan w:val="2"/>
            <w:vMerge/>
          </w:tcPr>
          <w:p w14:paraId="7A446503" w14:textId="77777777" w:rsidR="00C355C7" w:rsidRPr="00B4449F" w:rsidRDefault="00C355C7" w:rsidP="00E20DBB">
            <w:pPr>
              <w:pStyle w:val="TableHeader"/>
            </w:pPr>
          </w:p>
        </w:tc>
        <w:tc>
          <w:tcPr>
            <w:tcW w:w="659" w:type="dxa"/>
            <w:vMerge/>
          </w:tcPr>
          <w:p w14:paraId="0EF566CA" w14:textId="2415FAD4" w:rsidR="00C355C7" w:rsidRPr="00B4449F" w:rsidRDefault="00C355C7" w:rsidP="00E20DBB">
            <w:pPr>
              <w:pStyle w:val="TableHeader"/>
              <w:cnfStyle w:val="100000000000" w:firstRow="1" w:lastRow="0" w:firstColumn="0" w:lastColumn="0" w:oddVBand="0" w:evenVBand="0" w:oddHBand="0" w:evenHBand="0" w:firstRowFirstColumn="0" w:firstRowLastColumn="0" w:lastRowFirstColumn="0" w:lastRowLastColumn="0"/>
            </w:pPr>
          </w:p>
        </w:tc>
        <w:tc>
          <w:tcPr>
            <w:tcW w:w="717" w:type="dxa"/>
            <w:vMerge/>
          </w:tcPr>
          <w:p w14:paraId="7775001D" w14:textId="77777777" w:rsidR="00C355C7" w:rsidRPr="00B4449F" w:rsidRDefault="00C355C7" w:rsidP="00E20DBB">
            <w:pPr>
              <w:pStyle w:val="TableHeader"/>
              <w:cnfStyle w:val="100000000000" w:firstRow="1" w:lastRow="0" w:firstColumn="0" w:lastColumn="0" w:oddVBand="0" w:evenVBand="0" w:oddHBand="0" w:evenHBand="0" w:firstRowFirstColumn="0" w:firstRowLastColumn="0" w:lastRowFirstColumn="0" w:lastRowLastColumn="0"/>
            </w:pPr>
          </w:p>
        </w:tc>
        <w:tc>
          <w:tcPr>
            <w:tcW w:w="717" w:type="dxa"/>
            <w:vMerge/>
          </w:tcPr>
          <w:p w14:paraId="5E92433B" w14:textId="77777777" w:rsidR="00C355C7" w:rsidRPr="00B4449F" w:rsidRDefault="00C355C7" w:rsidP="00E20DBB">
            <w:pPr>
              <w:pStyle w:val="TableHeader"/>
              <w:cnfStyle w:val="100000000000" w:firstRow="1" w:lastRow="0" w:firstColumn="0" w:lastColumn="0" w:oddVBand="0" w:evenVBand="0" w:oddHBand="0" w:evenHBand="0" w:firstRowFirstColumn="0" w:firstRowLastColumn="0" w:lastRowFirstColumn="0" w:lastRowLastColumn="0"/>
            </w:pPr>
          </w:p>
        </w:tc>
        <w:tc>
          <w:tcPr>
            <w:tcW w:w="717" w:type="dxa"/>
            <w:vMerge/>
          </w:tcPr>
          <w:p w14:paraId="2C2A2173" w14:textId="77777777" w:rsidR="00C355C7" w:rsidRPr="00B4449F" w:rsidRDefault="00C355C7" w:rsidP="00E20DBB">
            <w:pPr>
              <w:pStyle w:val="TableHeader"/>
              <w:cnfStyle w:val="100000000000" w:firstRow="1" w:lastRow="0" w:firstColumn="0" w:lastColumn="0" w:oddVBand="0" w:evenVBand="0" w:oddHBand="0" w:evenHBand="0" w:firstRowFirstColumn="0" w:firstRowLastColumn="0" w:lastRowFirstColumn="0" w:lastRowLastColumn="0"/>
            </w:pPr>
          </w:p>
        </w:tc>
        <w:tc>
          <w:tcPr>
            <w:tcW w:w="717" w:type="dxa"/>
            <w:vMerge/>
          </w:tcPr>
          <w:p w14:paraId="67520BA5" w14:textId="77777777" w:rsidR="00C355C7" w:rsidRPr="00B4449F" w:rsidRDefault="00C355C7" w:rsidP="00E20DBB">
            <w:pPr>
              <w:pStyle w:val="TableHeader"/>
              <w:cnfStyle w:val="100000000000" w:firstRow="1" w:lastRow="0" w:firstColumn="0" w:lastColumn="0" w:oddVBand="0" w:evenVBand="0" w:oddHBand="0" w:evenHBand="0" w:firstRowFirstColumn="0" w:firstRowLastColumn="0" w:lastRowFirstColumn="0" w:lastRowLastColumn="0"/>
            </w:pPr>
          </w:p>
        </w:tc>
        <w:tc>
          <w:tcPr>
            <w:tcW w:w="717" w:type="dxa"/>
          </w:tcPr>
          <w:p w14:paraId="5195B519" w14:textId="77777777" w:rsidR="00C355C7" w:rsidRPr="00B4449F" w:rsidRDefault="00C355C7" w:rsidP="00E20DBB">
            <w:pPr>
              <w:pStyle w:val="TableHeader"/>
              <w:cnfStyle w:val="100000000000" w:firstRow="1" w:lastRow="0" w:firstColumn="0" w:lastColumn="0" w:oddVBand="0" w:evenVBand="0" w:oddHBand="0" w:evenHBand="0" w:firstRowFirstColumn="0" w:firstRowLastColumn="0" w:lastRowFirstColumn="0" w:lastRowLastColumn="0"/>
            </w:pPr>
            <w:r w:rsidRPr="00B4449F">
              <w:t>Q1</w:t>
            </w:r>
          </w:p>
        </w:tc>
        <w:tc>
          <w:tcPr>
            <w:tcW w:w="717" w:type="dxa"/>
          </w:tcPr>
          <w:p w14:paraId="77515918" w14:textId="77777777" w:rsidR="00C355C7" w:rsidRPr="00B4449F" w:rsidRDefault="00C355C7" w:rsidP="00E20DBB">
            <w:pPr>
              <w:pStyle w:val="TableHeader"/>
              <w:cnfStyle w:val="100000000000" w:firstRow="1" w:lastRow="0" w:firstColumn="0" w:lastColumn="0" w:oddVBand="0" w:evenVBand="0" w:oddHBand="0" w:evenHBand="0" w:firstRowFirstColumn="0" w:firstRowLastColumn="0" w:lastRowFirstColumn="0" w:lastRowLastColumn="0"/>
            </w:pPr>
            <w:r w:rsidRPr="00B4449F">
              <w:t>Q2</w:t>
            </w:r>
          </w:p>
        </w:tc>
      </w:tr>
      <w:tr w:rsidR="00E92518" w:rsidRPr="005B734B" w14:paraId="335BA9B0" w14:textId="77777777" w:rsidTr="00E92518">
        <w:tc>
          <w:tcPr>
            <w:cnfStyle w:val="001000000000" w:firstRow="0" w:lastRow="0" w:firstColumn="1" w:lastColumn="0" w:oddVBand="0" w:evenVBand="0" w:oddHBand="0" w:evenHBand="0" w:firstRowFirstColumn="0" w:firstRowLastColumn="0" w:lastRowFirstColumn="0" w:lastRowLastColumn="0"/>
            <w:tcW w:w="4962" w:type="dxa"/>
            <w:gridSpan w:val="2"/>
            <w:shd w:val="clear" w:color="auto" w:fill="D3FCFC" w:themeFill="text1" w:themeFillTint="1A"/>
          </w:tcPr>
          <w:p w14:paraId="47D27D19" w14:textId="0A03C01A" w:rsidR="00C355C7" w:rsidRPr="00B4449F" w:rsidRDefault="00C355C7" w:rsidP="00E20DBB">
            <w:pPr>
              <w:pStyle w:val="Tabletextcentre"/>
              <w:rPr>
                <w:rStyle w:val="Strong"/>
              </w:rPr>
            </w:pPr>
            <w:r w:rsidRPr="00A701C6">
              <w:rPr>
                <w:rStyle w:val="Strong"/>
              </w:rPr>
              <w:t>Total</w:t>
            </w:r>
          </w:p>
        </w:tc>
        <w:tc>
          <w:tcPr>
            <w:tcW w:w="659" w:type="dxa"/>
            <w:shd w:val="clear" w:color="auto" w:fill="D3FCFC" w:themeFill="text1" w:themeFillTint="1A"/>
            <w:vAlign w:val="bottom"/>
          </w:tcPr>
          <w:p w14:paraId="4243CADA" w14:textId="2CE427AA" w:rsidR="00C355C7" w:rsidRPr="00B4449F" w:rsidRDefault="00C355C7" w:rsidP="00E20DBB">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B4449F">
              <w:rPr>
                <w:rStyle w:val="Strong"/>
              </w:rPr>
              <w:t>5,363</w:t>
            </w:r>
          </w:p>
        </w:tc>
        <w:tc>
          <w:tcPr>
            <w:tcW w:w="717" w:type="dxa"/>
            <w:shd w:val="clear" w:color="auto" w:fill="D3FCFC" w:themeFill="text1" w:themeFillTint="1A"/>
            <w:vAlign w:val="bottom"/>
          </w:tcPr>
          <w:p w14:paraId="3DC9D534" w14:textId="77777777" w:rsidR="00C355C7" w:rsidRPr="00B4449F" w:rsidRDefault="00C355C7" w:rsidP="00E20DBB">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B4449F">
              <w:rPr>
                <w:rStyle w:val="Strong"/>
              </w:rPr>
              <w:t>5,764</w:t>
            </w:r>
          </w:p>
        </w:tc>
        <w:tc>
          <w:tcPr>
            <w:tcW w:w="717" w:type="dxa"/>
            <w:shd w:val="clear" w:color="auto" w:fill="D3FCFC" w:themeFill="text1" w:themeFillTint="1A"/>
            <w:vAlign w:val="bottom"/>
          </w:tcPr>
          <w:p w14:paraId="0304F4BA" w14:textId="77777777" w:rsidR="00C355C7" w:rsidRPr="00B4449F" w:rsidRDefault="00C355C7" w:rsidP="00E20DBB">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B4449F">
              <w:rPr>
                <w:rStyle w:val="Strong"/>
              </w:rPr>
              <w:t>6,187</w:t>
            </w:r>
          </w:p>
        </w:tc>
        <w:tc>
          <w:tcPr>
            <w:tcW w:w="717" w:type="dxa"/>
            <w:shd w:val="clear" w:color="auto" w:fill="D3FCFC" w:themeFill="text1" w:themeFillTint="1A"/>
            <w:vAlign w:val="bottom"/>
          </w:tcPr>
          <w:p w14:paraId="702D25F6" w14:textId="77777777" w:rsidR="00C355C7" w:rsidRPr="00B4449F" w:rsidRDefault="00C355C7" w:rsidP="00E20DBB">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B4449F">
              <w:rPr>
                <w:rStyle w:val="Strong"/>
              </w:rPr>
              <w:t>6,565</w:t>
            </w:r>
          </w:p>
        </w:tc>
        <w:tc>
          <w:tcPr>
            <w:tcW w:w="717" w:type="dxa"/>
            <w:shd w:val="clear" w:color="auto" w:fill="D3FCFC" w:themeFill="text1" w:themeFillTint="1A"/>
            <w:vAlign w:val="bottom"/>
          </w:tcPr>
          <w:p w14:paraId="0F163686" w14:textId="77777777" w:rsidR="00C355C7" w:rsidRPr="00B4449F" w:rsidRDefault="00C355C7" w:rsidP="00E20DBB">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B4449F">
              <w:rPr>
                <w:rStyle w:val="Strong"/>
              </w:rPr>
              <w:t>5,971</w:t>
            </w:r>
          </w:p>
        </w:tc>
        <w:tc>
          <w:tcPr>
            <w:tcW w:w="717" w:type="dxa"/>
            <w:shd w:val="clear" w:color="auto" w:fill="D3FCFC" w:themeFill="text1" w:themeFillTint="1A"/>
            <w:vAlign w:val="bottom"/>
          </w:tcPr>
          <w:p w14:paraId="6236694D" w14:textId="77777777" w:rsidR="00C355C7" w:rsidRPr="00B4449F" w:rsidRDefault="00C355C7" w:rsidP="00E20DBB">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B4449F">
              <w:rPr>
                <w:rStyle w:val="Strong"/>
              </w:rPr>
              <w:t>1,603</w:t>
            </w:r>
          </w:p>
        </w:tc>
        <w:tc>
          <w:tcPr>
            <w:tcW w:w="717" w:type="dxa"/>
            <w:shd w:val="clear" w:color="auto" w:fill="D3FCFC" w:themeFill="text1" w:themeFillTint="1A"/>
          </w:tcPr>
          <w:p w14:paraId="5C7298C5" w14:textId="77777777" w:rsidR="00C355C7" w:rsidRPr="00B4449F" w:rsidRDefault="00C355C7" w:rsidP="00E20DBB">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B4449F">
              <w:rPr>
                <w:rStyle w:val="Strong"/>
              </w:rPr>
              <w:t>1,550</w:t>
            </w:r>
          </w:p>
        </w:tc>
      </w:tr>
      <w:tr w:rsidR="00E92518" w:rsidRPr="005B734B" w14:paraId="0F6B2DF1" w14:textId="77777777" w:rsidTr="00E92518">
        <w:tc>
          <w:tcPr>
            <w:cnfStyle w:val="001000000000" w:firstRow="0" w:lastRow="0" w:firstColumn="1" w:lastColumn="0" w:oddVBand="0" w:evenVBand="0" w:oddHBand="0" w:evenHBand="0" w:firstRowFirstColumn="0" w:firstRowLastColumn="0" w:lastRowFirstColumn="0" w:lastRowLastColumn="0"/>
            <w:tcW w:w="1542" w:type="dxa"/>
            <w:vMerge w:val="restart"/>
          </w:tcPr>
          <w:p w14:paraId="5E89A2E5" w14:textId="77777777" w:rsidR="00C355C7" w:rsidRPr="00B4449F" w:rsidRDefault="00C355C7" w:rsidP="00C355C7">
            <w:pPr>
              <w:pStyle w:val="Tabletextleft"/>
              <w:rPr>
                <w:rStyle w:val="Strong"/>
              </w:rPr>
            </w:pPr>
            <w:r w:rsidRPr="00B4449F">
              <w:rPr>
                <w:rStyle w:val="Strong"/>
              </w:rPr>
              <w:t>Sex</w:t>
            </w:r>
          </w:p>
          <w:p w14:paraId="7E7F4574" w14:textId="211E7D28" w:rsidR="00C355C7" w:rsidRPr="005B734B" w:rsidRDefault="00C355C7" w:rsidP="00C355C7">
            <w:pPr>
              <w:pStyle w:val="Tabletextright0"/>
            </w:pPr>
          </w:p>
        </w:tc>
        <w:tc>
          <w:tcPr>
            <w:tcW w:w="3420" w:type="dxa"/>
          </w:tcPr>
          <w:p w14:paraId="7537A230" w14:textId="6C687A61" w:rsidR="00C355C7" w:rsidRDefault="00C355C7" w:rsidP="00C355C7">
            <w:pPr>
              <w:pStyle w:val="Tabletextleft"/>
              <w:cnfStyle w:val="000000000000" w:firstRow="0" w:lastRow="0" w:firstColumn="0" w:lastColumn="0" w:oddVBand="0" w:evenVBand="0" w:oddHBand="0" w:evenHBand="0" w:firstRowFirstColumn="0" w:firstRowLastColumn="0" w:lastRowFirstColumn="0" w:lastRowLastColumn="0"/>
            </w:pPr>
            <w:r w:rsidRPr="002C5B1A">
              <w:t>Female</w:t>
            </w:r>
          </w:p>
        </w:tc>
        <w:tc>
          <w:tcPr>
            <w:tcW w:w="659" w:type="dxa"/>
            <w:vAlign w:val="bottom"/>
          </w:tcPr>
          <w:p w14:paraId="3B1D8240" w14:textId="6DA4906D"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958</w:t>
            </w:r>
          </w:p>
        </w:tc>
        <w:tc>
          <w:tcPr>
            <w:tcW w:w="717" w:type="dxa"/>
            <w:vAlign w:val="bottom"/>
          </w:tcPr>
          <w:p w14:paraId="761AA372"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1,038</w:t>
            </w:r>
          </w:p>
        </w:tc>
        <w:tc>
          <w:tcPr>
            <w:tcW w:w="717" w:type="dxa"/>
            <w:vAlign w:val="bottom"/>
          </w:tcPr>
          <w:p w14:paraId="76FD3037"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1,084</w:t>
            </w:r>
          </w:p>
        </w:tc>
        <w:tc>
          <w:tcPr>
            <w:tcW w:w="717" w:type="dxa"/>
            <w:vAlign w:val="bottom"/>
          </w:tcPr>
          <w:p w14:paraId="6A2FAC15"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1,334</w:t>
            </w:r>
          </w:p>
        </w:tc>
        <w:tc>
          <w:tcPr>
            <w:tcW w:w="717" w:type="dxa"/>
            <w:vAlign w:val="bottom"/>
          </w:tcPr>
          <w:p w14:paraId="41E99671"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1,216</w:t>
            </w:r>
          </w:p>
        </w:tc>
        <w:tc>
          <w:tcPr>
            <w:tcW w:w="717" w:type="dxa"/>
            <w:vAlign w:val="bottom"/>
          </w:tcPr>
          <w:p w14:paraId="393D4DB6"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346</w:t>
            </w:r>
          </w:p>
        </w:tc>
        <w:tc>
          <w:tcPr>
            <w:tcW w:w="717" w:type="dxa"/>
            <w:vAlign w:val="bottom"/>
          </w:tcPr>
          <w:p w14:paraId="7FDAFEBA"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345</w:t>
            </w:r>
          </w:p>
        </w:tc>
      </w:tr>
      <w:tr w:rsidR="00E92518" w:rsidRPr="005B734B" w14:paraId="2275662D" w14:textId="77777777" w:rsidTr="00E92518">
        <w:tc>
          <w:tcPr>
            <w:cnfStyle w:val="001000000000" w:firstRow="0" w:lastRow="0" w:firstColumn="1" w:lastColumn="0" w:oddVBand="0" w:evenVBand="0" w:oddHBand="0" w:evenHBand="0" w:firstRowFirstColumn="0" w:firstRowLastColumn="0" w:lastRowFirstColumn="0" w:lastRowLastColumn="0"/>
            <w:tcW w:w="1542" w:type="dxa"/>
            <w:vMerge/>
          </w:tcPr>
          <w:p w14:paraId="1DCE4082" w14:textId="77777777" w:rsidR="00C355C7" w:rsidRPr="005B734B" w:rsidRDefault="00C355C7" w:rsidP="00C355C7"/>
        </w:tc>
        <w:tc>
          <w:tcPr>
            <w:tcW w:w="3420" w:type="dxa"/>
          </w:tcPr>
          <w:p w14:paraId="672F452C" w14:textId="7F2BDBA9" w:rsidR="00C355C7" w:rsidRPr="005B734B" w:rsidRDefault="00C355C7" w:rsidP="00C355C7">
            <w:pPr>
              <w:pStyle w:val="Tabletextleft"/>
              <w:cnfStyle w:val="000000000000" w:firstRow="0" w:lastRow="0" w:firstColumn="0" w:lastColumn="0" w:oddVBand="0" w:evenVBand="0" w:oddHBand="0" w:evenHBand="0" w:firstRowFirstColumn="0" w:firstRowLastColumn="0" w:lastRowFirstColumn="0" w:lastRowLastColumn="0"/>
            </w:pPr>
            <w:r w:rsidRPr="002C5B1A">
              <w:t>Male</w:t>
            </w:r>
          </w:p>
        </w:tc>
        <w:tc>
          <w:tcPr>
            <w:tcW w:w="659" w:type="dxa"/>
            <w:vAlign w:val="bottom"/>
          </w:tcPr>
          <w:p w14:paraId="0C8D796C" w14:textId="7255F89B"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4,388</w:t>
            </w:r>
          </w:p>
        </w:tc>
        <w:tc>
          <w:tcPr>
            <w:tcW w:w="717" w:type="dxa"/>
            <w:vAlign w:val="bottom"/>
          </w:tcPr>
          <w:p w14:paraId="2A77CE92"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4,707</w:t>
            </w:r>
          </w:p>
        </w:tc>
        <w:tc>
          <w:tcPr>
            <w:tcW w:w="717" w:type="dxa"/>
            <w:vAlign w:val="bottom"/>
          </w:tcPr>
          <w:p w14:paraId="513C8291"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5,075</w:t>
            </w:r>
          </w:p>
        </w:tc>
        <w:tc>
          <w:tcPr>
            <w:tcW w:w="717" w:type="dxa"/>
            <w:vAlign w:val="bottom"/>
          </w:tcPr>
          <w:p w14:paraId="1969D21D"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5,221</w:t>
            </w:r>
          </w:p>
        </w:tc>
        <w:tc>
          <w:tcPr>
            <w:tcW w:w="717" w:type="dxa"/>
            <w:vAlign w:val="bottom"/>
          </w:tcPr>
          <w:p w14:paraId="0BAE696C"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4,745</w:t>
            </w:r>
          </w:p>
        </w:tc>
        <w:tc>
          <w:tcPr>
            <w:tcW w:w="717" w:type="dxa"/>
            <w:vAlign w:val="center"/>
          </w:tcPr>
          <w:p w14:paraId="3D0F0144"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1,253</w:t>
            </w:r>
          </w:p>
        </w:tc>
        <w:tc>
          <w:tcPr>
            <w:tcW w:w="717" w:type="dxa"/>
            <w:vAlign w:val="center"/>
          </w:tcPr>
          <w:p w14:paraId="03B06DEA"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1,202</w:t>
            </w:r>
          </w:p>
        </w:tc>
      </w:tr>
      <w:tr w:rsidR="00E92518" w:rsidRPr="005B734B" w14:paraId="2DDB4160" w14:textId="77777777" w:rsidTr="00E92518">
        <w:tc>
          <w:tcPr>
            <w:cnfStyle w:val="001000000000" w:firstRow="0" w:lastRow="0" w:firstColumn="1" w:lastColumn="0" w:oddVBand="0" w:evenVBand="0" w:oddHBand="0" w:evenHBand="0" w:firstRowFirstColumn="0" w:firstRowLastColumn="0" w:lastRowFirstColumn="0" w:lastRowLastColumn="0"/>
            <w:tcW w:w="1542" w:type="dxa"/>
            <w:vMerge/>
          </w:tcPr>
          <w:p w14:paraId="0CDDA0B8" w14:textId="77777777" w:rsidR="00C355C7" w:rsidRPr="005B734B" w:rsidRDefault="00C355C7" w:rsidP="00C355C7"/>
        </w:tc>
        <w:tc>
          <w:tcPr>
            <w:tcW w:w="3420" w:type="dxa"/>
          </w:tcPr>
          <w:p w14:paraId="3BB14C10" w14:textId="5096EF7C" w:rsidR="00C355C7" w:rsidRPr="00B4449F" w:rsidRDefault="00C355C7" w:rsidP="00C355C7">
            <w:pPr>
              <w:pStyle w:val="Tabletextleft"/>
              <w:cnfStyle w:val="000000000000" w:firstRow="0" w:lastRow="0" w:firstColumn="0" w:lastColumn="0" w:oddVBand="0" w:evenVBand="0" w:oddHBand="0" w:evenHBand="0" w:firstRowFirstColumn="0" w:firstRowLastColumn="0" w:lastRowFirstColumn="0" w:lastRowLastColumn="0"/>
            </w:pPr>
            <w:r w:rsidRPr="002C5B1A">
              <w:t>X*</w:t>
            </w:r>
          </w:p>
        </w:tc>
        <w:tc>
          <w:tcPr>
            <w:tcW w:w="659" w:type="dxa"/>
            <w:vAlign w:val="bottom"/>
          </w:tcPr>
          <w:p w14:paraId="2D6B7A8D" w14:textId="1B7D945C" w:rsidR="00C355C7" w:rsidRPr="00B4449F"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B4449F">
              <w:t>4</w:t>
            </w:r>
          </w:p>
        </w:tc>
        <w:tc>
          <w:tcPr>
            <w:tcW w:w="717" w:type="dxa"/>
            <w:vAlign w:val="bottom"/>
          </w:tcPr>
          <w:p w14:paraId="0F49468C" w14:textId="77777777" w:rsidR="00C355C7" w:rsidRPr="00B4449F"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B4449F">
              <w:t>6</w:t>
            </w:r>
          </w:p>
        </w:tc>
        <w:tc>
          <w:tcPr>
            <w:tcW w:w="717" w:type="dxa"/>
            <w:vAlign w:val="bottom"/>
          </w:tcPr>
          <w:p w14:paraId="09241BBD" w14:textId="77777777" w:rsidR="00C355C7" w:rsidRPr="00B4449F"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B4449F">
              <w:t>8</w:t>
            </w:r>
          </w:p>
        </w:tc>
        <w:tc>
          <w:tcPr>
            <w:tcW w:w="717" w:type="dxa"/>
            <w:vAlign w:val="bottom"/>
          </w:tcPr>
          <w:p w14:paraId="4948E1F3" w14:textId="77777777" w:rsidR="00C355C7" w:rsidRPr="00B4449F"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B4449F">
              <w:t>5</w:t>
            </w:r>
          </w:p>
        </w:tc>
        <w:tc>
          <w:tcPr>
            <w:tcW w:w="717" w:type="dxa"/>
            <w:vAlign w:val="bottom"/>
          </w:tcPr>
          <w:p w14:paraId="0C10FB47" w14:textId="77777777" w:rsidR="00C355C7" w:rsidRPr="00B4449F"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B4449F">
              <w:t>1</w:t>
            </w:r>
          </w:p>
        </w:tc>
        <w:tc>
          <w:tcPr>
            <w:tcW w:w="717" w:type="dxa"/>
            <w:vAlign w:val="center"/>
          </w:tcPr>
          <w:p w14:paraId="028477A9" w14:textId="77777777" w:rsidR="00C355C7" w:rsidRPr="00B4449F"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B4449F">
              <w:t> </w:t>
            </w:r>
          </w:p>
        </w:tc>
        <w:tc>
          <w:tcPr>
            <w:tcW w:w="717" w:type="dxa"/>
            <w:vAlign w:val="bottom"/>
          </w:tcPr>
          <w:p w14:paraId="2EEF4FF5" w14:textId="77777777" w:rsidR="00C355C7" w:rsidRPr="00B4449F"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p>
        </w:tc>
      </w:tr>
      <w:tr w:rsidR="00E92518" w:rsidRPr="005B734B" w14:paraId="3ED0ED64" w14:textId="77777777" w:rsidTr="00E92518">
        <w:tc>
          <w:tcPr>
            <w:cnfStyle w:val="001000000000" w:firstRow="0" w:lastRow="0" w:firstColumn="1" w:lastColumn="0" w:oddVBand="0" w:evenVBand="0" w:oddHBand="0" w:evenHBand="0" w:firstRowFirstColumn="0" w:firstRowLastColumn="0" w:lastRowFirstColumn="0" w:lastRowLastColumn="0"/>
            <w:tcW w:w="1542" w:type="dxa"/>
            <w:vMerge/>
          </w:tcPr>
          <w:p w14:paraId="4F67C269" w14:textId="77777777" w:rsidR="00C355C7" w:rsidRPr="005B734B" w:rsidRDefault="00C355C7" w:rsidP="00C355C7"/>
        </w:tc>
        <w:tc>
          <w:tcPr>
            <w:tcW w:w="3420" w:type="dxa"/>
          </w:tcPr>
          <w:p w14:paraId="297FF12C" w14:textId="496E4316" w:rsidR="00C355C7" w:rsidRPr="00B4449F" w:rsidRDefault="00C355C7" w:rsidP="00C355C7">
            <w:pPr>
              <w:pStyle w:val="Tabletextleft"/>
              <w:cnfStyle w:val="000000000000" w:firstRow="0" w:lastRow="0" w:firstColumn="0" w:lastColumn="0" w:oddVBand="0" w:evenVBand="0" w:oddHBand="0" w:evenHBand="0" w:firstRowFirstColumn="0" w:firstRowLastColumn="0" w:lastRowFirstColumn="0" w:lastRowLastColumn="0"/>
            </w:pPr>
            <w:r w:rsidRPr="002C5B1A">
              <w:t>Not reported</w:t>
            </w:r>
          </w:p>
        </w:tc>
        <w:tc>
          <w:tcPr>
            <w:tcW w:w="659" w:type="dxa"/>
            <w:vAlign w:val="bottom"/>
          </w:tcPr>
          <w:p w14:paraId="5A9A1B5F" w14:textId="1BBFD5F6" w:rsidR="00C355C7" w:rsidRPr="00B4449F"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B4449F">
              <w:t>13</w:t>
            </w:r>
          </w:p>
        </w:tc>
        <w:tc>
          <w:tcPr>
            <w:tcW w:w="717" w:type="dxa"/>
            <w:vAlign w:val="bottom"/>
          </w:tcPr>
          <w:p w14:paraId="6518F48F" w14:textId="77777777" w:rsidR="00C355C7" w:rsidRPr="00B4449F"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B4449F">
              <w:t>13</w:t>
            </w:r>
          </w:p>
        </w:tc>
        <w:tc>
          <w:tcPr>
            <w:tcW w:w="717" w:type="dxa"/>
            <w:vAlign w:val="bottom"/>
          </w:tcPr>
          <w:p w14:paraId="096B051E" w14:textId="77777777" w:rsidR="00C355C7" w:rsidRPr="00B4449F"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B4449F">
              <w:t>20</w:t>
            </w:r>
          </w:p>
        </w:tc>
        <w:tc>
          <w:tcPr>
            <w:tcW w:w="717" w:type="dxa"/>
            <w:vAlign w:val="bottom"/>
          </w:tcPr>
          <w:p w14:paraId="69B00A57" w14:textId="77777777" w:rsidR="00C355C7" w:rsidRPr="00B4449F"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B4449F">
              <w:t>5</w:t>
            </w:r>
          </w:p>
        </w:tc>
        <w:tc>
          <w:tcPr>
            <w:tcW w:w="717" w:type="dxa"/>
            <w:vAlign w:val="bottom"/>
          </w:tcPr>
          <w:p w14:paraId="21899F86" w14:textId="77777777" w:rsidR="00C355C7" w:rsidRPr="00B4449F"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B4449F">
              <w:t>9</w:t>
            </w:r>
          </w:p>
        </w:tc>
        <w:tc>
          <w:tcPr>
            <w:tcW w:w="717" w:type="dxa"/>
            <w:vAlign w:val="center"/>
          </w:tcPr>
          <w:p w14:paraId="37B98B15" w14:textId="77777777" w:rsidR="00C355C7" w:rsidRPr="00B4449F"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B4449F">
              <w:t>4</w:t>
            </w:r>
          </w:p>
        </w:tc>
        <w:tc>
          <w:tcPr>
            <w:tcW w:w="717" w:type="dxa"/>
            <w:vAlign w:val="bottom"/>
          </w:tcPr>
          <w:p w14:paraId="64196F55" w14:textId="77777777" w:rsidR="00C355C7" w:rsidRPr="00B4449F"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B4449F">
              <w:t>3</w:t>
            </w:r>
          </w:p>
        </w:tc>
      </w:tr>
      <w:tr w:rsidR="00E92518" w:rsidRPr="005B734B" w14:paraId="6A308697" w14:textId="77777777" w:rsidTr="00E92518">
        <w:tc>
          <w:tcPr>
            <w:cnfStyle w:val="001000000000" w:firstRow="0" w:lastRow="0" w:firstColumn="1" w:lastColumn="0" w:oddVBand="0" w:evenVBand="0" w:oddHBand="0" w:evenHBand="0" w:firstRowFirstColumn="0" w:firstRowLastColumn="0" w:lastRowFirstColumn="0" w:lastRowLastColumn="0"/>
            <w:tcW w:w="1542" w:type="dxa"/>
            <w:vMerge w:val="restart"/>
          </w:tcPr>
          <w:p w14:paraId="702FE32D" w14:textId="77777777" w:rsidR="00C355C7" w:rsidRPr="00A701C6" w:rsidRDefault="00C355C7" w:rsidP="00C355C7">
            <w:pPr>
              <w:pStyle w:val="Tabletextleft"/>
              <w:rPr>
                <w:rStyle w:val="Strong"/>
              </w:rPr>
            </w:pPr>
            <w:r w:rsidRPr="00A701C6">
              <w:rPr>
                <w:rStyle w:val="Strong"/>
              </w:rPr>
              <w:t>Age group</w:t>
            </w:r>
          </w:p>
          <w:p w14:paraId="3B99F66B" w14:textId="3D5AE9E3" w:rsidR="00C355C7" w:rsidRPr="005B734B" w:rsidRDefault="00C355C7" w:rsidP="00C355C7">
            <w:pPr>
              <w:pStyle w:val="Tabletextright0"/>
            </w:pPr>
          </w:p>
        </w:tc>
        <w:tc>
          <w:tcPr>
            <w:tcW w:w="3420" w:type="dxa"/>
          </w:tcPr>
          <w:p w14:paraId="28842E74" w14:textId="55F9AA31" w:rsidR="00C355C7" w:rsidRDefault="00C355C7" w:rsidP="00C355C7">
            <w:pPr>
              <w:pStyle w:val="Tabletextleft"/>
              <w:cnfStyle w:val="000000000000" w:firstRow="0" w:lastRow="0" w:firstColumn="0" w:lastColumn="0" w:oddVBand="0" w:evenVBand="0" w:oddHBand="0" w:evenHBand="0" w:firstRowFirstColumn="0" w:firstRowLastColumn="0" w:lastRowFirstColumn="0" w:lastRowLastColumn="0"/>
            </w:pPr>
            <w:r w:rsidRPr="00E21009">
              <w:t>15-24</w:t>
            </w:r>
          </w:p>
        </w:tc>
        <w:tc>
          <w:tcPr>
            <w:tcW w:w="659" w:type="dxa"/>
            <w:vAlign w:val="bottom"/>
          </w:tcPr>
          <w:p w14:paraId="3BC139AC" w14:textId="5380A099"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880</w:t>
            </w:r>
          </w:p>
        </w:tc>
        <w:tc>
          <w:tcPr>
            <w:tcW w:w="717" w:type="dxa"/>
            <w:vAlign w:val="bottom"/>
          </w:tcPr>
          <w:p w14:paraId="7ECE5A6A"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842</w:t>
            </w:r>
          </w:p>
        </w:tc>
        <w:tc>
          <w:tcPr>
            <w:tcW w:w="717" w:type="dxa"/>
            <w:vAlign w:val="bottom"/>
          </w:tcPr>
          <w:p w14:paraId="4D6F9A08"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841</w:t>
            </w:r>
          </w:p>
        </w:tc>
        <w:tc>
          <w:tcPr>
            <w:tcW w:w="717" w:type="dxa"/>
            <w:vAlign w:val="bottom"/>
          </w:tcPr>
          <w:p w14:paraId="4D74F2C2"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926</w:t>
            </w:r>
          </w:p>
        </w:tc>
        <w:tc>
          <w:tcPr>
            <w:tcW w:w="717" w:type="dxa"/>
            <w:vAlign w:val="bottom"/>
          </w:tcPr>
          <w:p w14:paraId="1A91CBC1"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766</w:t>
            </w:r>
          </w:p>
        </w:tc>
        <w:tc>
          <w:tcPr>
            <w:tcW w:w="717" w:type="dxa"/>
            <w:vAlign w:val="bottom"/>
          </w:tcPr>
          <w:p w14:paraId="66426555"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189</w:t>
            </w:r>
          </w:p>
        </w:tc>
        <w:tc>
          <w:tcPr>
            <w:tcW w:w="717" w:type="dxa"/>
            <w:vAlign w:val="bottom"/>
          </w:tcPr>
          <w:p w14:paraId="1C364CE4"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165</w:t>
            </w:r>
          </w:p>
        </w:tc>
      </w:tr>
      <w:tr w:rsidR="00E92518" w:rsidRPr="005B734B" w14:paraId="23115ABB" w14:textId="77777777" w:rsidTr="00E92518">
        <w:tc>
          <w:tcPr>
            <w:cnfStyle w:val="001000000000" w:firstRow="0" w:lastRow="0" w:firstColumn="1" w:lastColumn="0" w:oddVBand="0" w:evenVBand="0" w:oddHBand="0" w:evenHBand="0" w:firstRowFirstColumn="0" w:firstRowLastColumn="0" w:lastRowFirstColumn="0" w:lastRowLastColumn="0"/>
            <w:tcW w:w="1542" w:type="dxa"/>
            <w:vMerge/>
          </w:tcPr>
          <w:p w14:paraId="62A83ECC" w14:textId="77777777" w:rsidR="00C355C7" w:rsidRPr="005B734B" w:rsidRDefault="00C355C7" w:rsidP="00C355C7"/>
        </w:tc>
        <w:tc>
          <w:tcPr>
            <w:tcW w:w="3420" w:type="dxa"/>
          </w:tcPr>
          <w:p w14:paraId="276F15B9" w14:textId="6602EFAB" w:rsidR="00C355C7" w:rsidRPr="00954020" w:rsidRDefault="00C355C7" w:rsidP="00C355C7">
            <w:pPr>
              <w:pStyle w:val="Tabletextleft"/>
              <w:cnfStyle w:val="000000000000" w:firstRow="0" w:lastRow="0" w:firstColumn="0" w:lastColumn="0" w:oddVBand="0" w:evenVBand="0" w:oddHBand="0" w:evenHBand="0" w:firstRowFirstColumn="0" w:firstRowLastColumn="0" w:lastRowFirstColumn="0" w:lastRowLastColumn="0"/>
            </w:pPr>
            <w:r w:rsidRPr="00E21009">
              <w:t>25-34</w:t>
            </w:r>
          </w:p>
        </w:tc>
        <w:tc>
          <w:tcPr>
            <w:tcW w:w="659" w:type="dxa"/>
            <w:vAlign w:val="bottom"/>
          </w:tcPr>
          <w:p w14:paraId="6B7E002F" w14:textId="71F6E2FE" w:rsidR="00C355C7" w:rsidRPr="00954020"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954020">
              <w:t>1,911</w:t>
            </w:r>
          </w:p>
        </w:tc>
        <w:tc>
          <w:tcPr>
            <w:tcW w:w="717" w:type="dxa"/>
            <w:vAlign w:val="bottom"/>
          </w:tcPr>
          <w:p w14:paraId="5BD9F060" w14:textId="77777777" w:rsidR="00C355C7" w:rsidRPr="00954020"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954020">
              <w:t>2,143</w:t>
            </w:r>
          </w:p>
        </w:tc>
        <w:tc>
          <w:tcPr>
            <w:tcW w:w="717" w:type="dxa"/>
            <w:vAlign w:val="bottom"/>
          </w:tcPr>
          <w:p w14:paraId="52E782E4" w14:textId="77777777" w:rsidR="00C355C7" w:rsidRPr="00954020"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954020">
              <w:t>2,280</w:t>
            </w:r>
          </w:p>
        </w:tc>
        <w:tc>
          <w:tcPr>
            <w:tcW w:w="717" w:type="dxa"/>
            <w:vAlign w:val="bottom"/>
          </w:tcPr>
          <w:p w14:paraId="169553E0" w14:textId="77777777" w:rsidR="00C355C7" w:rsidRPr="00954020"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954020">
              <w:t>2,361</w:t>
            </w:r>
          </w:p>
        </w:tc>
        <w:tc>
          <w:tcPr>
            <w:tcW w:w="717" w:type="dxa"/>
            <w:vAlign w:val="bottom"/>
          </w:tcPr>
          <w:p w14:paraId="79BF7331" w14:textId="77777777" w:rsidR="00C355C7" w:rsidRPr="00954020"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954020">
              <w:t>2,101</w:t>
            </w:r>
          </w:p>
        </w:tc>
        <w:tc>
          <w:tcPr>
            <w:tcW w:w="717" w:type="dxa"/>
            <w:vAlign w:val="center"/>
          </w:tcPr>
          <w:p w14:paraId="40B30F32" w14:textId="77777777" w:rsidR="00C355C7" w:rsidRPr="00954020"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954020">
              <w:t>559</w:t>
            </w:r>
          </w:p>
        </w:tc>
        <w:tc>
          <w:tcPr>
            <w:tcW w:w="717" w:type="dxa"/>
            <w:vAlign w:val="center"/>
          </w:tcPr>
          <w:p w14:paraId="305AB653" w14:textId="77777777" w:rsidR="00C355C7" w:rsidRPr="00954020"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954020">
              <w:t>545</w:t>
            </w:r>
          </w:p>
        </w:tc>
      </w:tr>
      <w:tr w:rsidR="00E92518" w:rsidRPr="005B734B" w14:paraId="6D5C8A7D" w14:textId="77777777" w:rsidTr="00E92518">
        <w:tc>
          <w:tcPr>
            <w:cnfStyle w:val="001000000000" w:firstRow="0" w:lastRow="0" w:firstColumn="1" w:lastColumn="0" w:oddVBand="0" w:evenVBand="0" w:oddHBand="0" w:evenHBand="0" w:firstRowFirstColumn="0" w:firstRowLastColumn="0" w:lastRowFirstColumn="0" w:lastRowLastColumn="0"/>
            <w:tcW w:w="1542" w:type="dxa"/>
            <w:vMerge/>
          </w:tcPr>
          <w:p w14:paraId="6BD283D5" w14:textId="77777777" w:rsidR="00C355C7" w:rsidRPr="005B734B" w:rsidRDefault="00C355C7" w:rsidP="00C355C7"/>
        </w:tc>
        <w:tc>
          <w:tcPr>
            <w:tcW w:w="3420" w:type="dxa"/>
          </w:tcPr>
          <w:p w14:paraId="1F5424B1" w14:textId="19B1531B" w:rsidR="00C355C7" w:rsidRPr="00954020" w:rsidRDefault="00C355C7" w:rsidP="00C355C7">
            <w:pPr>
              <w:pStyle w:val="Tabletextleft"/>
              <w:cnfStyle w:val="000000000000" w:firstRow="0" w:lastRow="0" w:firstColumn="0" w:lastColumn="0" w:oddVBand="0" w:evenVBand="0" w:oddHBand="0" w:evenHBand="0" w:firstRowFirstColumn="0" w:firstRowLastColumn="0" w:lastRowFirstColumn="0" w:lastRowLastColumn="0"/>
            </w:pPr>
            <w:r w:rsidRPr="00E21009">
              <w:t>35-44</w:t>
            </w:r>
          </w:p>
        </w:tc>
        <w:tc>
          <w:tcPr>
            <w:tcW w:w="659" w:type="dxa"/>
            <w:vAlign w:val="bottom"/>
          </w:tcPr>
          <w:p w14:paraId="061882A9" w14:textId="6BA11FF7" w:rsidR="00C355C7" w:rsidRPr="00954020"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954020">
              <w:t>1,334</w:t>
            </w:r>
          </w:p>
        </w:tc>
        <w:tc>
          <w:tcPr>
            <w:tcW w:w="717" w:type="dxa"/>
            <w:vAlign w:val="bottom"/>
          </w:tcPr>
          <w:p w14:paraId="75593FAB" w14:textId="77777777" w:rsidR="00C355C7" w:rsidRPr="00954020"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954020">
              <w:t>1,500</w:t>
            </w:r>
          </w:p>
        </w:tc>
        <w:tc>
          <w:tcPr>
            <w:tcW w:w="717" w:type="dxa"/>
            <w:vAlign w:val="bottom"/>
          </w:tcPr>
          <w:p w14:paraId="7BEC7EC0" w14:textId="77777777" w:rsidR="00C355C7" w:rsidRPr="00954020"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954020">
              <w:t>1,648</w:t>
            </w:r>
          </w:p>
        </w:tc>
        <w:tc>
          <w:tcPr>
            <w:tcW w:w="717" w:type="dxa"/>
            <w:vAlign w:val="bottom"/>
          </w:tcPr>
          <w:p w14:paraId="3AC780DD" w14:textId="77777777" w:rsidR="00C355C7" w:rsidRPr="00954020"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954020">
              <w:t>1,715</w:t>
            </w:r>
          </w:p>
        </w:tc>
        <w:tc>
          <w:tcPr>
            <w:tcW w:w="717" w:type="dxa"/>
            <w:vAlign w:val="bottom"/>
          </w:tcPr>
          <w:p w14:paraId="12A77488" w14:textId="77777777" w:rsidR="00C355C7" w:rsidRPr="00954020"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954020">
              <w:t>1,642</w:t>
            </w:r>
          </w:p>
        </w:tc>
        <w:tc>
          <w:tcPr>
            <w:tcW w:w="717" w:type="dxa"/>
            <w:vAlign w:val="center"/>
          </w:tcPr>
          <w:p w14:paraId="3D2E3B81" w14:textId="77777777" w:rsidR="00C355C7" w:rsidRPr="00954020"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954020">
              <w:t>479</w:t>
            </w:r>
          </w:p>
        </w:tc>
        <w:tc>
          <w:tcPr>
            <w:tcW w:w="717" w:type="dxa"/>
            <w:vAlign w:val="center"/>
          </w:tcPr>
          <w:p w14:paraId="31ADA340" w14:textId="77777777" w:rsidR="00C355C7" w:rsidRPr="00954020"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954020">
              <w:t>451</w:t>
            </w:r>
          </w:p>
        </w:tc>
      </w:tr>
      <w:tr w:rsidR="00E92518" w:rsidRPr="005B734B" w14:paraId="78523D0A" w14:textId="77777777" w:rsidTr="00E92518">
        <w:tc>
          <w:tcPr>
            <w:cnfStyle w:val="001000000000" w:firstRow="0" w:lastRow="0" w:firstColumn="1" w:lastColumn="0" w:oddVBand="0" w:evenVBand="0" w:oddHBand="0" w:evenHBand="0" w:firstRowFirstColumn="0" w:firstRowLastColumn="0" w:lastRowFirstColumn="0" w:lastRowLastColumn="0"/>
            <w:tcW w:w="1542" w:type="dxa"/>
            <w:vMerge/>
          </w:tcPr>
          <w:p w14:paraId="1239DF1D" w14:textId="77777777" w:rsidR="00C355C7" w:rsidRPr="005B734B" w:rsidRDefault="00C355C7" w:rsidP="00C355C7"/>
        </w:tc>
        <w:tc>
          <w:tcPr>
            <w:tcW w:w="3420" w:type="dxa"/>
          </w:tcPr>
          <w:p w14:paraId="6302693C" w14:textId="42CE006F" w:rsidR="00C355C7" w:rsidRPr="005B734B" w:rsidRDefault="00C355C7" w:rsidP="00C355C7">
            <w:pPr>
              <w:pStyle w:val="Tabletextleft"/>
              <w:cnfStyle w:val="000000000000" w:firstRow="0" w:lastRow="0" w:firstColumn="0" w:lastColumn="0" w:oddVBand="0" w:evenVBand="0" w:oddHBand="0" w:evenHBand="0" w:firstRowFirstColumn="0" w:firstRowLastColumn="0" w:lastRowFirstColumn="0" w:lastRowLastColumn="0"/>
            </w:pPr>
            <w:r w:rsidRPr="00E21009">
              <w:t>45+</w:t>
            </w:r>
          </w:p>
        </w:tc>
        <w:tc>
          <w:tcPr>
            <w:tcW w:w="659" w:type="dxa"/>
            <w:vAlign w:val="bottom"/>
          </w:tcPr>
          <w:p w14:paraId="51311F32" w14:textId="7A106BBF"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1,222</w:t>
            </w:r>
          </w:p>
        </w:tc>
        <w:tc>
          <w:tcPr>
            <w:tcW w:w="717" w:type="dxa"/>
            <w:vAlign w:val="bottom"/>
          </w:tcPr>
          <w:p w14:paraId="64869BD3"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1,264</w:t>
            </w:r>
          </w:p>
        </w:tc>
        <w:tc>
          <w:tcPr>
            <w:tcW w:w="717" w:type="dxa"/>
            <w:vAlign w:val="bottom"/>
          </w:tcPr>
          <w:p w14:paraId="1B14E59D"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1,406</w:t>
            </w:r>
          </w:p>
        </w:tc>
        <w:tc>
          <w:tcPr>
            <w:tcW w:w="717" w:type="dxa"/>
            <w:vAlign w:val="bottom"/>
          </w:tcPr>
          <w:p w14:paraId="0BB98A76"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1,547</w:t>
            </w:r>
          </w:p>
        </w:tc>
        <w:tc>
          <w:tcPr>
            <w:tcW w:w="717" w:type="dxa"/>
            <w:vAlign w:val="bottom"/>
          </w:tcPr>
          <w:p w14:paraId="68017CD9"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1,437</w:t>
            </w:r>
          </w:p>
        </w:tc>
        <w:tc>
          <w:tcPr>
            <w:tcW w:w="717" w:type="dxa"/>
            <w:vAlign w:val="center"/>
          </w:tcPr>
          <w:p w14:paraId="1C1F8293"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369</w:t>
            </w:r>
          </w:p>
        </w:tc>
        <w:tc>
          <w:tcPr>
            <w:tcW w:w="717" w:type="dxa"/>
            <w:vAlign w:val="bottom"/>
          </w:tcPr>
          <w:p w14:paraId="7FE110E6"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383</w:t>
            </w:r>
          </w:p>
        </w:tc>
      </w:tr>
      <w:tr w:rsidR="00E92518" w:rsidRPr="005B734B" w14:paraId="4533B8C7" w14:textId="77777777" w:rsidTr="00E92518">
        <w:tc>
          <w:tcPr>
            <w:cnfStyle w:val="001000000000" w:firstRow="0" w:lastRow="0" w:firstColumn="1" w:lastColumn="0" w:oddVBand="0" w:evenVBand="0" w:oddHBand="0" w:evenHBand="0" w:firstRowFirstColumn="0" w:firstRowLastColumn="0" w:lastRowFirstColumn="0" w:lastRowLastColumn="0"/>
            <w:tcW w:w="1542" w:type="dxa"/>
            <w:vMerge w:val="restart"/>
          </w:tcPr>
          <w:p w14:paraId="05FCA1A5" w14:textId="77777777" w:rsidR="00C355C7" w:rsidRPr="00A701C6" w:rsidRDefault="00C355C7" w:rsidP="00C355C7">
            <w:pPr>
              <w:pStyle w:val="Tabletextleft"/>
              <w:rPr>
                <w:rStyle w:val="Strong"/>
              </w:rPr>
            </w:pPr>
            <w:r w:rsidRPr="00A701C6">
              <w:rPr>
                <w:rStyle w:val="Strong"/>
              </w:rPr>
              <w:t>Mean age at diagnosis</w:t>
            </w:r>
          </w:p>
          <w:p w14:paraId="3A0E0E35" w14:textId="4194FEB9" w:rsidR="00C355C7" w:rsidRPr="005B734B" w:rsidRDefault="00C355C7" w:rsidP="00C355C7">
            <w:pPr>
              <w:pStyle w:val="Tabletextright0"/>
            </w:pPr>
          </w:p>
        </w:tc>
        <w:tc>
          <w:tcPr>
            <w:tcW w:w="3420" w:type="dxa"/>
          </w:tcPr>
          <w:p w14:paraId="0B8A4957" w14:textId="425A9010" w:rsidR="00C355C7" w:rsidRDefault="00C355C7" w:rsidP="00C355C7">
            <w:pPr>
              <w:pStyle w:val="Tabletextleft"/>
              <w:cnfStyle w:val="000000000000" w:firstRow="0" w:lastRow="0" w:firstColumn="0" w:lastColumn="0" w:oddVBand="0" w:evenVBand="0" w:oddHBand="0" w:evenHBand="0" w:firstRowFirstColumn="0" w:firstRowLastColumn="0" w:lastRowFirstColumn="0" w:lastRowLastColumn="0"/>
            </w:pPr>
            <w:r w:rsidRPr="00E84572">
              <w:t>Female</w:t>
            </w:r>
          </w:p>
        </w:tc>
        <w:tc>
          <w:tcPr>
            <w:tcW w:w="659" w:type="dxa"/>
          </w:tcPr>
          <w:p w14:paraId="6BFD2B78" w14:textId="2B5C9C13"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30</w:t>
            </w:r>
          </w:p>
        </w:tc>
        <w:tc>
          <w:tcPr>
            <w:tcW w:w="717" w:type="dxa"/>
          </w:tcPr>
          <w:p w14:paraId="55F7F8A5" w14:textId="0FCFF75E"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30</w:t>
            </w:r>
          </w:p>
        </w:tc>
        <w:tc>
          <w:tcPr>
            <w:tcW w:w="717" w:type="dxa"/>
          </w:tcPr>
          <w:p w14:paraId="28EAE11C" w14:textId="2AF7D8AF"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31</w:t>
            </w:r>
          </w:p>
        </w:tc>
        <w:tc>
          <w:tcPr>
            <w:tcW w:w="717" w:type="dxa"/>
          </w:tcPr>
          <w:p w14:paraId="5D244591" w14:textId="24A70DE1"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32</w:t>
            </w:r>
          </w:p>
        </w:tc>
        <w:tc>
          <w:tcPr>
            <w:tcW w:w="717" w:type="dxa"/>
          </w:tcPr>
          <w:p w14:paraId="7C8F2510" w14:textId="30F1A87D"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33</w:t>
            </w:r>
          </w:p>
        </w:tc>
        <w:tc>
          <w:tcPr>
            <w:tcW w:w="717" w:type="dxa"/>
          </w:tcPr>
          <w:p w14:paraId="4ADE0FE6" w14:textId="50258374" w:rsidR="00C355C7" w:rsidRPr="00954020"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954020">
              <w:t>33</w:t>
            </w:r>
          </w:p>
        </w:tc>
        <w:tc>
          <w:tcPr>
            <w:tcW w:w="717" w:type="dxa"/>
          </w:tcPr>
          <w:p w14:paraId="69F05D2F" w14:textId="4EDB5031" w:rsidR="00C355C7" w:rsidRPr="007D69DE"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7D69DE">
              <w:t>34</w:t>
            </w:r>
          </w:p>
        </w:tc>
      </w:tr>
      <w:tr w:rsidR="00E92518" w:rsidRPr="005B734B" w14:paraId="6FD6611F" w14:textId="77777777" w:rsidTr="00E92518">
        <w:tc>
          <w:tcPr>
            <w:cnfStyle w:val="001000000000" w:firstRow="0" w:lastRow="0" w:firstColumn="1" w:lastColumn="0" w:oddVBand="0" w:evenVBand="0" w:oddHBand="0" w:evenHBand="0" w:firstRowFirstColumn="0" w:firstRowLastColumn="0" w:lastRowFirstColumn="0" w:lastRowLastColumn="0"/>
            <w:tcW w:w="1542" w:type="dxa"/>
            <w:vMerge/>
          </w:tcPr>
          <w:p w14:paraId="6C4488ED" w14:textId="77777777" w:rsidR="00C355C7" w:rsidRPr="005B734B" w:rsidRDefault="00C355C7" w:rsidP="00C355C7"/>
        </w:tc>
        <w:tc>
          <w:tcPr>
            <w:tcW w:w="3420" w:type="dxa"/>
          </w:tcPr>
          <w:p w14:paraId="623B04F5" w14:textId="2755950C" w:rsidR="00C355C7" w:rsidRPr="005B734B" w:rsidRDefault="00C355C7" w:rsidP="00C355C7">
            <w:pPr>
              <w:pStyle w:val="Tabletextleft"/>
              <w:cnfStyle w:val="000000000000" w:firstRow="0" w:lastRow="0" w:firstColumn="0" w:lastColumn="0" w:oddVBand="0" w:evenVBand="0" w:oddHBand="0" w:evenHBand="0" w:firstRowFirstColumn="0" w:firstRowLastColumn="0" w:lastRowFirstColumn="0" w:lastRowLastColumn="0"/>
            </w:pPr>
            <w:r w:rsidRPr="00E84572">
              <w:t>Male</w:t>
            </w:r>
          </w:p>
        </w:tc>
        <w:tc>
          <w:tcPr>
            <w:tcW w:w="659" w:type="dxa"/>
          </w:tcPr>
          <w:p w14:paraId="1C45D5C0" w14:textId="532C36B1"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37</w:t>
            </w:r>
          </w:p>
        </w:tc>
        <w:tc>
          <w:tcPr>
            <w:tcW w:w="717" w:type="dxa"/>
          </w:tcPr>
          <w:p w14:paraId="3E25DEB9"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37</w:t>
            </w:r>
          </w:p>
        </w:tc>
        <w:tc>
          <w:tcPr>
            <w:tcW w:w="717" w:type="dxa"/>
          </w:tcPr>
          <w:p w14:paraId="4DDE2CFB"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38</w:t>
            </w:r>
          </w:p>
        </w:tc>
        <w:tc>
          <w:tcPr>
            <w:tcW w:w="717" w:type="dxa"/>
          </w:tcPr>
          <w:p w14:paraId="5F7087DA"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38</w:t>
            </w:r>
          </w:p>
        </w:tc>
        <w:tc>
          <w:tcPr>
            <w:tcW w:w="717" w:type="dxa"/>
          </w:tcPr>
          <w:p w14:paraId="7B189AE5"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38</w:t>
            </w:r>
          </w:p>
        </w:tc>
        <w:tc>
          <w:tcPr>
            <w:tcW w:w="717" w:type="dxa"/>
          </w:tcPr>
          <w:p w14:paraId="79FB4830" w14:textId="77777777" w:rsidR="00C355C7" w:rsidRPr="00954020"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954020">
              <w:t>38</w:t>
            </w:r>
          </w:p>
        </w:tc>
        <w:tc>
          <w:tcPr>
            <w:tcW w:w="717" w:type="dxa"/>
          </w:tcPr>
          <w:p w14:paraId="380D432A" w14:textId="77777777" w:rsidR="00C355C7" w:rsidRPr="007D69DE"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7D69DE">
              <w:t>39</w:t>
            </w:r>
          </w:p>
        </w:tc>
      </w:tr>
      <w:tr w:rsidR="00E92518" w:rsidRPr="005B734B" w14:paraId="562F1965" w14:textId="77777777" w:rsidTr="00E92518">
        <w:tc>
          <w:tcPr>
            <w:cnfStyle w:val="001000000000" w:firstRow="0" w:lastRow="0" w:firstColumn="1" w:lastColumn="0" w:oddVBand="0" w:evenVBand="0" w:oddHBand="0" w:evenHBand="0" w:firstRowFirstColumn="0" w:firstRowLastColumn="0" w:lastRowFirstColumn="0" w:lastRowLastColumn="0"/>
            <w:tcW w:w="1542" w:type="dxa"/>
            <w:vMerge/>
          </w:tcPr>
          <w:p w14:paraId="0E58CB51" w14:textId="77777777" w:rsidR="00C355C7" w:rsidRPr="005B734B" w:rsidRDefault="00C355C7" w:rsidP="00C355C7"/>
        </w:tc>
        <w:tc>
          <w:tcPr>
            <w:tcW w:w="3420" w:type="dxa"/>
          </w:tcPr>
          <w:p w14:paraId="07AA4F32" w14:textId="1943C208" w:rsidR="00C355C7" w:rsidRPr="005B734B" w:rsidRDefault="00C355C7" w:rsidP="00C355C7">
            <w:pPr>
              <w:pStyle w:val="Tabletextleft"/>
              <w:cnfStyle w:val="000000000000" w:firstRow="0" w:lastRow="0" w:firstColumn="0" w:lastColumn="0" w:oddVBand="0" w:evenVBand="0" w:oddHBand="0" w:evenHBand="0" w:firstRowFirstColumn="0" w:firstRowLastColumn="0" w:lastRowFirstColumn="0" w:lastRowLastColumn="0"/>
            </w:pPr>
            <w:r w:rsidRPr="00E84572">
              <w:t>Overall</w:t>
            </w:r>
          </w:p>
        </w:tc>
        <w:tc>
          <w:tcPr>
            <w:tcW w:w="659" w:type="dxa"/>
          </w:tcPr>
          <w:p w14:paraId="7F7C8903" w14:textId="0D3A10FC"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36</w:t>
            </w:r>
          </w:p>
        </w:tc>
        <w:tc>
          <w:tcPr>
            <w:tcW w:w="717" w:type="dxa"/>
          </w:tcPr>
          <w:p w14:paraId="67A126D5"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36</w:t>
            </w:r>
          </w:p>
        </w:tc>
        <w:tc>
          <w:tcPr>
            <w:tcW w:w="717" w:type="dxa"/>
          </w:tcPr>
          <w:p w14:paraId="2C5BA534"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36</w:t>
            </w:r>
          </w:p>
        </w:tc>
        <w:tc>
          <w:tcPr>
            <w:tcW w:w="717" w:type="dxa"/>
          </w:tcPr>
          <w:p w14:paraId="52DD7DFA"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37</w:t>
            </w:r>
          </w:p>
        </w:tc>
        <w:tc>
          <w:tcPr>
            <w:tcW w:w="717" w:type="dxa"/>
          </w:tcPr>
          <w:p w14:paraId="1636C19B"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37</w:t>
            </w:r>
          </w:p>
        </w:tc>
        <w:tc>
          <w:tcPr>
            <w:tcW w:w="717" w:type="dxa"/>
          </w:tcPr>
          <w:p w14:paraId="4DAE0C5B" w14:textId="77777777" w:rsidR="00C355C7" w:rsidRPr="00954020"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954020">
              <w:t>37</w:t>
            </w:r>
          </w:p>
        </w:tc>
        <w:tc>
          <w:tcPr>
            <w:tcW w:w="717" w:type="dxa"/>
          </w:tcPr>
          <w:p w14:paraId="291CEFFA" w14:textId="77777777" w:rsidR="00C355C7" w:rsidRPr="007D69DE"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7D69DE">
              <w:t>38</w:t>
            </w:r>
          </w:p>
        </w:tc>
      </w:tr>
      <w:tr w:rsidR="00E92518" w:rsidRPr="005B734B" w14:paraId="47F209EB" w14:textId="77777777" w:rsidTr="00E92518">
        <w:tc>
          <w:tcPr>
            <w:cnfStyle w:val="001000000000" w:firstRow="0" w:lastRow="0" w:firstColumn="1" w:lastColumn="0" w:oddVBand="0" w:evenVBand="0" w:oddHBand="0" w:evenHBand="0" w:firstRowFirstColumn="0" w:firstRowLastColumn="0" w:lastRowFirstColumn="0" w:lastRowLastColumn="0"/>
            <w:tcW w:w="1542" w:type="dxa"/>
            <w:vMerge w:val="restart"/>
          </w:tcPr>
          <w:p w14:paraId="67EE0DC8" w14:textId="77777777" w:rsidR="00C355C7" w:rsidRPr="00A701C6" w:rsidRDefault="00C355C7" w:rsidP="00C355C7">
            <w:pPr>
              <w:pStyle w:val="Tabletextleft"/>
              <w:rPr>
                <w:rStyle w:val="Strong"/>
              </w:rPr>
            </w:pPr>
            <w:r w:rsidRPr="00A701C6">
              <w:rPr>
                <w:rStyle w:val="Strong"/>
              </w:rPr>
              <w:t>Indigenous status</w:t>
            </w:r>
          </w:p>
          <w:p w14:paraId="09B6291F" w14:textId="5B7ECAD3" w:rsidR="00C355C7" w:rsidRPr="005B734B" w:rsidRDefault="00C355C7" w:rsidP="00C355C7">
            <w:pPr>
              <w:pStyle w:val="Tabletextright0"/>
            </w:pPr>
          </w:p>
        </w:tc>
        <w:tc>
          <w:tcPr>
            <w:tcW w:w="3420" w:type="dxa"/>
          </w:tcPr>
          <w:p w14:paraId="206AD4AB" w14:textId="60F1D9B5" w:rsidR="00C355C7" w:rsidRDefault="00C355C7" w:rsidP="00C355C7">
            <w:pPr>
              <w:pStyle w:val="Tabletextleft"/>
              <w:cnfStyle w:val="000000000000" w:firstRow="0" w:lastRow="0" w:firstColumn="0" w:lastColumn="0" w:oddVBand="0" w:evenVBand="0" w:oddHBand="0" w:evenHBand="0" w:firstRowFirstColumn="0" w:firstRowLastColumn="0" w:lastRowFirstColumn="0" w:lastRowLastColumn="0"/>
            </w:pPr>
            <w:r w:rsidRPr="00A90511">
              <w:t>Aboriginal and Torres Strait Islander</w:t>
            </w:r>
          </w:p>
        </w:tc>
        <w:tc>
          <w:tcPr>
            <w:tcW w:w="659" w:type="dxa"/>
            <w:vAlign w:val="bottom"/>
          </w:tcPr>
          <w:p w14:paraId="2C544648" w14:textId="73CF7016"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929</w:t>
            </w:r>
          </w:p>
        </w:tc>
        <w:tc>
          <w:tcPr>
            <w:tcW w:w="717" w:type="dxa"/>
            <w:vAlign w:val="bottom"/>
          </w:tcPr>
          <w:p w14:paraId="3818FE97"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1,004</w:t>
            </w:r>
          </w:p>
        </w:tc>
        <w:tc>
          <w:tcPr>
            <w:tcW w:w="717" w:type="dxa"/>
            <w:vAlign w:val="bottom"/>
          </w:tcPr>
          <w:p w14:paraId="31EBB6CE"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1,019</w:t>
            </w:r>
          </w:p>
        </w:tc>
        <w:tc>
          <w:tcPr>
            <w:tcW w:w="717" w:type="dxa"/>
            <w:vAlign w:val="bottom"/>
          </w:tcPr>
          <w:p w14:paraId="3AD0CF68"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1,062</w:t>
            </w:r>
          </w:p>
        </w:tc>
        <w:tc>
          <w:tcPr>
            <w:tcW w:w="717" w:type="dxa"/>
            <w:shd w:val="clear" w:color="000000" w:fill="FFFFFF"/>
            <w:vAlign w:val="bottom"/>
          </w:tcPr>
          <w:p w14:paraId="77B1A910"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1,002</w:t>
            </w:r>
          </w:p>
        </w:tc>
        <w:tc>
          <w:tcPr>
            <w:tcW w:w="717" w:type="dxa"/>
            <w:shd w:val="clear" w:color="000000" w:fill="FFFFFF"/>
            <w:vAlign w:val="center"/>
          </w:tcPr>
          <w:p w14:paraId="70A5314F"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323</w:t>
            </w:r>
          </w:p>
        </w:tc>
        <w:tc>
          <w:tcPr>
            <w:tcW w:w="717" w:type="dxa"/>
            <w:shd w:val="clear" w:color="000000" w:fill="FFFFFF"/>
            <w:vAlign w:val="center"/>
          </w:tcPr>
          <w:p w14:paraId="16334530"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274</w:t>
            </w:r>
          </w:p>
        </w:tc>
      </w:tr>
      <w:tr w:rsidR="00E92518" w:rsidRPr="005B734B" w14:paraId="36CC1A74" w14:textId="77777777" w:rsidTr="00E92518">
        <w:tc>
          <w:tcPr>
            <w:cnfStyle w:val="001000000000" w:firstRow="0" w:lastRow="0" w:firstColumn="1" w:lastColumn="0" w:oddVBand="0" w:evenVBand="0" w:oddHBand="0" w:evenHBand="0" w:firstRowFirstColumn="0" w:firstRowLastColumn="0" w:lastRowFirstColumn="0" w:lastRowLastColumn="0"/>
            <w:tcW w:w="1542" w:type="dxa"/>
            <w:vMerge/>
          </w:tcPr>
          <w:p w14:paraId="2B736127" w14:textId="77777777" w:rsidR="00C355C7" w:rsidRPr="005B734B" w:rsidRDefault="00C355C7" w:rsidP="00C355C7"/>
        </w:tc>
        <w:tc>
          <w:tcPr>
            <w:tcW w:w="3420" w:type="dxa"/>
          </w:tcPr>
          <w:p w14:paraId="2B2767D2" w14:textId="3939F1A9" w:rsidR="00C355C7" w:rsidRPr="005B734B" w:rsidRDefault="00C355C7" w:rsidP="00C355C7">
            <w:pPr>
              <w:pStyle w:val="Tabletextleft"/>
              <w:cnfStyle w:val="000000000000" w:firstRow="0" w:lastRow="0" w:firstColumn="0" w:lastColumn="0" w:oddVBand="0" w:evenVBand="0" w:oddHBand="0" w:evenHBand="0" w:firstRowFirstColumn="0" w:firstRowLastColumn="0" w:lastRowFirstColumn="0" w:lastRowLastColumn="0"/>
            </w:pPr>
            <w:r w:rsidRPr="00A90511">
              <w:t>Non-Indigenous</w:t>
            </w:r>
          </w:p>
        </w:tc>
        <w:tc>
          <w:tcPr>
            <w:tcW w:w="659" w:type="dxa"/>
            <w:vAlign w:val="bottom"/>
          </w:tcPr>
          <w:p w14:paraId="5E7B7F4F" w14:textId="3D6D74D2"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4,239</w:t>
            </w:r>
          </w:p>
        </w:tc>
        <w:tc>
          <w:tcPr>
            <w:tcW w:w="717" w:type="dxa"/>
            <w:vAlign w:val="bottom"/>
          </w:tcPr>
          <w:p w14:paraId="42CFD842"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4,481</w:t>
            </w:r>
          </w:p>
        </w:tc>
        <w:tc>
          <w:tcPr>
            <w:tcW w:w="717" w:type="dxa"/>
            <w:vAlign w:val="bottom"/>
          </w:tcPr>
          <w:p w14:paraId="3AA83EA8"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4,659</w:t>
            </w:r>
          </w:p>
        </w:tc>
        <w:tc>
          <w:tcPr>
            <w:tcW w:w="717" w:type="dxa"/>
            <w:vAlign w:val="bottom"/>
          </w:tcPr>
          <w:p w14:paraId="63789556"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5,123</w:t>
            </w:r>
          </w:p>
        </w:tc>
        <w:tc>
          <w:tcPr>
            <w:tcW w:w="717" w:type="dxa"/>
            <w:shd w:val="clear" w:color="000000" w:fill="FFFFFF"/>
            <w:vAlign w:val="bottom"/>
          </w:tcPr>
          <w:p w14:paraId="2405EA12"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4,646</w:t>
            </w:r>
          </w:p>
        </w:tc>
        <w:tc>
          <w:tcPr>
            <w:tcW w:w="717" w:type="dxa"/>
            <w:shd w:val="clear" w:color="000000" w:fill="FFFFFF"/>
            <w:vAlign w:val="center"/>
          </w:tcPr>
          <w:p w14:paraId="5C384AFA" w14:textId="77777777" w:rsidR="00C355C7"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p>
          <w:p w14:paraId="11F1889D" w14:textId="3336E692"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1,187</w:t>
            </w:r>
          </w:p>
        </w:tc>
        <w:tc>
          <w:tcPr>
            <w:tcW w:w="717" w:type="dxa"/>
            <w:shd w:val="clear" w:color="000000" w:fill="FFFFFF"/>
            <w:vAlign w:val="center"/>
          </w:tcPr>
          <w:p w14:paraId="2066777A" w14:textId="77777777" w:rsidR="00C355C7"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p>
          <w:p w14:paraId="7A129ADD" w14:textId="76A12DC9"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1,159</w:t>
            </w:r>
          </w:p>
        </w:tc>
      </w:tr>
      <w:tr w:rsidR="00E92518" w:rsidRPr="005B734B" w14:paraId="262EE4E3" w14:textId="77777777" w:rsidTr="00E92518">
        <w:tc>
          <w:tcPr>
            <w:cnfStyle w:val="001000000000" w:firstRow="0" w:lastRow="0" w:firstColumn="1" w:lastColumn="0" w:oddVBand="0" w:evenVBand="0" w:oddHBand="0" w:evenHBand="0" w:firstRowFirstColumn="0" w:firstRowLastColumn="0" w:lastRowFirstColumn="0" w:lastRowLastColumn="0"/>
            <w:tcW w:w="1542" w:type="dxa"/>
            <w:vMerge/>
          </w:tcPr>
          <w:p w14:paraId="4F1FABE2" w14:textId="77777777" w:rsidR="00C355C7" w:rsidRPr="005B734B" w:rsidRDefault="00C355C7" w:rsidP="00C355C7"/>
        </w:tc>
        <w:tc>
          <w:tcPr>
            <w:tcW w:w="3420" w:type="dxa"/>
          </w:tcPr>
          <w:p w14:paraId="5B1CA8AA" w14:textId="7EF8B25D" w:rsidR="00C355C7" w:rsidRPr="005B734B" w:rsidRDefault="00C355C7" w:rsidP="00C355C7">
            <w:pPr>
              <w:pStyle w:val="Tabletextleft"/>
              <w:cnfStyle w:val="000000000000" w:firstRow="0" w:lastRow="0" w:firstColumn="0" w:lastColumn="0" w:oddVBand="0" w:evenVBand="0" w:oddHBand="0" w:evenHBand="0" w:firstRowFirstColumn="0" w:firstRowLastColumn="0" w:lastRowFirstColumn="0" w:lastRowLastColumn="0"/>
            </w:pPr>
            <w:r w:rsidRPr="00A90511">
              <w:t>Not reported</w:t>
            </w:r>
          </w:p>
        </w:tc>
        <w:tc>
          <w:tcPr>
            <w:tcW w:w="659" w:type="dxa"/>
            <w:vAlign w:val="bottom"/>
          </w:tcPr>
          <w:p w14:paraId="0D11CB7B" w14:textId="21C69A5D"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195</w:t>
            </w:r>
          </w:p>
        </w:tc>
        <w:tc>
          <w:tcPr>
            <w:tcW w:w="717" w:type="dxa"/>
            <w:vAlign w:val="bottom"/>
          </w:tcPr>
          <w:p w14:paraId="7EB7E102"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279</w:t>
            </w:r>
          </w:p>
        </w:tc>
        <w:tc>
          <w:tcPr>
            <w:tcW w:w="717" w:type="dxa"/>
            <w:vAlign w:val="bottom"/>
          </w:tcPr>
          <w:p w14:paraId="6F3FF3D3"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509</w:t>
            </w:r>
          </w:p>
        </w:tc>
        <w:tc>
          <w:tcPr>
            <w:tcW w:w="717" w:type="dxa"/>
            <w:vAlign w:val="bottom"/>
          </w:tcPr>
          <w:p w14:paraId="0379C74A"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380</w:t>
            </w:r>
          </w:p>
        </w:tc>
        <w:tc>
          <w:tcPr>
            <w:tcW w:w="717" w:type="dxa"/>
            <w:shd w:val="clear" w:color="000000" w:fill="FFFFFF"/>
            <w:vAlign w:val="bottom"/>
          </w:tcPr>
          <w:p w14:paraId="71DF0911"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323</w:t>
            </w:r>
          </w:p>
        </w:tc>
        <w:tc>
          <w:tcPr>
            <w:tcW w:w="717" w:type="dxa"/>
            <w:shd w:val="clear" w:color="000000" w:fill="FFFFFF"/>
            <w:vAlign w:val="center"/>
          </w:tcPr>
          <w:p w14:paraId="146BD14E"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93</w:t>
            </w:r>
          </w:p>
        </w:tc>
        <w:tc>
          <w:tcPr>
            <w:tcW w:w="717" w:type="dxa"/>
            <w:shd w:val="clear" w:color="000000" w:fill="FFFFFF"/>
            <w:vAlign w:val="center"/>
          </w:tcPr>
          <w:p w14:paraId="07496831" w14:textId="77777777" w:rsidR="00C355C7" w:rsidRPr="00954020"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954020">
              <w:t>117</w:t>
            </w:r>
          </w:p>
        </w:tc>
      </w:tr>
      <w:tr w:rsidR="00E92518" w:rsidRPr="005B734B" w14:paraId="77B375A1" w14:textId="77777777" w:rsidTr="00E92518">
        <w:tc>
          <w:tcPr>
            <w:cnfStyle w:val="001000000000" w:firstRow="0" w:lastRow="0" w:firstColumn="1" w:lastColumn="0" w:oddVBand="0" w:evenVBand="0" w:oddHBand="0" w:evenHBand="0" w:firstRowFirstColumn="0" w:firstRowLastColumn="0" w:lastRowFirstColumn="0" w:lastRowLastColumn="0"/>
            <w:tcW w:w="1542" w:type="dxa"/>
            <w:vMerge w:val="restart"/>
          </w:tcPr>
          <w:p w14:paraId="700F9E12" w14:textId="77777777" w:rsidR="00C355C7" w:rsidRPr="00A701C6" w:rsidRDefault="00C355C7" w:rsidP="00C355C7">
            <w:pPr>
              <w:pStyle w:val="Tabletextleft"/>
              <w:rPr>
                <w:rStyle w:val="Strong"/>
              </w:rPr>
            </w:pPr>
            <w:r w:rsidRPr="00A701C6">
              <w:rPr>
                <w:rStyle w:val="Strong"/>
              </w:rPr>
              <w:t>Remoteness</w:t>
            </w:r>
          </w:p>
          <w:p w14:paraId="30FF1CC0" w14:textId="364FA443" w:rsidR="00C355C7" w:rsidRPr="005B734B" w:rsidRDefault="00C355C7" w:rsidP="00C355C7">
            <w:pPr>
              <w:pStyle w:val="Tabletextright0"/>
            </w:pPr>
          </w:p>
        </w:tc>
        <w:tc>
          <w:tcPr>
            <w:tcW w:w="3420" w:type="dxa"/>
          </w:tcPr>
          <w:p w14:paraId="36B25729" w14:textId="32428FA5" w:rsidR="00C355C7" w:rsidRDefault="00C355C7" w:rsidP="00C355C7">
            <w:pPr>
              <w:pStyle w:val="Tabletextleft"/>
              <w:cnfStyle w:val="000000000000" w:firstRow="0" w:lastRow="0" w:firstColumn="0" w:lastColumn="0" w:oddVBand="0" w:evenVBand="0" w:oddHBand="0" w:evenHBand="0" w:firstRowFirstColumn="0" w:firstRowLastColumn="0" w:lastRowFirstColumn="0" w:lastRowLastColumn="0"/>
            </w:pPr>
            <w:r w:rsidRPr="002D5995">
              <w:t>Major cities</w:t>
            </w:r>
          </w:p>
        </w:tc>
        <w:tc>
          <w:tcPr>
            <w:tcW w:w="659" w:type="dxa"/>
            <w:vAlign w:val="bottom"/>
          </w:tcPr>
          <w:p w14:paraId="60D58969" w14:textId="757F7B83" w:rsidR="00C355C7"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p>
          <w:p w14:paraId="58E10807" w14:textId="61D5C438"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4,085</w:t>
            </w:r>
          </w:p>
        </w:tc>
        <w:tc>
          <w:tcPr>
            <w:tcW w:w="717" w:type="dxa"/>
            <w:vAlign w:val="bottom"/>
          </w:tcPr>
          <w:p w14:paraId="4BFDE875"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4,414</w:t>
            </w:r>
          </w:p>
        </w:tc>
        <w:tc>
          <w:tcPr>
            <w:tcW w:w="717" w:type="dxa"/>
            <w:vAlign w:val="bottom"/>
          </w:tcPr>
          <w:p w14:paraId="66CBAA44"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4,771</w:t>
            </w:r>
          </w:p>
        </w:tc>
        <w:tc>
          <w:tcPr>
            <w:tcW w:w="717" w:type="dxa"/>
            <w:vAlign w:val="bottom"/>
          </w:tcPr>
          <w:p w14:paraId="2E4FE3C5"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4,989</w:t>
            </w:r>
          </w:p>
        </w:tc>
        <w:tc>
          <w:tcPr>
            <w:tcW w:w="717" w:type="dxa"/>
            <w:shd w:val="clear" w:color="000000" w:fill="FFFFFF"/>
            <w:vAlign w:val="bottom"/>
          </w:tcPr>
          <w:p w14:paraId="49E1DA14"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4,480</w:t>
            </w:r>
          </w:p>
        </w:tc>
        <w:tc>
          <w:tcPr>
            <w:tcW w:w="717" w:type="dxa"/>
            <w:shd w:val="clear" w:color="000000" w:fill="FFFFFF"/>
            <w:vAlign w:val="center"/>
          </w:tcPr>
          <w:p w14:paraId="180D20E2" w14:textId="77777777" w:rsidR="00C355C7"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p>
          <w:p w14:paraId="2E82F12D" w14:textId="7B055EA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1,172</w:t>
            </w:r>
          </w:p>
        </w:tc>
        <w:tc>
          <w:tcPr>
            <w:tcW w:w="717" w:type="dxa"/>
            <w:shd w:val="clear" w:color="000000" w:fill="FFFFFF"/>
            <w:vAlign w:val="center"/>
          </w:tcPr>
          <w:p w14:paraId="5BAF1C54" w14:textId="77777777" w:rsidR="00C355C7"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p>
          <w:p w14:paraId="54C72A6D" w14:textId="4AB34D73"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1,134</w:t>
            </w:r>
          </w:p>
        </w:tc>
      </w:tr>
      <w:tr w:rsidR="00E92518" w:rsidRPr="005B734B" w14:paraId="7E1B4CD4" w14:textId="77777777" w:rsidTr="00E92518">
        <w:tc>
          <w:tcPr>
            <w:cnfStyle w:val="001000000000" w:firstRow="0" w:lastRow="0" w:firstColumn="1" w:lastColumn="0" w:oddVBand="0" w:evenVBand="0" w:oddHBand="0" w:evenHBand="0" w:firstRowFirstColumn="0" w:firstRowLastColumn="0" w:lastRowFirstColumn="0" w:lastRowLastColumn="0"/>
            <w:tcW w:w="1542" w:type="dxa"/>
            <w:vMerge/>
          </w:tcPr>
          <w:p w14:paraId="3AB4A01E" w14:textId="77777777" w:rsidR="00C355C7" w:rsidRPr="005B734B" w:rsidRDefault="00C355C7" w:rsidP="00C355C7"/>
        </w:tc>
        <w:tc>
          <w:tcPr>
            <w:tcW w:w="3420" w:type="dxa"/>
          </w:tcPr>
          <w:p w14:paraId="495203F7" w14:textId="3E8D71CD" w:rsidR="00C355C7" w:rsidRPr="005B734B" w:rsidRDefault="00C355C7" w:rsidP="00C355C7">
            <w:pPr>
              <w:pStyle w:val="Tabletextleft"/>
              <w:cnfStyle w:val="000000000000" w:firstRow="0" w:lastRow="0" w:firstColumn="0" w:lastColumn="0" w:oddVBand="0" w:evenVBand="0" w:oddHBand="0" w:evenHBand="0" w:firstRowFirstColumn="0" w:firstRowLastColumn="0" w:lastRowFirstColumn="0" w:lastRowLastColumn="0"/>
            </w:pPr>
            <w:r w:rsidRPr="002D5995">
              <w:t>Inner/outer regional</w:t>
            </w:r>
          </w:p>
        </w:tc>
        <w:tc>
          <w:tcPr>
            <w:tcW w:w="659" w:type="dxa"/>
            <w:vAlign w:val="bottom"/>
          </w:tcPr>
          <w:p w14:paraId="3E6F77D7" w14:textId="72C6A26C"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661</w:t>
            </w:r>
          </w:p>
        </w:tc>
        <w:tc>
          <w:tcPr>
            <w:tcW w:w="717" w:type="dxa"/>
            <w:vAlign w:val="bottom"/>
          </w:tcPr>
          <w:p w14:paraId="55553DE2"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608</w:t>
            </w:r>
          </w:p>
        </w:tc>
        <w:tc>
          <w:tcPr>
            <w:tcW w:w="717" w:type="dxa"/>
            <w:vAlign w:val="bottom"/>
          </w:tcPr>
          <w:p w14:paraId="4233EB95"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755</w:t>
            </w:r>
          </w:p>
        </w:tc>
        <w:tc>
          <w:tcPr>
            <w:tcW w:w="717" w:type="dxa"/>
            <w:vAlign w:val="bottom"/>
          </w:tcPr>
          <w:p w14:paraId="5CE17CDB"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912</w:t>
            </w:r>
          </w:p>
        </w:tc>
        <w:tc>
          <w:tcPr>
            <w:tcW w:w="717" w:type="dxa"/>
            <w:vAlign w:val="bottom"/>
          </w:tcPr>
          <w:p w14:paraId="517FD392"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918</w:t>
            </w:r>
          </w:p>
        </w:tc>
        <w:tc>
          <w:tcPr>
            <w:tcW w:w="717" w:type="dxa"/>
            <w:vAlign w:val="center"/>
          </w:tcPr>
          <w:p w14:paraId="2FE4651A"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240</w:t>
            </w:r>
          </w:p>
        </w:tc>
        <w:tc>
          <w:tcPr>
            <w:tcW w:w="717" w:type="dxa"/>
            <w:vAlign w:val="center"/>
          </w:tcPr>
          <w:p w14:paraId="680760D9"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253</w:t>
            </w:r>
          </w:p>
        </w:tc>
      </w:tr>
      <w:tr w:rsidR="00E92518" w:rsidRPr="005B734B" w14:paraId="74D6B47E" w14:textId="77777777" w:rsidTr="00E92518">
        <w:tc>
          <w:tcPr>
            <w:cnfStyle w:val="001000000000" w:firstRow="0" w:lastRow="0" w:firstColumn="1" w:lastColumn="0" w:oddVBand="0" w:evenVBand="0" w:oddHBand="0" w:evenHBand="0" w:firstRowFirstColumn="0" w:firstRowLastColumn="0" w:lastRowFirstColumn="0" w:lastRowLastColumn="0"/>
            <w:tcW w:w="1542" w:type="dxa"/>
            <w:vMerge/>
          </w:tcPr>
          <w:p w14:paraId="785F65B6" w14:textId="77777777" w:rsidR="00C355C7" w:rsidRPr="005B734B" w:rsidRDefault="00C355C7" w:rsidP="00C355C7"/>
        </w:tc>
        <w:tc>
          <w:tcPr>
            <w:tcW w:w="3420" w:type="dxa"/>
          </w:tcPr>
          <w:p w14:paraId="40B73389" w14:textId="53539C8A" w:rsidR="00C355C7" w:rsidRPr="005B734B" w:rsidRDefault="00C355C7" w:rsidP="00C355C7">
            <w:pPr>
              <w:pStyle w:val="Tabletextleft"/>
              <w:cnfStyle w:val="000000000000" w:firstRow="0" w:lastRow="0" w:firstColumn="0" w:lastColumn="0" w:oddVBand="0" w:evenVBand="0" w:oddHBand="0" w:evenHBand="0" w:firstRowFirstColumn="0" w:firstRowLastColumn="0" w:lastRowFirstColumn="0" w:lastRowLastColumn="0"/>
            </w:pPr>
            <w:r w:rsidRPr="002D5995">
              <w:t>Remote/very remote</w:t>
            </w:r>
          </w:p>
        </w:tc>
        <w:tc>
          <w:tcPr>
            <w:tcW w:w="659" w:type="dxa"/>
            <w:vAlign w:val="bottom"/>
          </w:tcPr>
          <w:p w14:paraId="7ECDEB54" w14:textId="6A6F08F3"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486</w:t>
            </w:r>
          </w:p>
        </w:tc>
        <w:tc>
          <w:tcPr>
            <w:tcW w:w="717" w:type="dxa"/>
            <w:vAlign w:val="bottom"/>
          </w:tcPr>
          <w:p w14:paraId="3CC9EB3A"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573</w:t>
            </w:r>
          </w:p>
        </w:tc>
        <w:tc>
          <w:tcPr>
            <w:tcW w:w="717" w:type="dxa"/>
            <w:vAlign w:val="bottom"/>
          </w:tcPr>
          <w:p w14:paraId="2951F7B3"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463</w:t>
            </w:r>
          </w:p>
        </w:tc>
        <w:tc>
          <w:tcPr>
            <w:tcW w:w="717" w:type="dxa"/>
            <w:vAlign w:val="bottom"/>
          </w:tcPr>
          <w:p w14:paraId="48984985"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470</w:t>
            </w:r>
          </w:p>
        </w:tc>
        <w:tc>
          <w:tcPr>
            <w:tcW w:w="717" w:type="dxa"/>
            <w:vAlign w:val="bottom"/>
          </w:tcPr>
          <w:p w14:paraId="154955B3"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409</w:t>
            </w:r>
          </w:p>
        </w:tc>
        <w:tc>
          <w:tcPr>
            <w:tcW w:w="717" w:type="dxa"/>
            <w:vAlign w:val="center"/>
          </w:tcPr>
          <w:p w14:paraId="39697A76"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136</w:t>
            </w:r>
          </w:p>
        </w:tc>
        <w:tc>
          <w:tcPr>
            <w:tcW w:w="717" w:type="dxa"/>
            <w:vAlign w:val="center"/>
          </w:tcPr>
          <w:p w14:paraId="1E8BD0D1"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121</w:t>
            </w:r>
          </w:p>
        </w:tc>
      </w:tr>
      <w:tr w:rsidR="00E92518" w:rsidRPr="005B734B" w14:paraId="72BC5657" w14:textId="77777777" w:rsidTr="00E92518">
        <w:tc>
          <w:tcPr>
            <w:cnfStyle w:val="001000000000" w:firstRow="0" w:lastRow="0" w:firstColumn="1" w:lastColumn="0" w:oddVBand="0" w:evenVBand="0" w:oddHBand="0" w:evenHBand="0" w:firstRowFirstColumn="0" w:firstRowLastColumn="0" w:lastRowFirstColumn="0" w:lastRowLastColumn="0"/>
            <w:tcW w:w="1542" w:type="dxa"/>
            <w:vMerge/>
          </w:tcPr>
          <w:p w14:paraId="6BD74C6B" w14:textId="77777777" w:rsidR="00C355C7" w:rsidRPr="005B734B" w:rsidRDefault="00C355C7" w:rsidP="00C355C7"/>
        </w:tc>
        <w:tc>
          <w:tcPr>
            <w:tcW w:w="3420" w:type="dxa"/>
          </w:tcPr>
          <w:p w14:paraId="06D5499C" w14:textId="49A93685" w:rsidR="00C355C7" w:rsidRPr="005B734B" w:rsidRDefault="00C355C7" w:rsidP="00C355C7">
            <w:pPr>
              <w:pStyle w:val="Tabletextleft"/>
              <w:cnfStyle w:val="000000000000" w:firstRow="0" w:lastRow="0" w:firstColumn="0" w:lastColumn="0" w:oddVBand="0" w:evenVBand="0" w:oddHBand="0" w:evenHBand="0" w:firstRowFirstColumn="0" w:firstRowLastColumn="0" w:lastRowFirstColumn="0" w:lastRowLastColumn="0"/>
            </w:pPr>
            <w:r w:rsidRPr="002D5995">
              <w:t>Not reported/Overseas resident</w:t>
            </w:r>
          </w:p>
        </w:tc>
        <w:tc>
          <w:tcPr>
            <w:tcW w:w="659" w:type="dxa"/>
            <w:vAlign w:val="bottom"/>
          </w:tcPr>
          <w:p w14:paraId="3D9B8E72" w14:textId="4F40DFC4"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131</w:t>
            </w:r>
          </w:p>
        </w:tc>
        <w:tc>
          <w:tcPr>
            <w:tcW w:w="717" w:type="dxa"/>
            <w:vAlign w:val="bottom"/>
          </w:tcPr>
          <w:p w14:paraId="13B482B5"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169</w:t>
            </w:r>
          </w:p>
        </w:tc>
        <w:tc>
          <w:tcPr>
            <w:tcW w:w="717" w:type="dxa"/>
            <w:vAlign w:val="bottom"/>
          </w:tcPr>
          <w:p w14:paraId="0F0724AF"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198</w:t>
            </w:r>
          </w:p>
        </w:tc>
        <w:tc>
          <w:tcPr>
            <w:tcW w:w="717" w:type="dxa"/>
            <w:vAlign w:val="bottom"/>
          </w:tcPr>
          <w:p w14:paraId="201719A1"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194</w:t>
            </w:r>
          </w:p>
        </w:tc>
        <w:tc>
          <w:tcPr>
            <w:tcW w:w="717" w:type="dxa"/>
            <w:vAlign w:val="bottom"/>
          </w:tcPr>
          <w:p w14:paraId="313EF6FA"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164</w:t>
            </w:r>
          </w:p>
        </w:tc>
        <w:tc>
          <w:tcPr>
            <w:tcW w:w="717" w:type="dxa"/>
            <w:vAlign w:val="center"/>
          </w:tcPr>
          <w:p w14:paraId="5795A538" w14:textId="77777777" w:rsidR="00C355C7" w:rsidRPr="005B734B"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5B734B">
              <w:t>55</w:t>
            </w:r>
          </w:p>
        </w:tc>
        <w:tc>
          <w:tcPr>
            <w:tcW w:w="717" w:type="dxa"/>
            <w:vAlign w:val="center"/>
          </w:tcPr>
          <w:p w14:paraId="22F02B5D" w14:textId="77777777" w:rsidR="00C355C7" w:rsidRPr="00954020" w:rsidRDefault="00C355C7" w:rsidP="00C355C7">
            <w:pPr>
              <w:pStyle w:val="Tabletextcentre"/>
              <w:cnfStyle w:val="000000000000" w:firstRow="0" w:lastRow="0" w:firstColumn="0" w:lastColumn="0" w:oddVBand="0" w:evenVBand="0" w:oddHBand="0" w:evenHBand="0" w:firstRowFirstColumn="0" w:firstRowLastColumn="0" w:lastRowFirstColumn="0" w:lastRowLastColumn="0"/>
            </w:pPr>
            <w:r w:rsidRPr="00954020">
              <w:t>42</w:t>
            </w:r>
          </w:p>
        </w:tc>
      </w:tr>
    </w:tbl>
    <w:p w14:paraId="6983F166" w14:textId="39075029" w:rsidR="0021216D" w:rsidRPr="005B734B" w:rsidRDefault="00D03227" w:rsidP="00E20DBB">
      <w:pPr>
        <w:pStyle w:val="FootnoteText"/>
      </w:pPr>
      <w:r w:rsidRPr="005B734B">
        <w:t>*Persons who reported their sex assigned at birth as another term, other than male or female.</w:t>
      </w:r>
    </w:p>
    <w:p w14:paraId="7110CC33" w14:textId="2D25A50E" w:rsidR="008D0421" w:rsidRPr="00E20DBB" w:rsidRDefault="008D0421" w:rsidP="00E20DBB">
      <w:pPr>
        <w:pStyle w:val="Heading2"/>
      </w:pPr>
      <w:r w:rsidRPr="005B734B">
        <w:lastRenderedPageBreak/>
        <w:t>2.1 Notification rate of infectious syphilis by Indigenous status, sex, age and remoteness area classification</w:t>
      </w:r>
    </w:p>
    <w:p w14:paraId="5159156F" w14:textId="5020C1AD" w:rsidR="0021216D" w:rsidRPr="00E20DBB" w:rsidRDefault="0021216D" w:rsidP="00E20DBB">
      <w:pPr>
        <w:pStyle w:val="Heading3"/>
      </w:pPr>
      <w:r w:rsidRPr="00E20DBB">
        <w:t>Aboriginal and Torres Strait Islander males</w:t>
      </w:r>
    </w:p>
    <w:p w14:paraId="52CCB1FA" w14:textId="43663075" w:rsidR="0021216D" w:rsidRPr="005B734B" w:rsidRDefault="0021216D" w:rsidP="00E20DBB">
      <w:r w:rsidRPr="005B734B">
        <w:t>In Q</w:t>
      </w:r>
      <w:r w:rsidR="0091322F" w:rsidRPr="005B734B">
        <w:t>2</w:t>
      </w:r>
      <w:r w:rsidRPr="005B734B">
        <w:t xml:space="preserve"> 2025, notification rates among Aboriginal and Torres Strait Islander </w:t>
      </w:r>
      <w:r w:rsidR="00D66481" w:rsidRPr="005B734B">
        <w:t xml:space="preserve">males </w:t>
      </w:r>
      <w:r w:rsidR="0091322F" w:rsidRPr="005B734B">
        <w:t xml:space="preserve">decreased </w:t>
      </w:r>
      <w:r w:rsidRPr="005B734B">
        <w:t xml:space="preserve">across </w:t>
      </w:r>
      <w:r w:rsidR="0091322F" w:rsidRPr="005B734B">
        <w:t>most</w:t>
      </w:r>
      <w:r w:rsidRPr="005B734B">
        <w:t xml:space="preserve"> age groups in major cities</w:t>
      </w:r>
      <w:r w:rsidR="0091322F" w:rsidRPr="005B734B">
        <w:t>,</w:t>
      </w:r>
      <w:r w:rsidR="009E66E0">
        <w:t xml:space="preserve"> among</w:t>
      </w:r>
      <w:r w:rsidR="0091322F" w:rsidRPr="005B734B">
        <w:t xml:space="preserve"> 15-24 year olds in </w:t>
      </w:r>
      <w:r w:rsidRPr="005B734B">
        <w:t>remote</w:t>
      </w:r>
      <w:r w:rsidR="0091322F" w:rsidRPr="005B734B">
        <w:t>/</w:t>
      </w:r>
      <w:r w:rsidRPr="005B734B">
        <w:t>very remote areas</w:t>
      </w:r>
      <w:r w:rsidR="0091322F" w:rsidRPr="005B734B">
        <w:t xml:space="preserve"> and inner/outer regional areas and</w:t>
      </w:r>
      <w:r w:rsidR="009E66E0">
        <w:t xml:space="preserve"> among those aged</w:t>
      </w:r>
      <w:r w:rsidR="0091322F" w:rsidRPr="005B734B">
        <w:t xml:space="preserve"> 45+ year in inner/outer</w:t>
      </w:r>
      <w:r w:rsidRPr="005B734B">
        <w:t xml:space="preserve"> </w:t>
      </w:r>
      <w:r w:rsidR="0091322F" w:rsidRPr="005B734B">
        <w:t xml:space="preserve">regional areas </w:t>
      </w:r>
      <w:r w:rsidRPr="005B734B">
        <w:t xml:space="preserve">compared to the </w:t>
      </w:r>
      <w:r w:rsidR="0093172F" w:rsidRPr="005B734B">
        <w:t>12-month</w:t>
      </w:r>
      <w:r w:rsidRPr="005B734B">
        <w:t xml:space="preserve"> quarterly </w:t>
      </w:r>
      <w:r w:rsidR="001C5C93" w:rsidRPr="005B734B">
        <w:t>mean</w:t>
      </w:r>
      <w:r w:rsidRPr="005B734B">
        <w:t>.</w:t>
      </w:r>
      <w:r w:rsidR="001C5C93" w:rsidRPr="005B734B">
        <w:t xml:space="preserve"> The greatest </w:t>
      </w:r>
      <w:r w:rsidR="009E66E0">
        <w:t xml:space="preserve">notification </w:t>
      </w:r>
      <w:r w:rsidR="001C5C93" w:rsidRPr="005B734B">
        <w:t xml:space="preserve">rate increase compared to the </w:t>
      </w:r>
      <w:r w:rsidR="0093172F" w:rsidRPr="005B734B">
        <w:t>12-month</w:t>
      </w:r>
      <w:r w:rsidR="001C5C93" w:rsidRPr="005B734B">
        <w:t xml:space="preserve"> quarterly mean was reported</w:t>
      </w:r>
      <w:r w:rsidR="009E66E0">
        <w:t xml:space="preserve"> in </w:t>
      </w:r>
      <w:r w:rsidR="0091322F" w:rsidRPr="005B734B">
        <w:t xml:space="preserve">45+ year olds in remote/very remote areas </w:t>
      </w:r>
      <w:r w:rsidR="001C5C93" w:rsidRPr="005B734B">
        <w:t>(</w:t>
      </w:r>
      <w:r w:rsidR="0091322F" w:rsidRPr="005B734B">
        <w:t>39</w:t>
      </w:r>
      <w:r w:rsidR="001C5C93" w:rsidRPr="005B734B">
        <w:t xml:space="preserve">%) and </w:t>
      </w:r>
      <w:r w:rsidR="009E66E0">
        <w:t xml:space="preserve">in </w:t>
      </w:r>
      <w:r w:rsidR="0091322F" w:rsidRPr="005B734B">
        <w:t>2</w:t>
      </w:r>
      <w:r w:rsidR="009F4506" w:rsidRPr="005B734B">
        <w:t>5-</w:t>
      </w:r>
      <w:r w:rsidR="0091322F" w:rsidRPr="005B734B">
        <w:t>3</w:t>
      </w:r>
      <w:r w:rsidR="009F4506" w:rsidRPr="005B734B">
        <w:t>4</w:t>
      </w:r>
      <w:r w:rsidR="001C5C93" w:rsidRPr="005B734B">
        <w:t xml:space="preserve"> year olds in </w:t>
      </w:r>
      <w:r w:rsidR="0091322F" w:rsidRPr="005B734B">
        <w:t>inner/outer regional areas</w:t>
      </w:r>
      <w:r w:rsidR="001C5C93" w:rsidRPr="005B734B">
        <w:t xml:space="preserve"> (</w:t>
      </w:r>
      <w:r w:rsidR="0091322F" w:rsidRPr="005B734B">
        <w:t>3</w:t>
      </w:r>
      <w:r w:rsidR="009F4506" w:rsidRPr="005B734B">
        <w:t>6</w:t>
      </w:r>
      <w:r w:rsidR="001C5C93" w:rsidRPr="005B734B">
        <w:t>%)</w:t>
      </w:r>
      <w:r w:rsidR="00636EB0" w:rsidRPr="005B734B">
        <w:t xml:space="preserve"> (Figure 5 a-c)</w:t>
      </w:r>
      <w:r w:rsidR="001C5C93" w:rsidRPr="005B734B">
        <w:t xml:space="preserve">. </w:t>
      </w:r>
    </w:p>
    <w:p w14:paraId="25C80186" w14:textId="0B673FAB" w:rsidR="0021216D" w:rsidRPr="00E20DBB" w:rsidRDefault="0021216D" w:rsidP="00E20DBB">
      <w:pPr>
        <w:pStyle w:val="Heading3"/>
      </w:pPr>
      <w:r w:rsidRPr="00E20DBB">
        <w:t>Non-Indigenous males</w:t>
      </w:r>
    </w:p>
    <w:p w14:paraId="2C76ACCD" w14:textId="5A156312" w:rsidR="008D0421" w:rsidRPr="005B734B" w:rsidRDefault="001C5C93" w:rsidP="00E20DBB">
      <w:r w:rsidRPr="005B734B">
        <w:t xml:space="preserve">On average non-Indigenous males represent around 81% of all infectious syphilis notifications, with </w:t>
      </w:r>
      <w:r w:rsidR="0093172F" w:rsidRPr="005B734B">
        <w:t>most</w:t>
      </w:r>
      <w:r w:rsidRPr="005B734B">
        <w:t xml:space="preserve"> of these cases reported in major cities of Australia</w:t>
      </w:r>
      <w:r w:rsidR="00950240" w:rsidRPr="005B734B">
        <w:t xml:space="preserve"> (Figure 5a)</w:t>
      </w:r>
      <w:r w:rsidRPr="005B734B">
        <w:t>. In Q</w:t>
      </w:r>
      <w:r w:rsidR="00876B31" w:rsidRPr="005B734B">
        <w:t>2</w:t>
      </w:r>
      <w:r w:rsidRPr="005B734B">
        <w:t xml:space="preserve"> 2025, notification rates in most age groups across all remoteness areas reported a decrease compared to the 12 month and 5 year quarterly mean</w:t>
      </w:r>
      <w:r w:rsidR="00950240" w:rsidRPr="005B734B">
        <w:t xml:space="preserve"> (Figure 5a-c)</w:t>
      </w:r>
      <w:r w:rsidRPr="005B734B">
        <w:t>.</w:t>
      </w:r>
    </w:p>
    <w:p w14:paraId="03BA5928" w14:textId="20933A87" w:rsidR="006D2C62" w:rsidRPr="00E20DBB" w:rsidRDefault="006D2C62" w:rsidP="00E20DBB">
      <w:pPr>
        <w:pStyle w:val="Heading3"/>
      </w:pPr>
      <w:r w:rsidRPr="00E20DBB">
        <w:t>Aboriginal and Torres Strait Islander females</w:t>
      </w:r>
    </w:p>
    <w:p w14:paraId="5CACA135" w14:textId="60D72BAA" w:rsidR="001C5C93" w:rsidRPr="005B734B" w:rsidRDefault="001C5C93" w:rsidP="00E20DBB">
      <w:r w:rsidRPr="005B734B">
        <w:t>In Q</w:t>
      </w:r>
      <w:r w:rsidR="00876B31" w:rsidRPr="005B734B">
        <w:t>2</w:t>
      </w:r>
      <w:r w:rsidRPr="005B734B">
        <w:t xml:space="preserve"> 2025, Aboriginal and Torres Strait Islander females aged 15-24 years in remote/very remote areas recorded the highest notification rate among all population and geographical groups, with a rate of 2</w:t>
      </w:r>
      <w:r w:rsidR="00876B31" w:rsidRPr="005B734B">
        <w:t>90</w:t>
      </w:r>
      <w:r w:rsidRPr="005B734B">
        <w:t xml:space="preserve"> per 100,000</w:t>
      </w:r>
      <w:r w:rsidR="00876B31" w:rsidRPr="005B734B">
        <w:t xml:space="preserve"> </w:t>
      </w:r>
      <w:r w:rsidR="008F3A9D" w:rsidRPr="005B734B">
        <w:t>(Figure 6c)</w:t>
      </w:r>
      <w:r w:rsidRPr="005B734B">
        <w:t xml:space="preserve">. Other age groups in these geographical areas reported increases in notification rates compared to the 12 month quarterly mean with the greatest increase reported in </w:t>
      </w:r>
      <w:r w:rsidR="00876B31" w:rsidRPr="005B734B">
        <w:t>45+</w:t>
      </w:r>
      <w:r w:rsidRPr="005B734B">
        <w:t xml:space="preserve"> year olds (</w:t>
      </w:r>
      <w:r w:rsidR="00876B31" w:rsidRPr="005B734B">
        <w:t>4</w:t>
      </w:r>
      <w:r w:rsidR="009F4506" w:rsidRPr="005B734B">
        <w:t>1</w:t>
      </w:r>
      <w:r w:rsidRPr="005B734B">
        <w:t>%) and 25-34 year olds (</w:t>
      </w:r>
      <w:r w:rsidR="009F4506" w:rsidRPr="005B734B">
        <w:t>3</w:t>
      </w:r>
      <w:r w:rsidR="00876B31" w:rsidRPr="005B734B">
        <w:t>3</w:t>
      </w:r>
      <w:r w:rsidRPr="005B734B">
        <w:t>%)</w:t>
      </w:r>
      <w:r w:rsidR="008F3A9D" w:rsidRPr="005B734B">
        <w:t xml:space="preserve"> (Figure 6</w:t>
      </w:r>
      <w:r w:rsidR="00876B31" w:rsidRPr="005B734B">
        <w:t>a-</w:t>
      </w:r>
      <w:r w:rsidR="008F3A9D" w:rsidRPr="005B734B">
        <w:t>c)</w:t>
      </w:r>
      <w:r w:rsidRPr="005B734B">
        <w:t xml:space="preserve">. </w:t>
      </w:r>
    </w:p>
    <w:p w14:paraId="66BEEC98" w14:textId="7A791B86" w:rsidR="006D2C62" w:rsidRPr="00E20DBB" w:rsidRDefault="006D2C62" w:rsidP="00E20DBB">
      <w:pPr>
        <w:pStyle w:val="Heading3"/>
      </w:pPr>
      <w:r w:rsidRPr="00E20DBB">
        <w:t>Non-Indigenous females</w:t>
      </w:r>
    </w:p>
    <w:p w14:paraId="2920467F" w14:textId="64CC8102" w:rsidR="001C5C93" w:rsidRPr="005B734B" w:rsidRDefault="001C5C93" w:rsidP="00E20DBB">
      <w:r w:rsidRPr="005B734B">
        <w:t>In Q</w:t>
      </w:r>
      <w:r w:rsidR="00876B31" w:rsidRPr="005B734B">
        <w:t>2</w:t>
      </w:r>
      <w:r w:rsidRPr="005B734B">
        <w:t xml:space="preserve"> 2025, compared to the 12 month quarterly mean</w:t>
      </w:r>
      <w:r w:rsidR="004228A8" w:rsidRPr="005B734B">
        <w:t>, notification rates</w:t>
      </w:r>
      <w:r w:rsidRPr="005B734B">
        <w:t xml:space="preserve"> in non-Indigenous females </w:t>
      </w:r>
      <w:r w:rsidR="004228A8" w:rsidRPr="005B734B">
        <w:t xml:space="preserve">showed </w:t>
      </w:r>
      <w:r w:rsidRPr="005B734B">
        <w:t xml:space="preserve">small declines or remained similar across most age and geographical groups, </w:t>
      </w:r>
      <w:r w:rsidR="004228A8" w:rsidRPr="005B734B">
        <w:t>except for</w:t>
      </w:r>
      <w:r w:rsidRPr="005B734B">
        <w:t xml:space="preserve"> </w:t>
      </w:r>
      <w:r w:rsidR="009E66E0">
        <w:t xml:space="preserve">females aged </w:t>
      </w:r>
      <w:r w:rsidRPr="005B734B">
        <w:t xml:space="preserve">35-44 </w:t>
      </w:r>
      <w:r w:rsidR="00876B31" w:rsidRPr="005B734B">
        <w:t>and 45+ year</w:t>
      </w:r>
      <w:r w:rsidR="009E66E0">
        <w:t>s</w:t>
      </w:r>
      <w:r w:rsidR="00876B31" w:rsidRPr="005B734B">
        <w:t xml:space="preserve"> </w:t>
      </w:r>
      <w:r w:rsidRPr="005B734B">
        <w:t>in major cities of Australia</w:t>
      </w:r>
      <w:r w:rsidR="00636EB0" w:rsidRPr="005B734B">
        <w:t xml:space="preserve"> where </w:t>
      </w:r>
      <w:r w:rsidR="00876B31" w:rsidRPr="005B734B">
        <w:t xml:space="preserve">an </w:t>
      </w:r>
      <w:r w:rsidR="00636EB0" w:rsidRPr="005B734B">
        <w:t xml:space="preserve">increasing trend was </w:t>
      </w:r>
      <w:r w:rsidR="007512F8" w:rsidRPr="005B734B">
        <w:t>observed</w:t>
      </w:r>
      <w:r w:rsidR="008F3A9D" w:rsidRPr="005B734B">
        <w:t xml:space="preserve"> (Figure 6a-c)</w:t>
      </w:r>
      <w:r w:rsidRPr="005B734B">
        <w:t>. Compared to the 5 year quarterly mean however considerable increases were reported in all age groups in major cities of Australia</w:t>
      </w:r>
      <w:r w:rsidR="008F3A9D" w:rsidRPr="005B734B">
        <w:t xml:space="preserve"> (Figure 6a)</w:t>
      </w:r>
      <w:r w:rsidRPr="005B734B">
        <w:t>.</w:t>
      </w:r>
    </w:p>
    <w:p w14:paraId="5FCFFA14" w14:textId="56BD7B54" w:rsidR="008D0421" w:rsidRPr="005B734B" w:rsidRDefault="008D0421" w:rsidP="00E20DBB">
      <w:pPr>
        <w:pStyle w:val="Caption"/>
      </w:pPr>
      <w:r w:rsidRPr="005B734B">
        <w:t xml:space="preserve">Figure </w:t>
      </w:r>
      <w:r w:rsidR="0021216D" w:rsidRPr="005B734B">
        <w:t>5</w:t>
      </w:r>
      <w:r w:rsidRPr="005B734B">
        <w:t xml:space="preserve"> a-c: Notifications (n) and notification rate (per 100,000) of infectious syphilis reported in males, by Indigenous status, remoteness area, age, quarter, and year, 20</w:t>
      </w:r>
      <w:r w:rsidR="00C71C31" w:rsidRPr="005B734B">
        <w:t>20</w:t>
      </w:r>
      <w:r w:rsidRPr="005B734B">
        <w:t xml:space="preserve"> </w:t>
      </w:r>
      <w:r w:rsidRPr="005B734B">
        <w:lastRenderedPageBreak/>
        <w:t>– Q</w:t>
      </w:r>
      <w:r w:rsidR="002566DF" w:rsidRPr="005B734B">
        <w:t>2</w:t>
      </w:r>
      <w:r w:rsidRPr="005B734B">
        <w:t xml:space="preserve"> 2025 (a. Major cities, b. Inner and outer regional areas and c. Remote and very remote areas)</w:t>
      </w:r>
      <w:bookmarkStart w:id="6" w:name="_Ref204778163"/>
      <w:r w:rsidRPr="005B734B">
        <w:rPr>
          <w:vertAlign w:val="superscript"/>
        </w:rPr>
        <w:footnoteReference w:id="5"/>
      </w:r>
      <w:bookmarkEnd w:id="6"/>
    </w:p>
    <w:p w14:paraId="75397F7B" w14:textId="255982A5" w:rsidR="0021216D" w:rsidRPr="005B734B" w:rsidRDefault="00E063D1" w:rsidP="00E20DBB">
      <w:r w:rsidRPr="005B734B">
        <w:rPr>
          <w:noProof/>
        </w:rPr>
        <w:drawing>
          <wp:inline distT="0" distB="0" distL="0" distR="0" wp14:anchorId="75F5B38D" wp14:editId="72878133">
            <wp:extent cx="5759450" cy="3755390"/>
            <wp:effectExtent l="0" t="0" r="0" b="0"/>
            <wp:docPr id="27361653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16539" name="Picture 5">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3755390"/>
                    </a:xfrm>
                    <a:prstGeom prst="rect">
                      <a:avLst/>
                    </a:prstGeom>
                    <a:noFill/>
                  </pic:spPr>
                </pic:pic>
              </a:graphicData>
            </a:graphic>
          </wp:inline>
        </w:drawing>
      </w:r>
    </w:p>
    <w:p w14:paraId="5BB1981C" w14:textId="11BEFEBB" w:rsidR="00430240" w:rsidRPr="005B734B" w:rsidRDefault="00E063D1" w:rsidP="00E20DBB">
      <w:r w:rsidRPr="005B734B">
        <w:rPr>
          <w:noProof/>
        </w:rPr>
        <w:drawing>
          <wp:inline distT="0" distB="0" distL="0" distR="0" wp14:anchorId="673F03FA" wp14:editId="69F837F4">
            <wp:extent cx="5759450" cy="3754755"/>
            <wp:effectExtent l="0" t="0" r="0" b="0"/>
            <wp:docPr id="7249507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5075" name="Picture 6">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3754755"/>
                    </a:xfrm>
                    <a:prstGeom prst="rect">
                      <a:avLst/>
                    </a:prstGeom>
                    <a:noFill/>
                  </pic:spPr>
                </pic:pic>
              </a:graphicData>
            </a:graphic>
          </wp:inline>
        </w:drawing>
      </w:r>
    </w:p>
    <w:p w14:paraId="387E2F8C" w14:textId="0A675CBA" w:rsidR="00B37040" w:rsidRPr="005B734B" w:rsidRDefault="001F507B" w:rsidP="00E20DBB">
      <w:r w:rsidRPr="005B734B">
        <w:rPr>
          <w:noProof/>
        </w:rPr>
        <w:lastRenderedPageBreak/>
        <w:drawing>
          <wp:inline distT="0" distB="0" distL="0" distR="0" wp14:anchorId="3A5D014B" wp14:editId="7E4CF8F8">
            <wp:extent cx="5759450" cy="3755750"/>
            <wp:effectExtent l="0" t="0" r="0" b="0"/>
            <wp:docPr id="117508922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89223" name="Picture 7">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3755750"/>
                    </a:xfrm>
                    <a:prstGeom prst="rect">
                      <a:avLst/>
                    </a:prstGeom>
                    <a:noFill/>
                  </pic:spPr>
                </pic:pic>
              </a:graphicData>
            </a:graphic>
          </wp:inline>
        </w:drawing>
      </w:r>
    </w:p>
    <w:p w14:paraId="62495EEB" w14:textId="77777777" w:rsidR="00436E19" w:rsidRDefault="00436E19">
      <w:pPr>
        <w:spacing w:before="0" w:after="0" w:line="240" w:lineRule="auto"/>
        <w:rPr>
          <w:rFonts w:eastAsiaTheme="majorEastAsia"/>
          <w:b/>
          <w:bCs/>
          <w:szCs w:val="18"/>
        </w:rPr>
      </w:pPr>
      <w:r>
        <w:br w:type="page"/>
      </w:r>
    </w:p>
    <w:p w14:paraId="51DF6C6A" w14:textId="67DE9D67" w:rsidR="00C71C31" w:rsidRPr="005B734B" w:rsidRDefault="008D0421" w:rsidP="00E20DBB">
      <w:pPr>
        <w:pStyle w:val="Caption"/>
      </w:pPr>
      <w:r w:rsidRPr="005B734B">
        <w:lastRenderedPageBreak/>
        <w:t xml:space="preserve">Figure </w:t>
      </w:r>
      <w:r w:rsidR="0021216D" w:rsidRPr="005B734B">
        <w:t>6</w:t>
      </w:r>
      <w:r w:rsidRPr="005B734B">
        <w:t xml:space="preserve"> a-c: Notifications (n) and notification rate (per 100,000) of infectious syphilis reported in females, by Indigenous status, remoteness area, age, quarter, and year, 20</w:t>
      </w:r>
      <w:r w:rsidR="00C71C31" w:rsidRPr="005B734B">
        <w:t xml:space="preserve">20 </w:t>
      </w:r>
      <w:r w:rsidRPr="005B734B">
        <w:t>– Q</w:t>
      </w:r>
      <w:r w:rsidR="002566DF" w:rsidRPr="005B734B">
        <w:t>2</w:t>
      </w:r>
      <w:r w:rsidRPr="005B734B">
        <w:t xml:space="preserve"> 2025 (a. Major cities, b. Inner and outer regional areas and c. Remote and very remote area)</w:t>
      </w:r>
      <w:r w:rsidRPr="005B734B">
        <w:rPr>
          <w:vertAlign w:val="superscript"/>
        </w:rPr>
        <w:fldChar w:fldCharType="begin"/>
      </w:r>
      <w:r w:rsidRPr="005B734B">
        <w:rPr>
          <w:vertAlign w:val="superscript"/>
        </w:rPr>
        <w:instrText xml:space="preserve"> NOTEREF _Ref204778163 \h  \* MERGEFORMAT </w:instrText>
      </w:r>
      <w:r w:rsidRPr="005B734B">
        <w:rPr>
          <w:vertAlign w:val="superscript"/>
        </w:rPr>
      </w:r>
      <w:r w:rsidRPr="005B734B">
        <w:rPr>
          <w:vertAlign w:val="superscript"/>
        </w:rPr>
        <w:fldChar w:fldCharType="separate"/>
      </w:r>
      <w:r w:rsidR="00062812">
        <w:rPr>
          <w:vertAlign w:val="superscript"/>
        </w:rPr>
        <w:t>4</w:t>
      </w:r>
      <w:r w:rsidRPr="005B734B">
        <w:rPr>
          <w:vertAlign w:val="superscript"/>
        </w:rPr>
        <w:fldChar w:fldCharType="end"/>
      </w:r>
    </w:p>
    <w:p w14:paraId="2B82F9CC" w14:textId="5A9F220F" w:rsidR="00C71C31" w:rsidRPr="005B734B" w:rsidRDefault="00C923CA" w:rsidP="00E20DBB">
      <w:r w:rsidRPr="00A04AE2">
        <w:rPr>
          <w:noProof/>
        </w:rPr>
        <w:drawing>
          <wp:inline distT="0" distB="0" distL="0" distR="0" wp14:anchorId="25EA79E2" wp14:editId="3E5FDA78">
            <wp:extent cx="5759450" cy="3755758"/>
            <wp:effectExtent l="0" t="0" r="0" b="0"/>
            <wp:docPr id="64273121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31214" name="Picture 8">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3755758"/>
                    </a:xfrm>
                    <a:prstGeom prst="rect">
                      <a:avLst/>
                    </a:prstGeom>
                    <a:noFill/>
                  </pic:spPr>
                </pic:pic>
              </a:graphicData>
            </a:graphic>
          </wp:inline>
        </w:drawing>
      </w:r>
    </w:p>
    <w:p w14:paraId="68574BFC" w14:textId="67E2E0E7" w:rsidR="00C923CA" w:rsidRPr="00954020" w:rsidRDefault="0025089E" w:rsidP="00E20DBB">
      <w:r w:rsidRPr="00A04AE2">
        <w:rPr>
          <w:noProof/>
        </w:rPr>
        <w:drawing>
          <wp:inline distT="0" distB="0" distL="0" distR="0" wp14:anchorId="05DAEA0B" wp14:editId="2CB888AB">
            <wp:extent cx="5759450" cy="3755762"/>
            <wp:effectExtent l="0" t="0" r="0" b="0"/>
            <wp:docPr id="67225333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53336" name="Picture 9">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3755762"/>
                    </a:xfrm>
                    <a:prstGeom prst="rect">
                      <a:avLst/>
                    </a:prstGeom>
                    <a:noFill/>
                  </pic:spPr>
                </pic:pic>
              </a:graphicData>
            </a:graphic>
          </wp:inline>
        </w:drawing>
      </w:r>
    </w:p>
    <w:p w14:paraId="1601B674" w14:textId="5A8CFD2B" w:rsidR="00F10427" w:rsidRPr="005B734B" w:rsidRDefault="00F9145B" w:rsidP="00E20DBB">
      <w:r w:rsidRPr="00A04AE2">
        <w:rPr>
          <w:noProof/>
        </w:rPr>
        <w:lastRenderedPageBreak/>
        <w:drawing>
          <wp:inline distT="0" distB="0" distL="0" distR="0" wp14:anchorId="6DD93DC0" wp14:editId="7192EDC5">
            <wp:extent cx="5759450" cy="3755762"/>
            <wp:effectExtent l="0" t="0" r="0" b="0"/>
            <wp:docPr id="105479270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92709" name="Picture 10">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3755762"/>
                    </a:xfrm>
                    <a:prstGeom prst="rect">
                      <a:avLst/>
                    </a:prstGeom>
                    <a:noFill/>
                  </pic:spPr>
                </pic:pic>
              </a:graphicData>
            </a:graphic>
          </wp:inline>
        </w:drawing>
      </w:r>
    </w:p>
    <w:p w14:paraId="0A016455" w14:textId="52737C08" w:rsidR="008D0421" w:rsidRPr="00E20DBB" w:rsidRDefault="008D0421" w:rsidP="00E20DBB">
      <w:pPr>
        <w:pStyle w:val="Heading2"/>
      </w:pPr>
      <w:r w:rsidRPr="005B734B">
        <w:t xml:space="preserve">2.2 Notification rate of infectious syphilis in Aboriginal and Torres Strait Islander peoples </w:t>
      </w:r>
      <w:r w:rsidRPr="00E20DBB">
        <w:t>by Indigenous Areas (IAREs)</w:t>
      </w:r>
    </w:p>
    <w:p w14:paraId="37E3BFBA" w14:textId="77777777" w:rsidR="008D0421" w:rsidRPr="00E20DBB" w:rsidRDefault="008D0421" w:rsidP="00E20DBB">
      <w:pPr>
        <w:pStyle w:val="Heading2"/>
      </w:pPr>
      <w:r w:rsidRPr="00E20DBB">
        <w:t>2.3 Notification rate of infectious syphilis by Statistical Area 3 (SA3), by Indigenous status</w:t>
      </w:r>
    </w:p>
    <w:p w14:paraId="5BAFEE17" w14:textId="7C64B33C" w:rsidR="000A5B18" w:rsidRPr="005B734B" w:rsidRDefault="000A5B18" w:rsidP="00E20DBB">
      <w:r w:rsidRPr="005B734B">
        <w:t xml:space="preserve">An important consideration when interpreting mapped notification data is that the postcodes used to allocate cases to a geographical area is done so based on the residential postcode of the notified case.  This may not necessarily reflect where the infection was acquired and in some instances the postcode reported may reflect the location where the case was diagnosed rather than residence and locality of acquisition. </w:t>
      </w:r>
      <w:r w:rsidR="00C02AC8" w:rsidRPr="005B734B">
        <w:t xml:space="preserve">If </w:t>
      </w:r>
      <w:r w:rsidRPr="005B734B">
        <w:t>the postcode reflects the location where an individual sought health care</w:t>
      </w:r>
      <w:r w:rsidR="00C02AC8" w:rsidRPr="005B734B">
        <w:t>,</w:t>
      </w:r>
      <w:r w:rsidRPr="005B734B">
        <w:t xml:space="preserve"> the mapped notifications may reflect </w:t>
      </w:r>
      <w:r w:rsidR="00C02AC8" w:rsidRPr="005B734B">
        <w:t xml:space="preserve">areas of </w:t>
      </w:r>
      <w:r w:rsidRPr="005B734B">
        <w:t xml:space="preserve">high volume or centralised services where people are being diagnosed rather than </w:t>
      </w:r>
      <w:r w:rsidR="00C02AC8" w:rsidRPr="005B734B">
        <w:t xml:space="preserve">areas with a </w:t>
      </w:r>
      <w:r w:rsidRPr="005B734B">
        <w:t xml:space="preserve">high burden </w:t>
      </w:r>
      <w:r w:rsidR="00C02AC8" w:rsidRPr="005B734B">
        <w:t>of</w:t>
      </w:r>
      <w:r w:rsidRPr="005B734B">
        <w:t xml:space="preserve"> infection</w:t>
      </w:r>
      <w:r w:rsidR="00C02AC8" w:rsidRPr="005B734B">
        <w:t xml:space="preserve"> or acquisition</w:t>
      </w:r>
      <w:r w:rsidRPr="005B734B">
        <w:t>. Availability and accessibility of safe and culturally appropriate health services, particularly in remote/very remote areas</w:t>
      </w:r>
      <w:r w:rsidR="00430240" w:rsidRPr="005B734B">
        <w:t xml:space="preserve"> and Aboriginal and Torres Strait Islander communities</w:t>
      </w:r>
      <w:r w:rsidRPr="005B734B">
        <w:t xml:space="preserve">, along with other social factors may influence where people are tested and diagnosed, noting that this may occur outside of an </w:t>
      </w:r>
      <w:r w:rsidR="00430240" w:rsidRPr="005B734B">
        <w:t>individual’s</w:t>
      </w:r>
      <w:r w:rsidRPr="005B734B">
        <w:t xml:space="preserve"> place of residence</w:t>
      </w:r>
      <w:r w:rsidR="00430240" w:rsidRPr="005B734B">
        <w:t xml:space="preserve"> </w:t>
      </w:r>
      <w:r w:rsidR="00430240" w:rsidRPr="005B734B">
        <w:fldChar w:fldCharType="begin"/>
      </w:r>
      <w:r w:rsidR="00430240" w:rsidRPr="005B734B">
        <w:instrText xml:space="preserve"> ADDIN EN.CITE &lt;EndNote&gt;&lt;Cite&gt;&lt;Author&gt;Australian Institute of Health and Welfare&lt;/Author&gt;&lt;Year&gt;2025&lt;/Year&gt;&lt;RecNum&gt;29&lt;/RecNum&gt;&lt;DisplayText&gt;(4)&lt;/DisplayText&gt;&lt;record&gt;&lt;rec-number&gt;29&lt;/rec-number&gt;&lt;foreign-keys&gt;&lt;key app="EN" db-id="rerr5wt9dra05fetxw4p02tp0vtzztp05ef0" timestamp="1759360924"&gt;29&lt;/key&gt;&lt;/foreign-keys&gt;&lt;ref-type name="Report"&gt;27&lt;/ref-type&gt;&lt;contributors&gt;&lt;authors&gt;&lt;author&gt;Australian Institute of Health and Welfare,&lt;/author&gt;&lt;/authors&gt;&lt;/contributors&gt;&lt;titles&gt;&lt;title&gt;Aboriginal and Torres Strait Islander Health Performance Framework: summary report&lt;/title&gt;&lt;/titles&gt;&lt;dates&gt;&lt;year&gt;2025&lt;/year&gt;&lt;/dates&gt;&lt;publisher&gt;AIHW: Australian Government&lt;/publisher&gt;&lt;urls&gt;&lt;related-urls&gt;&lt;url&gt;https://www.indigenoushpf.gov.au/getattachment/36db9308-d7ed-47b9-945c-5ceebb956528/hpf_summary-report-june-2025.pdf&lt;/url&gt;&lt;/related-urls&gt;&lt;/urls&gt;&lt;/record&gt;&lt;/Cite&gt;&lt;/EndNote&gt;</w:instrText>
      </w:r>
      <w:r w:rsidR="00430240" w:rsidRPr="005B734B">
        <w:fldChar w:fldCharType="separate"/>
      </w:r>
      <w:r w:rsidR="00430240" w:rsidRPr="005B734B">
        <w:t>(4)</w:t>
      </w:r>
      <w:r w:rsidR="00430240" w:rsidRPr="005B734B">
        <w:fldChar w:fldCharType="end"/>
      </w:r>
      <w:r w:rsidRPr="005B734B">
        <w:t>.</w:t>
      </w:r>
    </w:p>
    <w:p w14:paraId="1BBFF070" w14:textId="18D91965" w:rsidR="00971725" w:rsidRPr="00E20DBB" w:rsidRDefault="00971725" w:rsidP="00E20DBB">
      <w:pPr>
        <w:pStyle w:val="Heading3"/>
      </w:pPr>
      <w:r w:rsidRPr="00E20DBB">
        <w:t xml:space="preserve">Indigenous Areas </w:t>
      </w:r>
    </w:p>
    <w:p w14:paraId="7EB1FB38" w14:textId="4804124C" w:rsidR="00971725" w:rsidRPr="005B734B" w:rsidRDefault="00971725" w:rsidP="00E20DBB">
      <w:r w:rsidRPr="005B734B">
        <w:t xml:space="preserve">Indigenous Areas (IAREs) are geographic areas built from Indigenous Locations, which are designed to represent Aboriginal and Torres Strait Islander communities (urban and rural) that are near each other or that share language, traditional borders or Native Title </w:t>
      </w:r>
      <w:r w:rsidR="00430240" w:rsidRPr="005B734B">
        <w:fldChar w:fldCharType="begin"/>
      </w:r>
      <w:r w:rsidR="00430240" w:rsidRPr="005B734B">
        <w:instrText xml:space="preserve"> ADDIN EN.CITE &lt;EndNote&gt;&lt;Cite ExcludeAuth="1"&gt;&lt;Year&gt;2021&lt;/Year&gt;&lt;RecNum&gt;28&lt;/RecNum&gt;&lt;DisplayText&gt;(5)&lt;/DisplayText&gt;&lt;record&gt;&lt;rec-number&gt;28&lt;/rec-number&gt;&lt;foreign-keys&gt;&lt;key app="EN" db-id="rerr5wt9dra05fetxw4p02tp0vtzztp05ef0" timestamp="1757563079"&gt;28&lt;/key&gt;&lt;/foreign-keys&gt;&lt;ref-type name="Web Page"&gt;12&lt;/ref-type&gt;&lt;contributors&gt;&lt;/contributors&gt;&lt;titles&gt;&lt;title&gt;Australian Statistical Geography Standard (ASGS) Edition 3: Indigenous Structure&lt;/title&gt;&lt;/titles&gt;&lt;volume&gt;2025&lt;/volume&gt;&lt;number&gt;11 September&lt;/number&gt;&lt;dates&gt;&lt;year&gt;2021&lt;/year&gt;&lt;/dates&gt;&lt;publisher&gt;Australian Bureau of Statistics&lt;/publisher&gt;&lt;urls&gt;&lt;related-urls&gt;&lt;url&gt;https://www.abs.gov.au/statistics/standards/australian-statistical-geography-standard-asgs-edition-3/jul2021-jun2026/indigenous-structure&lt;/url&gt;&lt;/related-urls&gt;&lt;/urls&gt;&lt;/record&gt;&lt;/Cite&gt;&lt;/EndNote&gt;</w:instrText>
      </w:r>
      <w:r w:rsidR="00430240" w:rsidRPr="005B734B">
        <w:fldChar w:fldCharType="separate"/>
      </w:r>
      <w:r w:rsidR="00430240" w:rsidRPr="005B734B">
        <w:t>(5)</w:t>
      </w:r>
      <w:r w:rsidR="00430240" w:rsidRPr="005B734B">
        <w:fldChar w:fldCharType="end"/>
      </w:r>
      <w:r w:rsidRPr="005B734B">
        <w:t>.  Age standardised infectious syphilis notification rates by IAREs for Aboriginal and Torres Strait Islander people</w:t>
      </w:r>
      <w:r w:rsidR="00F46CB4">
        <w:t>s</w:t>
      </w:r>
      <w:r w:rsidRPr="005B734B">
        <w:t xml:space="preserve"> are presented in Map 1 for the previous 12 months (Q</w:t>
      </w:r>
      <w:r w:rsidR="007E3F36" w:rsidRPr="005B734B">
        <w:t>3</w:t>
      </w:r>
      <w:r w:rsidRPr="005B734B">
        <w:t xml:space="preserve"> 2024 – Q</w:t>
      </w:r>
      <w:r w:rsidR="007E3F36" w:rsidRPr="005B734B">
        <w:t>2</w:t>
      </w:r>
      <w:r w:rsidRPr="005B734B">
        <w:t xml:space="preserve"> 2025). The highest notification rates were reported largely in very remote areas of Western Australia, South Australia and the Northern Territory, noting that in some IAREs the population was small. High notification rates in outer regional areas (Darwin and surrounds) reflect the increase in reported cases in urban areas in the Northern Territory.</w:t>
      </w:r>
    </w:p>
    <w:p w14:paraId="15D05B6A" w14:textId="5940A39F" w:rsidR="00971725" w:rsidRPr="00E20DBB" w:rsidRDefault="00971725" w:rsidP="00E20DBB">
      <w:pPr>
        <w:pStyle w:val="Heading3"/>
      </w:pPr>
      <w:r w:rsidRPr="00E20DBB">
        <w:lastRenderedPageBreak/>
        <w:t>Statistical Area 3 (SA3)</w:t>
      </w:r>
    </w:p>
    <w:p w14:paraId="66EDE065" w14:textId="66454696" w:rsidR="008D0421" w:rsidRPr="005B734B" w:rsidRDefault="008D0421" w:rsidP="00E20DBB">
      <w:r w:rsidRPr="005B734B">
        <w:t xml:space="preserve">In the previous 12 months age-standardised notification rates of infectious syphilis by statistical area 3 (SA3) were widely distributed across Australia (Map </w:t>
      </w:r>
      <w:r w:rsidR="00971725" w:rsidRPr="005B734B">
        <w:t>2</w:t>
      </w:r>
      <w:r w:rsidRPr="005B734B">
        <w:t>). The highest rates were reported across</w:t>
      </w:r>
      <w:r w:rsidR="00971725" w:rsidRPr="005B734B">
        <w:t xml:space="preserve"> very remote areas in the</w:t>
      </w:r>
      <w:r w:rsidRPr="005B734B">
        <w:t xml:space="preserve"> north-west of Australia and SA3’s in some major cities, including Sydney. </w:t>
      </w:r>
      <w:r w:rsidR="00971725" w:rsidRPr="005B734B">
        <w:t>This geographical distribution reflects the concurrent infectious syphilis outbreaks and sub-epidemics occurring across populations groups in Australia, including Aboriginal and Torres Strait Islander people</w:t>
      </w:r>
      <w:r w:rsidR="00F46CB4">
        <w:t>s</w:t>
      </w:r>
      <w:r w:rsidR="00971725" w:rsidRPr="005B734B">
        <w:t xml:space="preserve"> in regional and remote areas, gay and bisexual men in major cities of Australia, and non-Indigenous women in major cities.</w:t>
      </w:r>
    </w:p>
    <w:p w14:paraId="6E41606A" w14:textId="77777777" w:rsidR="00971725" w:rsidRPr="005B734B" w:rsidRDefault="00971725" w:rsidP="00E20DBB">
      <w:r w:rsidRPr="005B734B">
        <w:t>Please refer to the methodological notes for further information on the development of the maps.</w:t>
      </w:r>
    </w:p>
    <w:p w14:paraId="4EC66EBD" w14:textId="68F327F5" w:rsidR="008D0421" w:rsidRPr="005B734B" w:rsidRDefault="008D0421" w:rsidP="00E20DBB">
      <w:r w:rsidRPr="005B734B">
        <w:br w:type="page"/>
      </w:r>
    </w:p>
    <w:p w14:paraId="2D931FA7" w14:textId="77777777" w:rsidR="008D0421" w:rsidRPr="005B734B" w:rsidRDefault="008D0421" w:rsidP="00E20DBB">
      <w:pPr>
        <w:sectPr w:rsidR="008D0421" w:rsidRPr="005B734B" w:rsidSect="004732E1">
          <w:pgSz w:w="11906" w:h="16838"/>
          <w:pgMar w:top="567" w:right="1418" w:bottom="1135" w:left="1418" w:header="426" w:footer="709" w:gutter="0"/>
          <w:cols w:space="708"/>
          <w:docGrid w:linePitch="360"/>
        </w:sectPr>
      </w:pPr>
    </w:p>
    <w:p w14:paraId="64435B20" w14:textId="36FBA6D5" w:rsidR="00445596" w:rsidRPr="005B734B" w:rsidRDefault="008D0421" w:rsidP="00E20DBB">
      <w:pPr>
        <w:pStyle w:val="Caption"/>
      </w:pPr>
      <w:r w:rsidRPr="005B734B">
        <w:lastRenderedPageBreak/>
        <w:t>Map 1: Notification rate (per 100,000) of infectious syphilis in Aboriginal and Torres Strait Islander peoples by Indigenous Areas (IAREs) in the previous 12 months (Q</w:t>
      </w:r>
      <w:r w:rsidR="00FA3C64" w:rsidRPr="005B734B">
        <w:t>3</w:t>
      </w:r>
      <w:r w:rsidRPr="005B734B">
        <w:t xml:space="preserve"> 2024 – Q</w:t>
      </w:r>
      <w:r w:rsidR="002566DF" w:rsidRPr="005B734B">
        <w:t>2</w:t>
      </w:r>
      <w:r w:rsidRPr="005B734B">
        <w:t xml:space="preserve"> 2025)</w:t>
      </w:r>
      <w:r w:rsidR="00445596" w:rsidRPr="005B734B">
        <w:rPr>
          <w:vertAlign w:val="superscript"/>
        </w:rPr>
        <w:fldChar w:fldCharType="begin"/>
      </w:r>
      <w:r w:rsidR="00445596" w:rsidRPr="005B734B">
        <w:rPr>
          <w:vertAlign w:val="superscript"/>
        </w:rPr>
        <w:instrText xml:space="preserve"> NOTEREF _Ref204778163 \h  \* MERGEFORMAT </w:instrText>
      </w:r>
      <w:r w:rsidR="00445596" w:rsidRPr="005B734B">
        <w:rPr>
          <w:vertAlign w:val="superscript"/>
        </w:rPr>
      </w:r>
      <w:r w:rsidR="00445596" w:rsidRPr="005B734B">
        <w:rPr>
          <w:vertAlign w:val="superscript"/>
        </w:rPr>
        <w:fldChar w:fldCharType="separate"/>
      </w:r>
      <w:r w:rsidR="00062812">
        <w:rPr>
          <w:vertAlign w:val="superscript"/>
        </w:rPr>
        <w:t>4</w:t>
      </w:r>
      <w:r w:rsidR="00445596" w:rsidRPr="005B734B">
        <w:rPr>
          <w:vertAlign w:val="superscript"/>
        </w:rPr>
        <w:fldChar w:fldCharType="end"/>
      </w:r>
    </w:p>
    <w:p w14:paraId="47AA5826" w14:textId="77777777" w:rsidR="000869EE" w:rsidRPr="005B734B" w:rsidRDefault="000869EE" w:rsidP="00E20DBB">
      <w:pPr>
        <w:rPr>
          <w:lang w:eastAsia="en-AU"/>
        </w:rPr>
      </w:pPr>
      <w:r w:rsidRPr="005B734B">
        <w:rPr>
          <w:noProof/>
          <w:lang w:eastAsia="en-AU"/>
        </w:rPr>
        <w:drawing>
          <wp:inline distT="0" distB="0" distL="0" distR="0" wp14:anchorId="6D049254" wp14:editId="320D4108">
            <wp:extent cx="8105775" cy="5730424"/>
            <wp:effectExtent l="0" t="0" r="0" b="38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50837" cy="5762281"/>
                    </a:xfrm>
                    <a:prstGeom prst="rect">
                      <a:avLst/>
                    </a:prstGeom>
                    <a:noFill/>
                    <a:ln>
                      <a:noFill/>
                    </a:ln>
                  </pic:spPr>
                </pic:pic>
              </a:graphicData>
            </a:graphic>
          </wp:inline>
        </w:drawing>
      </w:r>
    </w:p>
    <w:p w14:paraId="1DDF6B88" w14:textId="6FF36EEB" w:rsidR="008D0421" w:rsidRPr="005B734B" w:rsidRDefault="008D0421" w:rsidP="00E20DBB">
      <w:pPr>
        <w:pStyle w:val="Caption"/>
      </w:pPr>
      <w:r w:rsidRPr="005B734B">
        <w:lastRenderedPageBreak/>
        <w:t>Map 2: Age-standardised notification rate (per 100,000) of infectious syphilis by Statistical Area 3 (SA3) in the previous 12 months</w:t>
      </w:r>
      <w:r w:rsidR="00445596" w:rsidRPr="005B734B">
        <w:br/>
      </w:r>
      <w:r w:rsidRPr="005B734B">
        <w:t>(Q</w:t>
      </w:r>
      <w:r w:rsidR="00FA3C64" w:rsidRPr="005B734B">
        <w:t>3</w:t>
      </w:r>
      <w:r w:rsidRPr="005B734B">
        <w:t xml:space="preserve"> 2024 – Q</w:t>
      </w:r>
      <w:r w:rsidR="002566DF" w:rsidRPr="005B734B">
        <w:t>2</w:t>
      </w:r>
      <w:r w:rsidRPr="005B734B">
        <w:t xml:space="preserve"> 2025</w:t>
      </w:r>
      <w:r w:rsidR="00445596" w:rsidRPr="005B734B">
        <w:t>)</w:t>
      </w:r>
      <w:r w:rsidR="00445596" w:rsidRPr="005B734B">
        <w:rPr>
          <w:vertAlign w:val="superscript"/>
        </w:rPr>
        <w:fldChar w:fldCharType="begin"/>
      </w:r>
      <w:r w:rsidR="00445596" w:rsidRPr="005B734B">
        <w:rPr>
          <w:vertAlign w:val="superscript"/>
        </w:rPr>
        <w:instrText xml:space="preserve"> NOTEREF _Ref204778163 \h  \* MERGEFORMAT </w:instrText>
      </w:r>
      <w:r w:rsidR="00445596" w:rsidRPr="005B734B">
        <w:rPr>
          <w:vertAlign w:val="superscript"/>
        </w:rPr>
      </w:r>
      <w:r w:rsidR="00445596" w:rsidRPr="005B734B">
        <w:rPr>
          <w:vertAlign w:val="superscript"/>
        </w:rPr>
        <w:fldChar w:fldCharType="separate"/>
      </w:r>
      <w:r w:rsidR="00062812">
        <w:rPr>
          <w:vertAlign w:val="superscript"/>
        </w:rPr>
        <w:t>4</w:t>
      </w:r>
      <w:r w:rsidR="00445596" w:rsidRPr="005B734B">
        <w:rPr>
          <w:vertAlign w:val="superscript"/>
        </w:rPr>
        <w:fldChar w:fldCharType="end"/>
      </w:r>
    </w:p>
    <w:p w14:paraId="127E2396" w14:textId="77777777" w:rsidR="00372FA5" w:rsidRPr="00A04AE2" w:rsidRDefault="00372FA5" w:rsidP="00E20DBB">
      <w:r w:rsidRPr="005B734B">
        <w:rPr>
          <w:noProof/>
          <w:lang w:eastAsia="en-AU"/>
        </w:rPr>
        <w:drawing>
          <wp:inline distT="0" distB="0" distL="0" distR="0" wp14:anchorId="0C27E2E0" wp14:editId="418497B0">
            <wp:extent cx="8020050" cy="5669818"/>
            <wp:effectExtent l="0" t="0" r="0" b="762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89492" cy="5718911"/>
                    </a:xfrm>
                    <a:prstGeom prst="rect">
                      <a:avLst/>
                    </a:prstGeom>
                    <a:noFill/>
                    <a:ln>
                      <a:noFill/>
                    </a:ln>
                  </pic:spPr>
                </pic:pic>
              </a:graphicData>
            </a:graphic>
          </wp:inline>
        </w:drawing>
      </w:r>
    </w:p>
    <w:p w14:paraId="1C750F91" w14:textId="77777777" w:rsidR="008D0421" w:rsidRPr="00A04AE2" w:rsidRDefault="008D0421" w:rsidP="00E20DBB">
      <w:pPr>
        <w:sectPr w:rsidR="008D0421" w:rsidRPr="00A04AE2" w:rsidSect="00445596">
          <w:pgSz w:w="16838" w:h="11906" w:orient="landscape"/>
          <w:pgMar w:top="993" w:right="1701" w:bottom="1134" w:left="1418" w:header="709" w:footer="709" w:gutter="0"/>
          <w:cols w:space="708"/>
          <w:docGrid w:linePitch="360"/>
        </w:sectPr>
      </w:pPr>
    </w:p>
    <w:p w14:paraId="07744BE3" w14:textId="47E62993" w:rsidR="008D0421" w:rsidRPr="005B734B" w:rsidRDefault="008D0421" w:rsidP="00E20DBB">
      <w:pPr>
        <w:pStyle w:val="Heading2"/>
      </w:pPr>
      <w:r w:rsidRPr="005B734B">
        <w:lastRenderedPageBreak/>
        <w:t>2.4 Notification rate of infectious syphilis in women</w:t>
      </w:r>
      <w:bookmarkStart w:id="7" w:name="_Ref207887924"/>
      <w:r w:rsidR="009723F9" w:rsidRPr="005B734B">
        <w:rPr>
          <w:vertAlign w:val="superscript"/>
        </w:rPr>
        <w:footnoteReference w:id="6"/>
      </w:r>
      <w:bookmarkEnd w:id="7"/>
      <w:r w:rsidRPr="005B734B">
        <w:t xml:space="preserve"> of reproductive age (15-44 years) by Indigenous status and remoteness </w:t>
      </w:r>
      <w:r w:rsidRPr="00E20DBB">
        <w:t>area</w:t>
      </w:r>
    </w:p>
    <w:p w14:paraId="6162F659" w14:textId="1083FC44" w:rsidR="00971725" w:rsidRPr="005B734B" w:rsidRDefault="000C7C61" w:rsidP="00E20DBB">
      <w:r w:rsidRPr="005B734B">
        <w:t>Between 2020 and Q</w:t>
      </w:r>
      <w:r w:rsidR="00876B31" w:rsidRPr="005B734B">
        <w:t>2</w:t>
      </w:r>
      <w:r w:rsidRPr="005B734B">
        <w:t xml:space="preserve"> 2025, </w:t>
      </w:r>
      <w:r w:rsidR="00F21F6F">
        <w:t>of infectious</w:t>
      </w:r>
      <w:r w:rsidR="00490729">
        <w:t xml:space="preserve"> syphilis cases reported among women,</w:t>
      </w:r>
      <w:r w:rsidR="00490729" w:rsidRPr="005B734B">
        <w:t xml:space="preserve"> most</w:t>
      </w:r>
      <w:r w:rsidRPr="005B734B">
        <w:t xml:space="preserve"> (</w:t>
      </w:r>
      <w:r w:rsidR="001C5C93" w:rsidRPr="005B734B">
        <w:t>86%</w:t>
      </w:r>
      <w:r w:rsidRPr="005B734B">
        <w:t>)</w:t>
      </w:r>
      <w:r w:rsidR="001C5C93" w:rsidRPr="005B734B">
        <w:t xml:space="preserve"> </w:t>
      </w:r>
      <w:r w:rsidRPr="005B734B">
        <w:t xml:space="preserve">were </w:t>
      </w:r>
      <w:r w:rsidR="001C5C93" w:rsidRPr="005B734B">
        <w:t>in women aged between 15-44 years of age, with the average</w:t>
      </w:r>
      <w:r w:rsidRPr="005B734B">
        <w:t xml:space="preserve"> proportion</w:t>
      </w:r>
      <w:r w:rsidR="001C5C93" w:rsidRPr="005B734B">
        <w:t xml:space="preserve"> among Aboriginal and Torres Strait Islander women higher (89%) and non-Indigenous women lower (84%)</w:t>
      </w:r>
      <w:r w:rsidRPr="005B734B">
        <w:t xml:space="preserve"> (Figure 7a-b)</w:t>
      </w:r>
      <w:r w:rsidR="001C5C93" w:rsidRPr="005B734B">
        <w:t xml:space="preserve">. </w:t>
      </w:r>
    </w:p>
    <w:p w14:paraId="2A994A0B" w14:textId="4F909335" w:rsidR="001C5C93" w:rsidRPr="00E20DBB" w:rsidRDefault="001C5C93" w:rsidP="00E20DBB">
      <w:pPr>
        <w:pStyle w:val="Heading3"/>
      </w:pPr>
      <w:r w:rsidRPr="00E20DBB">
        <w:t>Aboriginal and Torres Strait Islander women</w:t>
      </w:r>
    </w:p>
    <w:p w14:paraId="6849F12B" w14:textId="6679EA41" w:rsidR="00971725" w:rsidRPr="005B734B" w:rsidRDefault="001C5C93" w:rsidP="00E20DBB">
      <w:r w:rsidRPr="005B734B">
        <w:t xml:space="preserve">The highest proportion and </w:t>
      </w:r>
      <w:r w:rsidR="000C7C61" w:rsidRPr="005B734B">
        <w:t xml:space="preserve">notification </w:t>
      </w:r>
      <w:r w:rsidRPr="005B734B">
        <w:t xml:space="preserve">rates among Aboriginal and Torres Strait Islander women of reproductive </w:t>
      </w:r>
      <w:r w:rsidR="00B37040" w:rsidRPr="005B734B">
        <w:t xml:space="preserve">age </w:t>
      </w:r>
      <w:r w:rsidRPr="005B734B">
        <w:t>have consistently been reported in remote</w:t>
      </w:r>
      <w:r w:rsidR="00B37040" w:rsidRPr="005B734B">
        <w:t>/</w:t>
      </w:r>
      <w:r w:rsidRPr="005B734B">
        <w:t xml:space="preserve">very remote areas of Australia, representing </w:t>
      </w:r>
      <w:r w:rsidR="001F4F6A" w:rsidRPr="005B734B">
        <w:t xml:space="preserve">half </w:t>
      </w:r>
      <w:r w:rsidRPr="005B734B">
        <w:t xml:space="preserve">of </w:t>
      </w:r>
      <w:r w:rsidR="00016B86" w:rsidRPr="005B734B">
        <w:t xml:space="preserve">the </w:t>
      </w:r>
      <w:r w:rsidRPr="005B734B">
        <w:t>cases</w:t>
      </w:r>
      <w:r w:rsidR="001F4F6A" w:rsidRPr="005B734B">
        <w:t xml:space="preserve"> (5</w:t>
      </w:r>
      <w:r w:rsidR="00EE225D" w:rsidRPr="005B734B">
        <w:t>0</w:t>
      </w:r>
      <w:r w:rsidR="001F4F6A" w:rsidRPr="005B734B">
        <w:t>%)</w:t>
      </w:r>
      <w:r w:rsidRPr="005B734B">
        <w:t xml:space="preserve"> reported between 2020 and Q</w:t>
      </w:r>
      <w:r w:rsidR="00EE225D" w:rsidRPr="005B734B">
        <w:t>2</w:t>
      </w:r>
      <w:r w:rsidRPr="005B734B">
        <w:t xml:space="preserve"> 2025</w:t>
      </w:r>
      <w:r w:rsidR="000C7C61" w:rsidRPr="005B734B">
        <w:t xml:space="preserve"> (Figure 7a)</w:t>
      </w:r>
      <w:r w:rsidRPr="005B734B">
        <w:t>. Although lower notifications and rates have been reported in major cities of Australia, the proportion of cases overall has been increasing since 2022 (average</w:t>
      </w:r>
      <w:r w:rsidR="00665EF5" w:rsidRPr="005B734B">
        <w:t xml:space="preserve"> </w:t>
      </w:r>
      <w:r w:rsidRPr="005B734B">
        <w:t>total 2</w:t>
      </w:r>
      <w:r w:rsidR="00EE225D" w:rsidRPr="005B734B">
        <w:t>7</w:t>
      </w:r>
      <w:r w:rsidRPr="005B734B">
        <w:t>% over the reporting period), while in inner and outer regional areas the proportion has remained relatively constant (average total 23%)</w:t>
      </w:r>
      <w:r w:rsidR="000C7C61" w:rsidRPr="005B734B">
        <w:t xml:space="preserve"> (Figure 7a)</w:t>
      </w:r>
      <w:r w:rsidRPr="005B734B">
        <w:t>.</w:t>
      </w:r>
    </w:p>
    <w:p w14:paraId="1BBE792C" w14:textId="1725D551" w:rsidR="00971725" w:rsidRPr="00E20DBB" w:rsidRDefault="001C5C93" w:rsidP="00E20DBB">
      <w:pPr>
        <w:pStyle w:val="Heading3"/>
      </w:pPr>
      <w:r w:rsidRPr="00E20DBB">
        <w:t>Non-Indigenous women</w:t>
      </w:r>
    </w:p>
    <w:p w14:paraId="7F2A2942" w14:textId="534D74BF" w:rsidR="00971725" w:rsidRPr="005B734B" w:rsidRDefault="0093172F" w:rsidP="00E20DBB">
      <w:r w:rsidRPr="005B734B">
        <w:t xml:space="preserve">Most </w:t>
      </w:r>
      <w:r w:rsidR="001C5C93" w:rsidRPr="005B734B">
        <w:t>notifications among non-Indigenous women of reproductive age were reported in major cities of Australia, on average representing 80% of cases reported between 2020 and Q</w:t>
      </w:r>
      <w:r w:rsidR="00EE225D" w:rsidRPr="005B734B">
        <w:t>2</w:t>
      </w:r>
      <w:r w:rsidR="001C5C93" w:rsidRPr="005B734B">
        <w:t xml:space="preserve"> 2025. A smaller proportion (average 19%) were reported in inner</w:t>
      </w:r>
      <w:r w:rsidR="00B37040" w:rsidRPr="005B734B">
        <w:t>/</w:t>
      </w:r>
      <w:r w:rsidR="001C5C93" w:rsidRPr="005B734B">
        <w:t xml:space="preserve">outer regional areas, and </w:t>
      </w:r>
      <w:r w:rsidR="00B37040" w:rsidRPr="005B734B">
        <w:t>very</w:t>
      </w:r>
      <w:r w:rsidR="001C5C93" w:rsidRPr="005B734B">
        <w:t xml:space="preserve"> small</w:t>
      </w:r>
      <w:r w:rsidR="00B37040" w:rsidRPr="005B734B">
        <w:t xml:space="preserve"> </w:t>
      </w:r>
      <w:r w:rsidR="001C5C93" w:rsidRPr="005B734B">
        <w:t>proportion (average 1%) in remote and very remote Australia</w:t>
      </w:r>
      <w:r w:rsidR="000C7C61" w:rsidRPr="005B734B">
        <w:t xml:space="preserve"> (Figure 7b)</w:t>
      </w:r>
      <w:r w:rsidR="001C5C93" w:rsidRPr="005B734B">
        <w:t>.</w:t>
      </w:r>
    </w:p>
    <w:p w14:paraId="138FFDC3" w14:textId="034416BF" w:rsidR="008D0421" w:rsidRPr="005B734B" w:rsidRDefault="008D0421" w:rsidP="00E20DBB">
      <w:pPr>
        <w:pStyle w:val="Caption"/>
      </w:pPr>
      <w:r w:rsidRPr="005B734B">
        <w:t xml:space="preserve">Figure </w:t>
      </w:r>
      <w:r w:rsidR="0021216D" w:rsidRPr="005B734B">
        <w:t>7</w:t>
      </w:r>
      <w:r w:rsidRPr="005B734B">
        <w:t xml:space="preserve"> a-b: Notifications (n) and notification rate (per 100,000) of infectious syphilis reported in women</w:t>
      </w:r>
      <w:r w:rsidR="009723F9" w:rsidRPr="005B734B">
        <w:fldChar w:fldCharType="begin"/>
      </w:r>
      <w:r w:rsidR="009723F9" w:rsidRPr="005B734B">
        <w:instrText xml:space="preserve"> NOTEREF _Ref207887924 \h  \* MERGEFORMAT </w:instrText>
      </w:r>
      <w:r w:rsidR="009723F9" w:rsidRPr="005B734B">
        <w:fldChar w:fldCharType="separate"/>
      </w:r>
      <w:r w:rsidR="00062812">
        <w:t>5</w:t>
      </w:r>
      <w:r w:rsidR="009723F9" w:rsidRPr="005B734B">
        <w:fldChar w:fldCharType="end"/>
      </w:r>
      <w:r w:rsidRPr="005B734B">
        <w:t xml:space="preserve"> aged 15-44 years, by Indigenous status, remoteness area, quarter, and year, 20</w:t>
      </w:r>
      <w:r w:rsidR="00C71C31" w:rsidRPr="005B734B">
        <w:t>20</w:t>
      </w:r>
      <w:r w:rsidRPr="005B734B">
        <w:t xml:space="preserve"> – Q</w:t>
      </w:r>
      <w:r w:rsidR="00697D67" w:rsidRPr="005B734B">
        <w:t>2</w:t>
      </w:r>
      <w:r w:rsidRPr="005B734B">
        <w:t xml:space="preserve"> 2025 (a. Aboriginal and Torres Strait Islander and b. non-Indigenous)</w:t>
      </w:r>
      <w:r w:rsidRPr="005B734B">
        <w:rPr>
          <w:vertAlign w:val="superscript"/>
        </w:rPr>
        <w:fldChar w:fldCharType="begin"/>
      </w:r>
      <w:r w:rsidRPr="005B734B">
        <w:rPr>
          <w:vertAlign w:val="superscript"/>
        </w:rPr>
        <w:instrText xml:space="preserve"> NOTEREF _Ref204778163 \h  \* MERGEFORMAT </w:instrText>
      </w:r>
      <w:r w:rsidRPr="005B734B">
        <w:rPr>
          <w:vertAlign w:val="superscript"/>
        </w:rPr>
      </w:r>
      <w:r w:rsidRPr="005B734B">
        <w:rPr>
          <w:vertAlign w:val="superscript"/>
        </w:rPr>
        <w:fldChar w:fldCharType="separate"/>
      </w:r>
      <w:r w:rsidR="00062812">
        <w:rPr>
          <w:vertAlign w:val="superscript"/>
        </w:rPr>
        <w:t>4</w:t>
      </w:r>
      <w:r w:rsidRPr="005B734B">
        <w:rPr>
          <w:vertAlign w:val="superscript"/>
        </w:rPr>
        <w:fldChar w:fldCharType="end"/>
      </w:r>
    </w:p>
    <w:p w14:paraId="321F3081" w14:textId="54EAD7D0" w:rsidR="00310033" w:rsidRPr="005B734B" w:rsidRDefault="00E1788C" w:rsidP="00E20DBB">
      <w:r w:rsidRPr="00A04AE2">
        <w:rPr>
          <w:noProof/>
        </w:rPr>
        <w:drawing>
          <wp:inline distT="0" distB="0" distL="0" distR="0" wp14:anchorId="5066184F" wp14:editId="031C591A">
            <wp:extent cx="5759450" cy="3755761"/>
            <wp:effectExtent l="0" t="0" r="0" b="0"/>
            <wp:docPr id="165213196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31965" name="Picture 3">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3755761"/>
                    </a:xfrm>
                    <a:prstGeom prst="rect">
                      <a:avLst/>
                    </a:prstGeom>
                    <a:noFill/>
                  </pic:spPr>
                </pic:pic>
              </a:graphicData>
            </a:graphic>
          </wp:inline>
        </w:drawing>
      </w:r>
    </w:p>
    <w:p w14:paraId="2E1EE8C7" w14:textId="03A92F4B" w:rsidR="009723F9" w:rsidRPr="005B734B" w:rsidRDefault="000E3DC3" w:rsidP="00E20DBB">
      <w:r w:rsidRPr="00A04AE2">
        <w:rPr>
          <w:noProof/>
        </w:rPr>
        <w:lastRenderedPageBreak/>
        <w:drawing>
          <wp:inline distT="0" distB="0" distL="0" distR="0" wp14:anchorId="0C87F81D" wp14:editId="693A780C">
            <wp:extent cx="5759450" cy="3755758"/>
            <wp:effectExtent l="0" t="0" r="0" b="0"/>
            <wp:docPr id="200952616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26166" name="Picture 4">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3755758"/>
                    </a:xfrm>
                    <a:prstGeom prst="rect">
                      <a:avLst/>
                    </a:prstGeom>
                    <a:noFill/>
                  </pic:spPr>
                </pic:pic>
              </a:graphicData>
            </a:graphic>
          </wp:inline>
        </w:drawing>
      </w:r>
    </w:p>
    <w:p w14:paraId="21040126" w14:textId="54581D27" w:rsidR="008D0421" w:rsidRPr="00E20DBB" w:rsidRDefault="008D0421" w:rsidP="00E20DBB">
      <w:pPr>
        <w:pStyle w:val="Heading2"/>
      </w:pPr>
      <w:r w:rsidRPr="00E20DBB">
        <w:t>2.5 Proportion of infectious syphilis notifications in men reporting sexual exposure with men only</w:t>
      </w:r>
    </w:p>
    <w:p w14:paraId="4F046F08" w14:textId="5C7FC3E5" w:rsidR="008D0421" w:rsidRPr="005B734B" w:rsidRDefault="008D0421" w:rsidP="00E20DBB">
      <w:pPr>
        <w:pStyle w:val="Heading2"/>
      </w:pPr>
      <w:r w:rsidRPr="005B734B">
        <w:t>2.6 Proportion of infectious syphilis notifications in men reporting sexual exposure with men and women</w:t>
      </w:r>
      <w:r w:rsidR="007B6950" w:rsidRPr="005B734B">
        <w:rPr>
          <w:vertAlign w:val="superscript"/>
        </w:rPr>
        <w:fldChar w:fldCharType="begin"/>
      </w:r>
      <w:r w:rsidR="007B6950" w:rsidRPr="005B734B">
        <w:rPr>
          <w:vertAlign w:val="superscript"/>
        </w:rPr>
        <w:instrText xml:space="preserve"> NOTEREF _Ref207887924 \h  \* MERGEFORMAT </w:instrText>
      </w:r>
      <w:r w:rsidR="007B6950" w:rsidRPr="005B734B">
        <w:rPr>
          <w:vertAlign w:val="superscript"/>
        </w:rPr>
      </w:r>
      <w:r w:rsidR="007B6950" w:rsidRPr="005B734B">
        <w:rPr>
          <w:vertAlign w:val="superscript"/>
        </w:rPr>
        <w:fldChar w:fldCharType="separate"/>
      </w:r>
      <w:r w:rsidR="00062812">
        <w:rPr>
          <w:vertAlign w:val="superscript"/>
        </w:rPr>
        <w:t>5</w:t>
      </w:r>
      <w:r w:rsidR="007B6950" w:rsidRPr="005B734B">
        <w:rPr>
          <w:vertAlign w:val="superscript"/>
        </w:rPr>
        <w:fldChar w:fldCharType="end"/>
      </w:r>
    </w:p>
    <w:p w14:paraId="251B43D7" w14:textId="77777777" w:rsidR="008D0421" w:rsidRPr="005B734B" w:rsidRDefault="008D0421" w:rsidP="00E20DBB">
      <w:r w:rsidRPr="005B734B">
        <w:t>Enhanced data (sexual exposure: same sex, opposite sex and both sexes) are used to report against indicators 2.5 and 2.6.</w:t>
      </w:r>
    </w:p>
    <w:p w14:paraId="5F6EFA3E" w14:textId="3F13C5A6" w:rsidR="008D0421" w:rsidRPr="005B734B" w:rsidRDefault="008D0421" w:rsidP="00E20DBB">
      <w:r w:rsidRPr="005B734B">
        <w:t>Completeness of sexual exposure</w:t>
      </w:r>
      <w:r w:rsidR="00183BFB" w:rsidRPr="008D385D">
        <w:rPr>
          <w:vertAlign w:val="superscript"/>
        </w:rPr>
        <w:footnoteReference w:id="7"/>
      </w:r>
      <w:r w:rsidRPr="005B734B">
        <w:t xml:space="preserve"> in males notified with infectious syphilis fluctuated between 20</w:t>
      </w:r>
      <w:r w:rsidR="00183BFB" w:rsidRPr="005B734B">
        <w:t xml:space="preserve">20 </w:t>
      </w:r>
      <w:r w:rsidRPr="005B734B">
        <w:t>and Q</w:t>
      </w:r>
      <w:r w:rsidR="00BF43A5" w:rsidRPr="005B734B">
        <w:t>2</w:t>
      </w:r>
      <w:r w:rsidRPr="005B734B">
        <w:t xml:space="preserve"> 2025, ranging from 6</w:t>
      </w:r>
      <w:r w:rsidR="00430240" w:rsidRPr="005B734B">
        <w:t>3</w:t>
      </w:r>
      <w:r w:rsidRPr="005B734B">
        <w:t>% to 8</w:t>
      </w:r>
      <w:r w:rsidR="00183BFB" w:rsidRPr="005B734B">
        <w:t>0</w:t>
      </w:r>
      <w:r w:rsidRPr="005B734B">
        <w:t xml:space="preserve">% (average </w:t>
      </w:r>
      <w:r w:rsidR="00430240" w:rsidRPr="005B734B">
        <w:t>7</w:t>
      </w:r>
      <w:r w:rsidR="004C170D" w:rsidRPr="005B734B">
        <w:t>1</w:t>
      </w:r>
      <w:r w:rsidRPr="005B734B">
        <w:t>%)</w:t>
      </w:r>
      <w:r w:rsidR="00183BFB" w:rsidRPr="005B734B">
        <w:t>.</w:t>
      </w:r>
    </w:p>
    <w:p w14:paraId="45CC5237" w14:textId="0E2275D7" w:rsidR="00430240" w:rsidRPr="005B734B" w:rsidRDefault="00971725" w:rsidP="00E20DBB">
      <w:r w:rsidRPr="005B734B">
        <w:t>Males reporting sexual exposure with the same sex only</w:t>
      </w:r>
      <w:r w:rsidR="0087058B">
        <w:t>,</w:t>
      </w:r>
      <w:r w:rsidRPr="005B734B">
        <w:t xml:space="preserve"> represented the highest proportion of sexual exposure events (</w:t>
      </w:r>
      <w:r w:rsidR="00430240" w:rsidRPr="005B734B">
        <w:t>51</w:t>
      </w:r>
      <w:r w:rsidRPr="005B734B">
        <w:t>%) in Q</w:t>
      </w:r>
      <w:r w:rsidR="008F4D6D" w:rsidRPr="005B734B">
        <w:t>2</w:t>
      </w:r>
      <w:r w:rsidRPr="005B734B">
        <w:t xml:space="preserve"> 2025</w:t>
      </w:r>
      <w:r w:rsidR="00430240" w:rsidRPr="005B734B">
        <w:t xml:space="preserve"> consistent with historical trends. </w:t>
      </w:r>
      <w:r w:rsidRPr="005B734B">
        <w:t>The proportion of males reporting sexual exposure with people of a different sex only</w:t>
      </w:r>
      <w:r w:rsidR="0087058B">
        <w:t>,</w:t>
      </w:r>
      <w:r w:rsidRPr="005B734B">
        <w:t xml:space="preserve"> was </w:t>
      </w:r>
      <w:r w:rsidR="00430240" w:rsidRPr="005B734B">
        <w:t>2</w:t>
      </w:r>
      <w:r w:rsidR="008F4D6D" w:rsidRPr="005B734B">
        <w:t>0</w:t>
      </w:r>
      <w:r w:rsidRPr="005B734B">
        <w:t>% in Q</w:t>
      </w:r>
      <w:r w:rsidR="008F4D6D" w:rsidRPr="005B734B">
        <w:t>2</w:t>
      </w:r>
      <w:r w:rsidRPr="005B734B">
        <w:t xml:space="preserve"> 2025, </w:t>
      </w:r>
      <w:r w:rsidR="00430240" w:rsidRPr="005B734B">
        <w:t>with proportional increases compared with the</w:t>
      </w:r>
      <w:r w:rsidRPr="005B734B">
        <w:t xml:space="preserve"> 12 month and 5 year quarterly means</w:t>
      </w:r>
      <w:r w:rsidR="00430240" w:rsidRPr="005B734B">
        <w:t>, 1</w:t>
      </w:r>
      <w:r w:rsidR="00AF3B24" w:rsidRPr="005B734B">
        <w:t>9</w:t>
      </w:r>
      <w:r w:rsidR="00430240" w:rsidRPr="005B734B">
        <w:t xml:space="preserve"> and 16% respectively</w:t>
      </w:r>
      <w:r w:rsidRPr="005B734B">
        <w:t xml:space="preserve">. </w:t>
      </w:r>
      <w:r w:rsidR="00430240" w:rsidRPr="005B734B">
        <w:t xml:space="preserve"> </w:t>
      </w:r>
      <w:r w:rsidRPr="005B734B">
        <w:t xml:space="preserve">Proportionally males reporting sexual exposure with people of different and same sex was </w:t>
      </w:r>
      <w:r w:rsidR="003C2A76" w:rsidRPr="005B734B">
        <w:t>6</w:t>
      </w:r>
      <w:r w:rsidRPr="005B734B">
        <w:t>% in Q</w:t>
      </w:r>
      <w:r w:rsidR="003C2A76" w:rsidRPr="005B734B">
        <w:t>2</w:t>
      </w:r>
      <w:r w:rsidRPr="005B734B">
        <w:t xml:space="preserve"> 2025</w:t>
      </w:r>
      <w:r w:rsidR="00430240" w:rsidRPr="005B734B">
        <w:t xml:space="preserve">. </w:t>
      </w:r>
      <w:r w:rsidR="000C7C61" w:rsidRPr="005B734B">
        <w:t>(Figure 8)</w:t>
      </w:r>
      <w:r w:rsidRPr="005B734B">
        <w:t xml:space="preserve">. </w:t>
      </w:r>
    </w:p>
    <w:p w14:paraId="026B24EA" w14:textId="08AF7DFA" w:rsidR="00971725" w:rsidRPr="00A73671" w:rsidRDefault="00430240" w:rsidP="00E20DBB">
      <w:r w:rsidRPr="00A73671">
        <w:t>Ch</w:t>
      </w:r>
      <w:r w:rsidR="00971725" w:rsidRPr="00A73671">
        <w:t>ange</w:t>
      </w:r>
      <w:r w:rsidRPr="00A73671">
        <w:t>s in sexual exposure</w:t>
      </w:r>
      <w:r w:rsidR="00971725" w:rsidRPr="00A73671">
        <w:t xml:space="preserve"> over time </w:t>
      </w:r>
      <w:r w:rsidRPr="00A73671">
        <w:t>suggests</w:t>
      </w:r>
      <w:r w:rsidR="00971725" w:rsidRPr="00A73671">
        <w:t xml:space="preserve"> potential overlapping in sexual networks influencing the epidemiology of syphilis transmission across Australia</w:t>
      </w:r>
      <w:r w:rsidRPr="00A73671">
        <w:t xml:space="preserve">, including increasing exposure </w:t>
      </w:r>
      <w:r w:rsidR="0087058B" w:rsidRPr="00A73671">
        <w:t>risk</w:t>
      </w:r>
      <w:r w:rsidRPr="00A73671">
        <w:t xml:space="preserve"> for females</w:t>
      </w:r>
      <w:r w:rsidR="00971725" w:rsidRPr="00A73671">
        <w:t xml:space="preserve">. This concept has </w:t>
      </w:r>
      <w:r w:rsidRPr="00A73671">
        <w:t xml:space="preserve">also </w:t>
      </w:r>
      <w:r w:rsidR="00971725" w:rsidRPr="00A73671">
        <w:t>been observed in genomic analysis of Treponema pallidum (syphilis) in Australia</w:t>
      </w:r>
      <w:r w:rsidRPr="00A73671">
        <w:t xml:space="preserve"> and other sexually transmissible infections</w:t>
      </w:r>
      <w:r w:rsidR="00971725" w:rsidRPr="00A73671">
        <w:t xml:space="preserve"> </w:t>
      </w:r>
      <w:r w:rsidR="00971725" w:rsidRPr="00A73671">
        <w:fldChar w:fldCharType="begin">
          <w:fldData xml:space="preserve">PEVuZE5vdGU+PENpdGU+PEF1dGhvcj5UYW91azwvQXV0aG9yPjxZZWFyPjIwMjI8L1llYXI+PFJl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</w:fldData>
        </w:fldChar>
      </w:r>
      <w:r w:rsidRPr="00A73671">
        <w:instrText xml:space="preserve"> ADDIN EN.CITE </w:instrText>
      </w:r>
      <w:r w:rsidRPr="00A73671">
        <w:fldChar w:fldCharType="begin">
          <w:fldData xml:space="preserve">PEVuZE5vdGU+PENpdGU+PEF1dGhvcj5UYW91azwvQXV0aG9yPjxZZWFyPjIwMjI8L1llYXI+PFJl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</w:fldData>
        </w:fldChar>
      </w:r>
      <w:r w:rsidRPr="00A73671">
        <w:instrText xml:space="preserve"> ADDIN EN.CITE.DATA </w:instrText>
      </w:r>
      <w:r w:rsidRPr="00A73671">
        <w:fldChar w:fldCharType="end"/>
      </w:r>
      <w:r w:rsidR="00971725" w:rsidRPr="00A73671">
        <w:fldChar w:fldCharType="separate"/>
      </w:r>
      <w:r w:rsidRPr="00A73671">
        <w:t>(6, 7)</w:t>
      </w:r>
      <w:r w:rsidR="00971725" w:rsidRPr="00A73671">
        <w:fldChar w:fldCharType="end"/>
      </w:r>
      <w:r w:rsidR="00971725" w:rsidRPr="00A73671">
        <w:t>.</w:t>
      </w:r>
    </w:p>
    <w:p w14:paraId="1F7F9075" w14:textId="7FED3B01" w:rsidR="008D0421" w:rsidRPr="005B734B" w:rsidRDefault="008D0421" w:rsidP="00E20DBB">
      <w:pPr>
        <w:pStyle w:val="Caption"/>
      </w:pPr>
      <w:r w:rsidRPr="005B734B">
        <w:lastRenderedPageBreak/>
        <w:t xml:space="preserve">Figure </w:t>
      </w:r>
      <w:r w:rsidR="0021216D" w:rsidRPr="005B734B">
        <w:t>8</w:t>
      </w:r>
      <w:r w:rsidRPr="005B734B">
        <w:t>: Number of infectious syphilis notifications among m</w:t>
      </w:r>
      <w:r w:rsidR="007B6950" w:rsidRPr="005B734B">
        <w:t>ales</w:t>
      </w:r>
      <w:r w:rsidRPr="005B734B">
        <w:t xml:space="preserve"> and proportion (%) of cases by sexual exposure and year 20</w:t>
      </w:r>
      <w:r w:rsidR="00310033" w:rsidRPr="005B734B">
        <w:t>20</w:t>
      </w:r>
      <w:r w:rsidRPr="005B734B">
        <w:t xml:space="preserve"> – Q</w:t>
      </w:r>
      <w:r w:rsidR="000E3DC3" w:rsidRPr="005B734B">
        <w:t>2</w:t>
      </w:r>
      <w:r w:rsidRPr="005B734B">
        <w:t xml:space="preserve"> 2025 </w:t>
      </w:r>
    </w:p>
    <w:p w14:paraId="4C9DA2A4" w14:textId="75362E9F" w:rsidR="00985B2C" w:rsidRDefault="007D10AC" w:rsidP="00E20DBB">
      <w:r w:rsidRPr="00A04AE2">
        <w:rPr>
          <w:noProof/>
        </w:rPr>
        <w:drawing>
          <wp:inline distT="0" distB="0" distL="0" distR="0" wp14:anchorId="3AA78D7C" wp14:editId="377D9E9B">
            <wp:extent cx="5759450" cy="3755770"/>
            <wp:effectExtent l="0" t="0" r="0" b="0"/>
            <wp:docPr id="95959463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94633" name="Picture 2">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3755770"/>
                    </a:xfrm>
                    <a:prstGeom prst="rect">
                      <a:avLst/>
                    </a:prstGeom>
                    <a:noFill/>
                  </pic:spPr>
                </pic:pic>
              </a:graphicData>
            </a:graphic>
          </wp:inline>
        </w:drawing>
      </w:r>
    </w:p>
    <w:p w14:paraId="6F7CCA24" w14:textId="2163C436" w:rsidR="00E20DBB" w:rsidRPr="00E20DBB" w:rsidRDefault="00E20DBB" w:rsidP="00E20DBB">
      <w:r w:rsidRPr="00E20DBB">
        <w:br w:type="page"/>
      </w:r>
    </w:p>
    <w:p w14:paraId="4D700AF0" w14:textId="76092DCF" w:rsidR="008D0421" w:rsidRPr="005B734B" w:rsidRDefault="008D0421" w:rsidP="00216DF1">
      <w:pPr>
        <w:pStyle w:val="Heading1"/>
      </w:pPr>
      <w:r w:rsidRPr="005B734B">
        <w:lastRenderedPageBreak/>
        <w:t>Goal 3: Reduce morbidity and mortality associated with syphilis</w:t>
      </w:r>
    </w:p>
    <w:p w14:paraId="3512A640" w14:textId="6C3C0622" w:rsidR="008D0421" w:rsidRPr="005B734B" w:rsidRDefault="008D0421" w:rsidP="00E20DBB">
      <w:r w:rsidRPr="005B734B">
        <w:t>Death and hospitalisations data reported to the NNDSS are not used in reporting against this goal due to poor completeness and inconsistencies in reporting.  More comprehensive data are available through</w:t>
      </w:r>
      <w:r w:rsidR="00E63280" w:rsidRPr="005B734B">
        <w:t xml:space="preserve"> The Australian Bureau of Statistics</w:t>
      </w:r>
      <w:r w:rsidRPr="005B734B">
        <w:t xml:space="preserve"> </w:t>
      </w:r>
      <w:r w:rsidR="00E63280" w:rsidRPr="005B734B">
        <w:t>(</w:t>
      </w:r>
      <w:r w:rsidRPr="005B734B">
        <w:t>ABS</w:t>
      </w:r>
      <w:r w:rsidR="00E63280" w:rsidRPr="005B734B">
        <w:t>)</w:t>
      </w:r>
      <w:r w:rsidRPr="005B734B">
        <w:t xml:space="preserve"> and </w:t>
      </w:r>
      <w:r w:rsidR="00E63280" w:rsidRPr="005B734B">
        <w:t>The Australian Institute of Health and Welfare (</w:t>
      </w:r>
      <w:r w:rsidRPr="005B734B">
        <w:t>AIHW</w:t>
      </w:r>
      <w:r w:rsidR="00E63280" w:rsidRPr="005B734B">
        <w:t>)</w:t>
      </w:r>
      <w:r w:rsidRPr="005B734B">
        <w:t xml:space="preserve"> data collections, however these data are less timely with at least a minimum </w:t>
      </w:r>
      <w:r w:rsidR="008F3A9D" w:rsidRPr="005B734B">
        <w:t>one to two</w:t>
      </w:r>
      <w:r w:rsidRPr="005B734B">
        <w:t xml:space="preserve"> year delay from the reporting year.</w:t>
      </w:r>
    </w:p>
    <w:p w14:paraId="7EF0F911" w14:textId="38D4AE72" w:rsidR="00216DF1" w:rsidRPr="00954020" w:rsidRDefault="008D0421" w:rsidP="00E20DBB">
      <w:r w:rsidRPr="005B734B">
        <w:t>The latest available data from the ABS and AIHW will be incorporated into annual reporting for this goal.</w:t>
      </w:r>
      <w:r w:rsidR="00216DF1" w:rsidRPr="005B734B">
        <w:br w:type="page"/>
      </w:r>
    </w:p>
    <w:p w14:paraId="3EB0F2B2" w14:textId="4FEE2AE8" w:rsidR="008D0421" w:rsidRPr="005B734B" w:rsidRDefault="008D0421" w:rsidP="00216DF1">
      <w:pPr>
        <w:pStyle w:val="Heading1"/>
      </w:pPr>
      <w:r w:rsidRPr="005B734B">
        <w:lastRenderedPageBreak/>
        <w:t>Goal 4: Eliminate congenital syphilis (defined as sustained zero congenital syphilis cases)</w:t>
      </w:r>
    </w:p>
    <w:p w14:paraId="4DFD80E4" w14:textId="77777777" w:rsidR="00D07AE6" w:rsidRPr="005B734B" w:rsidRDefault="00D07AE6" w:rsidP="00D07AE6">
      <w:pPr>
        <w:pStyle w:val="Boxheading"/>
      </w:pPr>
      <w:r w:rsidRPr="005B734B">
        <w:t>Key facts</w:t>
      </w:r>
    </w:p>
    <w:p w14:paraId="5FF021E5" w14:textId="7D5C9DA0" w:rsidR="00985B2C" w:rsidRPr="005B734B" w:rsidRDefault="00395B0C" w:rsidP="00954020">
      <w:pPr>
        <w:pStyle w:val="Boxtypelistbullet"/>
      </w:pPr>
      <w:r w:rsidRPr="005B734B">
        <w:rPr>
          <w:rStyle w:val="Strong"/>
        </w:rPr>
        <w:t>9</w:t>
      </w:r>
      <w:r w:rsidR="00D07AE6" w:rsidRPr="005B734B">
        <w:rPr>
          <w:rStyle w:val="Strong"/>
        </w:rPr>
        <w:t xml:space="preserve"> cases</w:t>
      </w:r>
      <w:r w:rsidR="00D07AE6" w:rsidRPr="005B734B">
        <w:t xml:space="preserve"> of </w:t>
      </w:r>
      <w:r w:rsidR="00D07AE6" w:rsidRPr="005B734B">
        <w:rPr>
          <w:rStyle w:val="Strong"/>
        </w:rPr>
        <w:t>congenital syphilis</w:t>
      </w:r>
      <w:r w:rsidR="00D07AE6" w:rsidRPr="005B734B">
        <w:t xml:space="preserve"> were reported in </w:t>
      </w:r>
      <w:r w:rsidR="00012844" w:rsidRPr="005B734B">
        <w:t>the first six months of</w:t>
      </w:r>
      <w:r w:rsidR="00D07AE6" w:rsidRPr="005B734B">
        <w:t xml:space="preserve"> 2025:</w:t>
      </w:r>
    </w:p>
    <w:p w14:paraId="27F3EEA3" w14:textId="36A38E8A" w:rsidR="00271386" w:rsidRPr="0006215A" w:rsidRDefault="0006215A" w:rsidP="0006215A">
      <w:pPr>
        <w:pStyle w:val="Boxtypelistbullet2"/>
      </w:pPr>
      <w:r w:rsidRPr="0006215A">
        <w:t>–</w:t>
      </w:r>
      <w:r w:rsidRPr="0006215A">
        <w:tab/>
      </w:r>
      <w:r>
        <w:t xml:space="preserve"> </w:t>
      </w:r>
      <w:r w:rsidR="00012844" w:rsidRPr="0006215A">
        <w:t>5</w:t>
      </w:r>
      <w:r w:rsidR="00D07AE6" w:rsidRPr="0006215A">
        <w:t xml:space="preserve"> non-Indigenous infants</w:t>
      </w:r>
      <w:r w:rsidR="00DF45F4" w:rsidRPr="0006215A">
        <w:t xml:space="preserve">, including 1 who sadly </w:t>
      </w:r>
      <w:r w:rsidR="00F21F6F" w:rsidRPr="0006215A">
        <w:t>died.</w:t>
      </w:r>
    </w:p>
    <w:p w14:paraId="57F116A5" w14:textId="154BFD94" w:rsidR="00D07AE6" w:rsidRPr="0006215A" w:rsidRDefault="00271386" w:rsidP="0006215A">
      <w:pPr>
        <w:pStyle w:val="Boxtypelistbullet2"/>
      </w:pPr>
      <w:r w:rsidRPr="0006215A">
        <w:t xml:space="preserve">– </w:t>
      </w:r>
      <w:r w:rsidR="00012844" w:rsidRPr="0006215A">
        <w:t>4</w:t>
      </w:r>
      <w:r w:rsidR="00D07AE6" w:rsidRPr="0006215A">
        <w:t xml:space="preserve"> Aboriginal and Torres Strait Islander</w:t>
      </w:r>
      <w:r w:rsidR="008322C0" w:rsidRPr="0006215A">
        <w:t xml:space="preserve"> infants, </w:t>
      </w:r>
      <w:r w:rsidR="00423205" w:rsidRPr="0006215A">
        <w:t xml:space="preserve">including 3 </w:t>
      </w:r>
      <w:r w:rsidR="00D07AE6" w:rsidRPr="0006215A">
        <w:t>who sadly died.</w:t>
      </w:r>
    </w:p>
    <w:p w14:paraId="56FEA556" w14:textId="6274F847" w:rsidR="00D07AE6" w:rsidRPr="005B734B" w:rsidRDefault="0015210A" w:rsidP="00954020">
      <w:pPr>
        <w:pStyle w:val="Boxtypelistbullet"/>
      </w:pPr>
      <w:r w:rsidRPr="005B734B">
        <w:rPr>
          <w:rStyle w:val="Strong"/>
        </w:rPr>
        <w:t>Seven</w:t>
      </w:r>
      <w:r w:rsidR="00D07AE6" w:rsidRPr="005B734B">
        <w:rPr>
          <w:rStyle w:val="Strong"/>
        </w:rPr>
        <w:t xml:space="preserve"> women</w:t>
      </w:r>
      <w:r w:rsidR="00D07AE6" w:rsidRPr="005B734B">
        <w:rPr>
          <w:vertAlign w:val="superscript"/>
        </w:rPr>
        <w:t>4</w:t>
      </w:r>
      <w:r w:rsidR="00D07AE6" w:rsidRPr="005B734B">
        <w:t xml:space="preserve"> who gave birth to these infants were diagnosed with syphilis </w:t>
      </w:r>
      <w:r w:rsidR="00D07AE6" w:rsidRPr="005B734B">
        <w:rPr>
          <w:rStyle w:val="Strong"/>
        </w:rPr>
        <w:t>late in pregnancy</w:t>
      </w:r>
      <w:r w:rsidR="00D07AE6" w:rsidRPr="005B734B">
        <w:t xml:space="preserve"> and did not receive adequate treatment prior to delivery.</w:t>
      </w:r>
    </w:p>
    <w:p w14:paraId="0219B594" w14:textId="16A8506F" w:rsidR="00D07AE6" w:rsidRPr="005B734B" w:rsidRDefault="00D07AE6" w:rsidP="00182D4C">
      <w:pPr>
        <w:pStyle w:val="Boxtypelistbullet"/>
      </w:pPr>
      <w:r w:rsidRPr="005B734B">
        <w:t xml:space="preserve">In </w:t>
      </w:r>
      <w:r w:rsidR="004D1E5E" w:rsidRPr="005B734B">
        <w:t xml:space="preserve">the first six months of </w:t>
      </w:r>
      <w:r w:rsidRPr="005B734B">
        <w:t xml:space="preserve">2025, </w:t>
      </w:r>
      <w:r w:rsidRPr="005B734B">
        <w:rPr>
          <w:rStyle w:val="Strong"/>
        </w:rPr>
        <w:t>1</w:t>
      </w:r>
      <w:r w:rsidR="004D1E5E" w:rsidRPr="005B734B">
        <w:rPr>
          <w:rStyle w:val="Strong"/>
        </w:rPr>
        <w:t>5</w:t>
      </w:r>
      <w:r w:rsidRPr="005B734B">
        <w:rPr>
          <w:rStyle w:val="Strong"/>
        </w:rPr>
        <w:t>%</w:t>
      </w:r>
      <w:r w:rsidRPr="005B734B">
        <w:t xml:space="preserve"> of women of reproductive age were </w:t>
      </w:r>
      <w:r w:rsidRPr="005B734B">
        <w:rPr>
          <w:rStyle w:val="Strong"/>
        </w:rPr>
        <w:t>pregnant</w:t>
      </w:r>
      <w:r w:rsidRPr="005B734B">
        <w:t xml:space="preserve"> at syphilis diagnosis. </w:t>
      </w:r>
    </w:p>
    <w:p w14:paraId="2F57A05F" w14:textId="77777777" w:rsidR="00D07AE6" w:rsidRPr="005B734B" w:rsidRDefault="00D07AE6" w:rsidP="00D07AE6">
      <w:pPr>
        <w:pStyle w:val="Boxheading"/>
      </w:pPr>
      <w:r w:rsidRPr="005B734B">
        <w:t>Long term trends</w:t>
      </w:r>
    </w:p>
    <w:p w14:paraId="4FB0196E" w14:textId="0892AF4A" w:rsidR="00D07AE6" w:rsidRPr="005B734B" w:rsidRDefault="008D385D" w:rsidP="00954020">
      <w:pPr>
        <w:pStyle w:val="Boxtypelistbullet"/>
      </w:pPr>
      <w:r>
        <w:rPr>
          <w:rStyle w:val="Strong"/>
        </w:rPr>
        <w:t xml:space="preserve">86 </w:t>
      </w:r>
      <w:r w:rsidR="00D07AE6" w:rsidRPr="005B734B">
        <w:t xml:space="preserve">of congenital syphilis have been reported between </w:t>
      </w:r>
      <w:r w:rsidR="00D07AE6" w:rsidRPr="005B734B">
        <w:rPr>
          <w:rStyle w:val="Strong"/>
        </w:rPr>
        <w:t>2020 – Q</w:t>
      </w:r>
      <w:r w:rsidR="00236F04" w:rsidRPr="005B734B">
        <w:rPr>
          <w:rStyle w:val="Strong"/>
        </w:rPr>
        <w:t>2</w:t>
      </w:r>
      <w:r w:rsidR="00D07AE6" w:rsidRPr="005B734B">
        <w:rPr>
          <w:rStyle w:val="Strong"/>
        </w:rPr>
        <w:t xml:space="preserve"> 2025</w:t>
      </w:r>
      <w:r w:rsidR="00D07AE6" w:rsidRPr="005B734B">
        <w:t xml:space="preserve">, including </w:t>
      </w:r>
      <w:r w:rsidR="009E29EC" w:rsidRPr="005B734B">
        <w:rPr>
          <w:rStyle w:val="Strong"/>
        </w:rPr>
        <w:t>30</w:t>
      </w:r>
      <w:r w:rsidR="00D07AE6" w:rsidRPr="005B734B">
        <w:rPr>
          <w:rStyle w:val="Strong"/>
        </w:rPr>
        <w:t xml:space="preserve"> deaths</w:t>
      </w:r>
      <w:r w:rsidR="00D07AE6" w:rsidRPr="005B734B">
        <w:t>:</w:t>
      </w:r>
    </w:p>
    <w:p w14:paraId="31CC754B" w14:textId="26454B25" w:rsidR="00D07AE6" w:rsidRPr="0006215A" w:rsidRDefault="00271386" w:rsidP="0006215A">
      <w:pPr>
        <w:pStyle w:val="Boxtypelistbullet2"/>
      </w:pPr>
      <w:r w:rsidRPr="0006215A">
        <w:t xml:space="preserve">– </w:t>
      </w:r>
      <w:r w:rsidR="00D07AE6" w:rsidRPr="0006215A">
        <w:t>4</w:t>
      </w:r>
      <w:r w:rsidR="009E29EC" w:rsidRPr="0006215A">
        <w:t>6</w:t>
      </w:r>
      <w:r w:rsidR="00D07AE6" w:rsidRPr="0006215A">
        <w:t xml:space="preserve"> Aboriginal and Torres Strait Islander infants, including 1</w:t>
      </w:r>
      <w:r w:rsidR="00561A36" w:rsidRPr="0006215A">
        <w:t>8</w:t>
      </w:r>
      <w:r w:rsidR="00D07AE6" w:rsidRPr="0006215A">
        <w:t xml:space="preserve"> deaths.</w:t>
      </w:r>
    </w:p>
    <w:p w14:paraId="0BBC7A0B" w14:textId="76F544CD" w:rsidR="00D07AE6" w:rsidRPr="0006215A" w:rsidRDefault="00271386" w:rsidP="0006215A">
      <w:pPr>
        <w:pStyle w:val="Boxtypelistbullet2"/>
      </w:pPr>
      <w:r w:rsidRPr="0006215A">
        <w:t xml:space="preserve">– </w:t>
      </w:r>
      <w:r w:rsidR="00D07AE6" w:rsidRPr="0006215A">
        <w:t>3</w:t>
      </w:r>
      <w:r w:rsidR="00561A36" w:rsidRPr="0006215A">
        <w:t>8</w:t>
      </w:r>
      <w:r w:rsidR="00D07AE6" w:rsidRPr="0006215A">
        <w:t xml:space="preserve"> non-Indigenous infants, including </w:t>
      </w:r>
      <w:r w:rsidR="00561A36" w:rsidRPr="0006215A">
        <w:t>10</w:t>
      </w:r>
      <w:r w:rsidR="00D07AE6" w:rsidRPr="0006215A">
        <w:t xml:space="preserve"> deaths.</w:t>
      </w:r>
    </w:p>
    <w:p w14:paraId="58A2A986" w14:textId="669EC6A3" w:rsidR="00D07AE6" w:rsidRPr="0006215A" w:rsidRDefault="00271386" w:rsidP="0006215A">
      <w:pPr>
        <w:pStyle w:val="Boxtypelistbullet2"/>
      </w:pPr>
      <w:r w:rsidRPr="0006215A">
        <w:t xml:space="preserve">– </w:t>
      </w:r>
      <w:r w:rsidR="00D07AE6" w:rsidRPr="0006215A">
        <w:t>2 infants with unknown Indigenous status who died of the infection.</w:t>
      </w:r>
    </w:p>
    <w:p w14:paraId="734E55FD" w14:textId="0604BBD2" w:rsidR="00D07AE6" w:rsidRPr="005B734B" w:rsidRDefault="00D07AE6" w:rsidP="00954020">
      <w:pPr>
        <w:pStyle w:val="Boxtypelistbullet"/>
      </w:pPr>
      <w:r w:rsidRPr="005B734B">
        <w:t xml:space="preserve">Of the women giving birth to an infant with congenital syphilis between </w:t>
      </w:r>
      <w:r w:rsidRPr="005B734B">
        <w:rPr>
          <w:rStyle w:val="Strong"/>
        </w:rPr>
        <w:t>2020 – Q</w:t>
      </w:r>
      <w:r w:rsidR="0015210A" w:rsidRPr="005B734B">
        <w:rPr>
          <w:rStyle w:val="Strong"/>
        </w:rPr>
        <w:t>2</w:t>
      </w:r>
      <w:r w:rsidRPr="005B734B">
        <w:rPr>
          <w:rStyle w:val="Strong"/>
        </w:rPr>
        <w:t xml:space="preserve"> 2025</w:t>
      </w:r>
      <w:r w:rsidRPr="005B734B">
        <w:t>:</w:t>
      </w:r>
    </w:p>
    <w:p w14:paraId="1F45C2B9" w14:textId="4360D9C4" w:rsidR="00D07AE6" w:rsidRPr="0006215A" w:rsidRDefault="00271386" w:rsidP="0006215A">
      <w:pPr>
        <w:pStyle w:val="Boxtypelistbullet2"/>
      </w:pPr>
      <w:r w:rsidRPr="0006215A">
        <w:t xml:space="preserve">– </w:t>
      </w:r>
      <w:r w:rsidR="00D07AE6" w:rsidRPr="0006215A">
        <w:t>8</w:t>
      </w:r>
      <w:r w:rsidR="0015210A" w:rsidRPr="0006215A">
        <w:t>1</w:t>
      </w:r>
      <w:r w:rsidR="00D07AE6" w:rsidRPr="0006215A">
        <w:t>% were diagnosed late5 in pregnancy.</w:t>
      </w:r>
    </w:p>
    <w:p w14:paraId="524BF7C4" w14:textId="7A48D8BA" w:rsidR="00D07AE6" w:rsidRPr="0006215A" w:rsidRDefault="00271386" w:rsidP="0006215A">
      <w:pPr>
        <w:pStyle w:val="Boxtypelistbullet2"/>
      </w:pPr>
      <w:r w:rsidRPr="0006215A">
        <w:t xml:space="preserve">– </w:t>
      </w:r>
      <w:r w:rsidR="00D07AE6" w:rsidRPr="0006215A">
        <w:t>9</w:t>
      </w:r>
      <w:r w:rsidR="00BC727F" w:rsidRPr="0006215A">
        <w:t>6</w:t>
      </w:r>
      <w:r w:rsidR="00D07AE6" w:rsidRPr="0006215A">
        <w:t>% did not receive adequate6 treatment prior to delivery.</w:t>
      </w:r>
    </w:p>
    <w:p w14:paraId="255B5E99" w14:textId="76D005B3" w:rsidR="008D0421" w:rsidRPr="0006215A" w:rsidRDefault="00271386" w:rsidP="0006215A">
      <w:pPr>
        <w:pStyle w:val="Boxtypelistbullet2"/>
      </w:pPr>
      <w:r w:rsidRPr="0006215A">
        <w:t xml:space="preserve">– </w:t>
      </w:r>
      <w:r w:rsidR="00D07AE6" w:rsidRPr="0006215A">
        <w:t>6</w:t>
      </w:r>
      <w:r w:rsidR="00BC727F" w:rsidRPr="0006215A">
        <w:t>3</w:t>
      </w:r>
      <w:r w:rsidR="00D07AE6" w:rsidRPr="0006215A">
        <w:t>% did not have a previous syphilis test in pregnancy.</w:t>
      </w:r>
    </w:p>
    <w:p w14:paraId="73CF6FED" w14:textId="0BC6D6D0" w:rsidR="008D0421" w:rsidRPr="00E20DBB" w:rsidRDefault="00985B2C" w:rsidP="00E20DBB">
      <w:pPr>
        <w:pStyle w:val="Heading2"/>
      </w:pPr>
      <w:r w:rsidRPr="00E20DBB">
        <w:t xml:space="preserve">4.1 </w:t>
      </w:r>
      <w:r w:rsidR="008D0421" w:rsidRPr="00E20DBB">
        <w:t>Number of congenital syphilis cases by remoteness area and Indigenous status</w:t>
      </w:r>
    </w:p>
    <w:p w14:paraId="1097D3F3" w14:textId="77777777" w:rsidR="008D0421" w:rsidRPr="00E20DBB" w:rsidRDefault="008D0421" w:rsidP="00E20DBB">
      <w:pPr>
        <w:pStyle w:val="Heading2"/>
      </w:pPr>
      <w:r w:rsidRPr="00E20DBB">
        <w:t>4.2 Number of congenital syphilis related deaths by Indigenous status</w:t>
      </w:r>
    </w:p>
    <w:p w14:paraId="53E0140A" w14:textId="77777777" w:rsidR="008D0421" w:rsidRPr="00E20DBB" w:rsidRDefault="008D0421" w:rsidP="00E20DBB">
      <w:pPr>
        <w:pStyle w:val="Heading2"/>
      </w:pPr>
      <w:r w:rsidRPr="00E20DBB">
        <w:t>4.3 Notification rate of congenital syphilis per 100,000 live births by remoteness area and Indigenous status</w:t>
      </w:r>
    </w:p>
    <w:p w14:paraId="57DCD6BD" w14:textId="77777777" w:rsidR="0003232C" w:rsidRPr="005B734B" w:rsidRDefault="00971725" w:rsidP="00E20DBB">
      <w:r w:rsidRPr="005B734B">
        <w:t xml:space="preserve">In </w:t>
      </w:r>
      <w:r w:rsidR="0003232C" w:rsidRPr="005B734B">
        <w:t>the first six months of 2025</w:t>
      </w:r>
      <w:r w:rsidRPr="005B734B">
        <w:t xml:space="preserve">, </w:t>
      </w:r>
      <w:r w:rsidR="0003232C" w:rsidRPr="005B734B">
        <w:t>nine</w:t>
      </w:r>
      <w:r w:rsidRPr="005B734B">
        <w:t xml:space="preserve"> cases of congenital syphilis were reported</w:t>
      </w:r>
      <w:r w:rsidR="0003232C" w:rsidRPr="005B734B">
        <w:t>:</w:t>
      </w:r>
    </w:p>
    <w:p w14:paraId="642C5827" w14:textId="3CE58FF8" w:rsidR="0003232C" w:rsidRPr="005B734B" w:rsidRDefault="0003232C" w:rsidP="00E20DBB">
      <w:pPr>
        <w:pStyle w:val="ListBullet2"/>
      </w:pPr>
      <w:r w:rsidRPr="005B734B">
        <w:t>five</w:t>
      </w:r>
      <w:r w:rsidR="00971725" w:rsidRPr="005B734B">
        <w:t xml:space="preserve"> in non-Indigenous infants from major cities of Australia</w:t>
      </w:r>
      <w:r w:rsidRPr="005B734B">
        <w:t xml:space="preserve">, including one infant who sadly </w:t>
      </w:r>
      <w:r w:rsidR="00F21F6F" w:rsidRPr="005B734B">
        <w:t>died.</w:t>
      </w:r>
    </w:p>
    <w:p w14:paraId="2B6E91C0" w14:textId="73757AB8" w:rsidR="00971725" w:rsidRPr="005B734B" w:rsidRDefault="0003232C" w:rsidP="00E20DBB">
      <w:pPr>
        <w:pStyle w:val="ListBullet2"/>
      </w:pPr>
      <w:r w:rsidRPr="005B734B">
        <w:t>four</w:t>
      </w:r>
      <w:r w:rsidR="00971725" w:rsidRPr="005B734B">
        <w:t xml:space="preserve"> Aboriginal and Torres Strait Islander infant</w:t>
      </w:r>
      <w:r w:rsidRPr="005B734B">
        <w:t>s, two from major cities including one who died and two</w:t>
      </w:r>
      <w:r w:rsidR="00971725" w:rsidRPr="005B734B">
        <w:t xml:space="preserve"> from remote/very remote Australia, </w:t>
      </w:r>
      <w:r w:rsidRPr="005B734B">
        <w:t>both who</w:t>
      </w:r>
      <w:r w:rsidR="00971725" w:rsidRPr="005B734B">
        <w:t xml:space="preserve"> sadly died of the infection. </w:t>
      </w:r>
    </w:p>
    <w:p w14:paraId="5DAB031F" w14:textId="6D00F288" w:rsidR="00971725" w:rsidRPr="005B734B" w:rsidRDefault="00971725" w:rsidP="00E20DBB">
      <w:r w:rsidRPr="005B734B">
        <w:t>Between 2020 and Q</w:t>
      </w:r>
      <w:r w:rsidR="0003232C" w:rsidRPr="005B734B">
        <w:t>2</w:t>
      </w:r>
      <w:r w:rsidRPr="005B734B">
        <w:t xml:space="preserve"> 2025, 8</w:t>
      </w:r>
      <w:r w:rsidR="0003232C" w:rsidRPr="005B734B">
        <w:t>6</w:t>
      </w:r>
      <w:r w:rsidRPr="005B734B">
        <w:t xml:space="preserve"> cases of congenital syphilis cases have been notified. More than half (4</w:t>
      </w:r>
      <w:r w:rsidR="0003232C" w:rsidRPr="005B734B">
        <w:t>6</w:t>
      </w:r>
      <w:r w:rsidRPr="005B734B">
        <w:t>/8</w:t>
      </w:r>
      <w:r w:rsidR="0003232C" w:rsidRPr="005B734B">
        <w:t>6</w:t>
      </w:r>
      <w:r w:rsidRPr="005B734B">
        <w:t>, 5</w:t>
      </w:r>
      <w:r w:rsidR="0003232C" w:rsidRPr="005B734B">
        <w:t>3</w:t>
      </w:r>
      <w:r w:rsidRPr="005B734B">
        <w:t>%) were reported in Aboriginal and Torres Strait Islander infants, 35 in non-Indigenous infants (3</w:t>
      </w:r>
      <w:r w:rsidR="0003232C" w:rsidRPr="005B734B">
        <w:t>8</w:t>
      </w:r>
      <w:r w:rsidRPr="005B734B">
        <w:t>/8</w:t>
      </w:r>
      <w:r w:rsidR="0003232C" w:rsidRPr="005B734B">
        <w:t>6</w:t>
      </w:r>
      <w:r w:rsidRPr="005B734B">
        <w:t xml:space="preserve">, 44%) and </w:t>
      </w:r>
      <w:r w:rsidR="00455927" w:rsidRPr="005B734B">
        <w:t>two</w:t>
      </w:r>
      <w:r w:rsidRPr="005B734B">
        <w:t xml:space="preserve"> cases with an unknown Indigenous status reported (2/8</w:t>
      </w:r>
      <w:r w:rsidR="0003232C" w:rsidRPr="005B734B">
        <w:t>6</w:t>
      </w:r>
      <w:r w:rsidRPr="005B734B">
        <w:t>, 2%). Of the 8</w:t>
      </w:r>
      <w:r w:rsidR="0003232C" w:rsidRPr="005B734B">
        <w:t>6</w:t>
      </w:r>
      <w:r w:rsidRPr="005B734B">
        <w:t xml:space="preserve"> cases reported</w:t>
      </w:r>
      <w:r w:rsidR="0087058B">
        <w:t>,</w:t>
      </w:r>
      <w:r w:rsidRPr="005B734B">
        <w:t xml:space="preserve"> </w:t>
      </w:r>
      <w:r w:rsidR="0003232C" w:rsidRPr="005B734B">
        <w:t>30</w:t>
      </w:r>
      <w:r w:rsidRPr="005B734B">
        <w:t xml:space="preserve"> infants</w:t>
      </w:r>
      <w:r w:rsidR="0087058B">
        <w:t xml:space="preserve"> tragically</w:t>
      </w:r>
      <w:r w:rsidRPr="005B734B">
        <w:t xml:space="preserve"> died, 1</w:t>
      </w:r>
      <w:r w:rsidR="0003232C" w:rsidRPr="005B734B">
        <w:t>8</w:t>
      </w:r>
      <w:r w:rsidRPr="005B734B">
        <w:t xml:space="preserve"> Aboriginal and Torres Strait Islander infants, </w:t>
      </w:r>
      <w:r w:rsidR="0003232C" w:rsidRPr="005B734B">
        <w:t>10</w:t>
      </w:r>
      <w:r w:rsidRPr="005B734B">
        <w:t xml:space="preserve"> non-Indigenous infants, and </w:t>
      </w:r>
      <w:r w:rsidR="00455927" w:rsidRPr="005B734B">
        <w:t>two</w:t>
      </w:r>
      <w:r w:rsidRPr="005B734B">
        <w:t xml:space="preserve"> infants with an unknown Indigenous status (Figure 9).</w:t>
      </w:r>
    </w:p>
    <w:p w14:paraId="010A1623" w14:textId="6D71EC36" w:rsidR="008D0421" w:rsidRPr="005B734B" w:rsidRDefault="008D0421" w:rsidP="00E20DBB">
      <w:pPr>
        <w:pStyle w:val="Caption"/>
      </w:pPr>
      <w:r w:rsidRPr="005B734B">
        <w:lastRenderedPageBreak/>
        <w:t xml:space="preserve">Figure </w:t>
      </w:r>
      <w:r w:rsidR="0021216D" w:rsidRPr="005B734B">
        <w:t>9</w:t>
      </w:r>
      <w:r w:rsidRPr="005B734B">
        <w:t>: Notifications (n) and notification rate (per 100,000 live births) of congenital syphilis, by Indigenous status, remoteness area, and year, 20</w:t>
      </w:r>
      <w:r w:rsidR="00310033" w:rsidRPr="005B734B">
        <w:t>20</w:t>
      </w:r>
      <w:r w:rsidRPr="005B734B">
        <w:t xml:space="preserve"> – Q</w:t>
      </w:r>
      <w:r w:rsidR="00864492" w:rsidRPr="005B734B">
        <w:t>2</w:t>
      </w:r>
      <w:r w:rsidRPr="005B734B">
        <w:t xml:space="preserve"> 2025</w:t>
      </w:r>
      <w:r w:rsidR="006F156C" w:rsidRPr="005B734B">
        <w:rPr>
          <w:vertAlign w:val="superscript"/>
        </w:rPr>
        <w:fldChar w:fldCharType="begin"/>
      </w:r>
      <w:r w:rsidR="006F156C" w:rsidRPr="005B734B">
        <w:rPr>
          <w:vertAlign w:val="superscript"/>
        </w:rPr>
        <w:instrText xml:space="preserve"> NOTEREF _Ref213312302 \h  \* MERGEFORMAT </w:instrText>
      </w:r>
      <w:r w:rsidR="006F156C" w:rsidRPr="005B734B">
        <w:rPr>
          <w:vertAlign w:val="superscript"/>
        </w:rPr>
      </w:r>
      <w:r w:rsidR="006F156C" w:rsidRPr="005B734B">
        <w:rPr>
          <w:vertAlign w:val="superscript"/>
        </w:rPr>
        <w:fldChar w:fldCharType="separate"/>
      </w:r>
      <w:r w:rsidR="00062812">
        <w:rPr>
          <w:vertAlign w:val="superscript"/>
        </w:rPr>
        <w:t>1</w:t>
      </w:r>
      <w:r w:rsidR="006F156C" w:rsidRPr="005B734B">
        <w:rPr>
          <w:vertAlign w:val="superscript"/>
        </w:rPr>
        <w:fldChar w:fldCharType="end"/>
      </w:r>
      <w:r w:rsidR="00792723" w:rsidRPr="005B734B">
        <w:t>*</w:t>
      </w:r>
    </w:p>
    <w:p w14:paraId="4846B29F" w14:textId="2023467B" w:rsidR="008D0421" w:rsidRPr="005B734B" w:rsidRDefault="00864492" w:rsidP="00E20DBB">
      <w:r w:rsidRPr="00A04AE2">
        <w:rPr>
          <w:noProof/>
        </w:rPr>
        <w:drawing>
          <wp:inline distT="0" distB="0" distL="0" distR="0" wp14:anchorId="542B6485" wp14:editId="2E52BF32">
            <wp:extent cx="5662413" cy="3692105"/>
            <wp:effectExtent l="0" t="0" r="0" b="3810"/>
            <wp:docPr id="170129193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91932" name="Picture 2">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90200" cy="3710223"/>
                    </a:xfrm>
                    <a:prstGeom prst="rect">
                      <a:avLst/>
                    </a:prstGeom>
                    <a:noFill/>
                  </pic:spPr>
                </pic:pic>
              </a:graphicData>
            </a:graphic>
          </wp:inline>
        </w:drawing>
      </w:r>
    </w:p>
    <w:p w14:paraId="5B3F482A" w14:textId="2F6702A0" w:rsidR="008D0421" w:rsidRPr="005B734B" w:rsidRDefault="008D0421" w:rsidP="00E20DBB">
      <w:pPr>
        <w:pStyle w:val="Heading2"/>
      </w:pPr>
      <w:r w:rsidRPr="005B734B">
        <w:t>4.4 Proportion of syphilis notifications among women</w:t>
      </w:r>
      <w:r w:rsidR="009723F9" w:rsidRPr="005B734B">
        <w:rPr>
          <w:vertAlign w:val="superscript"/>
        </w:rPr>
        <w:fldChar w:fldCharType="begin"/>
      </w:r>
      <w:r w:rsidR="009723F9" w:rsidRPr="005B734B">
        <w:rPr>
          <w:vertAlign w:val="superscript"/>
        </w:rPr>
        <w:instrText xml:space="preserve"> NOTEREF _Ref207887924 \h  \* MERGEFORMAT </w:instrText>
      </w:r>
      <w:r w:rsidR="009723F9" w:rsidRPr="005B734B">
        <w:rPr>
          <w:vertAlign w:val="superscript"/>
        </w:rPr>
      </w:r>
      <w:r w:rsidR="009723F9" w:rsidRPr="005B734B">
        <w:rPr>
          <w:vertAlign w:val="superscript"/>
        </w:rPr>
        <w:fldChar w:fldCharType="separate"/>
      </w:r>
      <w:r w:rsidR="00062812">
        <w:rPr>
          <w:vertAlign w:val="superscript"/>
        </w:rPr>
        <w:t>5</w:t>
      </w:r>
      <w:r w:rsidR="009723F9" w:rsidRPr="005B734B">
        <w:rPr>
          <w:vertAlign w:val="superscript"/>
        </w:rPr>
        <w:fldChar w:fldCharType="end"/>
      </w:r>
      <w:r w:rsidRPr="005B734B">
        <w:t xml:space="preserve"> of reproductive age (15- 44 years) who were pregnant at time of diagnosis, by remoteness area and Indigenous status</w:t>
      </w:r>
    </w:p>
    <w:p w14:paraId="12D32A82" w14:textId="21688716" w:rsidR="001C5C93" w:rsidRPr="005B734B" w:rsidRDefault="001C5C93" w:rsidP="00E20DBB">
      <w:r w:rsidRPr="005B734B">
        <w:t xml:space="preserve">Pregnancy data were available for </w:t>
      </w:r>
      <w:r w:rsidR="00455927" w:rsidRPr="005B734B">
        <w:t>six</w:t>
      </w:r>
      <w:r w:rsidRPr="005B734B">
        <w:t xml:space="preserve"> jurisdictions in 2020 (excluding Victoria and the Northern Territory), </w:t>
      </w:r>
      <w:r w:rsidR="00455927" w:rsidRPr="005B734B">
        <w:t>seven</w:t>
      </w:r>
      <w:r w:rsidRPr="005B734B">
        <w:t xml:space="preserve"> jurisdictions in 2021 to </w:t>
      </w:r>
      <w:r w:rsidR="00430240" w:rsidRPr="005B734B">
        <w:t xml:space="preserve">2023 (excluding the Northern Territory), </w:t>
      </w:r>
      <w:r w:rsidR="00455927" w:rsidRPr="005B734B">
        <w:t>eight</w:t>
      </w:r>
      <w:r w:rsidR="00430240" w:rsidRPr="005B734B">
        <w:t xml:space="preserve"> jurisdictions in 2024,</w:t>
      </w:r>
      <w:r w:rsidRPr="005B734B">
        <w:t xml:space="preserve"> and </w:t>
      </w:r>
      <w:r w:rsidR="00455927" w:rsidRPr="005B734B">
        <w:t>seven</w:t>
      </w:r>
      <w:r w:rsidRPr="005B734B">
        <w:t xml:space="preserve"> jurisdictions in Q1</w:t>
      </w:r>
      <w:r w:rsidR="004E1B7C" w:rsidRPr="005B734B">
        <w:t xml:space="preserve"> and Q2</w:t>
      </w:r>
      <w:r w:rsidRPr="005B734B">
        <w:t xml:space="preserve"> 2025 (excluding Victoria as data were not available at the time of writing).</w:t>
      </w:r>
    </w:p>
    <w:p w14:paraId="4182E1BB" w14:textId="32D6C3DB" w:rsidR="001C5C93" w:rsidRPr="005B734B" w:rsidRDefault="001C5C93" w:rsidP="00E20DBB">
      <w:r w:rsidRPr="005B734B">
        <w:t>Given the high proportion of cases with an unknown pregnancy status and retrospective changes to the data, trends over</w:t>
      </w:r>
      <w:r w:rsidR="00FB7BF5">
        <w:t xml:space="preserve"> </w:t>
      </w:r>
      <w:r w:rsidRPr="005B734B">
        <w:t xml:space="preserve">time should be interpreted with caution. Please note there may be differences with previous reports due to pregnancy status being reclassified in some women and the inclusion of new historical data from jurisdictions. </w:t>
      </w:r>
    </w:p>
    <w:p w14:paraId="1AF10AFA" w14:textId="7A7A9418" w:rsidR="009F4506" w:rsidRPr="005B734B" w:rsidRDefault="009F4506" w:rsidP="00E20DBB">
      <w:r w:rsidRPr="005B734B">
        <w:t xml:space="preserve">In </w:t>
      </w:r>
      <w:r w:rsidR="004D1E5E" w:rsidRPr="005B734B">
        <w:t>the first six months of 2025</w:t>
      </w:r>
      <w:r w:rsidRPr="005B734B">
        <w:t>, 1</w:t>
      </w:r>
      <w:r w:rsidR="004D1E5E" w:rsidRPr="005B734B">
        <w:t>5</w:t>
      </w:r>
      <w:r w:rsidRPr="005B734B">
        <w:t xml:space="preserve">% of all women of reproductive age, including those with an unknown Indigenous status, were reported to be pregnant at the time of their syphilis diagnosis, higher than the </w:t>
      </w:r>
      <w:r w:rsidR="004D1E5E" w:rsidRPr="005B734B">
        <w:t>12-month</w:t>
      </w:r>
      <w:r w:rsidRPr="005B734B">
        <w:t xml:space="preserve"> </w:t>
      </w:r>
      <w:r w:rsidR="004D1E5E" w:rsidRPr="005B734B">
        <w:t xml:space="preserve">quarterly mean (14%) </w:t>
      </w:r>
      <w:r w:rsidRPr="005B734B">
        <w:t xml:space="preserve">and </w:t>
      </w:r>
      <w:r w:rsidR="004D1E5E" w:rsidRPr="005B734B">
        <w:t xml:space="preserve">lower than the </w:t>
      </w:r>
      <w:r w:rsidRPr="005B734B">
        <w:t>5 year quarterly mean (1</w:t>
      </w:r>
      <w:r w:rsidR="004D1E5E" w:rsidRPr="005B734B">
        <w:t>7</w:t>
      </w:r>
      <w:r w:rsidRPr="005B734B">
        <w:t>%</w:t>
      </w:r>
      <w:r w:rsidR="004D1E5E" w:rsidRPr="005B734B">
        <w:t>)</w:t>
      </w:r>
      <w:r w:rsidRPr="005B734B">
        <w:t xml:space="preserve"> (Figure 10). </w:t>
      </w:r>
      <w:r w:rsidR="004D1E5E" w:rsidRPr="005B734B">
        <w:t xml:space="preserve">Over the same period, 13% and 15% respectively of </w:t>
      </w:r>
      <w:r w:rsidRPr="005B734B">
        <w:t xml:space="preserve">Aboriginal and Torres Strait Islander </w:t>
      </w:r>
      <w:r w:rsidR="004D1E5E" w:rsidRPr="005B734B">
        <w:t xml:space="preserve">and non-Indigenous </w:t>
      </w:r>
      <w:r w:rsidRPr="005B734B">
        <w:t xml:space="preserve">women of reproductive age reported </w:t>
      </w:r>
      <w:r w:rsidR="004D1E5E" w:rsidRPr="005B734B">
        <w:t>were</w:t>
      </w:r>
      <w:r w:rsidRPr="005B734B">
        <w:t xml:space="preserve"> pregnant at the time of syphilis diagnosis </w:t>
      </w:r>
      <w:r w:rsidR="004D1E5E" w:rsidRPr="005B734B">
        <w:t>(</w:t>
      </w:r>
      <w:r w:rsidRPr="005B734B">
        <w:t xml:space="preserve">Figure 10 and 11a-b). </w:t>
      </w:r>
    </w:p>
    <w:p w14:paraId="5F7A9DE7" w14:textId="2FFA3D04" w:rsidR="001C5C93" w:rsidRPr="005B734B" w:rsidRDefault="00430240" w:rsidP="00E20DBB">
      <w:pPr>
        <w:pStyle w:val="Caption"/>
      </w:pPr>
      <w:r w:rsidRPr="005B734B">
        <w:lastRenderedPageBreak/>
        <w:t>Figure 10: Number of syphilis notifications among women</w:t>
      </w:r>
      <w:r w:rsidR="007B6950" w:rsidRPr="005B734B">
        <w:rPr>
          <w:vertAlign w:val="superscript"/>
        </w:rPr>
        <w:fldChar w:fldCharType="begin"/>
      </w:r>
      <w:r w:rsidR="007B6950" w:rsidRPr="005B734B">
        <w:rPr>
          <w:vertAlign w:val="superscript"/>
        </w:rPr>
        <w:instrText xml:space="preserve"> NOTEREF _Ref207887924 \h  \* MERGEFORMAT </w:instrText>
      </w:r>
      <w:r w:rsidR="007B6950" w:rsidRPr="005B734B">
        <w:rPr>
          <w:vertAlign w:val="superscript"/>
        </w:rPr>
      </w:r>
      <w:r w:rsidR="007B6950" w:rsidRPr="005B734B">
        <w:rPr>
          <w:vertAlign w:val="superscript"/>
        </w:rPr>
        <w:fldChar w:fldCharType="separate"/>
      </w:r>
      <w:r w:rsidR="00062812">
        <w:rPr>
          <w:vertAlign w:val="superscript"/>
        </w:rPr>
        <w:t>5</w:t>
      </w:r>
      <w:r w:rsidR="007B6950" w:rsidRPr="005B734B">
        <w:rPr>
          <w:vertAlign w:val="superscript"/>
        </w:rPr>
        <w:fldChar w:fldCharType="end"/>
      </w:r>
      <w:r w:rsidRPr="005B734B">
        <w:t xml:space="preserve"> of reproductive age (15-44 years) and proportion (%) of cases pregnant at time of syphilis diagnosis, by year, 2020 – Q</w:t>
      </w:r>
      <w:r w:rsidR="00E724CB" w:rsidRPr="005B734B">
        <w:t>2</w:t>
      </w:r>
      <w:r w:rsidRPr="005B734B">
        <w:t xml:space="preserve"> 2025</w:t>
      </w:r>
    </w:p>
    <w:p w14:paraId="2BCB1FCD" w14:textId="4316F559" w:rsidR="001C5C93" w:rsidRPr="005B734B" w:rsidRDefault="004D1E5E" w:rsidP="00E20DBB">
      <w:r w:rsidRPr="005B734B">
        <w:rPr>
          <w:noProof/>
        </w:rPr>
        <w:drawing>
          <wp:inline distT="0" distB="0" distL="0" distR="0" wp14:anchorId="2545B4F7" wp14:editId="48A2F30B">
            <wp:extent cx="5867124" cy="3828197"/>
            <wp:effectExtent l="0" t="0" r="635" b="1270"/>
            <wp:docPr id="93747571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75719" name="Picture 2">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86435" cy="3840797"/>
                    </a:xfrm>
                    <a:prstGeom prst="rect">
                      <a:avLst/>
                    </a:prstGeom>
                    <a:noFill/>
                  </pic:spPr>
                </pic:pic>
              </a:graphicData>
            </a:graphic>
          </wp:inline>
        </w:drawing>
      </w:r>
    </w:p>
    <w:p w14:paraId="5F79D14F" w14:textId="3A8B3E3F" w:rsidR="008D0421" w:rsidRPr="005B734B" w:rsidRDefault="008D0421" w:rsidP="00E20DBB">
      <w:pPr>
        <w:pStyle w:val="Caption"/>
      </w:pPr>
      <w:r w:rsidRPr="005B734B">
        <w:t xml:space="preserve">Figure </w:t>
      </w:r>
      <w:r w:rsidR="0021216D" w:rsidRPr="005B734B">
        <w:t>1</w:t>
      </w:r>
      <w:r w:rsidR="00430240" w:rsidRPr="005B734B">
        <w:t>1</w:t>
      </w:r>
      <w:r w:rsidRPr="005B734B">
        <w:t xml:space="preserve"> a-b: Number of syphilis notifications among women</w:t>
      </w:r>
      <w:r w:rsidR="007B6950" w:rsidRPr="005B734B">
        <w:rPr>
          <w:vertAlign w:val="superscript"/>
        </w:rPr>
        <w:fldChar w:fldCharType="begin"/>
      </w:r>
      <w:r w:rsidR="007B6950" w:rsidRPr="005B734B">
        <w:rPr>
          <w:vertAlign w:val="superscript"/>
        </w:rPr>
        <w:instrText xml:space="preserve"> NOTEREF _Ref207887924 \h  \* MERGEFORMAT </w:instrText>
      </w:r>
      <w:r w:rsidR="007B6950" w:rsidRPr="005B734B">
        <w:rPr>
          <w:vertAlign w:val="superscript"/>
        </w:rPr>
      </w:r>
      <w:r w:rsidR="007B6950" w:rsidRPr="005B734B">
        <w:rPr>
          <w:vertAlign w:val="superscript"/>
        </w:rPr>
        <w:fldChar w:fldCharType="separate"/>
      </w:r>
      <w:r w:rsidR="00062812">
        <w:rPr>
          <w:vertAlign w:val="superscript"/>
        </w:rPr>
        <w:t>5</w:t>
      </w:r>
      <w:r w:rsidR="007B6950" w:rsidRPr="005B734B">
        <w:rPr>
          <w:vertAlign w:val="superscript"/>
        </w:rPr>
        <w:fldChar w:fldCharType="end"/>
      </w:r>
      <w:r w:rsidRPr="005B734B">
        <w:t xml:space="preserve"> of reproductive age (15-44 years) and proportion (%) of cases pregnant at time of syphilis diagnosis, by Indigenous status and year, 20</w:t>
      </w:r>
      <w:r w:rsidR="00310033" w:rsidRPr="005B734B">
        <w:t xml:space="preserve">20 </w:t>
      </w:r>
      <w:r w:rsidR="00012DE1" w:rsidRPr="005B734B">
        <w:t>–</w:t>
      </w:r>
      <w:r w:rsidRPr="005B734B">
        <w:t xml:space="preserve"> Q</w:t>
      </w:r>
      <w:r w:rsidR="00012DE1" w:rsidRPr="005B734B">
        <w:t>2</w:t>
      </w:r>
      <w:r w:rsidRPr="005B734B">
        <w:t xml:space="preserve"> 2025 (a. Aboriginal and Torres Strait Islander and b. non-Indigenous)</w:t>
      </w:r>
      <w:r w:rsidRPr="005B734B">
        <w:rPr>
          <w:vertAlign w:val="superscript"/>
        </w:rPr>
        <w:fldChar w:fldCharType="begin"/>
      </w:r>
      <w:r w:rsidRPr="005B734B">
        <w:rPr>
          <w:vertAlign w:val="superscript"/>
        </w:rPr>
        <w:instrText xml:space="preserve"> NOTEREF _Ref204778163 \h  \* MERGEFORMAT </w:instrText>
      </w:r>
      <w:r w:rsidRPr="005B734B">
        <w:rPr>
          <w:vertAlign w:val="superscript"/>
        </w:rPr>
      </w:r>
      <w:r w:rsidRPr="005B734B">
        <w:rPr>
          <w:vertAlign w:val="superscript"/>
        </w:rPr>
        <w:fldChar w:fldCharType="separate"/>
      </w:r>
      <w:r w:rsidR="00062812">
        <w:rPr>
          <w:vertAlign w:val="superscript"/>
        </w:rPr>
        <w:t>4</w:t>
      </w:r>
      <w:r w:rsidRPr="005B734B">
        <w:rPr>
          <w:vertAlign w:val="superscript"/>
        </w:rPr>
        <w:fldChar w:fldCharType="end"/>
      </w:r>
    </w:p>
    <w:p w14:paraId="79738114" w14:textId="198C8025" w:rsidR="00183BFB" w:rsidRPr="005B734B" w:rsidRDefault="004D1E5E" w:rsidP="00E20DBB">
      <w:r w:rsidRPr="005B734B">
        <w:rPr>
          <w:noProof/>
        </w:rPr>
        <w:drawing>
          <wp:inline distT="0" distB="0" distL="0" distR="0" wp14:anchorId="08CA99AE" wp14:editId="2D41994D">
            <wp:extent cx="5898237" cy="3841845"/>
            <wp:effectExtent l="0" t="0" r="7620" b="6350"/>
            <wp:docPr id="177167649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76495" name="Picture 3">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16453" cy="3853710"/>
                    </a:xfrm>
                    <a:prstGeom prst="rect">
                      <a:avLst/>
                    </a:prstGeom>
                    <a:noFill/>
                  </pic:spPr>
                </pic:pic>
              </a:graphicData>
            </a:graphic>
          </wp:inline>
        </w:drawing>
      </w:r>
    </w:p>
    <w:p w14:paraId="09EB2FCD" w14:textId="34B3BB0B" w:rsidR="009F4506" w:rsidRPr="005B734B" w:rsidRDefault="004D1E5E" w:rsidP="00E20DBB">
      <w:r w:rsidRPr="005B734B">
        <w:rPr>
          <w:noProof/>
        </w:rPr>
        <w:lastRenderedPageBreak/>
        <w:drawing>
          <wp:inline distT="0" distB="0" distL="0" distR="0" wp14:anchorId="0E4C753D" wp14:editId="63B837CD">
            <wp:extent cx="5845853" cy="3807725"/>
            <wp:effectExtent l="0" t="0" r="2540" b="2540"/>
            <wp:docPr id="193683074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30743" name="Picture 4">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60393" cy="3817196"/>
                    </a:xfrm>
                    <a:prstGeom prst="rect">
                      <a:avLst/>
                    </a:prstGeom>
                    <a:noFill/>
                  </pic:spPr>
                </pic:pic>
              </a:graphicData>
            </a:graphic>
          </wp:inline>
        </w:drawing>
      </w:r>
    </w:p>
    <w:p w14:paraId="761C7B69" w14:textId="456BB75B" w:rsidR="008D0421" w:rsidRPr="005B734B" w:rsidRDefault="008D0421" w:rsidP="00E20DBB">
      <w:pPr>
        <w:pStyle w:val="Heading2"/>
      </w:pPr>
      <w:r w:rsidRPr="005B734B">
        <w:t>4.5 Number of women</w:t>
      </w:r>
      <w:r w:rsidR="009723F9" w:rsidRPr="00E20DBB">
        <w:rPr>
          <w:vertAlign w:val="superscript"/>
        </w:rPr>
        <w:fldChar w:fldCharType="begin"/>
      </w:r>
      <w:r w:rsidR="009723F9" w:rsidRPr="00E20DBB">
        <w:rPr>
          <w:vertAlign w:val="superscript"/>
        </w:rPr>
        <w:instrText xml:space="preserve"> NOTEREF _Ref207887924 \h  \* MERGEFORMAT </w:instrText>
      </w:r>
      <w:r w:rsidR="009723F9" w:rsidRPr="00E20DBB">
        <w:rPr>
          <w:vertAlign w:val="superscript"/>
        </w:rPr>
      </w:r>
      <w:r w:rsidR="009723F9" w:rsidRPr="00E20DBB">
        <w:rPr>
          <w:vertAlign w:val="superscript"/>
        </w:rPr>
        <w:fldChar w:fldCharType="separate"/>
      </w:r>
      <w:r w:rsidR="00062812" w:rsidRPr="00E20DBB">
        <w:rPr>
          <w:vertAlign w:val="superscript"/>
        </w:rPr>
        <w:t>5</w:t>
      </w:r>
      <w:r w:rsidR="009723F9" w:rsidRPr="00E20DBB">
        <w:rPr>
          <w:vertAlign w:val="superscript"/>
        </w:rPr>
        <w:fldChar w:fldCharType="end"/>
      </w:r>
      <w:r w:rsidRPr="005B734B">
        <w:t xml:space="preserve"> giving birth to an infant with congenital syphilis who were diagnosed with syphilis late</w:t>
      </w:r>
      <w:bookmarkStart w:id="8" w:name="_Ref207975446"/>
      <w:r w:rsidR="00183BFB" w:rsidRPr="005B734B">
        <w:rPr>
          <w:vertAlign w:val="superscript"/>
        </w:rPr>
        <w:footnoteReference w:id="8"/>
      </w:r>
      <w:bookmarkEnd w:id="8"/>
      <w:r w:rsidRPr="005B734B">
        <w:t xml:space="preserve"> in pregnancy by Indigenous status</w:t>
      </w:r>
    </w:p>
    <w:p w14:paraId="326AB1BF" w14:textId="0483DACF" w:rsidR="000C0EA7" w:rsidRPr="005B734B" w:rsidRDefault="000C0EA7" w:rsidP="00E20DBB">
      <w:r w:rsidRPr="005B734B">
        <w:t xml:space="preserve">Late diagnosis </w:t>
      </w:r>
      <w:r w:rsidR="007B6950" w:rsidRPr="005B734B">
        <w:t xml:space="preserve">with syphilis in pregnancy </w:t>
      </w:r>
      <w:r w:rsidRPr="005B734B">
        <w:t>refers women who did not receive treatment more than 30 days prior to delivery. Late diagnosis also includes women who were diagnosed with syphilis at-birth (day of delivery) or post-birth and therefore could not receive adequate treatment for their syphilis infection.</w:t>
      </w:r>
    </w:p>
    <w:p w14:paraId="532E7136" w14:textId="0223C5A3" w:rsidR="000C0EA7" w:rsidRDefault="00946F5D" w:rsidP="00E20DBB">
      <w:r w:rsidRPr="005B734B">
        <w:t xml:space="preserve">Most </w:t>
      </w:r>
      <w:r w:rsidR="000C0EA7" w:rsidRPr="005B734B">
        <w:t>women</w:t>
      </w:r>
      <w:r w:rsidRPr="005B734B">
        <w:t xml:space="preserve"> (8</w:t>
      </w:r>
      <w:r w:rsidR="00470F51" w:rsidRPr="005B734B">
        <w:t>1</w:t>
      </w:r>
      <w:r w:rsidRPr="005B734B">
        <w:t xml:space="preserve">%, </w:t>
      </w:r>
      <w:r w:rsidR="00470F51" w:rsidRPr="005B734B">
        <w:t>70</w:t>
      </w:r>
      <w:r w:rsidRPr="005B734B">
        <w:t>/8</w:t>
      </w:r>
      <w:r w:rsidR="00470F51" w:rsidRPr="005B734B">
        <w:t>6</w:t>
      </w:r>
      <w:r w:rsidRPr="005B734B">
        <w:t>)</w:t>
      </w:r>
      <w:r w:rsidR="000C0EA7" w:rsidRPr="005B734B">
        <w:t xml:space="preserve"> giving birth to an infant with congenital syphilis between 2020 and Q</w:t>
      </w:r>
      <w:r w:rsidR="0003232C" w:rsidRPr="005B734B">
        <w:t>2</w:t>
      </w:r>
      <w:r w:rsidR="000C0EA7" w:rsidRPr="005B734B">
        <w:t xml:space="preserve"> 2025, were </w:t>
      </w:r>
      <w:r w:rsidRPr="005B734B">
        <w:t xml:space="preserve">diagnosed </w:t>
      </w:r>
      <w:r w:rsidR="000C0EA7" w:rsidRPr="005B734B">
        <w:t>late in pregnancy. Among non-Indigenous women</w:t>
      </w:r>
      <w:r w:rsidR="0087058B">
        <w:t>,</w:t>
      </w:r>
      <w:r w:rsidR="000C0EA7" w:rsidRPr="005B734B">
        <w:t xml:space="preserve"> this proportion was 8</w:t>
      </w:r>
      <w:r w:rsidR="00470F51" w:rsidRPr="005B734B">
        <w:t>4</w:t>
      </w:r>
      <w:r w:rsidR="000C0EA7" w:rsidRPr="005B734B">
        <w:t>% (3</w:t>
      </w:r>
      <w:r w:rsidR="00470F51" w:rsidRPr="005B734B">
        <w:t>2</w:t>
      </w:r>
      <w:r w:rsidR="000C0EA7" w:rsidRPr="005B734B">
        <w:t>/3</w:t>
      </w:r>
      <w:r w:rsidR="00470F51" w:rsidRPr="005B734B">
        <w:t>8</w:t>
      </w:r>
      <w:r w:rsidR="000C0EA7" w:rsidRPr="005B734B">
        <w:t xml:space="preserve">), and </w:t>
      </w:r>
      <w:r w:rsidR="0087058B">
        <w:t xml:space="preserve">78% for </w:t>
      </w:r>
      <w:r w:rsidR="000C0EA7" w:rsidRPr="005B734B">
        <w:t>Aboriginal and Torres Strait Islander women (3</w:t>
      </w:r>
      <w:r w:rsidR="00470F51" w:rsidRPr="005B734B">
        <w:t>6</w:t>
      </w:r>
      <w:r w:rsidR="000C0EA7" w:rsidRPr="005B734B">
        <w:t>/4</w:t>
      </w:r>
      <w:r w:rsidR="00470F51" w:rsidRPr="005B734B">
        <w:t>6</w:t>
      </w:r>
      <w:r w:rsidR="000C0EA7" w:rsidRPr="005B734B">
        <w:t>)</w:t>
      </w:r>
      <w:r w:rsidRPr="005B734B">
        <w:t xml:space="preserve"> (Table </w:t>
      </w:r>
      <w:r w:rsidR="007B6950" w:rsidRPr="005B734B">
        <w:t>4</w:t>
      </w:r>
      <w:r w:rsidRPr="005B734B">
        <w:t>)</w:t>
      </w:r>
      <w:r w:rsidR="000C0EA7" w:rsidRPr="005B734B">
        <w:t>.</w:t>
      </w:r>
    </w:p>
    <w:p w14:paraId="4B61FFC8" w14:textId="099E66AA" w:rsidR="00B4449F" w:rsidRPr="00B4449F" w:rsidRDefault="00B4449F" w:rsidP="00E20DBB">
      <w:r>
        <w:br w:type="page"/>
      </w:r>
    </w:p>
    <w:p w14:paraId="3C7F1678" w14:textId="74F20C8F" w:rsidR="008D0421" w:rsidRPr="005B734B" w:rsidRDefault="008D0421" w:rsidP="00E20DBB">
      <w:pPr>
        <w:pStyle w:val="Caption"/>
      </w:pPr>
      <w:r w:rsidRPr="005B734B">
        <w:lastRenderedPageBreak/>
        <w:t xml:space="preserve">Table </w:t>
      </w:r>
      <w:r w:rsidR="007B6950" w:rsidRPr="005B734B">
        <w:t>4</w:t>
      </w:r>
      <w:r w:rsidRPr="005B734B">
        <w:t>: Number of women</w:t>
      </w:r>
      <w:r w:rsidR="009723F9" w:rsidRPr="005B734B">
        <w:rPr>
          <w:vertAlign w:val="superscript"/>
        </w:rPr>
        <w:fldChar w:fldCharType="begin"/>
      </w:r>
      <w:r w:rsidR="009723F9" w:rsidRPr="005B734B">
        <w:rPr>
          <w:vertAlign w:val="superscript"/>
        </w:rPr>
        <w:instrText xml:space="preserve"> NOTEREF _Ref207887924 \h  \* MERGEFORMAT </w:instrText>
      </w:r>
      <w:r w:rsidR="009723F9" w:rsidRPr="005B734B">
        <w:rPr>
          <w:vertAlign w:val="superscript"/>
        </w:rPr>
      </w:r>
      <w:r w:rsidR="009723F9" w:rsidRPr="005B734B">
        <w:rPr>
          <w:vertAlign w:val="superscript"/>
        </w:rPr>
        <w:fldChar w:fldCharType="separate"/>
      </w:r>
      <w:r w:rsidR="00062812">
        <w:rPr>
          <w:vertAlign w:val="superscript"/>
        </w:rPr>
        <w:t>5</w:t>
      </w:r>
      <w:r w:rsidR="009723F9" w:rsidRPr="005B734B">
        <w:rPr>
          <w:vertAlign w:val="superscript"/>
        </w:rPr>
        <w:fldChar w:fldCharType="end"/>
      </w:r>
      <w:r w:rsidRPr="005B734B">
        <w:t xml:space="preserve"> giving birth to an infant with congenital syphilis, by </w:t>
      </w:r>
      <w:r w:rsidR="00C56A22" w:rsidRPr="005B734B">
        <w:t xml:space="preserve">trimester </w:t>
      </w:r>
      <w:r w:rsidRPr="005B734B">
        <w:t>mother was diagnosed with syphilis and year, 20</w:t>
      </w:r>
      <w:r w:rsidR="00310033" w:rsidRPr="005B734B">
        <w:t>20</w:t>
      </w:r>
      <w:r w:rsidRPr="005B734B">
        <w:t xml:space="preserve"> – Q</w:t>
      </w:r>
      <w:r w:rsidR="000E63AB" w:rsidRPr="005B734B">
        <w:t>2</w:t>
      </w:r>
      <w:r w:rsidRPr="005B734B">
        <w:t xml:space="preserve"> 2025</w:t>
      </w:r>
    </w:p>
    <w:tbl>
      <w:tblPr>
        <w:tblStyle w:val="TableGrid"/>
        <w:tblW w:w="9634" w:type="dxa"/>
        <w:tblLook w:val="04A0" w:firstRow="1" w:lastRow="0" w:firstColumn="1" w:lastColumn="0" w:noHBand="0" w:noVBand="1"/>
      </w:tblPr>
      <w:tblGrid>
        <w:gridCol w:w="1816"/>
        <w:gridCol w:w="1124"/>
        <w:gridCol w:w="1263"/>
        <w:gridCol w:w="1123"/>
        <w:gridCol w:w="1123"/>
        <w:gridCol w:w="982"/>
        <w:gridCol w:w="1123"/>
        <w:gridCol w:w="1080"/>
      </w:tblGrid>
      <w:tr w:rsidR="00062A57" w:rsidRPr="005B734B" w14:paraId="245F35E8" w14:textId="77777777" w:rsidTr="00062A57">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816" w:type="dxa"/>
            <w:vMerge w:val="restart"/>
            <w:noWrap/>
          </w:tcPr>
          <w:p w14:paraId="6F9557E4" w14:textId="18119880" w:rsidR="00062A57" w:rsidRPr="00A04AE2" w:rsidRDefault="00062A57" w:rsidP="00E20DBB">
            <w:pPr>
              <w:pStyle w:val="TableHeader"/>
            </w:pPr>
            <w:r w:rsidRPr="00A04AE2">
              <w:t>Trimester</w:t>
            </w:r>
          </w:p>
        </w:tc>
        <w:tc>
          <w:tcPr>
            <w:tcW w:w="1124" w:type="dxa"/>
            <w:vMerge w:val="restart"/>
            <w:noWrap/>
          </w:tcPr>
          <w:p w14:paraId="4F59BD6A" w14:textId="2233BBB2" w:rsidR="00062A57" w:rsidRPr="00A04AE2" w:rsidRDefault="00062A57" w:rsidP="00E20DBB">
            <w:pPr>
              <w:pStyle w:val="TableHeader"/>
              <w:cnfStyle w:val="100000000000" w:firstRow="1" w:lastRow="0" w:firstColumn="0" w:lastColumn="0" w:oddVBand="0" w:evenVBand="0" w:oddHBand="0" w:evenHBand="0" w:firstRowFirstColumn="0" w:firstRowLastColumn="0" w:lastRowFirstColumn="0" w:lastRowLastColumn="0"/>
            </w:pPr>
            <w:r w:rsidRPr="00A04AE2">
              <w:t>2020</w:t>
            </w:r>
          </w:p>
        </w:tc>
        <w:tc>
          <w:tcPr>
            <w:tcW w:w="1263" w:type="dxa"/>
            <w:vMerge w:val="restart"/>
            <w:noWrap/>
          </w:tcPr>
          <w:p w14:paraId="40C46173" w14:textId="336D3696" w:rsidR="00062A57" w:rsidRPr="00A04AE2" w:rsidRDefault="00062A57" w:rsidP="00E20DBB">
            <w:pPr>
              <w:pStyle w:val="TableHeader"/>
              <w:cnfStyle w:val="100000000000" w:firstRow="1" w:lastRow="0" w:firstColumn="0" w:lastColumn="0" w:oddVBand="0" w:evenVBand="0" w:oddHBand="0" w:evenHBand="0" w:firstRowFirstColumn="0" w:firstRowLastColumn="0" w:lastRowFirstColumn="0" w:lastRowLastColumn="0"/>
            </w:pPr>
            <w:r w:rsidRPr="00A04AE2">
              <w:t>2021</w:t>
            </w:r>
          </w:p>
        </w:tc>
        <w:tc>
          <w:tcPr>
            <w:tcW w:w="1123" w:type="dxa"/>
            <w:vMerge w:val="restart"/>
            <w:noWrap/>
          </w:tcPr>
          <w:p w14:paraId="48DB5FBB" w14:textId="131F1405" w:rsidR="00062A57" w:rsidRPr="00A04AE2" w:rsidRDefault="00062A57" w:rsidP="00E20DBB">
            <w:pPr>
              <w:pStyle w:val="TableHeader"/>
              <w:cnfStyle w:val="100000000000" w:firstRow="1" w:lastRow="0" w:firstColumn="0" w:lastColumn="0" w:oddVBand="0" w:evenVBand="0" w:oddHBand="0" w:evenHBand="0" w:firstRowFirstColumn="0" w:firstRowLastColumn="0" w:lastRowFirstColumn="0" w:lastRowLastColumn="0"/>
            </w:pPr>
            <w:r w:rsidRPr="00A04AE2">
              <w:t>2022</w:t>
            </w:r>
          </w:p>
        </w:tc>
        <w:tc>
          <w:tcPr>
            <w:tcW w:w="1123" w:type="dxa"/>
            <w:vMerge w:val="restart"/>
            <w:noWrap/>
          </w:tcPr>
          <w:p w14:paraId="22F45271" w14:textId="1A5E757E" w:rsidR="00062A57" w:rsidRPr="00A04AE2" w:rsidRDefault="00062A57" w:rsidP="00E20DBB">
            <w:pPr>
              <w:pStyle w:val="TableHeader"/>
              <w:cnfStyle w:val="100000000000" w:firstRow="1" w:lastRow="0" w:firstColumn="0" w:lastColumn="0" w:oddVBand="0" w:evenVBand="0" w:oddHBand="0" w:evenHBand="0" w:firstRowFirstColumn="0" w:firstRowLastColumn="0" w:lastRowFirstColumn="0" w:lastRowLastColumn="0"/>
            </w:pPr>
            <w:r w:rsidRPr="00A04AE2">
              <w:t>2023</w:t>
            </w:r>
          </w:p>
        </w:tc>
        <w:tc>
          <w:tcPr>
            <w:tcW w:w="982" w:type="dxa"/>
            <w:vMerge w:val="restart"/>
            <w:noWrap/>
          </w:tcPr>
          <w:p w14:paraId="120B73CC" w14:textId="1A8DEE82" w:rsidR="00062A57" w:rsidRPr="00A04AE2" w:rsidRDefault="00062A57" w:rsidP="00E20DBB">
            <w:pPr>
              <w:pStyle w:val="TableHeader"/>
              <w:cnfStyle w:val="100000000000" w:firstRow="1" w:lastRow="0" w:firstColumn="0" w:lastColumn="0" w:oddVBand="0" w:evenVBand="0" w:oddHBand="0" w:evenHBand="0" w:firstRowFirstColumn="0" w:firstRowLastColumn="0" w:lastRowFirstColumn="0" w:lastRowLastColumn="0"/>
            </w:pPr>
            <w:r w:rsidRPr="00A04AE2">
              <w:t>2024</w:t>
            </w:r>
          </w:p>
        </w:tc>
        <w:tc>
          <w:tcPr>
            <w:tcW w:w="2203" w:type="dxa"/>
            <w:gridSpan w:val="2"/>
            <w:noWrap/>
          </w:tcPr>
          <w:p w14:paraId="54538D43" w14:textId="3E8386CE" w:rsidR="00062A57" w:rsidRPr="00A04AE2" w:rsidRDefault="00062A57" w:rsidP="00E20DBB">
            <w:pPr>
              <w:pStyle w:val="TableHeader"/>
              <w:cnfStyle w:val="100000000000" w:firstRow="1" w:lastRow="0" w:firstColumn="0" w:lastColumn="0" w:oddVBand="0" w:evenVBand="0" w:oddHBand="0" w:evenHBand="0" w:firstRowFirstColumn="0" w:firstRowLastColumn="0" w:lastRowFirstColumn="0" w:lastRowLastColumn="0"/>
            </w:pPr>
            <w:r w:rsidRPr="00A04AE2">
              <w:t>2025</w:t>
            </w:r>
          </w:p>
        </w:tc>
      </w:tr>
      <w:tr w:rsidR="00062A57" w:rsidRPr="005B734B" w14:paraId="3284828A" w14:textId="1CE888A8" w:rsidTr="00062A57">
        <w:trPr>
          <w:cnfStyle w:val="100000000000" w:firstRow="1" w:lastRow="0" w:firstColumn="0" w:lastColumn="0" w:oddVBand="0" w:evenVBand="0" w:oddHBand="0" w:evenHBand="0" w:firstRowFirstColumn="0" w:firstRowLastColumn="0" w:lastRowFirstColumn="0" w:lastRowLastColumn="0"/>
          <w:trHeight w:val="354"/>
          <w:tblHeader/>
        </w:trPr>
        <w:tc>
          <w:tcPr>
            <w:cnfStyle w:val="001000000000" w:firstRow="0" w:lastRow="0" w:firstColumn="1" w:lastColumn="0" w:oddVBand="0" w:evenVBand="0" w:oddHBand="0" w:evenHBand="0" w:firstRowFirstColumn="0" w:firstRowLastColumn="0" w:lastRowFirstColumn="0" w:lastRowLastColumn="0"/>
            <w:tcW w:w="1816" w:type="dxa"/>
            <w:vMerge/>
            <w:noWrap/>
            <w:hideMark/>
          </w:tcPr>
          <w:p w14:paraId="7D0FAE9E" w14:textId="1400F5C2" w:rsidR="00062A57" w:rsidRPr="00A04AE2" w:rsidRDefault="00062A57" w:rsidP="00E20DBB">
            <w:pPr>
              <w:pStyle w:val="TableHeader"/>
            </w:pPr>
          </w:p>
        </w:tc>
        <w:tc>
          <w:tcPr>
            <w:tcW w:w="1124" w:type="dxa"/>
            <w:vMerge/>
            <w:noWrap/>
            <w:hideMark/>
          </w:tcPr>
          <w:p w14:paraId="5DAAEDB7" w14:textId="7FFB0678" w:rsidR="00062A57" w:rsidRPr="00A04AE2" w:rsidRDefault="00062A57" w:rsidP="00E20DBB">
            <w:pPr>
              <w:pStyle w:val="TableHeader"/>
              <w:cnfStyle w:val="100000000000" w:firstRow="1" w:lastRow="0" w:firstColumn="0" w:lastColumn="0" w:oddVBand="0" w:evenVBand="0" w:oddHBand="0" w:evenHBand="0" w:firstRowFirstColumn="0" w:firstRowLastColumn="0" w:lastRowFirstColumn="0" w:lastRowLastColumn="0"/>
            </w:pPr>
          </w:p>
        </w:tc>
        <w:tc>
          <w:tcPr>
            <w:tcW w:w="1263" w:type="dxa"/>
            <w:vMerge/>
            <w:noWrap/>
            <w:hideMark/>
          </w:tcPr>
          <w:p w14:paraId="016E6B50" w14:textId="174E92B6" w:rsidR="00062A57" w:rsidRPr="00A04AE2" w:rsidRDefault="00062A57" w:rsidP="00E20DBB">
            <w:pPr>
              <w:pStyle w:val="TableHeader"/>
              <w:cnfStyle w:val="100000000000" w:firstRow="1" w:lastRow="0" w:firstColumn="0" w:lastColumn="0" w:oddVBand="0" w:evenVBand="0" w:oddHBand="0" w:evenHBand="0" w:firstRowFirstColumn="0" w:firstRowLastColumn="0" w:lastRowFirstColumn="0" w:lastRowLastColumn="0"/>
            </w:pPr>
          </w:p>
        </w:tc>
        <w:tc>
          <w:tcPr>
            <w:tcW w:w="1123" w:type="dxa"/>
            <w:vMerge/>
            <w:noWrap/>
            <w:hideMark/>
          </w:tcPr>
          <w:p w14:paraId="041789C6" w14:textId="6195344D" w:rsidR="00062A57" w:rsidRPr="00A04AE2" w:rsidRDefault="00062A57" w:rsidP="00E20DBB">
            <w:pPr>
              <w:pStyle w:val="TableHeader"/>
              <w:cnfStyle w:val="100000000000" w:firstRow="1" w:lastRow="0" w:firstColumn="0" w:lastColumn="0" w:oddVBand="0" w:evenVBand="0" w:oddHBand="0" w:evenHBand="0" w:firstRowFirstColumn="0" w:firstRowLastColumn="0" w:lastRowFirstColumn="0" w:lastRowLastColumn="0"/>
            </w:pPr>
          </w:p>
        </w:tc>
        <w:tc>
          <w:tcPr>
            <w:tcW w:w="1123" w:type="dxa"/>
            <w:vMerge/>
            <w:noWrap/>
            <w:hideMark/>
          </w:tcPr>
          <w:p w14:paraId="160D1CC4" w14:textId="2616C26E" w:rsidR="00062A57" w:rsidRPr="00A04AE2" w:rsidRDefault="00062A57" w:rsidP="00E20DBB">
            <w:pPr>
              <w:pStyle w:val="TableHeader"/>
              <w:cnfStyle w:val="100000000000" w:firstRow="1" w:lastRow="0" w:firstColumn="0" w:lastColumn="0" w:oddVBand="0" w:evenVBand="0" w:oddHBand="0" w:evenHBand="0" w:firstRowFirstColumn="0" w:firstRowLastColumn="0" w:lastRowFirstColumn="0" w:lastRowLastColumn="0"/>
            </w:pPr>
          </w:p>
        </w:tc>
        <w:tc>
          <w:tcPr>
            <w:tcW w:w="982" w:type="dxa"/>
            <w:vMerge/>
            <w:noWrap/>
            <w:hideMark/>
          </w:tcPr>
          <w:p w14:paraId="10155425" w14:textId="12D91C62" w:rsidR="00062A57" w:rsidRPr="00A04AE2" w:rsidRDefault="00062A57" w:rsidP="00E20DBB">
            <w:pPr>
              <w:pStyle w:val="TableHeader"/>
              <w:cnfStyle w:val="100000000000" w:firstRow="1" w:lastRow="0" w:firstColumn="0" w:lastColumn="0" w:oddVBand="0" w:evenVBand="0" w:oddHBand="0" w:evenHBand="0" w:firstRowFirstColumn="0" w:firstRowLastColumn="0" w:lastRowFirstColumn="0" w:lastRowLastColumn="0"/>
            </w:pPr>
          </w:p>
        </w:tc>
        <w:tc>
          <w:tcPr>
            <w:tcW w:w="1123" w:type="dxa"/>
            <w:noWrap/>
            <w:hideMark/>
          </w:tcPr>
          <w:p w14:paraId="1D49C7D9" w14:textId="690725E7" w:rsidR="00062A57" w:rsidRPr="00A04AE2" w:rsidRDefault="00062A57" w:rsidP="00E20DBB">
            <w:pPr>
              <w:pStyle w:val="TableHeader"/>
              <w:cnfStyle w:val="100000000000" w:firstRow="1" w:lastRow="0" w:firstColumn="0" w:lastColumn="0" w:oddVBand="0" w:evenVBand="0" w:oddHBand="0" w:evenHBand="0" w:firstRowFirstColumn="0" w:firstRowLastColumn="0" w:lastRowFirstColumn="0" w:lastRowLastColumn="0"/>
            </w:pPr>
            <w:r w:rsidRPr="00A04AE2">
              <w:t>Q1</w:t>
            </w:r>
          </w:p>
        </w:tc>
        <w:tc>
          <w:tcPr>
            <w:tcW w:w="1080" w:type="dxa"/>
          </w:tcPr>
          <w:p w14:paraId="1FCF5F10" w14:textId="1F2EFC2C" w:rsidR="00062A57" w:rsidRPr="00A04AE2" w:rsidRDefault="00062A57" w:rsidP="00E20DBB">
            <w:pPr>
              <w:pStyle w:val="TableHeader"/>
              <w:cnfStyle w:val="100000000000" w:firstRow="1" w:lastRow="0" w:firstColumn="0" w:lastColumn="0" w:oddVBand="0" w:evenVBand="0" w:oddHBand="0" w:evenHBand="0" w:firstRowFirstColumn="0" w:firstRowLastColumn="0" w:lastRowFirstColumn="0" w:lastRowLastColumn="0"/>
            </w:pPr>
            <w:r w:rsidRPr="00A04AE2">
              <w:t>Q2</w:t>
            </w:r>
          </w:p>
        </w:tc>
      </w:tr>
      <w:tr w:rsidR="00DE37B4" w:rsidRPr="005B734B" w14:paraId="6D70F37D" w14:textId="21BF8353" w:rsidTr="00946F2F">
        <w:trPr>
          <w:trHeight w:val="255"/>
        </w:trPr>
        <w:tc>
          <w:tcPr>
            <w:cnfStyle w:val="001000000000" w:firstRow="0" w:lastRow="0" w:firstColumn="1" w:lastColumn="0" w:oddVBand="0" w:evenVBand="0" w:oddHBand="0" w:evenHBand="0" w:firstRowFirstColumn="0" w:firstRowLastColumn="0" w:lastRowFirstColumn="0" w:lastRowLastColumn="0"/>
            <w:tcW w:w="9634" w:type="dxa"/>
            <w:gridSpan w:val="8"/>
            <w:noWrap/>
            <w:hideMark/>
          </w:tcPr>
          <w:p w14:paraId="4B1DC8A4" w14:textId="20437015" w:rsidR="00DE37B4" w:rsidRPr="005B734B" w:rsidRDefault="00DE37B4" w:rsidP="00E20DBB">
            <w:pPr>
              <w:pStyle w:val="Tabletextcentre"/>
              <w:rPr>
                <w:rStyle w:val="Strong"/>
                <w:b w:val="0"/>
                <w:bCs w:val="0"/>
              </w:rPr>
            </w:pPr>
            <w:r w:rsidRPr="005B734B">
              <w:rPr>
                <w:rStyle w:val="Strong"/>
              </w:rPr>
              <w:t>Aboriginal and Torres Strait Islander women</w:t>
            </w:r>
          </w:p>
        </w:tc>
      </w:tr>
      <w:tr w:rsidR="00062A57" w:rsidRPr="005B734B" w14:paraId="5FC96625" w14:textId="4F013EA9"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2139E88A" w14:textId="77777777" w:rsidR="00062A57" w:rsidRPr="005B734B" w:rsidRDefault="00062A57" w:rsidP="00E20DBB">
            <w:pPr>
              <w:pStyle w:val="Tabletextleft"/>
            </w:pPr>
            <w:r w:rsidRPr="005B734B">
              <w:t>1st</w:t>
            </w:r>
          </w:p>
        </w:tc>
        <w:tc>
          <w:tcPr>
            <w:tcW w:w="1124" w:type="dxa"/>
            <w:noWrap/>
            <w:hideMark/>
          </w:tcPr>
          <w:p w14:paraId="459ABFCA" w14:textId="358FE991"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263" w:type="dxa"/>
            <w:noWrap/>
            <w:hideMark/>
          </w:tcPr>
          <w:p w14:paraId="5CBC7110" w14:textId="6D003C36"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123" w:type="dxa"/>
            <w:noWrap/>
            <w:hideMark/>
          </w:tcPr>
          <w:p w14:paraId="444A53FF" w14:textId="3D12C9F8"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123" w:type="dxa"/>
            <w:noWrap/>
            <w:hideMark/>
          </w:tcPr>
          <w:p w14:paraId="728527AA" w14:textId="14DB0DBB"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982" w:type="dxa"/>
            <w:noWrap/>
            <w:hideMark/>
          </w:tcPr>
          <w:p w14:paraId="794F9047" w14:textId="77777777"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1</w:t>
            </w:r>
          </w:p>
        </w:tc>
        <w:tc>
          <w:tcPr>
            <w:tcW w:w="1123" w:type="dxa"/>
            <w:noWrap/>
            <w:hideMark/>
          </w:tcPr>
          <w:p w14:paraId="7C5EE6CE" w14:textId="32AA8238"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080" w:type="dxa"/>
          </w:tcPr>
          <w:p w14:paraId="7DCDC523" w14:textId="0BE7B0CE" w:rsidR="00062A57" w:rsidRPr="00A04AE2" w:rsidRDefault="001014A1"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r>
      <w:tr w:rsidR="00062A57" w:rsidRPr="005B734B" w14:paraId="47DFDF3C" w14:textId="1DEE5C1B"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4C607647" w14:textId="77777777" w:rsidR="00062A57" w:rsidRPr="005B734B" w:rsidRDefault="00062A57" w:rsidP="00E20DBB">
            <w:pPr>
              <w:pStyle w:val="Tabletextleft"/>
            </w:pPr>
            <w:r w:rsidRPr="005B734B">
              <w:t>2nd</w:t>
            </w:r>
          </w:p>
        </w:tc>
        <w:tc>
          <w:tcPr>
            <w:tcW w:w="1124" w:type="dxa"/>
            <w:noWrap/>
            <w:hideMark/>
          </w:tcPr>
          <w:p w14:paraId="2BA65DA8" w14:textId="77777777"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1</w:t>
            </w:r>
          </w:p>
        </w:tc>
        <w:tc>
          <w:tcPr>
            <w:tcW w:w="1263" w:type="dxa"/>
            <w:noWrap/>
            <w:hideMark/>
          </w:tcPr>
          <w:p w14:paraId="2863C409" w14:textId="52527C87"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123" w:type="dxa"/>
            <w:noWrap/>
            <w:hideMark/>
          </w:tcPr>
          <w:p w14:paraId="1664441F" w14:textId="77777777"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2</w:t>
            </w:r>
          </w:p>
        </w:tc>
        <w:tc>
          <w:tcPr>
            <w:tcW w:w="1123" w:type="dxa"/>
            <w:noWrap/>
            <w:hideMark/>
          </w:tcPr>
          <w:p w14:paraId="1F960B3E" w14:textId="77777777"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2</w:t>
            </w:r>
          </w:p>
        </w:tc>
        <w:tc>
          <w:tcPr>
            <w:tcW w:w="982" w:type="dxa"/>
            <w:noWrap/>
            <w:hideMark/>
          </w:tcPr>
          <w:p w14:paraId="5A3A02EB" w14:textId="41802D3F"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123" w:type="dxa"/>
            <w:noWrap/>
            <w:hideMark/>
          </w:tcPr>
          <w:p w14:paraId="7E8ED074" w14:textId="6D549A6F"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080" w:type="dxa"/>
          </w:tcPr>
          <w:p w14:paraId="5C5041C3" w14:textId="17C67951" w:rsidR="00062A57" w:rsidRPr="00A04AE2" w:rsidRDefault="001014A1"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1</w:t>
            </w:r>
          </w:p>
        </w:tc>
      </w:tr>
      <w:tr w:rsidR="00062A57" w:rsidRPr="005B734B" w14:paraId="4B380D22" w14:textId="3C2818DB"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7283EC9E" w14:textId="77777777" w:rsidR="00062A57" w:rsidRPr="005B734B" w:rsidRDefault="00062A57" w:rsidP="00E20DBB">
            <w:pPr>
              <w:pStyle w:val="Tabletextleft"/>
            </w:pPr>
            <w:r w:rsidRPr="005B734B">
              <w:t>3rd</w:t>
            </w:r>
          </w:p>
        </w:tc>
        <w:tc>
          <w:tcPr>
            <w:tcW w:w="1124" w:type="dxa"/>
            <w:noWrap/>
            <w:hideMark/>
          </w:tcPr>
          <w:p w14:paraId="4A1951D9" w14:textId="61B57847"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263" w:type="dxa"/>
            <w:noWrap/>
            <w:hideMark/>
          </w:tcPr>
          <w:p w14:paraId="4865D3C3" w14:textId="77777777"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2</w:t>
            </w:r>
          </w:p>
        </w:tc>
        <w:tc>
          <w:tcPr>
            <w:tcW w:w="1123" w:type="dxa"/>
            <w:noWrap/>
            <w:hideMark/>
          </w:tcPr>
          <w:p w14:paraId="0579C931" w14:textId="77777777"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1</w:t>
            </w:r>
          </w:p>
        </w:tc>
        <w:tc>
          <w:tcPr>
            <w:tcW w:w="1123" w:type="dxa"/>
            <w:noWrap/>
            <w:hideMark/>
          </w:tcPr>
          <w:p w14:paraId="2C281F1D" w14:textId="77777777"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4</w:t>
            </w:r>
          </w:p>
        </w:tc>
        <w:tc>
          <w:tcPr>
            <w:tcW w:w="982" w:type="dxa"/>
            <w:noWrap/>
            <w:hideMark/>
          </w:tcPr>
          <w:p w14:paraId="1A3E6BDC" w14:textId="09D421A0"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123" w:type="dxa"/>
            <w:noWrap/>
            <w:hideMark/>
          </w:tcPr>
          <w:p w14:paraId="67BCA5F8" w14:textId="77777777"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1</w:t>
            </w:r>
          </w:p>
        </w:tc>
        <w:tc>
          <w:tcPr>
            <w:tcW w:w="1080" w:type="dxa"/>
          </w:tcPr>
          <w:p w14:paraId="694E66FE" w14:textId="3428CF46" w:rsidR="00062A57" w:rsidRPr="00A04AE2" w:rsidRDefault="001014A1"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r>
      <w:tr w:rsidR="00062A57" w:rsidRPr="005B734B" w14:paraId="48326782" w14:textId="75BDE666"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405CBCB9" w14:textId="77777777" w:rsidR="00062A57" w:rsidRPr="005B734B" w:rsidRDefault="00062A57" w:rsidP="00E20DBB">
            <w:pPr>
              <w:pStyle w:val="Tabletextleft"/>
            </w:pPr>
            <w:r w:rsidRPr="005B734B">
              <w:t>At birth</w:t>
            </w:r>
          </w:p>
        </w:tc>
        <w:tc>
          <w:tcPr>
            <w:tcW w:w="1124" w:type="dxa"/>
            <w:noWrap/>
            <w:hideMark/>
          </w:tcPr>
          <w:p w14:paraId="40C0EA36" w14:textId="77777777"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4</w:t>
            </w:r>
          </w:p>
        </w:tc>
        <w:tc>
          <w:tcPr>
            <w:tcW w:w="1263" w:type="dxa"/>
            <w:noWrap/>
            <w:hideMark/>
          </w:tcPr>
          <w:p w14:paraId="43E5EDC3" w14:textId="77777777"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4</w:t>
            </w:r>
          </w:p>
        </w:tc>
        <w:tc>
          <w:tcPr>
            <w:tcW w:w="1123" w:type="dxa"/>
            <w:noWrap/>
            <w:hideMark/>
          </w:tcPr>
          <w:p w14:paraId="66DF2B01" w14:textId="77777777"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3</w:t>
            </w:r>
          </w:p>
        </w:tc>
        <w:tc>
          <w:tcPr>
            <w:tcW w:w="1123" w:type="dxa"/>
            <w:noWrap/>
            <w:hideMark/>
          </w:tcPr>
          <w:p w14:paraId="1A81A50D" w14:textId="77777777"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4</w:t>
            </w:r>
          </w:p>
        </w:tc>
        <w:tc>
          <w:tcPr>
            <w:tcW w:w="982" w:type="dxa"/>
            <w:noWrap/>
            <w:hideMark/>
          </w:tcPr>
          <w:p w14:paraId="7AA59579" w14:textId="77777777"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1</w:t>
            </w:r>
          </w:p>
        </w:tc>
        <w:tc>
          <w:tcPr>
            <w:tcW w:w="1123" w:type="dxa"/>
            <w:noWrap/>
            <w:hideMark/>
          </w:tcPr>
          <w:p w14:paraId="3D64342D" w14:textId="2A1AA4D5"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080" w:type="dxa"/>
          </w:tcPr>
          <w:p w14:paraId="113CC08F" w14:textId="1CA488C6" w:rsidR="00062A57" w:rsidRPr="00A04AE2" w:rsidRDefault="001014A1"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r>
      <w:tr w:rsidR="00062A57" w:rsidRPr="005B734B" w14:paraId="271B9E6A" w14:textId="509C1273"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50B9B2CD" w14:textId="77777777" w:rsidR="00062A57" w:rsidRPr="005B734B" w:rsidRDefault="00062A57" w:rsidP="00E20DBB">
            <w:pPr>
              <w:pStyle w:val="Tabletextleft"/>
            </w:pPr>
            <w:r w:rsidRPr="005B734B">
              <w:t>Post birth</w:t>
            </w:r>
          </w:p>
        </w:tc>
        <w:tc>
          <w:tcPr>
            <w:tcW w:w="1124" w:type="dxa"/>
            <w:noWrap/>
            <w:hideMark/>
          </w:tcPr>
          <w:p w14:paraId="7F0D54BC" w14:textId="77777777"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3</w:t>
            </w:r>
          </w:p>
        </w:tc>
        <w:tc>
          <w:tcPr>
            <w:tcW w:w="1263" w:type="dxa"/>
            <w:noWrap/>
            <w:hideMark/>
          </w:tcPr>
          <w:p w14:paraId="3D78B093" w14:textId="77777777"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3</w:t>
            </w:r>
          </w:p>
        </w:tc>
        <w:tc>
          <w:tcPr>
            <w:tcW w:w="1123" w:type="dxa"/>
            <w:noWrap/>
            <w:hideMark/>
          </w:tcPr>
          <w:p w14:paraId="5A1AD00B" w14:textId="5B325193"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123" w:type="dxa"/>
            <w:noWrap/>
            <w:hideMark/>
          </w:tcPr>
          <w:p w14:paraId="51AC0B44" w14:textId="77777777"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3</w:t>
            </w:r>
          </w:p>
        </w:tc>
        <w:tc>
          <w:tcPr>
            <w:tcW w:w="982" w:type="dxa"/>
            <w:noWrap/>
            <w:hideMark/>
          </w:tcPr>
          <w:p w14:paraId="5038FE4D" w14:textId="77777777"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1</w:t>
            </w:r>
          </w:p>
        </w:tc>
        <w:tc>
          <w:tcPr>
            <w:tcW w:w="1123" w:type="dxa"/>
            <w:noWrap/>
            <w:hideMark/>
          </w:tcPr>
          <w:p w14:paraId="3580BE91" w14:textId="34705835"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080" w:type="dxa"/>
          </w:tcPr>
          <w:p w14:paraId="0E7CB0C7" w14:textId="5276854F" w:rsidR="00062A57" w:rsidRPr="00A04AE2" w:rsidRDefault="001014A1"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2</w:t>
            </w:r>
          </w:p>
        </w:tc>
      </w:tr>
      <w:tr w:rsidR="00062A57" w:rsidRPr="005B734B" w14:paraId="5415D2B5" w14:textId="65CD881E"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699904E6" w14:textId="21BDCCD6" w:rsidR="00062A57" w:rsidRPr="005B734B" w:rsidRDefault="00062A57" w:rsidP="00E20DBB">
            <w:pPr>
              <w:pStyle w:val="Tabletextleft"/>
            </w:pPr>
            <w:r w:rsidRPr="005B734B">
              <w:t>Unknown^</w:t>
            </w:r>
          </w:p>
        </w:tc>
        <w:tc>
          <w:tcPr>
            <w:tcW w:w="1124" w:type="dxa"/>
            <w:noWrap/>
            <w:hideMark/>
          </w:tcPr>
          <w:p w14:paraId="2E5DD4D5" w14:textId="54F4C0FE"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263" w:type="dxa"/>
            <w:noWrap/>
            <w:hideMark/>
          </w:tcPr>
          <w:p w14:paraId="60BAAAB8" w14:textId="4C9CC503"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123" w:type="dxa"/>
            <w:noWrap/>
            <w:hideMark/>
          </w:tcPr>
          <w:p w14:paraId="74344FA6" w14:textId="77777777"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3</w:t>
            </w:r>
          </w:p>
        </w:tc>
        <w:tc>
          <w:tcPr>
            <w:tcW w:w="1123" w:type="dxa"/>
            <w:noWrap/>
            <w:hideMark/>
          </w:tcPr>
          <w:p w14:paraId="15E08858" w14:textId="353EDDC8"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982" w:type="dxa"/>
            <w:noWrap/>
            <w:hideMark/>
          </w:tcPr>
          <w:p w14:paraId="61DB6751" w14:textId="47CF0564"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123" w:type="dxa"/>
            <w:noWrap/>
            <w:hideMark/>
          </w:tcPr>
          <w:p w14:paraId="391775FA" w14:textId="6C0EAEF5"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080" w:type="dxa"/>
          </w:tcPr>
          <w:p w14:paraId="18EBD831" w14:textId="6F1FCD52" w:rsidR="00062A57" w:rsidRPr="00A04AE2" w:rsidRDefault="001014A1"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r>
      <w:tr w:rsidR="00062A57" w:rsidRPr="005B734B" w14:paraId="6BCC1928" w14:textId="4170B6C2"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64415041" w14:textId="050EFC58" w:rsidR="00062A57" w:rsidRPr="005B734B" w:rsidRDefault="00062A57" w:rsidP="00E20DBB">
            <w:pPr>
              <w:pStyle w:val="Tabletextleft"/>
            </w:pPr>
            <w:r w:rsidRPr="005B734B">
              <w:t>Late diagnosis</w:t>
            </w:r>
          </w:p>
        </w:tc>
        <w:tc>
          <w:tcPr>
            <w:tcW w:w="1124" w:type="dxa"/>
            <w:noWrap/>
            <w:hideMark/>
          </w:tcPr>
          <w:p w14:paraId="38B0BA09" w14:textId="77777777"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7</w:t>
            </w:r>
          </w:p>
        </w:tc>
        <w:tc>
          <w:tcPr>
            <w:tcW w:w="1263" w:type="dxa"/>
            <w:noWrap/>
            <w:hideMark/>
          </w:tcPr>
          <w:p w14:paraId="6EDDBEBD" w14:textId="77777777"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9</w:t>
            </w:r>
          </w:p>
        </w:tc>
        <w:tc>
          <w:tcPr>
            <w:tcW w:w="1123" w:type="dxa"/>
            <w:noWrap/>
            <w:hideMark/>
          </w:tcPr>
          <w:p w14:paraId="4BEB3FD6" w14:textId="77777777"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4</w:t>
            </w:r>
          </w:p>
        </w:tc>
        <w:tc>
          <w:tcPr>
            <w:tcW w:w="1123" w:type="dxa"/>
            <w:noWrap/>
            <w:hideMark/>
          </w:tcPr>
          <w:p w14:paraId="1AFCD33B" w14:textId="77777777"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11</w:t>
            </w:r>
          </w:p>
        </w:tc>
        <w:tc>
          <w:tcPr>
            <w:tcW w:w="982" w:type="dxa"/>
            <w:noWrap/>
            <w:hideMark/>
          </w:tcPr>
          <w:p w14:paraId="704033C8" w14:textId="77777777"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2</w:t>
            </w:r>
          </w:p>
        </w:tc>
        <w:tc>
          <w:tcPr>
            <w:tcW w:w="1123" w:type="dxa"/>
            <w:noWrap/>
            <w:hideMark/>
          </w:tcPr>
          <w:p w14:paraId="6A0F6615" w14:textId="77777777" w:rsidR="00062A57" w:rsidRPr="00A04AE2"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1</w:t>
            </w:r>
          </w:p>
        </w:tc>
        <w:tc>
          <w:tcPr>
            <w:tcW w:w="1080" w:type="dxa"/>
          </w:tcPr>
          <w:p w14:paraId="1C20067F" w14:textId="3214C83D" w:rsidR="00062A57" w:rsidRPr="00A04AE2" w:rsidRDefault="001014A1" w:rsidP="00E20DBB">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r>
      <w:tr w:rsidR="00062A57" w:rsidRPr="005B734B" w14:paraId="6A3A05A9" w14:textId="0F6BBCD8"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0FEDF218" w14:textId="77777777" w:rsidR="00062A57" w:rsidRPr="005B734B" w:rsidRDefault="00062A57" w:rsidP="00E20DBB">
            <w:pPr>
              <w:pStyle w:val="Tabletextcentre"/>
              <w:rPr>
                <w:rStyle w:val="Strong"/>
              </w:rPr>
            </w:pPr>
            <w:r w:rsidRPr="005B734B">
              <w:rPr>
                <w:rStyle w:val="Strong"/>
              </w:rPr>
              <w:t>Total</w:t>
            </w:r>
          </w:p>
        </w:tc>
        <w:tc>
          <w:tcPr>
            <w:tcW w:w="1124" w:type="dxa"/>
            <w:noWrap/>
            <w:hideMark/>
          </w:tcPr>
          <w:p w14:paraId="366D3F30"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8</w:t>
            </w:r>
          </w:p>
        </w:tc>
        <w:tc>
          <w:tcPr>
            <w:tcW w:w="1263" w:type="dxa"/>
            <w:noWrap/>
            <w:hideMark/>
          </w:tcPr>
          <w:p w14:paraId="181DDE52"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9</w:t>
            </w:r>
          </w:p>
        </w:tc>
        <w:tc>
          <w:tcPr>
            <w:tcW w:w="1123" w:type="dxa"/>
            <w:noWrap/>
            <w:hideMark/>
          </w:tcPr>
          <w:p w14:paraId="4CE6A703"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9</w:t>
            </w:r>
          </w:p>
        </w:tc>
        <w:tc>
          <w:tcPr>
            <w:tcW w:w="1123" w:type="dxa"/>
            <w:noWrap/>
            <w:hideMark/>
          </w:tcPr>
          <w:p w14:paraId="47A1F2E9"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13</w:t>
            </w:r>
          </w:p>
        </w:tc>
        <w:tc>
          <w:tcPr>
            <w:tcW w:w="982" w:type="dxa"/>
            <w:noWrap/>
            <w:hideMark/>
          </w:tcPr>
          <w:p w14:paraId="2AF09FCD"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3</w:t>
            </w:r>
          </w:p>
        </w:tc>
        <w:tc>
          <w:tcPr>
            <w:tcW w:w="1123" w:type="dxa"/>
            <w:noWrap/>
            <w:hideMark/>
          </w:tcPr>
          <w:p w14:paraId="6C2F3610"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1</w:t>
            </w:r>
          </w:p>
        </w:tc>
        <w:tc>
          <w:tcPr>
            <w:tcW w:w="1080" w:type="dxa"/>
          </w:tcPr>
          <w:p w14:paraId="33386A02" w14:textId="27E50390" w:rsidR="00062A57" w:rsidRPr="005B734B" w:rsidRDefault="001014A1" w:rsidP="00E20DBB">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3</w:t>
            </w:r>
          </w:p>
        </w:tc>
      </w:tr>
      <w:tr w:rsidR="001014A1" w:rsidRPr="005B734B" w14:paraId="1F64A17B" w14:textId="392091F9" w:rsidTr="00BA78FB">
        <w:trPr>
          <w:trHeight w:val="448"/>
        </w:trPr>
        <w:tc>
          <w:tcPr>
            <w:cnfStyle w:val="001000000000" w:firstRow="0" w:lastRow="0" w:firstColumn="1" w:lastColumn="0" w:oddVBand="0" w:evenVBand="0" w:oddHBand="0" w:evenHBand="0" w:firstRowFirstColumn="0" w:firstRowLastColumn="0" w:lastRowFirstColumn="0" w:lastRowLastColumn="0"/>
            <w:tcW w:w="9634" w:type="dxa"/>
            <w:gridSpan w:val="8"/>
            <w:noWrap/>
            <w:hideMark/>
          </w:tcPr>
          <w:p w14:paraId="318CD1AD" w14:textId="172AD884" w:rsidR="001014A1" w:rsidRPr="005B734B" w:rsidRDefault="001014A1" w:rsidP="00E20DBB">
            <w:pPr>
              <w:pStyle w:val="Tabletextcentre"/>
              <w:rPr>
                <w:rStyle w:val="Strong"/>
                <w:b w:val="0"/>
                <w:bCs w:val="0"/>
              </w:rPr>
            </w:pPr>
            <w:r w:rsidRPr="005B734B">
              <w:rPr>
                <w:rStyle w:val="Strong"/>
              </w:rPr>
              <w:t>Non-Indigenous women</w:t>
            </w:r>
          </w:p>
        </w:tc>
      </w:tr>
      <w:tr w:rsidR="00062A57" w:rsidRPr="005B734B" w14:paraId="51B0B4FA" w14:textId="626950E1"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7293BE07" w14:textId="77777777" w:rsidR="00062A57" w:rsidRPr="005B734B" w:rsidRDefault="00062A57" w:rsidP="00E20DBB">
            <w:pPr>
              <w:pStyle w:val="Tabletextleft"/>
            </w:pPr>
            <w:r w:rsidRPr="005B734B">
              <w:t>1st</w:t>
            </w:r>
          </w:p>
        </w:tc>
        <w:tc>
          <w:tcPr>
            <w:tcW w:w="1124" w:type="dxa"/>
            <w:noWrap/>
            <w:hideMark/>
          </w:tcPr>
          <w:p w14:paraId="28EE0449" w14:textId="0A5AE0D9"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263" w:type="dxa"/>
            <w:noWrap/>
            <w:hideMark/>
          </w:tcPr>
          <w:p w14:paraId="4E27342B" w14:textId="5B70916A"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123" w:type="dxa"/>
            <w:noWrap/>
            <w:hideMark/>
          </w:tcPr>
          <w:p w14:paraId="510932AE" w14:textId="08876C46"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123" w:type="dxa"/>
            <w:noWrap/>
            <w:hideMark/>
          </w:tcPr>
          <w:p w14:paraId="68EA2DFA" w14:textId="4E5167F6"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982" w:type="dxa"/>
            <w:noWrap/>
            <w:hideMark/>
          </w:tcPr>
          <w:p w14:paraId="7AF2B7D1" w14:textId="240E1A7E"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123" w:type="dxa"/>
            <w:noWrap/>
            <w:hideMark/>
          </w:tcPr>
          <w:p w14:paraId="4C82D1A0" w14:textId="4C1B0A3F"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080" w:type="dxa"/>
          </w:tcPr>
          <w:p w14:paraId="7D50A60F"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p>
        </w:tc>
      </w:tr>
      <w:tr w:rsidR="00062A57" w:rsidRPr="005B734B" w14:paraId="28B62E65" w14:textId="301C9DAA"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031BAA19" w14:textId="77777777" w:rsidR="00062A57" w:rsidRPr="005B734B" w:rsidRDefault="00062A57" w:rsidP="00E20DBB">
            <w:pPr>
              <w:pStyle w:val="Tabletextleft"/>
            </w:pPr>
            <w:r w:rsidRPr="005B734B">
              <w:t>2nd</w:t>
            </w:r>
          </w:p>
        </w:tc>
        <w:tc>
          <w:tcPr>
            <w:tcW w:w="1124" w:type="dxa"/>
            <w:noWrap/>
            <w:hideMark/>
          </w:tcPr>
          <w:p w14:paraId="57593B4D" w14:textId="4464EEC0"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263" w:type="dxa"/>
            <w:noWrap/>
            <w:hideMark/>
          </w:tcPr>
          <w:p w14:paraId="1544D7FD" w14:textId="6F2809BF"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123" w:type="dxa"/>
            <w:noWrap/>
            <w:hideMark/>
          </w:tcPr>
          <w:p w14:paraId="0D1EB551"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c>
          <w:tcPr>
            <w:tcW w:w="1123" w:type="dxa"/>
            <w:noWrap/>
            <w:hideMark/>
          </w:tcPr>
          <w:p w14:paraId="6E1EA4F0"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3</w:t>
            </w:r>
          </w:p>
        </w:tc>
        <w:tc>
          <w:tcPr>
            <w:tcW w:w="982" w:type="dxa"/>
            <w:noWrap/>
            <w:hideMark/>
          </w:tcPr>
          <w:p w14:paraId="28AA7417" w14:textId="6E0AE7F5"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123" w:type="dxa"/>
            <w:noWrap/>
            <w:hideMark/>
          </w:tcPr>
          <w:p w14:paraId="2E345539" w14:textId="3371A0B5"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080" w:type="dxa"/>
          </w:tcPr>
          <w:p w14:paraId="54D95999" w14:textId="61C107CF" w:rsidR="00062A57" w:rsidRPr="005B734B" w:rsidRDefault="001014A1"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r>
      <w:tr w:rsidR="00062A57" w:rsidRPr="005B734B" w14:paraId="137DE25A" w14:textId="48F20A7A"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701EA57E" w14:textId="77777777" w:rsidR="00062A57" w:rsidRPr="005B734B" w:rsidRDefault="00062A57" w:rsidP="00E20DBB">
            <w:pPr>
              <w:pStyle w:val="Tabletextleft"/>
            </w:pPr>
            <w:r w:rsidRPr="005B734B">
              <w:t>3rd</w:t>
            </w:r>
          </w:p>
        </w:tc>
        <w:tc>
          <w:tcPr>
            <w:tcW w:w="1124" w:type="dxa"/>
            <w:noWrap/>
            <w:hideMark/>
          </w:tcPr>
          <w:p w14:paraId="62BFB394"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2</w:t>
            </w:r>
          </w:p>
        </w:tc>
        <w:tc>
          <w:tcPr>
            <w:tcW w:w="1263" w:type="dxa"/>
            <w:noWrap/>
            <w:hideMark/>
          </w:tcPr>
          <w:p w14:paraId="6F5928AD"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c>
          <w:tcPr>
            <w:tcW w:w="1123" w:type="dxa"/>
            <w:noWrap/>
            <w:hideMark/>
          </w:tcPr>
          <w:p w14:paraId="4A7A74FA"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c>
          <w:tcPr>
            <w:tcW w:w="1123" w:type="dxa"/>
            <w:noWrap/>
            <w:hideMark/>
          </w:tcPr>
          <w:p w14:paraId="56E665AC" w14:textId="292F1F9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982" w:type="dxa"/>
            <w:noWrap/>
            <w:hideMark/>
          </w:tcPr>
          <w:p w14:paraId="5FD762EE"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c>
          <w:tcPr>
            <w:tcW w:w="1123" w:type="dxa"/>
            <w:noWrap/>
            <w:hideMark/>
          </w:tcPr>
          <w:p w14:paraId="64FB306E" w14:textId="0FDBA38C"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080" w:type="dxa"/>
          </w:tcPr>
          <w:p w14:paraId="0888CFDA"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p>
        </w:tc>
      </w:tr>
      <w:tr w:rsidR="00062A57" w:rsidRPr="005B734B" w14:paraId="28902353" w14:textId="7664F808"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5F6149DF" w14:textId="77777777" w:rsidR="00062A57" w:rsidRPr="005B734B" w:rsidRDefault="00062A57" w:rsidP="00E20DBB">
            <w:pPr>
              <w:pStyle w:val="Tabletextleft"/>
            </w:pPr>
            <w:r w:rsidRPr="005B734B">
              <w:t>At birth</w:t>
            </w:r>
          </w:p>
        </w:tc>
        <w:tc>
          <w:tcPr>
            <w:tcW w:w="1124" w:type="dxa"/>
            <w:noWrap/>
            <w:hideMark/>
          </w:tcPr>
          <w:p w14:paraId="325BCC2D"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2</w:t>
            </w:r>
          </w:p>
        </w:tc>
        <w:tc>
          <w:tcPr>
            <w:tcW w:w="1263" w:type="dxa"/>
            <w:noWrap/>
            <w:hideMark/>
          </w:tcPr>
          <w:p w14:paraId="06B49DDD"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c>
          <w:tcPr>
            <w:tcW w:w="1123" w:type="dxa"/>
            <w:noWrap/>
            <w:hideMark/>
          </w:tcPr>
          <w:p w14:paraId="5A18CDA6"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c>
          <w:tcPr>
            <w:tcW w:w="1123" w:type="dxa"/>
            <w:noWrap/>
            <w:hideMark/>
          </w:tcPr>
          <w:p w14:paraId="04963326"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c>
          <w:tcPr>
            <w:tcW w:w="982" w:type="dxa"/>
            <w:noWrap/>
            <w:hideMark/>
          </w:tcPr>
          <w:p w14:paraId="1134E41E"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c>
          <w:tcPr>
            <w:tcW w:w="1123" w:type="dxa"/>
            <w:noWrap/>
            <w:hideMark/>
          </w:tcPr>
          <w:p w14:paraId="352005ED"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2</w:t>
            </w:r>
          </w:p>
        </w:tc>
        <w:tc>
          <w:tcPr>
            <w:tcW w:w="1080" w:type="dxa"/>
          </w:tcPr>
          <w:p w14:paraId="1A8C30BD" w14:textId="45557175" w:rsidR="00062A57" w:rsidRPr="005B734B" w:rsidRDefault="001014A1"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r>
      <w:tr w:rsidR="00062A57" w:rsidRPr="005B734B" w14:paraId="3983A6B3" w14:textId="1304B5AB"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3CA7F2E8" w14:textId="77777777" w:rsidR="00062A57" w:rsidRPr="005B734B" w:rsidRDefault="00062A57" w:rsidP="00E20DBB">
            <w:pPr>
              <w:pStyle w:val="Tabletextleft"/>
            </w:pPr>
            <w:r w:rsidRPr="005B734B">
              <w:t>Post birth</w:t>
            </w:r>
          </w:p>
        </w:tc>
        <w:tc>
          <w:tcPr>
            <w:tcW w:w="1124" w:type="dxa"/>
            <w:noWrap/>
            <w:hideMark/>
          </w:tcPr>
          <w:p w14:paraId="121E7A43"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5</w:t>
            </w:r>
          </w:p>
        </w:tc>
        <w:tc>
          <w:tcPr>
            <w:tcW w:w="1263" w:type="dxa"/>
            <w:noWrap/>
            <w:hideMark/>
          </w:tcPr>
          <w:p w14:paraId="364516DC"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4</w:t>
            </w:r>
          </w:p>
        </w:tc>
        <w:tc>
          <w:tcPr>
            <w:tcW w:w="1123" w:type="dxa"/>
            <w:noWrap/>
            <w:hideMark/>
          </w:tcPr>
          <w:p w14:paraId="138ACA72"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2</w:t>
            </w:r>
          </w:p>
        </w:tc>
        <w:tc>
          <w:tcPr>
            <w:tcW w:w="1123" w:type="dxa"/>
            <w:noWrap/>
            <w:hideMark/>
          </w:tcPr>
          <w:p w14:paraId="4E8526B1"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3</w:t>
            </w:r>
          </w:p>
        </w:tc>
        <w:tc>
          <w:tcPr>
            <w:tcW w:w="982" w:type="dxa"/>
            <w:noWrap/>
            <w:hideMark/>
          </w:tcPr>
          <w:p w14:paraId="652A45BE"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4</w:t>
            </w:r>
          </w:p>
        </w:tc>
        <w:tc>
          <w:tcPr>
            <w:tcW w:w="1123" w:type="dxa"/>
            <w:noWrap/>
            <w:hideMark/>
          </w:tcPr>
          <w:p w14:paraId="21C26404" w14:textId="781DF478"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080" w:type="dxa"/>
          </w:tcPr>
          <w:p w14:paraId="36BA12E0" w14:textId="79EE6680" w:rsidR="00062A57" w:rsidRPr="005B734B" w:rsidRDefault="001014A1"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r>
      <w:tr w:rsidR="00062A57" w:rsidRPr="005B734B" w14:paraId="3091526E" w14:textId="2226F5ED"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0A9EF22E" w14:textId="1480D543" w:rsidR="00062A57" w:rsidRPr="005B734B" w:rsidRDefault="00062A57" w:rsidP="00E20DBB">
            <w:pPr>
              <w:pStyle w:val="Tabletextleft"/>
            </w:pPr>
            <w:r w:rsidRPr="005B734B">
              <w:t>Unknown^</w:t>
            </w:r>
          </w:p>
        </w:tc>
        <w:tc>
          <w:tcPr>
            <w:tcW w:w="1124" w:type="dxa"/>
            <w:noWrap/>
            <w:hideMark/>
          </w:tcPr>
          <w:p w14:paraId="0EBD7753" w14:textId="30388BCB"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263" w:type="dxa"/>
            <w:noWrap/>
            <w:hideMark/>
          </w:tcPr>
          <w:p w14:paraId="15976FDD" w14:textId="0457A951"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123" w:type="dxa"/>
            <w:noWrap/>
            <w:hideMark/>
          </w:tcPr>
          <w:p w14:paraId="6DAB3A6A" w14:textId="32072F3D"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123" w:type="dxa"/>
            <w:noWrap/>
            <w:hideMark/>
          </w:tcPr>
          <w:p w14:paraId="5CECD923" w14:textId="58AC1472"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982" w:type="dxa"/>
            <w:noWrap/>
            <w:hideMark/>
          </w:tcPr>
          <w:p w14:paraId="0552EB76" w14:textId="5C9938B9"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123" w:type="dxa"/>
            <w:noWrap/>
            <w:hideMark/>
          </w:tcPr>
          <w:p w14:paraId="591FB5E1" w14:textId="7D21ECD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080" w:type="dxa"/>
          </w:tcPr>
          <w:p w14:paraId="4BB5551F"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p>
        </w:tc>
      </w:tr>
      <w:tr w:rsidR="00062A57" w:rsidRPr="005B734B" w14:paraId="07D6C7E9" w14:textId="52A68BB9"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521409B2" w14:textId="77777777" w:rsidR="00062A57" w:rsidRPr="005B734B" w:rsidRDefault="00062A57" w:rsidP="00E20DBB">
            <w:pPr>
              <w:pStyle w:val="Tabletextleft"/>
            </w:pPr>
            <w:r w:rsidRPr="005B734B">
              <w:t>Late diagnosis</w:t>
            </w:r>
          </w:p>
        </w:tc>
        <w:tc>
          <w:tcPr>
            <w:tcW w:w="1124" w:type="dxa"/>
            <w:noWrap/>
            <w:hideMark/>
          </w:tcPr>
          <w:p w14:paraId="65C4D34B"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8</w:t>
            </w:r>
          </w:p>
        </w:tc>
        <w:tc>
          <w:tcPr>
            <w:tcW w:w="1263" w:type="dxa"/>
            <w:noWrap/>
            <w:hideMark/>
          </w:tcPr>
          <w:p w14:paraId="4AEAD816"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6</w:t>
            </w:r>
          </w:p>
        </w:tc>
        <w:tc>
          <w:tcPr>
            <w:tcW w:w="1123" w:type="dxa"/>
            <w:noWrap/>
            <w:hideMark/>
          </w:tcPr>
          <w:p w14:paraId="2E7096CA"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4</w:t>
            </w:r>
          </w:p>
        </w:tc>
        <w:tc>
          <w:tcPr>
            <w:tcW w:w="1123" w:type="dxa"/>
            <w:noWrap/>
            <w:hideMark/>
          </w:tcPr>
          <w:p w14:paraId="30559235"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4</w:t>
            </w:r>
          </w:p>
        </w:tc>
        <w:tc>
          <w:tcPr>
            <w:tcW w:w="982" w:type="dxa"/>
            <w:noWrap/>
            <w:hideMark/>
          </w:tcPr>
          <w:p w14:paraId="5DD6D863"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6</w:t>
            </w:r>
          </w:p>
        </w:tc>
        <w:tc>
          <w:tcPr>
            <w:tcW w:w="1123" w:type="dxa"/>
            <w:noWrap/>
            <w:hideMark/>
          </w:tcPr>
          <w:p w14:paraId="163845B4"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2</w:t>
            </w:r>
          </w:p>
        </w:tc>
        <w:tc>
          <w:tcPr>
            <w:tcW w:w="1080" w:type="dxa"/>
          </w:tcPr>
          <w:p w14:paraId="5A4B2B4C" w14:textId="49DF23E7" w:rsidR="00062A57" w:rsidRPr="005B734B" w:rsidRDefault="001014A1"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2</w:t>
            </w:r>
          </w:p>
        </w:tc>
      </w:tr>
      <w:tr w:rsidR="00062A57" w:rsidRPr="005B734B" w14:paraId="3119C5F4" w14:textId="07178A2C"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55BFEDFD" w14:textId="77777777" w:rsidR="00062A57" w:rsidRPr="005B734B" w:rsidRDefault="00062A57" w:rsidP="00E20DBB">
            <w:pPr>
              <w:pStyle w:val="Tabletextcentre"/>
              <w:rPr>
                <w:rStyle w:val="Strong"/>
              </w:rPr>
            </w:pPr>
            <w:r w:rsidRPr="005B734B">
              <w:rPr>
                <w:rStyle w:val="Strong"/>
              </w:rPr>
              <w:t>Total</w:t>
            </w:r>
          </w:p>
        </w:tc>
        <w:tc>
          <w:tcPr>
            <w:tcW w:w="1124" w:type="dxa"/>
            <w:noWrap/>
            <w:hideMark/>
          </w:tcPr>
          <w:p w14:paraId="3F19F387"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9</w:t>
            </w:r>
          </w:p>
        </w:tc>
        <w:tc>
          <w:tcPr>
            <w:tcW w:w="1263" w:type="dxa"/>
            <w:noWrap/>
            <w:hideMark/>
          </w:tcPr>
          <w:p w14:paraId="61A05C1B"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6</w:t>
            </w:r>
          </w:p>
        </w:tc>
        <w:tc>
          <w:tcPr>
            <w:tcW w:w="1123" w:type="dxa"/>
            <w:noWrap/>
            <w:hideMark/>
          </w:tcPr>
          <w:p w14:paraId="5FFA5E62"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5</w:t>
            </w:r>
          </w:p>
        </w:tc>
        <w:tc>
          <w:tcPr>
            <w:tcW w:w="1123" w:type="dxa"/>
            <w:noWrap/>
            <w:hideMark/>
          </w:tcPr>
          <w:p w14:paraId="2303C8FE"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7</w:t>
            </w:r>
          </w:p>
        </w:tc>
        <w:tc>
          <w:tcPr>
            <w:tcW w:w="982" w:type="dxa"/>
            <w:noWrap/>
            <w:hideMark/>
          </w:tcPr>
          <w:p w14:paraId="6342879F"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6</w:t>
            </w:r>
          </w:p>
        </w:tc>
        <w:tc>
          <w:tcPr>
            <w:tcW w:w="1123" w:type="dxa"/>
            <w:noWrap/>
            <w:hideMark/>
          </w:tcPr>
          <w:p w14:paraId="0A59C651"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2</w:t>
            </w:r>
          </w:p>
        </w:tc>
        <w:tc>
          <w:tcPr>
            <w:tcW w:w="1080" w:type="dxa"/>
          </w:tcPr>
          <w:p w14:paraId="2D1C61D9" w14:textId="107121DF" w:rsidR="00062A57" w:rsidRPr="005B734B" w:rsidRDefault="001014A1" w:rsidP="00E20DBB">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3</w:t>
            </w:r>
          </w:p>
        </w:tc>
      </w:tr>
      <w:tr w:rsidR="00DE37B4" w:rsidRPr="005B734B" w14:paraId="5CA17BB6" w14:textId="2E4CFF7A" w:rsidTr="00F00DF6">
        <w:trPr>
          <w:trHeight w:val="255"/>
        </w:trPr>
        <w:tc>
          <w:tcPr>
            <w:cnfStyle w:val="001000000000" w:firstRow="0" w:lastRow="0" w:firstColumn="1" w:lastColumn="0" w:oddVBand="0" w:evenVBand="0" w:oddHBand="0" w:evenHBand="0" w:firstRowFirstColumn="0" w:firstRowLastColumn="0" w:lastRowFirstColumn="0" w:lastRowLastColumn="0"/>
            <w:tcW w:w="9634" w:type="dxa"/>
            <w:gridSpan w:val="8"/>
            <w:noWrap/>
            <w:hideMark/>
          </w:tcPr>
          <w:p w14:paraId="5AF1BFEA" w14:textId="40971F51" w:rsidR="00DE37B4" w:rsidRPr="005B734B" w:rsidRDefault="00DE37B4" w:rsidP="00E20DBB">
            <w:pPr>
              <w:pStyle w:val="Tabletextcentre"/>
              <w:rPr>
                <w:rStyle w:val="Strong"/>
                <w:b w:val="0"/>
                <w:bCs w:val="0"/>
              </w:rPr>
            </w:pPr>
            <w:r w:rsidRPr="005B734B">
              <w:rPr>
                <w:rStyle w:val="Strong"/>
              </w:rPr>
              <w:t>Total women^</w:t>
            </w:r>
          </w:p>
        </w:tc>
      </w:tr>
      <w:tr w:rsidR="00062A57" w:rsidRPr="005B734B" w14:paraId="2885A8F8" w14:textId="04DB2F36"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3A13EEF4" w14:textId="77777777" w:rsidR="00062A57" w:rsidRPr="005B734B" w:rsidRDefault="00062A57" w:rsidP="00E20DBB">
            <w:pPr>
              <w:pStyle w:val="Tabletextleft"/>
            </w:pPr>
            <w:r w:rsidRPr="005B734B">
              <w:t>1st</w:t>
            </w:r>
          </w:p>
        </w:tc>
        <w:tc>
          <w:tcPr>
            <w:tcW w:w="1124" w:type="dxa"/>
            <w:noWrap/>
            <w:hideMark/>
          </w:tcPr>
          <w:p w14:paraId="29C2C775" w14:textId="1987F9EE"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263" w:type="dxa"/>
            <w:noWrap/>
            <w:hideMark/>
          </w:tcPr>
          <w:p w14:paraId="306A8B8D" w14:textId="108BE2D3"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123" w:type="dxa"/>
            <w:noWrap/>
            <w:hideMark/>
          </w:tcPr>
          <w:p w14:paraId="027874F8" w14:textId="61897771"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123" w:type="dxa"/>
            <w:noWrap/>
            <w:hideMark/>
          </w:tcPr>
          <w:p w14:paraId="622C1247" w14:textId="71B80C21"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982" w:type="dxa"/>
            <w:noWrap/>
            <w:hideMark/>
          </w:tcPr>
          <w:p w14:paraId="4FC612DF"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c>
          <w:tcPr>
            <w:tcW w:w="1123" w:type="dxa"/>
            <w:noWrap/>
            <w:hideMark/>
          </w:tcPr>
          <w:p w14:paraId="7CCEE720" w14:textId="3CB64546"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080" w:type="dxa"/>
          </w:tcPr>
          <w:p w14:paraId="67AEE07D" w14:textId="3A66273A" w:rsidR="00062A57" w:rsidRPr="005B734B" w:rsidRDefault="001014A1"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r>
      <w:tr w:rsidR="00062A57" w:rsidRPr="005B734B" w14:paraId="7316E8FF" w14:textId="116C5890"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2AAFECC4" w14:textId="77777777" w:rsidR="00062A57" w:rsidRPr="005B734B" w:rsidRDefault="00062A57" w:rsidP="00E20DBB">
            <w:pPr>
              <w:pStyle w:val="Tabletextleft"/>
            </w:pPr>
            <w:r w:rsidRPr="005B734B">
              <w:t>2nd</w:t>
            </w:r>
          </w:p>
        </w:tc>
        <w:tc>
          <w:tcPr>
            <w:tcW w:w="1124" w:type="dxa"/>
            <w:noWrap/>
            <w:hideMark/>
          </w:tcPr>
          <w:p w14:paraId="3A1AD74C"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c>
          <w:tcPr>
            <w:tcW w:w="1263" w:type="dxa"/>
            <w:noWrap/>
            <w:hideMark/>
          </w:tcPr>
          <w:p w14:paraId="32C24C03" w14:textId="378C6EDD"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123" w:type="dxa"/>
            <w:noWrap/>
            <w:hideMark/>
          </w:tcPr>
          <w:p w14:paraId="62EADAEA"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3</w:t>
            </w:r>
          </w:p>
        </w:tc>
        <w:tc>
          <w:tcPr>
            <w:tcW w:w="1123" w:type="dxa"/>
            <w:noWrap/>
            <w:hideMark/>
          </w:tcPr>
          <w:p w14:paraId="66DD3C51"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5</w:t>
            </w:r>
          </w:p>
        </w:tc>
        <w:tc>
          <w:tcPr>
            <w:tcW w:w="982" w:type="dxa"/>
            <w:noWrap/>
            <w:hideMark/>
          </w:tcPr>
          <w:p w14:paraId="505FCC30" w14:textId="2185E55C"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123" w:type="dxa"/>
            <w:noWrap/>
            <w:hideMark/>
          </w:tcPr>
          <w:p w14:paraId="06292256" w14:textId="28BCC26E"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080" w:type="dxa"/>
          </w:tcPr>
          <w:p w14:paraId="048E341A" w14:textId="5F2D3064" w:rsidR="00062A57" w:rsidRPr="005B734B" w:rsidRDefault="001014A1"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2</w:t>
            </w:r>
          </w:p>
        </w:tc>
      </w:tr>
      <w:tr w:rsidR="00062A57" w:rsidRPr="005B734B" w14:paraId="5D8441BA" w14:textId="17C76AEB"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50F581D6" w14:textId="77777777" w:rsidR="00062A57" w:rsidRPr="005B734B" w:rsidRDefault="00062A57" w:rsidP="00E20DBB">
            <w:pPr>
              <w:pStyle w:val="Tabletextleft"/>
            </w:pPr>
            <w:r w:rsidRPr="005B734B">
              <w:t>3rd</w:t>
            </w:r>
          </w:p>
        </w:tc>
        <w:tc>
          <w:tcPr>
            <w:tcW w:w="1124" w:type="dxa"/>
            <w:noWrap/>
            <w:hideMark/>
          </w:tcPr>
          <w:p w14:paraId="7582CAAD"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2</w:t>
            </w:r>
          </w:p>
        </w:tc>
        <w:tc>
          <w:tcPr>
            <w:tcW w:w="1263" w:type="dxa"/>
            <w:noWrap/>
            <w:hideMark/>
          </w:tcPr>
          <w:p w14:paraId="35A64A2E"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3</w:t>
            </w:r>
          </w:p>
        </w:tc>
        <w:tc>
          <w:tcPr>
            <w:tcW w:w="1123" w:type="dxa"/>
            <w:noWrap/>
            <w:hideMark/>
          </w:tcPr>
          <w:p w14:paraId="47789FF3"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2</w:t>
            </w:r>
          </w:p>
        </w:tc>
        <w:tc>
          <w:tcPr>
            <w:tcW w:w="1123" w:type="dxa"/>
            <w:noWrap/>
            <w:hideMark/>
          </w:tcPr>
          <w:p w14:paraId="799D13ED"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4</w:t>
            </w:r>
          </w:p>
        </w:tc>
        <w:tc>
          <w:tcPr>
            <w:tcW w:w="982" w:type="dxa"/>
            <w:noWrap/>
            <w:hideMark/>
          </w:tcPr>
          <w:p w14:paraId="1A126575"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c>
          <w:tcPr>
            <w:tcW w:w="1123" w:type="dxa"/>
            <w:noWrap/>
            <w:hideMark/>
          </w:tcPr>
          <w:p w14:paraId="4ECB04CE"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c>
          <w:tcPr>
            <w:tcW w:w="1080" w:type="dxa"/>
          </w:tcPr>
          <w:p w14:paraId="585D6B0C" w14:textId="1BCA492E" w:rsidR="00062A57" w:rsidRPr="005B734B" w:rsidRDefault="001014A1"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r>
      <w:tr w:rsidR="00062A57" w:rsidRPr="005B734B" w14:paraId="7CFA1269" w14:textId="20BD5EF9"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35DA762E" w14:textId="77777777" w:rsidR="00062A57" w:rsidRPr="005B734B" w:rsidRDefault="00062A57" w:rsidP="00E20DBB">
            <w:pPr>
              <w:pStyle w:val="Tabletextleft"/>
            </w:pPr>
            <w:r w:rsidRPr="005B734B">
              <w:t>At birth</w:t>
            </w:r>
          </w:p>
        </w:tc>
        <w:tc>
          <w:tcPr>
            <w:tcW w:w="1124" w:type="dxa"/>
            <w:noWrap/>
            <w:hideMark/>
          </w:tcPr>
          <w:p w14:paraId="18F494FC"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6</w:t>
            </w:r>
          </w:p>
        </w:tc>
        <w:tc>
          <w:tcPr>
            <w:tcW w:w="1263" w:type="dxa"/>
            <w:noWrap/>
            <w:hideMark/>
          </w:tcPr>
          <w:p w14:paraId="7A044BF4"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5</w:t>
            </w:r>
          </w:p>
        </w:tc>
        <w:tc>
          <w:tcPr>
            <w:tcW w:w="1123" w:type="dxa"/>
            <w:noWrap/>
            <w:hideMark/>
          </w:tcPr>
          <w:p w14:paraId="11E2C9A1"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4</w:t>
            </w:r>
          </w:p>
        </w:tc>
        <w:tc>
          <w:tcPr>
            <w:tcW w:w="1123" w:type="dxa"/>
            <w:noWrap/>
            <w:hideMark/>
          </w:tcPr>
          <w:p w14:paraId="445DCDE0"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5</w:t>
            </w:r>
          </w:p>
        </w:tc>
        <w:tc>
          <w:tcPr>
            <w:tcW w:w="982" w:type="dxa"/>
            <w:noWrap/>
            <w:hideMark/>
          </w:tcPr>
          <w:p w14:paraId="5DAFE08B"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2</w:t>
            </w:r>
          </w:p>
        </w:tc>
        <w:tc>
          <w:tcPr>
            <w:tcW w:w="1123" w:type="dxa"/>
            <w:noWrap/>
            <w:hideMark/>
          </w:tcPr>
          <w:p w14:paraId="3F4609FD"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2</w:t>
            </w:r>
          </w:p>
        </w:tc>
        <w:tc>
          <w:tcPr>
            <w:tcW w:w="1080" w:type="dxa"/>
          </w:tcPr>
          <w:p w14:paraId="1BF14A01" w14:textId="63A65800" w:rsidR="00062A57" w:rsidRPr="005B734B" w:rsidRDefault="001014A1"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r>
      <w:tr w:rsidR="00062A57" w:rsidRPr="005B734B" w14:paraId="7CE38B57" w14:textId="1238DC0E"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20A14EBE" w14:textId="77777777" w:rsidR="00062A57" w:rsidRPr="005B734B" w:rsidRDefault="00062A57" w:rsidP="00E20DBB">
            <w:pPr>
              <w:pStyle w:val="Tabletextleft"/>
            </w:pPr>
            <w:r w:rsidRPr="005B734B">
              <w:t>Post birth</w:t>
            </w:r>
          </w:p>
        </w:tc>
        <w:tc>
          <w:tcPr>
            <w:tcW w:w="1124" w:type="dxa"/>
            <w:noWrap/>
            <w:hideMark/>
          </w:tcPr>
          <w:p w14:paraId="67568798"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8</w:t>
            </w:r>
          </w:p>
        </w:tc>
        <w:tc>
          <w:tcPr>
            <w:tcW w:w="1263" w:type="dxa"/>
            <w:noWrap/>
            <w:hideMark/>
          </w:tcPr>
          <w:p w14:paraId="7D9CB160"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7</w:t>
            </w:r>
          </w:p>
        </w:tc>
        <w:tc>
          <w:tcPr>
            <w:tcW w:w="1123" w:type="dxa"/>
            <w:noWrap/>
            <w:hideMark/>
          </w:tcPr>
          <w:p w14:paraId="7F4DA3EF"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3</w:t>
            </w:r>
          </w:p>
        </w:tc>
        <w:tc>
          <w:tcPr>
            <w:tcW w:w="1123" w:type="dxa"/>
            <w:noWrap/>
            <w:hideMark/>
          </w:tcPr>
          <w:p w14:paraId="609715F6"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6</w:t>
            </w:r>
          </w:p>
        </w:tc>
        <w:tc>
          <w:tcPr>
            <w:tcW w:w="982" w:type="dxa"/>
            <w:noWrap/>
            <w:hideMark/>
          </w:tcPr>
          <w:p w14:paraId="1F326E3D"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6</w:t>
            </w:r>
          </w:p>
        </w:tc>
        <w:tc>
          <w:tcPr>
            <w:tcW w:w="1123" w:type="dxa"/>
            <w:noWrap/>
            <w:hideMark/>
          </w:tcPr>
          <w:p w14:paraId="6CBBD4E7" w14:textId="6C7BBECA"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080" w:type="dxa"/>
          </w:tcPr>
          <w:p w14:paraId="2A5EC5C0" w14:textId="7F8AD283" w:rsidR="00062A57" w:rsidRPr="005B734B" w:rsidRDefault="001014A1"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3</w:t>
            </w:r>
          </w:p>
        </w:tc>
      </w:tr>
      <w:tr w:rsidR="00062A57" w:rsidRPr="005B734B" w14:paraId="7F986C74" w14:textId="4D5E7A19"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40657853" w14:textId="6969149E" w:rsidR="00062A57" w:rsidRPr="005B734B" w:rsidRDefault="00062A57" w:rsidP="00E20DBB">
            <w:pPr>
              <w:pStyle w:val="Tabletextleft"/>
            </w:pPr>
            <w:r w:rsidRPr="005B734B">
              <w:t>Unknown^</w:t>
            </w:r>
          </w:p>
        </w:tc>
        <w:tc>
          <w:tcPr>
            <w:tcW w:w="1124" w:type="dxa"/>
            <w:noWrap/>
            <w:hideMark/>
          </w:tcPr>
          <w:p w14:paraId="0FC5DB67" w14:textId="62533A80"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263" w:type="dxa"/>
            <w:noWrap/>
            <w:hideMark/>
          </w:tcPr>
          <w:p w14:paraId="347EAA54" w14:textId="2DF828BA"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123" w:type="dxa"/>
            <w:noWrap/>
            <w:hideMark/>
          </w:tcPr>
          <w:p w14:paraId="7A591CEC"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3</w:t>
            </w:r>
          </w:p>
        </w:tc>
        <w:tc>
          <w:tcPr>
            <w:tcW w:w="1123" w:type="dxa"/>
            <w:noWrap/>
            <w:hideMark/>
          </w:tcPr>
          <w:p w14:paraId="47B783B8" w14:textId="73916EB2"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982" w:type="dxa"/>
            <w:noWrap/>
            <w:hideMark/>
          </w:tcPr>
          <w:p w14:paraId="6644F897" w14:textId="2D50A3D8"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123" w:type="dxa"/>
            <w:noWrap/>
            <w:hideMark/>
          </w:tcPr>
          <w:p w14:paraId="7F01B562" w14:textId="09AA4EA5"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080" w:type="dxa"/>
          </w:tcPr>
          <w:p w14:paraId="3C7EFD34" w14:textId="5BCE7E25" w:rsidR="00062A57" w:rsidRPr="005B734B" w:rsidRDefault="001014A1"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r>
      <w:tr w:rsidR="00062A57" w:rsidRPr="005B734B" w14:paraId="36CDE2C9" w14:textId="0170A3C3"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1585A816" w14:textId="77777777" w:rsidR="00062A57" w:rsidRPr="005B734B" w:rsidRDefault="00062A57" w:rsidP="00E20DBB">
            <w:pPr>
              <w:pStyle w:val="Tabletextleft"/>
            </w:pPr>
            <w:r w:rsidRPr="005B734B">
              <w:t>Late diagnosis</w:t>
            </w:r>
          </w:p>
        </w:tc>
        <w:tc>
          <w:tcPr>
            <w:tcW w:w="1124" w:type="dxa"/>
            <w:noWrap/>
            <w:hideMark/>
          </w:tcPr>
          <w:p w14:paraId="438E16E7"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15</w:t>
            </w:r>
          </w:p>
        </w:tc>
        <w:tc>
          <w:tcPr>
            <w:tcW w:w="1263" w:type="dxa"/>
            <w:noWrap/>
            <w:hideMark/>
          </w:tcPr>
          <w:p w14:paraId="3D117DA0"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15</w:t>
            </w:r>
          </w:p>
        </w:tc>
        <w:tc>
          <w:tcPr>
            <w:tcW w:w="1123" w:type="dxa"/>
            <w:noWrap/>
            <w:hideMark/>
          </w:tcPr>
          <w:p w14:paraId="630D3791"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9</w:t>
            </w:r>
          </w:p>
        </w:tc>
        <w:tc>
          <w:tcPr>
            <w:tcW w:w="1123" w:type="dxa"/>
            <w:noWrap/>
            <w:hideMark/>
          </w:tcPr>
          <w:p w14:paraId="0D19AAB8"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15</w:t>
            </w:r>
          </w:p>
        </w:tc>
        <w:tc>
          <w:tcPr>
            <w:tcW w:w="982" w:type="dxa"/>
            <w:noWrap/>
            <w:hideMark/>
          </w:tcPr>
          <w:p w14:paraId="2CB6FDAE"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9</w:t>
            </w:r>
          </w:p>
        </w:tc>
        <w:tc>
          <w:tcPr>
            <w:tcW w:w="1123" w:type="dxa"/>
            <w:noWrap/>
            <w:hideMark/>
          </w:tcPr>
          <w:p w14:paraId="032ED5D4"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3</w:t>
            </w:r>
          </w:p>
        </w:tc>
        <w:tc>
          <w:tcPr>
            <w:tcW w:w="1080" w:type="dxa"/>
          </w:tcPr>
          <w:p w14:paraId="59473346" w14:textId="1DF1AEE0" w:rsidR="00062A57" w:rsidRPr="005B734B" w:rsidRDefault="001014A1" w:rsidP="00E20DBB">
            <w:pPr>
              <w:pStyle w:val="Tabletextcentre"/>
              <w:cnfStyle w:val="000000000000" w:firstRow="0" w:lastRow="0" w:firstColumn="0" w:lastColumn="0" w:oddVBand="0" w:evenVBand="0" w:oddHBand="0" w:evenHBand="0" w:firstRowFirstColumn="0" w:firstRowLastColumn="0" w:lastRowFirstColumn="0" w:lastRowLastColumn="0"/>
            </w:pPr>
            <w:r w:rsidRPr="005B734B">
              <w:t>4</w:t>
            </w:r>
          </w:p>
        </w:tc>
      </w:tr>
      <w:tr w:rsidR="00062A57" w:rsidRPr="005B734B" w14:paraId="4968BBA8" w14:textId="5021BB95"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1381F86A" w14:textId="77777777" w:rsidR="00062A57" w:rsidRPr="005B734B" w:rsidRDefault="00062A57" w:rsidP="00E20DBB">
            <w:pPr>
              <w:pStyle w:val="Tabletextcentre"/>
              <w:rPr>
                <w:rStyle w:val="Strong"/>
              </w:rPr>
            </w:pPr>
            <w:r w:rsidRPr="005B734B">
              <w:rPr>
                <w:rStyle w:val="Strong"/>
              </w:rPr>
              <w:t>Total</w:t>
            </w:r>
          </w:p>
        </w:tc>
        <w:tc>
          <w:tcPr>
            <w:tcW w:w="1124" w:type="dxa"/>
            <w:noWrap/>
            <w:hideMark/>
          </w:tcPr>
          <w:p w14:paraId="7C23B83F"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17</w:t>
            </w:r>
          </w:p>
        </w:tc>
        <w:tc>
          <w:tcPr>
            <w:tcW w:w="1263" w:type="dxa"/>
            <w:noWrap/>
            <w:hideMark/>
          </w:tcPr>
          <w:p w14:paraId="01603C81"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15</w:t>
            </w:r>
          </w:p>
        </w:tc>
        <w:tc>
          <w:tcPr>
            <w:tcW w:w="1123" w:type="dxa"/>
            <w:noWrap/>
            <w:hideMark/>
          </w:tcPr>
          <w:p w14:paraId="63FDDED4"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15</w:t>
            </w:r>
          </w:p>
        </w:tc>
        <w:tc>
          <w:tcPr>
            <w:tcW w:w="1123" w:type="dxa"/>
            <w:noWrap/>
            <w:hideMark/>
          </w:tcPr>
          <w:p w14:paraId="1D5A4D2D"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20</w:t>
            </w:r>
          </w:p>
        </w:tc>
        <w:tc>
          <w:tcPr>
            <w:tcW w:w="982" w:type="dxa"/>
            <w:noWrap/>
            <w:hideMark/>
          </w:tcPr>
          <w:p w14:paraId="2C4F7457"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10</w:t>
            </w:r>
          </w:p>
        </w:tc>
        <w:tc>
          <w:tcPr>
            <w:tcW w:w="1123" w:type="dxa"/>
            <w:noWrap/>
            <w:hideMark/>
          </w:tcPr>
          <w:p w14:paraId="7F2F01E5" w14:textId="77777777" w:rsidR="00062A57" w:rsidRPr="005B734B" w:rsidRDefault="00062A57" w:rsidP="00E20DBB">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3</w:t>
            </w:r>
          </w:p>
        </w:tc>
        <w:tc>
          <w:tcPr>
            <w:tcW w:w="1080" w:type="dxa"/>
          </w:tcPr>
          <w:p w14:paraId="392635B2" w14:textId="6DB9FE7E" w:rsidR="00062A57" w:rsidRPr="005B734B" w:rsidRDefault="001014A1" w:rsidP="00E20DBB">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6</w:t>
            </w:r>
          </w:p>
        </w:tc>
      </w:tr>
    </w:tbl>
    <w:p w14:paraId="63C4168A" w14:textId="2C8489B5" w:rsidR="00792723" w:rsidRDefault="00183BFB" w:rsidP="00E20DBB">
      <w:pPr>
        <w:pStyle w:val="FootnoteText"/>
      </w:pPr>
      <w:r w:rsidRPr="005B734B">
        <w:t>^Includes cases with an unknown stage of pregnancy at syphilis diagnosis.</w:t>
      </w:r>
    </w:p>
    <w:p w14:paraId="5ABF6DB2" w14:textId="7CE02C76" w:rsidR="00B4449F" w:rsidRPr="00B4449F" w:rsidRDefault="00B4449F" w:rsidP="00E20DBB">
      <w:r>
        <w:br w:type="page"/>
      </w:r>
    </w:p>
    <w:p w14:paraId="4293E1EC" w14:textId="07F61834" w:rsidR="008D0421" w:rsidRPr="005B734B" w:rsidRDefault="008D0421" w:rsidP="00E20DBB">
      <w:pPr>
        <w:pStyle w:val="Heading2"/>
      </w:pPr>
      <w:r w:rsidRPr="005B734B">
        <w:lastRenderedPageBreak/>
        <w:t xml:space="preserve">4.6 Proportion of </w:t>
      </w:r>
      <w:r w:rsidR="00792723" w:rsidRPr="005B734B">
        <w:t>women</w:t>
      </w:r>
      <w:r w:rsidR="009723F9" w:rsidRPr="005B734B">
        <w:rPr>
          <w:vertAlign w:val="superscript"/>
        </w:rPr>
        <w:fldChar w:fldCharType="begin"/>
      </w:r>
      <w:r w:rsidR="009723F9" w:rsidRPr="005B734B">
        <w:rPr>
          <w:vertAlign w:val="superscript"/>
        </w:rPr>
        <w:instrText xml:space="preserve"> NOTEREF _Ref207887924 \h  \* MERGEFORMAT </w:instrText>
      </w:r>
      <w:r w:rsidR="009723F9" w:rsidRPr="005B734B">
        <w:rPr>
          <w:vertAlign w:val="superscript"/>
        </w:rPr>
      </w:r>
      <w:r w:rsidR="009723F9" w:rsidRPr="005B734B">
        <w:rPr>
          <w:vertAlign w:val="superscript"/>
        </w:rPr>
        <w:fldChar w:fldCharType="separate"/>
      </w:r>
      <w:r w:rsidR="00062812">
        <w:rPr>
          <w:vertAlign w:val="superscript"/>
        </w:rPr>
        <w:t>5</w:t>
      </w:r>
      <w:r w:rsidR="009723F9" w:rsidRPr="005B734B">
        <w:rPr>
          <w:vertAlign w:val="superscript"/>
        </w:rPr>
        <w:fldChar w:fldCharType="end"/>
      </w:r>
      <w:r w:rsidRPr="005B734B">
        <w:t xml:space="preserve"> giving birth to an infant with congenital syphilis receiving adequate treatment prior to delivery</w:t>
      </w:r>
    </w:p>
    <w:p w14:paraId="0D213632" w14:textId="31A0CE75" w:rsidR="00183BFB" w:rsidRPr="005B734B" w:rsidRDefault="00183BFB" w:rsidP="00E20DBB">
      <w:r w:rsidRPr="005B734B">
        <w:t>Maternal treatment of syphilis was reported for 93% (</w:t>
      </w:r>
      <w:r w:rsidR="00470F51" w:rsidRPr="005B734B">
        <w:t>80</w:t>
      </w:r>
      <w:r w:rsidRPr="005B734B">
        <w:t>/8</w:t>
      </w:r>
      <w:r w:rsidR="00470F51" w:rsidRPr="005B734B">
        <w:t>6</w:t>
      </w:r>
      <w:r w:rsidRPr="005B734B">
        <w:t>) of women giving birth to an infant with congenital syphilis between 2020 and Q</w:t>
      </w:r>
      <w:r w:rsidR="00470F51" w:rsidRPr="005B734B">
        <w:t>2</w:t>
      </w:r>
      <w:r w:rsidRPr="005B734B">
        <w:t xml:space="preserve"> 2025. Of these women 9</w:t>
      </w:r>
      <w:r w:rsidR="00470F51" w:rsidRPr="005B734B">
        <w:t>6</w:t>
      </w:r>
      <w:r w:rsidRPr="005B734B">
        <w:t>% (7</w:t>
      </w:r>
      <w:r w:rsidR="00470F51" w:rsidRPr="005B734B">
        <w:t>7</w:t>
      </w:r>
      <w:r w:rsidRPr="005B734B">
        <w:t>/</w:t>
      </w:r>
      <w:r w:rsidR="00470F51" w:rsidRPr="005B734B">
        <w:t>80</w:t>
      </w:r>
      <w:r w:rsidRPr="005B734B">
        <w:t>) did not receive adequate treatment</w:t>
      </w:r>
      <w:bookmarkStart w:id="9" w:name="_Ref207975467"/>
      <w:r w:rsidRPr="005B734B">
        <w:rPr>
          <w:vertAlign w:val="superscript"/>
        </w:rPr>
        <w:footnoteReference w:id="9"/>
      </w:r>
      <w:bookmarkEnd w:id="9"/>
      <w:r w:rsidRPr="005B734B">
        <w:t xml:space="preserve"> prior to delivery</w:t>
      </w:r>
      <w:r w:rsidR="00BC14FC" w:rsidRPr="005B734B">
        <w:t xml:space="preserve"> (Figure 12)</w:t>
      </w:r>
      <w:r w:rsidRPr="005B734B">
        <w:t xml:space="preserve"> this includes </w:t>
      </w:r>
      <w:r w:rsidR="00F6287F" w:rsidRPr="005B734B">
        <w:t>53</w:t>
      </w:r>
      <w:r w:rsidRPr="005B734B">
        <w:t xml:space="preserve"> women who were diagnosed at-birth (day of delivery) </w:t>
      </w:r>
      <w:r w:rsidR="00D073C1">
        <w:t xml:space="preserve">or </w:t>
      </w:r>
      <w:r w:rsidRPr="005B734B">
        <w:t xml:space="preserve">post-birth and 12 women who were diagnosed in the third trimester (&lt;30 days prior to delivery). Of the remaining cases, </w:t>
      </w:r>
      <w:r w:rsidR="00F6287F" w:rsidRPr="005B734B">
        <w:t>nine</w:t>
      </w:r>
      <w:r w:rsidRPr="005B734B">
        <w:t xml:space="preserve"> were diagnosed in the 2nd trimester and </w:t>
      </w:r>
      <w:r w:rsidR="00127F58" w:rsidRPr="005B734B">
        <w:t>three</w:t>
      </w:r>
      <w:r w:rsidRPr="005B734B">
        <w:t xml:space="preserve"> had an unknow</w:t>
      </w:r>
      <w:r w:rsidR="000C0EA7" w:rsidRPr="005B734B">
        <w:t>n</w:t>
      </w:r>
      <w:r w:rsidRPr="005B734B">
        <w:t xml:space="preserve"> trimester of diagnosis</w:t>
      </w:r>
      <w:r w:rsidR="00923599" w:rsidRPr="005B734B">
        <w:t>.</w:t>
      </w:r>
    </w:p>
    <w:p w14:paraId="2A4C1A2D" w14:textId="1FAA7EE0" w:rsidR="000C0EA7" w:rsidRPr="005B734B" w:rsidRDefault="000C0EA7" w:rsidP="00E20DBB">
      <w:r w:rsidRPr="005B734B">
        <w:t xml:space="preserve">Of the </w:t>
      </w:r>
      <w:r w:rsidR="00127F58" w:rsidRPr="005B734B">
        <w:t>7</w:t>
      </w:r>
      <w:r w:rsidR="00F6287F" w:rsidRPr="005B734B">
        <w:t>7</w:t>
      </w:r>
      <w:r w:rsidR="00127F58" w:rsidRPr="005B734B">
        <w:t xml:space="preserve"> </w:t>
      </w:r>
      <w:r w:rsidRPr="005B734B">
        <w:t>women</w:t>
      </w:r>
      <w:r w:rsidR="00127F58" w:rsidRPr="005B734B">
        <w:t xml:space="preserve"> who did </w:t>
      </w:r>
      <w:r w:rsidRPr="005B734B">
        <w:t xml:space="preserve">not </w:t>
      </w:r>
      <w:r w:rsidR="00127F58" w:rsidRPr="005B734B">
        <w:t xml:space="preserve">receive </w:t>
      </w:r>
      <w:r w:rsidRPr="005B734B">
        <w:t>adequate treatment prior to delivery</w:t>
      </w:r>
      <w:r w:rsidR="00153F27" w:rsidRPr="005B734B">
        <w:t>,</w:t>
      </w:r>
      <w:r w:rsidR="00F6287F" w:rsidRPr="005B734B">
        <w:t xml:space="preserve"> over</w:t>
      </w:r>
      <w:r w:rsidR="007B6950" w:rsidRPr="005B734B">
        <w:t xml:space="preserve"> </w:t>
      </w:r>
      <w:r w:rsidR="00C822E2" w:rsidRPr="005B734B">
        <w:t>one-third</w:t>
      </w:r>
      <w:r w:rsidRPr="005B734B">
        <w:t xml:space="preserve"> (</w:t>
      </w:r>
      <w:r w:rsidR="00C822E2" w:rsidRPr="005B734B">
        <w:t>3</w:t>
      </w:r>
      <w:r w:rsidR="00F6287F" w:rsidRPr="005B734B">
        <w:t>5</w:t>
      </w:r>
      <w:r w:rsidR="00C822E2" w:rsidRPr="005B734B">
        <w:t xml:space="preserve">%, </w:t>
      </w:r>
      <w:r w:rsidRPr="005B734B">
        <w:t>2</w:t>
      </w:r>
      <w:r w:rsidR="00F6287F" w:rsidRPr="005B734B">
        <w:t>7</w:t>
      </w:r>
      <w:r w:rsidRPr="005B734B">
        <w:t>/7</w:t>
      </w:r>
      <w:r w:rsidR="00F6287F" w:rsidRPr="005B734B">
        <w:t>7</w:t>
      </w:r>
      <w:r w:rsidRPr="005B734B">
        <w:t>)</w:t>
      </w:r>
      <w:r w:rsidR="00923599" w:rsidRPr="005B734B">
        <w:t xml:space="preserve"> </w:t>
      </w:r>
      <w:r w:rsidR="007B6950" w:rsidRPr="005B734B">
        <w:t xml:space="preserve">of these pregnancies resulted </w:t>
      </w:r>
      <w:r w:rsidRPr="005B734B">
        <w:t>in a</w:t>
      </w:r>
      <w:r w:rsidR="007B6950" w:rsidRPr="005B734B">
        <w:t xml:space="preserve"> congenital syphilis</w:t>
      </w:r>
      <w:r w:rsidRPr="005B734B">
        <w:t xml:space="preserve"> fetal death (still-birth or following birth). Thirty-f</w:t>
      </w:r>
      <w:r w:rsidR="00E11B0D" w:rsidRPr="005B734B">
        <w:t>our</w:t>
      </w:r>
      <w:r w:rsidRPr="005B734B">
        <w:t xml:space="preserve"> percent </w:t>
      </w:r>
      <w:r w:rsidR="00923599" w:rsidRPr="005B734B">
        <w:t xml:space="preserve">of </w:t>
      </w:r>
      <w:r w:rsidR="007B6950" w:rsidRPr="005B734B">
        <w:t xml:space="preserve">these </w:t>
      </w:r>
      <w:r w:rsidR="00923599" w:rsidRPr="005B734B">
        <w:t xml:space="preserve">women </w:t>
      </w:r>
      <w:r w:rsidRPr="005B734B">
        <w:t>(3</w:t>
      </w:r>
      <w:r w:rsidR="00E11B0D" w:rsidRPr="005B734B">
        <w:t>4</w:t>
      </w:r>
      <w:r w:rsidRPr="005B734B">
        <w:t>%, 2</w:t>
      </w:r>
      <w:r w:rsidR="00E11B0D" w:rsidRPr="005B734B">
        <w:t>6</w:t>
      </w:r>
      <w:r w:rsidRPr="005B734B">
        <w:t>/7</w:t>
      </w:r>
      <w:r w:rsidR="00E11B0D" w:rsidRPr="005B734B">
        <w:t>7</w:t>
      </w:r>
      <w:r w:rsidRPr="005B734B">
        <w:t xml:space="preserve">) </w:t>
      </w:r>
      <w:r w:rsidR="007B6950" w:rsidRPr="005B734B">
        <w:t xml:space="preserve">gave birth to a </w:t>
      </w:r>
      <w:r w:rsidRPr="005B734B">
        <w:t xml:space="preserve">live-born </w:t>
      </w:r>
      <w:r w:rsidR="007B6950" w:rsidRPr="005B734B">
        <w:t xml:space="preserve">infant with a </w:t>
      </w:r>
      <w:r w:rsidRPr="005B734B">
        <w:t xml:space="preserve">range of clinical symptoms associated with congenital syphilis including bone abnormalities, damage to spleen and/or liver, anaemia, hearing loss, jaundice and sepsis. Eight </w:t>
      </w:r>
      <w:r w:rsidR="00923599" w:rsidRPr="005B734B">
        <w:t xml:space="preserve">women </w:t>
      </w:r>
      <w:r w:rsidR="00153F27" w:rsidRPr="005B734B">
        <w:t>gave birth</w:t>
      </w:r>
      <w:r w:rsidR="00923599" w:rsidRPr="005B734B">
        <w:t xml:space="preserve"> to </w:t>
      </w:r>
      <w:r w:rsidRPr="005B734B">
        <w:t>infants (1</w:t>
      </w:r>
      <w:r w:rsidR="00E11B0D" w:rsidRPr="005B734B">
        <w:t>0</w:t>
      </w:r>
      <w:r w:rsidRPr="005B734B">
        <w:t>%, 8/7</w:t>
      </w:r>
      <w:r w:rsidR="00E11B0D" w:rsidRPr="005B734B">
        <w:t>7</w:t>
      </w:r>
      <w:r w:rsidRPr="005B734B">
        <w:t xml:space="preserve">) </w:t>
      </w:r>
      <w:r w:rsidR="00BC14FC" w:rsidRPr="005B734B">
        <w:t xml:space="preserve">with congenital syphilis </w:t>
      </w:r>
      <w:r w:rsidR="00153F27" w:rsidRPr="005B734B">
        <w:t xml:space="preserve">that </w:t>
      </w:r>
      <w:r w:rsidRPr="005B734B">
        <w:t xml:space="preserve">were diagnosed in the weeks and months following their birth. Where additional information </w:t>
      </w:r>
      <w:r w:rsidR="00FB7BF5">
        <w:t>was</w:t>
      </w:r>
      <w:r w:rsidR="00FB7BF5" w:rsidRPr="005B734B">
        <w:t xml:space="preserve"> </w:t>
      </w:r>
      <w:r w:rsidRPr="005B734B">
        <w:t>available, the reason for the later diagnosis were reported as the infant not being investigated at birth as they were clinically well, the mother was diagnosed with syphilis post-birth and the infant presented with symptoms post-birth. The remaining 1</w:t>
      </w:r>
      <w:r w:rsidR="00E11B0D" w:rsidRPr="005B734B">
        <w:t>6</w:t>
      </w:r>
      <w:r w:rsidR="00923599" w:rsidRPr="005B734B">
        <w:t xml:space="preserve"> </w:t>
      </w:r>
      <w:r w:rsidR="00153F27" w:rsidRPr="005B734B">
        <w:t xml:space="preserve">women gave birth </w:t>
      </w:r>
      <w:r w:rsidR="00923599" w:rsidRPr="005B734B">
        <w:t>to</w:t>
      </w:r>
      <w:r w:rsidRPr="005B734B">
        <w:t xml:space="preserve"> infants (21%, 1</w:t>
      </w:r>
      <w:r w:rsidR="00E11B0D" w:rsidRPr="005B734B">
        <w:t>6</w:t>
      </w:r>
      <w:r w:rsidRPr="005B734B">
        <w:t>/7</w:t>
      </w:r>
      <w:r w:rsidR="00E11B0D" w:rsidRPr="005B734B">
        <w:t>7</w:t>
      </w:r>
      <w:r w:rsidRPr="005B734B">
        <w:t xml:space="preserve">) </w:t>
      </w:r>
      <w:r w:rsidR="00BC14FC" w:rsidRPr="005B734B">
        <w:t xml:space="preserve">with congenital syphilis </w:t>
      </w:r>
      <w:r w:rsidR="00153F27" w:rsidRPr="005B734B">
        <w:t xml:space="preserve">that </w:t>
      </w:r>
      <w:r w:rsidRPr="005B734B">
        <w:t xml:space="preserve">were live-born with no congenital syphilis symptoms. </w:t>
      </w:r>
    </w:p>
    <w:p w14:paraId="0EB95014" w14:textId="533D30D0" w:rsidR="009723F9" w:rsidRPr="005B734B" w:rsidRDefault="009723F9" w:rsidP="00E20DBB">
      <w:pPr>
        <w:pStyle w:val="Caption"/>
      </w:pPr>
      <w:r w:rsidRPr="005B734B">
        <w:t xml:space="preserve">Figure </w:t>
      </w:r>
      <w:r w:rsidR="0021216D" w:rsidRPr="005B734B">
        <w:t>1</w:t>
      </w:r>
      <w:r w:rsidR="009F4506" w:rsidRPr="005B734B">
        <w:t>2</w:t>
      </w:r>
      <w:r w:rsidRPr="005B734B">
        <w:t>: Adequate maternal treatment among women</w:t>
      </w:r>
      <w:r w:rsidRPr="005B734B">
        <w:rPr>
          <w:vertAlign w:val="superscript"/>
        </w:rPr>
        <w:fldChar w:fldCharType="begin"/>
      </w:r>
      <w:r w:rsidRPr="005B734B">
        <w:rPr>
          <w:vertAlign w:val="superscript"/>
        </w:rPr>
        <w:instrText xml:space="preserve"> NOTEREF _Ref207887924 \h  \* MERGEFORMAT </w:instrText>
      </w:r>
      <w:r w:rsidRPr="005B734B">
        <w:rPr>
          <w:vertAlign w:val="superscript"/>
        </w:rPr>
      </w:r>
      <w:r w:rsidRPr="005B734B">
        <w:rPr>
          <w:vertAlign w:val="superscript"/>
        </w:rPr>
        <w:fldChar w:fldCharType="separate"/>
      </w:r>
      <w:r w:rsidR="00062812">
        <w:rPr>
          <w:vertAlign w:val="superscript"/>
        </w:rPr>
        <w:t>5</w:t>
      </w:r>
      <w:r w:rsidRPr="005B734B">
        <w:rPr>
          <w:vertAlign w:val="superscript"/>
        </w:rPr>
        <w:fldChar w:fldCharType="end"/>
      </w:r>
      <w:r w:rsidRPr="005B734B">
        <w:t xml:space="preserve"> giving birth to an infant with congenital syphilis, by year, 2020 – Q</w:t>
      </w:r>
      <w:r w:rsidR="00470F51" w:rsidRPr="005B734B">
        <w:t>2</w:t>
      </w:r>
      <w:r w:rsidRPr="005B734B">
        <w:t xml:space="preserve"> 2025*</w:t>
      </w:r>
    </w:p>
    <w:p w14:paraId="79E7AB1A" w14:textId="794B03A7" w:rsidR="009723F9" w:rsidRPr="005B734B" w:rsidRDefault="00470F51" w:rsidP="00E20DBB">
      <w:r w:rsidRPr="005B734B">
        <w:rPr>
          <w:noProof/>
        </w:rPr>
        <w:drawing>
          <wp:inline distT="0" distB="0" distL="0" distR="0" wp14:anchorId="47002126" wp14:editId="46A55845">
            <wp:extent cx="5898237" cy="3841845"/>
            <wp:effectExtent l="0" t="0" r="7620" b="6350"/>
            <wp:docPr id="20814089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08976" name="Picture 1">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09176" cy="3848970"/>
                    </a:xfrm>
                    <a:prstGeom prst="rect">
                      <a:avLst/>
                    </a:prstGeom>
                    <a:noFill/>
                  </pic:spPr>
                </pic:pic>
              </a:graphicData>
            </a:graphic>
          </wp:inline>
        </w:drawing>
      </w:r>
    </w:p>
    <w:p w14:paraId="4E81AA8B" w14:textId="5B021A33" w:rsidR="009723F9" w:rsidRPr="005B734B" w:rsidRDefault="008D0421" w:rsidP="00E20DBB">
      <w:pPr>
        <w:pStyle w:val="Heading2"/>
      </w:pPr>
      <w:r w:rsidRPr="005B734B">
        <w:lastRenderedPageBreak/>
        <w:t xml:space="preserve">4.7 Number of </w:t>
      </w:r>
      <w:r w:rsidR="00792723" w:rsidRPr="005B734B">
        <w:t>women</w:t>
      </w:r>
      <w:r w:rsidR="009723F9" w:rsidRPr="005B734B">
        <w:rPr>
          <w:vertAlign w:val="superscript"/>
        </w:rPr>
        <w:fldChar w:fldCharType="begin"/>
      </w:r>
      <w:r w:rsidR="009723F9" w:rsidRPr="005B734B">
        <w:rPr>
          <w:vertAlign w:val="superscript"/>
        </w:rPr>
        <w:instrText xml:space="preserve"> NOTEREF _Ref207887924 \h  \* MERGEFORMAT </w:instrText>
      </w:r>
      <w:r w:rsidR="009723F9" w:rsidRPr="005B734B">
        <w:rPr>
          <w:vertAlign w:val="superscript"/>
        </w:rPr>
      </w:r>
      <w:r w:rsidR="009723F9" w:rsidRPr="005B734B">
        <w:rPr>
          <w:vertAlign w:val="superscript"/>
        </w:rPr>
        <w:fldChar w:fldCharType="separate"/>
      </w:r>
      <w:r w:rsidR="00062812">
        <w:rPr>
          <w:vertAlign w:val="superscript"/>
        </w:rPr>
        <w:t>5</w:t>
      </w:r>
      <w:r w:rsidR="009723F9" w:rsidRPr="005B734B">
        <w:rPr>
          <w:vertAlign w:val="superscript"/>
        </w:rPr>
        <w:fldChar w:fldCharType="end"/>
      </w:r>
      <w:r w:rsidRPr="005B734B">
        <w:t xml:space="preserve"> giving birth to an infant with congenital syphilis by number of syphilis tests received during their pregnancy</w:t>
      </w:r>
    </w:p>
    <w:p w14:paraId="3F1B08E7" w14:textId="74CDDA2F" w:rsidR="00183BFB" w:rsidRPr="005B734B" w:rsidRDefault="009723F9" w:rsidP="00E20DBB">
      <w:r w:rsidRPr="005B734B">
        <w:t xml:space="preserve">Maternal </w:t>
      </w:r>
      <w:r w:rsidR="00BC14FC" w:rsidRPr="005B734B">
        <w:t xml:space="preserve">syphilis testing </w:t>
      </w:r>
      <w:r w:rsidRPr="005B734B">
        <w:t>history was reported for 9</w:t>
      </w:r>
      <w:r w:rsidR="00A012D4" w:rsidRPr="005B734B">
        <w:t>7</w:t>
      </w:r>
      <w:r w:rsidRPr="005B734B">
        <w:t>% (</w:t>
      </w:r>
      <w:r w:rsidR="00A012D4" w:rsidRPr="005B734B">
        <w:t>83</w:t>
      </w:r>
      <w:r w:rsidRPr="005B734B">
        <w:t>/8</w:t>
      </w:r>
      <w:r w:rsidR="00A012D4" w:rsidRPr="005B734B">
        <w:t>6</w:t>
      </w:r>
      <w:r w:rsidRPr="005B734B">
        <w:t>) of women giving birth to an infant between 2020 and Q</w:t>
      </w:r>
      <w:r w:rsidR="00A012D4" w:rsidRPr="005B734B">
        <w:t>2</w:t>
      </w:r>
      <w:r w:rsidRPr="005B734B">
        <w:t xml:space="preserve"> 2025</w:t>
      </w:r>
      <w:r w:rsidR="00BC14FC" w:rsidRPr="005B734B">
        <w:t xml:space="preserve"> (Figure 13)</w:t>
      </w:r>
      <w:r w:rsidRPr="005B734B">
        <w:t>. Of those women 6</w:t>
      </w:r>
      <w:r w:rsidR="00A012D4" w:rsidRPr="005B734B">
        <w:t>3</w:t>
      </w:r>
      <w:r w:rsidRPr="005B734B">
        <w:t>% (5</w:t>
      </w:r>
      <w:r w:rsidR="00A012D4" w:rsidRPr="005B734B">
        <w:t>2</w:t>
      </w:r>
      <w:r w:rsidRPr="005B734B">
        <w:t>/</w:t>
      </w:r>
      <w:r w:rsidR="00A012D4" w:rsidRPr="005B734B">
        <w:t>83</w:t>
      </w:r>
      <w:r w:rsidRPr="005B734B">
        <w:t>) did not report a previous syphilis test during their current pregnancy prior to being diagnosed with infectious syphilis. The remaining 27 cases (3</w:t>
      </w:r>
      <w:r w:rsidR="00A012D4" w:rsidRPr="005B734B">
        <w:t>3</w:t>
      </w:r>
      <w:r w:rsidRPr="005B734B">
        <w:t>%, 27/</w:t>
      </w:r>
      <w:r w:rsidR="00A012D4" w:rsidRPr="005B734B">
        <w:t>83</w:t>
      </w:r>
      <w:r w:rsidRPr="005B734B">
        <w:t>) reported at least one previous syphilis test, however only</w:t>
      </w:r>
      <w:r w:rsidR="00A012D4" w:rsidRPr="005B734B">
        <w:t xml:space="preserve"> one</w:t>
      </w:r>
      <w:r w:rsidRPr="005B734B">
        <w:t xml:space="preserve"> wom</w:t>
      </w:r>
      <w:r w:rsidR="00A012D4" w:rsidRPr="005B734B">
        <w:t>a</w:t>
      </w:r>
      <w:r w:rsidRPr="005B734B">
        <w:t>n</w:t>
      </w:r>
      <w:r w:rsidR="00A012D4" w:rsidRPr="005B734B">
        <w:t xml:space="preserve"> (1%)</w:t>
      </w:r>
      <w:r w:rsidRPr="005B734B">
        <w:t xml:space="preserve"> reported having </w:t>
      </w:r>
      <w:r w:rsidR="00472F7F">
        <w:t>three</w:t>
      </w:r>
      <w:r w:rsidRPr="005B734B">
        <w:t xml:space="preserve"> or more tests during their current pregnancy as recommended in national and jurisdictional guidelines </w:t>
      </w:r>
      <w:r w:rsidRPr="005B734B">
        <w:fldChar w:fldCharType="begin">
          <w:fldData xml:space="preserve">PEVuZE5vdGU+PENpdGU+PFJlY051bT4xMjwvUmVjTnVtPjxEaXNwbGF5VGV4dD4oOC0xNSk8L0Rp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==
</w:fldData>
        </w:fldChar>
      </w:r>
      <w:r w:rsidR="00430240" w:rsidRPr="005B734B">
        <w:instrText xml:space="preserve"> ADDIN EN.CITE </w:instrText>
      </w:r>
      <w:r w:rsidR="00430240" w:rsidRPr="005B734B">
        <w:fldChar w:fldCharType="begin">
          <w:fldData xml:space="preserve">PEVuZE5vdGU+PENpdGU+PFJlY051bT4xMjwvUmVjTnVtPjxEaXNwbGF5VGV4dD4oOC0xNSk8L0Rp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==
</w:fldData>
        </w:fldChar>
      </w:r>
      <w:r w:rsidR="00430240" w:rsidRPr="005B734B">
        <w:instrText xml:space="preserve"> ADDIN EN.CITE.DATA </w:instrText>
      </w:r>
      <w:r w:rsidR="00430240" w:rsidRPr="005B734B">
        <w:fldChar w:fldCharType="end"/>
      </w:r>
      <w:r w:rsidRPr="005B734B">
        <w:fldChar w:fldCharType="separate"/>
      </w:r>
      <w:r w:rsidR="00430240" w:rsidRPr="005B734B">
        <w:t>(8-15)</w:t>
      </w:r>
      <w:r w:rsidRPr="005B734B">
        <w:fldChar w:fldCharType="end"/>
      </w:r>
      <w:r w:rsidR="00BC14FC" w:rsidRPr="005B734B">
        <w:t xml:space="preserve"> (Figure 13)</w:t>
      </w:r>
      <w:r w:rsidRPr="005B734B">
        <w:t>.</w:t>
      </w:r>
    </w:p>
    <w:p w14:paraId="30D30323" w14:textId="669CFAD9" w:rsidR="00792723" w:rsidRPr="005B734B" w:rsidRDefault="00792723" w:rsidP="00E20DBB">
      <w:pPr>
        <w:pStyle w:val="Caption"/>
      </w:pPr>
      <w:r w:rsidRPr="005B734B">
        <w:t xml:space="preserve">Figure </w:t>
      </w:r>
      <w:r w:rsidR="009723F9" w:rsidRPr="005B734B">
        <w:t>1</w:t>
      </w:r>
      <w:r w:rsidR="009F4506" w:rsidRPr="005B734B">
        <w:t>3</w:t>
      </w:r>
      <w:r w:rsidRPr="005B734B">
        <w:t xml:space="preserve">: Maternal syphilis testing </w:t>
      </w:r>
      <w:r w:rsidR="00BC14FC" w:rsidRPr="005B734B">
        <w:t>history</w:t>
      </w:r>
      <w:r w:rsidR="00A012D4" w:rsidRPr="005B734B">
        <w:t>^</w:t>
      </w:r>
      <w:r w:rsidR="00BC14FC" w:rsidRPr="005B734B">
        <w:t xml:space="preserve"> </w:t>
      </w:r>
      <w:r w:rsidRPr="005B734B">
        <w:t>during pregnancy among women</w:t>
      </w:r>
      <w:r w:rsidR="009723F9" w:rsidRPr="005B734B">
        <w:rPr>
          <w:vertAlign w:val="superscript"/>
        </w:rPr>
        <w:fldChar w:fldCharType="begin"/>
      </w:r>
      <w:r w:rsidR="009723F9" w:rsidRPr="005B734B">
        <w:rPr>
          <w:vertAlign w:val="superscript"/>
        </w:rPr>
        <w:instrText xml:space="preserve"> NOTEREF _Ref207887924 \h  \* MERGEFORMAT </w:instrText>
      </w:r>
      <w:r w:rsidR="009723F9" w:rsidRPr="005B734B">
        <w:rPr>
          <w:vertAlign w:val="superscript"/>
        </w:rPr>
      </w:r>
      <w:r w:rsidR="009723F9" w:rsidRPr="005B734B">
        <w:rPr>
          <w:vertAlign w:val="superscript"/>
        </w:rPr>
        <w:fldChar w:fldCharType="separate"/>
      </w:r>
      <w:r w:rsidR="00062812">
        <w:rPr>
          <w:vertAlign w:val="superscript"/>
        </w:rPr>
        <w:t>5</w:t>
      </w:r>
      <w:r w:rsidR="009723F9" w:rsidRPr="005B734B">
        <w:rPr>
          <w:vertAlign w:val="superscript"/>
        </w:rPr>
        <w:fldChar w:fldCharType="end"/>
      </w:r>
      <w:r w:rsidRPr="005B734B">
        <w:t xml:space="preserve"> giving birth to an infant with congenital syphilis, by stage of pregnancy at syphilis diagnosis, 2020 – Q</w:t>
      </w:r>
      <w:r w:rsidR="00470F51" w:rsidRPr="005B734B">
        <w:t>2</w:t>
      </w:r>
      <w:r w:rsidRPr="005B734B">
        <w:t xml:space="preserve"> 2025</w:t>
      </w:r>
    </w:p>
    <w:p w14:paraId="38CC1562" w14:textId="34DD10F3" w:rsidR="00792723" w:rsidRPr="005B734B" w:rsidRDefault="00A012D4" w:rsidP="00E20DBB">
      <w:r w:rsidRPr="005B734B">
        <w:rPr>
          <w:noProof/>
        </w:rPr>
        <w:drawing>
          <wp:inline distT="0" distB="0" distL="0" distR="0" wp14:anchorId="07B22C1F" wp14:editId="50382083">
            <wp:extent cx="5741394" cy="3739685"/>
            <wp:effectExtent l="0" t="0" r="0" b="0"/>
            <wp:docPr id="23840825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08252" name="Picture 6">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9054" cy="3744675"/>
                    </a:xfrm>
                    <a:prstGeom prst="rect">
                      <a:avLst/>
                    </a:prstGeom>
                    <a:noFill/>
                  </pic:spPr>
                </pic:pic>
              </a:graphicData>
            </a:graphic>
          </wp:inline>
        </w:drawing>
      </w:r>
    </w:p>
    <w:p w14:paraId="1DD1BBB1" w14:textId="20F84DBC" w:rsidR="00A012D4" w:rsidRPr="005B734B" w:rsidRDefault="00A012D4" w:rsidP="00E20DBB">
      <w:r w:rsidRPr="005B734B">
        <w:t>^Excludes cases with unknown maternal screening history reported</w:t>
      </w:r>
    </w:p>
    <w:p w14:paraId="12C53E74" w14:textId="37C04A99" w:rsidR="009723F9" w:rsidRPr="005B734B" w:rsidRDefault="008D0421" w:rsidP="00E20DBB">
      <w:pPr>
        <w:pStyle w:val="Heading2"/>
      </w:pPr>
      <w:r w:rsidRPr="005B734B">
        <w:t xml:space="preserve">4.8 Number of </w:t>
      </w:r>
      <w:r w:rsidR="009723F9" w:rsidRPr="005B734B">
        <w:t>women</w:t>
      </w:r>
      <w:r w:rsidR="009723F9" w:rsidRPr="005B734B">
        <w:rPr>
          <w:vertAlign w:val="superscript"/>
        </w:rPr>
        <w:fldChar w:fldCharType="begin"/>
      </w:r>
      <w:r w:rsidR="009723F9" w:rsidRPr="005B734B">
        <w:rPr>
          <w:vertAlign w:val="superscript"/>
        </w:rPr>
        <w:instrText xml:space="preserve"> NOTEREF _Ref207887924 \h  \* MERGEFORMAT </w:instrText>
      </w:r>
      <w:r w:rsidR="009723F9" w:rsidRPr="005B734B">
        <w:rPr>
          <w:vertAlign w:val="superscript"/>
        </w:rPr>
      </w:r>
      <w:r w:rsidR="009723F9" w:rsidRPr="005B734B">
        <w:rPr>
          <w:vertAlign w:val="superscript"/>
        </w:rPr>
        <w:fldChar w:fldCharType="separate"/>
      </w:r>
      <w:r w:rsidR="00062812">
        <w:rPr>
          <w:vertAlign w:val="superscript"/>
        </w:rPr>
        <w:t>5</w:t>
      </w:r>
      <w:r w:rsidR="009723F9" w:rsidRPr="005B734B">
        <w:rPr>
          <w:vertAlign w:val="superscript"/>
        </w:rPr>
        <w:fldChar w:fldCharType="end"/>
      </w:r>
      <w:r w:rsidRPr="005B734B">
        <w:t xml:space="preserve"> giving birth to an infant with congenital syphilis reinfected during their pregnancy</w:t>
      </w:r>
    </w:p>
    <w:p w14:paraId="596FDC34" w14:textId="406E474C" w:rsidR="009723F9" w:rsidRPr="005B734B" w:rsidRDefault="009723F9" w:rsidP="00E20DBB">
      <w:r w:rsidRPr="005B734B">
        <w:t>Maternal reinfection</w:t>
      </w:r>
      <w:r w:rsidRPr="005B734B">
        <w:rPr>
          <w:vertAlign w:val="superscript"/>
        </w:rPr>
        <w:footnoteReference w:id="10"/>
      </w:r>
      <w:r w:rsidRPr="005B734B">
        <w:t xml:space="preserve"> data, either during the current pregnancy</w:t>
      </w:r>
      <w:r w:rsidRPr="005B734B">
        <w:rPr>
          <w:vertAlign w:val="superscript"/>
        </w:rPr>
        <w:footnoteReference w:id="11"/>
      </w:r>
      <w:r w:rsidRPr="005B734B">
        <w:t xml:space="preserve"> or prior to the current pregnancy, were available for 9</w:t>
      </w:r>
      <w:r w:rsidR="00E133A6" w:rsidRPr="005B734B">
        <w:t>7</w:t>
      </w:r>
      <w:r w:rsidRPr="005B734B">
        <w:t>% (</w:t>
      </w:r>
      <w:r w:rsidR="00BC727F" w:rsidRPr="005B734B">
        <w:t>8</w:t>
      </w:r>
      <w:r w:rsidR="00E133A6" w:rsidRPr="005B734B">
        <w:t>3</w:t>
      </w:r>
      <w:r w:rsidRPr="005B734B">
        <w:t>/8</w:t>
      </w:r>
      <w:r w:rsidR="00BC727F" w:rsidRPr="005B734B">
        <w:t>6</w:t>
      </w:r>
      <w:r w:rsidRPr="005B734B">
        <w:t>) of women giving birth to an infant between 2020 and Q</w:t>
      </w:r>
      <w:r w:rsidR="00BC727F" w:rsidRPr="005B734B">
        <w:t>2</w:t>
      </w:r>
      <w:r w:rsidRPr="005B734B">
        <w:t xml:space="preserve"> 2025. Of the </w:t>
      </w:r>
      <w:r w:rsidR="00BC727F" w:rsidRPr="005B734B">
        <w:t>8</w:t>
      </w:r>
      <w:r w:rsidR="00E133A6" w:rsidRPr="005B734B">
        <w:t>3</w:t>
      </w:r>
      <w:r w:rsidRPr="005B734B">
        <w:t xml:space="preserve"> women with data available</w:t>
      </w:r>
      <w:r w:rsidR="00472F7F">
        <w:t>,</w:t>
      </w:r>
      <w:r w:rsidRPr="005B734B">
        <w:t xml:space="preserve"> </w:t>
      </w:r>
      <w:r w:rsidR="00E133A6" w:rsidRPr="005B734B">
        <w:t>five</w:t>
      </w:r>
      <w:r w:rsidRPr="005B734B">
        <w:t xml:space="preserve"> (</w:t>
      </w:r>
      <w:r w:rsidR="00E133A6" w:rsidRPr="005B734B">
        <w:t>6</w:t>
      </w:r>
      <w:r w:rsidRPr="005B734B">
        <w:t xml:space="preserve">%, </w:t>
      </w:r>
      <w:r w:rsidR="00E133A6" w:rsidRPr="005B734B">
        <w:t>5</w:t>
      </w:r>
      <w:r w:rsidRPr="005B734B">
        <w:t>/</w:t>
      </w:r>
      <w:r w:rsidR="00BC727F" w:rsidRPr="005B734B">
        <w:t>8</w:t>
      </w:r>
      <w:r w:rsidR="00E133A6" w:rsidRPr="005B734B">
        <w:t>3</w:t>
      </w:r>
      <w:r w:rsidRPr="005B734B">
        <w:t>) reported being diagnosed with a previous syphilis infection during the current or previous pregnancy</w:t>
      </w:r>
      <w:r w:rsidR="00E133A6" w:rsidRPr="005B734B">
        <w:t xml:space="preserve"> and four (5%, 4/83) reported a previous infection but not while pregnant. </w:t>
      </w:r>
      <w:r w:rsidRPr="005B734B">
        <w:t>The remaining 7</w:t>
      </w:r>
      <w:r w:rsidR="00E133A6" w:rsidRPr="005B734B">
        <w:t>4</w:t>
      </w:r>
      <w:r w:rsidRPr="005B734B">
        <w:t xml:space="preserve"> cases (</w:t>
      </w:r>
      <w:r w:rsidR="00E133A6" w:rsidRPr="005B734B">
        <w:t>89</w:t>
      </w:r>
      <w:r w:rsidRPr="005B734B">
        <w:t>%, 7</w:t>
      </w:r>
      <w:r w:rsidR="00E133A6" w:rsidRPr="005B734B">
        <w:t>4</w:t>
      </w:r>
      <w:r w:rsidRPr="005B734B">
        <w:t>/</w:t>
      </w:r>
      <w:r w:rsidR="00E133A6" w:rsidRPr="005B734B">
        <w:t>83</w:t>
      </w:r>
      <w:r w:rsidRPr="005B734B">
        <w:t>) did not report a previous syphilis infection prior to the current diagnosis.</w:t>
      </w:r>
      <w:r w:rsidRPr="005B734B">
        <w:br w:type="page"/>
      </w:r>
    </w:p>
    <w:p w14:paraId="6F604471" w14:textId="77777777" w:rsidR="002E3591" w:rsidRPr="005B734B" w:rsidRDefault="002E3591" w:rsidP="002B378F">
      <w:pPr>
        <w:pStyle w:val="Heading1"/>
      </w:pPr>
      <w:r w:rsidRPr="005B734B">
        <w:lastRenderedPageBreak/>
        <w:t>Methodological notes</w:t>
      </w:r>
    </w:p>
    <w:p w14:paraId="5B2E9311" w14:textId="4EA4B62B" w:rsidR="002E3591" w:rsidRPr="005B734B" w:rsidRDefault="002E3591" w:rsidP="00E20DBB">
      <w:bookmarkStart w:id="10" w:name="_Hlk149805975"/>
      <w:r w:rsidRPr="005B734B">
        <w:t xml:space="preserve">Syphilis notification and enhanced data were extracted from the NNDSS on </w:t>
      </w:r>
      <w:r w:rsidR="001857B4" w:rsidRPr="005B734B">
        <w:t>31</w:t>
      </w:r>
      <w:r w:rsidR="00430240" w:rsidRPr="005B734B">
        <w:t xml:space="preserve"> October</w:t>
      </w:r>
      <w:r w:rsidRPr="005B734B">
        <w:t xml:space="preserve"> 2025, by diagnosis date. Due to the dynamic nature of the NNDSS, data in this extract are subject to retrospective revision and may vary from data reported in published NNDSS reports and reports of notification data by states and territories. </w:t>
      </w:r>
      <w:bookmarkEnd w:id="10"/>
      <w:r w:rsidRPr="005B734B">
        <w:t>Data are to 3</w:t>
      </w:r>
      <w:r w:rsidR="008936ED">
        <w:t>0</w:t>
      </w:r>
      <w:r w:rsidRPr="005B734B">
        <w:t xml:space="preserve"> </w:t>
      </w:r>
      <w:r w:rsidR="008936ED">
        <w:t>June</w:t>
      </w:r>
      <w:r w:rsidR="00932ECA" w:rsidRPr="005B734B">
        <w:t xml:space="preserve"> 2025</w:t>
      </w:r>
      <w:r w:rsidRPr="005B734B">
        <w:t xml:space="preserve"> unless otherwise specified.</w:t>
      </w:r>
    </w:p>
    <w:p w14:paraId="24CCE24C" w14:textId="77777777" w:rsidR="002E3591" w:rsidRPr="005B734B" w:rsidRDefault="002E3591" w:rsidP="00E20DBB">
      <w:r w:rsidRPr="005B734B">
        <w:t xml:space="preserve">In general, notification data represent only a proportion of the total cases occurring in the community, that is, only those cases for which health care was sought, a test conducted, and a diagnosis made, followed by a notification to health authorities. The degree of under-representation of all cases is unknown and is most likely variable by disease and jurisdiction. </w:t>
      </w:r>
    </w:p>
    <w:p w14:paraId="63123F65" w14:textId="1328FB19" w:rsidR="002E3591" w:rsidRPr="005B734B" w:rsidRDefault="002E3591" w:rsidP="00E20DBB">
      <w:r w:rsidRPr="005B734B">
        <w:t>In interpreting these data</w:t>
      </w:r>
      <w:r w:rsidR="00472F7F">
        <w:t>,</w:t>
      </w:r>
      <w:r w:rsidRPr="005B734B">
        <w:t xml:space="preserve"> it is important to note that changes in notifications over time may not solely reflect changes in disease prevalence or incidence. Changes in testing policies; screening programs including the preferential testing of high-risk populations; the use of less invasive and more sensitive diagnostic tests; and periodic awareness campaigns, may influence the number of notifications that occur annually.</w:t>
      </w:r>
    </w:p>
    <w:p w14:paraId="4E16F1F6" w14:textId="77777777" w:rsidR="002E3591" w:rsidRPr="005B734B" w:rsidRDefault="002E3591" w:rsidP="00216DF1">
      <w:pPr>
        <w:pStyle w:val="Heading1"/>
      </w:pPr>
      <w:r w:rsidRPr="005B734B">
        <w:t>Data elements</w:t>
      </w:r>
    </w:p>
    <w:p w14:paraId="614D5643" w14:textId="77777777" w:rsidR="002E3591" w:rsidRPr="005B734B" w:rsidRDefault="002E3591" w:rsidP="00E20DBB">
      <w:pPr>
        <w:pStyle w:val="ListBullet"/>
      </w:pPr>
      <w:r w:rsidRPr="005B734B">
        <w:t>‘Diagnosis year’ was used to define the period of analysis. This date represents either the onset date or where the date of onset was not known, the earliest of the specimen collection date, the notification date, or the notification received date.</w:t>
      </w:r>
    </w:p>
    <w:p w14:paraId="3886239F" w14:textId="77777777" w:rsidR="00932ECA" w:rsidRPr="005B734B" w:rsidRDefault="00932ECA" w:rsidP="00E20DBB">
      <w:pPr>
        <w:pStyle w:val="ListBullet"/>
      </w:pPr>
      <w:r w:rsidRPr="005B734B">
        <w:t>‘Residential postcode’ usually reflects the residential location of a case at the time of testing and does not necessarily represent the place where the disease was acquired.</w:t>
      </w:r>
    </w:p>
    <w:p w14:paraId="6EF337C1" w14:textId="576A44CB" w:rsidR="002E3591" w:rsidRPr="005B734B" w:rsidRDefault="002E3591" w:rsidP="00E20DBB">
      <w:pPr>
        <w:pStyle w:val="ListBullet"/>
      </w:pPr>
      <w:r w:rsidRPr="005B734B">
        <w:t>Residential postcode’ reported to the NNDSS was used to allocate notifications of infectious and congenital syphilis to remoteness areas and mapped data by Statistical Area 3 (SA3) (as defined by the Australian Bureau of Statistics). Where a postcode was not reported the notification was excluded from remoteness area</w:t>
      </w:r>
      <w:r w:rsidR="00932ECA" w:rsidRPr="005B734B">
        <w:t>,</w:t>
      </w:r>
      <w:r w:rsidRPr="005B734B">
        <w:t xml:space="preserve"> SA3 </w:t>
      </w:r>
      <w:r w:rsidR="00932ECA" w:rsidRPr="005B734B">
        <w:t xml:space="preserve">and IARE </w:t>
      </w:r>
      <w:r w:rsidRPr="005B734B">
        <w:t>analysis.</w:t>
      </w:r>
    </w:p>
    <w:p w14:paraId="7D6AD0A2" w14:textId="6CC4B81A" w:rsidR="002E3591" w:rsidRPr="005B734B" w:rsidRDefault="002E3591" w:rsidP="00E20DBB">
      <w:pPr>
        <w:pStyle w:val="ListBullet"/>
      </w:pPr>
      <w:r w:rsidRPr="005B734B">
        <w:t xml:space="preserve">The ‘population denominator’ used to calculate </w:t>
      </w:r>
      <w:r w:rsidR="001C5C93" w:rsidRPr="005B734B">
        <w:t xml:space="preserve">notification rates, including for </w:t>
      </w:r>
      <w:r w:rsidRPr="005B734B">
        <w:t>remoteness area</w:t>
      </w:r>
      <w:r w:rsidR="001C5C93" w:rsidRPr="005B734B">
        <w:t>s</w:t>
      </w:r>
      <w:r w:rsidR="00932ECA" w:rsidRPr="005B734B">
        <w:t>,</w:t>
      </w:r>
      <w:r w:rsidRPr="005B734B">
        <w:t xml:space="preserve"> SA3</w:t>
      </w:r>
      <w:r w:rsidR="00932ECA" w:rsidRPr="005B734B">
        <w:t xml:space="preserve"> and IARE</w:t>
      </w:r>
      <w:r w:rsidRPr="005B734B">
        <w:t xml:space="preserve"> (per 100,000 population) was extracted from the Australian Bureau of Statistics Census Table Builder (based on 20</w:t>
      </w:r>
      <w:r w:rsidR="00932ECA" w:rsidRPr="005B734B">
        <w:t>21</w:t>
      </w:r>
      <w:r w:rsidRPr="005B734B">
        <w:t xml:space="preserve"> Census data).</w:t>
      </w:r>
    </w:p>
    <w:p w14:paraId="05D2D64F" w14:textId="77777777" w:rsidR="002E3591" w:rsidRPr="005B734B" w:rsidRDefault="002E3591" w:rsidP="00E20DBB">
      <w:pPr>
        <w:pStyle w:val="ListBullet"/>
      </w:pPr>
      <w:r w:rsidRPr="005B734B">
        <w:t xml:space="preserve">The determination of the Indigenous status is by descent, self-identification, and community acceptance. While completeness of the Indigenous status field is generally high, it should be interpreted with caution as completeness of this field varies from year to year and jurisdiction to jurisdiction. </w:t>
      </w:r>
    </w:p>
    <w:p w14:paraId="04744721" w14:textId="33621B57" w:rsidR="002E3591" w:rsidRPr="005B734B" w:rsidRDefault="002E3591" w:rsidP="00E20DBB">
      <w:pPr>
        <w:pStyle w:val="ListBullet"/>
      </w:pPr>
      <w:r w:rsidRPr="005B734B">
        <w:t>‘Syphilis testing data’ have been provided by participating ACCHS. A participating service refers to clinics currently funded by the Australian Government Department of Health</w:t>
      </w:r>
      <w:r w:rsidR="00932ECA" w:rsidRPr="005B734B">
        <w:t>, Disability and Ageing</w:t>
      </w:r>
      <w:r w:rsidRPr="005B734B">
        <w:t xml:space="preserve"> to deliver point of care testing in syphilis outbreak regions. Services extract data from local clinical information management systems. Data are provided for the reporting month, and cumulatively for the previous 12 months. ‘Testing coverage’ is calculated using as the denominator ‘clients attending the service’ (a participating ACCHS) during the reporting period.</w:t>
      </w:r>
    </w:p>
    <w:p w14:paraId="51055E8B" w14:textId="48FD7663" w:rsidR="002E3591" w:rsidRPr="005B734B" w:rsidRDefault="002E3591" w:rsidP="00216DF1">
      <w:pPr>
        <w:pStyle w:val="Heading1"/>
      </w:pPr>
      <w:r w:rsidRPr="005B734B">
        <w:t>Case definitions</w:t>
      </w:r>
    </w:p>
    <w:p w14:paraId="5608D276" w14:textId="77777777" w:rsidR="002E3591" w:rsidRPr="005B734B" w:rsidRDefault="002E3591" w:rsidP="00E20DBB">
      <w:r w:rsidRPr="005B734B">
        <w:t xml:space="preserve">The CDNA national surveillance case definitions for infectious and congenital syphilis, including any historical edits, are available at: </w:t>
      </w:r>
      <w:hyperlink r:id="rId42" w:history="1">
        <w:r w:rsidRPr="005B734B">
          <w:rPr>
            <w:rStyle w:val="Hyperlink"/>
          </w:rPr>
          <w:t>https://www.health.gov.au/casedefinitions.</w:t>
        </w:r>
      </w:hyperlink>
    </w:p>
    <w:p w14:paraId="0B033AB0" w14:textId="77777777" w:rsidR="002E3591" w:rsidRPr="005B734B" w:rsidRDefault="002E3591" w:rsidP="002B378F">
      <w:pPr>
        <w:pStyle w:val="Heading1"/>
      </w:pPr>
      <w:r w:rsidRPr="005B734B">
        <w:lastRenderedPageBreak/>
        <w:t>Acknowledgements</w:t>
      </w:r>
    </w:p>
    <w:p w14:paraId="15EF27F7" w14:textId="08FBF548" w:rsidR="002E3591" w:rsidRPr="005B734B" w:rsidRDefault="002E3591" w:rsidP="00E20DBB">
      <w:r w:rsidRPr="005B734B">
        <w:t xml:space="preserve">We, the </w:t>
      </w:r>
      <w:r w:rsidR="001C5C93" w:rsidRPr="005B734B">
        <w:t>Australian Centre for Disease Control</w:t>
      </w:r>
      <w:r w:rsidRPr="005B734B">
        <w:t>, acknowledge the Traditional Owners and Custodians of Country throughout Australia. We recognise the strength and resilience of Aboriginal and Torres Strait Islander peoples and acknowledge and respect their continuing connections and relationships to country, rivers, land and sea. We acknowledge the ongoing contribution Aboriginal and Torres Strait Islander peoples make across the Health system and wider community. We also pay our respects to Elders past, present and future and extend that respect to all Traditional Custodians of this land.</w:t>
      </w:r>
    </w:p>
    <w:p w14:paraId="12DCE0C9" w14:textId="4DD0DFC8" w:rsidR="002E3591" w:rsidRPr="005B734B" w:rsidRDefault="002E3591" w:rsidP="00E20DBB">
      <w:r w:rsidRPr="005B734B">
        <w:t xml:space="preserve">The </w:t>
      </w:r>
      <w:r w:rsidR="001C5C93" w:rsidRPr="005B734B">
        <w:t>Australian Centre for Disease Control</w:t>
      </w:r>
      <w:r w:rsidRPr="005B734B">
        <w:t xml:space="preserve"> acknowledges the Communicable Diseases Network Australia; the work of public health officers involved in the collection of surveillance data; state and territory public health communicable disease surveillance managers and data managers; Aboriginal Community Controlled Health Services, </w:t>
      </w:r>
      <w:r w:rsidR="00F21F6F" w:rsidRPr="005B734B">
        <w:t>and</w:t>
      </w:r>
      <w:r w:rsidRPr="005B734B">
        <w:t xml:space="preserve"> all public and private laboratories that support laboratory surveillance in Australia.  </w:t>
      </w:r>
    </w:p>
    <w:p w14:paraId="3EA83F62" w14:textId="77777777" w:rsidR="002E3591" w:rsidRPr="005B734B" w:rsidRDefault="002E3591" w:rsidP="002E3591">
      <w:pPr>
        <w:pStyle w:val="Heading1"/>
      </w:pPr>
      <w:r w:rsidRPr="005B734B">
        <w:t>Contact</w:t>
      </w:r>
    </w:p>
    <w:p w14:paraId="57946D90" w14:textId="77777777" w:rsidR="002E3591" w:rsidRPr="005B734B" w:rsidRDefault="002E3591" w:rsidP="00E20DBB">
      <w:r w:rsidRPr="005B734B">
        <w:t xml:space="preserve">For any further details about information contained in this report please contact Ms Amy Bright by emailing </w:t>
      </w:r>
      <w:hyperlink r:id="rId43" w:history="1">
        <w:r w:rsidRPr="005B734B">
          <w:rPr>
            <w:rStyle w:val="Hyperlink"/>
          </w:rPr>
          <w:t>syphilis.surveillance@health.gov.au</w:t>
        </w:r>
      </w:hyperlink>
      <w:r w:rsidRPr="005B734B">
        <w:t xml:space="preserve"> </w:t>
      </w:r>
    </w:p>
    <w:p w14:paraId="5F6754D9" w14:textId="6375CBF1" w:rsidR="008D0421" w:rsidRPr="005B734B" w:rsidRDefault="008D0421" w:rsidP="00E20DBB">
      <w:pPr>
        <w:sectPr w:rsidR="008D0421" w:rsidRPr="005B734B" w:rsidSect="00985B2C">
          <w:pgSz w:w="11906" w:h="16838"/>
          <w:pgMar w:top="568" w:right="1418" w:bottom="993" w:left="1418" w:header="426" w:footer="309" w:gutter="0"/>
          <w:cols w:space="708"/>
          <w:docGrid w:linePitch="360"/>
        </w:sectPr>
      </w:pPr>
    </w:p>
    <w:p w14:paraId="1A2EEC7D" w14:textId="24427341" w:rsidR="008D0421" w:rsidRPr="005B734B" w:rsidRDefault="008D0421" w:rsidP="007670C9">
      <w:pPr>
        <w:pStyle w:val="Heading1"/>
      </w:pPr>
      <w:r w:rsidRPr="005B734B">
        <w:lastRenderedPageBreak/>
        <w:t>Appendix A – Reporting schedule</w:t>
      </w:r>
    </w:p>
    <w:p w14:paraId="15334138" w14:textId="705DAE06" w:rsidR="008D0421" w:rsidRDefault="008D0421" w:rsidP="00E20DBB">
      <w:pPr>
        <w:pStyle w:val="Caption"/>
      </w:pPr>
      <w:r w:rsidRPr="005B734B">
        <w:t xml:space="preserve">Table </w:t>
      </w:r>
      <w:r w:rsidR="007B6950" w:rsidRPr="005B734B">
        <w:t>5</w:t>
      </w:r>
      <w:r w:rsidRPr="005B734B">
        <w:t>: National syphilis goals and indicators</w:t>
      </w:r>
    </w:p>
    <w:tbl>
      <w:tblPr>
        <w:tblStyle w:val="TableGrid"/>
        <w:tblW w:w="14596" w:type="dxa"/>
        <w:tblLook w:val="0420" w:firstRow="1" w:lastRow="0" w:firstColumn="0" w:lastColumn="0" w:noHBand="0" w:noVBand="1"/>
      </w:tblPr>
      <w:tblGrid>
        <w:gridCol w:w="1145"/>
        <w:gridCol w:w="12033"/>
        <w:gridCol w:w="1418"/>
      </w:tblGrid>
      <w:tr w:rsidR="008D0421" w:rsidRPr="00A701C6" w14:paraId="52765AFB" w14:textId="77777777" w:rsidTr="009C5244">
        <w:trPr>
          <w:cnfStyle w:val="100000000000" w:firstRow="1" w:lastRow="0" w:firstColumn="0" w:lastColumn="0" w:oddVBand="0" w:evenVBand="0" w:oddHBand="0" w:evenHBand="0" w:firstRowFirstColumn="0" w:firstRowLastColumn="0" w:lastRowFirstColumn="0" w:lastRowLastColumn="0"/>
          <w:tblHeader/>
        </w:trPr>
        <w:tc>
          <w:tcPr>
            <w:tcW w:w="1145" w:type="dxa"/>
          </w:tcPr>
          <w:p w14:paraId="6A59B198" w14:textId="77777777" w:rsidR="008D0421" w:rsidRPr="00A701C6" w:rsidRDefault="008D0421" w:rsidP="00436E19">
            <w:pPr>
              <w:pStyle w:val="TableHeader"/>
            </w:pPr>
            <w:bookmarkStart w:id="11" w:name="_Hlk216446804"/>
            <w:r w:rsidRPr="00A701C6">
              <w:t>No. Indicator</w:t>
            </w:r>
          </w:p>
        </w:tc>
        <w:tc>
          <w:tcPr>
            <w:tcW w:w="12033" w:type="dxa"/>
          </w:tcPr>
          <w:p w14:paraId="0DFF1386" w14:textId="77777777" w:rsidR="008D0421" w:rsidRPr="00A701C6" w:rsidRDefault="008D0421" w:rsidP="00C355C7">
            <w:pPr>
              <w:pStyle w:val="TableHeader"/>
              <w:contextualSpacing w:val="0"/>
            </w:pPr>
            <w:r w:rsidRPr="00A701C6">
              <w:t>Indicator</w:t>
            </w:r>
          </w:p>
        </w:tc>
        <w:tc>
          <w:tcPr>
            <w:tcW w:w="1418" w:type="dxa"/>
          </w:tcPr>
          <w:p w14:paraId="0D9CC676" w14:textId="0629059A" w:rsidR="008D0421" w:rsidRPr="00A701C6" w:rsidRDefault="008D0421" w:rsidP="00436E19">
            <w:pPr>
              <w:pStyle w:val="TableHeader"/>
            </w:pPr>
            <w:r w:rsidRPr="00A701C6">
              <w:t>Reporting</w:t>
            </w:r>
          </w:p>
        </w:tc>
      </w:tr>
      <w:tr w:rsidR="008D0421" w:rsidRPr="005B734B" w14:paraId="42C15671" w14:textId="77777777" w:rsidTr="009C5244">
        <w:trPr>
          <w:trHeight w:val="188"/>
        </w:trPr>
        <w:tc>
          <w:tcPr>
            <w:tcW w:w="14596" w:type="dxa"/>
            <w:gridSpan w:val="3"/>
          </w:tcPr>
          <w:p w14:paraId="218D3F47" w14:textId="77777777" w:rsidR="008D0421" w:rsidRPr="005B734B" w:rsidRDefault="008D0421" w:rsidP="00C355C7">
            <w:pPr>
              <w:pStyle w:val="Tabletextleft"/>
              <w:rPr>
                <w:rStyle w:val="Strong"/>
              </w:rPr>
            </w:pPr>
            <w:r w:rsidRPr="005B734B">
              <w:rPr>
                <w:rStyle w:val="Strong"/>
              </w:rPr>
              <w:t>GOAL 1 - Strengthen prevention and testing strategies for syphilis in priority populations and settings, targeting high-burden areas</w:t>
            </w:r>
          </w:p>
        </w:tc>
      </w:tr>
      <w:tr w:rsidR="008D0421" w:rsidRPr="005B734B" w14:paraId="7DE2F6C5" w14:textId="77777777" w:rsidTr="009C5244">
        <w:trPr>
          <w:trHeight w:val="188"/>
        </w:trPr>
        <w:tc>
          <w:tcPr>
            <w:tcW w:w="1145" w:type="dxa"/>
          </w:tcPr>
          <w:p w14:paraId="0E1E0A1D" w14:textId="77777777" w:rsidR="008D0421" w:rsidRPr="005B734B" w:rsidRDefault="008D0421" w:rsidP="00C355C7">
            <w:pPr>
              <w:rPr>
                <w:rStyle w:val="Strong"/>
              </w:rPr>
            </w:pPr>
            <w:r w:rsidRPr="005B734B">
              <w:rPr>
                <w:rStyle w:val="Strong"/>
              </w:rPr>
              <w:t>1.1</w:t>
            </w:r>
          </w:p>
        </w:tc>
        <w:tc>
          <w:tcPr>
            <w:tcW w:w="12033" w:type="dxa"/>
          </w:tcPr>
          <w:p w14:paraId="3176C4F1" w14:textId="77777777" w:rsidR="008D0421" w:rsidRPr="005B734B" w:rsidRDefault="008D0421" w:rsidP="00C355C7">
            <w:pPr>
              <w:pStyle w:val="Tabletextleft"/>
            </w:pPr>
            <w:r w:rsidRPr="005B734B">
              <w:t>Reported risk factors for people giving birth to an infant with congenital syphilis</w:t>
            </w:r>
          </w:p>
        </w:tc>
        <w:tc>
          <w:tcPr>
            <w:tcW w:w="1418" w:type="dxa"/>
          </w:tcPr>
          <w:p w14:paraId="346E1330" w14:textId="4814165C" w:rsidR="008D0421" w:rsidRPr="005B734B" w:rsidRDefault="0002723F" w:rsidP="00C355C7">
            <w:pPr>
              <w:pStyle w:val="Tabletextleft"/>
            </w:pPr>
            <w:r w:rsidRPr="005B734B">
              <w:t>Annually</w:t>
            </w:r>
          </w:p>
        </w:tc>
      </w:tr>
      <w:tr w:rsidR="008D0421" w:rsidRPr="005B734B" w14:paraId="34B5F996" w14:textId="77777777" w:rsidTr="009C5244">
        <w:tc>
          <w:tcPr>
            <w:tcW w:w="1145" w:type="dxa"/>
          </w:tcPr>
          <w:p w14:paraId="0721D7B6" w14:textId="77777777" w:rsidR="008D0421" w:rsidRPr="005B734B" w:rsidRDefault="008D0421" w:rsidP="00C355C7">
            <w:pPr>
              <w:rPr>
                <w:rStyle w:val="Strong"/>
              </w:rPr>
            </w:pPr>
            <w:r w:rsidRPr="005B734B">
              <w:rPr>
                <w:rStyle w:val="Strong"/>
              </w:rPr>
              <w:t>1.2</w:t>
            </w:r>
          </w:p>
        </w:tc>
        <w:tc>
          <w:tcPr>
            <w:tcW w:w="12033" w:type="dxa"/>
          </w:tcPr>
          <w:p w14:paraId="385D0336" w14:textId="77777777" w:rsidR="008D0421" w:rsidRPr="005B734B" w:rsidRDefault="008D0421" w:rsidP="00C355C7">
            <w:pPr>
              <w:pStyle w:val="Tabletextleft"/>
            </w:pPr>
            <w:r w:rsidRPr="005B734B">
              <w:t>Cumulative number of syphilis tests delivered through participating ACCHS, by target and total population</w:t>
            </w:r>
          </w:p>
        </w:tc>
        <w:tc>
          <w:tcPr>
            <w:tcW w:w="1418" w:type="dxa"/>
          </w:tcPr>
          <w:p w14:paraId="6350FAE4" w14:textId="77777777" w:rsidR="008D0421" w:rsidRPr="005B734B" w:rsidRDefault="008D0421" w:rsidP="00C355C7">
            <w:pPr>
              <w:pStyle w:val="Tabletextleft"/>
            </w:pPr>
            <w:r w:rsidRPr="005B734B">
              <w:t>Quarterly</w:t>
            </w:r>
          </w:p>
        </w:tc>
      </w:tr>
      <w:tr w:rsidR="008D0421" w:rsidRPr="005B734B" w14:paraId="15CF6742" w14:textId="77777777" w:rsidTr="009C5244">
        <w:tc>
          <w:tcPr>
            <w:tcW w:w="1145" w:type="dxa"/>
          </w:tcPr>
          <w:p w14:paraId="4434B387" w14:textId="77777777" w:rsidR="008D0421" w:rsidRPr="005B734B" w:rsidRDefault="008D0421" w:rsidP="00C355C7">
            <w:pPr>
              <w:rPr>
                <w:rStyle w:val="Strong"/>
              </w:rPr>
            </w:pPr>
            <w:r w:rsidRPr="005B734B">
              <w:rPr>
                <w:rStyle w:val="Strong"/>
              </w:rPr>
              <w:t>1.3</w:t>
            </w:r>
          </w:p>
        </w:tc>
        <w:tc>
          <w:tcPr>
            <w:tcW w:w="12033" w:type="dxa"/>
          </w:tcPr>
          <w:p w14:paraId="34D81930" w14:textId="77777777" w:rsidR="008D0421" w:rsidRPr="005B734B" w:rsidRDefault="008D0421" w:rsidP="00C355C7">
            <w:pPr>
              <w:pStyle w:val="Tabletextleft"/>
            </w:pPr>
            <w:r w:rsidRPr="005B734B">
              <w:t>Proportion of people attending participating ACCHS receiving a syphilis test within the previous 12 months, by target and total population (syphilis testing coverage)</w:t>
            </w:r>
          </w:p>
        </w:tc>
        <w:tc>
          <w:tcPr>
            <w:tcW w:w="1418" w:type="dxa"/>
          </w:tcPr>
          <w:p w14:paraId="614B036D" w14:textId="77777777" w:rsidR="008D0421" w:rsidRPr="005B734B" w:rsidRDefault="008D0421" w:rsidP="00C355C7">
            <w:pPr>
              <w:pStyle w:val="Tabletextleft"/>
            </w:pPr>
            <w:r w:rsidRPr="005B734B">
              <w:t>Quarterly</w:t>
            </w:r>
          </w:p>
        </w:tc>
      </w:tr>
      <w:tr w:rsidR="008D0421" w:rsidRPr="005B734B" w14:paraId="31145BC2" w14:textId="77777777" w:rsidTr="009C5244">
        <w:tc>
          <w:tcPr>
            <w:tcW w:w="1145" w:type="dxa"/>
          </w:tcPr>
          <w:p w14:paraId="50B90FB7" w14:textId="77777777" w:rsidR="008D0421" w:rsidRPr="005B734B" w:rsidRDefault="008D0421" w:rsidP="00C355C7">
            <w:pPr>
              <w:rPr>
                <w:rStyle w:val="Strong"/>
              </w:rPr>
            </w:pPr>
            <w:r w:rsidRPr="005B734B">
              <w:rPr>
                <w:rStyle w:val="Strong"/>
              </w:rPr>
              <w:t>1.4</w:t>
            </w:r>
          </w:p>
        </w:tc>
        <w:tc>
          <w:tcPr>
            <w:tcW w:w="12033" w:type="dxa"/>
          </w:tcPr>
          <w:p w14:paraId="669CB6EB" w14:textId="77777777" w:rsidR="008D0421" w:rsidRPr="005B734B" w:rsidRDefault="008D0421" w:rsidP="00C355C7">
            <w:pPr>
              <w:pStyle w:val="Tabletextleft"/>
            </w:pPr>
            <w:r w:rsidRPr="005B734B">
              <w:t>Proportion of people from priority populations tested for syphilis in the previous 12 months attending a site within the ACCESS network</w:t>
            </w:r>
          </w:p>
        </w:tc>
        <w:tc>
          <w:tcPr>
            <w:tcW w:w="1418" w:type="dxa"/>
          </w:tcPr>
          <w:p w14:paraId="2522549A" w14:textId="77777777" w:rsidR="008D0421" w:rsidRPr="005B734B" w:rsidRDefault="008D0421" w:rsidP="00C355C7">
            <w:pPr>
              <w:pStyle w:val="Tabletextleft"/>
            </w:pPr>
            <w:r w:rsidRPr="005B734B">
              <w:t>Annually</w:t>
            </w:r>
          </w:p>
        </w:tc>
      </w:tr>
      <w:tr w:rsidR="008D0421" w:rsidRPr="005B734B" w14:paraId="44B89C2E" w14:textId="77777777" w:rsidTr="009C5244">
        <w:trPr>
          <w:trHeight w:val="478"/>
        </w:trPr>
        <w:tc>
          <w:tcPr>
            <w:tcW w:w="1145" w:type="dxa"/>
          </w:tcPr>
          <w:p w14:paraId="7510E3B6" w14:textId="77777777" w:rsidR="008D0421" w:rsidRPr="005B734B" w:rsidRDefault="008D0421" w:rsidP="00C355C7">
            <w:pPr>
              <w:rPr>
                <w:rStyle w:val="Strong"/>
              </w:rPr>
            </w:pPr>
            <w:r w:rsidRPr="005B734B">
              <w:rPr>
                <w:rStyle w:val="Strong"/>
              </w:rPr>
              <w:t>1.5</w:t>
            </w:r>
          </w:p>
        </w:tc>
        <w:tc>
          <w:tcPr>
            <w:tcW w:w="12033" w:type="dxa"/>
          </w:tcPr>
          <w:p w14:paraId="23FCACD6" w14:textId="77777777" w:rsidR="008D0421" w:rsidRPr="005B734B" w:rsidRDefault="008D0421" w:rsidP="00C355C7">
            <w:pPr>
              <w:pStyle w:val="Tabletextleft"/>
            </w:pPr>
            <w:r w:rsidRPr="005B734B">
              <w:t>Proportion of gay and bisexual men who have sex with men who have been tested for syphilis three or more times in the previous 12 months attending a site within the ACCESS network</w:t>
            </w:r>
          </w:p>
        </w:tc>
        <w:tc>
          <w:tcPr>
            <w:tcW w:w="1418" w:type="dxa"/>
          </w:tcPr>
          <w:p w14:paraId="2F7F60FD" w14:textId="77777777" w:rsidR="008D0421" w:rsidRPr="005B734B" w:rsidRDefault="008D0421" w:rsidP="00C355C7">
            <w:pPr>
              <w:pStyle w:val="Tabletextleft"/>
            </w:pPr>
            <w:r w:rsidRPr="005B734B">
              <w:t>Annually</w:t>
            </w:r>
          </w:p>
        </w:tc>
      </w:tr>
      <w:tr w:rsidR="008D0421" w:rsidRPr="005B734B" w14:paraId="3F7F462E" w14:textId="77777777" w:rsidTr="009C5244">
        <w:tc>
          <w:tcPr>
            <w:tcW w:w="1145" w:type="dxa"/>
          </w:tcPr>
          <w:p w14:paraId="794C7B7B" w14:textId="77777777" w:rsidR="008D0421" w:rsidRPr="005B734B" w:rsidRDefault="008D0421" w:rsidP="00C355C7">
            <w:pPr>
              <w:rPr>
                <w:rStyle w:val="Strong"/>
              </w:rPr>
            </w:pPr>
            <w:r w:rsidRPr="005B734B">
              <w:rPr>
                <w:rStyle w:val="Strong"/>
              </w:rPr>
              <w:t>1.6</w:t>
            </w:r>
          </w:p>
        </w:tc>
        <w:tc>
          <w:tcPr>
            <w:tcW w:w="12033" w:type="dxa"/>
          </w:tcPr>
          <w:p w14:paraId="062A17AC" w14:textId="77777777" w:rsidR="008D0421" w:rsidRPr="005B734B" w:rsidRDefault="008D0421" w:rsidP="00C355C7">
            <w:pPr>
              <w:pStyle w:val="Tabletextleft"/>
            </w:pPr>
            <w:r w:rsidRPr="005B734B">
              <w:t>Proportion of women who gave birth, by duration of pregnancy at first antenatal visit</w:t>
            </w:r>
          </w:p>
        </w:tc>
        <w:tc>
          <w:tcPr>
            <w:tcW w:w="1418" w:type="dxa"/>
          </w:tcPr>
          <w:p w14:paraId="17DAC9E0" w14:textId="77777777" w:rsidR="008D0421" w:rsidRPr="005B734B" w:rsidRDefault="008D0421" w:rsidP="00C355C7">
            <w:pPr>
              <w:pStyle w:val="Tabletextleft"/>
            </w:pPr>
            <w:r w:rsidRPr="005B734B">
              <w:t>Annually</w:t>
            </w:r>
          </w:p>
        </w:tc>
      </w:tr>
      <w:tr w:rsidR="008D0421" w:rsidRPr="005B734B" w14:paraId="016D1699" w14:textId="77777777" w:rsidTr="009C5244">
        <w:tc>
          <w:tcPr>
            <w:tcW w:w="1145" w:type="dxa"/>
          </w:tcPr>
          <w:p w14:paraId="10B42835" w14:textId="77777777" w:rsidR="008D0421" w:rsidRPr="005B734B" w:rsidRDefault="008D0421" w:rsidP="00C355C7">
            <w:pPr>
              <w:rPr>
                <w:rStyle w:val="Strong"/>
              </w:rPr>
            </w:pPr>
            <w:r w:rsidRPr="005B734B">
              <w:rPr>
                <w:rStyle w:val="Strong"/>
              </w:rPr>
              <w:t>1.7</w:t>
            </w:r>
          </w:p>
        </w:tc>
        <w:tc>
          <w:tcPr>
            <w:tcW w:w="12033" w:type="dxa"/>
          </w:tcPr>
          <w:p w14:paraId="6A773665" w14:textId="77777777" w:rsidR="008D0421" w:rsidRPr="005B734B" w:rsidRDefault="008D0421" w:rsidP="00C355C7">
            <w:pPr>
              <w:pStyle w:val="Tabletextleft"/>
            </w:pPr>
            <w:r w:rsidRPr="005B734B">
              <w:t xml:space="preserve">Proportion of women who gave birth, by duration of pregnancy at first antenatal visit, by remoteness area </w:t>
            </w:r>
          </w:p>
        </w:tc>
        <w:tc>
          <w:tcPr>
            <w:tcW w:w="1418" w:type="dxa"/>
          </w:tcPr>
          <w:p w14:paraId="7A6EA2EB" w14:textId="77777777" w:rsidR="008D0421" w:rsidRPr="005B734B" w:rsidRDefault="008D0421" w:rsidP="00C355C7">
            <w:pPr>
              <w:pStyle w:val="Tabletextleft"/>
            </w:pPr>
            <w:r w:rsidRPr="005B734B">
              <w:t>Annually</w:t>
            </w:r>
          </w:p>
        </w:tc>
      </w:tr>
      <w:tr w:rsidR="008D0421" w:rsidRPr="005B734B" w14:paraId="34BA970D" w14:textId="77777777" w:rsidTr="009C5244">
        <w:tc>
          <w:tcPr>
            <w:tcW w:w="1145" w:type="dxa"/>
          </w:tcPr>
          <w:p w14:paraId="51089D8F" w14:textId="77777777" w:rsidR="008D0421" w:rsidRPr="005B734B" w:rsidRDefault="008D0421" w:rsidP="00C355C7">
            <w:pPr>
              <w:rPr>
                <w:rStyle w:val="Strong"/>
              </w:rPr>
            </w:pPr>
            <w:r w:rsidRPr="005B734B">
              <w:rPr>
                <w:rStyle w:val="Strong"/>
              </w:rPr>
              <w:t>1.8</w:t>
            </w:r>
          </w:p>
        </w:tc>
        <w:tc>
          <w:tcPr>
            <w:tcW w:w="12033" w:type="dxa"/>
          </w:tcPr>
          <w:p w14:paraId="529156B5" w14:textId="77777777" w:rsidR="008D0421" w:rsidRPr="005B734B" w:rsidRDefault="008D0421" w:rsidP="00C355C7">
            <w:pPr>
              <w:pStyle w:val="Tabletextleft"/>
            </w:pPr>
            <w:r w:rsidRPr="005B734B">
              <w:t>Proportion of women who gave birth, by number of antenatal visits</w:t>
            </w:r>
          </w:p>
        </w:tc>
        <w:tc>
          <w:tcPr>
            <w:tcW w:w="1418" w:type="dxa"/>
          </w:tcPr>
          <w:p w14:paraId="2CB8484E" w14:textId="77777777" w:rsidR="008D0421" w:rsidRPr="005B734B" w:rsidRDefault="008D0421" w:rsidP="00C355C7">
            <w:pPr>
              <w:pStyle w:val="Tabletextleft"/>
            </w:pPr>
            <w:r w:rsidRPr="005B734B">
              <w:t>Annually</w:t>
            </w:r>
          </w:p>
        </w:tc>
      </w:tr>
      <w:tr w:rsidR="008D0421" w:rsidRPr="005B734B" w14:paraId="7F2234CD" w14:textId="77777777" w:rsidTr="009C5244">
        <w:tc>
          <w:tcPr>
            <w:tcW w:w="1145" w:type="dxa"/>
          </w:tcPr>
          <w:p w14:paraId="7541A8D5" w14:textId="77777777" w:rsidR="008D0421" w:rsidRPr="005B734B" w:rsidRDefault="008D0421" w:rsidP="00C355C7">
            <w:pPr>
              <w:rPr>
                <w:rStyle w:val="Strong"/>
              </w:rPr>
            </w:pPr>
            <w:r w:rsidRPr="005B734B">
              <w:rPr>
                <w:rStyle w:val="Strong"/>
              </w:rPr>
              <w:t>1.9</w:t>
            </w:r>
          </w:p>
        </w:tc>
        <w:tc>
          <w:tcPr>
            <w:tcW w:w="12033" w:type="dxa"/>
          </w:tcPr>
          <w:p w14:paraId="72F6EEC8" w14:textId="77777777" w:rsidR="008D0421" w:rsidRPr="005B734B" w:rsidRDefault="008D0421" w:rsidP="00C355C7">
            <w:pPr>
              <w:pStyle w:val="Tabletextleft"/>
            </w:pPr>
            <w:r w:rsidRPr="005B734B">
              <w:t xml:space="preserve">Proportion of women who gave birth, by number of antenatal visits, by remoteness area </w:t>
            </w:r>
          </w:p>
        </w:tc>
        <w:tc>
          <w:tcPr>
            <w:tcW w:w="1418" w:type="dxa"/>
          </w:tcPr>
          <w:p w14:paraId="06337528" w14:textId="77777777" w:rsidR="008D0421" w:rsidRPr="005B734B" w:rsidRDefault="008D0421" w:rsidP="00C355C7">
            <w:pPr>
              <w:pStyle w:val="Tabletextleft"/>
            </w:pPr>
            <w:r w:rsidRPr="005B734B">
              <w:t>Annually</w:t>
            </w:r>
          </w:p>
        </w:tc>
      </w:tr>
      <w:tr w:rsidR="008D0421" w:rsidRPr="005B734B" w14:paraId="3AA6C5F8" w14:textId="77777777" w:rsidTr="009C5244">
        <w:tc>
          <w:tcPr>
            <w:tcW w:w="1145" w:type="dxa"/>
          </w:tcPr>
          <w:p w14:paraId="5E50A24B" w14:textId="77777777" w:rsidR="008D0421" w:rsidRPr="005B734B" w:rsidRDefault="008D0421" w:rsidP="00C355C7">
            <w:pPr>
              <w:rPr>
                <w:rStyle w:val="Strong"/>
              </w:rPr>
            </w:pPr>
            <w:r w:rsidRPr="005B734B">
              <w:rPr>
                <w:rStyle w:val="Strong"/>
              </w:rPr>
              <w:t>1.10</w:t>
            </w:r>
          </w:p>
        </w:tc>
        <w:tc>
          <w:tcPr>
            <w:tcW w:w="12033" w:type="dxa"/>
          </w:tcPr>
          <w:p w14:paraId="566F00F8" w14:textId="77777777" w:rsidR="008D0421" w:rsidRPr="005B734B" w:rsidRDefault="008D0421" w:rsidP="00C355C7">
            <w:pPr>
              <w:pStyle w:val="Tabletextleft"/>
            </w:pPr>
            <w:r w:rsidRPr="005B734B">
              <w:t>Proportion of women who gave birth, by country of birth</w:t>
            </w:r>
          </w:p>
        </w:tc>
        <w:tc>
          <w:tcPr>
            <w:tcW w:w="1418" w:type="dxa"/>
          </w:tcPr>
          <w:p w14:paraId="7B850F3E" w14:textId="77777777" w:rsidR="008D0421" w:rsidRPr="005B734B" w:rsidRDefault="008D0421" w:rsidP="00C355C7">
            <w:pPr>
              <w:pStyle w:val="Tabletextleft"/>
            </w:pPr>
            <w:r w:rsidRPr="005B734B">
              <w:t>Annually</w:t>
            </w:r>
          </w:p>
        </w:tc>
      </w:tr>
      <w:tr w:rsidR="008D0421" w:rsidRPr="005B734B" w14:paraId="0EDC35C3" w14:textId="77777777" w:rsidTr="009C5244">
        <w:tc>
          <w:tcPr>
            <w:tcW w:w="14596" w:type="dxa"/>
            <w:gridSpan w:val="3"/>
          </w:tcPr>
          <w:p w14:paraId="2B058C18" w14:textId="77777777" w:rsidR="008D0421" w:rsidRPr="005B734B" w:rsidRDefault="008D0421" w:rsidP="00C355C7">
            <w:pPr>
              <w:pStyle w:val="Tabletextleft"/>
              <w:rPr>
                <w:rStyle w:val="Strong"/>
              </w:rPr>
            </w:pPr>
            <w:r w:rsidRPr="005B734B">
              <w:rPr>
                <w:rStyle w:val="Strong"/>
              </w:rPr>
              <w:t>GOAL 2 - Reduce ongoing transmission and incidence of syphilis across priority populations</w:t>
            </w:r>
          </w:p>
        </w:tc>
      </w:tr>
      <w:tr w:rsidR="008D0421" w:rsidRPr="005B734B" w14:paraId="55358361" w14:textId="77777777" w:rsidTr="009C5244">
        <w:tc>
          <w:tcPr>
            <w:tcW w:w="1145" w:type="dxa"/>
          </w:tcPr>
          <w:p w14:paraId="3107206E" w14:textId="77777777" w:rsidR="008D0421" w:rsidRPr="005B734B" w:rsidRDefault="008D0421" w:rsidP="00C355C7">
            <w:pPr>
              <w:rPr>
                <w:rStyle w:val="Strong"/>
              </w:rPr>
            </w:pPr>
            <w:r w:rsidRPr="005B734B">
              <w:rPr>
                <w:rStyle w:val="Strong"/>
              </w:rPr>
              <w:t>2.1</w:t>
            </w:r>
          </w:p>
        </w:tc>
        <w:tc>
          <w:tcPr>
            <w:tcW w:w="12033" w:type="dxa"/>
          </w:tcPr>
          <w:p w14:paraId="7973E457" w14:textId="77777777" w:rsidR="008D0421" w:rsidRPr="0006215A" w:rsidRDefault="008D0421" w:rsidP="00C355C7">
            <w:pPr>
              <w:pStyle w:val="Tabletextleft"/>
            </w:pPr>
            <w:r w:rsidRPr="0006215A">
              <w:t>Notification rate of infectious syphilis by Indigenous status, sex, age and remoteness area classification</w:t>
            </w:r>
          </w:p>
        </w:tc>
        <w:tc>
          <w:tcPr>
            <w:tcW w:w="1418" w:type="dxa"/>
          </w:tcPr>
          <w:p w14:paraId="6E0BC946" w14:textId="77777777" w:rsidR="008D0421" w:rsidRPr="005B734B" w:rsidRDefault="008D0421" w:rsidP="00C355C7">
            <w:pPr>
              <w:pStyle w:val="Tabletextleft"/>
            </w:pPr>
            <w:r w:rsidRPr="005B734B">
              <w:t>Quarterly</w:t>
            </w:r>
          </w:p>
        </w:tc>
      </w:tr>
      <w:tr w:rsidR="008D0421" w:rsidRPr="005B734B" w14:paraId="5367E859" w14:textId="77777777" w:rsidTr="009C5244">
        <w:tc>
          <w:tcPr>
            <w:tcW w:w="1145" w:type="dxa"/>
          </w:tcPr>
          <w:p w14:paraId="00FE114F" w14:textId="77777777" w:rsidR="008D0421" w:rsidRPr="005B734B" w:rsidRDefault="008D0421" w:rsidP="00C355C7">
            <w:pPr>
              <w:rPr>
                <w:rStyle w:val="Strong"/>
              </w:rPr>
            </w:pPr>
            <w:r w:rsidRPr="005B734B">
              <w:rPr>
                <w:rStyle w:val="Strong"/>
              </w:rPr>
              <w:t>2.2</w:t>
            </w:r>
          </w:p>
        </w:tc>
        <w:tc>
          <w:tcPr>
            <w:tcW w:w="12033" w:type="dxa"/>
          </w:tcPr>
          <w:p w14:paraId="2DEABAD9" w14:textId="77777777" w:rsidR="008D0421" w:rsidRPr="0006215A" w:rsidRDefault="008D0421" w:rsidP="00C355C7">
            <w:pPr>
              <w:pStyle w:val="Tabletextleft"/>
            </w:pPr>
            <w:r w:rsidRPr="0006215A">
              <w:t>Notification rate of infectious syphilis in Aboriginal and Torres Strait Islander peoples by Indigenous Areas (IAREs)</w:t>
            </w:r>
          </w:p>
        </w:tc>
        <w:tc>
          <w:tcPr>
            <w:tcW w:w="1418" w:type="dxa"/>
          </w:tcPr>
          <w:p w14:paraId="210EE4B0" w14:textId="77777777" w:rsidR="008D0421" w:rsidRPr="005B734B" w:rsidRDefault="008D0421" w:rsidP="00C355C7">
            <w:pPr>
              <w:pStyle w:val="Tabletextleft"/>
            </w:pPr>
            <w:r w:rsidRPr="005B734B">
              <w:t>Quarterly</w:t>
            </w:r>
          </w:p>
        </w:tc>
      </w:tr>
      <w:tr w:rsidR="008D0421" w:rsidRPr="005B734B" w14:paraId="22819B4C" w14:textId="77777777" w:rsidTr="009C5244">
        <w:tc>
          <w:tcPr>
            <w:tcW w:w="1145" w:type="dxa"/>
          </w:tcPr>
          <w:p w14:paraId="54498D90" w14:textId="77777777" w:rsidR="008D0421" w:rsidRPr="005B734B" w:rsidRDefault="008D0421" w:rsidP="00C355C7">
            <w:pPr>
              <w:rPr>
                <w:rStyle w:val="Strong"/>
              </w:rPr>
            </w:pPr>
            <w:r w:rsidRPr="005B734B">
              <w:rPr>
                <w:rStyle w:val="Strong"/>
              </w:rPr>
              <w:lastRenderedPageBreak/>
              <w:t>2.3</w:t>
            </w:r>
          </w:p>
        </w:tc>
        <w:tc>
          <w:tcPr>
            <w:tcW w:w="12033" w:type="dxa"/>
          </w:tcPr>
          <w:p w14:paraId="24C8ACC6" w14:textId="77777777" w:rsidR="008D0421" w:rsidRPr="0006215A" w:rsidRDefault="008D0421" w:rsidP="00C355C7">
            <w:pPr>
              <w:pStyle w:val="Tabletextleft"/>
            </w:pPr>
            <w:r w:rsidRPr="0006215A">
              <w:t>Notification rate of infectious syphilis by Statistical Area 3 (SA3), by Indigenous status</w:t>
            </w:r>
          </w:p>
        </w:tc>
        <w:tc>
          <w:tcPr>
            <w:tcW w:w="1418" w:type="dxa"/>
          </w:tcPr>
          <w:p w14:paraId="4198EB24" w14:textId="77777777" w:rsidR="008D0421" w:rsidRPr="005B734B" w:rsidRDefault="008D0421" w:rsidP="00C355C7">
            <w:pPr>
              <w:pStyle w:val="Tabletextleft"/>
            </w:pPr>
            <w:r w:rsidRPr="005B734B">
              <w:t>Quarterly</w:t>
            </w:r>
          </w:p>
        </w:tc>
      </w:tr>
      <w:tr w:rsidR="008D0421" w:rsidRPr="005B734B" w14:paraId="459256B7" w14:textId="77777777" w:rsidTr="009C5244">
        <w:tc>
          <w:tcPr>
            <w:tcW w:w="1145" w:type="dxa"/>
          </w:tcPr>
          <w:p w14:paraId="612F7691" w14:textId="77777777" w:rsidR="008D0421" w:rsidRPr="005B734B" w:rsidRDefault="008D0421" w:rsidP="00C355C7">
            <w:pPr>
              <w:rPr>
                <w:rStyle w:val="Strong"/>
              </w:rPr>
            </w:pPr>
            <w:r w:rsidRPr="005B734B">
              <w:rPr>
                <w:rStyle w:val="Strong"/>
              </w:rPr>
              <w:t>2.4</w:t>
            </w:r>
          </w:p>
        </w:tc>
        <w:tc>
          <w:tcPr>
            <w:tcW w:w="12033" w:type="dxa"/>
          </w:tcPr>
          <w:p w14:paraId="74E48F36" w14:textId="77777777" w:rsidR="008D0421" w:rsidRPr="0006215A" w:rsidRDefault="008D0421" w:rsidP="00C355C7">
            <w:pPr>
              <w:pStyle w:val="Tabletextleft"/>
            </w:pPr>
            <w:r w:rsidRPr="0006215A">
              <w:t>Notification rate of infectious syphilis in women of reproductive age (15-44 years) by Indigenous status and remoteness area</w:t>
            </w:r>
          </w:p>
        </w:tc>
        <w:tc>
          <w:tcPr>
            <w:tcW w:w="1418" w:type="dxa"/>
          </w:tcPr>
          <w:p w14:paraId="7F56F217" w14:textId="77777777" w:rsidR="008D0421" w:rsidRPr="005B734B" w:rsidRDefault="008D0421" w:rsidP="00C355C7">
            <w:pPr>
              <w:pStyle w:val="Tabletextleft"/>
            </w:pPr>
            <w:r w:rsidRPr="005B734B">
              <w:t>Quarterly</w:t>
            </w:r>
          </w:p>
        </w:tc>
      </w:tr>
      <w:tr w:rsidR="008D0421" w:rsidRPr="005B734B" w14:paraId="0FBA19DE" w14:textId="77777777" w:rsidTr="009C5244">
        <w:tc>
          <w:tcPr>
            <w:tcW w:w="1145" w:type="dxa"/>
          </w:tcPr>
          <w:p w14:paraId="1A1575C9" w14:textId="77777777" w:rsidR="008D0421" w:rsidRPr="005B734B" w:rsidRDefault="008D0421" w:rsidP="00C355C7">
            <w:pPr>
              <w:rPr>
                <w:rStyle w:val="Strong"/>
              </w:rPr>
            </w:pPr>
            <w:r w:rsidRPr="005B734B">
              <w:rPr>
                <w:rStyle w:val="Strong"/>
              </w:rPr>
              <w:t>2.5</w:t>
            </w:r>
          </w:p>
        </w:tc>
        <w:tc>
          <w:tcPr>
            <w:tcW w:w="12033" w:type="dxa"/>
          </w:tcPr>
          <w:p w14:paraId="4454688D" w14:textId="77777777" w:rsidR="008D0421" w:rsidRPr="005B734B" w:rsidRDefault="008D0421" w:rsidP="00C355C7">
            <w:pPr>
              <w:pStyle w:val="Tabletextleft"/>
            </w:pPr>
            <w:r w:rsidRPr="005B734B">
              <w:t>Proportion of infectious syphilis notifications in men reporting sexual exposure with men only</w:t>
            </w:r>
          </w:p>
        </w:tc>
        <w:tc>
          <w:tcPr>
            <w:tcW w:w="1418" w:type="dxa"/>
          </w:tcPr>
          <w:p w14:paraId="753BBC77" w14:textId="77777777" w:rsidR="008D0421" w:rsidRPr="005B734B" w:rsidRDefault="008D0421" w:rsidP="00C355C7">
            <w:pPr>
              <w:pStyle w:val="Tabletextleft"/>
            </w:pPr>
            <w:r w:rsidRPr="005B734B">
              <w:t>Quarterly</w:t>
            </w:r>
          </w:p>
        </w:tc>
      </w:tr>
      <w:tr w:rsidR="008D0421" w:rsidRPr="005B734B" w14:paraId="1146AB33" w14:textId="77777777" w:rsidTr="009C5244">
        <w:tc>
          <w:tcPr>
            <w:tcW w:w="1145" w:type="dxa"/>
          </w:tcPr>
          <w:p w14:paraId="717F1E35" w14:textId="77777777" w:rsidR="008D0421" w:rsidRPr="005B734B" w:rsidRDefault="008D0421" w:rsidP="00C355C7">
            <w:pPr>
              <w:rPr>
                <w:rStyle w:val="Strong"/>
              </w:rPr>
            </w:pPr>
            <w:r w:rsidRPr="005B734B">
              <w:rPr>
                <w:rStyle w:val="Strong"/>
              </w:rPr>
              <w:t>2.6</w:t>
            </w:r>
          </w:p>
        </w:tc>
        <w:tc>
          <w:tcPr>
            <w:tcW w:w="12033" w:type="dxa"/>
          </w:tcPr>
          <w:p w14:paraId="34B6B8D0" w14:textId="77777777" w:rsidR="008D0421" w:rsidRPr="005B734B" w:rsidRDefault="008D0421" w:rsidP="00C355C7">
            <w:pPr>
              <w:pStyle w:val="Tabletextleft"/>
            </w:pPr>
            <w:r w:rsidRPr="005B734B">
              <w:t>Proportion of infectious syphilis notifications in men reporting sexual exposure with men and women</w:t>
            </w:r>
          </w:p>
        </w:tc>
        <w:tc>
          <w:tcPr>
            <w:tcW w:w="1418" w:type="dxa"/>
          </w:tcPr>
          <w:p w14:paraId="60DCCA38" w14:textId="77777777" w:rsidR="008D0421" w:rsidRPr="005B734B" w:rsidRDefault="008D0421" w:rsidP="00C355C7">
            <w:pPr>
              <w:pStyle w:val="Tabletextleft"/>
            </w:pPr>
            <w:r w:rsidRPr="005B734B">
              <w:t>Quarterly</w:t>
            </w:r>
          </w:p>
        </w:tc>
      </w:tr>
      <w:tr w:rsidR="008D0421" w:rsidRPr="005B734B" w14:paraId="792BA94F" w14:textId="77777777" w:rsidTr="009C5244">
        <w:tc>
          <w:tcPr>
            <w:tcW w:w="1145" w:type="dxa"/>
          </w:tcPr>
          <w:p w14:paraId="5F2289BC" w14:textId="77777777" w:rsidR="008D0421" w:rsidRPr="005B734B" w:rsidRDefault="008D0421" w:rsidP="00C355C7">
            <w:pPr>
              <w:rPr>
                <w:rStyle w:val="Strong"/>
              </w:rPr>
            </w:pPr>
            <w:r w:rsidRPr="005B734B">
              <w:rPr>
                <w:rStyle w:val="Strong"/>
              </w:rPr>
              <w:t>2.7</w:t>
            </w:r>
          </w:p>
        </w:tc>
        <w:tc>
          <w:tcPr>
            <w:tcW w:w="12033" w:type="dxa"/>
          </w:tcPr>
          <w:p w14:paraId="4B0AD2B4" w14:textId="77777777" w:rsidR="008D0421" w:rsidRPr="005B734B" w:rsidRDefault="008D0421" w:rsidP="00C355C7">
            <w:pPr>
              <w:pStyle w:val="Tabletextleft"/>
            </w:pPr>
            <w:r w:rsidRPr="005B734B">
              <w:t>Proportion of infectious syphilis notifications by primary reason for testing</w:t>
            </w:r>
          </w:p>
        </w:tc>
        <w:tc>
          <w:tcPr>
            <w:tcW w:w="1418" w:type="dxa"/>
          </w:tcPr>
          <w:p w14:paraId="79422252" w14:textId="77777777" w:rsidR="008D0421" w:rsidRPr="005B734B" w:rsidRDefault="008D0421" w:rsidP="00C355C7">
            <w:pPr>
              <w:pStyle w:val="Tabletextleft"/>
            </w:pPr>
            <w:r w:rsidRPr="005B734B">
              <w:t>Annually</w:t>
            </w:r>
          </w:p>
        </w:tc>
      </w:tr>
      <w:tr w:rsidR="008D0421" w:rsidRPr="005B734B" w14:paraId="362B2890" w14:textId="77777777" w:rsidTr="009C5244">
        <w:tc>
          <w:tcPr>
            <w:tcW w:w="1145" w:type="dxa"/>
          </w:tcPr>
          <w:p w14:paraId="1B0B2FEA" w14:textId="77777777" w:rsidR="008D0421" w:rsidRPr="005B734B" w:rsidRDefault="008D0421" w:rsidP="00C355C7">
            <w:pPr>
              <w:rPr>
                <w:rStyle w:val="Strong"/>
              </w:rPr>
            </w:pPr>
            <w:r w:rsidRPr="005B734B">
              <w:rPr>
                <w:rStyle w:val="Strong"/>
              </w:rPr>
              <w:t>2.8</w:t>
            </w:r>
          </w:p>
        </w:tc>
        <w:tc>
          <w:tcPr>
            <w:tcW w:w="12033" w:type="dxa"/>
          </w:tcPr>
          <w:p w14:paraId="1739F35C" w14:textId="77777777" w:rsidR="008D0421" w:rsidRPr="005B734B" w:rsidRDefault="008D0421" w:rsidP="00C355C7">
            <w:pPr>
              <w:pStyle w:val="Tabletextleft"/>
            </w:pPr>
            <w:r w:rsidRPr="005B734B">
              <w:t>Proportion of infectious syphilis notifications in gay and bisexual men who have sex with men reporting HIV PrEP use at time of syphilis diagnosis</w:t>
            </w:r>
          </w:p>
        </w:tc>
        <w:tc>
          <w:tcPr>
            <w:tcW w:w="1418" w:type="dxa"/>
          </w:tcPr>
          <w:p w14:paraId="2539D19D" w14:textId="77777777" w:rsidR="008D0421" w:rsidRPr="005B734B" w:rsidRDefault="008D0421" w:rsidP="00C355C7">
            <w:pPr>
              <w:pStyle w:val="Tabletextleft"/>
            </w:pPr>
            <w:r w:rsidRPr="005B734B">
              <w:t>Annually</w:t>
            </w:r>
          </w:p>
        </w:tc>
      </w:tr>
      <w:tr w:rsidR="008D0421" w:rsidRPr="005B734B" w14:paraId="0D210CD1" w14:textId="77777777" w:rsidTr="009C5244">
        <w:tc>
          <w:tcPr>
            <w:tcW w:w="1145" w:type="dxa"/>
          </w:tcPr>
          <w:p w14:paraId="30BFDC74" w14:textId="77777777" w:rsidR="008D0421" w:rsidRPr="005B734B" w:rsidRDefault="008D0421" w:rsidP="00C355C7">
            <w:pPr>
              <w:rPr>
                <w:rStyle w:val="Strong"/>
              </w:rPr>
            </w:pPr>
            <w:r w:rsidRPr="005B734B">
              <w:rPr>
                <w:rStyle w:val="Strong"/>
              </w:rPr>
              <w:t>2.9</w:t>
            </w:r>
          </w:p>
        </w:tc>
        <w:tc>
          <w:tcPr>
            <w:tcW w:w="12033" w:type="dxa"/>
          </w:tcPr>
          <w:p w14:paraId="4B791433" w14:textId="77777777" w:rsidR="008D0421" w:rsidRPr="005B734B" w:rsidRDefault="008D0421" w:rsidP="00C355C7">
            <w:pPr>
              <w:pStyle w:val="Tabletextleft"/>
            </w:pPr>
            <w:r w:rsidRPr="005B734B">
              <w:t>Proportion of infectious syphilis notifications by clinical facility where the syphilis infection was diagnosed</w:t>
            </w:r>
          </w:p>
        </w:tc>
        <w:tc>
          <w:tcPr>
            <w:tcW w:w="1418" w:type="dxa"/>
          </w:tcPr>
          <w:p w14:paraId="7F08BBFE" w14:textId="77777777" w:rsidR="008D0421" w:rsidRPr="005B734B" w:rsidRDefault="008D0421" w:rsidP="00C355C7">
            <w:pPr>
              <w:pStyle w:val="Tabletextleft"/>
            </w:pPr>
            <w:r w:rsidRPr="005B734B">
              <w:t>Annually</w:t>
            </w:r>
          </w:p>
        </w:tc>
      </w:tr>
      <w:tr w:rsidR="008D0421" w:rsidRPr="005B734B" w14:paraId="5A71072F" w14:textId="77777777" w:rsidTr="009C5244">
        <w:tc>
          <w:tcPr>
            <w:tcW w:w="1145" w:type="dxa"/>
          </w:tcPr>
          <w:p w14:paraId="47F5660C" w14:textId="77777777" w:rsidR="008D0421" w:rsidRPr="005B734B" w:rsidRDefault="008D0421" w:rsidP="00C355C7">
            <w:pPr>
              <w:rPr>
                <w:rStyle w:val="Strong"/>
              </w:rPr>
            </w:pPr>
            <w:r w:rsidRPr="005B734B">
              <w:rPr>
                <w:rStyle w:val="Strong"/>
              </w:rPr>
              <w:t>2.10</w:t>
            </w:r>
          </w:p>
        </w:tc>
        <w:tc>
          <w:tcPr>
            <w:tcW w:w="12033" w:type="dxa"/>
          </w:tcPr>
          <w:p w14:paraId="2C58B613" w14:textId="77777777" w:rsidR="008D0421" w:rsidRPr="005B734B" w:rsidRDefault="008D0421" w:rsidP="00C355C7">
            <w:pPr>
              <w:pStyle w:val="Tabletextleft"/>
            </w:pPr>
            <w:r w:rsidRPr="005B734B">
              <w:t>Proportion of infectious syphilis notifications receiving treatment, by time to treatment</w:t>
            </w:r>
          </w:p>
        </w:tc>
        <w:tc>
          <w:tcPr>
            <w:tcW w:w="1418" w:type="dxa"/>
          </w:tcPr>
          <w:p w14:paraId="624DB6F7" w14:textId="77777777" w:rsidR="008D0421" w:rsidRPr="005B734B" w:rsidRDefault="008D0421" w:rsidP="00C355C7">
            <w:pPr>
              <w:pStyle w:val="Tabletextleft"/>
            </w:pPr>
            <w:r w:rsidRPr="005B734B">
              <w:t>Annually</w:t>
            </w:r>
          </w:p>
        </w:tc>
      </w:tr>
      <w:tr w:rsidR="008D0421" w:rsidRPr="005B734B" w14:paraId="12D4F990" w14:textId="77777777" w:rsidTr="009C5244">
        <w:tc>
          <w:tcPr>
            <w:tcW w:w="14596" w:type="dxa"/>
            <w:gridSpan w:val="3"/>
          </w:tcPr>
          <w:p w14:paraId="3D2D6DAA" w14:textId="77777777" w:rsidR="008D0421" w:rsidRPr="005B734B" w:rsidRDefault="008D0421" w:rsidP="00C355C7">
            <w:pPr>
              <w:pStyle w:val="Tabletextleft"/>
              <w:rPr>
                <w:rStyle w:val="Strong"/>
              </w:rPr>
            </w:pPr>
            <w:r w:rsidRPr="005B734B">
              <w:rPr>
                <w:rStyle w:val="Strong"/>
              </w:rPr>
              <w:t>GOAL 3 - Reduce morbidity and mortality associated with syphilis</w:t>
            </w:r>
          </w:p>
        </w:tc>
      </w:tr>
      <w:tr w:rsidR="008D0421" w:rsidRPr="005B734B" w14:paraId="5DAC9171" w14:textId="77777777" w:rsidTr="009C5244">
        <w:tc>
          <w:tcPr>
            <w:tcW w:w="1145" w:type="dxa"/>
          </w:tcPr>
          <w:p w14:paraId="0F76C4E2" w14:textId="77777777" w:rsidR="008D0421" w:rsidRPr="005B734B" w:rsidRDefault="008D0421" w:rsidP="00C355C7">
            <w:pPr>
              <w:rPr>
                <w:rStyle w:val="Strong"/>
              </w:rPr>
            </w:pPr>
            <w:r w:rsidRPr="005B734B">
              <w:rPr>
                <w:rStyle w:val="Strong"/>
              </w:rPr>
              <w:t>3.1</w:t>
            </w:r>
          </w:p>
        </w:tc>
        <w:tc>
          <w:tcPr>
            <w:tcW w:w="12033" w:type="dxa"/>
          </w:tcPr>
          <w:p w14:paraId="5A6BD516" w14:textId="77777777" w:rsidR="008D0421" w:rsidRPr="005B734B" w:rsidRDefault="008D0421" w:rsidP="00C355C7">
            <w:pPr>
              <w:pStyle w:val="Tabletextleft"/>
            </w:pPr>
            <w:r w:rsidRPr="005B734B">
              <w:t>Number of syphilis related deaths (ICD-10 coded), by stage of infection</w:t>
            </w:r>
          </w:p>
        </w:tc>
        <w:tc>
          <w:tcPr>
            <w:tcW w:w="1418" w:type="dxa"/>
          </w:tcPr>
          <w:p w14:paraId="75DA95AA" w14:textId="77777777" w:rsidR="008D0421" w:rsidRPr="005B734B" w:rsidRDefault="008D0421" w:rsidP="00C355C7">
            <w:pPr>
              <w:pStyle w:val="Tabletextleft"/>
            </w:pPr>
            <w:r w:rsidRPr="005B734B">
              <w:t>Annually</w:t>
            </w:r>
          </w:p>
        </w:tc>
      </w:tr>
      <w:tr w:rsidR="008D0421" w:rsidRPr="005B734B" w14:paraId="2C8CF3AC" w14:textId="77777777" w:rsidTr="009C5244">
        <w:tc>
          <w:tcPr>
            <w:tcW w:w="1145" w:type="dxa"/>
          </w:tcPr>
          <w:p w14:paraId="40549177" w14:textId="77777777" w:rsidR="008D0421" w:rsidRPr="005B734B" w:rsidRDefault="008D0421" w:rsidP="00C355C7">
            <w:pPr>
              <w:rPr>
                <w:rStyle w:val="Strong"/>
              </w:rPr>
            </w:pPr>
            <w:r w:rsidRPr="005B734B">
              <w:rPr>
                <w:rStyle w:val="Strong"/>
              </w:rPr>
              <w:t>3.2</w:t>
            </w:r>
          </w:p>
        </w:tc>
        <w:tc>
          <w:tcPr>
            <w:tcW w:w="12033" w:type="dxa"/>
          </w:tcPr>
          <w:p w14:paraId="075D4DE9" w14:textId="77777777" w:rsidR="008D0421" w:rsidRPr="005B734B" w:rsidRDefault="008D0421" w:rsidP="00C355C7">
            <w:pPr>
              <w:pStyle w:val="Tabletextleft"/>
            </w:pPr>
            <w:r w:rsidRPr="005B734B">
              <w:t>Number of hospitalisations with a principal diagnosis of syphilis (ICD-10 coded)</w:t>
            </w:r>
          </w:p>
        </w:tc>
        <w:tc>
          <w:tcPr>
            <w:tcW w:w="1418" w:type="dxa"/>
          </w:tcPr>
          <w:p w14:paraId="2182A8A8" w14:textId="77777777" w:rsidR="008D0421" w:rsidRPr="005B734B" w:rsidRDefault="008D0421" w:rsidP="00C355C7">
            <w:pPr>
              <w:pStyle w:val="Tabletextleft"/>
            </w:pPr>
            <w:r w:rsidRPr="005B734B">
              <w:t>Annually</w:t>
            </w:r>
          </w:p>
        </w:tc>
      </w:tr>
      <w:tr w:rsidR="008D0421" w:rsidRPr="005B734B" w14:paraId="0DC7C8D0" w14:textId="77777777" w:rsidTr="009C5244">
        <w:tc>
          <w:tcPr>
            <w:tcW w:w="1145" w:type="dxa"/>
          </w:tcPr>
          <w:p w14:paraId="366CE1A1" w14:textId="77777777" w:rsidR="008D0421" w:rsidRPr="005B734B" w:rsidRDefault="008D0421" w:rsidP="00C355C7">
            <w:pPr>
              <w:rPr>
                <w:rStyle w:val="Strong"/>
              </w:rPr>
            </w:pPr>
            <w:r w:rsidRPr="005B734B">
              <w:rPr>
                <w:rStyle w:val="Strong"/>
              </w:rPr>
              <w:t>3.3</w:t>
            </w:r>
          </w:p>
        </w:tc>
        <w:tc>
          <w:tcPr>
            <w:tcW w:w="12033" w:type="dxa"/>
          </w:tcPr>
          <w:p w14:paraId="0A18B6A8" w14:textId="77777777" w:rsidR="008D0421" w:rsidRPr="005B734B" w:rsidRDefault="008D0421" w:rsidP="00C355C7">
            <w:pPr>
              <w:pStyle w:val="Tabletextleft"/>
            </w:pPr>
            <w:r w:rsidRPr="005B734B">
              <w:t>Estimated number of Disability-adjusted life years (DALY) due to syphilis</w:t>
            </w:r>
          </w:p>
        </w:tc>
        <w:tc>
          <w:tcPr>
            <w:tcW w:w="1418" w:type="dxa"/>
          </w:tcPr>
          <w:p w14:paraId="71240459" w14:textId="77777777" w:rsidR="008D0421" w:rsidRPr="005B734B" w:rsidRDefault="008D0421" w:rsidP="00C355C7">
            <w:pPr>
              <w:pStyle w:val="Tabletextleft"/>
            </w:pPr>
            <w:r w:rsidRPr="005B734B">
              <w:t>Annually</w:t>
            </w:r>
          </w:p>
        </w:tc>
      </w:tr>
      <w:tr w:rsidR="008D0421" w:rsidRPr="005B734B" w14:paraId="091D33F5" w14:textId="77777777" w:rsidTr="009C5244">
        <w:tc>
          <w:tcPr>
            <w:tcW w:w="14596" w:type="dxa"/>
            <w:gridSpan w:val="3"/>
          </w:tcPr>
          <w:p w14:paraId="446F9E6A" w14:textId="77777777" w:rsidR="008D0421" w:rsidRPr="005B734B" w:rsidRDefault="008D0421" w:rsidP="00C355C7">
            <w:pPr>
              <w:pStyle w:val="Tabletextleft"/>
              <w:rPr>
                <w:rStyle w:val="Strong"/>
              </w:rPr>
            </w:pPr>
            <w:r w:rsidRPr="005B734B">
              <w:rPr>
                <w:rStyle w:val="Strong"/>
              </w:rPr>
              <w:t>GOAL 4 - Eliminate congenital syphilis (defined as sustained zero congenital syphilis cases)</w:t>
            </w:r>
          </w:p>
        </w:tc>
      </w:tr>
      <w:tr w:rsidR="008D0421" w:rsidRPr="005B734B" w14:paraId="2F34DC13" w14:textId="77777777" w:rsidTr="009C5244">
        <w:tc>
          <w:tcPr>
            <w:tcW w:w="1145" w:type="dxa"/>
          </w:tcPr>
          <w:p w14:paraId="405F039D" w14:textId="77777777" w:rsidR="008D0421" w:rsidRPr="005B734B" w:rsidRDefault="008D0421" w:rsidP="00C355C7">
            <w:pPr>
              <w:rPr>
                <w:rStyle w:val="Strong"/>
              </w:rPr>
            </w:pPr>
            <w:r w:rsidRPr="005B734B">
              <w:rPr>
                <w:rStyle w:val="Strong"/>
              </w:rPr>
              <w:t>4.1</w:t>
            </w:r>
          </w:p>
        </w:tc>
        <w:tc>
          <w:tcPr>
            <w:tcW w:w="12033" w:type="dxa"/>
          </w:tcPr>
          <w:p w14:paraId="181A6E10" w14:textId="77777777" w:rsidR="008D0421" w:rsidRPr="00A701C6" w:rsidRDefault="008D0421" w:rsidP="00C355C7">
            <w:pPr>
              <w:pStyle w:val="Tabletextleft"/>
            </w:pPr>
            <w:r w:rsidRPr="00A701C6">
              <w:t>Number of congenital syphilis cases by remoteness area and Indigenous status</w:t>
            </w:r>
          </w:p>
        </w:tc>
        <w:tc>
          <w:tcPr>
            <w:tcW w:w="1418" w:type="dxa"/>
          </w:tcPr>
          <w:p w14:paraId="48FD0EFD" w14:textId="77777777" w:rsidR="008D0421" w:rsidRPr="005B734B" w:rsidRDefault="008D0421" w:rsidP="00C355C7">
            <w:pPr>
              <w:pStyle w:val="Tabletextleft"/>
            </w:pPr>
            <w:r w:rsidRPr="005B734B">
              <w:t>Quarterly</w:t>
            </w:r>
          </w:p>
        </w:tc>
      </w:tr>
      <w:tr w:rsidR="008D0421" w:rsidRPr="005B734B" w14:paraId="539068F6" w14:textId="77777777" w:rsidTr="009C5244">
        <w:tc>
          <w:tcPr>
            <w:tcW w:w="1145" w:type="dxa"/>
          </w:tcPr>
          <w:p w14:paraId="19EB886A" w14:textId="77777777" w:rsidR="008D0421" w:rsidRPr="005B734B" w:rsidRDefault="008D0421" w:rsidP="00C355C7">
            <w:pPr>
              <w:rPr>
                <w:rStyle w:val="Strong"/>
              </w:rPr>
            </w:pPr>
            <w:bookmarkStart w:id="12" w:name="_Hlk204780076"/>
            <w:r w:rsidRPr="005B734B">
              <w:rPr>
                <w:rStyle w:val="Strong"/>
              </w:rPr>
              <w:t>4.2</w:t>
            </w:r>
          </w:p>
        </w:tc>
        <w:tc>
          <w:tcPr>
            <w:tcW w:w="12033" w:type="dxa"/>
          </w:tcPr>
          <w:p w14:paraId="7BDD173B" w14:textId="77777777" w:rsidR="008D0421" w:rsidRPr="00A701C6" w:rsidRDefault="008D0421" w:rsidP="00C355C7">
            <w:pPr>
              <w:pStyle w:val="Tabletextleft"/>
            </w:pPr>
            <w:r w:rsidRPr="00A701C6">
              <w:t>Number of congenital syphilis related deaths by Indigenous status</w:t>
            </w:r>
          </w:p>
        </w:tc>
        <w:tc>
          <w:tcPr>
            <w:tcW w:w="1418" w:type="dxa"/>
          </w:tcPr>
          <w:p w14:paraId="6BD132A2" w14:textId="77777777" w:rsidR="008D0421" w:rsidRPr="005B734B" w:rsidRDefault="008D0421" w:rsidP="00C355C7">
            <w:pPr>
              <w:pStyle w:val="Tabletextleft"/>
            </w:pPr>
            <w:r w:rsidRPr="005B734B">
              <w:t>Quarterly</w:t>
            </w:r>
          </w:p>
        </w:tc>
      </w:tr>
      <w:bookmarkEnd w:id="12"/>
      <w:tr w:rsidR="008D0421" w:rsidRPr="005B734B" w14:paraId="26EEB17B" w14:textId="77777777" w:rsidTr="009C5244">
        <w:tc>
          <w:tcPr>
            <w:tcW w:w="1145" w:type="dxa"/>
          </w:tcPr>
          <w:p w14:paraId="661785CC" w14:textId="77777777" w:rsidR="008D0421" w:rsidRPr="005B734B" w:rsidRDefault="008D0421" w:rsidP="00C355C7">
            <w:pPr>
              <w:rPr>
                <w:rStyle w:val="Strong"/>
              </w:rPr>
            </w:pPr>
            <w:r w:rsidRPr="005B734B">
              <w:rPr>
                <w:rStyle w:val="Strong"/>
              </w:rPr>
              <w:t>4.3</w:t>
            </w:r>
          </w:p>
        </w:tc>
        <w:tc>
          <w:tcPr>
            <w:tcW w:w="12033" w:type="dxa"/>
          </w:tcPr>
          <w:p w14:paraId="2F74DA8C" w14:textId="77777777" w:rsidR="008D0421" w:rsidRPr="00A701C6" w:rsidRDefault="008D0421" w:rsidP="00C355C7">
            <w:pPr>
              <w:pStyle w:val="Tabletextleft"/>
            </w:pPr>
            <w:r w:rsidRPr="00A701C6">
              <w:t>Notification rate of congenital syphilis per 100,000 live births by remoteness area and Indigenous status</w:t>
            </w:r>
          </w:p>
        </w:tc>
        <w:tc>
          <w:tcPr>
            <w:tcW w:w="1418" w:type="dxa"/>
          </w:tcPr>
          <w:p w14:paraId="30F0F4DE" w14:textId="77777777" w:rsidR="008D0421" w:rsidRPr="005B734B" w:rsidRDefault="008D0421" w:rsidP="00C355C7">
            <w:pPr>
              <w:pStyle w:val="Tabletextleft"/>
            </w:pPr>
            <w:r w:rsidRPr="005B734B">
              <w:t>Quarterly</w:t>
            </w:r>
          </w:p>
        </w:tc>
      </w:tr>
      <w:tr w:rsidR="008D0421" w:rsidRPr="005B734B" w14:paraId="5F02690F" w14:textId="77777777" w:rsidTr="009C5244">
        <w:tc>
          <w:tcPr>
            <w:tcW w:w="1145" w:type="dxa"/>
          </w:tcPr>
          <w:p w14:paraId="2E1B8471" w14:textId="77777777" w:rsidR="008D0421" w:rsidRPr="005B734B" w:rsidRDefault="008D0421" w:rsidP="00C355C7">
            <w:pPr>
              <w:rPr>
                <w:rStyle w:val="Strong"/>
              </w:rPr>
            </w:pPr>
            <w:r w:rsidRPr="005B734B">
              <w:rPr>
                <w:rStyle w:val="Strong"/>
              </w:rPr>
              <w:lastRenderedPageBreak/>
              <w:t>4.4</w:t>
            </w:r>
          </w:p>
        </w:tc>
        <w:tc>
          <w:tcPr>
            <w:tcW w:w="12033" w:type="dxa"/>
          </w:tcPr>
          <w:p w14:paraId="70B4A4D6" w14:textId="77777777" w:rsidR="008D0421" w:rsidRPr="00A701C6" w:rsidRDefault="008D0421" w:rsidP="00C355C7">
            <w:pPr>
              <w:pStyle w:val="Tabletextleft"/>
            </w:pPr>
            <w:r w:rsidRPr="00A701C6">
              <w:t>Proportion of syphilis notifications among women of reproductive age (15- 44 years) who were pregnant at time of diagnosis, by remoteness area classification and Indigenous status</w:t>
            </w:r>
          </w:p>
        </w:tc>
        <w:tc>
          <w:tcPr>
            <w:tcW w:w="1418" w:type="dxa"/>
          </w:tcPr>
          <w:p w14:paraId="5D249203" w14:textId="77777777" w:rsidR="008D0421" w:rsidRPr="005B734B" w:rsidRDefault="008D0421" w:rsidP="00C355C7">
            <w:pPr>
              <w:pStyle w:val="Tabletextleft"/>
            </w:pPr>
            <w:r w:rsidRPr="005B734B">
              <w:t>Quarterly</w:t>
            </w:r>
          </w:p>
        </w:tc>
      </w:tr>
      <w:tr w:rsidR="008D0421" w:rsidRPr="005B734B" w14:paraId="0B05802C" w14:textId="77777777" w:rsidTr="009C5244">
        <w:tc>
          <w:tcPr>
            <w:tcW w:w="1145" w:type="dxa"/>
          </w:tcPr>
          <w:p w14:paraId="7A855AD5" w14:textId="77777777" w:rsidR="008D0421" w:rsidRPr="005B734B" w:rsidRDefault="008D0421" w:rsidP="00C355C7">
            <w:pPr>
              <w:rPr>
                <w:rStyle w:val="Strong"/>
              </w:rPr>
            </w:pPr>
            <w:r w:rsidRPr="005B734B">
              <w:rPr>
                <w:rStyle w:val="Strong"/>
              </w:rPr>
              <w:t>4.5</w:t>
            </w:r>
          </w:p>
        </w:tc>
        <w:tc>
          <w:tcPr>
            <w:tcW w:w="12033" w:type="dxa"/>
          </w:tcPr>
          <w:p w14:paraId="68FA9D48" w14:textId="77777777" w:rsidR="008D0421" w:rsidRPr="00A701C6" w:rsidRDefault="008D0421" w:rsidP="00C355C7">
            <w:pPr>
              <w:pStyle w:val="Tabletextleft"/>
            </w:pPr>
            <w:r w:rsidRPr="00A701C6">
              <w:t>Number of women giving birth to an infant with congenital syphilis who were diagnosed with syphilis ‘late’ in pregnancy by Indigenous status</w:t>
            </w:r>
          </w:p>
        </w:tc>
        <w:tc>
          <w:tcPr>
            <w:tcW w:w="1418" w:type="dxa"/>
          </w:tcPr>
          <w:p w14:paraId="7170AF64" w14:textId="77777777" w:rsidR="008D0421" w:rsidRPr="005B734B" w:rsidRDefault="008D0421" w:rsidP="00C355C7">
            <w:pPr>
              <w:pStyle w:val="Tabletextleft"/>
            </w:pPr>
            <w:r w:rsidRPr="005B734B">
              <w:t>Quarterly</w:t>
            </w:r>
          </w:p>
        </w:tc>
      </w:tr>
      <w:tr w:rsidR="008D0421" w:rsidRPr="005B734B" w14:paraId="09701E3C" w14:textId="77777777" w:rsidTr="009C5244">
        <w:tc>
          <w:tcPr>
            <w:tcW w:w="1145" w:type="dxa"/>
          </w:tcPr>
          <w:p w14:paraId="6D12E0BD" w14:textId="77777777" w:rsidR="008D0421" w:rsidRPr="005B734B" w:rsidRDefault="008D0421" w:rsidP="00C355C7">
            <w:pPr>
              <w:rPr>
                <w:rStyle w:val="Strong"/>
              </w:rPr>
            </w:pPr>
            <w:r w:rsidRPr="005B734B">
              <w:rPr>
                <w:rStyle w:val="Strong"/>
              </w:rPr>
              <w:t>4.6</w:t>
            </w:r>
          </w:p>
        </w:tc>
        <w:tc>
          <w:tcPr>
            <w:tcW w:w="12033" w:type="dxa"/>
          </w:tcPr>
          <w:p w14:paraId="08449AD0" w14:textId="3F4802C2" w:rsidR="008D0421" w:rsidRPr="00A701C6" w:rsidRDefault="008D0421" w:rsidP="00C355C7">
            <w:pPr>
              <w:pStyle w:val="Tabletextleft"/>
            </w:pPr>
            <w:r w:rsidRPr="00A701C6">
              <w:t xml:space="preserve">Proportion of </w:t>
            </w:r>
            <w:r w:rsidR="00FE48C5" w:rsidRPr="00A701C6">
              <w:t>women</w:t>
            </w:r>
            <w:r w:rsidRPr="00A701C6">
              <w:t xml:space="preserve"> giving birth to an infant with congenital syphilis receiving adequate treatment prior to delivery</w:t>
            </w:r>
          </w:p>
        </w:tc>
        <w:tc>
          <w:tcPr>
            <w:tcW w:w="1418" w:type="dxa"/>
          </w:tcPr>
          <w:p w14:paraId="4AF3E39F" w14:textId="77777777" w:rsidR="008D0421" w:rsidRPr="005B734B" w:rsidRDefault="008D0421" w:rsidP="00C355C7">
            <w:pPr>
              <w:pStyle w:val="Tabletextleft"/>
            </w:pPr>
            <w:r w:rsidRPr="005B734B">
              <w:t>Quarterly</w:t>
            </w:r>
          </w:p>
        </w:tc>
      </w:tr>
      <w:tr w:rsidR="008D0421" w:rsidRPr="005B734B" w14:paraId="1074A410" w14:textId="77777777" w:rsidTr="009C5244">
        <w:tc>
          <w:tcPr>
            <w:tcW w:w="1145" w:type="dxa"/>
          </w:tcPr>
          <w:p w14:paraId="2D44A49C" w14:textId="77777777" w:rsidR="008D0421" w:rsidRPr="005B734B" w:rsidRDefault="008D0421" w:rsidP="00C355C7">
            <w:pPr>
              <w:rPr>
                <w:rStyle w:val="Strong"/>
              </w:rPr>
            </w:pPr>
            <w:r w:rsidRPr="005B734B">
              <w:rPr>
                <w:rStyle w:val="Strong"/>
              </w:rPr>
              <w:t>4.7</w:t>
            </w:r>
          </w:p>
        </w:tc>
        <w:tc>
          <w:tcPr>
            <w:tcW w:w="12033" w:type="dxa"/>
          </w:tcPr>
          <w:p w14:paraId="3D6BD315" w14:textId="7A4C63D2" w:rsidR="008D0421" w:rsidRPr="00A701C6" w:rsidRDefault="008D0421" w:rsidP="00C355C7">
            <w:pPr>
              <w:pStyle w:val="Tabletextleft"/>
            </w:pPr>
            <w:r w:rsidRPr="00A701C6">
              <w:t xml:space="preserve">Number of </w:t>
            </w:r>
            <w:r w:rsidR="00FE48C5" w:rsidRPr="00A701C6">
              <w:t>women</w:t>
            </w:r>
            <w:r w:rsidRPr="00A701C6">
              <w:t xml:space="preserve"> giving birth to an infant with congenital syphilis by number of syphilis tests received during their pregnancy</w:t>
            </w:r>
          </w:p>
        </w:tc>
        <w:tc>
          <w:tcPr>
            <w:tcW w:w="1418" w:type="dxa"/>
          </w:tcPr>
          <w:p w14:paraId="6C8DA15F" w14:textId="77777777" w:rsidR="008D0421" w:rsidRPr="005B734B" w:rsidRDefault="008D0421" w:rsidP="00C355C7">
            <w:pPr>
              <w:pStyle w:val="Tabletextleft"/>
            </w:pPr>
            <w:r w:rsidRPr="005B734B">
              <w:t>Quarterly</w:t>
            </w:r>
          </w:p>
        </w:tc>
      </w:tr>
      <w:tr w:rsidR="008D0421" w:rsidRPr="005B734B" w14:paraId="4BBE0CDE" w14:textId="77777777" w:rsidTr="009C5244">
        <w:tc>
          <w:tcPr>
            <w:tcW w:w="1145" w:type="dxa"/>
          </w:tcPr>
          <w:p w14:paraId="65C6B8AD" w14:textId="77777777" w:rsidR="008D0421" w:rsidRPr="005B734B" w:rsidRDefault="008D0421" w:rsidP="00C355C7">
            <w:pPr>
              <w:rPr>
                <w:rStyle w:val="Strong"/>
              </w:rPr>
            </w:pPr>
            <w:r w:rsidRPr="005B734B">
              <w:rPr>
                <w:rStyle w:val="Strong"/>
              </w:rPr>
              <w:t>4.8</w:t>
            </w:r>
          </w:p>
        </w:tc>
        <w:tc>
          <w:tcPr>
            <w:tcW w:w="12033" w:type="dxa"/>
          </w:tcPr>
          <w:p w14:paraId="13A7ADE6" w14:textId="6438E7E7" w:rsidR="008D0421" w:rsidRPr="00A701C6" w:rsidRDefault="008D0421" w:rsidP="00C355C7">
            <w:pPr>
              <w:pStyle w:val="Tabletextleft"/>
            </w:pPr>
            <w:r w:rsidRPr="00A701C6">
              <w:t xml:space="preserve">Number of </w:t>
            </w:r>
            <w:r w:rsidR="00FE48C5" w:rsidRPr="00A701C6">
              <w:t>women</w:t>
            </w:r>
            <w:r w:rsidRPr="00A701C6">
              <w:t xml:space="preserve"> giving birth to an infant with congenital syphilis reinfected during their pregnancy</w:t>
            </w:r>
          </w:p>
        </w:tc>
        <w:tc>
          <w:tcPr>
            <w:tcW w:w="1418" w:type="dxa"/>
          </w:tcPr>
          <w:p w14:paraId="22C71D5C" w14:textId="77777777" w:rsidR="008D0421" w:rsidRPr="005B734B" w:rsidRDefault="008D0421" w:rsidP="00C355C7">
            <w:pPr>
              <w:pStyle w:val="Tabletextleft"/>
            </w:pPr>
            <w:r w:rsidRPr="005B734B">
              <w:t>Quarterly</w:t>
            </w:r>
          </w:p>
        </w:tc>
      </w:tr>
      <w:tr w:rsidR="008D0421" w:rsidRPr="005B734B" w14:paraId="1304E6CA" w14:textId="77777777" w:rsidTr="009C5244">
        <w:tc>
          <w:tcPr>
            <w:tcW w:w="1145" w:type="dxa"/>
          </w:tcPr>
          <w:p w14:paraId="55006E33" w14:textId="77777777" w:rsidR="008D0421" w:rsidRPr="005B734B" w:rsidRDefault="008D0421" w:rsidP="00C355C7">
            <w:pPr>
              <w:rPr>
                <w:rStyle w:val="Strong"/>
              </w:rPr>
            </w:pPr>
            <w:r w:rsidRPr="005B734B">
              <w:rPr>
                <w:rStyle w:val="Strong"/>
              </w:rPr>
              <w:t>4.9</w:t>
            </w:r>
          </w:p>
        </w:tc>
        <w:tc>
          <w:tcPr>
            <w:tcW w:w="12033" w:type="dxa"/>
          </w:tcPr>
          <w:p w14:paraId="0C90744B" w14:textId="77777777" w:rsidR="008D0421" w:rsidRPr="00A701C6" w:rsidRDefault="008D0421" w:rsidP="00C355C7">
            <w:pPr>
              <w:pStyle w:val="Tabletextleft"/>
            </w:pPr>
            <w:r w:rsidRPr="00A701C6">
              <w:t>Number of women of reproductive age (15-44 years) hospitalised with a principal diagnosis of syphilis (ICD-10 coded)</w:t>
            </w:r>
          </w:p>
        </w:tc>
        <w:tc>
          <w:tcPr>
            <w:tcW w:w="1418" w:type="dxa"/>
          </w:tcPr>
          <w:p w14:paraId="1CCA2BF4" w14:textId="77777777" w:rsidR="008D0421" w:rsidRPr="005B734B" w:rsidRDefault="008D0421" w:rsidP="00C355C7">
            <w:pPr>
              <w:pStyle w:val="Tabletextleft"/>
            </w:pPr>
            <w:r w:rsidRPr="005B734B">
              <w:t>Annually</w:t>
            </w:r>
          </w:p>
        </w:tc>
      </w:tr>
      <w:tr w:rsidR="008D0421" w:rsidRPr="005B734B" w14:paraId="263C0546" w14:textId="77777777" w:rsidTr="009C5244">
        <w:tc>
          <w:tcPr>
            <w:tcW w:w="1145" w:type="dxa"/>
          </w:tcPr>
          <w:p w14:paraId="3E16A13C" w14:textId="77777777" w:rsidR="008D0421" w:rsidRPr="005B734B" w:rsidRDefault="008D0421" w:rsidP="00C355C7">
            <w:pPr>
              <w:rPr>
                <w:rStyle w:val="Strong"/>
              </w:rPr>
            </w:pPr>
            <w:r w:rsidRPr="005B734B">
              <w:rPr>
                <w:rStyle w:val="Strong"/>
              </w:rPr>
              <w:t>4.10</w:t>
            </w:r>
          </w:p>
        </w:tc>
        <w:tc>
          <w:tcPr>
            <w:tcW w:w="12033" w:type="dxa"/>
          </w:tcPr>
          <w:p w14:paraId="05344A13" w14:textId="77777777" w:rsidR="008D0421" w:rsidRPr="00A701C6" w:rsidRDefault="008D0421" w:rsidP="00C355C7">
            <w:pPr>
              <w:pStyle w:val="Tabletextleft"/>
            </w:pPr>
            <w:r w:rsidRPr="00A701C6">
              <w:t>Number of women hospitalised with a principal diagnosis of syphilis in pregnancy, childbirth and puerperium (ICD-10 coded)</w:t>
            </w:r>
          </w:p>
        </w:tc>
        <w:tc>
          <w:tcPr>
            <w:tcW w:w="1418" w:type="dxa"/>
          </w:tcPr>
          <w:p w14:paraId="420A751F" w14:textId="77777777" w:rsidR="008D0421" w:rsidRPr="005B734B" w:rsidRDefault="008D0421" w:rsidP="00C355C7">
            <w:pPr>
              <w:pStyle w:val="Tabletextleft"/>
            </w:pPr>
            <w:r w:rsidRPr="005B734B">
              <w:t>Annually</w:t>
            </w:r>
          </w:p>
        </w:tc>
      </w:tr>
    </w:tbl>
    <w:p w14:paraId="76BFDB3F" w14:textId="153B2BB6" w:rsidR="00445596" w:rsidRPr="00182D4C" w:rsidRDefault="008D0421" w:rsidP="00182D4C">
      <w:pPr>
        <w:pStyle w:val="Heading1"/>
      </w:pPr>
      <w:bookmarkStart w:id="13" w:name="_Appendix_B_–"/>
      <w:bookmarkEnd w:id="11"/>
      <w:bookmarkEnd w:id="13"/>
      <w:r w:rsidRPr="00182D4C">
        <w:br w:type="column"/>
      </w:r>
      <w:r w:rsidRPr="00182D4C">
        <w:lastRenderedPageBreak/>
        <w:t xml:space="preserve">Appendix B – </w:t>
      </w:r>
      <w:r w:rsidR="006C28B5" w:rsidRPr="00182D4C">
        <w:t xml:space="preserve">NNDSS </w:t>
      </w:r>
      <w:r w:rsidR="00153F27" w:rsidRPr="00182D4C">
        <w:t>s</w:t>
      </w:r>
      <w:r w:rsidR="006C28B5" w:rsidRPr="00182D4C">
        <w:t>yphilis notification and enhanced data c</w:t>
      </w:r>
      <w:r w:rsidRPr="00182D4C">
        <w:t>ompleteness</w:t>
      </w:r>
      <w:r w:rsidR="00216DF1" w:rsidRPr="00182D4C">
        <w:t>*</w:t>
      </w:r>
      <w:r w:rsidR="004C4A51" w:rsidRPr="00182D4C">
        <w:t xml:space="preserve"> by year</w:t>
      </w:r>
      <w:r w:rsidR="006C28B5" w:rsidRPr="00182D4C">
        <w:t>, 2025</w:t>
      </w:r>
    </w:p>
    <w:tbl>
      <w:tblPr>
        <w:tblStyle w:val="TableGrid"/>
        <w:tblW w:w="5429" w:type="pct"/>
        <w:tblInd w:w="-289" w:type="dxa"/>
        <w:tblLayout w:type="fixed"/>
        <w:tblLook w:val="04A0" w:firstRow="1" w:lastRow="0" w:firstColumn="1" w:lastColumn="0" w:noHBand="0" w:noVBand="1"/>
      </w:tblPr>
      <w:tblGrid>
        <w:gridCol w:w="2550"/>
        <w:gridCol w:w="1703"/>
        <w:gridCol w:w="1843"/>
        <w:gridCol w:w="1986"/>
        <w:gridCol w:w="1700"/>
        <w:gridCol w:w="1700"/>
        <w:gridCol w:w="1703"/>
        <w:gridCol w:w="1700"/>
      </w:tblGrid>
      <w:tr w:rsidR="000E19D9" w:rsidRPr="005B734B" w14:paraId="78874712" w14:textId="031499C2" w:rsidTr="005B734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7" w:type="pct"/>
            <w:vMerge w:val="restart"/>
          </w:tcPr>
          <w:p w14:paraId="4E4BE05E" w14:textId="0DE2788C" w:rsidR="000E19D9" w:rsidRPr="005B734B" w:rsidRDefault="000E19D9" w:rsidP="00E20DBB">
            <w:pPr>
              <w:pStyle w:val="TableHeader"/>
            </w:pPr>
            <w:r w:rsidRPr="005B734B">
              <w:t>Variable</w:t>
            </w:r>
          </w:p>
        </w:tc>
        <w:tc>
          <w:tcPr>
            <w:tcW w:w="4143" w:type="pct"/>
            <w:gridSpan w:val="7"/>
          </w:tcPr>
          <w:p w14:paraId="485B6B23" w14:textId="23610134" w:rsidR="000E19D9" w:rsidRPr="005B734B" w:rsidRDefault="000E19D9" w:rsidP="00E20DBB">
            <w:pPr>
              <w:pStyle w:val="TableHeader"/>
              <w:cnfStyle w:val="100000000000" w:firstRow="1" w:lastRow="0" w:firstColumn="0" w:lastColumn="0" w:oddVBand="0" w:evenVBand="0" w:oddHBand="0" w:evenHBand="0" w:firstRowFirstColumn="0" w:firstRowLastColumn="0" w:lastRowFirstColumn="0" w:lastRowLastColumn="0"/>
            </w:pPr>
            <w:r w:rsidRPr="005B734B">
              <w:t>Completeness by year</w:t>
            </w:r>
          </w:p>
        </w:tc>
      </w:tr>
      <w:tr w:rsidR="005B734B" w:rsidRPr="005B734B" w14:paraId="49686644" w14:textId="77777777" w:rsidTr="005B734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7" w:type="pct"/>
            <w:vMerge/>
          </w:tcPr>
          <w:p w14:paraId="66693006" w14:textId="77777777" w:rsidR="000E19D9" w:rsidRPr="005B734B" w:rsidRDefault="000E19D9" w:rsidP="00E20DBB">
            <w:pPr>
              <w:pStyle w:val="TableHeader"/>
            </w:pPr>
          </w:p>
        </w:tc>
        <w:tc>
          <w:tcPr>
            <w:tcW w:w="572" w:type="pct"/>
            <w:vMerge w:val="restart"/>
          </w:tcPr>
          <w:p w14:paraId="6C6447EB" w14:textId="37707C36" w:rsidR="000E19D9" w:rsidRPr="005B734B" w:rsidRDefault="000E19D9" w:rsidP="00E20DBB">
            <w:pPr>
              <w:pStyle w:val="TableHeader"/>
              <w:cnfStyle w:val="100000000000" w:firstRow="1" w:lastRow="0" w:firstColumn="0" w:lastColumn="0" w:oddVBand="0" w:evenVBand="0" w:oddHBand="0" w:evenHBand="0" w:firstRowFirstColumn="0" w:firstRowLastColumn="0" w:lastRowFirstColumn="0" w:lastRowLastColumn="0"/>
            </w:pPr>
            <w:r w:rsidRPr="006471D4">
              <w:t>2020</w:t>
            </w:r>
          </w:p>
        </w:tc>
        <w:tc>
          <w:tcPr>
            <w:tcW w:w="619" w:type="pct"/>
            <w:vMerge w:val="restart"/>
          </w:tcPr>
          <w:p w14:paraId="5E27F83B" w14:textId="5659D325" w:rsidR="000E19D9" w:rsidRPr="005B734B" w:rsidRDefault="000E19D9" w:rsidP="00E20DBB">
            <w:pPr>
              <w:pStyle w:val="TableHeader"/>
              <w:cnfStyle w:val="100000000000" w:firstRow="1" w:lastRow="0" w:firstColumn="0" w:lastColumn="0" w:oddVBand="0" w:evenVBand="0" w:oddHBand="0" w:evenHBand="0" w:firstRowFirstColumn="0" w:firstRowLastColumn="0" w:lastRowFirstColumn="0" w:lastRowLastColumn="0"/>
            </w:pPr>
            <w:r w:rsidRPr="005B734B">
              <w:t>2021</w:t>
            </w:r>
          </w:p>
        </w:tc>
        <w:tc>
          <w:tcPr>
            <w:tcW w:w="667" w:type="pct"/>
            <w:vMerge w:val="restart"/>
          </w:tcPr>
          <w:p w14:paraId="3E6AE4FF" w14:textId="28F6CF0F" w:rsidR="000E19D9" w:rsidRPr="005B734B" w:rsidRDefault="000E19D9" w:rsidP="00E20DBB">
            <w:pPr>
              <w:pStyle w:val="TableHeader"/>
              <w:cnfStyle w:val="100000000000" w:firstRow="1" w:lastRow="0" w:firstColumn="0" w:lastColumn="0" w:oddVBand="0" w:evenVBand="0" w:oddHBand="0" w:evenHBand="0" w:firstRowFirstColumn="0" w:firstRowLastColumn="0" w:lastRowFirstColumn="0" w:lastRowLastColumn="0"/>
            </w:pPr>
            <w:r w:rsidRPr="005B734B">
              <w:t>2022</w:t>
            </w:r>
          </w:p>
        </w:tc>
        <w:tc>
          <w:tcPr>
            <w:tcW w:w="571" w:type="pct"/>
            <w:vMerge w:val="restart"/>
          </w:tcPr>
          <w:p w14:paraId="25DFE441" w14:textId="6704F997" w:rsidR="000E19D9" w:rsidRPr="005B734B" w:rsidRDefault="000E19D9" w:rsidP="00E20DBB">
            <w:pPr>
              <w:pStyle w:val="TableHeader"/>
              <w:cnfStyle w:val="100000000000" w:firstRow="1" w:lastRow="0" w:firstColumn="0" w:lastColumn="0" w:oddVBand="0" w:evenVBand="0" w:oddHBand="0" w:evenHBand="0" w:firstRowFirstColumn="0" w:firstRowLastColumn="0" w:lastRowFirstColumn="0" w:lastRowLastColumn="0"/>
            </w:pPr>
            <w:r w:rsidRPr="005B734B">
              <w:t>2023</w:t>
            </w:r>
          </w:p>
        </w:tc>
        <w:tc>
          <w:tcPr>
            <w:tcW w:w="571" w:type="pct"/>
            <w:vMerge w:val="restart"/>
          </w:tcPr>
          <w:p w14:paraId="19444E62" w14:textId="1B7759A5" w:rsidR="000E19D9" w:rsidRPr="005B734B" w:rsidRDefault="000E19D9" w:rsidP="00E20DBB">
            <w:pPr>
              <w:pStyle w:val="TableHeader"/>
              <w:cnfStyle w:val="100000000000" w:firstRow="1" w:lastRow="0" w:firstColumn="0" w:lastColumn="0" w:oddVBand="0" w:evenVBand="0" w:oddHBand="0" w:evenHBand="0" w:firstRowFirstColumn="0" w:firstRowLastColumn="0" w:lastRowFirstColumn="0" w:lastRowLastColumn="0"/>
            </w:pPr>
            <w:r w:rsidRPr="005B734B">
              <w:t>2024</w:t>
            </w:r>
          </w:p>
        </w:tc>
        <w:tc>
          <w:tcPr>
            <w:tcW w:w="1143" w:type="pct"/>
            <w:gridSpan w:val="2"/>
          </w:tcPr>
          <w:p w14:paraId="7CB5115F" w14:textId="0A5BFDA2" w:rsidR="000E19D9" w:rsidRPr="005B734B" w:rsidRDefault="000E19D9" w:rsidP="00E20DBB">
            <w:pPr>
              <w:pStyle w:val="TableHeader"/>
              <w:cnfStyle w:val="100000000000" w:firstRow="1" w:lastRow="0" w:firstColumn="0" w:lastColumn="0" w:oddVBand="0" w:evenVBand="0" w:oddHBand="0" w:evenHBand="0" w:firstRowFirstColumn="0" w:firstRowLastColumn="0" w:lastRowFirstColumn="0" w:lastRowLastColumn="0"/>
            </w:pPr>
            <w:r w:rsidRPr="005B734B">
              <w:t>2025</w:t>
            </w:r>
          </w:p>
        </w:tc>
      </w:tr>
      <w:tr w:rsidR="005B734B" w:rsidRPr="005B734B" w14:paraId="438A3F3B" w14:textId="7629F861" w:rsidTr="005B734B">
        <w:trPr>
          <w:cnfStyle w:val="100000000000" w:firstRow="1" w:lastRow="0" w:firstColumn="0" w:lastColumn="0" w:oddVBand="0" w:evenVBand="0" w:oddHBand="0" w:evenHBand="0" w:firstRowFirstColumn="0" w:firstRowLastColumn="0" w:lastRowFirstColumn="0" w:lastRowLastColumn="0"/>
          <w:trHeight w:val="459"/>
          <w:tblHeader/>
        </w:trPr>
        <w:tc>
          <w:tcPr>
            <w:cnfStyle w:val="001000000000" w:firstRow="0" w:lastRow="0" w:firstColumn="1" w:lastColumn="0" w:oddVBand="0" w:evenVBand="0" w:oddHBand="0" w:evenHBand="0" w:firstRowFirstColumn="0" w:firstRowLastColumn="0" w:lastRowFirstColumn="0" w:lastRowLastColumn="0"/>
            <w:tcW w:w="857" w:type="pct"/>
            <w:vMerge/>
          </w:tcPr>
          <w:p w14:paraId="009F1BE2" w14:textId="77777777" w:rsidR="000E19D9" w:rsidRPr="005B734B" w:rsidRDefault="000E19D9" w:rsidP="00E20DBB">
            <w:pPr>
              <w:pStyle w:val="TableHeader"/>
            </w:pPr>
          </w:p>
        </w:tc>
        <w:tc>
          <w:tcPr>
            <w:tcW w:w="572" w:type="pct"/>
            <w:vMerge/>
          </w:tcPr>
          <w:p w14:paraId="72FD6ED0" w14:textId="43192A17" w:rsidR="000E19D9" w:rsidRPr="005B734B" w:rsidRDefault="000E19D9" w:rsidP="00E20DBB">
            <w:pPr>
              <w:pStyle w:val="TableHeader"/>
              <w:cnfStyle w:val="100000000000" w:firstRow="1" w:lastRow="0" w:firstColumn="0" w:lastColumn="0" w:oddVBand="0" w:evenVBand="0" w:oddHBand="0" w:evenHBand="0" w:firstRowFirstColumn="0" w:firstRowLastColumn="0" w:lastRowFirstColumn="0" w:lastRowLastColumn="0"/>
            </w:pPr>
          </w:p>
        </w:tc>
        <w:tc>
          <w:tcPr>
            <w:tcW w:w="619" w:type="pct"/>
            <w:vMerge/>
          </w:tcPr>
          <w:p w14:paraId="7F9106DD" w14:textId="27D2A03C" w:rsidR="000E19D9" w:rsidRPr="005B734B" w:rsidRDefault="000E19D9" w:rsidP="00E20DBB">
            <w:pPr>
              <w:pStyle w:val="TableHeader"/>
              <w:cnfStyle w:val="100000000000" w:firstRow="1" w:lastRow="0" w:firstColumn="0" w:lastColumn="0" w:oddVBand="0" w:evenVBand="0" w:oddHBand="0" w:evenHBand="0" w:firstRowFirstColumn="0" w:firstRowLastColumn="0" w:lastRowFirstColumn="0" w:lastRowLastColumn="0"/>
            </w:pPr>
          </w:p>
        </w:tc>
        <w:tc>
          <w:tcPr>
            <w:tcW w:w="667" w:type="pct"/>
            <w:vMerge/>
          </w:tcPr>
          <w:p w14:paraId="79C147D7" w14:textId="00391567" w:rsidR="000E19D9" w:rsidRPr="005B734B" w:rsidRDefault="000E19D9" w:rsidP="00E20DBB">
            <w:pPr>
              <w:pStyle w:val="TableHeader"/>
              <w:cnfStyle w:val="100000000000" w:firstRow="1" w:lastRow="0" w:firstColumn="0" w:lastColumn="0" w:oddVBand="0" w:evenVBand="0" w:oddHBand="0" w:evenHBand="0" w:firstRowFirstColumn="0" w:firstRowLastColumn="0" w:lastRowFirstColumn="0" w:lastRowLastColumn="0"/>
            </w:pPr>
          </w:p>
        </w:tc>
        <w:tc>
          <w:tcPr>
            <w:tcW w:w="571" w:type="pct"/>
            <w:vMerge/>
          </w:tcPr>
          <w:p w14:paraId="06EDF12E" w14:textId="7468795E" w:rsidR="000E19D9" w:rsidRPr="005B734B" w:rsidRDefault="000E19D9" w:rsidP="00E20DBB">
            <w:pPr>
              <w:pStyle w:val="TableHeader"/>
              <w:cnfStyle w:val="100000000000" w:firstRow="1" w:lastRow="0" w:firstColumn="0" w:lastColumn="0" w:oddVBand="0" w:evenVBand="0" w:oddHBand="0" w:evenHBand="0" w:firstRowFirstColumn="0" w:firstRowLastColumn="0" w:lastRowFirstColumn="0" w:lastRowLastColumn="0"/>
            </w:pPr>
          </w:p>
        </w:tc>
        <w:tc>
          <w:tcPr>
            <w:tcW w:w="571" w:type="pct"/>
            <w:vMerge/>
          </w:tcPr>
          <w:p w14:paraId="714A1EBD" w14:textId="0832AF2F" w:rsidR="000E19D9" w:rsidRPr="005B734B" w:rsidRDefault="000E19D9" w:rsidP="00E20DBB">
            <w:pPr>
              <w:pStyle w:val="TableHeader"/>
              <w:cnfStyle w:val="100000000000" w:firstRow="1" w:lastRow="0" w:firstColumn="0" w:lastColumn="0" w:oddVBand="0" w:evenVBand="0" w:oddHBand="0" w:evenHBand="0" w:firstRowFirstColumn="0" w:firstRowLastColumn="0" w:lastRowFirstColumn="0" w:lastRowLastColumn="0"/>
            </w:pPr>
          </w:p>
        </w:tc>
        <w:tc>
          <w:tcPr>
            <w:tcW w:w="572" w:type="pct"/>
          </w:tcPr>
          <w:p w14:paraId="52D74EB4" w14:textId="4BD9E63B" w:rsidR="000E19D9" w:rsidRPr="005B734B" w:rsidRDefault="000E19D9" w:rsidP="00E20DBB">
            <w:pPr>
              <w:pStyle w:val="TableHeader"/>
              <w:cnfStyle w:val="100000000000" w:firstRow="1" w:lastRow="0" w:firstColumn="0" w:lastColumn="0" w:oddVBand="0" w:evenVBand="0" w:oddHBand="0" w:evenHBand="0" w:firstRowFirstColumn="0" w:firstRowLastColumn="0" w:lastRowFirstColumn="0" w:lastRowLastColumn="0"/>
            </w:pPr>
            <w:r w:rsidRPr="005B734B">
              <w:t>Q1</w:t>
            </w:r>
          </w:p>
        </w:tc>
        <w:tc>
          <w:tcPr>
            <w:tcW w:w="571" w:type="pct"/>
          </w:tcPr>
          <w:p w14:paraId="432A89D7" w14:textId="2C8A2EE3" w:rsidR="000E19D9" w:rsidRPr="005B734B" w:rsidRDefault="000E19D9" w:rsidP="00E20DBB">
            <w:pPr>
              <w:pStyle w:val="TableHeader"/>
              <w:cnfStyle w:val="100000000000" w:firstRow="1" w:lastRow="0" w:firstColumn="0" w:lastColumn="0" w:oddVBand="0" w:evenVBand="0" w:oddHBand="0" w:evenHBand="0" w:firstRowFirstColumn="0" w:firstRowLastColumn="0" w:lastRowFirstColumn="0" w:lastRowLastColumn="0"/>
            </w:pPr>
            <w:r w:rsidRPr="005B734B">
              <w:t>Q2</w:t>
            </w:r>
          </w:p>
        </w:tc>
      </w:tr>
      <w:tr w:rsidR="000E19D9" w:rsidRPr="005B734B" w14:paraId="1521841B" w14:textId="51F6C676" w:rsidTr="005B734B">
        <w:tc>
          <w:tcPr>
            <w:cnfStyle w:val="001000000000" w:firstRow="0" w:lastRow="0" w:firstColumn="1" w:lastColumn="0" w:oddVBand="0" w:evenVBand="0" w:oddHBand="0" w:evenHBand="0" w:firstRowFirstColumn="0" w:firstRowLastColumn="0" w:lastRowFirstColumn="0" w:lastRowLastColumn="0"/>
            <w:tcW w:w="4429" w:type="pct"/>
            <w:gridSpan w:val="7"/>
            <w:shd w:val="clear" w:color="auto" w:fill="D3FCFC" w:themeFill="text1" w:themeFillTint="1A"/>
          </w:tcPr>
          <w:p w14:paraId="13ACAC2B" w14:textId="74E45C59" w:rsidR="000E19D9" w:rsidRPr="005B734B" w:rsidRDefault="000E19D9" w:rsidP="00E20DBB">
            <w:pPr>
              <w:rPr>
                <w:rStyle w:val="Strong"/>
              </w:rPr>
            </w:pPr>
            <w:r w:rsidRPr="005B734B">
              <w:rPr>
                <w:rStyle w:val="Strong"/>
              </w:rPr>
              <w:t>Indigenous status</w:t>
            </w:r>
          </w:p>
        </w:tc>
        <w:tc>
          <w:tcPr>
            <w:tcW w:w="571" w:type="pct"/>
            <w:shd w:val="clear" w:color="auto" w:fill="D3FCFC" w:themeFill="text1" w:themeFillTint="1A"/>
          </w:tcPr>
          <w:p w14:paraId="0328700B" w14:textId="77777777" w:rsidR="000E19D9" w:rsidRPr="005B734B" w:rsidRDefault="000E19D9" w:rsidP="00E20DBB">
            <w:pPr>
              <w:cnfStyle w:val="000000000000" w:firstRow="0" w:lastRow="0" w:firstColumn="0" w:lastColumn="0" w:oddVBand="0" w:evenVBand="0" w:oddHBand="0" w:evenHBand="0" w:firstRowFirstColumn="0" w:firstRowLastColumn="0" w:lastRowFirstColumn="0" w:lastRowLastColumn="0"/>
              <w:rPr>
                <w:rStyle w:val="Strong"/>
              </w:rPr>
            </w:pPr>
          </w:p>
        </w:tc>
      </w:tr>
      <w:tr w:rsidR="005B734B" w:rsidRPr="005B734B" w14:paraId="4B877500" w14:textId="415EFAF0" w:rsidTr="005B734B">
        <w:tc>
          <w:tcPr>
            <w:cnfStyle w:val="001000000000" w:firstRow="0" w:lastRow="0" w:firstColumn="1" w:lastColumn="0" w:oddVBand="0" w:evenVBand="0" w:oddHBand="0" w:evenHBand="0" w:firstRowFirstColumn="0" w:firstRowLastColumn="0" w:lastRowFirstColumn="0" w:lastRowLastColumn="0"/>
            <w:tcW w:w="857" w:type="pct"/>
          </w:tcPr>
          <w:p w14:paraId="29A89CF7" w14:textId="267C55A4" w:rsidR="000E19D9" w:rsidRPr="005B734B" w:rsidRDefault="000E19D9" w:rsidP="00E20DBB">
            <w:pPr>
              <w:pStyle w:val="Tabletextleft"/>
            </w:pPr>
            <w:r w:rsidRPr="005B734B">
              <w:t>Infectious syphilis</w:t>
            </w:r>
          </w:p>
        </w:tc>
        <w:tc>
          <w:tcPr>
            <w:tcW w:w="572" w:type="pct"/>
            <w:tcBorders>
              <w:top w:val="single" w:sz="4" w:space="0" w:color="auto"/>
              <w:left w:val="nil"/>
              <w:bottom w:val="single" w:sz="4" w:space="0" w:color="auto"/>
              <w:right w:val="single" w:sz="4" w:space="0" w:color="auto"/>
            </w:tcBorders>
            <w:vAlign w:val="bottom"/>
          </w:tcPr>
          <w:p w14:paraId="449A841A" w14:textId="4E1A81F7"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96%</w:t>
            </w:r>
          </w:p>
        </w:tc>
        <w:tc>
          <w:tcPr>
            <w:tcW w:w="619" w:type="pct"/>
            <w:tcBorders>
              <w:top w:val="single" w:sz="4" w:space="0" w:color="auto"/>
              <w:left w:val="single" w:sz="4" w:space="0" w:color="auto"/>
              <w:bottom w:val="single" w:sz="4" w:space="0" w:color="auto"/>
              <w:right w:val="single" w:sz="4" w:space="0" w:color="auto"/>
            </w:tcBorders>
            <w:vAlign w:val="bottom"/>
          </w:tcPr>
          <w:p w14:paraId="76CAA126" w14:textId="69F8B9AB"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95%</w:t>
            </w:r>
          </w:p>
        </w:tc>
        <w:tc>
          <w:tcPr>
            <w:tcW w:w="667" w:type="pct"/>
            <w:tcBorders>
              <w:top w:val="single" w:sz="4" w:space="0" w:color="auto"/>
              <w:left w:val="single" w:sz="4" w:space="0" w:color="auto"/>
              <w:bottom w:val="single" w:sz="4" w:space="0" w:color="auto"/>
              <w:right w:val="single" w:sz="4" w:space="0" w:color="auto"/>
            </w:tcBorders>
            <w:vAlign w:val="bottom"/>
          </w:tcPr>
          <w:p w14:paraId="5695287D" w14:textId="05F7C644"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92%</w:t>
            </w:r>
          </w:p>
        </w:tc>
        <w:tc>
          <w:tcPr>
            <w:tcW w:w="571" w:type="pct"/>
            <w:tcBorders>
              <w:top w:val="single" w:sz="4" w:space="0" w:color="auto"/>
              <w:left w:val="single" w:sz="4" w:space="0" w:color="auto"/>
              <w:bottom w:val="single" w:sz="4" w:space="0" w:color="auto"/>
              <w:right w:val="single" w:sz="4" w:space="0" w:color="auto"/>
            </w:tcBorders>
            <w:vAlign w:val="bottom"/>
          </w:tcPr>
          <w:p w14:paraId="333F1CA7" w14:textId="0D7DDCD2"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94%</w:t>
            </w:r>
          </w:p>
        </w:tc>
        <w:tc>
          <w:tcPr>
            <w:tcW w:w="571" w:type="pct"/>
            <w:tcBorders>
              <w:top w:val="single" w:sz="4" w:space="0" w:color="auto"/>
              <w:left w:val="single" w:sz="4" w:space="0" w:color="auto"/>
              <w:bottom w:val="single" w:sz="4" w:space="0" w:color="auto"/>
              <w:right w:val="single" w:sz="4" w:space="0" w:color="auto"/>
            </w:tcBorders>
            <w:vAlign w:val="bottom"/>
          </w:tcPr>
          <w:p w14:paraId="173AF2F6" w14:textId="3B061262"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95%</w:t>
            </w:r>
          </w:p>
        </w:tc>
        <w:tc>
          <w:tcPr>
            <w:tcW w:w="572" w:type="pct"/>
            <w:tcBorders>
              <w:top w:val="single" w:sz="4" w:space="0" w:color="auto"/>
              <w:left w:val="single" w:sz="4" w:space="0" w:color="auto"/>
              <w:bottom w:val="single" w:sz="4" w:space="0" w:color="auto"/>
              <w:right w:val="single" w:sz="4" w:space="0" w:color="auto"/>
            </w:tcBorders>
            <w:vAlign w:val="bottom"/>
          </w:tcPr>
          <w:p w14:paraId="0C3CD4CC" w14:textId="332B4577"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94%</w:t>
            </w:r>
          </w:p>
        </w:tc>
        <w:tc>
          <w:tcPr>
            <w:tcW w:w="571" w:type="pct"/>
            <w:tcBorders>
              <w:top w:val="single" w:sz="4" w:space="0" w:color="auto"/>
              <w:left w:val="single" w:sz="4" w:space="0" w:color="auto"/>
              <w:bottom w:val="single" w:sz="4" w:space="0" w:color="auto"/>
              <w:right w:val="single" w:sz="4" w:space="0" w:color="auto"/>
            </w:tcBorders>
          </w:tcPr>
          <w:p w14:paraId="73CD91B8" w14:textId="7A2FED5F"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92%</w:t>
            </w:r>
          </w:p>
        </w:tc>
      </w:tr>
      <w:tr w:rsidR="005B734B" w:rsidRPr="005B734B" w14:paraId="15A61BD0" w14:textId="305C2A18" w:rsidTr="005B734B">
        <w:tc>
          <w:tcPr>
            <w:cnfStyle w:val="001000000000" w:firstRow="0" w:lastRow="0" w:firstColumn="1" w:lastColumn="0" w:oddVBand="0" w:evenVBand="0" w:oddHBand="0" w:evenHBand="0" w:firstRowFirstColumn="0" w:firstRowLastColumn="0" w:lastRowFirstColumn="0" w:lastRowLastColumn="0"/>
            <w:tcW w:w="857" w:type="pct"/>
            <w:tcBorders>
              <w:top w:val="single" w:sz="4" w:space="0" w:color="auto"/>
            </w:tcBorders>
          </w:tcPr>
          <w:p w14:paraId="59265B70" w14:textId="197E74C0" w:rsidR="000E19D9" w:rsidRPr="005B734B" w:rsidRDefault="000E19D9" w:rsidP="00E20DBB">
            <w:pPr>
              <w:pStyle w:val="Tabletextleft"/>
            </w:pPr>
            <w:r w:rsidRPr="005B734B">
              <w:t>Congenital syphilis</w:t>
            </w:r>
          </w:p>
        </w:tc>
        <w:tc>
          <w:tcPr>
            <w:tcW w:w="572" w:type="pct"/>
            <w:tcBorders>
              <w:top w:val="single" w:sz="4" w:space="0" w:color="auto"/>
              <w:left w:val="nil"/>
              <w:bottom w:val="single" w:sz="4" w:space="0" w:color="auto"/>
              <w:right w:val="single" w:sz="4" w:space="0" w:color="auto"/>
            </w:tcBorders>
            <w:vAlign w:val="bottom"/>
          </w:tcPr>
          <w:p w14:paraId="2F8EAB29" w14:textId="1879DFF5"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100%</w:t>
            </w:r>
          </w:p>
        </w:tc>
        <w:tc>
          <w:tcPr>
            <w:tcW w:w="619" w:type="pct"/>
            <w:tcBorders>
              <w:top w:val="single" w:sz="4" w:space="0" w:color="auto"/>
              <w:left w:val="single" w:sz="4" w:space="0" w:color="auto"/>
              <w:bottom w:val="single" w:sz="4" w:space="0" w:color="auto"/>
              <w:right w:val="single" w:sz="4" w:space="0" w:color="auto"/>
            </w:tcBorders>
            <w:vAlign w:val="bottom"/>
          </w:tcPr>
          <w:p w14:paraId="0F4904B6" w14:textId="16916CA9"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100%</w:t>
            </w:r>
          </w:p>
        </w:tc>
        <w:tc>
          <w:tcPr>
            <w:tcW w:w="667" w:type="pct"/>
            <w:tcBorders>
              <w:top w:val="single" w:sz="4" w:space="0" w:color="auto"/>
              <w:left w:val="single" w:sz="4" w:space="0" w:color="auto"/>
              <w:bottom w:val="single" w:sz="4" w:space="0" w:color="auto"/>
              <w:right w:val="single" w:sz="4" w:space="0" w:color="auto"/>
            </w:tcBorders>
            <w:vAlign w:val="bottom"/>
          </w:tcPr>
          <w:p w14:paraId="7F467229" w14:textId="64023AC7"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93%</w:t>
            </w:r>
          </w:p>
        </w:tc>
        <w:tc>
          <w:tcPr>
            <w:tcW w:w="571" w:type="pct"/>
            <w:tcBorders>
              <w:top w:val="single" w:sz="4" w:space="0" w:color="auto"/>
              <w:left w:val="single" w:sz="4" w:space="0" w:color="auto"/>
              <w:bottom w:val="single" w:sz="4" w:space="0" w:color="auto"/>
              <w:right w:val="single" w:sz="4" w:space="0" w:color="auto"/>
            </w:tcBorders>
            <w:vAlign w:val="bottom"/>
          </w:tcPr>
          <w:p w14:paraId="4C968A00" w14:textId="4495C4A7"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100%</w:t>
            </w:r>
          </w:p>
        </w:tc>
        <w:tc>
          <w:tcPr>
            <w:tcW w:w="571" w:type="pct"/>
            <w:tcBorders>
              <w:top w:val="single" w:sz="4" w:space="0" w:color="auto"/>
              <w:left w:val="single" w:sz="4" w:space="0" w:color="auto"/>
              <w:bottom w:val="single" w:sz="4" w:space="0" w:color="auto"/>
              <w:right w:val="single" w:sz="4" w:space="0" w:color="auto"/>
            </w:tcBorders>
            <w:vAlign w:val="bottom"/>
          </w:tcPr>
          <w:p w14:paraId="46390C9F" w14:textId="40A604C6"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90%</w:t>
            </w:r>
          </w:p>
        </w:tc>
        <w:tc>
          <w:tcPr>
            <w:tcW w:w="572" w:type="pct"/>
            <w:tcBorders>
              <w:top w:val="single" w:sz="4" w:space="0" w:color="auto"/>
              <w:left w:val="single" w:sz="4" w:space="0" w:color="auto"/>
              <w:bottom w:val="single" w:sz="4" w:space="0" w:color="auto"/>
              <w:right w:val="single" w:sz="4" w:space="0" w:color="auto"/>
            </w:tcBorders>
            <w:vAlign w:val="bottom"/>
          </w:tcPr>
          <w:p w14:paraId="17D8603A" w14:textId="3C11EC0F"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100%</w:t>
            </w:r>
          </w:p>
        </w:tc>
        <w:tc>
          <w:tcPr>
            <w:tcW w:w="571" w:type="pct"/>
            <w:tcBorders>
              <w:top w:val="single" w:sz="4" w:space="0" w:color="auto"/>
              <w:left w:val="single" w:sz="4" w:space="0" w:color="auto"/>
              <w:bottom w:val="single" w:sz="4" w:space="0" w:color="auto"/>
              <w:right w:val="single" w:sz="4" w:space="0" w:color="auto"/>
            </w:tcBorders>
          </w:tcPr>
          <w:p w14:paraId="5AC7A412" w14:textId="57D32CAC"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100%</w:t>
            </w:r>
          </w:p>
        </w:tc>
      </w:tr>
      <w:tr w:rsidR="00E20DBB" w:rsidRPr="005B734B" w14:paraId="6B027ADC" w14:textId="37EE4013" w:rsidTr="00E20DBB">
        <w:trPr>
          <w:trHeight w:val="346"/>
        </w:trPr>
        <w:tc>
          <w:tcPr>
            <w:cnfStyle w:val="001000000000" w:firstRow="0" w:lastRow="0" w:firstColumn="1" w:lastColumn="0" w:oddVBand="0" w:evenVBand="0" w:oddHBand="0" w:evenHBand="0" w:firstRowFirstColumn="0" w:firstRowLastColumn="0" w:lastRowFirstColumn="0" w:lastRowLastColumn="0"/>
            <w:tcW w:w="5000" w:type="pct"/>
            <w:gridSpan w:val="8"/>
          </w:tcPr>
          <w:p w14:paraId="4A1CE434" w14:textId="6842C47D" w:rsidR="00E20DBB" w:rsidRPr="00E20DBB" w:rsidRDefault="00E20DBB" w:rsidP="00E20DBB">
            <w:pPr>
              <w:pStyle w:val="Tabletextleft"/>
              <w:rPr>
                <w:rStyle w:val="Strong"/>
              </w:rPr>
            </w:pPr>
            <w:r w:rsidRPr="00E20DBB">
              <w:rPr>
                <w:rStyle w:val="Strong"/>
              </w:rPr>
              <w:t>Residential location (to map to reported geographies)</w:t>
            </w:r>
          </w:p>
        </w:tc>
      </w:tr>
      <w:tr w:rsidR="005B734B" w:rsidRPr="005B734B" w14:paraId="5168A09F" w14:textId="516B8DC9" w:rsidTr="005B734B">
        <w:tc>
          <w:tcPr>
            <w:cnfStyle w:val="001000000000" w:firstRow="0" w:lastRow="0" w:firstColumn="1" w:lastColumn="0" w:oddVBand="0" w:evenVBand="0" w:oddHBand="0" w:evenHBand="0" w:firstRowFirstColumn="0" w:firstRowLastColumn="0" w:lastRowFirstColumn="0" w:lastRowLastColumn="0"/>
            <w:tcW w:w="857" w:type="pct"/>
          </w:tcPr>
          <w:p w14:paraId="52A7E609" w14:textId="706DA68B" w:rsidR="000E19D9" w:rsidRPr="005B734B" w:rsidRDefault="000E19D9" w:rsidP="00E20DBB">
            <w:pPr>
              <w:pStyle w:val="Tabletextleft"/>
            </w:pPr>
            <w:r w:rsidRPr="005B734B">
              <w:t>Remoteness Area</w:t>
            </w:r>
          </w:p>
        </w:tc>
        <w:tc>
          <w:tcPr>
            <w:tcW w:w="572" w:type="pct"/>
            <w:tcBorders>
              <w:top w:val="single" w:sz="4" w:space="0" w:color="auto"/>
              <w:left w:val="nil"/>
              <w:bottom w:val="single" w:sz="4" w:space="0" w:color="auto"/>
              <w:right w:val="single" w:sz="4" w:space="0" w:color="auto"/>
            </w:tcBorders>
            <w:vAlign w:val="bottom"/>
          </w:tcPr>
          <w:p w14:paraId="0E30B7BF" w14:textId="345738A3"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98%</w:t>
            </w:r>
          </w:p>
        </w:tc>
        <w:tc>
          <w:tcPr>
            <w:tcW w:w="619" w:type="pct"/>
            <w:tcBorders>
              <w:top w:val="single" w:sz="4" w:space="0" w:color="auto"/>
              <w:left w:val="single" w:sz="4" w:space="0" w:color="auto"/>
              <w:bottom w:val="single" w:sz="4" w:space="0" w:color="auto"/>
              <w:right w:val="single" w:sz="4" w:space="0" w:color="auto"/>
            </w:tcBorders>
            <w:vAlign w:val="bottom"/>
          </w:tcPr>
          <w:p w14:paraId="7E05D102" w14:textId="112485BB"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97%</w:t>
            </w:r>
          </w:p>
        </w:tc>
        <w:tc>
          <w:tcPr>
            <w:tcW w:w="667" w:type="pct"/>
            <w:tcBorders>
              <w:top w:val="single" w:sz="4" w:space="0" w:color="auto"/>
              <w:left w:val="single" w:sz="4" w:space="0" w:color="auto"/>
              <w:bottom w:val="single" w:sz="4" w:space="0" w:color="auto"/>
              <w:right w:val="single" w:sz="4" w:space="0" w:color="auto"/>
            </w:tcBorders>
            <w:vAlign w:val="bottom"/>
          </w:tcPr>
          <w:p w14:paraId="40302387" w14:textId="412B1978"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97%</w:t>
            </w:r>
          </w:p>
        </w:tc>
        <w:tc>
          <w:tcPr>
            <w:tcW w:w="571" w:type="pct"/>
            <w:tcBorders>
              <w:top w:val="single" w:sz="4" w:space="0" w:color="auto"/>
              <w:left w:val="single" w:sz="4" w:space="0" w:color="auto"/>
              <w:bottom w:val="single" w:sz="4" w:space="0" w:color="auto"/>
              <w:right w:val="single" w:sz="4" w:space="0" w:color="auto"/>
            </w:tcBorders>
            <w:vAlign w:val="bottom"/>
          </w:tcPr>
          <w:p w14:paraId="11CFB7CE" w14:textId="2D7CF5D3"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97%</w:t>
            </w:r>
          </w:p>
        </w:tc>
        <w:tc>
          <w:tcPr>
            <w:tcW w:w="571" w:type="pct"/>
            <w:tcBorders>
              <w:top w:val="single" w:sz="4" w:space="0" w:color="auto"/>
              <w:left w:val="single" w:sz="4" w:space="0" w:color="auto"/>
              <w:bottom w:val="single" w:sz="4" w:space="0" w:color="auto"/>
              <w:right w:val="single" w:sz="4" w:space="0" w:color="auto"/>
            </w:tcBorders>
            <w:vAlign w:val="bottom"/>
          </w:tcPr>
          <w:p w14:paraId="68CB116E" w14:textId="2DEF6257"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98%</w:t>
            </w:r>
          </w:p>
        </w:tc>
        <w:tc>
          <w:tcPr>
            <w:tcW w:w="572" w:type="pct"/>
            <w:tcBorders>
              <w:top w:val="single" w:sz="4" w:space="0" w:color="auto"/>
              <w:left w:val="single" w:sz="4" w:space="0" w:color="auto"/>
              <w:bottom w:val="single" w:sz="4" w:space="0" w:color="auto"/>
              <w:right w:val="single" w:sz="4" w:space="0" w:color="auto"/>
            </w:tcBorders>
            <w:vAlign w:val="bottom"/>
          </w:tcPr>
          <w:p w14:paraId="7BFE799D" w14:textId="539C7068"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97%</w:t>
            </w:r>
          </w:p>
        </w:tc>
        <w:tc>
          <w:tcPr>
            <w:tcW w:w="571" w:type="pct"/>
            <w:tcBorders>
              <w:top w:val="single" w:sz="4" w:space="0" w:color="auto"/>
              <w:left w:val="single" w:sz="4" w:space="0" w:color="auto"/>
              <w:bottom w:val="single" w:sz="4" w:space="0" w:color="auto"/>
              <w:right w:val="single" w:sz="4" w:space="0" w:color="auto"/>
            </w:tcBorders>
          </w:tcPr>
          <w:p w14:paraId="262B2B44" w14:textId="3292750E" w:rsidR="000E19D9" w:rsidRPr="00E20DBB" w:rsidRDefault="00356833"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98%</w:t>
            </w:r>
          </w:p>
        </w:tc>
      </w:tr>
      <w:tr w:rsidR="005B734B" w:rsidRPr="005B734B" w14:paraId="30D13F87" w14:textId="6127A1F9" w:rsidTr="005B734B">
        <w:tc>
          <w:tcPr>
            <w:cnfStyle w:val="001000000000" w:firstRow="0" w:lastRow="0" w:firstColumn="1" w:lastColumn="0" w:oddVBand="0" w:evenVBand="0" w:oddHBand="0" w:evenHBand="0" w:firstRowFirstColumn="0" w:firstRowLastColumn="0" w:lastRowFirstColumn="0" w:lastRowLastColumn="0"/>
            <w:tcW w:w="857" w:type="pct"/>
            <w:tcBorders>
              <w:top w:val="single" w:sz="4" w:space="0" w:color="auto"/>
            </w:tcBorders>
          </w:tcPr>
          <w:p w14:paraId="3C57A319" w14:textId="67E7C197" w:rsidR="00356833" w:rsidRPr="005B734B" w:rsidRDefault="00356833" w:rsidP="00E20DBB">
            <w:pPr>
              <w:pStyle w:val="Tabletextleft"/>
            </w:pPr>
            <w:r w:rsidRPr="005B734B">
              <w:t>Statistical Area 3</w:t>
            </w:r>
          </w:p>
        </w:tc>
        <w:tc>
          <w:tcPr>
            <w:tcW w:w="572" w:type="pct"/>
            <w:tcBorders>
              <w:top w:val="single" w:sz="4" w:space="0" w:color="auto"/>
            </w:tcBorders>
            <w:shd w:val="clear" w:color="auto" w:fill="000000"/>
          </w:tcPr>
          <w:p w14:paraId="0918D180" w14:textId="77777777" w:rsidR="00356833" w:rsidRPr="005B734B" w:rsidRDefault="00356833" w:rsidP="00E20DBB">
            <w:pPr>
              <w:cnfStyle w:val="000000000000" w:firstRow="0" w:lastRow="0" w:firstColumn="0" w:lastColumn="0" w:oddVBand="0" w:evenVBand="0" w:oddHBand="0" w:evenHBand="0" w:firstRowFirstColumn="0" w:firstRowLastColumn="0" w:lastRowFirstColumn="0" w:lastRowLastColumn="0"/>
            </w:pPr>
          </w:p>
        </w:tc>
        <w:tc>
          <w:tcPr>
            <w:tcW w:w="619" w:type="pct"/>
            <w:tcBorders>
              <w:top w:val="single" w:sz="4" w:space="0" w:color="auto"/>
            </w:tcBorders>
            <w:shd w:val="clear" w:color="auto" w:fill="000000"/>
          </w:tcPr>
          <w:p w14:paraId="1829BFB1" w14:textId="77777777" w:rsidR="00356833" w:rsidRPr="005B734B" w:rsidRDefault="00356833" w:rsidP="00E20DBB">
            <w:pPr>
              <w:cnfStyle w:val="000000000000" w:firstRow="0" w:lastRow="0" w:firstColumn="0" w:lastColumn="0" w:oddVBand="0" w:evenVBand="0" w:oddHBand="0" w:evenHBand="0" w:firstRowFirstColumn="0" w:firstRowLastColumn="0" w:lastRowFirstColumn="0" w:lastRowLastColumn="0"/>
            </w:pPr>
          </w:p>
        </w:tc>
        <w:tc>
          <w:tcPr>
            <w:tcW w:w="667" w:type="pct"/>
            <w:tcBorders>
              <w:top w:val="single" w:sz="4" w:space="0" w:color="auto"/>
            </w:tcBorders>
            <w:shd w:val="clear" w:color="auto" w:fill="000000"/>
          </w:tcPr>
          <w:p w14:paraId="14ABB8E1" w14:textId="77777777" w:rsidR="00356833" w:rsidRPr="005B734B" w:rsidRDefault="00356833" w:rsidP="00E20DBB">
            <w:pPr>
              <w:cnfStyle w:val="000000000000" w:firstRow="0" w:lastRow="0" w:firstColumn="0" w:lastColumn="0" w:oddVBand="0" w:evenVBand="0" w:oddHBand="0" w:evenHBand="0" w:firstRowFirstColumn="0" w:firstRowLastColumn="0" w:lastRowFirstColumn="0" w:lastRowLastColumn="0"/>
            </w:pPr>
          </w:p>
        </w:tc>
        <w:tc>
          <w:tcPr>
            <w:tcW w:w="571" w:type="pct"/>
            <w:tcBorders>
              <w:top w:val="single" w:sz="4" w:space="0" w:color="auto"/>
            </w:tcBorders>
            <w:shd w:val="clear" w:color="auto" w:fill="000000"/>
          </w:tcPr>
          <w:p w14:paraId="1AE03F78" w14:textId="77777777" w:rsidR="00356833" w:rsidRPr="005B734B" w:rsidRDefault="00356833" w:rsidP="00E20DBB">
            <w:pPr>
              <w:cnfStyle w:val="000000000000" w:firstRow="0" w:lastRow="0" w:firstColumn="0" w:lastColumn="0" w:oddVBand="0" w:evenVBand="0" w:oddHBand="0" w:evenHBand="0" w:firstRowFirstColumn="0" w:firstRowLastColumn="0" w:lastRowFirstColumn="0" w:lastRowLastColumn="0"/>
            </w:pPr>
          </w:p>
        </w:tc>
        <w:tc>
          <w:tcPr>
            <w:tcW w:w="1714" w:type="pct"/>
            <w:gridSpan w:val="3"/>
            <w:tcBorders>
              <w:top w:val="single" w:sz="4" w:space="0" w:color="auto"/>
            </w:tcBorders>
          </w:tcPr>
          <w:p w14:paraId="487DB83B" w14:textId="682CF3D8" w:rsidR="00356833" w:rsidRPr="00E20DBB" w:rsidRDefault="00356833"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98% (Q3 2024 – Q2 2025)</w:t>
            </w:r>
          </w:p>
        </w:tc>
      </w:tr>
      <w:tr w:rsidR="005B734B" w:rsidRPr="005B734B" w14:paraId="1E4227DE" w14:textId="1A11830E" w:rsidTr="005B734B">
        <w:tc>
          <w:tcPr>
            <w:cnfStyle w:val="001000000000" w:firstRow="0" w:lastRow="0" w:firstColumn="1" w:lastColumn="0" w:oddVBand="0" w:evenVBand="0" w:oddHBand="0" w:evenHBand="0" w:firstRowFirstColumn="0" w:firstRowLastColumn="0" w:lastRowFirstColumn="0" w:lastRowLastColumn="0"/>
            <w:tcW w:w="857" w:type="pct"/>
          </w:tcPr>
          <w:p w14:paraId="6E7D48A6" w14:textId="58E90B77" w:rsidR="00356833" w:rsidRPr="005B734B" w:rsidRDefault="00356833" w:rsidP="00E20DBB">
            <w:pPr>
              <w:pStyle w:val="Tabletextleft"/>
            </w:pPr>
            <w:r w:rsidRPr="005B734B">
              <w:t>Indigenous Areas</w:t>
            </w:r>
          </w:p>
        </w:tc>
        <w:tc>
          <w:tcPr>
            <w:tcW w:w="572" w:type="pct"/>
            <w:shd w:val="clear" w:color="auto" w:fill="000000"/>
          </w:tcPr>
          <w:p w14:paraId="5758FF4A" w14:textId="77777777" w:rsidR="00356833" w:rsidRPr="005B734B" w:rsidRDefault="00356833" w:rsidP="00E20DBB">
            <w:pPr>
              <w:cnfStyle w:val="000000000000" w:firstRow="0" w:lastRow="0" w:firstColumn="0" w:lastColumn="0" w:oddVBand="0" w:evenVBand="0" w:oddHBand="0" w:evenHBand="0" w:firstRowFirstColumn="0" w:firstRowLastColumn="0" w:lastRowFirstColumn="0" w:lastRowLastColumn="0"/>
            </w:pPr>
          </w:p>
        </w:tc>
        <w:tc>
          <w:tcPr>
            <w:tcW w:w="619" w:type="pct"/>
            <w:shd w:val="clear" w:color="auto" w:fill="000000"/>
          </w:tcPr>
          <w:p w14:paraId="0C46A4CF" w14:textId="77777777" w:rsidR="00356833" w:rsidRPr="005B734B" w:rsidRDefault="00356833" w:rsidP="00E20DBB">
            <w:pPr>
              <w:cnfStyle w:val="000000000000" w:firstRow="0" w:lastRow="0" w:firstColumn="0" w:lastColumn="0" w:oddVBand="0" w:evenVBand="0" w:oddHBand="0" w:evenHBand="0" w:firstRowFirstColumn="0" w:firstRowLastColumn="0" w:lastRowFirstColumn="0" w:lastRowLastColumn="0"/>
            </w:pPr>
          </w:p>
        </w:tc>
        <w:tc>
          <w:tcPr>
            <w:tcW w:w="667" w:type="pct"/>
            <w:shd w:val="clear" w:color="auto" w:fill="000000"/>
          </w:tcPr>
          <w:p w14:paraId="0D2D5465" w14:textId="77777777" w:rsidR="00356833" w:rsidRPr="005B734B" w:rsidRDefault="00356833" w:rsidP="00E20DBB">
            <w:pPr>
              <w:cnfStyle w:val="000000000000" w:firstRow="0" w:lastRow="0" w:firstColumn="0" w:lastColumn="0" w:oddVBand="0" w:evenVBand="0" w:oddHBand="0" w:evenHBand="0" w:firstRowFirstColumn="0" w:firstRowLastColumn="0" w:lastRowFirstColumn="0" w:lastRowLastColumn="0"/>
            </w:pPr>
          </w:p>
        </w:tc>
        <w:tc>
          <w:tcPr>
            <w:tcW w:w="571" w:type="pct"/>
            <w:shd w:val="clear" w:color="auto" w:fill="000000"/>
          </w:tcPr>
          <w:p w14:paraId="1F0B6D34" w14:textId="77777777" w:rsidR="00356833" w:rsidRPr="005B734B" w:rsidRDefault="00356833" w:rsidP="00E20DBB">
            <w:pPr>
              <w:cnfStyle w:val="000000000000" w:firstRow="0" w:lastRow="0" w:firstColumn="0" w:lastColumn="0" w:oddVBand="0" w:evenVBand="0" w:oddHBand="0" w:evenHBand="0" w:firstRowFirstColumn="0" w:firstRowLastColumn="0" w:lastRowFirstColumn="0" w:lastRowLastColumn="0"/>
            </w:pPr>
          </w:p>
        </w:tc>
        <w:tc>
          <w:tcPr>
            <w:tcW w:w="1714" w:type="pct"/>
            <w:gridSpan w:val="3"/>
          </w:tcPr>
          <w:p w14:paraId="2CDD7ED6" w14:textId="41776142" w:rsidR="00356833" w:rsidRPr="00E20DBB" w:rsidRDefault="00356833"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99% (Q3 2024 – Q2 2025; Aboriginal and Torres Strait Islander people</w:t>
            </w:r>
            <w:r w:rsidR="00490729" w:rsidRPr="00E20DBB">
              <w:t>s</w:t>
            </w:r>
            <w:r w:rsidRPr="00E20DBB">
              <w:t xml:space="preserve"> only)</w:t>
            </w:r>
          </w:p>
        </w:tc>
      </w:tr>
      <w:tr w:rsidR="000E19D9" w:rsidRPr="005B734B" w14:paraId="54168164" w14:textId="4857ADE9" w:rsidTr="005B734B">
        <w:tc>
          <w:tcPr>
            <w:cnfStyle w:val="001000000000" w:firstRow="0" w:lastRow="0" w:firstColumn="1" w:lastColumn="0" w:oddVBand="0" w:evenVBand="0" w:oddHBand="0" w:evenHBand="0" w:firstRowFirstColumn="0" w:firstRowLastColumn="0" w:lastRowFirstColumn="0" w:lastRowLastColumn="0"/>
            <w:tcW w:w="4429" w:type="pct"/>
            <w:gridSpan w:val="7"/>
            <w:shd w:val="clear" w:color="auto" w:fill="D3FCFC" w:themeFill="text1" w:themeFillTint="1A"/>
          </w:tcPr>
          <w:p w14:paraId="2A87E4CC" w14:textId="5E422818" w:rsidR="000E19D9" w:rsidRPr="005B734B" w:rsidRDefault="000E19D9" w:rsidP="00E20DBB">
            <w:pPr>
              <w:rPr>
                <w:rStyle w:val="Strong"/>
              </w:rPr>
            </w:pPr>
            <w:r w:rsidRPr="005B734B">
              <w:rPr>
                <w:rStyle w:val="Strong"/>
              </w:rPr>
              <w:t>Enhanced infectious syphilis</w:t>
            </w:r>
          </w:p>
        </w:tc>
        <w:tc>
          <w:tcPr>
            <w:tcW w:w="571" w:type="pct"/>
            <w:shd w:val="clear" w:color="auto" w:fill="D3FCFC" w:themeFill="text1" w:themeFillTint="1A"/>
          </w:tcPr>
          <w:p w14:paraId="66B79923" w14:textId="77777777" w:rsidR="000E19D9" w:rsidRPr="005B734B" w:rsidRDefault="000E19D9" w:rsidP="00E20DBB">
            <w:pPr>
              <w:cnfStyle w:val="000000000000" w:firstRow="0" w:lastRow="0" w:firstColumn="0" w:lastColumn="0" w:oddVBand="0" w:evenVBand="0" w:oddHBand="0" w:evenHBand="0" w:firstRowFirstColumn="0" w:firstRowLastColumn="0" w:lastRowFirstColumn="0" w:lastRowLastColumn="0"/>
              <w:rPr>
                <w:rStyle w:val="Strong"/>
              </w:rPr>
            </w:pPr>
          </w:p>
        </w:tc>
      </w:tr>
      <w:tr w:rsidR="005B734B" w:rsidRPr="005B734B" w14:paraId="5608F3BF" w14:textId="2C7AB739" w:rsidTr="005B734B">
        <w:tc>
          <w:tcPr>
            <w:cnfStyle w:val="001000000000" w:firstRow="0" w:lastRow="0" w:firstColumn="1" w:lastColumn="0" w:oddVBand="0" w:evenVBand="0" w:oddHBand="0" w:evenHBand="0" w:firstRowFirstColumn="0" w:firstRowLastColumn="0" w:lastRowFirstColumn="0" w:lastRowLastColumn="0"/>
            <w:tcW w:w="857" w:type="pct"/>
          </w:tcPr>
          <w:p w14:paraId="6761F80B" w14:textId="7BD99491" w:rsidR="000E19D9" w:rsidRPr="005B734B" w:rsidRDefault="000E19D9" w:rsidP="00E20DBB">
            <w:pPr>
              <w:pStyle w:val="Tabletextleft"/>
            </w:pPr>
            <w:r w:rsidRPr="005B734B">
              <w:t>Pregnancy status</w:t>
            </w:r>
          </w:p>
        </w:tc>
        <w:tc>
          <w:tcPr>
            <w:tcW w:w="572" w:type="pct"/>
            <w:tcBorders>
              <w:bottom w:val="single" w:sz="4" w:space="0" w:color="auto"/>
            </w:tcBorders>
          </w:tcPr>
          <w:p w14:paraId="3475B2CF" w14:textId="50B82B13" w:rsidR="000E19D9" w:rsidRPr="00E20DBB" w:rsidRDefault="0019475A"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62</w:t>
            </w:r>
            <w:r w:rsidR="000E19D9" w:rsidRPr="00E20DBB">
              <w:t>% (6 jurisdictions</w:t>
            </w:r>
            <w:r w:rsidR="005B734B" w:rsidRPr="00E20DBB">
              <w:t>)</w:t>
            </w:r>
          </w:p>
        </w:tc>
        <w:tc>
          <w:tcPr>
            <w:tcW w:w="619" w:type="pct"/>
            <w:tcBorders>
              <w:bottom w:val="single" w:sz="4" w:space="0" w:color="auto"/>
            </w:tcBorders>
          </w:tcPr>
          <w:p w14:paraId="22598FDC" w14:textId="298F05B6"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7</w:t>
            </w:r>
            <w:r w:rsidR="0019475A" w:rsidRPr="00E20DBB">
              <w:t>3</w:t>
            </w:r>
            <w:r w:rsidRPr="00E20DBB">
              <w:t>% (7 jurisdictions)</w:t>
            </w:r>
          </w:p>
        </w:tc>
        <w:tc>
          <w:tcPr>
            <w:tcW w:w="667" w:type="pct"/>
            <w:tcBorders>
              <w:bottom w:val="single" w:sz="4" w:space="0" w:color="auto"/>
            </w:tcBorders>
          </w:tcPr>
          <w:p w14:paraId="60F0AA89" w14:textId="6EDADF92"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7</w:t>
            </w:r>
            <w:r w:rsidR="0019475A" w:rsidRPr="00E20DBB">
              <w:t>2</w:t>
            </w:r>
            <w:r w:rsidRPr="00E20DBB">
              <w:t>% (7 jurisdictions)</w:t>
            </w:r>
          </w:p>
        </w:tc>
        <w:tc>
          <w:tcPr>
            <w:tcW w:w="571" w:type="pct"/>
            <w:tcBorders>
              <w:bottom w:val="single" w:sz="4" w:space="0" w:color="auto"/>
            </w:tcBorders>
          </w:tcPr>
          <w:p w14:paraId="0BCB2BC7" w14:textId="5DBFD6AE"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80% (7 jurisdictions)</w:t>
            </w:r>
          </w:p>
        </w:tc>
        <w:tc>
          <w:tcPr>
            <w:tcW w:w="571" w:type="pct"/>
            <w:tcBorders>
              <w:bottom w:val="single" w:sz="4" w:space="0" w:color="auto"/>
            </w:tcBorders>
          </w:tcPr>
          <w:p w14:paraId="0C5B3B40" w14:textId="239BA7C1" w:rsidR="000E19D9" w:rsidRPr="00E20DBB" w:rsidRDefault="0019475A"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58</w:t>
            </w:r>
            <w:r w:rsidR="000E19D9" w:rsidRPr="00E20DBB">
              <w:t>% (8 jurisdictions)</w:t>
            </w:r>
          </w:p>
        </w:tc>
        <w:tc>
          <w:tcPr>
            <w:tcW w:w="572" w:type="pct"/>
            <w:tcBorders>
              <w:bottom w:val="single" w:sz="4" w:space="0" w:color="auto"/>
            </w:tcBorders>
          </w:tcPr>
          <w:p w14:paraId="22FCC471" w14:textId="23EF3FE5" w:rsidR="000E19D9" w:rsidRPr="00E20DBB" w:rsidRDefault="0019475A"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72</w:t>
            </w:r>
            <w:r w:rsidR="000E19D9" w:rsidRPr="00E20DBB">
              <w:t>%</w:t>
            </w:r>
            <w:r w:rsidR="00E20DBB" w:rsidRPr="00E20DBB">
              <w:t xml:space="preserve"> </w:t>
            </w:r>
            <w:r w:rsidR="000E19D9" w:rsidRPr="00E20DBB">
              <w:t>(7 jurisdictions)</w:t>
            </w:r>
          </w:p>
        </w:tc>
        <w:tc>
          <w:tcPr>
            <w:tcW w:w="571" w:type="pct"/>
            <w:tcBorders>
              <w:bottom w:val="single" w:sz="4" w:space="0" w:color="auto"/>
            </w:tcBorders>
          </w:tcPr>
          <w:p w14:paraId="7AD3C192" w14:textId="2C72F1EF" w:rsidR="000E19D9" w:rsidRPr="00E20DBB" w:rsidRDefault="0019475A"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70% (7 jurisdictions)</w:t>
            </w:r>
          </w:p>
        </w:tc>
      </w:tr>
      <w:tr w:rsidR="005B734B" w:rsidRPr="005B734B" w14:paraId="451735C9" w14:textId="28B60343" w:rsidTr="005B734B">
        <w:tc>
          <w:tcPr>
            <w:cnfStyle w:val="001000000000" w:firstRow="0" w:lastRow="0" w:firstColumn="1" w:lastColumn="0" w:oddVBand="0" w:evenVBand="0" w:oddHBand="0" w:evenHBand="0" w:firstRowFirstColumn="0" w:firstRowLastColumn="0" w:lastRowFirstColumn="0" w:lastRowLastColumn="0"/>
            <w:tcW w:w="857" w:type="pct"/>
          </w:tcPr>
          <w:p w14:paraId="0A10AC7C" w14:textId="2480B0B6" w:rsidR="000E19D9" w:rsidRPr="005B734B" w:rsidRDefault="000E19D9" w:rsidP="00E20DBB">
            <w:pPr>
              <w:pStyle w:val="Tabletextleft"/>
            </w:pPr>
            <w:r w:rsidRPr="005B734B">
              <w:t>Sexual exposure (males)</w:t>
            </w:r>
          </w:p>
        </w:tc>
        <w:tc>
          <w:tcPr>
            <w:tcW w:w="572" w:type="pct"/>
            <w:tcBorders>
              <w:top w:val="single" w:sz="4" w:space="0" w:color="auto"/>
              <w:left w:val="nil"/>
              <w:bottom w:val="single" w:sz="4" w:space="0" w:color="auto"/>
              <w:right w:val="single" w:sz="4" w:space="0" w:color="auto"/>
            </w:tcBorders>
            <w:vAlign w:val="bottom"/>
          </w:tcPr>
          <w:p w14:paraId="3CB5BE01" w14:textId="6871B96E"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70%</w:t>
            </w:r>
          </w:p>
        </w:tc>
        <w:tc>
          <w:tcPr>
            <w:tcW w:w="619" w:type="pct"/>
            <w:tcBorders>
              <w:top w:val="single" w:sz="4" w:space="0" w:color="auto"/>
              <w:left w:val="single" w:sz="4" w:space="0" w:color="auto"/>
              <w:bottom w:val="single" w:sz="4" w:space="0" w:color="auto"/>
              <w:right w:val="single" w:sz="4" w:space="0" w:color="auto"/>
            </w:tcBorders>
            <w:vAlign w:val="bottom"/>
          </w:tcPr>
          <w:p w14:paraId="2347059B" w14:textId="6DE39955"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76%</w:t>
            </w:r>
          </w:p>
        </w:tc>
        <w:tc>
          <w:tcPr>
            <w:tcW w:w="667" w:type="pct"/>
            <w:tcBorders>
              <w:top w:val="single" w:sz="4" w:space="0" w:color="auto"/>
              <w:left w:val="single" w:sz="4" w:space="0" w:color="auto"/>
              <w:bottom w:val="single" w:sz="4" w:space="0" w:color="auto"/>
              <w:right w:val="single" w:sz="4" w:space="0" w:color="auto"/>
            </w:tcBorders>
            <w:vAlign w:val="bottom"/>
          </w:tcPr>
          <w:p w14:paraId="76AECB98" w14:textId="54CE27EB"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6</w:t>
            </w:r>
            <w:r w:rsidR="0019475A" w:rsidRPr="00E20DBB">
              <w:t>5</w:t>
            </w:r>
            <w:r w:rsidRPr="00E20DBB">
              <w:t>%</w:t>
            </w:r>
          </w:p>
        </w:tc>
        <w:tc>
          <w:tcPr>
            <w:tcW w:w="571" w:type="pct"/>
            <w:tcBorders>
              <w:top w:val="single" w:sz="4" w:space="0" w:color="auto"/>
              <w:left w:val="single" w:sz="4" w:space="0" w:color="auto"/>
              <w:bottom w:val="single" w:sz="4" w:space="0" w:color="auto"/>
              <w:right w:val="single" w:sz="4" w:space="0" w:color="auto"/>
            </w:tcBorders>
            <w:vAlign w:val="bottom"/>
          </w:tcPr>
          <w:p w14:paraId="2AC58094" w14:textId="7F42DA96"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6</w:t>
            </w:r>
            <w:r w:rsidR="0019475A" w:rsidRPr="00E20DBB">
              <w:t>8</w:t>
            </w:r>
            <w:r w:rsidRPr="00E20DBB">
              <w:t>%</w:t>
            </w:r>
          </w:p>
        </w:tc>
        <w:tc>
          <w:tcPr>
            <w:tcW w:w="571" w:type="pct"/>
            <w:tcBorders>
              <w:top w:val="single" w:sz="4" w:space="0" w:color="auto"/>
              <w:left w:val="single" w:sz="4" w:space="0" w:color="auto"/>
              <w:bottom w:val="single" w:sz="4" w:space="0" w:color="auto"/>
              <w:right w:val="single" w:sz="4" w:space="0" w:color="auto"/>
            </w:tcBorders>
            <w:vAlign w:val="bottom"/>
          </w:tcPr>
          <w:p w14:paraId="75E27911" w14:textId="30A4A3D6" w:rsidR="000E19D9" w:rsidRPr="00E20DBB" w:rsidRDefault="0019475A"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70</w:t>
            </w:r>
            <w:r w:rsidR="000E19D9" w:rsidRPr="00E20DBB">
              <w:t>%</w:t>
            </w:r>
          </w:p>
        </w:tc>
        <w:tc>
          <w:tcPr>
            <w:tcW w:w="572" w:type="pct"/>
            <w:tcBorders>
              <w:top w:val="single" w:sz="4" w:space="0" w:color="auto"/>
              <w:left w:val="single" w:sz="4" w:space="0" w:color="auto"/>
              <w:bottom w:val="single" w:sz="4" w:space="0" w:color="auto"/>
              <w:right w:val="single" w:sz="4" w:space="0" w:color="auto"/>
            </w:tcBorders>
            <w:vAlign w:val="bottom"/>
          </w:tcPr>
          <w:p w14:paraId="0C4B7013" w14:textId="0C000BB4" w:rsidR="000E19D9" w:rsidRPr="00E20DBB" w:rsidRDefault="0019475A"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79</w:t>
            </w:r>
            <w:r w:rsidR="000E19D9" w:rsidRPr="00E20DBB">
              <w:t>%</w:t>
            </w:r>
          </w:p>
        </w:tc>
        <w:tc>
          <w:tcPr>
            <w:tcW w:w="571" w:type="pct"/>
            <w:tcBorders>
              <w:top w:val="single" w:sz="4" w:space="0" w:color="auto"/>
              <w:left w:val="single" w:sz="4" w:space="0" w:color="auto"/>
              <w:bottom w:val="single" w:sz="4" w:space="0" w:color="auto"/>
              <w:right w:val="single" w:sz="4" w:space="0" w:color="auto"/>
            </w:tcBorders>
          </w:tcPr>
          <w:p w14:paraId="69A7F9AE" w14:textId="40BF0286" w:rsidR="000E19D9" w:rsidRPr="00E20DBB" w:rsidRDefault="0019475A"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77%</w:t>
            </w:r>
          </w:p>
        </w:tc>
      </w:tr>
      <w:tr w:rsidR="000E19D9" w:rsidRPr="005B734B" w14:paraId="64C19122" w14:textId="6C2267F8" w:rsidTr="005B734B">
        <w:tc>
          <w:tcPr>
            <w:cnfStyle w:val="001000000000" w:firstRow="0" w:lastRow="0" w:firstColumn="1" w:lastColumn="0" w:oddVBand="0" w:evenVBand="0" w:oddHBand="0" w:evenHBand="0" w:firstRowFirstColumn="0" w:firstRowLastColumn="0" w:lastRowFirstColumn="0" w:lastRowLastColumn="0"/>
            <w:tcW w:w="4429" w:type="pct"/>
            <w:gridSpan w:val="7"/>
            <w:shd w:val="clear" w:color="auto" w:fill="D3FCFC" w:themeFill="text1" w:themeFillTint="1A"/>
          </w:tcPr>
          <w:p w14:paraId="788A17D7" w14:textId="7B0086D9" w:rsidR="000E19D9" w:rsidRPr="005B734B" w:rsidRDefault="000E19D9" w:rsidP="00E20DBB">
            <w:pPr>
              <w:rPr>
                <w:rStyle w:val="Strong"/>
              </w:rPr>
            </w:pPr>
            <w:r w:rsidRPr="005B734B">
              <w:rPr>
                <w:rStyle w:val="Strong"/>
              </w:rPr>
              <w:t>Enhanced congenital syphilis</w:t>
            </w:r>
          </w:p>
        </w:tc>
        <w:tc>
          <w:tcPr>
            <w:tcW w:w="571" w:type="pct"/>
            <w:shd w:val="clear" w:color="auto" w:fill="D3FCFC" w:themeFill="text1" w:themeFillTint="1A"/>
          </w:tcPr>
          <w:p w14:paraId="7EFB742D" w14:textId="77777777" w:rsidR="000E19D9" w:rsidRPr="005B734B" w:rsidRDefault="000E19D9" w:rsidP="00E20DBB">
            <w:pPr>
              <w:cnfStyle w:val="000000000000" w:firstRow="0" w:lastRow="0" w:firstColumn="0" w:lastColumn="0" w:oddVBand="0" w:evenVBand="0" w:oddHBand="0" w:evenHBand="0" w:firstRowFirstColumn="0" w:firstRowLastColumn="0" w:lastRowFirstColumn="0" w:lastRowLastColumn="0"/>
              <w:rPr>
                <w:rStyle w:val="Strong"/>
              </w:rPr>
            </w:pPr>
          </w:p>
        </w:tc>
      </w:tr>
      <w:tr w:rsidR="005B734B" w:rsidRPr="005B734B" w14:paraId="3442F6F0" w14:textId="0FA4CF85" w:rsidTr="00E20DBB">
        <w:tc>
          <w:tcPr>
            <w:cnfStyle w:val="001000000000" w:firstRow="0" w:lastRow="0" w:firstColumn="1" w:lastColumn="0" w:oddVBand="0" w:evenVBand="0" w:oddHBand="0" w:evenHBand="0" w:firstRowFirstColumn="0" w:firstRowLastColumn="0" w:lastRowFirstColumn="0" w:lastRowLastColumn="0"/>
            <w:tcW w:w="857" w:type="pct"/>
          </w:tcPr>
          <w:p w14:paraId="044F9CF8" w14:textId="4CA570E9" w:rsidR="000E19D9" w:rsidRPr="005B734B" w:rsidRDefault="000E19D9" w:rsidP="00E20DBB">
            <w:pPr>
              <w:pStyle w:val="Tabletextleft"/>
            </w:pPr>
            <w:r w:rsidRPr="005B734B">
              <w:t xml:space="preserve">Stage of pregnancy </w:t>
            </w:r>
          </w:p>
        </w:tc>
        <w:tc>
          <w:tcPr>
            <w:tcW w:w="572" w:type="pct"/>
            <w:tcBorders>
              <w:top w:val="single" w:sz="4" w:space="0" w:color="auto"/>
              <w:left w:val="nil"/>
              <w:bottom w:val="single" w:sz="4" w:space="0" w:color="auto"/>
              <w:right w:val="single" w:sz="4" w:space="0" w:color="auto"/>
            </w:tcBorders>
            <w:vAlign w:val="bottom"/>
          </w:tcPr>
          <w:p w14:paraId="7D457A48" w14:textId="2D4A17A6"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100%</w:t>
            </w:r>
          </w:p>
        </w:tc>
        <w:tc>
          <w:tcPr>
            <w:tcW w:w="619" w:type="pct"/>
            <w:tcBorders>
              <w:top w:val="single" w:sz="4" w:space="0" w:color="auto"/>
              <w:left w:val="single" w:sz="4" w:space="0" w:color="auto"/>
              <w:bottom w:val="single" w:sz="4" w:space="0" w:color="auto"/>
              <w:right w:val="single" w:sz="4" w:space="0" w:color="auto"/>
            </w:tcBorders>
            <w:vAlign w:val="bottom"/>
          </w:tcPr>
          <w:p w14:paraId="6D711217" w14:textId="0E79F6F3"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100%</w:t>
            </w:r>
          </w:p>
        </w:tc>
        <w:tc>
          <w:tcPr>
            <w:tcW w:w="667" w:type="pct"/>
            <w:tcBorders>
              <w:top w:val="single" w:sz="4" w:space="0" w:color="auto"/>
              <w:left w:val="single" w:sz="4" w:space="0" w:color="auto"/>
              <w:bottom w:val="single" w:sz="4" w:space="0" w:color="auto"/>
              <w:right w:val="single" w:sz="4" w:space="0" w:color="auto"/>
            </w:tcBorders>
            <w:vAlign w:val="bottom"/>
          </w:tcPr>
          <w:p w14:paraId="25CFF8F7" w14:textId="7803923A"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80%</w:t>
            </w:r>
          </w:p>
        </w:tc>
        <w:tc>
          <w:tcPr>
            <w:tcW w:w="571" w:type="pct"/>
            <w:tcBorders>
              <w:top w:val="single" w:sz="4" w:space="0" w:color="auto"/>
              <w:left w:val="single" w:sz="4" w:space="0" w:color="auto"/>
              <w:bottom w:val="single" w:sz="4" w:space="0" w:color="auto"/>
              <w:right w:val="single" w:sz="4" w:space="0" w:color="auto"/>
            </w:tcBorders>
            <w:vAlign w:val="bottom"/>
          </w:tcPr>
          <w:p w14:paraId="368ED1E8" w14:textId="3C0DC5FD"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100%</w:t>
            </w:r>
          </w:p>
        </w:tc>
        <w:tc>
          <w:tcPr>
            <w:tcW w:w="571" w:type="pct"/>
            <w:tcBorders>
              <w:top w:val="single" w:sz="4" w:space="0" w:color="auto"/>
              <w:left w:val="single" w:sz="4" w:space="0" w:color="auto"/>
              <w:bottom w:val="single" w:sz="4" w:space="0" w:color="auto"/>
              <w:right w:val="single" w:sz="4" w:space="0" w:color="auto"/>
            </w:tcBorders>
            <w:vAlign w:val="bottom"/>
          </w:tcPr>
          <w:p w14:paraId="20177146" w14:textId="77714BC1"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100%</w:t>
            </w:r>
          </w:p>
        </w:tc>
        <w:tc>
          <w:tcPr>
            <w:tcW w:w="572" w:type="pct"/>
            <w:tcBorders>
              <w:top w:val="single" w:sz="4" w:space="0" w:color="auto"/>
              <w:left w:val="single" w:sz="4" w:space="0" w:color="auto"/>
              <w:bottom w:val="single" w:sz="4" w:space="0" w:color="auto"/>
              <w:right w:val="single" w:sz="4" w:space="0" w:color="auto"/>
            </w:tcBorders>
            <w:vAlign w:val="bottom"/>
          </w:tcPr>
          <w:p w14:paraId="3E61428D" w14:textId="50742AF1"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100%</w:t>
            </w:r>
          </w:p>
        </w:tc>
        <w:tc>
          <w:tcPr>
            <w:tcW w:w="571" w:type="pct"/>
            <w:tcBorders>
              <w:top w:val="single" w:sz="4" w:space="0" w:color="auto"/>
              <w:left w:val="single" w:sz="4" w:space="0" w:color="auto"/>
              <w:bottom w:val="single" w:sz="4" w:space="0" w:color="auto"/>
              <w:right w:val="single" w:sz="4" w:space="0" w:color="auto"/>
            </w:tcBorders>
            <w:vAlign w:val="bottom"/>
          </w:tcPr>
          <w:p w14:paraId="40B9EDD2" w14:textId="156242C0" w:rsidR="000E19D9" w:rsidRPr="00E20DBB" w:rsidRDefault="005B734B"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100%</w:t>
            </w:r>
          </w:p>
        </w:tc>
      </w:tr>
      <w:tr w:rsidR="005B734B" w:rsidRPr="005B734B" w14:paraId="09E275FB" w14:textId="37E55639" w:rsidTr="00E20DBB">
        <w:tc>
          <w:tcPr>
            <w:cnfStyle w:val="001000000000" w:firstRow="0" w:lastRow="0" w:firstColumn="1" w:lastColumn="0" w:oddVBand="0" w:evenVBand="0" w:oddHBand="0" w:evenHBand="0" w:firstRowFirstColumn="0" w:firstRowLastColumn="0" w:lastRowFirstColumn="0" w:lastRowLastColumn="0"/>
            <w:tcW w:w="857" w:type="pct"/>
            <w:tcBorders>
              <w:top w:val="single" w:sz="4" w:space="0" w:color="auto"/>
            </w:tcBorders>
          </w:tcPr>
          <w:p w14:paraId="4E8ED46F" w14:textId="702AA302" w:rsidR="000E19D9" w:rsidRPr="005B734B" w:rsidRDefault="000E19D9" w:rsidP="00E20DBB">
            <w:pPr>
              <w:pStyle w:val="Tabletextleft"/>
            </w:pPr>
            <w:r w:rsidRPr="005B734B">
              <w:t>Treatment prior to delivery</w:t>
            </w:r>
          </w:p>
        </w:tc>
        <w:tc>
          <w:tcPr>
            <w:tcW w:w="572" w:type="pct"/>
            <w:tcBorders>
              <w:top w:val="single" w:sz="4" w:space="0" w:color="auto"/>
              <w:left w:val="nil"/>
              <w:bottom w:val="single" w:sz="4" w:space="0" w:color="auto"/>
              <w:right w:val="single" w:sz="4" w:space="0" w:color="auto"/>
            </w:tcBorders>
            <w:vAlign w:val="bottom"/>
          </w:tcPr>
          <w:p w14:paraId="5878755F" w14:textId="2601D7DD"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94%</w:t>
            </w:r>
          </w:p>
        </w:tc>
        <w:tc>
          <w:tcPr>
            <w:tcW w:w="619" w:type="pct"/>
            <w:tcBorders>
              <w:top w:val="single" w:sz="4" w:space="0" w:color="auto"/>
              <w:left w:val="single" w:sz="4" w:space="0" w:color="auto"/>
              <w:bottom w:val="single" w:sz="4" w:space="0" w:color="auto"/>
              <w:right w:val="single" w:sz="4" w:space="0" w:color="auto"/>
            </w:tcBorders>
            <w:vAlign w:val="bottom"/>
          </w:tcPr>
          <w:p w14:paraId="203BAF8E" w14:textId="2FC30DBB"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100%</w:t>
            </w:r>
          </w:p>
        </w:tc>
        <w:tc>
          <w:tcPr>
            <w:tcW w:w="667" w:type="pct"/>
            <w:tcBorders>
              <w:top w:val="single" w:sz="4" w:space="0" w:color="auto"/>
              <w:left w:val="single" w:sz="4" w:space="0" w:color="auto"/>
              <w:bottom w:val="single" w:sz="4" w:space="0" w:color="auto"/>
              <w:right w:val="single" w:sz="4" w:space="0" w:color="auto"/>
            </w:tcBorders>
            <w:vAlign w:val="bottom"/>
          </w:tcPr>
          <w:p w14:paraId="2CCA9F99" w14:textId="68F28D9B"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87%</w:t>
            </w:r>
          </w:p>
        </w:tc>
        <w:tc>
          <w:tcPr>
            <w:tcW w:w="571" w:type="pct"/>
            <w:tcBorders>
              <w:top w:val="single" w:sz="4" w:space="0" w:color="auto"/>
              <w:left w:val="single" w:sz="4" w:space="0" w:color="auto"/>
              <w:bottom w:val="single" w:sz="4" w:space="0" w:color="auto"/>
              <w:right w:val="single" w:sz="4" w:space="0" w:color="auto"/>
            </w:tcBorders>
            <w:vAlign w:val="bottom"/>
          </w:tcPr>
          <w:p w14:paraId="74596F38" w14:textId="3C2F68DF"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95%</w:t>
            </w:r>
          </w:p>
        </w:tc>
        <w:tc>
          <w:tcPr>
            <w:tcW w:w="571" w:type="pct"/>
            <w:tcBorders>
              <w:top w:val="single" w:sz="4" w:space="0" w:color="auto"/>
              <w:left w:val="single" w:sz="4" w:space="0" w:color="auto"/>
              <w:bottom w:val="single" w:sz="4" w:space="0" w:color="auto"/>
              <w:right w:val="single" w:sz="4" w:space="0" w:color="auto"/>
            </w:tcBorders>
            <w:vAlign w:val="bottom"/>
          </w:tcPr>
          <w:p w14:paraId="260CB1DA" w14:textId="01D70CA1"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80%</w:t>
            </w:r>
          </w:p>
        </w:tc>
        <w:tc>
          <w:tcPr>
            <w:tcW w:w="572" w:type="pct"/>
            <w:tcBorders>
              <w:top w:val="single" w:sz="4" w:space="0" w:color="auto"/>
              <w:left w:val="single" w:sz="4" w:space="0" w:color="auto"/>
              <w:bottom w:val="single" w:sz="4" w:space="0" w:color="auto"/>
              <w:right w:val="single" w:sz="4" w:space="0" w:color="auto"/>
            </w:tcBorders>
            <w:vAlign w:val="bottom"/>
          </w:tcPr>
          <w:p w14:paraId="500FD16F" w14:textId="320C3942"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100%</w:t>
            </w:r>
          </w:p>
        </w:tc>
        <w:tc>
          <w:tcPr>
            <w:tcW w:w="571" w:type="pct"/>
            <w:tcBorders>
              <w:top w:val="single" w:sz="4" w:space="0" w:color="auto"/>
              <w:left w:val="single" w:sz="4" w:space="0" w:color="auto"/>
              <w:bottom w:val="single" w:sz="4" w:space="0" w:color="auto"/>
              <w:right w:val="single" w:sz="4" w:space="0" w:color="auto"/>
            </w:tcBorders>
            <w:vAlign w:val="bottom"/>
          </w:tcPr>
          <w:p w14:paraId="7429A6BD" w14:textId="27295354" w:rsidR="000E19D9" w:rsidRPr="00E20DBB" w:rsidRDefault="005B734B"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100%</w:t>
            </w:r>
          </w:p>
        </w:tc>
      </w:tr>
      <w:tr w:rsidR="005B734B" w:rsidRPr="005B734B" w14:paraId="0DF41010" w14:textId="7CEE9F49" w:rsidTr="00E20DBB">
        <w:tc>
          <w:tcPr>
            <w:cnfStyle w:val="001000000000" w:firstRow="0" w:lastRow="0" w:firstColumn="1" w:lastColumn="0" w:oddVBand="0" w:evenVBand="0" w:oddHBand="0" w:evenHBand="0" w:firstRowFirstColumn="0" w:firstRowLastColumn="0" w:lastRowFirstColumn="0" w:lastRowLastColumn="0"/>
            <w:tcW w:w="857" w:type="pct"/>
          </w:tcPr>
          <w:p w14:paraId="19D1D745" w14:textId="50327641" w:rsidR="000E19D9" w:rsidRPr="005B734B" w:rsidRDefault="000E19D9" w:rsidP="00E20DBB">
            <w:pPr>
              <w:pStyle w:val="Tabletextleft"/>
            </w:pPr>
            <w:r w:rsidRPr="005B734B">
              <w:t>Testing history</w:t>
            </w:r>
          </w:p>
        </w:tc>
        <w:tc>
          <w:tcPr>
            <w:tcW w:w="572" w:type="pct"/>
            <w:tcBorders>
              <w:top w:val="single" w:sz="4" w:space="0" w:color="auto"/>
              <w:left w:val="nil"/>
              <w:bottom w:val="single" w:sz="4" w:space="0" w:color="auto"/>
              <w:right w:val="single" w:sz="4" w:space="0" w:color="auto"/>
            </w:tcBorders>
            <w:vAlign w:val="bottom"/>
          </w:tcPr>
          <w:p w14:paraId="223C33A1" w14:textId="747F1ACE"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100%</w:t>
            </w:r>
          </w:p>
        </w:tc>
        <w:tc>
          <w:tcPr>
            <w:tcW w:w="619" w:type="pct"/>
            <w:tcBorders>
              <w:top w:val="single" w:sz="4" w:space="0" w:color="auto"/>
              <w:left w:val="single" w:sz="4" w:space="0" w:color="auto"/>
              <w:bottom w:val="single" w:sz="4" w:space="0" w:color="auto"/>
              <w:right w:val="single" w:sz="4" w:space="0" w:color="auto"/>
            </w:tcBorders>
            <w:vAlign w:val="bottom"/>
          </w:tcPr>
          <w:p w14:paraId="7A957EDA" w14:textId="4B344859"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100%</w:t>
            </w:r>
          </w:p>
        </w:tc>
        <w:tc>
          <w:tcPr>
            <w:tcW w:w="667" w:type="pct"/>
            <w:tcBorders>
              <w:top w:val="single" w:sz="4" w:space="0" w:color="auto"/>
              <w:left w:val="single" w:sz="4" w:space="0" w:color="auto"/>
              <w:bottom w:val="single" w:sz="4" w:space="0" w:color="auto"/>
              <w:right w:val="single" w:sz="4" w:space="0" w:color="auto"/>
            </w:tcBorders>
            <w:vAlign w:val="bottom"/>
          </w:tcPr>
          <w:p w14:paraId="54306974" w14:textId="2FC84D62"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100%</w:t>
            </w:r>
          </w:p>
        </w:tc>
        <w:tc>
          <w:tcPr>
            <w:tcW w:w="571" w:type="pct"/>
            <w:tcBorders>
              <w:top w:val="single" w:sz="4" w:space="0" w:color="auto"/>
              <w:left w:val="single" w:sz="4" w:space="0" w:color="auto"/>
              <w:bottom w:val="single" w:sz="4" w:space="0" w:color="auto"/>
              <w:right w:val="single" w:sz="4" w:space="0" w:color="auto"/>
            </w:tcBorders>
            <w:vAlign w:val="bottom"/>
          </w:tcPr>
          <w:p w14:paraId="604A7582" w14:textId="324D7448"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95%</w:t>
            </w:r>
          </w:p>
        </w:tc>
        <w:tc>
          <w:tcPr>
            <w:tcW w:w="571" w:type="pct"/>
            <w:tcBorders>
              <w:top w:val="single" w:sz="4" w:space="0" w:color="auto"/>
              <w:left w:val="single" w:sz="4" w:space="0" w:color="auto"/>
              <w:bottom w:val="single" w:sz="4" w:space="0" w:color="auto"/>
              <w:right w:val="single" w:sz="4" w:space="0" w:color="auto"/>
            </w:tcBorders>
            <w:vAlign w:val="bottom"/>
          </w:tcPr>
          <w:p w14:paraId="238AEB6C" w14:textId="6072B32A"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90%</w:t>
            </w:r>
          </w:p>
        </w:tc>
        <w:tc>
          <w:tcPr>
            <w:tcW w:w="572" w:type="pct"/>
            <w:tcBorders>
              <w:top w:val="single" w:sz="4" w:space="0" w:color="auto"/>
              <w:left w:val="single" w:sz="4" w:space="0" w:color="auto"/>
              <w:bottom w:val="single" w:sz="4" w:space="0" w:color="auto"/>
              <w:right w:val="single" w:sz="4" w:space="0" w:color="auto"/>
            </w:tcBorders>
            <w:vAlign w:val="bottom"/>
          </w:tcPr>
          <w:p w14:paraId="237656FE" w14:textId="2B503743"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67%</w:t>
            </w:r>
          </w:p>
        </w:tc>
        <w:tc>
          <w:tcPr>
            <w:tcW w:w="571" w:type="pct"/>
            <w:tcBorders>
              <w:top w:val="single" w:sz="4" w:space="0" w:color="auto"/>
              <w:left w:val="single" w:sz="4" w:space="0" w:color="auto"/>
              <w:bottom w:val="single" w:sz="4" w:space="0" w:color="auto"/>
              <w:right w:val="single" w:sz="4" w:space="0" w:color="auto"/>
            </w:tcBorders>
            <w:vAlign w:val="bottom"/>
          </w:tcPr>
          <w:p w14:paraId="6961B2D2" w14:textId="2ACBD213" w:rsidR="000E19D9" w:rsidRPr="00E20DBB" w:rsidRDefault="005B734B"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100%</w:t>
            </w:r>
          </w:p>
        </w:tc>
      </w:tr>
      <w:tr w:rsidR="005B734B" w:rsidRPr="005B734B" w14:paraId="56AA0425" w14:textId="64161381" w:rsidTr="00E20DBB">
        <w:tc>
          <w:tcPr>
            <w:cnfStyle w:val="001000000000" w:firstRow="0" w:lastRow="0" w:firstColumn="1" w:lastColumn="0" w:oddVBand="0" w:evenVBand="0" w:oddHBand="0" w:evenHBand="0" w:firstRowFirstColumn="0" w:firstRowLastColumn="0" w:lastRowFirstColumn="0" w:lastRowLastColumn="0"/>
            <w:tcW w:w="857" w:type="pct"/>
          </w:tcPr>
          <w:p w14:paraId="4BEFE8B4" w14:textId="70D65F1D" w:rsidR="000E19D9" w:rsidRPr="005B734B" w:rsidRDefault="000E19D9" w:rsidP="00E20DBB">
            <w:pPr>
              <w:pStyle w:val="Tabletextleft"/>
            </w:pPr>
            <w:r w:rsidRPr="005B734B">
              <w:t>Re-infection (current pregnancy)</w:t>
            </w:r>
          </w:p>
        </w:tc>
        <w:tc>
          <w:tcPr>
            <w:tcW w:w="572" w:type="pct"/>
            <w:tcBorders>
              <w:top w:val="single" w:sz="4" w:space="0" w:color="auto"/>
              <w:left w:val="nil"/>
              <w:bottom w:val="single" w:sz="4" w:space="0" w:color="auto"/>
              <w:right w:val="single" w:sz="4" w:space="0" w:color="auto"/>
            </w:tcBorders>
            <w:vAlign w:val="bottom"/>
          </w:tcPr>
          <w:p w14:paraId="4DBF2C3D" w14:textId="77D39211"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88%</w:t>
            </w:r>
          </w:p>
        </w:tc>
        <w:tc>
          <w:tcPr>
            <w:tcW w:w="619" w:type="pct"/>
            <w:tcBorders>
              <w:top w:val="single" w:sz="4" w:space="0" w:color="auto"/>
              <w:left w:val="single" w:sz="4" w:space="0" w:color="auto"/>
              <w:bottom w:val="single" w:sz="4" w:space="0" w:color="auto"/>
              <w:right w:val="single" w:sz="4" w:space="0" w:color="auto"/>
            </w:tcBorders>
            <w:vAlign w:val="bottom"/>
          </w:tcPr>
          <w:p w14:paraId="3A10FAC0" w14:textId="0A97A092"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73%</w:t>
            </w:r>
          </w:p>
        </w:tc>
        <w:tc>
          <w:tcPr>
            <w:tcW w:w="667" w:type="pct"/>
            <w:tcBorders>
              <w:top w:val="single" w:sz="4" w:space="0" w:color="auto"/>
              <w:left w:val="single" w:sz="4" w:space="0" w:color="auto"/>
              <w:bottom w:val="single" w:sz="4" w:space="0" w:color="auto"/>
              <w:right w:val="single" w:sz="4" w:space="0" w:color="auto"/>
            </w:tcBorders>
            <w:vAlign w:val="bottom"/>
          </w:tcPr>
          <w:p w14:paraId="38706261" w14:textId="75F7C765"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100%</w:t>
            </w:r>
          </w:p>
        </w:tc>
        <w:tc>
          <w:tcPr>
            <w:tcW w:w="571" w:type="pct"/>
            <w:tcBorders>
              <w:top w:val="single" w:sz="4" w:space="0" w:color="auto"/>
              <w:left w:val="single" w:sz="4" w:space="0" w:color="auto"/>
              <w:bottom w:val="single" w:sz="4" w:space="0" w:color="auto"/>
              <w:right w:val="single" w:sz="4" w:space="0" w:color="auto"/>
            </w:tcBorders>
            <w:vAlign w:val="bottom"/>
          </w:tcPr>
          <w:p w14:paraId="4A7AF9C8" w14:textId="3DA95D09"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65%</w:t>
            </w:r>
          </w:p>
        </w:tc>
        <w:tc>
          <w:tcPr>
            <w:tcW w:w="571" w:type="pct"/>
            <w:tcBorders>
              <w:top w:val="single" w:sz="4" w:space="0" w:color="auto"/>
              <w:left w:val="single" w:sz="4" w:space="0" w:color="auto"/>
              <w:bottom w:val="single" w:sz="4" w:space="0" w:color="auto"/>
              <w:right w:val="single" w:sz="4" w:space="0" w:color="auto"/>
            </w:tcBorders>
            <w:vAlign w:val="bottom"/>
          </w:tcPr>
          <w:p w14:paraId="6ACD3FA0" w14:textId="2562F91D"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80%</w:t>
            </w:r>
          </w:p>
        </w:tc>
        <w:tc>
          <w:tcPr>
            <w:tcW w:w="572" w:type="pct"/>
            <w:tcBorders>
              <w:top w:val="single" w:sz="4" w:space="0" w:color="auto"/>
              <w:left w:val="single" w:sz="4" w:space="0" w:color="auto"/>
              <w:bottom w:val="single" w:sz="4" w:space="0" w:color="auto"/>
              <w:right w:val="single" w:sz="4" w:space="0" w:color="auto"/>
            </w:tcBorders>
            <w:vAlign w:val="bottom"/>
          </w:tcPr>
          <w:p w14:paraId="5F0ED263" w14:textId="60FB9504" w:rsidR="000E19D9" w:rsidRPr="00E20DBB" w:rsidRDefault="000E19D9"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67%</w:t>
            </w:r>
          </w:p>
        </w:tc>
        <w:tc>
          <w:tcPr>
            <w:tcW w:w="571" w:type="pct"/>
            <w:tcBorders>
              <w:top w:val="single" w:sz="4" w:space="0" w:color="auto"/>
              <w:left w:val="single" w:sz="4" w:space="0" w:color="auto"/>
              <w:bottom w:val="single" w:sz="4" w:space="0" w:color="auto"/>
              <w:right w:val="single" w:sz="4" w:space="0" w:color="auto"/>
            </w:tcBorders>
            <w:vAlign w:val="bottom"/>
          </w:tcPr>
          <w:p w14:paraId="3DF72750" w14:textId="73F62F24" w:rsidR="000E19D9" w:rsidRPr="00E20DBB" w:rsidRDefault="005B734B" w:rsidP="00E20DBB">
            <w:pPr>
              <w:pStyle w:val="Tabletextcentre"/>
              <w:cnfStyle w:val="000000000000" w:firstRow="0" w:lastRow="0" w:firstColumn="0" w:lastColumn="0" w:oddVBand="0" w:evenVBand="0" w:oddHBand="0" w:evenHBand="0" w:firstRowFirstColumn="0" w:firstRowLastColumn="0" w:lastRowFirstColumn="0" w:lastRowLastColumn="0"/>
            </w:pPr>
            <w:r w:rsidRPr="00E20DBB">
              <w:t>83%</w:t>
            </w:r>
          </w:p>
        </w:tc>
      </w:tr>
    </w:tbl>
    <w:p w14:paraId="220E0096" w14:textId="77777777" w:rsidR="00E20DBB" w:rsidRDefault="00216DF1" w:rsidP="00E20DBB">
      <w:pPr>
        <w:pStyle w:val="FootnoteText"/>
      </w:pPr>
      <w:r w:rsidRPr="00E20DBB">
        <w:t>*</w:t>
      </w:r>
      <w:r w:rsidR="004C4A51" w:rsidRPr="00E20DBB">
        <w:t>Where completeness is less than 50% data have been excluded from reporting</w:t>
      </w:r>
      <w:r w:rsidR="004C4A51" w:rsidRPr="005B734B">
        <w:t>.</w:t>
      </w:r>
    </w:p>
    <w:p w14:paraId="4E4F6F4B" w14:textId="4B414557" w:rsidR="00445596" w:rsidRPr="00E20DBB" w:rsidRDefault="00445596" w:rsidP="00E20DBB">
      <w:r w:rsidRPr="00E20DBB">
        <w:br w:type="page"/>
      </w:r>
    </w:p>
    <w:p w14:paraId="0B91EDF0" w14:textId="77777777" w:rsidR="00445596" w:rsidRPr="005B734B" w:rsidRDefault="00445596" w:rsidP="00E20DBB">
      <w:pPr>
        <w:sectPr w:rsidR="00445596" w:rsidRPr="005B734B" w:rsidSect="00832A95">
          <w:pgSz w:w="16838" w:h="11906" w:orient="landscape"/>
          <w:pgMar w:top="1418" w:right="1701" w:bottom="1276" w:left="1418" w:header="709" w:footer="333" w:gutter="0"/>
          <w:cols w:space="708"/>
          <w:docGrid w:linePitch="360"/>
        </w:sectPr>
      </w:pPr>
    </w:p>
    <w:p w14:paraId="76F651E5" w14:textId="312C4CFA" w:rsidR="00932ECA" w:rsidRPr="005B734B" w:rsidRDefault="00445596" w:rsidP="002B378F">
      <w:pPr>
        <w:pStyle w:val="Heading1"/>
      </w:pPr>
      <w:r w:rsidRPr="005B734B">
        <w:lastRenderedPageBreak/>
        <w:t>References</w:t>
      </w:r>
    </w:p>
    <w:p w14:paraId="7C5F86D9" w14:textId="77777777" w:rsidR="00430240" w:rsidRPr="005B734B" w:rsidRDefault="00932ECA" w:rsidP="00E20DBB">
      <w:pPr>
        <w:pStyle w:val="EndNoteBibliography"/>
      </w:pPr>
      <w:r w:rsidRPr="005B734B">
        <w:fldChar w:fldCharType="begin"/>
      </w:r>
      <w:r w:rsidRPr="005B734B">
        <w:instrText xml:space="preserve"> ADDIN EN.REFLIST </w:instrText>
      </w:r>
      <w:r w:rsidRPr="005B734B">
        <w:fldChar w:fldCharType="separate"/>
      </w:r>
      <w:r w:rsidR="00430240" w:rsidRPr="005B734B">
        <w:t>1.</w:t>
      </w:r>
      <w:r w:rsidR="00430240" w:rsidRPr="005B734B">
        <w:tab/>
        <w:t>Equity Economics. Blueprint for the Future: Evaluation of NACCHO’s Role under the Enhanced Syphilis Response. A Report prepared for the National Aboriginal Community Controlled Health Organisation (NACCHO). 2021.</w:t>
      </w:r>
    </w:p>
    <w:p w14:paraId="1B99BF1E" w14:textId="77777777" w:rsidR="00430240" w:rsidRPr="005B734B" w:rsidRDefault="00430240" w:rsidP="00E20DBB">
      <w:pPr>
        <w:pStyle w:val="EndNoteBibliography"/>
      </w:pPr>
      <w:r w:rsidRPr="005B734B">
        <w:t>2.</w:t>
      </w:r>
      <w:r w:rsidRPr="005B734B">
        <w:tab/>
        <w:t>National Syphilis Surveillance Quarterly Report (Quarter 4: 1 October - 31 December 2025). 2025.</w:t>
      </w:r>
    </w:p>
    <w:p w14:paraId="2D916943" w14:textId="2F363496" w:rsidR="00430240" w:rsidRPr="005B734B" w:rsidRDefault="00430240" w:rsidP="00E20DBB">
      <w:pPr>
        <w:pStyle w:val="EndNoteBibliography"/>
      </w:pPr>
      <w:r w:rsidRPr="005B734B">
        <w:t>3.</w:t>
      </w:r>
      <w:r w:rsidRPr="005B734B">
        <w:tab/>
        <w:t xml:space="preserve">Health alert: Syphilis 2025 [Available from: </w:t>
      </w:r>
      <w:hyperlink r:id="rId44" w:history="1">
        <w:r w:rsidRPr="005B734B">
          <w:rPr>
            <w:rStyle w:val="Hyperlink"/>
          </w:rPr>
          <w:t>https://health.nt.gov.au/public-health-notifiable-diseases/syphilis</w:t>
        </w:r>
      </w:hyperlink>
      <w:r w:rsidRPr="005B734B">
        <w:t>.</w:t>
      </w:r>
    </w:p>
    <w:p w14:paraId="4C333805" w14:textId="77777777" w:rsidR="00430240" w:rsidRPr="005B734B" w:rsidRDefault="00430240" w:rsidP="00E20DBB">
      <w:pPr>
        <w:pStyle w:val="EndNoteBibliography"/>
      </w:pPr>
      <w:r w:rsidRPr="005B734B">
        <w:t>4.</w:t>
      </w:r>
      <w:r w:rsidRPr="005B734B">
        <w:tab/>
        <w:t>Australian Institute of Health and Welfare. Aboriginal and Torres Strait Islander Health Performance Framework: summary report. AIHW: Australian Government; 2025.</w:t>
      </w:r>
    </w:p>
    <w:p w14:paraId="0FF57CE3" w14:textId="086F3291" w:rsidR="00430240" w:rsidRPr="005B734B" w:rsidRDefault="00430240" w:rsidP="00E20DBB">
      <w:pPr>
        <w:pStyle w:val="EndNoteBibliography"/>
      </w:pPr>
      <w:r w:rsidRPr="005B734B">
        <w:t>5.</w:t>
      </w:r>
      <w:r w:rsidRPr="005B734B">
        <w:tab/>
        <w:t xml:space="preserve">Australian Statistical Geography Standard (ASGS) Edition 3: Indigenous Structure: Australian Bureau of Statistics; 2021 [Available from: </w:t>
      </w:r>
      <w:hyperlink r:id="rId45" w:history="1">
        <w:r w:rsidRPr="005B734B">
          <w:rPr>
            <w:rStyle w:val="Hyperlink"/>
          </w:rPr>
          <w:t>https://www.abs.gov.au/statistics/standards/australian-statistical-geography-standard-asgs-edition-3/jul2021-jun2026/indigenous-structure</w:t>
        </w:r>
      </w:hyperlink>
      <w:r w:rsidRPr="005B734B">
        <w:t>.</w:t>
      </w:r>
    </w:p>
    <w:p w14:paraId="0F629C99" w14:textId="77777777" w:rsidR="00430240" w:rsidRPr="005B734B" w:rsidRDefault="00430240" w:rsidP="00E20DBB">
      <w:pPr>
        <w:pStyle w:val="EndNoteBibliography"/>
      </w:pPr>
      <w:r w:rsidRPr="005B734B">
        <w:t>6.</w:t>
      </w:r>
      <w:r w:rsidRPr="005B734B">
        <w:tab/>
        <w:t>Taouk M, Taiaroa G, Pasricha S, Herman S, Chow E, Azzatto F, et al. Characterisation of Treponema pallidum lineages within the contemporary syphilis outbreak in Australia: a genomic epidemiological analysis. The Lancet Microbe. 2022;3(6):e417 - e26.</w:t>
      </w:r>
    </w:p>
    <w:p w14:paraId="56DF4019" w14:textId="77777777" w:rsidR="00430240" w:rsidRPr="005B734B" w:rsidRDefault="00430240" w:rsidP="00E20DBB">
      <w:pPr>
        <w:pStyle w:val="EndNoteBibliography"/>
      </w:pPr>
      <w:r w:rsidRPr="005B734B">
        <w:t>7.</w:t>
      </w:r>
      <w:r w:rsidRPr="005B734B">
        <w:tab/>
        <w:t>Williamson D, Chow E, Gorrie C, Seemann T, Ingle D, Higgins N, et al. Bridging of Neisseria gonorrhoeae lineages across sexual networks in the HIV pre-exposure prophylaxis era. Nature Communications. 2019;10.</w:t>
      </w:r>
    </w:p>
    <w:p w14:paraId="51102A66" w14:textId="701BE836" w:rsidR="00430240" w:rsidRPr="005B734B" w:rsidRDefault="00430240" w:rsidP="00E20DBB">
      <w:pPr>
        <w:pStyle w:val="EndNoteBibliography"/>
      </w:pPr>
      <w:r w:rsidRPr="005B734B">
        <w:t>8.</w:t>
      </w:r>
      <w:r w:rsidRPr="005B734B">
        <w:tab/>
        <w:t xml:space="preserve">Syphilis – CDNA National Guidelines for Public Health Units  [Available from: </w:t>
      </w:r>
      <w:hyperlink r:id="rId46" w:history="1">
        <w:r w:rsidRPr="005B734B">
          <w:rPr>
            <w:rStyle w:val="Hyperlink"/>
          </w:rPr>
          <w:t>https://www.health.gov.au/resources/publications/syphilis-cdna-national-guidelines-for-public-health-units?language=en</w:t>
        </w:r>
      </w:hyperlink>
      <w:r w:rsidRPr="005B734B">
        <w:t>.</w:t>
      </w:r>
    </w:p>
    <w:p w14:paraId="0D2C0B19" w14:textId="58D05408" w:rsidR="00430240" w:rsidRPr="005B734B" w:rsidRDefault="00430240" w:rsidP="00E20DBB">
      <w:pPr>
        <w:pStyle w:val="EndNoteBibliography"/>
      </w:pPr>
      <w:r w:rsidRPr="005B734B">
        <w:t>9.</w:t>
      </w:r>
      <w:r w:rsidRPr="005B734B">
        <w:tab/>
        <w:t xml:space="preserve">Queensland clinical guidelines. Translating evidence into best clinical practice - Syphilis and pregnancy (Qld Health): Queensland Health; 2025 [Available from: </w:t>
      </w:r>
      <w:hyperlink r:id="rId47" w:history="1">
        <w:r w:rsidRPr="005B734B">
          <w:rPr>
            <w:rStyle w:val="Hyperlink"/>
          </w:rPr>
          <w:t>https://www.health.qld.gov.au/__data/assets/pdf_file/0035/736883/g-sip.pdf</w:t>
        </w:r>
      </w:hyperlink>
      <w:r w:rsidRPr="005B734B">
        <w:t>.</w:t>
      </w:r>
    </w:p>
    <w:p w14:paraId="1B08A1C6" w14:textId="68682E20" w:rsidR="00430240" w:rsidRPr="005B734B" w:rsidRDefault="00430240" w:rsidP="00E20DBB">
      <w:pPr>
        <w:pStyle w:val="EndNoteBibliography"/>
      </w:pPr>
      <w:r w:rsidRPr="005B734B">
        <w:t>10.</w:t>
      </w:r>
      <w:r w:rsidRPr="005B734B">
        <w:tab/>
        <w:t xml:space="preserve">Statewide Maternity Shared Care Guidelines (WA Health): Government of Western Australia North Metropolitan Health Service Women and Newborn Health Service; 2021 [Available from: </w:t>
      </w:r>
      <w:hyperlink r:id="rId48" w:history="1">
        <w:r w:rsidRPr="005B734B">
          <w:rPr>
            <w:rStyle w:val="Hyperlink"/>
          </w:rPr>
          <w:t>https://kemh.health.wa.gov.au/~/media/HSPs/NMHS/Hospitals/WNHS/Documents/Clinical-guidelines/Statewide-Maternity-Shared-Care-Guidelines.pdf</w:t>
        </w:r>
      </w:hyperlink>
      <w:r w:rsidRPr="005B734B">
        <w:t>.</w:t>
      </w:r>
    </w:p>
    <w:p w14:paraId="38063067" w14:textId="66BB7741" w:rsidR="00430240" w:rsidRPr="005B734B" w:rsidRDefault="00430240" w:rsidP="00E20DBB">
      <w:pPr>
        <w:pStyle w:val="EndNoteBibliography"/>
      </w:pPr>
      <w:r w:rsidRPr="005B734B">
        <w:t>11.</w:t>
      </w:r>
      <w:r w:rsidRPr="005B734B">
        <w:tab/>
        <w:t xml:space="preserve">South Australian Perinatal Practice Guideline. Syphilis in pregnancy and the neonate PPG015 (SA Health) 2025 [Available from: </w:t>
      </w:r>
      <w:hyperlink r:id="rId49" w:history="1">
        <w:r w:rsidRPr="005B734B">
          <w:rPr>
            <w:rStyle w:val="Hyperlink"/>
          </w:rPr>
          <w:t>https://www.sahealth.sa.gov.au/wps/wcm/connect/4f3188804eedeac1b604b76a7ac0d6e4/Syphilis+in+pregnancy+and+the+neonate+PPG+v_5_0_.pdf?MOD=AJPERES&amp;CACHEID=ROOTWORKSPACE-4f3188804eedeac1b604b76a7ac0d6e4-ph8fmcZ</w:t>
        </w:r>
      </w:hyperlink>
      <w:r w:rsidRPr="005B734B">
        <w:t>.</w:t>
      </w:r>
    </w:p>
    <w:p w14:paraId="78984BF2" w14:textId="0D38B8C2" w:rsidR="00430240" w:rsidRPr="005B734B" w:rsidRDefault="00430240" w:rsidP="00E20DBB">
      <w:pPr>
        <w:pStyle w:val="EndNoteBibliography"/>
      </w:pPr>
      <w:r w:rsidRPr="005B734B">
        <w:t>12.</w:t>
      </w:r>
      <w:r w:rsidRPr="005B734B">
        <w:tab/>
        <w:t xml:space="preserve">Syphilis testing during pregnancy (Safer Care Victoria) 2025 [Available from: </w:t>
      </w:r>
      <w:hyperlink r:id="rId50" w:history="1">
        <w:r w:rsidRPr="005B734B">
          <w:rPr>
            <w:rStyle w:val="Hyperlink"/>
          </w:rPr>
          <w:t>https://www.safercare.vic.gov.au/best-practice-improvement/clinical-guidance/maternity/syphilis-testing-during-pregnancy</w:t>
        </w:r>
      </w:hyperlink>
      <w:r w:rsidRPr="005B734B">
        <w:t>.</w:t>
      </w:r>
    </w:p>
    <w:p w14:paraId="725491A2" w14:textId="4CA53456" w:rsidR="00430240" w:rsidRPr="005B734B" w:rsidRDefault="00430240" w:rsidP="00E20DBB">
      <w:pPr>
        <w:pStyle w:val="EndNoteBibliography"/>
      </w:pPr>
      <w:r w:rsidRPr="005B734B">
        <w:t>13.</w:t>
      </w:r>
      <w:r w:rsidRPr="005B734B">
        <w:tab/>
        <w:t xml:space="preserve">Three syphilis tests are now recommended in every pregnancy to prevent congenital syphilis (Tas.  Health) 2025 [Available from: </w:t>
      </w:r>
      <w:hyperlink r:id="rId51" w:history="1">
        <w:r w:rsidRPr="005B734B">
          <w:rPr>
            <w:rStyle w:val="Hyperlink"/>
          </w:rPr>
          <w:t>https://www.health.tas.gov.au/news/articles/three-syphilis-tests-are-now-recommended-every-pregnancy-prevent-congenital-syphilis</w:t>
        </w:r>
      </w:hyperlink>
      <w:r w:rsidRPr="005B734B">
        <w:t>.</w:t>
      </w:r>
    </w:p>
    <w:p w14:paraId="1A6019B1" w14:textId="3C519372" w:rsidR="00430240" w:rsidRPr="005B734B" w:rsidRDefault="00430240" w:rsidP="00E20DBB">
      <w:pPr>
        <w:pStyle w:val="EndNoteBibliography"/>
      </w:pPr>
      <w:r w:rsidRPr="005B734B">
        <w:t>14.</w:t>
      </w:r>
      <w:r w:rsidRPr="005B734B">
        <w:tab/>
        <w:t xml:space="preserve">Congenital syphilis guidelines for the Northern Territory (NT Health) 2015 [Available from: </w:t>
      </w:r>
      <w:hyperlink r:id="rId52" w:history="1">
        <w:r w:rsidRPr="005B734B">
          <w:rPr>
            <w:rStyle w:val="Hyperlink"/>
          </w:rPr>
          <w:t>https://digitallibrary.health.nt.gov.au/nthealthserver/api/core/bitstreams/77f72074-3e47-4697-9b80-63b3f5fd5630/content</w:t>
        </w:r>
      </w:hyperlink>
      <w:r w:rsidRPr="005B734B">
        <w:t>.</w:t>
      </w:r>
    </w:p>
    <w:p w14:paraId="43AEF518" w14:textId="64BA91CF" w:rsidR="00430240" w:rsidRPr="005B734B" w:rsidRDefault="00430240" w:rsidP="00E20DBB">
      <w:pPr>
        <w:pStyle w:val="EndNoteBibliography"/>
      </w:pPr>
      <w:r w:rsidRPr="005B734B">
        <w:lastRenderedPageBreak/>
        <w:t>15.</w:t>
      </w:r>
      <w:r w:rsidRPr="005B734B">
        <w:tab/>
        <w:t xml:space="preserve">Public health clinical alert. Syphilis and mpox: Information for ACT clinicians (ACT Health) 2024 [Available from: </w:t>
      </w:r>
      <w:hyperlink r:id="rId53" w:history="1">
        <w:r w:rsidRPr="005B734B">
          <w:rPr>
            <w:rStyle w:val="Hyperlink"/>
          </w:rPr>
          <w:t>https://www.act.gov.au/__data/assets/pdf_file/0009/2629926/Mpox-and-syphilis-clinician-alert.pdf</w:t>
        </w:r>
      </w:hyperlink>
      <w:r w:rsidRPr="005B734B">
        <w:t>.</w:t>
      </w:r>
    </w:p>
    <w:p w14:paraId="266D2A1A" w14:textId="1D9A4DFF" w:rsidR="008D0421" w:rsidRPr="009F4506" w:rsidRDefault="00932ECA" w:rsidP="00E20DBB">
      <w:pPr>
        <w:pStyle w:val="EndNoteBibliography"/>
      </w:pPr>
      <w:r w:rsidRPr="005B734B">
        <w:fldChar w:fldCharType="end"/>
      </w:r>
    </w:p>
    <w:sectPr w:rsidR="008D0421" w:rsidRPr="009F4506" w:rsidSect="001C5C93">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0FA24" w14:textId="77777777" w:rsidR="00B059D7" w:rsidRDefault="00B059D7" w:rsidP="00E20DBB">
      <w:r>
        <w:separator/>
      </w:r>
    </w:p>
    <w:p w14:paraId="51C8FD6F" w14:textId="77777777" w:rsidR="00B059D7" w:rsidRDefault="00B059D7" w:rsidP="00E20DBB"/>
  </w:endnote>
  <w:endnote w:type="continuationSeparator" w:id="0">
    <w:p w14:paraId="3501C8D0" w14:textId="77777777" w:rsidR="00B059D7" w:rsidRDefault="00B059D7" w:rsidP="00E20DBB">
      <w:r>
        <w:continuationSeparator/>
      </w:r>
    </w:p>
    <w:p w14:paraId="2081B379" w14:textId="77777777" w:rsidR="00B059D7" w:rsidRDefault="00B059D7" w:rsidP="00E20DBB"/>
  </w:endnote>
  <w:endnote w:type="continuationNotice" w:id="1">
    <w:p w14:paraId="5FCB3EE3" w14:textId="77777777" w:rsidR="00B059D7" w:rsidRDefault="00B059D7" w:rsidP="00E20D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759E9" w14:textId="7CE23A0A" w:rsidR="00751A23" w:rsidRPr="00751A23" w:rsidRDefault="009F4231" w:rsidP="00934368">
    <w:pPr>
      <w:pStyle w:val="Footer"/>
    </w:pPr>
    <w:r>
      <w:t>I</w:t>
    </w:r>
    <w:r w:rsidRPr="009F4231">
      <w:t xml:space="preserve">nterim Australian Centre for Disease Control </w:t>
    </w:r>
    <w:sdt>
      <w:sdtPr>
        <w:id w:val="-443848716"/>
        <w:docPartObj>
          <w:docPartGallery w:val="Page Numbers (Bottom of Page)"/>
          <w:docPartUnique/>
        </w:docPartObj>
      </w:sdtPr>
      <w:sdtEndPr>
        <w:rPr>
          <w:noProof/>
        </w:rPr>
      </w:sdtEndPr>
      <w:sdtContent>
        <w:r w:rsidR="00751A23">
          <w:tab/>
        </w:r>
        <w:r w:rsidR="00751A23" w:rsidRPr="006043C7">
          <w:fldChar w:fldCharType="begin"/>
        </w:r>
        <w:r w:rsidR="00751A23" w:rsidRPr="006043C7">
          <w:instrText xml:space="preserve"> PAGE   \* MERGEFORMAT </w:instrText>
        </w:r>
        <w:r w:rsidR="00751A23" w:rsidRPr="006043C7">
          <w:fldChar w:fldCharType="separate"/>
        </w:r>
        <w:r w:rsidR="007B3D03">
          <w:rPr>
            <w:noProof/>
          </w:rPr>
          <w:t>2</w:t>
        </w:r>
        <w:r w:rsidR="00751A23" w:rsidRPr="006043C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0FB51" w14:textId="77777777" w:rsidR="00B059D7" w:rsidRDefault="00B059D7" w:rsidP="00E20DBB">
      <w:r>
        <w:separator/>
      </w:r>
    </w:p>
  </w:footnote>
  <w:footnote w:type="continuationSeparator" w:id="0">
    <w:p w14:paraId="7A8E22A4" w14:textId="77777777" w:rsidR="00B059D7" w:rsidRDefault="00B059D7" w:rsidP="00E20DBB">
      <w:r>
        <w:continuationSeparator/>
      </w:r>
    </w:p>
  </w:footnote>
  <w:footnote w:type="continuationNotice" w:id="1">
    <w:p w14:paraId="0FA9C230" w14:textId="77777777" w:rsidR="00B059D7" w:rsidRDefault="00B059D7" w:rsidP="00E20DBB"/>
  </w:footnote>
  <w:footnote w:id="2">
    <w:p w14:paraId="6CAC1AED" w14:textId="3AEAB2FA" w:rsidR="006F156C" w:rsidRDefault="006F156C">
      <w:pPr>
        <w:pStyle w:val="FootnoteText"/>
      </w:pPr>
      <w:r>
        <w:rPr>
          <w:rStyle w:val="FootnoteReference"/>
        </w:rPr>
        <w:footnoteRef/>
      </w:r>
      <w:r>
        <w:t xml:space="preserve"> </w:t>
      </w:r>
      <w:bookmarkStart w:id="3" w:name="_Hlk213406192"/>
      <w:r>
        <w:t>The denominator (live births) is for the complete year, whereas the numerator (congenital syphilis notifications) represents cases for the reporting period. The rate calculated may be lower than rates reported for a complete (12 months) year.</w:t>
      </w:r>
      <w:bookmarkEnd w:id="3"/>
    </w:p>
  </w:footnote>
  <w:footnote w:id="3">
    <w:p w14:paraId="607E2A9C" w14:textId="77777777" w:rsidR="008D0421" w:rsidRDefault="008D0421">
      <w:pPr>
        <w:pStyle w:val="FootnoteText"/>
      </w:pPr>
      <w:r>
        <w:rPr>
          <w:rStyle w:val="FootnoteReference"/>
        </w:rPr>
        <w:footnoteRef/>
      </w:r>
      <w:r>
        <w:t xml:space="preserve"> </w:t>
      </w:r>
      <w:r w:rsidRPr="008D0421">
        <w:t>Q3 2018 includes data for August and September only.</w:t>
      </w:r>
    </w:p>
  </w:footnote>
  <w:footnote w:id="4">
    <w:p w14:paraId="633584C0" w14:textId="77777777" w:rsidR="008D0421" w:rsidRDefault="008D0421">
      <w:pPr>
        <w:pStyle w:val="FootnoteText"/>
      </w:pPr>
      <w:r>
        <w:rPr>
          <w:rStyle w:val="FootnoteReference"/>
        </w:rPr>
        <w:footnoteRef/>
      </w:r>
      <w:r>
        <w:t xml:space="preserve"> </w:t>
      </w:r>
      <w:r w:rsidRPr="008D0421">
        <w:t>Excludes testing data for individuals for whom age was not reported.</w:t>
      </w:r>
    </w:p>
  </w:footnote>
  <w:footnote w:id="5">
    <w:p w14:paraId="1732B10A" w14:textId="77777777" w:rsidR="008D0421" w:rsidRDefault="008D0421">
      <w:pPr>
        <w:pStyle w:val="FootnoteText"/>
      </w:pPr>
      <w:r>
        <w:rPr>
          <w:rStyle w:val="FootnoteReference"/>
        </w:rPr>
        <w:footnoteRef/>
      </w:r>
      <w:r>
        <w:t xml:space="preserve"> </w:t>
      </w:r>
      <w:r w:rsidRPr="008D0421">
        <w:t>Excludes cases for whom sex, age, Indigenous status and/or residential postcode were not reported.</w:t>
      </w:r>
    </w:p>
  </w:footnote>
  <w:footnote w:id="6">
    <w:p w14:paraId="3D835550" w14:textId="2BB5DF4C" w:rsidR="009723F9" w:rsidRDefault="009723F9">
      <w:pPr>
        <w:pStyle w:val="FootnoteText"/>
      </w:pPr>
      <w:r>
        <w:rPr>
          <w:rStyle w:val="FootnoteReference"/>
        </w:rPr>
        <w:footnoteRef/>
      </w:r>
      <w:r>
        <w:t xml:space="preserve"> </w:t>
      </w:r>
      <w:r w:rsidRPr="000163F4">
        <w:t>The term women is used, but it</w:t>
      </w:r>
      <w:r w:rsidR="009C28E9">
        <w:t xml:space="preserve"> is</w:t>
      </w:r>
      <w:r w:rsidRPr="000163F4">
        <w:t xml:space="preserve"> acknowledged that this may also include people with a uterus who are non-female identifying.</w:t>
      </w:r>
    </w:p>
  </w:footnote>
  <w:footnote w:id="7">
    <w:p w14:paraId="13CFF97A" w14:textId="5298F86A" w:rsidR="00183BFB" w:rsidRDefault="00183BFB">
      <w:pPr>
        <w:pStyle w:val="FootnoteText"/>
      </w:pPr>
      <w:r>
        <w:rPr>
          <w:rStyle w:val="FootnoteReference"/>
        </w:rPr>
        <w:footnoteRef/>
      </w:r>
      <w:r>
        <w:t xml:space="preserve"> </w:t>
      </w:r>
      <w:r w:rsidRPr="00183BFB">
        <w:t xml:space="preserve"> ‘Sexual exposure’ refers to the sex of the sexual contact of the notified case and can be reported as either: person (s) of different sex only; person (s) of same sex only; person (s) of different sex AND person(s) of same sex; and sexual exposure unknown.</w:t>
      </w:r>
    </w:p>
  </w:footnote>
  <w:footnote w:id="8">
    <w:p w14:paraId="3DABD676" w14:textId="1214BD3B" w:rsidR="00183BFB" w:rsidRDefault="00183BFB">
      <w:pPr>
        <w:pStyle w:val="FootnoteText"/>
      </w:pPr>
      <w:r>
        <w:rPr>
          <w:rStyle w:val="FootnoteReference"/>
        </w:rPr>
        <w:footnoteRef/>
      </w:r>
      <w:r>
        <w:t xml:space="preserve"> </w:t>
      </w:r>
      <w:r w:rsidRPr="00183BFB">
        <w:t>Late diagnosis is defined as a diagnosis of infection within 30 days prior to delivery, at birth (day of delivery), or post birth.</w:t>
      </w:r>
    </w:p>
  </w:footnote>
  <w:footnote w:id="9">
    <w:p w14:paraId="05C28A9F" w14:textId="5D31142D" w:rsidR="00183BFB" w:rsidRDefault="00183BFB">
      <w:pPr>
        <w:pStyle w:val="FootnoteText"/>
      </w:pPr>
      <w:r>
        <w:rPr>
          <w:rStyle w:val="FootnoteReference"/>
        </w:rPr>
        <w:footnoteRef/>
      </w:r>
      <w:r>
        <w:t xml:space="preserve"> Treatment is considered adequate if a stage-appropriate penicillin-containing regimen is administered 30 days or more prior to delivery and all antenatal and delivery pathology were performed and results verified with no evidence of reinfection.</w:t>
      </w:r>
    </w:p>
  </w:footnote>
  <w:footnote w:id="10">
    <w:p w14:paraId="4F78B069" w14:textId="63F5A407" w:rsidR="009723F9" w:rsidRDefault="009723F9">
      <w:pPr>
        <w:pStyle w:val="FootnoteText"/>
      </w:pPr>
      <w:r>
        <w:rPr>
          <w:rStyle w:val="FootnoteReference"/>
        </w:rPr>
        <w:footnoteRef/>
      </w:r>
      <w:r>
        <w:t xml:space="preserve"> </w:t>
      </w:r>
      <w:r w:rsidRPr="009723F9">
        <w:t>Reinfection is generally diagnosed on the basis of changes in RPR titre. A four-fold or two-titre rise in RPR, e.g. 1 in 2 to 1 in 8, following previous adequate treatment is considered a re-infection</w:t>
      </w:r>
      <w:r>
        <w:t>.</w:t>
      </w:r>
    </w:p>
  </w:footnote>
  <w:footnote w:id="11">
    <w:p w14:paraId="65180B29" w14:textId="33FCA342" w:rsidR="009723F9" w:rsidRDefault="009723F9">
      <w:pPr>
        <w:pStyle w:val="FootnoteText"/>
      </w:pPr>
      <w:r>
        <w:rPr>
          <w:rStyle w:val="FootnoteReference"/>
        </w:rPr>
        <w:footnoteRef/>
      </w:r>
      <w:r>
        <w:t xml:space="preserve"> </w:t>
      </w:r>
      <w:r w:rsidRPr="009723F9">
        <w:t>Current pregnancy refers to the pregnancy when the maternal notification was made.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5E740" w14:textId="448E9D53" w:rsidR="00751A23" w:rsidRDefault="00751A23" w:rsidP="00934368">
    <w:pPr>
      <w:pStyle w:val="Header"/>
    </w:pPr>
    <w:r>
      <w:rPr>
        <w:noProof/>
        <w:lang w:eastAsia="en-AU"/>
      </w:rPr>
      <w:drawing>
        <wp:anchor distT="0" distB="0" distL="114300" distR="114300" simplePos="0" relativeHeight="251657728" behindDoc="1" locked="1" layoutInCell="1" allowOverlap="1" wp14:anchorId="4FBA4D40" wp14:editId="393279F9">
          <wp:simplePos x="0" y="0"/>
          <wp:positionH relativeFrom="page">
            <wp:posOffset>0</wp:posOffset>
          </wp:positionH>
          <wp:positionV relativeFrom="page">
            <wp:posOffset>-28575</wp:posOffset>
          </wp:positionV>
          <wp:extent cx="7559040" cy="10684510"/>
          <wp:effectExtent l="0" t="0" r="3810" b="2540"/>
          <wp:wrapNone/>
          <wp:docPr id="1926715256" name="Picture 1926715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24365" name="Picture 80742436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9F5AD" w14:textId="23C09D41" w:rsidR="00971A72" w:rsidRDefault="00971A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B328F" w14:textId="2FBBF53C" w:rsidR="008E0C77" w:rsidRDefault="008E0C77" w:rsidP="00934368">
    <w:pPr>
      <w:pStyle w:val="Header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D45AC" w14:textId="2D1BEF85" w:rsidR="00971A72" w:rsidRDefault="00971A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B1E62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2A42AD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F527F8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B60926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43A2D3E"/>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B6A208E0"/>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346534E"/>
    <w:multiLevelType w:val="hybridMultilevel"/>
    <w:tmpl w:val="5276FBDE"/>
    <w:lvl w:ilvl="0" w:tplc="420415D0">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E1285B"/>
    <w:multiLevelType w:val="hybridMultilevel"/>
    <w:tmpl w:val="AD760476"/>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1"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613727"/>
    <w:multiLevelType w:val="hybridMultilevel"/>
    <w:tmpl w:val="61EAC706"/>
    <w:lvl w:ilvl="0" w:tplc="A5566CAE">
      <w:start w:val="6"/>
      <w:numFmt w:val="bullet"/>
      <w:pStyle w:val="Boxtypelistbullet"/>
      <w:lvlText w:val=""/>
      <w:lvlJc w:val="left"/>
      <w:pPr>
        <w:ind w:left="587" w:hanging="360"/>
      </w:pPr>
      <w:rPr>
        <w:rFonts w:ascii="Wingdings 2" w:eastAsiaTheme="majorEastAsia" w:hAnsi="Wingdings 2" w:cs="Arial" w:hint="default"/>
        <w:b/>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3" w15:restartNumberingAfterBreak="0">
    <w:nsid w:val="0CD737E7"/>
    <w:multiLevelType w:val="hybridMultilevel"/>
    <w:tmpl w:val="A63A8E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327EF7"/>
    <w:multiLevelType w:val="multilevel"/>
    <w:tmpl w:val="4BE60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10D5D0D"/>
    <w:multiLevelType w:val="hybridMultilevel"/>
    <w:tmpl w:val="150A84D0"/>
    <w:lvl w:ilvl="0" w:tplc="0ADAC626">
      <w:numFmt w:val="bullet"/>
      <w:lvlText w:val=""/>
      <w:lvlJc w:val="left"/>
      <w:pPr>
        <w:ind w:left="587" w:hanging="360"/>
      </w:pPr>
      <w:rPr>
        <w:rFonts w:ascii="Symbol" w:eastAsia="Times New Roman" w:hAnsi="Symbol" w:cs="Aria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6"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8F7AC0"/>
    <w:multiLevelType w:val="hybridMultilevel"/>
    <w:tmpl w:val="878ED5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41F2101"/>
    <w:multiLevelType w:val="hybridMultilevel"/>
    <w:tmpl w:val="2B804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9205A0"/>
    <w:multiLevelType w:val="hybridMultilevel"/>
    <w:tmpl w:val="90663FA6"/>
    <w:lvl w:ilvl="0" w:tplc="CC4CFD8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965411F"/>
    <w:multiLevelType w:val="hybridMultilevel"/>
    <w:tmpl w:val="035A120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B408D3"/>
    <w:multiLevelType w:val="hybridMultilevel"/>
    <w:tmpl w:val="7E085A92"/>
    <w:lvl w:ilvl="0" w:tplc="253AA514">
      <w:start w:val="202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389E48B5"/>
    <w:multiLevelType w:val="hybridMultilevel"/>
    <w:tmpl w:val="4492F312"/>
    <w:lvl w:ilvl="0" w:tplc="2BF84A2E">
      <w:start w:val="202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49993F1C"/>
    <w:multiLevelType w:val="hybridMultilevel"/>
    <w:tmpl w:val="316A3EF8"/>
    <w:lvl w:ilvl="0" w:tplc="7BD65BC0">
      <w:numFmt w:val="bullet"/>
      <w:lvlText w:val="–"/>
      <w:lvlJc w:val="left"/>
      <w:pPr>
        <w:ind w:left="947" w:hanging="360"/>
      </w:pPr>
      <w:rPr>
        <w:rFonts w:ascii="Arial" w:eastAsiaTheme="majorEastAsia" w:hAnsi="Arial" w:cs="Aria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7" w15:restartNumberingAfterBreak="0">
    <w:nsid w:val="4A1421A0"/>
    <w:multiLevelType w:val="hybridMultilevel"/>
    <w:tmpl w:val="80EC4182"/>
    <w:lvl w:ilvl="0" w:tplc="6EB23BDA">
      <w:numFmt w:val="bullet"/>
      <w:lvlText w:val="–"/>
      <w:lvlJc w:val="left"/>
      <w:pPr>
        <w:ind w:left="587" w:hanging="360"/>
      </w:pPr>
      <w:rPr>
        <w:rFonts w:ascii="Arial" w:eastAsiaTheme="majorEastAsia" w:hAnsi="Arial" w:cs="Aria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28"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853E3B"/>
    <w:multiLevelType w:val="hybridMultilevel"/>
    <w:tmpl w:val="CB982F0E"/>
    <w:lvl w:ilvl="0" w:tplc="154C5F98">
      <w:start w:val="6"/>
      <w:numFmt w:val="bullet"/>
      <w:lvlText w:val="-"/>
      <w:lvlJc w:val="left"/>
      <w:pPr>
        <w:ind w:left="720" w:hanging="360"/>
      </w:pPr>
      <w:rPr>
        <w:rFonts w:ascii="Arial" w:eastAsia="Times New Roman" w:hAnsi="Arial" w:cs="Arial" w:hint="default"/>
        <w:b w:val="0"/>
        <w:color w:val="033636"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2C8187E"/>
    <w:multiLevelType w:val="hybridMultilevel"/>
    <w:tmpl w:val="85160C06"/>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54185AF0"/>
    <w:multiLevelType w:val="hybridMultilevel"/>
    <w:tmpl w:val="BC86F832"/>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5CB0B0F"/>
    <w:multiLevelType w:val="multilevel"/>
    <w:tmpl w:val="7AB4C0C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15F42F3"/>
    <w:multiLevelType w:val="hybridMultilevel"/>
    <w:tmpl w:val="9F061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DF6E17"/>
    <w:multiLevelType w:val="hybridMultilevel"/>
    <w:tmpl w:val="7250D0B8"/>
    <w:lvl w:ilvl="0" w:tplc="3BC66F18">
      <w:numFmt w:val="bullet"/>
      <w:lvlText w:val="–"/>
      <w:lvlJc w:val="left"/>
      <w:pPr>
        <w:ind w:left="947" w:hanging="360"/>
      </w:pPr>
      <w:rPr>
        <w:rFonts w:ascii="Arial" w:eastAsiaTheme="majorEastAsia" w:hAnsi="Arial" w:cs="Aria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6" w15:restartNumberingAfterBreak="0">
    <w:nsid w:val="67FD1297"/>
    <w:multiLevelType w:val="hybridMultilevel"/>
    <w:tmpl w:val="DA1E623A"/>
    <w:lvl w:ilvl="0" w:tplc="398C1C4C">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5B2A98"/>
    <w:multiLevelType w:val="hybridMultilevel"/>
    <w:tmpl w:val="19261A54"/>
    <w:lvl w:ilvl="0" w:tplc="8ED2738A">
      <w:numFmt w:val="bullet"/>
      <w:lvlText w:val="–"/>
      <w:lvlJc w:val="left"/>
      <w:pPr>
        <w:ind w:left="587" w:hanging="360"/>
      </w:pPr>
      <w:rPr>
        <w:rFonts w:ascii="Arial" w:eastAsiaTheme="majorEastAsia" w:hAnsi="Arial" w:cs="Arial" w:hint="default"/>
        <w:b/>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40" w15:restartNumberingAfterBreak="0">
    <w:nsid w:val="71A069FB"/>
    <w:multiLevelType w:val="hybridMultilevel"/>
    <w:tmpl w:val="68248960"/>
    <w:lvl w:ilvl="0" w:tplc="A926B98A">
      <w:numFmt w:val="bullet"/>
      <w:lvlText w:val=""/>
      <w:lvlJc w:val="left"/>
      <w:pPr>
        <w:ind w:left="587" w:hanging="360"/>
      </w:pPr>
      <w:rPr>
        <w:rFonts w:ascii="Symbol" w:eastAsia="Times New Roman" w:hAnsi="Symbol" w:cs="Arial" w:hint="default"/>
        <w:b/>
      </w:rPr>
    </w:lvl>
    <w:lvl w:ilvl="1" w:tplc="0C090003">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41" w15:restartNumberingAfterBreak="0">
    <w:nsid w:val="7E391716"/>
    <w:multiLevelType w:val="hybridMultilevel"/>
    <w:tmpl w:val="5268E0E8"/>
    <w:lvl w:ilvl="0" w:tplc="3F782C94">
      <w:numFmt w:val="bullet"/>
      <w:pStyle w:val="ListBullet2"/>
      <w:lvlText w:val="-"/>
      <w:lvlJc w:val="left"/>
      <w:pPr>
        <w:ind w:left="1004" w:hanging="360"/>
      </w:pPr>
      <w:rPr>
        <w:rFonts w:ascii="Arial" w:eastAsia="Times New Roman" w:hAnsi="Arial" w:cs="Aria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528762181">
    <w:abstractNumId w:val="7"/>
  </w:num>
  <w:num w:numId="2" w16cid:durableId="1909879506">
    <w:abstractNumId w:val="30"/>
  </w:num>
  <w:num w:numId="3" w16cid:durableId="855316002">
    <w:abstractNumId w:val="38"/>
  </w:num>
  <w:num w:numId="4" w16cid:durableId="819270231">
    <w:abstractNumId w:val="8"/>
  </w:num>
  <w:num w:numId="5" w16cid:durableId="624852735">
    <w:abstractNumId w:val="8"/>
    <w:lvlOverride w:ilvl="0">
      <w:startOverride w:val="1"/>
    </w:lvlOverride>
  </w:num>
  <w:num w:numId="6" w16cid:durableId="1471367351">
    <w:abstractNumId w:val="11"/>
  </w:num>
  <w:num w:numId="7" w16cid:durableId="314646392">
    <w:abstractNumId w:val="25"/>
  </w:num>
  <w:num w:numId="8" w16cid:durableId="1499927305">
    <w:abstractNumId w:val="37"/>
  </w:num>
  <w:num w:numId="9" w16cid:durableId="251470545">
    <w:abstractNumId w:val="5"/>
  </w:num>
  <w:num w:numId="10" w16cid:durableId="716706801">
    <w:abstractNumId w:val="4"/>
  </w:num>
  <w:num w:numId="11" w16cid:durableId="1328676878">
    <w:abstractNumId w:val="3"/>
  </w:num>
  <w:num w:numId="12" w16cid:durableId="541094559">
    <w:abstractNumId w:val="2"/>
  </w:num>
  <w:num w:numId="13" w16cid:durableId="1793085349">
    <w:abstractNumId w:val="6"/>
  </w:num>
  <w:num w:numId="14" w16cid:durableId="533345085">
    <w:abstractNumId w:val="1"/>
  </w:num>
  <w:num w:numId="15" w16cid:durableId="366374500">
    <w:abstractNumId w:val="0"/>
  </w:num>
  <w:num w:numId="16" w16cid:durableId="917133387">
    <w:abstractNumId w:val="41"/>
  </w:num>
  <w:num w:numId="17" w16cid:durableId="613557283">
    <w:abstractNumId w:val="16"/>
  </w:num>
  <w:num w:numId="18" w16cid:durableId="816261399">
    <w:abstractNumId w:val="19"/>
  </w:num>
  <w:num w:numId="19" w16cid:durableId="1097212103">
    <w:abstractNumId w:val="23"/>
  </w:num>
  <w:num w:numId="20" w16cid:durableId="1939170792">
    <w:abstractNumId w:val="16"/>
  </w:num>
  <w:num w:numId="21" w16cid:durableId="28997209">
    <w:abstractNumId w:val="23"/>
  </w:num>
  <w:num w:numId="22" w16cid:durableId="1504319644">
    <w:abstractNumId w:val="41"/>
  </w:num>
  <w:num w:numId="23" w16cid:durableId="1823959635">
    <w:abstractNumId w:val="30"/>
  </w:num>
  <w:num w:numId="24" w16cid:durableId="1449813617">
    <w:abstractNumId w:val="38"/>
  </w:num>
  <w:num w:numId="25" w16cid:durableId="1444181194">
    <w:abstractNumId w:val="8"/>
  </w:num>
  <w:num w:numId="26" w16cid:durableId="605428677">
    <w:abstractNumId w:val="28"/>
  </w:num>
  <w:num w:numId="27" w16cid:durableId="1082065217">
    <w:abstractNumId w:val="6"/>
  </w:num>
  <w:num w:numId="28" w16cid:durableId="923076237">
    <w:abstractNumId w:val="13"/>
  </w:num>
  <w:num w:numId="29" w16cid:durableId="101729763">
    <w:abstractNumId w:val="33"/>
  </w:num>
  <w:num w:numId="30" w16cid:durableId="318730513">
    <w:abstractNumId w:val="34"/>
  </w:num>
  <w:num w:numId="31" w16cid:durableId="900751446">
    <w:abstractNumId w:val="29"/>
  </w:num>
  <w:num w:numId="32" w16cid:durableId="2119375623">
    <w:abstractNumId w:val="9"/>
  </w:num>
  <w:num w:numId="33" w16cid:durableId="2123571208">
    <w:abstractNumId w:val="22"/>
  </w:num>
  <w:num w:numId="34" w16cid:durableId="1026444870">
    <w:abstractNumId w:val="24"/>
  </w:num>
  <w:num w:numId="35" w16cid:durableId="1421022042">
    <w:abstractNumId w:val="18"/>
  </w:num>
  <w:num w:numId="36" w16cid:durableId="1779642167">
    <w:abstractNumId w:val="14"/>
  </w:num>
  <w:num w:numId="37" w16cid:durableId="1104230295">
    <w:abstractNumId w:val="32"/>
  </w:num>
  <w:num w:numId="38" w16cid:durableId="1914659115">
    <w:abstractNumId w:val="21"/>
  </w:num>
  <w:num w:numId="39" w16cid:durableId="1749155995">
    <w:abstractNumId w:val="20"/>
  </w:num>
  <w:num w:numId="40" w16cid:durableId="1331642744">
    <w:abstractNumId w:val="40"/>
  </w:num>
  <w:num w:numId="41" w16cid:durableId="1198160136">
    <w:abstractNumId w:val="15"/>
  </w:num>
  <w:num w:numId="42" w16cid:durableId="1950430139">
    <w:abstractNumId w:val="17"/>
  </w:num>
  <w:num w:numId="43" w16cid:durableId="962660180">
    <w:abstractNumId w:val="31"/>
  </w:num>
  <w:num w:numId="44" w16cid:durableId="843712482">
    <w:abstractNumId w:val="10"/>
  </w:num>
  <w:num w:numId="45" w16cid:durableId="849224032">
    <w:abstractNumId w:val="36"/>
  </w:num>
  <w:num w:numId="46" w16cid:durableId="1159076931">
    <w:abstractNumId w:val="12"/>
  </w:num>
  <w:num w:numId="47" w16cid:durableId="943731663">
    <w:abstractNumId w:val="39"/>
  </w:num>
  <w:num w:numId="48" w16cid:durableId="1720782472">
    <w:abstractNumId w:val="35"/>
  </w:num>
  <w:num w:numId="49" w16cid:durableId="1211187489">
    <w:abstractNumId w:val="26"/>
  </w:num>
  <w:num w:numId="50" w16cid:durableId="51400420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Arial&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err5wt9dra05fetxw4p02tp0vtzztp05ef0&quot;&gt;CDI syphilis My EndNote Library&lt;record-ids&gt;&lt;item&gt;12&lt;/item&gt;&lt;item&gt;17&lt;/item&gt;&lt;item&gt;18&lt;/item&gt;&lt;item&gt;19&lt;/item&gt;&lt;item&gt;20&lt;/item&gt;&lt;item&gt;21&lt;/item&gt;&lt;item&gt;22&lt;/item&gt;&lt;item&gt;23&lt;/item&gt;&lt;item&gt;24&lt;/item&gt;&lt;item&gt;25&lt;/item&gt;&lt;item&gt;26&lt;/item&gt;&lt;item&gt;27&lt;/item&gt;&lt;item&gt;28&lt;/item&gt;&lt;item&gt;29&lt;/item&gt;&lt;item&gt;30&lt;/item&gt;&lt;/record-ids&gt;&lt;/item&gt;&lt;/Libraries&gt;"/>
  </w:docVars>
  <w:rsids>
    <w:rsidRoot w:val="00575467"/>
    <w:rsid w:val="00001F41"/>
    <w:rsid w:val="00003743"/>
    <w:rsid w:val="000047B4"/>
    <w:rsid w:val="00005712"/>
    <w:rsid w:val="00007FD8"/>
    <w:rsid w:val="000117F8"/>
    <w:rsid w:val="00012844"/>
    <w:rsid w:val="00012DE1"/>
    <w:rsid w:val="00016B86"/>
    <w:rsid w:val="0001745E"/>
    <w:rsid w:val="0002015F"/>
    <w:rsid w:val="00026139"/>
    <w:rsid w:val="00027071"/>
    <w:rsid w:val="0002723F"/>
    <w:rsid w:val="00027601"/>
    <w:rsid w:val="0003232C"/>
    <w:rsid w:val="00033321"/>
    <w:rsid w:val="000338E5"/>
    <w:rsid w:val="00033ECC"/>
    <w:rsid w:val="0003422F"/>
    <w:rsid w:val="00046FF0"/>
    <w:rsid w:val="0004780D"/>
    <w:rsid w:val="00050176"/>
    <w:rsid w:val="00053E25"/>
    <w:rsid w:val="00060EE0"/>
    <w:rsid w:val="0006215A"/>
    <w:rsid w:val="00062812"/>
    <w:rsid w:val="00062A57"/>
    <w:rsid w:val="00062B65"/>
    <w:rsid w:val="00066936"/>
    <w:rsid w:val="00067456"/>
    <w:rsid w:val="00071506"/>
    <w:rsid w:val="0007154F"/>
    <w:rsid w:val="00081AB1"/>
    <w:rsid w:val="000869EE"/>
    <w:rsid w:val="00090316"/>
    <w:rsid w:val="0009083B"/>
    <w:rsid w:val="00093981"/>
    <w:rsid w:val="00093CD9"/>
    <w:rsid w:val="00095A02"/>
    <w:rsid w:val="000A5B18"/>
    <w:rsid w:val="000B0410"/>
    <w:rsid w:val="000B067A"/>
    <w:rsid w:val="000B1540"/>
    <w:rsid w:val="000B33FD"/>
    <w:rsid w:val="000B4ABA"/>
    <w:rsid w:val="000B6BEC"/>
    <w:rsid w:val="000C0EA7"/>
    <w:rsid w:val="000C4B16"/>
    <w:rsid w:val="000C50C3"/>
    <w:rsid w:val="000C7C61"/>
    <w:rsid w:val="000D21F6"/>
    <w:rsid w:val="000D3F75"/>
    <w:rsid w:val="000D42C3"/>
    <w:rsid w:val="000D4500"/>
    <w:rsid w:val="000D4D03"/>
    <w:rsid w:val="000D7AEA"/>
    <w:rsid w:val="000E01A9"/>
    <w:rsid w:val="000E19D9"/>
    <w:rsid w:val="000E2C66"/>
    <w:rsid w:val="000E3DC3"/>
    <w:rsid w:val="000E63AB"/>
    <w:rsid w:val="000E6E7D"/>
    <w:rsid w:val="000F097F"/>
    <w:rsid w:val="000F123C"/>
    <w:rsid w:val="000F2FED"/>
    <w:rsid w:val="000F7134"/>
    <w:rsid w:val="001014A1"/>
    <w:rsid w:val="0010616D"/>
    <w:rsid w:val="00106831"/>
    <w:rsid w:val="00110478"/>
    <w:rsid w:val="00113354"/>
    <w:rsid w:val="0011711B"/>
    <w:rsid w:val="00117F8A"/>
    <w:rsid w:val="00121B9B"/>
    <w:rsid w:val="00122ADC"/>
    <w:rsid w:val="00127F58"/>
    <w:rsid w:val="00130F59"/>
    <w:rsid w:val="00133EC0"/>
    <w:rsid w:val="0013633C"/>
    <w:rsid w:val="00141CE5"/>
    <w:rsid w:val="00144908"/>
    <w:rsid w:val="00150333"/>
    <w:rsid w:val="0015210A"/>
    <w:rsid w:val="00153F27"/>
    <w:rsid w:val="001571C7"/>
    <w:rsid w:val="00161094"/>
    <w:rsid w:val="00171C1E"/>
    <w:rsid w:val="00172A55"/>
    <w:rsid w:val="001758CD"/>
    <w:rsid w:val="0017665C"/>
    <w:rsid w:val="00177AD2"/>
    <w:rsid w:val="001815A8"/>
    <w:rsid w:val="00182D4C"/>
    <w:rsid w:val="00183BFB"/>
    <w:rsid w:val="001840FA"/>
    <w:rsid w:val="001857B4"/>
    <w:rsid w:val="00185C53"/>
    <w:rsid w:val="00190079"/>
    <w:rsid w:val="0019475A"/>
    <w:rsid w:val="0019622E"/>
    <w:rsid w:val="001966A7"/>
    <w:rsid w:val="001A4627"/>
    <w:rsid w:val="001A4979"/>
    <w:rsid w:val="001A63F2"/>
    <w:rsid w:val="001B15D3"/>
    <w:rsid w:val="001B3443"/>
    <w:rsid w:val="001C0326"/>
    <w:rsid w:val="001C192F"/>
    <w:rsid w:val="001C3C42"/>
    <w:rsid w:val="001C5C93"/>
    <w:rsid w:val="001D0B53"/>
    <w:rsid w:val="001D4748"/>
    <w:rsid w:val="001D7869"/>
    <w:rsid w:val="001E3D34"/>
    <w:rsid w:val="001F109B"/>
    <w:rsid w:val="001F2F78"/>
    <w:rsid w:val="001F4F6A"/>
    <w:rsid w:val="001F507B"/>
    <w:rsid w:val="002009C7"/>
    <w:rsid w:val="002026CD"/>
    <w:rsid w:val="00202783"/>
    <w:rsid w:val="002033FC"/>
    <w:rsid w:val="002044BB"/>
    <w:rsid w:val="00210B09"/>
    <w:rsid w:val="00210C9E"/>
    <w:rsid w:val="00210D46"/>
    <w:rsid w:val="00211840"/>
    <w:rsid w:val="0021216D"/>
    <w:rsid w:val="0021240E"/>
    <w:rsid w:val="00216DF1"/>
    <w:rsid w:val="00220E5F"/>
    <w:rsid w:val="002212B5"/>
    <w:rsid w:val="00226668"/>
    <w:rsid w:val="00233809"/>
    <w:rsid w:val="00236F04"/>
    <w:rsid w:val="00240046"/>
    <w:rsid w:val="00240A3A"/>
    <w:rsid w:val="0024797F"/>
    <w:rsid w:val="00250437"/>
    <w:rsid w:val="0025089E"/>
    <w:rsid w:val="0025119E"/>
    <w:rsid w:val="00251269"/>
    <w:rsid w:val="002535C0"/>
    <w:rsid w:val="002566DF"/>
    <w:rsid w:val="002579FE"/>
    <w:rsid w:val="0026311C"/>
    <w:rsid w:val="0026668C"/>
    <w:rsid w:val="00266AC1"/>
    <w:rsid w:val="00271386"/>
    <w:rsid w:val="0027178C"/>
    <w:rsid w:val="002719FA"/>
    <w:rsid w:val="00272668"/>
    <w:rsid w:val="0027330B"/>
    <w:rsid w:val="002803AD"/>
    <w:rsid w:val="00281F5F"/>
    <w:rsid w:val="00282052"/>
    <w:rsid w:val="0028519E"/>
    <w:rsid w:val="002856A5"/>
    <w:rsid w:val="002872ED"/>
    <w:rsid w:val="002905C2"/>
    <w:rsid w:val="00295AF2"/>
    <w:rsid w:val="00295C91"/>
    <w:rsid w:val="00297151"/>
    <w:rsid w:val="00297F7B"/>
    <w:rsid w:val="002A0910"/>
    <w:rsid w:val="002A3912"/>
    <w:rsid w:val="002A66A7"/>
    <w:rsid w:val="002B20E6"/>
    <w:rsid w:val="002B378F"/>
    <w:rsid w:val="002B38EF"/>
    <w:rsid w:val="002B42A3"/>
    <w:rsid w:val="002B5EDD"/>
    <w:rsid w:val="002C0CDD"/>
    <w:rsid w:val="002C11DF"/>
    <w:rsid w:val="002C130C"/>
    <w:rsid w:val="002C212A"/>
    <w:rsid w:val="002C3DDE"/>
    <w:rsid w:val="002E1A1D"/>
    <w:rsid w:val="002E3591"/>
    <w:rsid w:val="002E4081"/>
    <w:rsid w:val="002E5B78"/>
    <w:rsid w:val="002E7377"/>
    <w:rsid w:val="002F1557"/>
    <w:rsid w:val="002F3AE3"/>
    <w:rsid w:val="0030464B"/>
    <w:rsid w:val="0030786C"/>
    <w:rsid w:val="00310033"/>
    <w:rsid w:val="0031244F"/>
    <w:rsid w:val="0031298B"/>
    <w:rsid w:val="003233DE"/>
    <w:rsid w:val="0032466B"/>
    <w:rsid w:val="00327B44"/>
    <w:rsid w:val="00327E3A"/>
    <w:rsid w:val="003330EB"/>
    <w:rsid w:val="003339CE"/>
    <w:rsid w:val="00336605"/>
    <w:rsid w:val="003415FD"/>
    <w:rsid w:val="003429F0"/>
    <w:rsid w:val="0034387B"/>
    <w:rsid w:val="0035097A"/>
    <w:rsid w:val="003540A4"/>
    <w:rsid w:val="00356833"/>
    <w:rsid w:val="00360E4E"/>
    <w:rsid w:val="00370AAA"/>
    <w:rsid w:val="00372A74"/>
    <w:rsid w:val="00372FA5"/>
    <w:rsid w:val="0037523C"/>
    <w:rsid w:val="00375F77"/>
    <w:rsid w:val="00377A78"/>
    <w:rsid w:val="00381BBE"/>
    <w:rsid w:val="00382903"/>
    <w:rsid w:val="003846FF"/>
    <w:rsid w:val="00385AD4"/>
    <w:rsid w:val="00387924"/>
    <w:rsid w:val="003909C5"/>
    <w:rsid w:val="0039252F"/>
    <w:rsid w:val="0039384D"/>
    <w:rsid w:val="00393B97"/>
    <w:rsid w:val="00395B0C"/>
    <w:rsid w:val="00395C23"/>
    <w:rsid w:val="003A1175"/>
    <w:rsid w:val="003A2E4F"/>
    <w:rsid w:val="003A4438"/>
    <w:rsid w:val="003A5013"/>
    <w:rsid w:val="003A5078"/>
    <w:rsid w:val="003A62DD"/>
    <w:rsid w:val="003A775A"/>
    <w:rsid w:val="003B0DAB"/>
    <w:rsid w:val="003B213A"/>
    <w:rsid w:val="003B43AD"/>
    <w:rsid w:val="003B7EF8"/>
    <w:rsid w:val="003C0FEC"/>
    <w:rsid w:val="003C15B8"/>
    <w:rsid w:val="003C2A76"/>
    <w:rsid w:val="003C2AC8"/>
    <w:rsid w:val="003C46A6"/>
    <w:rsid w:val="003D17F9"/>
    <w:rsid w:val="003D2D88"/>
    <w:rsid w:val="003D3182"/>
    <w:rsid w:val="003D41EA"/>
    <w:rsid w:val="003D4850"/>
    <w:rsid w:val="003D535A"/>
    <w:rsid w:val="003E3A8B"/>
    <w:rsid w:val="003E416F"/>
    <w:rsid w:val="003E5265"/>
    <w:rsid w:val="003F0955"/>
    <w:rsid w:val="003F6FE1"/>
    <w:rsid w:val="00400F00"/>
    <w:rsid w:val="004045C3"/>
    <w:rsid w:val="00404F8B"/>
    <w:rsid w:val="00405256"/>
    <w:rsid w:val="00410031"/>
    <w:rsid w:val="004115A2"/>
    <w:rsid w:val="004124D4"/>
    <w:rsid w:val="00415C81"/>
    <w:rsid w:val="00416731"/>
    <w:rsid w:val="004228A8"/>
    <w:rsid w:val="00423205"/>
    <w:rsid w:val="0042552A"/>
    <w:rsid w:val="00427CC0"/>
    <w:rsid w:val="00430240"/>
    <w:rsid w:val="00432378"/>
    <w:rsid w:val="00436E19"/>
    <w:rsid w:val="00440D65"/>
    <w:rsid w:val="004418DA"/>
    <w:rsid w:val="004435E6"/>
    <w:rsid w:val="0044402B"/>
    <w:rsid w:val="004449CC"/>
    <w:rsid w:val="00445596"/>
    <w:rsid w:val="00447E31"/>
    <w:rsid w:val="00453923"/>
    <w:rsid w:val="00454B9B"/>
    <w:rsid w:val="00455927"/>
    <w:rsid w:val="00457858"/>
    <w:rsid w:val="00460B0B"/>
    <w:rsid w:val="00461023"/>
    <w:rsid w:val="00462FAC"/>
    <w:rsid w:val="00464631"/>
    <w:rsid w:val="00464B79"/>
    <w:rsid w:val="00467BBF"/>
    <w:rsid w:val="00470F51"/>
    <w:rsid w:val="004718BD"/>
    <w:rsid w:val="00472F7F"/>
    <w:rsid w:val="004732E1"/>
    <w:rsid w:val="00474103"/>
    <w:rsid w:val="00480B21"/>
    <w:rsid w:val="004867E2"/>
    <w:rsid w:val="00487B2E"/>
    <w:rsid w:val="00490712"/>
    <w:rsid w:val="00490729"/>
    <w:rsid w:val="004929A9"/>
    <w:rsid w:val="004A1379"/>
    <w:rsid w:val="004A4B11"/>
    <w:rsid w:val="004C170D"/>
    <w:rsid w:val="004C2FEC"/>
    <w:rsid w:val="004C4A51"/>
    <w:rsid w:val="004C6BCF"/>
    <w:rsid w:val="004D1E5E"/>
    <w:rsid w:val="004D36AB"/>
    <w:rsid w:val="004D58BF"/>
    <w:rsid w:val="004E1B7C"/>
    <w:rsid w:val="004E2495"/>
    <w:rsid w:val="004E3245"/>
    <w:rsid w:val="004E4335"/>
    <w:rsid w:val="004E5ACF"/>
    <w:rsid w:val="004E6E28"/>
    <w:rsid w:val="004F13EE"/>
    <w:rsid w:val="004F2022"/>
    <w:rsid w:val="004F7C05"/>
    <w:rsid w:val="00501C94"/>
    <w:rsid w:val="00506432"/>
    <w:rsid w:val="0051005E"/>
    <w:rsid w:val="005111B9"/>
    <w:rsid w:val="0051242B"/>
    <w:rsid w:val="0052051D"/>
    <w:rsid w:val="00522431"/>
    <w:rsid w:val="00526DE9"/>
    <w:rsid w:val="005434DF"/>
    <w:rsid w:val="00545EE6"/>
    <w:rsid w:val="005470DB"/>
    <w:rsid w:val="00550653"/>
    <w:rsid w:val="005516A4"/>
    <w:rsid w:val="005550E7"/>
    <w:rsid w:val="005564FB"/>
    <w:rsid w:val="00556B73"/>
    <w:rsid w:val="005572C7"/>
    <w:rsid w:val="00561A36"/>
    <w:rsid w:val="005650ED"/>
    <w:rsid w:val="005727A3"/>
    <w:rsid w:val="00575467"/>
    <w:rsid w:val="00575754"/>
    <w:rsid w:val="0058617D"/>
    <w:rsid w:val="00591E20"/>
    <w:rsid w:val="00595408"/>
    <w:rsid w:val="00595E84"/>
    <w:rsid w:val="00597C06"/>
    <w:rsid w:val="00597D79"/>
    <w:rsid w:val="005A0C59"/>
    <w:rsid w:val="005A24A8"/>
    <w:rsid w:val="005A48EB"/>
    <w:rsid w:val="005A4CCC"/>
    <w:rsid w:val="005A6CFB"/>
    <w:rsid w:val="005B109A"/>
    <w:rsid w:val="005B3EA9"/>
    <w:rsid w:val="005B6FD3"/>
    <w:rsid w:val="005B734B"/>
    <w:rsid w:val="005C2F12"/>
    <w:rsid w:val="005C5AEB"/>
    <w:rsid w:val="005D7044"/>
    <w:rsid w:val="005E0A3F"/>
    <w:rsid w:val="005E6883"/>
    <w:rsid w:val="005E772F"/>
    <w:rsid w:val="005F4ECA"/>
    <w:rsid w:val="00601D57"/>
    <w:rsid w:val="006041BE"/>
    <w:rsid w:val="006043C7"/>
    <w:rsid w:val="00611697"/>
    <w:rsid w:val="00624B52"/>
    <w:rsid w:val="006265F7"/>
    <w:rsid w:val="00631DF4"/>
    <w:rsid w:val="00634175"/>
    <w:rsid w:val="00636EB0"/>
    <w:rsid w:val="006408AC"/>
    <w:rsid w:val="00640EF7"/>
    <w:rsid w:val="006471D4"/>
    <w:rsid w:val="006511B6"/>
    <w:rsid w:val="00652742"/>
    <w:rsid w:val="00655797"/>
    <w:rsid w:val="00657FF8"/>
    <w:rsid w:val="00665EF5"/>
    <w:rsid w:val="00670D99"/>
    <w:rsid w:val="00670E2B"/>
    <w:rsid w:val="00672743"/>
    <w:rsid w:val="006734BB"/>
    <w:rsid w:val="00681A34"/>
    <w:rsid w:val="006821EB"/>
    <w:rsid w:val="00697D67"/>
    <w:rsid w:val="006B2286"/>
    <w:rsid w:val="006B56BB"/>
    <w:rsid w:val="006C28B5"/>
    <w:rsid w:val="006C77A8"/>
    <w:rsid w:val="006D2C62"/>
    <w:rsid w:val="006D4098"/>
    <w:rsid w:val="006D7681"/>
    <w:rsid w:val="006D7B2E"/>
    <w:rsid w:val="006E02EA"/>
    <w:rsid w:val="006E0968"/>
    <w:rsid w:val="006E2AF6"/>
    <w:rsid w:val="006F156C"/>
    <w:rsid w:val="006F1E3C"/>
    <w:rsid w:val="006F698A"/>
    <w:rsid w:val="007004B4"/>
    <w:rsid w:val="00701275"/>
    <w:rsid w:val="00707F56"/>
    <w:rsid w:val="00711933"/>
    <w:rsid w:val="00713558"/>
    <w:rsid w:val="00720D08"/>
    <w:rsid w:val="0072529E"/>
    <w:rsid w:val="007263B9"/>
    <w:rsid w:val="007334F8"/>
    <w:rsid w:val="007339CD"/>
    <w:rsid w:val="007359D8"/>
    <w:rsid w:val="007362D4"/>
    <w:rsid w:val="007512F8"/>
    <w:rsid w:val="00751A23"/>
    <w:rsid w:val="0076672A"/>
    <w:rsid w:val="007670C9"/>
    <w:rsid w:val="00775E45"/>
    <w:rsid w:val="00776E74"/>
    <w:rsid w:val="007847A3"/>
    <w:rsid w:val="00785169"/>
    <w:rsid w:val="0078558D"/>
    <w:rsid w:val="00792723"/>
    <w:rsid w:val="00793E19"/>
    <w:rsid w:val="007954AB"/>
    <w:rsid w:val="00795808"/>
    <w:rsid w:val="007A14C5"/>
    <w:rsid w:val="007A3E38"/>
    <w:rsid w:val="007A4A10"/>
    <w:rsid w:val="007A67FC"/>
    <w:rsid w:val="007B090A"/>
    <w:rsid w:val="007B1760"/>
    <w:rsid w:val="007B3D03"/>
    <w:rsid w:val="007B6950"/>
    <w:rsid w:val="007C6D9C"/>
    <w:rsid w:val="007C7539"/>
    <w:rsid w:val="007C7DDB"/>
    <w:rsid w:val="007D0227"/>
    <w:rsid w:val="007D0AEF"/>
    <w:rsid w:val="007D10AC"/>
    <w:rsid w:val="007D2CC7"/>
    <w:rsid w:val="007D5F72"/>
    <w:rsid w:val="007D673D"/>
    <w:rsid w:val="007D69DE"/>
    <w:rsid w:val="007E3F36"/>
    <w:rsid w:val="007E72C6"/>
    <w:rsid w:val="007F2220"/>
    <w:rsid w:val="007F4B3E"/>
    <w:rsid w:val="007F588A"/>
    <w:rsid w:val="007F766D"/>
    <w:rsid w:val="008036CA"/>
    <w:rsid w:val="008038FD"/>
    <w:rsid w:val="008100F2"/>
    <w:rsid w:val="008127AF"/>
    <w:rsid w:val="00812B46"/>
    <w:rsid w:val="00813E63"/>
    <w:rsid w:val="00815700"/>
    <w:rsid w:val="00815DD5"/>
    <w:rsid w:val="00817B70"/>
    <w:rsid w:val="008264EB"/>
    <w:rsid w:val="00826B8F"/>
    <w:rsid w:val="00831E8A"/>
    <w:rsid w:val="008322C0"/>
    <w:rsid w:val="00832A95"/>
    <w:rsid w:val="00835C76"/>
    <w:rsid w:val="00843049"/>
    <w:rsid w:val="00851DBA"/>
    <w:rsid w:val="0085209B"/>
    <w:rsid w:val="00856B66"/>
    <w:rsid w:val="00861A5F"/>
    <w:rsid w:val="00864492"/>
    <w:rsid w:val="008644AD"/>
    <w:rsid w:val="00865735"/>
    <w:rsid w:val="00865DDB"/>
    <w:rsid w:val="00867538"/>
    <w:rsid w:val="0087058B"/>
    <w:rsid w:val="00873D90"/>
    <w:rsid w:val="00873FC8"/>
    <w:rsid w:val="00876B31"/>
    <w:rsid w:val="0088469C"/>
    <w:rsid w:val="00884C63"/>
    <w:rsid w:val="00885908"/>
    <w:rsid w:val="008864B7"/>
    <w:rsid w:val="00893112"/>
    <w:rsid w:val="008936ED"/>
    <w:rsid w:val="0089677E"/>
    <w:rsid w:val="00896E8C"/>
    <w:rsid w:val="008A025C"/>
    <w:rsid w:val="008A47F4"/>
    <w:rsid w:val="008A4AEB"/>
    <w:rsid w:val="008A7438"/>
    <w:rsid w:val="008B1334"/>
    <w:rsid w:val="008C0278"/>
    <w:rsid w:val="008C24E9"/>
    <w:rsid w:val="008D0421"/>
    <w:rsid w:val="008D0533"/>
    <w:rsid w:val="008D385D"/>
    <w:rsid w:val="008D42CB"/>
    <w:rsid w:val="008D48C9"/>
    <w:rsid w:val="008D4DDC"/>
    <w:rsid w:val="008D5B79"/>
    <w:rsid w:val="008D6381"/>
    <w:rsid w:val="008E0C77"/>
    <w:rsid w:val="008E3958"/>
    <w:rsid w:val="008E625F"/>
    <w:rsid w:val="008E67F6"/>
    <w:rsid w:val="008F264D"/>
    <w:rsid w:val="008F3A9D"/>
    <w:rsid w:val="008F4D6D"/>
    <w:rsid w:val="008F58F9"/>
    <w:rsid w:val="009074E1"/>
    <w:rsid w:val="009112F7"/>
    <w:rsid w:val="009122AF"/>
    <w:rsid w:val="009127BC"/>
    <w:rsid w:val="00912D54"/>
    <w:rsid w:val="0091322F"/>
    <w:rsid w:val="0091389F"/>
    <w:rsid w:val="00913E5F"/>
    <w:rsid w:val="009208F7"/>
    <w:rsid w:val="00921D97"/>
    <w:rsid w:val="00922517"/>
    <w:rsid w:val="00922722"/>
    <w:rsid w:val="00923599"/>
    <w:rsid w:val="009261E6"/>
    <w:rsid w:val="009268E1"/>
    <w:rsid w:val="0093172F"/>
    <w:rsid w:val="00931C56"/>
    <w:rsid w:val="00932ECA"/>
    <w:rsid w:val="009330A8"/>
    <w:rsid w:val="00934368"/>
    <w:rsid w:val="009415CE"/>
    <w:rsid w:val="00945E7F"/>
    <w:rsid w:val="00946F5D"/>
    <w:rsid w:val="00950240"/>
    <w:rsid w:val="00950B10"/>
    <w:rsid w:val="00954020"/>
    <w:rsid w:val="009557C1"/>
    <w:rsid w:val="00956569"/>
    <w:rsid w:val="00960D6E"/>
    <w:rsid w:val="00962801"/>
    <w:rsid w:val="00971725"/>
    <w:rsid w:val="00971A72"/>
    <w:rsid w:val="00971C35"/>
    <w:rsid w:val="009723F9"/>
    <w:rsid w:val="00972A85"/>
    <w:rsid w:val="00972BC1"/>
    <w:rsid w:val="00974B59"/>
    <w:rsid w:val="0098066C"/>
    <w:rsid w:val="0098340B"/>
    <w:rsid w:val="00985B2C"/>
    <w:rsid w:val="00986830"/>
    <w:rsid w:val="009924C3"/>
    <w:rsid w:val="00993102"/>
    <w:rsid w:val="00996F59"/>
    <w:rsid w:val="009B0DB3"/>
    <w:rsid w:val="009B31B3"/>
    <w:rsid w:val="009C082D"/>
    <w:rsid w:val="009C28E9"/>
    <w:rsid w:val="009C4A39"/>
    <w:rsid w:val="009C5244"/>
    <w:rsid w:val="009C6F10"/>
    <w:rsid w:val="009C7AC3"/>
    <w:rsid w:val="009D148F"/>
    <w:rsid w:val="009D3D70"/>
    <w:rsid w:val="009D5119"/>
    <w:rsid w:val="009E29EC"/>
    <w:rsid w:val="009E66E0"/>
    <w:rsid w:val="009E6F7E"/>
    <w:rsid w:val="009E7A57"/>
    <w:rsid w:val="009F4231"/>
    <w:rsid w:val="009F4506"/>
    <w:rsid w:val="009F4F6A"/>
    <w:rsid w:val="009F72B3"/>
    <w:rsid w:val="009F7C1F"/>
    <w:rsid w:val="00A012D4"/>
    <w:rsid w:val="00A04084"/>
    <w:rsid w:val="00A04AE2"/>
    <w:rsid w:val="00A16E36"/>
    <w:rsid w:val="00A24961"/>
    <w:rsid w:val="00A24B10"/>
    <w:rsid w:val="00A30E9B"/>
    <w:rsid w:val="00A43D2B"/>
    <w:rsid w:val="00A44E66"/>
    <w:rsid w:val="00A4512D"/>
    <w:rsid w:val="00A50244"/>
    <w:rsid w:val="00A56F17"/>
    <w:rsid w:val="00A627D7"/>
    <w:rsid w:val="00A656C7"/>
    <w:rsid w:val="00A701C6"/>
    <w:rsid w:val="00A705AF"/>
    <w:rsid w:val="00A72454"/>
    <w:rsid w:val="00A73671"/>
    <w:rsid w:val="00A74345"/>
    <w:rsid w:val="00A76259"/>
    <w:rsid w:val="00A76335"/>
    <w:rsid w:val="00A77696"/>
    <w:rsid w:val="00A80557"/>
    <w:rsid w:val="00A81D33"/>
    <w:rsid w:val="00A92D82"/>
    <w:rsid w:val="00A930AE"/>
    <w:rsid w:val="00AA1A95"/>
    <w:rsid w:val="00AA260F"/>
    <w:rsid w:val="00AB1EE7"/>
    <w:rsid w:val="00AB24AA"/>
    <w:rsid w:val="00AB4B37"/>
    <w:rsid w:val="00AB5762"/>
    <w:rsid w:val="00AC2679"/>
    <w:rsid w:val="00AC4BE4"/>
    <w:rsid w:val="00AC6BF9"/>
    <w:rsid w:val="00AD05E6"/>
    <w:rsid w:val="00AD0D3F"/>
    <w:rsid w:val="00AD1C5A"/>
    <w:rsid w:val="00AE1D7D"/>
    <w:rsid w:val="00AE2A8B"/>
    <w:rsid w:val="00AE3F64"/>
    <w:rsid w:val="00AF1305"/>
    <w:rsid w:val="00AF3B24"/>
    <w:rsid w:val="00AF7386"/>
    <w:rsid w:val="00AF7934"/>
    <w:rsid w:val="00B00B81"/>
    <w:rsid w:val="00B01240"/>
    <w:rsid w:val="00B04580"/>
    <w:rsid w:val="00B04B09"/>
    <w:rsid w:val="00B059D7"/>
    <w:rsid w:val="00B11989"/>
    <w:rsid w:val="00B16A51"/>
    <w:rsid w:val="00B17D87"/>
    <w:rsid w:val="00B25440"/>
    <w:rsid w:val="00B32222"/>
    <w:rsid w:val="00B3618D"/>
    <w:rsid w:val="00B36233"/>
    <w:rsid w:val="00B37040"/>
    <w:rsid w:val="00B37A47"/>
    <w:rsid w:val="00B40730"/>
    <w:rsid w:val="00B42851"/>
    <w:rsid w:val="00B4449F"/>
    <w:rsid w:val="00B45AC7"/>
    <w:rsid w:val="00B5372F"/>
    <w:rsid w:val="00B56CB1"/>
    <w:rsid w:val="00B61129"/>
    <w:rsid w:val="00B6251A"/>
    <w:rsid w:val="00B67E7F"/>
    <w:rsid w:val="00B75A04"/>
    <w:rsid w:val="00B77D77"/>
    <w:rsid w:val="00B839B2"/>
    <w:rsid w:val="00B9209D"/>
    <w:rsid w:val="00B93AC0"/>
    <w:rsid w:val="00B94252"/>
    <w:rsid w:val="00B96A1E"/>
    <w:rsid w:val="00B9715A"/>
    <w:rsid w:val="00BA14BE"/>
    <w:rsid w:val="00BA2732"/>
    <w:rsid w:val="00BA293D"/>
    <w:rsid w:val="00BA3703"/>
    <w:rsid w:val="00BA49BC"/>
    <w:rsid w:val="00BA56B7"/>
    <w:rsid w:val="00BA7A1E"/>
    <w:rsid w:val="00BA7CA9"/>
    <w:rsid w:val="00BB2F6C"/>
    <w:rsid w:val="00BB3875"/>
    <w:rsid w:val="00BB5860"/>
    <w:rsid w:val="00BB6AAD"/>
    <w:rsid w:val="00BC0905"/>
    <w:rsid w:val="00BC14FC"/>
    <w:rsid w:val="00BC18A5"/>
    <w:rsid w:val="00BC4A19"/>
    <w:rsid w:val="00BC4E6D"/>
    <w:rsid w:val="00BC727F"/>
    <w:rsid w:val="00BD0344"/>
    <w:rsid w:val="00BD0617"/>
    <w:rsid w:val="00BD2E9B"/>
    <w:rsid w:val="00BF43A5"/>
    <w:rsid w:val="00BF7AD7"/>
    <w:rsid w:val="00C00930"/>
    <w:rsid w:val="00C02AC8"/>
    <w:rsid w:val="00C060AD"/>
    <w:rsid w:val="00C0670D"/>
    <w:rsid w:val="00C112FE"/>
    <w:rsid w:val="00C113BF"/>
    <w:rsid w:val="00C2176E"/>
    <w:rsid w:val="00C21B7B"/>
    <w:rsid w:val="00C23430"/>
    <w:rsid w:val="00C24CFF"/>
    <w:rsid w:val="00C27D67"/>
    <w:rsid w:val="00C341EB"/>
    <w:rsid w:val="00C355C7"/>
    <w:rsid w:val="00C4631F"/>
    <w:rsid w:val="00C50E16"/>
    <w:rsid w:val="00C55258"/>
    <w:rsid w:val="00C56A22"/>
    <w:rsid w:val="00C615CD"/>
    <w:rsid w:val="00C65DB6"/>
    <w:rsid w:val="00C70115"/>
    <w:rsid w:val="00C70E68"/>
    <w:rsid w:val="00C71072"/>
    <w:rsid w:val="00C71C31"/>
    <w:rsid w:val="00C822E2"/>
    <w:rsid w:val="00C82EEB"/>
    <w:rsid w:val="00C833A3"/>
    <w:rsid w:val="00C923CA"/>
    <w:rsid w:val="00C96319"/>
    <w:rsid w:val="00C971DC"/>
    <w:rsid w:val="00CA16B7"/>
    <w:rsid w:val="00CA4BE3"/>
    <w:rsid w:val="00CA62AE"/>
    <w:rsid w:val="00CB32B3"/>
    <w:rsid w:val="00CB5B1A"/>
    <w:rsid w:val="00CC220B"/>
    <w:rsid w:val="00CC5C43"/>
    <w:rsid w:val="00CC67A7"/>
    <w:rsid w:val="00CD02AE"/>
    <w:rsid w:val="00CD2A4F"/>
    <w:rsid w:val="00CE03CA"/>
    <w:rsid w:val="00CE22F1"/>
    <w:rsid w:val="00CE3E78"/>
    <w:rsid w:val="00CE50F2"/>
    <w:rsid w:val="00CE6502"/>
    <w:rsid w:val="00CF0C14"/>
    <w:rsid w:val="00CF5C55"/>
    <w:rsid w:val="00CF7D3C"/>
    <w:rsid w:val="00D03227"/>
    <w:rsid w:val="00D03933"/>
    <w:rsid w:val="00D073C1"/>
    <w:rsid w:val="00D07AE6"/>
    <w:rsid w:val="00D147EB"/>
    <w:rsid w:val="00D2353E"/>
    <w:rsid w:val="00D34667"/>
    <w:rsid w:val="00D3738F"/>
    <w:rsid w:val="00D401E1"/>
    <w:rsid w:val="00D408B4"/>
    <w:rsid w:val="00D41DFF"/>
    <w:rsid w:val="00D423B1"/>
    <w:rsid w:val="00D43FF7"/>
    <w:rsid w:val="00D45D94"/>
    <w:rsid w:val="00D51360"/>
    <w:rsid w:val="00D524C8"/>
    <w:rsid w:val="00D60E25"/>
    <w:rsid w:val="00D63CC6"/>
    <w:rsid w:val="00D66481"/>
    <w:rsid w:val="00D70E24"/>
    <w:rsid w:val="00D729D6"/>
    <w:rsid w:val="00D72B61"/>
    <w:rsid w:val="00D908F9"/>
    <w:rsid w:val="00DA3D1D"/>
    <w:rsid w:val="00DA3F85"/>
    <w:rsid w:val="00DB0138"/>
    <w:rsid w:val="00DB6286"/>
    <w:rsid w:val="00DB645F"/>
    <w:rsid w:val="00DB76E9"/>
    <w:rsid w:val="00DC0A67"/>
    <w:rsid w:val="00DC1D5E"/>
    <w:rsid w:val="00DC2313"/>
    <w:rsid w:val="00DC5220"/>
    <w:rsid w:val="00DC7910"/>
    <w:rsid w:val="00DD2061"/>
    <w:rsid w:val="00DD7DAB"/>
    <w:rsid w:val="00DE3355"/>
    <w:rsid w:val="00DE37B4"/>
    <w:rsid w:val="00DF45F4"/>
    <w:rsid w:val="00DF486F"/>
    <w:rsid w:val="00DF5B5B"/>
    <w:rsid w:val="00DF7619"/>
    <w:rsid w:val="00E01122"/>
    <w:rsid w:val="00E042D8"/>
    <w:rsid w:val="00E063D1"/>
    <w:rsid w:val="00E07EE7"/>
    <w:rsid w:val="00E1103B"/>
    <w:rsid w:val="00E11B0D"/>
    <w:rsid w:val="00E133A6"/>
    <w:rsid w:val="00E1788C"/>
    <w:rsid w:val="00E17B44"/>
    <w:rsid w:val="00E20DBB"/>
    <w:rsid w:val="00E27B3C"/>
    <w:rsid w:val="00E27FEA"/>
    <w:rsid w:val="00E30126"/>
    <w:rsid w:val="00E4086F"/>
    <w:rsid w:val="00E41EBC"/>
    <w:rsid w:val="00E43B3C"/>
    <w:rsid w:val="00E43EB6"/>
    <w:rsid w:val="00E50188"/>
    <w:rsid w:val="00E515CB"/>
    <w:rsid w:val="00E52260"/>
    <w:rsid w:val="00E52D2A"/>
    <w:rsid w:val="00E5494E"/>
    <w:rsid w:val="00E55047"/>
    <w:rsid w:val="00E61869"/>
    <w:rsid w:val="00E63280"/>
    <w:rsid w:val="00E639B6"/>
    <w:rsid w:val="00E6434B"/>
    <w:rsid w:val="00E6463D"/>
    <w:rsid w:val="00E67685"/>
    <w:rsid w:val="00E716D6"/>
    <w:rsid w:val="00E724CB"/>
    <w:rsid w:val="00E72E9B"/>
    <w:rsid w:val="00E74892"/>
    <w:rsid w:val="00E81710"/>
    <w:rsid w:val="00E81A6D"/>
    <w:rsid w:val="00E83E2C"/>
    <w:rsid w:val="00E849DA"/>
    <w:rsid w:val="00E92518"/>
    <w:rsid w:val="00E9462E"/>
    <w:rsid w:val="00EA470E"/>
    <w:rsid w:val="00EA47A7"/>
    <w:rsid w:val="00EA57EB"/>
    <w:rsid w:val="00EB3226"/>
    <w:rsid w:val="00EB729E"/>
    <w:rsid w:val="00EC213A"/>
    <w:rsid w:val="00EC6603"/>
    <w:rsid w:val="00EC7744"/>
    <w:rsid w:val="00ED0DAD"/>
    <w:rsid w:val="00ED0F46"/>
    <w:rsid w:val="00ED2373"/>
    <w:rsid w:val="00EE225D"/>
    <w:rsid w:val="00EE3A3B"/>
    <w:rsid w:val="00EE3E8A"/>
    <w:rsid w:val="00EE3F63"/>
    <w:rsid w:val="00EF6ECA"/>
    <w:rsid w:val="00F024E1"/>
    <w:rsid w:val="00F049F6"/>
    <w:rsid w:val="00F06C10"/>
    <w:rsid w:val="00F07026"/>
    <w:rsid w:val="00F10427"/>
    <w:rsid w:val="00F1096F"/>
    <w:rsid w:val="00F12589"/>
    <w:rsid w:val="00F12595"/>
    <w:rsid w:val="00F134D9"/>
    <w:rsid w:val="00F1403D"/>
    <w:rsid w:val="00F1463F"/>
    <w:rsid w:val="00F1738C"/>
    <w:rsid w:val="00F212F2"/>
    <w:rsid w:val="00F21302"/>
    <w:rsid w:val="00F21F6F"/>
    <w:rsid w:val="00F321DE"/>
    <w:rsid w:val="00F33777"/>
    <w:rsid w:val="00F40648"/>
    <w:rsid w:val="00F46CB4"/>
    <w:rsid w:val="00F47DA2"/>
    <w:rsid w:val="00F519FC"/>
    <w:rsid w:val="00F53163"/>
    <w:rsid w:val="00F6239D"/>
    <w:rsid w:val="00F6287F"/>
    <w:rsid w:val="00F66D2E"/>
    <w:rsid w:val="00F715D2"/>
    <w:rsid w:val="00F7274F"/>
    <w:rsid w:val="00F74D62"/>
    <w:rsid w:val="00F76FA8"/>
    <w:rsid w:val="00F864A6"/>
    <w:rsid w:val="00F900B2"/>
    <w:rsid w:val="00F9145B"/>
    <w:rsid w:val="00F93F08"/>
    <w:rsid w:val="00F94CED"/>
    <w:rsid w:val="00FA2CEE"/>
    <w:rsid w:val="00FA318C"/>
    <w:rsid w:val="00FA3C64"/>
    <w:rsid w:val="00FB09CC"/>
    <w:rsid w:val="00FB6F92"/>
    <w:rsid w:val="00FB7BF5"/>
    <w:rsid w:val="00FC026E"/>
    <w:rsid w:val="00FC4BCC"/>
    <w:rsid w:val="00FC5124"/>
    <w:rsid w:val="00FD4731"/>
    <w:rsid w:val="00FD7CB7"/>
    <w:rsid w:val="00FE48C5"/>
    <w:rsid w:val="00FF0AB0"/>
    <w:rsid w:val="00FF28AC"/>
    <w:rsid w:val="00FF44C1"/>
    <w:rsid w:val="00FF7F62"/>
    <w:rsid w:val="6F38042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E8094F"/>
  <w15:docId w15:val="{73C3412D-E9D8-46A8-8E1D-18ECEE97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20DBB"/>
    <w:pPr>
      <w:spacing w:before="120" w:after="120" w:line="276" w:lineRule="auto"/>
    </w:pPr>
    <w:rPr>
      <w:rFonts w:ascii="Arial" w:eastAsiaTheme="minorEastAsia" w:hAnsi="Arial"/>
      <w:color w:val="033636" w:themeColor="text1"/>
      <w:sz w:val="22"/>
      <w:szCs w:val="24"/>
      <w:lang w:eastAsia="en-US"/>
    </w:rPr>
  </w:style>
  <w:style w:type="paragraph" w:styleId="Heading1">
    <w:name w:val="heading 1"/>
    <w:next w:val="Normal"/>
    <w:qFormat/>
    <w:rsid w:val="002B378F"/>
    <w:pPr>
      <w:keepNext/>
      <w:spacing w:before="240" w:after="60"/>
      <w:outlineLvl w:val="0"/>
    </w:pPr>
    <w:rPr>
      <w:rFonts w:ascii="Arial" w:hAnsi="Arial" w:cs="Arial"/>
      <w:b/>
      <w:bCs/>
      <w:color w:val="033636" w:themeColor="text1"/>
      <w:kern w:val="28"/>
      <w:sz w:val="32"/>
      <w:szCs w:val="36"/>
      <w:lang w:eastAsia="en-US"/>
    </w:rPr>
  </w:style>
  <w:style w:type="paragraph" w:styleId="Heading2">
    <w:name w:val="heading 2"/>
    <w:next w:val="Normal"/>
    <w:qFormat/>
    <w:rsid w:val="007F766D"/>
    <w:pPr>
      <w:keepNext/>
      <w:spacing w:before="120" w:after="120" w:line="276" w:lineRule="auto"/>
      <w:outlineLvl w:val="1"/>
    </w:pPr>
    <w:rPr>
      <w:rFonts w:ascii="Arial" w:hAnsi="Arial" w:cs="Arial"/>
      <w:b/>
      <w:bCs/>
      <w:iCs/>
      <w:color w:val="033636" w:themeColor="text1"/>
      <w:sz w:val="22"/>
      <w:szCs w:val="28"/>
      <w:lang w:eastAsia="en-US"/>
    </w:rPr>
  </w:style>
  <w:style w:type="paragraph" w:styleId="Heading3">
    <w:name w:val="heading 3"/>
    <w:next w:val="Normal"/>
    <w:qFormat/>
    <w:rsid w:val="00E20DBB"/>
    <w:pPr>
      <w:keepNext/>
      <w:spacing w:before="180" w:after="60"/>
      <w:outlineLvl w:val="2"/>
    </w:pPr>
    <w:rPr>
      <w:rFonts w:ascii="Arial" w:eastAsiaTheme="majorEastAsia" w:hAnsi="Arial" w:cs="Arial"/>
      <w:b/>
      <w:bCs/>
      <w:color w:val="033636" w:themeColor="text1"/>
      <w:sz w:val="22"/>
      <w:szCs w:val="26"/>
      <w:lang w:eastAsia="en-US"/>
    </w:rPr>
  </w:style>
  <w:style w:type="paragraph" w:styleId="Heading4">
    <w:name w:val="heading 4"/>
    <w:basedOn w:val="Normal"/>
    <w:next w:val="Normal"/>
    <w:qFormat/>
    <w:rsid w:val="00985B2C"/>
    <w:pPr>
      <w:outlineLvl w:val="3"/>
    </w:pPr>
    <w:rPr>
      <w:i/>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qFormat/>
    <w:rsid w:val="009C5244"/>
    <w:rPr>
      <w:rFonts w:eastAsiaTheme="majorEastAsia"/>
      <w:b/>
      <w:bCs/>
    </w:rPr>
  </w:style>
  <w:style w:type="paragraph" w:styleId="Subtitle">
    <w:name w:val="Subtitle"/>
    <w:next w:val="Normal"/>
    <w:link w:val="SubtitleChar"/>
    <w:qFormat/>
    <w:rsid w:val="00C341EB"/>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C341EB"/>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341EB"/>
    <w:pPr>
      <w:spacing w:before="2640" w:after="120"/>
      <w:contextualSpacing/>
    </w:pPr>
    <w:rPr>
      <w:rFonts w:ascii="Arial" w:eastAsiaTheme="majorEastAsia" w:hAnsi="Arial" w:cstheme="majorBidi"/>
      <w:b/>
      <w:color w:val="033636" w:themeColor="text1"/>
      <w:kern w:val="28"/>
      <w:sz w:val="48"/>
      <w:szCs w:val="52"/>
      <w:lang w:eastAsia="en-US"/>
    </w:rPr>
  </w:style>
  <w:style w:type="character" w:customStyle="1" w:styleId="TitleChar">
    <w:name w:val="Title Char"/>
    <w:basedOn w:val="DefaultParagraphFont"/>
    <w:link w:val="Title"/>
    <w:rsid w:val="00C341EB"/>
    <w:rPr>
      <w:rFonts w:ascii="Arial" w:eastAsiaTheme="majorEastAsia" w:hAnsi="Arial" w:cstheme="majorBidi"/>
      <w:b/>
      <w:color w:val="033636" w:themeColor="text1"/>
      <w:kern w:val="28"/>
      <w:sz w:val="48"/>
      <w:szCs w:val="52"/>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182D4C"/>
    <w:pPr>
      <w:numPr>
        <w:numId w:val="22"/>
      </w:numPr>
    </w:pPr>
  </w:style>
  <w:style w:type="paragraph" w:styleId="ListNumber2">
    <w:name w:val="List Number 2"/>
    <w:basedOn w:val="ListBullet"/>
    <w:qFormat/>
    <w:rsid w:val="00BF7AD7"/>
    <w:pPr>
      <w:numPr>
        <w:numId w:val="21"/>
      </w:numPr>
    </w:pPr>
  </w:style>
  <w:style w:type="paragraph" w:styleId="ListBullet">
    <w:name w:val="List Bullet"/>
    <w:basedOn w:val="Normal"/>
    <w:qFormat/>
    <w:rsid w:val="00BF7AD7"/>
    <w:pPr>
      <w:numPr>
        <w:numId w:val="20"/>
      </w:numPr>
      <w:tabs>
        <w:tab w:val="left" w:pos="340"/>
        <w:tab w:val="left" w:pos="680"/>
      </w:tabs>
      <w:spacing w:before="60" w:after="60"/>
    </w:pPr>
  </w:style>
  <w:style w:type="paragraph" w:customStyle="1" w:styleId="downarrowgreen">
    <w:name w:val="downarrow (green)"/>
    <w:basedOn w:val="Tabletextcentre"/>
    <w:link w:val="downarrowgreenChar"/>
    <w:qFormat/>
    <w:rsid w:val="002F1557"/>
    <w:rPr>
      <w:color w:val="388600"/>
    </w:r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uiPriority w:val="59"/>
    <w:locked/>
    <w:rsid w:val="00954020"/>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heme="minorBidi" w:hAnsiTheme="minorBidi"/>
        <w:b w:val="0"/>
      </w:rPr>
    </w:tblStylePr>
    <w:tblStylePr w:type="firstCol">
      <w:pPr>
        <w:jc w:val="left"/>
      </w:pPr>
      <w:rPr>
        <w:b w:val="0"/>
      </w:rPr>
      <w:tblPr/>
      <w:tcPr>
        <w:vAlign w:val="center"/>
      </w:tcPr>
    </w:tblStyle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link w:val="TabletextleftChar"/>
    <w:autoRedefine/>
    <w:qFormat/>
    <w:locked/>
    <w:rsid w:val="00E20DBB"/>
    <w:pPr>
      <w:keepNext/>
      <w:spacing w:before="40" w:after="40"/>
    </w:pPr>
    <w:rPr>
      <w:rFonts w:ascii="Arial" w:eastAsiaTheme="majorEastAsia" w:hAnsi="Arial" w:cs="Arial"/>
      <w:color w:val="033636" w:themeColor="text1"/>
      <w:kern w:val="28"/>
      <w:sz w:val="21"/>
      <w:szCs w:val="22"/>
      <w:lang w:val="en-US"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D07AE6"/>
    <w:pPr>
      <w:keepNext/>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2B378F"/>
    <w:rPr>
      <w:color w:val="033636" w:themeColor="text1"/>
      <w:sz w:val="22"/>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24"/>
      </w:numPr>
    </w:pPr>
    <w:rPr>
      <w:szCs w:val="20"/>
    </w:rPr>
  </w:style>
  <w:style w:type="paragraph" w:customStyle="1" w:styleId="Tablelistnumber">
    <w:name w:val="Table list number"/>
    <w:basedOn w:val="Tabletextleft"/>
    <w:qFormat/>
    <w:rsid w:val="00BF7AD7"/>
    <w:pPr>
      <w:numPr>
        <w:numId w:val="25"/>
      </w:numPr>
    </w:pPr>
    <w:rPr>
      <w:bCs/>
      <w14:numSpacing w14:val="proportional"/>
    </w:rPr>
  </w:style>
  <w:style w:type="paragraph" w:customStyle="1" w:styleId="TableHeader">
    <w:name w:val="Table Header"/>
    <w:basedOn w:val="Normal"/>
    <w:next w:val="Tabletextleft"/>
    <w:qFormat/>
    <w:rsid w:val="00954020"/>
    <w:pPr>
      <w:spacing w:before="0" w:after="0" w:line="240" w:lineRule="auto"/>
      <w:contextualSpacing/>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E20DBB"/>
    <w:rPr>
      <w:rFonts w:ascii="Arial" w:hAnsi="Arial"/>
      <w:color w:val="033636" w:themeColor="text1"/>
      <w:lang w:eastAsia="en-US"/>
    </w:rPr>
  </w:style>
  <w:style w:type="character" w:customStyle="1" w:styleId="FootnoteTextChar">
    <w:name w:val="Footnote Text Char"/>
    <w:basedOn w:val="DefaultParagraphFont"/>
    <w:link w:val="FootnoteText"/>
    <w:rsid w:val="00E20DBB"/>
    <w:rPr>
      <w:rFonts w:ascii="Arial" w:hAnsi="Arial"/>
      <w:color w:val="033636" w:themeColor="text1"/>
      <w:lang w:eastAsia="en-US"/>
    </w:rPr>
  </w:style>
  <w:style w:type="paragraph" w:styleId="Caption">
    <w:name w:val="caption"/>
    <w:basedOn w:val="Normal"/>
    <w:next w:val="Normal"/>
    <w:autoRedefine/>
    <w:unhideWhenUsed/>
    <w:qFormat/>
    <w:rsid w:val="00E20DBB"/>
    <w:pPr>
      <w:keepNext/>
    </w:pPr>
    <w:rPr>
      <w:rFonts w:eastAsiaTheme="majorEastAsia"/>
      <w:b/>
      <w:bCs/>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81F5F"/>
    <w:pPr>
      <w:pBdr>
        <w:top w:val="single" w:sz="4" w:space="20" w:color="033636" w:themeColor="text1"/>
        <w:left w:val="single" w:sz="4" w:space="10" w:color="033636" w:themeColor="text1"/>
        <w:bottom w:val="single" w:sz="4" w:space="10" w:color="033636" w:themeColor="text1"/>
        <w:right w:val="single" w:sz="4" w:space="10"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7F766D"/>
    <w:pPr>
      <w:jc w:val="right"/>
    </w:pPr>
  </w:style>
  <w:style w:type="paragraph" w:customStyle="1" w:styleId="Tabletextcentre">
    <w:name w:val="Table text centre"/>
    <w:basedOn w:val="Tabletextleft"/>
    <w:link w:val="TabletextcentreChar"/>
    <w:rsid w:val="00E20DBB"/>
    <w:pPr>
      <w:jc w:val="center"/>
    </w:pPr>
    <w:rPr>
      <w:sz w:val="20"/>
    </w:rPr>
  </w:style>
  <w:style w:type="paragraph" w:customStyle="1" w:styleId="Boxheading">
    <w:name w:val="Box heading"/>
    <w:basedOn w:val="Boxtype"/>
    <w:qFormat/>
    <w:rsid w:val="00E52D2A"/>
    <w:pPr>
      <w:spacing w:before="240"/>
    </w:pPr>
    <w:rPr>
      <w:rFonts w:cs="Times New Roman"/>
      <w:b/>
      <w:bCs/>
      <w:color w:val="006E50" w:themeColor="background1" w:themeShade="80"/>
      <w:szCs w:val="20"/>
    </w:rPr>
  </w:style>
  <w:style w:type="paragraph" w:customStyle="1" w:styleId="Boxtype">
    <w:name w:val="Box type"/>
    <w:next w:val="Normal"/>
    <w:link w:val="BoxtypeChar"/>
    <w:qFormat/>
    <w:rsid w:val="00271386"/>
    <w:pPr>
      <w:pBdr>
        <w:top w:val="single" w:sz="6" w:space="20" w:color="auto"/>
        <w:left w:val="single" w:sz="6" w:space="10" w:color="auto"/>
        <w:bottom w:val="single" w:sz="6" w:space="10" w:color="auto"/>
        <w:right w:val="single" w:sz="6" w:space="10" w:color="auto"/>
      </w:pBdr>
      <w:shd w:val="clear" w:color="auto" w:fill="D9FFF4"/>
      <w:spacing w:after="6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styleId="ListNumber">
    <w:name w:val="List Number"/>
    <w:basedOn w:val="Normal"/>
    <w:rsid w:val="002E3591"/>
    <w:pPr>
      <w:numPr>
        <w:numId w:val="27"/>
      </w:numPr>
      <w:contextualSpacing/>
    </w:pPr>
  </w:style>
  <w:style w:type="character" w:customStyle="1" w:styleId="TabletextcentreChar">
    <w:name w:val="Table text centre Char"/>
    <w:basedOn w:val="TabletextleftChar"/>
    <w:link w:val="Tabletextcentre"/>
    <w:rsid w:val="00E20DBB"/>
    <w:rPr>
      <w:rFonts w:ascii="Arial" w:eastAsiaTheme="majorEastAsia" w:hAnsi="Arial" w:cs="Arial"/>
      <w:color w:val="033636" w:themeColor="text1"/>
      <w:kern w:val="28"/>
      <w:sz w:val="21"/>
      <w:szCs w:val="22"/>
      <w:lang w:val="en-US" w:eastAsia="en-US"/>
    </w:rPr>
  </w:style>
  <w:style w:type="character" w:styleId="FootnoteReference">
    <w:name w:val="footnote reference"/>
    <w:basedOn w:val="DefaultParagraphFont"/>
    <w:semiHidden/>
    <w:unhideWhenUsed/>
    <w:rsid w:val="008D0421"/>
    <w:rPr>
      <w:vertAlign w:val="superscript"/>
    </w:rPr>
  </w:style>
  <w:style w:type="paragraph" w:customStyle="1" w:styleId="EndNoteBibliographyTitle">
    <w:name w:val="EndNote Bibliography Title"/>
    <w:basedOn w:val="Normal"/>
    <w:link w:val="EndNoteBibliographyTitleChar"/>
    <w:rsid w:val="00932ECA"/>
    <w:pPr>
      <w:spacing w:after="0"/>
      <w:jc w:val="center"/>
    </w:pPr>
    <w:rPr>
      <w:rFonts w:cs="Arial"/>
      <w:noProof/>
      <w:sz w:val="28"/>
      <w:lang w:val="en-US"/>
    </w:rPr>
  </w:style>
  <w:style w:type="character" w:customStyle="1" w:styleId="EndNoteBibliographyTitleChar">
    <w:name w:val="EndNote Bibliography Title Char"/>
    <w:basedOn w:val="DefaultParagraphFont"/>
    <w:link w:val="EndNoteBibliographyTitle"/>
    <w:rsid w:val="00932ECA"/>
    <w:rPr>
      <w:rFonts w:ascii="Arial" w:hAnsi="Arial" w:cs="Arial"/>
      <w:noProof/>
      <w:color w:val="033636" w:themeColor="text1"/>
      <w:sz w:val="28"/>
      <w:szCs w:val="24"/>
      <w:lang w:val="en-US" w:eastAsia="en-US"/>
    </w:rPr>
  </w:style>
  <w:style w:type="paragraph" w:customStyle="1" w:styleId="EndNoteBibliography">
    <w:name w:val="EndNote Bibliography"/>
    <w:basedOn w:val="Normal"/>
    <w:link w:val="EndNoteBibliographyChar"/>
    <w:rsid w:val="009B0DB3"/>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9B0DB3"/>
    <w:rPr>
      <w:rFonts w:ascii="Arial" w:hAnsi="Arial" w:cs="Arial"/>
      <w:noProof/>
      <w:color w:val="033636" w:themeColor="text1"/>
      <w:sz w:val="22"/>
      <w:szCs w:val="24"/>
      <w:lang w:val="en-US" w:eastAsia="en-US"/>
    </w:rPr>
  </w:style>
  <w:style w:type="character" w:styleId="UnresolvedMention">
    <w:name w:val="Unresolved Mention"/>
    <w:basedOn w:val="DefaultParagraphFont"/>
    <w:uiPriority w:val="99"/>
    <w:semiHidden/>
    <w:unhideWhenUsed/>
    <w:rsid w:val="00FE48C5"/>
    <w:rPr>
      <w:color w:val="605E5C"/>
      <w:shd w:val="clear" w:color="auto" w:fill="E1DFDD"/>
    </w:rPr>
  </w:style>
  <w:style w:type="character" w:styleId="CommentReference">
    <w:name w:val="annotation reference"/>
    <w:basedOn w:val="DefaultParagraphFont"/>
    <w:semiHidden/>
    <w:unhideWhenUsed/>
    <w:rsid w:val="00FE48C5"/>
    <w:rPr>
      <w:sz w:val="16"/>
      <w:szCs w:val="16"/>
    </w:rPr>
  </w:style>
  <w:style w:type="paragraph" w:styleId="CommentText">
    <w:name w:val="annotation text"/>
    <w:basedOn w:val="Normal"/>
    <w:link w:val="CommentTextChar"/>
    <w:unhideWhenUsed/>
    <w:rsid w:val="00FE48C5"/>
    <w:pPr>
      <w:spacing w:line="240" w:lineRule="auto"/>
    </w:pPr>
    <w:rPr>
      <w:sz w:val="20"/>
      <w:szCs w:val="20"/>
    </w:rPr>
  </w:style>
  <w:style w:type="character" w:customStyle="1" w:styleId="CommentTextChar">
    <w:name w:val="Comment Text Char"/>
    <w:basedOn w:val="DefaultParagraphFont"/>
    <w:link w:val="CommentText"/>
    <w:rsid w:val="00FE48C5"/>
    <w:rPr>
      <w:rFonts w:ascii="Arial" w:hAnsi="Arial"/>
      <w:color w:val="033636" w:themeColor="text1"/>
      <w:lang w:eastAsia="en-US"/>
    </w:rPr>
  </w:style>
  <w:style w:type="paragraph" w:styleId="CommentSubject">
    <w:name w:val="annotation subject"/>
    <w:basedOn w:val="CommentText"/>
    <w:next w:val="CommentText"/>
    <w:link w:val="CommentSubjectChar"/>
    <w:semiHidden/>
    <w:unhideWhenUsed/>
    <w:rsid w:val="00FE48C5"/>
    <w:rPr>
      <w:b/>
      <w:bCs/>
    </w:rPr>
  </w:style>
  <w:style w:type="character" w:customStyle="1" w:styleId="CommentSubjectChar">
    <w:name w:val="Comment Subject Char"/>
    <w:basedOn w:val="CommentTextChar"/>
    <w:link w:val="CommentSubject"/>
    <w:semiHidden/>
    <w:rsid w:val="00FE48C5"/>
    <w:rPr>
      <w:rFonts w:ascii="Arial" w:hAnsi="Arial"/>
      <w:b/>
      <w:bCs/>
      <w:color w:val="033636" w:themeColor="text1"/>
      <w:lang w:eastAsia="en-US"/>
    </w:rPr>
  </w:style>
  <w:style w:type="paragraph" w:styleId="Revision">
    <w:name w:val="Revision"/>
    <w:hidden/>
    <w:uiPriority w:val="99"/>
    <w:semiHidden/>
    <w:rsid w:val="004A4B11"/>
    <w:rPr>
      <w:rFonts w:ascii="Arial" w:hAnsi="Arial"/>
      <w:color w:val="033636" w:themeColor="text1"/>
      <w:sz w:val="22"/>
      <w:szCs w:val="24"/>
      <w:lang w:eastAsia="en-US"/>
    </w:rPr>
  </w:style>
  <w:style w:type="character" w:styleId="FollowedHyperlink">
    <w:name w:val="FollowedHyperlink"/>
    <w:basedOn w:val="DefaultParagraphFont"/>
    <w:semiHidden/>
    <w:unhideWhenUsed/>
    <w:rsid w:val="0051005E"/>
    <w:rPr>
      <w:color w:val="D0CECE" w:themeColor="followedHyperlink"/>
      <w:u w:val="single"/>
    </w:rPr>
  </w:style>
  <w:style w:type="character" w:styleId="PlaceholderText">
    <w:name w:val="Placeholder Text"/>
    <w:basedOn w:val="DefaultParagraphFont"/>
    <w:uiPriority w:val="99"/>
    <w:semiHidden/>
    <w:rsid w:val="00D07AE6"/>
    <w:rPr>
      <w:color w:val="666666"/>
    </w:rPr>
  </w:style>
  <w:style w:type="paragraph" w:customStyle="1" w:styleId="redarrow">
    <w:name w:val="red arrow"/>
    <w:basedOn w:val="Tabletextleft"/>
    <w:link w:val="redarrowChar"/>
    <w:qFormat/>
    <w:rsid w:val="00CB32B3"/>
    <w:rPr>
      <w:color w:val="ED0000"/>
      <w:sz w:val="28"/>
      <w:szCs w:val="36"/>
    </w:rPr>
  </w:style>
  <w:style w:type="character" w:customStyle="1" w:styleId="TabletextleftChar">
    <w:name w:val="Table text left Char"/>
    <w:basedOn w:val="DefaultParagraphFont"/>
    <w:link w:val="Tabletextleft"/>
    <w:rsid w:val="00E20DBB"/>
    <w:rPr>
      <w:rFonts w:ascii="Arial" w:eastAsiaTheme="majorEastAsia" w:hAnsi="Arial" w:cs="Arial"/>
      <w:color w:val="033636" w:themeColor="text1"/>
      <w:kern w:val="28"/>
      <w:sz w:val="21"/>
      <w:szCs w:val="22"/>
      <w:lang w:val="en-US" w:eastAsia="en-US"/>
    </w:rPr>
  </w:style>
  <w:style w:type="character" w:customStyle="1" w:styleId="redarrowChar">
    <w:name w:val="red arrow Char"/>
    <w:basedOn w:val="TabletextleftChar"/>
    <w:link w:val="redarrow"/>
    <w:rsid w:val="00CB32B3"/>
    <w:rPr>
      <w:rFonts w:ascii="Arial" w:eastAsiaTheme="majorEastAsia" w:hAnsi="Arial" w:cs="Arial"/>
      <w:color w:val="ED0000"/>
      <w:kern w:val="28"/>
      <w:sz w:val="28"/>
      <w:szCs w:val="36"/>
      <w:lang w:val="en-US" w:eastAsia="en-US"/>
    </w:rPr>
  </w:style>
  <w:style w:type="paragraph" w:customStyle="1" w:styleId="Greendownarrow">
    <w:name w:val="Green down arrow"/>
    <w:basedOn w:val="Tabletextleft"/>
    <w:link w:val="GreendownarrowChar"/>
    <w:qFormat/>
    <w:rsid w:val="00CB32B3"/>
    <w:rPr>
      <w:b/>
      <w:bCs/>
      <w:color w:val="60A500"/>
      <w:sz w:val="28"/>
      <w:szCs w:val="36"/>
    </w:rPr>
  </w:style>
  <w:style w:type="character" w:customStyle="1" w:styleId="GreendownarrowChar">
    <w:name w:val="Green down arrow Char"/>
    <w:basedOn w:val="TabletextleftChar"/>
    <w:link w:val="Greendownarrow"/>
    <w:rsid w:val="00CB32B3"/>
    <w:rPr>
      <w:rFonts w:ascii="Arial" w:eastAsiaTheme="majorEastAsia" w:hAnsi="Arial" w:cs="Arial"/>
      <w:b/>
      <w:bCs/>
      <w:color w:val="60A500"/>
      <w:kern w:val="28"/>
      <w:sz w:val="28"/>
      <w:szCs w:val="36"/>
      <w:lang w:val="en-US" w:eastAsia="en-US"/>
    </w:rPr>
  </w:style>
  <w:style w:type="paragraph" w:customStyle="1" w:styleId="Style2">
    <w:name w:val="Style2"/>
    <w:basedOn w:val="Caption"/>
    <w:rsid w:val="00216DF1"/>
  </w:style>
  <w:style w:type="character" w:customStyle="1" w:styleId="downarrowgreenChar">
    <w:name w:val="downarrow (green) Char"/>
    <w:basedOn w:val="TabletextcentreChar"/>
    <w:link w:val="downarrowgreen"/>
    <w:rsid w:val="002F1557"/>
    <w:rPr>
      <w:rFonts w:ascii="Arial" w:eastAsiaTheme="majorEastAsia" w:hAnsi="Arial" w:cs="Arial"/>
      <w:color w:val="388600"/>
      <w:kern w:val="28"/>
      <w:sz w:val="22"/>
      <w:szCs w:val="22"/>
      <w:lang w:val="en-US" w:eastAsia="en-US"/>
    </w:rPr>
  </w:style>
  <w:style w:type="paragraph" w:customStyle="1" w:styleId="rightarroworange">
    <w:name w:val="rightarrow (orange)"/>
    <w:basedOn w:val="Tabletextcentre"/>
    <w:link w:val="rightarroworangeChar"/>
    <w:qFormat/>
    <w:rsid w:val="002F1557"/>
    <w:rPr>
      <w:color w:val="A66500"/>
    </w:rPr>
  </w:style>
  <w:style w:type="paragraph" w:customStyle="1" w:styleId="Boxtypelistbullet">
    <w:name w:val="Box type (list bullet)"/>
    <w:basedOn w:val="Boxtype"/>
    <w:link w:val="BoxtypelistbulletChar"/>
    <w:qFormat/>
    <w:rsid w:val="00182D4C"/>
    <w:pPr>
      <w:numPr>
        <w:numId w:val="46"/>
      </w:numPr>
    </w:pPr>
  </w:style>
  <w:style w:type="character" w:customStyle="1" w:styleId="BoxtypeChar">
    <w:name w:val="Box type Char"/>
    <w:basedOn w:val="DefaultParagraphFont"/>
    <w:link w:val="Boxtype"/>
    <w:rsid w:val="00182D4C"/>
    <w:rPr>
      <w:rFonts w:ascii="Arial" w:hAnsi="Arial" w:cs="Arial"/>
      <w:color w:val="033636" w:themeColor="text1"/>
      <w:sz w:val="22"/>
      <w:szCs w:val="24"/>
      <w:shd w:val="clear" w:color="auto" w:fill="D9FFF4"/>
      <w:lang w:val="en" w:eastAsia="en-US"/>
    </w:rPr>
  </w:style>
  <w:style w:type="character" w:customStyle="1" w:styleId="BoxtypelistbulletChar">
    <w:name w:val="Box type (list bullet) Char"/>
    <w:basedOn w:val="BoxtypeChar"/>
    <w:link w:val="Boxtypelistbullet"/>
    <w:rsid w:val="00182D4C"/>
    <w:rPr>
      <w:rFonts w:ascii="Arial" w:hAnsi="Arial" w:cs="Arial"/>
      <w:color w:val="033636" w:themeColor="text1"/>
      <w:sz w:val="22"/>
      <w:szCs w:val="24"/>
      <w:shd w:val="clear" w:color="auto" w:fill="D9FFF4"/>
      <w:lang w:val="en" w:eastAsia="en-US"/>
    </w:rPr>
  </w:style>
  <w:style w:type="character" w:customStyle="1" w:styleId="rightarroworangeChar">
    <w:name w:val="rightarrow (orange) Char"/>
    <w:basedOn w:val="TabletextcentreChar"/>
    <w:link w:val="rightarroworange"/>
    <w:rsid w:val="002F1557"/>
    <w:rPr>
      <w:rFonts w:ascii="Arial" w:eastAsiaTheme="majorEastAsia" w:hAnsi="Arial" w:cs="Arial"/>
      <w:color w:val="A66500"/>
      <w:kern w:val="28"/>
      <w:sz w:val="22"/>
      <w:szCs w:val="22"/>
      <w:lang w:val="en-US" w:eastAsia="en-US"/>
    </w:rPr>
  </w:style>
  <w:style w:type="paragraph" w:customStyle="1" w:styleId="uparrowred">
    <w:name w:val="uparrow (red)"/>
    <w:basedOn w:val="Tabletextcentre"/>
    <w:link w:val="uparrowredChar"/>
    <w:qFormat/>
    <w:rsid w:val="002F1557"/>
    <w:rPr>
      <w:color w:val="ED0000"/>
    </w:rPr>
  </w:style>
  <w:style w:type="character" w:customStyle="1" w:styleId="uparrowredChar">
    <w:name w:val="uparrow (red) Char"/>
    <w:basedOn w:val="TabletextcentreChar"/>
    <w:link w:val="uparrowred"/>
    <w:rsid w:val="002F1557"/>
    <w:rPr>
      <w:rFonts w:ascii="Arial" w:eastAsiaTheme="majorEastAsia" w:hAnsi="Arial" w:cs="Arial"/>
      <w:color w:val="ED0000"/>
      <w:kern w:val="28"/>
      <w:sz w:val="22"/>
      <w:szCs w:val="22"/>
      <w:lang w:val="en-US" w:eastAsia="en-US"/>
    </w:rPr>
  </w:style>
  <w:style w:type="paragraph" w:customStyle="1" w:styleId="Boxtypelistbullet2">
    <w:name w:val="Box type (list bullet 2)"/>
    <w:basedOn w:val="Boxtype"/>
    <w:link w:val="Boxtypelistbullet2Char"/>
    <w:qFormat/>
    <w:rsid w:val="0006215A"/>
    <w:pPr>
      <w:ind w:firstLine="360"/>
    </w:pPr>
    <w:rPr>
      <w:rFonts w:eastAsiaTheme="majorEastAsia"/>
    </w:rPr>
  </w:style>
  <w:style w:type="character" w:customStyle="1" w:styleId="Boxtypelistbullet2Char">
    <w:name w:val="Box type (list bullet 2) Char"/>
    <w:basedOn w:val="BoxtypeChar"/>
    <w:link w:val="Boxtypelistbullet2"/>
    <w:rsid w:val="0006215A"/>
    <w:rPr>
      <w:rFonts w:ascii="Arial" w:eastAsiaTheme="majorEastAsia" w:hAnsi="Arial" w:cs="Arial"/>
      <w:color w:val="033636" w:themeColor="text1"/>
      <w:sz w:val="22"/>
      <w:szCs w:val="24"/>
      <w:shd w:val="clear" w:color="auto" w:fill="D9FFF4"/>
      <w:lang w:val="e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37335">
      <w:bodyDiv w:val="1"/>
      <w:marLeft w:val="0"/>
      <w:marRight w:val="0"/>
      <w:marTop w:val="0"/>
      <w:marBottom w:val="0"/>
      <w:divBdr>
        <w:top w:val="none" w:sz="0" w:space="0" w:color="auto"/>
        <w:left w:val="none" w:sz="0" w:space="0" w:color="auto"/>
        <w:bottom w:val="none" w:sz="0" w:space="0" w:color="auto"/>
        <w:right w:val="none" w:sz="0" w:space="0" w:color="auto"/>
      </w:divBdr>
    </w:div>
    <w:div w:id="214853934">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62846193">
      <w:bodyDiv w:val="1"/>
      <w:marLeft w:val="0"/>
      <w:marRight w:val="0"/>
      <w:marTop w:val="0"/>
      <w:marBottom w:val="0"/>
      <w:divBdr>
        <w:top w:val="none" w:sz="0" w:space="0" w:color="auto"/>
        <w:left w:val="none" w:sz="0" w:space="0" w:color="auto"/>
        <w:bottom w:val="none" w:sz="0" w:space="0" w:color="auto"/>
        <w:right w:val="none" w:sz="0" w:space="0" w:color="auto"/>
      </w:divBdr>
    </w:div>
    <w:div w:id="553732456">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971012115">
      <w:bodyDiv w:val="1"/>
      <w:marLeft w:val="0"/>
      <w:marRight w:val="0"/>
      <w:marTop w:val="0"/>
      <w:marBottom w:val="0"/>
      <w:divBdr>
        <w:top w:val="none" w:sz="0" w:space="0" w:color="auto"/>
        <w:left w:val="none" w:sz="0" w:space="0" w:color="auto"/>
        <w:bottom w:val="none" w:sz="0" w:space="0" w:color="auto"/>
        <w:right w:val="none" w:sz="0" w:space="0" w:color="auto"/>
      </w:divBdr>
    </w:div>
    <w:div w:id="1010914137">
      <w:bodyDiv w:val="1"/>
      <w:marLeft w:val="0"/>
      <w:marRight w:val="0"/>
      <w:marTop w:val="0"/>
      <w:marBottom w:val="0"/>
      <w:divBdr>
        <w:top w:val="none" w:sz="0" w:space="0" w:color="auto"/>
        <w:left w:val="none" w:sz="0" w:space="0" w:color="auto"/>
        <w:bottom w:val="none" w:sz="0" w:space="0" w:color="auto"/>
        <w:right w:val="none" w:sz="0" w:space="0" w:color="auto"/>
      </w:divBdr>
    </w:div>
    <w:div w:id="1031418135">
      <w:bodyDiv w:val="1"/>
      <w:marLeft w:val="0"/>
      <w:marRight w:val="0"/>
      <w:marTop w:val="0"/>
      <w:marBottom w:val="0"/>
      <w:divBdr>
        <w:top w:val="none" w:sz="0" w:space="0" w:color="auto"/>
        <w:left w:val="none" w:sz="0" w:space="0" w:color="auto"/>
        <w:bottom w:val="none" w:sz="0" w:space="0" w:color="auto"/>
        <w:right w:val="none" w:sz="0" w:space="0" w:color="auto"/>
      </w:divBdr>
    </w:div>
    <w:div w:id="1086806428">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50906735">
      <w:bodyDiv w:val="1"/>
      <w:marLeft w:val="0"/>
      <w:marRight w:val="0"/>
      <w:marTop w:val="0"/>
      <w:marBottom w:val="0"/>
      <w:divBdr>
        <w:top w:val="none" w:sz="0" w:space="0" w:color="auto"/>
        <w:left w:val="none" w:sz="0" w:space="0" w:color="auto"/>
        <w:bottom w:val="none" w:sz="0" w:space="0" w:color="auto"/>
        <w:right w:val="none" w:sz="0" w:space="0" w:color="auto"/>
      </w:divBdr>
    </w:div>
    <w:div w:id="1418479593">
      <w:bodyDiv w:val="1"/>
      <w:marLeft w:val="0"/>
      <w:marRight w:val="0"/>
      <w:marTop w:val="0"/>
      <w:marBottom w:val="0"/>
      <w:divBdr>
        <w:top w:val="none" w:sz="0" w:space="0" w:color="auto"/>
        <w:left w:val="none" w:sz="0" w:space="0" w:color="auto"/>
        <w:bottom w:val="none" w:sz="0" w:space="0" w:color="auto"/>
        <w:right w:val="none" w:sz="0" w:space="0" w:color="auto"/>
      </w:divBdr>
    </w:div>
    <w:div w:id="1619606502">
      <w:bodyDiv w:val="1"/>
      <w:marLeft w:val="0"/>
      <w:marRight w:val="0"/>
      <w:marTop w:val="0"/>
      <w:marBottom w:val="0"/>
      <w:divBdr>
        <w:top w:val="none" w:sz="0" w:space="0" w:color="auto"/>
        <w:left w:val="none" w:sz="0" w:space="0" w:color="auto"/>
        <w:bottom w:val="none" w:sz="0" w:space="0" w:color="auto"/>
        <w:right w:val="none" w:sz="0" w:space="0" w:color="auto"/>
      </w:divBdr>
    </w:div>
    <w:div w:id="1712261989">
      <w:bodyDiv w:val="1"/>
      <w:marLeft w:val="0"/>
      <w:marRight w:val="0"/>
      <w:marTop w:val="0"/>
      <w:marBottom w:val="0"/>
      <w:divBdr>
        <w:top w:val="none" w:sz="0" w:space="0" w:color="auto"/>
        <w:left w:val="none" w:sz="0" w:space="0" w:color="auto"/>
        <w:bottom w:val="none" w:sz="0" w:space="0" w:color="auto"/>
        <w:right w:val="none" w:sz="0" w:space="0" w:color="auto"/>
      </w:divBdr>
    </w:div>
    <w:div w:id="1736850510">
      <w:bodyDiv w:val="1"/>
      <w:marLeft w:val="0"/>
      <w:marRight w:val="0"/>
      <w:marTop w:val="0"/>
      <w:marBottom w:val="0"/>
      <w:divBdr>
        <w:top w:val="none" w:sz="0" w:space="0" w:color="auto"/>
        <w:left w:val="none" w:sz="0" w:space="0" w:color="auto"/>
        <w:bottom w:val="none" w:sz="0" w:space="0" w:color="auto"/>
        <w:right w:val="none" w:sz="0" w:space="0" w:color="auto"/>
      </w:divBdr>
    </w:div>
    <w:div w:id="1747066725">
      <w:bodyDiv w:val="1"/>
      <w:marLeft w:val="0"/>
      <w:marRight w:val="0"/>
      <w:marTop w:val="0"/>
      <w:marBottom w:val="0"/>
      <w:divBdr>
        <w:top w:val="none" w:sz="0" w:space="0" w:color="auto"/>
        <w:left w:val="none" w:sz="0" w:space="0" w:color="auto"/>
        <w:bottom w:val="none" w:sz="0" w:space="0" w:color="auto"/>
        <w:right w:val="none" w:sz="0" w:space="0" w:color="auto"/>
      </w:divBdr>
    </w:div>
    <w:div w:id="1764641748">
      <w:bodyDiv w:val="1"/>
      <w:marLeft w:val="0"/>
      <w:marRight w:val="0"/>
      <w:marTop w:val="0"/>
      <w:marBottom w:val="0"/>
      <w:divBdr>
        <w:top w:val="none" w:sz="0" w:space="0" w:color="auto"/>
        <w:left w:val="none" w:sz="0" w:space="0" w:color="auto"/>
        <w:bottom w:val="none" w:sz="0" w:space="0" w:color="auto"/>
        <w:right w:val="none" w:sz="0" w:space="0" w:color="auto"/>
      </w:divBdr>
    </w:div>
    <w:div w:id="198943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our-work/national-response-to-syphilis" TargetMode="External"/><Relationship Id="rId18" Type="http://schemas.openxmlformats.org/officeDocument/2006/relationships/footer" Target="footer1.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hyperlink" Target="https://www.health.gov.au/casedefinitions" TargetMode="External"/><Relationship Id="rId47" Type="http://schemas.openxmlformats.org/officeDocument/2006/relationships/hyperlink" Target="https://www.health.qld.gov.au/__data/assets/pdf_file/0035/736883/g-sip.pdf" TargetMode="External"/><Relationship Id="rId50" Type="http://schemas.openxmlformats.org/officeDocument/2006/relationships/hyperlink" Target="https://www.safercare.vic.gov.au/best-practice-improvement/clinical-guidance/maternity/syphilis-testing-during-pregnancy"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cdc.gov.au/resources/publications/national-syphilis-response-plan-2023-2030" TargetMode="Externa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www.health.gov.au/resources/publications/syphilis-cdna-national-guidelines-for-public-health-units?language=en"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www.abs.gov.au/statistics/standards/australian-statistical-geography-standard-asgs-edition-3/jul2021-jun2026/indigenous-structure" TargetMode="External"/><Relationship Id="rId53" Type="http://schemas.openxmlformats.org/officeDocument/2006/relationships/hyperlink" Target="https://www.act.gov.au/__data/assets/pdf_file/0009/2629926/Mpox-and-syphilis-clinician-alert.pdf" TargetMode="External"/><Relationship Id="rId5" Type="http://schemas.openxmlformats.org/officeDocument/2006/relationships/numbering" Target="numbering.xml"/><Relationship Id="rId15" Type="http://schemas.openxmlformats.org/officeDocument/2006/relationships/hyperlink" Target="https://www.cdc.gov.au/resources/publications/national-syphilis-surveillance-and-monitoring-plan-2025"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www.sahealth.sa.gov.au/wps/wcm/connect/4f3188804eedeac1b604b76a7ac0d6e4/Syphilis+in+pregnancy+and+the+neonate+PPG+v_5_0_.pdf?MOD=AJPERES&amp;CACHEID=ROOTWORKSPACE-4f3188804eedeac1b604b76a7ac0d6e4-ph8fmcZ"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3.jpeg"/><Relationship Id="rId44" Type="http://schemas.openxmlformats.org/officeDocument/2006/relationships/hyperlink" Target="https://health.nt.gov.au/public-health-notifiable-diseases/syphilis" TargetMode="External"/><Relationship Id="rId52" Type="http://schemas.openxmlformats.org/officeDocument/2006/relationships/hyperlink" Target="https://digitallibrary.health.nt.gov.au/nthealthserver/api/core/bitstreams/77f72074-3e47-4697-9b80-63b3f5fd5630/cont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dc.gov.au/resources/publications/national-syphilis-surveillance-and-monitoring-plan-2025"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mailto:syphilis.surveillance@health.gov.au" TargetMode="External"/><Relationship Id="rId48" Type="http://schemas.openxmlformats.org/officeDocument/2006/relationships/hyperlink" Target="https://kemh.health.wa.gov.au/~/media/HSPs/NMHS/Hospitals/WNHS/Documents/Clinical-guidelines/Statewide-Maternity-Shared-Care-Guidelines.pdf" TargetMode="External"/><Relationship Id="rId8" Type="http://schemas.openxmlformats.org/officeDocument/2006/relationships/webSettings" Target="webSettings.xml"/><Relationship Id="rId51" Type="http://schemas.openxmlformats.org/officeDocument/2006/relationships/hyperlink" Target="https://www.health.tas.gov.au/news/articles/three-syphilis-tests-are-now-recommended-every-pregnancy-prevent-congenital-syphilis"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gam\OneDrive%20-%20Department%20of%20Health\Desktop\2025\drafte%20National%20Syphilis%20Surveillance%20Report_Quarterly%20Report_Q1_Q2%202025_combined.dotx" TargetMode="External"/></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93205cd-b314-4d80-8999-6842e340f377">
      <Terms xmlns="http://schemas.microsoft.com/office/infopath/2007/PartnerControls"/>
    </lcf76f155ced4ddcb4097134ff3c332f>
    <TaxCatchAll xmlns="08f16a38-faa3-4b9f-b657-06c897b0653c">
      <Value>7</Value>
    </TaxCatchAl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6ADAA819069143B81DB6342AE8DBBB" ma:contentTypeVersion="12" ma:contentTypeDescription="Create a new document." ma:contentTypeScope="" ma:versionID="2682f1f9895ab85e521102d3823b4344">
  <xsd:schema xmlns:xsd="http://www.w3.org/2001/XMLSchema" xmlns:xs="http://www.w3.org/2001/XMLSchema" xmlns:p="http://schemas.microsoft.com/office/2006/metadata/properties" xmlns:ns2="593205cd-b314-4d80-8999-6842e340f377" xmlns:ns3="08f16a38-faa3-4b9f-b657-06c897b0653c" targetNamespace="http://schemas.microsoft.com/office/2006/metadata/properties" ma:root="true" ma:fieldsID="6b1c16959c3b00b2a0c85420fe3394ed" ns2:_="" ns3:_="">
    <xsd:import namespace="593205cd-b314-4d80-8999-6842e340f377"/>
    <xsd:import namespace="08f16a38-faa3-4b9f-b657-06c897b065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205cd-b314-4d80-8999-6842e340f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8f16a38-faa3-4b9f-b657-06c897b065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46c76c8-acc8-400f-8cb3-e911de633ec9}" ma:internalName="TaxCatchAll" ma:showField="CatchAllData" ma:web="08f16a38-faa3-4b9f-b657-06c897b065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593205cd-b314-4d80-8999-6842e340f377"/>
    <ds:schemaRef ds:uri="08f16a38-faa3-4b9f-b657-06c897b0653c"/>
  </ds:schemaRefs>
</ds:datastoreItem>
</file>

<file path=customXml/itemProps4.xml><?xml version="1.0" encoding="utf-8"?>
<ds:datastoreItem xmlns:ds="http://schemas.openxmlformats.org/officeDocument/2006/customXml" ds:itemID="{1472644C-C2B0-4854-B6ED-A5E5FDF21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205cd-b314-4d80-8999-6842e340f377"/>
    <ds:schemaRef ds:uri="08f16a38-faa3-4b9f-b657-06c897b065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drafte National Syphilis Surveillance Report_Quarterly Report_Q1_Q2 2025_combined.dotx</Template>
  <TotalTime>2</TotalTime>
  <Pages>39</Pages>
  <Words>7963</Words>
  <Characters>44997</Characters>
  <Application>Microsoft Office Word</Application>
  <DocSecurity>0</DocSecurity>
  <Lines>1607</Lines>
  <Paragraphs>1203</Paragraphs>
  <ScaleCrop>false</ScaleCrop>
  <HeadingPairs>
    <vt:vector size="2" baseType="variant">
      <vt:variant>
        <vt:lpstr>Title</vt:lpstr>
      </vt:variant>
      <vt:variant>
        <vt:i4>1</vt:i4>
      </vt:variant>
    </vt:vector>
  </HeadingPairs>
  <TitlesOfParts>
    <vt:vector size="1" baseType="lpstr">
      <vt:lpstr>National Syphilis Surveillance Report Q2 2025</vt:lpstr>
    </vt:vector>
  </TitlesOfParts>
  <Company/>
  <LinksUpToDate>false</LinksUpToDate>
  <CharactersWithSpaces>51757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Syphilis Surveillance Report Q2 2025</dc:title>
  <dc:subject>Syphilis Surveillance</dc:subject>
  <dc:creator>Australian Government Department of Health, Disability and Ageing</dc:creator>
  <cp:keywords>preventable diseases; Syphilis; National response to syphilis; </cp:keywords>
  <cp:lastModifiedBy>MARTIN, Mel</cp:lastModifiedBy>
  <cp:revision>2</cp:revision>
  <cp:lastPrinted>2022-06-22T22:44:00Z</cp:lastPrinted>
  <dcterms:created xsi:type="dcterms:W3CDTF">2025-12-12T04:59:00Z</dcterms:created>
  <dcterms:modified xsi:type="dcterms:W3CDTF">2025-12-15T01:51:00Z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0x010100F36ADAA819069143B81DB6342AE8DBBB</vt:lpwstr>
  </property>
  <property fmtid="{D5CDD505-2E9C-101B-9397-08002B2CF9AE}" pid="5" name="Section">
    <vt:lpwstr>7;#PCPD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Contact">
    <vt:lpwstr>89;#designteam@health.gov.au|08e901f7-7c65-407e-b680-5c7872e4b1fa</vt:lpwstr>
  </property>
  <property fmtid="{D5CDD505-2E9C-101B-9397-08002B2CF9AE}" pid="11" name="cb2019c76ecc464c80d551fda75bd74e">
    <vt:lpwstr>PCPD CC Corporate Communication SN|73cff0d0-7b20-43e0-ad96-75a3b55de641</vt:lpwstr>
  </property>
  <property fmtid="{D5CDD505-2E9C-101B-9397-08002B2CF9AE}" pid="12" name="MSIP_Label_7cd3e8b9-ffed-43a8-b7f4-cc2fa0382d36_Enabled">
    <vt:lpwstr>true</vt:lpwstr>
  </property>
  <property fmtid="{D5CDD505-2E9C-101B-9397-08002B2CF9AE}" pid="13" name="MSIP_Label_7cd3e8b9-ffed-43a8-b7f4-cc2fa0382d36_SetDate">
    <vt:lpwstr>2025-10-07T03:04:47Z</vt:lpwstr>
  </property>
  <property fmtid="{D5CDD505-2E9C-101B-9397-08002B2CF9AE}" pid="14" name="MSIP_Label_7cd3e8b9-ffed-43a8-b7f4-cc2fa0382d36_Method">
    <vt:lpwstr>Privileged</vt:lpwstr>
  </property>
  <property fmtid="{D5CDD505-2E9C-101B-9397-08002B2CF9AE}" pid="15" name="MSIP_Label_7cd3e8b9-ffed-43a8-b7f4-cc2fa0382d36_Name">
    <vt:lpwstr>O</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ActionId">
    <vt:lpwstr>4890110e-80f9-4ea2-9896-975f270f3262</vt:lpwstr>
  </property>
  <property fmtid="{D5CDD505-2E9C-101B-9397-08002B2CF9AE}" pid="18" name="MSIP_Label_7cd3e8b9-ffed-43a8-b7f4-cc2fa0382d36_ContentBits">
    <vt:lpwstr>3</vt:lpwstr>
  </property>
  <property fmtid="{D5CDD505-2E9C-101B-9397-08002B2CF9AE}" pid="19" name="MSIP_Label_7cd3e8b9-ffed-43a8-b7f4-cc2fa0382d36_Tag">
    <vt:lpwstr>10, 0, 1, 1</vt:lpwstr>
  </property>
  <property fmtid="{D5CDD505-2E9C-101B-9397-08002B2CF9AE}" pid="20" name="mfb9edab7134471d8c78133ba7b278810">
    <vt:lpwstr>PCPD CC Corporate Communication SN|73cff0d0-7b20-43e0-ad96-75a3b55de641</vt:lpwstr>
  </property>
</Properties>
</file>