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E6C" w14:textId="140FD90C" w:rsidR="00232A9B" w:rsidRDefault="002B0C71" w:rsidP="00A14289">
      <w:pPr>
        <w:jc w:val="center"/>
      </w:pPr>
      <w:r>
        <w:rPr>
          <w:noProof/>
        </w:rPr>
        <w:drawing>
          <wp:inline distT="0" distB="0" distL="0" distR="0" wp14:anchorId="3F0662D9" wp14:editId="7CA18419">
            <wp:extent cx="2794000" cy="904506"/>
            <wp:effectExtent l="0" t="0" r="6350" b="0"/>
            <wp:docPr id="753799304" name="Picture 1" descr="Australian Centre for Disease Cont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99304" name="Picture 1" descr="Australian Centre for Disease Contro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606" cy="91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09DD" w14:textId="1496B9AE" w:rsidR="0009195A" w:rsidRDefault="00AA3694" w:rsidP="0009195A">
      <w:pPr>
        <w:pStyle w:val="HRTblHeadBold"/>
        <w:jc w:val="center"/>
      </w:pPr>
      <w:r>
        <w:t xml:space="preserve">Public Interest Disclosures - </w:t>
      </w:r>
      <w:r w:rsidR="00FA5021">
        <w:t>APP 5</w:t>
      </w:r>
      <w:r w:rsidR="004F5F2E">
        <w:t xml:space="preserve"> </w:t>
      </w:r>
      <w:r w:rsidR="0009195A">
        <w:t>Collection Notice</w:t>
      </w:r>
    </w:p>
    <w:p w14:paraId="3B24BF83" w14:textId="77777777" w:rsidR="00942F42" w:rsidRDefault="00942F42" w:rsidP="00942F42">
      <w:pPr>
        <w:spacing w:line="240" w:lineRule="auto"/>
        <w:rPr>
          <w:b/>
        </w:rPr>
      </w:pPr>
    </w:p>
    <w:p w14:paraId="14EDC05F" w14:textId="4D9185C8" w:rsidR="00AA3694" w:rsidRDefault="00AA3694" w:rsidP="00AA3694">
      <w:pPr>
        <w:rPr>
          <w:b/>
        </w:rPr>
      </w:pPr>
      <w:r w:rsidRPr="00996F03">
        <w:t xml:space="preserve">Your personal information is protected by law, including the </w:t>
      </w:r>
      <w:r w:rsidRPr="00996F03">
        <w:rPr>
          <w:i/>
        </w:rPr>
        <w:t>Privacy Act 1988</w:t>
      </w:r>
      <w:r w:rsidR="001C0216">
        <w:rPr>
          <w:i/>
        </w:rPr>
        <w:t xml:space="preserve"> (</w:t>
      </w:r>
      <w:r w:rsidR="001C0216" w:rsidRPr="001C0216">
        <w:rPr>
          <w:b/>
          <w:bCs/>
          <w:iCs/>
        </w:rPr>
        <w:t>Privacy Act</w:t>
      </w:r>
      <w:r w:rsidR="001C0216">
        <w:rPr>
          <w:i/>
        </w:rPr>
        <w:t>)</w:t>
      </w:r>
      <w:r w:rsidRPr="00996F03">
        <w:t xml:space="preserve"> and the Australian Privacy Principles</w:t>
      </w:r>
      <w:r>
        <w:t xml:space="preserve"> (</w:t>
      </w:r>
      <w:r w:rsidRPr="00A469B0">
        <w:rPr>
          <w:b/>
          <w:bCs/>
        </w:rPr>
        <w:t>APPs</w:t>
      </w:r>
      <w:r>
        <w:t>).</w:t>
      </w:r>
    </w:p>
    <w:p w14:paraId="288B1277" w14:textId="77777777" w:rsidR="00AA3694" w:rsidRDefault="00AA3694" w:rsidP="00AA3694">
      <w:pPr>
        <w:spacing w:after="0"/>
        <w:rPr>
          <w:b/>
        </w:rPr>
      </w:pPr>
      <w:r w:rsidRPr="00C309B7">
        <w:rPr>
          <w:b/>
        </w:rPr>
        <w:t>Who is collecting your personal information?</w:t>
      </w:r>
    </w:p>
    <w:p w14:paraId="7A501ACC" w14:textId="595B95BD" w:rsidR="00AA3694" w:rsidRDefault="00AA3694" w:rsidP="00AA3694">
      <w:pPr>
        <w:rPr>
          <w:rFonts w:cs="Arial"/>
          <w:szCs w:val="20"/>
        </w:rPr>
      </w:pPr>
      <w:r w:rsidRPr="000C0E63">
        <w:rPr>
          <w:rFonts w:cs="Arial"/>
          <w:szCs w:val="20"/>
        </w:rPr>
        <w:t xml:space="preserve">Your personal information is being collected by the </w:t>
      </w:r>
      <w:r w:rsidRPr="00FA5021">
        <w:t>Australian Centre for Disease Control</w:t>
      </w:r>
      <w:r w:rsidRPr="000C0E63">
        <w:rPr>
          <w:rFonts w:cs="Arial"/>
          <w:szCs w:val="20"/>
        </w:rPr>
        <w:t xml:space="preserve"> (</w:t>
      </w:r>
      <w:r w:rsidRPr="0098763A">
        <w:rPr>
          <w:rFonts w:cs="Arial"/>
          <w:b/>
          <w:bCs/>
          <w:szCs w:val="20"/>
        </w:rPr>
        <w:t>the</w:t>
      </w:r>
      <w:r w:rsidRPr="0089617E"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CDC/ we</w:t>
      </w:r>
      <w:r w:rsidRPr="000C0E63">
        <w:rPr>
          <w:rFonts w:cs="Arial"/>
          <w:szCs w:val="20"/>
        </w:rPr>
        <w:t xml:space="preserve">). </w:t>
      </w:r>
    </w:p>
    <w:p w14:paraId="24911608" w14:textId="6D06FC48" w:rsidR="001C0216" w:rsidRDefault="001C0216" w:rsidP="00942F42">
      <w:pPr>
        <w:spacing w:line="240" w:lineRule="auto"/>
        <w:rPr>
          <w:b/>
        </w:rPr>
      </w:pPr>
      <w:r>
        <w:rPr>
          <w:b/>
        </w:rPr>
        <w:t>Is the collection authorised or required by law?</w:t>
      </w:r>
    </w:p>
    <w:p w14:paraId="1BA8F55C" w14:textId="37378503" w:rsidR="001C0216" w:rsidRPr="001C0216" w:rsidRDefault="001C0216" w:rsidP="00942F42">
      <w:pPr>
        <w:spacing w:line="240" w:lineRule="auto"/>
        <w:rPr>
          <w:bCs/>
        </w:rPr>
      </w:pPr>
      <w:r w:rsidRPr="001C0216">
        <w:rPr>
          <w:bCs/>
        </w:rPr>
        <w:t xml:space="preserve">The collection of this information is authorised by </w:t>
      </w:r>
      <w:r>
        <w:rPr>
          <w:bCs/>
        </w:rPr>
        <w:t xml:space="preserve">the </w:t>
      </w:r>
      <w:hyperlink r:id="rId8" w:history="1">
        <w:r w:rsidRPr="000151CE">
          <w:rPr>
            <w:rStyle w:val="Hyperlink"/>
            <w:i/>
            <w:iCs/>
          </w:rPr>
          <w:t>Public Interest Disclosure Act 2013</w:t>
        </w:r>
      </w:hyperlink>
      <w:r w:rsidRPr="000151CE">
        <w:t xml:space="preserve"> (</w:t>
      </w:r>
      <w:r w:rsidRPr="008C6B9A">
        <w:rPr>
          <w:b/>
          <w:bCs/>
        </w:rPr>
        <w:t>PID Act</w:t>
      </w:r>
      <w:r w:rsidRPr="000151CE">
        <w:t>)</w:t>
      </w:r>
      <w:r>
        <w:rPr>
          <w:bCs/>
        </w:rPr>
        <w:t xml:space="preserve">, Privacy Act and </w:t>
      </w:r>
      <w:r w:rsidRPr="001C0216">
        <w:rPr>
          <w:bCs/>
          <w:i/>
          <w:iCs/>
        </w:rPr>
        <w:t>Australian Centre for Disease Control Act 2025</w:t>
      </w:r>
      <w:r w:rsidR="00AA26DB">
        <w:rPr>
          <w:bCs/>
        </w:rPr>
        <w:t xml:space="preserve"> (</w:t>
      </w:r>
      <w:r w:rsidR="00AA26DB" w:rsidRPr="007B7F7B">
        <w:rPr>
          <w:b/>
        </w:rPr>
        <w:t>CDC Act</w:t>
      </w:r>
      <w:r w:rsidR="00AA26DB">
        <w:rPr>
          <w:bCs/>
        </w:rPr>
        <w:t>)</w:t>
      </w:r>
      <w:r w:rsidRPr="001C0216">
        <w:rPr>
          <w:bCs/>
        </w:rPr>
        <w:t>.</w:t>
      </w:r>
    </w:p>
    <w:p w14:paraId="5C374070" w14:textId="03D1D97C" w:rsidR="008B3768" w:rsidRPr="00336B18" w:rsidRDefault="008B3768" w:rsidP="00942F42">
      <w:pPr>
        <w:spacing w:line="240" w:lineRule="auto"/>
        <w:rPr>
          <w:b/>
        </w:rPr>
      </w:pPr>
      <w:r>
        <w:rPr>
          <w:b/>
        </w:rPr>
        <w:t>What information is being collected?</w:t>
      </w:r>
    </w:p>
    <w:p w14:paraId="476C2C2B" w14:textId="5F13085B" w:rsidR="00336B18" w:rsidRDefault="00336B18" w:rsidP="00942F42">
      <w:pPr>
        <w:spacing w:line="240" w:lineRule="auto"/>
      </w:pPr>
      <w:r>
        <w:t xml:space="preserve">The </w:t>
      </w:r>
      <w:r w:rsidR="00FA5021">
        <w:t>CDC</w:t>
      </w:r>
      <w:r>
        <w:t xml:space="preserve"> </w:t>
      </w:r>
      <w:r w:rsidR="00F962CB">
        <w:t>will</w:t>
      </w:r>
      <w:r>
        <w:t xml:space="preserve"> collect a range of </w:t>
      </w:r>
      <w:r w:rsidR="00D36CFC">
        <w:t xml:space="preserve">your </w:t>
      </w:r>
      <w:r>
        <w:t xml:space="preserve">personal information, including </w:t>
      </w:r>
      <w:r w:rsidRPr="007812AB">
        <w:t>sensitive information</w:t>
      </w:r>
      <w:r w:rsidR="00B05829">
        <w:t xml:space="preserve">, </w:t>
      </w:r>
      <w:r w:rsidR="000151CE" w:rsidRPr="000151CE">
        <w:t xml:space="preserve">in </w:t>
      </w:r>
      <w:r w:rsidR="000151CE" w:rsidRPr="001C0216">
        <w:t xml:space="preserve">connection with the receipt, assessment, investigation and management of </w:t>
      </w:r>
      <w:r w:rsidR="00B21A5D">
        <w:t xml:space="preserve">a </w:t>
      </w:r>
      <w:r w:rsidR="005423C7" w:rsidRPr="001C0216">
        <w:t>PID</w:t>
      </w:r>
      <w:r w:rsidR="000151CE" w:rsidRPr="001C0216">
        <w:t xml:space="preserve"> made under the PID Act.</w:t>
      </w:r>
      <w:r w:rsidR="00D36CFC">
        <w:t xml:space="preserve"> </w:t>
      </w:r>
    </w:p>
    <w:p w14:paraId="63B2742E" w14:textId="7C20CF2C" w:rsidR="000151CE" w:rsidRDefault="000151CE" w:rsidP="00942F42">
      <w:pPr>
        <w:spacing w:line="240" w:lineRule="auto"/>
      </w:pPr>
      <w:r>
        <w:t>Personal information may be collected directly from you when you:</w:t>
      </w:r>
    </w:p>
    <w:p w14:paraId="73B8BC14" w14:textId="15A9BAB9" w:rsidR="000151CE" w:rsidRDefault="000151CE" w:rsidP="00942F42">
      <w:pPr>
        <w:pStyle w:val="ListParagraph"/>
        <w:numPr>
          <w:ilvl w:val="0"/>
          <w:numId w:val="4"/>
        </w:numPr>
        <w:spacing w:after="160" w:line="240" w:lineRule="auto"/>
      </w:pPr>
      <w:r>
        <w:t xml:space="preserve">make a </w:t>
      </w:r>
      <w:proofErr w:type="gramStart"/>
      <w:r w:rsidR="005423C7">
        <w:t>PID</w:t>
      </w:r>
      <w:r>
        <w:t>;</w:t>
      </w:r>
      <w:proofErr w:type="gramEnd"/>
    </w:p>
    <w:p w14:paraId="52C28ACA" w14:textId="24861640" w:rsidR="000151CE" w:rsidRDefault="000151CE" w:rsidP="00942F42">
      <w:pPr>
        <w:pStyle w:val="ListParagraph"/>
        <w:numPr>
          <w:ilvl w:val="0"/>
          <w:numId w:val="4"/>
        </w:numPr>
        <w:spacing w:after="160" w:line="240" w:lineRule="auto"/>
      </w:pPr>
      <w:r>
        <w:t xml:space="preserve">participate in, or are otherwise involved in, an assessment or investigation of a </w:t>
      </w:r>
      <w:r w:rsidR="005423C7">
        <w:t>PID</w:t>
      </w:r>
      <w:r>
        <w:t>; or</w:t>
      </w:r>
    </w:p>
    <w:p w14:paraId="704AA144" w14:textId="3DD98914" w:rsidR="000151CE" w:rsidRDefault="000151CE" w:rsidP="00942F42">
      <w:pPr>
        <w:pStyle w:val="ListParagraph"/>
        <w:numPr>
          <w:ilvl w:val="0"/>
          <w:numId w:val="4"/>
        </w:numPr>
        <w:spacing w:after="160" w:line="240" w:lineRule="auto"/>
      </w:pPr>
      <w:r>
        <w:t xml:space="preserve">communicate with the CDC in relation to a </w:t>
      </w:r>
      <w:r w:rsidR="005423C7">
        <w:t>PID</w:t>
      </w:r>
      <w:r>
        <w:t>.</w:t>
      </w:r>
    </w:p>
    <w:p w14:paraId="438DED58" w14:textId="6BFDDC80" w:rsidR="000151CE" w:rsidRDefault="000151CE" w:rsidP="00942F42">
      <w:pPr>
        <w:spacing w:line="240" w:lineRule="auto"/>
      </w:pPr>
      <w:r>
        <w:t>In some circumstances, we may collect your personal information from third parties where this is necessary and lawful, including from:</w:t>
      </w:r>
    </w:p>
    <w:p w14:paraId="77B82159" w14:textId="0500FD09" w:rsidR="000151CE" w:rsidRDefault="000151CE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 xml:space="preserve">other Commonwealth </w:t>
      </w:r>
      <w:proofErr w:type="gramStart"/>
      <w:r>
        <w:t>agencies;</w:t>
      </w:r>
      <w:proofErr w:type="gramEnd"/>
    </w:p>
    <w:p w14:paraId="6BF53A0C" w14:textId="593E8518" w:rsidR="000151CE" w:rsidRDefault="000151CE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 xml:space="preserve">witnesses or persons with relevant </w:t>
      </w:r>
      <w:proofErr w:type="gramStart"/>
      <w:r>
        <w:t>knowledge;</w:t>
      </w:r>
      <w:proofErr w:type="gramEnd"/>
    </w:p>
    <w:p w14:paraId="1B5A9126" w14:textId="4735F4B0" w:rsidR="00AA26DB" w:rsidRDefault="00AA26DB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 xml:space="preserve">entrusted persons </w:t>
      </w:r>
      <w:r w:rsidR="00944613">
        <w:t>(</w:t>
      </w:r>
      <w:r>
        <w:t xml:space="preserve">as defined in </w:t>
      </w:r>
      <w:r w:rsidR="00944613">
        <w:t xml:space="preserve">s 5 of </w:t>
      </w:r>
      <w:r>
        <w:t>the C</w:t>
      </w:r>
      <w:r w:rsidR="00F249CD">
        <w:t>D</w:t>
      </w:r>
      <w:r>
        <w:t>C Act</w:t>
      </w:r>
      <w:proofErr w:type="gramStart"/>
      <w:r w:rsidR="00944613">
        <w:t>)</w:t>
      </w:r>
      <w:r>
        <w:t>;</w:t>
      </w:r>
      <w:proofErr w:type="gramEnd"/>
    </w:p>
    <w:p w14:paraId="35A5DF9B" w14:textId="155B2D3A" w:rsidR="00AA26DB" w:rsidRDefault="00AA26DB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 xml:space="preserve">prescribed public health entities </w:t>
      </w:r>
      <w:r w:rsidR="00944613">
        <w:t>(</w:t>
      </w:r>
      <w:r>
        <w:t xml:space="preserve">as defined in </w:t>
      </w:r>
      <w:r w:rsidR="00944613">
        <w:t xml:space="preserve">s 5 of </w:t>
      </w:r>
      <w:r>
        <w:t>the C</w:t>
      </w:r>
      <w:r w:rsidR="00F249CD">
        <w:t>D</w:t>
      </w:r>
      <w:r>
        <w:t>C Act</w:t>
      </w:r>
      <w:proofErr w:type="gramStart"/>
      <w:r w:rsidR="00944613">
        <w:t>)</w:t>
      </w:r>
      <w:r>
        <w:t>;</w:t>
      </w:r>
      <w:proofErr w:type="gramEnd"/>
    </w:p>
    <w:p w14:paraId="3601D940" w14:textId="65E2C556" w:rsidR="000151CE" w:rsidRDefault="00AA26DB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 xml:space="preserve">designated data service providers </w:t>
      </w:r>
      <w:r w:rsidR="00944613">
        <w:t>(</w:t>
      </w:r>
      <w:r>
        <w:t xml:space="preserve">as defined in </w:t>
      </w:r>
      <w:r w:rsidR="00944613">
        <w:t xml:space="preserve">s 5 of </w:t>
      </w:r>
      <w:r>
        <w:t>the C</w:t>
      </w:r>
      <w:r w:rsidR="00F249CD">
        <w:t>D</w:t>
      </w:r>
      <w:r>
        <w:t>C Act</w:t>
      </w:r>
      <w:r w:rsidR="00944613">
        <w:t>)</w:t>
      </w:r>
      <w:r w:rsidR="000151CE">
        <w:t>; or</w:t>
      </w:r>
    </w:p>
    <w:p w14:paraId="598C72E6" w14:textId="77777777" w:rsidR="000151CE" w:rsidRDefault="000151CE" w:rsidP="00942F42">
      <w:pPr>
        <w:pStyle w:val="ListParagraph"/>
        <w:numPr>
          <w:ilvl w:val="0"/>
          <w:numId w:val="3"/>
        </w:numPr>
        <w:spacing w:after="160" w:line="240" w:lineRule="auto"/>
      </w:pPr>
      <w:r>
        <w:t>publicly available sources, where permitted by law.</w:t>
      </w:r>
    </w:p>
    <w:p w14:paraId="417D6904" w14:textId="66BB5F98" w:rsidR="008B3768" w:rsidRDefault="008B3768" w:rsidP="008B3768">
      <w:pPr>
        <w:spacing w:line="240" w:lineRule="auto"/>
        <w:rPr>
          <w:b/>
        </w:rPr>
      </w:pPr>
      <w:r w:rsidRPr="00C309B7">
        <w:rPr>
          <w:b/>
        </w:rPr>
        <w:t xml:space="preserve">Why does the </w:t>
      </w:r>
      <w:r w:rsidR="004D367B">
        <w:rPr>
          <w:b/>
        </w:rPr>
        <w:t>CDC</w:t>
      </w:r>
      <w:r w:rsidRPr="00C309B7">
        <w:rPr>
          <w:b/>
        </w:rPr>
        <w:t xml:space="preserve"> collect your personal information?</w:t>
      </w:r>
    </w:p>
    <w:p w14:paraId="1484F48B" w14:textId="22508D54" w:rsidR="005423C7" w:rsidRDefault="005423C7" w:rsidP="00942F42">
      <w:pPr>
        <w:spacing w:line="240" w:lineRule="auto"/>
      </w:pPr>
      <w:r>
        <w:t>The CDC collects your personal information for</w:t>
      </w:r>
      <w:r w:rsidR="008B3768">
        <w:t xml:space="preserve"> the</w:t>
      </w:r>
      <w:r>
        <w:t xml:space="preserve"> purposes </w:t>
      </w:r>
      <w:r w:rsidR="008B3768">
        <w:t>of</w:t>
      </w:r>
      <w:r>
        <w:t>:</w:t>
      </w:r>
    </w:p>
    <w:p w14:paraId="44501A55" w14:textId="319AA9FF" w:rsidR="005423C7" w:rsidRDefault="005423C7" w:rsidP="00942F42">
      <w:pPr>
        <w:pStyle w:val="ListParagraph"/>
        <w:numPr>
          <w:ilvl w:val="0"/>
          <w:numId w:val="5"/>
        </w:numPr>
        <w:spacing w:after="160" w:line="240" w:lineRule="auto"/>
      </w:pPr>
      <w:r>
        <w:t xml:space="preserve">receiving, assessing and investigating </w:t>
      </w:r>
      <w:proofErr w:type="gramStart"/>
      <w:r>
        <w:t>PIDs;</w:t>
      </w:r>
      <w:proofErr w:type="gramEnd"/>
    </w:p>
    <w:p w14:paraId="6A6F9C4B" w14:textId="2FC0950A" w:rsidR="005423C7" w:rsidRDefault="005423C7" w:rsidP="00942F42">
      <w:pPr>
        <w:pStyle w:val="ListParagraph"/>
        <w:numPr>
          <w:ilvl w:val="0"/>
          <w:numId w:val="5"/>
        </w:numPr>
        <w:spacing w:after="160" w:line="240" w:lineRule="auto"/>
      </w:pPr>
      <w:r>
        <w:t xml:space="preserve">determining whether a </w:t>
      </w:r>
      <w:r w:rsidR="00B21A5D">
        <w:t xml:space="preserve">disclosure </w:t>
      </w:r>
      <w:r>
        <w:t xml:space="preserve">qualifies for protection under the PID </w:t>
      </w:r>
      <w:proofErr w:type="gramStart"/>
      <w:r>
        <w:t>Act;</w:t>
      </w:r>
      <w:proofErr w:type="gramEnd"/>
    </w:p>
    <w:p w14:paraId="6291EE74" w14:textId="56E7627F" w:rsidR="005423C7" w:rsidRDefault="005423C7" w:rsidP="00942F42">
      <w:pPr>
        <w:pStyle w:val="ListParagraph"/>
        <w:numPr>
          <w:ilvl w:val="0"/>
          <w:numId w:val="5"/>
        </w:numPr>
        <w:spacing w:after="160" w:line="240" w:lineRule="auto"/>
      </w:pPr>
      <w:r>
        <w:t xml:space="preserve">communicating with disclosers and other relevant </w:t>
      </w:r>
      <w:proofErr w:type="gramStart"/>
      <w:r>
        <w:t>individuals;</w:t>
      </w:r>
      <w:proofErr w:type="gramEnd"/>
    </w:p>
    <w:p w14:paraId="2A0244C4" w14:textId="074AA3E3" w:rsidR="005423C7" w:rsidRDefault="005423C7" w:rsidP="00942F42">
      <w:pPr>
        <w:pStyle w:val="ListParagraph"/>
        <w:numPr>
          <w:ilvl w:val="0"/>
          <w:numId w:val="5"/>
        </w:numPr>
        <w:spacing w:after="160" w:line="240" w:lineRule="auto"/>
      </w:pPr>
      <w:r>
        <w:t>performing the CDC’s statutory functions; and</w:t>
      </w:r>
    </w:p>
    <w:p w14:paraId="1D6443E2" w14:textId="4917C11A" w:rsidR="005423C7" w:rsidRDefault="005423C7" w:rsidP="00942F42">
      <w:pPr>
        <w:pStyle w:val="ListParagraph"/>
        <w:numPr>
          <w:ilvl w:val="0"/>
          <w:numId w:val="5"/>
        </w:numPr>
        <w:spacing w:after="160" w:line="240" w:lineRule="auto"/>
      </w:pPr>
      <w:r>
        <w:t>complying with legal obligations under the PID Act, the Privacy Act and other applicable Commonwealth laws.</w:t>
      </w:r>
    </w:p>
    <w:p w14:paraId="6611BD48" w14:textId="77777777" w:rsidR="005423C7" w:rsidRDefault="005423C7" w:rsidP="00942F42">
      <w:pPr>
        <w:spacing w:line="240" w:lineRule="auto"/>
        <w:rPr>
          <w:b/>
        </w:rPr>
      </w:pPr>
      <w:r>
        <w:t>Personal information collected for a specific purpose related to a PID may also be used for other purposes that are authorised or required by law, or that are directly related to that purpose.</w:t>
      </w:r>
      <w:r w:rsidRPr="008D5309">
        <w:rPr>
          <w:b/>
        </w:rPr>
        <w:t xml:space="preserve"> </w:t>
      </w:r>
    </w:p>
    <w:p w14:paraId="00C32099" w14:textId="341614AB" w:rsidR="008B3768" w:rsidRDefault="008B3768" w:rsidP="00B21A5D">
      <w:pPr>
        <w:keepNext/>
        <w:spacing w:line="240" w:lineRule="auto"/>
        <w:rPr>
          <w:b/>
        </w:rPr>
      </w:pPr>
      <w:r w:rsidRPr="001B5ADE">
        <w:rPr>
          <w:b/>
        </w:rPr>
        <w:lastRenderedPageBreak/>
        <w:t xml:space="preserve">What would happen if the </w:t>
      </w:r>
      <w:r w:rsidR="004D367B">
        <w:rPr>
          <w:b/>
        </w:rPr>
        <w:t>CDC</w:t>
      </w:r>
      <w:r w:rsidRPr="001B5ADE">
        <w:rPr>
          <w:b/>
        </w:rPr>
        <w:t xml:space="preserve"> did not collect your personal information?</w:t>
      </w:r>
    </w:p>
    <w:p w14:paraId="126C2726" w14:textId="382FC394" w:rsidR="005423C7" w:rsidRPr="005423C7" w:rsidRDefault="008B3768" w:rsidP="00B21A5D">
      <w:pPr>
        <w:keepNext/>
        <w:spacing w:line="240" w:lineRule="auto"/>
        <w:rPr>
          <w:bCs/>
        </w:rPr>
      </w:pPr>
      <w:r w:rsidRPr="00BA2281">
        <w:t xml:space="preserve">If you </w:t>
      </w:r>
      <w:r w:rsidRPr="000F1D8B">
        <w:t>do not</w:t>
      </w:r>
      <w:r>
        <w:t xml:space="preserve"> or </w:t>
      </w:r>
      <w:r w:rsidRPr="000F1D8B">
        <w:t>are unable to</w:t>
      </w:r>
      <w:r w:rsidRPr="00BA2281">
        <w:t xml:space="preserve"> provide </w:t>
      </w:r>
      <w:r>
        <w:t>your personal information</w:t>
      </w:r>
      <w:r w:rsidR="005423C7" w:rsidRPr="005423C7">
        <w:rPr>
          <w:bCs/>
        </w:rPr>
        <w:t>, the CDC may be unable to:</w:t>
      </w:r>
    </w:p>
    <w:p w14:paraId="176DE9D1" w14:textId="226001A7" w:rsidR="005423C7" w:rsidRPr="005423C7" w:rsidRDefault="005423C7" w:rsidP="00942F42">
      <w:pPr>
        <w:pStyle w:val="ListParagraph"/>
        <w:numPr>
          <w:ilvl w:val="0"/>
          <w:numId w:val="8"/>
        </w:numPr>
        <w:spacing w:after="160" w:line="240" w:lineRule="auto"/>
        <w:rPr>
          <w:bCs/>
        </w:rPr>
      </w:pPr>
      <w:r w:rsidRPr="005423C7">
        <w:rPr>
          <w:bCs/>
        </w:rPr>
        <w:t xml:space="preserve">properly assess or investigate </w:t>
      </w:r>
      <w:r>
        <w:rPr>
          <w:bCs/>
        </w:rPr>
        <w:t xml:space="preserve">your </w:t>
      </w:r>
      <w:proofErr w:type="gramStart"/>
      <w:r>
        <w:rPr>
          <w:bCs/>
        </w:rPr>
        <w:t>PID</w:t>
      </w:r>
      <w:r w:rsidRPr="005423C7">
        <w:rPr>
          <w:bCs/>
        </w:rPr>
        <w:t>;</w:t>
      </w:r>
      <w:proofErr w:type="gramEnd"/>
    </w:p>
    <w:p w14:paraId="6864B255" w14:textId="1B6EC50F" w:rsidR="005423C7" w:rsidRPr="005423C7" w:rsidRDefault="005423C7" w:rsidP="00942F42">
      <w:pPr>
        <w:pStyle w:val="ListParagraph"/>
        <w:numPr>
          <w:ilvl w:val="0"/>
          <w:numId w:val="8"/>
        </w:numPr>
        <w:spacing w:after="160" w:line="240" w:lineRule="auto"/>
        <w:rPr>
          <w:bCs/>
        </w:rPr>
      </w:pPr>
      <w:r w:rsidRPr="005423C7">
        <w:rPr>
          <w:bCs/>
        </w:rPr>
        <w:t xml:space="preserve">communicate with you about </w:t>
      </w:r>
      <w:r w:rsidR="008B3768">
        <w:rPr>
          <w:bCs/>
        </w:rPr>
        <w:t>your PID</w:t>
      </w:r>
      <w:r w:rsidRPr="005423C7">
        <w:rPr>
          <w:bCs/>
        </w:rPr>
        <w:t xml:space="preserve"> or any investigation; or</w:t>
      </w:r>
    </w:p>
    <w:p w14:paraId="5F0603ED" w14:textId="5560D95E" w:rsidR="005423C7" w:rsidRPr="005423C7" w:rsidRDefault="005423C7" w:rsidP="00942F42">
      <w:pPr>
        <w:pStyle w:val="ListParagraph"/>
        <w:numPr>
          <w:ilvl w:val="0"/>
          <w:numId w:val="8"/>
        </w:numPr>
        <w:spacing w:after="160" w:line="240" w:lineRule="auto"/>
        <w:rPr>
          <w:bCs/>
        </w:rPr>
      </w:pPr>
      <w:r w:rsidRPr="005423C7">
        <w:rPr>
          <w:bCs/>
        </w:rPr>
        <w:t>determine whether the disclosure qualifies for protection under the PID Act.</w:t>
      </w:r>
    </w:p>
    <w:p w14:paraId="6B1E1045" w14:textId="70041ADB" w:rsidR="008B3768" w:rsidRPr="008C6B9A" w:rsidRDefault="008B3768" w:rsidP="008C6B9A">
      <w:pPr>
        <w:spacing w:line="240" w:lineRule="auto"/>
        <w:rPr>
          <w:b/>
        </w:rPr>
      </w:pPr>
      <w:r w:rsidRPr="008C6B9A">
        <w:rPr>
          <w:b/>
        </w:rPr>
        <w:t xml:space="preserve">Who will the </w:t>
      </w:r>
      <w:r w:rsidR="004D367B">
        <w:rPr>
          <w:b/>
        </w:rPr>
        <w:t>CDC</w:t>
      </w:r>
      <w:r w:rsidRPr="008C6B9A">
        <w:rPr>
          <w:b/>
        </w:rPr>
        <w:t xml:space="preserve"> disclose your personal information to?</w:t>
      </w:r>
    </w:p>
    <w:p w14:paraId="2F837C41" w14:textId="32103E13" w:rsidR="005423C7" w:rsidRPr="005423C7" w:rsidRDefault="005423C7" w:rsidP="00942F42">
      <w:pPr>
        <w:spacing w:line="240" w:lineRule="auto"/>
        <w:rPr>
          <w:bCs/>
        </w:rPr>
      </w:pPr>
      <w:r w:rsidRPr="005423C7">
        <w:rPr>
          <w:bCs/>
        </w:rPr>
        <w:t>Your personal information, including sensitive information, may be disclosed</w:t>
      </w:r>
      <w:r w:rsidR="005150DE">
        <w:rPr>
          <w:bCs/>
        </w:rPr>
        <w:t xml:space="preserve"> with your consent, or</w:t>
      </w:r>
      <w:r w:rsidRPr="005423C7">
        <w:rPr>
          <w:bCs/>
        </w:rPr>
        <w:t xml:space="preserve"> where required or authorised by law, including under the PID Act. This may include disclosure to:</w:t>
      </w:r>
    </w:p>
    <w:p w14:paraId="2E944CB2" w14:textId="35717D0B" w:rsidR="005423C7" w:rsidRDefault="005423C7" w:rsidP="00942F42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 w:rsidRPr="005423C7">
        <w:rPr>
          <w:bCs/>
        </w:rPr>
        <w:t xml:space="preserve">authorised officers of the </w:t>
      </w:r>
      <w:proofErr w:type="gramStart"/>
      <w:r w:rsidRPr="005423C7">
        <w:rPr>
          <w:bCs/>
        </w:rPr>
        <w:t>CDC;</w:t>
      </w:r>
      <w:proofErr w:type="gramEnd"/>
    </w:p>
    <w:p w14:paraId="4F0E69A8" w14:textId="47B96815" w:rsidR="00B21FEA" w:rsidRDefault="00B21FEA" w:rsidP="00B21FEA">
      <w:pPr>
        <w:pStyle w:val="ListParagraph"/>
        <w:numPr>
          <w:ilvl w:val="0"/>
          <w:numId w:val="9"/>
        </w:numPr>
        <w:spacing w:after="160" w:line="240" w:lineRule="auto"/>
      </w:pPr>
      <w:r>
        <w:t>entrusted persons (as defined in s 5 of the C</w:t>
      </w:r>
      <w:r w:rsidR="00F249CD">
        <w:t>D</w:t>
      </w:r>
      <w:r>
        <w:t>C Act</w:t>
      </w:r>
      <w:proofErr w:type="gramStart"/>
      <w:r>
        <w:t>);</w:t>
      </w:r>
      <w:proofErr w:type="gramEnd"/>
    </w:p>
    <w:p w14:paraId="60C52E64" w14:textId="2EDAC06D" w:rsidR="00B21FEA" w:rsidRDefault="00B21FEA" w:rsidP="00B21FEA">
      <w:pPr>
        <w:pStyle w:val="ListParagraph"/>
        <w:numPr>
          <w:ilvl w:val="0"/>
          <w:numId w:val="9"/>
        </w:numPr>
        <w:spacing w:after="160" w:line="240" w:lineRule="auto"/>
      </w:pPr>
      <w:r>
        <w:t>prescribed public health entities (as defined in s 5 of the C</w:t>
      </w:r>
      <w:r w:rsidR="00F249CD">
        <w:t>D</w:t>
      </w:r>
      <w:r>
        <w:t>C Act</w:t>
      </w:r>
      <w:proofErr w:type="gramStart"/>
      <w:r>
        <w:t>);</w:t>
      </w:r>
      <w:proofErr w:type="gramEnd"/>
    </w:p>
    <w:p w14:paraId="52BA2532" w14:textId="1914E46D" w:rsidR="00B21FEA" w:rsidRDefault="00B21FEA" w:rsidP="00B21FEA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>
        <w:t>designated data service providers (as defined in s 5 of the C</w:t>
      </w:r>
      <w:r w:rsidR="00F249CD">
        <w:t>D</w:t>
      </w:r>
      <w:r>
        <w:t>C Act</w:t>
      </w:r>
      <w:proofErr w:type="gramStart"/>
      <w:r>
        <w:t>);</w:t>
      </w:r>
      <w:proofErr w:type="gramEnd"/>
    </w:p>
    <w:p w14:paraId="77440795" w14:textId="5AE59B37" w:rsidR="008B3768" w:rsidRPr="005423C7" w:rsidRDefault="008B3768" w:rsidP="00942F42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>
        <w:rPr>
          <w:bCs/>
        </w:rPr>
        <w:t>third parties engaged to assist the CDC</w:t>
      </w:r>
      <w:r w:rsidR="000A4BA5">
        <w:rPr>
          <w:bCs/>
        </w:rPr>
        <w:t xml:space="preserve"> in relation to the </w:t>
      </w:r>
      <w:proofErr w:type="gramStart"/>
      <w:r w:rsidR="000A4BA5">
        <w:rPr>
          <w:bCs/>
        </w:rPr>
        <w:t>disclosure</w:t>
      </w:r>
      <w:r>
        <w:rPr>
          <w:bCs/>
        </w:rPr>
        <w:t>;</w:t>
      </w:r>
      <w:proofErr w:type="gramEnd"/>
    </w:p>
    <w:p w14:paraId="19AEF7BE" w14:textId="641E4158" w:rsidR="005423C7" w:rsidRPr="005423C7" w:rsidRDefault="005423C7" w:rsidP="00942F42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 w:rsidRPr="005423C7">
        <w:rPr>
          <w:bCs/>
        </w:rPr>
        <w:t xml:space="preserve">supervisors or managers involved in handling the </w:t>
      </w:r>
      <w:proofErr w:type="gramStart"/>
      <w:r w:rsidRPr="005423C7">
        <w:rPr>
          <w:bCs/>
        </w:rPr>
        <w:t>disclosure;</w:t>
      </w:r>
      <w:proofErr w:type="gramEnd"/>
    </w:p>
    <w:p w14:paraId="3945FDE9" w14:textId="75CD6811" w:rsidR="005423C7" w:rsidRPr="005423C7" w:rsidRDefault="005423C7" w:rsidP="00942F42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 w:rsidRPr="005423C7">
        <w:rPr>
          <w:bCs/>
        </w:rPr>
        <w:t>the Commonwealth Ombudsman or other oversight bodies; or</w:t>
      </w:r>
    </w:p>
    <w:p w14:paraId="37C19E29" w14:textId="4D2A961B" w:rsidR="005423C7" w:rsidRPr="005423C7" w:rsidRDefault="005423C7" w:rsidP="00942F42">
      <w:pPr>
        <w:pStyle w:val="ListParagraph"/>
        <w:numPr>
          <w:ilvl w:val="0"/>
          <w:numId w:val="9"/>
        </w:numPr>
        <w:spacing w:after="160" w:line="240" w:lineRule="auto"/>
        <w:rPr>
          <w:bCs/>
        </w:rPr>
      </w:pPr>
      <w:r w:rsidRPr="005423C7">
        <w:rPr>
          <w:bCs/>
        </w:rPr>
        <w:t xml:space="preserve">other Commonwealth agencies, </w:t>
      </w:r>
      <w:proofErr w:type="gramStart"/>
      <w:r w:rsidRPr="005423C7">
        <w:rPr>
          <w:bCs/>
        </w:rPr>
        <w:t>where</w:t>
      </w:r>
      <w:proofErr w:type="gramEnd"/>
      <w:r w:rsidRPr="005423C7">
        <w:rPr>
          <w:bCs/>
        </w:rPr>
        <w:t xml:space="preserve"> lawful.</w:t>
      </w:r>
    </w:p>
    <w:p w14:paraId="1EB1B251" w14:textId="77777777" w:rsidR="008B3768" w:rsidRPr="00C309B7" w:rsidRDefault="008B3768" w:rsidP="008B3768">
      <w:pPr>
        <w:rPr>
          <w:b/>
        </w:rPr>
      </w:pPr>
      <w:r w:rsidRPr="00C309B7">
        <w:rPr>
          <w:b/>
        </w:rPr>
        <w:t>Access to and correction of your personal information</w:t>
      </w:r>
    </w:p>
    <w:p w14:paraId="22129A87" w14:textId="722C9705" w:rsidR="008B3768" w:rsidRDefault="008B3768" w:rsidP="008B3768">
      <w:pPr>
        <w:spacing w:line="240" w:lineRule="auto"/>
      </w:pPr>
      <w:r>
        <w:t>The CDC’s privacy policy contains information about how you may access and seek correction of your personal information.</w:t>
      </w:r>
    </w:p>
    <w:p w14:paraId="40F0C3DA" w14:textId="77777777" w:rsidR="008B3768" w:rsidRDefault="008B3768" w:rsidP="008B3768">
      <w:pPr>
        <w:spacing w:line="240" w:lineRule="auto"/>
        <w:rPr>
          <w:b/>
        </w:rPr>
      </w:pPr>
      <w:r w:rsidRPr="00C309B7">
        <w:rPr>
          <w:b/>
        </w:rPr>
        <w:t>Privacy complaints</w:t>
      </w:r>
    </w:p>
    <w:p w14:paraId="6F965D75" w14:textId="54FBDAE1" w:rsidR="008B3768" w:rsidRPr="00AD2399" w:rsidRDefault="008B3768" w:rsidP="008B3768">
      <w:pPr>
        <w:spacing w:line="240" w:lineRule="auto"/>
      </w:pPr>
      <w:r w:rsidRPr="00AD2399">
        <w:rPr>
          <w:rFonts w:cstheme="minorHAnsi"/>
        </w:rPr>
        <w:t xml:space="preserve">The </w:t>
      </w:r>
      <w:r w:rsidR="004D367B">
        <w:t>CDC’s</w:t>
      </w:r>
      <w:r w:rsidRPr="00AD2399">
        <w:rPr>
          <w:rFonts w:cstheme="minorHAnsi"/>
        </w:rPr>
        <w:t xml:space="preserve"> privacy policy contains information about how you may complain about a breach of the Australian Privacy Principles or the </w:t>
      </w:r>
      <w:r w:rsidRPr="00AD2399">
        <w:rPr>
          <w:i/>
          <w:iCs/>
        </w:rPr>
        <w:t>Australian Government Agencies Privacy Code</w:t>
      </w:r>
      <w:r w:rsidRPr="00AD2399">
        <w:rPr>
          <w:rStyle w:val="Emphasis"/>
          <w:rFonts w:cstheme="minorHAnsi"/>
          <w:color w:val="003347"/>
          <w:bdr w:val="none" w:sz="0" w:space="0" w:color="auto" w:frame="1"/>
        </w:rPr>
        <w:t xml:space="preserve"> </w:t>
      </w:r>
      <w:r w:rsidRPr="00AD2399">
        <w:rPr>
          <w:rFonts w:cstheme="minorHAnsi"/>
        </w:rPr>
        <w:t>and</w:t>
      </w:r>
      <w:r w:rsidRPr="00AD2399">
        <w:t xml:space="preserve"> how the </w:t>
      </w:r>
      <w:r w:rsidR="004D367B">
        <w:t>CDC</w:t>
      </w:r>
      <w:r w:rsidRPr="00AD2399">
        <w:t xml:space="preserve"> will deal with complaints.</w:t>
      </w:r>
    </w:p>
    <w:p w14:paraId="7BC650EF" w14:textId="77777777" w:rsidR="008B3768" w:rsidRDefault="008B3768" w:rsidP="008B3768">
      <w:pPr>
        <w:spacing w:line="240" w:lineRule="auto"/>
        <w:rPr>
          <w:b/>
        </w:rPr>
      </w:pPr>
      <w:r w:rsidRPr="00C309B7">
        <w:rPr>
          <w:b/>
        </w:rPr>
        <w:t>Overseas disclosure of your personal information</w:t>
      </w:r>
    </w:p>
    <w:p w14:paraId="021BE394" w14:textId="5E662DF7" w:rsidR="008B3768" w:rsidRDefault="008B3768" w:rsidP="008B3768">
      <w:r>
        <w:t xml:space="preserve">We will not disclose your personal information to any overseas recipients. </w:t>
      </w:r>
    </w:p>
    <w:p w14:paraId="43119E15" w14:textId="7313B6DB" w:rsidR="00A14289" w:rsidRPr="008D5309" w:rsidRDefault="008B3768" w:rsidP="00942F42">
      <w:pPr>
        <w:spacing w:line="240" w:lineRule="auto"/>
        <w:rPr>
          <w:b/>
        </w:rPr>
      </w:pPr>
      <w:r>
        <w:rPr>
          <w:b/>
        </w:rPr>
        <w:t>Further</w:t>
      </w:r>
      <w:r w:rsidR="008D5309" w:rsidRPr="008D5309">
        <w:rPr>
          <w:b/>
        </w:rPr>
        <w:t xml:space="preserve"> information</w:t>
      </w:r>
    </w:p>
    <w:p w14:paraId="01369570" w14:textId="50DC9DFF" w:rsidR="008B3768" w:rsidRDefault="008B3768" w:rsidP="008B3768">
      <w:pPr>
        <w:spacing w:line="240" w:lineRule="auto"/>
      </w:pPr>
      <w:r>
        <w:t xml:space="preserve">You can read the </w:t>
      </w:r>
      <w:hyperlink r:id="rId9" w:history="1">
        <w:r w:rsidR="004D367B" w:rsidRPr="00131DC1">
          <w:rPr>
            <w:rStyle w:val="Hyperlink"/>
          </w:rPr>
          <w:t>CDC’s</w:t>
        </w:r>
        <w:r w:rsidRPr="00131DC1">
          <w:rPr>
            <w:rStyle w:val="Hyperlink"/>
          </w:rPr>
          <w:t xml:space="preserve"> privacy policy</w:t>
        </w:r>
      </w:hyperlink>
      <w:r w:rsidR="00444C4F">
        <w:t>.</w:t>
      </w:r>
      <w:r w:rsidR="00C63945">
        <w:t xml:space="preserve"> </w:t>
      </w:r>
      <w:r w:rsidRPr="00BA2281">
        <w:t>You can obtain a copy of the APP pr</w:t>
      </w:r>
      <w:r>
        <w:t xml:space="preserve">ivacy policy by contacting the </w:t>
      </w:r>
      <w:r w:rsidR="004D367B">
        <w:t>CDC</w:t>
      </w:r>
      <w:r w:rsidRPr="00BA2281">
        <w:t xml:space="preserve"> using the contact details set out at the end of this notice.  </w:t>
      </w:r>
    </w:p>
    <w:p w14:paraId="1AC89D47" w14:textId="77777777" w:rsidR="008B3768" w:rsidRDefault="008B3768" w:rsidP="008B3768">
      <w:pPr>
        <w:spacing w:line="240" w:lineRule="auto"/>
      </w:pPr>
      <w:r>
        <w:rPr>
          <w:b/>
        </w:rPr>
        <w:t>Consent</w:t>
      </w:r>
    </w:p>
    <w:p w14:paraId="1D467AA5" w14:textId="079EF24C" w:rsidR="008B3768" w:rsidRDefault="008B3768" w:rsidP="008B3768">
      <w:pPr>
        <w:spacing w:line="240" w:lineRule="auto"/>
      </w:pPr>
      <w:r w:rsidRPr="000F1D8B">
        <w:t xml:space="preserve">By </w:t>
      </w:r>
      <w:r>
        <w:t>providing y</w:t>
      </w:r>
      <w:r w:rsidRPr="004D367B">
        <w:t xml:space="preserve">our sensitive information to us, you consent to the </w:t>
      </w:r>
      <w:r w:rsidR="004D367B" w:rsidRPr="004D367B">
        <w:t>CDC</w:t>
      </w:r>
      <w:r w:rsidRPr="004D367B">
        <w:t xml:space="preserve"> collecting </w:t>
      </w:r>
      <w:r w:rsidR="004D367B" w:rsidRPr="004D367B">
        <w:t xml:space="preserve">the </w:t>
      </w:r>
      <w:r w:rsidRPr="008C6B9A">
        <w:t>sensitive information</w:t>
      </w:r>
      <w:r w:rsidR="004D367B" w:rsidRPr="004D367B">
        <w:t xml:space="preserve"> provided</w:t>
      </w:r>
      <w:r w:rsidRPr="000F1D8B">
        <w:t xml:space="preserve"> about you</w:t>
      </w:r>
      <w:r>
        <w:t xml:space="preserve"> </w:t>
      </w:r>
      <w:r w:rsidRPr="000F1D8B">
        <w:t>for the purposes indicated above</w:t>
      </w:r>
      <w:bookmarkStart w:id="0" w:name="_Hlk175818365"/>
      <w:r>
        <w:t xml:space="preserve"> </w:t>
      </w:r>
    </w:p>
    <w:bookmarkEnd w:id="0"/>
    <w:p w14:paraId="20B0272B" w14:textId="00457E58" w:rsidR="00B21A5D" w:rsidRDefault="008B3768" w:rsidP="00B21A5D">
      <w:pPr>
        <w:spacing w:line="240" w:lineRule="auto"/>
        <w:rPr>
          <w:rFonts w:cs="Arial"/>
          <w:szCs w:val="20"/>
        </w:rPr>
      </w:pPr>
      <w:r w:rsidRPr="005E0960">
        <w:t xml:space="preserve">By providing your </w:t>
      </w:r>
      <w:r w:rsidRPr="005E0960">
        <w:rPr>
          <w:rFonts w:cs="Arial"/>
          <w:szCs w:val="20"/>
        </w:rPr>
        <w:t xml:space="preserve">personal information to </w:t>
      </w:r>
      <w:r w:rsidR="004D367B">
        <w:rPr>
          <w:rFonts w:cs="Arial"/>
          <w:szCs w:val="20"/>
        </w:rPr>
        <w:t xml:space="preserve">any third party engaged to assist the CDC in </w:t>
      </w:r>
      <w:r w:rsidR="000A4BA5">
        <w:rPr>
          <w:rFonts w:cs="Arial"/>
          <w:szCs w:val="20"/>
        </w:rPr>
        <w:t>relation to any disclosure</w:t>
      </w:r>
      <w:r w:rsidRPr="005E0960">
        <w:rPr>
          <w:rFonts w:cs="Arial"/>
          <w:szCs w:val="20"/>
        </w:rPr>
        <w:t xml:space="preserve">, you consent to the </w:t>
      </w:r>
      <w:r w:rsidR="004D367B">
        <w:rPr>
          <w:rFonts w:cs="Arial"/>
          <w:szCs w:val="20"/>
        </w:rPr>
        <w:t>CDC</w:t>
      </w:r>
      <w:r>
        <w:rPr>
          <w:rFonts w:cs="Arial"/>
          <w:szCs w:val="20"/>
        </w:rPr>
        <w:t xml:space="preserve"> </w:t>
      </w:r>
      <w:r w:rsidRPr="005E0960">
        <w:rPr>
          <w:rFonts w:cs="Arial"/>
          <w:szCs w:val="20"/>
        </w:rPr>
        <w:t xml:space="preserve">collecting this personal information about you from </w:t>
      </w:r>
      <w:r w:rsidR="004D367B">
        <w:rPr>
          <w:rFonts w:cs="Arial"/>
          <w:szCs w:val="20"/>
        </w:rPr>
        <w:t>that provider</w:t>
      </w:r>
      <w:r w:rsidRPr="005E0960">
        <w:rPr>
          <w:rFonts w:cs="Arial"/>
          <w:szCs w:val="20"/>
        </w:rPr>
        <w:t xml:space="preserve">. </w:t>
      </w:r>
    </w:p>
    <w:p w14:paraId="1475AD91" w14:textId="1DADE7FB" w:rsidR="008B3768" w:rsidRPr="00632684" w:rsidRDefault="008B3768" w:rsidP="00B21A5D">
      <w:pPr>
        <w:spacing w:line="240" w:lineRule="auto"/>
      </w:pPr>
      <w:r w:rsidRPr="002F5BFA">
        <w:t xml:space="preserve">If you </w:t>
      </w:r>
      <w:r>
        <w:t xml:space="preserve">are providing the </w:t>
      </w:r>
      <w:r w:rsidR="004D367B">
        <w:t>CDC</w:t>
      </w:r>
      <w:r>
        <w:t xml:space="preserve"> with personal </w:t>
      </w:r>
      <w:r w:rsidRPr="002F5BFA">
        <w:t xml:space="preserve">information about another individual, </w:t>
      </w:r>
      <w:r>
        <w:t xml:space="preserve">unless you are authorised to consent on their behalf, </w:t>
      </w:r>
      <w:r w:rsidRPr="002F5BFA">
        <w:t xml:space="preserve">you will need to inform that individual of the contents of this notice and obtain their consent to the </w:t>
      </w:r>
      <w:r w:rsidR="004D367B">
        <w:t>CDC</w:t>
      </w:r>
      <w:r w:rsidRPr="002F5BFA">
        <w:t xml:space="preserve"> collecting their personal information. </w:t>
      </w:r>
    </w:p>
    <w:p w14:paraId="01904C53" w14:textId="77777777" w:rsidR="008B3768" w:rsidRDefault="008B3768" w:rsidP="00B21A5D">
      <w:pPr>
        <w:keepNext/>
        <w:rPr>
          <w:b/>
        </w:rPr>
      </w:pPr>
      <w:r w:rsidRPr="00931918">
        <w:rPr>
          <w:b/>
        </w:rPr>
        <w:lastRenderedPageBreak/>
        <w:t>Contact details</w:t>
      </w:r>
    </w:p>
    <w:p w14:paraId="17CCCBEB" w14:textId="5EA9F8B5" w:rsidR="008B3768" w:rsidRDefault="008B3768" w:rsidP="00B21A5D">
      <w:pPr>
        <w:keepNext/>
        <w:spacing w:line="240" w:lineRule="auto"/>
        <w:rPr>
          <w:b/>
        </w:rPr>
      </w:pPr>
      <w:r>
        <w:t xml:space="preserve">If you wish to contact the </w:t>
      </w:r>
      <w:r w:rsidR="004D367B">
        <w:t>CDC</w:t>
      </w:r>
      <w:r>
        <w:t xml:space="preserve"> about a privacy-related matter, including questions about this notice, please contact the </w:t>
      </w:r>
      <w:r w:rsidR="004D367B">
        <w:t>CDC</w:t>
      </w:r>
      <w:r>
        <w:t>’s Privacy Officer by one of the following methods:</w:t>
      </w:r>
    </w:p>
    <w:p w14:paraId="724BC0DA" w14:textId="3574BCF3" w:rsidR="008B3768" w:rsidRPr="007B7F7B" w:rsidRDefault="008B3768" w:rsidP="007739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b/>
        </w:rPr>
      </w:pPr>
      <w:r w:rsidRPr="007B7F7B">
        <w:rPr>
          <w:b/>
        </w:rPr>
        <w:t>Post</w:t>
      </w:r>
      <w:r w:rsidRPr="007B7F7B">
        <w:rPr>
          <w:b/>
        </w:rPr>
        <w:br/>
      </w:r>
      <w:proofErr w:type="spellStart"/>
      <w:r w:rsidR="007B7F7B" w:rsidRPr="007B7F7B">
        <w:rPr>
          <w:rFonts w:ascii="Arial" w:hAnsi="Arial" w:cs="Arial"/>
        </w:rPr>
        <w:t>Att</w:t>
      </w:r>
      <w:proofErr w:type="spellEnd"/>
      <w:r w:rsidR="007B7F7B" w:rsidRPr="007B7F7B">
        <w:rPr>
          <w:rFonts w:ascii="Arial" w:hAnsi="Arial" w:cs="Arial"/>
        </w:rPr>
        <w:t xml:space="preserve">: </w:t>
      </w:r>
      <w:r w:rsidRPr="007B7F7B">
        <w:rPr>
          <w:rFonts w:ascii="Arial" w:hAnsi="Arial" w:cs="Arial"/>
        </w:rPr>
        <w:t>Privacy Officer</w:t>
      </w:r>
      <w:r>
        <w:br/>
      </w:r>
      <w:r w:rsidR="007B7F7B" w:rsidRPr="00783A64">
        <w:rPr>
          <w:rFonts w:ascii="Arial" w:hAnsi="Arial" w:cs="Arial"/>
        </w:rPr>
        <w:t>GPO Bo</w:t>
      </w:r>
      <w:r w:rsidR="007B7F7B">
        <w:rPr>
          <w:rFonts w:ascii="Arial" w:hAnsi="Arial" w:cs="Arial"/>
        </w:rPr>
        <w:t xml:space="preserve">x </w:t>
      </w:r>
      <w:r w:rsidR="007B7F7B" w:rsidRPr="00C37064">
        <w:rPr>
          <w:rFonts w:ascii="Arial" w:hAnsi="Arial" w:cs="Arial"/>
        </w:rPr>
        <w:t>798</w:t>
      </w:r>
      <w:r w:rsidR="007B7F7B" w:rsidRPr="00783A64">
        <w:rPr>
          <w:rFonts w:ascii="Arial" w:hAnsi="Arial" w:cs="Arial"/>
        </w:rPr>
        <w:t>, Canberra ACT</w:t>
      </w:r>
      <w:r w:rsidR="007B7F7B">
        <w:rPr>
          <w:rFonts w:ascii="Arial" w:hAnsi="Arial" w:cs="Arial"/>
        </w:rPr>
        <w:t xml:space="preserve"> 2601</w:t>
      </w:r>
    </w:p>
    <w:p w14:paraId="2A78FEE9" w14:textId="473D300F" w:rsidR="008B3768" w:rsidRPr="007B7F7B" w:rsidRDefault="008B3768" w:rsidP="00DD0C8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7B7F7B">
        <w:rPr>
          <w:b/>
        </w:rPr>
        <w:t>Email</w:t>
      </w:r>
      <w:r w:rsidRPr="007B7F7B">
        <w:rPr>
          <w:b/>
        </w:rPr>
        <w:br/>
      </w:r>
      <w:r w:rsidR="007B7F7B" w:rsidRPr="00783A64">
        <w:rPr>
          <w:rFonts w:ascii="Arial" w:hAnsi="Arial" w:cs="Arial"/>
        </w:rPr>
        <w:t>privacy@cdc.gov.au</w:t>
      </w:r>
      <w:r w:rsidR="007B7F7B" w:rsidRPr="00783A64">
        <w:rPr>
          <w:rFonts w:ascii="Arial" w:hAnsi="Arial" w:cs="Arial"/>
        </w:rPr>
        <w:br/>
      </w:r>
    </w:p>
    <w:p w14:paraId="11105964" w14:textId="3AF0741E" w:rsidR="000C571B" w:rsidRDefault="000C571B" w:rsidP="008B3768">
      <w:pPr>
        <w:spacing w:line="240" w:lineRule="auto"/>
      </w:pPr>
    </w:p>
    <w:sectPr w:rsidR="000C571B" w:rsidSect="00E374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2F69" w14:textId="77777777" w:rsidR="00DA0CD3" w:rsidRDefault="00DA0CD3" w:rsidP="00E374FB">
      <w:pPr>
        <w:spacing w:after="0" w:line="240" w:lineRule="auto"/>
      </w:pPr>
      <w:r>
        <w:separator/>
      </w:r>
    </w:p>
  </w:endnote>
  <w:endnote w:type="continuationSeparator" w:id="0">
    <w:p w14:paraId="7F27CBF1" w14:textId="77777777" w:rsidR="00DA0CD3" w:rsidRDefault="00DA0CD3" w:rsidP="00E3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7346" w14:textId="7E90B9DE" w:rsidR="00F249CD" w:rsidRDefault="00F249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37761C" wp14:editId="03CDA0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6617164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1AC9C" w14:textId="50C7BF80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776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7381AC9C" w14:textId="50C7BF80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7356" w14:textId="44C97979" w:rsidR="00754AB4" w:rsidRDefault="00F249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045F97F" wp14:editId="65A5131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861683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3B1E8" w14:textId="145CED85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5F9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0D3B1E8" w14:textId="145CED85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785B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FBFAB6" wp14:editId="76F8BA2C">
              <wp:simplePos x="0" y="0"/>
              <wp:positionH relativeFrom="page">
                <wp:posOffset>359410</wp:posOffset>
              </wp:positionH>
              <wp:positionV relativeFrom="page">
                <wp:posOffset>10259695</wp:posOffset>
              </wp:positionV>
              <wp:extent cx="1439545" cy="179705"/>
              <wp:effectExtent l="0" t="0" r="8255" b="0"/>
              <wp:wrapNone/>
              <wp:docPr id="43413522" name="Text Box 1" descr="Footer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8B769" w14:textId="3F0B3128" w:rsidR="0053785B" w:rsidRPr="0053785B" w:rsidRDefault="0053785B" w:rsidP="0053785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4"/>
                            </w:rPr>
                            <w:t>S:15959467_1 NAG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" tIns="14400" rIns="14400" bIns="144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BFAB6" id="Text Box 1" o:spid="_x0000_s1030" type="#_x0000_t202" alt="FooterBox" style="position:absolute;margin-left:28.3pt;margin-top:807.85pt;width:113.35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" filled="f" stroked="f" strokeweight=".5pt">
              <v:textbox inset=".4mm,.4mm,.4mm,.4mm">
                <w:txbxContent>
                  <w:p w14:paraId="5C68B769" w14:textId="3F0B3128" w:rsidR="0053785B" w:rsidRPr="0053785B" w:rsidRDefault="0053785B" w:rsidP="0053785B">
                    <w:pPr>
                      <w:spacing w:after="0" w:line="240" w:lineRule="auto"/>
                      <w:rPr>
                        <w:rFonts w:ascii="Calibri" w:hAnsi="Calibri" w:cs="Calibri"/>
                        <w:sz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</w:rPr>
                      <w:t>S:15959467_1 NAG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5907" w14:textId="6CC7AC47" w:rsidR="00754AB4" w:rsidRDefault="00F249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291DF9" wp14:editId="06275E07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083213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A9E1B" w14:textId="35304FEB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91D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30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2l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1pkHH6LdRHWgrhxLd3ctVS67Xw4VkgEUzTkmjD&#10;Ex3aQF9xOFucNYA//+aP+YQ7RTnrSTAVt6Rozsx3S3xEbY0GjsY2GcVt/jnCY/fdPZAMC3oRTiaT&#10;vBjMaGqE7pXkvIyNKCSspHYV347mfTgpl56DVMtlSiIZORHWduNkLB3hili+DK8C3RnwQEw9wqgm&#10;Ub7D/ZQbb3q33AdCP5ESoT0BeUacJJi4Oj+XqPG3/ynr+qgXv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A7xPaU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11A9E1B" w14:textId="35304FEB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785B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A3B166" wp14:editId="439E6285">
              <wp:simplePos x="0" y="0"/>
              <wp:positionH relativeFrom="page">
                <wp:posOffset>359410</wp:posOffset>
              </wp:positionH>
              <wp:positionV relativeFrom="page">
                <wp:posOffset>10259695</wp:posOffset>
              </wp:positionV>
              <wp:extent cx="1439545" cy="179705"/>
              <wp:effectExtent l="0" t="0" r="8255" b="0"/>
              <wp:wrapNone/>
              <wp:docPr id="999814778" name="Text Box 2" descr="Footer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AB0C4D" w14:textId="2E36592A" w:rsidR="0053785B" w:rsidRPr="0053785B" w:rsidRDefault="0053785B" w:rsidP="0053785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4"/>
                            </w:rPr>
                            <w:t>S:15959467_1 NAG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" tIns="14400" rIns="14400" bIns="144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3B166" id="_x0000_s1033" type="#_x0000_t202" alt="FooterBox" style="position:absolute;margin-left:28.3pt;margin-top:807.85pt;width:113.35pt;height:14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" filled="f" stroked="f" strokeweight=".5pt">
              <v:textbox inset=".4mm,.4mm,.4mm,.4mm">
                <w:txbxContent>
                  <w:p w14:paraId="47AB0C4D" w14:textId="2E36592A" w:rsidR="0053785B" w:rsidRPr="0053785B" w:rsidRDefault="0053785B" w:rsidP="0053785B">
                    <w:pPr>
                      <w:spacing w:after="0" w:line="240" w:lineRule="auto"/>
                      <w:rPr>
                        <w:rFonts w:ascii="Calibri" w:hAnsi="Calibri" w:cs="Calibri"/>
                        <w:sz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</w:rPr>
                      <w:t>S:15959467_1 NAG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4397" w14:textId="77777777" w:rsidR="00DA0CD3" w:rsidRDefault="00DA0CD3" w:rsidP="00E374FB">
      <w:pPr>
        <w:spacing w:after="0" w:line="240" w:lineRule="auto"/>
      </w:pPr>
      <w:r>
        <w:separator/>
      </w:r>
    </w:p>
  </w:footnote>
  <w:footnote w:type="continuationSeparator" w:id="0">
    <w:p w14:paraId="54464E4F" w14:textId="77777777" w:rsidR="00DA0CD3" w:rsidRDefault="00DA0CD3" w:rsidP="00E3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A53B" w14:textId="0D6BEE7A" w:rsidR="00F249CD" w:rsidRDefault="00F24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A87C37" wp14:editId="101E48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120565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26C3C" w14:textId="4A2F06BF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87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7F26C3C" w14:textId="4A2F06BF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0F3D" w14:textId="007840B7" w:rsidR="00F249CD" w:rsidRDefault="00F24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575192" wp14:editId="47C0149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675799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598A4" w14:textId="46FDA006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75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564598A4" w14:textId="46FDA006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0482" w14:textId="2C54BF86" w:rsidR="00F249CD" w:rsidRDefault="00F24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4435A5" wp14:editId="2F64A31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595829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D2FC5" w14:textId="084E6A04" w:rsidR="00F249CD" w:rsidRPr="00F249CD" w:rsidRDefault="00F249CD" w:rsidP="00F24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435A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n97tX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4AED2FC5" w14:textId="084E6A04" w:rsidR="00F249CD" w:rsidRPr="00F249CD" w:rsidRDefault="00F249CD" w:rsidP="00F24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CF51AB"/>
    <w:multiLevelType w:val="multilevel"/>
    <w:tmpl w:val="C4B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0F4E"/>
    <w:multiLevelType w:val="hybridMultilevel"/>
    <w:tmpl w:val="A20AF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BAF"/>
    <w:multiLevelType w:val="hybridMultilevel"/>
    <w:tmpl w:val="1FD21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2174"/>
    <w:multiLevelType w:val="hybridMultilevel"/>
    <w:tmpl w:val="2F0C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45F"/>
    <w:multiLevelType w:val="hybridMultilevel"/>
    <w:tmpl w:val="C890F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29DB"/>
    <w:multiLevelType w:val="hybridMultilevel"/>
    <w:tmpl w:val="DCCC3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1ABF"/>
    <w:multiLevelType w:val="hybridMultilevel"/>
    <w:tmpl w:val="75049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79"/>
    <w:multiLevelType w:val="hybridMultilevel"/>
    <w:tmpl w:val="73F86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1035E"/>
    <w:multiLevelType w:val="hybridMultilevel"/>
    <w:tmpl w:val="90F458C2"/>
    <w:lvl w:ilvl="0" w:tplc="48BA9C1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91572"/>
    <w:multiLevelType w:val="hybridMultilevel"/>
    <w:tmpl w:val="D870B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73597"/>
    <w:multiLevelType w:val="hybridMultilevel"/>
    <w:tmpl w:val="59C42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1264">
    <w:abstractNumId w:val="0"/>
  </w:num>
  <w:num w:numId="2" w16cid:durableId="1168013299">
    <w:abstractNumId w:val="1"/>
  </w:num>
  <w:num w:numId="3" w16cid:durableId="1511215980">
    <w:abstractNumId w:val="3"/>
  </w:num>
  <w:num w:numId="4" w16cid:durableId="787429485">
    <w:abstractNumId w:val="10"/>
  </w:num>
  <w:num w:numId="5" w16cid:durableId="499933278">
    <w:abstractNumId w:val="5"/>
  </w:num>
  <w:num w:numId="6" w16cid:durableId="539051811">
    <w:abstractNumId w:val="7"/>
  </w:num>
  <w:num w:numId="7" w16cid:durableId="507525082">
    <w:abstractNumId w:val="8"/>
  </w:num>
  <w:num w:numId="8" w16cid:durableId="1423647370">
    <w:abstractNumId w:val="6"/>
  </w:num>
  <w:num w:numId="9" w16cid:durableId="643126768">
    <w:abstractNumId w:val="4"/>
  </w:num>
  <w:num w:numId="10" w16cid:durableId="885600048">
    <w:abstractNumId w:val="2"/>
  </w:num>
  <w:num w:numId="11" w16cid:durableId="767775593">
    <w:abstractNumId w:val="9"/>
  </w:num>
  <w:num w:numId="12" w16cid:durableId="235943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89"/>
    <w:rsid w:val="000151CE"/>
    <w:rsid w:val="000454F9"/>
    <w:rsid w:val="0006709D"/>
    <w:rsid w:val="00086DB6"/>
    <w:rsid w:val="0009195A"/>
    <w:rsid w:val="000A4BA5"/>
    <w:rsid w:val="000C345B"/>
    <w:rsid w:val="000C571B"/>
    <w:rsid w:val="00131DC1"/>
    <w:rsid w:val="001871B0"/>
    <w:rsid w:val="00190AD3"/>
    <w:rsid w:val="001C0216"/>
    <w:rsid w:val="00232A9B"/>
    <w:rsid w:val="00237B66"/>
    <w:rsid w:val="002564C0"/>
    <w:rsid w:val="00257CC3"/>
    <w:rsid w:val="002B0C71"/>
    <w:rsid w:val="00305267"/>
    <w:rsid w:val="00313233"/>
    <w:rsid w:val="00336B18"/>
    <w:rsid w:val="003D513E"/>
    <w:rsid w:val="003F387D"/>
    <w:rsid w:val="004273B5"/>
    <w:rsid w:val="00444C4F"/>
    <w:rsid w:val="004D367B"/>
    <w:rsid w:val="004F5F2E"/>
    <w:rsid w:val="00506825"/>
    <w:rsid w:val="005150DE"/>
    <w:rsid w:val="0053785B"/>
    <w:rsid w:val="005423C7"/>
    <w:rsid w:val="005F3708"/>
    <w:rsid w:val="00630B96"/>
    <w:rsid w:val="006643D6"/>
    <w:rsid w:val="00684F71"/>
    <w:rsid w:val="006B7A89"/>
    <w:rsid w:val="00744658"/>
    <w:rsid w:val="007518E6"/>
    <w:rsid w:val="00754AB4"/>
    <w:rsid w:val="00770BD3"/>
    <w:rsid w:val="007812AB"/>
    <w:rsid w:val="00785FA9"/>
    <w:rsid w:val="007B7F7B"/>
    <w:rsid w:val="0081759A"/>
    <w:rsid w:val="0087183F"/>
    <w:rsid w:val="008B3768"/>
    <w:rsid w:val="008C6B9A"/>
    <w:rsid w:val="008D5309"/>
    <w:rsid w:val="00942F42"/>
    <w:rsid w:val="00944613"/>
    <w:rsid w:val="00953132"/>
    <w:rsid w:val="009E1435"/>
    <w:rsid w:val="00A022A6"/>
    <w:rsid w:val="00A14289"/>
    <w:rsid w:val="00A924A2"/>
    <w:rsid w:val="00AA26DB"/>
    <w:rsid w:val="00AA3694"/>
    <w:rsid w:val="00AB5884"/>
    <w:rsid w:val="00B05829"/>
    <w:rsid w:val="00B1538F"/>
    <w:rsid w:val="00B21A5D"/>
    <w:rsid w:val="00B21FEA"/>
    <w:rsid w:val="00B331EA"/>
    <w:rsid w:val="00B803E4"/>
    <w:rsid w:val="00BD47F6"/>
    <w:rsid w:val="00BE1C6D"/>
    <w:rsid w:val="00BE785D"/>
    <w:rsid w:val="00C63945"/>
    <w:rsid w:val="00CB3057"/>
    <w:rsid w:val="00CD045F"/>
    <w:rsid w:val="00CD5EFA"/>
    <w:rsid w:val="00CE0D3F"/>
    <w:rsid w:val="00D36CFC"/>
    <w:rsid w:val="00D7426A"/>
    <w:rsid w:val="00DA0CD3"/>
    <w:rsid w:val="00DE2A65"/>
    <w:rsid w:val="00E374FB"/>
    <w:rsid w:val="00E42A36"/>
    <w:rsid w:val="00E67A8D"/>
    <w:rsid w:val="00E76AD7"/>
    <w:rsid w:val="00E839A0"/>
    <w:rsid w:val="00F153E1"/>
    <w:rsid w:val="00F159D1"/>
    <w:rsid w:val="00F249CD"/>
    <w:rsid w:val="00F90B73"/>
    <w:rsid w:val="00F962CB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4076E"/>
  <w15:chartTrackingRefBased/>
  <w15:docId w15:val="{3CCC3FF4-29EE-441E-BA59-26CCB56D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TblHeadBold">
    <w:name w:val="HRTblHeadBold"/>
    <w:qFormat/>
    <w:rsid w:val="0009195A"/>
    <w:pPr>
      <w:spacing w:before="100" w:after="100" w:line="260" w:lineRule="atLeast"/>
    </w:pPr>
    <w:rPr>
      <w:rFonts w:ascii="Calibri" w:eastAsiaTheme="majorEastAsia" w:hAnsi="Calibri" w:cs="Times New Roman"/>
      <w:b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D5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309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309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36C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F71"/>
    <w:pPr>
      <w:spacing w:after="200" w:line="276" w:lineRule="auto"/>
      <w:ind w:left="720"/>
      <w:contextualSpacing/>
    </w:pPr>
    <w:rPr>
      <w:rFonts w:eastAsiaTheme="minorEastAsia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2A6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2A6"/>
    <w:rPr>
      <w:rFonts w:ascii="Calibri" w:hAnsi="Calibr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9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FB"/>
  </w:style>
  <w:style w:type="paragraph" w:styleId="Footer">
    <w:name w:val="footer"/>
    <w:basedOn w:val="Normal"/>
    <w:link w:val="FooterChar"/>
    <w:uiPriority w:val="99"/>
    <w:unhideWhenUsed/>
    <w:rsid w:val="00E3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FB"/>
  </w:style>
  <w:style w:type="paragraph" w:styleId="NormalWeb">
    <w:name w:val="Normal (Web)"/>
    <w:basedOn w:val="Normal"/>
    <w:uiPriority w:val="99"/>
    <w:semiHidden/>
    <w:unhideWhenUsed/>
    <w:rsid w:val="00754AB4"/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6A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A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387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B3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C2013A00133/latest/tex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.au/resources/publications/privacy-poli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837</Words>
  <Characters>4155</Characters>
  <Application>Microsoft Office Word</Application>
  <DocSecurity>0</DocSecurity>
  <Lines>692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Privacy Principles 5 collection notice</dc:title>
  <dc:subject>Privacy</dc:subject>
  <dc:creator>Australian Centre for Disease Control</dc:creator>
  <cp:keywords/>
  <dc:description/>
  <dcterms:created xsi:type="dcterms:W3CDTF">2025-12-28T23:10:00Z</dcterms:created>
  <dcterms:modified xsi:type="dcterms:W3CDTF">2025-12-29T00:55:00Z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62eb39bb,3c52c1fd,ff2f228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3c19c360,45825dfb,7c586728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2025-12-23T01:15:45Z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954ca1a1-f2dc-4680-9120-3eb49ae368c6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