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AE5F" w14:textId="57E4314D" w:rsidR="00A06889" w:rsidRPr="004523BD" w:rsidRDefault="00D20739" w:rsidP="004523BD">
      <w:pPr>
        <w:spacing w:after="0"/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84D62B" wp14:editId="0E6E6897">
            <wp:simplePos x="0" y="0"/>
            <wp:positionH relativeFrom="page">
              <wp:align>left</wp:align>
            </wp:positionH>
            <wp:positionV relativeFrom="margin">
              <wp:posOffset>-1082040</wp:posOffset>
            </wp:positionV>
            <wp:extent cx="7560000" cy="2360464"/>
            <wp:effectExtent l="0" t="0" r="3175" b="1905"/>
            <wp:wrapNone/>
            <wp:docPr id="252494281" name="Picture 1" descr="Picture 455610405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455610405,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36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7CA84" w14:textId="5D6AE232" w:rsidR="004523BD" w:rsidRDefault="00743140" w:rsidP="004523BD">
      <w:pPr>
        <w:jc w:val="center"/>
        <w:rPr>
          <w:rFonts w:cstheme="minorHAnsi"/>
          <w:b/>
          <w:noProof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t>National A</w:t>
      </w:r>
      <w:r w:rsidR="00772B9F">
        <w:rPr>
          <w:rFonts w:cstheme="minorHAnsi"/>
          <w:b/>
          <w:noProof/>
          <w:sz w:val="36"/>
          <w:szCs w:val="36"/>
        </w:rPr>
        <w:t>r</w:t>
      </w:r>
      <w:r>
        <w:rPr>
          <w:rFonts w:cstheme="minorHAnsi"/>
          <w:b/>
          <w:noProof/>
          <w:sz w:val="36"/>
          <w:szCs w:val="36"/>
        </w:rPr>
        <w:t>bovirus and Malaria</w:t>
      </w:r>
      <w:r w:rsidR="00CC19E2">
        <w:rPr>
          <w:rFonts w:cstheme="minorHAnsi"/>
          <w:b/>
          <w:noProof/>
          <w:sz w:val="36"/>
          <w:szCs w:val="36"/>
        </w:rPr>
        <w:t xml:space="preserve"> </w:t>
      </w:r>
      <w:r>
        <w:rPr>
          <w:rFonts w:cstheme="minorHAnsi"/>
          <w:b/>
          <w:noProof/>
          <w:sz w:val="36"/>
          <w:szCs w:val="36"/>
        </w:rPr>
        <w:t>Advisory</w:t>
      </w:r>
      <w:r w:rsidR="00CC19E2">
        <w:rPr>
          <w:rFonts w:cstheme="minorHAnsi"/>
          <w:b/>
          <w:noProof/>
          <w:sz w:val="36"/>
          <w:szCs w:val="36"/>
        </w:rPr>
        <w:t xml:space="preserve"> </w:t>
      </w:r>
      <w:r>
        <w:rPr>
          <w:rFonts w:cstheme="minorHAnsi"/>
          <w:b/>
          <w:noProof/>
          <w:sz w:val="36"/>
          <w:szCs w:val="36"/>
        </w:rPr>
        <w:t xml:space="preserve">Committee </w:t>
      </w:r>
      <w:r w:rsidR="000805AA">
        <w:rPr>
          <w:rFonts w:cstheme="minorHAnsi"/>
          <w:b/>
          <w:noProof/>
          <w:sz w:val="36"/>
          <w:szCs w:val="36"/>
        </w:rPr>
        <w:t>(NAMAC)</w:t>
      </w:r>
    </w:p>
    <w:p w14:paraId="41DBF093" w14:textId="00768F65" w:rsidR="00D20739" w:rsidRDefault="00D20739" w:rsidP="004523BD">
      <w:pPr>
        <w:jc w:val="center"/>
        <w:rPr>
          <w:rFonts w:cstheme="minorHAnsi"/>
          <w:b/>
          <w:noProof/>
          <w:sz w:val="36"/>
          <w:szCs w:val="36"/>
        </w:rPr>
      </w:pPr>
      <w:r>
        <w:rPr>
          <w:rFonts w:cstheme="minorHAnsi"/>
          <w:b/>
          <w:noProof/>
          <w:sz w:val="36"/>
          <w:szCs w:val="36"/>
        </w:rPr>
        <w:t>CHARTER</w:t>
      </w:r>
    </w:p>
    <w:tbl>
      <w:tblPr>
        <w:tblStyle w:val="TableGrid"/>
        <w:tblW w:w="10915" w:type="dxa"/>
        <w:jc w:val="center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2263"/>
        <w:gridCol w:w="8652"/>
      </w:tblGrid>
      <w:tr w:rsidR="00D20739" w:rsidRPr="007F4A2D" w14:paraId="7D40B75B" w14:textId="77777777" w:rsidTr="1D7D4225">
        <w:trPr>
          <w:jc w:val="center"/>
        </w:trPr>
        <w:tc>
          <w:tcPr>
            <w:tcW w:w="2263" w:type="dxa"/>
            <w:tcBorders>
              <w:bottom w:val="single" w:sz="4" w:space="0" w:color="FFFFFF" w:themeColor="background1"/>
            </w:tcBorders>
            <w:shd w:val="clear" w:color="auto" w:fill="31849B"/>
          </w:tcPr>
          <w:p w14:paraId="2DA9045B" w14:textId="0CFDC0A2" w:rsidR="00D20739" w:rsidRPr="007F4A2D" w:rsidRDefault="00D20739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6FE1A766">
              <w:rPr>
                <w:rFonts w:ascii="Calibri" w:hAnsi="Calibri" w:cs="Calibri"/>
                <w:b/>
                <w:bCs/>
                <w:color w:val="FFFFFF" w:themeColor="background1"/>
              </w:rPr>
              <w:t>Purpose</w:t>
            </w:r>
          </w:p>
        </w:tc>
        <w:tc>
          <w:tcPr>
            <w:tcW w:w="8652" w:type="dxa"/>
          </w:tcPr>
          <w:p w14:paraId="76D533C1" w14:textId="5A19C3B7" w:rsidR="00B23341" w:rsidRDefault="000805AA" w:rsidP="009E7515">
            <w:pPr>
              <w:spacing w:before="120"/>
              <w:rPr>
                <w:rFonts w:ascii="Calibri" w:hAnsi="Calibri" w:cs="Calibri"/>
              </w:rPr>
            </w:pPr>
            <w:r w:rsidRPr="186A40BC">
              <w:rPr>
                <w:rFonts w:ascii="Calibri" w:hAnsi="Calibri" w:cs="Calibri"/>
              </w:rPr>
              <w:t xml:space="preserve">NAMAC is a subcommittee of the Communicable Diseases Network Australia (CDNA). Its role is to provide expert advice to </w:t>
            </w:r>
            <w:r w:rsidR="0064402F" w:rsidRPr="186A40BC">
              <w:rPr>
                <w:rFonts w:ascii="Calibri" w:hAnsi="Calibri" w:cs="Calibri"/>
              </w:rPr>
              <w:t xml:space="preserve">CDNA </w:t>
            </w:r>
            <w:r w:rsidR="0064402F">
              <w:t>on</w:t>
            </w:r>
            <w:r w:rsidR="00547E81" w:rsidRPr="00547E81">
              <w:rPr>
                <w:rFonts w:ascii="Calibri" w:hAnsi="Calibri" w:cs="Calibri"/>
              </w:rPr>
              <w:t xml:space="preserve"> vector-borne disease (VBD) matters including arboviruses, malaria, other vectors/vector-borne pathogens and arthropods of public health concern.  </w:t>
            </w:r>
          </w:p>
          <w:p w14:paraId="4E8ABF34" w14:textId="2976195A" w:rsidR="000805AA" w:rsidRPr="004523BD" w:rsidRDefault="00547E81" w:rsidP="009E7515">
            <w:pPr>
              <w:spacing w:before="120"/>
              <w:rPr>
                <w:rFonts w:ascii="Calibri" w:hAnsi="Calibri" w:cs="Calibri"/>
              </w:rPr>
            </w:pPr>
            <w:r w:rsidRPr="00547E81">
              <w:rPr>
                <w:rFonts w:ascii="Calibri" w:hAnsi="Calibri" w:cs="Calibri"/>
              </w:rPr>
              <w:t xml:space="preserve">NAMAC also provides advice regarding risks associated with various endemic and exotic vectors and </w:t>
            </w:r>
            <w:r w:rsidR="00CC19E2">
              <w:rPr>
                <w:rFonts w:ascii="Calibri" w:hAnsi="Calibri" w:cs="Calibri"/>
              </w:rPr>
              <w:t xml:space="preserve">their </w:t>
            </w:r>
            <w:r w:rsidRPr="00547E81">
              <w:rPr>
                <w:rFonts w:ascii="Calibri" w:hAnsi="Calibri" w:cs="Calibri"/>
              </w:rPr>
              <w:t xml:space="preserve">control. This includes advice to </w:t>
            </w:r>
            <w:r w:rsidR="003B2179">
              <w:rPr>
                <w:rFonts w:ascii="Calibri" w:hAnsi="Calibri" w:cs="Calibri"/>
              </w:rPr>
              <w:t xml:space="preserve">CDNA and </w:t>
            </w:r>
            <w:r w:rsidRPr="00547E81">
              <w:rPr>
                <w:rFonts w:ascii="Calibri" w:hAnsi="Calibri" w:cs="Calibri"/>
              </w:rPr>
              <w:t>government</w:t>
            </w:r>
            <w:r w:rsidR="002D4A4C">
              <w:rPr>
                <w:rFonts w:ascii="Calibri" w:hAnsi="Calibri" w:cs="Calibri"/>
              </w:rPr>
              <w:t>s</w:t>
            </w:r>
            <w:r w:rsidRPr="00547E81">
              <w:rPr>
                <w:rFonts w:ascii="Calibri" w:hAnsi="Calibri" w:cs="Calibri"/>
              </w:rPr>
              <w:t xml:space="preserve"> on proposed legislative and policy changes, and on the impact of climate change on human arthropod pests and VBD through a One Health lens.</w:t>
            </w:r>
          </w:p>
          <w:p w14:paraId="1BB730D5" w14:textId="0EE3F6DF" w:rsidR="000805AA" w:rsidRPr="004523BD" w:rsidRDefault="000805AA" w:rsidP="009E7515">
            <w:pPr>
              <w:spacing w:before="120"/>
              <w:contextualSpacing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>NAMAC’s objectives are to:</w:t>
            </w:r>
          </w:p>
          <w:p w14:paraId="5DD92DB9" w14:textId="26104E44" w:rsidR="000805AA" w:rsidRPr="004523BD" w:rsidRDefault="000805AA" w:rsidP="009E751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before="120"/>
              <w:contextualSpacing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>Define and support the development and maintenance of high-quality surveillance to monitor transmission trends and epidemiological indicators</w:t>
            </w:r>
            <w:r w:rsidR="00CC19E2">
              <w:rPr>
                <w:rFonts w:ascii="Calibri" w:hAnsi="Calibri" w:cs="Calibri"/>
                <w:szCs w:val="24"/>
              </w:rPr>
              <w:t xml:space="preserve"> of VBD</w:t>
            </w:r>
            <w:r w:rsidRPr="004523BD">
              <w:rPr>
                <w:rFonts w:ascii="Calibri" w:hAnsi="Calibri" w:cs="Calibri"/>
                <w:szCs w:val="24"/>
              </w:rPr>
              <w:t>.</w:t>
            </w:r>
          </w:p>
          <w:p w14:paraId="6FBC03F2" w14:textId="32B74B51" w:rsidR="000805AA" w:rsidRPr="004523BD" w:rsidRDefault="002679C4" w:rsidP="009E751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before="120"/>
              <w:contextual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</w:t>
            </w:r>
            <w:r w:rsidR="000805AA" w:rsidRPr="004523BD">
              <w:rPr>
                <w:rFonts w:ascii="Calibri" w:hAnsi="Calibri" w:cs="Calibri"/>
                <w:szCs w:val="24"/>
              </w:rPr>
              <w:t>ontribute to strategic advice and</w:t>
            </w:r>
            <w:r w:rsidR="00CC19E2">
              <w:rPr>
                <w:rFonts w:ascii="Calibri" w:hAnsi="Calibri" w:cs="Calibri"/>
                <w:szCs w:val="24"/>
              </w:rPr>
              <w:t xml:space="preserve"> policy development</w:t>
            </w:r>
            <w:r w:rsidR="000805AA" w:rsidRPr="004523BD">
              <w:rPr>
                <w:rFonts w:ascii="Calibri" w:hAnsi="Calibri" w:cs="Calibri"/>
                <w:szCs w:val="24"/>
              </w:rPr>
              <w:t>, with consideration given to priority populations, prevention strategies, effectiveness of treatments and future risks</w:t>
            </w:r>
            <w:r w:rsidR="00CC19E2">
              <w:rPr>
                <w:rFonts w:ascii="Calibri" w:hAnsi="Calibri" w:cs="Calibri"/>
                <w:szCs w:val="24"/>
              </w:rPr>
              <w:t xml:space="preserve"> associated with VBD</w:t>
            </w:r>
            <w:r w:rsidR="000805AA" w:rsidRPr="004523BD">
              <w:rPr>
                <w:rFonts w:ascii="Calibri" w:hAnsi="Calibri" w:cs="Calibri"/>
                <w:szCs w:val="24"/>
              </w:rPr>
              <w:t>.</w:t>
            </w:r>
          </w:p>
          <w:p w14:paraId="1AF050C7" w14:textId="3CD1300D" w:rsidR="000805AA" w:rsidRPr="004523BD" w:rsidRDefault="002679C4" w:rsidP="009E751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before="120"/>
              <w:ind w:left="357" w:hanging="357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</w:t>
            </w:r>
            <w:r w:rsidR="000805AA" w:rsidRPr="004523BD">
              <w:rPr>
                <w:rFonts w:ascii="Calibri" w:hAnsi="Calibri" w:cs="Calibri"/>
                <w:szCs w:val="24"/>
              </w:rPr>
              <w:t xml:space="preserve">upport the </w:t>
            </w:r>
            <w:r w:rsidR="00CC19E2" w:rsidRPr="004523BD">
              <w:rPr>
                <w:rFonts w:ascii="Calibri" w:hAnsi="Calibri" w:cs="Calibri"/>
                <w:szCs w:val="24"/>
              </w:rPr>
              <w:t xml:space="preserve">planning </w:t>
            </w:r>
            <w:r w:rsidR="00CC19E2">
              <w:rPr>
                <w:rFonts w:ascii="Calibri" w:hAnsi="Calibri" w:cs="Calibri"/>
                <w:szCs w:val="24"/>
              </w:rPr>
              <w:t xml:space="preserve">and </w:t>
            </w:r>
            <w:r w:rsidR="000805AA" w:rsidRPr="004523BD">
              <w:rPr>
                <w:rFonts w:ascii="Calibri" w:hAnsi="Calibri" w:cs="Calibri"/>
                <w:szCs w:val="24"/>
              </w:rPr>
              <w:t xml:space="preserve">implementation of coordinated national approaches to </w:t>
            </w:r>
            <w:r w:rsidR="00CC19E2">
              <w:rPr>
                <w:rFonts w:ascii="Calibri" w:hAnsi="Calibri" w:cs="Calibri"/>
                <w:szCs w:val="24"/>
              </w:rPr>
              <w:t>VBD</w:t>
            </w:r>
            <w:r w:rsidR="000805AA" w:rsidRPr="004523BD">
              <w:rPr>
                <w:rFonts w:ascii="Calibri" w:hAnsi="Calibri" w:cs="Calibri"/>
                <w:szCs w:val="24"/>
              </w:rPr>
              <w:t xml:space="preserve"> management.</w:t>
            </w:r>
          </w:p>
          <w:p w14:paraId="4818DF70" w14:textId="5F8AA203" w:rsidR="002869AC" w:rsidRPr="004523BD" w:rsidRDefault="000805AA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>During outbreak situations, CDNA may task NAMAC with developing and contributing to advice on vector-borne disease</w:t>
            </w:r>
            <w:r w:rsidR="00113974">
              <w:rPr>
                <w:rFonts w:ascii="Calibri" w:hAnsi="Calibri" w:cs="Calibri"/>
                <w:szCs w:val="24"/>
              </w:rPr>
              <w:t>s</w:t>
            </w:r>
            <w:r w:rsidRPr="004523BD">
              <w:rPr>
                <w:rFonts w:ascii="Calibri" w:hAnsi="Calibri" w:cs="Calibri"/>
                <w:szCs w:val="24"/>
              </w:rPr>
              <w:t xml:space="preserve">. </w:t>
            </w:r>
          </w:p>
        </w:tc>
      </w:tr>
      <w:tr w:rsidR="00D20739" w:rsidRPr="007F4A2D" w14:paraId="1CF97F7F" w14:textId="77777777" w:rsidTr="1D7D4225">
        <w:trPr>
          <w:jc w:val="center"/>
        </w:trPr>
        <w:tc>
          <w:tcPr>
            <w:tcW w:w="22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31849B"/>
          </w:tcPr>
          <w:p w14:paraId="36C71EF0" w14:textId="2007086F" w:rsidR="00D20739" w:rsidRPr="007F4A2D" w:rsidRDefault="00D20739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F4A2D">
              <w:rPr>
                <w:rFonts w:ascii="Calibri" w:hAnsi="Calibri" w:cs="Calibri"/>
                <w:b/>
                <w:bCs/>
                <w:color w:val="FFFFFF" w:themeColor="background1"/>
              </w:rPr>
              <w:t>Chair</w:t>
            </w:r>
          </w:p>
        </w:tc>
        <w:tc>
          <w:tcPr>
            <w:tcW w:w="8652" w:type="dxa"/>
            <w:tcBorders>
              <w:left w:val="single" w:sz="4" w:space="0" w:color="auto"/>
            </w:tcBorders>
          </w:tcPr>
          <w:p w14:paraId="6ADC349B" w14:textId="3B4D14EE" w:rsidR="002679C4" w:rsidRPr="000252CF" w:rsidRDefault="002679C4" w:rsidP="009E7515">
            <w:pPr>
              <w:spacing w:before="120"/>
              <w:ind w:left="41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NAMAC has a Chair and Deputy Chair. </w:t>
            </w:r>
            <w:r w:rsidRPr="004523BD">
              <w:rPr>
                <w:rFonts w:ascii="Calibri" w:hAnsi="Calibri" w:cs="Calibri"/>
                <w:szCs w:val="24"/>
              </w:rPr>
              <w:t xml:space="preserve">The appointment of </w:t>
            </w:r>
            <w:r w:rsidR="000252CF">
              <w:rPr>
                <w:rFonts w:ascii="Calibri" w:hAnsi="Calibri" w:cs="Calibri"/>
                <w:szCs w:val="24"/>
              </w:rPr>
              <w:t xml:space="preserve">the </w:t>
            </w:r>
            <w:r w:rsidRPr="004523BD">
              <w:rPr>
                <w:rFonts w:ascii="Calibri" w:hAnsi="Calibri" w:cs="Calibri"/>
                <w:szCs w:val="24"/>
              </w:rPr>
              <w:t xml:space="preserve">Chair and Deputy Chair is subject to CDNA endorsement and is typically for a two-year period. </w:t>
            </w:r>
          </w:p>
          <w:p w14:paraId="7AB3869F" w14:textId="643D9C93" w:rsidR="00743140" w:rsidRPr="004523BD" w:rsidRDefault="00743140" w:rsidP="009E7515">
            <w:pPr>
              <w:spacing w:before="120"/>
              <w:ind w:left="41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>The Chair of NAMAC should, where possible, be nominated from amongst NAMAC</w:t>
            </w:r>
            <w:r w:rsidR="007156FA">
              <w:rPr>
                <w:rFonts w:ascii="Calibri" w:hAnsi="Calibri" w:cs="Calibri"/>
                <w:szCs w:val="24"/>
              </w:rPr>
              <w:t>’s</w:t>
            </w:r>
            <w:r w:rsidR="009B1DB0" w:rsidRPr="004523BD">
              <w:rPr>
                <w:rFonts w:ascii="Calibri" w:hAnsi="Calibri" w:cs="Calibri"/>
                <w:szCs w:val="24"/>
              </w:rPr>
              <w:t xml:space="preserve"> </w:t>
            </w:r>
            <w:r w:rsidRPr="004523BD">
              <w:rPr>
                <w:rFonts w:ascii="Calibri" w:hAnsi="Calibri" w:cs="Calibri"/>
                <w:szCs w:val="24"/>
              </w:rPr>
              <w:t xml:space="preserve">jurisdictional representatives. </w:t>
            </w:r>
            <w:r w:rsidR="007156FA" w:rsidRPr="00E42A3B">
              <w:rPr>
                <w:rFonts w:ascii="Calibri" w:hAnsi="Calibri" w:cs="Calibri"/>
              </w:rPr>
              <w:t>A jurisdiction is defined as the ACT, TAS, NT, NSW, QLD, WA, SA, VIC and the Commonwealth.</w:t>
            </w:r>
          </w:p>
          <w:p w14:paraId="0FFAA0DA" w14:textId="1003823C" w:rsidR="0054459B" w:rsidRPr="004523BD" w:rsidRDefault="00743140" w:rsidP="009E7515">
            <w:pPr>
              <w:spacing w:before="120"/>
              <w:ind w:left="4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>To assist in succession planning, where possible</w:t>
            </w:r>
            <w:r w:rsidR="000252CF">
              <w:rPr>
                <w:rFonts w:ascii="Calibri" w:hAnsi="Calibri" w:cs="Calibri"/>
                <w:szCs w:val="24"/>
              </w:rPr>
              <w:t>,</w:t>
            </w:r>
            <w:r w:rsidRPr="004523BD">
              <w:rPr>
                <w:rFonts w:ascii="Calibri" w:hAnsi="Calibri" w:cs="Calibri"/>
                <w:szCs w:val="24"/>
              </w:rPr>
              <w:t xml:space="preserve"> the Deputy Chair will follow as Chair in two-year cycles.</w:t>
            </w:r>
          </w:p>
        </w:tc>
      </w:tr>
      <w:tr w:rsidR="00D20739" w:rsidRPr="007F4A2D" w14:paraId="6E0E8730" w14:textId="77777777" w:rsidTr="1D7D4225">
        <w:trPr>
          <w:jc w:val="center"/>
        </w:trPr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1849B"/>
          </w:tcPr>
          <w:p w14:paraId="2A9CFCBC" w14:textId="3438E59F" w:rsidR="00D20739" w:rsidRPr="007F4A2D" w:rsidRDefault="00D20739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F4A2D">
              <w:rPr>
                <w:rFonts w:ascii="Calibri" w:hAnsi="Calibri" w:cs="Calibri"/>
                <w:b/>
                <w:bCs/>
                <w:color w:val="FFFFFF" w:themeColor="background1"/>
              </w:rPr>
              <w:t>Membership</w:t>
            </w:r>
          </w:p>
        </w:tc>
        <w:tc>
          <w:tcPr>
            <w:tcW w:w="8652" w:type="dxa"/>
          </w:tcPr>
          <w:p w14:paraId="0099D1DE" w14:textId="3456BFC5" w:rsidR="009B1DB0" w:rsidRPr="004523BD" w:rsidRDefault="00743140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 xml:space="preserve">NAMAC </w:t>
            </w:r>
            <w:r w:rsidR="009B1DB0" w:rsidRPr="004523BD">
              <w:rPr>
                <w:rFonts w:ascii="Calibri" w:hAnsi="Calibri" w:cs="Calibri"/>
                <w:szCs w:val="24"/>
              </w:rPr>
              <w:t>members include</w:t>
            </w:r>
            <w:r w:rsidRPr="004523BD">
              <w:rPr>
                <w:rFonts w:ascii="Calibri" w:hAnsi="Calibri" w:cs="Calibri"/>
                <w:szCs w:val="24"/>
              </w:rPr>
              <w:t>:</w:t>
            </w:r>
          </w:p>
          <w:p w14:paraId="0DFA154F" w14:textId="593B0B15" w:rsidR="009B1DB0" w:rsidRPr="004523BD" w:rsidRDefault="00310A3C" w:rsidP="007B6C50">
            <w:pPr>
              <w:pStyle w:val="ListParagraph"/>
              <w:numPr>
                <w:ilvl w:val="0"/>
                <w:numId w:val="19"/>
              </w:numPr>
              <w:spacing w:before="120" w:after="0"/>
              <w:ind w:left="606" w:hanging="425"/>
              <w:contextualSpacing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Jurisdictional/</w:t>
            </w:r>
            <w:r w:rsidR="0074314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Government representatives from:</w:t>
            </w:r>
          </w:p>
          <w:p w14:paraId="2A15921D" w14:textId="77777777" w:rsidR="00A34785" w:rsidRPr="004523BD" w:rsidRDefault="009B1DB0" w:rsidP="009E7515">
            <w:pPr>
              <w:numPr>
                <w:ilvl w:val="1"/>
                <w:numId w:val="19"/>
              </w:numPr>
              <w:shd w:val="clear" w:color="auto" w:fill="FFFFFF"/>
              <w:spacing w:before="120" w:after="0"/>
              <w:ind w:left="1315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ACT Health</w:t>
            </w:r>
          </w:p>
          <w:p w14:paraId="1484673B" w14:textId="77777777" w:rsidR="00A34785" w:rsidRPr="004523BD" w:rsidRDefault="009B1DB0" w:rsidP="009E7515">
            <w:pPr>
              <w:numPr>
                <w:ilvl w:val="1"/>
                <w:numId w:val="19"/>
              </w:numPr>
              <w:shd w:val="clear" w:color="auto" w:fill="FFFFFF"/>
              <w:spacing w:after="0"/>
              <w:ind w:left="1315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Department of Agriculture, Forrest and Fisheries</w:t>
            </w:r>
          </w:p>
          <w:p w14:paraId="4CDB29A0" w14:textId="1E34EAB5" w:rsidR="009B1DB0" w:rsidRPr="004523BD" w:rsidRDefault="00743140" w:rsidP="009E7515">
            <w:pPr>
              <w:numPr>
                <w:ilvl w:val="1"/>
                <w:numId w:val="19"/>
              </w:numPr>
              <w:shd w:val="clear" w:color="auto" w:fill="FFFFFF"/>
              <w:spacing w:after="0"/>
              <w:ind w:left="1315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Department of Health</w:t>
            </w:r>
            <w:r w:rsidR="00A34785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, Disability</w:t>
            </w: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and Age</w:t>
            </w:r>
            <w:r w:rsidR="002679C4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ing </w:t>
            </w: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</w:t>
            </w:r>
          </w:p>
          <w:p w14:paraId="6B8753AC" w14:textId="77777777" w:rsidR="00743140" w:rsidRPr="004523BD" w:rsidRDefault="00743140" w:rsidP="009E7515">
            <w:pPr>
              <w:numPr>
                <w:ilvl w:val="1"/>
                <w:numId w:val="19"/>
              </w:numPr>
              <w:shd w:val="clear" w:color="auto" w:fill="FFFFFF"/>
              <w:spacing w:after="0"/>
              <w:ind w:left="1315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Department of Health, Victoria</w:t>
            </w:r>
          </w:p>
          <w:p w14:paraId="681ABC68" w14:textId="77777777" w:rsidR="00743140" w:rsidRPr="004523BD" w:rsidRDefault="00743140" w:rsidP="009E7515">
            <w:pPr>
              <w:numPr>
                <w:ilvl w:val="1"/>
                <w:numId w:val="19"/>
              </w:numPr>
              <w:shd w:val="clear" w:color="auto" w:fill="FFFFFF"/>
              <w:spacing w:after="0"/>
              <w:ind w:left="1315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New South Wales Health</w:t>
            </w:r>
          </w:p>
          <w:p w14:paraId="1684A153" w14:textId="77777777" w:rsidR="009B1DB0" w:rsidRPr="004523BD" w:rsidRDefault="00743140" w:rsidP="009E7515">
            <w:pPr>
              <w:numPr>
                <w:ilvl w:val="1"/>
                <w:numId w:val="19"/>
              </w:numPr>
              <w:shd w:val="clear" w:color="auto" w:fill="FFFFFF"/>
              <w:spacing w:after="0"/>
              <w:ind w:left="1315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Northern Territory Department of Health</w:t>
            </w:r>
            <w:r w:rsidR="009B1DB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</w:t>
            </w:r>
          </w:p>
          <w:p w14:paraId="2D027564" w14:textId="0CA0F932" w:rsidR="009B1DB0" w:rsidRPr="004523BD" w:rsidRDefault="009B1DB0" w:rsidP="009E7515">
            <w:pPr>
              <w:numPr>
                <w:ilvl w:val="1"/>
                <w:numId w:val="19"/>
              </w:numPr>
              <w:shd w:val="clear" w:color="auto" w:fill="FFFFFF"/>
              <w:spacing w:after="0"/>
              <w:ind w:left="1315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Queensland Health</w:t>
            </w:r>
          </w:p>
          <w:p w14:paraId="64BAD04C" w14:textId="11A13E7C" w:rsidR="00743140" w:rsidRPr="004523BD" w:rsidRDefault="00A34785" w:rsidP="009E7515">
            <w:pPr>
              <w:numPr>
                <w:ilvl w:val="1"/>
                <w:numId w:val="19"/>
              </w:numPr>
              <w:shd w:val="clear" w:color="auto" w:fill="FFFFFF"/>
              <w:spacing w:after="0"/>
              <w:ind w:left="1315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South Australia Health</w:t>
            </w:r>
          </w:p>
          <w:p w14:paraId="6DD5F0BD" w14:textId="77777777" w:rsidR="00743140" w:rsidRPr="004523BD" w:rsidRDefault="00743140" w:rsidP="009E7515">
            <w:pPr>
              <w:numPr>
                <w:ilvl w:val="1"/>
                <w:numId w:val="19"/>
              </w:numPr>
              <w:shd w:val="clear" w:color="auto" w:fill="FFFFFF"/>
              <w:spacing w:after="0"/>
              <w:ind w:left="1315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Tasmania Department of Health</w:t>
            </w:r>
          </w:p>
          <w:p w14:paraId="4559D8E2" w14:textId="77777777" w:rsidR="00265FE5" w:rsidRDefault="00265FE5" w:rsidP="009E7515">
            <w:pPr>
              <w:numPr>
                <w:ilvl w:val="1"/>
                <w:numId w:val="19"/>
              </w:numPr>
              <w:shd w:val="clear" w:color="auto" w:fill="FFFFFF"/>
              <w:ind w:left="1315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Western Australia Health, Government of Western Australia</w:t>
            </w:r>
          </w:p>
          <w:p w14:paraId="56BA95BE" w14:textId="0CC44AAD" w:rsidR="00743140" w:rsidRPr="004523BD" w:rsidRDefault="009B1DB0" w:rsidP="009E7515">
            <w:pPr>
              <w:pStyle w:val="ListParagraph"/>
              <w:numPr>
                <w:ilvl w:val="0"/>
                <w:numId w:val="19"/>
              </w:numPr>
              <w:spacing w:before="120"/>
              <w:ind w:left="606" w:hanging="425"/>
              <w:contextualSpacing w:val="0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lastRenderedPageBreak/>
              <w:t>E</w:t>
            </w:r>
            <w:r w:rsidR="0074314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xperts on a range of </w:t>
            </w: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relevant </w:t>
            </w:r>
            <w:r w:rsidR="0074314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subjects including:</w:t>
            </w:r>
          </w:p>
          <w:p w14:paraId="4F0F8638" w14:textId="7CBA3C6C" w:rsidR="00743140" w:rsidRPr="004523BD" w:rsidRDefault="000252CF" w:rsidP="009E7515">
            <w:pPr>
              <w:numPr>
                <w:ilvl w:val="1"/>
                <w:numId w:val="19"/>
              </w:numPr>
              <w:shd w:val="clear" w:color="auto" w:fill="FFFFFF" w:themeFill="background1"/>
              <w:spacing w:before="120"/>
              <w:ind w:left="1317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M</w:t>
            </w:r>
            <w:r w:rsidR="0074314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osquito ecology and management, clinical diagnostics, exotic mosquito risk and management, biosecurity, animal health, insecticide resistance, vector-host interactions and virus ecology</w:t>
            </w:r>
            <w:r w:rsidR="00C610D2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, vaccines, disease prevention and management, and non-mosquito vectors</w:t>
            </w:r>
            <w:r w:rsidR="0074314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.</w:t>
            </w:r>
          </w:p>
          <w:p w14:paraId="219CF746" w14:textId="0B88F000" w:rsidR="00743140" w:rsidRPr="004523BD" w:rsidRDefault="000252CF" w:rsidP="009E7515">
            <w:pPr>
              <w:numPr>
                <w:ilvl w:val="1"/>
                <w:numId w:val="19"/>
              </w:numPr>
              <w:shd w:val="clear" w:color="auto" w:fill="FFFFFF"/>
              <w:spacing w:before="120"/>
              <w:ind w:left="1317" w:hanging="567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C</w:t>
            </w:r>
            <w:r w:rsidR="0074314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ross-committee members of relevant governance committees such as CDNA, the Environmental Health Standing Committee (enHealth) and the Public Health Laboratory Network (PHLN)</w:t>
            </w:r>
          </w:p>
          <w:p w14:paraId="772EE897" w14:textId="3E314D3F" w:rsidR="00743140" w:rsidRPr="004523BD" w:rsidRDefault="00743140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 xml:space="preserve">All members are expected to: </w:t>
            </w:r>
          </w:p>
          <w:p w14:paraId="000DFB9B" w14:textId="2D78F7DE" w:rsidR="00C75599" w:rsidRPr="004523BD" w:rsidRDefault="00C75599" w:rsidP="009E7515">
            <w:pPr>
              <w:pStyle w:val="ListParagraph"/>
              <w:numPr>
                <w:ilvl w:val="0"/>
                <w:numId w:val="19"/>
              </w:numPr>
              <w:spacing w:before="120"/>
              <w:ind w:left="608" w:hanging="425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Use respectful and inclusive language to ensure a welcome and supportive environment in all facets of NAMAC business.</w:t>
            </w:r>
          </w:p>
          <w:p w14:paraId="5D9DEE87" w14:textId="5FF08321" w:rsidR="00743140" w:rsidRPr="009B74B1" w:rsidRDefault="009B1DB0" w:rsidP="009B74B1">
            <w:pPr>
              <w:pStyle w:val="ListParagraph"/>
              <w:numPr>
                <w:ilvl w:val="0"/>
                <w:numId w:val="19"/>
              </w:numPr>
              <w:spacing w:before="120"/>
              <w:ind w:left="608" w:hanging="425"/>
              <w:rPr>
                <w:rFonts w:ascii="Calibri" w:eastAsia="Times New Roman" w:hAnsi="Calibri" w:cs="Calibri"/>
                <w:color w:val="222222"/>
                <w:lang w:eastAsia="en-AU"/>
              </w:rPr>
            </w:pPr>
            <w:r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>R</w:t>
            </w:r>
            <w:r w:rsidR="00743140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>aise issues pertaining to vectors</w:t>
            </w:r>
            <w:r w:rsidR="4B9C9A58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>, arthropods of public health significance</w:t>
            </w:r>
            <w:r w:rsidR="00FE064D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>,</w:t>
            </w:r>
            <w:r w:rsidR="00743140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 xml:space="preserve"> </w:t>
            </w:r>
            <w:r w:rsidR="00D917FA">
              <w:rPr>
                <w:rFonts w:ascii="Calibri" w:eastAsia="Times New Roman" w:hAnsi="Calibri" w:cs="Calibri"/>
                <w:color w:val="222222"/>
                <w:lang w:eastAsia="en-AU"/>
              </w:rPr>
              <w:t>VBD</w:t>
            </w:r>
            <w:r w:rsidR="00743140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 xml:space="preserve"> risk of cross-jurisdictional or national relevance that require </w:t>
            </w:r>
            <w:r w:rsidR="009B74B1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 xml:space="preserve">NAMAC’s </w:t>
            </w:r>
            <w:r w:rsidR="00743140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>guidance on risk</w:t>
            </w:r>
            <w:r w:rsidR="009B74B1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>,</w:t>
            </w:r>
            <w:r w:rsidR="00743140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 xml:space="preserve"> mitigation</w:t>
            </w:r>
            <w:r w:rsidR="009B74B1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 xml:space="preserve"> or other matters </w:t>
            </w:r>
            <w:r w:rsidR="00743140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>warrant</w:t>
            </w:r>
            <w:r w:rsidR="009B74B1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>ing</w:t>
            </w:r>
            <w:r w:rsidR="00743140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 xml:space="preserve"> national action</w:t>
            </w:r>
            <w:r w:rsidR="009B74B1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>.</w:t>
            </w:r>
            <w:r w:rsidR="00FE064D" w:rsidRPr="009B74B1">
              <w:rPr>
                <w:rFonts w:ascii="Calibri" w:eastAsia="Times New Roman" w:hAnsi="Calibri" w:cs="Calibri"/>
                <w:color w:val="222222"/>
                <w:lang w:eastAsia="en-AU"/>
              </w:rPr>
              <w:t xml:space="preserve"> </w:t>
            </w:r>
          </w:p>
          <w:p w14:paraId="0ED48CAF" w14:textId="28E37D34" w:rsidR="00743140" w:rsidRPr="004523BD" w:rsidRDefault="009B1DB0" w:rsidP="009E7515">
            <w:pPr>
              <w:pStyle w:val="ListParagraph"/>
              <w:numPr>
                <w:ilvl w:val="0"/>
                <w:numId w:val="19"/>
              </w:numPr>
              <w:spacing w:before="120"/>
              <w:ind w:left="608" w:hanging="425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P</w:t>
            </w:r>
            <w:r w:rsidR="0074314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rovide advice and </w:t>
            </w:r>
            <w:r w:rsidR="001350A5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seek</w:t>
            </w:r>
            <w:r w:rsidR="001350A5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</w:t>
            </w:r>
            <w:r w:rsidR="0074314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advice from relevant experts </w:t>
            </w:r>
            <w:r w:rsidR="00770BB7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on</w:t>
            </w:r>
            <w:r w:rsidR="0074314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vectors or vector-borne disease, as required by the Australian Government and state/territory governments. </w:t>
            </w:r>
          </w:p>
          <w:p w14:paraId="0B25CEAC" w14:textId="10FF5FB2" w:rsidR="00743140" w:rsidRPr="004523BD" w:rsidRDefault="009B1DB0" w:rsidP="009E7515">
            <w:pPr>
              <w:pStyle w:val="ListParagraph"/>
              <w:numPr>
                <w:ilvl w:val="0"/>
                <w:numId w:val="19"/>
              </w:numPr>
              <w:spacing w:before="120"/>
              <w:ind w:left="608" w:hanging="425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C</w:t>
            </w:r>
            <w:r w:rsidR="00743140"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ontribute to NAMAC work plans, reporting requirements and working groups, as agreed by NAMAC and CDNA. </w:t>
            </w:r>
          </w:p>
          <w:p w14:paraId="7592C050" w14:textId="7E1B9A1D" w:rsidR="009B1DB0" w:rsidRPr="004523BD" w:rsidRDefault="009A1FB5" w:rsidP="009E7515">
            <w:pPr>
              <w:spacing w:before="120"/>
              <w:ind w:left="41"/>
              <w:jc w:val="left"/>
              <w:rPr>
                <w:rFonts w:ascii="Calibri" w:hAnsi="Calibri" w:cs="Calibri"/>
                <w:szCs w:val="24"/>
              </w:rPr>
            </w:pPr>
            <w:r w:rsidRPr="00FE064D">
              <w:rPr>
                <w:rFonts w:ascii="Calibri" w:hAnsi="Calibri" w:cs="Calibri"/>
                <w:szCs w:val="24"/>
              </w:rPr>
              <w:t xml:space="preserve">CDNA must endorse changes to NAMAC </w:t>
            </w:r>
            <w:r w:rsidR="00B40F47" w:rsidRPr="00FE064D">
              <w:rPr>
                <w:rFonts w:ascii="Calibri" w:hAnsi="Calibri" w:cs="Calibri"/>
                <w:szCs w:val="24"/>
              </w:rPr>
              <w:t>Membership</w:t>
            </w:r>
            <w:r w:rsidRPr="00FE064D">
              <w:rPr>
                <w:rFonts w:ascii="Calibri" w:hAnsi="Calibri" w:cs="Calibri"/>
                <w:szCs w:val="24"/>
              </w:rPr>
              <w:t xml:space="preserve">. </w:t>
            </w:r>
            <w:r w:rsidR="00B40F47" w:rsidRPr="00FE064D">
              <w:rPr>
                <w:rFonts w:ascii="Calibri" w:hAnsi="Calibri" w:cs="Calibri"/>
                <w:szCs w:val="24"/>
              </w:rPr>
              <w:t>However,</w:t>
            </w:r>
            <w:r w:rsidRPr="00FE064D">
              <w:rPr>
                <w:rFonts w:ascii="Calibri" w:hAnsi="Calibri" w:cs="Calibri"/>
                <w:szCs w:val="24"/>
              </w:rPr>
              <w:t xml:space="preserve"> </w:t>
            </w:r>
            <w:r w:rsidR="00544A61" w:rsidRPr="00FE064D">
              <w:rPr>
                <w:rFonts w:ascii="Calibri" w:hAnsi="Calibri" w:cs="Calibri"/>
                <w:szCs w:val="24"/>
              </w:rPr>
              <w:t xml:space="preserve">changes to </w:t>
            </w:r>
            <w:r w:rsidR="00310A3C" w:rsidRPr="00FE064D">
              <w:rPr>
                <w:rFonts w:ascii="Calibri" w:hAnsi="Calibri" w:cs="Calibri"/>
                <w:szCs w:val="24"/>
              </w:rPr>
              <w:t xml:space="preserve">jurisdictional and/or </w:t>
            </w:r>
            <w:r w:rsidR="0082761D" w:rsidRPr="00FE064D">
              <w:rPr>
                <w:rFonts w:ascii="Calibri" w:hAnsi="Calibri" w:cs="Calibri"/>
                <w:szCs w:val="24"/>
              </w:rPr>
              <w:t xml:space="preserve">government representative </w:t>
            </w:r>
            <w:r w:rsidR="00C21094" w:rsidRPr="00FE064D">
              <w:rPr>
                <w:rFonts w:ascii="Calibri" w:hAnsi="Calibri" w:cs="Calibri"/>
                <w:szCs w:val="24"/>
              </w:rPr>
              <w:t xml:space="preserve">NAMAC members do not need to be endorsed by CDNA. </w:t>
            </w:r>
            <w:r w:rsidR="00743140" w:rsidRPr="00FE064D">
              <w:rPr>
                <w:rFonts w:ascii="Calibri" w:hAnsi="Calibri" w:cs="Calibri"/>
                <w:szCs w:val="24"/>
              </w:rPr>
              <w:t>CDNA will note additional experts who are engaged for a specific purpose.</w:t>
            </w:r>
            <w:r w:rsidR="001F099C">
              <w:rPr>
                <w:rFonts w:ascii="Calibri" w:hAnsi="Calibri" w:cs="Calibri"/>
                <w:szCs w:val="24"/>
              </w:rPr>
              <w:t xml:space="preserve"> </w:t>
            </w:r>
            <w:r w:rsidR="00743140" w:rsidRPr="004523BD">
              <w:rPr>
                <w:rFonts w:ascii="Calibri" w:hAnsi="Calibri" w:cs="Calibri"/>
                <w:szCs w:val="24"/>
              </w:rPr>
              <w:t>NAMAC can engage additional external experts as key stakeholders on specific matters as necessary.</w:t>
            </w:r>
          </w:p>
          <w:p w14:paraId="36BC1C96" w14:textId="48694C20" w:rsidR="009B1DB0" w:rsidRPr="004523BD" w:rsidRDefault="00743140" w:rsidP="009E7515">
            <w:pPr>
              <w:spacing w:before="120"/>
              <w:jc w:val="left"/>
              <w:rPr>
                <w:rFonts w:ascii="Calibri" w:eastAsia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>All members and proxies must disclose any conflict of interest</w:t>
            </w:r>
            <w:r w:rsidR="00E10CE9" w:rsidRPr="004523BD">
              <w:rPr>
                <w:rFonts w:ascii="Calibri" w:hAnsi="Calibri" w:cs="Calibri"/>
                <w:szCs w:val="24"/>
              </w:rPr>
              <w:t xml:space="preserve"> immediately</w:t>
            </w:r>
            <w:r w:rsidRPr="004523BD">
              <w:rPr>
                <w:rFonts w:ascii="Calibri" w:hAnsi="Calibri" w:cs="Calibri"/>
                <w:szCs w:val="24"/>
              </w:rPr>
              <w:t>, actual or potential, relating to their membership of the subcommittee.</w:t>
            </w:r>
          </w:p>
          <w:p w14:paraId="18C83C07" w14:textId="566F89F5" w:rsidR="00743140" w:rsidRPr="004523BD" w:rsidRDefault="00743140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Members</w:t>
            </w:r>
            <w:r w:rsidRPr="004523BD">
              <w:rPr>
                <w:rFonts w:ascii="Calibri" w:hAnsi="Calibri" w:cs="Calibri"/>
                <w:szCs w:val="24"/>
              </w:rPr>
              <w:t xml:space="preserve"> </w:t>
            </w:r>
            <w:r w:rsidR="00B315F5">
              <w:rPr>
                <w:rFonts w:ascii="Calibri" w:hAnsi="Calibri" w:cs="Calibri"/>
                <w:szCs w:val="24"/>
              </w:rPr>
              <w:t>may</w:t>
            </w:r>
            <w:r w:rsidR="00B315F5" w:rsidRPr="004523BD">
              <w:rPr>
                <w:rFonts w:ascii="Calibri" w:hAnsi="Calibri" w:cs="Calibri"/>
                <w:szCs w:val="24"/>
              </w:rPr>
              <w:t xml:space="preserve"> </w:t>
            </w:r>
            <w:r w:rsidRPr="004523BD">
              <w:rPr>
                <w:rFonts w:ascii="Calibri" w:hAnsi="Calibri" w:cs="Calibri"/>
                <w:szCs w:val="24"/>
              </w:rPr>
              <w:t xml:space="preserve">share committee documents with appropriate colleagues when seeking advice. Specific requests </w:t>
            </w:r>
            <w:r w:rsidR="001350A5">
              <w:rPr>
                <w:rFonts w:ascii="Calibri" w:hAnsi="Calibri" w:cs="Calibri"/>
                <w:szCs w:val="24"/>
              </w:rPr>
              <w:t xml:space="preserve">to share documents, </w:t>
            </w:r>
            <w:r w:rsidRPr="004523BD">
              <w:rPr>
                <w:rFonts w:ascii="Calibri" w:hAnsi="Calibri" w:cs="Calibri"/>
                <w:szCs w:val="24"/>
              </w:rPr>
              <w:t>where members are unsure</w:t>
            </w:r>
            <w:r w:rsidR="001350A5">
              <w:rPr>
                <w:rFonts w:ascii="Calibri" w:hAnsi="Calibri" w:cs="Calibri"/>
                <w:szCs w:val="24"/>
              </w:rPr>
              <w:t>,</w:t>
            </w:r>
            <w:r w:rsidRPr="004523BD">
              <w:rPr>
                <w:rFonts w:ascii="Calibri" w:hAnsi="Calibri" w:cs="Calibri"/>
                <w:szCs w:val="24"/>
              </w:rPr>
              <w:t xml:space="preserve"> can be brought to the Secretariat for approval.</w:t>
            </w:r>
          </w:p>
          <w:p w14:paraId="63988AB7" w14:textId="72AE5C96" w:rsidR="00B109E5" w:rsidRPr="004523BD" w:rsidRDefault="00743140" w:rsidP="009E7515">
            <w:pPr>
              <w:spacing w:before="120"/>
              <w:ind w:left="720" w:hanging="7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>Members are responsible for providing up to date contact details to the Secretariat.</w:t>
            </w:r>
          </w:p>
        </w:tc>
      </w:tr>
      <w:tr w:rsidR="00996C77" w:rsidRPr="007F4A2D" w14:paraId="0F8D1FD9" w14:textId="77777777" w:rsidTr="1D7D4225">
        <w:trPr>
          <w:jc w:val="center"/>
        </w:trPr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1849B"/>
          </w:tcPr>
          <w:p w14:paraId="383F082F" w14:textId="186C53C3" w:rsidR="00996C77" w:rsidRPr="007F4A2D" w:rsidRDefault="00996C77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Structure</w:t>
            </w:r>
          </w:p>
        </w:tc>
        <w:tc>
          <w:tcPr>
            <w:tcW w:w="8652" w:type="dxa"/>
          </w:tcPr>
          <w:p w14:paraId="53404F20" w14:textId="40636BAA" w:rsidR="006A791D" w:rsidRPr="004523BD" w:rsidRDefault="006A791D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 xml:space="preserve">The Health Chief Executives Forum (HCEF) is the advisory and support body to the Health Ministers' Meeting. The </w:t>
            </w:r>
            <w:r w:rsidR="00A34785" w:rsidRPr="004523BD">
              <w:rPr>
                <w:rFonts w:ascii="Calibri" w:hAnsi="Calibri" w:cs="Calibri"/>
                <w:szCs w:val="24"/>
              </w:rPr>
              <w:t>Australian Health Protection Committee (</w:t>
            </w:r>
            <w:r w:rsidRPr="004523BD">
              <w:rPr>
                <w:rFonts w:ascii="Calibri" w:hAnsi="Calibri" w:cs="Calibri"/>
                <w:szCs w:val="24"/>
              </w:rPr>
              <w:t>AHPC</w:t>
            </w:r>
            <w:r w:rsidR="00A34785" w:rsidRPr="004523BD">
              <w:rPr>
                <w:rFonts w:ascii="Calibri" w:hAnsi="Calibri" w:cs="Calibri"/>
                <w:szCs w:val="24"/>
              </w:rPr>
              <w:t>)</w:t>
            </w:r>
            <w:r w:rsidRPr="004523BD">
              <w:rPr>
                <w:rFonts w:ascii="Calibri" w:hAnsi="Calibri" w:cs="Calibri"/>
                <w:szCs w:val="24"/>
              </w:rPr>
              <w:t xml:space="preserve"> is </w:t>
            </w:r>
            <w:r w:rsidR="4FA39467" w:rsidRPr="004523BD">
              <w:rPr>
                <w:rFonts w:ascii="Calibri" w:hAnsi="Calibri" w:cs="Calibri"/>
                <w:szCs w:val="24"/>
              </w:rPr>
              <w:t xml:space="preserve">a subcommittee of </w:t>
            </w:r>
            <w:r w:rsidR="002679C4" w:rsidRPr="004523BD">
              <w:rPr>
                <w:rFonts w:ascii="Calibri" w:hAnsi="Calibri" w:cs="Calibri"/>
                <w:szCs w:val="24"/>
              </w:rPr>
              <w:t>HCEF and</w:t>
            </w:r>
            <w:r w:rsidR="4FA39467" w:rsidRPr="004523BD">
              <w:rPr>
                <w:rFonts w:ascii="Calibri" w:hAnsi="Calibri" w:cs="Calibri"/>
                <w:szCs w:val="24"/>
              </w:rPr>
              <w:t xml:space="preserve"> </w:t>
            </w:r>
            <w:r w:rsidRPr="004523BD">
              <w:rPr>
                <w:rFonts w:ascii="Calibri" w:hAnsi="Calibri" w:cs="Calibri"/>
                <w:szCs w:val="24"/>
              </w:rPr>
              <w:t xml:space="preserve">supports HCEF to deliver national leadership advice on health protection. </w:t>
            </w:r>
          </w:p>
          <w:p w14:paraId="3BC91D5F" w14:textId="73A479BA" w:rsidR="00903A72" w:rsidRPr="004523BD" w:rsidRDefault="006A791D" w:rsidP="00903A72">
            <w:pPr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 xml:space="preserve">AHPC aims to reduce </w:t>
            </w:r>
            <w:r w:rsidR="001350A5">
              <w:rPr>
                <w:rFonts w:ascii="Calibri" w:hAnsi="Calibri" w:cs="Calibri"/>
                <w:szCs w:val="24"/>
              </w:rPr>
              <w:t xml:space="preserve">the incidence and consequence of </w:t>
            </w:r>
            <w:r w:rsidRPr="004523BD">
              <w:rPr>
                <w:rFonts w:ascii="Calibri" w:hAnsi="Calibri" w:cs="Calibri"/>
                <w:szCs w:val="24"/>
              </w:rPr>
              <w:t xml:space="preserve">health </w:t>
            </w:r>
            <w:r w:rsidR="001350A5">
              <w:rPr>
                <w:rFonts w:ascii="Calibri" w:hAnsi="Calibri" w:cs="Calibri"/>
                <w:szCs w:val="24"/>
              </w:rPr>
              <w:t>risks</w:t>
            </w:r>
            <w:r w:rsidR="001350A5" w:rsidRPr="004523BD">
              <w:rPr>
                <w:rFonts w:ascii="Calibri" w:hAnsi="Calibri" w:cs="Calibri"/>
                <w:szCs w:val="24"/>
              </w:rPr>
              <w:t xml:space="preserve"> </w:t>
            </w:r>
            <w:r w:rsidRPr="004523BD">
              <w:rPr>
                <w:rFonts w:ascii="Calibri" w:hAnsi="Calibri" w:cs="Calibri"/>
                <w:szCs w:val="24"/>
              </w:rPr>
              <w:t>posed by infectious diseases,</w:t>
            </w:r>
            <w:r w:rsidR="00DC3AA9">
              <w:rPr>
                <w:rFonts w:ascii="Calibri" w:hAnsi="Calibri" w:cs="Calibri"/>
                <w:szCs w:val="24"/>
              </w:rPr>
              <w:t xml:space="preserve"> </w:t>
            </w:r>
            <w:r w:rsidRPr="004523BD">
              <w:rPr>
                <w:rFonts w:ascii="Calibri" w:hAnsi="Calibri" w:cs="Calibri"/>
                <w:szCs w:val="24"/>
              </w:rPr>
              <w:t xml:space="preserve">environmental issues, and both natural and human-made disasters in Australia. </w:t>
            </w:r>
            <w:r w:rsidR="00EF70B4">
              <w:rPr>
                <w:rFonts w:ascii="Calibri" w:hAnsi="Calibri" w:cs="Calibri"/>
                <w:szCs w:val="24"/>
              </w:rPr>
              <w:t xml:space="preserve">The </w:t>
            </w:r>
            <w:r w:rsidRPr="004523BD">
              <w:rPr>
                <w:rFonts w:ascii="Calibri" w:hAnsi="Calibri" w:cs="Calibri"/>
                <w:szCs w:val="24"/>
              </w:rPr>
              <w:t>CDNA is a subcommittee of the AHPC.</w:t>
            </w:r>
            <w:r w:rsidR="00A34785" w:rsidRPr="004523BD">
              <w:rPr>
                <w:rFonts w:ascii="Calibri" w:hAnsi="Calibri" w:cs="Calibri"/>
                <w:szCs w:val="24"/>
              </w:rPr>
              <w:t xml:space="preserve"> </w:t>
            </w:r>
          </w:p>
          <w:p w14:paraId="6529CC3D" w14:textId="14396D8B" w:rsidR="006A791D" w:rsidRPr="004523BD" w:rsidRDefault="00A34785" w:rsidP="002102C7">
            <w:pPr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>NAMAC</w:t>
            </w:r>
            <w:r w:rsidR="00EF70B4">
              <w:rPr>
                <w:rFonts w:ascii="Calibri" w:hAnsi="Calibri" w:cs="Calibri"/>
                <w:szCs w:val="24"/>
              </w:rPr>
              <w:t xml:space="preserve">, </w:t>
            </w:r>
            <w:r w:rsidRPr="004523BD">
              <w:rPr>
                <w:rFonts w:ascii="Calibri" w:hAnsi="Calibri" w:cs="Calibri"/>
                <w:szCs w:val="24"/>
              </w:rPr>
              <w:t>a subcommittee of CDNA</w:t>
            </w:r>
            <w:r w:rsidR="00903A72">
              <w:rPr>
                <w:rFonts w:ascii="Calibri" w:hAnsi="Calibri" w:cs="Calibri"/>
                <w:szCs w:val="24"/>
              </w:rPr>
              <w:t>,</w:t>
            </w:r>
            <w:r w:rsidR="00EF70B4">
              <w:rPr>
                <w:rFonts w:ascii="Calibri" w:hAnsi="Calibri" w:cs="Calibri"/>
                <w:szCs w:val="24"/>
              </w:rPr>
              <w:t xml:space="preserve"> </w:t>
            </w:r>
            <w:r w:rsidR="00E31A63" w:rsidRPr="004523BD">
              <w:rPr>
                <w:rFonts w:ascii="Calibri" w:hAnsi="Calibri" w:cs="Calibri"/>
                <w:szCs w:val="24"/>
              </w:rPr>
              <w:t xml:space="preserve">provides </w:t>
            </w:r>
            <w:r w:rsidR="00903A72">
              <w:rPr>
                <w:rFonts w:ascii="Calibri" w:hAnsi="Calibri" w:cs="Calibri"/>
                <w:szCs w:val="24"/>
              </w:rPr>
              <w:t xml:space="preserve">advice </w:t>
            </w:r>
            <w:proofErr w:type="gramStart"/>
            <w:r w:rsidR="00903A72">
              <w:rPr>
                <w:rFonts w:ascii="Calibri" w:hAnsi="Calibri" w:cs="Calibri"/>
                <w:szCs w:val="24"/>
              </w:rPr>
              <w:t xml:space="preserve">on </w:t>
            </w:r>
            <w:r w:rsidR="00E31A63" w:rsidRPr="004523BD">
              <w:rPr>
                <w:rFonts w:ascii="Calibri" w:hAnsi="Calibri" w:cs="Calibri"/>
                <w:szCs w:val="24"/>
              </w:rPr>
              <w:t xml:space="preserve"> arbovirus</w:t>
            </w:r>
            <w:proofErr w:type="gramEnd"/>
            <w:r w:rsidR="00E31A63" w:rsidRPr="004523BD">
              <w:rPr>
                <w:rFonts w:ascii="Calibri" w:hAnsi="Calibri" w:cs="Calibri"/>
                <w:szCs w:val="24"/>
              </w:rPr>
              <w:t xml:space="preserve"> and malaria surveillance</w:t>
            </w:r>
            <w:r w:rsidR="00903A72">
              <w:rPr>
                <w:rFonts w:ascii="Calibri" w:hAnsi="Calibri" w:cs="Calibri"/>
                <w:szCs w:val="24"/>
              </w:rPr>
              <w:t xml:space="preserve"> and expert advice on </w:t>
            </w:r>
            <w:r w:rsidR="00F74D50" w:rsidRPr="004523BD">
              <w:rPr>
                <w:rFonts w:ascii="Calibri" w:hAnsi="Calibri" w:cs="Calibri"/>
                <w:szCs w:val="24"/>
              </w:rPr>
              <w:t>disease management and vector control</w:t>
            </w:r>
            <w:r w:rsidR="00E31A63" w:rsidRPr="004523BD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D20739" w:rsidRPr="007F4A2D" w14:paraId="6062287B" w14:textId="77777777" w:rsidTr="1D7D4225">
        <w:trPr>
          <w:jc w:val="center"/>
        </w:trPr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1849B"/>
          </w:tcPr>
          <w:p w14:paraId="3E652E2E" w14:textId="54041DBD" w:rsidR="00D20739" w:rsidRPr="007F4A2D" w:rsidRDefault="00943055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Meetings and </w:t>
            </w:r>
            <w:r w:rsidR="00D20739">
              <w:rPr>
                <w:rFonts w:ascii="Calibri" w:hAnsi="Calibri" w:cs="Calibri"/>
                <w:b/>
                <w:bCs/>
                <w:color w:val="FFFFFF" w:themeColor="background1"/>
              </w:rPr>
              <w:t>Attendance</w:t>
            </w:r>
          </w:p>
        </w:tc>
        <w:tc>
          <w:tcPr>
            <w:tcW w:w="8652" w:type="dxa"/>
          </w:tcPr>
          <w:p w14:paraId="7C8DC659" w14:textId="60A09BD9" w:rsidR="005826AF" w:rsidRDefault="00EF70B4" w:rsidP="009E7515">
            <w:pPr>
              <w:spacing w:before="120"/>
              <w:rPr>
                <w:rFonts w:ascii="Calibri" w:hAnsi="Calibri" w:cs="Calibri"/>
                <w:iCs/>
                <w:szCs w:val="24"/>
              </w:rPr>
            </w:pPr>
            <w:r>
              <w:rPr>
                <w:rFonts w:ascii="Calibri" w:hAnsi="Calibri" w:cs="Calibri"/>
                <w:iCs/>
                <w:szCs w:val="24"/>
              </w:rPr>
              <w:t xml:space="preserve">In a calendar year, </w:t>
            </w:r>
            <w:r w:rsidR="00C27060" w:rsidRPr="004523BD">
              <w:rPr>
                <w:rFonts w:ascii="Calibri" w:hAnsi="Calibri" w:cs="Calibri"/>
                <w:iCs/>
                <w:szCs w:val="24"/>
              </w:rPr>
              <w:t>NAMAC will meet 2 to 4 times a year</w:t>
            </w:r>
            <w:r>
              <w:rPr>
                <w:rFonts w:ascii="Calibri" w:hAnsi="Calibri" w:cs="Calibri"/>
                <w:iCs/>
                <w:szCs w:val="24"/>
              </w:rPr>
              <w:t xml:space="preserve"> virtually</w:t>
            </w:r>
            <w:r w:rsidR="005826AF">
              <w:rPr>
                <w:rFonts w:ascii="Calibri" w:hAnsi="Calibri" w:cs="Calibri"/>
                <w:iCs/>
                <w:szCs w:val="24"/>
              </w:rPr>
              <w:t xml:space="preserve">, with additional </w:t>
            </w:r>
            <w:r>
              <w:rPr>
                <w:rFonts w:ascii="Calibri" w:hAnsi="Calibri" w:cs="Calibri"/>
                <w:iCs/>
                <w:szCs w:val="24"/>
              </w:rPr>
              <w:t>extraordinary meetings</w:t>
            </w:r>
            <w:r w:rsidR="005826AF">
              <w:rPr>
                <w:rFonts w:ascii="Calibri" w:hAnsi="Calibri" w:cs="Calibri"/>
                <w:iCs/>
                <w:szCs w:val="24"/>
              </w:rPr>
              <w:t xml:space="preserve"> convened </w:t>
            </w:r>
            <w:r w:rsidR="00B90529">
              <w:rPr>
                <w:rFonts w:ascii="Calibri" w:hAnsi="Calibri" w:cs="Calibri"/>
                <w:iCs/>
                <w:szCs w:val="24"/>
              </w:rPr>
              <w:t xml:space="preserve">virtually </w:t>
            </w:r>
            <w:r w:rsidR="005826AF">
              <w:rPr>
                <w:rFonts w:ascii="Calibri" w:hAnsi="Calibri" w:cs="Calibri"/>
                <w:iCs/>
                <w:szCs w:val="24"/>
              </w:rPr>
              <w:t>as required.</w:t>
            </w:r>
            <w:r>
              <w:rPr>
                <w:rFonts w:ascii="Calibri" w:hAnsi="Calibri" w:cs="Calibri"/>
                <w:iCs/>
                <w:szCs w:val="24"/>
              </w:rPr>
              <w:t xml:space="preserve"> A proposed meeting schedule will be prepared by the Secretariat</w:t>
            </w:r>
            <w:r w:rsidR="005826AF">
              <w:rPr>
                <w:rFonts w:ascii="Calibri" w:hAnsi="Calibri" w:cs="Calibri"/>
                <w:iCs/>
                <w:szCs w:val="24"/>
              </w:rPr>
              <w:t xml:space="preserve">, </w:t>
            </w:r>
            <w:r>
              <w:rPr>
                <w:rFonts w:ascii="Calibri" w:hAnsi="Calibri" w:cs="Calibri"/>
                <w:iCs/>
                <w:szCs w:val="24"/>
              </w:rPr>
              <w:t>endorsed annually</w:t>
            </w:r>
            <w:r w:rsidR="005826AF">
              <w:rPr>
                <w:rFonts w:ascii="Calibri" w:hAnsi="Calibri" w:cs="Calibri"/>
                <w:iCs/>
                <w:szCs w:val="24"/>
              </w:rPr>
              <w:t xml:space="preserve">, and provided to </w:t>
            </w:r>
            <w:r>
              <w:rPr>
                <w:rFonts w:ascii="Calibri" w:hAnsi="Calibri" w:cs="Calibri"/>
                <w:iCs/>
                <w:szCs w:val="24"/>
              </w:rPr>
              <w:t xml:space="preserve">CDNA. </w:t>
            </w:r>
          </w:p>
          <w:p w14:paraId="046ECF24" w14:textId="461ADD8B" w:rsidR="00EF70B4" w:rsidRDefault="005826AF" w:rsidP="009E7515">
            <w:pPr>
              <w:spacing w:before="120"/>
              <w:rPr>
                <w:rFonts w:ascii="Calibri" w:hAnsi="Calibri" w:cs="Calibri"/>
                <w:iCs/>
                <w:szCs w:val="24"/>
              </w:rPr>
            </w:pPr>
            <w:r>
              <w:rPr>
                <w:rFonts w:ascii="Calibri" w:hAnsi="Calibri" w:cs="Calibri"/>
                <w:iCs/>
                <w:szCs w:val="24"/>
              </w:rPr>
              <w:lastRenderedPageBreak/>
              <w:t xml:space="preserve">The </w:t>
            </w:r>
            <w:r w:rsidR="00EF70B4">
              <w:rPr>
                <w:rFonts w:ascii="Calibri" w:hAnsi="Calibri" w:cs="Calibri"/>
                <w:iCs/>
                <w:szCs w:val="24"/>
              </w:rPr>
              <w:t>NAMAC J</w:t>
            </w:r>
            <w:r>
              <w:rPr>
                <w:rFonts w:ascii="Calibri" w:hAnsi="Calibri" w:cs="Calibri"/>
                <w:iCs/>
                <w:szCs w:val="24"/>
              </w:rPr>
              <w:t>urisdictional Executive Group,</w:t>
            </w:r>
            <w:r w:rsidR="00EF70B4">
              <w:rPr>
                <w:rFonts w:ascii="Calibri" w:hAnsi="Calibri" w:cs="Calibri"/>
                <w:iCs/>
                <w:szCs w:val="24"/>
              </w:rPr>
              <w:t xml:space="preserve"> compris</w:t>
            </w:r>
            <w:r>
              <w:rPr>
                <w:rFonts w:ascii="Calibri" w:hAnsi="Calibri" w:cs="Calibri"/>
                <w:iCs/>
                <w:szCs w:val="24"/>
              </w:rPr>
              <w:t>ing</w:t>
            </w:r>
            <w:r w:rsidR="00EF70B4">
              <w:rPr>
                <w:rFonts w:ascii="Calibri" w:hAnsi="Calibri" w:cs="Calibri"/>
                <w:iCs/>
                <w:szCs w:val="24"/>
              </w:rPr>
              <w:t xml:space="preserve"> jurisdictional and </w:t>
            </w:r>
            <w:r>
              <w:rPr>
                <w:rFonts w:ascii="Calibri" w:hAnsi="Calibri" w:cs="Calibri"/>
                <w:iCs/>
                <w:szCs w:val="24"/>
              </w:rPr>
              <w:t>C</w:t>
            </w:r>
            <w:r w:rsidR="00EF70B4">
              <w:rPr>
                <w:rFonts w:ascii="Calibri" w:hAnsi="Calibri" w:cs="Calibri"/>
                <w:iCs/>
                <w:szCs w:val="24"/>
              </w:rPr>
              <w:t xml:space="preserve">ommonwealth members, may also meet </w:t>
            </w:r>
            <w:r>
              <w:rPr>
                <w:rFonts w:ascii="Calibri" w:hAnsi="Calibri" w:cs="Calibri"/>
                <w:iCs/>
                <w:szCs w:val="24"/>
              </w:rPr>
              <w:t xml:space="preserve">separately on </w:t>
            </w:r>
            <w:r w:rsidR="00EF70B4">
              <w:rPr>
                <w:rFonts w:ascii="Calibri" w:hAnsi="Calibri" w:cs="Calibri"/>
                <w:iCs/>
                <w:szCs w:val="24"/>
              </w:rPr>
              <w:t>a</w:t>
            </w:r>
            <w:r>
              <w:rPr>
                <w:rFonts w:ascii="Calibri" w:hAnsi="Calibri" w:cs="Calibri"/>
                <w:iCs/>
                <w:szCs w:val="24"/>
              </w:rPr>
              <w:t>n</w:t>
            </w:r>
            <w:r w:rsidR="00EF70B4">
              <w:rPr>
                <w:rFonts w:ascii="Calibri" w:hAnsi="Calibri" w:cs="Calibri"/>
                <w:iCs/>
                <w:szCs w:val="24"/>
              </w:rPr>
              <w:t xml:space="preserve"> as</w:t>
            </w:r>
            <w:r>
              <w:rPr>
                <w:rFonts w:ascii="Calibri" w:hAnsi="Calibri" w:cs="Calibri"/>
                <w:iCs/>
                <w:szCs w:val="24"/>
              </w:rPr>
              <w:t>-</w:t>
            </w:r>
            <w:r w:rsidR="00EF70B4">
              <w:rPr>
                <w:rFonts w:ascii="Calibri" w:hAnsi="Calibri" w:cs="Calibri"/>
                <w:iCs/>
                <w:szCs w:val="24"/>
              </w:rPr>
              <w:t xml:space="preserve">needed basis. </w:t>
            </w:r>
          </w:p>
          <w:p w14:paraId="0BBD1738" w14:textId="21979385" w:rsidR="000A08D5" w:rsidRDefault="00657607" w:rsidP="009E7515">
            <w:pPr>
              <w:spacing w:before="120"/>
              <w:rPr>
                <w:rFonts w:ascii="Calibri" w:hAnsi="Calibri" w:cs="Calibri"/>
              </w:rPr>
            </w:pPr>
            <w:bookmarkStart w:id="0" w:name="_Hlk204607656"/>
            <w:r w:rsidRPr="00E42A3B">
              <w:rPr>
                <w:rFonts w:ascii="Calibri" w:hAnsi="Calibri" w:cs="Calibri"/>
              </w:rPr>
              <w:t xml:space="preserve">All members are expected to </w:t>
            </w:r>
            <w:r w:rsidR="005826AF">
              <w:rPr>
                <w:rFonts w:ascii="Calibri" w:hAnsi="Calibri" w:cs="Calibri"/>
              </w:rPr>
              <w:t xml:space="preserve">attend </w:t>
            </w:r>
            <w:r w:rsidRPr="00E42A3B">
              <w:rPr>
                <w:rFonts w:ascii="Calibri" w:hAnsi="Calibri" w:cs="Calibri"/>
              </w:rPr>
              <w:t xml:space="preserve">each meeting. </w:t>
            </w:r>
            <w:r w:rsidR="00EF70B4">
              <w:rPr>
                <w:rFonts w:ascii="Calibri" w:hAnsi="Calibri" w:cs="Calibri"/>
              </w:rPr>
              <w:t>I</w:t>
            </w:r>
            <w:r w:rsidR="005826AF">
              <w:rPr>
                <w:rFonts w:ascii="Calibri" w:hAnsi="Calibri" w:cs="Calibri"/>
              </w:rPr>
              <w:t>f a member is unable to</w:t>
            </w:r>
            <w:r w:rsidR="00EF70B4">
              <w:rPr>
                <w:rFonts w:ascii="Calibri" w:hAnsi="Calibri" w:cs="Calibri"/>
              </w:rPr>
              <w:t xml:space="preserve"> attend, a proxy</w:t>
            </w:r>
            <w:r w:rsidR="005826AF">
              <w:rPr>
                <w:rFonts w:ascii="Calibri" w:hAnsi="Calibri" w:cs="Calibri"/>
              </w:rPr>
              <w:t xml:space="preserve"> may be nominated, with notice provided to </w:t>
            </w:r>
            <w:r w:rsidR="00EF70B4">
              <w:rPr>
                <w:rFonts w:ascii="Calibri" w:hAnsi="Calibri" w:cs="Calibri"/>
              </w:rPr>
              <w:t xml:space="preserve">the Chair and Secretariat. </w:t>
            </w:r>
            <w:r w:rsidR="000A08D5">
              <w:rPr>
                <w:rFonts w:ascii="Calibri" w:hAnsi="Calibri" w:cs="Calibri"/>
              </w:rPr>
              <w:t>All members, except invited experts, may be represented by a proxy.</w:t>
            </w:r>
            <w:bookmarkEnd w:id="0"/>
          </w:p>
          <w:p w14:paraId="4AA96A5C" w14:textId="4F0307BE" w:rsidR="009D16AD" w:rsidRPr="004523BD" w:rsidRDefault="005826AF" w:rsidP="009E7515">
            <w:pPr>
              <w:spacing w:before="120"/>
              <w:rPr>
                <w:rFonts w:ascii="Calibri" w:hAnsi="Calibri" w:cs="Calibri"/>
                <w:iCs/>
                <w:szCs w:val="24"/>
              </w:rPr>
            </w:pPr>
            <w:r>
              <w:rPr>
                <w:rFonts w:ascii="Calibri" w:hAnsi="Calibri" w:cs="Calibri"/>
              </w:rPr>
              <w:t>S</w:t>
            </w:r>
            <w:r w:rsidR="00657607" w:rsidRPr="00E42A3B">
              <w:rPr>
                <w:rFonts w:ascii="Calibri" w:hAnsi="Calibri" w:cs="Calibri"/>
              </w:rPr>
              <w:t>ecretariat support for N</w:t>
            </w:r>
            <w:r w:rsidR="00657607">
              <w:rPr>
                <w:rFonts w:ascii="Calibri" w:hAnsi="Calibri" w:cs="Calibri"/>
              </w:rPr>
              <w:t>AM</w:t>
            </w:r>
            <w:r w:rsidR="00657607" w:rsidRPr="00E42A3B">
              <w:rPr>
                <w:rFonts w:ascii="Calibri" w:hAnsi="Calibri" w:cs="Calibri"/>
              </w:rPr>
              <w:t>AC is provided by the Australian Government Department of Health</w:t>
            </w:r>
            <w:r w:rsidR="00657607">
              <w:rPr>
                <w:rFonts w:ascii="Calibri" w:hAnsi="Calibri" w:cs="Calibri"/>
              </w:rPr>
              <w:t>, Disability and Ageing.</w:t>
            </w:r>
          </w:p>
        </w:tc>
      </w:tr>
      <w:tr w:rsidR="00D20739" w:rsidRPr="007F4A2D" w14:paraId="4D3EC6A1" w14:textId="77777777" w:rsidTr="1D7D4225">
        <w:trPr>
          <w:jc w:val="center"/>
        </w:trPr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1849B"/>
          </w:tcPr>
          <w:p w14:paraId="30B7E774" w14:textId="77777777" w:rsidR="00D20739" w:rsidRPr="007F4A2D" w:rsidRDefault="00D20739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Governance</w:t>
            </w:r>
          </w:p>
        </w:tc>
        <w:tc>
          <w:tcPr>
            <w:tcW w:w="8652" w:type="dxa"/>
          </w:tcPr>
          <w:p w14:paraId="60E0CE83" w14:textId="16D466D9" w:rsidR="000A08D5" w:rsidRPr="00325906" w:rsidRDefault="000A08D5" w:rsidP="007B6C50">
            <w:pPr>
              <w:pStyle w:val="Default"/>
              <w:spacing w:before="120" w:after="120"/>
              <w:jc w:val="both"/>
              <w:rPr>
                <w:rFonts w:ascii="Calibri" w:hAnsi="Calibri" w:cs="Calibri"/>
                <w:color w:val="auto"/>
                <w:u w:val="single"/>
              </w:rPr>
            </w:pPr>
            <w:r w:rsidRPr="00325906">
              <w:rPr>
                <w:color w:val="auto"/>
                <w:u w:val="single"/>
              </w:rPr>
              <w:t xml:space="preserve">Work plan </w:t>
            </w:r>
          </w:p>
          <w:p w14:paraId="2582EAEE" w14:textId="0820B5CE" w:rsidR="00BC2530" w:rsidRDefault="00A34785" w:rsidP="007B6C50">
            <w:pPr>
              <w:pStyle w:val="Default"/>
              <w:spacing w:before="120" w:after="120"/>
              <w:jc w:val="both"/>
              <w:rPr>
                <w:rFonts w:ascii="Calibri" w:hAnsi="Calibri" w:cs="Calibri"/>
                <w:color w:val="auto"/>
              </w:rPr>
            </w:pPr>
            <w:r w:rsidRPr="004523BD">
              <w:rPr>
                <w:rFonts w:ascii="Calibri" w:hAnsi="Calibri" w:cs="Calibri"/>
                <w:color w:val="auto"/>
              </w:rPr>
              <w:t>Upon request</w:t>
            </w:r>
            <w:r w:rsidR="000E59A6">
              <w:rPr>
                <w:rFonts w:ascii="Calibri" w:hAnsi="Calibri" w:cs="Calibri"/>
                <w:color w:val="auto"/>
              </w:rPr>
              <w:t>,</w:t>
            </w:r>
            <w:r w:rsidRPr="004523BD">
              <w:rPr>
                <w:rFonts w:ascii="Calibri" w:hAnsi="Calibri" w:cs="Calibri"/>
                <w:color w:val="auto"/>
              </w:rPr>
              <w:t xml:space="preserve"> NAMAC</w:t>
            </w:r>
            <w:r w:rsidR="0CE50F50" w:rsidRPr="004523BD">
              <w:rPr>
                <w:rFonts w:ascii="Calibri" w:hAnsi="Calibri" w:cs="Calibri"/>
                <w:color w:val="auto"/>
              </w:rPr>
              <w:t xml:space="preserve"> will provide </w:t>
            </w:r>
            <w:r w:rsidRPr="004523BD">
              <w:rPr>
                <w:rFonts w:ascii="Calibri" w:hAnsi="Calibri" w:cs="Calibri"/>
                <w:color w:val="auto"/>
              </w:rPr>
              <w:t>CDNA</w:t>
            </w:r>
            <w:r w:rsidR="0CE50F50" w:rsidRPr="004523BD">
              <w:rPr>
                <w:rFonts w:ascii="Calibri" w:hAnsi="Calibri" w:cs="Calibri"/>
                <w:color w:val="auto"/>
              </w:rPr>
              <w:t xml:space="preserve"> with a one-year work plan for oversight of</w:t>
            </w:r>
            <w:r w:rsidR="000A08D5">
              <w:rPr>
                <w:rFonts w:ascii="Calibri" w:hAnsi="Calibri" w:cs="Calibri"/>
                <w:color w:val="auto"/>
              </w:rPr>
              <w:t xml:space="preserve"> </w:t>
            </w:r>
            <w:r w:rsidR="00B90529">
              <w:rPr>
                <w:rFonts w:ascii="Calibri" w:hAnsi="Calibri" w:cs="Calibri"/>
                <w:color w:val="auto"/>
              </w:rPr>
              <w:t>its</w:t>
            </w:r>
            <w:r w:rsidR="000A08D5">
              <w:rPr>
                <w:rFonts w:ascii="Calibri" w:hAnsi="Calibri" w:cs="Calibri"/>
                <w:color w:val="auto"/>
              </w:rPr>
              <w:t xml:space="preserve"> key </w:t>
            </w:r>
            <w:r w:rsidR="0CE50F50" w:rsidRPr="004523BD">
              <w:rPr>
                <w:rFonts w:ascii="Calibri" w:hAnsi="Calibri" w:cs="Calibri"/>
                <w:color w:val="auto"/>
              </w:rPr>
              <w:t xml:space="preserve">activities and priorities. </w:t>
            </w:r>
            <w:r w:rsidRPr="004523BD">
              <w:rPr>
                <w:rFonts w:ascii="Calibri" w:hAnsi="Calibri" w:cs="Calibri"/>
                <w:color w:val="auto"/>
              </w:rPr>
              <w:t>NAMAC</w:t>
            </w:r>
            <w:r w:rsidR="7E144A0E" w:rsidRPr="004523BD">
              <w:rPr>
                <w:rFonts w:ascii="Calibri" w:hAnsi="Calibri" w:cs="Calibri"/>
                <w:color w:val="auto"/>
              </w:rPr>
              <w:t xml:space="preserve"> may develop a</w:t>
            </w:r>
            <w:r w:rsidR="000A08D5">
              <w:rPr>
                <w:rFonts w:ascii="Calibri" w:hAnsi="Calibri" w:cs="Calibri"/>
                <w:color w:val="auto"/>
              </w:rPr>
              <w:t xml:space="preserve"> broader</w:t>
            </w:r>
            <w:r w:rsidR="3541639C" w:rsidRPr="004523BD">
              <w:rPr>
                <w:rFonts w:ascii="Calibri" w:hAnsi="Calibri" w:cs="Calibri"/>
                <w:color w:val="auto"/>
              </w:rPr>
              <w:t xml:space="preserve"> ongoing</w:t>
            </w:r>
            <w:r w:rsidR="7E144A0E" w:rsidRPr="004523BD">
              <w:rPr>
                <w:rFonts w:ascii="Calibri" w:hAnsi="Calibri" w:cs="Calibri"/>
                <w:color w:val="auto"/>
              </w:rPr>
              <w:t xml:space="preserve"> </w:t>
            </w:r>
            <w:r w:rsidR="000252CF">
              <w:rPr>
                <w:rFonts w:ascii="Calibri" w:hAnsi="Calibri" w:cs="Calibri"/>
                <w:color w:val="auto"/>
              </w:rPr>
              <w:t>w</w:t>
            </w:r>
            <w:r w:rsidR="7E144A0E" w:rsidRPr="004523BD">
              <w:rPr>
                <w:rFonts w:ascii="Calibri" w:hAnsi="Calibri" w:cs="Calibri"/>
                <w:color w:val="auto"/>
              </w:rPr>
              <w:t xml:space="preserve">ork </w:t>
            </w:r>
            <w:r w:rsidR="000252CF">
              <w:rPr>
                <w:rFonts w:ascii="Calibri" w:hAnsi="Calibri" w:cs="Calibri"/>
                <w:color w:val="auto"/>
              </w:rPr>
              <w:t>p</w:t>
            </w:r>
            <w:r w:rsidR="7E144A0E" w:rsidRPr="004523BD">
              <w:rPr>
                <w:rFonts w:ascii="Calibri" w:hAnsi="Calibri" w:cs="Calibri"/>
                <w:color w:val="auto"/>
              </w:rPr>
              <w:t>lan</w:t>
            </w:r>
            <w:r w:rsidR="000A08D5">
              <w:rPr>
                <w:rFonts w:ascii="Calibri" w:hAnsi="Calibri" w:cs="Calibri"/>
                <w:color w:val="auto"/>
              </w:rPr>
              <w:t xml:space="preserve">, covering both </w:t>
            </w:r>
            <w:proofErr w:type="gramStart"/>
            <w:r w:rsidR="7E144A0E" w:rsidRPr="004523BD">
              <w:rPr>
                <w:rFonts w:ascii="Calibri" w:hAnsi="Calibri" w:cs="Calibri"/>
                <w:color w:val="auto"/>
              </w:rPr>
              <w:t>business</w:t>
            </w:r>
            <w:proofErr w:type="gramEnd"/>
            <w:r w:rsidR="7E144A0E" w:rsidRPr="004523BD">
              <w:rPr>
                <w:rFonts w:ascii="Calibri" w:hAnsi="Calibri" w:cs="Calibri"/>
                <w:color w:val="auto"/>
              </w:rPr>
              <w:t xml:space="preserve"> as usual and time-limited</w:t>
            </w:r>
            <w:r w:rsidR="00261161">
              <w:rPr>
                <w:rFonts w:ascii="Calibri" w:hAnsi="Calibri" w:cs="Calibri"/>
                <w:color w:val="auto"/>
              </w:rPr>
              <w:t xml:space="preserve"> activities. </w:t>
            </w:r>
          </w:p>
          <w:p w14:paraId="311F0E99" w14:textId="0D51522A" w:rsidR="00261161" w:rsidRPr="00325906" w:rsidRDefault="00261161" w:rsidP="007B6C50">
            <w:pPr>
              <w:pStyle w:val="Default"/>
              <w:spacing w:before="120" w:after="120"/>
              <w:jc w:val="both"/>
              <w:rPr>
                <w:rFonts w:ascii="Calibri" w:hAnsi="Calibri" w:cs="Calibri"/>
                <w:color w:val="auto"/>
                <w:u w:val="single"/>
              </w:rPr>
            </w:pPr>
            <w:r w:rsidRPr="00325906">
              <w:rPr>
                <w:color w:val="auto"/>
                <w:u w:val="single"/>
              </w:rPr>
              <w:t>Agenda</w:t>
            </w:r>
          </w:p>
          <w:p w14:paraId="30152F21" w14:textId="7C91F528" w:rsidR="00BC2530" w:rsidRPr="004523BD" w:rsidRDefault="00251351" w:rsidP="007B6C50">
            <w:pPr>
              <w:spacing w:before="120"/>
              <w:rPr>
                <w:rFonts w:ascii="Calibri" w:hAnsi="Calibri" w:cs="Calibri"/>
              </w:rPr>
            </w:pPr>
            <w:r w:rsidRPr="004523BD">
              <w:rPr>
                <w:rFonts w:ascii="Calibri" w:hAnsi="Calibri" w:cs="Calibri"/>
              </w:rPr>
              <w:t xml:space="preserve">The Chair is responsible for </w:t>
            </w:r>
            <w:r w:rsidR="00B109E5" w:rsidRPr="004523BD">
              <w:rPr>
                <w:rFonts w:ascii="Calibri" w:hAnsi="Calibri" w:cs="Calibri"/>
              </w:rPr>
              <w:t>guiding</w:t>
            </w:r>
            <w:r w:rsidRPr="004523BD">
              <w:rPr>
                <w:rFonts w:ascii="Calibri" w:hAnsi="Calibri" w:cs="Calibri"/>
              </w:rPr>
              <w:t xml:space="preserve"> the agenda. </w:t>
            </w:r>
            <w:r w:rsidR="00261161">
              <w:rPr>
                <w:rFonts w:ascii="Calibri" w:hAnsi="Calibri" w:cs="Calibri"/>
              </w:rPr>
              <w:t>All members may n</w:t>
            </w:r>
            <w:r w:rsidRPr="004523BD">
              <w:rPr>
                <w:rFonts w:ascii="Calibri" w:hAnsi="Calibri" w:cs="Calibri"/>
              </w:rPr>
              <w:t>ominat</w:t>
            </w:r>
            <w:r w:rsidR="00261161">
              <w:rPr>
                <w:rFonts w:ascii="Calibri" w:hAnsi="Calibri" w:cs="Calibri"/>
              </w:rPr>
              <w:t xml:space="preserve">e </w:t>
            </w:r>
            <w:r w:rsidRPr="004523BD">
              <w:rPr>
                <w:rFonts w:ascii="Calibri" w:hAnsi="Calibri" w:cs="Calibri"/>
              </w:rPr>
              <w:t>agenda items</w:t>
            </w:r>
            <w:r w:rsidR="00261161">
              <w:rPr>
                <w:rFonts w:ascii="Calibri" w:hAnsi="Calibri" w:cs="Calibri"/>
              </w:rPr>
              <w:t xml:space="preserve">, which should </w:t>
            </w:r>
            <w:r w:rsidR="006670A5" w:rsidRPr="004523BD">
              <w:rPr>
                <w:rFonts w:ascii="Calibri" w:hAnsi="Calibri" w:cs="Calibri"/>
              </w:rPr>
              <w:t>focus on</w:t>
            </w:r>
            <w:r w:rsidR="00261161">
              <w:rPr>
                <w:rFonts w:ascii="Calibri" w:hAnsi="Calibri" w:cs="Calibri"/>
              </w:rPr>
              <w:t xml:space="preserve"> NAMC’s</w:t>
            </w:r>
            <w:r w:rsidR="006670A5" w:rsidRPr="004523BD">
              <w:rPr>
                <w:rFonts w:ascii="Calibri" w:hAnsi="Calibri" w:cs="Calibri"/>
              </w:rPr>
              <w:t xml:space="preserve"> purpose and objectives</w:t>
            </w:r>
            <w:r w:rsidR="00261161">
              <w:rPr>
                <w:rFonts w:ascii="Calibri" w:hAnsi="Calibri" w:cs="Calibri"/>
              </w:rPr>
              <w:t xml:space="preserve">, </w:t>
            </w:r>
            <w:r w:rsidR="006670A5" w:rsidRPr="004523BD">
              <w:rPr>
                <w:rFonts w:ascii="Calibri" w:hAnsi="Calibri" w:cs="Calibri"/>
              </w:rPr>
              <w:t xml:space="preserve">agreed </w:t>
            </w:r>
            <w:r w:rsidR="00261161">
              <w:rPr>
                <w:rFonts w:ascii="Calibri" w:hAnsi="Calibri" w:cs="Calibri"/>
              </w:rPr>
              <w:t>p</w:t>
            </w:r>
            <w:r w:rsidR="006670A5" w:rsidRPr="004523BD">
              <w:rPr>
                <w:rFonts w:ascii="Calibri" w:hAnsi="Calibri" w:cs="Calibri"/>
              </w:rPr>
              <w:t xml:space="preserve">riorities, </w:t>
            </w:r>
            <w:r w:rsidR="00A34785" w:rsidRPr="004523BD">
              <w:rPr>
                <w:rFonts w:ascii="Calibri" w:hAnsi="Calibri" w:cs="Calibri"/>
              </w:rPr>
              <w:t>CDNA</w:t>
            </w:r>
            <w:r w:rsidR="00261161">
              <w:rPr>
                <w:rFonts w:ascii="Calibri" w:hAnsi="Calibri" w:cs="Calibri"/>
              </w:rPr>
              <w:t xml:space="preserve"> </w:t>
            </w:r>
            <w:r w:rsidR="00261161" w:rsidRPr="004523BD">
              <w:rPr>
                <w:rFonts w:ascii="Calibri" w:hAnsi="Calibri" w:cs="Calibri"/>
              </w:rPr>
              <w:t>tasking</w:t>
            </w:r>
            <w:r w:rsidR="006670A5" w:rsidRPr="004523BD">
              <w:rPr>
                <w:rFonts w:ascii="Calibri" w:hAnsi="Calibri" w:cs="Calibri"/>
              </w:rPr>
              <w:t xml:space="preserve">, and emerging </w:t>
            </w:r>
            <w:r w:rsidR="00C75599" w:rsidRPr="004523BD">
              <w:rPr>
                <w:rFonts w:ascii="Calibri" w:hAnsi="Calibri" w:cs="Calibri"/>
              </w:rPr>
              <w:t>vector-borne disease</w:t>
            </w:r>
            <w:r w:rsidR="006670A5" w:rsidRPr="004523BD">
              <w:rPr>
                <w:rFonts w:ascii="Calibri" w:hAnsi="Calibri" w:cs="Calibri"/>
              </w:rPr>
              <w:t xml:space="preserve"> issues. Other matters</w:t>
            </w:r>
            <w:r w:rsidR="00261161">
              <w:rPr>
                <w:rFonts w:ascii="Calibri" w:hAnsi="Calibri" w:cs="Calibri"/>
              </w:rPr>
              <w:t xml:space="preserve"> may</w:t>
            </w:r>
            <w:r w:rsidR="006670A5" w:rsidRPr="004523BD">
              <w:rPr>
                <w:rFonts w:ascii="Calibri" w:hAnsi="Calibri" w:cs="Calibri"/>
              </w:rPr>
              <w:t xml:space="preserve"> be</w:t>
            </w:r>
            <w:r w:rsidR="00261161">
              <w:rPr>
                <w:rFonts w:ascii="Calibri" w:hAnsi="Calibri" w:cs="Calibri"/>
              </w:rPr>
              <w:t xml:space="preserve"> included at the Chair’s discretion </w:t>
            </w:r>
            <w:r w:rsidR="006670A5" w:rsidRPr="004523BD">
              <w:rPr>
                <w:rFonts w:ascii="Calibri" w:hAnsi="Calibri" w:cs="Calibri"/>
              </w:rPr>
              <w:t xml:space="preserve">in consultation with members. </w:t>
            </w:r>
          </w:p>
          <w:p w14:paraId="1A370EC8" w14:textId="0394512F" w:rsidR="00025426" w:rsidRPr="00777A71" w:rsidRDefault="009A5AEC" w:rsidP="007B6C50">
            <w:pPr>
              <w:pStyle w:val="Default"/>
              <w:spacing w:before="120" w:after="120"/>
              <w:jc w:val="both"/>
              <w:rPr>
                <w:rFonts w:ascii="Calibri" w:hAnsi="Calibri" w:cs="Calibri"/>
                <w:iCs/>
              </w:rPr>
            </w:pPr>
            <w:r w:rsidRPr="004523BD">
              <w:rPr>
                <w:rFonts w:ascii="Calibri" w:hAnsi="Calibri" w:cs="Calibri"/>
                <w:color w:val="auto"/>
              </w:rPr>
              <w:t>Matters may be progressed in formal sessions or out of session</w:t>
            </w:r>
            <w:r w:rsidR="00AA06F1" w:rsidRPr="004523BD">
              <w:rPr>
                <w:rFonts w:ascii="Calibri" w:hAnsi="Calibri" w:cs="Calibri"/>
                <w:color w:val="auto"/>
              </w:rPr>
              <w:t xml:space="preserve">, as determined by the Chair in consultation with the Secretariat and members. </w:t>
            </w:r>
            <w:r w:rsidR="004F194B" w:rsidRPr="004523BD">
              <w:rPr>
                <w:rFonts w:ascii="Calibri" w:hAnsi="Calibri" w:cs="Calibri"/>
                <w:color w:val="auto"/>
              </w:rPr>
              <w:t xml:space="preserve">Time-limited Working Groups </w:t>
            </w:r>
            <w:r w:rsidR="00261161">
              <w:rPr>
                <w:rFonts w:ascii="Calibri" w:hAnsi="Calibri" w:cs="Calibri"/>
                <w:color w:val="auto"/>
              </w:rPr>
              <w:t xml:space="preserve">may be established to progress specific items. </w:t>
            </w:r>
            <w:r w:rsidR="006670A5" w:rsidRPr="004523BD">
              <w:rPr>
                <w:rFonts w:ascii="Calibri" w:hAnsi="Calibri" w:cs="Calibri"/>
                <w:color w:val="auto"/>
              </w:rPr>
              <w:t>Any agenda items requiring a decision</w:t>
            </w:r>
            <w:r w:rsidR="00261161">
              <w:rPr>
                <w:rFonts w:ascii="Calibri" w:hAnsi="Calibri" w:cs="Calibri"/>
                <w:color w:val="auto"/>
              </w:rPr>
              <w:t xml:space="preserve"> should be </w:t>
            </w:r>
            <w:r w:rsidR="006670A5" w:rsidRPr="004523BD">
              <w:rPr>
                <w:rFonts w:ascii="Calibri" w:hAnsi="Calibri" w:cs="Calibri"/>
                <w:color w:val="auto"/>
              </w:rPr>
              <w:t xml:space="preserve">supported by a paper, documentation or presentation unless </w:t>
            </w:r>
            <w:r w:rsidR="00261161">
              <w:rPr>
                <w:rFonts w:ascii="Calibri" w:hAnsi="Calibri" w:cs="Calibri"/>
                <w:color w:val="auto"/>
              </w:rPr>
              <w:t>e</w:t>
            </w:r>
            <w:r w:rsidR="006670A5" w:rsidRPr="004523BD">
              <w:rPr>
                <w:rFonts w:ascii="Calibri" w:hAnsi="Calibri" w:cs="Calibri"/>
                <w:color w:val="auto"/>
              </w:rPr>
              <w:t>xceptional circumstances</w:t>
            </w:r>
            <w:r w:rsidR="00261161">
              <w:rPr>
                <w:rFonts w:ascii="Calibri" w:hAnsi="Calibri" w:cs="Calibri"/>
                <w:color w:val="auto"/>
              </w:rPr>
              <w:t xml:space="preserve"> apply</w:t>
            </w:r>
            <w:r w:rsidR="006670A5" w:rsidRPr="004523BD">
              <w:rPr>
                <w:rFonts w:ascii="Calibri" w:hAnsi="Calibri" w:cs="Calibri"/>
                <w:color w:val="auto"/>
              </w:rPr>
              <w:t xml:space="preserve">. </w:t>
            </w:r>
          </w:p>
        </w:tc>
      </w:tr>
      <w:tr w:rsidR="00D20739" w:rsidRPr="007F4A2D" w14:paraId="3FFA6281" w14:textId="77777777" w:rsidTr="1D7D4225">
        <w:trPr>
          <w:jc w:val="center"/>
        </w:trPr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1849B"/>
          </w:tcPr>
          <w:p w14:paraId="7C56DC43" w14:textId="77777777" w:rsidR="00D20739" w:rsidRPr="007F4A2D" w:rsidRDefault="00D20739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Principles for advice and decision making</w:t>
            </w:r>
          </w:p>
        </w:tc>
        <w:tc>
          <w:tcPr>
            <w:tcW w:w="8652" w:type="dxa"/>
          </w:tcPr>
          <w:p w14:paraId="44EDB92E" w14:textId="6BFB24BB" w:rsidR="00B90529" w:rsidRPr="00E42A3B" w:rsidRDefault="00B90529" w:rsidP="00B90529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business can be conducted without a quorum. As per the CDNA Chart</w:t>
            </w:r>
            <w:r w:rsidR="007B2959">
              <w:rPr>
                <w:rFonts w:ascii="Calibri" w:hAnsi="Calibri" w:cs="Calibri"/>
              </w:rPr>
              <w:t>er</w:t>
            </w:r>
            <w:r>
              <w:rPr>
                <w:rFonts w:ascii="Calibri" w:hAnsi="Calibri" w:cs="Calibri"/>
              </w:rPr>
              <w:t>, NAMAC will not normally be considered quorate unless the Chair, the Commonwealth, and more than two jurisdictions are represented by a member or their proxy.</w:t>
            </w:r>
          </w:p>
          <w:p w14:paraId="5E15C85D" w14:textId="77777777" w:rsidR="007233DD" w:rsidRPr="004523BD" w:rsidRDefault="007233DD" w:rsidP="009E751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  <w:r w:rsidRPr="004523BD">
              <w:rPr>
                <w:rFonts w:ascii="Calibri" w:eastAsia="Calibri" w:hAnsi="Calibri" w:cs="Calibri"/>
                <w:color w:val="000000"/>
                <w:szCs w:val="24"/>
              </w:rPr>
              <w:t xml:space="preserve">Decisions and advice should be: </w:t>
            </w:r>
          </w:p>
          <w:p w14:paraId="04B47B25" w14:textId="01349AC7" w:rsidR="007233DD" w:rsidRPr="004523BD" w:rsidRDefault="007233DD" w:rsidP="009E751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  <w:r w:rsidRPr="004523BD">
              <w:rPr>
                <w:rFonts w:ascii="Calibri" w:eastAsia="Calibri" w:hAnsi="Calibri" w:cs="Calibri"/>
                <w:color w:val="000000"/>
                <w:szCs w:val="24"/>
              </w:rPr>
              <w:t>Evidence and principles-based allow</w:t>
            </w:r>
            <w:r w:rsidR="00261161">
              <w:rPr>
                <w:rFonts w:ascii="Calibri" w:eastAsia="Calibri" w:hAnsi="Calibri" w:cs="Calibri"/>
                <w:color w:val="000000"/>
                <w:szCs w:val="24"/>
              </w:rPr>
              <w:t>ing</w:t>
            </w:r>
            <w:r w:rsidRPr="004523BD">
              <w:rPr>
                <w:rFonts w:ascii="Calibri" w:eastAsia="Calibri" w:hAnsi="Calibri" w:cs="Calibri"/>
                <w:color w:val="000000"/>
                <w:szCs w:val="24"/>
              </w:rPr>
              <w:t xml:space="preserve"> jurisdictions</w:t>
            </w:r>
            <w:r w:rsidR="00261161">
              <w:rPr>
                <w:rFonts w:ascii="Calibri" w:eastAsia="Calibri" w:hAnsi="Calibri" w:cs="Calibri"/>
                <w:color w:val="000000"/>
                <w:szCs w:val="24"/>
              </w:rPr>
              <w:t xml:space="preserve"> flexibility in implementation.</w:t>
            </w:r>
            <w:r w:rsidRPr="004523BD"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</w:p>
          <w:p w14:paraId="1AE4E860" w14:textId="5A22731F" w:rsidR="007233DD" w:rsidRPr="004523BD" w:rsidRDefault="007233DD" w:rsidP="009E751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  <w:r w:rsidRPr="004523BD">
              <w:rPr>
                <w:rFonts w:ascii="Calibri" w:eastAsia="Calibri" w:hAnsi="Calibri" w:cs="Calibri"/>
                <w:color w:val="000000"/>
                <w:szCs w:val="24"/>
              </w:rPr>
              <w:t>Consensus based</w:t>
            </w:r>
            <w:r w:rsidR="00261161">
              <w:rPr>
                <w:rFonts w:ascii="Calibri" w:eastAsia="Calibri" w:hAnsi="Calibri" w:cs="Calibri"/>
                <w:color w:val="000000"/>
                <w:szCs w:val="24"/>
              </w:rPr>
              <w:t xml:space="preserve">, consistent with the CNDA’s Charter, </w:t>
            </w:r>
            <w:r w:rsidRPr="004523BD">
              <w:rPr>
                <w:rFonts w:ascii="Calibri" w:eastAsia="Calibri" w:hAnsi="Calibri" w:cs="Calibri"/>
                <w:color w:val="000000"/>
                <w:szCs w:val="24"/>
              </w:rPr>
              <w:t xml:space="preserve">noting that some decision-making and voting arrangements </w:t>
            </w:r>
            <w:r w:rsidR="003452BF" w:rsidRPr="004523BD">
              <w:rPr>
                <w:rFonts w:ascii="Calibri" w:eastAsia="Calibri" w:hAnsi="Calibri" w:cs="Calibri"/>
                <w:color w:val="000000"/>
                <w:szCs w:val="24"/>
              </w:rPr>
              <w:t xml:space="preserve">may be </w:t>
            </w:r>
            <w:r w:rsidRPr="004523BD">
              <w:rPr>
                <w:rFonts w:ascii="Calibri" w:eastAsia="Calibri" w:hAnsi="Calibri" w:cs="Calibri"/>
                <w:color w:val="000000"/>
                <w:szCs w:val="24"/>
              </w:rPr>
              <w:t>set out in legislation</w:t>
            </w:r>
            <w:r w:rsidR="003452BF" w:rsidRPr="004523BD"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  <w:r w:rsidRPr="004523BD"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</w:p>
          <w:p w14:paraId="3CFBB395" w14:textId="5A2A7F7C" w:rsidR="00A76D1F" w:rsidRPr="004523BD" w:rsidRDefault="001F36F8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 xml:space="preserve">Where consensus </w:t>
            </w:r>
            <w:r w:rsidR="00B90529">
              <w:rPr>
                <w:rFonts w:ascii="Calibri" w:hAnsi="Calibri" w:cs="Calibri"/>
                <w:szCs w:val="24"/>
              </w:rPr>
              <w:t xml:space="preserve">cannot be reached </w:t>
            </w:r>
            <w:r w:rsidR="00261161">
              <w:rPr>
                <w:rFonts w:ascii="Calibri" w:hAnsi="Calibri" w:cs="Calibri"/>
                <w:szCs w:val="24"/>
              </w:rPr>
              <w:t>within the required</w:t>
            </w:r>
            <w:r w:rsidRPr="004523BD">
              <w:rPr>
                <w:rFonts w:ascii="Calibri" w:hAnsi="Calibri" w:cs="Calibri"/>
                <w:szCs w:val="24"/>
              </w:rPr>
              <w:t xml:space="preserve"> timeframe,</w:t>
            </w:r>
            <w:r w:rsidR="00261161">
              <w:rPr>
                <w:rFonts w:ascii="Calibri" w:hAnsi="Calibri" w:cs="Calibri"/>
                <w:szCs w:val="24"/>
              </w:rPr>
              <w:t xml:space="preserve"> alternatives may include </w:t>
            </w:r>
            <w:r w:rsidR="00C13E07" w:rsidRPr="004523BD">
              <w:rPr>
                <w:rFonts w:ascii="Calibri" w:hAnsi="Calibri" w:cs="Calibri"/>
                <w:szCs w:val="24"/>
              </w:rPr>
              <w:t xml:space="preserve">majority vote, </w:t>
            </w:r>
            <w:r w:rsidR="00A76D1F" w:rsidRPr="004523BD">
              <w:rPr>
                <w:rFonts w:ascii="Calibri" w:hAnsi="Calibri" w:cs="Calibri"/>
                <w:szCs w:val="24"/>
              </w:rPr>
              <w:t>out of session</w:t>
            </w:r>
            <w:r w:rsidR="000D303D" w:rsidRPr="004523BD">
              <w:rPr>
                <w:rFonts w:ascii="Calibri" w:hAnsi="Calibri" w:cs="Calibri"/>
                <w:szCs w:val="24"/>
              </w:rPr>
              <w:t xml:space="preserve"> review</w:t>
            </w:r>
            <w:r w:rsidR="00A76D1F" w:rsidRPr="004523BD">
              <w:rPr>
                <w:rFonts w:ascii="Calibri" w:hAnsi="Calibri" w:cs="Calibri"/>
                <w:szCs w:val="24"/>
              </w:rPr>
              <w:t xml:space="preserve">, </w:t>
            </w:r>
            <w:r w:rsidR="00C703A5" w:rsidRPr="004523BD">
              <w:rPr>
                <w:rFonts w:ascii="Calibri" w:hAnsi="Calibri" w:cs="Calibri"/>
                <w:szCs w:val="24"/>
              </w:rPr>
              <w:t xml:space="preserve">dedicated </w:t>
            </w:r>
            <w:r w:rsidR="008036C5" w:rsidRPr="004523BD">
              <w:rPr>
                <w:rFonts w:ascii="Calibri" w:hAnsi="Calibri" w:cs="Calibri"/>
                <w:szCs w:val="24"/>
              </w:rPr>
              <w:t>jurisdictional</w:t>
            </w:r>
            <w:r w:rsidR="00C703A5" w:rsidRPr="004523BD">
              <w:rPr>
                <w:rFonts w:ascii="Calibri" w:hAnsi="Calibri" w:cs="Calibri"/>
                <w:szCs w:val="24"/>
              </w:rPr>
              <w:t xml:space="preserve"> discussion, Chair </w:t>
            </w:r>
            <w:r w:rsidR="0051421D" w:rsidRPr="004523BD">
              <w:rPr>
                <w:rFonts w:ascii="Calibri" w:hAnsi="Calibri" w:cs="Calibri"/>
                <w:szCs w:val="24"/>
              </w:rPr>
              <w:t>decision,</w:t>
            </w:r>
            <w:r w:rsidR="00C703A5" w:rsidRPr="004523BD">
              <w:rPr>
                <w:rFonts w:ascii="Calibri" w:hAnsi="Calibri" w:cs="Calibri"/>
                <w:szCs w:val="24"/>
              </w:rPr>
              <w:t xml:space="preserve"> or escalation to </w:t>
            </w:r>
            <w:r w:rsidR="008036C5" w:rsidRPr="004523BD">
              <w:rPr>
                <w:rFonts w:ascii="Calibri" w:hAnsi="Calibri" w:cs="Calibri"/>
                <w:szCs w:val="24"/>
              </w:rPr>
              <w:t>CDNA</w:t>
            </w:r>
            <w:r w:rsidR="0051421D" w:rsidRPr="004523BD">
              <w:rPr>
                <w:rFonts w:ascii="Calibri" w:hAnsi="Calibri" w:cs="Calibri"/>
                <w:szCs w:val="24"/>
              </w:rPr>
              <w:t xml:space="preserve"> for consideration</w:t>
            </w:r>
            <w:r w:rsidR="00C13E07" w:rsidRPr="004523BD">
              <w:rPr>
                <w:rFonts w:ascii="Calibri" w:hAnsi="Calibri" w:cs="Calibri"/>
                <w:szCs w:val="24"/>
              </w:rPr>
              <w:t xml:space="preserve">. Decisions agreed by the majority should not commit non-agreeing jurisdictions to a </w:t>
            </w:r>
            <w:r w:rsidR="00A7572B" w:rsidRPr="004523BD">
              <w:rPr>
                <w:rFonts w:ascii="Calibri" w:hAnsi="Calibri" w:cs="Calibri"/>
                <w:szCs w:val="24"/>
              </w:rPr>
              <w:t xml:space="preserve">specific </w:t>
            </w:r>
            <w:r w:rsidR="00C13E07" w:rsidRPr="004523BD">
              <w:rPr>
                <w:rFonts w:ascii="Calibri" w:hAnsi="Calibri" w:cs="Calibri"/>
                <w:szCs w:val="24"/>
              </w:rPr>
              <w:t>course of action</w:t>
            </w:r>
            <w:r w:rsidR="00A7572B" w:rsidRPr="004523BD">
              <w:rPr>
                <w:rFonts w:ascii="Calibri" w:hAnsi="Calibri" w:cs="Calibri"/>
                <w:szCs w:val="24"/>
              </w:rPr>
              <w:t xml:space="preserve"> without acknowledgement.  </w:t>
            </w:r>
          </w:p>
          <w:p w14:paraId="2F4F042E" w14:textId="0D843254" w:rsidR="008F7A85" w:rsidRDefault="00A7572B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>Where a vote is required,</w:t>
            </w:r>
            <w:r w:rsidR="00204AEE" w:rsidRPr="004523BD">
              <w:rPr>
                <w:rFonts w:ascii="Calibri" w:hAnsi="Calibri" w:cs="Calibri"/>
                <w:szCs w:val="24"/>
              </w:rPr>
              <w:t xml:space="preserve"> only jurisdictional members are entitled to vote</w:t>
            </w:r>
            <w:r w:rsidR="008F7A85">
              <w:rPr>
                <w:rFonts w:ascii="Calibri" w:hAnsi="Calibri" w:cs="Calibri"/>
                <w:szCs w:val="24"/>
              </w:rPr>
              <w:t xml:space="preserve">, though they </w:t>
            </w:r>
            <w:r w:rsidR="00DB31B9" w:rsidRPr="004523BD">
              <w:rPr>
                <w:rFonts w:ascii="Calibri" w:hAnsi="Calibri" w:cs="Calibri"/>
                <w:szCs w:val="24"/>
              </w:rPr>
              <w:t>should consider the advice provided by non-voting members.</w:t>
            </w:r>
          </w:p>
          <w:p w14:paraId="6C9165D8" w14:textId="77777777" w:rsidR="008F7A85" w:rsidRDefault="008F7A85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NAMAC advice will not be considered national policy until endorsed by CDNA and/or AHPC as appropriate</w:t>
            </w:r>
          </w:p>
          <w:p w14:paraId="3ADD252C" w14:textId="3607B1E6" w:rsidR="008F7A85" w:rsidRPr="00325906" w:rsidRDefault="008F7A85" w:rsidP="009E7515">
            <w:pPr>
              <w:spacing w:before="120"/>
              <w:rPr>
                <w:rFonts w:ascii="Calibri" w:hAnsi="Calibri" w:cs="Calibri"/>
                <w:szCs w:val="24"/>
                <w:u w:val="single"/>
              </w:rPr>
            </w:pPr>
            <w:r w:rsidRPr="00325906">
              <w:rPr>
                <w:rFonts w:ascii="Calibri" w:hAnsi="Calibri" w:cs="Calibri"/>
                <w:szCs w:val="24"/>
                <w:u w:val="single"/>
              </w:rPr>
              <w:t xml:space="preserve">Provision of advice </w:t>
            </w:r>
          </w:p>
          <w:p w14:paraId="6F8DC566" w14:textId="77777777" w:rsidR="008F7A85" w:rsidRDefault="008F7A85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The Chair’s agreement must be sought before proxies, observers or guest attend. Guest will leave once their item concludes and will not participate in committee business</w:t>
            </w:r>
          </w:p>
          <w:p w14:paraId="085189D5" w14:textId="77777777" w:rsidR="008F7A85" w:rsidRDefault="008F7A85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Advice to external agencies and organisations must follow appropriate reporting channels, i.e. through CDNA to AHPC where applicable</w:t>
            </w:r>
          </w:p>
          <w:p w14:paraId="2B4CE503" w14:textId="7E563420" w:rsidR="00667BCD" w:rsidRPr="004523BD" w:rsidRDefault="008F7A85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If consensus cannot be reached on an item in a timely manner, the Chair will refer the matter to CDNA for consideration. </w:t>
            </w:r>
            <w:r w:rsidR="00DB31B9" w:rsidRPr="004523BD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20739" w:rsidRPr="007F4A2D" w14:paraId="0482F70A" w14:textId="77777777" w:rsidTr="1D7D4225">
        <w:trPr>
          <w:jc w:val="center"/>
        </w:trPr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1849B"/>
          </w:tcPr>
          <w:p w14:paraId="03A1D478" w14:textId="77777777" w:rsidR="00D20739" w:rsidRPr="007F4A2D" w:rsidRDefault="00D20739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lastRenderedPageBreak/>
              <w:br w:type="page"/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Scope of responsibility</w:t>
            </w:r>
          </w:p>
        </w:tc>
        <w:tc>
          <w:tcPr>
            <w:tcW w:w="8652" w:type="dxa"/>
          </w:tcPr>
          <w:p w14:paraId="1F7C7835" w14:textId="38102765" w:rsidR="00E008F3" w:rsidRPr="00325906" w:rsidRDefault="00C764B2" w:rsidP="00325906">
            <w:pPr>
              <w:pStyle w:val="Default"/>
              <w:spacing w:before="120" w:after="120"/>
              <w:jc w:val="both"/>
              <w:rPr>
                <w:rFonts w:ascii="Calibri" w:hAnsi="Calibri" w:cs="Calibri"/>
                <w:iCs/>
              </w:rPr>
            </w:pPr>
            <w:r w:rsidRPr="00325906">
              <w:rPr>
                <w:rFonts w:ascii="Calibri" w:hAnsi="Calibri" w:cs="Calibri"/>
                <w:iCs/>
                <w14:ligatures w14:val="standardContextual"/>
              </w:rPr>
              <w:t xml:space="preserve">NAMAC provides policy and public health </w:t>
            </w:r>
            <w:r w:rsidR="009B1DB0" w:rsidRPr="00325906">
              <w:rPr>
                <w:rFonts w:ascii="Calibri" w:hAnsi="Calibri" w:cs="Calibri"/>
                <w:iCs/>
                <w14:ligatures w14:val="standardContextual"/>
              </w:rPr>
              <w:t>advice</w:t>
            </w:r>
            <w:r w:rsidR="00E008F3" w:rsidRPr="00325906">
              <w:rPr>
                <w:rFonts w:ascii="Calibri" w:hAnsi="Calibri" w:cs="Calibri"/>
                <w:iCs/>
                <w14:ligatures w14:val="standardContextual"/>
              </w:rPr>
              <w:t xml:space="preserve"> to the CDNA and its relevant </w:t>
            </w:r>
            <w:r>
              <w:rPr>
                <w:rFonts w:ascii="Calibri" w:hAnsi="Calibri" w:cs="Calibri"/>
                <w:iCs/>
              </w:rPr>
              <w:t xml:space="preserve">subcommittees </w:t>
            </w:r>
            <w:r w:rsidRPr="00325906">
              <w:rPr>
                <w:rFonts w:ascii="Calibri" w:hAnsi="Calibri" w:cs="Calibri"/>
                <w:iCs/>
                <w14:ligatures w14:val="standardContextual"/>
              </w:rPr>
              <w:t xml:space="preserve">on surveillance, strategic policy development and outbreak management for </w:t>
            </w:r>
            <w:r w:rsidR="002102C7" w:rsidRPr="002102C7">
              <w:rPr>
                <w:rFonts w:ascii="Calibri" w:hAnsi="Calibri" w:cs="Calibri"/>
                <w:iCs/>
              </w:rPr>
              <w:t>arboviruses, malaria</w:t>
            </w:r>
            <w:r w:rsidRPr="00325906">
              <w:rPr>
                <w:rFonts w:ascii="Calibri" w:hAnsi="Calibri" w:cs="Calibri"/>
                <w:iCs/>
                <w14:ligatures w14:val="standardContextual"/>
              </w:rPr>
              <w:t>, and other vector-borne diseases of national significance.</w:t>
            </w:r>
          </w:p>
          <w:p w14:paraId="16C3EA88" w14:textId="13135800" w:rsidR="00E823D2" w:rsidRPr="00325906" w:rsidRDefault="00E823D2" w:rsidP="009E7515">
            <w:pPr>
              <w:shd w:val="clear" w:color="auto" w:fill="FFFFFF" w:themeFill="background1"/>
              <w:spacing w:before="120"/>
              <w:ind w:left="720" w:hanging="720"/>
              <w:rPr>
                <w:rFonts w:ascii="Calibri" w:eastAsia="Times New Roman" w:hAnsi="Calibri" w:cs="Calibri"/>
                <w:color w:val="222222"/>
                <w:szCs w:val="24"/>
                <w:u w:val="single"/>
                <w:lang w:eastAsia="en-AU"/>
              </w:rPr>
            </w:pPr>
            <w:r w:rsidRPr="00325906">
              <w:rPr>
                <w:rFonts w:ascii="Calibri" w:eastAsia="Times New Roman" w:hAnsi="Calibri" w:cs="Calibri"/>
                <w:color w:val="222222"/>
                <w:szCs w:val="24"/>
                <w:u w:val="single"/>
                <w:lang w:eastAsia="en-AU"/>
              </w:rPr>
              <w:t>Surveillance and Reporting</w:t>
            </w:r>
          </w:p>
          <w:p w14:paraId="051C47F9" w14:textId="2472B1FF" w:rsidR="00E008F3" w:rsidRPr="00325906" w:rsidRDefault="00C764B2" w:rsidP="00325906">
            <w:pPr>
              <w:spacing w:before="120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Advise on surveillance </w:t>
            </w:r>
            <w:r w:rsidR="00E008F3"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and reporting systems </w:t>
            </w:r>
            <w:r w:rsidR="002102C7"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across humans, vectors and animals including minimum state and territory data requirements. </w:t>
            </w:r>
          </w:p>
          <w:p w14:paraId="2901D035" w14:textId="629EBDE7" w:rsidR="00E008F3" w:rsidRPr="00325906" w:rsidRDefault="00360AA8" w:rsidP="003259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C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>oordinat</w:t>
            </w:r>
            <w:r w:rsidR="00E823D2" w:rsidRPr="00325906">
              <w:rPr>
                <w:rFonts w:ascii="Calibri" w:eastAsia="Calibri" w:hAnsi="Calibri" w:cs="Calibri"/>
                <w:color w:val="000000"/>
                <w:szCs w:val="24"/>
              </w:rPr>
              <w:t>e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surveillance </w:t>
            </w:r>
            <w:r w:rsidR="006130EB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activities </w:t>
            </w:r>
            <w:r w:rsidR="00C764B2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aligned with 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>national priorities</w:t>
            </w:r>
            <w:r w:rsidR="00C764B2" w:rsidRPr="00325906"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  <w:p w14:paraId="459D564C" w14:textId="2C45CCBE" w:rsidR="00E008F3" w:rsidRPr="00325906" w:rsidRDefault="006130EB" w:rsidP="003259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I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>ntegration of jurisdiction</w:t>
            </w:r>
            <w:r w:rsidR="00C764B2" w:rsidRPr="00325906">
              <w:rPr>
                <w:rFonts w:ascii="Calibri" w:eastAsia="Calibri" w:hAnsi="Calibri" w:cs="Calibri"/>
                <w:color w:val="000000"/>
                <w:szCs w:val="24"/>
              </w:rPr>
              <w:t>al outcomes</w:t>
            </w:r>
            <w:r w:rsidR="00C764B2" w:rsidRPr="00325906" w:rsidDel="00C764B2"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>to inform national surveillance priorities</w:t>
            </w: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  <w:p w14:paraId="16AB2B08" w14:textId="36DB6B76" w:rsidR="00C764B2" w:rsidRPr="00C764B2" w:rsidRDefault="00C764B2" w:rsidP="003259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Promote One</w:t>
            </w: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Health</w:t>
            </w:r>
            <w:r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linkages across </w:t>
            </w: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animal, human and environmental health. </w:t>
            </w:r>
          </w:p>
          <w:p w14:paraId="0C3CA624" w14:textId="0F646EDD" w:rsidR="00E823D2" w:rsidRPr="00325906" w:rsidRDefault="00E823D2" w:rsidP="00325906">
            <w:pPr>
              <w:shd w:val="clear" w:color="auto" w:fill="FFFFFF"/>
              <w:spacing w:before="120"/>
              <w:jc w:val="left"/>
              <w:rPr>
                <w:rFonts w:ascii="Calibri" w:eastAsia="Times New Roman" w:hAnsi="Calibri" w:cs="Calibri"/>
                <w:color w:val="222222"/>
                <w:szCs w:val="24"/>
                <w:u w:val="single"/>
                <w:lang w:eastAsia="en-AU"/>
              </w:rPr>
            </w:pPr>
            <w:r w:rsidRPr="00325906">
              <w:rPr>
                <w:rFonts w:ascii="Calibri" w:eastAsia="Times New Roman" w:hAnsi="Calibri" w:cs="Calibri"/>
                <w:color w:val="222222"/>
                <w:szCs w:val="24"/>
                <w:u w:val="single"/>
                <w:lang w:eastAsia="en-AU"/>
              </w:rPr>
              <w:t>Strategic Policy Development</w:t>
            </w:r>
          </w:p>
          <w:p w14:paraId="400481AB" w14:textId="7167E10E" w:rsidR="00E008F3" w:rsidRPr="00325906" w:rsidRDefault="002102C7" w:rsidP="00325906">
            <w:pPr>
              <w:spacing w:before="120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Provide policy and public health advice on national strategies for man</w:t>
            </w:r>
            <w:r w:rsidR="00E008F3"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a</w:t>
            </w:r>
            <w:r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ging </w:t>
            </w:r>
            <w:r w:rsidR="001335F7"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vectors</w:t>
            </w:r>
            <w:r w:rsidR="00943055"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and</w:t>
            </w:r>
            <w:r w:rsidR="00AE4F82"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arthropods of public health </w:t>
            </w:r>
            <w:r w:rsidR="00C83895"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importance, </w:t>
            </w:r>
            <w:r w:rsidR="000766B8"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including </w:t>
            </w:r>
            <w:r w:rsidR="00E008F3"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arbovirus</w:t>
            </w:r>
            <w:r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and malaria. This advice includes</w:t>
            </w:r>
            <w:r w:rsidR="00E008F3" w:rsidRPr="00325906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:</w:t>
            </w:r>
          </w:p>
          <w:p w14:paraId="07EF51B8" w14:textId="3931BEC3" w:rsidR="00E008F3" w:rsidRPr="00325906" w:rsidRDefault="00337584" w:rsidP="003259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i</w:t>
            </w:r>
            <w:r w:rsidR="00C21848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nforming </w:t>
            </w:r>
            <w:r w:rsidR="002412F0" w:rsidRPr="00325906">
              <w:rPr>
                <w:rFonts w:ascii="Calibri" w:eastAsia="Calibri" w:hAnsi="Calibri" w:cs="Calibri"/>
                <w:color w:val="000000"/>
                <w:szCs w:val="24"/>
              </w:rPr>
              <w:t>the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national</w:t>
            </w:r>
            <w:r w:rsidR="006130EB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outbreak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  <w:r w:rsidR="00FE064D" w:rsidRPr="00325906">
              <w:rPr>
                <w:rFonts w:ascii="Calibri" w:eastAsia="Calibri" w:hAnsi="Calibri" w:cs="Calibri"/>
                <w:color w:val="000000"/>
                <w:szCs w:val="24"/>
              </w:rPr>
              <w:t>response in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association with jurisdictional responsibilities</w:t>
            </w:r>
          </w:p>
          <w:p w14:paraId="031EB619" w14:textId="44700F3D" w:rsidR="00E008F3" w:rsidRPr="00325906" w:rsidRDefault="007842D3" w:rsidP="003259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identifying 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>ongoing research requirements and outbreak investigation</w:t>
            </w:r>
          </w:p>
          <w:p w14:paraId="4C3C7DAD" w14:textId="46FC53B1" w:rsidR="00E008F3" w:rsidRPr="00325906" w:rsidRDefault="00E008F3" w:rsidP="003259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establishing lines of communications with </w:t>
            </w:r>
            <w:r w:rsidR="000766B8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relevant </w:t>
            </w: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interested parties working in the arbovirus and malaria sector</w:t>
            </w:r>
          </w:p>
          <w:p w14:paraId="47AE3037" w14:textId="1A056D2E" w:rsidR="00E008F3" w:rsidRPr="004523BD" w:rsidRDefault="00E008F3" w:rsidP="003259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advi</w:t>
            </w:r>
            <w:r w:rsidR="002102C7" w:rsidRPr="00325906">
              <w:rPr>
                <w:rFonts w:ascii="Calibri" w:eastAsia="Calibri" w:hAnsi="Calibri" w:cs="Calibri"/>
                <w:color w:val="000000"/>
                <w:szCs w:val="24"/>
              </w:rPr>
              <w:t>sing</w:t>
            </w: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on</w:t>
            </w: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other arthropod pests of humans </w:t>
            </w:r>
          </w:p>
          <w:p w14:paraId="056CC380" w14:textId="5D3A4544" w:rsidR="00E823D2" w:rsidRPr="00325906" w:rsidRDefault="00E823D2" w:rsidP="00325906">
            <w:pPr>
              <w:shd w:val="clear" w:color="auto" w:fill="FFFFFF"/>
              <w:spacing w:before="120"/>
              <w:jc w:val="left"/>
              <w:rPr>
                <w:rFonts w:ascii="Calibri" w:eastAsia="Times New Roman" w:hAnsi="Calibri" w:cs="Calibri"/>
                <w:color w:val="222222"/>
                <w:szCs w:val="24"/>
                <w:u w:val="single"/>
                <w:lang w:eastAsia="en-AU"/>
              </w:rPr>
            </w:pPr>
            <w:r w:rsidRPr="00325906">
              <w:rPr>
                <w:rFonts w:ascii="Calibri" w:eastAsia="Times New Roman" w:hAnsi="Calibri" w:cs="Calibri"/>
                <w:color w:val="222222"/>
                <w:szCs w:val="24"/>
                <w:u w:val="single"/>
                <w:lang w:eastAsia="en-AU"/>
              </w:rPr>
              <w:t>Expert Advice and Outbreak Management</w:t>
            </w:r>
          </w:p>
          <w:p w14:paraId="427C4B98" w14:textId="1414C56F" w:rsidR="00E008F3" w:rsidRPr="00325906" w:rsidRDefault="00E008F3" w:rsidP="003259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Provide</w:t>
            </w:r>
            <w:r w:rsidR="002102C7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expert technical advice </w:t>
            </w:r>
            <w:proofErr w:type="gramStart"/>
            <w:r w:rsidR="002102C7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on </w:t>
            </w: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arboviruses</w:t>
            </w:r>
            <w:proofErr w:type="gramEnd"/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, </w:t>
            </w:r>
            <w:r w:rsidR="002102C7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malaria, and other </w:t>
            </w: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vector-borne</w:t>
            </w:r>
            <w:r w:rsidR="002102C7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pathogens to </w:t>
            </w:r>
            <w:r w:rsidR="002102C7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support </w:t>
            </w: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detection, management, and</w:t>
            </w:r>
            <w:r w:rsidR="002102C7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outbreak</w:t>
            </w: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control</w:t>
            </w:r>
            <w:r w:rsidR="002102C7" w:rsidRPr="00325906"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  <w:p w14:paraId="2BA32AAF" w14:textId="14707FD8" w:rsidR="00E008F3" w:rsidRPr="00325906" w:rsidRDefault="002102C7" w:rsidP="003259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Assess and advise on 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>risk</w:t>
            </w: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s from endemic,</w:t>
            </w:r>
            <w:r w:rsidR="00E008F3" w:rsidRPr="00325906">
              <w:rPr>
                <w:rFonts w:ascii="Calibri" w:eastAsia="Calibri" w:hAnsi="Calibri" w:cs="Calibri"/>
                <w:color w:val="000000"/>
                <w:szCs w:val="24"/>
              </w:rPr>
              <w:t xml:space="preserve"> exotic or invasive vector species/vector-borne pathogens.</w:t>
            </w:r>
          </w:p>
          <w:p w14:paraId="7260BEC1" w14:textId="07692B5D" w:rsidR="00CB2A07" w:rsidRPr="00E67EB8" w:rsidRDefault="00E008F3" w:rsidP="0032590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</w:pPr>
            <w:r w:rsidRPr="00325906">
              <w:rPr>
                <w:rFonts w:ascii="Calibri" w:eastAsia="Calibri" w:hAnsi="Calibri" w:cs="Calibri"/>
                <w:color w:val="000000"/>
                <w:szCs w:val="24"/>
              </w:rPr>
              <w:t>Coordinate</w:t>
            </w: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outbreak </w:t>
            </w:r>
            <w:r w:rsidR="002102C7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response</w:t>
            </w: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</w:t>
            </w:r>
            <w:r w:rsidR="002102C7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>activities as required.</w:t>
            </w:r>
            <w:r w:rsidRPr="004523BD">
              <w:rPr>
                <w:rFonts w:ascii="Calibri" w:eastAsia="Times New Roman" w:hAnsi="Calibri" w:cs="Calibri"/>
                <w:color w:val="222222"/>
                <w:szCs w:val="24"/>
                <w:lang w:eastAsia="en-AU"/>
              </w:rPr>
              <w:t xml:space="preserve"> </w:t>
            </w:r>
          </w:p>
        </w:tc>
      </w:tr>
      <w:tr w:rsidR="00D20739" w:rsidRPr="007F4A2D" w14:paraId="4C7B51B3" w14:textId="77777777" w:rsidTr="1D7D4225">
        <w:trPr>
          <w:jc w:val="center"/>
        </w:trPr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1849B"/>
          </w:tcPr>
          <w:p w14:paraId="31885A7B" w14:textId="77777777" w:rsidR="00D20739" w:rsidRDefault="00D20739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Review</w:t>
            </w:r>
          </w:p>
        </w:tc>
        <w:tc>
          <w:tcPr>
            <w:tcW w:w="8652" w:type="dxa"/>
          </w:tcPr>
          <w:p w14:paraId="5703EBD6" w14:textId="0FCCFDCC" w:rsidR="004812D7" w:rsidRPr="004523BD" w:rsidRDefault="008F64B2" w:rsidP="009E7515">
            <w:pPr>
              <w:tabs>
                <w:tab w:val="left" w:pos="1112"/>
              </w:tabs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 xml:space="preserve">This Charter will remain in force until otherwise agreed by CDNA. </w:t>
            </w:r>
            <w:r w:rsidR="00CF2596" w:rsidRPr="004523BD">
              <w:rPr>
                <w:rFonts w:ascii="Calibri" w:hAnsi="Calibri" w:cs="Calibri"/>
                <w:szCs w:val="24"/>
              </w:rPr>
              <w:t>Regular review of this Charter should occur</w:t>
            </w:r>
            <w:r w:rsidR="00F1661E" w:rsidRPr="004523BD">
              <w:rPr>
                <w:rFonts w:ascii="Calibri" w:hAnsi="Calibri" w:cs="Calibri"/>
                <w:szCs w:val="24"/>
              </w:rPr>
              <w:t xml:space="preserve"> to ensure accuracy and </w:t>
            </w:r>
            <w:r w:rsidR="005679C7" w:rsidRPr="004523BD">
              <w:rPr>
                <w:rFonts w:ascii="Calibri" w:hAnsi="Calibri" w:cs="Calibri"/>
                <w:szCs w:val="24"/>
              </w:rPr>
              <w:t>relevance</w:t>
            </w:r>
            <w:r w:rsidR="00F1661E" w:rsidRPr="004523BD">
              <w:rPr>
                <w:rFonts w:ascii="Calibri" w:hAnsi="Calibri" w:cs="Calibri"/>
                <w:szCs w:val="24"/>
              </w:rPr>
              <w:t xml:space="preserve">. </w:t>
            </w:r>
          </w:p>
        </w:tc>
      </w:tr>
      <w:tr w:rsidR="00D20739" w:rsidRPr="007F4A2D" w14:paraId="54FADBC6" w14:textId="77777777" w:rsidTr="1D7D4225">
        <w:trPr>
          <w:jc w:val="center"/>
        </w:trPr>
        <w:tc>
          <w:tcPr>
            <w:tcW w:w="226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1849B"/>
          </w:tcPr>
          <w:p w14:paraId="31FA1B84" w14:textId="77777777" w:rsidR="00D20739" w:rsidRDefault="00D20739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Record keeping and communications</w:t>
            </w:r>
          </w:p>
        </w:tc>
        <w:tc>
          <w:tcPr>
            <w:tcW w:w="8652" w:type="dxa"/>
          </w:tcPr>
          <w:p w14:paraId="62FE6879" w14:textId="6A6F6FFE" w:rsidR="004F194B" w:rsidRPr="004523BD" w:rsidRDefault="00C26E57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r w:rsidRPr="004523BD">
              <w:rPr>
                <w:rFonts w:ascii="Calibri" w:hAnsi="Calibri" w:cs="Calibri"/>
                <w:szCs w:val="24"/>
              </w:rPr>
              <w:t xml:space="preserve">Outcomes, including decisions, actions and key issues/commentary arising from the meeting, will be documented in the meeting minutes by </w:t>
            </w:r>
            <w:r w:rsidR="0077149F" w:rsidRPr="004523BD">
              <w:rPr>
                <w:rFonts w:ascii="Calibri" w:hAnsi="Calibri" w:cs="Calibri"/>
                <w:szCs w:val="24"/>
              </w:rPr>
              <w:t>NAMAC</w:t>
            </w:r>
            <w:r w:rsidRPr="004523BD">
              <w:rPr>
                <w:rFonts w:ascii="Calibri" w:hAnsi="Calibri" w:cs="Calibri"/>
                <w:szCs w:val="24"/>
              </w:rPr>
              <w:t xml:space="preserve"> Secretariat.</w:t>
            </w:r>
            <w:r w:rsidR="00EB52E0" w:rsidRPr="004523BD">
              <w:rPr>
                <w:rFonts w:ascii="Calibri" w:hAnsi="Calibri" w:cs="Calibri"/>
                <w:szCs w:val="24"/>
              </w:rPr>
              <w:t xml:space="preserve"> Minutes will be circulated out of session for </w:t>
            </w:r>
            <w:r w:rsidR="00265D60" w:rsidRPr="004523BD">
              <w:rPr>
                <w:rFonts w:ascii="Calibri" w:hAnsi="Calibri" w:cs="Calibri"/>
                <w:szCs w:val="24"/>
              </w:rPr>
              <w:t>endorsement and</w:t>
            </w:r>
            <w:r w:rsidR="00EB52E0" w:rsidRPr="004523BD">
              <w:rPr>
                <w:rFonts w:ascii="Calibri" w:hAnsi="Calibri" w:cs="Calibri"/>
                <w:szCs w:val="24"/>
              </w:rPr>
              <w:t xml:space="preserve"> stored on the </w:t>
            </w:r>
            <w:r w:rsidR="0077149F" w:rsidRPr="004523BD">
              <w:rPr>
                <w:rFonts w:ascii="Calibri" w:hAnsi="Calibri" w:cs="Calibri"/>
                <w:szCs w:val="24"/>
              </w:rPr>
              <w:t>NAMAC</w:t>
            </w:r>
            <w:r w:rsidR="00EB52E0" w:rsidRPr="004523BD">
              <w:rPr>
                <w:rFonts w:ascii="Calibri" w:hAnsi="Calibri" w:cs="Calibri"/>
                <w:szCs w:val="24"/>
              </w:rPr>
              <w:t xml:space="preserve"> SharePoint site for member access</w:t>
            </w:r>
            <w:r w:rsidR="00836A82" w:rsidRPr="004523BD">
              <w:rPr>
                <w:rFonts w:ascii="Calibri" w:hAnsi="Calibri" w:cs="Calibri"/>
                <w:szCs w:val="24"/>
              </w:rPr>
              <w:t xml:space="preserve">. Endorsed minutes will be stored as per official </w:t>
            </w:r>
            <w:r w:rsidR="00C71340" w:rsidRPr="004523BD">
              <w:rPr>
                <w:rFonts w:ascii="Calibri" w:hAnsi="Calibri" w:cs="Calibri"/>
                <w:szCs w:val="24"/>
              </w:rPr>
              <w:t>records management</w:t>
            </w:r>
            <w:r w:rsidR="00836A82" w:rsidRPr="004523BD">
              <w:rPr>
                <w:rFonts w:ascii="Calibri" w:hAnsi="Calibri" w:cs="Calibri"/>
                <w:szCs w:val="24"/>
              </w:rPr>
              <w:t xml:space="preserve"> </w:t>
            </w:r>
            <w:r w:rsidR="00CA3F9D" w:rsidRPr="004523BD">
              <w:rPr>
                <w:rFonts w:ascii="Calibri" w:hAnsi="Calibri" w:cs="Calibri"/>
                <w:szCs w:val="24"/>
              </w:rPr>
              <w:t xml:space="preserve">for the Department of Health, Disability and Ageing. </w:t>
            </w:r>
          </w:p>
        </w:tc>
      </w:tr>
      <w:tr w:rsidR="00D20739" w:rsidRPr="007F4A2D" w14:paraId="7892AF77" w14:textId="77777777" w:rsidTr="1D7D4225">
        <w:trPr>
          <w:trHeight w:val="879"/>
          <w:jc w:val="center"/>
        </w:trPr>
        <w:tc>
          <w:tcPr>
            <w:tcW w:w="2263" w:type="dxa"/>
            <w:tcBorders>
              <w:top w:val="single" w:sz="4" w:space="0" w:color="FFFFFF" w:themeColor="background1"/>
            </w:tcBorders>
            <w:shd w:val="clear" w:color="auto" w:fill="31849B"/>
          </w:tcPr>
          <w:p w14:paraId="36CE1166" w14:textId="77777777" w:rsidR="00D20739" w:rsidRDefault="00D20739" w:rsidP="009E7515">
            <w:pPr>
              <w:spacing w:before="120"/>
              <w:jc w:val="left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Supporting documents</w:t>
            </w:r>
          </w:p>
        </w:tc>
        <w:tc>
          <w:tcPr>
            <w:tcW w:w="8652" w:type="dxa"/>
          </w:tcPr>
          <w:p w14:paraId="63A8727D" w14:textId="59686496" w:rsidR="004D2437" w:rsidRPr="004523BD" w:rsidRDefault="003233FA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hyperlink r:id="rId12" w:history="1">
              <w:r>
                <w:rPr>
                  <w:rStyle w:val="Hyperlink"/>
                  <w:rFonts w:ascii="Calibri" w:hAnsi="Calibri" w:cs="Calibri"/>
                  <w:szCs w:val="24"/>
                </w:rPr>
                <w:t>N</w:t>
              </w:r>
              <w:r>
                <w:rPr>
                  <w:rStyle w:val="Hyperlink"/>
                  <w:szCs w:val="24"/>
                </w:rPr>
                <w:t>AMAC</w:t>
              </w:r>
              <w:r>
                <w:rPr>
                  <w:rStyle w:val="Hyperlink"/>
                  <w:rFonts w:ascii="Calibri" w:hAnsi="Calibri" w:cs="Calibri"/>
                  <w:szCs w:val="24"/>
                </w:rPr>
                <w:t xml:space="preserve"> </w:t>
              </w:r>
              <w:r w:rsidR="004D2437" w:rsidRPr="004523BD">
                <w:rPr>
                  <w:rStyle w:val="Hyperlink"/>
                  <w:rFonts w:ascii="Calibri" w:hAnsi="Calibri" w:cs="Calibri"/>
                  <w:szCs w:val="24"/>
                </w:rPr>
                <w:t>Membership List</w:t>
              </w:r>
            </w:hyperlink>
          </w:p>
          <w:p w14:paraId="1A7E410F" w14:textId="7A9B9AC2" w:rsidR="009E7C04" w:rsidRPr="004523BD" w:rsidRDefault="00682780" w:rsidP="009E7515">
            <w:pPr>
              <w:spacing w:before="120"/>
              <w:rPr>
                <w:rFonts w:ascii="Calibri" w:hAnsi="Calibri" w:cs="Calibri"/>
                <w:szCs w:val="24"/>
              </w:rPr>
            </w:pPr>
            <w:hyperlink r:id="rId13" w:history="1">
              <w:r w:rsidRPr="004523BD">
                <w:rPr>
                  <w:rStyle w:val="Hyperlink"/>
                  <w:rFonts w:ascii="Calibri" w:hAnsi="Calibri" w:cs="Calibri"/>
                  <w:szCs w:val="24"/>
                  <w14:ligatures w14:val="standardContextual"/>
                </w:rPr>
                <w:t>Guidance for Intergovernmental Meetings</w:t>
              </w:r>
            </w:hyperlink>
          </w:p>
        </w:tc>
      </w:tr>
    </w:tbl>
    <w:p w14:paraId="2E627253" w14:textId="77777777" w:rsidR="00D20739" w:rsidRDefault="00D20739" w:rsidP="00D20739"/>
    <w:p w14:paraId="11C8AB01" w14:textId="1476AA54" w:rsidR="00D20739" w:rsidRDefault="00D20739" w:rsidP="00D20739">
      <w:pPr>
        <w:spacing w:after="0"/>
        <w:ind w:left="-567"/>
        <w:rPr>
          <w:rFonts w:ascii="Calibri" w:hAnsi="Calibri" w:cs="Calibri"/>
          <w:i/>
          <w:iCs/>
        </w:rPr>
      </w:pPr>
      <w:r w:rsidRPr="00C21B5C">
        <w:rPr>
          <w:rFonts w:ascii="Calibri" w:hAnsi="Calibri" w:cs="Calibri"/>
          <w:i/>
          <w:iCs/>
        </w:rPr>
        <w:t xml:space="preserve">Document version: </w:t>
      </w:r>
      <w:r w:rsidRPr="00C21B5C">
        <w:rPr>
          <w:rFonts w:ascii="Calibri" w:hAnsi="Calibri" w:cs="Calibri"/>
          <w:i/>
          <w:iCs/>
        </w:rPr>
        <w:tab/>
      </w:r>
      <w:r w:rsidR="0087435E">
        <w:rPr>
          <w:rFonts w:ascii="Calibri" w:hAnsi="Calibri" w:cs="Calibri"/>
          <w:i/>
          <w:iCs/>
        </w:rPr>
        <w:t>v1.0</w:t>
      </w:r>
    </w:p>
    <w:p w14:paraId="709DDE17" w14:textId="38FB9DA0" w:rsidR="00D20739" w:rsidRPr="00487EB8" w:rsidRDefault="00D20739" w:rsidP="00487EB8">
      <w:pPr>
        <w:spacing w:after="0"/>
        <w:ind w:left="-567"/>
        <w:rPr>
          <w:rFonts w:ascii="Calibri" w:hAnsi="Calibri" w:cs="Calibri"/>
          <w:i/>
          <w:iCs/>
        </w:rPr>
      </w:pPr>
    </w:p>
    <w:sectPr w:rsidR="00D20739" w:rsidRPr="00487EB8" w:rsidSect="00DA3C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4874" w14:textId="77777777" w:rsidR="00CF6F53" w:rsidRDefault="00CF6F53" w:rsidP="00180CD3">
      <w:pPr>
        <w:spacing w:after="0"/>
      </w:pPr>
      <w:r>
        <w:separator/>
      </w:r>
    </w:p>
  </w:endnote>
  <w:endnote w:type="continuationSeparator" w:id="0">
    <w:p w14:paraId="3FE780C1" w14:textId="77777777" w:rsidR="00CF6F53" w:rsidRDefault="00CF6F53" w:rsidP="00180C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86E6" w14:textId="780E2C5D" w:rsidR="00180CD3" w:rsidRDefault="00180CD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C8E10C" wp14:editId="54C56D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599500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F2BD4" w14:textId="7F013F93" w:rsidR="00180CD3" w:rsidRPr="00180CD3" w:rsidRDefault="00180CD3" w:rsidP="00180C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80C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8E1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6BF2BD4" w14:textId="7F013F93" w:rsidR="00180CD3" w:rsidRPr="00180CD3" w:rsidRDefault="00180CD3" w:rsidP="00180C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80CD3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0A6F" w14:textId="53FFDB4E" w:rsidR="00180CD3" w:rsidRDefault="00180CD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8D3068" wp14:editId="24B4601B">
              <wp:simplePos x="6858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6538845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A0056" w14:textId="3C8BC3D3" w:rsidR="00180CD3" w:rsidRPr="00180CD3" w:rsidRDefault="00180CD3" w:rsidP="00180C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80C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D30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C1A0056" w14:textId="3C8BC3D3" w:rsidR="00180CD3" w:rsidRPr="00180CD3" w:rsidRDefault="00180CD3" w:rsidP="00180C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80CD3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9D9D" w14:textId="48253497" w:rsidR="00180CD3" w:rsidRDefault="00180CD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5F67FC" wp14:editId="487F84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397823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1FE39" w14:textId="18728DC7" w:rsidR="00180CD3" w:rsidRPr="00180CD3" w:rsidRDefault="00180CD3" w:rsidP="00180C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80C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F67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5B1FE39" w14:textId="18728DC7" w:rsidR="00180CD3" w:rsidRPr="00180CD3" w:rsidRDefault="00180CD3" w:rsidP="00180C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80CD3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38CC" w14:textId="77777777" w:rsidR="00CF6F53" w:rsidRDefault="00CF6F53" w:rsidP="00180CD3">
      <w:pPr>
        <w:spacing w:after="0"/>
      </w:pPr>
      <w:r>
        <w:separator/>
      </w:r>
    </w:p>
  </w:footnote>
  <w:footnote w:type="continuationSeparator" w:id="0">
    <w:p w14:paraId="3860CF79" w14:textId="77777777" w:rsidR="00CF6F53" w:rsidRDefault="00CF6F53" w:rsidP="00180C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903E" w14:textId="6153745D" w:rsidR="00180CD3" w:rsidRDefault="00180CD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A3F365" wp14:editId="17590C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701309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AFBC6" w14:textId="3AA9BAFD" w:rsidR="00180CD3" w:rsidRPr="00180CD3" w:rsidRDefault="00180CD3" w:rsidP="00180C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80C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3F3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F4AFBC6" w14:textId="3AA9BAFD" w:rsidR="00180CD3" w:rsidRPr="00180CD3" w:rsidRDefault="00180CD3" w:rsidP="00180C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80CD3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1348" w14:textId="1CE72D8B" w:rsidR="00180CD3" w:rsidRDefault="00180CD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CADC53" wp14:editId="3AD13D75">
              <wp:simplePos x="6858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564338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BBE4" w14:textId="1A26001C" w:rsidR="00180CD3" w:rsidRPr="00180CD3" w:rsidRDefault="00180CD3" w:rsidP="00180C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80C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ADC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3DA5BBE4" w14:textId="1A26001C" w:rsidR="00180CD3" w:rsidRPr="00180CD3" w:rsidRDefault="00180CD3" w:rsidP="00180C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80CD3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57C3" w14:textId="69081881" w:rsidR="00180CD3" w:rsidRDefault="00180CD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A10AF7" wp14:editId="344CD9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878122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7BEFF" w14:textId="2BA71607" w:rsidR="00180CD3" w:rsidRPr="00180CD3" w:rsidRDefault="00180CD3" w:rsidP="00180C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80C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10A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E37BEFF" w14:textId="2BA71607" w:rsidR="00180CD3" w:rsidRPr="00180CD3" w:rsidRDefault="00180CD3" w:rsidP="00180C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80CD3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E09"/>
    <w:multiLevelType w:val="hybridMultilevel"/>
    <w:tmpl w:val="4A38A1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22222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51BED"/>
    <w:multiLevelType w:val="multilevel"/>
    <w:tmpl w:val="12DAA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A445C"/>
    <w:multiLevelType w:val="hybridMultilevel"/>
    <w:tmpl w:val="66321B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90495"/>
    <w:multiLevelType w:val="multilevel"/>
    <w:tmpl w:val="1930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40370"/>
    <w:multiLevelType w:val="hybridMultilevel"/>
    <w:tmpl w:val="FE2A41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A4843"/>
    <w:multiLevelType w:val="hybridMultilevel"/>
    <w:tmpl w:val="F1749D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693E"/>
    <w:multiLevelType w:val="hybridMultilevel"/>
    <w:tmpl w:val="886035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25C98"/>
    <w:multiLevelType w:val="hybridMultilevel"/>
    <w:tmpl w:val="E7AC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061C2"/>
    <w:multiLevelType w:val="hybridMultilevel"/>
    <w:tmpl w:val="55D66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E109F"/>
    <w:multiLevelType w:val="multilevel"/>
    <w:tmpl w:val="2B2EE1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C01087"/>
    <w:multiLevelType w:val="hybridMultilevel"/>
    <w:tmpl w:val="63785B2E"/>
    <w:lvl w:ilvl="0" w:tplc="47108B8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C4391C"/>
    <w:multiLevelType w:val="hybridMultilevel"/>
    <w:tmpl w:val="BF72321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222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5629BF"/>
    <w:multiLevelType w:val="hybridMultilevel"/>
    <w:tmpl w:val="8B000C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A825CB"/>
    <w:multiLevelType w:val="hybridMultilevel"/>
    <w:tmpl w:val="7A38502A"/>
    <w:lvl w:ilvl="0" w:tplc="B3C07CDC">
      <w:start w:val="16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color w:val="2222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E7BD0"/>
    <w:multiLevelType w:val="hybridMultilevel"/>
    <w:tmpl w:val="64B83C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791039"/>
    <w:multiLevelType w:val="hybridMultilevel"/>
    <w:tmpl w:val="0D026804"/>
    <w:lvl w:ilvl="0" w:tplc="DCBCC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040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8C5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1AD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F6C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E03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32D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B365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2E6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7457D2C"/>
    <w:multiLevelType w:val="hybridMultilevel"/>
    <w:tmpl w:val="A8206F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B94128"/>
    <w:multiLevelType w:val="multilevel"/>
    <w:tmpl w:val="C5B0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226AD"/>
    <w:multiLevelType w:val="multilevel"/>
    <w:tmpl w:val="A06E08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045BCE"/>
    <w:multiLevelType w:val="hybridMultilevel"/>
    <w:tmpl w:val="5AD2B9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221A5"/>
    <w:multiLevelType w:val="multilevel"/>
    <w:tmpl w:val="02D045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AB39D8"/>
    <w:multiLevelType w:val="hybridMultilevel"/>
    <w:tmpl w:val="99CED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3608">
    <w:abstractNumId w:val="1"/>
  </w:num>
  <w:num w:numId="2" w16cid:durableId="1545294271">
    <w:abstractNumId w:val="6"/>
  </w:num>
  <w:num w:numId="3" w16cid:durableId="170684499">
    <w:abstractNumId w:val="7"/>
  </w:num>
  <w:num w:numId="4" w16cid:durableId="1307859922">
    <w:abstractNumId w:val="8"/>
  </w:num>
  <w:num w:numId="5" w16cid:durableId="248851006">
    <w:abstractNumId w:val="12"/>
  </w:num>
  <w:num w:numId="6" w16cid:durableId="783623179">
    <w:abstractNumId w:val="21"/>
  </w:num>
  <w:num w:numId="7" w16cid:durableId="1065449808">
    <w:abstractNumId w:val="14"/>
  </w:num>
  <w:num w:numId="8" w16cid:durableId="44334341">
    <w:abstractNumId w:val="19"/>
  </w:num>
  <w:num w:numId="9" w16cid:durableId="1046219974">
    <w:abstractNumId w:val="2"/>
  </w:num>
  <w:num w:numId="10" w16cid:durableId="2128742965">
    <w:abstractNumId w:val="17"/>
  </w:num>
  <w:num w:numId="11" w16cid:durableId="1184517822">
    <w:abstractNumId w:val="10"/>
  </w:num>
  <w:num w:numId="12" w16cid:durableId="668483561">
    <w:abstractNumId w:val="5"/>
  </w:num>
  <w:num w:numId="13" w16cid:durableId="505363565">
    <w:abstractNumId w:val="16"/>
  </w:num>
  <w:num w:numId="14" w16cid:durableId="1565531232">
    <w:abstractNumId w:val="20"/>
  </w:num>
  <w:num w:numId="15" w16cid:durableId="716003664">
    <w:abstractNumId w:val="4"/>
  </w:num>
  <w:num w:numId="16" w16cid:durableId="184028841">
    <w:abstractNumId w:val="3"/>
  </w:num>
  <w:num w:numId="17" w16cid:durableId="1511288694">
    <w:abstractNumId w:val="13"/>
  </w:num>
  <w:num w:numId="18" w16cid:durableId="577322806">
    <w:abstractNumId w:val="11"/>
  </w:num>
  <w:num w:numId="19" w16cid:durableId="2005165396">
    <w:abstractNumId w:val="0"/>
  </w:num>
  <w:num w:numId="20" w16cid:durableId="1556769372">
    <w:abstractNumId w:val="9"/>
  </w:num>
  <w:num w:numId="21" w16cid:durableId="1995908773">
    <w:abstractNumId w:val="18"/>
  </w:num>
  <w:num w:numId="22" w16cid:durableId="425853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39"/>
    <w:rsid w:val="00004B5F"/>
    <w:rsid w:val="000079F6"/>
    <w:rsid w:val="00010649"/>
    <w:rsid w:val="0001104A"/>
    <w:rsid w:val="00012BF9"/>
    <w:rsid w:val="00015B6F"/>
    <w:rsid w:val="000252CF"/>
    <w:rsid w:val="00025426"/>
    <w:rsid w:val="0002693F"/>
    <w:rsid w:val="00030373"/>
    <w:rsid w:val="0003705B"/>
    <w:rsid w:val="00050C70"/>
    <w:rsid w:val="000522CE"/>
    <w:rsid w:val="00055F4D"/>
    <w:rsid w:val="000668F7"/>
    <w:rsid w:val="0006785A"/>
    <w:rsid w:val="00073747"/>
    <w:rsid w:val="000766B8"/>
    <w:rsid w:val="000805AA"/>
    <w:rsid w:val="00090316"/>
    <w:rsid w:val="00091C16"/>
    <w:rsid w:val="00092D64"/>
    <w:rsid w:val="000935D1"/>
    <w:rsid w:val="000A08D5"/>
    <w:rsid w:val="000A45C7"/>
    <w:rsid w:val="000A477D"/>
    <w:rsid w:val="000B1B1A"/>
    <w:rsid w:val="000B7D79"/>
    <w:rsid w:val="000C7299"/>
    <w:rsid w:val="000D19A6"/>
    <w:rsid w:val="000D2355"/>
    <w:rsid w:val="000D303D"/>
    <w:rsid w:val="000D6B7A"/>
    <w:rsid w:val="000E59A6"/>
    <w:rsid w:val="001018C6"/>
    <w:rsid w:val="00101DA6"/>
    <w:rsid w:val="00106437"/>
    <w:rsid w:val="00113705"/>
    <w:rsid w:val="00113738"/>
    <w:rsid w:val="00113974"/>
    <w:rsid w:val="00120F2C"/>
    <w:rsid w:val="00121724"/>
    <w:rsid w:val="00124EEA"/>
    <w:rsid w:val="001308DC"/>
    <w:rsid w:val="001335F7"/>
    <w:rsid w:val="001350A5"/>
    <w:rsid w:val="00135EC0"/>
    <w:rsid w:val="001520AB"/>
    <w:rsid w:val="00152FF0"/>
    <w:rsid w:val="00153489"/>
    <w:rsid w:val="00157D87"/>
    <w:rsid w:val="00163623"/>
    <w:rsid w:val="00164002"/>
    <w:rsid w:val="00172A63"/>
    <w:rsid w:val="00180CD3"/>
    <w:rsid w:val="00193E19"/>
    <w:rsid w:val="001A09C5"/>
    <w:rsid w:val="001A10FC"/>
    <w:rsid w:val="001A440B"/>
    <w:rsid w:val="001A734C"/>
    <w:rsid w:val="001A7F56"/>
    <w:rsid w:val="001C07DE"/>
    <w:rsid w:val="001C2AFB"/>
    <w:rsid w:val="001D34E3"/>
    <w:rsid w:val="001D38EC"/>
    <w:rsid w:val="001E5398"/>
    <w:rsid w:val="001F099C"/>
    <w:rsid w:val="001F36F8"/>
    <w:rsid w:val="001F3D37"/>
    <w:rsid w:val="001F69FD"/>
    <w:rsid w:val="00204AEE"/>
    <w:rsid w:val="002054DD"/>
    <w:rsid w:val="00206410"/>
    <w:rsid w:val="002102C7"/>
    <w:rsid w:val="00212567"/>
    <w:rsid w:val="002132ED"/>
    <w:rsid w:val="00213D72"/>
    <w:rsid w:val="00215407"/>
    <w:rsid w:val="002303F5"/>
    <w:rsid w:val="002412F0"/>
    <w:rsid w:val="00247F9E"/>
    <w:rsid w:val="00251351"/>
    <w:rsid w:val="00251E65"/>
    <w:rsid w:val="00257486"/>
    <w:rsid w:val="002606EB"/>
    <w:rsid w:val="00261161"/>
    <w:rsid w:val="00263FCF"/>
    <w:rsid w:val="002652CF"/>
    <w:rsid w:val="00265D60"/>
    <w:rsid w:val="00265FE5"/>
    <w:rsid w:val="002679C4"/>
    <w:rsid w:val="00273471"/>
    <w:rsid w:val="00280050"/>
    <w:rsid w:val="00282446"/>
    <w:rsid w:val="00282D8F"/>
    <w:rsid w:val="00285B9C"/>
    <w:rsid w:val="002869AC"/>
    <w:rsid w:val="002928E3"/>
    <w:rsid w:val="0029290C"/>
    <w:rsid w:val="00293CA1"/>
    <w:rsid w:val="002B63BB"/>
    <w:rsid w:val="002C784D"/>
    <w:rsid w:val="002D4A4C"/>
    <w:rsid w:val="002D4C6D"/>
    <w:rsid w:val="002D6E40"/>
    <w:rsid w:val="002E6052"/>
    <w:rsid w:val="002F02BE"/>
    <w:rsid w:val="002F145D"/>
    <w:rsid w:val="002F1C1A"/>
    <w:rsid w:val="00310A3C"/>
    <w:rsid w:val="00316458"/>
    <w:rsid w:val="003233FA"/>
    <w:rsid w:val="00324649"/>
    <w:rsid w:val="00325906"/>
    <w:rsid w:val="00325DDC"/>
    <w:rsid w:val="0032720F"/>
    <w:rsid w:val="00330AC9"/>
    <w:rsid w:val="00332C39"/>
    <w:rsid w:val="003337C0"/>
    <w:rsid w:val="00333EF3"/>
    <w:rsid w:val="00337584"/>
    <w:rsid w:val="0034343F"/>
    <w:rsid w:val="003452BF"/>
    <w:rsid w:val="00360AA8"/>
    <w:rsid w:val="00363281"/>
    <w:rsid w:val="003663A1"/>
    <w:rsid w:val="00377C21"/>
    <w:rsid w:val="0039217B"/>
    <w:rsid w:val="00395F5C"/>
    <w:rsid w:val="003A504B"/>
    <w:rsid w:val="003A7269"/>
    <w:rsid w:val="003A7ED2"/>
    <w:rsid w:val="003B2179"/>
    <w:rsid w:val="003B2A09"/>
    <w:rsid w:val="003C5037"/>
    <w:rsid w:val="003D18DC"/>
    <w:rsid w:val="003D42E8"/>
    <w:rsid w:val="003E77C3"/>
    <w:rsid w:val="003F4763"/>
    <w:rsid w:val="00401B5B"/>
    <w:rsid w:val="004110C0"/>
    <w:rsid w:val="00413010"/>
    <w:rsid w:val="00420418"/>
    <w:rsid w:val="0042302D"/>
    <w:rsid w:val="00433BCE"/>
    <w:rsid w:val="00437C19"/>
    <w:rsid w:val="00443C27"/>
    <w:rsid w:val="0044484B"/>
    <w:rsid w:val="004523BD"/>
    <w:rsid w:val="0046635A"/>
    <w:rsid w:val="00471BB5"/>
    <w:rsid w:val="004812D7"/>
    <w:rsid w:val="00484345"/>
    <w:rsid w:val="0048467F"/>
    <w:rsid w:val="00487EB8"/>
    <w:rsid w:val="004A25CF"/>
    <w:rsid w:val="004B16C2"/>
    <w:rsid w:val="004C0F84"/>
    <w:rsid w:val="004C6129"/>
    <w:rsid w:val="004C6BAC"/>
    <w:rsid w:val="004D2437"/>
    <w:rsid w:val="004D5445"/>
    <w:rsid w:val="004E4027"/>
    <w:rsid w:val="004F194B"/>
    <w:rsid w:val="004F6CD4"/>
    <w:rsid w:val="00503FEC"/>
    <w:rsid w:val="005108C1"/>
    <w:rsid w:val="005120F6"/>
    <w:rsid w:val="0051421D"/>
    <w:rsid w:val="00515B8F"/>
    <w:rsid w:val="00521C2A"/>
    <w:rsid w:val="00522D02"/>
    <w:rsid w:val="0052546A"/>
    <w:rsid w:val="00536B9A"/>
    <w:rsid w:val="00543808"/>
    <w:rsid w:val="0054459B"/>
    <w:rsid w:val="00544A61"/>
    <w:rsid w:val="00547E81"/>
    <w:rsid w:val="005534F6"/>
    <w:rsid w:val="00554C8D"/>
    <w:rsid w:val="00561D81"/>
    <w:rsid w:val="00563974"/>
    <w:rsid w:val="0056468A"/>
    <w:rsid w:val="00564A66"/>
    <w:rsid w:val="0056524E"/>
    <w:rsid w:val="00566D65"/>
    <w:rsid w:val="005679C7"/>
    <w:rsid w:val="00574BC3"/>
    <w:rsid w:val="005806F4"/>
    <w:rsid w:val="005826AF"/>
    <w:rsid w:val="005870C5"/>
    <w:rsid w:val="0059131A"/>
    <w:rsid w:val="00592F3C"/>
    <w:rsid w:val="0059558D"/>
    <w:rsid w:val="005A1C9F"/>
    <w:rsid w:val="005B0626"/>
    <w:rsid w:val="005B2BD5"/>
    <w:rsid w:val="005B650B"/>
    <w:rsid w:val="005B7113"/>
    <w:rsid w:val="005C1486"/>
    <w:rsid w:val="005C354F"/>
    <w:rsid w:val="005C742A"/>
    <w:rsid w:val="005D3376"/>
    <w:rsid w:val="005D3400"/>
    <w:rsid w:val="005D60CC"/>
    <w:rsid w:val="005D7C8C"/>
    <w:rsid w:val="005F21D2"/>
    <w:rsid w:val="006130EB"/>
    <w:rsid w:val="006222A1"/>
    <w:rsid w:val="00624C69"/>
    <w:rsid w:val="006308A3"/>
    <w:rsid w:val="00632654"/>
    <w:rsid w:val="00634F00"/>
    <w:rsid w:val="006360E7"/>
    <w:rsid w:val="0064402F"/>
    <w:rsid w:val="00646726"/>
    <w:rsid w:val="006505CD"/>
    <w:rsid w:val="00657607"/>
    <w:rsid w:val="00664543"/>
    <w:rsid w:val="006670A5"/>
    <w:rsid w:val="00667BCD"/>
    <w:rsid w:val="00670032"/>
    <w:rsid w:val="00670AE8"/>
    <w:rsid w:val="00671165"/>
    <w:rsid w:val="00676738"/>
    <w:rsid w:val="00676BEB"/>
    <w:rsid w:val="00682780"/>
    <w:rsid w:val="006940CA"/>
    <w:rsid w:val="006A40CC"/>
    <w:rsid w:val="006A791D"/>
    <w:rsid w:val="006B7024"/>
    <w:rsid w:val="006C6BCC"/>
    <w:rsid w:val="006D5E1C"/>
    <w:rsid w:val="006E2363"/>
    <w:rsid w:val="006F3797"/>
    <w:rsid w:val="00701E0F"/>
    <w:rsid w:val="0070319C"/>
    <w:rsid w:val="00703E14"/>
    <w:rsid w:val="00706766"/>
    <w:rsid w:val="00710033"/>
    <w:rsid w:val="007126EC"/>
    <w:rsid w:val="007156FA"/>
    <w:rsid w:val="007233DD"/>
    <w:rsid w:val="00723E7D"/>
    <w:rsid w:val="00736682"/>
    <w:rsid w:val="007368EF"/>
    <w:rsid w:val="00737A67"/>
    <w:rsid w:val="00743140"/>
    <w:rsid w:val="00744E37"/>
    <w:rsid w:val="007658A7"/>
    <w:rsid w:val="00766C21"/>
    <w:rsid w:val="007675ED"/>
    <w:rsid w:val="00770BB7"/>
    <w:rsid w:val="00770E4F"/>
    <w:rsid w:val="0077149F"/>
    <w:rsid w:val="00772B9F"/>
    <w:rsid w:val="00772E14"/>
    <w:rsid w:val="007738E4"/>
    <w:rsid w:val="00777A71"/>
    <w:rsid w:val="007814D1"/>
    <w:rsid w:val="0078288E"/>
    <w:rsid w:val="007842D3"/>
    <w:rsid w:val="0078630D"/>
    <w:rsid w:val="00792722"/>
    <w:rsid w:val="0079608D"/>
    <w:rsid w:val="007A2ADB"/>
    <w:rsid w:val="007A339E"/>
    <w:rsid w:val="007B2959"/>
    <w:rsid w:val="007B6C50"/>
    <w:rsid w:val="007C2E68"/>
    <w:rsid w:val="007D3A37"/>
    <w:rsid w:val="007E0C3A"/>
    <w:rsid w:val="007E4871"/>
    <w:rsid w:val="007F42F2"/>
    <w:rsid w:val="007F7813"/>
    <w:rsid w:val="008036C5"/>
    <w:rsid w:val="0080564A"/>
    <w:rsid w:val="00811D4D"/>
    <w:rsid w:val="008174A8"/>
    <w:rsid w:val="0082761D"/>
    <w:rsid w:val="008319CE"/>
    <w:rsid w:val="00836A82"/>
    <w:rsid w:val="008476F4"/>
    <w:rsid w:val="0085272D"/>
    <w:rsid w:val="008574BD"/>
    <w:rsid w:val="008643AF"/>
    <w:rsid w:val="00870943"/>
    <w:rsid w:val="0087435E"/>
    <w:rsid w:val="0087496D"/>
    <w:rsid w:val="008757DC"/>
    <w:rsid w:val="008802DE"/>
    <w:rsid w:val="008808B2"/>
    <w:rsid w:val="0089073F"/>
    <w:rsid w:val="008907F9"/>
    <w:rsid w:val="00892495"/>
    <w:rsid w:val="00894277"/>
    <w:rsid w:val="00896D36"/>
    <w:rsid w:val="008A30DC"/>
    <w:rsid w:val="008A3216"/>
    <w:rsid w:val="008B1A29"/>
    <w:rsid w:val="008B2546"/>
    <w:rsid w:val="008B78E2"/>
    <w:rsid w:val="008C78C1"/>
    <w:rsid w:val="008D2A64"/>
    <w:rsid w:val="008D4CD6"/>
    <w:rsid w:val="008D6995"/>
    <w:rsid w:val="008D7614"/>
    <w:rsid w:val="008D7679"/>
    <w:rsid w:val="008E2FC5"/>
    <w:rsid w:val="008E66BC"/>
    <w:rsid w:val="008F4A64"/>
    <w:rsid w:val="008F6234"/>
    <w:rsid w:val="008F64B2"/>
    <w:rsid w:val="008F77C8"/>
    <w:rsid w:val="008F79C8"/>
    <w:rsid w:val="008F7A85"/>
    <w:rsid w:val="00903A72"/>
    <w:rsid w:val="00913615"/>
    <w:rsid w:val="0093422A"/>
    <w:rsid w:val="00941CEE"/>
    <w:rsid w:val="00943055"/>
    <w:rsid w:val="0094355C"/>
    <w:rsid w:val="009513E9"/>
    <w:rsid w:val="009551BE"/>
    <w:rsid w:val="009615F0"/>
    <w:rsid w:val="009661AD"/>
    <w:rsid w:val="009666D9"/>
    <w:rsid w:val="0097596F"/>
    <w:rsid w:val="00984389"/>
    <w:rsid w:val="00990B20"/>
    <w:rsid w:val="00992260"/>
    <w:rsid w:val="00994E43"/>
    <w:rsid w:val="00996C77"/>
    <w:rsid w:val="00996C7B"/>
    <w:rsid w:val="009A04EE"/>
    <w:rsid w:val="009A1FB5"/>
    <w:rsid w:val="009A2465"/>
    <w:rsid w:val="009A5093"/>
    <w:rsid w:val="009A53A7"/>
    <w:rsid w:val="009A5AEC"/>
    <w:rsid w:val="009B1DB0"/>
    <w:rsid w:val="009B52F7"/>
    <w:rsid w:val="009B74B1"/>
    <w:rsid w:val="009D16AD"/>
    <w:rsid w:val="009D4C7F"/>
    <w:rsid w:val="009E28C0"/>
    <w:rsid w:val="009E39A5"/>
    <w:rsid w:val="009E7515"/>
    <w:rsid w:val="009E7C04"/>
    <w:rsid w:val="009F00D9"/>
    <w:rsid w:val="009F048E"/>
    <w:rsid w:val="009F523D"/>
    <w:rsid w:val="009F6AFC"/>
    <w:rsid w:val="009F7D0E"/>
    <w:rsid w:val="00A06889"/>
    <w:rsid w:val="00A10D02"/>
    <w:rsid w:val="00A20C8A"/>
    <w:rsid w:val="00A20DD0"/>
    <w:rsid w:val="00A2570E"/>
    <w:rsid w:val="00A25E2A"/>
    <w:rsid w:val="00A30C7F"/>
    <w:rsid w:val="00A31BE4"/>
    <w:rsid w:val="00A34785"/>
    <w:rsid w:val="00A405E9"/>
    <w:rsid w:val="00A51EE0"/>
    <w:rsid w:val="00A5430F"/>
    <w:rsid w:val="00A624ED"/>
    <w:rsid w:val="00A64BF9"/>
    <w:rsid w:val="00A65F10"/>
    <w:rsid w:val="00A6616F"/>
    <w:rsid w:val="00A66E59"/>
    <w:rsid w:val="00A679C2"/>
    <w:rsid w:val="00A720A5"/>
    <w:rsid w:val="00A7572B"/>
    <w:rsid w:val="00A76D1F"/>
    <w:rsid w:val="00A83E3A"/>
    <w:rsid w:val="00A86D71"/>
    <w:rsid w:val="00A9182C"/>
    <w:rsid w:val="00A923D0"/>
    <w:rsid w:val="00A96673"/>
    <w:rsid w:val="00A969BE"/>
    <w:rsid w:val="00A97072"/>
    <w:rsid w:val="00A9717A"/>
    <w:rsid w:val="00AA06F1"/>
    <w:rsid w:val="00AA4F45"/>
    <w:rsid w:val="00AB3C6E"/>
    <w:rsid w:val="00AC1CFB"/>
    <w:rsid w:val="00AC39E3"/>
    <w:rsid w:val="00AD45EF"/>
    <w:rsid w:val="00AE08E0"/>
    <w:rsid w:val="00AE4F82"/>
    <w:rsid w:val="00AE5FBC"/>
    <w:rsid w:val="00B02CFA"/>
    <w:rsid w:val="00B05F02"/>
    <w:rsid w:val="00B109E5"/>
    <w:rsid w:val="00B11A65"/>
    <w:rsid w:val="00B20468"/>
    <w:rsid w:val="00B23341"/>
    <w:rsid w:val="00B23406"/>
    <w:rsid w:val="00B2346B"/>
    <w:rsid w:val="00B24A0A"/>
    <w:rsid w:val="00B265C0"/>
    <w:rsid w:val="00B315F5"/>
    <w:rsid w:val="00B329B1"/>
    <w:rsid w:val="00B3591D"/>
    <w:rsid w:val="00B370FE"/>
    <w:rsid w:val="00B40F47"/>
    <w:rsid w:val="00B41592"/>
    <w:rsid w:val="00B520B4"/>
    <w:rsid w:val="00B53C2D"/>
    <w:rsid w:val="00B574D3"/>
    <w:rsid w:val="00B577C2"/>
    <w:rsid w:val="00B63D68"/>
    <w:rsid w:val="00B67C1D"/>
    <w:rsid w:val="00B86B89"/>
    <w:rsid w:val="00B90529"/>
    <w:rsid w:val="00B93520"/>
    <w:rsid w:val="00B964E2"/>
    <w:rsid w:val="00B97400"/>
    <w:rsid w:val="00B976DB"/>
    <w:rsid w:val="00BA080B"/>
    <w:rsid w:val="00BA5DB2"/>
    <w:rsid w:val="00BB735B"/>
    <w:rsid w:val="00BC2530"/>
    <w:rsid w:val="00BC30BD"/>
    <w:rsid w:val="00BC6359"/>
    <w:rsid w:val="00BD2F87"/>
    <w:rsid w:val="00BD338A"/>
    <w:rsid w:val="00BD5388"/>
    <w:rsid w:val="00BD7E85"/>
    <w:rsid w:val="00BE09A6"/>
    <w:rsid w:val="00C11C80"/>
    <w:rsid w:val="00C13E07"/>
    <w:rsid w:val="00C21094"/>
    <w:rsid w:val="00C21848"/>
    <w:rsid w:val="00C21B58"/>
    <w:rsid w:val="00C26223"/>
    <w:rsid w:val="00C26E57"/>
    <w:rsid w:val="00C27060"/>
    <w:rsid w:val="00C3651C"/>
    <w:rsid w:val="00C37529"/>
    <w:rsid w:val="00C45EE2"/>
    <w:rsid w:val="00C52D56"/>
    <w:rsid w:val="00C544A0"/>
    <w:rsid w:val="00C610D2"/>
    <w:rsid w:val="00C6390C"/>
    <w:rsid w:val="00C666EA"/>
    <w:rsid w:val="00C703A5"/>
    <w:rsid w:val="00C71340"/>
    <w:rsid w:val="00C731B5"/>
    <w:rsid w:val="00C75599"/>
    <w:rsid w:val="00C764B2"/>
    <w:rsid w:val="00C77502"/>
    <w:rsid w:val="00C83895"/>
    <w:rsid w:val="00C846EF"/>
    <w:rsid w:val="00C8607A"/>
    <w:rsid w:val="00CA3F9D"/>
    <w:rsid w:val="00CA6765"/>
    <w:rsid w:val="00CB2A07"/>
    <w:rsid w:val="00CB4EAA"/>
    <w:rsid w:val="00CB5CDC"/>
    <w:rsid w:val="00CC19E2"/>
    <w:rsid w:val="00CC5670"/>
    <w:rsid w:val="00CD1214"/>
    <w:rsid w:val="00CD3A22"/>
    <w:rsid w:val="00CE0F34"/>
    <w:rsid w:val="00CE56C2"/>
    <w:rsid w:val="00CF2596"/>
    <w:rsid w:val="00CF5C94"/>
    <w:rsid w:val="00CF6F53"/>
    <w:rsid w:val="00D04B8F"/>
    <w:rsid w:val="00D20739"/>
    <w:rsid w:val="00D23842"/>
    <w:rsid w:val="00D23BF6"/>
    <w:rsid w:val="00D265BE"/>
    <w:rsid w:val="00D364F7"/>
    <w:rsid w:val="00D4385B"/>
    <w:rsid w:val="00D56F2D"/>
    <w:rsid w:val="00D63CD2"/>
    <w:rsid w:val="00D8025E"/>
    <w:rsid w:val="00D809E6"/>
    <w:rsid w:val="00D814A4"/>
    <w:rsid w:val="00D83A28"/>
    <w:rsid w:val="00D917FA"/>
    <w:rsid w:val="00D94676"/>
    <w:rsid w:val="00D96D14"/>
    <w:rsid w:val="00DA3C78"/>
    <w:rsid w:val="00DB31B9"/>
    <w:rsid w:val="00DC3AA9"/>
    <w:rsid w:val="00DC7D48"/>
    <w:rsid w:val="00DD5750"/>
    <w:rsid w:val="00DE174B"/>
    <w:rsid w:val="00DE41C8"/>
    <w:rsid w:val="00E008F3"/>
    <w:rsid w:val="00E0691E"/>
    <w:rsid w:val="00E10CE9"/>
    <w:rsid w:val="00E11E9D"/>
    <w:rsid w:val="00E23D3E"/>
    <w:rsid w:val="00E24AB4"/>
    <w:rsid w:val="00E2597D"/>
    <w:rsid w:val="00E27142"/>
    <w:rsid w:val="00E2714E"/>
    <w:rsid w:val="00E31A63"/>
    <w:rsid w:val="00E42EDC"/>
    <w:rsid w:val="00E436C0"/>
    <w:rsid w:val="00E43FB2"/>
    <w:rsid w:val="00E62B96"/>
    <w:rsid w:val="00E62BFB"/>
    <w:rsid w:val="00E675AA"/>
    <w:rsid w:val="00E67EB8"/>
    <w:rsid w:val="00E710FF"/>
    <w:rsid w:val="00E72CE8"/>
    <w:rsid w:val="00E73260"/>
    <w:rsid w:val="00E73E3C"/>
    <w:rsid w:val="00E77305"/>
    <w:rsid w:val="00E823D2"/>
    <w:rsid w:val="00E83176"/>
    <w:rsid w:val="00E8331E"/>
    <w:rsid w:val="00E834D1"/>
    <w:rsid w:val="00E92337"/>
    <w:rsid w:val="00E94F9C"/>
    <w:rsid w:val="00EA03F8"/>
    <w:rsid w:val="00EA12FB"/>
    <w:rsid w:val="00EA3268"/>
    <w:rsid w:val="00EA3D2B"/>
    <w:rsid w:val="00EA5DAA"/>
    <w:rsid w:val="00EB1305"/>
    <w:rsid w:val="00EB1EFD"/>
    <w:rsid w:val="00EB52E0"/>
    <w:rsid w:val="00EB700D"/>
    <w:rsid w:val="00EC1CD1"/>
    <w:rsid w:val="00EC6570"/>
    <w:rsid w:val="00ED1C69"/>
    <w:rsid w:val="00ED2692"/>
    <w:rsid w:val="00ED6BC9"/>
    <w:rsid w:val="00ED79D8"/>
    <w:rsid w:val="00EF0FBE"/>
    <w:rsid w:val="00EF70B4"/>
    <w:rsid w:val="00F14C1A"/>
    <w:rsid w:val="00F14D6C"/>
    <w:rsid w:val="00F1661E"/>
    <w:rsid w:val="00F238CC"/>
    <w:rsid w:val="00F30C5F"/>
    <w:rsid w:val="00F34FE2"/>
    <w:rsid w:val="00F36A3B"/>
    <w:rsid w:val="00F42676"/>
    <w:rsid w:val="00F44527"/>
    <w:rsid w:val="00F53C64"/>
    <w:rsid w:val="00F63591"/>
    <w:rsid w:val="00F67A18"/>
    <w:rsid w:val="00F71FE5"/>
    <w:rsid w:val="00F71FF2"/>
    <w:rsid w:val="00F73C43"/>
    <w:rsid w:val="00F74D50"/>
    <w:rsid w:val="00F80817"/>
    <w:rsid w:val="00F92694"/>
    <w:rsid w:val="00F97E5B"/>
    <w:rsid w:val="00FB26C0"/>
    <w:rsid w:val="00FC7933"/>
    <w:rsid w:val="00FD6391"/>
    <w:rsid w:val="00FD7CBC"/>
    <w:rsid w:val="00FE064D"/>
    <w:rsid w:val="00FE0D9B"/>
    <w:rsid w:val="00FE135A"/>
    <w:rsid w:val="00FE295E"/>
    <w:rsid w:val="00FE5ECD"/>
    <w:rsid w:val="00FF7135"/>
    <w:rsid w:val="010EE4AC"/>
    <w:rsid w:val="05436F50"/>
    <w:rsid w:val="07137655"/>
    <w:rsid w:val="073D7E05"/>
    <w:rsid w:val="09F0239B"/>
    <w:rsid w:val="0CE50F50"/>
    <w:rsid w:val="115A151A"/>
    <w:rsid w:val="127B0110"/>
    <w:rsid w:val="15D90197"/>
    <w:rsid w:val="186A40BC"/>
    <w:rsid w:val="18D65538"/>
    <w:rsid w:val="1D52EA60"/>
    <w:rsid w:val="1D7D4225"/>
    <w:rsid w:val="1E7FD621"/>
    <w:rsid w:val="1F2DC2F8"/>
    <w:rsid w:val="1F39E182"/>
    <w:rsid w:val="24E87520"/>
    <w:rsid w:val="28602259"/>
    <w:rsid w:val="2A361F48"/>
    <w:rsid w:val="2BD090B9"/>
    <w:rsid w:val="2C347003"/>
    <w:rsid w:val="2D67CC7B"/>
    <w:rsid w:val="2E67E5CA"/>
    <w:rsid w:val="344A05EE"/>
    <w:rsid w:val="3541639C"/>
    <w:rsid w:val="3A768942"/>
    <w:rsid w:val="3C74027D"/>
    <w:rsid w:val="3DE4E61F"/>
    <w:rsid w:val="42ED75F5"/>
    <w:rsid w:val="436D7084"/>
    <w:rsid w:val="446BE22C"/>
    <w:rsid w:val="470EDF85"/>
    <w:rsid w:val="4B9C9A58"/>
    <w:rsid w:val="4FA39467"/>
    <w:rsid w:val="507FB46E"/>
    <w:rsid w:val="53DDA860"/>
    <w:rsid w:val="583AEDE1"/>
    <w:rsid w:val="58F8E5A9"/>
    <w:rsid w:val="5B297B30"/>
    <w:rsid w:val="5F678FE1"/>
    <w:rsid w:val="60A3E005"/>
    <w:rsid w:val="65C5E630"/>
    <w:rsid w:val="67068DB2"/>
    <w:rsid w:val="6A40845A"/>
    <w:rsid w:val="6ABE2ACB"/>
    <w:rsid w:val="6C74873B"/>
    <w:rsid w:val="73F7F4AF"/>
    <w:rsid w:val="7B945067"/>
    <w:rsid w:val="7E144A0E"/>
    <w:rsid w:val="7E694DCF"/>
    <w:rsid w:val="7ECF3D6C"/>
    <w:rsid w:val="7F6B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11F6"/>
  <w15:chartTrackingRefBased/>
  <w15:docId w15:val="{8E307867-0D7B-40CD-AB87-E8952B80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39"/>
    <w:pPr>
      <w:spacing w:after="120"/>
      <w:jc w:val="both"/>
    </w:pPr>
    <w:rPr>
      <w:rFonts w:asciiTheme="minorHAnsi" w:hAnsiTheme="minorHAnsi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3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3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3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7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73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20739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207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83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4D1"/>
    <w:rPr>
      <w:color w:val="605E5C"/>
      <w:shd w:val="clear" w:color="auto" w:fill="E1DFDD"/>
    </w:rPr>
  </w:style>
  <w:style w:type="paragraph" w:customStyle="1" w:styleId="Default">
    <w:name w:val="Default"/>
    <w:rsid w:val="005B2BD5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7142"/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B3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C6E"/>
    <w:rPr>
      <w:rFonts w:asciiTheme="minorHAnsi" w:hAnsiTheme="minorHAnsi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C6E"/>
    <w:rPr>
      <w:rFonts w:asciiTheme="minorHAnsi" w:hAnsiTheme="minorHAnsi" w:cs="Arial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F42F2"/>
    <w:rPr>
      <w:rFonts w:asciiTheme="minorHAnsi" w:hAnsiTheme="minorHAnsi" w:cs="Arial"/>
      <w:kern w:val="0"/>
      <w:sz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3F476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0C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0CD3"/>
    <w:rPr>
      <w:rFonts w:asciiTheme="minorHAnsi" w:hAnsiTheme="minorHAnsi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0C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0CD3"/>
    <w:rPr>
      <w:rFonts w:asciiTheme="minorHAnsi" w:hAnsiTheme="minorHAnsi" w:cs="Arial"/>
      <w:kern w:val="0"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72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ederation.gov.au/sites/default/files/2023-09/guidance-intergovernmental-meeting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committees-and-groups/cdna/member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BA157002D8341AE83AFD3FB25E4AE" ma:contentTypeVersion="13" ma:contentTypeDescription="Create a new document." ma:contentTypeScope="" ma:versionID="c3eea930640db6bf9c3568fc2d84c44c">
  <xsd:schema xmlns:xsd="http://www.w3.org/2001/XMLSchema" xmlns:xs="http://www.w3.org/2001/XMLSchema" xmlns:p="http://schemas.microsoft.com/office/2006/metadata/properties" xmlns:ns2="b730ddb7-5d64-47c2-b2d9-e34660264615" targetNamespace="http://schemas.microsoft.com/office/2006/metadata/properties" ma:root="true" ma:fieldsID="e4bd8771b113e20d1bb0da71b11fed82" ns2:_="">
    <xsd:import namespace="b730ddb7-5d64-47c2-b2d9-e34660264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ddb7-5d64-47c2-b2d9-e34660264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0ddb7-5d64-47c2-b2d9-e346602646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88F12-72EF-4833-838A-272C27213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D1494-CEB8-42E3-BF4E-72073CE4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0ddb7-5d64-47c2-b2d9-e34660264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A5A45-62D8-4272-84A1-7C018F5322B1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b730ddb7-5d64-47c2-b2d9-e3466026461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076D86-24EA-4F2F-9FAD-7EFEDBB86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1431</Words>
  <Characters>8694</Characters>
  <Application>Microsoft Office Word</Application>
  <DocSecurity>0</DocSecurity>
  <Lines>180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NAMAC Charter</dc:title>
  <dc:subject>Malaria</dc:subject>
  <dc:creator>Australian Centre for Disease Control</dc:creator>
  <cp:keywords>Communicable disease prevention</cp:keywords>
  <cp:lastModifiedBy>HOUSTON, Benjamin</cp:lastModifiedBy>
  <cp:revision>2</cp:revision>
  <dcterms:created xsi:type="dcterms:W3CDTF">2026-01-12T02:24:00Z</dcterms:created>
  <dcterms:modified xsi:type="dcterms:W3CDTF">2026-01-12T02:31:00Z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0x010100F63BA157002D8341AE83AFD3FB25E4AE</vt:lpwstr>
  </property>
  <property fmtid="{D5CDD505-2E9C-101B-9397-08002B2CF9AE}" pid="3" name="ClassificationContentMarkingHeaderShapeIds">
    <vt:lpwstr>767b9b80,756dcfde,50d989ae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61bd17c3,7ac857c1,752572a6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2025-09-21T22:30:05Z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94346932-525e-442d-a1da-755b608e41e1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