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70478" w14:textId="36D051B8" w:rsidR="00BA2732" w:rsidRDefault="005C27E1" w:rsidP="003D033A">
      <w:pPr>
        <w:pStyle w:val="Title"/>
      </w:pPr>
      <w:r>
        <w:t>SSBA – Fact sheet 1 – Overview</w:t>
      </w:r>
    </w:p>
    <w:p w14:paraId="33E35486" w14:textId="70ACF8C3" w:rsidR="00B53987" w:rsidRDefault="0C49AC3D" w:rsidP="005C27E1">
      <w:pPr>
        <w:pStyle w:val="Subtitle"/>
      </w:pPr>
      <w:r>
        <w:t>January</w:t>
      </w:r>
      <w:r w:rsidR="318A7D70">
        <w:t xml:space="preserve"> 202</w:t>
      </w:r>
      <w:r w:rsidR="11A7500D">
        <w:t>6</w:t>
      </w:r>
    </w:p>
    <w:p w14:paraId="5065F043" w14:textId="5CECCC22" w:rsidR="005C27E1" w:rsidRPr="005C27E1" w:rsidRDefault="005C27E1" w:rsidP="005C27E1">
      <w:pPr>
        <w:pStyle w:val="Heading1"/>
      </w:pPr>
      <w:r w:rsidRPr="005C27E1">
        <w:t>Security of Biological Agents in Australia</w:t>
      </w:r>
    </w:p>
    <w:p w14:paraId="71BF28A2" w14:textId="77777777" w:rsidR="005C27E1" w:rsidRPr="005C27E1" w:rsidRDefault="005C27E1" w:rsidP="005C27E1">
      <w:r w:rsidRPr="005C27E1">
        <w:t>The deliberate release of harmful biological agents such as viruses, bacteria, fungi and toxins has the potential to cause significant damage to human health, the environment and the Australian economy.</w:t>
      </w:r>
    </w:p>
    <w:p w14:paraId="4D86B714" w14:textId="112BC559" w:rsidR="005C27E1" w:rsidRPr="005C27E1" w:rsidRDefault="005C27E1" w:rsidP="005C27E1">
      <w:r>
        <w:t>The Council of Australian Governments’ (COAG) </w:t>
      </w:r>
      <w:r w:rsidRPr="6586363F">
        <w:rPr>
          <w:i/>
          <w:iCs/>
        </w:rPr>
        <w:t>Report on the Regulation and Control of Biological Agents</w:t>
      </w:r>
      <w:r>
        <w:t xml:space="preserve"> 2006 (the Report) </w:t>
      </w:r>
      <w:r w:rsidR="002E0192">
        <w:t>identified</w:t>
      </w:r>
      <w:r>
        <w:t xml:space="preserve"> that existing regulations were focused on safety rather than security; and that there was a need to regulate the secure storage, possession, use and transport of biological agents to minimise the risk of use for terrorism or criminal purposes.</w:t>
      </w:r>
    </w:p>
    <w:p w14:paraId="442A4738" w14:textId="77777777" w:rsidR="005C27E1" w:rsidRPr="005C27E1" w:rsidRDefault="005C27E1" w:rsidP="005C27E1">
      <w:r w:rsidRPr="005C27E1">
        <w:t>Before the Security Sensitive Biological Agents (SSBA) Regulatory Scheme, there were few controls governing the security of biological agents in Australia.</w:t>
      </w:r>
    </w:p>
    <w:p w14:paraId="24FAF7BA" w14:textId="77777777" w:rsidR="005C27E1" w:rsidRPr="005C27E1" w:rsidRDefault="005C27E1" w:rsidP="005C27E1">
      <w:pPr>
        <w:pStyle w:val="Heading1"/>
      </w:pPr>
      <w:r w:rsidRPr="005C27E1">
        <w:t>Background</w:t>
      </w:r>
    </w:p>
    <w:p w14:paraId="4AFE5FE1" w14:textId="77777777" w:rsidR="005C27E1" w:rsidRPr="005C27E1" w:rsidRDefault="005C27E1" w:rsidP="005C27E1">
      <w:r>
        <w:t>In December 2002, COAG agreed to a national review of the regulation, reporting and security around the storage, sale and handling of hazardous materials. The review was conducted in four parts covering ammonium nitrate, radiological, biological and chemical materials.</w:t>
      </w:r>
    </w:p>
    <w:p w14:paraId="1BB11541" w14:textId="77777777" w:rsidR="005C27E1" w:rsidRPr="005C27E1" w:rsidRDefault="005C27E1" w:rsidP="005C27E1">
      <w:r w:rsidRPr="005C27E1">
        <w:t>The review was one of several government initiatives in the Chemical, Biological, Radiological and Nuclear (CBRN) security domain and formed a part of the broader National CBRN Security Strategy. The Australian Government and state and territory governments continue to work together to limit the likelihood of a terrorist act occurring, while simultaneously increasing our response preparedness.</w:t>
      </w:r>
    </w:p>
    <w:p w14:paraId="73892245" w14:textId="77777777" w:rsidR="005C27E1" w:rsidRPr="005C27E1" w:rsidRDefault="005C27E1" w:rsidP="005C27E1">
      <w:r>
        <w:t>On 13 April 2007, COAG considered the recommendations of the Report and agreed to the establishment of a national regulatory scheme for biological agents of security concern. The Report recommended that the most effective and efficient means of minimising security risks posed by security sensitive biological agents (SSBAs) was to establish a national regulatory scheme that has:</w:t>
      </w:r>
    </w:p>
    <w:p w14:paraId="6EF4B217" w14:textId="77777777" w:rsidR="005C27E1" w:rsidRPr="005C27E1" w:rsidRDefault="005C27E1" w:rsidP="005C27E1">
      <w:pPr>
        <w:numPr>
          <w:ilvl w:val="0"/>
          <w:numId w:val="27"/>
        </w:numPr>
      </w:pPr>
      <w:r w:rsidRPr="005C27E1">
        <w:t xml:space="preserve">a two-tiered list of </w:t>
      </w:r>
      <w:proofErr w:type="gramStart"/>
      <w:r w:rsidRPr="005C27E1">
        <w:t>SSBAs;</w:t>
      </w:r>
      <w:proofErr w:type="gramEnd"/>
    </w:p>
    <w:p w14:paraId="3C611477" w14:textId="77777777" w:rsidR="005C27E1" w:rsidRPr="005C27E1" w:rsidRDefault="005C27E1" w:rsidP="005C27E1">
      <w:pPr>
        <w:numPr>
          <w:ilvl w:val="0"/>
          <w:numId w:val="27"/>
        </w:numPr>
      </w:pPr>
      <w:r w:rsidRPr="005C27E1">
        <w:t xml:space="preserve">a body to administer the </w:t>
      </w:r>
      <w:proofErr w:type="gramStart"/>
      <w:r w:rsidRPr="005C27E1">
        <w:t>legislation;</w:t>
      </w:r>
      <w:proofErr w:type="gramEnd"/>
    </w:p>
    <w:p w14:paraId="735AF9A9" w14:textId="77777777" w:rsidR="005C27E1" w:rsidRPr="005C27E1" w:rsidRDefault="005C27E1" w:rsidP="005C27E1">
      <w:pPr>
        <w:numPr>
          <w:ilvl w:val="0"/>
          <w:numId w:val="27"/>
        </w:numPr>
      </w:pPr>
      <w:r w:rsidRPr="005C27E1">
        <w:t xml:space="preserve">a National </w:t>
      </w:r>
      <w:proofErr w:type="gramStart"/>
      <w:r w:rsidRPr="005C27E1">
        <w:t>Register;</w:t>
      </w:r>
      <w:proofErr w:type="gramEnd"/>
    </w:p>
    <w:p w14:paraId="0428BFD6" w14:textId="77777777" w:rsidR="005C27E1" w:rsidRPr="005C27E1" w:rsidRDefault="005C27E1" w:rsidP="005C27E1">
      <w:pPr>
        <w:numPr>
          <w:ilvl w:val="0"/>
          <w:numId w:val="27"/>
        </w:numPr>
      </w:pPr>
      <w:r w:rsidRPr="005C27E1">
        <w:lastRenderedPageBreak/>
        <w:t xml:space="preserve">registration and reporting </w:t>
      </w:r>
      <w:proofErr w:type="gramStart"/>
      <w:r w:rsidRPr="005C27E1">
        <w:t>requirements;</w:t>
      </w:r>
      <w:proofErr w:type="gramEnd"/>
    </w:p>
    <w:p w14:paraId="2A541689" w14:textId="77777777" w:rsidR="005C27E1" w:rsidRPr="005C27E1" w:rsidRDefault="005C27E1" w:rsidP="005C27E1">
      <w:pPr>
        <w:numPr>
          <w:ilvl w:val="0"/>
          <w:numId w:val="27"/>
        </w:numPr>
      </w:pPr>
      <w:r w:rsidRPr="005C27E1">
        <w:t>transport requirements; and</w:t>
      </w:r>
    </w:p>
    <w:p w14:paraId="76F15C89" w14:textId="77777777" w:rsidR="005C27E1" w:rsidRPr="005C27E1" w:rsidRDefault="005C27E1" w:rsidP="005C27E1">
      <w:pPr>
        <w:numPr>
          <w:ilvl w:val="0"/>
          <w:numId w:val="27"/>
        </w:numPr>
      </w:pPr>
      <w:r w:rsidRPr="005C27E1">
        <w:t>education and awareness raising activities.</w:t>
      </w:r>
    </w:p>
    <w:p w14:paraId="2477DAA6" w14:textId="77777777" w:rsidR="005C27E1" w:rsidRPr="005C27E1" w:rsidRDefault="005C27E1" w:rsidP="005C27E1">
      <w:pPr>
        <w:pStyle w:val="Heading1"/>
      </w:pPr>
      <w:r w:rsidRPr="005C27E1">
        <w:t>The SSBA Regulatory Scheme</w:t>
      </w:r>
    </w:p>
    <w:p w14:paraId="250BD4EB" w14:textId="77777777" w:rsidR="005C27E1" w:rsidRPr="005C27E1" w:rsidRDefault="005C27E1" w:rsidP="005C27E1">
      <w:r w:rsidRPr="005C27E1">
        <w:t xml:space="preserve">The aim of the SSBA Regulatory Scheme is to limit opportunities for acts of bioterrorism or </w:t>
      </w:r>
      <w:proofErr w:type="spellStart"/>
      <w:r w:rsidRPr="005C27E1">
        <w:t>biocrime</w:t>
      </w:r>
      <w:proofErr w:type="spellEnd"/>
      <w:r w:rsidRPr="005C27E1">
        <w:t xml:space="preserve"> to occur using harmful biological agents.</w:t>
      </w:r>
    </w:p>
    <w:p w14:paraId="51F40134" w14:textId="77777777" w:rsidR="005C27E1" w:rsidRPr="005C27E1" w:rsidRDefault="005C27E1" w:rsidP="005C27E1">
      <w:r w:rsidRPr="005C27E1">
        <w:t>The regulatory scheme was developed using risk management principles to achieve a balance between counter-terrorism concerns and the interests of the regulated community. The regulatory scheme aims to maintain full access to SSBAs for those with a legitimate need.</w:t>
      </w:r>
    </w:p>
    <w:p w14:paraId="1D0AF924" w14:textId="28088A0C" w:rsidR="005C27E1" w:rsidRPr="005C27E1" w:rsidRDefault="005C27E1" w:rsidP="005C27E1">
      <w:r>
        <w:t>The administration of the SSBA Regulatory Scheme resides within the Australian</w:t>
      </w:r>
      <w:r w:rsidR="77906A8D">
        <w:t xml:space="preserve"> Centre for Disease </w:t>
      </w:r>
      <w:r w:rsidR="00DF7847">
        <w:t>Control. The</w:t>
      </w:r>
      <w:r>
        <w:t xml:space="preserve"> scheme is built around a </w:t>
      </w:r>
      <w:r w:rsidR="5D9C3C43">
        <w:t>two-tiered</w:t>
      </w:r>
      <w:r>
        <w:t xml:space="preserve"> </w:t>
      </w:r>
      <w:r w:rsidR="00AC0808">
        <w:t>l</w:t>
      </w:r>
      <w:r>
        <w:t>ist of SSBAs and requires all entities and facilities handling SSBAs to comply with the </w:t>
      </w:r>
      <w:r w:rsidRPr="30AAB187">
        <w:rPr>
          <w:i/>
          <w:iCs/>
        </w:rPr>
        <w:t>National Health Security Act 2007</w:t>
      </w:r>
      <w:r>
        <w:t>, the </w:t>
      </w:r>
      <w:r w:rsidRPr="30AAB187">
        <w:rPr>
          <w:i/>
          <w:iCs/>
        </w:rPr>
        <w:t>National Health Security Regulations 20</w:t>
      </w:r>
      <w:r w:rsidR="00AD18EB" w:rsidRPr="30AAB187">
        <w:rPr>
          <w:i/>
          <w:iCs/>
        </w:rPr>
        <w:t>1</w:t>
      </w:r>
      <w:r w:rsidRPr="30AAB187">
        <w:rPr>
          <w:i/>
          <w:iCs/>
        </w:rPr>
        <w:t>8</w:t>
      </w:r>
      <w:r>
        <w:t> and the SSBA Standards.</w:t>
      </w:r>
    </w:p>
    <w:sectPr w:rsidR="005C27E1" w:rsidRPr="005C27E1"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7DFDD" w14:textId="77777777" w:rsidR="002C3299" w:rsidRDefault="002C3299" w:rsidP="006B56BB">
      <w:r>
        <w:separator/>
      </w:r>
    </w:p>
    <w:p w14:paraId="5163EA1D" w14:textId="77777777" w:rsidR="002C3299" w:rsidRDefault="002C3299"/>
  </w:endnote>
  <w:endnote w:type="continuationSeparator" w:id="0">
    <w:p w14:paraId="422B73D2" w14:textId="77777777" w:rsidR="002C3299" w:rsidRDefault="002C3299" w:rsidP="006B56BB">
      <w:r>
        <w:continuationSeparator/>
      </w:r>
    </w:p>
    <w:p w14:paraId="18070533" w14:textId="77777777" w:rsidR="002C3299" w:rsidRDefault="002C3299"/>
  </w:endnote>
  <w:endnote w:type="continuationNotice" w:id="1">
    <w:p w14:paraId="42216A15" w14:textId="77777777" w:rsidR="002C3299" w:rsidRDefault="002C3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559F" w14:textId="33231A4F" w:rsidR="009C1268" w:rsidRDefault="009C1268">
    <w:pPr>
      <w:pStyle w:val="Footer"/>
    </w:pPr>
    <w:r>
      <w:rPr>
        <w:noProof/>
      </w:rPr>
      <mc:AlternateContent>
        <mc:Choice Requires="wps">
          <w:drawing>
            <wp:anchor distT="0" distB="0" distL="0" distR="0" simplePos="0" relativeHeight="251658246" behindDoc="0" locked="0" layoutInCell="1" allowOverlap="1" wp14:anchorId="64B50B75" wp14:editId="108581A4">
              <wp:simplePos x="635" y="635"/>
              <wp:positionH relativeFrom="page">
                <wp:align>center</wp:align>
              </wp:positionH>
              <wp:positionV relativeFrom="page">
                <wp:align>bottom</wp:align>
              </wp:positionV>
              <wp:extent cx="609600" cy="485775"/>
              <wp:effectExtent l="0" t="0" r="0" b="0"/>
              <wp:wrapNone/>
              <wp:docPr id="20029919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8A039D8" w14:textId="45D7E9B6" w:rsidR="009C1268" w:rsidRPr="009C1268" w:rsidRDefault="009C1268" w:rsidP="009C1268">
                          <w:pPr>
                            <w:spacing w:after="0"/>
                            <w:rPr>
                              <w:rFonts w:ascii="Aptos" w:eastAsia="Aptos" w:hAnsi="Aptos" w:cs="Aptos"/>
                              <w:noProof/>
                              <w:color w:val="FF0000"/>
                              <w:sz w:val="24"/>
                            </w:rPr>
                          </w:pPr>
                          <w:r w:rsidRPr="009C126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B50B75" id="_x0000_t202" coordsize="21600,21600" o:spt="202" path="m,l,21600r21600,l21600,xe">
              <v:stroke joinstyle="miter"/>
              <v:path gradientshapeok="t" o:connecttype="rect"/>
            </v:shapetype>
            <v:shape id="Text Box 5" o:spid="_x0000_s1028" type="#_x0000_t202" alt="OFFICIAL" style="position:absolute;left:0;text-align:left;margin-left:0;margin-top:0;width:48pt;height:38.2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48A039D8" w14:textId="45D7E9B6" w:rsidR="009C1268" w:rsidRPr="009C1268" w:rsidRDefault="009C1268" w:rsidP="009C1268">
                    <w:pPr>
                      <w:spacing w:after="0"/>
                      <w:rPr>
                        <w:rFonts w:ascii="Aptos" w:eastAsia="Aptos" w:hAnsi="Aptos" w:cs="Aptos"/>
                        <w:noProof/>
                        <w:color w:val="FF0000"/>
                        <w:sz w:val="24"/>
                      </w:rPr>
                    </w:pPr>
                    <w:r w:rsidRPr="009C1268">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FB6F" w14:textId="024E5827" w:rsidR="00B53987" w:rsidRDefault="009C1268" w:rsidP="00B53987">
    <w:pPr>
      <w:pStyle w:val="Footer"/>
    </w:pPr>
    <w:r>
      <w:rPr>
        <w:noProof/>
      </w:rPr>
      <mc:AlternateContent>
        <mc:Choice Requires="wps">
          <w:drawing>
            <wp:anchor distT="0" distB="0" distL="0" distR="0" simplePos="0" relativeHeight="251658247" behindDoc="0" locked="0" layoutInCell="1" allowOverlap="1" wp14:anchorId="12988C6A" wp14:editId="014F737D">
              <wp:simplePos x="635" y="635"/>
              <wp:positionH relativeFrom="page">
                <wp:align>center</wp:align>
              </wp:positionH>
              <wp:positionV relativeFrom="page">
                <wp:align>bottom</wp:align>
              </wp:positionV>
              <wp:extent cx="609600" cy="485775"/>
              <wp:effectExtent l="0" t="0" r="0" b="0"/>
              <wp:wrapNone/>
              <wp:docPr id="55164405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C52D5D9" w14:textId="30E2A17A" w:rsidR="009C1268" w:rsidRPr="009C1268" w:rsidRDefault="009C1268" w:rsidP="009C1268">
                          <w:pPr>
                            <w:spacing w:after="0"/>
                            <w:rPr>
                              <w:rFonts w:ascii="Aptos" w:eastAsia="Aptos" w:hAnsi="Aptos" w:cs="Aptos"/>
                              <w:noProof/>
                              <w:color w:val="FF0000"/>
                              <w:sz w:val="24"/>
                            </w:rPr>
                          </w:pPr>
                          <w:r w:rsidRPr="009C126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988C6A" id="_x0000_t202" coordsize="21600,21600" o:spt="202" path="m,l,21600r21600,l21600,xe">
              <v:stroke joinstyle="miter"/>
              <v:path gradientshapeok="t" o:connecttype="rect"/>
            </v:shapetype>
            <v:shape id="Text Box 6" o:spid="_x0000_s1029" type="#_x0000_t202" alt="OFFICIAL" style="position:absolute;left:0;text-align:left;margin-left:0;margin-top:0;width:48pt;height:38.2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textbox style="mso-fit-shape-to-text:t" inset="0,0,0,15pt">
                <w:txbxContent>
                  <w:p w14:paraId="1C52D5D9" w14:textId="30E2A17A" w:rsidR="009C1268" w:rsidRPr="009C1268" w:rsidRDefault="009C1268" w:rsidP="009C1268">
                    <w:pPr>
                      <w:spacing w:after="0"/>
                      <w:rPr>
                        <w:rFonts w:ascii="Aptos" w:eastAsia="Aptos" w:hAnsi="Aptos" w:cs="Aptos"/>
                        <w:noProof/>
                        <w:color w:val="FF0000"/>
                        <w:sz w:val="24"/>
                      </w:rPr>
                    </w:pPr>
                    <w:r w:rsidRPr="009C1268">
                      <w:rPr>
                        <w:rFonts w:ascii="Aptos" w:eastAsia="Aptos" w:hAnsi="Aptos" w:cs="Aptos"/>
                        <w:noProof/>
                        <w:color w:val="FF0000"/>
                        <w:sz w:val="24"/>
                      </w:rPr>
                      <w:t>OFFICIAL</w:t>
                    </w:r>
                  </w:p>
                </w:txbxContent>
              </v:textbox>
              <w10:wrap anchorx="page" anchory="page"/>
            </v:shape>
          </w:pict>
        </mc:Fallback>
      </mc:AlternateContent>
    </w:r>
    <w:r w:rsidR="00432075">
      <w:t>SSBA – Fact sheet 1 – Overview</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FAFF" w14:textId="68106BFC" w:rsidR="00B53987" w:rsidRDefault="009C1268" w:rsidP="00B53987">
    <w:pPr>
      <w:pStyle w:val="Footer"/>
    </w:pPr>
    <w:r>
      <w:rPr>
        <w:noProof/>
      </w:rPr>
      <mc:AlternateContent>
        <mc:Choice Requires="wps">
          <w:drawing>
            <wp:anchor distT="0" distB="0" distL="0" distR="0" simplePos="0" relativeHeight="251658245" behindDoc="0" locked="0" layoutInCell="1" allowOverlap="1" wp14:anchorId="590B99AF" wp14:editId="4A958241">
              <wp:simplePos x="0" y="0"/>
              <wp:positionH relativeFrom="margin">
                <wp:align>center</wp:align>
              </wp:positionH>
              <wp:positionV relativeFrom="page">
                <wp:posOffset>10373360</wp:posOffset>
              </wp:positionV>
              <wp:extent cx="609600" cy="485775"/>
              <wp:effectExtent l="0" t="0" r="6350" b="0"/>
              <wp:wrapNone/>
              <wp:docPr id="1301937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FBB80D1" w14:textId="1749A1CD" w:rsidR="009C1268" w:rsidRPr="009C1268" w:rsidRDefault="009C1268" w:rsidP="009C1268">
                          <w:pPr>
                            <w:spacing w:after="0"/>
                            <w:rPr>
                              <w:rFonts w:ascii="Aptos" w:eastAsia="Aptos" w:hAnsi="Aptos" w:cs="Aptos"/>
                              <w:noProof/>
                              <w:color w:val="FF0000"/>
                              <w:sz w:val="24"/>
                            </w:rPr>
                          </w:pPr>
                          <w:r w:rsidRPr="009C126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B99AF" id="_x0000_t202" coordsize="21600,21600" o:spt="202" path="m,l,21600r21600,l21600,xe">
              <v:stroke joinstyle="miter"/>
              <v:path gradientshapeok="t" o:connecttype="rect"/>
            </v:shapetype>
            <v:shape id="Text Box 4" o:spid="_x0000_s1031" type="#_x0000_t202" alt="OFFICIAL" style="position:absolute;left:0;text-align:left;margin-left:0;margin-top:816.8pt;width:48pt;height:38.25pt;z-index:251658245;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Bql5294AAAAJAQAADwAAAGRycy9kb3ducmV2LnhtbEyPwU7DMBBE70j9B2uRuFEnjRogxKmqSpxa&#10;IbXlws21t0kgXkex06Z/z3KC474Zzc6Uq8l14oJDaD0pSOcJCCTjbUu1go/j2+MziBA1Wd15QgU3&#10;DLCqZnelLqy/0h4vh1gLDqFQaAVNjH0hZTANOh3mvkdi7ewHpyOfQy3toK8c7jq5SJJcOt0Sf2h0&#10;j5sGzfdhdAqW+7gb3+mYfU6L29e235jsvDVKPdxP61cQEaf4Z4bf+lwdKu508iPZIDoFPCQyzbMs&#10;B8H6S87kxOQpTVKQVSn/L6h+AAAA//8DAFBLAQItABQABgAIAAAAIQC2gziS/gAAAOEBAAATAAAA&#10;AAAAAAAAAAAAAAAAAABbQ29udGVudF9UeXBlc10ueG1sUEsBAi0AFAAGAAgAAAAhADj9If/WAAAA&#10;lAEAAAsAAAAAAAAAAAAAAAAALwEAAF9yZWxzLy5yZWxzUEsBAi0AFAAGAAgAAAAhAN+MJAsMAgAA&#10;HAQAAA4AAAAAAAAAAAAAAAAALgIAAGRycy9lMm9Eb2MueG1sUEsBAi0AFAAGAAgAAAAhAAapedve&#10;AAAACQEAAA8AAAAAAAAAAAAAAAAAZgQAAGRycy9kb3ducmV2LnhtbFBLBQYAAAAABAAEAPMAAABx&#10;BQAAAAA=&#10;" filled="f" stroked="f">
              <v:textbox style="mso-fit-shape-to-text:t" inset="0,0,0,15pt">
                <w:txbxContent>
                  <w:p w14:paraId="3FBB80D1" w14:textId="1749A1CD" w:rsidR="009C1268" w:rsidRPr="009C1268" w:rsidRDefault="009C1268" w:rsidP="009C1268">
                    <w:pPr>
                      <w:spacing w:after="0"/>
                      <w:rPr>
                        <w:rFonts w:ascii="Aptos" w:eastAsia="Aptos" w:hAnsi="Aptos" w:cs="Aptos"/>
                        <w:noProof/>
                        <w:color w:val="FF0000"/>
                        <w:sz w:val="24"/>
                      </w:rPr>
                    </w:pPr>
                    <w:r w:rsidRPr="009C1268">
                      <w:rPr>
                        <w:rFonts w:ascii="Aptos" w:eastAsia="Aptos" w:hAnsi="Aptos" w:cs="Aptos"/>
                        <w:noProof/>
                        <w:color w:val="FF0000"/>
                        <w:sz w:val="24"/>
                      </w:rPr>
                      <w:t>OFFICIAL</w:t>
                    </w:r>
                  </w:p>
                </w:txbxContent>
              </v:textbox>
              <w10:wrap anchorx="margin" anchory="page"/>
            </v:shape>
          </w:pict>
        </mc:Fallback>
      </mc:AlternateContent>
    </w:r>
    <w:r w:rsidR="005F2423">
      <w:rPr>
        <w:noProof/>
      </w:rPr>
      <mc:AlternateContent>
        <mc:Choice Requires="wps">
          <w:drawing>
            <wp:anchor distT="0" distB="0" distL="114300" distR="114300" simplePos="0" relativeHeight="251658240" behindDoc="1" locked="0" layoutInCell="1" allowOverlap="1" wp14:anchorId="7E6E7849" wp14:editId="7D010927">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A7EFC" id="Rectangle 2" o:spid="_x0000_s1026" alt="&quot;&quot;" style="position:absolute;margin-left:0;margin-top:0;width:595.3pt;height:2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432075">
      <w:t>SSBA – Fact sheet 1 – Overview</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F9045" w14:textId="77777777" w:rsidR="002C3299" w:rsidRDefault="002C3299" w:rsidP="006B56BB">
      <w:r>
        <w:separator/>
      </w:r>
    </w:p>
    <w:p w14:paraId="156E73B9" w14:textId="77777777" w:rsidR="002C3299" w:rsidRDefault="002C3299"/>
  </w:footnote>
  <w:footnote w:type="continuationSeparator" w:id="0">
    <w:p w14:paraId="23723E47" w14:textId="77777777" w:rsidR="002C3299" w:rsidRDefault="002C3299" w:rsidP="006B56BB">
      <w:r>
        <w:continuationSeparator/>
      </w:r>
    </w:p>
    <w:p w14:paraId="70CBDC71" w14:textId="77777777" w:rsidR="002C3299" w:rsidRDefault="002C3299"/>
  </w:footnote>
  <w:footnote w:type="continuationNotice" w:id="1">
    <w:p w14:paraId="1AB5AC54" w14:textId="77777777" w:rsidR="002C3299" w:rsidRDefault="002C3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665A" w14:textId="7FCA6B1C" w:rsidR="009C1268" w:rsidRDefault="009C1268">
    <w:pPr>
      <w:pStyle w:val="Header"/>
    </w:pPr>
    <w:r>
      <w:rPr>
        <w:noProof/>
      </w:rPr>
      <mc:AlternateContent>
        <mc:Choice Requires="wps">
          <w:drawing>
            <wp:anchor distT="0" distB="0" distL="0" distR="0" simplePos="0" relativeHeight="251658243" behindDoc="0" locked="0" layoutInCell="1" allowOverlap="1" wp14:anchorId="137BFE1F" wp14:editId="11D30EAA">
              <wp:simplePos x="635" y="635"/>
              <wp:positionH relativeFrom="page">
                <wp:align>center</wp:align>
              </wp:positionH>
              <wp:positionV relativeFrom="page">
                <wp:align>top</wp:align>
              </wp:positionV>
              <wp:extent cx="609600" cy="485775"/>
              <wp:effectExtent l="0" t="0" r="0" b="9525"/>
              <wp:wrapNone/>
              <wp:docPr id="17025098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43CE226" w14:textId="2EBC88A6" w:rsidR="009C1268" w:rsidRPr="009C1268" w:rsidRDefault="009C1268" w:rsidP="009C1268">
                          <w:pPr>
                            <w:spacing w:after="0"/>
                            <w:rPr>
                              <w:rFonts w:ascii="Aptos" w:eastAsia="Aptos" w:hAnsi="Aptos" w:cs="Aptos"/>
                              <w:noProof/>
                              <w:color w:val="FF0000"/>
                              <w:sz w:val="24"/>
                            </w:rPr>
                          </w:pPr>
                          <w:r w:rsidRPr="009C126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7BFE1F"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043CE226" w14:textId="2EBC88A6" w:rsidR="009C1268" w:rsidRPr="009C1268" w:rsidRDefault="009C1268" w:rsidP="009C1268">
                    <w:pPr>
                      <w:spacing w:after="0"/>
                      <w:rPr>
                        <w:rFonts w:ascii="Aptos" w:eastAsia="Aptos" w:hAnsi="Aptos" w:cs="Aptos"/>
                        <w:noProof/>
                        <w:color w:val="FF0000"/>
                        <w:sz w:val="24"/>
                      </w:rPr>
                    </w:pPr>
                    <w:r w:rsidRPr="009C1268">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084D" w14:textId="67E7215A" w:rsidR="008E0C77" w:rsidRDefault="009C1268" w:rsidP="008E0C77">
    <w:pPr>
      <w:pStyle w:val="Headertext"/>
      <w:spacing w:after="180"/>
      <w:jc w:val="left"/>
    </w:pPr>
    <w:r>
      <w:rPr>
        <w:noProof/>
      </w:rPr>
      <mc:AlternateContent>
        <mc:Choice Requires="wps">
          <w:drawing>
            <wp:anchor distT="0" distB="0" distL="0" distR="0" simplePos="0" relativeHeight="251658244" behindDoc="0" locked="0" layoutInCell="1" allowOverlap="1" wp14:anchorId="28F7599B" wp14:editId="6428F221">
              <wp:simplePos x="635" y="635"/>
              <wp:positionH relativeFrom="page">
                <wp:align>center</wp:align>
              </wp:positionH>
              <wp:positionV relativeFrom="page">
                <wp:align>top</wp:align>
              </wp:positionV>
              <wp:extent cx="609600" cy="485775"/>
              <wp:effectExtent l="0" t="0" r="0" b="9525"/>
              <wp:wrapNone/>
              <wp:docPr id="16074309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D5545B4" w14:textId="3B5FC582" w:rsidR="009C1268" w:rsidRPr="009C1268" w:rsidRDefault="009C1268" w:rsidP="009C1268">
                          <w:pPr>
                            <w:spacing w:after="0"/>
                            <w:rPr>
                              <w:rFonts w:ascii="Aptos" w:eastAsia="Aptos" w:hAnsi="Aptos" w:cs="Aptos"/>
                              <w:noProof/>
                              <w:color w:val="FF0000"/>
                              <w:sz w:val="24"/>
                            </w:rPr>
                          </w:pPr>
                          <w:r w:rsidRPr="009C126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F7599B" id="_x0000_t202" coordsize="21600,21600" o:spt="202" path="m,l,21600r21600,l21600,xe">
              <v:stroke joinstyle="miter"/>
              <v:path gradientshapeok="t" o:connecttype="rect"/>
            </v:shapetype>
            <v:shape id="Text Box 3" o:spid="_x0000_s1027" type="#_x0000_t202" alt="OFFICIAL" style="position:absolute;margin-left:0;margin-top:0;width:48pt;height:38.2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2D5545B4" w14:textId="3B5FC582" w:rsidR="009C1268" w:rsidRPr="009C1268" w:rsidRDefault="009C1268" w:rsidP="009C1268">
                    <w:pPr>
                      <w:spacing w:after="0"/>
                      <w:rPr>
                        <w:rFonts w:ascii="Aptos" w:eastAsia="Aptos" w:hAnsi="Aptos" w:cs="Aptos"/>
                        <w:noProof/>
                        <w:color w:val="FF0000"/>
                        <w:sz w:val="24"/>
                      </w:rPr>
                    </w:pPr>
                    <w:r w:rsidRPr="009C1268">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EE47" w14:textId="65DEA1F1" w:rsidR="00B53987" w:rsidRDefault="000100F0">
    <w:pPr>
      <w:pStyle w:val="Header"/>
    </w:pPr>
    <w:r w:rsidRPr="000100F0">
      <w:rPr>
        <w:noProof/>
      </w:rPr>
      <w:drawing>
        <wp:anchor distT="0" distB="0" distL="114300" distR="114300" simplePos="0" relativeHeight="251661319" behindDoc="0" locked="0" layoutInCell="1" allowOverlap="1" wp14:anchorId="28F7955C" wp14:editId="1E9AF9F3">
          <wp:simplePos x="0" y="0"/>
          <wp:positionH relativeFrom="column">
            <wp:posOffset>-443230</wp:posOffset>
          </wp:positionH>
          <wp:positionV relativeFrom="paragraph">
            <wp:posOffset>-154940</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1">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r w:rsidR="00E73EBF">
      <w:rPr>
        <w:noProof/>
      </w:rPr>
      <w:drawing>
        <wp:anchor distT="0" distB="0" distL="114300" distR="114300" simplePos="0" relativeHeight="251660295" behindDoc="0" locked="0" layoutInCell="1" allowOverlap="1" wp14:anchorId="4834B866" wp14:editId="42EA042D">
          <wp:simplePos x="0" y="0"/>
          <wp:positionH relativeFrom="page">
            <wp:align>right</wp:align>
          </wp:positionH>
          <wp:positionV relativeFrom="page">
            <wp:align>top</wp:align>
          </wp:positionV>
          <wp:extent cx="7559996" cy="2058352"/>
          <wp:effectExtent l="0" t="0" r="3175" b="0"/>
          <wp:wrapSquare wrapText="bothSides"/>
          <wp:docPr id="3" name="Picture 3"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2">
                    <a:extLst>
                      <a:ext uri="{BEBA8EAE-BF5A-486C-A8C5-ECC9F3942E4B}">
                        <a14:imgProps xmlns:a14="http://schemas.microsoft.com/office/drawing/2010/main">
                          <a14:imgLayer r:embed="rId3">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009C1268">
      <w:rPr>
        <w:noProof/>
      </w:rPr>
      <mc:AlternateContent>
        <mc:Choice Requires="wps">
          <w:drawing>
            <wp:anchor distT="0" distB="0" distL="0" distR="0" simplePos="0" relativeHeight="251658242" behindDoc="0" locked="0" layoutInCell="1" allowOverlap="1" wp14:anchorId="5383D918" wp14:editId="114C263A">
              <wp:simplePos x="635" y="635"/>
              <wp:positionH relativeFrom="page">
                <wp:align>center</wp:align>
              </wp:positionH>
              <wp:positionV relativeFrom="page">
                <wp:align>top</wp:align>
              </wp:positionV>
              <wp:extent cx="609600" cy="485775"/>
              <wp:effectExtent l="0" t="0" r="0" b="9525"/>
              <wp:wrapNone/>
              <wp:docPr id="16929024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3D6411A" w14:textId="2D8C5FF5" w:rsidR="009C1268" w:rsidRPr="009C1268" w:rsidRDefault="009C1268" w:rsidP="009C1268">
                          <w:pPr>
                            <w:spacing w:after="0"/>
                            <w:rPr>
                              <w:rFonts w:ascii="Aptos" w:eastAsia="Aptos" w:hAnsi="Aptos" w:cs="Aptos"/>
                              <w:noProof/>
                              <w:color w:val="FF0000"/>
                              <w:sz w:val="24"/>
                            </w:rPr>
                          </w:pPr>
                          <w:r w:rsidRPr="009C126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83D918"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63D6411A" w14:textId="2D8C5FF5" w:rsidR="009C1268" w:rsidRPr="009C1268" w:rsidRDefault="009C1268" w:rsidP="009C1268">
                    <w:pPr>
                      <w:spacing w:after="0"/>
                      <w:rPr>
                        <w:rFonts w:ascii="Aptos" w:eastAsia="Aptos" w:hAnsi="Aptos" w:cs="Aptos"/>
                        <w:noProof/>
                        <w:color w:val="FF0000"/>
                        <w:sz w:val="24"/>
                      </w:rPr>
                    </w:pPr>
                    <w:r w:rsidRPr="009C1268">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5F7A1A"/>
    <w:multiLevelType w:val="multilevel"/>
    <w:tmpl w:val="120A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578637057">
    <w:abstractNumId w:val="7"/>
  </w:num>
  <w:num w:numId="2" w16cid:durableId="562955415">
    <w:abstractNumId w:val="16"/>
  </w:num>
  <w:num w:numId="3" w16cid:durableId="838735525">
    <w:abstractNumId w:val="18"/>
  </w:num>
  <w:num w:numId="4" w16cid:durableId="728725172">
    <w:abstractNumId w:val="8"/>
  </w:num>
  <w:num w:numId="5" w16cid:durableId="668288964">
    <w:abstractNumId w:val="8"/>
    <w:lvlOverride w:ilvl="0">
      <w:startOverride w:val="1"/>
    </w:lvlOverride>
  </w:num>
  <w:num w:numId="6" w16cid:durableId="1275942227">
    <w:abstractNumId w:val="9"/>
  </w:num>
  <w:num w:numId="7" w16cid:durableId="1088772478">
    <w:abstractNumId w:val="14"/>
  </w:num>
  <w:num w:numId="8" w16cid:durableId="59794662">
    <w:abstractNumId w:val="17"/>
  </w:num>
  <w:num w:numId="9" w16cid:durableId="2002003459">
    <w:abstractNumId w:val="5"/>
  </w:num>
  <w:num w:numId="10" w16cid:durableId="552739208">
    <w:abstractNumId w:val="4"/>
  </w:num>
  <w:num w:numId="11" w16cid:durableId="439647556">
    <w:abstractNumId w:val="3"/>
  </w:num>
  <w:num w:numId="12" w16cid:durableId="1466510565">
    <w:abstractNumId w:val="2"/>
  </w:num>
  <w:num w:numId="13" w16cid:durableId="1422530039">
    <w:abstractNumId w:val="6"/>
  </w:num>
  <w:num w:numId="14" w16cid:durableId="1252202207">
    <w:abstractNumId w:val="1"/>
  </w:num>
  <w:num w:numId="15" w16cid:durableId="154497084">
    <w:abstractNumId w:val="0"/>
  </w:num>
  <w:num w:numId="16" w16cid:durableId="481242767">
    <w:abstractNumId w:val="19"/>
  </w:num>
  <w:num w:numId="17" w16cid:durableId="1758940282">
    <w:abstractNumId w:val="10"/>
  </w:num>
  <w:num w:numId="18" w16cid:durableId="1034232699">
    <w:abstractNumId w:val="11"/>
  </w:num>
  <w:num w:numId="19" w16cid:durableId="205803753">
    <w:abstractNumId w:val="13"/>
  </w:num>
  <w:num w:numId="20" w16cid:durableId="627512542">
    <w:abstractNumId w:val="10"/>
  </w:num>
  <w:num w:numId="21" w16cid:durableId="1790781411">
    <w:abstractNumId w:val="13"/>
  </w:num>
  <w:num w:numId="22" w16cid:durableId="116073943">
    <w:abstractNumId w:val="19"/>
  </w:num>
  <w:num w:numId="23" w16cid:durableId="595601765">
    <w:abstractNumId w:val="16"/>
  </w:num>
  <w:num w:numId="24" w16cid:durableId="947397386">
    <w:abstractNumId w:val="18"/>
  </w:num>
  <w:num w:numId="25" w16cid:durableId="1438212565">
    <w:abstractNumId w:val="8"/>
  </w:num>
  <w:num w:numId="26" w16cid:durableId="1775057857">
    <w:abstractNumId w:val="15"/>
  </w:num>
  <w:num w:numId="27" w16cid:durableId="1209605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7E1"/>
    <w:rsid w:val="00003743"/>
    <w:rsid w:val="000047B4"/>
    <w:rsid w:val="00005712"/>
    <w:rsid w:val="00007FD8"/>
    <w:rsid w:val="000100F0"/>
    <w:rsid w:val="000117F8"/>
    <w:rsid w:val="0001460F"/>
    <w:rsid w:val="00022629"/>
    <w:rsid w:val="00026139"/>
    <w:rsid w:val="00027601"/>
    <w:rsid w:val="00033321"/>
    <w:rsid w:val="000338E5"/>
    <w:rsid w:val="00033ECC"/>
    <w:rsid w:val="0003422F"/>
    <w:rsid w:val="00046D3A"/>
    <w:rsid w:val="00046FF0"/>
    <w:rsid w:val="00050176"/>
    <w:rsid w:val="00050342"/>
    <w:rsid w:val="00054353"/>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0735E"/>
    <w:rsid w:val="00110478"/>
    <w:rsid w:val="0011711B"/>
    <w:rsid w:val="00117F8A"/>
    <w:rsid w:val="00121B9B"/>
    <w:rsid w:val="00122ADC"/>
    <w:rsid w:val="00130F59"/>
    <w:rsid w:val="00133EC0"/>
    <w:rsid w:val="00141CE5"/>
    <w:rsid w:val="00141E11"/>
    <w:rsid w:val="00144908"/>
    <w:rsid w:val="00156D96"/>
    <w:rsid w:val="001571C7"/>
    <w:rsid w:val="00161094"/>
    <w:rsid w:val="00165843"/>
    <w:rsid w:val="0017665C"/>
    <w:rsid w:val="00177AD2"/>
    <w:rsid w:val="001815A8"/>
    <w:rsid w:val="001840FA"/>
    <w:rsid w:val="00190079"/>
    <w:rsid w:val="0019622E"/>
    <w:rsid w:val="001966A7"/>
    <w:rsid w:val="001A4627"/>
    <w:rsid w:val="001A4979"/>
    <w:rsid w:val="001B04D4"/>
    <w:rsid w:val="001B15D3"/>
    <w:rsid w:val="001B3443"/>
    <w:rsid w:val="001C0326"/>
    <w:rsid w:val="001C192F"/>
    <w:rsid w:val="001C3C42"/>
    <w:rsid w:val="001D6997"/>
    <w:rsid w:val="001D7869"/>
    <w:rsid w:val="001E4A35"/>
    <w:rsid w:val="001F6250"/>
    <w:rsid w:val="002026CD"/>
    <w:rsid w:val="002033FC"/>
    <w:rsid w:val="002044BB"/>
    <w:rsid w:val="00210B09"/>
    <w:rsid w:val="00210C9E"/>
    <w:rsid w:val="00211840"/>
    <w:rsid w:val="00220E5F"/>
    <w:rsid w:val="002212B5"/>
    <w:rsid w:val="00226668"/>
    <w:rsid w:val="00227F25"/>
    <w:rsid w:val="00233809"/>
    <w:rsid w:val="00240046"/>
    <w:rsid w:val="0024797F"/>
    <w:rsid w:val="0025119E"/>
    <w:rsid w:val="00251269"/>
    <w:rsid w:val="002535C0"/>
    <w:rsid w:val="002579FE"/>
    <w:rsid w:val="0026311C"/>
    <w:rsid w:val="0026411D"/>
    <w:rsid w:val="0026668C"/>
    <w:rsid w:val="00266AC1"/>
    <w:rsid w:val="0027178C"/>
    <w:rsid w:val="002719FA"/>
    <w:rsid w:val="00272668"/>
    <w:rsid w:val="0027330B"/>
    <w:rsid w:val="002803AD"/>
    <w:rsid w:val="00282052"/>
    <w:rsid w:val="002831A3"/>
    <w:rsid w:val="0028519E"/>
    <w:rsid w:val="002856A5"/>
    <w:rsid w:val="002872ED"/>
    <w:rsid w:val="002905C2"/>
    <w:rsid w:val="0029339E"/>
    <w:rsid w:val="00295AF2"/>
    <w:rsid w:val="00295C91"/>
    <w:rsid w:val="00297151"/>
    <w:rsid w:val="002B20E6"/>
    <w:rsid w:val="002B42A3"/>
    <w:rsid w:val="002C0009"/>
    <w:rsid w:val="002C0CDD"/>
    <w:rsid w:val="002C3299"/>
    <w:rsid w:val="002C38C4"/>
    <w:rsid w:val="002E0192"/>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0D5C"/>
    <w:rsid w:val="003E377F"/>
    <w:rsid w:val="003E5265"/>
    <w:rsid w:val="003F0955"/>
    <w:rsid w:val="003F5F4D"/>
    <w:rsid w:val="003F646F"/>
    <w:rsid w:val="00400F00"/>
    <w:rsid w:val="00404F8B"/>
    <w:rsid w:val="00405256"/>
    <w:rsid w:val="004077A5"/>
    <w:rsid w:val="00410031"/>
    <w:rsid w:val="004116DE"/>
    <w:rsid w:val="00415C81"/>
    <w:rsid w:val="00432075"/>
    <w:rsid w:val="00432378"/>
    <w:rsid w:val="004403CF"/>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B36C5"/>
    <w:rsid w:val="004C6BCF"/>
    <w:rsid w:val="004D58BF"/>
    <w:rsid w:val="004E4335"/>
    <w:rsid w:val="004F13EE"/>
    <w:rsid w:val="004F2022"/>
    <w:rsid w:val="004F7C05"/>
    <w:rsid w:val="00501C94"/>
    <w:rsid w:val="00506432"/>
    <w:rsid w:val="00506E82"/>
    <w:rsid w:val="00514DD6"/>
    <w:rsid w:val="0052051D"/>
    <w:rsid w:val="00545EE6"/>
    <w:rsid w:val="005550E7"/>
    <w:rsid w:val="005564FB"/>
    <w:rsid w:val="005572C7"/>
    <w:rsid w:val="005650ED"/>
    <w:rsid w:val="00575754"/>
    <w:rsid w:val="00581FBA"/>
    <w:rsid w:val="00591E20"/>
    <w:rsid w:val="00592E20"/>
    <w:rsid w:val="00595408"/>
    <w:rsid w:val="00595E84"/>
    <w:rsid w:val="005A0C59"/>
    <w:rsid w:val="005A48EB"/>
    <w:rsid w:val="005A6CFB"/>
    <w:rsid w:val="005C27E1"/>
    <w:rsid w:val="005C5AEB"/>
    <w:rsid w:val="005E0A3F"/>
    <w:rsid w:val="005E6883"/>
    <w:rsid w:val="005E772F"/>
    <w:rsid w:val="005F2423"/>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3558"/>
    <w:rsid w:val="007177F7"/>
    <w:rsid w:val="00720D08"/>
    <w:rsid w:val="007263B9"/>
    <w:rsid w:val="007334F8"/>
    <w:rsid w:val="007339CD"/>
    <w:rsid w:val="007359D8"/>
    <w:rsid w:val="007362D4"/>
    <w:rsid w:val="00756695"/>
    <w:rsid w:val="0076672A"/>
    <w:rsid w:val="00775E45"/>
    <w:rsid w:val="00776E74"/>
    <w:rsid w:val="007823E5"/>
    <w:rsid w:val="00785169"/>
    <w:rsid w:val="007954AB"/>
    <w:rsid w:val="007A14C5"/>
    <w:rsid w:val="007A4A10"/>
    <w:rsid w:val="007A6A47"/>
    <w:rsid w:val="007B0654"/>
    <w:rsid w:val="007B1760"/>
    <w:rsid w:val="007C1FDC"/>
    <w:rsid w:val="007C6D9C"/>
    <w:rsid w:val="007C7DDB"/>
    <w:rsid w:val="007D2CC7"/>
    <w:rsid w:val="007D38EF"/>
    <w:rsid w:val="007D673D"/>
    <w:rsid w:val="007E0FB8"/>
    <w:rsid w:val="007E4D09"/>
    <w:rsid w:val="007F2220"/>
    <w:rsid w:val="007F4B3E"/>
    <w:rsid w:val="008127AF"/>
    <w:rsid w:val="00812B46"/>
    <w:rsid w:val="00815700"/>
    <w:rsid w:val="008264EB"/>
    <w:rsid w:val="00826B8F"/>
    <w:rsid w:val="00831E8A"/>
    <w:rsid w:val="00835C76"/>
    <w:rsid w:val="008376E2"/>
    <w:rsid w:val="00843049"/>
    <w:rsid w:val="0085209B"/>
    <w:rsid w:val="0085257E"/>
    <w:rsid w:val="00856B66"/>
    <w:rsid w:val="008601AC"/>
    <w:rsid w:val="00861A5F"/>
    <w:rsid w:val="008644AD"/>
    <w:rsid w:val="00865735"/>
    <w:rsid w:val="00865DDB"/>
    <w:rsid w:val="00867538"/>
    <w:rsid w:val="00873D90"/>
    <w:rsid w:val="00873FC8"/>
    <w:rsid w:val="00882F47"/>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0812"/>
    <w:rsid w:val="009344AE"/>
    <w:rsid w:val="009344DE"/>
    <w:rsid w:val="00945E7F"/>
    <w:rsid w:val="00947B4E"/>
    <w:rsid w:val="00950794"/>
    <w:rsid w:val="009557C1"/>
    <w:rsid w:val="00960D6E"/>
    <w:rsid w:val="00974B59"/>
    <w:rsid w:val="0098340B"/>
    <w:rsid w:val="00986830"/>
    <w:rsid w:val="009924C3"/>
    <w:rsid w:val="00993102"/>
    <w:rsid w:val="009A49B9"/>
    <w:rsid w:val="009B1570"/>
    <w:rsid w:val="009B6221"/>
    <w:rsid w:val="009C1268"/>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67FB5"/>
    <w:rsid w:val="00A705AF"/>
    <w:rsid w:val="00A719F6"/>
    <w:rsid w:val="00A72454"/>
    <w:rsid w:val="00A77696"/>
    <w:rsid w:val="00A80557"/>
    <w:rsid w:val="00A81D33"/>
    <w:rsid w:val="00A8341C"/>
    <w:rsid w:val="00A930AE"/>
    <w:rsid w:val="00AA1A95"/>
    <w:rsid w:val="00AA260F"/>
    <w:rsid w:val="00AA7B86"/>
    <w:rsid w:val="00AB1EE7"/>
    <w:rsid w:val="00AB4B37"/>
    <w:rsid w:val="00AB5762"/>
    <w:rsid w:val="00AC0808"/>
    <w:rsid w:val="00AC2679"/>
    <w:rsid w:val="00AC4BE4"/>
    <w:rsid w:val="00AD05E6"/>
    <w:rsid w:val="00AD0D3F"/>
    <w:rsid w:val="00AD18EB"/>
    <w:rsid w:val="00AE1D7D"/>
    <w:rsid w:val="00AE2A8B"/>
    <w:rsid w:val="00AE3EB1"/>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3916"/>
    <w:rsid w:val="00C060AD"/>
    <w:rsid w:val="00C113BF"/>
    <w:rsid w:val="00C2029D"/>
    <w:rsid w:val="00C2176E"/>
    <w:rsid w:val="00C23430"/>
    <w:rsid w:val="00C23670"/>
    <w:rsid w:val="00C27D67"/>
    <w:rsid w:val="00C4631F"/>
    <w:rsid w:val="00C47CDE"/>
    <w:rsid w:val="00C50E16"/>
    <w:rsid w:val="00C55258"/>
    <w:rsid w:val="00C71D0E"/>
    <w:rsid w:val="00C82EEB"/>
    <w:rsid w:val="00C87193"/>
    <w:rsid w:val="00C971DC"/>
    <w:rsid w:val="00CA16B7"/>
    <w:rsid w:val="00CA62AE"/>
    <w:rsid w:val="00CB5B1A"/>
    <w:rsid w:val="00CB646F"/>
    <w:rsid w:val="00CC220B"/>
    <w:rsid w:val="00CC5C43"/>
    <w:rsid w:val="00CD02AE"/>
    <w:rsid w:val="00CD2A4F"/>
    <w:rsid w:val="00CE03CA"/>
    <w:rsid w:val="00CE22F1"/>
    <w:rsid w:val="00CE50F2"/>
    <w:rsid w:val="00CE6502"/>
    <w:rsid w:val="00CF0041"/>
    <w:rsid w:val="00CF7D3C"/>
    <w:rsid w:val="00D01F09"/>
    <w:rsid w:val="00D147EB"/>
    <w:rsid w:val="00D30A14"/>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3B03"/>
    <w:rsid w:val="00DF486F"/>
    <w:rsid w:val="00DF5B5B"/>
    <w:rsid w:val="00DF7619"/>
    <w:rsid w:val="00DF7847"/>
    <w:rsid w:val="00E042D8"/>
    <w:rsid w:val="00E07EE7"/>
    <w:rsid w:val="00E1103B"/>
    <w:rsid w:val="00E17B44"/>
    <w:rsid w:val="00E20F27"/>
    <w:rsid w:val="00E22443"/>
    <w:rsid w:val="00E25B1F"/>
    <w:rsid w:val="00E27FEA"/>
    <w:rsid w:val="00E4086F"/>
    <w:rsid w:val="00E43B3C"/>
    <w:rsid w:val="00E474AB"/>
    <w:rsid w:val="00E50188"/>
    <w:rsid w:val="00E50BB3"/>
    <w:rsid w:val="00E515CB"/>
    <w:rsid w:val="00E52260"/>
    <w:rsid w:val="00E639B6"/>
    <w:rsid w:val="00E6434B"/>
    <w:rsid w:val="00E6463D"/>
    <w:rsid w:val="00E72E9B"/>
    <w:rsid w:val="00E73EBF"/>
    <w:rsid w:val="00E74186"/>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E4F94"/>
    <w:rsid w:val="00FF0AB0"/>
    <w:rsid w:val="00FF28AC"/>
    <w:rsid w:val="00FF777D"/>
    <w:rsid w:val="00FF7F62"/>
    <w:rsid w:val="02678EA0"/>
    <w:rsid w:val="0C49AC3D"/>
    <w:rsid w:val="10B7ECC0"/>
    <w:rsid w:val="11A7500D"/>
    <w:rsid w:val="30AAB187"/>
    <w:rsid w:val="318A7D70"/>
    <w:rsid w:val="34046BE5"/>
    <w:rsid w:val="3C3BEFD6"/>
    <w:rsid w:val="4DA87112"/>
    <w:rsid w:val="5D9C3C43"/>
    <w:rsid w:val="6586363F"/>
    <w:rsid w:val="77906A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62E2D"/>
  <w15:docId w15:val="{405D4D27-1503-4396-9774-6832CC00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styleId="Revision">
    <w:name w:val="Revision"/>
    <w:hidden/>
    <w:uiPriority w:val="99"/>
    <w:semiHidden/>
    <w:rsid w:val="004116DE"/>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C71D0E"/>
    <w:rPr>
      <w:sz w:val="16"/>
      <w:szCs w:val="16"/>
    </w:rPr>
  </w:style>
  <w:style w:type="paragraph" w:styleId="CommentText">
    <w:name w:val="annotation text"/>
    <w:basedOn w:val="Normal"/>
    <w:link w:val="CommentTextChar"/>
    <w:unhideWhenUsed/>
    <w:rsid w:val="00C71D0E"/>
    <w:pPr>
      <w:spacing w:line="240" w:lineRule="auto"/>
    </w:pPr>
    <w:rPr>
      <w:sz w:val="20"/>
      <w:szCs w:val="20"/>
    </w:rPr>
  </w:style>
  <w:style w:type="character" w:customStyle="1" w:styleId="CommentTextChar">
    <w:name w:val="Comment Text Char"/>
    <w:basedOn w:val="DefaultParagraphFont"/>
    <w:link w:val="CommentText"/>
    <w:rsid w:val="00C71D0E"/>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C71D0E"/>
    <w:rPr>
      <w:b/>
      <w:bCs/>
    </w:rPr>
  </w:style>
  <w:style w:type="character" w:customStyle="1" w:styleId="CommentSubjectChar">
    <w:name w:val="Comment Subject Char"/>
    <w:basedOn w:val="CommentTextChar"/>
    <w:link w:val="CommentSubject"/>
    <w:semiHidden/>
    <w:rsid w:val="00C71D0E"/>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7897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4DC19C-003D-4F13-89AD-46D1ACAE2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419</Words>
  <Characters>2443</Characters>
  <Application>Microsoft Office Word</Application>
  <DocSecurity>0</DocSecurity>
  <Lines>45</Lines>
  <Paragraphs>20</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Fact sheet 1 – Overview</dc:title>
  <dc:subject>Emergency health management</dc:subject>
  <dc:creator>Australian Centre for Disease Control</dc:creator>
  <cp:keywords>Security Sensitive Biological Agents (SSBA) Regulatory Scheme</cp:keywords>
  <dc:description/>
  <dcterms:created xsi:type="dcterms:W3CDTF">2025-11-12T19:25:00Z</dcterms:created>
  <dcterms:modified xsi:type="dcterms:W3CDTF">2025-12-24T01:30:00Z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ClassificationContentMarkingHeaderShapeIds">
    <vt:lpwstr>64e7a417,657a3d2c,5fcf731b</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7c2994c,77633b28,20e16b97</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2025-11-12T00:25:57Z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a12e28b9-8b4d-4296-afae-abe7787045d8</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