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5BCE" w14:textId="0738080F" w:rsidR="00BA2732" w:rsidRDefault="00032752" w:rsidP="003D033A">
      <w:pPr>
        <w:pStyle w:val="Title"/>
      </w:pPr>
      <w:r w:rsidRPr="00032752">
        <w:t>SSBA – Fact sheet 2 – About us</w:t>
      </w:r>
    </w:p>
    <w:p w14:paraId="31AED3E4" w14:textId="701A829A" w:rsidR="00B53987" w:rsidRPr="00B53987" w:rsidRDefault="3AA4C2C0" w:rsidP="00032752">
      <w:pPr>
        <w:pStyle w:val="Subtitle"/>
      </w:pPr>
      <w:r>
        <w:t>January</w:t>
      </w:r>
      <w:r w:rsidR="3C23869D">
        <w:t xml:space="preserve"> 202</w:t>
      </w:r>
      <w:r w:rsidR="502DEEAC">
        <w:t>6</w:t>
      </w:r>
    </w:p>
    <w:p w14:paraId="18FE3142" w14:textId="5F373349" w:rsidR="00032752" w:rsidRPr="00032752" w:rsidRDefault="00032752" w:rsidP="00032752">
      <w:r>
        <w:t>The</w:t>
      </w:r>
      <w:r w:rsidR="00FD0306">
        <w:t xml:space="preserve"> </w:t>
      </w:r>
      <w:r w:rsidRPr="05552989">
        <w:rPr>
          <w:i/>
          <w:iCs/>
        </w:rPr>
        <w:t>Report on the Regulation and Control of Hazardous Biological Materials</w:t>
      </w:r>
      <w:r w:rsidR="00FD0306">
        <w:t xml:space="preserve"> </w:t>
      </w:r>
      <w:r>
        <w:t xml:space="preserve">recommended establishing a national regulatory regime based on a risk management approach. It also recommended that administration of the national regulatory scheme should be given to a responsible body. This responsible body resides within the Australian </w:t>
      </w:r>
      <w:r w:rsidR="09F4FBFF">
        <w:t>Centre for Disease Control (CDC)</w:t>
      </w:r>
      <w:r w:rsidR="008E2FDF">
        <w:t>.</w:t>
      </w:r>
    </w:p>
    <w:p w14:paraId="6AB4815F" w14:textId="177C0523" w:rsidR="00032752" w:rsidRPr="00032752" w:rsidRDefault="00032752" w:rsidP="00032752">
      <w:r>
        <w:t xml:space="preserve">The </w:t>
      </w:r>
      <w:r w:rsidR="20CDD8B0">
        <w:t>Public Health</w:t>
      </w:r>
      <w:r w:rsidR="6F9633AB">
        <w:t xml:space="preserve"> Division</w:t>
      </w:r>
      <w:r>
        <w:t xml:space="preserve"> (</w:t>
      </w:r>
      <w:r w:rsidR="5CF01777">
        <w:t>P</w:t>
      </w:r>
      <w:r w:rsidR="72B98F0A">
        <w:t>H</w:t>
      </w:r>
      <w:r w:rsidR="5CF01777">
        <w:t>D</w:t>
      </w:r>
      <w:r>
        <w:t>) within the</w:t>
      </w:r>
      <w:r w:rsidR="182FFAF2">
        <w:t xml:space="preserve"> Australian CDC</w:t>
      </w:r>
      <w:r>
        <w:t xml:space="preserve"> is the division responsible for administering the Security Sensitive Biological Agents (SSBA) Regulatory Scheme.</w:t>
      </w:r>
    </w:p>
    <w:p w14:paraId="29D415E5" w14:textId="77777777" w:rsidR="00032752" w:rsidRPr="00032752" w:rsidRDefault="00032752" w:rsidP="00032752">
      <w:r w:rsidRPr="00032752">
        <w:t>The SSBA Regulatory Scheme includes:</w:t>
      </w:r>
    </w:p>
    <w:p w14:paraId="4858B9BF" w14:textId="77777777" w:rsidR="00032752" w:rsidRPr="00032752" w:rsidRDefault="00032752" w:rsidP="00032752">
      <w:pPr>
        <w:pStyle w:val="ListParagraph"/>
        <w:numPr>
          <w:ilvl w:val="0"/>
          <w:numId w:val="29"/>
        </w:numPr>
      </w:pPr>
      <w:r w:rsidRPr="00032752">
        <w:t>The </w:t>
      </w:r>
      <w:r w:rsidRPr="00032752">
        <w:rPr>
          <w:i/>
          <w:iCs/>
        </w:rPr>
        <w:t>National Health Security Act 2007</w:t>
      </w:r>
      <w:r w:rsidRPr="00032752">
        <w:t> (NHS Act).</w:t>
      </w:r>
    </w:p>
    <w:p w14:paraId="0EDAC023" w14:textId="7485DDAF" w:rsidR="00032752" w:rsidRPr="00032752" w:rsidRDefault="00032752" w:rsidP="00032752">
      <w:pPr>
        <w:pStyle w:val="ListParagraph"/>
        <w:numPr>
          <w:ilvl w:val="0"/>
          <w:numId w:val="29"/>
        </w:numPr>
      </w:pPr>
      <w:r>
        <w:t>The National Health Security Regulations 20</w:t>
      </w:r>
      <w:r w:rsidR="05DC91A7">
        <w:t>1</w:t>
      </w:r>
      <w:r>
        <w:t>8 (NHS Regulations).</w:t>
      </w:r>
    </w:p>
    <w:p w14:paraId="7909B9D5" w14:textId="77777777" w:rsidR="00032752" w:rsidRPr="00032752" w:rsidRDefault="00032752" w:rsidP="00032752">
      <w:pPr>
        <w:pStyle w:val="ListParagraph"/>
        <w:numPr>
          <w:ilvl w:val="0"/>
          <w:numId w:val="29"/>
        </w:numPr>
      </w:pPr>
      <w:r w:rsidRPr="00032752">
        <w:t>The SSBA Standards.</w:t>
      </w:r>
    </w:p>
    <w:p w14:paraId="052B0649" w14:textId="77777777" w:rsidR="00032752" w:rsidRPr="00032752" w:rsidRDefault="00032752" w:rsidP="00032752">
      <w:pPr>
        <w:pStyle w:val="ListParagraph"/>
        <w:numPr>
          <w:ilvl w:val="0"/>
          <w:numId w:val="29"/>
        </w:numPr>
      </w:pPr>
      <w:r w:rsidRPr="00032752">
        <w:t>The National Register of Security Sensitive Biological Agents (National Register).</w:t>
      </w:r>
    </w:p>
    <w:p w14:paraId="5E9CD331" w14:textId="77777777" w:rsidR="00032752" w:rsidRPr="00032752" w:rsidRDefault="00032752" w:rsidP="00032752">
      <w:pPr>
        <w:pStyle w:val="ListParagraph"/>
        <w:numPr>
          <w:ilvl w:val="0"/>
          <w:numId w:val="29"/>
        </w:numPr>
      </w:pPr>
      <w:r w:rsidRPr="00032752">
        <w:t>Registration and reporting processes.</w:t>
      </w:r>
    </w:p>
    <w:p w14:paraId="415EF33D" w14:textId="77777777" w:rsidR="00032752" w:rsidRPr="00032752" w:rsidRDefault="00032752" w:rsidP="00032752">
      <w:pPr>
        <w:pStyle w:val="ListParagraph"/>
        <w:numPr>
          <w:ilvl w:val="0"/>
          <w:numId w:val="29"/>
        </w:numPr>
      </w:pPr>
      <w:r w:rsidRPr="00032752">
        <w:t>An inspection program.</w:t>
      </w:r>
    </w:p>
    <w:p w14:paraId="72A64F56" w14:textId="77777777" w:rsidR="00032752" w:rsidRPr="00032752" w:rsidRDefault="00032752" w:rsidP="00032752">
      <w:pPr>
        <w:pStyle w:val="ListParagraph"/>
        <w:numPr>
          <w:ilvl w:val="0"/>
          <w:numId w:val="29"/>
        </w:numPr>
      </w:pPr>
      <w:r w:rsidRPr="00032752">
        <w:t>An education and awareness raising campaign.</w:t>
      </w:r>
    </w:p>
    <w:p w14:paraId="713E90D2" w14:textId="5D4301EF" w:rsidR="00032752" w:rsidRPr="00032752" w:rsidRDefault="00032752" w:rsidP="00032752">
      <w:r>
        <w:t>The ongoing work of P</w:t>
      </w:r>
      <w:r w:rsidR="6B492085">
        <w:t>H</w:t>
      </w:r>
      <w:r w:rsidR="36277566">
        <w:t>D</w:t>
      </w:r>
      <w:r>
        <w:t xml:space="preserve"> includes:</w:t>
      </w:r>
    </w:p>
    <w:p w14:paraId="0846CECA" w14:textId="77777777" w:rsidR="00032752" w:rsidRPr="00032752" w:rsidRDefault="00032752" w:rsidP="00032752">
      <w:pPr>
        <w:pStyle w:val="ListParagraph"/>
        <w:numPr>
          <w:ilvl w:val="0"/>
          <w:numId w:val="30"/>
        </w:numPr>
      </w:pPr>
      <w:r w:rsidRPr="00032752">
        <w:t>Monitoring the registration and reporting of Australian entities and facilities handling SSBAs.</w:t>
      </w:r>
    </w:p>
    <w:p w14:paraId="1F77D0A9" w14:textId="77777777" w:rsidR="00032752" w:rsidRPr="00032752" w:rsidRDefault="00032752" w:rsidP="00032752">
      <w:pPr>
        <w:pStyle w:val="ListParagraph"/>
        <w:numPr>
          <w:ilvl w:val="0"/>
          <w:numId w:val="30"/>
        </w:numPr>
      </w:pPr>
      <w:r w:rsidRPr="00032752">
        <w:t>Managing the National Register.</w:t>
      </w:r>
    </w:p>
    <w:p w14:paraId="528C9C7D" w14:textId="77777777" w:rsidR="00032752" w:rsidRPr="00032752" w:rsidRDefault="00032752" w:rsidP="00032752">
      <w:pPr>
        <w:pStyle w:val="ListParagraph"/>
        <w:numPr>
          <w:ilvl w:val="0"/>
          <w:numId w:val="30"/>
        </w:numPr>
      </w:pPr>
      <w:r w:rsidRPr="00032752">
        <w:t>Monitoring and reviewing the regulatory scheme.</w:t>
      </w:r>
    </w:p>
    <w:p w14:paraId="775C50FB" w14:textId="77777777" w:rsidR="00032752" w:rsidRPr="00032752" w:rsidRDefault="00032752" w:rsidP="00032752">
      <w:pPr>
        <w:pStyle w:val="ListParagraph"/>
        <w:numPr>
          <w:ilvl w:val="0"/>
          <w:numId w:val="30"/>
        </w:numPr>
      </w:pPr>
      <w:r w:rsidRPr="00032752">
        <w:t>Co-ordinating reviews of the List of SSBAs.</w:t>
      </w:r>
    </w:p>
    <w:p w14:paraId="2B9BAAC4" w14:textId="77777777" w:rsidR="00032752" w:rsidRPr="00032752" w:rsidRDefault="00032752" w:rsidP="00032752">
      <w:pPr>
        <w:pStyle w:val="ListParagraph"/>
        <w:numPr>
          <w:ilvl w:val="0"/>
          <w:numId w:val="30"/>
        </w:numPr>
      </w:pPr>
      <w:r w:rsidRPr="00032752">
        <w:t>Managing the ongoing education and awareness-raising campaign.</w:t>
      </w:r>
    </w:p>
    <w:p w14:paraId="0DF2E52B" w14:textId="774119E2" w:rsidR="00032752" w:rsidRPr="00032752" w:rsidRDefault="00032752" w:rsidP="00032752">
      <w:pPr>
        <w:pStyle w:val="Heading1"/>
      </w:pPr>
      <w:r w:rsidRPr="00032752">
        <w:t xml:space="preserve">Contact </w:t>
      </w:r>
      <w:r>
        <w:t>d</w:t>
      </w:r>
      <w:r w:rsidRPr="00032752">
        <w:t>etails</w:t>
      </w:r>
    </w:p>
    <w:p w14:paraId="3A1E41FC" w14:textId="5812C720" w:rsidR="00032752" w:rsidRDefault="29B2AC38" w:rsidP="00032752">
      <w:pPr>
        <w:pStyle w:val="NoSpacing"/>
      </w:pPr>
      <w:r>
        <w:t>The Director</w:t>
      </w:r>
      <w:r w:rsidR="00032752">
        <w:br/>
      </w:r>
      <w:r w:rsidR="19334C03">
        <w:t>Laboratories</w:t>
      </w:r>
      <w:r w:rsidR="33C6666F">
        <w:t xml:space="preserve"> and Pathogen Security </w:t>
      </w:r>
      <w:r w:rsidR="00032752">
        <w:t>Section</w:t>
      </w:r>
    </w:p>
    <w:p w14:paraId="5CB2F94A" w14:textId="77777777" w:rsidR="00032752" w:rsidRDefault="00032752" w:rsidP="00032752">
      <w:pPr>
        <w:pStyle w:val="NoSpacing"/>
      </w:pPr>
      <w:r w:rsidRPr="00032752">
        <w:t>Phone: (02) 6289 7477</w:t>
      </w:r>
    </w:p>
    <w:p w14:paraId="0EAC7728" w14:textId="593470DD" w:rsidR="00F85E3B" w:rsidRDefault="00032752" w:rsidP="00032752">
      <w:pPr>
        <w:pStyle w:val="NoSpacing"/>
      </w:pPr>
      <w:r w:rsidRPr="00032752">
        <w:t>Email: </w:t>
      </w:r>
      <w:hyperlink r:id="rId11" w:history="1">
        <w:r w:rsidR="00F85E3B" w:rsidRPr="00F85E3B">
          <w:rPr>
            <w:rStyle w:val="Hyperlink"/>
          </w:rPr>
          <w:t>SSBA</w:t>
        </w:r>
        <w:r w:rsidR="00F85E3B" w:rsidRPr="00BA0535">
          <w:rPr>
            <w:rStyle w:val="Hyperlink"/>
          </w:rPr>
          <w:t>@cdc.gov.au</w:t>
        </w:r>
      </w:hyperlink>
    </w:p>
    <w:p w14:paraId="29FB9A1B" w14:textId="14111BE0" w:rsidR="00032752" w:rsidRPr="00006E3D" w:rsidRDefault="00032752" w:rsidP="1F48E68A">
      <w:pPr>
        <w:pStyle w:val="NoSpacing"/>
        <w:rPr>
          <w:rStyle w:val="Hyperlink"/>
          <w:color w:val="000000" w:themeColor="text1"/>
          <w:u w:val="none"/>
        </w:rPr>
      </w:pPr>
      <w:r>
        <w:t>Web:</w:t>
      </w:r>
      <w:r w:rsidR="003F2372">
        <w:t xml:space="preserve"> </w:t>
      </w:r>
      <w:hyperlink r:id="rId12" w:history="1">
        <w:r w:rsidR="003F2372" w:rsidRPr="4CCC59CD">
          <w:rPr>
            <w:rStyle w:val="Hyperlink"/>
          </w:rPr>
          <w:t>www.cdc.gov.au/ssba</w:t>
        </w:r>
      </w:hyperlink>
    </w:p>
    <w:p w14:paraId="1051CDF6" w14:textId="77777777" w:rsidR="00032752" w:rsidRDefault="00032752" w:rsidP="00032752">
      <w:pPr>
        <w:pStyle w:val="NoSpacing"/>
      </w:pPr>
      <w:r w:rsidRPr="00032752">
        <w:t>Address: MDP 140</w:t>
      </w:r>
    </w:p>
    <w:p w14:paraId="2193EB8E" w14:textId="0F56CF0D" w:rsidR="009040E9" w:rsidRPr="009040E9" w:rsidRDefault="00032752" w:rsidP="00032752">
      <w:pPr>
        <w:pStyle w:val="NoSpacing"/>
      </w:pPr>
      <w:r w:rsidRPr="00032752">
        <w:t>GPO Box 9848</w:t>
      </w:r>
    </w:p>
    <w:sectPr w:rsidR="009040E9" w:rsidRPr="009040E9" w:rsidSect="00B53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79AD" w14:textId="77777777" w:rsidR="00AB2036" w:rsidRDefault="00AB2036" w:rsidP="006B56BB">
      <w:r>
        <w:separator/>
      </w:r>
    </w:p>
    <w:p w14:paraId="45718AE9" w14:textId="77777777" w:rsidR="00AB2036" w:rsidRDefault="00AB2036"/>
  </w:endnote>
  <w:endnote w:type="continuationSeparator" w:id="0">
    <w:p w14:paraId="5EF2933D" w14:textId="77777777" w:rsidR="00AB2036" w:rsidRDefault="00AB2036" w:rsidP="006B56BB">
      <w:r>
        <w:continuationSeparator/>
      </w:r>
    </w:p>
    <w:p w14:paraId="1B07720A" w14:textId="77777777" w:rsidR="00AB2036" w:rsidRDefault="00AB2036"/>
  </w:endnote>
  <w:endnote w:type="continuationNotice" w:id="1">
    <w:p w14:paraId="530FD2D9" w14:textId="77777777" w:rsidR="00AB2036" w:rsidRDefault="00AB2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1D3B" w14:textId="0865278E" w:rsidR="00256EDB" w:rsidRDefault="00256E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BAB1E7F" wp14:editId="5EBDB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332868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5D56F" w14:textId="4FE9D97E" w:rsidR="00256EDB" w:rsidRPr="00256EDB" w:rsidRDefault="00256EDB" w:rsidP="00256E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56E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BAB1E7F">
              <v:stroke joinstyle="miter"/>
              <v:path gradientshapeok="t" o:connecttype="rect"/>
            </v:shapetype>
            <v:shape id="Text Box 5" style="position:absolute;left:0;text-align:left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<v:textbox style="mso-fit-shape-to-text:t" inset="0,0,0,15pt">
                <w:txbxContent>
                  <w:p w:rsidRPr="00256EDB" w:rsidR="00256EDB" w:rsidP="00256EDB" w:rsidRDefault="00256EDB" w14:paraId="3855D56F" w14:textId="4FE9D97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56ED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7E87" w14:textId="7EF62DC5" w:rsidR="00B53987" w:rsidRDefault="00256EDB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A8A037C" wp14:editId="5BB48A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8844524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B63AC" w14:textId="07AB7ED3" w:rsidR="00256EDB" w:rsidRPr="00256EDB" w:rsidRDefault="00256EDB" w:rsidP="00256E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56E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A8A037C">
              <v:stroke joinstyle="miter"/>
              <v:path gradientshapeok="t" o:connecttype="rect"/>
            </v:shapetype>
            <v:shape id="Text Box 6" style="position:absolute;left:0;text-align:left;margin-left:0;margin-top:0;width:48pt;height:38.2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<v:textbox style="mso-fit-shape-to-text:t" inset="0,0,0,15pt">
                <w:txbxContent>
                  <w:p w:rsidRPr="00256EDB" w:rsidR="00256EDB" w:rsidP="00256EDB" w:rsidRDefault="00256EDB" w14:paraId="3B7B63AC" w14:textId="07AB7ED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56ED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5552989" w:rsidRPr="00DE3355">
      <w:t xml:space="preserve">About Us 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5552989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D62E" w14:textId="491BE9D7" w:rsidR="00B53987" w:rsidRDefault="00256EDB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EE6C747" wp14:editId="003FC9D2">
              <wp:simplePos x="0" y="0"/>
              <wp:positionH relativeFrom="margin">
                <wp:align>center</wp:align>
              </wp:positionH>
              <wp:positionV relativeFrom="page">
                <wp:posOffset>10354310</wp:posOffset>
              </wp:positionV>
              <wp:extent cx="609600" cy="485775"/>
              <wp:effectExtent l="0" t="0" r="6350" b="0"/>
              <wp:wrapNone/>
              <wp:docPr id="219707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E2A88" w14:textId="0A826EB6" w:rsidR="00256EDB" w:rsidRPr="00256EDB" w:rsidRDefault="00256EDB" w:rsidP="00256E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56E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6C7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815.3pt;width:48pt;height:38.25pt;z-index:251658245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" filled="f" stroked="f">
              <v:textbox style="mso-fit-shape-to-text:t" inset="0,0,0,15pt">
                <w:txbxContent>
                  <w:p w14:paraId="100E2A88" w14:textId="0A826EB6" w:rsidR="00256EDB" w:rsidRPr="00256EDB" w:rsidRDefault="00256EDB" w:rsidP="00256E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56E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F242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BA8CD5" wp14:editId="1AC4289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324000"/>
              <wp:effectExtent l="0" t="0" r="0" b="635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24000"/>
                      </a:xfrm>
                      <a:prstGeom prst="rect">
                        <a:avLst/>
                      </a:prstGeom>
                      <a:solidFill>
                        <a:srgbClr val="4F26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E1462" id="Rectangle 2" o:spid="_x0000_s1026" alt="&quot;&quot;" style="position:absolute;margin-left:0;margin-top:0;width:595.3pt;height:25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" fillcolor="#4f2683" stroked="f" strokeweight="2pt">
              <w10:wrap anchorx="page" anchory="page"/>
            </v:rect>
          </w:pict>
        </mc:Fallback>
      </mc:AlternateContent>
    </w:r>
    <w:r w:rsidR="00032752" w:rsidRPr="00032752">
      <w:t>SSBA – Fact sheet 2 – About us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8F4A" w14:textId="77777777" w:rsidR="00AB2036" w:rsidRDefault="00AB2036" w:rsidP="006B56BB">
      <w:r>
        <w:separator/>
      </w:r>
    </w:p>
    <w:p w14:paraId="3FD8031E" w14:textId="77777777" w:rsidR="00AB2036" w:rsidRDefault="00AB2036"/>
  </w:footnote>
  <w:footnote w:type="continuationSeparator" w:id="0">
    <w:p w14:paraId="5AC1FE0E" w14:textId="77777777" w:rsidR="00AB2036" w:rsidRDefault="00AB2036" w:rsidP="006B56BB">
      <w:r>
        <w:continuationSeparator/>
      </w:r>
    </w:p>
    <w:p w14:paraId="5F3C4EF4" w14:textId="77777777" w:rsidR="00AB2036" w:rsidRDefault="00AB2036"/>
  </w:footnote>
  <w:footnote w:type="continuationNotice" w:id="1">
    <w:p w14:paraId="50D4D3CF" w14:textId="77777777" w:rsidR="00AB2036" w:rsidRDefault="00AB2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B5F1" w14:textId="59F62AFF" w:rsidR="00256EDB" w:rsidRDefault="00256E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DC680E" wp14:editId="48DD2D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0392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26262" w14:textId="2D950492" w:rsidR="00256EDB" w:rsidRPr="00256EDB" w:rsidRDefault="00256EDB" w:rsidP="00256E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56E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3DC680E">
              <v:stroke joinstyle="miter"/>
              <v:path gradientshapeok="t" o:connecttype="rect"/>
            </v:shapetype>
            <v:shape id="Text Box 2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textbox style="mso-fit-shape-to-text:t" inset="0,15pt,0,0">
                <w:txbxContent>
                  <w:p w:rsidRPr="00256EDB" w:rsidR="00256EDB" w:rsidP="00256EDB" w:rsidRDefault="00256EDB" w14:paraId="02526262" w14:textId="2D95049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56ED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A35A" w14:textId="748B9990" w:rsidR="008E0C77" w:rsidRDefault="00256EDB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8F155C" wp14:editId="1BE7B5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8182710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0B86A" w14:textId="5AFFA19C" w:rsidR="00256EDB" w:rsidRPr="00256EDB" w:rsidRDefault="00256EDB" w:rsidP="00256E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56E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A8F155C">
              <v:stroke joinstyle="miter"/>
              <v:path gradientshapeok="t" o:connecttype="rect"/>
            </v:shapetype>
            <v:shape id="Text Box 3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>
              <v:textbox style="mso-fit-shape-to-text:t" inset="0,15pt,0,0">
                <w:txbxContent>
                  <w:p w:rsidRPr="00256EDB" w:rsidR="00256EDB" w:rsidP="00256EDB" w:rsidRDefault="00256EDB" w14:paraId="5090B86A" w14:textId="5AFFA19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56ED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E1E3" w14:textId="7B3B962B" w:rsidR="00B53987" w:rsidRDefault="00C47B0C">
    <w:pPr>
      <w:pStyle w:val="Header"/>
    </w:pPr>
    <w:r>
      <w:rPr>
        <w:noProof/>
      </w:rPr>
      <w:drawing>
        <wp:anchor distT="0" distB="0" distL="114300" distR="114300" simplePos="0" relativeHeight="251662343" behindDoc="0" locked="0" layoutInCell="1" allowOverlap="1" wp14:anchorId="7DC04068" wp14:editId="598D3F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6" cy="2058352"/>
          <wp:effectExtent l="0" t="0" r="3175" b="0"/>
          <wp:wrapSquare wrapText="bothSides"/>
          <wp:docPr id="892693847" name="Picture 892693847" descr="Security Sensitive Biological Agents Regulatory Sche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curity Sensitive Biological Agents Regulatory Scheme logo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775" b="99556" l="3548" r="96815">
                                <a14:foregroundMark x1="82903" y1="888" x2="84073" y2="50296"/>
                                <a14:foregroundMark x1="84073" y1="50296" x2="90766" y2="46893"/>
                                <a14:foregroundMark x1="90766" y1="46893" x2="77056" y2="84172"/>
                                <a14:foregroundMark x1="77056" y1="84172" x2="11371" y2="69231"/>
                                <a14:foregroundMark x1="11371" y1="69231" x2="21089" y2="93343"/>
                                <a14:foregroundMark x1="21089" y1="93343" x2="36774" y2="98077"/>
                                <a14:foregroundMark x1="36774" y1="98077" x2="19395" y2="82249"/>
                                <a14:foregroundMark x1="19395" y1="82249" x2="43185" y2="91272"/>
                                <a14:foregroundMark x1="43185" y1="91272" x2="52661" y2="91124"/>
                                <a14:foregroundMark x1="52661" y1="91124" x2="66895" y2="95562"/>
                                <a14:foregroundMark x1="66895" y1="95562" x2="16492" y2="90828"/>
                                <a14:foregroundMark x1="16492" y1="90828" x2="10605" y2="99556"/>
                                <a14:foregroundMark x1="10605" y1="99556" x2="17863" y2="96302"/>
                                <a14:foregroundMark x1="17863" y1="96302" x2="31169" y2="98077"/>
                                <a14:foregroundMark x1="31169" y1="98077" x2="23952" y2="90533"/>
                                <a14:foregroundMark x1="23952" y1="90533" x2="43266" y2="86834"/>
                                <a14:foregroundMark x1="43266" y1="86834" x2="33105" y2="95414"/>
                                <a14:foregroundMark x1="33105" y1="95414" x2="17903" y2="86243"/>
                                <a14:foregroundMark x1="17903" y1="86243" x2="10887" y2="91568"/>
                                <a14:foregroundMark x1="10887" y1="91568" x2="26573" y2="99112"/>
                                <a14:foregroundMark x1="26573" y1="99112" x2="52258" y2="97041"/>
                                <a14:foregroundMark x1="52258" y1="97041" x2="37903" y2="92751"/>
                                <a14:foregroundMark x1="37903" y1="92751" x2="63266" y2="79586"/>
                                <a14:foregroundMark x1="63266" y1="79586" x2="47419" y2="79290"/>
                                <a14:foregroundMark x1="47419" y1="79290" x2="68952" y2="91272"/>
                                <a14:foregroundMark x1="68952" y1="91272" x2="59234" y2="97189"/>
                                <a14:foregroundMark x1="59234" y1="97189" x2="68065" y2="97189"/>
                                <a14:foregroundMark x1="68065" y1="97189" x2="80081" y2="96893"/>
                                <a14:foregroundMark x1="80081" y1="96893" x2="94637" y2="99556"/>
                                <a14:foregroundMark x1="94637" y1="99556" x2="59435" y2="78254"/>
                                <a14:foregroundMark x1="59435" y1="78254" x2="68831" y2="82988"/>
                                <a14:foregroundMark x1="68831" y1="82988" x2="48145" y2="82249"/>
                                <a14:foregroundMark x1="48145" y1="82249" x2="72984" y2="80621"/>
                                <a14:foregroundMark x1="72984" y1="80621" x2="83468" y2="83284"/>
                                <a14:foregroundMark x1="83468" y1="83284" x2="89234" y2="94527"/>
                                <a14:foregroundMark x1="89234" y1="94527" x2="91734" y2="94822"/>
                                <a14:foregroundMark x1="12339" y1="83284" x2="12460" y2="80030"/>
                                <a14:foregroundMark x1="85927" y1="26331" x2="93589" y2="80621"/>
                                <a14:foregroundMark x1="93589" y1="80621" x2="96653" y2="53846"/>
                                <a14:foregroundMark x1="96653" y1="53846" x2="94677" y2="76627"/>
                                <a14:foregroundMark x1="94677" y1="76627" x2="93226" y2="30325"/>
                                <a14:foregroundMark x1="93226" y1="30325" x2="91411" y2="55325"/>
                                <a14:foregroundMark x1="91411" y1="55325" x2="95524" y2="37278"/>
                                <a14:foregroundMark x1="95524" y1="37278" x2="95726" y2="13018"/>
                                <a14:foregroundMark x1="95726" y1="13018" x2="94395" y2="48077"/>
                                <a14:foregroundMark x1="94395" y1="48077" x2="91694" y2="26923"/>
                                <a14:foregroundMark x1="91694" y1="26923" x2="91532" y2="51479"/>
                                <a14:foregroundMark x1="91532" y1="51479" x2="90444" y2="26627"/>
                                <a14:foregroundMark x1="90444" y1="26627" x2="94153" y2="6509"/>
                                <a14:foregroundMark x1="94153" y1="6509" x2="96250" y2="41716"/>
                                <a14:foregroundMark x1="96250" y1="41716" x2="88065" y2="28254"/>
                                <a14:foregroundMark x1="88065" y1="28254" x2="83306" y2="43935"/>
                                <a14:foregroundMark x1="83306" y1="43935" x2="83427" y2="38905"/>
                                <a14:foregroundMark x1="93387" y1="81065" x2="87823" y2="64201"/>
                                <a14:foregroundMark x1="87823" y1="64201" x2="94032" y2="73669"/>
                                <a14:foregroundMark x1="94032" y1="73669" x2="96815" y2="50888"/>
                                <a14:foregroundMark x1="96815" y1="50888" x2="95524" y2="99556"/>
                                <a14:foregroundMark x1="80645" y1="21746" x2="79476" y2="52071"/>
                                <a14:foregroundMark x1="79476" y1="52071" x2="93065" y2="6509"/>
                                <a14:foregroundMark x1="93065" y1="6509" x2="93871" y2="6065"/>
                                <a14:foregroundMark x1="92379" y1="1923" x2="96129" y2="13905"/>
                                <a14:foregroundMark x1="79758" y1="26775" x2="53065" y2="51775"/>
                                <a14:foregroundMark x1="53065" y1="51775" x2="60605" y2="34320"/>
                                <a14:foregroundMark x1="60605" y1="34320" x2="54556" y2="68195"/>
                                <a14:foregroundMark x1="54556" y1="68195" x2="71815" y2="78550"/>
                                <a14:foregroundMark x1="71815" y1="78550" x2="61331" y2="77811"/>
                                <a14:foregroundMark x1="61331" y1="77811" x2="79516" y2="65828"/>
                                <a14:foregroundMark x1="79516" y1="65828" x2="77419" y2="42899"/>
                                <a14:foregroundMark x1="77419" y1="42899" x2="73952" y2="64497"/>
                                <a14:foregroundMark x1="73952" y1="64497" x2="71935" y2="56953"/>
                                <a14:foregroundMark x1="63266" y1="50000" x2="67540" y2="58284"/>
                                <a14:foregroundMark x1="62621" y1="53254" x2="64516" y2="52367"/>
                                <a14:foregroundMark x1="11331" y1="80473" x2="5202" y2="91124"/>
                                <a14:foregroundMark x1="5202" y1="91124" x2="3548" y2="99556"/>
                                <a14:backgroundMark x1="63295" y1="54944" x2="62944" y2="57840"/>
                                <a14:backgroundMark x1="64708" y1="43263" x2="64043" y2="48755"/>
                                <a14:backgroundMark x1="68548" y1="11538" x2="65362" y2="37865"/>
                                <a14:backgroundMark x1="55591" y1="57817" x2="16452" y2="57692"/>
                                <a14:backgroundMark x1="62944" y1="57840" x2="57227" y2="57822"/>
                                <a14:backgroundMark x1="16452" y1="57692" x2="7621" y2="44379"/>
                                <a14:backgroundMark x1="7621" y1="44379" x2="7097" y2="20858"/>
                                <a14:backgroundMark x1="7097" y1="20858" x2="24597" y2="20414"/>
                                <a14:backgroundMark x1="24597" y1="20414" x2="50161" y2="29586"/>
                                <a14:backgroundMark x1="50161" y1="29586" x2="65605" y2="27663"/>
                                <a14:backgroundMark x1="65605" y1="27663" x2="26935" y2="32396"/>
                                <a14:backgroundMark x1="26935" y1="32396" x2="18065" y2="23817"/>
                                <a14:backgroundMark x1="18065" y1="23817" x2="28266" y2="44675"/>
                                <a14:backgroundMark x1="28266" y1="44675" x2="55444" y2="57544"/>
                                <a14:backgroundMark x1="52919" y1="52913" x2="49234" y2="46154"/>
                                <a14:backgroundMark x1="53421" y1="53834" x2="53112" y2="53268"/>
                                <a14:backgroundMark x1="55444" y1="57544" x2="53530" y2="54034"/>
                                <a14:backgroundMark x1="49234" y1="46154" x2="50040" y2="47189"/>
                              </a14:backgroundRemoval>
                            </a14:imgEffect>
                            <a14:imgEffect>
                              <a14:saturation sat="105000"/>
                            </a14:imgEffect>
                            <a14:imgEffect>
                              <a14:brightnessContrast contras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205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0F0">
      <w:rPr>
        <w:noProof/>
      </w:rPr>
      <w:drawing>
        <wp:anchor distT="0" distB="0" distL="114300" distR="114300" simplePos="0" relativeHeight="251663367" behindDoc="0" locked="0" layoutInCell="1" allowOverlap="1" wp14:anchorId="1AD159BB" wp14:editId="6C6C258F">
          <wp:simplePos x="0" y="0"/>
          <wp:positionH relativeFrom="column">
            <wp:posOffset>-440690</wp:posOffset>
          </wp:positionH>
          <wp:positionV relativeFrom="paragraph">
            <wp:posOffset>-154940</wp:posOffset>
          </wp:positionV>
          <wp:extent cx="2343477" cy="771633"/>
          <wp:effectExtent l="0" t="0" r="0" b="9525"/>
          <wp:wrapNone/>
          <wp:docPr id="1584276323" name="Picture 1" descr="Australian Centre for Disease Control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76323" name="Picture 1" descr="Australian Centre for Disease Control logo. 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477" cy="771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ED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889ACB" wp14:editId="4629C0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7232968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A411F" w14:textId="77713BE8" w:rsidR="00256EDB" w:rsidRPr="00256EDB" w:rsidRDefault="00256EDB" w:rsidP="00256E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56E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89A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0A411F" w14:textId="77713BE8" w:rsidR="00256EDB" w:rsidRPr="00256EDB" w:rsidRDefault="00256EDB" w:rsidP="00256E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56E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721F4"/>
    <w:multiLevelType w:val="hybridMultilevel"/>
    <w:tmpl w:val="6A0A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0614FD"/>
    <w:multiLevelType w:val="hybridMultilevel"/>
    <w:tmpl w:val="B3881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51E54BD"/>
    <w:multiLevelType w:val="multilevel"/>
    <w:tmpl w:val="504A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EC6474"/>
    <w:multiLevelType w:val="multilevel"/>
    <w:tmpl w:val="F2E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2392637">
    <w:abstractNumId w:val="7"/>
  </w:num>
  <w:num w:numId="2" w16cid:durableId="205339375">
    <w:abstractNumId w:val="18"/>
  </w:num>
  <w:num w:numId="3" w16cid:durableId="770244979">
    <w:abstractNumId w:val="21"/>
  </w:num>
  <w:num w:numId="4" w16cid:durableId="418450636">
    <w:abstractNumId w:val="8"/>
  </w:num>
  <w:num w:numId="5" w16cid:durableId="1105225429">
    <w:abstractNumId w:val="8"/>
    <w:lvlOverride w:ilvl="0">
      <w:startOverride w:val="1"/>
    </w:lvlOverride>
  </w:num>
  <w:num w:numId="6" w16cid:durableId="2113895691">
    <w:abstractNumId w:val="9"/>
  </w:num>
  <w:num w:numId="7" w16cid:durableId="1020811750">
    <w:abstractNumId w:val="15"/>
  </w:num>
  <w:num w:numId="8" w16cid:durableId="422340658">
    <w:abstractNumId w:val="20"/>
  </w:num>
  <w:num w:numId="9" w16cid:durableId="873343620">
    <w:abstractNumId w:val="5"/>
  </w:num>
  <w:num w:numId="10" w16cid:durableId="986321323">
    <w:abstractNumId w:val="4"/>
  </w:num>
  <w:num w:numId="11" w16cid:durableId="161631878">
    <w:abstractNumId w:val="3"/>
  </w:num>
  <w:num w:numId="12" w16cid:durableId="1766922599">
    <w:abstractNumId w:val="2"/>
  </w:num>
  <w:num w:numId="13" w16cid:durableId="1015960254">
    <w:abstractNumId w:val="6"/>
  </w:num>
  <w:num w:numId="14" w16cid:durableId="1678849703">
    <w:abstractNumId w:val="1"/>
  </w:num>
  <w:num w:numId="15" w16cid:durableId="1469081842">
    <w:abstractNumId w:val="0"/>
  </w:num>
  <w:num w:numId="16" w16cid:durableId="661088042">
    <w:abstractNumId w:val="22"/>
  </w:num>
  <w:num w:numId="17" w16cid:durableId="2095086014">
    <w:abstractNumId w:val="10"/>
  </w:num>
  <w:num w:numId="18" w16cid:durableId="1437991269">
    <w:abstractNumId w:val="12"/>
  </w:num>
  <w:num w:numId="19" w16cid:durableId="594748684">
    <w:abstractNumId w:val="13"/>
  </w:num>
  <w:num w:numId="20" w16cid:durableId="1282876785">
    <w:abstractNumId w:val="10"/>
  </w:num>
  <w:num w:numId="21" w16cid:durableId="1968395311">
    <w:abstractNumId w:val="13"/>
  </w:num>
  <w:num w:numId="22" w16cid:durableId="1757359673">
    <w:abstractNumId w:val="22"/>
  </w:num>
  <w:num w:numId="23" w16cid:durableId="602688333">
    <w:abstractNumId w:val="18"/>
  </w:num>
  <w:num w:numId="24" w16cid:durableId="1932469952">
    <w:abstractNumId w:val="21"/>
  </w:num>
  <w:num w:numId="25" w16cid:durableId="792601110">
    <w:abstractNumId w:val="8"/>
  </w:num>
  <w:num w:numId="26" w16cid:durableId="1146707321">
    <w:abstractNumId w:val="17"/>
  </w:num>
  <w:num w:numId="27" w16cid:durableId="1517232376">
    <w:abstractNumId w:val="19"/>
  </w:num>
  <w:num w:numId="28" w16cid:durableId="556816956">
    <w:abstractNumId w:val="16"/>
  </w:num>
  <w:num w:numId="29" w16cid:durableId="1693189532">
    <w:abstractNumId w:val="11"/>
  </w:num>
  <w:num w:numId="30" w16cid:durableId="1553537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52"/>
    <w:rsid w:val="00003743"/>
    <w:rsid w:val="000047B4"/>
    <w:rsid w:val="00005712"/>
    <w:rsid w:val="00006E3D"/>
    <w:rsid w:val="00007FD8"/>
    <w:rsid w:val="000117F8"/>
    <w:rsid w:val="0001460F"/>
    <w:rsid w:val="00022629"/>
    <w:rsid w:val="00026139"/>
    <w:rsid w:val="00027601"/>
    <w:rsid w:val="00032752"/>
    <w:rsid w:val="00033321"/>
    <w:rsid w:val="000338E5"/>
    <w:rsid w:val="00033ECC"/>
    <w:rsid w:val="0003422F"/>
    <w:rsid w:val="00046D3A"/>
    <w:rsid w:val="00046FF0"/>
    <w:rsid w:val="00050176"/>
    <w:rsid w:val="00050342"/>
    <w:rsid w:val="00054353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62B1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0FDE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6EDB"/>
    <w:rsid w:val="002579FE"/>
    <w:rsid w:val="0026311C"/>
    <w:rsid w:val="0026668C"/>
    <w:rsid w:val="00266AC1"/>
    <w:rsid w:val="0027178C"/>
    <w:rsid w:val="002719FA"/>
    <w:rsid w:val="00272668"/>
    <w:rsid w:val="0027330B"/>
    <w:rsid w:val="00274B57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009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377F"/>
    <w:rsid w:val="003E5265"/>
    <w:rsid w:val="003F0955"/>
    <w:rsid w:val="003F2372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93EE6"/>
    <w:rsid w:val="004A78D9"/>
    <w:rsid w:val="004B36C5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14DD6"/>
    <w:rsid w:val="0052051D"/>
    <w:rsid w:val="00545EE6"/>
    <w:rsid w:val="005550E7"/>
    <w:rsid w:val="005564FB"/>
    <w:rsid w:val="005572C7"/>
    <w:rsid w:val="005650ED"/>
    <w:rsid w:val="00575754"/>
    <w:rsid w:val="00581FBA"/>
    <w:rsid w:val="00587D83"/>
    <w:rsid w:val="00591E20"/>
    <w:rsid w:val="00595408"/>
    <w:rsid w:val="00595E84"/>
    <w:rsid w:val="00597F5A"/>
    <w:rsid w:val="005A0C59"/>
    <w:rsid w:val="005A48EB"/>
    <w:rsid w:val="005A6CFB"/>
    <w:rsid w:val="005B51D5"/>
    <w:rsid w:val="005C5AEB"/>
    <w:rsid w:val="005E0A3F"/>
    <w:rsid w:val="005E6883"/>
    <w:rsid w:val="005E772F"/>
    <w:rsid w:val="005F2423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83A42"/>
    <w:rsid w:val="006B1CE2"/>
    <w:rsid w:val="006B2286"/>
    <w:rsid w:val="006B56BB"/>
    <w:rsid w:val="006C77A8"/>
    <w:rsid w:val="006D4098"/>
    <w:rsid w:val="006D40E0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A7A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764A0"/>
    <w:rsid w:val="00882F47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2FDF"/>
    <w:rsid w:val="008E625F"/>
    <w:rsid w:val="008F264D"/>
    <w:rsid w:val="009040E9"/>
    <w:rsid w:val="009074E1"/>
    <w:rsid w:val="009103F9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B6221"/>
    <w:rsid w:val="009C6F10"/>
    <w:rsid w:val="009D148F"/>
    <w:rsid w:val="009D3D70"/>
    <w:rsid w:val="009E6F7E"/>
    <w:rsid w:val="009E7A57"/>
    <w:rsid w:val="009F0039"/>
    <w:rsid w:val="009F4803"/>
    <w:rsid w:val="009F4F6A"/>
    <w:rsid w:val="009F708C"/>
    <w:rsid w:val="00A13EB5"/>
    <w:rsid w:val="00A16E36"/>
    <w:rsid w:val="00A24961"/>
    <w:rsid w:val="00A24B10"/>
    <w:rsid w:val="00A277EF"/>
    <w:rsid w:val="00A30E9B"/>
    <w:rsid w:val="00A4512D"/>
    <w:rsid w:val="00A466A3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7B86"/>
    <w:rsid w:val="00AB1EE7"/>
    <w:rsid w:val="00AB2036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C50BA"/>
    <w:rsid w:val="00BD0617"/>
    <w:rsid w:val="00BD2E9B"/>
    <w:rsid w:val="00BD7FB2"/>
    <w:rsid w:val="00C00930"/>
    <w:rsid w:val="00C03916"/>
    <w:rsid w:val="00C060AD"/>
    <w:rsid w:val="00C113BF"/>
    <w:rsid w:val="00C2176E"/>
    <w:rsid w:val="00C23430"/>
    <w:rsid w:val="00C27D67"/>
    <w:rsid w:val="00C4631F"/>
    <w:rsid w:val="00C47B0C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5A1E"/>
    <w:rsid w:val="00CE6502"/>
    <w:rsid w:val="00CF7D3C"/>
    <w:rsid w:val="00D01F09"/>
    <w:rsid w:val="00D147EB"/>
    <w:rsid w:val="00D242A7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5A7D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474AB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02F6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85E3B"/>
    <w:rsid w:val="00F93F08"/>
    <w:rsid w:val="00F94CED"/>
    <w:rsid w:val="00FA02BB"/>
    <w:rsid w:val="00FA2CEE"/>
    <w:rsid w:val="00FA318C"/>
    <w:rsid w:val="00FB6F92"/>
    <w:rsid w:val="00FC026E"/>
    <w:rsid w:val="00FC5124"/>
    <w:rsid w:val="00FD0306"/>
    <w:rsid w:val="00FD4731"/>
    <w:rsid w:val="00FD6768"/>
    <w:rsid w:val="00FF0AB0"/>
    <w:rsid w:val="00FF28AC"/>
    <w:rsid w:val="00FF777D"/>
    <w:rsid w:val="00FF7F62"/>
    <w:rsid w:val="0390E370"/>
    <w:rsid w:val="05552989"/>
    <w:rsid w:val="05DC91A7"/>
    <w:rsid w:val="09F4FBFF"/>
    <w:rsid w:val="16806C38"/>
    <w:rsid w:val="182FFAF2"/>
    <w:rsid w:val="19334C03"/>
    <w:rsid w:val="1F48E68A"/>
    <w:rsid w:val="20CDD8B0"/>
    <w:rsid w:val="259A72CD"/>
    <w:rsid w:val="29B2AC38"/>
    <w:rsid w:val="33C6666F"/>
    <w:rsid w:val="36277566"/>
    <w:rsid w:val="367DCD0E"/>
    <w:rsid w:val="3873D8E6"/>
    <w:rsid w:val="3AA4C2C0"/>
    <w:rsid w:val="3C23869D"/>
    <w:rsid w:val="433B1EF6"/>
    <w:rsid w:val="4CCC59CD"/>
    <w:rsid w:val="502DEEAC"/>
    <w:rsid w:val="55C443E2"/>
    <w:rsid w:val="5CF01777"/>
    <w:rsid w:val="6A08DFF9"/>
    <w:rsid w:val="6B492085"/>
    <w:rsid w:val="6F9633AB"/>
    <w:rsid w:val="72B98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5E6E4"/>
  <w15:docId w15:val="{63BA361A-02F3-40FB-BC5E-10844561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2C0009"/>
    <w:pPr>
      <w:keepNext/>
      <w:spacing w:before="240" w:after="60"/>
      <w:outlineLvl w:val="0"/>
    </w:pPr>
    <w:rPr>
      <w:rFonts w:ascii="Arial" w:hAnsi="Arial" w:cs="Arial"/>
      <w:b/>
      <w:bCs/>
      <w:color w:val="4F2683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2C0009"/>
    <w:pPr>
      <w:keepNext/>
      <w:spacing w:before="240" w:after="60"/>
      <w:outlineLvl w:val="1"/>
    </w:pPr>
    <w:rPr>
      <w:rFonts w:ascii="Arial" w:hAnsi="Arial" w:cs="Arial"/>
      <w:b/>
      <w:bCs/>
      <w:iCs/>
      <w:color w:val="4F2683"/>
      <w:sz w:val="36"/>
      <w:szCs w:val="28"/>
      <w:lang w:eastAsia="en-US"/>
    </w:rPr>
  </w:style>
  <w:style w:type="paragraph" w:styleId="Heading3">
    <w:name w:val="heading 3"/>
    <w:next w:val="Normal"/>
    <w:qFormat/>
    <w:rsid w:val="002C0009"/>
    <w:pPr>
      <w:keepNext/>
      <w:spacing w:before="180" w:after="60"/>
      <w:outlineLvl w:val="2"/>
    </w:pPr>
    <w:rPr>
      <w:rFonts w:ascii="Arial" w:hAnsi="Arial" w:cs="Arial"/>
      <w:b/>
      <w:bCs/>
      <w:color w:val="4F2683"/>
      <w:sz w:val="32"/>
      <w:szCs w:val="26"/>
      <w:lang w:eastAsia="en-US"/>
    </w:rPr>
  </w:style>
  <w:style w:type="paragraph" w:styleId="Heading4">
    <w:name w:val="heading 4"/>
    <w:next w:val="Normal"/>
    <w:qFormat/>
    <w:rsid w:val="002C0009"/>
    <w:pPr>
      <w:keepNext/>
      <w:spacing w:before="240" w:after="60"/>
      <w:outlineLvl w:val="3"/>
    </w:pPr>
    <w:rPr>
      <w:rFonts w:ascii="Arial" w:hAnsi="Arial"/>
      <w:b/>
      <w:bCs/>
      <w:i/>
      <w:color w:val="4F2683"/>
      <w:sz w:val="28"/>
      <w:szCs w:val="28"/>
      <w:lang w:eastAsia="en-US"/>
    </w:rPr>
  </w:style>
  <w:style w:type="paragraph" w:styleId="Heading5">
    <w:name w:val="heading 5"/>
    <w:next w:val="Normal"/>
    <w:rsid w:val="002C0009"/>
    <w:pPr>
      <w:keepNext/>
      <w:spacing w:before="240" w:after="60"/>
      <w:outlineLvl w:val="4"/>
    </w:pPr>
    <w:rPr>
      <w:rFonts w:ascii="Arial" w:hAnsi="Arial"/>
      <w:b/>
      <w:bCs/>
      <w:iCs/>
      <w:color w:val="4F2683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2C0009"/>
    <w:pPr>
      <w:spacing w:before="360" w:after="120"/>
      <w:contextualSpacing/>
    </w:pPr>
    <w:rPr>
      <w:rFonts w:ascii="Arial" w:eastAsiaTheme="majorEastAsia" w:hAnsi="Arial" w:cstheme="majorBidi"/>
      <w:b/>
      <w:color w:val="4F2683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C0009"/>
    <w:rPr>
      <w:rFonts w:ascii="Arial" w:eastAsiaTheme="majorEastAsia" w:hAnsi="Arial" w:cstheme="majorBidi"/>
      <w:b/>
      <w:color w:val="4F2683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2C0009"/>
    <w:pPr>
      <w:spacing w:before="240"/>
    </w:pPr>
    <w:rPr>
      <w:rFonts w:cs="Times New Roman"/>
      <w:b/>
      <w:bCs/>
      <w:caps/>
      <w:color w:val="4F2683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2C0009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4F2683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09"/>
    <w:rPr>
      <w:rFonts w:ascii="Arial" w:hAnsi="Arial"/>
      <w:b/>
      <w:bCs/>
      <w:i/>
      <w:iCs/>
      <w:color w:val="4F2683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2C0009"/>
    <w:rPr>
      <w:smallCaps/>
      <w:color w:val="4F2683"/>
      <w:u w:val="single"/>
    </w:rPr>
  </w:style>
  <w:style w:type="character" w:styleId="IntenseReference">
    <w:name w:val="Intense Reference"/>
    <w:basedOn w:val="DefaultParagraphFont"/>
    <w:uiPriority w:val="32"/>
    <w:rsid w:val="002C0009"/>
    <w:rPr>
      <w:b/>
      <w:bCs/>
      <w:i/>
      <w:smallCaps/>
      <w:color w:val="4F2683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2C0009"/>
    <w:pPr>
      <w:pBdr>
        <w:top w:val="single" w:sz="4" w:space="15" w:color="4F2683"/>
        <w:bottom w:val="single" w:sz="4" w:space="10" w:color="4F2683"/>
      </w:pBdr>
      <w:spacing w:before="240" w:after="240" w:line="340" w:lineRule="exact"/>
    </w:pPr>
    <w:rPr>
      <w:rFonts w:eastAsiaTheme="minorHAnsi"/>
      <w:color w:val="4F2683"/>
    </w:rPr>
  </w:style>
  <w:style w:type="paragraph" w:customStyle="1" w:styleId="Boxtype">
    <w:name w:val="Box type"/>
    <w:next w:val="Normal"/>
    <w:qFormat/>
    <w:rsid w:val="002C0009"/>
    <w:pPr>
      <w:pBdr>
        <w:top w:val="single" w:sz="6" w:space="20" w:color="4F2683"/>
        <w:left w:val="single" w:sz="6" w:space="10" w:color="4F2683"/>
        <w:bottom w:val="single" w:sz="6" w:space="10" w:color="4F2683"/>
        <w:right w:val="single" w:sz="6" w:space="10" w:color="4F2683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2C0009"/>
    <w:rPr>
      <w:b/>
      <w:caps/>
      <w:smallCaps w:val="0"/>
      <w:color w:val="4F2683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2C0009"/>
    <w:pPr>
      <w:spacing w:before="480" w:line="400" w:lineRule="exact"/>
    </w:pPr>
    <w:rPr>
      <w:color w:val="4F2683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basedOn w:val="Normal"/>
    <w:uiPriority w:val="1"/>
    <w:rsid w:val="00032752"/>
    <w:pPr>
      <w:contextualSpacing/>
    </w:p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27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 w:themeColor="text1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87D83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66A3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dc.gov.au/ssb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BA@cd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SBA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8" ma:contentTypeDescription="Create a new document." ma:contentTypeScope="" ma:versionID="413b2cfb0136cf65377c4f32ab72dcf5">
  <xsd:schema xmlns:xsd="http://www.w3.org/2001/XMLSchema" xmlns:xs="http://www.w3.org/2001/XMLSchema" xmlns:p="http://schemas.microsoft.com/office/2006/metadata/properties" xmlns:ns2="b8d296df-c91f-46ec-882c-a5f320b081a8" xmlns:ns3="2c0b4a26-a0a6-442a-a800-f5fe1d9f3f5b" targetNamespace="http://schemas.microsoft.com/office/2006/metadata/properties" ma:root="true" ma:fieldsID="1ecdf4ab0ac165fe3494c25cd0918ac2" ns2:_="" ns3:_="">
    <xsd:import namespace="b8d296df-c91f-46ec-882c-a5f320b081a8"/>
    <xsd:import namespace="2c0b4a26-a0a6-442a-a800-f5fe1d9f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B62B72-1D74-4891-A20F-F82ABF5D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96df-c91f-46ec-882c-a5f320b081a8"/>
    <ds:schemaRef ds:uri="2c0b4a26-a0a6-442a-a800-f5fe1d9f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1245</Characters>
  <Application>Microsoft Office Word</Application>
  <DocSecurity>0</DocSecurity>
  <Lines>32</Lines>
  <Paragraphs>25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SSBA – Fact sheet 2 – About us</dc:title>
  <dc:subject>Emergency health management</dc:subject>
  <dc:creator>Australian Centre for Disease Control</dc:creator>
  <cp:keywords>Security Sensitive Biological Agents (SSBA) Regulatory Scheme</cp:keywords>
  <dc:description/>
  <dcterms:created xsi:type="dcterms:W3CDTF">2025-11-12T20:29:00Z</dcterms:created>
  <dcterms:modified xsi:type="dcterms:W3CDTF">2025-12-24T01:30:00Z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0x010100CEAD95CDC3CF6F4BB024108E1E74F34E</vt:lpwstr>
  </property>
  <property fmtid="{D5CDD505-2E9C-101B-9397-08002B2CF9AE}" pid="5" name="ClassificationContentMarkingHeaderShapeIds">
    <vt:lpwstr>66b76c6e,35b4c48b,6c609d1e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d1877cb,733b9dc3,70527678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2025-11-12T01:29:04Z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aecc41ca-a599-4c37-97ba-9d5fe40b0e82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