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0304" w14:textId="134919E9" w:rsidR="00BA2732" w:rsidRDefault="006C70DE" w:rsidP="003D033A">
      <w:pPr>
        <w:pStyle w:val="Title"/>
      </w:pPr>
      <w:r w:rsidRPr="006C70DE">
        <w:t>SSBA – Guideline 5 – Reporting to law enforcement or the National Security Hotline</w:t>
      </w:r>
    </w:p>
    <w:p w14:paraId="352E81C0" w14:textId="396697C8" w:rsidR="00B53987" w:rsidRPr="00B53987" w:rsidRDefault="006C70DE" w:rsidP="006C70DE">
      <w:pPr>
        <w:pStyle w:val="Subtitle"/>
      </w:pPr>
      <w:r>
        <w:t>J</w:t>
      </w:r>
      <w:r w:rsidR="0070386C">
        <w:t>anuary</w:t>
      </w:r>
      <w:r>
        <w:t xml:space="preserve"> 20</w:t>
      </w:r>
      <w:r w:rsidR="0070386C">
        <w:t>2</w:t>
      </w:r>
      <w:r w:rsidR="00014885">
        <w:t>6</w:t>
      </w:r>
    </w:p>
    <w:p w14:paraId="33E9CEAD" w14:textId="77777777" w:rsidR="006C70DE" w:rsidRPr="006C70DE" w:rsidRDefault="006C70DE" w:rsidP="006C70DE">
      <w:pPr>
        <w:pStyle w:val="Heading1"/>
      </w:pPr>
      <w:r w:rsidRPr="006C70DE">
        <w:t>Introduction</w:t>
      </w:r>
    </w:p>
    <w:p w14:paraId="2BAAA1B5" w14:textId="77777777" w:rsidR="006C70DE" w:rsidRPr="006C70DE" w:rsidRDefault="006C70DE" w:rsidP="006C70DE">
      <w:r w:rsidRPr="006C70DE">
        <w:t>This guideline provides an overview of the process that should be followed if an entity or facility has an incident that must be reported to law enforcement or should be reported to the National Security Hotline.</w:t>
      </w:r>
    </w:p>
    <w:p w14:paraId="4C0A74F2" w14:textId="460DF105" w:rsidR="006C70DE" w:rsidRPr="006C70DE" w:rsidRDefault="006C70DE" w:rsidP="006C70DE">
      <w:pPr>
        <w:pStyle w:val="Heading1"/>
      </w:pPr>
      <w:r w:rsidRPr="006C70DE">
        <w:t xml:space="preserve">Law </w:t>
      </w:r>
      <w:r>
        <w:t>e</w:t>
      </w:r>
      <w:r w:rsidRPr="006C70DE">
        <w:t>nforcement (</w:t>
      </w:r>
      <w:r>
        <w:t>p</w:t>
      </w:r>
      <w:r w:rsidRPr="006C70DE">
        <w:t>olice)</w:t>
      </w:r>
    </w:p>
    <w:p w14:paraId="483539BC" w14:textId="3C188B07" w:rsidR="006C70DE" w:rsidRPr="006C70DE" w:rsidRDefault="006C70DE" w:rsidP="006C70DE">
      <w:r>
        <w:t xml:space="preserve">Mandatory reporting to law enforcement, in addition to reporting to the </w:t>
      </w:r>
      <w:r w:rsidR="0070386C">
        <w:t>Australian Centre for Disease Control (CDC</w:t>
      </w:r>
      <w:r>
        <w:t>), is a requirement of the </w:t>
      </w:r>
      <w:r w:rsidRPr="33EA8894">
        <w:rPr>
          <w:i/>
          <w:iCs/>
        </w:rPr>
        <w:t>National Health Security Act 2007 </w:t>
      </w:r>
      <w:r>
        <w:t>(NHS Act) for certain events.</w:t>
      </w:r>
    </w:p>
    <w:p w14:paraId="3CF4C8A0" w14:textId="77777777" w:rsidR="006C70DE" w:rsidRPr="006C70DE" w:rsidRDefault="006C70DE" w:rsidP="006C70DE">
      <w:r w:rsidRPr="006C70DE">
        <w:t>The following must be reported to law enforcement</w:t>
      </w:r>
      <w:r w:rsidRPr="006C70DE">
        <w:rPr>
          <w:b/>
          <w:bCs/>
        </w:rPr>
        <w:t> as soon as possible and within 24 hours</w:t>
      </w:r>
      <w:r w:rsidRPr="006C70DE">
        <w:t> after discovery of the event or after you become aware of the event</w:t>
      </w:r>
      <w:r w:rsidRPr="006C70DE">
        <w:rPr>
          <w:i/>
          <w:iCs/>
        </w:rPr>
        <w:t>:</w:t>
      </w:r>
    </w:p>
    <w:p w14:paraId="15C1681C" w14:textId="3E9356C3" w:rsidR="006C70DE" w:rsidRPr="006C70DE" w:rsidRDefault="00440A3D" w:rsidP="006C70DE">
      <w:pPr>
        <w:pStyle w:val="ListParagraph"/>
        <w:numPr>
          <w:ilvl w:val="0"/>
          <w:numId w:val="31"/>
        </w:numPr>
      </w:pPr>
      <w:r w:rsidRPr="006C70DE">
        <w:t>T</w:t>
      </w:r>
      <w:r w:rsidR="006C70DE" w:rsidRPr="006C70DE">
        <w:t>heft</w:t>
      </w:r>
      <w:r w:rsidRPr="00440A3D">
        <w:rPr>
          <w:vertAlign w:val="superscript"/>
        </w:rPr>
        <w:t>1</w:t>
      </w:r>
      <w:r w:rsidR="006C70DE" w:rsidRPr="006C70DE">
        <w:t> of a security sensitive biological agent (SSBA)</w:t>
      </w:r>
    </w:p>
    <w:p w14:paraId="37C3C6AD" w14:textId="7E0F22C5" w:rsidR="006C70DE" w:rsidRPr="006C70DE" w:rsidRDefault="006C70DE" w:rsidP="006C70DE">
      <w:pPr>
        <w:pStyle w:val="ListParagraph"/>
        <w:numPr>
          <w:ilvl w:val="0"/>
          <w:numId w:val="31"/>
        </w:numPr>
      </w:pPr>
      <w:r w:rsidRPr="006C70DE">
        <w:t>attempted thef</w:t>
      </w:r>
      <w:r w:rsidR="00440A3D">
        <w:t>t</w:t>
      </w:r>
      <w:r w:rsidR="00440A3D" w:rsidRPr="00440A3D">
        <w:rPr>
          <w:vertAlign w:val="superscript"/>
        </w:rPr>
        <w:t>1</w:t>
      </w:r>
      <w:r w:rsidRPr="006C70DE">
        <w:t> of an SSBA;</w:t>
      </w:r>
    </w:p>
    <w:p w14:paraId="6CA99FC7" w14:textId="77777777" w:rsidR="006C70DE" w:rsidRPr="006C70DE" w:rsidRDefault="006C70DE" w:rsidP="006C70DE">
      <w:pPr>
        <w:pStyle w:val="ListParagraph"/>
        <w:numPr>
          <w:ilvl w:val="0"/>
          <w:numId w:val="31"/>
        </w:numPr>
      </w:pPr>
      <w:r w:rsidRPr="006C70DE">
        <w:t>unauthorised access to a place in which an SSBA is handled or sensitive information (as defined by the NHS legislation) is stored, including its storage container;</w:t>
      </w:r>
    </w:p>
    <w:p w14:paraId="426399B1" w14:textId="77777777" w:rsidR="006C70DE" w:rsidRPr="006C70DE" w:rsidRDefault="006C70DE" w:rsidP="006C70DE">
      <w:pPr>
        <w:pStyle w:val="ListParagraph"/>
        <w:numPr>
          <w:ilvl w:val="0"/>
          <w:numId w:val="31"/>
        </w:numPr>
      </w:pPr>
      <w:r w:rsidRPr="006C70DE">
        <w:t>attempted unauthorised access to a place in which an SSBA is handled or sensitive information (as defined by the NHS legislation) is stored, including its storage container;</w:t>
      </w:r>
    </w:p>
    <w:p w14:paraId="020BF3A5" w14:textId="3CF6462A" w:rsidR="006C70DE" w:rsidRPr="006C70DE" w:rsidRDefault="006C70DE" w:rsidP="006C70DE">
      <w:pPr>
        <w:pStyle w:val="ListParagraph"/>
        <w:numPr>
          <w:ilvl w:val="0"/>
          <w:numId w:val="31"/>
        </w:numPr>
      </w:pPr>
      <w:r w:rsidRPr="006C70DE">
        <w:t>los</w:t>
      </w:r>
      <w:r w:rsidR="00440A3D">
        <w:t>s</w:t>
      </w:r>
      <w:r w:rsidR="00440A3D" w:rsidRPr="00440A3D">
        <w:rPr>
          <w:vertAlign w:val="superscript"/>
        </w:rPr>
        <w:t>1</w:t>
      </w:r>
      <w:r w:rsidR="00440A3D">
        <w:t xml:space="preserve"> </w:t>
      </w:r>
      <w:r w:rsidRPr="006C70DE">
        <w:t>of an SSBA; and</w:t>
      </w:r>
    </w:p>
    <w:p w14:paraId="1F8EBA57" w14:textId="77777777" w:rsidR="006C70DE" w:rsidRDefault="006C70DE" w:rsidP="006C70DE">
      <w:pPr>
        <w:pStyle w:val="ListParagraph"/>
        <w:numPr>
          <w:ilvl w:val="0"/>
          <w:numId w:val="31"/>
        </w:numPr>
      </w:pPr>
      <w:r w:rsidRPr="006C70DE">
        <w:t>unsuccessful transfer (incomplete arrival or evidence of tampering) of an SSBA.</w:t>
      </w:r>
    </w:p>
    <w:p w14:paraId="29FCF82E" w14:textId="77777777" w:rsidR="00440A3D" w:rsidRDefault="00440A3D" w:rsidP="00440A3D"/>
    <w:p w14:paraId="2F1BEFBB" w14:textId="77777777" w:rsidR="00440A3D" w:rsidRDefault="00440A3D" w:rsidP="00440A3D"/>
    <w:p w14:paraId="75294280" w14:textId="77777777" w:rsidR="00440A3D" w:rsidRDefault="00440A3D" w:rsidP="00440A3D"/>
    <w:p w14:paraId="69F43F5D" w14:textId="4AD97E83" w:rsidR="00440A3D" w:rsidRDefault="00440A3D" w:rsidP="00440A3D">
      <w:r>
        <w:t>________</w:t>
      </w:r>
    </w:p>
    <w:p w14:paraId="212F680C" w14:textId="05BF13B3" w:rsidR="00440A3D" w:rsidRPr="00440A3D" w:rsidRDefault="00440A3D" w:rsidP="00440A3D">
      <w:pPr>
        <w:rPr>
          <w:sz w:val="18"/>
          <w:szCs w:val="18"/>
        </w:rPr>
      </w:pPr>
      <w:r w:rsidRPr="00440A3D">
        <w:rPr>
          <w:sz w:val="18"/>
          <w:szCs w:val="18"/>
        </w:rPr>
        <w:t xml:space="preserve">1. </w:t>
      </w:r>
      <w:r w:rsidRPr="00440A3D">
        <w:rPr>
          <w:rFonts w:ascii="Helvetica" w:hAnsi="Helvetica" w:cs="Helvetica"/>
          <w:color w:val="222222"/>
          <w:sz w:val="18"/>
          <w:szCs w:val="18"/>
          <w:lang w:eastAsia="en-AU"/>
        </w:rPr>
        <w:t>For further information, see Guideline 4 – Deﬁning Loss, Theft and Accidental Release of SSBAs.</w:t>
      </w:r>
    </w:p>
    <w:p w14:paraId="418F5454" w14:textId="15A3F154" w:rsidR="006C70DE" w:rsidRPr="006C70DE" w:rsidRDefault="006C70DE" w:rsidP="00440A3D">
      <w:pPr>
        <w:pStyle w:val="Heading1"/>
      </w:pPr>
      <w:r w:rsidRPr="006C70DE">
        <w:lastRenderedPageBreak/>
        <w:t xml:space="preserve">Who </w:t>
      </w:r>
      <w:r>
        <w:t>s</w:t>
      </w:r>
      <w:r w:rsidRPr="006C70DE">
        <w:t xml:space="preserve">hould </w:t>
      </w:r>
      <w:r>
        <w:t>y</w:t>
      </w:r>
      <w:r w:rsidRPr="006C70DE">
        <w:t xml:space="preserve">ou </w:t>
      </w:r>
      <w:r>
        <w:t>c</w:t>
      </w:r>
      <w:r w:rsidRPr="006C70DE">
        <w:t>ontact?</w:t>
      </w:r>
    </w:p>
    <w:p w14:paraId="32A2F841" w14:textId="77777777" w:rsidR="006C70DE" w:rsidRPr="006C70DE" w:rsidRDefault="006C70DE" w:rsidP="00440A3D">
      <w:pPr>
        <w:keepNext/>
      </w:pPr>
      <w:r w:rsidRPr="006C70DE">
        <w:t>In order of priority, contact:</w:t>
      </w:r>
    </w:p>
    <w:p w14:paraId="311A9202" w14:textId="77777777" w:rsidR="006C70DE" w:rsidRPr="006C70DE" w:rsidRDefault="006C70DE" w:rsidP="00440A3D">
      <w:pPr>
        <w:pStyle w:val="ListParagraph"/>
        <w:keepNext/>
        <w:numPr>
          <w:ilvl w:val="0"/>
          <w:numId w:val="33"/>
        </w:numPr>
      </w:pPr>
      <w:r w:rsidRPr="006C70DE">
        <w:t>In an emergency (imminent threat, life or death situation), dial triple zero (000).</w:t>
      </w:r>
    </w:p>
    <w:p w14:paraId="636019A3" w14:textId="77777777" w:rsidR="006C70DE" w:rsidRPr="006C70DE" w:rsidRDefault="006C70DE" w:rsidP="00440A3D">
      <w:pPr>
        <w:pStyle w:val="ListParagraph"/>
        <w:keepNext/>
        <w:numPr>
          <w:ilvl w:val="0"/>
          <w:numId w:val="33"/>
        </w:numPr>
      </w:pPr>
      <w:r w:rsidRPr="006C70DE">
        <w:t>If it is not an emergency, using the list below, contact the police in your jurisdiction.</w:t>
      </w:r>
    </w:p>
    <w:p w14:paraId="213A292E" w14:textId="3F9D9EEE" w:rsidR="006C70DE" w:rsidRPr="006C70DE" w:rsidRDefault="006C70DE" w:rsidP="006C70DE">
      <w:pPr>
        <w:pStyle w:val="Heading1"/>
      </w:pPr>
      <w:r>
        <w:t>Jurisdictional law enforcement agencies</w:t>
      </w:r>
    </w:p>
    <w:tbl>
      <w:tblPr>
        <w:tblStyle w:val="TableGrid8"/>
        <w:tblW w:w="5000" w:type="pct"/>
        <w:tblLook w:val="04A0" w:firstRow="1" w:lastRow="0" w:firstColumn="1" w:lastColumn="0" w:noHBand="0" w:noVBand="1"/>
        <w:tblCaption w:val="Table displays Jurisdictional Law Enforcement Agencies"/>
        <w:tblDescription w:val="Table displays Jurisdictional Law Enforcement Agencies"/>
      </w:tblPr>
      <w:tblGrid>
        <w:gridCol w:w="4527"/>
        <w:gridCol w:w="4527"/>
      </w:tblGrid>
      <w:tr w:rsidR="006C70DE" w:rsidRPr="006C70DE" w14:paraId="38ABD7C3" w14:textId="77777777" w:rsidTr="48BB94BA">
        <w:trPr>
          <w:cnfStyle w:val="100000000000" w:firstRow="1" w:lastRow="0" w:firstColumn="0" w:lastColumn="0" w:oddVBand="0" w:evenVBand="0" w:oddHBand="0" w:evenHBand="0" w:firstRowFirstColumn="0" w:firstRowLastColumn="0" w:lastRowFirstColumn="0" w:lastRowLastColumn="0"/>
        </w:trPr>
        <w:tc>
          <w:tcPr>
            <w:tcW w:w="2500" w:type="pct"/>
            <w:hideMark/>
          </w:tcPr>
          <w:p w14:paraId="4F4A9876" w14:textId="77777777" w:rsidR="006C70DE" w:rsidRPr="006C70DE" w:rsidRDefault="006C70DE" w:rsidP="006C70DE">
            <w:pPr>
              <w:pStyle w:val="TableHeaderWhite"/>
              <w:rPr>
                <w:b/>
              </w:rPr>
            </w:pPr>
            <w:r w:rsidRPr="006C70DE">
              <w:rPr>
                <w:b/>
              </w:rPr>
              <w:t>Jurisdiction</w:t>
            </w:r>
          </w:p>
        </w:tc>
        <w:tc>
          <w:tcPr>
            <w:tcW w:w="2500" w:type="pct"/>
            <w:hideMark/>
          </w:tcPr>
          <w:p w14:paraId="7BC7BD08" w14:textId="3EFB7639" w:rsidR="006C70DE" w:rsidRPr="006C70DE" w:rsidRDefault="006C70DE" w:rsidP="006C70DE">
            <w:pPr>
              <w:pStyle w:val="TableHeaderWhite"/>
              <w:rPr>
                <w:b/>
              </w:rPr>
            </w:pPr>
            <w:r w:rsidRPr="006C70DE">
              <w:rPr>
                <w:b/>
              </w:rPr>
              <w:t xml:space="preserve">Contact </w:t>
            </w:r>
            <w:r>
              <w:rPr>
                <w:b/>
              </w:rPr>
              <w:t>d</w:t>
            </w:r>
            <w:r w:rsidRPr="006C70DE">
              <w:rPr>
                <w:b/>
              </w:rPr>
              <w:t>etails</w:t>
            </w:r>
          </w:p>
        </w:tc>
      </w:tr>
      <w:tr w:rsidR="006C70DE" w:rsidRPr="006C70DE" w14:paraId="1F8EA648" w14:textId="77777777" w:rsidTr="48BB94BA">
        <w:tc>
          <w:tcPr>
            <w:tcW w:w="2500" w:type="pct"/>
            <w:hideMark/>
          </w:tcPr>
          <w:p w14:paraId="3381376C" w14:textId="77777777" w:rsidR="006C70DE" w:rsidRPr="006C70DE" w:rsidRDefault="006C70DE" w:rsidP="006C70DE">
            <w:pPr>
              <w:pStyle w:val="Tabletextleft"/>
            </w:pPr>
            <w:r w:rsidRPr="006C70DE">
              <w:t>ACT Policing</w:t>
            </w:r>
          </w:p>
        </w:tc>
        <w:tc>
          <w:tcPr>
            <w:tcW w:w="2500" w:type="pct"/>
            <w:hideMark/>
          </w:tcPr>
          <w:p w14:paraId="7F37ED11" w14:textId="77777777" w:rsidR="006C70DE" w:rsidRPr="006C70DE" w:rsidRDefault="006C70DE" w:rsidP="006C70DE">
            <w:pPr>
              <w:pStyle w:val="Tabletextleft"/>
            </w:pPr>
            <w:r w:rsidRPr="48BB94BA">
              <w:rPr>
                <w:b/>
                <w:bCs/>
              </w:rPr>
              <w:t>131 444</w:t>
            </w:r>
          </w:p>
        </w:tc>
      </w:tr>
      <w:tr w:rsidR="006C70DE" w:rsidRPr="006C70DE" w14:paraId="55F76AD1" w14:textId="77777777" w:rsidTr="48BB94BA">
        <w:tc>
          <w:tcPr>
            <w:tcW w:w="2500" w:type="pct"/>
            <w:hideMark/>
          </w:tcPr>
          <w:p w14:paraId="3E8DCA6F" w14:textId="77777777" w:rsidR="006C70DE" w:rsidRPr="006C70DE" w:rsidRDefault="006C70DE" w:rsidP="006C70DE">
            <w:pPr>
              <w:pStyle w:val="Tabletextleft"/>
            </w:pPr>
            <w:r w:rsidRPr="006C70DE">
              <w:t>Western Australia Police</w:t>
            </w:r>
          </w:p>
        </w:tc>
        <w:tc>
          <w:tcPr>
            <w:tcW w:w="2500" w:type="pct"/>
            <w:hideMark/>
          </w:tcPr>
          <w:p w14:paraId="609BD997" w14:textId="5B1D432E" w:rsidR="006C70DE" w:rsidRPr="006C70DE" w:rsidRDefault="006C70DE" w:rsidP="006C70DE">
            <w:pPr>
              <w:pStyle w:val="Tabletextleft"/>
            </w:pPr>
            <w:r w:rsidRPr="48BB94BA">
              <w:rPr>
                <w:b/>
                <w:bCs/>
              </w:rPr>
              <w:t>0427 389 123</w:t>
            </w:r>
            <w:r>
              <w:t xml:space="preserve"> – </w:t>
            </w:r>
            <w:r w:rsidR="00CA3B95">
              <w:t>Office of State Security and Emergency Coordination</w:t>
            </w:r>
          </w:p>
        </w:tc>
      </w:tr>
      <w:tr w:rsidR="006C70DE" w:rsidRPr="006C70DE" w14:paraId="6BE4437A" w14:textId="77777777" w:rsidTr="48BB94BA">
        <w:tc>
          <w:tcPr>
            <w:tcW w:w="2500" w:type="pct"/>
            <w:hideMark/>
          </w:tcPr>
          <w:p w14:paraId="0FC9C286" w14:textId="77777777" w:rsidR="006C70DE" w:rsidRPr="006C70DE" w:rsidRDefault="006C70DE" w:rsidP="006C70DE">
            <w:pPr>
              <w:pStyle w:val="Tabletextleft"/>
            </w:pPr>
            <w:r w:rsidRPr="006C70DE">
              <w:t>South Australia Police</w:t>
            </w:r>
          </w:p>
        </w:tc>
        <w:tc>
          <w:tcPr>
            <w:tcW w:w="2500" w:type="pct"/>
            <w:hideMark/>
          </w:tcPr>
          <w:p w14:paraId="4A38460D" w14:textId="77777777" w:rsidR="006C70DE" w:rsidRPr="006C70DE" w:rsidRDefault="006C70DE" w:rsidP="006C70DE">
            <w:pPr>
              <w:pStyle w:val="Tabletextleft"/>
            </w:pPr>
            <w:r w:rsidRPr="006C70DE">
              <w:t>In the first instance please contact the State Protective Security Branch on </w:t>
            </w:r>
            <w:r w:rsidRPr="006C70DE">
              <w:rPr>
                <w:b/>
                <w:bCs/>
              </w:rPr>
              <w:t>(08) 8204 2839</w:t>
            </w:r>
            <w:r w:rsidRPr="006C70DE">
              <w:t> if unanswered please contact the Police Communications Senior Sergeant on </w:t>
            </w:r>
            <w:r w:rsidRPr="006C70DE">
              <w:rPr>
                <w:b/>
                <w:bCs/>
              </w:rPr>
              <w:t>(08) 8207 4488</w:t>
            </w:r>
            <w:r w:rsidRPr="006C70DE">
              <w:t> and request the on-call State Protective Security Branch staff member be notified of the incident.</w:t>
            </w:r>
          </w:p>
        </w:tc>
      </w:tr>
      <w:tr w:rsidR="006C70DE" w:rsidRPr="006C70DE" w14:paraId="4C8F0869" w14:textId="77777777" w:rsidTr="48BB94BA">
        <w:tc>
          <w:tcPr>
            <w:tcW w:w="2500" w:type="pct"/>
            <w:hideMark/>
          </w:tcPr>
          <w:p w14:paraId="2EFD8899" w14:textId="77777777" w:rsidR="006C70DE" w:rsidRPr="006C70DE" w:rsidRDefault="006C70DE" w:rsidP="006C70DE">
            <w:pPr>
              <w:pStyle w:val="Tabletextleft"/>
            </w:pPr>
            <w:r w:rsidRPr="006C70DE">
              <w:t>Tasmania Police</w:t>
            </w:r>
          </w:p>
        </w:tc>
        <w:tc>
          <w:tcPr>
            <w:tcW w:w="2500" w:type="pct"/>
            <w:hideMark/>
          </w:tcPr>
          <w:p w14:paraId="4F6E1100" w14:textId="77777777" w:rsidR="006C70DE" w:rsidRPr="006C70DE" w:rsidRDefault="006C70DE" w:rsidP="006C70DE">
            <w:pPr>
              <w:pStyle w:val="Tabletextleft"/>
            </w:pPr>
            <w:r w:rsidRPr="006C70DE">
              <w:t>During business hours please contact the Counter Terrorism Unit </w:t>
            </w:r>
            <w:r w:rsidRPr="006C70DE">
              <w:rPr>
                <w:b/>
                <w:bCs/>
              </w:rPr>
              <w:t>(03) 6230 2500. </w:t>
            </w:r>
            <w:r w:rsidRPr="006C70DE">
              <w:t xml:space="preserve">After </w:t>
            </w:r>
            <w:proofErr w:type="gramStart"/>
            <w:r w:rsidRPr="006C70DE">
              <w:t>Hours</w:t>
            </w:r>
            <w:proofErr w:type="gramEnd"/>
            <w:r w:rsidRPr="006C70DE">
              <w:t xml:space="preserve"> please call </w:t>
            </w:r>
            <w:r w:rsidRPr="006C70DE">
              <w:rPr>
                <w:b/>
                <w:bCs/>
              </w:rPr>
              <w:t>131 444</w:t>
            </w:r>
            <w:r w:rsidRPr="006C70DE">
              <w:t> and ask to speak to the supervisor of Radio Dispatch Services and request notification of the report to be made to the Director Counter Terrorism Unit.</w:t>
            </w:r>
          </w:p>
        </w:tc>
      </w:tr>
      <w:tr w:rsidR="006C70DE" w:rsidRPr="006C70DE" w14:paraId="0EC7EA10" w14:textId="77777777" w:rsidTr="48BB94BA">
        <w:tc>
          <w:tcPr>
            <w:tcW w:w="2500" w:type="pct"/>
            <w:hideMark/>
          </w:tcPr>
          <w:p w14:paraId="26429510" w14:textId="77777777" w:rsidR="006C70DE" w:rsidRPr="006C70DE" w:rsidRDefault="006C70DE" w:rsidP="006C70DE">
            <w:pPr>
              <w:pStyle w:val="Tabletextleft"/>
            </w:pPr>
            <w:r w:rsidRPr="006C70DE">
              <w:t>Northern Territory Police</w:t>
            </w:r>
          </w:p>
        </w:tc>
        <w:tc>
          <w:tcPr>
            <w:tcW w:w="2500" w:type="pct"/>
            <w:hideMark/>
          </w:tcPr>
          <w:p w14:paraId="635D5662" w14:textId="77777777" w:rsidR="006C70DE" w:rsidRPr="006C70DE" w:rsidRDefault="006C70DE" w:rsidP="006C70DE">
            <w:pPr>
              <w:pStyle w:val="Tabletextleft"/>
            </w:pPr>
            <w:r w:rsidRPr="006C70DE">
              <w:rPr>
                <w:b/>
                <w:bCs/>
              </w:rPr>
              <w:t>131 444</w:t>
            </w:r>
          </w:p>
        </w:tc>
      </w:tr>
      <w:tr w:rsidR="006C70DE" w:rsidRPr="006C70DE" w14:paraId="55C0267C" w14:textId="77777777" w:rsidTr="48BB94BA">
        <w:tc>
          <w:tcPr>
            <w:tcW w:w="2500" w:type="pct"/>
            <w:hideMark/>
          </w:tcPr>
          <w:p w14:paraId="266B0FFA" w14:textId="77777777" w:rsidR="006C70DE" w:rsidRPr="006C70DE" w:rsidRDefault="006C70DE" w:rsidP="006C70DE">
            <w:pPr>
              <w:pStyle w:val="Tabletextleft"/>
            </w:pPr>
            <w:r w:rsidRPr="006C70DE">
              <w:t>Queensland Police Service</w:t>
            </w:r>
          </w:p>
        </w:tc>
        <w:tc>
          <w:tcPr>
            <w:tcW w:w="2500" w:type="pct"/>
            <w:hideMark/>
          </w:tcPr>
          <w:p w14:paraId="7450AB14" w14:textId="77777777" w:rsidR="006C70DE" w:rsidRPr="006C70DE" w:rsidRDefault="006C70DE" w:rsidP="006C70DE">
            <w:pPr>
              <w:pStyle w:val="Tabletextleft"/>
            </w:pPr>
            <w:r w:rsidRPr="006C70DE">
              <w:t>In the first instance please contact </w:t>
            </w:r>
            <w:r w:rsidRPr="006C70DE">
              <w:rPr>
                <w:b/>
                <w:bCs/>
              </w:rPr>
              <w:t>(07) 3364 6315</w:t>
            </w:r>
            <w:r w:rsidRPr="006C70DE">
              <w:t> if unanswered please contact </w:t>
            </w:r>
            <w:r w:rsidRPr="006C70DE">
              <w:rPr>
                <w:b/>
                <w:bCs/>
              </w:rPr>
              <w:t>0417 706 899</w:t>
            </w:r>
            <w:r w:rsidRPr="006C70DE">
              <w:t>.</w:t>
            </w:r>
          </w:p>
        </w:tc>
      </w:tr>
      <w:tr w:rsidR="006C70DE" w:rsidRPr="006C70DE" w14:paraId="1515ED6D" w14:textId="77777777" w:rsidTr="48BB94BA">
        <w:tc>
          <w:tcPr>
            <w:tcW w:w="2500" w:type="pct"/>
            <w:hideMark/>
          </w:tcPr>
          <w:p w14:paraId="47914594" w14:textId="72C9A62D" w:rsidR="006C70DE" w:rsidRPr="006C70DE" w:rsidRDefault="006C70DE" w:rsidP="006C70DE">
            <w:pPr>
              <w:pStyle w:val="Tabletextleft"/>
            </w:pPr>
            <w:r w:rsidRPr="006C70DE">
              <w:t>New South Wales Police Force</w:t>
            </w:r>
          </w:p>
        </w:tc>
        <w:tc>
          <w:tcPr>
            <w:tcW w:w="2500" w:type="pct"/>
            <w:hideMark/>
          </w:tcPr>
          <w:p w14:paraId="2B271323" w14:textId="77777777" w:rsidR="006C70DE" w:rsidRPr="006C70DE" w:rsidRDefault="006C70DE" w:rsidP="006C70DE">
            <w:pPr>
              <w:pStyle w:val="Tabletextleft"/>
            </w:pPr>
            <w:r w:rsidRPr="006C70DE">
              <w:rPr>
                <w:b/>
                <w:bCs/>
              </w:rPr>
              <w:t>0448 440 802</w:t>
            </w:r>
            <w:r w:rsidRPr="006C70DE">
              <w:t> – Counter-Terrorism and Special Tactics Command</w:t>
            </w:r>
          </w:p>
        </w:tc>
      </w:tr>
      <w:tr w:rsidR="006C70DE" w:rsidRPr="006C70DE" w14:paraId="1B28584F" w14:textId="77777777" w:rsidTr="00923EB9">
        <w:trPr>
          <w:trHeight w:val="300"/>
        </w:trPr>
        <w:tc>
          <w:tcPr>
            <w:tcW w:w="2500" w:type="pct"/>
            <w:hideMark/>
          </w:tcPr>
          <w:p w14:paraId="05421B8F" w14:textId="77777777" w:rsidR="006C70DE" w:rsidRPr="006C70DE" w:rsidRDefault="006C70DE" w:rsidP="006C70DE">
            <w:pPr>
              <w:pStyle w:val="Tabletextleft"/>
            </w:pPr>
            <w:r w:rsidRPr="006C70DE">
              <w:t>Victoria Police</w:t>
            </w:r>
          </w:p>
        </w:tc>
        <w:tc>
          <w:tcPr>
            <w:tcW w:w="2500" w:type="pct"/>
            <w:hideMark/>
          </w:tcPr>
          <w:p w14:paraId="5427EFD3" w14:textId="4DB23052" w:rsidR="006C70DE" w:rsidRPr="006C70DE" w:rsidRDefault="5D9F50CB" w:rsidP="006C70DE">
            <w:pPr>
              <w:pStyle w:val="Tabletextleft"/>
            </w:pPr>
            <w:r w:rsidRPr="33EA8894">
              <w:rPr>
                <w:b/>
                <w:bCs/>
              </w:rPr>
              <w:t xml:space="preserve">131 444 </w:t>
            </w:r>
          </w:p>
        </w:tc>
      </w:tr>
    </w:tbl>
    <w:p w14:paraId="75D07C54" w14:textId="7FBC1C47" w:rsidR="006C70DE" w:rsidRPr="006C70DE" w:rsidRDefault="006C70DE" w:rsidP="006C70DE">
      <w:pPr>
        <w:pStyle w:val="Heading1"/>
      </w:pPr>
      <w:r>
        <w:t>What if you are unsure of whether something is a reportable event?</w:t>
      </w:r>
    </w:p>
    <w:p w14:paraId="5A3E941B" w14:textId="47C631E0" w:rsidR="006C70DE" w:rsidRPr="006C70DE" w:rsidRDefault="006C70DE" w:rsidP="006C70DE">
      <w:r>
        <w:t xml:space="preserve">If in doubt, please contact </w:t>
      </w:r>
      <w:r w:rsidR="00700686">
        <w:t>the Australian CD</w:t>
      </w:r>
      <w:r w:rsidR="6F6EF603">
        <w:t>C</w:t>
      </w:r>
      <w:r>
        <w:t xml:space="preserve"> on the contact information listed above. An alternative source of advice is the Australian Federal Police Weapons Technical Intelligence (WTI) team. WTI can be contacted on 02 5126 9175 during business hours, </w:t>
      </w:r>
      <w:hyperlink r:id="rId11">
        <w:r w:rsidRPr="48BB94BA">
          <w:rPr>
            <w:rStyle w:val="Hyperlink"/>
          </w:rPr>
          <w:t>weapons-technical-intelligence@afp.gov.au</w:t>
        </w:r>
      </w:hyperlink>
      <w:r>
        <w:t>. A 24-hour urgent response is available through AFP National Switchboard 5126 0000 (ask for WTI). WTI can provide technical advice to law enforcement and entities on the potential for malicious use of harmful biological agents.</w:t>
      </w:r>
    </w:p>
    <w:p w14:paraId="2DC4B7BC" w14:textId="020C015D" w:rsidR="006C70DE" w:rsidRPr="006C70DE" w:rsidRDefault="006C70DE" w:rsidP="006C70DE">
      <w:pPr>
        <w:pStyle w:val="Heading1"/>
        <w:rPr>
          <w:sz w:val="21"/>
        </w:rPr>
      </w:pPr>
      <w:r w:rsidRPr="006C70DE">
        <w:lastRenderedPageBreak/>
        <w:t>Information you may be asked to provide</w:t>
      </w:r>
    </w:p>
    <w:p w14:paraId="6EC97EA9" w14:textId="77777777" w:rsidR="006C70DE" w:rsidRPr="006C70DE" w:rsidRDefault="006C70DE" w:rsidP="006C70DE">
      <w:r w:rsidRPr="006C70DE">
        <w:t>This list is not exhaustive and details may change depending on the incident.</w:t>
      </w:r>
    </w:p>
    <w:p w14:paraId="430D11A8" w14:textId="77777777" w:rsidR="006C70DE" w:rsidRPr="006C70DE" w:rsidRDefault="006C70DE" w:rsidP="006C70DE">
      <w:pPr>
        <w:pStyle w:val="ListParagraph"/>
        <w:numPr>
          <w:ilvl w:val="0"/>
          <w:numId w:val="34"/>
        </w:numPr>
      </w:pPr>
      <w:r w:rsidRPr="006C70DE">
        <w:t>Who is making the report (details of the caller, entity, facility and contact details)?</w:t>
      </w:r>
    </w:p>
    <w:p w14:paraId="676B2209" w14:textId="77777777" w:rsidR="006C70DE" w:rsidRPr="006C70DE" w:rsidRDefault="006C70DE" w:rsidP="006C70DE">
      <w:pPr>
        <w:pStyle w:val="ListParagraph"/>
        <w:numPr>
          <w:ilvl w:val="0"/>
          <w:numId w:val="34"/>
        </w:numPr>
      </w:pPr>
      <w:r w:rsidRPr="006C70DE">
        <w:t>Contact person details (name, entity, facility and contact details).</w:t>
      </w:r>
    </w:p>
    <w:p w14:paraId="1405A277" w14:textId="77777777" w:rsidR="006C70DE" w:rsidRPr="006C70DE" w:rsidRDefault="006C70DE" w:rsidP="006C70DE">
      <w:pPr>
        <w:pStyle w:val="ListParagraph"/>
        <w:numPr>
          <w:ilvl w:val="0"/>
          <w:numId w:val="34"/>
        </w:numPr>
      </w:pPr>
      <w:r w:rsidRPr="006C70DE">
        <w:t>What has happened (theft, attempted theft, unauthorised access, etc.)?</w:t>
      </w:r>
    </w:p>
    <w:p w14:paraId="373677FD" w14:textId="77777777" w:rsidR="006C70DE" w:rsidRPr="006C70DE" w:rsidRDefault="006C70DE" w:rsidP="006C70DE">
      <w:pPr>
        <w:pStyle w:val="ListParagraph"/>
        <w:numPr>
          <w:ilvl w:val="0"/>
          <w:numId w:val="34"/>
        </w:numPr>
      </w:pPr>
      <w:r w:rsidRPr="006C70DE">
        <w:t>Who have you already reported this incident to?</w:t>
      </w:r>
    </w:p>
    <w:p w14:paraId="3FA5E6B3" w14:textId="77777777" w:rsidR="006C70DE" w:rsidRPr="006C70DE" w:rsidRDefault="006C70DE" w:rsidP="006C70DE">
      <w:pPr>
        <w:pStyle w:val="ListParagraph"/>
        <w:numPr>
          <w:ilvl w:val="0"/>
          <w:numId w:val="34"/>
        </w:numPr>
      </w:pPr>
      <w:r w:rsidRPr="006C70DE">
        <w:t>When did the event happen (when was it first discovered)?</w:t>
      </w:r>
    </w:p>
    <w:p w14:paraId="5A9026EF" w14:textId="77777777" w:rsidR="006C70DE" w:rsidRPr="006C70DE" w:rsidRDefault="006C70DE" w:rsidP="006C70DE">
      <w:pPr>
        <w:pStyle w:val="ListParagraph"/>
        <w:numPr>
          <w:ilvl w:val="0"/>
          <w:numId w:val="34"/>
        </w:numPr>
      </w:pPr>
      <w:r w:rsidRPr="006C70DE">
        <w:t>Where did it happen (location of facility)?</w:t>
      </w:r>
    </w:p>
    <w:p w14:paraId="67328AB8" w14:textId="77777777" w:rsidR="006C70DE" w:rsidRPr="006C70DE" w:rsidRDefault="006C70DE" w:rsidP="006C70DE">
      <w:pPr>
        <w:pStyle w:val="ListParagraph"/>
        <w:numPr>
          <w:ilvl w:val="0"/>
          <w:numId w:val="34"/>
        </w:numPr>
      </w:pPr>
      <w:r w:rsidRPr="006C70DE">
        <w:t>How did it happen (broken lock, property damage etc.)?</w:t>
      </w:r>
    </w:p>
    <w:p w14:paraId="1900A444" w14:textId="77777777" w:rsidR="006C70DE" w:rsidRPr="006C70DE" w:rsidRDefault="006C70DE" w:rsidP="006C70DE">
      <w:pPr>
        <w:pStyle w:val="ListParagraph"/>
        <w:numPr>
          <w:ilvl w:val="0"/>
          <w:numId w:val="34"/>
        </w:numPr>
      </w:pPr>
      <w:r w:rsidRPr="006C70DE">
        <w:t>What is the immediate risk/danger posed by the event?</w:t>
      </w:r>
    </w:p>
    <w:p w14:paraId="48AA7C00" w14:textId="77777777" w:rsidR="006C70DE" w:rsidRPr="006C70DE" w:rsidRDefault="006C70DE" w:rsidP="006C70DE">
      <w:pPr>
        <w:pStyle w:val="ListParagraph"/>
        <w:numPr>
          <w:ilvl w:val="0"/>
          <w:numId w:val="34"/>
        </w:numPr>
      </w:pPr>
      <w:r w:rsidRPr="006C70DE">
        <w:t>Offender details (description, vehicle, clothing).</w:t>
      </w:r>
    </w:p>
    <w:p w14:paraId="4F63E7C9" w14:textId="77777777" w:rsidR="006C70DE" w:rsidRPr="006C70DE" w:rsidRDefault="006C70DE" w:rsidP="006C70DE">
      <w:pPr>
        <w:pStyle w:val="ListParagraph"/>
        <w:numPr>
          <w:ilvl w:val="0"/>
          <w:numId w:val="34"/>
        </w:numPr>
      </w:pPr>
      <w:r w:rsidRPr="006C70DE">
        <w:t>Is any SSBA(s) missing? If so:</w:t>
      </w:r>
    </w:p>
    <w:p w14:paraId="46BFF76A" w14:textId="77777777" w:rsidR="006C70DE" w:rsidRPr="006C70DE" w:rsidRDefault="006C70DE" w:rsidP="008977A7">
      <w:pPr>
        <w:pStyle w:val="ListParagraph"/>
        <w:numPr>
          <w:ilvl w:val="1"/>
          <w:numId w:val="34"/>
        </w:numPr>
      </w:pPr>
      <w:r w:rsidRPr="006C70DE">
        <w:t>how much of the SSBA(s) is missing?</w:t>
      </w:r>
    </w:p>
    <w:p w14:paraId="4D837ED7" w14:textId="77777777" w:rsidR="006C70DE" w:rsidRPr="006C70DE" w:rsidRDefault="006C70DE" w:rsidP="008977A7">
      <w:pPr>
        <w:pStyle w:val="ListParagraph"/>
        <w:numPr>
          <w:ilvl w:val="1"/>
          <w:numId w:val="34"/>
        </w:numPr>
      </w:pPr>
      <w:r w:rsidRPr="006C70DE">
        <w:t>how was it packaged?</w:t>
      </w:r>
    </w:p>
    <w:p w14:paraId="48A5D612" w14:textId="77777777" w:rsidR="006C70DE" w:rsidRPr="006C70DE" w:rsidRDefault="006C70DE" w:rsidP="008977A7">
      <w:pPr>
        <w:pStyle w:val="ListParagraph"/>
        <w:numPr>
          <w:ilvl w:val="1"/>
          <w:numId w:val="34"/>
        </w:numPr>
      </w:pPr>
      <w:r w:rsidRPr="006C70DE">
        <w:t>what does the packaging look like?</w:t>
      </w:r>
    </w:p>
    <w:p w14:paraId="1D1253D2" w14:textId="77777777" w:rsidR="006C70DE" w:rsidRPr="006C70DE" w:rsidRDefault="006C70DE" w:rsidP="008977A7">
      <w:pPr>
        <w:pStyle w:val="ListParagraph"/>
        <w:numPr>
          <w:ilvl w:val="1"/>
          <w:numId w:val="34"/>
        </w:numPr>
      </w:pPr>
      <w:r w:rsidRPr="006C70DE">
        <w:t>how does it need to be maintained for example, cold/hot?</w:t>
      </w:r>
    </w:p>
    <w:p w14:paraId="63266C9D" w14:textId="77777777" w:rsidR="006C70DE" w:rsidRPr="006C70DE" w:rsidRDefault="006C70DE" w:rsidP="008977A7">
      <w:pPr>
        <w:pStyle w:val="ListParagraph"/>
        <w:numPr>
          <w:ilvl w:val="0"/>
          <w:numId w:val="29"/>
        </w:numPr>
      </w:pPr>
      <w:r w:rsidRPr="006C70DE">
        <w:t>Who has the SSBA now?</w:t>
      </w:r>
    </w:p>
    <w:p w14:paraId="5421AE42" w14:textId="77777777" w:rsidR="006C70DE" w:rsidRPr="006C70DE" w:rsidRDefault="006C70DE" w:rsidP="008977A7">
      <w:pPr>
        <w:pStyle w:val="ListParagraph"/>
        <w:numPr>
          <w:ilvl w:val="0"/>
          <w:numId w:val="29"/>
        </w:numPr>
      </w:pPr>
      <w:r w:rsidRPr="006C70DE">
        <w:t>What is the threat to the community?</w:t>
      </w:r>
    </w:p>
    <w:p w14:paraId="2B26F10B" w14:textId="77777777" w:rsidR="006C70DE" w:rsidRPr="006C70DE" w:rsidRDefault="006C70DE" w:rsidP="008977A7">
      <w:pPr>
        <w:pStyle w:val="ListParagraph"/>
        <w:numPr>
          <w:ilvl w:val="1"/>
          <w:numId w:val="34"/>
        </w:numPr>
      </w:pPr>
      <w:r w:rsidRPr="006C70DE">
        <w:t>how dangerous or toxic is the SSBA?</w:t>
      </w:r>
    </w:p>
    <w:p w14:paraId="0FFA0F63" w14:textId="77777777" w:rsidR="006C70DE" w:rsidRPr="006C70DE" w:rsidRDefault="006C70DE" w:rsidP="008977A7">
      <w:pPr>
        <w:pStyle w:val="ListParagraph"/>
        <w:numPr>
          <w:ilvl w:val="1"/>
          <w:numId w:val="34"/>
        </w:numPr>
      </w:pPr>
      <w:r w:rsidRPr="006C70DE">
        <w:t>what are the effects of exposure to or infection by the SSBA?</w:t>
      </w:r>
    </w:p>
    <w:p w14:paraId="072CFB05" w14:textId="77777777" w:rsidR="006C70DE" w:rsidRPr="006C70DE" w:rsidRDefault="006C70DE" w:rsidP="008977A7">
      <w:pPr>
        <w:pStyle w:val="ListParagraph"/>
        <w:numPr>
          <w:ilvl w:val="0"/>
          <w:numId w:val="29"/>
        </w:numPr>
      </w:pPr>
      <w:r w:rsidRPr="006C70DE">
        <w:t>Are there any safety issues (assembly points, personal protective equipment)</w:t>
      </w:r>
    </w:p>
    <w:p w14:paraId="63A6AF2E" w14:textId="77777777" w:rsidR="006C70DE" w:rsidRPr="006C70DE" w:rsidRDefault="006C70DE" w:rsidP="008977A7">
      <w:r w:rsidRPr="006C70DE">
        <w:t>When providing information to police you should be mindful of the information that you are providing and notify them if the information is sensitive in nature.</w:t>
      </w:r>
    </w:p>
    <w:p w14:paraId="0C9B52AD" w14:textId="2F902B57" w:rsidR="006C70DE" w:rsidRPr="006C70DE" w:rsidRDefault="006C70DE" w:rsidP="008977A7">
      <w:r>
        <w:t>You should ask for a job number from the police when reporting the incident. You will need to provide this number to the National Security Hotline (if applicable) and</w:t>
      </w:r>
      <w:r w:rsidR="000C0529">
        <w:t xml:space="preserve"> the Australian CDC</w:t>
      </w:r>
      <w:r>
        <w:t xml:space="preserve"> e when reporting the incident.</w:t>
      </w:r>
    </w:p>
    <w:p w14:paraId="3DBF7DF4" w14:textId="77777777" w:rsidR="006C70DE" w:rsidRPr="006C70DE" w:rsidRDefault="006C70DE" w:rsidP="008977A7">
      <w:pPr>
        <w:pStyle w:val="Heading1"/>
      </w:pPr>
      <w:r w:rsidRPr="006C70DE">
        <w:t>Suspicious behaviour</w:t>
      </w:r>
    </w:p>
    <w:p w14:paraId="764FE1F0" w14:textId="1DF1F6A4" w:rsidR="006C70DE" w:rsidRPr="006C70DE" w:rsidRDefault="006C70DE" w:rsidP="008977A7">
      <w:r>
        <w:t>Suspicious behaviour and activities such as theft of equipment and related information should be reported to the National Security Hotline on 1800 123 400 and to law enforcement; however, is not a mandatory reportable event under the NHS Act.</w:t>
      </w:r>
    </w:p>
    <w:p w14:paraId="4F28D7A2" w14:textId="2D676A16" w:rsidR="009040E9" w:rsidRPr="009040E9" w:rsidRDefault="006C70DE" w:rsidP="008977A7">
      <w:r>
        <w:t>For further information on suspicious behaviour please refer to the guideline prepared by the Australian Federal Police – </w:t>
      </w:r>
      <w:r w:rsidRPr="48BB94BA">
        <w:rPr>
          <w:i/>
          <w:iCs/>
        </w:rPr>
        <w:t>Indicators of Suspicious Behaviour in Laboratories Handling SSBA.</w:t>
      </w:r>
      <w:r>
        <w:t> You can request a copy of this guideline by emailing your details to</w:t>
      </w:r>
      <w:r w:rsidR="00923EB9">
        <w:t xml:space="preserve"> </w:t>
      </w:r>
      <w:hyperlink r:id="rId12" w:history="1">
        <w:r w:rsidR="006E7EB9" w:rsidRPr="005879B9">
          <w:rPr>
            <w:rStyle w:val="Hyperlink"/>
          </w:rPr>
          <w:t>ssba@cdc.gov.au</w:t>
        </w:r>
      </w:hyperlink>
      <w:r w:rsidR="006E7EB9">
        <w:t xml:space="preserve">. </w:t>
      </w:r>
    </w:p>
    <w:sectPr w:rsidR="009040E9" w:rsidRPr="009040E9"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03DF" w14:textId="77777777" w:rsidR="00727366" w:rsidRDefault="00727366" w:rsidP="006B56BB">
      <w:r>
        <w:separator/>
      </w:r>
    </w:p>
    <w:p w14:paraId="58F45F39" w14:textId="77777777" w:rsidR="00727366" w:rsidRDefault="00727366"/>
  </w:endnote>
  <w:endnote w:type="continuationSeparator" w:id="0">
    <w:p w14:paraId="41873A1E" w14:textId="77777777" w:rsidR="00727366" w:rsidRDefault="00727366" w:rsidP="006B56BB">
      <w:r>
        <w:continuationSeparator/>
      </w:r>
    </w:p>
    <w:p w14:paraId="7BCD6FFB" w14:textId="77777777" w:rsidR="00727366" w:rsidRDefault="00727366"/>
  </w:endnote>
  <w:endnote w:type="continuationNotice" w:id="1">
    <w:p w14:paraId="2D2ED89E" w14:textId="77777777" w:rsidR="00727366" w:rsidRDefault="00727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43C60" w14:textId="100F3CD9" w:rsidR="001640AC" w:rsidRDefault="001640AC">
    <w:pPr>
      <w:pStyle w:val="Footer"/>
    </w:pPr>
    <w:r>
      <w:rPr>
        <w:noProof/>
      </w:rPr>
      <mc:AlternateContent>
        <mc:Choice Requires="wps">
          <w:drawing>
            <wp:anchor distT="0" distB="0" distL="0" distR="0" simplePos="0" relativeHeight="251658245" behindDoc="0" locked="0" layoutInCell="1" allowOverlap="1" wp14:anchorId="339DFAA5" wp14:editId="4EA54D0E">
              <wp:simplePos x="635" y="635"/>
              <wp:positionH relativeFrom="page">
                <wp:align>center</wp:align>
              </wp:positionH>
              <wp:positionV relativeFrom="page">
                <wp:align>bottom</wp:align>
              </wp:positionV>
              <wp:extent cx="609600" cy="485775"/>
              <wp:effectExtent l="0" t="0" r="0" b="0"/>
              <wp:wrapNone/>
              <wp:docPr id="13256306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3499EFC" w14:textId="1A651599"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9DFAA5"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63499EFC" w14:textId="1A651599"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862D" w14:textId="4557D009" w:rsidR="00B53987" w:rsidRDefault="001640AC" w:rsidP="00B53987">
    <w:pPr>
      <w:pStyle w:val="Footer"/>
    </w:pPr>
    <w:r>
      <w:rPr>
        <w:noProof/>
      </w:rPr>
      <mc:AlternateContent>
        <mc:Choice Requires="wps">
          <w:drawing>
            <wp:anchor distT="0" distB="0" distL="0" distR="0" simplePos="0" relativeHeight="251658246" behindDoc="0" locked="0" layoutInCell="1" allowOverlap="1" wp14:anchorId="54D4C5CE" wp14:editId="01B55631">
              <wp:simplePos x="635" y="635"/>
              <wp:positionH relativeFrom="page">
                <wp:align>center</wp:align>
              </wp:positionH>
              <wp:positionV relativeFrom="page">
                <wp:align>bottom</wp:align>
              </wp:positionV>
              <wp:extent cx="609600" cy="485775"/>
              <wp:effectExtent l="0" t="0" r="0" b="0"/>
              <wp:wrapNone/>
              <wp:docPr id="181914380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D923273" w14:textId="7CA63CD7"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4C5CE"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4D923273" w14:textId="7CA63CD7"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v:textbox>
              <w10:wrap anchorx="page" anchory="page"/>
            </v:shape>
          </w:pict>
        </mc:Fallback>
      </mc:AlternateContent>
    </w:r>
    <w:r w:rsidR="008977A7" w:rsidRPr="008977A7">
      <w:t>SSBA – Guideline 5 – Reporting to law enforcement or the National Security Hotline</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F18C" w14:textId="77777777" w:rsidR="00440A3D" w:rsidRDefault="00440A3D" w:rsidP="00B53987">
    <w:pPr>
      <w:pStyle w:val="Footer"/>
    </w:pPr>
  </w:p>
  <w:p w14:paraId="370BC15C" w14:textId="4EEE96B1" w:rsidR="00B53987" w:rsidRDefault="001640AC" w:rsidP="00B53987">
    <w:pPr>
      <w:pStyle w:val="Footer"/>
    </w:pPr>
    <w:r>
      <w:rPr>
        <w:noProof/>
      </w:rPr>
      <mc:AlternateContent>
        <mc:Choice Requires="wps">
          <w:drawing>
            <wp:anchor distT="0" distB="0" distL="0" distR="0" simplePos="0" relativeHeight="251658244" behindDoc="0" locked="0" layoutInCell="1" allowOverlap="1" wp14:anchorId="6CC32CEB" wp14:editId="169F1F32">
              <wp:simplePos x="635" y="635"/>
              <wp:positionH relativeFrom="page">
                <wp:align>center</wp:align>
              </wp:positionH>
              <wp:positionV relativeFrom="page">
                <wp:align>bottom</wp:align>
              </wp:positionV>
              <wp:extent cx="609600" cy="485775"/>
              <wp:effectExtent l="0" t="0" r="0" b="0"/>
              <wp:wrapNone/>
              <wp:docPr id="13958564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0C6EFE7" w14:textId="7AEE485B"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C32CEB"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50C6EFE7" w14:textId="7AEE485B"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v:textbox>
              <w10:wrap anchorx="page" anchory="page"/>
            </v:shape>
          </w:pict>
        </mc:Fallback>
      </mc:AlternateContent>
    </w:r>
    <w:r w:rsidR="005F2423">
      <w:rPr>
        <w:noProof/>
      </w:rPr>
      <mc:AlternateContent>
        <mc:Choice Requires="wps">
          <w:drawing>
            <wp:anchor distT="0" distB="0" distL="114300" distR="114300" simplePos="0" relativeHeight="251658240" behindDoc="1" locked="0" layoutInCell="1" allowOverlap="1" wp14:anchorId="31B245A0" wp14:editId="2C4CC788">
              <wp:simplePos x="0" y="0"/>
              <wp:positionH relativeFrom="page">
                <wp:align>center</wp:align>
              </wp:positionH>
              <wp:positionV relativeFrom="page">
                <wp:align>bottom</wp:align>
              </wp:positionV>
              <wp:extent cx="7560000" cy="324000"/>
              <wp:effectExtent l="0" t="0" r="0" b="63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24000"/>
                      </a:xfrm>
                      <a:prstGeom prst="rect">
                        <a:avLst/>
                      </a:prstGeom>
                      <a:solidFill>
                        <a:srgbClr val="4F26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9D926" id="Rectangle 2" o:spid="_x0000_s1026" alt="&quot;&quot;" style="position:absolute;margin-left:0;margin-top:0;width:595.3pt;height:25.5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" fillcolor="#4f2683" stroked="f" strokeweight="2pt">
              <w10:wrap anchorx="page" anchory="page"/>
            </v:rect>
          </w:pict>
        </mc:Fallback>
      </mc:AlternateContent>
    </w:r>
    <w:r w:rsidR="008977A7" w:rsidRPr="008977A7">
      <w:t>SSBA – Guideline 5 – Reporting to law enforcement or the National Security Hotline</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28AB0" w14:textId="77777777" w:rsidR="00727366" w:rsidRDefault="00727366" w:rsidP="006B56BB">
      <w:r>
        <w:separator/>
      </w:r>
    </w:p>
    <w:p w14:paraId="48BF64C5" w14:textId="77777777" w:rsidR="00727366" w:rsidRDefault="00727366"/>
  </w:footnote>
  <w:footnote w:type="continuationSeparator" w:id="0">
    <w:p w14:paraId="48502A00" w14:textId="77777777" w:rsidR="00727366" w:rsidRDefault="00727366" w:rsidP="006B56BB">
      <w:r>
        <w:continuationSeparator/>
      </w:r>
    </w:p>
    <w:p w14:paraId="466816E5" w14:textId="77777777" w:rsidR="00727366" w:rsidRDefault="00727366"/>
  </w:footnote>
  <w:footnote w:type="continuationNotice" w:id="1">
    <w:p w14:paraId="0461D6E7" w14:textId="77777777" w:rsidR="00727366" w:rsidRDefault="00727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872F" w14:textId="3AAB8E75" w:rsidR="001640AC" w:rsidRDefault="001640AC">
    <w:pPr>
      <w:pStyle w:val="Header"/>
    </w:pPr>
    <w:r>
      <w:rPr>
        <w:noProof/>
      </w:rPr>
      <mc:AlternateContent>
        <mc:Choice Requires="wps">
          <w:drawing>
            <wp:anchor distT="0" distB="0" distL="0" distR="0" simplePos="0" relativeHeight="251658242" behindDoc="0" locked="0" layoutInCell="1" allowOverlap="1" wp14:anchorId="6284F6D8" wp14:editId="34A94458">
              <wp:simplePos x="635" y="635"/>
              <wp:positionH relativeFrom="page">
                <wp:align>center</wp:align>
              </wp:positionH>
              <wp:positionV relativeFrom="page">
                <wp:align>top</wp:align>
              </wp:positionV>
              <wp:extent cx="609600" cy="485775"/>
              <wp:effectExtent l="0" t="0" r="0" b="9525"/>
              <wp:wrapNone/>
              <wp:docPr id="1553474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35C9144" w14:textId="013DA32A"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4F6D8"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35C9144" w14:textId="013DA32A"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3F1" w14:textId="5E423DAA" w:rsidR="008E0C77" w:rsidRDefault="001640AC"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2E447BED" wp14:editId="7BA950A3">
              <wp:simplePos x="635" y="635"/>
              <wp:positionH relativeFrom="page">
                <wp:align>center</wp:align>
              </wp:positionH>
              <wp:positionV relativeFrom="page">
                <wp:align>top</wp:align>
              </wp:positionV>
              <wp:extent cx="609600" cy="485775"/>
              <wp:effectExtent l="0" t="0" r="0" b="9525"/>
              <wp:wrapNone/>
              <wp:docPr id="490655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F4760C3" w14:textId="70580449"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447BED"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7F4760C3" w14:textId="70580449"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D594" w14:textId="043987FB" w:rsidR="00B53987" w:rsidRDefault="00DF1FDA">
    <w:pPr>
      <w:pStyle w:val="Header"/>
    </w:pPr>
    <w:r>
      <w:rPr>
        <w:noProof/>
      </w:rPr>
      <w:drawing>
        <wp:anchor distT="0" distB="0" distL="114300" distR="114300" simplePos="0" relativeHeight="251660295" behindDoc="0" locked="0" layoutInCell="1" allowOverlap="1" wp14:anchorId="4C5C727D" wp14:editId="2A7A1AFE">
          <wp:simplePos x="0" y="0"/>
          <wp:positionH relativeFrom="page">
            <wp:align>left</wp:align>
          </wp:positionH>
          <wp:positionV relativeFrom="page">
            <wp:align>top</wp:align>
          </wp:positionV>
          <wp:extent cx="7559996" cy="2058352"/>
          <wp:effectExtent l="0" t="0" r="3175" b="0"/>
          <wp:wrapSquare wrapText="bothSides"/>
          <wp:docPr id="39651304" name="Picture 39651304"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urity Sensitive Biological Agents Regulatory Scheme logo"/>
                  <pic:cNvPicPr/>
                </pic:nvPicPr>
                <pic:blipFill>
                  <a:blip r:embed="rId1">
                    <a:extLst>
                      <a:ext uri="{BEBA8EAE-BF5A-486C-A8C5-ECC9F3942E4B}">
                        <a14:imgProps xmlns:a14="http://schemas.microsoft.com/office/drawing/2010/main">
                          <a14:imgLayer r:embed="rId2">
                            <a14:imgEffect>
                              <a14:backgroundRemoval t="1775" b="99556" l="3548" r="96815">
                                <a14:foregroundMark x1="82903" y1="888" x2="84073" y2="50296"/>
                                <a14:foregroundMark x1="84073" y1="50296" x2="90766" y2="46893"/>
                                <a14:foregroundMark x1="90766" y1="46893" x2="77056" y2="84172"/>
                                <a14:foregroundMark x1="77056" y1="84172" x2="11371" y2="69231"/>
                                <a14:foregroundMark x1="11371" y1="69231" x2="21089" y2="93343"/>
                                <a14:foregroundMark x1="21089" y1="93343" x2="36774" y2="98077"/>
                                <a14:foregroundMark x1="36774" y1="98077" x2="19395" y2="82249"/>
                                <a14:foregroundMark x1="19395" y1="82249" x2="43185" y2="91272"/>
                                <a14:foregroundMark x1="43185" y1="91272" x2="52661" y2="91124"/>
                                <a14:foregroundMark x1="52661" y1="91124" x2="66895" y2="95562"/>
                                <a14:foregroundMark x1="66895" y1="95562" x2="16492" y2="90828"/>
                                <a14:foregroundMark x1="16492" y1="90828" x2="10605" y2="99556"/>
                                <a14:foregroundMark x1="10605" y1="99556" x2="17863" y2="96302"/>
                                <a14:foregroundMark x1="17863" y1="96302" x2="31169" y2="98077"/>
                                <a14:foregroundMark x1="31169" y1="98077" x2="23952" y2="90533"/>
                                <a14:foregroundMark x1="23952" y1="90533" x2="43266" y2="86834"/>
                                <a14:foregroundMark x1="43266" y1="86834" x2="33105" y2="95414"/>
                                <a14:foregroundMark x1="33105" y1="95414" x2="17903" y2="86243"/>
                                <a14:foregroundMark x1="17903" y1="86243" x2="10887" y2="91568"/>
                                <a14:foregroundMark x1="10887" y1="91568" x2="26573" y2="99112"/>
                                <a14:foregroundMark x1="26573" y1="99112" x2="52258" y2="97041"/>
                                <a14:foregroundMark x1="52258" y1="97041" x2="37903" y2="92751"/>
                                <a14:foregroundMark x1="37903" y1="92751" x2="63266" y2="79586"/>
                                <a14:foregroundMark x1="63266" y1="79586" x2="47419" y2="79290"/>
                                <a14:foregroundMark x1="47419" y1="79290" x2="68952" y2="91272"/>
                                <a14:foregroundMark x1="68952" y1="91272" x2="59234" y2="97189"/>
                                <a14:foregroundMark x1="59234" y1="97189" x2="68065" y2="97189"/>
                                <a14:foregroundMark x1="68065" y1="97189" x2="80081" y2="96893"/>
                                <a14:foregroundMark x1="80081" y1="96893" x2="94637" y2="99556"/>
                                <a14:foregroundMark x1="94637" y1="99556" x2="59435" y2="78254"/>
                                <a14:foregroundMark x1="59435" y1="78254" x2="68831" y2="82988"/>
                                <a14:foregroundMark x1="68831" y1="82988" x2="48145" y2="82249"/>
                                <a14:foregroundMark x1="48145" y1="82249" x2="72984" y2="80621"/>
                                <a14:foregroundMark x1="72984" y1="80621" x2="83468" y2="83284"/>
                                <a14:foregroundMark x1="83468" y1="83284" x2="89234" y2="94527"/>
                                <a14:foregroundMark x1="89234" y1="94527" x2="91734" y2="94822"/>
                                <a14:foregroundMark x1="12339" y1="83284" x2="12460" y2="80030"/>
                                <a14:foregroundMark x1="85927" y1="26331" x2="93589" y2="80621"/>
                                <a14:foregroundMark x1="93589" y1="80621" x2="96653" y2="53846"/>
                                <a14:foregroundMark x1="96653" y1="53846" x2="94677" y2="76627"/>
                                <a14:foregroundMark x1="94677" y1="76627" x2="93226" y2="30325"/>
                                <a14:foregroundMark x1="93226" y1="30325" x2="91411" y2="55325"/>
                                <a14:foregroundMark x1="91411" y1="55325" x2="95524" y2="37278"/>
                                <a14:foregroundMark x1="95524" y1="37278" x2="95726" y2="13018"/>
                                <a14:foregroundMark x1="95726" y1="13018" x2="94395" y2="48077"/>
                                <a14:foregroundMark x1="94395" y1="48077" x2="91694" y2="26923"/>
                                <a14:foregroundMark x1="91694" y1="26923" x2="91532" y2="51479"/>
                                <a14:foregroundMark x1="91532" y1="51479" x2="90444" y2="26627"/>
                                <a14:foregroundMark x1="90444" y1="26627" x2="94153" y2="6509"/>
                                <a14:foregroundMark x1="94153" y1="6509" x2="96250" y2="41716"/>
                                <a14:foregroundMark x1="96250" y1="41716" x2="88065" y2="28254"/>
                                <a14:foregroundMark x1="88065" y1="28254" x2="83306" y2="43935"/>
                                <a14:foregroundMark x1="83306" y1="43935" x2="83427" y2="38905"/>
                                <a14:foregroundMark x1="93387" y1="81065" x2="87823" y2="64201"/>
                                <a14:foregroundMark x1="87823" y1="64201" x2="94032" y2="73669"/>
                                <a14:foregroundMark x1="94032" y1="73669" x2="96815" y2="50888"/>
                                <a14:foregroundMark x1="96815" y1="50888" x2="95524" y2="99556"/>
                                <a14:foregroundMark x1="80645" y1="21746" x2="79476" y2="52071"/>
                                <a14:foregroundMark x1="79476" y1="52071" x2="93065" y2="6509"/>
                                <a14:foregroundMark x1="93065" y1="6509" x2="93871" y2="6065"/>
                                <a14:foregroundMark x1="92379" y1="1923" x2="96129" y2="13905"/>
                                <a14:foregroundMark x1="79758" y1="26775" x2="53065" y2="51775"/>
                                <a14:foregroundMark x1="53065" y1="51775" x2="60605" y2="34320"/>
                                <a14:foregroundMark x1="60605" y1="34320" x2="54556" y2="68195"/>
                                <a14:foregroundMark x1="54556" y1="68195" x2="71815" y2="78550"/>
                                <a14:foregroundMark x1="71815" y1="78550" x2="61331" y2="77811"/>
                                <a14:foregroundMark x1="61331" y1="77811" x2="79516" y2="65828"/>
                                <a14:foregroundMark x1="79516" y1="65828" x2="77419" y2="42899"/>
                                <a14:foregroundMark x1="77419" y1="42899" x2="73952" y2="64497"/>
                                <a14:foregroundMark x1="73952" y1="64497" x2="71935" y2="56953"/>
                                <a14:foregroundMark x1="63266" y1="50000" x2="67540" y2="58284"/>
                                <a14:foregroundMark x1="62621" y1="53254" x2="64516" y2="52367"/>
                                <a14:foregroundMark x1="11331" y1="80473" x2="5202" y2="91124"/>
                                <a14:foregroundMark x1="5202" y1="91124" x2="3548" y2="99556"/>
                                <a14:backgroundMark x1="63295" y1="54944" x2="62944" y2="57840"/>
                                <a14:backgroundMark x1="64708" y1="43263" x2="64043" y2="48755"/>
                                <a14:backgroundMark x1="68548" y1="11538" x2="65362" y2="37865"/>
                                <a14:backgroundMark x1="55591" y1="57817" x2="16452" y2="57692"/>
                                <a14:backgroundMark x1="62944" y1="57840" x2="57227" y2="57822"/>
                                <a14:backgroundMark x1="16452" y1="57692" x2="7621" y2="44379"/>
                                <a14:backgroundMark x1="7621" y1="44379" x2="7097" y2="20858"/>
                                <a14:backgroundMark x1="7097" y1="20858" x2="24597" y2="20414"/>
                                <a14:backgroundMark x1="24597" y1="20414" x2="50161" y2="29586"/>
                                <a14:backgroundMark x1="50161" y1="29586" x2="65605" y2="27663"/>
                                <a14:backgroundMark x1="65605" y1="27663" x2="26935" y2="32396"/>
                                <a14:backgroundMark x1="26935" y1="32396" x2="18065" y2="23817"/>
                                <a14:backgroundMark x1="18065" y1="23817" x2="28266" y2="44675"/>
                                <a14:backgroundMark x1="28266" y1="44675" x2="55444" y2="57544"/>
                                <a14:backgroundMark x1="52919" y1="52913" x2="49234" y2="46154"/>
                                <a14:backgroundMark x1="53421" y1="53834" x2="53112" y2="53268"/>
                                <a14:backgroundMark x1="55444" y1="57544" x2="53530" y2="54034"/>
                                <a14:backgroundMark x1="49234" y1="46154" x2="50040" y2="47189"/>
                              </a14:backgroundRemoval>
                            </a14:imgEffect>
                            <a14:imgEffect>
                              <a14:saturation sat="105000"/>
                            </a14:imgEffect>
                            <a14:imgEffect>
                              <a14:brightnessContrast contrast="-5000"/>
                            </a14:imgEffect>
                          </a14:imgLayer>
                        </a14:imgProps>
                      </a:ext>
                      <a:ext uri="{28A0092B-C50C-407E-A947-70E740481C1C}">
                        <a14:useLocalDpi xmlns:a14="http://schemas.microsoft.com/office/drawing/2010/main" val="0"/>
                      </a:ext>
                    </a:extLst>
                  </a:blip>
                  <a:stretch>
                    <a:fillRect/>
                  </a:stretch>
                </pic:blipFill>
                <pic:spPr>
                  <a:xfrm>
                    <a:off x="0" y="0"/>
                    <a:ext cx="7559996" cy="2058352"/>
                  </a:xfrm>
                  <a:prstGeom prst="rect">
                    <a:avLst/>
                  </a:prstGeom>
                </pic:spPr>
              </pic:pic>
            </a:graphicData>
          </a:graphic>
          <wp14:sizeRelH relativeFrom="margin">
            <wp14:pctWidth>0</wp14:pctWidth>
          </wp14:sizeRelH>
          <wp14:sizeRelV relativeFrom="margin">
            <wp14:pctHeight>0</wp14:pctHeight>
          </wp14:sizeRelV>
        </wp:anchor>
      </w:drawing>
    </w:r>
    <w:r w:rsidRPr="000100F0">
      <w:rPr>
        <w:noProof/>
      </w:rPr>
      <w:drawing>
        <wp:anchor distT="0" distB="0" distL="114300" distR="114300" simplePos="0" relativeHeight="251661319" behindDoc="0" locked="0" layoutInCell="1" allowOverlap="1" wp14:anchorId="6761B7F2" wp14:editId="2ADABE4B">
          <wp:simplePos x="0" y="0"/>
          <wp:positionH relativeFrom="column">
            <wp:posOffset>-440690</wp:posOffset>
          </wp:positionH>
          <wp:positionV relativeFrom="paragraph">
            <wp:posOffset>-154940</wp:posOffset>
          </wp:positionV>
          <wp:extent cx="2343477" cy="771633"/>
          <wp:effectExtent l="0" t="0" r="0" b="9525"/>
          <wp:wrapNone/>
          <wp:docPr id="1584276323" name="Picture 1" descr="Australian Centre for Disease Contr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76323" name="Picture 1" descr="Australian Centre for Disease Control logo. "/>
                  <pic:cNvPicPr/>
                </pic:nvPicPr>
                <pic:blipFill>
                  <a:blip r:embed="rId3">
                    <a:extLst>
                      <a:ext uri="{28A0092B-C50C-407E-A947-70E740481C1C}">
                        <a14:useLocalDpi xmlns:a14="http://schemas.microsoft.com/office/drawing/2010/main" val="0"/>
                      </a:ext>
                    </a:extLst>
                  </a:blip>
                  <a:stretch>
                    <a:fillRect/>
                  </a:stretch>
                </pic:blipFill>
                <pic:spPr>
                  <a:xfrm>
                    <a:off x="0" y="0"/>
                    <a:ext cx="2343477" cy="771633"/>
                  </a:xfrm>
                  <a:prstGeom prst="rect">
                    <a:avLst/>
                  </a:prstGeom>
                </pic:spPr>
              </pic:pic>
            </a:graphicData>
          </a:graphic>
          <wp14:sizeRelH relativeFrom="page">
            <wp14:pctWidth>0</wp14:pctWidth>
          </wp14:sizeRelH>
          <wp14:sizeRelV relativeFrom="page">
            <wp14:pctHeight>0</wp14:pctHeight>
          </wp14:sizeRelV>
        </wp:anchor>
      </w:drawing>
    </w:r>
    <w:r w:rsidR="001640AC">
      <w:rPr>
        <w:noProof/>
      </w:rPr>
      <mc:AlternateContent>
        <mc:Choice Requires="wps">
          <w:drawing>
            <wp:anchor distT="0" distB="0" distL="0" distR="0" simplePos="0" relativeHeight="251658241" behindDoc="0" locked="0" layoutInCell="1" allowOverlap="1" wp14:anchorId="51FB94CA" wp14:editId="1B7717D6">
              <wp:simplePos x="635" y="635"/>
              <wp:positionH relativeFrom="page">
                <wp:align>center</wp:align>
              </wp:positionH>
              <wp:positionV relativeFrom="page">
                <wp:align>top</wp:align>
              </wp:positionV>
              <wp:extent cx="609600" cy="485775"/>
              <wp:effectExtent l="0" t="0" r="0" b="9525"/>
              <wp:wrapNone/>
              <wp:docPr id="5676523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5F927CD" w14:textId="127899F3"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B94CA"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15F927CD" w14:textId="127899F3" w:rsidR="001640AC" w:rsidRPr="001640AC" w:rsidRDefault="001640AC" w:rsidP="001640AC">
                    <w:pPr>
                      <w:spacing w:after="0"/>
                      <w:rPr>
                        <w:rFonts w:ascii="Aptos" w:eastAsia="Aptos" w:hAnsi="Aptos" w:cs="Aptos"/>
                        <w:noProof/>
                        <w:color w:val="FF0000"/>
                        <w:sz w:val="24"/>
                      </w:rPr>
                    </w:pPr>
                    <w:r w:rsidRPr="001640AC">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6509F2"/>
    <w:multiLevelType w:val="multilevel"/>
    <w:tmpl w:val="5C0EE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0B487B"/>
    <w:multiLevelType w:val="hybridMultilevel"/>
    <w:tmpl w:val="D6BA4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8274140"/>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D0CDA"/>
    <w:multiLevelType w:val="hybridMultilevel"/>
    <w:tmpl w:val="56EE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031FB3"/>
    <w:multiLevelType w:val="multilevel"/>
    <w:tmpl w:val="91D4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D81CC5"/>
    <w:multiLevelType w:val="multilevel"/>
    <w:tmpl w:val="DEB0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857D8F"/>
    <w:multiLevelType w:val="multilevel"/>
    <w:tmpl w:val="4536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A867184"/>
    <w:multiLevelType w:val="multilevel"/>
    <w:tmpl w:val="6D5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25538500">
    <w:abstractNumId w:val="7"/>
  </w:num>
  <w:num w:numId="2" w16cid:durableId="2115709390">
    <w:abstractNumId w:val="19"/>
  </w:num>
  <w:num w:numId="3" w16cid:durableId="609053195">
    <w:abstractNumId w:val="25"/>
  </w:num>
  <w:num w:numId="4" w16cid:durableId="1816339112">
    <w:abstractNumId w:val="8"/>
  </w:num>
  <w:num w:numId="5" w16cid:durableId="1986622756">
    <w:abstractNumId w:val="8"/>
    <w:lvlOverride w:ilvl="0">
      <w:startOverride w:val="1"/>
    </w:lvlOverride>
  </w:num>
  <w:num w:numId="6" w16cid:durableId="848757550">
    <w:abstractNumId w:val="9"/>
  </w:num>
  <w:num w:numId="7" w16cid:durableId="65961579">
    <w:abstractNumId w:val="15"/>
  </w:num>
  <w:num w:numId="8" w16cid:durableId="340737351">
    <w:abstractNumId w:val="23"/>
  </w:num>
  <w:num w:numId="9" w16cid:durableId="787092952">
    <w:abstractNumId w:val="5"/>
  </w:num>
  <w:num w:numId="10" w16cid:durableId="580062331">
    <w:abstractNumId w:val="4"/>
  </w:num>
  <w:num w:numId="11" w16cid:durableId="1734623732">
    <w:abstractNumId w:val="3"/>
  </w:num>
  <w:num w:numId="12" w16cid:durableId="824669479">
    <w:abstractNumId w:val="2"/>
  </w:num>
  <w:num w:numId="13" w16cid:durableId="1202011626">
    <w:abstractNumId w:val="6"/>
  </w:num>
  <w:num w:numId="14" w16cid:durableId="45957351">
    <w:abstractNumId w:val="1"/>
  </w:num>
  <w:num w:numId="15" w16cid:durableId="1219168529">
    <w:abstractNumId w:val="0"/>
  </w:num>
  <w:num w:numId="16" w16cid:durableId="483206807">
    <w:abstractNumId w:val="26"/>
  </w:num>
  <w:num w:numId="17" w16cid:durableId="236785319">
    <w:abstractNumId w:val="10"/>
  </w:num>
  <w:num w:numId="18" w16cid:durableId="1243831088">
    <w:abstractNumId w:val="12"/>
  </w:num>
  <w:num w:numId="19" w16cid:durableId="1627160367">
    <w:abstractNumId w:val="14"/>
  </w:num>
  <w:num w:numId="20" w16cid:durableId="1772774879">
    <w:abstractNumId w:val="10"/>
  </w:num>
  <w:num w:numId="21" w16cid:durableId="810680574">
    <w:abstractNumId w:val="14"/>
  </w:num>
  <w:num w:numId="22" w16cid:durableId="679696405">
    <w:abstractNumId w:val="26"/>
  </w:num>
  <w:num w:numId="23" w16cid:durableId="1255211718">
    <w:abstractNumId w:val="19"/>
  </w:num>
  <w:num w:numId="24" w16cid:durableId="2058311902">
    <w:abstractNumId w:val="25"/>
  </w:num>
  <w:num w:numId="25" w16cid:durableId="1036277906">
    <w:abstractNumId w:val="8"/>
  </w:num>
  <w:num w:numId="26" w16cid:durableId="871698007">
    <w:abstractNumId w:val="18"/>
  </w:num>
  <w:num w:numId="27" w16cid:durableId="533232598">
    <w:abstractNumId w:val="24"/>
  </w:num>
  <w:num w:numId="28" w16cid:durableId="2023819613">
    <w:abstractNumId w:val="22"/>
  </w:num>
  <w:num w:numId="29" w16cid:durableId="1035931577">
    <w:abstractNumId w:val="21"/>
  </w:num>
  <w:num w:numId="30" w16cid:durableId="789207607">
    <w:abstractNumId w:val="11"/>
  </w:num>
  <w:num w:numId="31" w16cid:durableId="1332835002">
    <w:abstractNumId w:val="13"/>
  </w:num>
  <w:num w:numId="32" w16cid:durableId="116218778">
    <w:abstractNumId w:val="20"/>
  </w:num>
  <w:num w:numId="33" w16cid:durableId="636497010">
    <w:abstractNumId w:val="17"/>
  </w:num>
  <w:num w:numId="34" w16cid:durableId="987900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DE"/>
    <w:rsid w:val="00003743"/>
    <w:rsid w:val="000047B4"/>
    <w:rsid w:val="00005712"/>
    <w:rsid w:val="00007FD8"/>
    <w:rsid w:val="000117F8"/>
    <w:rsid w:val="0001460F"/>
    <w:rsid w:val="00014885"/>
    <w:rsid w:val="00022629"/>
    <w:rsid w:val="00026139"/>
    <w:rsid w:val="00027601"/>
    <w:rsid w:val="00033321"/>
    <w:rsid w:val="000338E5"/>
    <w:rsid w:val="00033ECC"/>
    <w:rsid w:val="0003422F"/>
    <w:rsid w:val="00046D3A"/>
    <w:rsid w:val="00046FF0"/>
    <w:rsid w:val="00050176"/>
    <w:rsid w:val="00050342"/>
    <w:rsid w:val="0005334F"/>
    <w:rsid w:val="00054353"/>
    <w:rsid w:val="000567F9"/>
    <w:rsid w:val="00067456"/>
    <w:rsid w:val="00071506"/>
    <w:rsid w:val="0007154F"/>
    <w:rsid w:val="00081AB1"/>
    <w:rsid w:val="00090316"/>
    <w:rsid w:val="00093981"/>
    <w:rsid w:val="000B067A"/>
    <w:rsid w:val="000B1540"/>
    <w:rsid w:val="000B1E53"/>
    <w:rsid w:val="000B33FD"/>
    <w:rsid w:val="000B4ABA"/>
    <w:rsid w:val="000C0529"/>
    <w:rsid w:val="000C4B16"/>
    <w:rsid w:val="000C50C3"/>
    <w:rsid w:val="000C5E14"/>
    <w:rsid w:val="000D21F6"/>
    <w:rsid w:val="000D4500"/>
    <w:rsid w:val="000D7AEA"/>
    <w:rsid w:val="000E1009"/>
    <w:rsid w:val="000E2C66"/>
    <w:rsid w:val="000F123C"/>
    <w:rsid w:val="000F2FED"/>
    <w:rsid w:val="0010616D"/>
    <w:rsid w:val="00110478"/>
    <w:rsid w:val="0011711B"/>
    <w:rsid w:val="00117F8A"/>
    <w:rsid w:val="00121B9B"/>
    <w:rsid w:val="00122ADC"/>
    <w:rsid w:val="00130F59"/>
    <w:rsid w:val="00133EC0"/>
    <w:rsid w:val="00141CE5"/>
    <w:rsid w:val="00144908"/>
    <w:rsid w:val="00151963"/>
    <w:rsid w:val="00152779"/>
    <w:rsid w:val="00156D96"/>
    <w:rsid w:val="001571C7"/>
    <w:rsid w:val="00161094"/>
    <w:rsid w:val="001640AC"/>
    <w:rsid w:val="0017665C"/>
    <w:rsid w:val="00177AD2"/>
    <w:rsid w:val="001815A8"/>
    <w:rsid w:val="001840FA"/>
    <w:rsid w:val="00186C4B"/>
    <w:rsid w:val="00190079"/>
    <w:rsid w:val="0019622E"/>
    <w:rsid w:val="001966A7"/>
    <w:rsid w:val="001A4627"/>
    <w:rsid w:val="001A4979"/>
    <w:rsid w:val="001B15D3"/>
    <w:rsid w:val="001B3443"/>
    <w:rsid w:val="001C0326"/>
    <w:rsid w:val="001C192F"/>
    <w:rsid w:val="001C3C42"/>
    <w:rsid w:val="001D31EB"/>
    <w:rsid w:val="001D7869"/>
    <w:rsid w:val="002026CD"/>
    <w:rsid w:val="002033FC"/>
    <w:rsid w:val="002044BB"/>
    <w:rsid w:val="00210B09"/>
    <w:rsid w:val="00210C9E"/>
    <w:rsid w:val="00211840"/>
    <w:rsid w:val="002174F4"/>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009"/>
    <w:rsid w:val="002C0CDD"/>
    <w:rsid w:val="002C38C4"/>
    <w:rsid w:val="002D0A2A"/>
    <w:rsid w:val="002E1A1D"/>
    <w:rsid w:val="002E4081"/>
    <w:rsid w:val="002E5B78"/>
    <w:rsid w:val="002F3AE3"/>
    <w:rsid w:val="00300D54"/>
    <w:rsid w:val="0030464B"/>
    <w:rsid w:val="0030786C"/>
    <w:rsid w:val="003233DE"/>
    <w:rsid w:val="0032466B"/>
    <w:rsid w:val="003330EB"/>
    <w:rsid w:val="003415FD"/>
    <w:rsid w:val="003429F0"/>
    <w:rsid w:val="00345A82"/>
    <w:rsid w:val="0035097A"/>
    <w:rsid w:val="003540A4"/>
    <w:rsid w:val="00357BCC"/>
    <w:rsid w:val="00360E4E"/>
    <w:rsid w:val="00362B33"/>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377F"/>
    <w:rsid w:val="003E46F3"/>
    <w:rsid w:val="003E5265"/>
    <w:rsid w:val="003F0955"/>
    <w:rsid w:val="003F5F4D"/>
    <w:rsid w:val="003F646F"/>
    <w:rsid w:val="00400F00"/>
    <w:rsid w:val="00404F8B"/>
    <w:rsid w:val="00405256"/>
    <w:rsid w:val="00410031"/>
    <w:rsid w:val="00415C81"/>
    <w:rsid w:val="00421629"/>
    <w:rsid w:val="004216D9"/>
    <w:rsid w:val="00424CCE"/>
    <w:rsid w:val="00432378"/>
    <w:rsid w:val="00440A3D"/>
    <w:rsid w:val="00440D65"/>
    <w:rsid w:val="004435E6"/>
    <w:rsid w:val="00447E31"/>
    <w:rsid w:val="004500C5"/>
    <w:rsid w:val="00453923"/>
    <w:rsid w:val="00454B9B"/>
    <w:rsid w:val="00457858"/>
    <w:rsid w:val="00460B0B"/>
    <w:rsid w:val="00461023"/>
    <w:rsid w:val="00462FAC"/>
    <w:rsid w:val="00464631"/>
    <w:rsid w:val="00464B79"/>
    <w:rsid w:val="00467BBF"/>
    <w:rsid w:val="0048593C"/>
    <w:rsid w:val="004867E2"/>
    <w:rsid w:val="004929A9"/>
    <w:rsid w:val="004A78D9"/>
    <w:rsid w:val="004B36C5"/>
    <w:rsid w:val="004C6BCF"/>
    <w:rsid w:val="004D58BF"/>
    <w:rsid w:val="004E4335"/>
    <w:rsid w:val="004F13EE"/>
    <w:rsid w:val="004F1F5D"/>
    <w:rsid w:val="004F2022"/>
    <w:rsid w:val="004F7C05"/>
    <w:rsid w:val="00501C94"/>
    <w:rsid w:val="00506432"/>
    <w:rsid w:val="00506E82"/>
    <w:rsid w:val="00514DD6"/>
    <w:rsid w:val="0052051D"/>
    <w:rsid w:val="005431D0"/>
    <w:rsid w:val="00545EE6"/>
    <w:rsid w:val="005550E7"/>
    <w:rsid w:val="005564FB"/>
    <w:rsid w:val="005572C7"/>
    <w:rsid w:val="005650ED"/>
    <w:rsid w:val="00575754"/>
    <w:rsid w:val="00581FBA"/>
    <w:rsid w:val="00591E20"/>
    <w:rsid w:val="00595408"/>
    <w:rsid w:val="00595E84"/>
    <w:rsid w:val="005A0C59"/>
    <w:rsid w:val="005A48EB"/>
    <w:rsid w:val="005A6CFB"/>
    <w:rsid w:val="005B00F5"/>
    <w:rsid w:val="005C10FB"/>
    <w:rsid w:val="005C5AEB"/>
    <w:rsid w:val="005E0A3F"/>
    <w:rsid w:val="005E6883"/>
    <w:rsid w:val="005E772F"/>
    <w:rsid w:val="005F2423"/>
    <w:rsid w:val="005F4ECA"/>
    <w:rsid w:val="006041BE"/>
    <w:rsid w:val="006043C7"/>
    <w:rsid w:val="00624B52"/>
    <w:rsid w:val="00630794"/>
    <w:rsid w:val="00631DF4"/>
    <w:rsid w:val="00634175"/>
    <w:rsid w:val="006408AC"/>
    <w:rsid w:val="00642809"/>
    <w:rsid w:val="006511B6"/>
    <w:rsid w:val="00657FF8"/>
    <w:rsid w:val="00670D99"/>
    <w:rsid w:val="00670E2B"/>
    <w:rsid w:val="006734BB"/>
    <w:rsid w:val="0067697A"/>
    <w:rsid w:val="006821EB"/>
    <w:rsid w:val="006B0BA5"/>
    <w:rsid w:val="006B2286"/>
    <w:rsid w:val="006B56BB"/>
    <w:rsid w:val="006B7D8C"/>
    <w:rsid w:val="006C70DE"/>
    <w:rsid w:val="006C77A8"/>
    <w:rsid w:val="006D4098"/>
    <w:rsid w:val="006D7681"/>
    <w:rsid w:val="006D7B2E"/>
    <w:rsid w:val="006E02EA"/>
    <w:rsid w:val="006E0968"/>
    <w:rsid w:val="006E2AF6"/>
    <w:rsid w:val="006E7EB9"/>
    <w:rsid w:val="00700686"/>
    <w:rsid w:val="00701275"/>
    <w:rsid w:val="0070386C"/>
    <w:rsid w:val="00707F56"/>
    <w:rsid w:val="00713558"/>
    <w:rsid w:val="00720D08"/>
    <w:rsid w:val="007263B9"/>
    <w:rsid w:val="00727366"/>
    <w:rsid w:val="007334F8"/>
    <w:rsid w:val="007339CD"/>
    <w:rsid w:val="007359D8"/>
    <w:rsid w:val="007362D4"/>
    <w:rsid w:val="0073692C"/>
    <w:rsid w:val="00765BF0"/>
    <w:rsid w:val="0076672A"/>
    <w:rsid w:val="00775E45"/>
    <w:rsid w:val="00776E74"/>
    <w:rsid w:val="00785169"/>
    <w:rsid w:val="0079392C"/>
    <w:rsid w:val="007954AB"/>
    <w:rsid w:val="007A14C5"/>
    <w:rsid w:val="007A4A10"/>
    <w:rsid w:val="007B1760"/>
    <w:rsid w:val="007C1FDC"/>
    <w:rsid w:val="007C524F"/>
    <w:rsid w:val="007C6D9C"/>
    <w:rsid w:val="007C7434"/>
    <w:rsid w:val="007C7DDB"/>
    <w:rsid w:val="007D2CC7"/>
    <w:rsid w:val="007D673D"/>
    <w:rsid w:val="007E0FB8"/>
    <w:rsid w:val="007E4D09"/>
    <w:rsid w:val="007F0EC1"/>
    <w:rsid w:val="007F2220"/>
    <w:rsid w:val="007F4B3E"/>
    <w:rsid w:val="008127AF"/>
    <w:rsid w:val="00812B46"/>
    <w:rsid w:val="00815700"/>
    <w:rsid w:val="00816471"/>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977A7"/>
    <w:rsid w:val="008A7438"/>
    <w:rsid w:val="008B1334"/>
    <w:rsid w:val="008B25C7"/>
    <w:rsid w:val="008C0278"/>
    <w:rsid w:val="008C24E9"/>
    <w:rsid w:val="008C7AD5"/>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3EB9"/>
    <w:rsid w:val="009261E6"/>
    <w:rsid w:val="009268E1"/>
    <w:rsid w:val="00930029"/>
    <w:rsid w:val="009344AE"/>
    <w:rsid w:val="009344DE"/>
    <w:rsid w:val="00945E7F"/>
    <w:rsid w:val="009557C1"/>
    <w:rsid w:val="00960D6E"/>
    <w:rsid w:val="00974B59"/>
    <w:rsid w:val="0097710E"/>
    <w:rsid w:val="0098340B"/>
    <w:rsid w:val="00986830"/>
    <w:rsid w:val="009924C3"/>
    <w:rsid w:val="00993102"/>
    <w:rsid w:val="009B05BB"/>
    <w:rsid w:val="009B1570"/>
    <w:rsid w:val="009C6F10"/>
    <w:rsid w:val="009D148F"/>
    <w:rsid w:val="009D3D70"/>
    <w:rsid w:val="009E6F7E"/>
    <w:rsid w:val="009E7A57"/>
    <w:rsid w:val="009F4803"/>
    <w:rsid w:val="009F4F6A"/>
    <w:rsid w:val="009F7C01"/>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2544"/>
    <w:rsid w:val="00AF7386"/>
    <w:rsid w:val="00AF7934"/>
    <w:rsid w:val="00B00B81"/>
    <w:rsid w:val="00B02672"/>
    <w:rsid w:val="00B04580"/>
    <w:rsid w:val="00B04B09"/>
    <w:rsid w:val="00B16A51"/>
    <w:rsid w:val="00B32222"/>
    <w:rsid w:val="00B3618D"/>
    <w:rsid w:val="00B36233"/>
    <w:rsid w:val="00B42851"/>
    <w:rsid w:val="00B45AC7"/>
    <w:rsid w:val="00B5372F"/>
    <w:rsid w:val="00B53987"/>
    <w:rsid w:val="00B61129"/>
    <w:rsid w:val="00B64DA4"/>
    <w:rsid w:val="00B66C6E"/>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3916"/>
    <w:rsid w:val="00C054F5"/>
    <w:rsid w:val="00C060AD"/>
    <w:rsid w:val="00C113BF"/>
    <w:rsid w:val="00C2176E"/>
    <w:rsid w:val="00C23430"/>
    <w:rsid w:val="00C27D67"/>
    <w:rsid w:val="00C3793F"/>
    <w:rsid w:val="00C4631F"/>
    <w:rsid w:val="00C47CDE"/>
    <w:rsid w:val="00C50E16"/>
    <w:rsid w:val="00C55258"/>
    <w:rsid w:val="00C70EEB"/>
    <w:rsid w:val="00C82EEB"/>
    <w:rsid w:val="00C971DC"/>
    <w:rsid w:val="00CA16B7"/>
    <w:rsid w:val="00CA3B95"/>
    <w:rsid w:val="00CA62AE"/>
    <w:rsid w:val="00CB5B1A"/>
    <w:rsid w:val="00CC220B"/>
    <w:rsid w:val="00CC5C43"/>
    <w:rsid w:val="00CC5F22"/>
    <w:rsid w:val="00CD02AE"/>
    <w:rsid w:val="00CD2A4F"/>
    <w:rsid w:val="00CE03CA"/>
    <w:rsid w:val="00CE19A0"/>
    <w:rsid w:val="00CE22F1"/>
    <w:rsid w:val="00CE50F2"/>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3442"/>
    <w:rsid w:val="00DC5220"/>
    <w:rsid w:val="00DD2061"/>
    <w:rsid w:val="00DD7DAB"/>
    <w:rsid w:val="00DE3355"/>
    <w:rsid w:val="00DF0C60"/>
    <w:rsid w:val="00DF1FDA"/>
    <w:rsid w:val="00DF486F"/>
    <w:rsid w:val="00DF5B5B"/>
    <w:rsid w:val="00DF7619"/>
    <w:rsid w:val="00E042D8"/>
    <w:rsid w:val="00E07EE7"/>
    <w:rsid w:val="00E1088D"/>
    <w:rsid w:val="00E1103B"/>
    <w:rsid w:val="00E17B44"/>
    <w:rsid w:val="00E20F27"/>
    <w:rsid w:val="00E22443"/>
    <w:rsid w:val="00E25B1F"/>
    <w:rsid w:val="00E27FEA"/>
    <w:rsid w:val="00E4086F"/>
    <w:rsid w:val="00E43B3C"/>
    <w:rsid w:val="00E474AB"/>
    <w:rsid w:val="00E50188"/>
    <w:rsid w:val="00E50BB3"/>
    <w:rsid w:val="00E515CB"/>
    <w:rsid w:val="00E52260"/>
    <w:rsid w:val="00E639B6"/>
    <w:rsid w:val="00E6434B"/>
    <w:rsid w:val="00E6463D"/>
    <w:rsid w:val="00E72E9B"/>
    <w:rsid w:val="00E8123E"/>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3F5F"/>
    <w:rsid w:val="00F47DA2"/>
    <w:rsid w:val="00F519FC"/>
    <w:rsid w:val="00F6239D"/>
    <w:rsid w:val="00F715D2"/>
    <w:rsid w:val="00F7274F"/>
    <w:rsid w:val="00F74E84"/>
    <w:rsid w:val="00F76FA8"/>
    <w:rsid w:val="00F93F08"/>
    <w:rsid w:val="00F94CED"/>
    <w:rsid w:val="00FA02BB"/>
    <w:rsid w:val="00FA2CEE"/>
    <w:rsid w:val="00FA318C"/>
    <w:rsid w:val="00FA51DD"/>
    <w:rsid w:val="00FB6F92"/>
    <w:rsid w:val="00FC026E"/>
    <w:rsid w:val="00FC5124"/>
    <w:rsid w:val="00FD4731"/>
    <w:rsid w:val="00FD6768"/>
    <w:rsid w:val="00FF0AB0"/>
    <w:rsid w:val="00FF28AC"/>
    <w:rsid w:val="00FF777D"/>
    <w:rsid w:val="00FF7F62"/>
    <w:rsid w:val="1DFF908F"/>
    <w:rsid w:val="209F5E97"/>
    <w:rsid w:val="28228B88"/>
    <w:rsid w:val="33EA8894"/>
    <w:rsid w:val="3AC5434E"/>
    <w:rsid w:val="42B16EA7"/>
    <w:rsid w:val="48BB94BA"/>
    <w:rsid w:val="4F817E66"/>
    <w:rsid w:val="5C4DB11D"/>
    <w:rsid w:val="5D9F50CB"/>
    <w:rsid w:val="68AD1EA2"/>
    <w:rsid w:val="6A3B9324"/>
    <w:rsid w:val="6F6EF603"/>
    <w:rsid w:val="7403E765"/>
    <w:rsid w:val="7BF490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B0F8"/>
  <w15:docId w15:val="{B8BDFED7-3214-4E75-9F46-5FC2603F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2C0009"/>
    <w:pPr>
      <w:keepNext/>
      <w:spacing w:before="240" w:after="60"/>
      <w:outlineLvl w:val="0"/>
    </w:pPr>
    <w:rPr>
      <w:rFonts w:ascii="Arial" w:hAnsi="Arial" w:cs="Arial"/>
      <w:b/>
      <w:bCs/>
      <w:color w:val="4F2683"/>
      <w:kern w:val="28"/>
      <w:sz w:val="44"/>
      <w:szCs w:val="36"/>
      <w:lang w:eastAsia="en-US"/>
    </w:rPr>
  </w:style>
  <w:style w:type="paragraph" w:styleId="Heading2">
    <w:name w:val="heading 2"/>
    <w:next w:val="Normal"/>
    <w:qFormat/>
    <w:rsid w:val="002C0009"/>
    <w:pPr>
      <w:keepNext/>
      <w:spacing w:before="240" w:after="60"/>
      <w:outlineLvl w:val="1"/>
    </w:pPr>
    <w:rPr>
      <w:rFonts w:ascii="Arial" w:hAnsi="Arial" w:cs="Arial"/>
      <w:b/>
      <w:bCs/>
      <w:iCs/>
      <w:color w:val="4F2683"/>
      <w:sz w:val="36"/>
      <w:szCs w:val="28"/>
      <w:lang w:eastAsia="en-US"/>
    </w:rPr>
  </w:style>
  <w:style w:type="paragraph" w:styleId="Heading3">
    <w:name w:val="heading 3"/>
    <w:next w:val="Normal"/>
    <w:qFormat/>
    <w:rsid w:val="002C0009"/>
    <w:pPr>
      <w:keepNext/>
      <w:spacing w:before="180" w:after="60"/>
      <w:outlineLvl w:val="2"/>
    </w:pPr>
    <w:rPr>
      <w:rFonts w:ascii="Arial" w:hAnsi="Arial" w:cs="Arial"/>
      <w:b/>
      <w:bCs/>
      <w:color w:val="4F2683"/>
      <w:sz w:val="32"/>
      <w:szCs w:val="26"/>
      <w:lang w:eastAsia="en-US"/>
    </w:rPr>
  </w:style>
  <w:style w:type="paragraph" w:styleId="Heading4">
    <w:name w:val="heading 4"/>
    <w:next w:val="Normal"/>
    <w:qFormat/>
    <w:rsid w:val="002C0009"/>
    <w:pPr>
      <w:keepNext/>
      <w:spacing w:before="240" w:after="60"/>
      <w:outlineLvl w:val="3"/>
    </w:pPr>
    <w:rPr>
      <w:rFonts w:ascii="Arial" w:hAnsi="Arial"/>
      <w:b/>
      <w:bCs/>
      <w:i/>
      <w:color w:val="4F2683"/>
      <w:sz w:val="28"/>
      <w:szCs w:val="28"/>
      <w:lang w:eastAsia="en-US"/>
    </w:rPr>
  </w:style>
  <w:style w:type="paragraph" w:styleId="Heading5">
    <w:name w:val="heading 5"/>
    <w:next w:val="Normal"/>
    <w:rsid w:val="002C0009"/>
    <w:pPr>
      <w:keepNext/>
      <w:spacing w:before="240" w:after="60"/>
      <w:outlineLvl w:val="4"/>
    </w:pPr>
    <w:rPr>
      <w:rFonts w:ascii="Arial" w:hAnsi="Arial"/>
      <w:b/>
      <w:bCs/>
      <w:iCs/>
      <w:color w:val="4F2683"/>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2C0009"/>
    <w:pPr>
      <w:spacing w:before="360" w:after="120"/>
      <w:contextualSpacing/>
    </w:pPr>
    <w:rPr>
      <w:rFonts w:ascii="Arial" w:eastAsiaTheme="majorEastAsia" w:hAnsi="Arial" w:cstheme="majorBidi"/>
      <w:b/>
      <w:color w:val="4F2683"/>
      <w:kern w:val="28"/>
      <w:sz w:val="48"/>
      <w:szCs w:val="52"/>
      <w:lang w:eastAsia="en-US"/>
    </w:rPr>
  </w:style>
  <w:style w:type="character" w:customStyle="1" w:styleId="TitleChar">
    <w:name w:val="Title Char"/>
    <w:basedOn w:val="DefaultParagraphFont"/>
    <w:link w:val="Title"/>
    <w:rsid w:val="002C0009"/>
    <w:rPr>
      <w:rFonts w:ascii="Arial" w:eastAsiaTheme="majorEastAsia" w:hAnsi="Arial" w:cstheme="majorBidi"/>
      <w:b/>
      <w:color w:val="4F2683"/>
      <w:kern w:val="28"/>
      <w:sz w:val="48"/>
      <w:szCs w:val="52"/>
      <w:lang w:eastAsia="en-US"/>
    </w:rPr>
  </w:style>
  <w:style w:type="paragraph" w:customStyle="1" w:styleId="Boxheading">
    <w:name w:val="Box heading"/>
    <w:basedOn w:val="Boxtype"/>
    <w:qFormat/>
    <w:rsid w:val="002C0009"/>
    <w:pPr>
      <w:spacing w:before="240"/>
    </w:pPr>
    <w:rPr>
      <w:rFonts w:cs="Times New Roman"/>
      <w:b/>
      <w:bCs/>
      <w:caps/>
      <w:color w:val="4F2683"/>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2C0009"/>
    <w:pPr>
      <w:pBdr>
        <w:bottom w:val="single" w:sz="4" w:space="4" w:color="3F4A75" w:themeColor="accent1"/>
      </w:pBdr>
      <w:spacing w:before="200" w:after="280"/>
      <w:ind w:left="936" w:right="936"/>
    </w:pPr>
    <w:rPr>
      <w:rFonts w:ascii="Arial" w:hAnsi="Arial"/>
      <w:b/>
      <w:bCs/>
      <w:i/>
      <w:iCs/>
      <w:color w:val="4F2683"/>
      <w:sz w:val="22"/>
      <w:szCs w:val="24"/>
      <w:lang w:eastAsia="en-US"/>
    </w:rPr>
  </w:style>
  <w:style w:type="character" w:customStyle="1" w:styleId="IntenseQuoteChar">
    <w:name w:val="Intense Quote Char"/>
    <w:basedOn w:val="DefaultParagraphFont"/>
    <w:link w:val="IntenseQuote"/>
    <w:uiPriority w:val="30"/>
    <w:rsid w:val="002C0009"/>
    <w:rPr>
      <w:rFonts w:ascii="Arial" w:hAnsi="Arial"/>
      <w:b/>
      <w:bCs/>
      <w:i/>
      <w:iCs/>
      <w:color w:val="4F2683"/>
      <w:sz w:val="22"/>
      <w:szCs w:val="24"/>
      <w:lang w:eastAsia="en-US"/>
    </w:rPr>
  </w:style>
  <w:style w:type="character" w:styleId="SubtleReference">
    <w:name w:val="Subtle Reference"/>
    <w:basedOn w:val="DefaultParagraphFont"/>
    <w:uiPriority w:val="31"/>
    <w:rsid w:val="002C0009"/>
    <w:rPr>
      <w:smallCaps/>
      <w:color w:val="4F2683"/>
      <w:u w:val="single"/>
    </w:rPr>
  </w:style>
  <w:style w:type="character" w:styleId="IntenseReference">
    <w:name w:val="Intense Reference"/>
    <w:basedOn w:val="DefaultParagraphFont"/>
    <w:uiPriority w:val="32"/>
    <w:rsid w:val="002C0009"/>
    <w:rPr>
      <w:b/>
      <w:bCs/>
      <w:i/>
      <w:smallCaps/>
      <w:color w:val="4F2683"/>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2C0009"/>
    <w:pPr>
      <w:pBdr>
        <w:top w:val="single" w:sz="4" w:space="15" w:color="4F2683"/>
        <w:bottom w:val="single" w:sz="4" w:space="10" w:color="4F2683"/>
      </w:pBdr>
      <w:spacing w:before="240" w:after="240" w:line="340" w:lineRule="exact"/>
    </w:pPr>
    <w:rPr>
      <w:rFonts w:eastAsiaTheme="minorHAnsi"/>
      <w:color w:val="4F2683"/>
    </w:rPr>
  </w:style>
  <w:style w:type="paragraph" w:customStyle="1" w:styleId="Boxtype">
    <w:name w:val="Box type"/>
    <w:next w:val="Normal"/>
    <w:qFormat/>
    <w:rsid w:val="002C0009"/>
    <w:pPr>
      <w:pBdr>
        <w:top w:val="single" w:sz="6" w:space="20" w:color="4F2683"/>
        <w:left w:val="single" w:sz="6" w:space="10" w:color="4F2683"/>
        <w:bottom w:val="single" w:sz="6" w:space="10" w:color="4F2683"/>
        <w:right w:val="single" w:sz="6" w:space="10" w:color="4F2683"/>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2C0009"/>
    <w:rPr>
      <w:b/>
      <w:caps/>
      <w:smallCaps w:val="0"/>
      <w:color w:val="4F2683"/>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C0009"/>
    <w:pPr>
      <w:spacing w:before="480" w:line="400" w:lineRule="exact"/>
    </w:pPr>
    <w:rPr>
      <w:color w:val="4F2683"/>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6C70DE"/>
    <w:rPr>
      <w:color w:val="605E5C"/>
      <w:shd w:val="clear" w:color="auto" w:fill="E1DFDD"/>
    </w:rPr>
  </w:style>
  <w:style w:type="character" w:styleId="FootnoteReference">
    <w:name w:val="footnote reference"/>
    <w:basedOn w:val="DefaultParagraphFont"/>
    <w:semiHidden/>
    <w:unhideWhenUsed/>
    <w:rsid w:val="006C70DE"/>
    <w:rPr>
      <w:vertAlign w:val="superscript"/>
    </w:rPr>
  </w:style>
  <w:style w:type="paragraph" w:styleId="Revision">
    <w:name w:val="Revision"/>
    <w:hidden/>
    <w:uiPriority w:val="99"/>
    <w:semiHidden/>
    <w:rsid w:val="0070386C"/>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4F1F5D"/>
    <w:rPr>
      <w:sz w:val="16"/>
      <w:szCs w:val="16"/>
    </w:rPr>
  </w:style>
  <w:style w:type="paragraph" w:styleId="CommentText">
    <w:name w:val="annotation text"/>
    <w:basedOn w:val="Normal"/>
    <w:link w:val="CommentTextChar"/>
    <w:unhideWhenUsed/>
    <w:rsid w:val="004F1F5D"/>
    <w:pPr>
      <w:spacing w:line="240" w:lineRule="auto"/>
    </w:pPr>
    <w:rPr>
      <w:sz w:val="20"/>
      <w:szCs w:val="20"/>
    </w:rPr>
  </w:style>
  <w:style w:type="character" w:customStyle="1" w:styleId="CommentTextChar">
    <w:name w:val="Comment Text Char"/>
    <w:basedOn w:val="DefaultParagraphFont"/>
    <w:link w:val="CommentText"/>
    <w:rsid w:val="004F1F5D"/>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F1F5D"/>
    <w:rPr>
      <w:b/>
      <w:bCs/>
    </w:rPr>
  </w:style>
  <w:style w:type="character" w:customStyle="1" w:styleId="CommentSubjectChar">
    <w:name w:val="Comment Subject Char"/>
    <w:basedOn w:val="CommentTextChar"/>
    <w:link w:val="CommentSubject"/>
    <w:semiHidden/>
    <w:rsid w:val="004F1F5D"/>
    <w:rPr>
      <w:rFonts w:ascii="Arial" w:hAnsi="Arial"/>
      <w:b/>
      <w:bCs/>
      <w:color w:val="000000" w:themeColor="text1"/>
      <w:lang w:eastAsia="en-US"/>
    </w:rPr>
  </w:style>
  <w:style w:type="character" w:styleId="FollowedHyperlink">
    <w:name w:val="FollowedHyperlink"/>
    <w:basedOn w:val="DefaultParagraphFont"/>
    <w:semiHidden/>
    <w:unhideWhenUsed/>
    <w:rsid w:val="00977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9125539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99117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ba@cd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apons-technical-intelligence@afp.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SSBA">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413b2cfb0136cf65377c4f32ab72dcf5">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1ecdf4ab0ac165fe3494c25cd0918ac2"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C8E344-6FE8-4F41-8853-1E58C1B93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 Guideline 5 – Reporting to law enforcement or the National Security Hotline</dc:title>
  <dc:subject>Emergency health management</dc:subject>
  <dc:creator>Australian Centre for Disease Control</dc:creator>
  <cp:keywords>Security Sensitive Biological Agents (SSBA) Regulatory Scheme</cp:keywords>
  <dc:description/>
  <cp:lastModifiedBy>Jayden Hamilton</cp:lastModifiedBy>
  <cp:revision>2</cp:revision>
  <cp:lastPrinted>2025-12-31T23:23:00Z</cp:lastPrinted>
  <dcterms:created xsi:type="dcterms:W3CDTF">2025-09-09T18:20:00Z</dcterms:created>
  <dcterms:modified xsi:type="dcterms:W3CDTF">2025-12-31T23:25:00Z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0x010100CEAD95CDC3CF6F4BB024108E1E74F34E</vt:lpwstr>
  </property>
  <property fmtid="{D5CDD505-2E9C-101B-9397-08002B2CF9AE}" pid="5" name="ClassificationContentMarkingHeaderShapeIds">
    <vt:lpwstr>21d5afde,5c98245e,2ecae66</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5333143b,4f03848e,6c6dee7a</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2025-09-09T01:20:44Z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7a280166-b3f4-49a1-a954-3dcd9032ebf1</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