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45674" w14:textId="782B54E9" w:rsidR="007507C3" w:rsidRPr="00E062B5" w:rsidRDefault="00765C51" w:rsidP="00A53F74">
      <w:pPr>
        <w:pStyle w:val="Title"/>
        <w:rPr>
          <w:sz w:val="40"/>
          <w:szCs w:val="40"/>
        </w:rPr>
      </w:pPr>
      <w:r w:rsidRPr="00E062B5">
        <w:rPr>
          <w:rStyle w:val="TitleChar"/>
        </w:rPr>
        <w:t>Whooping Cough</w:t>
      </w:r>
      <w:r w:rsidR="007507C3" w:rsidRPr="00E062B5">
        <w:rPr>
          <w:sz w:val="40"/>
          <w:szCs w:val="40"/>
        </w:rPr>
        <w:t xml:space="preserve"> </w:t>
      </w:r>
      <w:r w:rsidR="007507C3" w:rsidRPr="70364542">
        <w:rPr>
          <w:b/>
          <w:bCs/>
          <w:color w:val="0A0A23"/>
          <w:shd w:val="clear" w:color="auto" w:fill="FFFFFF"/>
        </w:rPr>
        <w:t xml:space="preserve">| </w:t>
      </w:r>
      <w:r w:rsidRPr="70364542">
        <w:rPr>
          <w:rStyle w:val="TitleChar"/>
          <w:i/>
          <w:iCs/>
        </w:rPr>
        <w:t>Borde</w:t>
      </w:r>
      <w:r w:rsidR="002A06E3" w:rsidRPr="70364542">
        <w:rPr>
          <w:rStyle w:val="TitleChar"/>
          <w:i/>
          <w:iCs/>
        </w:rPr>
        <w:t>tella Pertussis</w:t>
      </w:r>
    </w:p>
    <w:p w14:paraId="40E92C25" w14:textId="2EEC603A" w:rsidR="006B7635" w:rsidRPr="00E062B5" w:rsidRDefault="006B7635" w:rsidP="00A53F74">
      <w:pPr>
        <w:pStyle w:val="Title"/>
      </w:pPr>
      <w:r w:rsidRPr="00E062B5">
        <w:t xml:space="preserve">Laboratory </w:t>
      </w:r>
      <w:r w:rsidR="00866892" w:rsidRPr="00E062B5">
        <w:t>c</w:t>
      </w:r>
      <w:r w:rsidRPr="00E062B5">
        <w:t xml:space="preserve">ase </w:t>
      </w:r>
      <w:r w:rsidR="00866892" w:rsidRPr="00E062B5">
        <w:t>d</w:t>
      </w:r>
      <w:r w:rsidRPr="00E062B5">
        <w:t>efinition</w:t>
      </w:r>
    </w:p>
    <w:p w14:paraId="4C4F5E22" w14:textId="407C23DB" w:rsidR="006B7635" w:rsidRPr="00E062B5" w:rsidRDefault="006B7635" w:rsidP="00495BE0">
      <w:r w:rsidRPr="00E062B5">
        <w:t xml:space="preserve">The Public Health Laboratory Network </w:t>
      </w:r>
      <w:r w:rsidR="00866892" w:rsidRPr="00E062B5">
        <w:t xml:space="preserve">(PHLN) </w:t>
      </w:r>
      <w:r w:rsidR="00664005" w:rsidRPr="00E062B5">
        <w:t>has</w:t>
      </w:r>
      <w:r w:rsidRPr="00E062B5">
        <w:t xml:space="preserve"> developed </w:t>
      </w:r>
      <w:r w:rsidR="00866892" w:rsidRPr="00E062B5">
        <w:t>standard case definitions to inform</w:t>
      </w:r>
      <w:r w:rsidRPr="00E062B5">
        <w:t xml:space="preserve"> the diagnosis of </w:t>
      </w:r>
      <w:r w:rsidR="00866892" w:rsidRPr="00E062B5">
        <w:t xml:space="preserve">key </w:t>
      </w:r>
      <w:r w:rsidRPr="00E062B5">
        <w:t>disease</w:t>
      </w:r>
      <w:r w:rsidR="00866892" w:rsidRPr="00E062B5">
        <w:t>s</w:t>
      </w:r>
      <w:r w:rsidR="004F61C6" w:rsidRPr="00E062B5">
        <w:t xml:space="preserve"> in Australia</w:t>
      </w:r>
      <w:r w:rsidRPr="00E062B5">
        <w:t xml:space="preserve">. This </w:t>
      </w:r>
      <w:r w:rsidR="00866892" w:rsidRPr="00E062B5">
        <w:t>document</w:t>
      </w:r>
      <w:r w:rsidRPr="00E062B5">
        <w:t xml:space="preserve"> contains the </w:t>
      </w:r>
      <w:r w:rsidR="00866892" w:rsidRPr="00E062B5">
        <w:t>laboratory case definition</w:t>
      </w:r>
      <w:r w:rsidRPr="00E062B5">
        <w:t xml:space="preserve"> </w:t>
      </w:r>
      <w:r w:rsidR="006431D9" w:rsidRPr="00E062B5">
        <w:t xml:space="preserve">(LCD) </w:t>
      </w:r>
      <w:r w:rsidRPr="00E062B5">
        <w:t>for</w:t>
      </w:r>
      <w:r w:rsidR="00415085" w:rsidRPr="00E062B5">
        <w:t xml:space="preserve"> </w:t>
      </w:r>
      <w:r w:rsidR="002A06E3" w:rsidRPr="00E062B5">
        <w:rPr>
          <w:i/>
          <w:iCs/>
        </w:rPr>
        <w:t>Bordetella Pertussis</w:t>
      </w:r>
      <w:r w:rsidR="006431D9" w:rsidRPr="00E062B5">
        <w:rPr>
          <w:i/>
          <w:iCs/>
        </w:rPr>
        <w:t>.</w:t>
      </w:r>
    </w:p>
    <w:tbl>
      <w:tblPr>
        <w:tblStyle w:val="ListTable3-Accent1"/>
        <w:tblW w:w="0" w:type="auto"/>
        <w:tblLook w:val="04A0" w:firstRow="1" w:lastRow="0" w:firstColumn="1" w:lastColumn="0" w:noHBand="0" w:noVBand="1"/>
      </w:tblPr>
      <w:tblGrid>
        <w:gridCol w:w="1023"/>
        <w:gridCol w:w="3731"/>
        <w:gridCol w:w="1947"/>
        <w:gridCol w:w="2316"/>
      </w:tblGrid>
      <w:tr w:rsidR="00495BE0" w:rsidRPr="00E062B5" w14:paraId="519B5F9B" w14:textId="77777777" w:rsidTr="00A53F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 w:type="dxa"/>
          </w:tcPr>
          <w:p w14:paraId="13EA7212" w14:textId="758F9938" w:rsidR="00A53F74" w:rsidRPr="00E062B5" w:rsidRDefault="00A53F74" w:rsidP="00495BE0">
            <w:pPr>
              <w:spacing w:before="120" w:after="120" w:line="240" w:lineRule="auto"/>
            </w:pPr>
            <w:r w:rsidRPr="00E062B5">
              <w:t>Version</w:t>
            </w:r>
          </w:p>
        </w:tc>
        <w:tc>
          <w:tcPr>
            <w:tcW w:w="4229" w:type="dxa"/>
          </w:tcPr>
          <w:p w14:paraId="2426E91E" w14:textId="3DE828D3" w:rsidR="00A53F74" w:rsidRPr="00E062B5"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rsidRPr="00E062B5">
              <w:t>Status</w:t>
            </w:r>
          </w:p>
        </w:tc>
        <w:tc>
          <w:tcPr>
            <w:tcW w:w="2008" w:type="dxa"/>
          </w:tcPr>
          <w:p w14:paraId="03C9EFCE" w14:textId="529368B1" w:rsidR="00A53F74" w:rsidRPr="00E062B5"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rsidRPr="00E062B5">
              <w:t>Authorisation</w:t>
            </w:r>
          </w:p>
        </w:tc>
        <w:tc>
          <w:tcPr>
            <w:tcW w:w="2501" w:type="dxa"/>
          </w:tcPr>
          <w:p w14:paraId="75016562" w14:textId="3EAD2DE7" w:rsidR="00A53F74" w:rsidRPr="00E062B5"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rsidRPr="00E062B5">
              <w:t>Consensus Date</w:t>
            </w:r>
          </w:p>
        </w:tc>
      </w:tr>
      <w:tr w:rsidR="00A53F74" w:rsidRPr="00E062B5" w14:paraId="1F8F6488" w14:textId="77777777" w:rsidTr="00A5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50AF92A7" w14:textId="3E508A52" w:rsidR="00A53F74" w:rsidRPr="00E062B5" w:rsidRDefault="00A53F74" w:rsidP="00495BE0">
            <w:pPr>
              <w:spacing w:before="120" w:after="120" w:line="240" w:lineRule="auto"/>
            </w:pPr>
            <w:r w:rsidRPr="00E062B5">
              <w:t>1.1</w:t>
            </w:r>
          </w:p>
        </w:tc>
        <w:tc>
          <w:tcPr>
            <w:tcW w:w="4229" w:type="dxa"/>
          </w:tcPr>
          <w:p w14:paraId="7A99E63C" w14:textId="0F1D60A8" w:rsidR="0069313F" w:rsidRPr="00E062B5" w:rsidRDefault="0069313F"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 xml:space="preserve">Full revision and new template. </w:t>
            </w:r>
            <w:r w:rsidR="00EF12A6">
              <w:t>Additional section to include SNOMED CT terms.</w:t>
            </w:r>
          </w:p>
        </w:tc>
        <w:tc>
          <w:tcPr>
            <w:tcW w:w="2008" w:type="dxa"/>
          </w:tcPr>
          <w:p w14:paraId="7D227644" w14:textId="7FCAE210" w:rsidR="00A53F74" w:rsidRPr="00E062B5" w:rsidRDefault="00A53F74"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E062B5">
              <w:t>PHLN</w:t>
            </w:r>
          </w:p>
        </w:tc>
        <w:tc>
          <w:tcPr>
            <w:tcW w:w="2501" w:type="dxa"/>
          </w:tcPr>
          <w:p w14:paraId="2E201341" w14:textId="4241EBBE" w:rsidR="00A53F74" w:rsidRPr="00E062B5" w:rsidRDefault="00A07809"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11 November 2025</w:t>
            </w:r>
          </w:p>
        </w:tc>
      </w:tr>
      <w:tr w:rsidR="00A53F74" w:rsidRPr="00E062B5" w14:paraId="02B2C8C5" w14:textId="77777777" w:rsidTr="00A53F74">
        <w:tc>
          <w:tcPr>
            <w:cnfStyle w:val="001000000000" w:firstRow="0" w:lastRow="0" w:firstColumn="1" w:lastColumn="0" w:oddVBand="0" w:evenVBand="0" w:oddHBand="0" w:evenHBand="0" w:firstRowFirstColumn="0" w:firstRowLastColumn="0" w:lastRowFirstColumn="0" w:lastRowLastColumn="0"/>
            <w:tcW w:w="279" w:type="dxa"/>
          </w:tcPr>
          <w:p w14:paraId="5B10668F" w14:textId="5346E218" w:rsidR="00A53F74" w:rsidRPr="00E062B5" w:rsidRDefault="00A53F74" w:rsidP="00495BE0">
            <w:pPr>
              <w:spacing w:before="120" w:after="120" w:line="240" w:lineRule="auto"/>
            </w:pPr>
            <w:r w:rsidRPr="00E062B5">
              <w:t>1.0</w:t>
            </w:r>
          </w:p>
        </w:tc>
        <w:tc>
          <w:tcPr>
            <w:tcW w:w="4229" w:type="dxa"/>
          </w:tcPr>
          <w:p w14:paraId="1F3B5BC9" w14:textId="7BBD2A33" w:rsidR="00A53F74" w:rsidRPr="00E062B5" w:rsidRDefault="00A53F74"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E062B5">
              <w:t>Initial PHLN Laboratory Case Definition</w:t>
            </w:r>
          </w:p>
        </w:tc>
        <w:tc>
          <w:tcPr>
            <w:tcW w:w="2008" w:type="dxa"/>
          </w:tcPr>
          <w:p w14:paraId="433CEDB5" w14:textId="61438D1F" w:rsidR="00A53F74" w:rsidRPr="00E062B5" w:rsidRDefault="00A53F74"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E062B5">
              <w:t>PHLN</w:t>
            </w:r>
          </w:p>
        </w:tc>
        <w:tc>
          <w:tcPr>
            <w:tcW w:w="2501" w:type="dxa"/>
          </w:tcPr>
          <w:p w14:paraId="137821BB" w14:textId="0848E011" w:rsidR="00A53F74" w:rsidRPr="00E062B5" w:rsidRDefault="002A06E3"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E062B5">
              <w:t>18 April 2011</w:t>
            </w:r>
          </w:p>
        </w:tc>
      </w:tr>
    </w:tbl>
    <w:p w14:paraId="358CA5D4" w14:textId="77777777" w:rsidR="00495BE0" w:rsidRPr="00E062B5" w:rsidRDefault="00495BE0" w:rsidP="00495BE0">
      <w:pPr>
        <w:pStyle w:val="Heading1"/>
        <w:numPr>
          <w:ilvl w:val="0"/>
          <w:numId w:val="0"/>
        </w:numPr>
        <w:ind w:left="397"/>
      </w:pPr>
      <w:r w:rsidRPr="00E062B5">
        <w:br w:type="page"/>
      </w:r>
    </w:p>
    <w:p w14:paraId="53E35CFB" w14:textId="511F36F8" w:rsidR="006B7635" w:rsidRPr="00E062B5" w:rsidRDefault="006B7635" w:rsidP="00A53F74">
      <w:pPr>
        <w:pStyle w:val="Heading1"/>
      </w:pPr>
      <w:r w:rsidRPr="00E062B5">
        <w:lastRenderedPageBreak/>
        <w:t xml:space="preserve">PHLN </w:t>
      </w:r>
      <w:r w:rsidR="006431D9" w:rsidRPr="00E062B5">
        <w:t>s</w:t>
      </w:r>
      <w:r w:rsidRPr="00E062B5">
        <w:t>ummary laboratory definition</w:t>
      </w:r>
    </w:p>
    <w:p w14:paraId="5472EA97" w14:textId="748692FF" w:rsidR="006B7635" w:rsidRPr="00E062B5" w:rsidRDefault="006B7635" w:rsidP="00C000BA">
      <w:pPr>
        <w:pStyle w:val="Heading2"/>
      </w:pPr>
      <w:r w:rsidRPr="00E062B5">
        <w:t>Condition</w:t>
      </w:r>
    </w:p>
    <w:p w14:paraId="579E81CA" w14:textId="59D9D13E" w:rsidR="006B7635" w:rsidRPr="00E062B5" w:rsidRDefault="00862E84" w:rsidP="00A53F74">
      <w:r>
        <w:t>Whooping cough</w:t>
      </w:r>
      <w:r w:rsidR="008B6E31">
        <w:t xml:space="preserve"> </w:t>
      </w:r>
      <w:r w:rsidR="006431D9">
        <w:t xml:space="preserve">due to infection with </w:t>
      </w:r>
      <w:r w:rsidRPr="7B024648">
        <w:rPr>
          <w:i/>
          <w:iCs/>
        </w:rPr>
        <w:t xml:space="preserve">Bordetella </w:t>
      </w:r>
      <w:r w:rsidR="41B27128" w:rsidRPr="7B024648">
        <w:rPr>
          <w:i/>
          <w:iCs/>
        </w:rPr>
        <w:t>p</w:t>
      </w:r>
      <w:r w:rsidRPr="7B024648">
        <w:rPr>
          <w:i/>
          <w:iCs/>
        </w:rPr>
        <w:t>ertussis</w:t>
      </w:r>
      <w:r w:rsidR="008B6E31" w:rsidRPr="7B024648">
        <w:rPr>
          <w:i/>
          <w:iCs/>
        </w:rPr>
        <w:t>.</w:t>
      </w:r>
    </w:p>
    <w:p w14:paraId="76E6018A" w14:textId="02482FC1" w:rsidR="006B7635" w:rsidRPr="00E062B5" w:rsidRDefault="006B7635" w:rsidP="00766E2C">
      <w:pPr>
        <w:pStyle w:val="Heading3"/>
      </w:pPr>
      <w:r w:rsidRPr="00E062B5">
        <w:t xml:space="preserve">Definitive </w:t>
      </w:r>
      <w:r w:rsidR="006D70F9" w:rsidRPr="00E062B5">
        <w:t>c</w:t>
      </w:r>
      <w:r w:rsidRPr="00E062B5">
        <w:t>riteria</w:t>
      </w:r>
    </w:p>
    <w:p w14:paraId="35500CB4" w14:textId="77777777" w:rsidR="005D4176" w:rsidRPr="00E062B5" w:rsidRDefault="005D4176" w:rsidP="00766E2C">
      <w:pPr>
        <w:numPr>
          <w:ilvl w:val="0"/>
          <w:numId w:val="4"/>
        </w:numPr>
        <w:shd w:val="clear" w:color="auto" w:fill="FFFFFF"/>
        <w:spacing w:before="0" w:after="90"/>
      </w:pPr>
      <w:r w:rsidRPr="00E062B5">
        <w:t>Isolation of </w:t>
      </w:r>
      <w:r w:rsidRPr="00E062B5">
        <w:rPr>
          <w:i/>
          <w:iCs/>
        </w:rPr>
        <w:t>Bordetella pertussis</w:t>
      </w:r>
      <w:r w:rsidRPr="00E062B5">
        <w:t>; OR</w:t>
      </w:r>
    </w:p>
    <w:p w14:paraId="5B042AF5" w14:textId="77777777" w:rsidR="005D4176" w:rsidRPr="00E062B5" w:rsidRDefault="005D4176" w:rsidP="00766E2C">
      <w:pPr>
        <w:numPr>
          <w:ilvl w:val="0"/>
          <w:numId w:val="4"/>
        </w:numPr>
        <w:shd w:val="clear" w:color="auto" w:fill="FFFFFF"/>
        <w:spacing w:before="0" w:after="90"/>
      </w:pPr>
      <w:r w:rsidRPr="00E062B5">
        <w:t>Detection of </w:t>
      </w:r>
      <w:r w:rsidRPr="00E062B5">
        <w:rPr>
          <w:i/>
          <w:iCs/>
        </w:rPr>
        <w:t>B. pertussis</w:t>
      </w:r>
      <w:r w:rsidRPr="00E062B5">
        <w:t> by nucleic acid amplification test (NAAT) OR</w:t>
      </w:r>
    </w:p>
    <w:p w14:paraId="49F0E37A" w14:textId="3D918D20" w:rsidR="005D4176" w:rsidRPr="00E062B5" w:rsidRDefault="005D4176" w:rsidP="00766E2C">
      <w:pPr>
        <w:numPr>
          <w:ilvl w:val="0"/>
          <w:numId w:val="4"/>
        </w:numPr>
        <w:shd w:val="clear" w:color="auto" w:fill="FFFFFF" w:themeFill="background1"/>
        <w:spacing w:before="0" w:after="90"/>
      </w:pPr>
      <w:r>
        <w:t>Seroconversion in paired sera for </w:t>
      </w:r>
      <w:r w:rsidRPr="39DFFD72">
        <w:rPr>
          <w:i/>
          <w:iCs/>
        </w:rPr>
        <w:t>B.</w:t>
      </w:r>
      <w:r w:rsidR="193C4DF5" w:rsidRPr="39DFFD72">
        <w:rPr>
          <w:i/>
          <w:iCs/>
        </w:rPr>
        <w:t xml:space="preserve"> </w:t>
      </w:r>
      <w:r w:rsidRPr="39DFFD72">
        <w:rPr>
          <w:i/>
          <w:iCs/>
        </w:rPr>
        <w:t>pertussis</w:t>
      </w:r>
      <w:r>
        <w:t> using whole cell or specific </w:t>
      </w:r>
      <w:r w:rsidRPr="39DFFD72">
        <w:rPr>
          <w:i/>
          <w:iCs/>
        </w:rPr>
        <w:t>B.</w:t>
      </w:r>
      <w:r w:rsidR="38D83760" w:rsidRPr="39DFFD72">
        <w:rPr>
          <w:i/>
          <w:iCs/>
        </w:rPr>
        <w:t xml:space="preserve"> </w:t>
      </w:r>
      <w:r w:rsidRPr="39DFFD72">
        <w:rPr>
          <w:i/>
          <w:iCs/>
        </w:rPr>
        <w:t>pertussis</w:t>
      </w:r>
      <w:r>
        <w:t> antigen(s) in the absence of recent pertussis vaccination</w:t>
      </w:r>
    </w:p>
    <w:p w14:paraId="432D9A3A" w14:textId="1777814A" w:rsidR="006B7635" w:rsidRPr="00E062B5" w:rsidRDefault="006B7635" w:rsidP="00766E2C">
      <w:pPr>
        <w:pStyle w:val="Heading3"/>
      </w:pPr>
      <w:r w:rsidRPr="00E062B5">
        <w:t xml:space="preserve">Suggestive </w:t>
      </w:r>
      <w:r w:rsidR="006D70F9" w:rsidRPr="00E062B5">
        <w:t>c</w:t>
      </w:r>
      <w:r w:rsidRPr="00E062B5">
        <w:t>riteria</w:t>
      </w:r>
    </w:p>
    <w:p w14:paraId="0388BBEA" w14:textId="77777777" w:rsidR="00080F8B" w:rsidRPr="00E062B5" w:rsidRDefault="00080F8B" w:rsidP="002C4DBC">
      <w:pPr>
        <w:shd w:val="clear" w:color="auto" w:fill="FFFFFF"/>
        <w:spacing w:before="0" w:after="90"/>
        <w:ind w:firstLine="360"/>
      </w:pPr>
      <w:r w:rsidRPr="00E062B5">
        <w:t>In the absence of recent vaccination</w:t>
      </w:r>
    </w:p>
    <w:p w14:paraId="2F9DC372" w14:textId="2D34546C" w:rsidR="00080F8B" w:rsidRPr="00E062B5" w:rsidRDefault="00080F8B" w:rsidP="00766E2C">
      <w:pPr>
        <w:numPr>
          <w:ilvl w:val="0"/>
          <w:numId w:val="5"/>
        </w:numPr>
        <w:shd w:val="clear" w:color="auto" w:fill="FFFFFF" w:themeFill="background1"/>
        <w:spacing w:before="0" w:after="90"/>
      </w:pPr>
      <w:r>
        <w:t>Significant change (increase or decrease) in antibody level (IgG, IgA) to </w:t>
      </w:r>
      <w:r w:rsidRPr="39DFFD72">
        <w:rPr>
          <w:i/>
          <w:iCs/>
        </w:rPr>
        <w:t>B. pertussis</w:t>
      </w:r>
      <w:r>
        <w:t xml:space="preserve"> whole cell or </w:t>
      </w:r>
      <w:r w:rsidRPr="39DFFD72">
        <w:rPr>
          <w:i/>
          <w:iCs/>
        </w:rPr>
        <w:t>B.</w:t>
      </w:r>
      <w:r w:rsidR="4B23E053" w:rsidRPr="39DFFD72">
        <w:rPr>
          <w:i/>
          <w:iCs/>
        </w:rPr>
        <w:t xml:space="preserve"> </w:t>
      </w:r>
      <w:r w:rsidRPr="39DFFD72">
        <w:rPr>
          <w:i/>
          <w:iCs/>
        </w:rPr>
        <w:t>pertussis</w:t>
      </w:r>
      <w:r>
        <w:t xml:space="preserve"> specific antigen(s) OR</w:t>
      </w:r>
    </w:p>
    <w:p w14:paraId="525FB22C" w14:textId="77777777" w:rsidR="00080F8B" w:rsidRPr="00E062B5" w:rsidRDefault="00080F8B" w:rsidP="00766E2C">
      <w:pPr>
        <w:numPr>
          <w:ilvl w:val="0"/>
          <w:numId w:val="5"/>
        </w:numPr>
        <w:shd w:val="clear" w:color="auto" w:fill="FFFFFF"/>
        <w:spacing w:before="0" w:after="90"/>
      </w:pPr>
      <w:r w:rsidRPr="00E062B5">
        <w:t>Single high IgG and or IgA titre to Pertussis Toxin (PT) OR</w:t>
      </w:r>
    </w:p>
    <w:p w14:paraId="3C431FF2" w14:textId="08A24F88" w:rsidR="00080F8B" w:rsidRPr="00E062B5" w:rsidRDefault="00080F8B" w:rsidP="00766E2C">
      <w:pPr>
        <w:numPr>
          <w:ilvl w:val="0"/>
          <w:numId w:val="5"/>
        </w:numPr>
        <w:shd w:val="clear" w:color="auto" w:fill="FFFFFF" w:themeFill="background1"/>
        <w:spacing w:before="0" w:after="90"/>
      </w:pPr>
      <w:r>
        <w:t>Single high IgA titre to Whole Cell </w:t>
      </w:r>
      <w:r w:rsidRPr="39DFFD72">
        <w:rPr>
          <w:i/>
          <w:iCs/>
        </w:rPr>
        <w:t>B.</w:t>
      </w:r>
      <w:r w:rsidR="2B60A20D" w:rsidRPr="39DFFD72">
        <w:rPr>
          <w:i/>
          <w:iCs/>
        </w:rPr>
        <w:t xml:space="preserve"> </w:t>
      </w:r>
      <w:r w:rsidRPr="39DFFD72">
        <w:rPr>
          <w:i/>
          <w:iCs/>
        </w:rPr>
        <w:t>pertussis</w:t>
      </w:r>
      <w:r>
        <w:t> antigen</w:t>
      </w:r>
    </w:p>
    <w:p w14:paraId="7B444FA2" w14:textId="0DC48E07" w:rsidR="00664005" w:rsidRPr="00E062B5" w:rsidRDefault="000B7611" w:rsidP="00A53F74">
      <w:pPr>
        <w:pStyle w:val="Heading3"/>
      </w:pPr>
      <w:r w:rsidRPr="00E062B5">
        <w:t>Special Considerations / Guide for Use</w:t>
      </w:r>
    </w:p>
    <w:p w14:paraId="4AF4CC25" w14:textId="52040828" w:rsidR="00F47F45" w:rsidRPr="00E062B5" w:rsidRDefault="00F47F45" w:rsidP="39DFFD72">
      <w:pPr>
        <w:pStyle w:val="ListParagraph"/>
        <w:spacing w:before="0" w:after="120"/>
        <w:ind w:left="714" w:hanging="357"/>
        <w:rPr>
          <w:sz w:val="24"/>
          <w:szCs w:val="24"/>
        </w:rPr>
      </w:pPr>
      <w:r w:rsidRPr="6AB68B13">
        <w:rPr>
          <w:rFonts w:eastAsia="Times New Roman"/>
        </w:rPr>
        <w:t xml:space="preserve">Although </w:t>
      </w:r>
      <w:r w:rsidRPr="6AB68B13">
        <w:rPr>
          <w:rFonts w:eastAsia="Times New Roman"/>
          <w:i/>
          <w:iCs/>
        </w:rPr>
        <w:t>B.</w:t>
      </w:r>
      <w:r w:rsidR="778ADF4F" w:rsidRPr="6AB68B13">
        <w:rPr>
          <w:rFonts w:eastAsia="Times New Roman"/>
          <w:i/>
          <w:iCs/>
        </w:rPr>
        <w:t xml:space="preserve"> </w:t>
      </w:r>
      <w:r w:rsidRPr="6AB68B13">
        <w:rPr>
          <w:rFonts w:eastAsia="Times New Roman"/>
          <w:i/>
          <w:iCs/>
        </w:rPr>
        <w:t>pertussis</w:t>
      </w:r>
      <w:r w:rsidRPr="6AB68B13">
        <w:rPr>
          <w:rFonts w:eastAsia="Times New Roman"/>
        </w:rPr>
        <w:t xml:space="preserve"> </w:t>
      </w:r>
      <w:r w:rsidR="006C2FB6" w:rsidRPr="6AB68B13">
        <w:rPr>
          <w:rFonts w:eastAsia="Times New Roman"/>
        </w:rPr>
        <w:t>NAAT</w:t>
      </w:r>
      <w:r w:rsidR="7A24B746" w:rsidRPr="6AB68B13">
        <w:rPr>
          <w:rFonts w:eastAsia="Times New Roman"/>
        </w:rPr>
        <w:t xml:space="preserve"> </w:t>
      </w:r>
      <w:r w:rsidRPr="6AB68B13">
        <w:rPr>
          <w:rFonts w:eastAsia="Times New Roman"/>
        </w:rPr>
        <w:t>is regarded as definitive evidence of infection</w:t>
      </w:r>
      <w:r w:rsidR="37045CFC" w:rsidRPr="6AB68B13">
        <w:rPr>
          <w:rFonts w:eastAsia="Times New Roman"/>
        </w:rPr>
        <w:t>,</w:t>
      </w:r>
      <w:r w:rsidRPr="6AB68B13">
        <w:rPr>
          <w:rFonts w:eastAsia="Times New Roman"/>
        </w:rPr>
        <w:t xml:space="preserve"> </w:t>
      </w:r>
      <w:r w:rsidR="002C4DBC" w:rsidRPr="6AB68B13">
        <w:rPr>
          <w:rFonts w:eastAsia="Times New Roman"/>
        </w:rPr>
        <w:t xml:space="preserve">a </w:t>
      </w:r>
      <w:r w:rsidR="00293A74" w:rsidRPr="6AB68B13">
        <w:rPr>
          <w:rFonts w:eastAsia="Times New Roman"/>
        </w:rPr>
        <w:t>single multicopy target</w:t>
      </w:r>
      <w:r w:rsidRPr="6AB68B13">
        <w:rPr>
          <w:rFonts w:eastAsia="Times New Roman"/>
        </w:rPr>
        <w:t xml:space="preserve"> </w:t>
      </w:r>
      <w:r w:rsidR="006C2FB6" w:rsidRPr="6AB68B13">
        <w:rPr>
          <w:rFonts w:eastAsia="Times New Roman"/>
        </w:rPr>
        <w:t xml:space="preserve">NAAT </w:t>
      </w:r>
      <w:r w:rsidR="002C4DBC" w:rsidRPr="6AB68B13">
        <w:rPr>
          <w:rFonts w:eastAsia="Times New Roman"/>
        </w:rPr>
        <w:t>assay</w:t>
      </w:r>
      <w:r w:rsidRPr="6AB68B13">
        <w:rPr>
          <w:rFonts w:eastAsia="Times New Roman"/>
        </w:rPr>
        <w:t xml:space="preserve"> cannot reliably distinguish </w:t>
      </w:r>
      <w:r w:rsidRPr="6AB68B13">
        <w:rPr>
          <w:rFonts w:eastAsia="Times New Roman"/>
          <w:i/>
          <w:iCs/>
        </w:rPr>
        <w:t>B.</w:t>
      </w:r>
      <w:r w:rsidR="7DD545D0" w:rsidRPr="6AB68B13">
        <w:rPr>
          <w:rFonts w:eastAsia="Times New Roman"/>
          <w:i/>
          <w:iCs/>
        </w:rPr>
        <w:t xml:space="preserve"> </w:t>
      </w:r>
      <w:r w:rsidRPr="6AB68B13">
        <w:rPr>
          <w:rFonts w:eastAsia="Times New Roman"/>
          <w:i/>
          <w:iCs/>
        </w:rPr>
        <w:t>pertussis</w:t>
      </w:r>
      <w:r w:rsidRPr="6AB68B13">
        <w:rPr>
          <w:rFonts w:eastAsia="Times New Roman"/>
        </w:rPr>
        <w:t xml:space="preserve"> from </w:t>
      </w:r>
      <w:r w:rsidRPr="6AB68B13">
        <w:rPr>
          <w:rFonts w:eastAsia="Times New Roman"/>
          <w:i/>
          <w:iCs/>
        </w:rPr>
        <w:t>B.</w:t>
      </w:r>
      <w:r w:rsidR="045A04EA" w:rsidRPr="6AB68B13">
        <w:rPr>
          <w:rFonts w:eastAsia="Times New Roman"/>
          <w:i/>
          <w:iCs/>
        </w:rPr>
        <w:t xml:space="preserve"> </w:t>
      </w:r>
      <w:r w:rsidRPr="6AB68B13">
        <w:rPr>
          <w:rFonts w:eastAsia="Times New Roman"/>
          <w:i/>
          <w:iCs/>
        </w:rPr>
        <w:t>holm</w:t>
      </w:r>
      <w:r w:rsidR="002C4DBC" w:rsidRPr="6AB68B13">
        <w:rPr>
          <w:rFonts w:eastAsia="Times New Roman"/>
          <w:i/>
          <w:iCs/>
        </w:rPr>
        <w:t>e</w:t>
      </w:r>
      <w:r w:rsidRPr="6AB68B13">
        <w:rPr>
          <w:rFonts w:eastAsia="Times New Roman"/>
          <w:i/>
          <w:iCs/>
        </w:rPr>
        <w:t>sii</w:t>
      </w:r>
      <w:r w:rsidRPr="6AB68B13">
        <w:rPr>
          <w:rFonts w:eastAsia="Times New Roman"/>
        </w:rPr>
        <w:t xml:space="preserve"> unless dual targets are used. This practice is recommended. Enunciation of the targets selected and limitations of the assay should be included in interpretive comments.</w:t>
      </w:r>
    </w:p>
    <w:p w14:paraId="55367A0B" w14:textId="1484C96A" w:rsidR="00F47F45" w:rsidRPr="00E062B5" w:rsidRDefault="00F47F45" w:rsidP="39DFFD72">
      <w:pPr>
        <w:pStyle w:val="ListParagraph"/>
        <w:spacing w:before="0" w:after="120"/>
        <w:ind w:left="714" w:hanging="357"/>
        <w:rPr>
          <w:sz w:val="24"/>
          <w:szCs w:val="24"/>
        </w:rPr>
      </w:pPr>
      <w:r w:rsidRPr="39DFFD72">
        <w:rPr>
          <w:rFonts w:eastAsia="Times New Roman"/>
        </w:rPr>
        <w:t xml:space="preserve">Whole cell </w:t>
      </w:r>
      <w:r w:rsidRPr="39DFFD72">
        <w:rPr>
          <w:rFonts w:eastAsia="Times New Roman"/>
          <w:i/>
          <w:iCs/>
        </w:rPr>
        <w:t>B.</w:t>
      </w:r>
      <w:r w:rsidR="7161D8A1" w:rsidRPr="39DFFD72">
        <w:rPr>
          <w:rFonts w:eastAsia="Times New Roman"/>
          <w:i/>
          <w:iCs/>
        </w:rPr>
        <w:t xml:space="preserve"> </w:t>
      </w:r>
      <w:r w:rsidRPr="39DFFD72">
        <w:rPr>
          <w:rFonts w:eastAsia="Times New Roman"/>
          <w:i/>
          <w:iCs/>
        </w:rPr>
        <w:t>pertussis</w:t>
      </w:r>
      <w:r w:rsidRPr="39DFFD72">
        <w:rPr>
          <w:rFonts w:eastAsia="Times New Roman"/>
        </w:rPr>
        <w:t xml:space="preserve"> IgG</w:t>
      </w:r>
      <w:r w:rsidR="002C4DBC" w:rsidRPr="39DFFD72">
        <w:rPr>
          <w:rFonts w:eastAsia="Times New Roman"/>
        </w:rPr>
        <w:t xml:space="preserve"> antibody detection</w:t>
      </w:r>
      <w:r w:rsidRPr="39DFFD72">
        <w:rPr>
          <w:rFonts w:eastAsia="Times New Roman"/>
        </w:rPr>
        <w:t xml:space="preserve"> is not useful. Positive results should not be considered evidence of current infection.</w:t>
      </w:r>
    </w:p>
    <w:p w14:paraId="2B4ED5D0" w14:textId="3D63ED74" w:rsidR="00F47F45" w:rsidRPr="00E062B5" w:rsidRDefault="00F47F45" w:rsidP="00766E2C">
      <w:pPr>
        <w:pStyle w:val="ListParagraph"/>
        <w:numPr>
          <w:ilvl w:val="0"/>
          <w:numId w:val="6"/>
        </w:numPr>
        <w:spacing w:before="0" w:after="120"/>
        <w:ind w:left="714" w:hanging="357"/>
        <w:rPr>
          <w:sz w:val="24"/>
          <w:szCs w:val="24"/>
        </w:rPr>
      </w:pPr>
      <w:r w:rsidRPr="00E062B5">
        <w:rPr>
          <w:rFonts w:eastAsia="Times New Roman"/>
        </w:rPr>
        <w:t xml:space="preserve">International WHO standards for </w:t>
      </w:r>
      <w:r w:rsidR="002C4DBC">
        <w:rPr>
          <w:rFonts w:eastAsia="Times New Roman"/>
        </w:rPr>
        <w:t xml:space="preserve">IgG and IgA antibodies against </w:t>
      </w:r>
      <w:r w:rsidRPr="00E062B5">
        <w:rPr>
          <w:rFonts w:eastAsia="Times New Roman"/>
        </w:rPr>
        <w:t xml:space="preserve">PT, Filamentous Haemagglutinin (FHA) and pertactin (PRN) are now available </w:t>
      </w:r>
      <w:r w:rsidR="002C4DBC">
        <w:rPr>
          <w:rFonts w:eastAsia="Times New Roman"/>
        </w:rPr>
        <w:t>and suppor</w:t>
      </w:r>
      <w:r w:rsidR="00E32BE5">
        <w:rPr>
          <w:rFonts w:eastAsia="Times New Roman"/>
        </w:rPr>
        <w:t>t</w:t>
      </w:r>
      <w:r w:rsidRPr="00E062B5">
        <w:rPr>
          <w:rFonts w:eastAsia="Times New Roman"/>
        </w:rPr>
        <w:t xml:space="preserve"> standardisation of appropriate cut-offs for positivity in future serological assays.</w:t>
      </w:r>
    </w:p>
    <w:p w14:paraId="64001853" w14:textId="7B4F4674" w:rsidR="009B32A2" w:rsidRPr="00766E2C" w:rsidRDefault="00F47F45" w:rsidP="00766E2C">
      <w:pPr>
        <w:pStyle w:val="ListParagraph"/>
        <w:numPr>
          <w:ilvl w:val="0"/>
          <w:numId w:val="6"/>
        </w:numPr>
        <w:spacing w:before="0" w:after="120"/>
        <w:ind w:left="714" w:hanging="357"/>
        <w:rPr>
          <w:sz w:val="24"/>
          <w:szCs w:val="24"/>
        </w:rPr>
      </w:pPr>
      <w:r w:rsidRPr="00E062B5">
        <w:rPr>
          <w:rFonts w:eastAsia="Times New Roman"/>
        </w:rPr>
        <w:t>The best choice of test (culture, NAAT or serology or a combination of these) relates primarily to duration of symptoms at the time of presentation. (See section 3.5)</w:t>
      </w:r>
    </w:p>
    <w:p w14:paraId="5C42E5D1" w14:textId="77777777" w:rsidR="00766E2C" w:rsidRDefault="00766E2C" w:rsidP="00766E2C">
      <w:pPr>
        <w:pStyle w:val="ListParagraph"/>
        <w:numPr>
          <w:ilvl w:val="0"/>
          <w:numId w:val="0"/>
        </w:numPr>
        <w:spacing w:before="0" w:after="120"/>
        <w:ind w:left="714"/>
        <w:rPr>
          <w:sz w:val="24"/>
          <w:szCs w:val="24"/>
        </w:rPr>
      </w:pPr>
    </w:p>
    <w:p w14:paraId="231B8F2E" w14:textId="77777777" w:rsidR="005274FF" w:rsidRPr="00E062B5" w:rsidRDefault="005274FF" w:rsidP="00766E2C">
      <w:pPr>
        <w:pStyle w:val="ListParagraph"/>
        <w:numPr>
          <w:ilvl w:val="0"/>
          <w:numId w:val="0"/>
        </w:numPr>
        <w:spacing w:before="0" w:after="120"/>
        <w:ind w:left="714"/>
        <w:rPr>
          <w:sz w:val="24"/>
          <w:szCs w:val="24"/>
        </w:rPr>
      </w:pPr>
    </w:p>
    <w:p w14:paraId="5A0FF03A" w14:textId="77777777" w:rsidR="006B7635" w:rsidRPr="00E062B5" w:rsidRDefault="006B7635" w:rsidP="00C000BA">
      <w:pPr>
        <w:pStyle w:val="Heading1"/>
      </w:pPr>
      <w:r w:rsidRPr="00E062B5">
        <w:lastRenderedPageBreak/>
        <w:t>Introduction</w:t>
      </w:r>
    </w:p>
    <w:p w14:paraId="58783E43" w14:textId="734AE187" w:rsidR="00DE445D" w:rsidRPr="00E062B5" w:rsidRDefault="00DE445D" w:rsidP="00DE445D">
      <w:pPr>
        <w:rPr>
          <w:rFonts w:eastAsia="Times New Roman"/>
          <w:shd w:val="clear" w:color="auto" w:fill="FFFFFF"/>
        </w:rPr>
      </w:pPr>
      <w:r w:rsidRPr="00E062B5">
        <w:rPr>
          <w:rFonts w:eastAsia="Times New Roman"/>
          <w:shd w:val="clear" w:color="auto" w:fill="FFFFFF"/>
        </w:rPr>
        <w:t>Pertussis is caused by</w:t>
      </w:r>
      <w:r w:rsidRPr="00E3118B">
        <w:rPr>
          <w:rFonts w:eastAsia="Times New Roman"/>
          <w:i/>
          <w:iCs/>
          <w:shd w:val="clear" w:color="auto" w:fill="FFFFFF"/>
        </w:rPr>
        <w:t xml:space="preserve"> Bordetella pertussis</w:t>
      </w:r>
      <w:r w:rsidRPr="00E062B5">
        <w:rPr>
          <w:rFonts w:eastAsia="Times New Roman"/>
          <w:shd w:val="clear" w:color="auto" w:fill="FFFFFF"/>
        </w:rPr>
        <w:t xml:space="preserve">, a fastidious, </w:t>
      </w:r>
      <w:r w:rsidR="00E32BE5">
        <w:rPr>
          <w:rFonts w:eastAsia="Times New Roman"/>
          <w:shd w:val="clear" w:color="auto" w:fill="FFFFFF"/>
        </w:rPr>
        <w:t>G</w:t>
      </w:r>
      <w:r w:rsidRPr="00E062B5">
        <w:rPr>
          <w:rFonts w:eastAsia="Times New Roman"/>
          <w:shd w:val="clear" w:color="auto" w:fill="FFFFFF"/>
        </w:rPr>
        <w:t>ram</w:t>
      </w:r>
      <w:r w:rsidR="00E32BE5">
        <w:rPr>
          <w:rFonts w:eastAsia="Times New Roman"/>
          <w:shd w:val="clear" w:color="auto" w:fill="FFFFFF"/>
        </w:rPr>
        <w:t>-</w:t>
      </w:r>
      <w:r w:rsidRPr="00E062B5">
        <w:rPr>
          <w:rFonts w:eastAsia="Times New Roman"/>
          <w:shd w:val="clear" w:color="auto" w:fill="FFFFFF"/>
        </w:rPr>
        <w:t xml:space="preserve">negative coccobacillus, which was first isolated in 1906 by Bordet and Gengou. It is restricted to the respiratory tract of humans and is spread by droplets from person to person. </w:t>
      </w:r>
      <w:r w:rsidRPr="39DFFD72">
        <w:rPr>
          <w:rFonts w:eastAsia="Times New Roman"/>
          <w:i/>
          <w:iCs/>
          <w:shd w:val="clear" w:color="auto" w:fill="FFFFFF"/>
        </w:rPr>
        <w:t>B</w:t>
      </w:r>
      <w:r w:rsidR="00E32BE5" w:rsidRPr="39DFFD72">
        <w:rPr>
          <w:rFonts w:eastAsia="Times New Roman"/>
          <w:i/>
          <w:iCs/>
          <w:shd w:val="clear" w:color="auto" w:fill="FFFFFF"/>
        </w:rPr>
        <w:t>ordetella</w:t>
      </w:r>
      <w:r w:rsidRPr="39DFFD72">
        <w:rPr>
          <w:rFonts w:eastAsia="Times New Roman"/>
          <w:i/>
          <w:iCs/>
          <w:shd w:val="clear" w:color="auto" w:fill="FFFFFF"/>
        </w:rPr>
        <w:t xml:space="preserve"> pertussis</w:t>
      </w:r>
      <w:r w:rsidRPr="00E062B5">
        <w:rPr>
          <w:rFonts w:eastAsia="Times New Roman"/>
          <w:shd w:val="clear" w:color="auto" w:fill="FFFFFF"/>
        </w:rPr>
        <w:t xml:space="preserve"> produces a range of virulence factors including pertussis toxin and pertactin which cause the typical disease symptoms. The clinical spectrum is diverse and is affected by patient age, previous exposure to the organism, immunisation history, antibiotic administration and concomitant infections with other agents. Clinical expression ranges from asymptomatic infection in children and adults with strong residual immunity to more severe and life-threatening disease in unprotected newborns and infants. Although some previously immunized individuals do develop classical clinical symptoms, atypical pertussis, characterized by the absence of typical whoop and a shorter duration of cough, is more common among adolescents and adults. </w:t>
      </w:r>
      <w:r w:rsidRPr="39DFFD72">
        <w:rPr>
          <w:rFonts w:eastAsia="Times New Roman"/>
          <w:i/>
          <w:iCs/>
          <w:shd w:val="clear" w:color="auto" w:fill="FFFFFF"/>
        </w:rPr>
        <w:t>B</w:t>
      </w:r>
      <w:r w:rsidR="00E32BE5" w:rsidRPr="39DFFD72">
        <w:rPr>
          <w:rFonts w:eastAsia="Times New Roman"/>
          <w:i/>
          <w:iCs/>
          <w:shd w:val="clear" w:color="auto" w:fill="FFFFFF"/>
        </w:rPr>
        <w:t>.</w:t>
      </w:r>
      <w:r w:rsidRPr="39DFFD72">
        <w:rPr>
          <w:rFonts w:eastAsia="Times New Roman"/>
          <w:i/>
          <w:iCs/>
          <w:shd w:val="clear" w:color="auto" w:fill="FFFFFF"/>
        </w:rPr>
        <w:t xml:space="preserve"> parapertussis</w:t>
      </w:r>
      <w:r w:rsidRPr="00E062B5">
        <w:rPr>
          <w:rFonts w:eastAsia="Times New Roman"/>
          <w:shd w:val="clear" w:color="auto" w:fill="FFFFFF"/>
        </w:rPr>
        <w:t xml:space="preserve"> causes a pertussis syndrome similar to but usually less severe than that caused by </w:t>
      </w:r>
      <w:r w:rsidRPr="39DFFD72">
        <w:rPr>
          <w:rFonts w:eastAsia="Times New Roman"/>
          <w:i/>
          <w:iCs/>
          <w:shd w:val="clear" w:color="auto" w:fill="FFFFFF"/>
        </w:rPr>
        <w:t>B.</w:t>
      </w:r>
      <w:r w:rsidR="00E32BE5" w:rsidRPr="39DFFD72">
        <w:rPr>
          <w:rFonts w:eastAsia="Times New Roman"/>
          <w:i/>
          <w:iCs/>
          <w:shd w:val="clear" w:color="auto" w:fill="FFFFFF"/>
        </w:rPr>
        <w:t xml:space="preserve"> </w:t>
      </w:r>
      <w:r w:rsidRPr="39DFFD72">
        <w:rPr>
          <w:rFonts w:eastAsia="Times New Roman"/>
          <w:i/>
          <w:iCs/>
          <w:shd w:val="clear" w:color="auto" w:fill="FFFFFF"/>
        </w:rPr>
        <w:t>pertussis</w:t>
      </w:r>
      <w:r w:rsidRPr="00E062B5">
        <w:rPr>
          <w:rFonts w:eastAsia="Times New Roman"/>
          <w:shd w:val="clear" w:color="auto" w:fill="FFFFFF"/>
        </w:rPr>
        <w:t xml:space="preserve">. Symptomatic </w:t>
      </w:r>
      <w:r w:rsidRPr="39DFFD72">
        <w:rPr>
          <w:rFonts w:eastAsia="Times New Roman"/>
          <w:i/>
          <w:iCs/>
          <w:shd w:val="clear" w:color="auto" w:fill="FFFFFF"/>
        </w:rPr>
        <w:t>B.</w:t>
      </w:r>
      <w:r w:rsidR="00E32BE5" w:rsidRPr="39DFFD72">
        <w:rPr>
          <w:rFonts w:eastAsia="Times New Roman"/>
          <w:i/>
          <w:iCs/>
          <w:shd w:val="clear" w:color="auto" w:fill="FFFFFF"/>
        </w:rPr>
        <w:t xml:space="preserve"> </w:t>
      </w:r>
      <w:r w:rsidRPr="39DFFD72">
        <w:rPr>
          <w:rFonts w:eastAsia="Times New Roman"/>
          <w:i/>
          <w:iCs/>
          <w:shd w:val="clear" w:color="auto" w:fill="FFFFFF"/>
        </w:rPr>
        <w:t>parapertussis</w:t>
      </w:r>
      <w:r w:rsidRPr="00E062B5">
        <w:rPr>
          <w:rFonts w:eastAsia="Times New Roman"/>
          <w:shd w:val="clear" w:color="auto" w:fill="FFFFFF"/>
        </w:rPr>
        <w:t xml:space="preserve"> infections more commonly present as a nonspecific cough illness or bronchitis. </w:t>
      </w:r>
      <w:r w:rsidRPr="39DFFD72">
        <w:rPr>
          <w:rFonts w:eastAsia="Times New Roman"/>
          <w:i/>
          <w:iCs/>
          <w:shd w:val="clear" w:color="auto" w:fill="FFFFFF"/>
        </w:rPr>
        <w:t>B.</w:t>
      </w:r>
      <w:r w:rsidR="00E32BE5" w:rsidRPr="39DFFD72">
        <w:rPr>
          <w:rFonts w:eastAsia="Times New Roman"/>
          <w:i/>
          <w:iCs/>
          <w:shd w:val="clear" w:color="auto" w:fill="FFFFFF"/>
        </w:rPr>
        <w:t xml:space="preserve"> </w:t>
      </w:r>
      <w:r w:rsidRPr="39DFFD72">
        <w:rPr>
          <w:rFonts w:eastAsia="Times New Roman"/>
          <w:i/>
          <w:iCs/>
          <w:shd w:val="clear" w:color="auto" w:fill="FFFFFF"/>
        </w:rPr>
        <w:t>bronchiseptica</w:t>
      </w:r>
      <w:r w:rsidRPr="00E062B5">
        <w:rPr>
          <w:rFonts w:eastAsia="Times New Roman"/>
          <w:shd w:val="clear" w:color="auto" w:fill="FFFFFF"/>
        </w:rPr>
        <w:t xml:space="preserve"> and </w:t>
      </w:r>
      <w:r w:rsidRPr="39DFFD72">
        <w:rPr>
          <w:rFonts w:eastAsia="Times New Roman"/>
          <w:i/>
          <w:iCs/>
          <w:shd w:val="clear" w:color="auto" w:fill="FFFFFF"/>
        </w:rPr>
        <w:t>B.</w:t>
      </w:r>
      <w:r w:rsidR="00E32BE5" w:rsidRPr="39DFFD72">
        <w:rPr>
          <w:rFonts w:eastAsia="Times New Roman"/>
          <w:i/>
          <w:iCs/>
          <w:shd w:val="clear" w:color="auto" w:fill="FFFFFF"/>
        </w:rPr>
        <w:t xml:space="preserve"> </w:t>
      </w:r>
      <w:r w:rsidRPr="39DFFD72">
        <w:rPr>
          <w:rFonts w:eastAsia="Times New Roman"/>
          <w:i/>
          <w:iCs/>
          <w:shd w:val="clear" w:color="auto" w:fill="FFFFFF"/>
        </w:rPr>
        <w:t>holmesii</w:t>
      </w:r>
      <w:r w:rsidRPr="00E062B5">
        <w:rPr>
          <w:rFonts w:eastAsia="Times New Roman"/>
          <w:shd w:val="clear" w:color="auto" w:fill="FFFFFF"/>
        </w:rPr>
        <w:t xml:space="preserve"> have been implicated as infrequent causes of pertussis syndrome and other respiratory illnesses.</w:t>
      </w:r>
      <w:r w:rsidRPr="00E062B5">
        <w:rPr>
          <w:rFonts w:eastAsia="Times New Roman"/>
          <w:shd w:val="clear" w:color="auto" w:fill="FFFFFF"/>
          <w:vertAlign w:val="superscript"/>
        </w:rPr>
        <w:t>2,3,4,5</w:t>
      </w:r>
    </w:p>
    <w:p w14:paraId="37AA1DC3" w14:textId="3CB9687F" w:rsidR="00DE445D" w:rsidRPr="00E062B5" w:rsidRDefault="00DE445D" w:rsidP="00DE445D">
      <w:pPr>
        <w:rPr>
          <w:rFonts w:eastAsia="Times New Roman"/>
          <w:shd w:val="clear" w:color="auto" w:fill="FFFFFF"/>
        </w:rPr>
      </w:pPr>
      <w:r w:rsidRPr="00E062B5">
        <w:rPr>
          <w:rFonts w:eastAsia="Times New Roman"/>
          <w:shd w:val="clear" w:color="auto" w:fill="FFFFFF"/>
        </w:rPr>
        <w:t xml:space="preserve">Definitive laboratory diagnosis is made by isolation of </w:t>
      </w:r>
      <w:r w:rsidRPr="00E3118B">
        <w:rPr>
          <w:rFonts w:eastAsia="Times New Roman"/>
          <w:i/>
          <w:iCs/>
          <w:shd w:val="clear" w:color="auto" w:fill="FFFFFF"/>
        </w:rPr>
        <w:t>B. pertussis</w:t>
      </w:r>
      <w:r w:rsidRPr="00E062B5">
        <w:rPr>
          <w:rFonts w:eastAsia="Times New Roman"/>
          <w:shd w:val="clear" w:color="auto" w:fill="FFFFFF"/>
        </w:rPr>
        <w:t xml:space="preserve"> from respiratory specimens but culture </w:t>
      </w:r>
      <w:r w:rsidR="00293A74">
        <w:rPr>
          <w:rFonts w:eastAsia="Times New Roman"/>
          <w:shd w:val="clear" w:color="auto" w:fill="FFFFFF"/>
        </w:rPr>
        <w:t>becomes</w:t>
      </w:r>
      <w:r w:rsidRPr="00E062B5">
        <w:rPr>
          <w:rFonts w:eastAsia="Times New Roman"/>
          <w:shd w:val="clear" w:color="auto" w:fill="FFFFFF"/>
        </w:rPr>
        <w:t xml:space="preserve"> insensitive as the disease progresses and there are fewer organisms present after the first 2–3 weeks of symptoms. Nucleic acid amplification testing (NAAT) usually by polymerase chain reaction (PCR) is more sensitive than culture and is accepted as definitive laboratory evidence of disease in cases with an appropriate clinical history. Serology </w:t>
      </w:r>
      <w:r w:rsidR="00E32BE5">
        <w:rPr>
          <w:rFonts w:eastAsia="Times New Roman"/>
          <w:shd w:val="clear" w:color="auto" w:fill="FFFFFF"/>
        </w:rPr>
        <w:t>has been</w:t>
      </w:r>
      <w:r w:rsidRPr="00E062B5">
        <w:rPr>
          <w:rFonts w:eastAsia="Times New Roman"/>
          <w:shd w:val="clear" w:color="auto" w:fill="FFFFFF"/>
        </w:rPr>
        <w:t xml:space="preserve"> used in Australia for diagnosis of pertussis, particularly in adults and adolescents. Many other countries</w:t>
      </w:r>
      <w:r w:rsidR="00E32BE5">
        <w:rPr>
          <w:rFonts w:eastAsia="Times New Roman"/>
          <w:shd w:val="clear" w:color="auto" w:fill="FFFFFF"/>
        </w:rPr>
        <w:t>,</w:t>
      </w:r>
      <w:r w:rsidRPr="00E062B5">
        <w:rPr>
          <w:rFonts w:eastAsia="Times New Roman"/>
          <w:shd w:val="clear" w:color="auto" w:fill="FFFFFF"/>
        </w:rPr>
        <w:t xml:space="preserve"> including the USA</w:t>
      </w:r>
      <w:r w:rsidR="00E32BE5">
        <w:rPr>
          <w:rFonts w:eastAsia="Times New Roman"/>
          <w:shd w:val="clear" w:color="auto" w:fill="FFFFFF"/>
        </w:rPr>
        <w:t>,</w:t>
      </w:r>
      <w:r w:rsidRPr="00E062B5">
        <w:rPr>
          <w:rFonts w:eastAsia="Times New Roman"/>
          <w:shd w:val="clear" w:color="auto" w:fill="FFFFFF"/>
        </w:rPr>
        <w:t xml:space="preserve"> do not accept a diagnosis of pertussis based on serology although with improved standardisation there have been recent calls to incorporate serological testing in the case definition</w:t>
      </w:r>
      <w:r w:rsidR="00E32BE5">
        <w:rPr>
          <w:rFonts w:eastAsia="Times New Roman"/>
          <w:shd w:val="clear" w:color="auto" w:fill="FFFFFF"/>
        </w:rPr>
        <w:t>.</w:t>
      </w:r>
      <w:r w:rsidRPr="00E062B5">
        <w:rPr>
          <w:rFonts w:eastAsia="Times New Roman"/>
          <w:shd w:val="clear" w:color="auto" w:fill="FFFFFF"/>
          <w:vertAlign w:val="superscript"/>
        </w:rPr>
        <w:t>6</w:t>
      </w:r>
      <w:r w:rsidRPr="00E062B5">
        <w:rPr>
          <w:rFonts w:eastAsia="Times New Roman"/>
          <w:shd w:val="clear" w:color="auto" w:fill="FFFFFF"/>
        </w:rPr>
        <w:t xml:space="preserve"> </w:t>
      </w:r>
    </w:p>
    <w:p w14:paraId="25A26491" w14:textId="77777777" w:rsidR="00DE445D" w:rsidRPr="00E062B5" w:rsidRDefault="00DE445D" w:rsidP="00DE445D">
      <w:pPr>
        <w:rPr>
          <w:rFonts w:eastAsia="Times New Roman"/>
          <w:shd w:val="clear" w:color="auto" w:fill="FFFFFF"/>
        </w:rPr>
      </w:pPr>
      <w:r w:rsidRPr="00E062B5">
        <w:rPr>
          <w:rFonts w:eastAsia="Times New Roman"/>
          <w:shd w:val="clear" w:color="auto" w:fill="FFFFFF"/>
        </w:rPr>
        <w:t>The direct fluorescence assay (DFA) has been used in the past but has been now superseded by PCR which offers a more sensitive and specific diagnosis.</w:t>
      </w:r>
      <w:r w:rsidRPr="00E062B5">
        <w:rPr>
          <w:rFonts w:eastAsia="Times New Roman"/>
          <w:shd w:val="clear" w:color="auto" w:fill="FFFFFF"/>
          <w:vertAlign w:val="superscript"/>
        </w:rPr>
        <w:t>3</w:t>
      </w:r>
    </w:p>
    <w:p w14:paraId="344F3A21" w14:textId="7441579C" w:rsidR="00C000BA" w:rsidRDefault="00DE445D" w:rsidP="00C000BA">
      <w:pPr>
        <w:rPr>
          <w:rFonts w:eastAsia="Times New Roman"/>
          <w:shd w:val="clear" w:color="auto" w:fill="FFFFFF"/>
        </w:rPr>
      </w:pPr>
      <w:r w:rsidRPr="00E062B5">
        <w:rPr>
          <w:rFonts w:eastAsia="Times New Roman"/>
          <w:shd w:val="clear" w:color="auto" w:fill="FFFFFF"/>
        </w:rPr>
        <w:t xml:space="preserve">Recommended laboratory methods for </w:t>
      </w:r>
      <w:r w:rsidRPr="00E32BE5">
        <w:rPr>
          <w:rFonts w:eastAsia="Times New Roman"/>
          <w:i/>
          <w:iCs/>
          <w:shd w:val="clear" w:color="auto" w:fill="FFFFFF"/>
        </w:rPr>
        <w:t>B. pertussis</w:t>
      </w:r>
      <w:r w:rsidRPr="00E062B5">
        <w:rPr>
          <w:rFonts w:eastAsia="Times New Roman"/>
          <w:shd w:val="clear" w:color="auto" w:fill="FFFFFF"/>
        </w:rPr>
        <w:t xml:space="preserve"> are detailed on the </w:t>
      </w:r>
      <w:r w:rsidR="00293A74">
        <w:rPr>
          <w:rFonts w:eastAsia="Times New Roman"/>
          <w:shd w:val="clear" w:color="auto" w:fill="FFFFFF"/>
        </w:rPr>
        <w:t xml:space="preserve">USA </w:t>
      </w:r>
      <w:r w:rsidRPr="00E062B5">
        <w:rPr>
          <w:rFonts w:eastAsia="Times New Roman"/>
          <w:shd w:val="clear" w:color="auto" w:fill="FFFFFF"/>
        </w:rPr>
        <w:t xml:space="preserve">Centers for Disease Control </w:t>
      </w:r>
      <w:r w:rsidR="00293A74">
        <w:rPr>
          <w:rFonts w:eastAsia="Times New Roman"/>
          <w:shd w:val="clear" w:color="auto" w:fill="FFFFFF"/>
        </w:rPr>
        <w:t xml:space="preserve">and Prevention </w:t>
      </w:r>
      <w:r w:rsidRPr="00E062B5">
        <w:rPr>
          <w:rFonts w:eastAsia="Times New Roman"/>
          <w:shd w:val="clear" w:color="auto" w:fill="FFFFFF"/>
        </w:rPr>
        <w:t xml:space="preserve">(CDC) website </w:t>
      </w:r>
      <w:hyperlink r:id="rId11" w:history="1">
        <w:r w:rsidR="00F311B5" w:rsidRPr="00E062B5">
          <w:rPr>
            <w:rStyle w:val="Hyperlink"/>
            <w:rFonts w:eastAsia="Times New Roman"/>
            <w:shd w:val="clear" w:color="auto" w:fill="FFFFFF"/>
          </w:rPr>
          <w:t>http://www.cdc.gov/vaccines/pubs/surv-manual/chpt10-pertussis.htm</w:t>
        </w:r>
      </w:hyperlink>
      <w:r w:rsidR="00F311B5" w:rsidRPr="00E062B5">
        <w:rPr>
          <w:rFonts w:eastAsia="Times New Roman"/>
          <w:shd w:val="clear" w:color="auto" w:fill="FFFFFF"/>
        </w:rPr>
        <w:t xml:space="preserve"> </w:t>
      </w:r>
      <w:r w:rsidRPr="00E062B5">
        <w:rPr>
          <w:rFonts w:eastAsia="Times New Roman"/>
          <w:shd w:val="clear" w:color="auto" w:fill="FFFFFF"/>
        </w:rPr>
        <w:t xml:space="preserve">and the WHO case definition is outlined at </w:t>
      </w:r>
      <w:hyperlink r:id="rId12" w:history="1">
        <w:r w:rsidR="00F311B5" w:rsidRPr="00E062B5">
          <w:rPr>
            <w:rStyle w:val="Hyperlink"/>
            <w:rFonts w:eastAsia="Times New Roman"/>
            <w:shd w:val="clear" w:color="auto" w:fill="FFFFFF"/>
          </w:rPr>
          <w:t>http://www.who.int/immunization_monitoring/diseases/pertussis_surveillance/en/</w:t>
        </w:r>
      </w:hyperlink>
      <w:r w:rsidR="00F311B5" w:rsidRPr="00E062B5">
        <w:rPr>
          <w:rFonts w:eastAsia="Times New Roman"/>
          <w:shd w:val="clear" w:color="auto" w:fill="FFFFFF"/>
        </w:rPr>
        <w:t xml:space="preserve"> </w:t>
      </w:r>
    </w:p>
    <w:p w14:paraId="78D52A1C" w14:textId="77777777" w:rsidR="005274FF" w:rsidRPr="00E062B5" w:rsidRDefault="005274FF" w:rsidP="00C000BA"/>
    <w:p w14:paraId="7A0043CB" w14:textId="3F9C1DE8" w:rsidR="00751598" w:rsidRPr="00E062B5" w:rsidRDefault="00A432D2" w:rsidP="00A53F74">
      <w:pPr>
        <w:pStyle w:val="Heading1"/>
      </w:pPr>
      <w:r w:rsidRPr="00E062B5">
        <w:lastRenderedPageBreak/>
        <w:t>Laboratory diagnosis</w:t>
      </w:r>
    </w:p>
    <w:p w14:paraId="7734C37A" w14:textId="71C10CF4" w:rsidR="00E71D87" w:rsidRPr="00E062B5" w:rsidRDefault="00CA4495" w:rsidP="006D4903">
      <w:pPr>
        <w:pStyle w:val="Heading2"/>
      </w:pPr>
      <w:r w:rsidRPr="00E062B5">
        <w:t>Culture</w:t>
      </w:r>
    </w:p>
    <w:p w14:paraId="49559BD8" w14:textId="743CBEB4" w:rsidR="00775235" w:rsidRPr="00EB0E1F" w:rsidRDefault="00027378" w:rsidP="00E3118B">
      <w:pPr>
        <w:rPr>
          <w:vertAlign w:val="superscript"/>
        </w:rPr>
      </w:pPr>
      <w:r w:rsidRPr="00E062B5">
        <w:rPr>
          <w:shd w:val="clear" w:color="auto" w:fill="FFFFFF"/>
        </w:rPr>
        <w:t>Culture should be attempted, if possible, to allow typing of an isolate</w:t>
      </w:r>
      <w:r w:rsidR="00E32BE5">
        <w:rPr>
          <w:shd w:val="clear" w:color="auto" w:fill="FFFFFF"/>
        </w:rPr>
        <w:t xml:space="preserve"> and antimicrobial susceptibility testing</w:t>
      </w:r>
      <w:r w:rsidRPr="00E062B5">
        <w:rPr>
          <w:shd w:val="clear" w:color="auto" w:fill="FFFFFF"/>
        </w:rPr>
        <w:t>. This allows the monitoring of changes in circulating endemic strains including variation in virulence genes, which could affect vaccine efficacy.</w:t>
      </w:r>
      <w:r w:rsidRPr="00E062B5">
        <w:rPr>
          <w:shd w:val="clear" w:color="auto" w:fill="FFFFFF"/>
          <w:vertAlign w:val="superscript"/>
        </w:rPr>
        <w:t>7,8,9</w:t>
      </w:r>
      <w:r w:rsidRPr="00E062B5">
        <w:rPr>
          <w:shd w:val="clear" w:color="auto" w:fill="FFFFFF"/>
        </w:rPr>
        <w:t xml:space="preserve"> Cultures are also important for the regular monitoring of antibiotic susceptibility or in the unusual circumstance of treatment failure. </w:t>
      </w:r>
      <w:r w:rsidR="00775235" w:rsidRPr="00E3118B">
        <w:rPr>
          <w:shd w:val="clear" w:color="auto" w:fill="FFFFFF"/>
        </w:rPr>
        <w:t>In vitro resistance to</w:t>
      </w:r>
      <w:r w:rsidRPr="00E3118B">
        <w:rPr>
          <w:shd w:val="clear" w:color="auto" w:fill="FFFFFF"/>
        </w:rPr>
        <w:t xml:space="preserve"> macrolide </w:t>
      </w:r>
      <w:r w:rsidR="00775235" w:rsidRPr="00E3118B">
        <w:rPr>
          <w:shd w:val="clear" w:color="auto" w:fill="FFFFFF"/>
        </w:rPr>
        <w:t>antibiotics has recently emerged worldwide including Australia</w:t>
      </w:r>
      <w:r w:rsidRPr="00E3118B">
        <w:rPr>
          <w:shd w:val="clear" w:color="auto" w:fill="FFFFFF"/>
        </w:rPr>
        <w:t>.</w:t>
      </w:r>
      <w:r w:rsidR="00775235" w:rsidRPr="00E3118B">
        <w:rPr>
          <w:shd w:val="clear" w:color="auto" w:fill="FFFFFF"/>
          <w:vertAlign w:val="superscript"/>
        </w:rPr>
        <w:t>10</w:t>
      </w:r>
      <w:r w:rsidR="00EB0E1F" w:rsidRPr="00E3118B">
        <w:rPr>
          <w:shd w:val="clear" w:color="auto" w:fill="FFFFFF"/>
          <w:vertAlign w:val="superscript"/>
        </w:rPr>
        <w:t>-1</w:t>
      </w:r>
      <w:r w:rsidR="00376F33" w:rsidRPr="00E3118B">
        <w:rPr>
          <w:shd w:val="clear" w:color="auto" w:fill="FFFFFF"/>
          <w:vertAlign w:val="superscript"/>
        </w:rPr>
        <w:t>4</w:t>
      </w:r>
      <w:r w:rsidR="00775235" w:rsidRPr="00E3118B">
        <w:rPr>
          <w:shd w:val="clear" w:color="auto" w:fill="FFFFFF"/>
        </w:rPr>
        <w:t xml:space="preserve"> It is </w:t>
      </w:r>
      <w:r w:rsidR="00775235" w:rsidRPr="00E3118B">
        <w:t>attributed to the A2047G mutation in 23S rRNA</w:t>
      </w:r>
      <w:r w:rsidR="00EB0E1F" w:rsidRPr="00E3118B">
        <w:rPr>
          <w:vertAlign w:val="superscript"/>
        </w:rPr>
        <w:t>1</w:t>
      </w:r>
      <w:r w:rsidR="00376F33" w:rsidRPr="00E3118B">
        <w:rPr>
          <w:vertAlign w:val="superscript"/>
        </w:rPr>
        <w:t>5</w:t>
      </w:r>
      <w:r w:rsidR="00775235" w:rsidRPr="00E3118B">
        <w:t xml:space="preserve"> and can lead </w:t>
      </w:r>
      <w:r w:rsidR="00293A74" w:rsidRPr="00E3118B">
        <w:t xml:space="preserve">to high MICs to erythromycin and azithromycin and </w:t>
      </w:r>
      <w:r w:rsidR="00775235" w:rsidRPr="00E3118B">
        <w:t>to microbiological failure of treatment.</w:t>
      </w:r>
      <w:r w:rsidR="00EB0E1F" w:rsidRPr="00E3118B">
        <w:rPr>
          <w:vertAlign w:val="superscript"/>
        </w:rPr>
        <w:t>1</w:t>
      </w:r>
      <w:r w:rsidR="00376F33" w:rsidRPr="006C2FB6">
        <w:rPr>
          <w:vertAlign w:val="superscript"/>
        </w:rPr>
        <w:t>6</w:t>
      </w:r>
    </w:p>
    <w:p w14:paraId="238C69B0" w14:textId="77777777" w:rsidR="00E71D87" w:rsidRPr="00E062B5" w:rsidRDefault="00E71D87" w:rsidP="00C000BA">
      <w:pPr>
        <w:pStyle w:val="Heading3"/>
      </w:pPr>
      <w:r w:rsidRPr="00E062B5">
        <w:t>Suitable specimen types</w:t>
      </w:r>
    </w:p>
    <w:p w14:paraId="345B4CD2" w14:textId="798736E4" w:rsidR="00203DAE" w:rsidRDefault="00203DAE" w:rsidP="00211DFF">
      <w:pPr>
        <w:rPr>
          <w:shd w:val="clear" w:color="auto" w:fill="FFFFFF"/>
          <w:vertAlign w:val="superscript"/>
        </w:rPr>
      </w:pPr>
      <w:r w:rsidRPr="00E062B5">
        <w:rPr>
          <w:i/>
          <w:iCs/>
          <w:shd w:val="clear" w:color="auto" w:fill="FFFFFF"/>
        </w:rPr>
        <w:t>B.pertussis</w:t>
      </w:r>
      <w:r w:rsidRPr="00E062B5">
        <w:rPr>
          <w:shd w:val="clear" w:color="auto" w:fill="FFFFFF"/>
        </w:rPr>
        <w:t> exhibits tropism and binds specifically to ciliated respiratory epithelial cells. Therefore, nasopharyngeal aspirates, nasopharyngeal swabs (obtained using flexible shafted swabs with a calcium alginate, Dacron™ or flocked but not rayon or cotton) are recommended. Ideally the swab is left in the posterior pharynx for 10 seconds before being withdrawn. Both left and right nasopharynx may be sampled with the same swab. In young children, nasal wash specimens may be satisfactory. Throat swabs are less sensitive and anterior nasal swabs and sputum are unacceptable specimens for culture.</w:t>
      </w:r>
      <w:r w:rsidRPr="00E062B5">
        <w:rPr>
          <w:shd w:val="clear" w:color="auto" w:fill="FFFFFF"/>
          <w:vertAlign w:val="superscript"/>
        </w:rPr>
        <w:t>2</w:t>
      </w:r>
      <w:r w:rsidR="0067285B">
        <w:rPr>
          <w:shd w:val="clear" w:color="auto" w:fill="FFFFFF"/>
          <w:vertAlign w:val="superscript"/>
        </w:rPr>
        <w:t>,</w:t>
      </w:r>
      <w:r w:rsidRPr="00E062B5">
        <w:rPr>
          <w:shd w:val="clear" w:color="auto" w:fill="FFFFFF"/>
          <w:vertAlign w:val="superscript"/>
        </w:rPr>
        <w:t>3</w:t>
      </w:r>
    </w:p>
    <w:p w14:paraId="7D87D084" w14:textId="34B05665" w:rsidR="00BF0995" w:rsidRDefault="00BF0995" w:rsidP="00BF0995">
      <w:r w:rsidRPr="00E3118B">
        <w:rPr>
          <w:i/>
          <w:iCs/>
        </w:rPr>
        <w:t>B. pertussis</w:t>
      </w:r>
      <w:r w:rsidRPr="00E3118B">
        <w:t xml:space="preserve"> can be cultured from left-over transport media in bacterial swabs that test positive by </w:t>
      </w:r>
      <w:r w:rsidR="006C2FB6">
        <w:t>NAAT</w:t>
      </w:r>
      <w:r w:rsidRPr="00E3118B">
        <w:t xml:space="preserve">. Such a reflex culture approach might be a pragmatic option for cases of protracted or severe disease, including those requiring intensive care. It would support the use of respiratory swabs in universal transport media or nasopharyngeal aspirates for respiratory multiplex </w:t>
      </w:r>
      <w:r w:rsidR="006C2FB6">
        <w:t>polymerase chain reaction (</w:t>
      </w:r>
      <w:r w:rsidRPr="00E3118B">
        <w:t>PCR</w:t>
      </w:r>
      <w:r w:rsidR="006C2FB6">
        <w:t>)</w:t>
      </w:r>
      <w:r w:rsidRPr="00E3118B">
        <w:t xml:space="preserve"> testing.</w:t>
      </w:r>
    </w:p>
    <w:p w14:paraId="2FD5E47A" w14:textId="43E927CD" w:rsidR="00AE5C18" w:rsidRPr="00E062B5" w:rsidRDefault="00AE5C18" w:rsidP="00AE5C18">
      <w:pPr>
        <w:pStyle w:val="Heading3"/>
      </w:pPr>
      <w:r w:rsidRPr="00E062B5">
        <w:t>Specimen collection and handling</w:t>
      </w:r>
    </w:p>
    <w:p w14:paraId="10C9433D" w14:textId="6BEF42C5" w:rsidR="00F35DD5" w:rsidRDefault="00F35DD5" w:rsidP="00211DFF">
      <w:pPr>
        <w:rPr>
          <w:shd w:val="clear" w:color="auto" w:fill="FFFFFF"/>
          <w:vertAlign w:val="superscript"/>
        </w:rPr>
      </w:pPr>
      <w:r w:rsidRPr="00E062B5">
        <w:rPr>
          <w:shd w:val="clear" w:color="auto" w:fill="FFFFFF"/>
        </w:rPr>
        <w:t>Since </w:t>
      </w:r>
      <w:r w:rsidRPr="39DFFD72">
        <w:rPr>
          <w:i/>
          <w:iCs/>
          <w:shd w:val="clear" w:color="auto" w:fill="FFFFFF"/>
        </w:rPr>
        <w:t>B. pertussis</w:t>
      </w:r>
      <w:r w:rsidRPr="00E062B5">
        <w:rPr>
          <w:shd w:val="clear" w:color="auto" w:fill="FFFFFF"/>
        </w:rPr>
        <w:t> is a fastidious organism, specimens should be plated onto culture media immediately, preferably at the bedside. Amies transport medium with charcoal is suitable if specimens can be plated out within 24 hours of collection. Special transport media (such as Regan-Lowe medium) containing half strength charcoal agar supplemented with horse blood and ce</w:t>
      </w:r>
      <w:r w:rsidR="6B772B7E" w:rsidRPr="00E062B5">
        <w:rPr>
          <w:shd w:val="clear" w:color="auto" w:fill="FFFFFF"/>
        </w:rPr>
        <w:t>f</w:t>
      </w:r>
      <w:r w:rsidRPr="00E062B5">
        <w:rPr>
          <w:shd w:val="clear" w:color="auto" w:fill="FFFFFF"/>
        </w:rPr>
        <w:t>alexin (40mg/L) are useful where the delay is ≤ 3 days. Transport should occur at room temperature.</w:t>
      </w:r>
      <w:r w:rsidRPr="00E062B5">
        <w:rPr>
          <w:shd w:val="clear" w:color="auto" w:fill="FFFFFF"/>
          <w:vertAlign w:val="superscript"/>
        </w:rPr>
        <w:t>3</w:t>
      </w:r>
    </w:p>
    <w:p w14:paraId="76761B78" w14:textId="77777777" w:rsidR="008F345A" w:rsidRPr="00E062B5" w:rsidRDefault="008F345A" w:rsidP="00211DFF">
      <w:pPr>
        <w:rPr>
          <w:shd w:val="clear" w:color="auto" w:fill="FFFFFF"/>
          <w:vertAlign w:val="superscript"/>
        </w:rPr>
      </w:pPr>
    </w:p>
    <w:p w14:paraId="626E71F2" w14:textId="77777777" w:rsidR="00DD3DD9" w:rsidRPr="00E062B5" w:rsidRDefault="00DD3DD9" w:rsidP="00DD3DD9">
      <w:pPr>
        <w:pStyle w:val="Heading3"/>
      </w:pPr>
      <w:r w:rsidRPr="00E062B5">
        <w:lastRenderedPageBreak/>
        <w:t>Media</w:t>
      </w:r>
    </w:p>
    <w:p w14:paraId="42163D43" w14:textId="54E176DA" w:rsidR="00DD3DD9" w:rsidRPr="00E062B5" w:rsidRDefault="00DD3DD9" w:rsidP="00211DFF">
      <w:pPr>
        <w:rPr>
          <w:shd w:val="clear" w:color="auto" w:fill="FFFFFF"/>
        </w:rPr>
      </w:pPr>
      <w:r w:rsidRPr="00E062B5">
        <w:rPr>
          <w:shd w:val="clear" w:color="auto" w:fill="FFFFFF"/>
        </w:rPr>
        <w:t xml:space="preserve">Bordet and Gengou used a medium containing blood, glycerine and potato extract for their original isolation and variations of this medium, subsequently called Bordet-Gengou </w:t>
      </w:r>
      <w:r w:rsidR="00293A74">
        <w:rPr>
          <w:shd w:val="clear" w:color="auto" w:fill="FFFFFF"/>
        </w:rPr>
        <w:t xml:space="preserve">agar </w:t>
      </w:r>
      <w:r w:rsidRPr="00E062B5">
        <w:rPr>
          <w:shd w:val="clear" w:color="auto" w:fill="FFFFFF"/>
        </w:rPr>
        <w:t>(BGA), continue to be used worldwide. CDC recommends a variant which uses 10% defibrinated horse blood and ce</w:t>
      </w:r>
      <w:r w:rsidR="450152A9" w:rsidRPr="00E062B5">
        <w:rPr>
          <w:shd w:val="clear" w:color="auto" w:fill="FFFFFF"/>
        </w:rPr>
        <w:t>f</w:t>
      </w:r>
      <w:r w:rsidRPr="00E062B5">
        <w:rPr>
          <w:shd w:val="clear" w:color="auto" w:fill="FFFFFF"/>
        </w:rPr>
        <w:t>alexin as a supplementary primary isolation medium.</w:t>
      </w:r>
      <w:r w:rsidRPr="00E062B5">
        <w:rPr>
          <w:shd w:val="clear" w:color="auto" w:fill="FFFFFF"/>
          <w:vertAlign w:val="superscript"/>
        </w:rPr>
        <w:t>2</w:t>
      </w:r>
      <w:r w:rsidRPr="00E062B5">
        <w:rPr>
          <w:shd w:val="clear" w:color="auto" w:fill="FFFFFF"/>
        </w:rPr>
        <w:t> </w:t>
      </w:r>
      <w:r w:rsidRPr="39DFFD72">
        <w:rPr>
          <w:i/>
          <w:iCs/>
          <w:shd w:val="clear" w:color="auto" w:fill="FFFFFF"/>
        </w:rPr>
        <w:t>B. pertussis</w:t>
      </w:r>
      <w:r w:rsidRPr="00E062B5">
        <w:rPr>
          <w:shd w:val="clear" w:color="auto" w:fill="FFFFFF"/>
        </w:rPr>
        <w:t> is an aerobe and agar plates should be incubated at 35–36</w:t>
      </w:r>
      <w:r w:rsidRPr="00E062B5">
        <w:rPr>
          <w:shd w:val="clear" w:color="auto" w:fill="FFFFFF"/>
          <w:vertAlign w:val="superscript"/>
        </w:rPr>
        <w:t>o</w:t>
      </w:r>
      <w:r w:rsidRPr="00E062B5">
        <w:rPr>
          <w:shd w:val="clear" w:color="auto" w:fill="FFFFFF"/>
        </w:rPr>
        <w:t>C, usually for a maximum of 7 days, in air (high humidity) rather than CO</w:t>
      </w:r>
      <w:r w:rsidRPr="00E062B5">
        <w:rPr>
          <w:shd w:val="clear" w:color="auto" w:fill="FFFFFF"/>
          <w:vertAlign w:val="subscript"/>
        </w:rPr>
        <w:t>2</w:t>
      </w:r>
      <w:r w:rsidRPr="00E062B5">
        <w:rPr>
          <w:shd w:val="clear" w:color="auto" w:fill="FFFFFF"/>
        </w:rPr>
        <w:t>. Plates should not be allowed to dry out. </w:t>
      </w:r>
      <w:r w:rsidRPr="39DFFD72">
        <w:rPr>
          <w:i/>
          <w:iCs/>
          <w:shd w:val="clear" w:color="auto" w:fill="FFFFFF"/>
        </w:rPr>
        <w:t>B. pertussis</w:t>
      </w:r>
      <w:r w:rsidRPr="00E062B5">
        <w:rPr>
          <w:shd w:val="clear" w:color="auto" w:fill="FFFFFF"/>
        </w:rPr>
        <w:t> colonies take 3 to 4 days to develop characteristic "half pearl" colonies. They are small, gram-negative, catalase positive coccobacilli. </w:t>
      </w:r>
      <w:r w:rsidRPr="39DFFD72">
        <w:rPr>
          <w:i/>
          <w:iCs/>
          <w:shd w:val="clear" w:color="auto" w:fill="FFFFFF"/>
        </w:rPr>
        <w:t>B. pertussis</w:t>
      </w:r>
      <w:r w:rsidRPr="00E062B5">
        <w:rPr>
          <w:shd w:val="clear" w:color="auto" w:fill="FFFFFF"/>
        </w:rPr>
        <w:t> is urease negative, unlike </w:t>
      </w:r>
      <w:r w:rsidRPr="39DFFD72">
        <w:rPr>
          <w:i/>
          <w:iCs/>
          <w:shd w:val="clear" w:color="auto" w:fill="FFFFFF"/>
        </w:rPr>
        <w:t>B. parapertussis</w:t>
      </w:r>
      <w:r w:rsidRPr="00E062B5">
        <w:rPr>
          <w:shd w:val="clear" w:color="auto" w:fill="FFFFFF"/>
        </w:rPr>
        <w:t> and </w:t>
      </w:r>
      <w:r w:rsidRPr="39DFFD72">
        <w:rPr>
          <w:i/>
          <w:iCs/>
          <w:shd w:val="clear" w:color="auto" w:fill="FFFFFF"/>
        </w:rPr>
        <w:t>B. bronchiseptica</w:t>
      </w:r>
      <w:r w:rsidRPr="00E062B5">
        <w:rPr>
          <w:shd w:val="clear" w:color="auto" w:fill="FFFFFF"/>
        </w:rPr>
        <w:t>. The oxidase reaction is also helpful in differentiating </w:t>
      </w:r>
      <w:r w:rsidRPr="39DFFD72">
        <w:rPr>
          <w:i/>
          <w:iCs/>
          <w:shd w:val="clear" w:color="auto" w:fill="FFFFFF"/>
        </w:rPr>
        <w:t>B. pertussis</w:t>
      </w:r>
      <w:r w:rsidRPr="00E062B5">
        <w:rPr>
          <w:shd w:val="clear" w:color="auto" w:fill="FFFFFF"/>
        </w:rPr>
        <w:t> (positive) from </w:t>
      </w:r>
      <w:r w:rsidRPr="39DFFD72">
        <w:rPr>
          <w:i/>
          <w:iCs/>
          <w:shd w:val="clear" w:color="auto" w:fill="FFFFFF"/>
        </w:rPr>
        <w:t>B. parapertussis</w:t>
      </w:r>
      <w:r w:rsidRPr="00E062B5">
        <w:rPr>
          <w:shd w:val="clear" w:color="auto" w:fill="FFFFFF"/>
        </w:rPr>
        <w:t> (negative). Most laboratories use specific antisera to identify </w:t>
      </w:r>
      <w:r w:rsidRPr="39DFFD72">
        <w:rPr>
          <w:i/>
          <w:iCs/>
          <w:shd w:val="clear" w:color="auto" w:fill="FFFFFF"/>
        </w:rPr>
        <w:t>B. pertussis</w:t>
      </w:r>
      <w:r w:rsidRPr="00E062B5">
        <w:rPr>
          <w:shd w:val="clear" w:color="auto" w:fill="FFFFFF"/>
        </w:rPr>
        <w:t> and </w:t>
      </w:r>
      <w:r w:rsidRPr="39DFFD72">
        <w:rPr>
          <w:i/>
          <w:iCs/>
          <w:shd w:val="clear" w:color="auto" w:fill="FFFFFF"/>
        </w:rPr>
        <w:t>B. parapertussis</w:t>
      </w:r>
      <w:r w:rsidRPr="00E062B5">
        <w:rPr>
          <w:shd w:val="clear" w:color="auto" w:fill="FFFFFF"/>
        </w:rPr>
        <w:t>.</w:t>
      </w:r>
    </w:p>
    <w:p w14:paraId="311A52B4" w14:textId="77777777" w:rsidR="00E71D87" w:rsidRPr="00E062B5" w:rsidRDefault="00E71D87" w:rsidP="00495BE0">
      <w:pPr>
        <w:pStyle w:val="Heading3"/>
      </w:pPr>
      <w:r w:rsidRPr="00E062B5">
        <w:t>Test sensitivity</w:t>
      </w:r>
    </w:p>
    <w:p w14:paraId="49570039" w14:textId="0D776B74" w:rsidR="00293A74" w:rsidRDefault="00D52FAC" w:rsidP="00211DFF">
      <w:pPr>
        <w:spacing w:before="120" w:after="0"/>
        <w:rPr>
          <w:shd w:val="clear" w:color="auto" w:fill="FFFFFF"/>
        </w:rPr>
      </w:pPr>
      <w:r w:rsidRPr="00E062B5">
        <w:rPr>
          <w:shd w:val="clear" w:color="auto" w:fill="FFFFFF"/>
        </w:rPr>
        <w:t>Cultures are variably positive (30%–50%) and may rarely</w:t>
      </w:r>
      <w:r w:rsidR="006B7BDB" w:rsidRPr="00E062B5">
        <w:rPr>
          <w:shd w:val="clear" w:color="auto" w:fill="FFFFFF"/>
        </w:rPr>
        <w:t xml:space="preserve"> </w:t>
      </w:r>
      <w:r w:rsidRPr="00E062B5">
        <w:rPr>
          <w:shd w:val="clear" w:color="auto" w:fill="FFFFFF"/>
        </w:rPr>
        <w:t>take as long as 2 weeks although most laboratories hold cultures for 7 days.</w:t>
      </w:r>
    </w:p>
    <w:p w14:paraId="69F3DD79" w14:textId="0BD018E0" w:rsidR="00D52FAC" w:rsidRPr="00E062B5" w:rsidRDefault="00D52FAC" w:rsidP="00211DFF">
      <w:pPr>
        <w:spacing w:before="120" w:after="0"/>
      </w:pPr>
      <w:r w:rsidRPr="00E062B5">
        <w:rPr>
          <w:shd w:val="clear" w:color="auto" w:fill="FFFFFF"/>
        </w:rPr>
        <w:t>Successful isolation depends on:</w:t>
      </w:r>
    </w:p>
    <w:p w14:paraId="4B845E6C" w14:textId="77777777" w:rsidR="00D52FAC" w:rsidRPr="00E062B5" w:rsidRDefault="00D52FAC" w:rsidP="00766E2C">
      <w:pPr>
        <w:numPr>
          <w:ilvl w:val="0"/>
          <w:numId w:val="7"/>
        </w:numPr>
        <w:shd w:val="clear" w:color="auto" w:fill="FFFFFF"/>
        <w:spacing w:before="0" w:after="90"/>
      </w:pPr>
      <w:r w:rsidRPr="00E062B5">
        <w:t>Stage of the illness – the highest sensitivity is at the end of the incubation period, during the catarrhal stage and at the beginning of the paroxysmal stage. Lower sensitivity occurs if specimens are collected during paroxysmal stage between 3–6 weeks and negative during convalescence. The organism is rarely recovered after the fourth week of illness. The success rate is low (0–30%) for adults who typically present late in disease. Bacterial load is higher in children.</w:t>
      </w:r>
    </w:p>
    <w:p w14:paraId="30272B8E" w14:textId="77777777" w:rsidR="00D52FAC" w:rsidRPr="00E062B5" w:rsidRDefault="00D52FAC" w:rsidP="00766E2C">
      <w:pPr>
        <w:numPr>
          <w:ilvl w:val="0"/>
          <w:numId w:val="7"/>
        </w:numPr>
        <w:shd w:val="clear" w:color="auto" w:fill="FFFFFF"/>
        <w:spacing w:before="0" w:after="90"/>
      </w:pPr>
      <w:r w:rsidRPr="00E062B5">
        <w:t>Quality of the specimen collection – nasopharyngeal aspirates are marginally more sensitive than nasopharyngeal Dacron ™ swab collections. More recently, flocked swabs have become available and provide improved specimen collection. Anterior nose and throat swabs and classical "cough plates" are no longer recommended for culture.</w:t>
      </w:r>
    </w:p>
    <w:p w14:paraId="69BEA3A6" w14:textId="77777777" w:rsidR="00D52FAC" w:rsidRPr="00E062B5" w:rsidRDefault="00D52FAC" w:rsidP="00766E2C">
      <w:pPr>
        <w:numPr>
          <w:ilvl w:val="0"/>
          <w:numId w:val="7"/>
        </w:numPr>
        <w:shd w:val="clear" w:color="auto" w:fill="FFFFFF"/>
        <w:spacing w:before="0" w:after="90"/>
      </w:pPr>
      <w:r w:rsidRPr="00E062B5">
        <w:t>Speed of plating and quality of the medium – specimens should be plated immediately (at least within 4 hours after collection) onto high quality non-selective media designed for </w:t>
      </w:r>
      <w:r w:rsidRPr="00E062B5">
        <w:rPr>
          <w:i/>
          <w:iCs/>
        </w:rPr>
        <w:t>B. pertussis</w:t>
      </w:r>
      <w:r w:rsidRPr="00E062B5">
        <w:t> isolation.</w:t>
      </w:r>
    </w:p>
    <w:p w14:paraId="59E3968F" w14:textId="4CAFB019" w:rsidR="00E71D87" w:rsidRPr="00E062B5" w:rsidRDefault="00D52FAC" w:rsidP="00766E2C">
      <w:pPr>
        <w:numPr>
          <w:ilvl w:val="0"/>
          <w:numId w:val="7"/>
        </w:numPr>
        <w:shd w:val="clear" w:color="auto" w:fill="FFFFFF"/>
        <w:spacing w:before="0" w:after="90"/>
      </w:pPr>
      <w:r w:rsidRPr="00E062B5">
        <w:t>Prior antibiotic treatment will negatively affect sensitivity.</w:t>
      </w:r>
      <w:r w:rsidR="00F67048" w:rsidRPr="00F67048">
        <w:rPr>
          <w:vertAlign w:val="superscript"/>
        </w:rPr>
        <w:t>17</w:t>
      </w:r>
    </w:p>
    <w:p w14:paraId="0B13DD9E" w14:textId="77777777" w:rsidR="00E71D87" w:rsidRPr="00E062B5" w:rsidRDefault="00E71D87" w:rsidP="00495BE0">
      <w:pPr>
        <w:pStyle w:val="Heading3"/>
      </w:pPr>
      <w:r w:rsidRPr="00E062B5">
        <w:t>Test specificity</w:t>
      </w:r>
    </w:p>
    <w:p w14:paraId="1429BEEF" w14:textId="04B9D6BC" w:rsidR="00E71D87" w:rsidRPr="00E062B5" w:rsidRDefault="00525B69" w:rsidP="00525B69">
      <w:pPr>
        <w:spacing w:line="276" w:lineRule="auto"/>
      </w:pPr>
      <w:r w:rsidRPr="00E062B5">
        <w:rPr>
          <w:shd w:val="clear" w:color="auto" w:fill="FFFFFF"/>
        </w:rPr>
        <w:t>100% for </w:t>
      </w:r>
      <w:r w:rsidRPr="39DFFD72">
        <w:rPr>
          <w:i/>
          <w:iCs/>
          <w:shd w:val="clear" w:color="auto" w:fill="FFFFFF"/>
        </w:rPr>
        <w:t>B.</w:t>
      </w:r>
      <w:r w:rsidR="49BA8C07" w:rsidRPr="39DFFD72">
        <w:rPr>
          <w:i/>
          <w:iCs/>
          <w:shd w:val="clear" w:color="auto" w:fill="FFFFFF"/>
        </w:rPr>
        <w:t xml:space="preserve"> </w:t>
      </w:r>
      <w:r w:rsidRPr="39DFFD72">
        <w:rPr>
          <w:i/>
          <w:iCs/>
          <w:shd w:val="clear" w:color="auto" w:fill="FFFFFF"/>
        </w:rPr>
        <w:t>pertussis</w:t>
      </w:r>
      <w:r w:rsidRPr="00E062B5">
        <w:rPr>
          <w:shd w:val="clear" w:color="auto" w:fill="FFFFFF"/>
        </w:rPr>
        <w:t>.</w:t>
      </w:r>
    </w:p>
    <w:p w14:paraId="208E83B5" w14:textId="77777777" w:rsidR="00E71D87" w:rsidRPr="00E062B5" w:rsidRDefault="00E71D87" w:rsidP="00495BE0">
      <w:pPr>
        <w:pStyle w:val="Heading3"/>
      </w:pPr>
      <w:r w:rsidRPr="00E062B5">
        <w:lastRenderedPageBreak/>
        <w:t>Predictive values</w:t>
      </w:r>
    </w:p>
    <w:p w14:paraId="165F8907" w14:textId="693D3E30" w:rsidR="00E71D87" w:rsidRPr="00E062B5" w:rsidRDefault="00A70765" w:rsidP="00211DFF">
      <w:r w:rsidRPr="00E062B5">
        <w:rPr>
          <w:shd w:val="clear" w:color="auto" w:fill="FFFFFF"/>
        </w:rPr>
        <w:t>Positive predictive value is 100%. Negative predictive is variable but is highest in young, unvaccinated children early in disease. Negative predictive value is low for sporadic cases of disease in adults, who generally present later in disease and in previously vaccinated individuals.</w:t>
      </w:r>
    </w:p>
    <w:p w14:paraId="6400ECC3" w14:textId="573A9E1F" w:rsidR="00495BE0" w:rsidRPr="00E062B5" w:rsidRDefault="00495BE0" w:rsidP="00495BE0">
      <w:pPr>
        <w:pStyle w:val="Heading3"/>
      </w:pPr>
      <w:r w:rsidRPr="00E062B5">
        <w:t>Suitable internal controls</w:t>
      </w:r>
    </w:p>
    <w:p w14:paraId="1C30C0AE" w14:textId="04B28E38" w:rsidR="00495BE0" w:rsidRPr="00E062B5" w:rsidRDefault="00A5102A" w:rsidP="00211DFF">
      <w:r w:rsidRPr="00E062B5">
        <w:rPr>
          <w:shd w:val="clear" w:color="auto" w:fill="FFFFFF"/>
        </w:rPr>
        <w:t>Properly documented, relevant, quality control programme for each type and batch of medium used is required. The use of a well characterised clinical isolate and or a recognized type strain such as </w:t>
      </w:r>
      <w:r w:rsidRPr="39DFFD72">
        <w:rPr>
          <w:i/>
          <w:iCs/>
          <w:shd w:val="clear" w:color="auto" w:fill="FFFFFF"/>
        </w:rPr>
        <w:t>B.</w:t>
      </w:r>
      <w:r w:rsidR="35B67864" w:rsidRPr="39DFFD72">
        <w:rPr>
          <w:i/>
          <w:iCs/>
          <w:shd w:val="clear" w:color="auto" w:fill="FFFFFF"/>
        </w:rPr>
        <w:t xml:space="preserve"> </w:t>
      </w:r>
      <w:r w:rsidRPr="39DFFD72">
        <w:rPr>
          <w:i/>
          <w:iCs/>
          <w:shd w:val="clear" w:color="auto" w:fill="FFFFFF"/>
        </w:rPr>
        <w:t>pertussis</w:t>
      </w:r>
      <w:r w:rsidRPr="00E062B5">
        <w:rPr>
          <w:shd w:val="clear" w:color="auto" w:fill="FFFFFF"/>
        </w:rPr>
        <w:t> ATCC 8467 is recommended.</w:t>
      </w:r>
    </w:p>
    <w:p w14:paraId="6E2730B5" w14:textId="0246F85E" w:rsidR="00495BE0" w:rsidRPr="00E062B5" w:rsidRDefault="00F40615" w:rsidP="00B21722">
      <w:pPr>
        <w:pStyle w:val="Heading3"/>
      </w:pPr>
      <w:r w:rsidRPr="00E062B5">
        <w:t xml:space="preserve">Antibiotic susceptibility testing </w:t>
      </w:r>
    </w:p>
    <w:p w14:paraId="533D221B" w14:textId="4B4146CA" w:rsidR="00F67048" w:rsidRPr="00F67048" w:rsidRDefault="008D4301" w:rsidP="00211DFF">
      <w:pPr>
        <w:rPr>
          <w:sz w:val="16"/>
          <w:szCs w:val="16"/>
          <w:shd w:val="clear" w:color="auto" w:fill="FFFFFF"/>
          <w:vertAlign w:val="superscript"/>
        </w:rPr>
      </w:pPr>
      <w:r w:rsidRPr="00E062B5">
        <w:rPr>
          <w:shd w:val="clear" w:color="auto" w:fill="FFFFFF"/>
        </w:rPr>
        <w:t>While routine MIC testing of </w:t>
      </w:r>
      <w:r w:rsidRPr="00E062B5">
        <w:rPr>
          <w:i/>
          <w:iCs/>
          <w:shd w:val="clear" w:color="auto" w:fill="FFFFFF"/>
        </w:rPr>
        <w:t>B. pertussis</w:t>
      </w:r>
      <w:r w:rsidRPr="00E062B5">
        <w:rPr>
          <w:shd w:val="clear" w:color="auto" w:fill="FFFFFF"/>
        </w:rPr>
        <w:t> is not warranted, isolates from patients who appear to have failed an appropriate course of macrolide therapy should be screened for resistance, and those that appear resistant should be tested by the agar dilution reference MIC method on BGA.</w:t>
      </w:r>
      <w:r w:rsidRPr="00E062B5">
        <w:rPr>
          <w:sz w:val="16"/>
          <w:szCs w:val="16"/>
          <w:shd w:val="clear" w:color="auto" w:fill="FFFFFF"/>
          <w:vertAlign w:val="superscript"/>
        </w:rPr>
        <w:t>1</w:t>
      </w:r>
      <w:r w:rsidR="00F67048">
        <w:rPr>
          <w:sz w:val="16"/>
          <w:szCs w:val="16"/>
          <w:shd w:val="clear" w:color="auto" w:fill="FFFFFF"/>
          <w:vertAlign w:val="superscript"/>
        </w:rPr>
        <w:t>8</w:t>
      </w:r>
      <w:r w:rsidRPr="00E062B5">
        <w:rPr>
          <w:shd w:val="clear" w:color="auto" w:fill="FFFFFF"/>
        </w:rPr>
        <w:t> MIC to erythromycin of &lt; 0.12 mg/L indicate in vitro susceptibility. The mean MIC of Australian isolates collected between 1971 and 2006 remained between 0.035 and 0.045 mg/L.</w:t>
      </w:r>
      <w:r w:rsidRPr="00E062B5">
        <w:rPr>
          <w:sz w:val="16"/>
          <w:szCs w:val="16"/>
          <w:shd w:val="clear" w:color="auto" w:fill="FFFFFF"/>
          <w:vertAlign w:val="superscript"/>
        </w:rPr>
        <w:t>1</w:t>
      </w:r>
      <w:r w:rsidR="00F67048">
        <w:rPr>
          <w:sz w:val="16"/>
          <w:szCs w:val="16"/>
          <w:shd w:val="clear" w:color="auto" w:fill="FFFFFF"/>
          <w:vertAlign w:val="superscript"/>
        </w:rPr>
        <w:t>9</w:t>
      </w:r>
      <w:r w:rsidR="00F67048">
        <w:rPr>
          <w:sz w:val="16"/>
          <w:szCs w:val="16"/>
          <w:shd w:val="clear" w:color="auto" w:fill="FFFFFF"/>
        </w:rPr>
        <w:t xml:space="preserve"> </w:t>
      </w:r>
      <w:r w:rsidR="00F67048" w:rsidRPr="00E3118B">
        <w:t>Mutations in all three copies of the 23S rRNA lead to high levels of resistance (i.e. erythromycin or azithromycin MIC&gt;256 mg/L</w:t>
      </w:r>
      <w:r w:rsidR="00293A74" w:rsidRPr="00E3118B">
        <w:t xml:space="preserve"> by Etest</w:t>
      </w:r>
      <w:r w:rsidR="00F67048" w:rsidRPr="00E3118B">
        <w:t>) while mutations in only one copy may be associated with heterogeneous resistance.</w:t>
      </w:r>
      <w:r w:rsidR="00F67048" w:rsidRPr="00E3118B">
        <w:rPr>
          <w:vertAlign w:val="superscript"/>
        </w:rPr>
        <w:t>15</w:t>
      </w:r>
    </w:p>
    <w:p w14:paraId="098490B0" w14:textId="056EE0B6" w:rsidR="00C43000" w:rsidRPr="00E062B5" w:rsidRDefault="00C43000" w:rsidP="00C43000">
      <w:pPr>
        <w:pStyle w:val="Heading3"/>
      </w:pPr>
      <w:r w:rsidRPr="00E062B5">
        <w:t>Special Considerations</w:t>
      </w:r>
    </w:p>
    <w:p w14:paraId="2D2727ED" w14:textId="77777777" w:rsidR="00C43000" w:rsidRPr="00E062B5" w:rsidRDefault="00C43000" w:rsidP="00211DFF">
      <w:r w:rsidRPr="00E062B5">
        <w:rPr>
          <w:shd w:val="clear" w:color="auto" w:fill="FFFFFF"/>
        </w:rPr>
        <w:t>Care should be exercised when using specific antisera to identify the different species as</w:t>
      </w:r>
      <w:r w:rsidRPr="00E062B5">
        <w:rPr>
          <w:i/>
          <w:iCs/>
          <w:shd w:val="clear" w:color="auto" w:fill="FFFFFF"/>
        </w:rPr>
        <w:t> B. parapertussis </w:t>
      </w:r>
      <w:r w:rsidRPr="00E062B5">
        <w:rPr>
          <w:shd w:val="clear" w:color="auto" w:fill="FFFFFF"/>
        </w:rPr>
        <w:t>may weakly agglutinate </w:t>
      </w:r>
      <w:r w:rsidRPr="00E062B5">
        <w:rPr>
          <w:i/>
          <w:iCs/>
          <w:shd w:val="clear" w:color="auto" w:fill="FFFFFF"/>
        </w:rPr>
        <w:t>B. pertussis</w:t>
      </w:r>
      <w:r w:rsidRPr="00E062B5">
        <w:rPr>
          <w:shd w:val="clear" w:color="auto" w:fill="FFFFFF"/>
        </w:rPr>
        <w:t> antisera.</w:t>
      </w:r>
      <w:r w:rsidRPr="00E062B5">
        <w:rPr>
          <w:shd w:val="clear" w:color="auto" w:fill="FFFFFF"/>
          <w:vertAlign w:val="superscript"/>
        </w:rPr>
        <w:t>3</w:t>
      </w:r>
    </w:p>
    <w:p w14:paraId="51EE2C82" w14:textId="4DE0BAD6" w:rsidR="00495BE0" w:rsidRPr="00E062B5" w:rsidRDefault="00D16054" w:rsidP="00211DFF">
      <w:pPr>
        <w:pStyle w:val="Heading2"/>
        <w:spacing w:line="360" w:lineRule="auto"/>
      </w:pPr>
      <w:r w:rsidRPr="00E062B5">
        <w:t>Nucleic Acid Amplification Testing (NAAT)</w:t>
      </w:r>
    </w:p>
    <w:p w14:paraId="5063ADAB" w14:textId="33D08648" w:rsidR="00735BD2" w:rsidRPr="00E062B5" w:rsidRDefault="00735BD2" w:rsidP="00211DFF">
      <w:pPr>
        <w:rPr>
          <w:shd w:val="clear" w:color="auto" w:fill="FFFFFF"/>
        </w:rPr>
      </w:pPr>
      <w:r w:rsidRPr="00E062B5">
        <w:rPr>
          <w:shd w:val="clear" w:color="auto" w:fill="FFFFFF"/>
        </w:rPr>
        <w:t>PCR has been used since the early 1990s to detect </w:t>
      </w:r>
      <w:r w:rsidRPr="39DFFD72">
        <w:rPr>
          <w:i/>
          <w:iCs/>
          <w:shd w:val="clear" w:color="auto" w:fill="FFFFFF"/>
        </w:rPr>
        <w:t>B. pertussis</w:t>
      </w:r>
      <w:r w:rsidRPr="00E062B5">
        <w:rPr>
          <w:shd w:val="clear" w:color="auto" w:fill="FFFFFF"/>
        </w:rPr>
        <w:t> in respiratory specimens and has generally been found to be more sensitive and provide a faster result than culture.</w:t>
      </w:r>
      <w:r w:rsidRPr="00E062B5">
        <w:rPr>
          <w:shd w:val="clear" w:color="auto" w:fill="FFFFFF"/>
          <w:vertAlign w:val="superscript"/>
        </w:rPr>
        <w:t>3</w:t>
      </w:r>
      <w:r w:rsidRPr="00E062B5">
        <w:rPr>
          <w:shd w:val="clear" w:color="auto" w:fill="FFFFFF"/>
        </w:rPr>
        <w:t> Chromosomal regions targeted by PCR include, but are not limited to, the pertussis toxin promoter region, a region upstream of the porin gene, repetitive insertion sequences IS481 of </w:t>
      </w:r>
      <w:r w:rsidRPr="39DFFD72">
        <w:rPr>
          <w:i/>
          <w:iCs/>
          <w:shd w:val="clear" w:color="auto" w:fill="FFFFFF"/>
        </w:rPr>
        <w:t>B.</w:t>
      </w:r>
      <w:r w:rsidR="09C702F5" w:rsidRPr="39DFFD72">
        <w:rPr>
          <w:i/>
          <w:iCs/>
          <w:shd w:val="clear" w:color="auto" w:fill="FFFFFF"/>
        </w:rPr>
        <w:t xml:space="preserve"> </w:t>
      </w:r>
      <w:r w:rsidRPr="39DFFD72">
        <w:rPr>
          <w:i/>
          <w:iCs/>
          <w:shd w:val="clear" w:color="auto" w:fill="FFFFFF"/>
        </w:rPr>
        <w:t>pertussis</w:t>
      </w:r>
      <w:r w:rsidRPr="00E062B5">
        <w:rPr>
          <w:shd w:val="clear" w:color="auto" w:fill="FFFFFF"/>
        </w:rPr>
        <w:t>, the adenylate cyclase gene and a region upstream of the flagellin gene. Many laboratories use the target, IS</w:t>
      </w:r>
      <w:r w:rsidRPr="39DFFD72">
        <w:rPr>
          <w:i/>
          <w:iCs/>
          <w:shd w:val="clear" w:color="auto" w:fill="FFFFFF"/>
        </w:rPr>
        <w:t>481</w:t>
      </w:r>
      <w:r w:rsidRPr="00E062B5">
        <w:rPr>
          <w:shd w:val="clear" w:color="auto" w:fill="FFFFFF"/>
        </w:rPr>
        <w:t> to determine the presence of </w:t>
      </w:r>
      <w:r w:rsidRPr="39DFFD72">
        <w:rPr>
          <w:i/>
          <w:iCs/>
          <w:shd w:val="clear" w:color="auto" w:fill="FFFFFF"/>
        </w:rPr>
        <w:t>B. pertussis</w:t>
      </w:r>
      <w:r w:rsidRPr="00E062B5">
        <w:rPr>
          <w:shd w:val="clear" w:color="auto" w:fill="FFFFFF"/>
        </w:rPr>
        <w:t> DNA as it is found as multiple copies (as many as 238 copies) and therefore provides a more sensitive assay; this feature however may make it more prone to generate false positive results because contaminating DNA is more readily amplified to give a positive result. IS</w:t>
      </w:r>
      <w:r w:rsidRPr="39DFFD72">
        <w:rPr>
          <w:i/>
          <w:iCs/>
          <w:shd w:val="clear" w:color="auto" w:fill="FFFFFF"/>
        </w:rPr>
        <w:t>481</w:t>
      </w:r>
      <w:r w:rsidRPr="00E062B5">
        <w:rPr>
          <w:shd w:val="clear" w:color="auto" w:fill="FFFFFF"/>
        </w:rPr>
        <w:t xml:space="preserve">, a transposable element, is also capable of DNA rearrangement and horizontal </w:t>
      </w:r>
      <w:r w:rsidRPr="00E062B5">
        <w:rPr>
          <w:shd w:val="clear" w:color="auto" w:fill="FFFFFF"/>
        </w:rPr>
        <w:lastRenderedPageBreak/>
        <w:t>transfer and has been shown to be present in </w:t>
      </w:r>
      <w:r w:rsidRPr="39DFFD72">
        <w:rPr>
          <w:i/>
          <w:iCs/>
          <w:shd w:val="clear" w:color="auto" w:fill="FFFFFF"/>
        </w:rPr>
        <w:t>B.</w:t>
      </w:r>
      <w:r w:rsidR="7012DE06" w:rsidRPr="39DFFD72">
        <w:rPr>
          <w:i/>
          <w:iCs/>
          <w:shd w:val="clear" w:color="auto" w:fill="FFFFFF"/>
        </w:rPr>
        <w:t xml:space="preserve"> </w:t>
      </w:r>
      <w:r w:rsidRPr="39DFFD72">
        <w:rPr>
          <w:i/>
          <w:iCs/>
          <w:shd w:val="clear" w:color="auto" w:fill="FFFFFF"/>
        </w:rPr>
        <w:t>holmesii</w:t>
      </w:r>
      <w:r w:rsidRPr="00E062B5">
        <w:rPr>
          <w:shd w:val="clear" w:color="auto" w:fill="FFFFFF"/>
        </w:rPr>
        <w:t> and may cross react with other </w:t>
      </w:r>
      <w:r w:rsidRPr="39DFFD72">
        <w:rPr>
          <w:i/>
          <w:iCs/>
          <w:shd w:val="clear" w:color="auto" w:fill="FFFFFF"/>
        </w:rPr>
        <w:t>Bordetella</w:t>
      </w:r>
      <w:r w:rsidRPr="00E062B5">
        <w:rPr>
          <w:shd w:val="clear" w:color="auto" w:fill="FFFFFF"/>
        </w:rPr>
        <w:t> species.</w:t>
      </w:r>
      <w:r w:rsidR="00F67048">
        <w:rPr>
          <w:shd w:val="clear" w:color="auto" w:fill="FFFFFF"/>
          <w:vertAlign w:val="superscript"/>
        </w:rPr>
        <w:t>20-25</w:t>
      </w:r>
      <w:r w:rsidRPr="00E062B5">
        <w:rPr>
          <w:shd w:val="clear" w:color="auto" w:fill="FFFFFF"/>
        </w:rPr>
        <w:t> </w:t>
      </w:r>
    </w:p>
    <w:p w14:paraId="41E5BF78" w14:textId="715B9DB8" w:rsidR="00495BE0" w:rsidRPr="00E062B5" w:rsidRDefault="00735BD2" w:rsidP="00211DFF">
      <w:r w:rsidRPr="00E062B5">
        <w:rPr>
          <w:shd w:val="clear" w:color="auto" w:fill="FFFFFF"/>
        </w:rPr>
        <w:t>To overcome this, it is recommended that laboratories incorporate dual targets</w:t>
      </w:r>
      <w:r w:rsidR="00F67048">
        <w:rPr>
          <w:shd w:val="clear" w:color="auto" w:fill="FFFFFF"/>
          <w:vertAlign w:val="superscript"/>
        </w:rPr>
        <w:t>26</w:t>
      </w:r>
      <w:r w:rsidRPr="00E062B5">
        <w:rPr>
          <w:shd w:val="clear" w:color="auto" w:fill="FFFFFF"/>
        </w:rPr>
        <w:t xml:space="preserve"> to improve specificity of diagnosis of </w:t>
      </w:r>
      <w:r w:rsidRPr="39DFFD72">
        <w:rPr>
          <w:i/>
          <w:iCs/>
          <w:shd w:val="clear" w:color="auto" w:fill="FFFFFF"/>
        </w:rPr>
        <w:t>B.pertussis</w:t>
      </w:r>
      <w:r w:rsidRPr="00E062B5">
        <w:rPr>
          <w:shd w:val="clear" w:color="auto" w:fill="FFFFFF"/>
        </w:rPr>
        <w:t>, although currently this is not widely performed. </w:t>
      </w:r>
      <w:r w:rsidRPr="39DFFD72">
        <w:rPr>
          <w:i/>
          <w:iCs/>
          <w:shd w:val="clear" w:color="auto" w:fill="FFFFFF"/>
        </w:rPr>
        <w:t>B.</w:t>
      </w:r>
      <w:r w:rsidR="2B44A885" w:rsidRPr="39DFFD72">
        <w:rPr>
          <w:i/>
          <w:iCs/>
          <w:shd w:val="clear" w:color="auto" w:fill="FFFFFF"/>
        </w:rPr>
        <w:t xml:space="preserve"> </w:t>
      </w:r>
      <w:r w:rsidRPr="39DFFD72">
        <w:rPr>
          <w:i/>
          <w:iCs/>
          <w:shd w:val="clear" w:color="auto" w:fill="FFFFFF"/>
        </w:rPr>
        <w:t>holmesii </w:t>
      </w:r>
      <w:r w:rsidR="00DC58AB" w:rsidRPr="00E062B5">
        <w:rPr>
          <w:shd w:val="clear" w:color="auto" w:fill="FFFFFF"/>
        </w:rPr>
        <w:t>cannot</w:t>
      </w:r>
      <w:r w:rsidRPr="00E062B5">
        <w:rPr>
          <w:shd w:val="clear" w:color="auto" w:fill="FFFFFF"/>
        </w:rPr>
        <w:t xml:space="preserve"> be distinguished from </w:t>
      </w:r>
      <w:r w:rsidRPr="39DFFD72">
        <w:rPr>
          <w:i/>
          <w:iCs/>
          <w:shd w:val="clear" w:color="auto" w:fill="FFFFFF"/>
        </w:rPr>
        <w:t>B.</w:t>
      </w:r>
      <w:r w:rsidR="4CBEA2D0" w:rsidRPr="39DFFD72">
        <w:rPr>
          <w:i/>
          <w:iCs/>
          <w:shd w:val="clear" w:color="auto" w:fill="FFFFFF"/>
        </w:rPr>
        <w:t xml:space="preserve"> </w:t>
      </w:r>
      <w:r w:rsidRPr="39DFFD72">
        <w:rPr>
          <w:i/>
          <w:iCs/>
          <w:shd w:val="clear" w:color="auto" w:fill="FFFFFF"/>
        </w:rPr>
        <w:t>pertussis</w:t>
      </w:r>
      <w:r w:rsidRPr="00E062B5">
        <w:rPr>
          <w:shd w:val="clear" w:color="auto" w:fill="FFFFFF"/>
        </w:rPr>
        <w:t xml:space="preserve"> by the majority of </w:t>
      </w:r>
      <w:r w:rsidR="00F67048">
        <w:rPr>
          <w:shd w:val="clear" w:color="auto" w:fill="FFFFFF"/>
        </w:rPr>
        <w:t>PCR assays relying on IS</w:t>
      </w:r>
      <w:r w:rsidR="00F67048" w:rsidRPr="39DFFD72">
        <w:rPr>
          <w:i/>
          <w:iCs/>
          <w:shd w:val="clear" w:color="auto" w:fill="FFFFFF"/>
        </w:rPr>
        <w:t>481</w:t>
      </w:r>
      <w:r w:rsidR="00F67048">
        <w:rPr>
          <w:shd w:val="clear" w:color="auto" w:fill="FFFFFF"/>
        </w:rPr>
        <w:t xml:space="preserve"> target</w:t>
      </w:r>
      <w:r w:rsidRPr="39DFFD72">
        <w:rPr>
          <w:i/>
          <w:iCs/>
          <w:shd w:val="clear" w:color="auto" w:fill="FFFFFF"/>
        </w:rPr>
        <w:t>. B.holmesii </w:t>
      </w:r>
      <w:r w:rsidRPr="00E062B5">
        <w:rPr>
          <w:shd w:val="clear" w:color="auto" w:fill="FFFFFF"/>
        </w:rPr>
        <w:t>is known to cause disease in patients with serious underlying medical conditions and has been detected in nasopharyngeal specimens from patients with a pertussis-like illness in about 1% of specimens. The clinical consequences of misdiagnosing a </w:t>
      </w:r>
      <w:r w:rsidRPr="39DFFD72">
        <w:rPr>
          <w:i/>
          <w:iCs/>
          <w:shd w:val="clear" w:color="auto" w:fill="FFFFFF"/>
        </w:rPr>
        <w:t>B.</w:t>
      </w:r>
      <w:r w:rsidR="5470FAA8" w:rsidRPr="39DFFD72">
        <w:rPr>
          <w:i/>
          <w:iCs/>
          <w:shd w:val="clear" w:color="auto" w:fill="FFFFFF"/>
        </w:rPr>
        <w:t xml:space="preserve"> </w:t>
      </w:r>
      <w:r w:rsidRPr="39DFFD72">
        <w:rPr>
          <w:i/>
          <w:iCs/>
          <w:shd w:val="clear" w:color="auto" w:fill="FFFFFF"/>
        </w:rPr>
        <w:t>holmesii </w:t>
      </w:r>
      <w:r w:rsidRPr="00E062B5">
        <w:rPr>
          <w:shd w:val="clear" w:color="auto" w:fill="FFFFFF"/>
        </w:rPr>
        <w:t>infection as </w:t>
      </w:r>
      <w:r w:rsidRPr="39DFFD72">
        <w:rPr>
          <w:i/>
          <w:iCs/>
          <w:shd w:val="clear" w:color="auto" w:fill="FFFFFF"/>
        </w:rPr>
        <w:t>B.pertussis</w:t>
      </w:r>
      <w:r w:rsidRPr="00E062B5">
        <w:rPr>
          <w:shd w:val="clear" w:color="auto" w:fill="FFFFFF"/>
        </w:rPr>
        <w:t xml:space="preserve"> is at present unknown. Correct </w:t>
      </w:r>
      <w:r w:rsidRPr="006C2FB6">
        <w:rPr>
          <w:shd w:val="clear" w:color="auto" w:fill="FFFFFF"/>
        </w:rPr>
        <w:t>identification of </w:t>
      </w:r>
      <w:r w:rsidRPr="006C2FB6">
        <w:rPr>
          <w:i/>
          <w:iCs/>
          <w:shd w:val="clear" w:color="auto" w:fill="FFFFFF"/>
        </w:rPr>
        <w:t>B.</w:t>
      </w:r>
      <w:r w:rsidR="29A4C5E7" w:rsidRPr="006C2FB6">
        <w:rPr>
          <w:i/>
          <w:iCs/>
          <w:shd w:val="clear" w:color="auto" w:fill="FFFFFF"/>
        </w:rPr>
        <w:t xml:space="preserve"> </w:t>
      </w:r>
      <w:r w:rsidRPr="006C2FB6">
        <w:rPr>
          <w:i/>
          <w:iCs/>
          <w:shd w:val="clear" w:color="auto" w:fill="FFFFFF"/>
        </w:rPr>
        <w:t>holmesii</w:t>
      </w:r>
      <w:r w:rsidRPr="006C2FB6">
        <w:rPr>
          <w:shd w:val="clear" w:color="auto" w:fill="FFFFFF"/>
        </w:rPr>
        <w:t> is important to understand its role as a human pathogen</w:t>
      </w:r>
      <w:r w:rsidR="00F67048" w:rsidRPr="006C2FB6">
        <w:rPr>
          <w:shd w:val="clear" w:color="auto" w:fill="FFFFFF"/>
        </w:rPr>
        <w:t xml:space="preserve"> </w:t>
      </w:r>
      <w:r w:rsidR="00F67048" w:rsidRPr="00E3118B">
        <w:rPr>
          <w:shd w:val="clear" w:color="auto" w:fill="FFFFFF"/>
        </w:rPr>
        <w:t>and in the investigation of outbreaks of clinical pertussis</w:t>
      </w:r>
      <w:r w:rsidRPr="00E3118B">
        <w:rPr>
          <w:shd w:val="clear" w:color="auto" w:fill="FFFFFF"/>
        </w:rPr>
        <w:t>.</w:t>
      </w:r>
    </w:p>
    <w:p w14:paraId="25EF269A" w14:textId="77777777" w:rsidR="00495BE0" w:rsidRPr="00E062B5" w:rsidRDefault="00495BE0" w:rsidP="00211DFF">
      <w:pPr>
        <w:pStyle w:val="Heading3"/>
        <w:spacing w:line="360" w:lineRule="auto"/>
      </w:pPr>
      <w:r w:rsidRPr="00E062B5">
        <w:t>Suitable specimen types</w:t>
      </w:r>
    </w:p>
    <w:p w14:paraId="558972D4" w14:textId="5DCC6C64" w:rsidR="00B90E9F" w:rsidRPr="00E062B5" w:rsidRDefault="00B90E9F" w:rsidP="00211DFF">
      <w:pPr>
        <w:rPr>
          <w:shd w:val="clear" w:color="auto" w:fill="FFFFFF"/>
        </w:rPr>
      </w:pPr>
      <w:r w:rsidRPr="00E062B5">
        <w:rPr>
          <w:shd w:val="clear" w:color="auto" w:fill="FFFFFF"/>
        </w:rPr>
        <w:t>Nasopharyngeal aspirates or nasopharyngeal swabs using DacronTM, rayon tips or nylon flocked swabs are optimal. Calcium alginate swabs should not be used.</w:t>
      </w:r>
      <w:r w:rsidRPr="00E062B5">
        <w:rPr>
          <w:shd w:val="clear" w:color="auto" w:fill="FFFFFF"/>
          <w:vertAlign w:val="superscript"/>
        </w:rPr>
        <w:t>3</w:t>
      </w:r>
      <w:r w:rsidRPr="00E062B5">
        <w:rPr>
          <w:shd w:val="clear" w:color="auto" w:fill="FFFFFF"/>
        </w:rPr>
        <w:t> In contrast to culture, dry swabs may be used for PCR. Throat swabs and sputum samples may also be used for adolescents and adults but the performance characteristics of assays using these samples should be validated by each laboratory. Amies transport medium with charcoal does not significantly interfere with PCR.</w:t>
      </w:r>
    </w:p>
    <w:p w14:paraId="79596792" w14:textId="4F7EA692" w:rsidR="00AE5C18" w:rsidRPr="00E062B5" w:rsidRDefault="00DC58AB" w:rsidP="00211DFF">
      <w:pPr>
        <w:pStyle w:val="Heading3"/>
        <w:spacing w:line="360" w:lineRule="auto"/>
      </w:pPr>
      <w:r w:rsidRPr="00E062B5">
        <w:t>Test details</w:t>
      </w:r>
    </w:p>
    <w:p w14:paraId="2ADF62E7" w14:textId="54AAE556" w:rsidR="00530C71" w:rsidRPr="00E062B5" w:rsidRDefault="00530C71" w:rsidP="00211DFF">
      <w:r w:rsidRPr="00E062B5">
        <w:rPr>
          <w:shd w:val="clear" w:color="auto" w:fill="FFFFFF"/>
        </w:rPr>
        <w:t>A method for assays that target IS</w:t>
      </w:r>
      <w:r w:rsidRPr="00E062B5">
        <w:rPr>
          <w:i/>
          <w:iCs/>
          <w:shd w:val="clear" w:color="auto" w:fill="FFFFFF"/>
        </w:rPr>
        <w:t>481</w:t>
      </w:r>
      <w:r w:rsidRPr="00E062B5">
        <w:rPr>
          <w:shd w:val="clear" w:color="auto" w:fill="FFFFFF"/>
        </w:rPr>
        <w:t> to determine the presence of B. </w:t>
      </w:r>
      <w:r w:rsidRPr="00E062B5">
        <w:rPr>
          <w:i/>
          <w:iCs/>
          <w:shd w:val="clear" w:color="auto" w:fill="FFFFFF"/>
        </w:rPr>
        <w:t>pertussis</w:t>
      </w:r>
      <w:r w:rsidRPr="00E062B5">
        <w:rPr>
          <w:shd w:val="clear" w:color="auto" w:fill="FFFFFF"/>
        </w:rPr>
        <w:t> DNA and IS</w:t>
      </w:r>
      <w:r w:rsidRPr="00E062B5">
        <w:rPr>
          <w:i/>
          <w:iCs/>
          <w:shd w:val="clear" w:color="auto" w:fill="FFFFFF"/>
        </w:rPr>
        <w:t>1001</w:t>
      </w:r>
      <w:r w:rsidRPr="00E062B5">
        <w:rPr>
          <w:shd w:val="clear" w:color="auto" w:fill="FFFFFF"/>
        </w:rPr>
        <w:t> for </w:t>
      </w:r>
      <w:r w:rsidRPr="00E062B5">
        <w:rPr>
          <w:i/>
          <w:iCs/>
          <w:shd w:val="clear" w:color="auto" w:fill="FFFFFF"/>
        </w:rPr>
        <w:t>B. parapertussis </w:t>
      </w:r>
      <w:r w:rsidRPr="00E062B5">
        <w:rPr>
          <w:shd w:val="clear" w:color="auto" w:fill="FFFFFF"/>
        </w:rPr>
        <w:t>can be found in PCR for Clinical Microbiology An Australian and International Perspective.</w:t>
      </w:r>
      <w:r w:rsidR="00F67048">
        <w:rPr>
          <w:shd w:val="clear" w:color="auto" w:fill="FFFFFF"/>
          <w:vertAlign w:val="superscript"/>
        </w:rPr>
        <w:t>27</w:t>
      </w:r>
      <w:r w:rsidRPr="00E062B5">
        <w:rPr>
          <w:shd w:val="clear" w:color="auto" w:fill="FFFFFF"/>
        </w:rPr>
        <w:t> Riffelmann et al </w:t>
      </w:r>
      <w:r w:rsidRPr="00E062B5">
        <w:rPr>
          <w:shd w:val="clear" w:color="auto" w:fill="FFFFFF"/>
          <w:vertAlign w:val="superscript"/>
        </w:rPr>
        <w:t>2</w:t>
      </w:r>
      <w:r w:rsidR="00F67048">
        <w:rPr>
          <w:shd w:val="clear" w:color="auto" w:fill="FFFFFF"/>
          <w:vertAlign w:val="superscript"/>
        </w:rPr>
        <w:t>8</w:t>
      </w:r>
      <w:r w:rsidRPr="00E062B5">
        <w:rPr>
          <w:shd w:val="clear" w:color="auto" w:fill="FFFFFF"/>
        </w:rPr>
        <w:t> have provided a list of primer-probe combinations published prior to 2005. Additional targets have been published although none have yet been fully validated. </w:t>
      </w:r>
      <w:r w:rsidR="00F67048">
        <w:rPr>
          <w:shd w:val="clear" w:color="auto" w:fill="FFFFFF"/>
          <w:vertAlign w:val="superscript"/>
        </w:rPr>
        <w:t>26,29-31</w:t>
      </w:r>
    </w:p>
    <w:p w14:paraId="7BAC5D0C" w14:textId="77777777" w:rsidR="00495BE0" w:rsidRPr="00E062B5" w:rsidRDefault="00495BE0" w:rsidP="00211DFF">
      <w:pPr>
        <w:pStyle w:val="Heading3"/>
        <w:spacing w:line="360" w:lineRule="auto"/>
      </w:pPr>
      <w:r w:rsidRPr="00E062B5">
        <w:t>Test sensitivity</w:t>
      </w:r>
    </w:p>
    <w:p w14:paraId="5AE3E1FD" w14:textId="541A1C0F" w:rsidR="00331D00" w:rsidRPr="00E062B5" w:rsidRDefault="00331D00" w:rsidP="00211DFF">
      <w:r w:rsidRPr="00E062B5">
        <w:rPr>
          <w:shd w:val="clear" w:color="auto" w:fill="FFFFFF"/>
        </w:rPr>
        <w:t>Sensitivity depends on the age of the patient, stage of disease, specimen collection, nucleic acid extraction procedure and test format.</w:t>
      </w:r>
      <w:r w:rsidRPr="00E062B5">
        <w:rPr>
          <w:shd w:val="clear" w:color="auto" w:fill="FFFFFF"/>
          <w:vertAlign w:val="superscript"/>
        </w:rPr>
        <w:t>2</w:t>
      </w:r>
      <w:r w:rsidR="00F67048">
        <w:rPr>
          <w:shd w:val="clear" w:color="auto" w:fill="FFFFFF"/>
          <w:vertAlign w:val="superscript"/>
        </w:rPr>
        <w:t>8</w:t>
      </w:r>
      <w:r w:rsidRPr="00E062B5">
        <w:rPr>
          <w:shd w:val="clear" w:color="auto" w:fill="FFFFFF"/>
        </w:rPr>
        <w:t> PCR is more sensitive and remains positive until significantly later in disease than culture and is recommended for diagnosis in adolescents and adults, who typically are more difficult to sample than young children, although culture should still be attempted. PCR may remain positive when culture becomes negative after antibiotic treatment. Bidet et al</w:t>
      </w:r>
      <w:r w:rsidR="00E32BE5">
        <w:rPr>
          <w:shd w:val="clear" w:color="auto" w:fill="FFFFFF"/>
        </w:rPr>
        <w:t xml:space="preserve">. </w:t>
      </w:r>
      <w:r w:rsidRPr="00E062B5">
        <w:rPr>
          <w:shd w:val="clear" w:color="auto" w:fill="FFFFFF"/>
        </w:rPr>
        <w:t>studying real-time PCR measurement of persistence of </w:t>
      </w:r>
      <w:r w:rsidRPr="00E062B5">
        <w:rPr>
          <w:i/>
          <w:iCs/>
          <w:shd w:val="clear" w:color="auto" w:fill="FFFFFF"/>
        </w:rPr>
        <w:t>B.pertussis</w:t>
      </w:r>
      <w:r w:rsidRPr="00E062B5">
        <w:rPr>
          <w:shd w:val="clear" w:color="auto" w:fill="FFFFFF"/>
        </w:rPr>
        <w:t xml:space="preserve"> DNA in nasopharyngeal secretions during antibiotic treatment of young </w:t>
      </w:r>
      <w:r w:rsidRPr="00E062B5">
        <w:rPr>
          <w:shd w:val="clear" w:color="auto" w:fill="FFFFFF"/>
        </w:rPr>
        <w:lastRenderedPageBreak/>
        <w:t>children with pertussis showed that PCR was positive for 100% of patients at 5 days and after 14 and 21 days, PCR was still positive for 83% and 66% respectively.</w:t>
      </w:r>
      <w:r w:rsidR="00E32BE5" w:rsidRPr="00E32BE5">
        <w:rPr>
          <w:shd w:val="clear" w:color="auto" w:fill="FFFFFF"/>
          <w:vertAlign w:val="superscript"/>
        </w:rPr>
        <w:t xml:space="preserve"> </w:t>
      </w:r>
      <w:r w:rsidR="00F67048">
        <w:rPr>
          <w:shd w:val="clear" w:color="auto" w:fill="FFFFFF"/>
          <w:vertAlign w:val="superscript"/>
        </w:rPr>
        <w:t>32</w:t>
      </w:r>
    </w:p>
    <w:p w14:paraId="1C051349" w14:textId="7FFC827A" w:rsidR="00675A37" w:rsidRPr="00E062B5" w:rsidRDefault="00331D00" w:rsidP="00211DFF">
      <w:pPr>
        <w:rPr>
          <w:shd w:val="clear" w:color="auto" w:fill="FFFFFF"/>
        </w:rPr>
      </w:pPr>
      <w:r w:rsidRPr="00E062B5">
        <w:rPr>
          <w:shd w:val="clear" w:color="auto" w:fill="FFFFFF"/>
        </w:rPr>
        <w:t>An Australian study</w:t>
      </w:r>
      <w:r w:rsidR="00F67048">
        <w:rPr>
          <w:shd w:val="clear" w:color="auto" w:fill="FFFFFF"/>
          <w:vertAlign w:val="superscript"/>
        </w:rPr>
        <w:t>33</w:t>
      </w:r>
      <w:r w:rsidRPr="00E062B5">
        <w:rPr>
          <w:shd w:val="clear" w:color="auto" w:fill="FFFFFF"/>
        </w:rPr>
        <w:t> demonstrated that throat swabs are useful for diagnosis by PCR but this study was not designed to compare the positivity rate of one specimen type with the other. The authors cautioned that the PCR method employed should be sufficiently sensitive to detect the lower number of organisms likely to be present in throat swabs. A Danish study found no significant difference in sensitivity between peroral nasopharyngeal swabs and pernasal nasopharyngeal swabs.</w:t>
      </w:r>
      <w:r w:rsidR="00F67048">
        <w:rPr>
          <w:shd w:val="clear" w:color="auto" w:fill="FFFFFF"/>
          <w:vertAlign w:val="superscript"/>
        </w:rPr>
        <w:t>34</w:t>
      </w:r>
      <w:r w:rsidR="00675A37" w:rsidRPr="00E062B5">
        <w:rPr>
          <w:shd w:val="clear" w:color="auto" w:fill="FFFFFF"/>
          <w:vertAlign w:val="superscript"/>
        </w:rPr>
        <w:t xml:space="preserve"> </w:t>
      </w:r>
    </w:p>
    <w:p w14:paraId="5C2DD0A5" w14:textId="77777777" w:rsidR="00495BE0" w:rsidRPr="00E062B5" w:rsidRDefault="00495BE0" w:rsidP="00211DFF">
      <w:pPr>
        <w:pStyle w:val="Heading3"/>
        <w:spacing w:line="360" w:lineRule="auto"/>
      </w:pPr>
      <w:r w:rsidRPr="00E062B5">
        <w:t>Test specificity</w:t>
      </w:r>
    </w:p>
    <w:p w14:paraId="5C195866" w14:textId="6076168F" w:rsidR="00730CC2" w:rsidRPr="00E062B5" w:rsidRDefault="00730CC2" w:rsidP="00211DFF">
      <w:r w:rsidRPr="00E062B5">
        <w:rPr>
          <w:shd w:val="clear" w:color="auto" w:fill="FFFFFF"/>
        </w:rPr>
        <w:t>Specificity is very high for all targets. Low numbers of IS</w:t>
      </w:r>
      <w:r w:rsidRPr="39DFFD72">
        <w:rPr>
          <w:i/>
          <w:iCs/>
          <w:shd w:val="clear" w:color="auto" w:fill="FFFFFF"/>
        </w:rPr>
        <w:t>481</w:t>
      </w:r>
      <w:r w:rsidRPr="00E062B5">
        <w:rPr>
          <w:shd w:val="clear" w:color="auto" w:fill="FFFFFF"/>
        </w:rPr>
        <w:t>-like elements have been reported in</w:t>
      </w:r>
      <w:r w:rsidRPr="39DFFD72">
        <w:rPr>
          <w:i/>
          <w:iCs/>
          <w:shd w:val="clear" w:color="auto" w:fill="FFFFFF"/>
        </w:rPr>
        <w:t> B.</w:t>
      </w:r>
      <w:r w:rsidR="6E483CE7" w:rsidRPr="39DFFD72">
        <w:rPr>
          <w:i/>
          <w:iCs/>
          <w:shd w:val="clear" w:color="auto" w:fill="FFFFFF"/>
        </w:rPr>
        <w:t xml:space="preserve"> </w:t>
      </w:r>
      <w:r w:rsidRPr="39DFFD72">
        <w:rPr>
          <w:i/>
          <w:iCs/>
          <w:shd w:val="clear" w:color="auto" w:fill="FFFFFF"/>
        </w:rPr>
        <w:t>holmesii </w:t>
      </w:r>
      <w:r w:rsidRPr="00E062B5">
        <w:rPr>
          <w:shd w:val="clear" w:color="auto" w:fill="FFFFFF"/>
        </w:rPr>
        <w:t>and </w:t>
      </w:r>
      <w:r w:rsidRPr="39DFFD72">
        <w:rPr>
          <w:i/>
          <w:iCs/>
          <w:shd w:val="clear" w:color="auto" w:fill="FFFFFF"/>
        </w:rPr>
        <w:t>B. bronchiseptica</w:t>
      </w:r>
      <w:r w:rsidRPr="00E062B5">
        <w:rPr>
          <w:shd w:val="clear" w:color="auto" w:fill="FFFFFF"/>
        </w:rPr>
        <w:t> genomes so primers designed to detect </w:t>
      </w:r>
      <w:r w:rsidRPr="39DFFD72">
        <w:rPr>
          <w:i/>
          <w:iCs/>
          <w:shd w:val="clear" w:color="auto" w:fill="FFFFFF"/>
        </w:rPr>
        <w:t>B. pertussis</w:t>
      </w:r>
      <w:r w:rsidRPr="00E062B5">
        <w:rPr>
          <w:shd w:val="clear" w:color="auto" w:fill="FFFFFF"/>
        </w:rPr>
        <w:t> IS</w:t>
      </w:r>
      <w:r w:rsidRPr="39DFFD72">
        <w:rPr>
          <w:i/>
          <w:iCs/>
          <w:shd w:val="clear" w:color="auto" w:fill="FFFFFF"/>
        </w:rPr>
        <w:t>481</w:t>
      </w:r>
      <w:r w:rsidRPr="00E062B5">
        <w:rPr>
          <w:shd w:val="clear" w:color="auto" w:fill="FFFFFF"/>
        </w:rPr>
        <w:t> sequences could potentially cross</w:t>
      </w:r>
      <w:r w:rsidR="00E32BE5">
        <w:rPr>
          <w:shd w:val="clear" w:color="auto" w:fill="FFFFFF"/>
        </w:rPr>
        <w:t>-</w:t>
      </w:r>
      <w:r w:rsidRPr="00E062B5">
        <w:rPr>
          <w:shd w:val="clear" w:color="auto" w:fill="FFFFFF"/>
        </w:rPr>
        <w:t xml:space="preserve">react with </w:t>
      </w:r>
      <w:r w:rsidR="006C2FB6" w:rsidRPr="00E062B5">
        <w:rPr>
          <w:shd w:val="clear" w:color="auto" w:fill="FFFFFF"/>
        </w:rPr>
        <w:t>non-B.</w:t>
      </w:r>
      <w:r w:rsidR="7BB6CA69" w:rsidRPr="39DFFD72">
        <w:rPr>
          <w:i/>
          <w:iCs/>
          <w:shd w:val="clear" w:color="auto" w:fill="FFFFFF"/>
        </w:rPr>
        <w:t xml:space="preserve"> </w:t>
      </w:r>
      <w:r w:rsidRPr="39DFFD72">
        <w:rPr>
          <w:i/>
          <w:iCs/>
          <w:shd w:val="clear" w:color="auto" w:fill="FFFFFF"/>
        </w:rPr>
        <w:t>pertussis</w:t>
      </w:r>
      <w:r w:rsidRPr="00E062B5">
        <w:rPr>
          <w:shd w:val="clear" w:color="auto" w:fill="FFFFFF"/>
        </w:rPr>
        <w:t> DNA.</w:t>
      </w:r>
      <w:r w:rsidR="00F67048">
        <w:rPr>
          <w:shd w:val="clear" w:color="auto" w:fill="FFFFFF"/>
          <w:vertAlign w:val="superscript"/>
        </w:rPr>
        <w:t>35</w:t>
      </w:r>
      <w:r w:rsidRPr="00E062B5">
        <w:rPr>
          <w:shd w:val="clear" w:color="auto" w:fill="FFFFFF"/>
        </w:rPr>
        <w:t xml:space="preserve"> The occurrence of IS481 in these non </w:t>
      </w:r>
      <w:r w:rsidRPr="39DFFD72">
        <w:rPr>
          <w:i/>
          <w:iCs/>
          <w:shd w:val="clear" w:color="auto" w:fill="FFFFFF"/>
        </w:rPr>
        <w:t>B.</w:t>
      </w:r>
      <w:r w:rsidR="37792C38" w:rsidRPr="39DFFD72">
        <w:rPr>
          <w:i/>
          <w:iCs/>
          <w:shd w:val="clear" w:color="auto" w:fill="FFFFFF"/>
        </w:rPr>
        <w:t xml:space="preserve"> </w:t>
      </w:r>
      <w:r w:rsidRPr="39DFFD72">
        <w:rPr>
          <w:i/>
          <w:iCs/>
          <w:shd w:val="clear" w:color="auto" w:fill="FFFFFF"/>
        </w:rPr>
        <w:t>pertussis</w:t>
      </w:r>
      <w:r w:rsidRPr="00E062B5">
        <w:rPr>
          <w:shd w:val="clear" w:color="auto" w:fill="FFFFFF"/>
        </w:rPr>
        <w:t xml:space="preserve"> isolates in clinical specimens is thought to be uncommon.</w:t>
      </w:r>
      <w:r w:rsidRPr="00E062B5">
        <w:rPr>
          <w:shd w:val="clear" w:color="auto" w:fill="FFFFFF"/>
          <w:vertAlign w:val="superscript"/>
        </w:rPr>
        <w:t>2</w:t>
      </w:r>
      <w:r w:rsidR="000746D2">
        <w:rPr>
          <w:shd w:val="clear" w:color="auto" w:fill="FFFFFF"/>
          <w:vertAlign w:val="superscript"/>
        </w:rPr>
        <w:t>,24</w:t>
      </w:r>
    </w:p>
    <w:p w14:paraId="72F6EA1A" w14:textId="77777777" w:rsidR="00495BE0" w:rsidRPr="00E062B5" w:rsidRDefault="00495BE0" w:rsidP="00211DFF">
      <w:pPr>
        <w:pStyle w:val="Heading3"/>
        <w:spacing w:line="360" w:lineRule="auto"/>
      </w:pPr>
      <w:r w:rsidRPr="00E062B5">
        <w:t>Predictive values</w:t>
      </w:r>
    </w:p>
    <w:p w14:paraId="23EF4BCB" w14:textId="36559C0B" w:rsidR="0066736F" w:rsidRPr="00E062B5" w:rsidRDefault="0066736F" w:rsidP="00211DFF">
      <w:r w:rsidRPr="00E062B5">
        <w:rPr>
          <w:shd w:val="clear" w:color="auto" w:fill="FFFFFF"/>
        </w:rPr>
        <w:t>Positive predictive value is high in symptomatic individuals, but low in asymptomatic individuals who have had household or other close contact with a patient or in outbreak situations</w:t>
      </w:r>
      <w:r w:rsidR="000746D2">
        <w:rPr>
          <w:shd w:val="clear" w:color="auto" w:fill="FFFFFF"/>
        </w:rPr>
        <w:t>.</w:t>
      </w:r>
      <w:r w:rsidR="000746D2">
        <w:rPr>
          <w:shd w:val="clear" w:color="auto" w:fill="FFFFFF"/>
          <w:vertAlign w:val="superscript"/>
        </w:rPr>
        <w:t xml:space="preserve">36 </w:t>
      </w:r>
      <w:r w:rsidRPr="00E062B5">
        <w:rPr>
          <w:shd w:val="clear" w:color="auto" w:fill="FFFFFF"/>
        </w:rPr>
        <w:t>Negative predictive value depends on the age of the patient, stage of disease, specimen collection, nucleic acid extraction procedure and test format. Infected people who have history of previous vaccination or infection typically have less severe symptoms and may excrete fewer organisms.</w:t>
      </w:r>
    </w:p>
    <w:p w14:paraId="1795F517" w14:textId="77777777" w:rsidR="00495BE0" w:rsidRPr="00E062B5" w:rsidRDefault="00495BE0" w:rsidP="00211DFF">
      <w:pPr>
        <w:pStyle w:val="Heading3"/>
        <w:spacing w:line="360" w:lineRule="auto"/>
      </w:pPr>
      <w:r w:rsidRPr="00E062B5">
        <w:t>Suitable test acceptance criteria</w:t>
      </w:r>
    </w:p>
    <w:p w14:paraId="37AC6355" w14:textId="77777777" w:rsidR="001F233D" w:rsidRPr="00E062B5" w:rsidRDefault="001F233D" w:rsidP="00211DFF">
      <w:r w:rsidRPr="00E062B5">
        <w:rPr>
          <w:shd w:val="clear" w:color="auto" w:fill="FFFFFF"/>
        </w:rPr>
        <w:t>Results for control samples obtained as expected.</w:t>
      </w:r>
    </w:p>
    <w:p w14:paraId="5DA78E36" w14:textId="77777777" w:rsidR="00495BE0" w:rsidRPr="00E062B5" w:rsidRDefault="00495BE0" w:rsidP="00211DFF">
      <w:pPr>
        <w:pStyle w:val="Heading3"/>
        <w:spacing w:line="360" w:lineRule="auto"/>
      </w:pPr>
      <w:r w:rsidRPr="00E062B5">
        <w:t>Suitable test validation criteria</w:t>
      </w:r>
    </w:p>
    <w:p w14:paraId="5B3EA16F" w14:textId="55F0F675" w:rsidR="0044772B" w:rsidRPr="00E062B5" w:rsidRDefault="0044772B" w:rsidP="00211DFF">
      <w:pPr>
        <w:rPr>
          <w:color w:val="222222"/>
        </w:rPr>
      </w:pPr>
      <w:r w:rsidRPr="00E062B5">
        <w:rPr>
          <w:color w:val="222222"/>
          <w:shd w:val="clear" w:color="auto" w:fill="FFFFFF"/>
        </w:rPr>
        <w:t>Consistent with NPAAC Guidelines:</w:t>
      </w:r>
      <w:r w:rsidRPr="00E062B5">
        <w:rPr>
          <w:color w:val="222222"/>
        </w:rPr>
        <w:br/>
      </w:r>
      <w:hyperlink r:id="rId13" w:history="1">
        <w:r w:rsidRPr="00E062B5">
          <w:rPr>
            <w:color w:val="1157AD"/>
            <w:u w:val="single"/>
            <w:shd w:val="clear" w:color="auto" w:fill="FFFFFF"/>
          </w:rPr>
          <w:t>Requirements for the Validation of In-House In vitro Diagnostic Devices</w:t>
        </w:r>
      </w:hyperlink>
      <w:r w:rsidRPr="00E062B5">
        <w:rPr>
          <w:color w:val="222222"/>
          <w:shd w:val="clear" w:color="auto" w:fill="FFFFFF"/>
        </w:rPr>
        <w:t> (2006).</w:t>
      </w:r>
      <w:r w:rsidRPr="00E062B5">
        <w:rPr>
          <w:shd w:val="clear" w:color="auto" w:fill="FFFFFF"/>
          <w:vertAlign w:val="superscript"/>
        </w:rPr>
        <w:t>3</w:t>
      </w:r>
      <w:r w:rsidR="000746D2">
        <w:rPr>
          <w:shd w:val="clear" w:color="auto" w:fill="FFFFFF"/>
          <w:vertAlign w:val="superscript"/>
        </w:rPr>
        <w:t>8</w:t>
      </w:r>
    </w:p>
    <w:p w14:paraId="3C1822D9" w14:textId="77777777" w:rsidR="00495BE0" w:rsidRPr="00E062B5" w:rsidRDefault="00495BE0" w:rsidP="00211DFF">
      <w:pPr>
        <w:pStyle w:val="Heading3"/>
        <w:spacing w:line="360" w:lineRule="auto"/>
      </w:pPr>
      <w:r w:rsidRPr="00E062B5">
        <w:t>Suitable internal controls</w:t>
      </w:r>
    </w:p>
    <w:p w14:paraId="18E5F0C4" w14:textId="652AB759" w:rsidR="00D3283D" w:rsidRPr="00E062B5" w:rsidRDefault="00D3283D" w:rsidP="00211DFF">
      <w:pPr>
        <w:rPr>
          <w:color w:val="222222"/>
        </w:rPr>
      </w:pPr>
      <w:r w:rsidRPr="00E062B5">
        <w:rPr>
          <w:color w:val="222222"/>
          <w:shd w:val="clear" w:color="auto" w:fill="FFFFFF"/>
        </w:rPr>
        <w:t>As recommended in the National Pathology Accreditation Advisory Committee (NPAAC) guidelines: </w:t>
      </w:r>
      <w:hyperlink r:id="rId14" w:history="1">
        <w:r w:rsidRPr="00E062B5">
          <w:rPr>
            <w:color w:val="1157AD"/>
            <w:u w:val="single"/>
            <w:shd w:val="clear" w:color="auto" w:fill="FFFFFF"/>
          </w:rPr>
          <w:t xml:space="preserve">Laboratory Accreditation Standards and Guidelines for Nucleic Acid Detection </w:t>
        </w:r>
        <w:r w:rsidRPr="00E062B5">
          <w:rPr>
            <w:color w:val="1157AD"/>
            <w:u w:val="single"/>
            <w:shd w:val="clear" w:color="auto" w:fill="FFFFFF"/>
          </w:rPr>
          <w:lastRenderedPageBreak/>
          <w:t>and Analysis</w:t>
        </w:r>
      </w:hyperlink>
      <w:r w:rsidRPr="00E062B5">
        <w:rPr>
          <w:color w:val="222222"/>
          <w:shd w:val="clear" w:color="auto" w:fill="FFFFFF"/>
        </w:rPr>
        <w:t> </w:t>
      </w:r>
      <w:r w:rsidRPr="00E062B5">
        <w:rPr>
          <w:shd w:val="clear" w:color="auto" w:fill="FFFFFF"/>
        </w:rPr>
        <w:t>.</w:t>
      </w:r>
      <w:r w:rsidRPr="00E062B5">
        <w:rPr>
          <w:shd w:val="clear" w:color="auto" w:fill="FFFFFF"/>
          <w:vertAlign w:val="superscript"/>
        </w:rPr>
        <w:t>3</w:t>
      </w:r>
      <w:r w:rsidR="000746D2">
        <w:rPr>
          <w:shd w:val="clear" w:color="auto" w:fill="FFFFFF"/>
          <w:vertAlign w:val="superscript"/>
        </w:rPr>
        <w:t>7</w:t>
      </w:r>
      <w:r w:rsidRPr="00E062B5">
        <w:rPr>
          <w:color w:val="222222"/>
          <w:shd w:val="clear" w:color="auto" w:fill="FFFFFF"/>
        </w:rPr>
        <w:t> Controls should be designed to monitor the extraction process as well as detect sample inhibitory activity and external contamination by </w:t>
      </w:r>
      <w:r w:rsidRPr="00E062B5">
        <w:rPr>
          <w:i/>
          <w:iCs/>
          <w:color w:val="222222"/>
          <w:shd w:val="clear" w:color="auto" w:fill="FFFFFF"/>
        </w:rPr>
        <w:t>Bordetella</w:t>
      </w:r>
      <w:r w:rsidRPr="00E062B5">
        <w:rPr>
          <w:color w:val="222222"/>
          <w:shd w:val="clear" w:color="auto" w:fill="FFFFFF"/>
        </w:rPr>
        <w:t> amplicons.</w:t>
      </w:r>
    </w:p>
    <w:p w14:paraId="14F2FA2D" w14:textId="66B4EC2C" w:rsidR="00495BE0" w:rsidRPr="00E062B5" w:rsidRDefault="00495BE0" w:rsidP="00211DFF">
      <w:pPr>
        <w:pStyle w:val="Heading3"/>
        <w:spacing w:line="360" w:lineRule="auto"/>
      </w:pPr>
      <w:r w:rsidRPr="00E062B5">
        <w:t xml:space="preserve">Suitable external quality </w:t>
      </w:r>
      <w:r w:rsidR="00762AA6" w:rsidRPr="00E062B5">
        <w:t>assurance</w:t>
      </w:r>
      <w:r w:rsidRPr="00E062B5">
        <w:t xml:space="preserve"> program</w:t>
      </w:r>
      <w:r w:rsidR="00762AA6" w:rsidRPr="00E062B5">
        <w:t xml:space="preserve"> and proficiency testing</w:t>
      </w:r>
    </w:p>
    <w:p w14:paraId="302A3E92" w14:textId="0AB59B0D" w:rsidR="00AA1143" w:rsidRPr="00E062B5" w:rsidRDefault="00AA1143" w:rsidP="00211DFF">
      <w:pPr>
        <w:rPr>
          <w:color w:val="222222"/>
        </w:rPr>
      </w:pPr>
      <w:r w:rsidRPr="00E062B5">
        <w:rPr>
          <w:color w:val="222222"/>
          <w:shd w:val="clear" w:color="auto" w:fill="FFFFFF"/>
        </w:rPr>
        <w:t xml:space="preserve">RCPA QAP P/L nucleic acid detection for </w:t>
      </w:r>
      <w:r w:rsidRPr="39DFFD72">
        <w:rPr>
          <w:i/>
          <w:iCs/>
          <w:color w:val="222222"/>
          <w:shd w:val="clear" w:color="auto" w:fill="FFFFFF"/>
        </w:rPr>
        <w:t>B.</w:t>
      </w:r>
      <w:r w:rsidR="53783C13" w:rsidRPr="39DFFD72">
        <w:rPr>
          <w:i/>
          <w:iCs/>
          <w:color w:val="222222"/>
          <w:shd w:val="clear" w:color="auto" w:fill="FFFFFF"/>
        </w:rPr>
        <w:t xml:space="preserve"> </w:t>
      </w:r>
      <w:r w:rsidRPr="39DFFD72">
        <w:rPr>
          <w:i/>
          <w:iCs/>
          <w:color w:val="222222"/>
          <w:shd w:val="clear" w:color="auto" w:fill="FFFFFF"/>
        </w:rPr>
        <w:t>pertussis</w:t>
      </w:r>
      <w:r w:rsidRPr="00E062B5">
        <w:rPr>
          <w:color w:val="222222"/>
          <w:shd w:val="clear" w:color="auto" w:fill="FFFFFF"/>
        </w:rPr>
        <w:t>. These reports are available at </w:t>
      </w:r>
      <w:hyperlink r:id="rId15" w:history="1">
        <w:r w:rsidRPr="00E062B5">
          <w:rPr>
            <w:color w:val="1157AD"/>
            <w:u w:val="single"/>
            <w:shd w:val="clear" w:color="auto" w:fill="FFFFFF"/>
          </w:rPr>
          <w:t>http://www.rcpaqap.com/micro/reportsmenu.cfm</w:t>
        </w:r>
      </w:hyperlink>
    </w:p>
    <w:p w14:paraId="2F9444BD" w14:textId="386B2223" w:rsidR="00495BE0" w:rsidRPr="00E3118B" w:rsidRDefault="004013EF" w:rsidP="00211DFF">
      <w:pPr>
        <w:pStyle w:val="Heading3"/>
        <w:spacing w:line="360" w:lineRule="auto"/>
      </w:pPr>
      <w:r w:rsidRPr="00E3118B">
        <w:t>Detection of macrolide resistance</w:t>
      </w:r>
      <w:r w:rsidR="000C2896" w:rsidRPr="00E3118B">
        <w:t xml:space="preserve"> </w:t>
      </w:r>
    </w:p>
    <w:p w14:paraId="2B7559BF" w14:textId="77777777" w:rsidR="004013EF" w:rsidRPr="00E062B5" w:rsidRDefault="004013EF" w:rsidP="004013EF">
      <w:r w:rsidRPr="00E062B5">
        <w:rPr>
          <w:shd w:val="clear" w:color="auto" w:fill="FFFFFF"/>
        </w:rPr>
        <w:t>Identification of the resistance mechanism will facilitate development of molecular susceptibility testing methods that can be used directly on clinical specimens in the absence of an isolate.</w:t>
      </w:r>
      <w:r w:rsidRPr="00E062B5">
        <w:rPr>
          <w:shd w:val="clear" w:color="auto" w:fill="FFFFFF"/>
          <w:vertAlign w:val="superscript"/>
        </w:rPr>
        <w:t>3</w:t>
      </w:r>
      <w:r>
        <w:rPr>
          <w:shd w:val="clear" w:color="auto" w:fill="FFFFFF"/>
          <w:vertAlign w:val="superscript"/>
        </w:rPr>
        <w:t xml:space="preserve">9 </w:t>
      </w:r>
      <w:r w:rsidRPr="00E062B5">
        <w:rPr>
          <w:shd w:val="clear" w:color="auto" w:fill="FFFFFF"/>
        </w:rPr>
        <w:t>The erythromycin resistance in these strains is likely due to a mutation of the erythromycin binding site in the 23S rRNA gene.</w:t>
      </w:r>
    </w:p>
    <w:p w14:paraId="6BB39DF0" w14:textId="043E708E" w:rsidR="004013EF" w:rsidRPr="00BF0995" w:rsidRDefault="004013EF" w:rsidP="004013EF">
      <w:pPr>
        <w:rPr>
          <w:i/>
          <w:iCs/>
        </w:rPr>
      </w:pPr>
      <w:r w:rsidRPr="00E3118B">
        <w:t xml:space="preserve">The use of nucleic acid amplification tests for macrolide-resistant </w:t>
      </w:r>
      <w:r w:rsidRPr="00E3118B">
        <w:rPr>
          <w:i/>
          <w:iCs/>
        </w:rPr>
        <w:t>B. pertussis</w:t>
      </w:r>
      <w:r w:rsidRPr="00E3118B">
        <w:t xml:space="preserve"> (MRBP), which target the 23S rRNA A2047G mutation, is an appealing diagnostic option since no other molecular mechanisms of increased MICs to macrolides have been reported at this stage. These MRBP assays can be used as reflex tests for PCR-positive samples obtained from patients with persistent cough, protracted admission or admission to neonatal intensive care unit</w:t>
      </w:r>
      <w:r w:rsidR="00BF0995" w:rsidRPr="00E3118B">
        <w:t xml:space="preserve">. In cases of severe pertussis occurring in settings with increasing rates of MRBP, repeat nasopharyngeal swabs in universal transport medium </w:t>
      </w:r>
      <w:r w:rsidRPr="00E3118B">
        <w:t xml:space="preserve">severe </w:t>
      </w:r>
      <w:r w:rsidR="00BF0995" w:rsidRPr="00E3118B">
        <w:t xml:space="preserve">allow performance of MRBP PCR as well as reflex culture for </w:t>
      </w:r>
      <w:r w:rsidR="00BF0995" w:rsidRPr="00E3118B">
        <w:rPr>
          <w:i/>
          <w:iCs/>
        </w:rPr>
        <w:t>B. pertussis</w:t>
      </w:r>
      <w:r w:rsidR="00BF0995" w:rsidRPr="00E3118B">
        <w:t xml:space="preserve"> with MIC estimation</w:t>
      </w:r>
      <w:r w:rsidRPr="00E3118B">
        <w:rPr>
          <w:i/>
          <w:iCs/>
        </w:rPr>
        <w:t>.</w:t>
      </w:r>
      <w:r w:rsidRPr="00BF0995">
        <w:rPr>
          <w:i/>
          <w:iCs/>
        </w:rPr>
        <w:t xml:space="preserve"> </w:t>
      </w:r>
    </w:p>
    <w:p w14:paraId="224EAAC7" w14:textId="77777777" w:rsidR="00495BE0" w:rsidRDefault="00495BE0" w:rsidP="00211DFF">
      <w:pPr>
        <w:pStyle w:val="Heading3"/>
        <w:spacing w:line="360" w:lineRule="auto"/>
      </w:pPr>
      <w:r w:rsidRPr="00E062B5">
        <w:t>Special considerations</w:t>
      </w:r>
    </w:p>
    <w:p w14:paraId="11CC5994" w14:textId="54780CB6" w:rsidR="007269C9" w:rsidRDefault="007269C9" w:rsidP="00211DFF">
      <w:pPr>
        <w:rPr>
          <w:shd w:val="clear" w:color="auto" w:fill="FFFFFF"/>
          <w:vertAlign w:val="superscript"/>
        </w:rPr>
      </w:pPr>
      <w:r w:rsidRPr="00E062B5">
        <w:rPr>
          <w:shd w:val="clear" w:color="auto" w:fill="FFFFFF"/>
        </w:rPr>
        <w:t>PCR may be positive in asymptomatic individuals who have had contact with pertussis cases.</w:t>
      </w:r>
      <w:r w:rsidR="0089468F">
        <w:rPr>
          <w:shd w:val="clear" w:color="auto" w:fill="FFFFFF"/>
          <w:vertAlign w:val="superscript"/>
        </w:rPr>
        <w:t>38</w:t>
      </w:r>
      <w:r w:rsidR="007549B0" w:rsidRPr="00E062B5">
        <w:rPr>
          <w:shd w:val="clear" w:color="auto" w:fill="FFFFFF"/>
          <w:vertAlign w:val="superscript"/>
        </w:rPr>
        <w:t xml:space="preserve"> </w:t>
      </w:r>
    </w:p>
    <w:p w14:paraId="5DB353AF" w14:textId="71252DAC" w:rsidR="007549B0" w:rsidRPr="00E062B5" w:rsidRDefault="00E34408" w:rsidP="00211DFF">
      <w:pPr>
        <w:pStyle w:val="Heading2"/>
        <w:spacing w:line="360" w:lineRule="auto"/>
      </w:pPr>
      <w:r w:rsidRPr="00E062B5">
        <w:t xml:space="preserve">Detection of </w:t>
      </w:r>
      <w:r w:rsidR="00EA5A1C" w:rsidRPr="00E062B5">
        <w:t>Toxin or Product</w:t>
      </w:r>
    </w:p>
    <w:p w14:paraId="66373C89" w14:textId="2CF05172" w:rsidR="004B0412" w:rsidRPr="00E062B5" w:rsidRDefault="004B0412" w:rsidP="00211DFF">
      <w:pPr>
        <w:rPr>
          <w:shd w:val="clear" w:color="auto" w:fill="FFFFFF"/>
        </w:rPr>
      </w:pPr>
      <w:r w:rsidRPr="00E062B5">
        <w:rPr>
          <w:shd w:val="clear" w:color="auto" w:fill="FFFFFF"/>
        </w:rPr>
        <w:t xml:space="preserve">Direct fluorescent antigen detection from nasopharyngeal secretions has been mostly </w:t>
      </w:r>
      <w:r w:rsidR="00245218" w:rsidRPr="00E062B5">
        <w:rPr>
          <w:shd w:val="clear" w:color="auto" w:fill="FFFFFF"/>
        </w:rPr>
        <w:t>superseded</w:t>
      </w:r>
      <w:r w:rsidRPr="00E062B5">
        <w:rPr>
          <w:shd w:val="clear" w:color="auto" w:fill="FFFFFF"/>
        </w:rPr>
        <w:t xml:space="preserve"> by the more sensitive and specific PCR technology. Fluorescent antigen detection requires skilled personnel, appropriate equipment and is labour intensive. The advantage is a rapid result in the absence of easy access to PCR, however there is a considerable rate of false positive results due to polyclonal antibodies to normal oral and nasopharyngeal flora.</w:t>
      </w:r>
      <w:r w:rsidRPr="00E062B5">
        <w:rPr>
          <w:shd w:val="clear" w:color="auto" w:fill="FFFFFF"/>
          <w:vertAlign w:val="superscript"/>
        </w:rPr>
        <w:t>3</w:t>
      </w:r>
      <w:r w:rsidR="00245218" w:rsidRPr="00E062B5">
        <w:rPr>
          <w:shd w:val="clear" w:color="auto" w:fill="FFFFFF"/>
          <w:vertAlign w:val="superscript"/>
        </w:rPr>
        <w:t xml:space="preserve"> </w:t>
      </w:r>
      <w:r w:rsidRPr="00E062B5">
        <w:rPr>
          <w:shd w:val="clear" w:color="auto" w:fill="FFFFFF"/>
        </w:rPr>
        <w:t>A positive result should be confirmed by PCR. Sensitivity is low, in line with culture. As this test is no longer widely performed in Australian laboratories, it has not been included in the current case definition.</w:t>
      </w:r>
    </w:p>
    <w:p w14:paraId="0499769C" w14:textId="494D12DC" w:rsidR="004B0412" w:rsidRPr="00E062B5" w:rsidRDefault="004B0412" w:rsidP="00211DFF">
      <w:pPr>
        <w:pStyle w:val="Heading2"/>
        <w:spacing w:line="360" w:lineRule="auto"/>
      </w:pPr>
      <w:r w:rsidRPr="00E062B5">
        <w:lastRenderedPageBreak/>
        <w:t xml:space="preserve">Detection of Immune response </w:t>
      </w:r>
    </w:p>
    <w:p w14:paraId="68C10049" w14:textId="23E617F7" w:rsidR="004B0412" w:rsidRPr="00E062B5" w:rsidRDefault="004B0412" w:rsidP="00211DFF">
      <w:pPr>
        <w:pStyle w:val="Heading3"/>
        <w:numPr>
          <w:ilvl w:val="0"/>
          <w:numId w:val="0"/>
        </w:numPr>
        <w:spacing w:line="360" w:lineRule="auto"/>
      </w:pPr>
      <w:r w:rsidRPr="00E062B5">
        <w:t xml:space="preserve">3.4.1 </w:t>
      </w:r>
      <w:r w:rsidR="00B962CA" w:rsidRPr="00E062B5">
        <w:t>Introduction</w:t>
      </w:r>
    </w:p>
    <w:p w14:paraId="026ACE2F" w14:textId="6531C49E" w:rsidR="004E48B5" w:rsidRPr="00E062B5" w:rsidRDefault="004E48B5" w:rsidP="00211DFF">
      <w:pPr>
        <w:rPr>
          <w:shd w:val="clear" w:color="auto" w:fill="FFFFFF"/>
          <w:vertAlign w:val="superscript"/>
        </w:rPr>
      </w:pPr>
      <w:r w:rsidRPr="00E062B5">
        <w:rPr>
          <w:shd w:val="clear" w:color="auto" w:fill="FFFFFF"/>
        </w:rPr>
        <w:t>Antibody assays have been used for diagnosis of pertussis since the organism was first isolated. However, there is no consensus internationally on the role of serology in the diagnosis of pertussis. The current CDC laboratory case definition does not include serology because it believes that "no serologic method for diagnosis of pertussis has been validated between laboratories or has been accepted for diagnostic use in U.S". WHO accepts seroconversion or a significant increase in antibody level but not a single high titre.</w:t>
      </w:r>
      <w:r w:rsidRPr="00E062B5">
        <w:rPr>
          <w:shd w:val="clear" w:color="auto" w:fill="FFFFFF"/>
          <w:vertAlign w:val="superscript"/>
        </w:rPr>
        <w:t>33</w:t>
      </w:r>
      <w:r w:rsidRPr="00E062B5">
        <w:rPr>
          <w:shd w:val="clear" w:color="auto" w:fill="FFFFFF"/>
        </w:rPr>
        <w:t xml:space="preserve"> In Australia, single sample serology is used extensively, particularly in adolescents and adults who typically present late in disease when an antibody rise has already occurred and culture and PCR are unlikely to be positive. In a 1995 – 2005 analysis of </w:t>
      </w:r>
      <w:r w:rsidR="70D6BBF2" w:rsidRPr="00E062B5">
        <w:rPr>
          <w:shd w:val="clear" w:color="auto" w:fill="FFFFFF"/>
        </w:rPr>
        <w:t>p</w:t>
      </w:r>
      <w:r w:rsidRPr="00E062B5">
        <w:rPr>
          <w:shd w:val="clear" w:color="auto" w:fill="FFFFFF"/>
        </w:rPr>
        <w:t xml:space="preserve">ertussis </w:t>
      </w:r>
      <w:r w:rsidR="2F27A6E6" w:rsidRPr="00E062B5">
        <w:rPr>
          <w:shd w:val="clear" w:color="auto" w:fill="FFFFFF"/>
        </w:rPr>
        <w:t>e</w:t>
      </w:r>
      <w:r w:rsidRPr="00E062B5">
        <w:rPr>
          <w:shd w:val="clear" w:color="auto" w:fill="FFFFFF"/>
        </w:rPr>
        <w:t>pidemiology in Australia, serology was the predominant method of diagnosis (74%) followed by PCR (12%) when the test method data field was recorded.</w:t>
      </w:r>
      <w:r w:rsidR="0089468F">
        <w:rPr>
          <w:shd w:val="clear" w:color="auto" w:fill="FFFFFF"/>
          <w:vertAlign w:val="superscript"/>
        </w:rPr>
        <w:t>40</w:t>
      </w:r>
      <w:r w:rsidRPr="00E062B5">
        <w:rPr>
          <w:shd w:val="clear" w:color="auto" w:fill="FFFFFF"/>
        </w:rPr>
        <w:t> Whilst PCR has been increasingly used as a method of diagnosis over time, and is the most common method for diagnosis in infants, the proportion of cases diagnosed by serology increases with age (Table 1).</w:t>
      </w:r>
      <w:r w:rsidR="0089468F">
        <w:rPr>
          <w:shd w:val="clear" w:color="auto" w:fill="FFFFFF"/>
          <w:vertAlign w:val="superscript"/>
        </w:rPr>
        <w:t>41</w:t>
      </w:r>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Description w:val="Table 1: Age-specific pertussis diagnostic methods for NSW, Qld, NT 2000 to 2005, by age group"/>
      </w:tblPr>
      <w:tblGrid>
        <w:gridCol w:w="2621"/>
        <w:gridCol w:w="1117"/>
        <w:gridCol w:w="886"/>
        <w:gridCol w:w="1117"/>
        <w:gridCol w:w="1117"/>
        <w:gridCol w:w="1348"/>
        <w:gridCol w:w="826"/>
      </w:tblGrid>
      <w:tr w:rsidR="004E48B5" w:rsidRPr="00E062B5" w14:paraId="17F8AFD4" w14:textId="77777777" w:rsidTr="00766E2C">
        <w:trPr>
          <w:trHeight w:val="691"/>
          <w:tblHeader/>
        </w:trPr>
        <w:tc>
          <w:tcPr>
            <w:tcW w:w="9032" w:type="dxa"/>
            <w:gridSpan w:val="7"/>
            <w:shd w:val="clear" w:color="auto" w:fill="E8F3FA"/>
            <w:tcMar>
              <w:top w:w="150" w:type="dxa"/>
              <w:left w:w="150" w:type="dxa"/>
              <w:bottom w:w="150" w:type="dxa"/>
              <w:right w:w="150" w:type="dxa"/>
            </w:tcMar>
            <w:hideMark/>
          </w:tcPr>
          <w:p w14:paraId="53AFBD29" w14:textId="4150D084" w:rsidR="004E48B5" w:rsidRPr="00E062B5" w:rsidRDefault="004E48B5" w:rsidP="006535C1">
            <w:pPr>
              <w:spacing w:after="300" w:line="276" w:lineRule="auto"/>
              <w:jc w:val="center"/>
              <w:rPr>
                <w:b/>
                <w:bCs/>
                <w:sz w:val="20"/>
                <w:szCs w:val="20"/>
              </w:rPr>
            </w:pPr>
            <w:r w:rsidRPr="00E062B5">
              <w:rPr>
                <w:b/>
                <w:bCs/>
                <w:sz w:val="20"/>
                <w:szCs w:val="20"/>
                <w:bdr w:val="none" w:sz="0" w:space="0" w:color="auto" w:frame="1"/>
              </w:rPr>
              <w:t>Table 1: Age-specific pertussis diagnostic methods for NSW, Q</w:t>
            </w:r>
            <w:r w:rsidR="54A6FBB1" w:rsidRPr="00E062B5">
              <w:rPr>
                <w:b/>
                <w:bCs/>
                <w:sz w:val="20"/>
                <w:szCs w:val="20"/>
                <w:bdr w:val="none" w:sz="0" w:space="0" w:color="auto" w:frame="1"/>
              </w:rPr>
              <w:t>LD</w:t>
            </w:r>
            <w:r w:rsidRPr="00E062B5">
              <w:rPr>
                <w:b/>
                <w:bCs/>
                <w:sz w:val="20"/>
                <w:szCs w:val="20"/>
                <w:bdr w:val="none" w:sz="0" w:space="0" w:color="auto" w:frame="1"/>
              </w:rPr>
              <w:t>, NT 2000 to 2005, by age group</w:t>
            </w:r>
          </w:p>
        </w:tc>
      </w:tr>
      <w:tr w:rsidR="004E48B5" w:rsidRPr="00E062B5" w14:paraId="0539382D" w14:textId="77777777" w:rsidTr="39DFFD72">
        <w:trPr>
          <w:trHeight w:val="691"/>
        </w:trPr>
        <w:tc>
          <w:tcPr>
            <w:tcW w:w="2621" w:type="dxa"/>
            <w:shd w:val="clear" w:color="auto" w:fill="E8F3FA"/>
            <w:tcMar>
              <w:top w:w="150" w:type="dxa"/>
              <w:left w:w="150" w:type="dxa"/>
              <w:bottom w:w="150" w:type="dxa"/>
              <w:right w:w="150" w:type="dxa"/>
            </w:tcMar>
            <w:hideMark/>
          </w:tcPr>
          <w:p w14:paraId="3A7E1B01" w14:textId="349A197D" w:rsidR="004E48B5" w:rsidRPr="00E062B5" w:rsidRDefault="004E48B5" w:rsidP="006535C1">
            <w:pPr>
              <w:spacing w:after="300" w:line="276" w:lineRule="auto"/>
              <w:jc w:val="center"/>
              <w:rPr>
                <w:b/>
                <w:bCs/>
                <w:sz w:val="20"/>
                <w:szCs w:val="20"/>
              </w:rPr>
            </w:pPr>
          </w:p>
        </w:tc>
        <w:tc>
          <w:tcPr>
            <w:tcW w:w="6411" w:type="dxa"/>
            <w:gridSpan w:val="6"/>
            <w:shd w:val="clear" w:color="auto" w:fill="E8F3FA"/>
            <w:tcMar>
              <w:top w:w="150" w:type="dxa"/>
              <w:left w:w="150" w:type="dxa"/>
              <w:bottom w:w="150" w:type="dxa"/>
              <w:right w:w="150" w:type="dxa"/>
            </w:tcMar>
            <w:hideMark/>
          </w:tcPr>
          <w:p w14:paraId="12DEB7AE" w14:textId="77777777" w:rsidR="004E48B5" w:rsidRPr="00E062B5" w:rsidRDefault="004E48B5" w:rsidP="006535C1">
            <w:pPr>
              <w:spacing w:after="300" w:line="276" w:lineRule="auto"/>
              <w:jc w:val="center"/>
              <w:rPr>
                <w:b/>
                <w:bCs/>
                <w:sz w:val="20"/>
                <w:szCs w:val="20"/>
              </w:rPr>
            </w:pPr>
            <w:r w:rsidRPr="00E062B5">
              <w:rPr>
                <w:b/>
                <w:bCs/>
                <w:sz w:val="20"/>
                <w:szCs w:val="20"/>
                <w:bdr w:val="none" w:sz="0" w:space="0" w:color="auto" w:frame="1"/>
              </w:rPr>
              <w:t>% by age group</w:t>
            </w:r>
          </w:p>
        </w:tc>
      </w:tr>
      <w:tr w:rsidR="004E48B5" w:rsidRPr="00E062B5" w14:paraId="314D4140" w14:textId="77777777" w:rsidTr="39DFFD72">
        <w:trPr>
          <w:trHeight w:val="691"/>
        </w:trPr>
        <w:tc>
          <w:tcPr>
            <w:tcW w:w="2621" w:type="dxa"/>
            <w:shd w:val="clear" w:color="auto" w:fill="E8F3FA"/>
            <w:tcMar>
              <w:top w:w="150" w:type="dxa"/>
              <w:left w:w="150" w:type="dxa"/>
              <w:bottom w:w="150" w:type="dxa"/>
              <w:right w:w="150" w:type="dxa"/>
            </w:tcMar>
            <w:hideMark/>
          </w:tcPr>
          <w:p w14:paraId="7F2CBF08" w14:textId="77777777" w:rsidR="004E48B5" w:rsidRPr="00E062B5" w:rsidRDefault="004E48B5" w:rsidP="006535C1">
            <w:pPr>
              <w:spacing w:after="300" w:line="276" w:lineRule="auto"/>
              <w:jc w:val="center"/>
              <w:rPr>
                <w:b/>
                <w:bCs/>
                <w:sz w:val="20"/>
                <w:szCs w:val="20"/>
              </w:rPr>
            </w:pPr>
            <w:r w:rsidRPr="00E062B5">
              <w:rPr>
                <w:b/>
                <w:bCs/>
                <w:sz w:val="20"/>
                <w:szCs w:val="20"/>
                <w:bdr w:val="none" w:sz="0" w:space="0" w:color="auto" w:frame="1"/>
              </w:rPr>
              <w:t>Diagnostic method</w:t>
            </w:r>
          </w:p>
        </w:tc>
        <w:tc>
          <w:tcPr>
            <w:tcW w:w="1117" w:type="dxa"/>
            <w:shd w:val="clear" w:color="auto" w:fill="FFFFFF" w:themeFill="background1"/>
            <w:tcMar>
              <w:top w:w="150" w:type="dxa"/>
              <w:left w:w="150" w:type="dxa"/>
              <w:bottom w:w="150" w:type="dxa"/>
              <w:right w:w="150" w:type="dxa"/>
            </w:tcMar>
            <w:hideMark/>
          </w:tcPr>
          <w:p w14:paraId="72A987F2"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&lt;1</w:t>
            </w:r>
          </w:p>
        </w:tc>
        <w:tc>
          <w:tcPr>
            <w:tcW w:w="886" w:type="dxa"/>
            <w:shd w:val="clear" w:color="auto" w:fill="FFFFFF" w:themeFill="background1"/>
            <w:tcMar>
              <w:top w:w="150" w:type="dxa"/>
              <w:left w:w="150" w:type="dxa"/>
              <w:bottom w:w="150" w:type="dxa"/>
              <w:right w:w="150" w:type="dxa"/>
            </w:tcMar>
            <w:hideMark/>
          </w:tcPr>
          <w:p w14:paraId="6CD13A6F"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1-4</w:t>
            </w:r>
          </w:p>
        </w:tc>
        <w:tc>
          <w:tcPr>
            <w:tcW w:w="1117" w:type="dxa"/>
            <w:shd w:val="clear" w:color="auto" w:fill="FFFFFF" w:themeFill="background1"/>
            <w:tcMar>
              <w:top w:w="150" w:type="dxa"/>
              <w:left w:w="150" w:type="dxa"/>
              <w:bottom w:w="150" w:type="dxa"/>
              <w:right w:w="150" w:type="dxa"/>
            </w:tcMar>
            <w:hideMark/>
          </w:tcPr>
          <w:p w14:paraId="31BBA757"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5-9</w:t>
            </w:r>
          </w:p>
        </w:tc>
        <w:tc>
          <w:tcPr>
            <w:tcW w:w="1117" w:type="dxa"/>
            <w:shd w:val="clear" w:color="auto" w:fill="FFFFFF" w:themeFill="background1"/>
            <w:tcMar>
              <w:top w:w="150" w:type="dxa"/>
              <w:left w:w="150" w:type="dxa"/>
              <w:bottom w:w="150" w:type="dxa"/>
              <w:right w:w="150" w:type="dxa"/>
            </w:tcMar>
            <w:hideMark/>
          </w:tcPr>
          <w:p w14:paraId="070F878E"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10-19</w:t>
            </w:r>
          </w:p>
        </w:tc>
        <w:tc>
          <w:tcPr>
            <w:tcW w:w="1348" w:type="dxa"/>
            <w:shd w:val="clear" w:color="auto" w:fill="FFFFFF" w:themeFill="background1"/>
            <w:tcMar>
              <w:top w:w="150" w:type="dxa"/>
              <w:left w:w="150" w:type="dxa"/>
              <w:bottom w:w="150" w:type="dxa"/>
              <w:right w:w="150" w:type="dxa"/>
            </w:tcMar>
            <w:hideMark/>
          </w:tcPr>
          <w:p w14:paraId="79D008FB"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20-59</w:t>
            </w:r>
          </w:p>
        </w:tc>
        <w:tc>
          <w:tcPr>
            <w:tcW w:w="826" w:type="dxa"/>
            <w:shd w:val="clear" w:color="auto" w:fill="FFFFFF" w:themeFill="background1"/>
            <w:tcMar>
              <w:top w:w="150" w:type="dxa"/>
              <w:left w:w="150" w:type="dxa"/>
              <w:bottom w:w="150" w:type="dxa"/>
              <w:right w:w="150" w:type="dxa"/>
            </w:tcMar>
            <w:hideMark/>
          </w:tcPr>
          <w:p w14:paraId="3CF58071"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60+</w:t>
            </w:r>
          </w:p>
        </w:tc>
      </w:tr>
      <w:tr w:rsidR="004E48B5" w:rsidRPr="00E062B5" w14:paraId="2508D647" w14:textId="77777777" w:rsidTr="39DFFD72">
        <w:trPr>
          <w:trHeight w:val="674"/>
        </w:trPr>
        <w:tc>
          <w:tcPr>
            <w:tcW w:w="2621" w:type="dxa"/>
            <w:shd w:val="clear" w:color="auto" w:fill="E8F3FA"/>
            <w:tcMar>
              <w:top w:w="150" w:type="dxa"/>
              <w:left w:w="150" w:type="dxa"/>
              <w:bottom w:w="150" w:type="dxa"/>
              <w:right w:w="150" w:type="dxa"/>
            </w:tcMar>
            <w:hideMark/>
          </w:tcPr>
          <w:p w14:paraId="7BCCF1B0" w14:textId="77777777" w:rsidR="004E48B5" w:rsidRPr="00E062B5" w:rsidRDefault="004E48B5" w:rsidP="006535C1">
            <w:pPr>
              <w:spacing w:after="300" w:line="276" w:lineRule="auto"/>
              <w:jc w:val="center"/>
              <w:rPr>
                <w:b/>
                <w:bCs/>
                <w:sz w:val="20"/>
                <w:szCs w:val="20"/>
              </w:rPr>
            </w:pPr>
            <w:r w:rsidRPr="00E062B5">
              <w:rPr>
                <w:b/>
                <w:bCs/>
                <w:sz w:val="20"/>
                <w:szCs w:val="20"/>
                <w:bdr w:val="none" w:sz="0" w:space="0" w:color="auto" w:frame="1"/>
              </w:rPr>
              <w:t>Culture</w:t>
            </w:r>
          </w:p>
        </w:tc>
        <w:tc>
          <w:tcPr>
            <w:tcW w:w="1117" w:type="dxa"/>
            <w:shd w:val="clear" w:color="auto" w:fill="FFFFFF" w:themeFill="background1"/>
            <w:tcMar>
              <w:top w:w="150" w:type="dxa"/>
              <w:left w:w="150" w:type="dxa"/>
              <w:bottom w:w="150" w:type="dxa"/>
              <w:right w:w="150" w:type="dxa"/>
            </w:tcMar>
            <w:hideMark/>
          </w:tcPr>
          <w:p w14:paraId="0060EB0C"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9.6</w:t>
            </w:r>
          </w:p>
        </w:tc>
        <w:tc>
          <w:tcPr>
            <w:tcW w:w="886" w:type="dxa"/>
            <w:shd w:val="clear" w:color="auto" w:fill="FFFFFF" w:themeFill="background1"/>
            <w:tcMar>
              <w:top w:w="150" w:type="dxa"/>
              <w:left w:w="150" w:type="dxa"/>
              <w:bottom w:w="150" w:type="dxa"/>
              <w:right w:w="150" w:type="dxa"/>
            </w:tcMar>
            <w:hideMark/>
          </w:tcPr>
          <w:p w14:paraId="2125D373"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3.1</w:t>
            </w:r>
          </w:p>
        </w:tc>
        <w:tc>
          <w:tcPr>
            <w:tcW w:w="1117" w:type="dxa"/>
            <w:shd w:val="clear" w:color="auto" w:fill="FFFFFF" w:themeFill="background1"/>
            <w:tcMar>
              <w:top w:w="150" w:type="dxa"/>
              <w:left w:w="150" w:type="dxa"/>
              <w:bottom w:w="150" w:type="dxa"/>
              <w:right w:w="150" w:type="dxa"/>
            </w:tcMar>
            <w:hideMark/>
          </w:tcPr>
          <w:p w14:paraId="432D9D13"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1.9</w:t>
            </w:r>
          </w:p>
        </w:tc>
        <w:tc>
          <w:tcPr>
            <w:tcW w:w="1117" w:type="dxa"/>
            <w:shd w:val="clear" w:color="auto" w:fill="FFFFFF" w:themeFill="background1"/>
            <w:tcMar>
              <w:top w:w="150" w:type="dxa"/>
              <w:left w:w="150" w:type="dxa"/>
              <w:bottom w:w="150" w:type="dxa"/>
              <w:right w:w="150" w:type="dxa"/>
            </w:tcMar>
            <w:hideMark/>
          </w:tcPr>
          <w:p w14:paraId="47EFAFE7"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1.3</w:t>
            </w:r>
          </w:p>
        </w:tc>
        <w:tc>
          <w:tcPr>
            <w:tcW w:w="1348" w:type="dxa"/>
            <w:shd w:val="clear" w:color="auto" w:fill="FFFFFF" w:themeFill="background1"/>
            <w:tcMar>
              <w:top w:w="150" w:type="dxa"/>
              <w:left w:w="150" w:type="dxa"/>
              <w:bottom w:w="150" w:type="dxa"/>
              <w:right w:w="150" w:type="dxa"/>
            </w:tcMar>
            <w:hideMark/>
          </w:tcPr>
          <w:p w14:paraId="513C0E21"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0.9</w:t>
            </w:r>
          </w:p>
        </w:tc>
        <w:tc>
          <w:tcPr>
            <w:tcW w:w="826" w:type="dxa"/>
            <w:shd w:val="clear" w:color="auto" w:fill="FFFFFF" w:themeFill="background1"/>
            <w:tcMar>
              <w:top w:w="150" w:type="dxa"/>
              <w:left w:w="150" w:type="dxa"/>
              <w:bottom w:w="150" w:type="dxa"/>
              <w:right w:w="150" w:type="dxa"/>
            </w:tcMar>
            <w:hideMark/>
          </w:tcPr>
          <w:p w14:paraId="07F6E055"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0.9</w:t>
            </w:r>
          </w:p>
        </w:tc>
      </w:tr>
      <w:tr w:rsidR="004E48B5" w:rsidRPr="00E062B5" w14:paraId="28492017" w14:textId="77777777" w:rsidTr="39DFFD72">
        <w:trPr>
          <w:trHeight w:val="691"/>
        </w:trPr>
        <w:tc>
          <w:tcPr>
            <w:tcW w:w="2621" w:type="dxa"/>
            <w:shd w:val="clear" w:color="auto" w:fill="E8F3FA"/>
            <w:tcMar>
              <w:top w:w="150" w:type="dxa"/>
              <w:left w:w="150" w:type="dxa"/>
              <w:bottom w:w="150" w:type="dxa"/>
              <w:right w:w="150" w:type="dxa"/>
            </w:tcMar>
            <w:hideMark/>
          </w:tcPr>
          <w:p w14:paraId="5F111A83" w14:textId="77777777" w:rsidR="004E48B5" w:rsidRPr="00E062B5" w:rsidRDefault="004E48B5" w:rsidP="006535C1">
            <w:pPr>
              <w:spacing w:after="300" w:line="276" w:lineRule="auto"/>
              <w:jc w:val="center"/>
              <w:rPr>
                <w:b/>
                <w:bCs/>
                <w:sz w:val="20"/>
                <w:szCs w:val="20"/>
              </w:rPr>
            </w:pPr>
            <w:r w:rsidRPr="00E062B5">
              <w:rPr>
                <w:b/>
                <w:bCs/>
                <w:sz w:val="20"/>
                <w:szCs w:val="20"/>
                <w:bdr w:val="none" w:sz="0" w:space="0" w:color="auto" w:frame="1"/>
              </w:rPr>
              <w:t>Nucleic acid testing</w:t>
            </w:r>
          </w:p>
        </w:tc>
        <w:tc>
          <w:tcPr>
            <w:tcW w:w="1117" w:type="dxa"/>
            <w:shd w:val="clear" w:color="auto" w:fill="FFFFFF" w:themeFill="background1"/>
            <w:tcMar>
              <w:top w:w="150" w:type="dxa"/>
              <w:left w:w="150" w:type="dxa"/>
              <w:bottom w:w="150" w:type="dxa"/>
              <w:right w:w="150" w:type="dxa"/>
            </w:tcMar>
            <w:hideMark/>
          </w:tcPr>
          <w:p w14:paraId="2E3300B0"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59.7</w:t>
            </w:r>
          </w:p>
        </w:tc>
        <w:tc>
          <w:tcPr>
            <w:tcW w:w="886" w:type="dxa"/>
            <w:shd w:val="clear" w:color="auto" w:fill="FFFFFF" w:themeFill="background1"/>
            <w:tcMar>
              <w:top w:w="150" w:type="dxa"/>
              <w:left w:w="150" w:type="dxa"/>
              <w:bottom w:w="150" w:type="dxa"/>
              <w:right w:w="150" w:type="dxa"/>
            </w:tcMar>
            <w:hideMark/>
          </w:tcPr>
          <w:p w14:paraId="75AE2565"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39.1</w:t>
            </w:r>
          </w:p>
        </w:tc>
        <w:tc>
          <w:tcPr>
            <w:tcW w:w="1117" w:type="dxa"/>
            <w:shd w:val="clear" w:color="auto" w:fill="FFFFFF" w:themeFill="background1"/>
            <w:tcMar>
              <w:top w:w="150" w:type="dxa"/>
              <w:left w:w="150" w:type="dxa"/>
              <w:bottom w:w="150" w:type="dxa"/>
              <w:right w:w="150" w:type="dxa"/>
            </w:tcMar>
            <w:hideMark/>
          </w:tcPr>
          <w:p w14:paraId="34DD7C24"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21.3</w:t>
            </w:r>
          </w:p>
        </w:tc>
        <w:tc>
          <w:tcPr>
            <w:tcW w:w="1117" w:type="dxa"/>
            <w:shd w:val="clear" w:color="auto" w:fill="FFFFFF" w:themeFill="background1"/>
            <w:tcMar>
              <w:top w:w="150" w:type="dxa"/>
              <w:left w:w="150" w:type="dxa"/>
              <w:bottom w:w="150" w:type="dxa"/>
              <w:right w:w="150" w:type="dxa"/>
            </w:tcMar>
            <w:hideMark/>
          </w:tcPr>
          <w:p w14:paraId="2FF05303"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11.1</w:t>
            </w:r>
          </w:p>
        </w:tc>
        <w:tc>
          <w:tcPr>
            <w:tcW w:w="1348" w:type="dxa"/>
            <w:shd w:val="clear" w:color="auto" w:fill="FFFFFF" w:themeFill="background1"/>
            <w:tcMar>
              <w:top w:w="150" w:type="dxa"/>
              <w:left w:w="150" w:type="dxa"/>
              <w:bottom w:w="150" w:type="dxa"/>
              <w:right w:w="150" w:type="dxa"/>
            </w:tcMar>
            <w:hideMark/>
          </w:tcPr>
          <w:p w14:paraId="31AD5D14"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7.1</w:t>
            </w:r>
          </w:p>
        </w:tc>
        <w:tc>
          <w:tcPr>
            <w:tcW w:w="826" w:type="dxa"/>
            <w:shd w:val="clear" w:color="auto" w:fill="FFFFFF" w:themeFill="background1"/>
            <w:tcMar>
              <w:top w:w="150" w:type="dxa"/>
              <w:left w:w="150" w:type="dxa"/>
              <w:bottom w:w="150" w:type="dxa"/>
              <w:right w:w="150" w:type="dxa"/>
            </w:tcMar>
            <w:hideMark/>
          </w:tcPr>
          <w:p w14:paraId="62D88A93"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4.3</w:t>
            </w:r>
          </w:p>
        </w:tc>
      </w:tr>
      <w:tr w:rsidR="004E48B5" w:rsidRPr="00E062B5" w14:paraId="24F5B695" w14:textId="77777777" w:rsidTr="39DFFD72">
        <w:trPr>
          <w:trHeight w:val="691"/>
        </w:trPr>
        <w:tc>
          <w:tcPr>
            <w:tcW w:w="2621" w:type="dxa"/>
            <w:shd w:val="clear" w:color="auto" w:fill="E8F3FA"/>
            <w:tcMar>
              <w:top w:w="150" w:type="dxa"/>
              <w:left w:w="150" w:type="dxa"/>
              <w:bottom w:w="150" w:type="dxa"/>
              <w:right w:w="150" w:type="dxa"/>
            </w:tcMar>
            <w:hideMark/>
          </w:tcPr>
          <w:p w14:paraId="1860E168" w14:textId="77777777" w:rsidR="004E48B5" w:rsidRPr="00E062B5" w:rsidRDefault="004E48B5" w:rsidP="006535C1">
            <w:pPr>
              <w:spacing w:after="300" w:line="276" w:lineRule="auto"/>
              <w:jc w:val="center"/>
              <w:rPr>
                <w:b/>
                <w:bCs/>
                <w:sz w:val="20"/>
                <w:szCs w:val="20"/>
              </w:rPr>
            </w:pPr>
            <w:r w:rsidRPr="00E062B5">
              <w:rPr>
                <w:b/>
                <w:bCs/>
                <w:sz w:val="20"/>
                <w:szCs w:val="20"/>
                <w:bdr w:val="none" w:sz="0" w:space="0" w:color="auto" w:frame="1"/>
              </w:rPr>
              <w:t>Serology</w:t>
            </w:r>
          </w:p>
        </w:tc>
        <w:tc>
          <w:tcPr>
            <w:tcW w:w="1117" w:type="dxa"/>
            <w:shd w:val="clear" w:color="auto" w:fill="FFFFFF" w:themeFill="background1"/>
            <w:tcMar>
              <w:top w:w="150" w:type="dxa"/>
              <w:left w:w="150" w:type="dxa"/>
              <w:bottom w:w="150" w:type="dxa"/>
              <w:right w:w="150" w:type="dxa"/>
            </w:tcMar>
            <w:hideMark/>
          </w:tcPr>
          <w:p w14:paraId="57B41E75"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8.7</w:t>
            </w:r>
          </w:p>
        </w:tc>
        <w:tc>
          <w:tcPr>
            <w:tcW w:w="886" w:type="dxa"/>
            <w:shd w:val="clear" w:color="auto" w:fill="FFFFFF" w:themeFill="background1"/>
            <w:tcMar>
              <w:top w:w="150" w:type="dxa"/>
              <w:left w:w="150" w:type="dxa"/>
              <w:bottom w:w="150" w:type="dxa"/>
              <w:right w:w="150" w:type="dxa"/>
            </w:tcMar>
            <w:hideMark/>
          </w:tcPr>
          <w:p w14:paraId="340159E1"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26.4</w:t>
            </w:r>
          </w:p>
        </w:tc>
        <w:tc>
          <w:tcPr>
            <w:tcW w:w="1117" w:type="dxa"/>
            <w:shd w:val="clear" w:color="auto" w:fill="FFFFFF" w:themeFill="background1"/>
            <w:tcMar>
              <w:top w:w="150" w:type="dxa"/>
              <w:left w:w="150" w:type="dxa"/>
              <w:bottom w:w="150" w:type="dxa"/>
              <w:right w:w="150" w:type="dxa"/>
            </w:tcMar>
            <w:hideMark/>
          </w:tcPr>
          <w:p w14:paraId="32E1CB61"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52.5</w:t>
            </w:r>
          </w:p>
        </w:tc>
        <w:tc>
          <w:tcPr>
            <w:tcW w:w="1117" w:type="dxa"/>
            <w:shd w:val="clear" w:color="auto" w:fill="FFFFFF" w:themeFill="background1"/>
            <w:tcMar>
              <w:top w:w="150" w:type="dxa"/>
              <w:left w:w="150" w:type="dxa"/>
              <w:bottom w:w="150" w:type="dxa"/>
              <w:right w:w="150" w:type="dxa"/>
            </w:tcMar>
            <w:hideMark/>
          </w:tcPr>
          <w:p w14:paraId="1B441C63"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73.8</w:t>
            </w:r>
          </w:p>
        </w:tc>
        <w:tc>
          <w:tcPr>
            <w:tcW w:w="1348" w:type="dxa"/>
            <w:shd w:val="clear" w:color="auto" w:fill="FFFFFF" w:themeFill="background1"/>
            <w:tcMar>
              <w:top w:w="150" w:type="dxa"/>
              <w:left w:w="150" w:type="dxa"/>
              <w:bottom w:w="150" w:type="dxa"/>
              <w:right w:w="150" w:type="dxa"/>
            </w:tcMar>
            <w:hideMark/>
          </w:tcPr>
          <w:p w14:paraId="1F01B4C5"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81.3</w:t>
            </w:r>
          </w:p>
        </w:tc>
        <w:tc>
          <w:tcPr>
            <w:tcW w:w="826" w:type="dxa"/>
            <w:shd w:val="clear" w:color="auto" w:fill="FFFFFF" w:themeFill="background1"/>
            <w:tcMar>
              <w:top w:w="150" w:type="dxa"/>
              <w:left w:w="150" w:type="dxa"/>
              <w:bottom w:w="150" w:type="dxa"/>
              <w:right w:w="150" w:type="dxa"/>
            </w:tcMar>
            <w:hideMark/>
          </w:tcPr>
          <w:p w14:paraId="1F80A2E4" w14:textId="77777777" w:rsidR="004E48B5" w:rsidRPr="00E062B5" w:rsidRDefault="004E48B5" w:rsidP="006535C1">
            <w:pPr>
              <w:spacing w:after="300" w:line="276" w:lineRule="auto"/>
              <w:jc w:val="center"/>
              <w:rPr>
                <w:sz w:val="20"/>
                <w:szCs w:val="20"/>
              </w:rPr>
            </w:pPr>
            <w:r w:rsidRPr="00E062B5">
              <w:rPr>
                <w:sz w:val="20"/>
                <w:szCs w:val="20"/>
                <w:bdr w:val="none" w:sz="0" w:space="0" w:color="auto" w:frame="1"/>
              </w:rPr>
              <w:t>88</w:t>
            </w:r>
          </w:p>
        </w:tc>
      </w:tr>
    </w:tbl>
    <w:p w14:paraId="63B254A1" w14:textId="06F88562" w:rsidR="004E48B5" w:rsidRPr="00E062B5" w:rsidRDefault="004E48B5">
      <w:r w:rsidRPr="00E062B5">
        <w:rPr>
          <w:shd w:val="clear" w:color="auto" w:fill="FFFFFF"/>
        </w:rPr>
        <w:lastRenderedPageBreak/>
        <w:t xml:space="preserve">The majority of serological pertussis notifications in Australia have been based on elevated IgA antibodies against whole cell antigens (see http://www.rcpaqap.com/serology/diseaseresult.cfm. Currently available commercial EIA kits use a variety of antigens including whole cell lysates, pertussis toxin (PT), or filamentous </w:t>
      </w:r>
      <w:r w:rsidR="785E550A" w:rsidRPr="00E062B5">
        <w:rPr>
          <w:shd w:val="clear" w:color="auto" w:fill="FFFFFF"/>
        </w:rPr>
        <w:t>haemagglutinin</w:t>
      </w:r>
      <w:r w:rsidRPr="00E062B5">
        <w:rPr>
          <w:shd w:val="clear" w:color="auto" w:fill="FFFFFF"/>
        </w:rPr>
        <w:t xml:space="preserve"> (FHA) and may detect IgA, IgM or IgG depending upon the conjugate used. If the precision of the assay is such that the intra-assay coefficients of variation are &lt;10%, a two-fold increase or decrease in titre can be considered significant.</w:t>
      </w:r>
      <w:r w:rsidR="67747A02" w:rsidRPr="00E062B5">
        <w:rPr>
          <w:shd w:val="clear" w:color="auto" w:fill="FFFFFF"/>
        </w:rPr>
        <w:t xml:space="preserve">  </w:t>
      </w:r>
      <w:r w:rsidR="40110B1C">
        <w:t>Two</w:t>
      </w:r>
      <w:r w:rsidRPr="00E062B5">
        <w:rPr>
          <w:shd w:val="clear" w:color="auto" w:fill="FFFFFF"/>
        </w:rPr>
        <w:t xml:space="preserve"> mmunoblot assays can demonstrate whether the antibody detected is directed against PT or FHA and can be used to further characterise an immune response measure by EIA in cases where significant public health action is contemplated.</w:t>
      </w:r>
    </w:p>
    <w:p w14:paraId="735C4D44" w14:textId="77777777" w:rsidR="001D77E8" w:rsidRPr="00E062B5" w:rsidRDefault="001D77E8" w:rsidP="00211DFF">
      <w:pPr>
        <w:shd w:val="clear" w:color="auto" w:fill="FFFFFF"/>
        <w:spacing w:after="120"/>
        <w:outlineLvl w:val="3"/>
        <w:rPr>
          <w:sz w:val="24"/>
        </w:rPr>
      </w:pPr>
      <w:r w:rsidRPr="00E062B5">
        <w:rPr>
          <w:sz w:val="24"/>
        </w:rPr>
        <w:t>3.4.2 Suitable specimens</w:t>
      </w:r>
    </w:p>
    <w:p w14:paraId="370D2616" w14:textId="4B9323FC" w:rsidR="001D77E8" w:rsidRPr="00E062B5" w:rsidRDefault="001D77E8" w:rsidP="00211DFF">
      <w:r w:rsidRPr="00E062B5">
        <w:rPr>
          <w:shd w:val="clear" w:color="auto" w:fill="FFFFFF"/>
        </w:rPr>
        <w:t>Serum is the specimen of choice. In Western Australia, pertussis whole-cell IgA assay has been performed on pernasal aspirates.</w:t>
      </w:r>
      <w:r w:rsidR="0089468F">
        <w:rPr>
          <w:shd w:val="clear" w:color="auto" w:fill="FFFFFF"/>
          <w:vertAlign w:val="superscript"/>
        </w:rPr>
        <w:t>42</w:t>
      </w:r>
      <w:r w:rsidRPr="00E062B5">
        <w:br/>
      </w:r>
      <w:r w:rsidRPr="00E062B5">
        <w:rPr>
          <w:shd w:val="clear" w:color="auto" w:fill="FFFFFF"/>
        </w:rPr>
        <w:t>This specimen type is not routinely recommended unless extensive local validation has been performed.</w:t>
      </w:r>
      <w:r w:rsidRPr="00E062B5">
        <w:rPr>
          <w:shd w:val="clear" w:color="auto" w:fill="FFFFFF"/>
          <w:vertAlign w:val="superscript"/>
        </w:rPr>
        <w:t>3</w:t>
      </w:r>
      <w:r w:rsidR="0089468F">
        <w:rPr>
          <w:shd w:val="clear" w:color="auto" w:fill="FFFFFF"/>
          <w:vertAlign w:val="superscript"/>
        </w:rPr>
        <w:t>8,43</w:t>
      </w:r>
      <w:r w:rsidRPr="00E062B5">
        <w:rPr>
          <w:shd w:val="clear" w:color="auto" w:fill="FFFFFF"/>
        </w:rPr>
        <w:t> IgA responses to pertussis antigens can also be detected in saliva, but currently there is no accepted role for this in day-to-day laboratory diagnosis of pertussis.</w:t>
      </w:r>
      <w:r w:rsidR="0089468F">
        <w:rPr>
          <w:shd w:val="clear" w:color="auto" w:fill="FFFFFF"/>
          <w:vertAlign w:val="superscript"/>
        </w:rPr>
        <w:t>44</w:t>
      </w:r>
    </w:p>
    <w:p w14:paraId="0E7AE18D" w14:textId="77777777" w:rsidR="001D77E8" w:rsidRPr="00E062B5" w:rsidRDefault="001D77E8" w:rsidP="00211DFF">
      <w:pPr>
        <w:shd w:val="clear" w:color="auto" w:fill="FFFFFF"/>
        <w:spacing w:after="120"/>
        <w:outlineLvl w:val="3"/>
        <w:rPr>
          <w:sz w:val="24"/>
        </w:rPr>
      </w:pPr>
      <w:r w:rsidRPr="00E062B5">
        <w:rPr>
          <w:sz w:val="24"/>
        </w:rPr>
        <w:t>3.4.3 Test sensitivity and specificity</w:t>
      </w:r>
    </w:p>
    <w:p w14:paraId="1B2BA39C" w14:textId="0721A34C" w:rsidR="001D77E8" w:rsidRPr="00E062B5" w:rsidRDefault="001D77E8" w:rsidP="00211DFF">
      <w:r w:rsidRPr="00E062B5">
        <w:rPr>
          <w:shd w:val="clear" w:color="auto" w:fill="FFFFFF"/>
        </w:rPr>
        <w:t>The accuracy of test result</w:t>
      </w:r>
      <w:r w:rsidR="62D8CEE9" w:rsidRPr="00E062B5">
        <w:rPr>
          <w:shd w:val="clear" w:color="auto" w:fill="FFFFFF"/>
        </w:rPr>
        <w:t>s</w:t>
      </w:r>
      <w:r w:rsidRPr="00E062B5">
        <w:rPr>
          <w:shd w:val="clear" w:color="auto" w:fill="FFFFFF"/>
        </w:rPr>
        <w:t xml:space="preserve"> var</w:t>
      </w:r>
      <w:r w:rsidR="62218C7E" w:rsidRPr="00E062B5">
        <w:rPr>
          <w:shd w:val="clear" w:color="auto" w:fill="FFFFFF"/>
        </w:rPr>
        <w:t xml:space="preserve">y </w:t>
      </w:r>
      <w:r w:rsidRPr="00E062B5">
        <w:rPr>
          <w:shd w:val="clear" w:color="auto" w:fill="FFFFFF"/>
        </w:rPr>
        <w:t>between different kits, and the variety of antigens used. Due to technical issues associated with a specific EIA resulting in overdiagnosis of pertussis in 2006, there has been a move away from whole cell antigen assays in Australia to those using PT alone or in combination with FHA. Manufacturers add additional antigens such as FHA, pertactin (PRN) and fimbriae types 2 and 3 to boost the sensitivity of their tests but this leads to a loss of specificity. PT antibodies are specific for pertussis, but antibodies to FHA or whole cell antigens may be raised due to infections with other </w:t>
      </w:r>
      <w:r w:rsidRPr="39DFFD72">
        <w:rPr>
          <w:i/>
          <w:iCs/>
          <w:shd w:val="clear" w:color="auto" w:fill="FFFFFF"/>
        </w:rPr>
        <w:t>Bordetella</w:t>
      </w:r>
      <w:r w:rsidRPr="00E062B5">
        <w:rPr>
          <w:shd w:val="clear" w:color="auto" w:fill="FFFFFF"/>
        </w:rPr>
        <w:t> species including </w:t>
      </w:r>
      <w:r w:rsidRPr="39DFFD72">
        <w:rPr>
          <w:i/>
          <w:iCs/>
          <w:shd w:val="clear" w:color="auto" w:fill="FFFFFF"/>
        </w:rPr>
        <w:t>B</w:t>
      </w:r>
      <w:r w:rsidR="5338F63F" w:rsidRPr="39DFFD72">
        <w:rPr>
          <w:i/>
          <w:iCs/>
          <w:shd w:val="clear" w:color="auto" w:fill="FFFFFF"/>
        </w:rPr>
        <w:t>.</w:t>
      </w:r>
      <w:r w:rsidRPr="39DFFD72">
        <w:rPr>
          <w:i/>
          <w:iCs/>
          <w:shd w:val="clear" w:color="auto" w:fill="FFFFFF"/>
        </w:rPr>
        <w:t xml:space="preserve"> parapertussis</w:t>
      </w:r>
      <w:r w:rsidRPr="00E062B5">
        <w:rPr>
          <w:shd w:val="clear" w:color="auto" w:fill="FFFFFF"/>
        </w:rPr>
        <w:t>. FHA can cross-react with other common respiratory pathogens – </w:t>
      </w:r>
      <w:r w:rsidRPr="39DFFD72">
        <w:rPr>
          <w:i/>
          <w:iCs/>
          <w:shd w:val="clear" w:color="auto" w:fill="FFFFFF"/>
        </w:rPr>
        <w:t>Mycoplasma pneumoniae, Chlamydia pneumoniae,</w:t>
      </w:r>
      <w:r w:rsidRPr="00E062B5">
        <w:rPr>
          <w:shd w:val="clear" w:color="auto" w:fill="FFFFFF"/>
        </w:rPr>
        <w:t xml:space="preserve"> and </w:t>
      </w:r>
      <w:r w:rsidRPr="39DFFD72">
        <w:rPr>
          <w:i/>
          <w:iCs/>
          <w:shd w:val="clear" w:color="auto" w:fill="FFFFFF"/>
        </w:rPr>
        <w:t>H</w:t>
      </w:r>
      <w:r w:rsidR="305DC9F5" w:rsidRPr="39DFFD72">
        <w:rPr>
          <w:i/>
          <w:iCs/>
          <w:shd w:val="clear" w:color="auto" w:fill="FFFFFF"/>
        </w:rPr>
        <w:t>.</w:t>
      </w:r>
      <w:r w:rsidRPr="39DFFD72">
        <w:rPr>
          <w:i/>
          <w:iCs/>
          <w:shd w:val="clear" w:color="auto" w:fill="FFFFFF"/>
        </w:rPr>
        <w:t xml:space="preserve"> influenzae</w:t>
      </w:r>
      <w:r w:rsidRPr="00E062B5">
        <w:rPr>
          <w:shd w:val="clear" w:color="auto" w:fill="FFFFFF"/>
        </w:rPr>
        <w:t>.</w:t>
      </w:r>
      <w:r w:rsidRPr="00E062B5">
        <w:rPr>
          <w:shd w:val="clear" w:color="auto" w:fill="FFFFFF"/>
          <w:vertAlign w:val="superscript"/>
        </w:rPr>
        <w:t>2</w:t>
      </w:r>
      <w:r w:rsidRPr="00E062B5">
        <w:rPr>
          <w:shd w:val="clear" w:color="auto" w:fill="FFFFFF"/>
        </w:rPr>
        <w:t>,</w:t>
      </w:r>
      <w:r w:rsidR="0089468F">
        <w:rPr>
          <w:shd w:val="clear" w:color="auto" w:fill="FFFFFF"/>
          <w:vertAlign w:val="superscript"/>
        </w:rPr>
        <w:t>45</w:t>
      </w:r>
    </w:p>
    <w:p w14:paraId="7CE4F548" w14:textId="4918232A" w:rsidR="001D77E8" w:rsidRPr="00E062B5" w:rsidRDefault="001D77E8" w:rsidP="00211DFF">
      <w:r w:rsidRPr="00E062B5">
        <w:rPr>
          <w:shd w:val="clear" w:color="auto" w:fill="FFFFFF"/>
        </w:rPr>
        <w:t>An elevated anti-PT IgG has been recognised in the literature over the last decade as being a very specific marker for recent pertussis infection</w:t>
      </w:r>
      <w:r w:rsidR="0089468F">
        <w:rPr>
          <w:shd w:val="clear" w:color="auto" w:fill="FFFFFF"/>
        </w:rPr>
        <w:t>.</w:t>
      </w:r>
      <w:r w:rsidR="0089468F">
        <w:rPr>
          <w:shd w:val="clear" w:color="auto" w:fill="FFFFFF"/>
          <w:vertAlign w:val="superscript"/>
        </w:rPr>
        <w:t>46-48,56</w:t>
      </w:r>
      <w:r w:rsidRPr="00E062B5">
        <w:rPr>
          <w:shd w:val="clear" w:color="auto" w:fill="FFFFFF"/>
        </w:rPr>
        <w:t xml:space="preserve"> Investigators from the Netherlands found that a single serum sample with an anti-PT IgG &gt; 100 U/mL was indicative of recent infection with </w:t>
      </w:r>
      <w:r w:rsidRPr="39DFFD72">
        <w:rPr>
          <w:i/>
          <w:iCs/>
          <w:shd w:val="clear" w:color="auto" w:fill="FFFFFF"/>
        </w:rPr>
        <w:t>B.</w:t>
      </w:r>
      <w:r w:rsidR="1EE4ECAA" w:rsidRPr="39DFFD72">
        <w:rPr>
          <w:i/>
          <w:iCs/>
          <w:shd w:val="clear" w:color="auto" w:fill="FFFFFF"/>
        </w:rPr>
        <w:t xml:space="preserve"> </w:t>
      </w:r>
      <w:r w:rsidRPr="39DFFD72">
        <w:rPr>
          <w:i/>
          <w:iCs/>
          <w:shd w:val="clear" w:color="auto" w:fill="FFFFFF"/>
        </w:rPr>
        <w:t>pertussis.</w:t>
      </w:r>
      <w:r w:rsidR="0089468F">
        <w:rPr>
          <w:shd w:val="clear" w:color="auto" w:fill="FFFFFF"/>
          <w:vertAlign w:val="superscript"/>
        </w:rPr>
        <w:t>46</w:t>
      </w:r>
      <w:r w:rsidRPr="00E062B5">
        <w:rPr>
          <w:shd w:val="clear" w:color="auto" w:fill="FFFFFF"/>
        </w:rPr>
        <w:t xml:space="preserve"> Such levels were present in &lt;1% of the general population, and were reached in most pertussis patients within 4 weeks of disease onset and persistence was short lived. Pebody et al reported that a single serum mean anti-PT IgG equivalent to 125 ESEN U/ mL was consistent with pertussis infection within 6 months of sample </w:t>
      </w:r>
      <w:r w:rsidRPr="00E062B5">
        <w:rPr>
          <w:shd w:val="clear" w:color="auto" w:fill="FFFFFF"/>
        </w:rPr>
        <w:lastRenderedPageBreak/>
        <w:t>collection, while a level of &gt; 62.5 ESEN U/ mL was consistent with infection in the past year.</w:t>
      </w:r>
      <w:r w:rsidRPr="00E062B5">
        <w:rPr>
          <w:shd w:val="clear" w:color="auto" w:fill="FFFFFF"/>
          <w:vertAlign w:val="superscript"/>
        </w:rPr>
        <w:t>4</w:t>
      </w:r>
      <w:r w:rsidR="0089468F">
        <w:rPr>
          <w:shd w:val="clear" w:color="auto" w:fill="FFFFFF"/>
          <w:vertAlign w:val="superscript"/>
        </w:rPr>
        <w:t>9</w:t>
      </w:r>
      <w:r w:rsidRPr="00E062B5">
        <w:rPr>
          <w:shd w:val="clear" w:color="auto" w:fill="FFFFFF"/>
        </w:rPr>
        <w:t> A variety of clinical laboratories have adopted proposed threshold cutoffs of 49 to 200 EU/ml and in the US, Menzies et al concluded that the anti PT IgG ELISA they had developed met all assay validation parameters within the range considered most relevant for serodiagnosis.</w:t>
      </w:r>
      <w:r w:rsidRPr="00E062B5">
        <w:rPr>
          <w:shd w:val="clear" w:color="auto" w:fill="FFFFFF"/>
          <w:vertAlign w:val="superscript"/>
        </w:rPr>
        <w:t>4</w:t>
      </w:r>
      <w:r w:rsidR="0089468F">
        <w:rPr>
          <w:shd w:val="clear" w:color="auto" w:fill="FFFFFF"/>
          <w:vertAlign w:val="superscript"/>
        </w:rPr>
        <w:t>8</w:t>
      </w:r>
      <w:r w:rsidRPr="00E062B5">
        <w:rPr>
          <w:shd w:val="clear" w:color="auto" w:fill="FFFFFF"/>
        </w:rPr>
        <w:t> Applying a cut-off for PT IgG of 125 EU/mL to a seroepidemiological study in a population aged 20-65 years the various countries in the European Union resulted in the following percentage of the cohort above the cut-off: Netherlands 1.5%, Finland 1.5%, France 2.3%, and the UK 5%.</w:t>
      </w:r>
      <w:r w:rsidRPr="00E062B5">
        <w:rPr>
          <w:shd w:val="clear" w:color="auto" w:fill="FFFFFF"/>
          <w:vertAlign w:val="superscript"/>
        </w:rPr>
        <w:t>4</w:t>
      </w:r>
      <w:r w:rsidR="0089468F">
        <w:rPr>
          <w:shd w:val="clear" w:color="auto" w:fill="FFFFFF"/>
          <w:vertAlign w:val="superscript"/>
        </w:rPr>
        <w:t>9</w:t>
      </w:r>
    </w:p>
    <w:p w14:paraId="5E8E5819" w14:textId="77777777" w:rsidR="001D77E8" w:rsidRPr="00E062B5" w:rsidRDefault="001D77E8" w:rsidP="00211DFF">
      <w:r w:rsidRPr="00E062B5">
        <w:rPr>
          <w:shd w:val="clear" w:color="auto" w:fill="FFFFFF"/>
        </w:rPr>
        <w:t>In contrast to PT IgG responses to infection, the whole cell IgG antibody response is not useful for differentiating recent infection from past exposure to pertussis. The whole cell IgA response is also less specific than anti-PT IgA response.</w:t>
      </w:r>
    </w:p>
    <w:p w14:paraId="15D6A24F" w14:textId="77777777" w:rsidR="001D77E8" w:rsidRPr="00E062B5" w:rsidRDefault="001D77E8" w:rsidP="00211DFF">
      <w:pPr>
        <w:shd w:val="clear" w:color="auto" w:fill="FFFFFF"/>
        <w:spacing w:after="120"/>
        <w:outlineLvl w:val="3"/>
        <w:rPr>
          <w:sz w:val="24"/>
        </w:rPr>
      </w:pPr>
      <w:r w:rsidRPr="00E062B5">
        <w:rPr>
          <w:sz w:val="24"/>
        </w:rPr>
        <w:t>3.4.4 Impact of vaccination on serological results</w:t>
      </w:r>
    </w:p>
    <w:p w14:paraId="661D6167" w14:textId="2A4501B5" w:rsidR="001D77E8" w:rsidRPr="00E062B5" w:rsidRDefault="001D77E8" w:rsidP="00211DFF">
      <w:r w:rsidRPr="00E062B5">
        <w:rPr>
          <w:shd w:val="clear" w:color="auto" w:fill="FFFFFF"/>
        </w:rPr>
        <w:t>Immunisation of adolescents and adults can induce IgG and IgA responses to all measured pertussis antigens. The literature suggests that PT antibodies are the least affected and most rapidly resolving</w:t>
      </w:r>
      <w:r w:rsidR="0089468F">
        <w:rPr>
          <w:shd w:val="clear" w:color="auto" w:fill="FFFFFF"/>
          <w:vertAlign w:val="superscript"/>
        </w:rPr>
        <w:t>50,56</w:t>
      </w:r>
    </w:p>
    <w:p w14:paraId="102E88CF" w14:textId="77777777" w:rsidR="001D77E8" w:rsidRPr="00E062B5" w:rsidRDefault="001D77E8" w:rsidP="00211DFF">
      <w:pPr>
        <w:shd w:val="clear" w:color="auto" w:fill="FFFFFF"/>
        <w:spacing w:after="120"/>
        <w:outlineLvl w:val="3"/>
        <w:rPr>
          <w:sz w:val="24"/>
        </w:rPr>
      </w:pPr>
      <w:r w:rsidRPr="00E062B5">
        <w:rPr>
          <w:sz w:val="24"/>
        </w:rPr>
        <w:t>3.4.5 Impact of age on serological results</w:t>
      </w:r>
    </w:p>
    <w:p w14:paraId="64431F40" w14:textId="77777777" w:rsidR="001D77E8" w:rsidRPr="00E062B5" w:rsidRDefault="001D77E8" w:rsidP="00211DFF">
      <w:r w:rsidRPr="00E062B5">
        <w:rPr>
          <w:shd w:val="clear" w:color="auto" w:fill="FFFFFF"/>
        </w:rPr>
        <w:t>Immune responses to pertussis develop more quickly with repeat infection. All adult pertussis infections are considered likely to be repeat infections, due to prior exposure to pertussis or prior immunisation. In young children, serological responses (especially to IgA) are less reliable, and false negatives may occur.</w:t>
      </w:r>
    </w:p>
    <w:p w14:paraId="7E12C0F9" w14:textId="77777777" w:rsidR="001D77E8" w:rsidRPr="00E062B5" w:rsidRDefault="001D77E8" w:rsidP="00211DFF">
      <w:pPr>
        <w:shd w:val="clear" w:color="auto" w:fill="FFFFFF"/>
        <w:spacing w:after="120"/>
        <w:outlineLvl w:val="3"/>
        <w:rPr>
          <w:sz w:val="24"/>
        </w:rPr>
      </w:pPr>
      <w:r w:rsidRPr="00E062B5">
        <w:rPr>
          <w:sz w:val="24"/>
        </w:rPr>
        <w:t>3.4.4 Suitable test acceptance criteria</w:t>
      </w:r>
    </w:p>
    <w:p w14:paraId="308211C9" w14:textId="15E2D2CC" w:rsidR="001D77E8" w:rsidRPr="00E062B5" w:rsidRDefault="001D77E8" w:rsidP="00211DFF">
      <w:r w:rsidRPr="00E062B5">
        <w:rPr>
          <w:shd w:val="clear" w:color="auto" w:fill="FFFFFF"/>
        </w:rPr>
        <w:t>In</w:t>
      </w:r>
      <w:r w:rsidR="1B6D37D8" w:rsidRPr="00E062B5">
        <w:rPr>
          <w:shd w:val="clear" w:color="auto" w:fill="FFFFFF"/>
        </w:rPr>
        <w:t>-</w:t>
      </w:r>
      <w:r w:rsidRPr="00E062B5">
        <w:rPr>
          <w:shd w:val="clear" w:color="auto" w:fill="FFFFFF"/>
        </w:rPr>
        <w:t>house assays: consistent with NPAAC guidelines: Requirements for the Validation of In House In vitro Diagnostic Devices (2006)</w:t>
      </w:r>
      <w:r w:rsidRPr="00E062B5">
        <w:rPr>
          <w:shd w:val="clear" w:color="auto" w:fill="FFFFFF"/>
          <w:vertAlign w:val="superscript"/>
        </w:rPr>
        <w:t>3</w:t>
      </w:r>
      <w:r w:rsidR="0089468F">
        <w:rPr>
          <w:shd w:val="clear" w:color="auto" w:fill="FFFFFF"/>
          <w:vertAlign w:val="superscript"/>
        </w:rPr>
        <w:t>8</w:t>
      </w:r>
      <w:r w:rsidRPr="00E062B5">
        <w:rPr>
          <w:shd w:val="clear" w:color="auto" w:fill="FFFFFF"/>
        </w:rPr>
        <w:t>.</w:t>
      </w:r>
    </w:p>
    <w:p w14:paraId="237D5AAB" w14:textId="77777777" w:rsidR="001D77E8" w:rsidRPr="00E062B5" w:rsidRDefault="001D77E8" w:rsidP="00211DFF">
      <w:r w:rsidRPr="00E062B5">
        <w:rPr>
          <w:shd w:val="clear" w:color="auto" w:fill="FFFFFF"/>
        </w:rPr>
        <w:t>Commercial kits: according to manufacturer’s instructions.</w:t>
      </w:r>
    </w:p>
    <w:p w14:paraId="1B0C1DBA" w14:textId="77777777" w:rsidR="001D77E8" w:rsidRPr="00E062B5" w:rsidRDefault="001D77E8" w:rsidP="00211DFF">
      <w:pPr>
        <w:shd w:val="clear" w:color="auto" w:fill="FFFFFF"/>
        <w:spacing w:after="120"/>
        <w:outlineLvl w:val="3"/>
        <w:rPr>
          <w:sz w:val="24"/>
        </w:rPr>
      </w:pPr>
      <w:r w:rsidRPr="00E062B5">
        <w:rPr>
          <w:sz w:val="24"/>
        </w:rPr>
        <w:t>3.4.5 Suitable test validation</w:t>
      </w:r>
    </w:p>
    <w:p w14:paraId="3ADD269D" w14:textId="1EBEDEAC" w:rsidR="001D77E8" w:rsidRPr="00E062B5" w:rsidRDefault="001D77E8" w:rsidP="00211DFF">
      <w:r w:rsidRPr="00E062B5">
        <w:rPr>
          <w:shd w:val="clear" w:color="auto" w:fill="FFFFFF"/>
        </w:rPr>
        <w:t>As a result of recent international collaboration, both a WHO international standard</w:t>
      </w:r>
      <w:r w:rsidR="0089468F">
        <w:rPr>
          <w:shd w:val="clear" w:color="auto" w:fill="FFFFFF"/>
          <w:vertAlign w:val="superscript"/>
        </w:rPr>
        <w:t xml:space="preserve">51 </w:t>
      </w:r>
      <w:r w:rsidRPr="00E062B5">
        <w:rPr>
          <w:shd w:val="clear" w:color="auto" w:fill="FFFFFF"/>
        </w:rPr>
        <w:t>and WHO Reference Reagent</w:t>
      </w:r>
      <w:r w:rsidR="0089468F">
        <w:rPr>
          <w:shd w:val="clear" w:color="auto" w:fill="FFFFFF"/>
          <w:vertAlign w:val="superscript"/>
        </w:rPr>
        <w:t>52</w:t>
      </w:r>
      <w:r w:rsidRPr="00E062B5">
        <w:rPr>
          <w:shd w:val="clear" w:color="auto" w:fill="FFFFFF"/>
        </w:rPr>
        <w:t xml:space="preserve"> have become available for laboratories to purchase, in order to calibrate EIA assays measuring antibody titres for PT, FHA and pertactin (PRN) in international units. This will allow more accurate interpretation and inter-laboratory </w:t>
      </w:r>
      <w:r w:rsidRPr="00E062B5">
        <w:rPr>
          <w:shd w:val="clear" w:color="auto" w:fill="FFFFFF"/>
        </w:rPr>
        <w:lastRenderedPageBreak/>
        <w:t>comparison of quantitated titres</w:t>
      </w:r>
      <w:r w:rsidRPr="00E062B5">
        <w:rPr>
          <w:shd w:val="clear" w:color="auto" w:fill="FFFFFF"/>
          <w:vertAlign w:val="superscript"/>
        </w:rPr>
        <w:t>1</w:t>
      </w:r>
      <w:r w:rsidRPr="00E062B5">
        <w:rPr>
          <w:shd w:val="clear" w:color="auto" w:fill="FFFFFF"/>
        </w:rPr>
        <w:t> and assist laboratories in determining and reporting appropriate threshold cutoffs for serodiagnosis of infection.</w:t>
      </w:r>
    </w:p>
    <w:p w14:paraId="511F17CC" w14:textId="77777777" w:rsidR="001D77E8" w:rsidRPr="00E062B5" w:rsidRDefault="001D77E8" w:rsidP="00211DFF">
      <w:pPr>
        <w:shd w:val="clear" w:color="auto" w:fill="FFFFFF"/>
        <w:spacing w:after="120"/>
        <w:outlineLvl w:val="3"/>
        <w:rPr>
          <w:sz w:val="24"/>
        </w:rPr>
      </w:pPr>
      <w:r w:rsidRPr="00E062B5">
        <w:rPr>
          <w:sz w:val="24"/>
        </w:rPr>
        <w:t>3.4.6 Suitable internal controls.</w:t>
      </w:r>
    </w:p>
    <w:p w14:paraId="30E0C0E1" w14:textId="77777777" w:rsidR="001D77E8" w:rsidRPr="00E062B5" w:rsidRDefault="001D77E8" w:rsidP="00211DFF">
      <w:r w:rsidRPr="00E062B5">
        <w:rPr>
          <w:shd w:val="clear" w:color="auto" w:fill="FFFFFF"/>
        </w:rPr>
        <w:t>WHO–approved standard preparations are now available for purchase.</w:t>
      </w:r>
      <w:r w:rsidRPr="00E062B5">
        <w:rPr>
          <w:shd w:val="clear" w:color="auto" w:fill="FFFFFF"/>
          <w:vertAlign w:val="superscript"/>
        </w:rPr>
        <w:t>1</w:t>
      </w:r>
      <w:r w:rsidRPr="00E062B5">
        <w:rPr>
          <w:shd w:val="clear" w:color="auto" w:fill="FFFFFF"/>
        </w:rPr>
        <w:t> Specimens of serum with levels of PT IgG antibody &gt;100 IU/ml could be used as positive controls, preferably if obtained from patients with PCR or culture –positive pertussis. Use of the clinical definition of pertussis alone to define positive controls is unacceptable for test validation, due to poor specificity.</w:t>
      </w:r>
    </w:p>
    <w:p w14:paraId="3954546D" w14:textId="77777777" w:rsidR="001D77E8" w:rsidRPr="00E062B5" w:rsidRDefault="001D77E8" w:rsidP="00211DFF">
      <w:pPr>
        <w:shd w:val="clear" w:color="auto" w:fill="FFFFFF"/>
        <w:spacing w:after="120"/>
        <w:outlineLvl w:val="3"/>
        <w:rPr>
          <w:sz w:val="24"/>
        </w:rPr>
      </w:pPr>
      <w:r w:rsidRPr="00E062B5">
        <w:rPr>
          <w:sz w:val="24"/>
        </w:rPr>
        <w:t>3.4.7 Suitable external QAP program</w:t>
      </w:r>
    </w:p>
    <w:p w14:paraId="7337A785" w14:textId="77777777" w:rsidR="001D77E8" w:rsidRPr="00E062B5" w:rsidRDefault="001D77E8" w:rsidP="00211DFF">
      <w:pPr>
        <w:rPr>
          <w:color w:val="222222"/>
        </w:rPr>
      </w:pPr>
      <w:r w:rsidRPr="00E062B5">
        <w:rPr>
          <w:color w:val="222222"/>
          <w:shd w:val="clear" w:color="auto" w:fill="FFFFFF"/>
        </w:rPr>
        <w:t>RCPA QAP P/L Serology for Pertussis. Reports are available at </w:t>
      </w:r>
      <w:hyperlink r:id="rId16" w:history="1">
        <w:r w:rsidRPr="00E062B5">
          <w:rPr>
            <w:color w:val="1157AD"/>
            <w:u w:val="single"/>
            <w:shd w:val="clear" w:color="auto" w:fill="FFFFFF"/>
          </w:rPr>
          <w:t>http://www.rcpaqap.com/serology/diseaseresult.cfm</w:t>
        </w:r>
      </w:hyperlink>
    </w:p>
    <w:p w14:paraId="392295EC" w14:textId="77777777" w:rsidR="001D77E8" w:rsidRPr="00E062B5" w:rsidRDefault="001D77E8" w:rsidP="00211DFF">
      <w:pPr>
        <w:shd w:val="clear" w:color="auto" w:fill="FFFFFF"/>
        <w:spacing w:after="120"/>
        <w:outlineLvl w:val="3"/>
        <w:rPr>
          <w:sz w:val="24"/>
        </w:rPr>
      </w:pPr>
      <w:r w:rsidRPr="00E062B5">
        <w:rPr>
          <w:sz w:val="24"/>
        </w:rPr>
        <w:t>3.4.8 Summary</w:t>
      </w:r>
    </w:p>
    <w:p w14:paraId="7EDE5B44" w14:textId="14CC7252" w:rsidR="001D77E8" w:rsidRPr="00E062B5" w:rsidRDefault="001D77E8" w:rsidP="00211DFF">
      <w:r w:rsidRPr="00E062B5">
        <w:rPr>
          <w:shd w:val="clear" w:color="auto" w:fill="FFFFFF"/>
        </w:rPr>
        <w:t>Whilst there is no consensus internationally on the role of serology in the diagnosis of pertussis, single sample serology for pertussis whole cell IgA has been used extensively for diagnosis in Australia. Serological testing for pertussis antigens, particularly pertussis toxin (PT) can be sensitive and specific, although commercial tests are not fully standardised, and there are no universally accepted correlations with protection.</w:t>
      </w:r>
      <w:r w:rsidR="0089468F">
        <w:rPr>
          <w:shd w:val="clear" w:color="auto" w:fill="FFFFFF"/>
          <w:vertAlign w:val="superscript"/>
        </w:rPr>
        <w:t>53</w:t>
      </w:r>
      <w:r w:rsidRPr="00E062B5">
        <w:rPr>
          <w:shd w:val="clear" w:color="auto" w:fill="FFFFFF"/>
        </w:rPr>
        <w:t> Increasingly anti-PT IgG has been recognised as the best serological marker of acute infection although the actual cutoffs still remain to be defined. The availability of WHO standards and reference sera will assist in determining the most appropriate thresholds. Threshold cutoffs that have been proposed range from 49 to 200 EU/ml. In line with the international literature, the current definition has been expanded to include a significant PT IgG response in an appropriately validated test as suggestive evidence of acute infection. It is likely that in the near future, PT IgG will become the serological test of choice for pertussis serological diagnosis, rather than PT or whole cell IgA.</w:t>
      </w:r>
    </w:p>
    <w:p w14:paraId="15649229" w14:textId="7EB9B9ED" w:rsidR="00F76A63" w:rsidRPr="00E062B5" w:rsidRDefault="00F76A63" w:rsidP="00211DFF">
      <w:pPr>
        <w:pStyle w:val="Heading2"/>
        <w:spacing w:line="360" w:lineRule="auto"/>
      </w:pPr>
      <w:r>
        <w:t>Overview of Appropriate Test Selection</w:t>
      </w:r>
    </w:p>
    <w:p w14:paraId="4E47FE65" w14:textId="77777777" w:rsidR="00F76A63" w:rsidRPr="00E062B5" w:rsidRDefault="00F76A63" w:rsidP="00211DFF">
      <w:pPr>
        <w:rPr>
          <w:shd w:val="clear" w:color="auto" w:fill="FFFFFF"/>
        </w:rPr>
      </w:pPr>
      <w:r w:rsidRPr="00E062B5">
        <w:rPr>
          <w:shd w:val="clear" w:color="auto" w:fill="FFFFFF"/>
        </w:rPr>
        <w:t>The diagnosis of pertussis is best made using a combination of methods based on a number of variables. Simplified recommendations adapted from Muller et al </w:t>
      </w:r>
      <w:r w:rsidRPr="00E062B5">
        <w:rPr>
          <w:shd w:val="clear" w:color="auto" w:fill="FFFFFF"/>
          <w:vertAlign w:val="superscript"/>
        </w:rPr>
        <w:t>3</w:t>
      </w:r>
      <w:r w:rsidRPr="00E062B5">
        <w:rPr>
          <w:shd w:val="clear" w:color="auto" w:fill="FFFFFF"/>
        </w:rPr>
        <w:t> summarise these.</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22"/>
        <w:gridCol w:w="1179"/>
        <w:gridCol w:w="990"/>
        <w:gridCol w:w="1973"/>
        <w:gridCol w:w="1422"/>
        <w:gridCol w:w="1179"/>
      </w:tblGrid>
      <w:tr w:rsidR="00F76A63" w:rsidRPr="00E062B5" w14:paraId="60390B4A" w14:textId="77777777" w:rsidTr="006535C1">
        <w:trPr>
          <w:trHeight w:val="587"/>
          <w:tblHeader/>
          <w:jc w:val="center"/>
        </w:trPr>
        <w:tc>
          <w:tcPr>
            <w:tcW w:w="8765" w:type="dxa"/>
            <w:gridSpan w:val="6"/>
            <w:shd w:val="clear" w:color="auto" w:fill="E8F3FA"/>
            <w:tcMar>
              <w:top w:w="150" w:type="dxa"/>
              <w:left w:w="150" w:type="dxa"/>
              <w:bottom w:w="150" w:type="dxa"/>
              <w:right w:w="150" w:type="dxa"/>
            </w:tcMar>
            <w:hideMark/>
          </w:tcPr>
          <w:p w14:paraId="39251F93" w14:textId="77777777" w:rsidR="00F76A63" w:rsidRPr="00E062B5" w:rsidRDefault="00F76A63" w:rsidP="006535C1">
            <w:pPr>
              <w:spacing w:after="300" w:line="276" w:lineRule="auto"/>
              <w:jc w:val="center"/>
              <w:rPr>
                <w:b/>
                <w:bCs/>
                <w:sz w:val="20"/>
                <w:szCs w:val="20"/>
              </w:rPr>
            </w:pPr>
            <w:r w:rsidRPr="00E062B5">
              <w:rPr>
                <w:b/>
                <w:bCs/>
                <w:sz w:val="20"/>
                <w:szCs w:val="20"/>
                <w:bdr w:val="none" w:sz="0" w:space="0" w:color="auto" w:frame="1"/>
              </w:rPr>
              <w:lastRenderedPageBreak/>
              <w:t>Table 2: Tests used for patients with the following duration of cough</w:t>
            </w:r>
            <w:r w:rsidRPr="00E062B5">
              <w:rPr>
                <w:b/>
                <w:bCs/>
                <w:sz w:val="15"/>
                <w:szCs w:val="15"/>
                <w:bdr w:val="none" w:sz="0" w:space="0" w:color="auto" w:frame="1"/>
                <w:vertAlign w:val="superscript"/>
              </w:rPr>
              <w:t>3</w:t>
            </w:r>
          </w:p>
        </w:tc>
      </w:tr>
      <w:tr w:rsidR="00F76A63" w:rsidRPr="00E062B5" w14:paraId="1BFF0290" w14:textId="77777777" w:rsidTr="00E062B5">
        <w:trPr>
          <w:trHeight w:val="587"/>
          <w:tblHeader/>
          <w:jc w:val="center"/>
        </w:trPr>
        <w:tc>
          <w:tcPr>
            <w:tcW w:w="2022" w:type="dxa"/>
            <w:shd w:val="clear" w:color="auto" w:fill="FFFFFF"/>
            <w:tcMar>
              <w:top w:w="150" w:type="dxa"/>
              <w:left w:w="150" w:type="dxa"/>
              <w:bottom w:w="150" w:type="dxa"/>
              <w:right w:w="150" w:type="dxa"/>
            </w:tcMar>
            <w:hideMark/>
          </w:tcPr>
          <w:p w14:paraId="0772FB44" w14:textId="50968F50" w:rsidR="00F76A63" w:rsidRPr="00E062B5" w:rsidRDefault="00F76A63" w:rsidP="006535C1">
            <w:pPr>
              <w:spacing w:after="300" w:line="276" w:lineRule="auto"/>
              <w:rPr>
                <w:sz w:val="20"/>
                <w:szCs w:val="20"/>
              </w:rPr>
            </w:pPr>
          </w:p>
        </w:tc>
        <w:tc>
          <w:tcPr>
            <w:tcW w:w="2169" w:type="dxa"/>
            <w:gridSpan w:val="2"/>
            <w:shd w:val="clear" w:color="auto" w:fill="E8F3FA"/>
            <w:tcMar>
              <w:top w:w="150" w:type="dxa"/>
              <w:left w:w="150" w:type="dxa"/>
              <w:bottom w:w="150" w:type="dxa"/>
              <w:right w:w="150" w:type="dxa"/>
            </w:tcMar>
            <w:hideMark/>
          </w:tcPr>
          <w:p w14:paraId="611E09F6" w14:textId="77777777" w:rsidR="00F76A63" w:rsidRPr="00E062B5" w:rsidRDefault="00F76A63" w:rsidP="006535C1">
            <w:pPr>
              <w:spacing w:after="300" w:line="276" w:lineRule="auto"/>
              <w:jc w:val="center"/>
              <w:rPr>
                <w:b/>
                <w:bCs/>
                <w:sz w:val="20"/>
                <w:szCs w:val="20"/>
              </w:rPr>
            </w:pPr>
            <w:r w:rsidRPr="00E062B5">
              <w:rPr>
                <w:b/>
                <w:bCs/>
                <w:sz w:val="20"/>
                <w:szCs w:val="20"/>
                <w:bdr w:val="none" w:sz="0" w:space="0" w:color="auto" w:frame="1"/>
              </w:rPr>
              <w:t>1-2 weeks</w:t>
            </w:r>
          </w:p>
        </w:tc>
        <w:tc>
          <w:tcPr>
            <w:tcW w:w="3395" w:type="dxa"/>
            <w:gridSpan w:val="2"/>
            <w:shd w:val="clear" w:color="auto" w:fill="E8F3FA"/>
            <w:tcMar>
              <w:top w:w="150" w:type="dxa"/>
              <w:left w:w="150" w:type="dxa"/>
              <w:bottom w:w="150" w:type="dxa"/>
              <w:right w:w="150" w:type="dxa"/>
            </w:tcMar>
            <w:hideMark/>
          </w:tcPr>
          <w:p w14:paraId="58710D4A" w14:textId="77777777" w:rsidR="00F76A63" w:rsidRPr="00E062B5" w:rsidRDefault="00F76A63" w:rsidP="006535C1">
            <w:pPr>
              <w:spacing w:after="300" w:line="276" w:lineRule="auto"/>
              <w:jc w:val="center"/>
              <w:rPr>
                <w:b/>
                <w:bCs/>
                <w:sz w:val="20"/>
                <w:szCs w:val="20"/>
              </w:rPr>
            </w:pPr>
            <w:r w:rsidRPr="00E062B5">
              <w:rPr>
                <w:b/>
                <w:bCs/>
                <w:sz w:val="20"/>
                <w:szCs w:val="20"/>
                <w:bdr w:val="none" w:sz="0" w:space="0" w:color="auto" w:frame="1"/>
              </w:rPr>
              <w:t>3-4 weeks</w:t>
            </w:r>
          </w:p>
        </w:tc>
        <w:tc>
          <w:tcPr>
            <w:tcW w:w="1179" w:type="dxa"/>
            <w:shd w:val="clear" w:color="auto" w:fill="E8F3FA"/>
            <w:tcMar>
              <w:top w:w="150" w:type="dxa"/>
              <w:left w:w="150" w:type="dxa"/>
              <w:bottom w:w="150" w:type="dxa"/>
              <w:right w:w="150" w:type="dxa"/>
            </w:tcMar>
            <w:hideMark/>
          </w:tcPr>
          <w:p w14:paraId="0417B172" w14:textId="77777777" w:rsidR="00F76A63" w:rsidRPr="00E062B5" w:rsidRDefault="00F76A63" w:rsidP="006535C1">
            <w:pPr>
              <w:spacing w:after="300" w:line="276" w:lineRule="auto"/>
              <w:jc w:val="center"/>
              <w:rPr>
                <w:b/>
                <w:bCs/>
                <w:sz w:val="20"/>
                <w:szCs w:val="20"/>
              </w:rPr>
            </w:pPr>
            <w:r w:rsidRPr="00E062B5">
              <w:rPr>
                <w:b/>
                <w:bCs/>
                <w:sz w:val="20"/>
                <w:szCs w:val="20"/>
                <w:bdr w:val="none" w:sz="0" w:space="0" w:color="auto" w:frame="1"/>
              </w:rPr>
              <w:t>&gt;4 weeks</w:t>
            </w:r>
          </w:p>
        </w:tc>
      </w:tr>
      <w:tr w:rsidR="00F76A63" w:rsidRPr="00E062B5" w14:paraId="2DD20EF3" w14:textId="77777777" w:rsidTr="00E062B5">
        <w:trPr>
          <w:trHeight w:val="867"/>
          <w:jc w:val="center"/>
        </w:trPr>
        <w:tc>
          <w:tcPr>
            <w:tcW w:w="2022" w:type="dxa"/>
            <w:shd w:val="clear" w:color="auto" w:fill="FFFFFF"/>
            <w:tcMar>
              <w:top w:w="150" w:type="dxa"/>
              <w:left w:w="150" w:type="dxa"/>
              <w:bottom w:w="150" w:type="dxa"/>
              <w:right w:w="150" w:type="dxa"/>
            </w:tcMar>
            <w:hideMark/>
          </w:tcPr>
          <w:p w14:paraId="2111FEDE" w14:textId="5FD25A56" w:rsidR="00F76A63" w:rsidRPr="00E062B5" w:rsidRDefault="00F76A63" w:rsidP="006535C1">
            <w:pPr>
              <w:spacing w:after="300" w:line="276" w:lineRule="auto"/>
              <w:rPr>
                <w:sz w:val="20"/>
                <w:szCs w:val="20"/>
              </w:rPr>
            </w:pPr>
          </w:p>
        </w:tc>
        <w:tc>
          <w:tcPr>
            <w:tcW w:w="1179" w:type="dxa"/>
            <w:shd w:val="clear" w:color="auto" w:fill="FFFFFF"/>
            <w:tcMar>
              <w:top w:w="150" w:type="dxa"/>
              <w:left w:w="150" w:type="dxa"/>
              <w:bottom w:w="150" w:type="dxa"/>
              <w:right w:w="150" w:type="dxa"/>
            </w:tcMar>
            <w:hideMark/>
          </w:tcPr>
          <w:p w14:paraId="4A6B5919" w14:textId="77777777" w:rsidR="00F76A63" w:rsidRPr="00E062B5" w:rsidRDefault="00F76A63" w:rsidP="006535C1">
            <w:pPr>
              <w:spacing w:after="300" w:line="276" w:lineRule="auto"/>
              <w:rPr>
                <w:sz w:val="20"/>
                <w:szCs w:val="20"/>
              </w:rPr>
            </w:pPr>
            <w:r w:rsidRPr="00E062B5">
              <w:rPr>
                <w:sz w:val="20"/>
                <w:szCs w:val="20"/>
                <w:bdr w:val="none" w:sz="0" w:space="0" w:color="auto" w:frame="1"/>
              </w:rPr>
              <w:t>Untreated</w:t>
            </w:r>
          </w:p>
        </w:tc>
        <w:tc>
          <w:tcPr>
            <w:tcW w:w="990" w:type="dxa"/>
            <w:shd w:val="clear" w:color="auto" w:fill="FFFFFF"/>
            <w:tcMar>
              <w:top w:w="150" w:type="dxa"/>
              <w:left w:w="150" w:type="dxa"/>
              <w:bottom w:w="150" w:type="dxa"/>
              <w:right w:w="150" w:type="dxa"/>
            </w:tcMar>
            <w:hideMark/>
          </w:tcPr>
          <w:p w14:paraId="1345F4BE" w14:textId="77777777" w:rsidR="00F76A63" w:rsidRPr="00E062B5" w:rsidRDefault="00F76A63" w:rsidP="006535C1">
            <w:pPr>
              <w:spacing w:after="300" w:line="276" w:lineRule="auto"/>
              <w:rPr>
                <w:sz w:val="20"/>
                <w:szCs w:val="20"/>
              </w:rPr>
            </w:pPr>
            <w:r w:rsidRPr="00E062B5">
              <w:rPr>
                <w:sz w:val="20"/>
                <w:szCs w:val="20"/>
                <w:bdr w:val="none" w:sz="0" w:space="0" w:color="auto" w:frame="1"/>
              </w:rPr>
              <w:t>Treated</w:t>
            </w:r>
          </w:p>
        </w:tc>
        <w:tc>
          <w:tcPr>
            <w:tcW w:w="1973" w:type="dxa"/>
            <w:shd w:val="clear" w:color="auto" w:fill="FFFFFF"/>
            <w:tcMar>
              <w:top w:w="150" w:type="dxa"/>
              <w:left w:w="150" w:type="dxa"/>
              <w:bottom w:w="150" w:type="dxa"/>
              <w:right w:w="150" w:type="dxa"/>
            </w:tcMar>
            <w:hideMark/>
          </w:tcPr>
          <w:p w14:paraId="7DCADCA2" w14:textId="77777777" w:rsidR="00F76A63" w:rsidRPr="00E062B5" w:rsidRDefault="00F76A63" w:rsidP="006535C1">
            <w:pPr>
              <w:spacing w:after="300" w:line="276" w:lineRule="auto"/>
              <w:rPr>
                <w:sz w:val="20"/>
                <w:szCs w:val="20"/>
              </w:rPr>
            </w:pPr>
            <w:r w:rsidRPr="00E062B5">
              <w:rPr>
                <w:sz w:val="20"/>
                <w:szCs w:val="20"/>
                <w:bdr w:val="none" w:sz="0" w:space="0" w:color="auto" w:frame="1"/>
              </w:rPr>
              <w:t>Untreated</w:t>
            </w:r>
          </w:p>
        </w:tc>
        <w:tc>
          <w:tcPr>
            <w:tcW w:w="1422" w:type="dxa"/>
            <w:shd w:val="clear" w:color="auto" w:fill="FFFFFF"/>
            <w:tcMar>
              <w:top w:w="150" w:type="dxa"/>
              <w:left w:w="150" w:type="dxa"/>
              <w:bottom w:w="150" w:type="dxa"/>
              <w:right w:w="150" w:type="dxa"/>
            </w:tcMar>
            <w:hideMark/>
          </w:tcPr>
          <w:p w14:paraId="6A7F3B38" w14:textId="77777777" w:rsidR="00F76A63" w:rsidRPr="00E062B5" w:rsidRDefault="00F76A63" w:rsidP="006535C1">
            <w:pPr>
              <w:spacing w:after="300" w:line="276" w:lineRule="auto"/>
              <w:rPr>
                <w:sz w:val="20"/>
                <w:szCs w:val="20"/>
              </w:rPr>
            </w:pPr>
            <w:r w:rsidRPr="00E062B5">
              <w:rPr>
                <w:sz w:val="20"/>
                <w:szCs w:val="20"/>
                <w:bdr w:val="none" w:sz="0" w:space="0" w:color="auto" w:frame="1"/>
              </w:rPr>
              <w:t>Treated</w:t>
            </w:r>
          </w:p>
        </w:tc>
        <w:tc>
          <w:tcPr>
            <w:tcW w:w="1179" w:type="dxa"/>
            <w:shd w:val="clear" w:color="auto" w:fill="FFFFFF"/>
            <w:tcMar>
              <w:top w:w="150" w:type="dxa"/>
              <w:left w:w="150" w:type="dxa"/>
              <w:bottom w:w="150" w:type="dxa"/>
              <w:right w:w="150" w:type="dxa"/>
            </w:tcMar>
            <w:hideMark/>
          </w:tcPr>
          <w:p w14:paraId="2E0FC3AA" w14:textId="77777777" w:rsidR="00F76A63" w:rsidRPr="00E062B5" w:rsidRDefault="00F76A63" w:rsidP="006535C1">
            <w:pPr>
              <w:spacing w:after="300" w:line="276" w:lineRule="auto"/>
              <w:rPr>
                <w:sz w:val="20"/>
                <w:szCs w:val="20"/>
              </w:rPr>
            </w:pPr>
            <w:r w:rsidRPr="00E062B5">
              <w:rPr>
                <w:sz w:val="20"/>
                <w:szCs w:val="20"/>
                <w:bdr w:val="none" w:sz="0" w:space="0" w:color="auto" w:frame="1"/>
              </w:rPr>
              <w:t>Untreated or treated</w:t>
            </w:r>
          </w:p>
        </w:tc>
      </w:tr>
      <w:tr w:rsidR="00F76A63" w:rsidRPr="00E062B5" w14:paraId="6FC78D1D" w14:textId="77777777" w:rsidTr="00E3118B">
        <w:trPr>
          <w:trHeight w:val="1479"/>
          <w:jc w:val="center"/>
        </w:trPr>
        <w:tc>
          <w:tcPr>
            <w:tcW w:w="2022" w:type="dxa"/>
            <w:shd w:val="clear" w:color="auto" w:fill="E8F3FA"/>
            <w:tcMar>
              <w:top w:w="150" w:type="dxa"/>
              <w:left w:w="150" w:type="dxa"/>
              <w:bottom w:w="150" w:type="dxa"/>
              <w:right w:w="150" w:type="dxa"/>
            </w:tcMar>
            <w:hideMark/>
          </w:tcPr>
          <w:p w14:paraId="6E9450F9" w14:textId="7B806A98" w:rsidR="00F76A63" w:rsidRPr="00E062B5" w:rsidRDefault="00F76A63" w:rsidP="006535C1">
            <w:pPr>
              <w:spacing w:after="300" w:line="276" w:lineRule="auto"/>
              <w:jc w:val="center"/>
              <w:rPr>
                <w:b/>
                <w:bCs/>
                <w:sz w:val="20"/>
                <w:szCs w:val="20"/>
              </w:rPr>
            </w:pPr>
            <w:r w:rsidRPr="00E062B5">
              <w:rPr>
                <w:b/>
                <w:bCs/>
                <w:sz w:val="20"/>
                <w:szCs w:val="20"/>
                <w:bdr w:val="none" w:sz="0" w:space="0" w:color="auto" w:frame="1"/>
              </w:rPr>
              <w:t>Unvaccinated infants</w:t>
            </w:r>
            <w:r w:rsidR="00AB75E2">
              <w:rPr>
                <w:b/>
                <w:bCs/>
                <w:sz w:val="20"/>
                <w:szCs w:val="20"/>
                <w:bdr w:val="none" w:sz="0" w:space="0" w:color="auto" w:frame="1"/>
              </w:rPr>
              <w:t xml:space="preserve"> </w:t>
            </w:r>
            <w:r w:rsidR="00AB75E2" w:rsidRPr="00E3118B">
              <w:rPr>
                <w:sz w:val="20"/>
                <w:szCs w:val="20"/>
                <w:bdr w:val="none" w:sz="0" w:space="0" w:color="auto" w:frame="1"/>
              </w:rPr>
              <w:t>i</w:t>
            </w:r>
            <w:r w:rsidR="00AB75E2">
              <w:rPr>
                <w:sz w:val="20"/>
                <w:szCs w:val="20"/>
                <w:bdr w:val="none" w:sz="0" w:space="0" w:color="auto" w:frame="1"/>
              </w:rPr>
              <w:t>.</w:t>
            </w:r>
            <w:r w:rsidR="00AB75E2" w:rsidRPr="00E3118B">
              <w:rPr>
                <w:sz w:val="20"/>
                <w:szCs w:val="20"/>
                <w:bdr w:val="none" w:sz="0" w:space="0" w:color="auto" w:frame="1"/>
              </w:rPr>
              <w:t>e</w:t>
            </w:r>
            <w:r w:rsidR="00AB75E2">
              <w:rPr>
                <w:sz w:val="20"/>
                <w:szCs w:val="20"/>
                <w:bdr w:val="none" w:sz="0" w:space="0" w:color="auto" w:frame="1"/>
              </w:rPr>
              <w:t>.</w:t>
            </w:r>
            <w:r w:rsidR="00AB75E2" w:rsidRPr="00E3118B">
              <w:rPr>
                <w:sz w:val="20"/>
                <w:szCs w:val="20"/>
                <w:bdr w:val="none" w:sz="0" w:space="0" w:color="auto" w:frame="1"/>
              </w:rPr>
              <w:t xml:space="preserve"> children from birth up to 12 months of age</w:t>
            </w:r>
          </w:p>
        </w:tc>
        <w:tc>
          <w:tcPr>
            <w:tcW w:w="1179" w:type="dxa"/>
            <w:shd w:val="clear" w:color="auto" w:fill="FFFFFF"/>
            <w:tcMar>
              <w:top w:w="150" w:type="dxa"/>
              <w:left w:w="150" w:type="dxa"/>
              <w:bottom w:w="150" w:type="dxa"/>
              <w:right w:w="150" w:type="dxa"/>
            </w:tcMar>
            <w:hideMark/>
          </w:tcPr>
          <w:p w14:paraId="4AF35259" w14:textId="77777777" w:rsidR="00F76A63" w:rsidRPr="00E062B5" w:rsidRDefault="00F76A63" w:rsidP="006535C1">
            <w:pPr>
              <w:spacing w:after="300" w:line="276" w:lineRule="auto"/>
              <w:jc w:val="center"/>
              <w:rPr>
                <w:sz w:val="20"/>
                <w:szCs w:val="20"/>
              </w:rPr>
            </w:pPr>
            <w:r w:rsidRPr="00E062B5">
              <w:rPr>
                <w:sz w:val="20"/>
                <w:szCs w:val="20"/>
                <w:bdr w:val="none" w:sz="0" w:space="0" w:color="auto" w:frame="1"/>
              </w:rPr>
              <w:t>PCR, Culture</w:t>
            </w:r>
          </w:p>
        </w:tc>
        <w:tc>
          <w:tcPr>
            <w:tcW w:w="990" w:type="dxa"/>
            <w:shd w:val="clear" w:color="auto" w:fill="FFFFFF"/>
            <w:tcMar>
              <w:top w:w="150" w:type="dxa"/>
              <w:left w:w="150" w:type="dxa"/>
              <w:bottom w:w="150" w:type="dxa"/>
              <w:right w:w="150" w:type="dxa"/>
            </w:tcMar>
            <w:hideMark/>
          </w:tcPr>
          <w:p w14:paraId="73AAFDC4" w14:textId="77777777" w:rsidR="00F76A63" w:rsidRPr="00E062B5" w:rsidRDefault="00F76A63" w:rsidP="006535C1">
            <w:pPr>
              <w:spacing w:after="300" w:line="276" w:lineRule="auto"/>
              <w:jc w:val="center"/>
              <w:rPr>
                <w:sz w:val="20"/>
                <w:szCs w:val="20"/>
              </w:rPr>
            </w:pPr>
            <w:r w:rsidRPr="00E062B5">
              <w:rPr>
                <w:sz w:val="20"/>
                <w:szCs w:val="20"/>
                <w:bdr w:val="none" w:sz="0" w:space="0" w:color="auto" w:frame="1"/>
              </w:rPr>
              <w:t>PCR</w:t>
            </w:r>
          </w:p>
        </w:tc>
        <w:tc>
          <w:tcPr>
            <w:tcW w:w="1973" w:type="dxa"/>
            <w:shd w:val="clear" w:color="auto" w:fill="FFFFFF"/>
            <w:tcMar>
              <w:top w:w="150" w:type="dxa"/>
              <w:left w:w="150" w:type="dxa"/>
              <w:bottom w:w="150" w:type="dxa"/>
              <w:right w:w="150" w:type="dxa"/>
            </w:tcMar>
            <w:hideMark/>
          </w:tcPr>
          <w:p w14:paraId="01D63574" w14:textId="77777777" w:rsidR="00F76A63" w:rsidRPr="00E062B5" w:rsidRDefault="00F76A63" w:rsidP="006535C1">
            <w:pPr>
              <w:spacing w:after="300" w:line="276" w:lineRule="auto"/>
              <w:jc w:val="center"/>
              <w:rPr>
                <w:sz w:val="20"/>
                <w:szCs w:val="20"/>
              </w:rPr>
            </w:pPr>
            <w:r w:rsidRPr="00E062B5">
              <w:rPr>
                <w:sz w:val="20"/>
                <w:szCs w:val="20"/>
                <w:bdr w:val="none" w:sz="0" w:space="0" w:color="auto" w:frame="1"/>
              </w:rPr>
              <w:t>Culture, PCR</w:t>
            </w:r>
          </w:p>
        </w:tc>
        <w:tc>
          <w:tcPr>
            <w:tcW w:w="1422" w:type="dxa"/>
            <w:shd w:val="clear" w:color="auto" w:fill="FFFFFF"/>
            <w:tcMar>
              <w:top w:w="150" w:type="dxa"/>
              <w:left w:w="150" w:type="dxa"/>
              <w:bottom w:w="150" w:type="dxa"/>
              <w:right w:w="150" w:type="dxa"/>
            </w:tcMar>
            <w:hideMark/>
          </w:tcPr>
          <w:p w14:paraId="11CD5053" w14:textId="77777777" w:rsidR="00F76A63" w:rsidRPr="00E062B5" w:rsidRDefault="00F76A63" w:rsidP="006535C1">
            <w:pPr>
              <w:spacing w:after="300" w:line="276" w:lineRule="auto"/>
              <w:jc w:val="center"/>
              <w:rPr>
                <w:sz w:val="20"/>
                <w:szCs w:val="20"/>
              </w:rPr>
            </w:pPr>
            <w:r w:rsidRPr="00E062B5">
              <w:rPr>
                <w:sz w:val="20"/>
                <w:szCs w:val="20"/>
                <w:bdr w:val="none" w:sz="0" w:space="0" w:color="auto" w:frame="1"/>
              </w:rPr>
              <w:t>Serology, (PCR)</w:t>
            </w:r>
          </w:p>
        </w:tc>
        <w:tc>
          <w:tcPr>
            <w:tcW w:w="1179" w:type="dxa"/>
            <w:shd w:val="clear" w:color="auto" w:fill="FFFFFF"/>
            <w:tcMar>
              <w:top w:w="150" w:type="dxa"/>
              <w:left w:w="150" w:type="dxa"/>
              <w:bottom w:w="150" w:type="dxa"/>
              <w:right w:w="150" w:type="dxa"/>
            </w:tcMar>
            <w:hideMark/>
          </w:tcPr>
          <w:p w14:paraId="0C8F47F1" w14:textId="77777777" w:rsidR="00F76A63" w:rsidRPr="00E062B5" w:rsidRDefault="00F76A63" w:rsidP="006535C1">
            <w:pPr>
              <w:spacing w:after="300" w:line="276" w:lineRule="auto"/>
              <w:jc w:val="center"/>
              <w:rPr>
                <w:sz w:val="20"/>
                <w:szCs w:val="20"/>
              </w:rPr>
            </w:pPr>
            <w:r w:rsidRPr="00E062B5">
              <w:rPr>
                <w:sz w:val="20"/>
                <w:szCs w:val="20"/>
                <w:bdr w:val="none" w:sz="0" w:space="0" w:color="auto" w:frame="1"/>
              </w:rPr>
              <w:t>Serology</w:t>
            </w:r>
          </w:p>
        </w:tc>
      </w:tr>
      <w:tr w:rsidR="00F76A63" w:rsidRPr="00E062B5" w14:paraId="302CFA44" w14:textId="77777777" w:rsidTr="00E062B5">
        <w:trPr>
          <w:trHeight w:val="587"/>
          <w:jc w:val="center"/>
        </w:trPr>
        <w:tc>
          <w:tcPr>
            <w:tcW w:w="2022" w:type="dxa"/>
            <w:shd w:val="clear" w:color="auto" w:fill="E8F3FA"/>
            <w:tcMar>
              <w:top w:w="150" w:type="dxa"/>
              <w:left w:w="150" w:type="dxa"/>
              <w:bottom w:w="150" w:type="dxa"/>
              <w:right w:w="150" w:type="dxa"/>
            </w:tcMar>
            <w:hideMark/>
          </w:tcPr>
          <w:p w14:paraId="557D83F3" w14:textId="308251E8" w:rsidR="00F76A63" w:rsidRPr="00E062B5" w:rsidRDefault="00AB75E2" w:rsidP="006535C1">
            <w:pPr>
              <w:spacing w:after="300" w:line="276" w:lineRule="auto"/>
              <w:jc w:val="center"/>
              <w:rPr>
                <w:b/>
                <w:bCs/>
                <w:sz w:val="20"/>
                <w:szCs w:val="20"/>
              </w:rPr>
            </w:pPr>
            <w:r>
              <w:rPr>
                <w:b/>
                <w:bCs/>
                <w:sz w:val="20"/>
                <w:szCs w:val="20"/>
                <w:bdr w:val="none" w:sz="0" w:space="0" w:color="auto" w:frame="1"/>
              </w:rPr>
              <w:t>U</w:t>
            </w:r>
            <w:r w:rsidR="00F76A63" w:rsidRPr="00E062B5">
              <w:rPr>
                <w:b/>
                <w:bCs/>
                <w:sz w:val="20"/>
                <w:szCs w:val="20"/>
                <w:bdr w:val="none" w:sz="0" w:space="0" w:color="auto" w:frame="1"/>
              </w:rPr>
              <w:t>nvaccinated children</w:t>
            </w:r>
          </w:p>
        </w:tc>
        <w:tc>
          <w:tcPr>
            <w:tcW w:w="1179" w:type="dxa"/>
            <w:shd w:val="clear" w:color="auto" w:fill="FFFFFF"/>
            <w:tcMar>
              <w:top w:w="150" w:type="dxa"/>
              <w:left w:w="150" w:type="dxa"/>
              <w:bottom w:w="150" w:type="dxa"/>
              <w:right w:w="150" w:type="dxa"/>
            </w:tcMar>
            <w:hideMark/>
          </w:tcPr>
          <w:p w14:paraId="4B3BE934" w14:textId="77777777" w:rsidR="00F76A63" w:rsidRPr="00E062B5" w:rsidRDefault="00F76A63" w:rsidP="006535C1">
            <w:pPr>
              <w:spacing w:after="300" w:line="276" w:lineRule="auto"/>
              <w:jc w:val="center"/>
              <w:rPr>
                <w:sz w:val="20"/>
                <w:szCs w:val="20"/>
              </w:rPr>
            </w:pPr>
            <w:r w:rsidRPr="00E062B5">
              <w:rPr>
                <w:sz w:val="20"/>
                <w:szCs w:val="20"/>
                <w:bdr w:val="none" w:sz="0" w:space="0" w:color="auto" w:frame="1"/>
              </w:rPr>
              <w:t>PCR, Culture</w:t>
            </w:r>
          </w:p>
        </w:tc>
        <w:tc>
          <w:tcPr>
            <w:tcW w:w="990" w:type="dxa"/>
            <w:shd w:val="clear" w:color="auto" w:fill="FFFFFF"/>
            <w:tcMar>
              <w:top w:w="150" w:type="dxa"/>
              <w:left w:w="150" w:type="dxa"/>
              <w:bottom w:w="150" w:type="dxa"/>
              <w:right w:w="150" w:type="dxa"/>
            </w:tcMar>
            <w:hideMark/>
          </w:tcPr>
          <w:p w14:paraId="546E4742" w14:textId="77777777" w:rsidR="00F76A63" w:rsidRPr="00E062B5" w:rsidRDefault="00F76A63" w:rsidP="006535C1">
            <w:pPr>
              <w:spacing w:after="300" w:line="276" w:lineRule="auto"/>
              <w:jc w:val="center"/>
              <w:rPr>
                <w:sz w:val="20"/>
                <w:szCs w:val="20"/>
              </w:rPr>
            </w:pPr>
            <w:r w:rsidRPr="00E062B5">
              <w:rPr>
                <w:sz w:val="20"/>
                <w:szCs w:val="20"/>
                <w:bdr w:val="none" w:sz="0" w:space="0" w:color="auto" w:frame="1"/>
              </w:rPr>
              <w:t>PCR</w:t>
            </w:r>
          </w:p>
        </w:tc>
        <w:tc>
          <w:tcPr>
            <w:tcW w:w="1973" w:type="dxa"/>
            <w:shd w:val="clear" w:color="auto" w:fill="FFFFFF"/>
            <w:tcMar>
              <w:top w:w="150" w:type="dxa"/>
              <w:left w:w="150" w:type="dxa"/>
              <w:bottom w:w="150" w:type="dxa"/>
              <w:right w:w="150" w:type="dxa"/>
            </w:tcMar>
            <w:hideMark/>
          </w:tcPr>
          <w:p w14:paraId="25B080E0" w14:textId="77777777" w:rsidR="00F76A63" w:rsidRPr="00E062B5" w:rsidRDefault="00F76A63" w:rsidP="006535C1">
            <w:pPr>
              <w:spacing w:after="300" w:line="276" w:lineRule="auto"/>
              <w:jc w:val="center"/>
              <w:rPr>
                <w:sz w:val="20"/>
                <w:szCs w:val="20"/>
              </w:rPr>
            </w:pPr>
            <w:r w:rsidRPr="00E062B5">
              <w:rPr>
                <w:sz w:val="20"/>
                <w:szCs w:val="20"/>
                <w:bdr w:val="none" w:sz="0" w:space="0" w:color="auto" w:frame="1"/>
              </w:rPr>
              <w:t>PCR, Serology, (Culture)</w:t>
            </w:r>
          </w:p>
        </w:tc>
        <w:tc>
          <w:tcPr>
            <w:tcW w:w="1422" w:type="dxa"/>
            <w:shd w:val="clear" w:color="auto" w:fill="FFFFFF"/>
            <w:tcMar>
              <w:top w:w="150" w:type="dxa"/>
              <w:left w:w="150" w:type="dxa"/>
              <w:bottom w:w="150" w:type="dxa"/>
              <w:right w:w="150" w:type="dxa"/>
            </w:tcMar>
            <w:hideMark/>
          </w:tcPr>
          <w:p w14:paraId="7F4CD94D" w14:textId="77777777" w:rsidR="00F76A63" w:rsidRPr="00E062B5" w:rsidRDefault="00F76A63" w:rsidP="006535C1">
            <w:pPr>
              <w:spacing w:after="300" w:line="276" w:lineRule="auto"/>
              <w:jc w:val="center"/>
              <w:rPr>
                <w:sz w:val="20"/>
                <w:szCs w:val="20"/>
              </w:rPr>
            </w:pPr>
            <w:r w:rsidRPr="00E062B5">
              <w:rPr>
                <w:sz w:val="20"/>
                <w:szCs w:val="20"/>
                <w:bdr w:val="none" w:sz="0" w:space="0" w:color="auto" w:frame="1"/>
              </w:rPr>
              <w:t>Serology, (PCR)</w:t>
            </w:r>
          </w:p>
        </w:tc>
        <w:tc>
          <w:tcPr>
            <w:tcW w:w="1179" w:type="dxa"/>
            <w:shd w:val="clear" w:color="auto" w:fill="FFFFFF"/>
            <w:tcMar>
              <w:top w:w="150" w:type="dxa"/>
              <w:left w:w="150" w:type="dxa"/>
              <w:bottom w:w="150" w:type="dxa"/>
              <w:right w:w="150" w:type="dxa"/>
            </w:tcMar>
            <w:hideMark/>
          </w:tcPr>
          <w:p w14:paraId="42396D90" w14:textId="77777777" w:rsidR="00F76A63" w:rsidRPr="00E062B5" w:rsidRDefault="00F76A63" w:rsidP="006535C1">
            <w:pPr>
              <w:spacing w:after="300" w:line="276" w:lineRule="auto"/>
              <w:jc w:val="center"/>
              <w:rPr>
                <w:sz w:val="20"/>
                <w:szCs w:val="20"/>
              </w:rPr>
            </w:pPr>
            <w:r w:rsidRPr="00E062B5">
              <w:rPr>
                <w:sz w:val="20"/>
                <w:szCs w:val="20"/>
                <w:bdr w:val="none" w:sz="0" w:space="0" w:color="auto" w:frame="1"/>
              </w:rPr>
              <w:t>Serology</w:t>
            </w:r>
          </w:p>
        </w:tc>
      </w:tr>
      <w:tr w:rsidR="00F76A63" w:rsidRPr="00E062B5" w14:paraId="051507BA" w14:textId="77777777" w:rsidTr="00E062B5">
        <w:trPr>
          <w:trHeight w:val="587"/>
          <w:jc w:val="center"/>
        </w:trPr>
        <w:tc>
          <w:tcPr>
            <w:tcW w:w="2022" w:type="dxa"/>
            <w:shd w:val="clear" w:color="auto" w:fill="E8F3FA"/>
            <w:tcMar>
              <w:top w:w="150" w:type="dxa"/>
              <w:left w:w="150" w:type="dxa"/>
              <w:bottom w:w="150" w:type="dxa"/>
              <w:right w:w="150" w:type="dxa"/>
            </w:tcMar>
            <w:hideMark/>
          </w:tcPr>
          <w:p w14:paraId="4889CB15" w14:textId="128D0D12" w:rsidR="00F76A63" w:rsidRPr="00E062B5" w:rsidRDefault="00F76A63" w:rsidP="006535C1">
            <w:pPr>
              <w:spacing w:after="300" w:line="276" w:lineRule="auto"/>
              <w:jc w:val="center"/>
              <w:rPr>
                <w:b/>
                <w:bCs/>
                <w:sz w:val="20"/>
                <w:szCs w:val="20"/>
              </w:rPr>
            </w:pPr>
            <w:r w:rsidRPr="00E062B5">
              <w:rPr>
                <w:b/>
                <w:bCs/>
                <w:sz w:val="20"/>
                <w:szCs w:val="20"/>
                <w:bdr w:val="none" w:sz="0" w:space="0" w:color="auto" w:frame="1"/>
              </w:rPr>
              <w:t>Vaccinated infants</w:t>
            </w:r>
            <w:r w:rsidR="00AB75E2">
              <w:rPr>
                <w:b/>
                <w:bCs/>
                <w:sz w:val="20"/>
                <w:szCs w:val="20"/>
                <w:bdr w:val="none" w:sz="0" w:space="0" w:color="auto" w:frame="1"/>
              </w:rPr>
              <w:t xml:space="preserve">, </w:t>
            </w:r>
            <w:r w:rsidRPr="00E062B5">
              <w:rPr>
                <w:b/>
                <w:bCs/>
                <w:sz w:val="20"/>
                <w:szCs w:val="20"/>
                <w:bdr w:val="none" w:sz="0" w:space="0" w:color="auto" w:frame="1"/>
              </w:rPr>
              <w:t>child</w:t>
            </w:r>
            <w:r w:rsidR="00AB75E2">
              <w:rPr>
                <w:b/>
                <w:bCs/>
                <w:sz w:val="20"/>
                <w:szCs w:val="20"/>
                <w:bdr w:val="none" w:sz="0" w:space="0" w:color="auto" w:frame="1"/>
              </w:rPr>
              <w:t>ren, adolescents or adults</w:t>
            </w:r>
          </w:p>
        </w:tc>
        <w:tc>
          <w:tcPr>
            <w:tcW w:w="1179" w:type="dxa"/>
            <w:shd w:val="clear" w:color="auto" w:fill="FFFFFF"/>
            <w:tcMar>
              <w:top w:w="150" w:type="dxa"/>
              <w:left w:w="150" w:type="dxa"/>
              <w:bottom w:w="150" w:type="dxa"/>
              <w:right w:w="150" w:type="dxa"/>
            </w:tcMar>
            <w:hideMark/>
          </w:tcPr>
          <w:p w14:paraId="6940D04C" w14:textId="77777777" w:rsidR="00F76A63" w:rsidRPr="00E062B5" w:rsidRDefault="00F76A63" w:rsidP="006535C1">
            <w:pPr>
              <w:spacing w:after="300" w:line="276" w:lineRule="auto"/>
              <w:jc w:val="center"/>
              <w:rPr>
                <w:sz w:val="20"/>
                <w:szCs w:val="20"/>
              </w:rPr>
            </w:pPr>
            <w:r w:rsidRPr="00E062B5">
              <w:rPr>
                <w:sz w:val="20"/>
                <w:szCs w:val="20"/>
                <w:bdr w:val="none" w:sz="0" w:space="0" w:color="auto" w:frame="1"/>
              </w:rPr>
              <w:t>PCR, Culture</w:t>
            </w:r>
          </w:p>
        </w:tc>
        <w:tc>
          <w:tcPr>
            <w:tcW w:w="990" w:type="dxa"/>
            <w:shd w:val="clear" w:color="auto" w:fill="FFFFFF"/>
            <w:tcMar>
              <w:top w:w="150" w:type="dxa"/>
              <w:left w:w="150" w:type="dxa"/>
              <w:bottom w:w="150" w:type="dxa"/>
              <w:right w:w="150" w:type="dxa"/>
            </w:tcMar>
            <w:hideMark/>
          </w:tcPr>
          <w:p w14:paraId="7683F47C" w14:textId="77777777" w:rsidR="00F76A63" w:rsidRPr="00E062B5" w:rsidRDefault="00F76A63" w:rsidP="006535C1">
            <w:pPr>
              <w:spacing w:after="300" w:line="276" w:lineRule="auto"/>
              <w:jc w:val="center"/>
              <w:rPr>
                <w:sz w:val="20"/>
                <w:szCs w:val="20"/>
              </w:rPr>
            </w:pPr>
            <w:r w:rsidRPr="00E062B5">
              <w:rPr>
                <w:sz w:val="20"/>
                <w:szCs w:val="20"/>
                <w:bdr w:val="none" w:sz="0" w:space="0" w:color="auto" w:frame="1"/>
              </w:rPr>
              <w:t>PCR</w:t>
            </w:r>
          </w:p>
        </w:tc>
        <w:tc>
          <w:tcPr>
            <w:tcW w:w="1973" w:type="dxa"/>
            <w:shd w:val="clear" w:color="auto" w:fill="FFFFFF"/>
            <w:tcMar>
              <w:top w:w="150" w:type="dxa"/>
              <w:left w:w="150" w:type="dxa"/>
              <w:bottom w:w="150" w:type="dxa"/>
              <w:right w:w="150" w:type="dxa"/>
            </w:tcMar>
            <w:hideMark/>
          </w:tcPr>
          <w:p w14:paraId="3F472312" w14:textId="77777777" w:rsidR="00F76A63" w:rsidRPr="00E062B5" w:rsidRDefault="00F76A63" w:rsidP="006535C1">
            <w:pPr>
              <w:spacing w:after="300" w:line="276" w:lineRule="auto"/>
              <w:jc w:val="center"/>
              <w:rPr>
                <w:sz w:val="20"/>
                <w:szCs w:val="20"/>
              </w:rPr>
            </w:pPr>
            <w:r w:rsidRPr="00E062B5">
              <w:rPr>
                <w:sz w:val="20"/>
                <w:szCs w:val="20"/>
                <w:bdr w:val="none" w:sz="0" w:space="0" w:color="auto" w:frame="1"/>
              </w:rPr>
              <w:t>PCR, Serology, (Culture)</w:t>
            </w:r>
          </w:p>
        </w:tc>
        <w:tc>
          <w:tcPr>
            <w:tcW w:w="1422" w:type="dxa"/>
            <w:shd w:val="clear" w:color="auto" w:fill="FFFFFF"/>
            <w:tcMar>
              <w:top w:w="150" w:type="dxa"/>
              <w:left w:w="150" w:type="dxa"/>
              <w:bottom w:w="150" w:type="dxa"/>
              <w:right w:w="150" w:type="dxa"/>
            </w:tcMar>
            <w:hideMark/>
          </w:tcPr>
          <w:p w14:paraId="27194447" w14:textId="77777777" w:rsidR="00F76A63" w:rsidRPr="00E062B5" w:rsidRDefault="00F76A63" w:rsidP="006535C1">
            <w:pPr>
              <w:spacing w:after="300" w:line="276" w:lineRule="auto"/>
              <w:jc w:val="center"/>
              <w:rPr>
                <w:sz w:val="20"/>
                <w:szCs w:val="20"/>
              </w:rPr>
            </w:pPr>
            <w:r w:rsidRPr="00E062B5">
              <w:rPr>
                <w:sz w:val="20"/>
                <w:szCs w:val="20"/>
                <w:bdr w:val="none" w:sz="0" w:space="0" w:color="auto" w:frame="1"/>
              </w:rPr>
              <w:t>Serology, (PCR)</w:t>
            </w:r>
          </w:p>
        </w:tc>
        <w:tc>
          <w:tcPr>
            <w:tcW w:w="1179" w:type="dxa"/>
            <w:shd w:val="clear" w:color="auto" w:fill="FFFFFF"/>
            <w:tcMar>
              <w:top w:w="150" w:type="dxa"/>
              <w:left w:w="150" w:type="dxa"/>
              <w:bottom w:w="150" w:type="dxa"/>
              <w:right w:w="150" w:type="dxa"/>
            </w:tcMar>
            <w:hideMark/>
          </w:tcPr>
          <w:p w14:paraId="0F5D305D" w14:textId="77777777" w:rsidR="00F76A63" w:rsidRPr="00E062B5" w:rsidRDefault="00F76A63" w:rsidP="006535C1">
            <w:pPr>
              <w:spacing w:after="300" w:line="276" w:lineRule="auto"/>
              <w:jc w:val="center"/>
              <w:rPr>
                <w:sz w:val="20"/>
                <w:szCs w:val="20"/>
              </w:rPr>
            </w:pPr>
            <w:r w:rsidRPr="00E062B5">
              <w:rPr>
                <w:sz w:val="20"/>
                <w:szCs w:val="20"/>
                <w:bdr w:val="none" w:sz="0" w:space="0" w:color="auto" w:frame="1"/>
              </w:rPr>
              <w:t>Serology</w:t>
            </w:r>
          </w:p>
        </w:tc>
      </w:tr>
    </w:tbl>
    <w:p w14:paraId="52615A8C" w14:textId="77777777" w:rsidR="00F76A63" w:rsidRPr="00E062B5" w:rsidRDefault="00F76A63" w:rsidP="00211DFF">
      <w:r w:rsidRPr="00E062B5">
        <w:rPr>
          <w:shd w:val="clear" w:color="auto" w:fill="FFFFFF"/>
        </w:rPr>
        <w:t>In 2007 Andre et al</w:t>
      </w:r>
      <w:r w:rsidRPr="00E062B5">
        <w:rPr>
          <w:shd w:val="clear" w:color="auto" w:fill="FFFFFF"/>
          <w:vertAlign w:val="superscript"/>
        </w:rPr>
        <w:t>47</w:t>
      </w:r>
      <w:r w:rsidRPr="00E062B5">
        <w:rPr>
          <w:shd w:val="clear" w:color="auto" w:fill="FFFFFF"/>
        </w:rPr>
        <w:t> concluded that single serology was the most efficient diagnostic test with relatively high sensitivity (&gt;64%) and high specificity (&gt;90%) in 195 participants (≥7 year olds) in an epidemiological study. Combining single serology with one PCR or paired serology increased the sensitivity with an associated limited decrease in specificity.</w:t>
      </w:r>
    </w:p>
    <w:p w14:paraId="38391169" w14:textId="01D1F197" w:rsidR="00C000BA" w:rsidRPr="00E062B5" w:rsidRDefault="00F76A63" w:rsidP="00C000BA">
      <w:pPr>
        <w:pStyle w:val="Heading1"/>
      </w:pPr>
      <w:r w:rsidRPr="00E062B5">
        <w:t>Typing and Subtyping Methods</w:t>
      </w:r>
    </w:p>
    <w:p w14:paraId="3EB006AC" w14:textId="54B1276D" w:rsidR="00C000BA" w:rsidRPr="00E062B5" w:rsidRDefault="00B44EEB" w:rsidP="00C000BA">
      <w:pPr>
        <w:pStyle w:val="Heading2"/>
      </w:pPr>
      <w:r w:rsidRPr="00E062B5">
        <w:t>Typing (subtyping) Method</w:t>
      </w:r>
    </w:p>
    <w:p w14:paraId="6ADB6DF8" w14:textId="497AD207" w:rsidR="00D76609" w:rsidRPr="00D76609" w:rsidRDefault="001F05BE" w:rsidP="00D76609">
      <w:pPr>
        <w:rPr>
          <w:vertAlign w:val="superscript"/>
        </w:rPr>
      </w:pPr>
      <w:r w:rsidRPr="00E062B5">
        <w:rPr>
          <w:shd w:val="clear" w:color="auto" w:fill="FFFFFF"/>
        </w:rPr>
        <w:t>A number of methods have been used to characterize </w:t>
      </w:r>
      <w:r w:rsidRPr="39DFFD72">
        <w:rPr>
          <w:i/>
          <w:iCs/>
          <w:shd w:val="clear" w:color="auto" w:fill="FFFFFF"/>
        </w:rPr>
        <w:t>B.</w:t>
      </w:r>
      <w:r w:rsidR="7E6DDB82" w:rsidRPr="39DFFD72">
        <w:rPr>
          <w:i/>
          <w:iCs/>
          <w:shd w:val="clear" w:color="auto" w:fill="FFFFFF"/>
        </w:rPr>
        <w:t xml:space="preserve"> </w:t>
      </w:r>
      <w:r w:rsidRPr="39DFFD72">
        <w:rPr>
          <w:i/>
          <w:iCs/>
          <w:shd w:val="clear" w:color="auto" w:fill="FFFFFF"/>
        </w:rPr>
        <w:t>pertussis</w:t>
      </w:r>
      <w:r w:rsidRPr="00E062B5">
        <w:rPr>
          <w:shd w:val="clear" w:color="auto" w:fill="FFFFFF"/>
        </w:rPr>
        <w:t> isolates. Most are based on known vaccine virulence factors. Serotyping with antibodies against three surface antigens divides isolates into four serotypes. Two of these three antigens are fimbrial and are also known as Fim2 and Fim3.</w:t>
      </w:r>
      <w:r w:rsidR="0089468F">
        <w:rPr>
          <w:shd w:val="clear" w:color="auto" w:fill="FFFFFF"/>
          <w:vertAlign w:val="superscript"/>
        </w:rPr>
        <w:t>55</w:t>
      </w:r>
      <w:r w:rsidRPr="00E062B5">
        <w:rPr>
          <w:shd w:val="clear" w:color="auto" w:fill="FFFFFF"/>
        </w:rPr>
        <w:t xml:space="preserve"> DNA fingerprinting is a second approach, the various </w:t>
      </w:r>
      <w:r w:rsidRPr="00E062B5">
        <w:rPr>
          <w:shd w:val="clear" w:color="auto" w:fill="FFFFFF"/>
        </w:rPr>
        <w:lastRenderedPageBreak/>
        <w:t xml:space="preserve">techniques used to obtain DNA fingerprints such as ribotyping, RAPD, and pulse field gel electrophoresis (PFGE). Gene typing, the third method used to type </w:t>
      </w:r>
      <w:r w:rsidRPr="39DFFD72">
        <w:rPr>
          <w:i/>
          <w:iCs/>
          <w:shd w:val="clear" w:color="auto" w:fill="FFFFFF"/>
        </w:rPr>
        <w:t>B.</w:t>
      </w:r>
      <w:r w:rsidR="1757317B" w:rsidRPr="39DFFD72">
        <w:rPr>
          <w:i/>
          <w:iCs/>
          <w:shd w:val="clear" w:color="auto" w:fill="FFFFFF"/>
        </w:rPr>
        <w:t xml:space="preserve"> </w:t>
      </w:r>
      <w:r w:rsidRPr="39DFFD72">
        <w:rPr>
          <w:i/>
          <w:iCs/>
          <w:shd w:val="clear" w:color="auto" w:fill="FFFFFF"/>
        </w:rPr>
        <w:t>pertussis</w:t>
      </w:r>
      <w:r w:rsidRPr="00E062B5">
        <w:rPr>
          <w:shd w:val="clear" w:color="auto" w:fill="FFFFFF"/>
        </w:rPr>
        <w:t xml:space="preserve"> is derived from Multi-Locus Sequence Typing (MLST). A multilocus sequence typing (MLST) scheme based on the sequences of </w:t>
      </w:r>
      <w:r w:rsidRPr="39DFFD72">
        <w:rPr>
          <w:i/>
          <w:iCs/>
          <w:shd w:val="clear" w:color="auto" w:fill="FFFFFF"/>
        </w:rPr>
        <w:t>ptx</w:t>
      </w:r>
      <w:r w:rsidRPr="00E062B5">
        <w:rPr>
          <w:shd w:val="clear" w:color="auto" w:fill="FFFFFF"/>
        </w:rPr>
        <w:t>A, </w:t>
      </w:r>
      <w:r w:rsidRPr="39DFFD72">
        <w:rPr>
          <w:i/>
          <w:iCs/>
          <w:shd w:val="clear" w:color="auto" w:fill="FFFFFF"/>
        </w:rPr>
        <w:t>ptx</w:t>
      </w:r>
      <w:r w:rsidRPr="00E062B5">
        <w:rPr>
          <w:shd w:val="clear" w:color="auto" w:fill="FFFFFF"/>
        </w:rPr>
        <w:t>C, and </w:t>
      </w:r>
      <w:r w:rsidRPr="39DFFD72">
        <w:rPr>
          <w:i/>
          <w:iCs/>
          <w:shd w:val="clear" w:color="auto" w:fill="FFFFFF"/>
        </w:rPr>
        <w:t>tcf</w:t>
      </w:r>
      <w:r w:rsidRPr="00E062B5">
        <w:rPr>
          <w:shd w:val="clear" w:color="auto" w:fill="FFFFFF"/>
        </w:rPr>
        <w:t xml:space="preserve">A has been described. Other methods derived from this include Multiple-Locus Variable number tandem repeat Analysis (MLVA), and Comparative Genomic Hybridization (CGH). </w:t>
      </w:r>
      <w:r w:rsidR="00D76609">
        <w:rPr>
          <w:shd w:val="clear" w:color="auto" w:fill="FFFFFF"/>
        </w:rPr>
        <w:t>Whole genome</w:t>
      </w:r>
      <w:r w:rsidRPr="00E062B5">
        <w:rPr>
          <w:shd w:val="clear" w:color="auto" w:fill="FFFFFF"/>
        </w:rPr>
        <w:t xml:space="preserve"> sequence-based typing is increasingly being used, and polymorphisms have been found in various genes including the S1 and S3 subunits of pertussis toxin (</w:t>
      </w:r>
      <w:r w:rsidRPr="39DFFD72">
        <w:rPr>
          <w:i/>
          <w:iCs/>
          <w:shd w:val="clear" w:color="auto" w:fill="FFFFFF"/>
        </w:rPr>
        <w:t>ptx</w:t>
      </w:r>
      <w:r w:rsidRPr="00E062B5">
        <w:rPr>
          <w:shd w:val="clear" w:color="auto" w:fill="FFFFFF"/>
        </w:rPr>
        <w:t>A and </w:t>
      </w:r>
      <w:r w:rsidRPr="39DFFD72">
        <w:rPr>
          <w:i/>
          <w:iCs/>
          <w:shd w:val="clear" w:color="auto" w:fill="FFFFFF"/>
        </w:rPr>
        <w:t>ptx</w:t>
      </w:r>
      <w:r w:rsidRPr="00E062B5">
        <w:rPr>
          <w:shd w:val="clear" w:color="auto" w:fill="FFFFFF"/>
        </w:rPr>
        <w:t>C), pertactin (</w:t>
      </w:r>
      <w:r w:rsidRPr="39DFFD72">
        <w:rPr>
          <w:i/>
          <w:iCs/>
          <w:shd w:val="clear" w:color="auto" w:fill="FFFFFF"/>
        </w:rPr>
        <w:t>prn</w:t>
      </w:r>
      <w:r w:rsidRPr="00E062B5">
        <w:rPr>
          <w:shd w:val="clear" w:color="auto" w:fill="FFFFFF"/>
        </w:rPr>
        <w:t xml:space="preserve">A), tracheal colonization </w:t>
      </w:r>
      <w:r w:rsidRPr="006C2FB6">
        <w:rPr>
          <w:shd w:val="clear" w:color="auto" w:fill="FFFFFF"/>
        </w:rPr>
        <w:t>factor (</w:t>
      </w:r>
      <w:r w:rsidRPr="006C2FB6">
        <w:rPr>
          <w:i/>
          <w:iCs/>
          <w:shd w:val="clear" w:color="auto" w:fill="FFFFFF"/>
        </w:rPr>
        <w:t>tcf</w:t>
      </w:r>
      <w:r w:rsidRPr="006C2FB6">
        <w:rPr>
          <w:shd w:val="clear" w:color="auto" w:fill="FFFFFF"/>
        </w:rPr>
        <w:t>A), fimbrial antigens 2 and 3 (</w:t>
      </w:r>
      <w:r w:rsidRPr="006C2FB6">
        <w:rPr>
          <w:i/>
          <w:iCs/>
          <w:shd w:val="clear" w:color="auto" w:fill="FFFFFF"/>
        </w:rPr>
        <w:t>fim</w:t>
      </w:r>
      <w:r w:rsidRPr="006C2FB6">
        <w:rPr>
          <w:shd w:val="clear" w:color="auto" w:fill="FFFFFF"/>
        </w:rPr>
        <w:t>2 and f</w:t>
      </w:r>
      <w:r w:rsidRPr="006C2FB6">
        <w:rPr>
          <w:i/>
          <w:iCs/>
          <w:shd w:val="clear" w:color="auto" w:fill="FFFFFF"/>
        </w:rPr>
        <w:t>im</w:t>
      </w:r>
      <w:r w:rsidRPr="006C2FB6">
        <w:rPr>
          <w:shd w:val="clear" w:color="auto" w:fill="FFFFFF"/>
        </w:rPr>
        <w:t xml:space="preserve">3). </w:t>
      </w:r>
      <w:r w:rsidRPr="00E3118B">
        <w:rPr>
          <w:shd w:val="clear" w:color="auto" w:fill="FFFFFF"/>
        </w:rPr>
        <w:t xml:space="preserve">With </w:t>
      </w:r>
      <w:r w:rsidR="00A34049" w:rsidRPr="00E3118B">
        <w:rPr>
          <w:shd w:val="clear" w:color="auto" w:fill="FFFFFF"/>
        </w:rPr>
        <w:t>limited</w:t>
      </w:r>
      <w:r w:rsidRPr="00E3118B">
        <w:rPr>
          <w:shd w:val="clear" w:color="auto" w:fill="FFFFFF"/>
        </w:rPr>
        <w:t xml:space="preserve"> </w:t>
      </w:r>
      <w:r w:rsidR="00A34049" w:rsidRPr="00E3118B">
        <w:rPr>
          <w:shd w:val="clear" w:color="auto" w:fill="FFFFFF"/>
        </w:rPr>
        <w:t>availability</w:t>
      </w:r>
      <w:r w:rsidRPr="00E3118B">
        <w:rPr>
          <w:shd w:val="clear" w:color="auto" w:fill="FFFFFF"/>
        </w:rPr>
        <w:t xml:space="preserve"> of culture</w:t>
      </w:r>
      <w:r w:rsidR="00A34049" w:rsidRPr="00E3118B">
        <w:rPr>
          <w:shd w:val="clear" w:color="auto" w:fill="FFFFFF"/>
        </w:rPr>
        <w:t>d isolates</w:t>
      </w:r>
      <w:r w:rsidRPr="00E3118B">
        <w:rPr>
          <w:shd w:val="clear" w:color="auto" w:fill="FFFFFF"/>
        </w:rPr>
        <w:t xml:space="preserve"> for epidemiological studies</w:t>
      </w:r>
      <w:r w:rsidR="0CCE8A19" w:rsidRPr="00E3118B">
        <w:rPr>
          <w:shd w:val="clear" w:color="auto" w:fill="FFFFFF"/>
        </w:rPr>
        <w:t>,</w:t>
      </w:r>
      <w:r w:rsidRPr="00E3118B">
        <w:rPr>
          <w:shd w:val="clear" w:color="auto" w:fill="FFFFFF"/>
        </w:rPr>
        <w:t xml:space="preserve"> alternative </w:t>
      </w:r>
      <w:r w:rsidR="00A34049" w:rsidRPr="00E3118B">
        <w:rPr>
          <w:shd w:val="clear" w:color="auto" w:fill="FFFFFF"/>
        </w:rPr>
        <w:t>culture-independent methods of</w:t>
      </w:r>
      <w:r w:rsidRPr="00E3118B">
        <w:rPr>
          <w:shd w:val="clear" w:color="auto" w:fill="FFFFFF"/>
        </w:rPr>
        <w:t xml:space="preserve"> typing are required.</w:t>
      </w:r>
      <w:r w:rsidR="00D76609" w:rsidRPr="00E3118B">
        <w:rPr>
          <w:shd w:val="clear" w:color="auto" w:fill="FFFFFF"/>
        </w:rPr>
        <w:t xml:space="preserve"> The </w:t>
      </w:r>
      <w:r w:rsidR="00D76609" w:rsidRPr="00E3118B">
        <w:t xml:space="preserve">targeted culture-independent sequencing (tNGS) directly from respiratory specimens showed potential to close this gap in pertussis surveillance. </w:t>
      </w:r>
      <w:r w:rsidR="00D76609" w:rsidRPr="00E3118B">
        <w:rPr>
          <w:rFonts w:eastAsia="Times New Roman"/>
        </w:rPr>
        <w:t xml:space="preserve">tNGS can recover near-complete </w:t>
      </w:r>
      <w:r w:rsidR="00D76609" w:rsidRPr="00E3118B">
        <w:rPr>
          <w:rFonts w:eastAsia="Times New Roman"/>
          <w:i/>
          <w:iCs/>
        </w:rPr>
        <w:t>B. pertussis</w:t>
      </w:r>
      <w:r w:rsidR="00D76609" w:rsidRPr="00E3118B">
        <w:rPr>
          <w:rFonts w:eastAsia="Times New Roman"/>
        </w:rPr>
        <w:t xml:space="preserve"> genomes directly from PCR-positive clinical specimens</w:t>
      </w:r>
      <w:r w:rsidR="00A34049" w:rsidRPr="00E3118B">
        <w:rPr>
          <w:rFonts w:eastAsia="Times New Roman"/>
        </w:rPr>
        <w:t xml:space="preserve"> with sufficient DNA yield</w:t>
      </w:r>
      <w:r w:rsidR="00D76609" w:rsidRPr="00E3118B">
        <w:rPr>
          <w:rFonts w:eastAsia="Times New Roman"/>
        </w:rPr>
        <w:t>, enabling identification of macrolide resistance mutations</w:t>
      </w:r>
      <w:r w:rsidR="00BF0995" w:rsidRPr="00E3118B">
        <w:rPr>
          <w:rFonts w:eastAsia="Times New Roman"/>
        </w:rPr>
        <w:t>, virulence profiling</w:t>
      </w:r>
      <w:r w:rsidR="00D76609" w:rsidRPr="00E3118B">
        <w:rPr>
          <w:rFonts w:eastAsia="Times New Roman"/>
        </w:rPr>
        <w:t xml:space="preserve"> and high-resolution phylogenetic analysis.</w:t>
      </w:r>
      <w:r w:rsidR="00D76609" w:rsidRPr="00E3118B">
        <w:rPr>
          <w:rFonts w:eastAsia="Times New Roman"/>
          <w:vertAlign w:val="superscript"/>
        </w:rPr>
        <w:t>14</w:t>
      </w:r>
    </w:p>
    <w:p w14:paraId="69EC0225" w14:textId="2D3F003C" w:rsidR="00C000BA" w:rsidRPr="00E062B5" w:rsidRDefault="001F05BE" w:rsidP="00C000BA">
      <w:pPr>
        <w:pStyle w:val="Heading3"/>
      </w:pPr>
      <w:r w:rsidRPr="00E062B5">
        <w:t xml:space="preserve">Utility </w:t>
      </w:r>
    </w:p>
    <w:p w14:paraId="1FC9B576" w14:textId="483B3292" w:rsidR="003F2615" w:rsidRPr="00E062B5" w:rsidRDefault="003F2615" w:rsidP="00211DFF">
      <w:r w:rsidRPr="00E062B5">
        <w:rPr>
          <w:shd w:val="clear" w:color="auto" w:fill="FFFFFF"/>
        </w:rPr>
        <w:t>This typing is important to track changes in antigenic structure of virulence factors such as pertussis toxin and pertactin used in subunit vaccines after the historic Australian pertussis WCV containing </w:t>
      </w:r>
      <w:r w:rsidRPr="39DFFD72">
        <w:rPr>
          <w:i/>
          <w:iCs/>
          <w:shd w:val="clear" w:color="auto" w:fill="FFFFFF"/>
        </w:rPr>
        <w:t>ptx </w:t>
      </w:r>
      <w:r w:rsidRPr="00E062B5">
        <w:rPr>
          <w:shd w:val="clear" w:color="auto" w:fill="FFFFFF"/>
        </w:rPr>
        <w:t xml:space="preserve">S1A derived proteins was </w:t>
      </w:r>
      <w:r w:rsidR="79FC23C8" w:rsidRPr="00E062B5">
        <w:rPr>
          <w:shd w:val="clear" w:color="auto" w:fill="FFFFFF"/>
        </w:rPr>
        <w:t>discontinued</w:t>
      </w:r>
      <w:r w:rsidRPr="00E062B5">
        <w:rPr>
          <w:shd w:val="clear" w:color="auto" w:fill="FFFFFF"/>
        </w:rPr>
        <w:t>.</w:t>
      </w:r>
      <w:r w:rsidR="0089468F">
        <w:rPr>
          <w:shd w:val="clear" w:color="auto" w:fill="FFFFFF"/>
          <w:vertAlign w:val="superscript"/>
        </w:rPr>
        <w:t>20</w:t>
      </w:r>
    </w:p>
    <w:p w14:paraId="1843418B" w14:textId="77777777" w:rsidR="003F2615" w:rsidRPr="00E062B5" w:rsidRDefault="003F2615" w:rsidP="003F2615">
      <w:pPr>
        <w:pStyle w:val="Heading3"/>
      </w:pPr>
      <w:r w:rsidRPr="00E062B5">
        <w:t>4.1.2 Suitable external QAP program</w:t>
      </w:r>
    </w:p>
    <w:p w14:paraId="67362485" w14:textId="77777777" w:rsidR="003F2615" w:rsidRDefault="003F2615" w:rsidP="003F2615">
      <w:pPr>
        <w:spacing w:line="276" w:lineRule="auto"/>
        <w:rPr>
          <w:shd w:val="clear" w:color="auto" w:fill="FFFFFF"/>
        </w:rPr>
      </w:pPr>
      <w:r w:rsidRPr="00E062B5">
        <w:rPr>
          <w:shd w:val="clear" w:color="auto" w:fill="FFFFFF"/>
        </w:rPr>
        <w:t>No programme available but isolates may be submitted to Eupertstrain for analysis.</w:t>
      </w:r>
    </w:p>
    <w:p w14:paraId="58FC39D6" w14:textId="56E56DE2" w:rsidR="7BE273F7" w:rsidRPr="00E062B5" w:rsidRDefault="003F2615" w:rsidP="003F2615">
      <w:pPr>
        <w:pStyle w:val="Heading1"/>
      </w:pPr>
      <w:r w:rsidRPr="00E062B5">
        <w:t xml:space="preserve"> </w:t>
      </w:r>
      <w:r w:rsidR="7BE273F7" w:rsidRPr="00E062B5">
        <w:rPr>
          <w:rFonts w:eastAsia="Open Sans"/>
        </w:rPr>
        <w:t>Laboratory nomenclature for national data dictionary</w:t>
      </w:r>
    </w:p>
    <w:tbl>
      <w:tblPr>
        <w:tblStyle w:val="ListTable3-Accent1"/>
        <w:tblW w:w="8926" w:type="dxa"/>
        <w:tblLook w:val="04A0" w:firstRow="1" w:lastRow="0" w:firstColumn="1" w:lastColumn="0" w:noHBand="0" w:noVBand="1"/>
      </w:tblPr>
      <w:tblGrid>
        <w:gridCol w:w="2689"/>
        <w:gridCol w:w="3827"/>
        <w:gridCol w:w="2410"/>
      </w:tblGrid>
      <w:tr w:rsidR="006C7574" w:rsidRPr="00E062B5" w14:paraId="02553D0C" w14:textId="77777777" w:rsidTr="006C7574">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689" w:type="dxa"/>
          </w:tcPr>
          <w:p w14:paraId="0437B8DD" w14:textId="02484A69" w:rsidR="006C7574" w:rsidRPr="00E062B5" w:rsidRDefault="006C7574" w:rsidP="006C7574">
            <w:pPr>
              <w:spacing w:before="120" w:after="120" w:line="240" w:lineRule="auto"/>
            </w:pPr>
            <w:r w:rsidRPr="00E062B5">
              <w:t>SNOMED CT code</w:t>
            </w:r>
          </w:p>
        </w:tc>
        <w:tc>
          <w:tcPr>
            <w:tcW w:w="3827" w:type="dxa"/>
          </w:tcPr>
          <w:p w14:paraId="1C2C4D52" w14:textId="14184087" w:rsidR="006C7574" w:rsidRPr="00E062B5" w:rsidRDefault="006C7574" w:rsidP="006C7574">
            <w:pPr>
              <w:spacing w:before="120" w:after="120" w:line="240" w:lineRule="auto"/>
              <w:cnfStyle w:val="100000000000" w:firstRow="1" w:lastRow="0" w:firstColumn="0" w:lastColumn="0" w:oddVBand="0" w:evenVBand="0" w:oddHBand="0" w:evenHBand="0" w:firstRowFirstColumn="0" w:firstRowLastColumn="0" w:lastRowFirstColumn="0" w:lastRowLastColumn="0"/>
            </w:pPr>
            <w:r w:rsidRPr="00E062B5">
              <w:t>Description</w:t>
            </w:r>
          </w:p>
        </w:tc>
        <w:tc>
          <w:tcPr>
            <w:tcW w:w="2410" w:type="dxa"/>
          </w:tcPr>
          <w:p w14:paraId="270576BF" w14:textId="18045D39" w:rsidR="006C7574" w:rsidRPr="00E062B5" w:rsidRDefault="006C7574" w:rsidP="006C7574">
            <w:pPr>
              <w:spacing w:before="120" w:after="120" w:line="240" w:lineRule="auto"/>
              <w:cnfStyle w:val="100000000000" w:firstRow="1" w:lastRow="0" w:firstColumn="0" w:lastColumn="0" w:oddVBand="0" w:evenVBand="0" w:oddHBand="0" w:evenHBand="0" w:firstRowFirstColumn="0" w:firstRowLastColumn="0" w:lastRowFirstColumn="0" w:lastRowLastColumn="0"/>
            </w:pPr>
            <w:r w:rsidRPr="00E062B5">
              <w:t>Concept name</w:t>
            </w:r>
          </w:p>
        </w:tc>
      </w:tr>
      <w:tr w:rsidR="006C7574" w:rsidRPr="00E062B5" w14:paraId="2F628914" w14:textId="77777777" w:rsidTr="006C7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tcPr>
          <w:p w14:paraId="5098CE6F" w14:textId="01B405F8" w:rsidR="006C7574" w:rsidRPr="00E062B5" w:rsidRDefault="006C7574" w:rsidP="006C7574">
            <w:pPr>
              <w:spacing w:before="120" w:after="120" w:line="240" w:lineRule="auto"/>
              <w:rPr>
                <w:b w:val="0"/>
                <w:bCs w:val="0"/>
              </w:rPr>
            </w:pPr>
            <w:r w:rsidRPr="00E062B5">
              <w:t>27836007</w:t>
            </w:r>
          </w:p>
        </w:tc>
        <w:tc>
          <w:tcPr>
            <w:tcW w:w="3827" w:type="dxa"/>
          </w:tcPr>
          <w:p w14:paraId="59CCD2E0" w14:textId="01704886" w:rsidR="006C7574" w:rsidRPr="00E062B5" w:rsidRDefault="006C7574" w:rsidP="006C7574">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E062B5">
              <w:t xml:space="preserve">Pertussis </w:t>
            </w:r>
          </w:p>
        </w:tc>
        <w:tc>
          <w:tcPr>
            <w:tcW w:w="2410" w:type="dxa"/>
          </w:tcPr>
          <w:p w14:paraId="6BE3B8EF" w14:textId="594CEDF8" w:rsidR="006C7574" w:rsidRPr="00E062B5" w:rsidRDefault="006C7574" w:rsidP="006C7574">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E062B5">
              <w:t>Disorder</w:t>
            </w:r>
          </w:p>
        </w:tc>
      </w:tr>
      <w:tr w:rsidR="006C7574" w:rsidRPr="00E062B5" w14:paraId="7FF30602" w14:textId="77777777" w:rsidTr="006C7574">
        <w:trPr>
          <w:trHeight w:val="300"/>
        </w:trPr>
        <w:tc>
          <w:tcPr>
            <w:cnfStyle w:val="001000000000" w:firstRow="0" w:lastRow="0" w:firstColumn="1" w:lastColumn="0" w:oddVBand="0" w:evenVBand="0" w:oddHBand="0" w:evenHBand="0" w:firstRowFirstColumn="0" w:firstRowLastColumn="0" w:lastRowFirstColumn="0" w:lastRowLastColumn="0"/>
            <w:tcW w:w="2689" w:type="dxa"/>
          </w:tcPr>
          <w:p w14:paraId="0199F78E" w14:textId="7255BE3A" w:rsidR="006C7574" w:rsidRPr="00E062B5" w:rsidRDefault="006C7574" w:rsidP="006C7574">
            <w:pPr>
              <w:spacing w:before="120" w:after="120" w:line="240" w:lineRule="auto"/>
              <w:rPr>
                <w:b w:val="0"/>
                <w:bCs w:val="0"/>
              </w:rPr>
            </w:pPr>
            <w:r w:rsidRPr="00E062B5">
              <w:t>5247005</w:t>
            </w:r>
          </w:p>
        </w:tc>
        <w:tc>
          <w:tcPr>
            <w:tcW w:w="3827" w:type="dxa"/>
          </w:tcPr>
          <w:p w14:paraId="330AD7A1" w14:textId="4B9AE91D" w:rsidR="006C7574" w:rsidRPr="00E062B5" w:rsidRDefault="006C7574" w:rsidP="006C7574">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E062B5">
              <w:t xml:space="preserve">Bordetella pertussis </w:t>
            </w:r>
          </w:p>
        </w:tc>
        <w:tc>
          <w:tcPr>
            <w:tcW w:w="2410" w:type="dxa"/>
          </w:tcPr>
          <w:p w14:paraId="0ABAAFD9" w14:textId="453D7276" w:rsidR="006C7574" w:rsidRPr="00E062B5" w:rsidRDefault="006C7574" w:rsidP="006C7574">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E062B5">
              <w:t>Organism</w:t>
            </w:r>
          </w:p>
        </w:tc>
      </w:tr>
      <w:tr w:rsidR="006C7574" w:rsidRPr="00E062B5" w14:paraId="1A2B3EA7" w14:textId="77777777" w:rsidTr="006C7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tcPr>
          <w:p w14:paraId="125C7E08" w14:textId="5E6FADAF" w:rsidR="006C7574" w:rsidRPr="00E062B5" w:rsidRDefault="006C7574" w:rsidP="006C7574">
            <w:pPr>
              <w:spacing w:before="120" w:after="120" w:line="240" w:lineRule="auto"/>
              <w:rPr>
                <w:b w:val="0"/>
                <w:bCs w:val="0"/>
              </w:rPr>
            </w:pPr>
            <w:r w:rsidRPr="00E062B5">
              <w:t>122206002</w:t>
            </w:r>
          </w:p>
        </w:tc>
        <w:tc>
          <w:tcPr>
            <w:tcW w:w="3827" w:type="dxa"/>
          </w:tcPr>
          <w:p w14:paraId="659C7682" w14:textId="10EDCC5D" w:rsidR="006C7574" w:rsidRPr="00E062B5" w:rsidRDefault="006C7574" w:rsidP="006C7574">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E062B5">
              <w:t xml:space="preserve">Bordetella pertussis culture </w:t>
            </w:r>
          </w:p>
        </w:tc>
        <w:tc>
          <w:tcPr>
            <w:tcW w:w="2410" w:type="dxa"/>
          </w:tcPr>
          <w:p w14:paraId="015BAE8F" w14:textId="3F6396A1" w:rsidR="006C7574" w:rsidRPr="00E062B5" w:rsidRDefault="006C7574" w:rsidP="006C7574">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E062B5">
              <w:t>Procedure</w:t>
            </w:r>
          </w:p>
        </w:tc>
      </w:tr>
      <w:tr w:rsidR="006C7574" w:rsidRPr="00E062B5" w14:paraId="686F3A1F" w14:textId="77777777" w:rsidTr="006C7574">
        <w:trPr>
          <w:trHeight w:val="300"/>
        </w:trPr>
        <w:tc>
          <w:tcPr>
            <w:cnfStyle w:val="001000000000" w:firstRow="0" w:lastRow="0" w:firstColumn="1" w:lastColumn="0" w:oddVBand="0" w:evenVBand="0" w:oddHBand="0" w:evenHBand="0" w:firstRowFirstColumn="0" w:firstRowLastColumn="0" w:lastRowFirstColumn="0" w:lastRowLastColumn="0"/>
            <w:tcW w:w="2689" w:type="dxa"/>
          </w:tcPr>
          <w:p w14:paraId="1C5C5976" w14:textId="7D66F1A8" w:rsidR="006C7574" w:rsidRPr="00E062B5" w:rsidRDefault="006C7574" w:rsidP="006C7574">
            <w:pPr>
              <w:spacing w:before="120" w:after="120" w:line="240" w:lineRule="auto"/>
              <w:rPr>
                <w:b w:val="0"/>
                <w:bCs w:val="0"/>
              </w:rPr>
            </w:pPr>
            <w:r w:rsidRPr="00E062B5">
              <w:t>315073006</w:t>
            </w:r>
          </w:p>
        </w:tc>
        <w:tc>
          <w:tcPr>
            <w:tcW w:w="3827" w:type="dxa"/>
          </w:tcPr>
          <w:p w14:paraId="1BA7C155" w14:textId="0DC5CE06" w:rsidR="006C7574" w:rsidRPr="00E062B5" w:rsidRDefault="006C7574" w:rsidP="006C7574">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E062B5">
              <w:t>Bordetella pertussis antibody level</w:t>
            </w:r>
          </w:p>
        </w:tc>
        <w:tc>
          <w:tcPr>
            <w:tcW w:w="2410" w:type="dxa"/>
          </w:tcPr>
          <w:p w14:paraId="1DE0B94B" w14:textId="71738B1A" w:rsidR="006C7574" w:rsidRPr="00E062B5" w:rsidRDefault="006C7574" w:rsidP="006C7574">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E062B5">
              <w:t>Procedure</w:t>
            </w:r>
          </w:p>
        </w:tc>
      </w:tr>
      <w:tr w:rsidR="006C7574" w:rsidRPr="00E062B5" w14:paraId="09D1A728" w14:textId="77777777" w:rsidTr="006C7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tcPr>
          <w:p w14:paraId="23109355" w14:textId="7151A720" w:rsidR="006C7574" w:rsidRPr="00E062B5" w:rsidRDefault="006C7574" w:rsidP="006C7574">
            <w:pPr>
              <w:spacing w:before="120" w:after="120" w:line="240" w:lineRule="auto"/>
            </w:pPr>
            <w:r w:rsidRPr="00E062B5">
              <w:t>122183004</w:t>
            </w:r>
          </w:p>
        </w:tc>
        <w:tc>
          <w:tcPr>
            <w:tcW w:w="3827" w:type="dxa"/>
          </w:tcPr>
          <w:p w14:paraId="11A69258" w14:textId="787D8588" w:rsidR="006C7574" w:rsidRPr="00E062B5" w:rsidRDefault="006C7574" w:rsidP="006C7574">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E062B5">
              <w:t>Bordetella pertussis antigen assay</w:t>
            </w:r>
          </w:p>
        </w:tc>
        <w:tc>
          <w:tcPr>
            <w:tcW w:w="2410" w:type="dxa"/>
          </w:tcPr>
          <w:p w14:paraId="442A4B1D" w14:textId="713C1C4E" w:rsidR="006C7574" w:rsidRPr="00E062B5" w:rsidRDefault="006C7574" w:rsidP="006C7574">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E062B5">
              <w:t>Procedure</w:t>
            </w:r>
          </w:p>
        </w:tc>
      </w:tr>
    </w:tbl>
    <w:p w14:paraId="0C0836E7" w14:textId="77777777" w:rsidR="008B2663" w:rsidRDefault="008B2663" w:rsidP="008B2663">
      <w:pPr>
        <w:pStyle w:val="Heading1"/>
        <w:numPr>
          <w:ilvl w:val="0"/>
          <w:numId w:val="0"/>
        </w:numPr>
        <w:ind w:left="397" w:hanging="397"/>
        <w:rPr>
          <w:sz w:val="22"/>
          <w:szCs w:val="22"/>
        </w:rPr>
      </w:pPr>
    </w:p>
    <w:p w14:paraId="64747A33" w14:textId="77777777" w:rsidR="00903984" w:rsidRPr="008B2663" w:rsidRDefault="00903984" w:rsidP="008B2663">
      <w:pPr>
        <w:pStyle w:val="Heading1"/>
        <w:numPr>
          <w:ilvl w:val="0"/>
          <w:numId w:val="0"/>
        </w:numPr>
        <w:ind w:left="397" w:hanging="397"/>
        <w:rPr>
          <w:sz w:val="22"/>
          <w:szCs w:val="22"/>
        </w:rPr>
      </w:pPr>
    </w:p>
    <w:p w14:paraId="0CABE0F3" w14:textId="68E3F3AE" w:rsidR="00CD23B2" w:rsidRPr="00F24BC0" w:rsidRDefault="00CD23B2" w:rsidP="00F24BC0">
      <w:pPr>
        <w:pStyle w:val="Heading1"/>
        <w:rPr>
          <w:sz w:val="22"/>
          <w:szCs w:val="22"/>
        </w:rPr>
      </w:pPr>
      <w:r w:rsidRPr="00E062B5">
        <w:lastRenderedPageBreak/>
        <w:t>References</w:t>
      </w:r>
    </w:p>
    <w:p w14:paraId="7182B70C"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Xing D, Wirsing von Konig CH, Newland P, Rifflemann M, Mead B, Corbel M, Gaines-Das R. Characterisation of reference materials for human antiserum to pertussis antigens by an international collaborative Study. Clin Vac Immunol:2009; 16 (3):303-311.</w:t>
      </w:r>
    </w:p>
    <w:p w14:paraId="3EB54DA2"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Mattoo S and Cherry JD Molecular pathogenesis, epidemiology, and clinical manifestations of respiratory infections due to </w:t>
      </w:r>
      <w:r w:rsidRPr="006C7574">
        <w:rPr>
          <w:i/>
          <w:iCs/>
          <w:color w:val="222222"/>
        </w:rPr>
        <w:t>Bordetella pertussis </w:t>
      </w:r>
      <w:r w:rsidRPr="006C7574">
        <w:rPr>
          <w:color w:val="222222"/>
        </w:rPr>
        <w:t>and other Bordetella subspecies Clin. Microbiol. Rev. 2005;18:326-382.</w:t>
      </w:r>
    </w:p>
    <w:p w14:paraId="4C700682"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Muller FC, Hoppe JE, von Konig CHW. 1997. Laboratory diagnosis of pertussis: state of the art in 1997. J Clin Microbiol 1997;35: 2435-2443.</w:t>
      </w:r>
    </w:p>
    <w:p w14:paraId="00B68E16"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Hewlett EL, Edwards KM Clinical practice </w:t>
      </w:r>
      <w:hyperlink r:id="rId17" w:history="1">
        <w:r w:rsidRPr="006C7574">
          <w:rPr>
            <w:color w:val="1157AD"/>
            <w:u w:val="single"/>
          </w:rPr>
          <w:t>Pertussis — Not just for kids</w:t>
        </w:r>
      </w:hyperlink>
      <w:r w:rsidRPr="006C7574">
        <w:rPr>
          <w:color w:val="222222"/>
        </w:rPr>
        <w:t> N Engl J Med 2005; 352:1215-1222</w:t>
      </w:r>
    </w:p>
    <w:p w14:paraId="767581D5" w14:textId="6929CB91"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Wood N, &amp; McIntyre P. Pertussis: review of epidemiology, diagnosis, management and prevention</w:t>
      </w:r>
      <w:r w:rsidR="00E32BE5">
        <w:rPr>
          <w:color w:val="222222"/>
        </w:rPr>
        <w:t>.</w:t>
      </w:r>
      <w:r w:rsidRPr="006C7574">
        <w:rPr>
          <w:color w:val="222222"/>
        </w:rPr>
        <w:t xml:space="preserve"> Paediatric Respiratory Reviews 2008; 9: 201–212.</w:t>
      </w:r>
    </w:p>
    <w:p w14:paraId="1502D027"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Wei SC, Tatti k, Cushing K, Rosen J, Brown K, Cassiday P, Clark T, Olans R, Pawloski L, Martin M, Tondella ML, Martin, SW. </w:t>
      </w:r>
      <w:hyperlink r:id="rId18" w:history="1">
        <w:r w:rsidRPr="006C7574">
          <w:rPr>
            <w:color w:val="1157AD"/>
            <w:u w:val="single"/>
          </w:rPr>
          <w:t>Effectiveness of adolescent and adult Tetanus, Reduced-Dose Diphtheria, and Acellular Pertussis Vaccine against Pertussis.</w:t>
        </w:r>
      </w:hyperlink>
      <w:r w:rsidRPr="006C7574">
        <w:rPr>
          <w:color w:val="222222"/>
        </w:rPr>
        <w:t> Clinical Infectious Diseases 2010; 51(3):315-321.</w:t>
      </w:r>
    </w:p>
    <w:p w14:paraId="27F82C48"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Poynten M, McIntyre PB, Mooi FR, Heuvelman KJ, Gilbert GL. Temporal trends in circulating </w:t>
      </w:r>
      <w:r w:rsidRPr="006C7574">
        <w:rPr>
          <w:i/>
          <w:iCs/>
          <w:color w:val="222222"/>
        </w:rPr>
        <w:t>Bordetella pertussis</w:t>
      </w:r>
      <w:r w:rsidRPr="006C7574">
        <w:rPr>
          <w:color w:val="222222"/>
        </w:rPr>
        <w:t> strains in Australia. Epidemiol Infect 2004;132:185-193.</w:t>
      </w:r>
    </w:p>
    <w:p w14:paraId="76C77DE6"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Kurniawan J, Maharjan RP, Chan W-F, Reeves PR, Sintchenko V, Gilbert GL, Mooi FR, and Lan R. </w:t>
      </w:r>
      <w:r w:rsidRPr="006C7574">
        <w:rPr>
          <w:i/>
          <w:iCs/>
          <w:color w:val="222222"/>
        </w:rPr>
        <w:t>Bordetella pertussis </w:t>
      </w:r>
      <w:r w:rsidRPr="006C7574">
        <w:rPr>
          <w:color w:val="222222"/>
        </w:rPr>
        <w:t>clones identified by Multilocus Variable-Number Tandem-Repeat Analysis Emerging Infectious Diseases 2010;16(2):297-300.</w:t>
      </w:r>
    </w:p>
    <w:p w14:paraId="5E35E626" w14:textId="43B946A4" w:rsidR="00A41DA0" w:rsidRDefault="00A41DA0" w:rsidP="00766E2C">
      <w:pPr>
        <w:numPr>
          <w:ilvl w:val="0"/>
          <w:numId w:val="8"/>
        </w:numPr>
        <w:shd w:val="clear" w:color="auto" w:fill="FFFFFF"/>
        <w:spacing w:before="0" w:after="90" w:line="300" w:lineRule="atLeast"/>
        <w:rPr>
          <w:color w:val="222222"/>
        </w:rPr>
      </w:pPr>
      <w:r w:rsidRPr="006C7574">
        <w:rPr>
          <w:color w:val="222222"/>
        </w:rPr>
        <w:t>Mooi FR</w:t>
      </w:r>
      <w:r w:rsidRPr="006C7574">
        <w:rPr>
          <w:i/>
          <w:iCs/>
          <w:color w:val="222222"/>
        </w:rPr>
        <w:t>. </w:t>
      </w:r>
      <w:hyperlink r:id="rId19" w:history="1">
        <w:r w:rsidRPr="006C7574">
          <w:rPr>
            <w:color w:val="1157AD"/>
            <w:u w:val="single"/>
          </w:rPr>
          <w:t>Bordetella </w:t>
        </w:r>
        <w:r w:rsidRPr="006C7574">
          <w:rPr>
            <w:i/>
            <w:iCs/>
            <w:color w:val="1157AD"/>
            <w:u w:val="single"/>
          </w:rPr>
          <w:t>pertussis</w:t>
        </w:r>
        <w:r w:rsidRPr="006C7574">
          <w:rPr>
            <w:b/>
            <w:bCs/>
            <w:color w:val="1157AD"/>
            <w:u w:val="single"/>
          </w:rPr>
          <w:t> a</w:t>
        </w:r>
        <w:r w:rsidRPr="006C7574">
          <w:rPr>
            <w:color w:val="1157AD"/>
            <w:u w:val="single"/>
          </w:rPr>
          <w:t>nd vaccination: The persistence of a genetically monomorphic pathogen.</w:t>
        </w:r>
      </w:hyperlink>
      <w:r w:rsidRPr="006C7574">
        <w:rPr>
          <w:color w:val="222222"/>
        </w:rPr>
        <w:t> Infection, Genetics &amp; Evolution 2010;10(1):36-49.</w:t>
      </w:r>
    </w:p>
    <w:p w14:paraId="13E3A5A0" w14:textId="56D206F0" w:rsidR="00EB0E1F" w:rsidRPr="00E3118B" w:rsidRDefault="00EB0E1F" w:rsidP="00766E2C">
      <w:pPr>
        <w:numPr>
          <w:ilvl w:val="0"/>
          <w:numId w:val="8"/>
        </w:numPr>
        <w:shd w:val="clear" w:color="auto" w:fill="FFFFFF"/>
        <w:spacing w:before="0" w:after="90" w:line="300" w:lineRule="atLeast"/>
        <w:rPr>
          <w:color w:val="222222"/>
        </w:rPr>
      </w:pPr>
      <w:r w:rsidRPr="00E3118B">
        <w:rPr>
          <w:lang w:val="en-US"/>
        </w:rPr>
        <w:t xml:space="preserve">Feng Y, Chiu C-H, Heininger U, et al. Emerging macrolide resistance in </w:t>
      </w:r>
      <w:r w:rsidRPr="00E3118B">
        <w:rPr>
          <w:i/>
          <w:iCs/>
          <w:lang w:val="en-US"/>
        </w:rPr>
        <w:t>Bordetella pertussis</w:t>
      </w:r>
      <w:r w:rsidRPr="00E3118B">
        <w:rPr>
          <w:lang w:val="en-US"/>
        </w:rPr>
        <w:t xml:space="preserve"> in mainland China: Findings and warnings from the global pertussis initiative. The Lancet Regional Health – Western Pacific 2021;8:100098. </w:t>
      </w:r>
    </w:p>
    <w:p w14:paraId="570D8D0B" w14:textId="0E931E1E" w:rsidR="00EB0E1F" w:rsidRPr="00E3118B" w:rsidRDefault="00EB0E1F" w:rsidP="00766E2C">
      <w:pPr>
        <w:numPr>
          <w:ilvl w:val="0"/>
          <w:numId w:val="8"/>
        </w:numPr>
        <w:shd w:val="clear" w:color="auto" w:fill="FFFFFF"/>
        <w:spacing w:before="0" w:after="90" w:line="300" w:lineRule="atLeast"/>
        <w:rPr>
          <w:color w:val="222222"/>
        </w:rPr>
      </w:pPr>
      <w:r w:rsidRPr="00E3118B">
        <w:t xml:space="preserve">Rodrigues C, Bouchez V, Soares A, Trombert-Paolantoni S, et al. Resurgence of </w:t>
      </w:r>
      <w:r w:rsidRPr="00E3118B">
        <w:rPr>
          <w:i/>
          <w:iCs/>
        </w:rPr>
        <w:t>Bordetella pertussis</w:t>
      </w:r>
      <w:r w:rsidRPr="00E3118B">
        <w:t>, including one macrolide-resistant isolate, France, 2024. Euro Surveillance 2024;29(31):pii=2400459.</w:t>
      </w:r>
    </w:p>
    <w:p w14:paraId="236F6245" w14:textId="115BCAF1" w:rsidR="00EB0E1F" w:rsidRPr="00E3118B" w:rsidRDefault="00EB0E1F" w:rsidP="00766E2C">
      <w:pPr>
        <w:numPr>
          <w:ilvl w:val="0"/>
          <w:numId w:val="8"/>
        </w:numPr>
        <w:shd w:val="clear" w:color="auto" w:fill="FFFFFF"/>
        <w:spacing w:before="0" w:after="90" w:line="300" w:lineRule="atLeast"/>
        <w:rPr>
          <w:color w:val="222222"/>
        </w:rPr>
      </w:pPr>
      <w:r w:rsidRPr="00E3118B">
        <w:t xml:space="preserve">Yamaguchi T, Kawasaki Y, Katsukawa C, Kawahara R, Kawatsu K. The first report of macrolide-resistant </w:t>
      </w:r>
      <w:r w:rsidRPr="00E3118B">
        <w:rPr>
          <w:i/>
          <w:iCs/>
        </w:rPr>
        <w:t>Bordetella pertussis</w:t>
      </w:r>
      <w:r w:rsidRPr="00E3118B">
        <w:t xml:space="preserve"> isolation in Japan. Jpn J Infect Dis 2020;73:361-2. </w:t>
      </w:r>
    </w:p>
    <w:p w14:paraId="0DB56D09" w14:textId="0C5FCD21" w:rsidR="00EB0E1F" w:rsidRPr="00E3118B" w:rsidRDefault="00EB0E1F" w:rsidP="00766E2C">
      <w:pPr>
        <w:numPr>
          <w:ilvl w:val="0"/>
          <w:numId w:val="8"/>
        </w:numPr>
        <w:shd w:val="clear" w:color="auto" w:fill="FFFFFF"/>
        <w:spacing w:before="0" w:after="90" w:line="300" w:lineRule="atLeast"/>
        <w:rPr>
          <w:color w:val="222222"/>
        </w:rPr>
      </w:pPr>
      <w:r w:rsidRPr="00E3118B">
        <w:rPr>
          <w:lang w:val="en-US"/>
        </w:rPr>
        <w:t xml:space="preserve">Kamachi K, Duong HT, Dang AD, et al. Macrolide-resistant </w:t>
      </w:r>
      <w:r w:rsidRPr="00E3118B">
        <w:rPr>
          <w:i/>
          <w:iCs/>
          <w:lang w:val="en-US"/>
        </w:rPr>
        <w:t>Bordetella pertussis</w:t>
      </w:r>
      <w:r w:rsidRPr="00E3118B">
        <w:rPr>
          <w:lang w:val="en-US"/>
        </w:rPr>
        <w:t xml:space="preserve">, Vietnam, 2016-2017. Emerg Infect Dis 2020;20(10):2511-13. </w:t>
      </w:r>
    </w:p>
    <w:p w14:paraId="289DE382" w14:textId="2F97DC4E" w:rsidR="00040314" w:rsidRPr="00E3118B" w:rsidRDefault="00040314" w:rsidP="00766E2C">
      <w:pPr>
        <w:numPr>
          <w:ilvl w:val="0"/>
          <w:numId w:val="8"/>
        </w:numPr>
        <w:shd w:val="clear" w:color="auto" w:fill="FFFFFF"/>
        <w:spacing w:before="0" w:after="90" w:line="300" w:lineRule="atLeast"/>
        <w:rPr>
          <w:color w:val="222222"/>
        </w:rPr>
      </w:pPr>
      <w:r w:rsidRPr="00E3118B">
        <w:rPr>
          <w:lang w:val="en-US"/>
        </w:rPr>
        <w:t xml:space="preserve">Fong W, Rockett RJ, Tam KKG, Nguyen T, Sim EM, Tay E, et al. Characterisation of macrolide-resistant </w:t>
      </w:r>
      <w:r w:rsidRPr="00E3118B">
        <w:rPr>
          <w:i/>
          <w:iCs/>
          <w:lang w:val="en-US"/>
        </w:rPr>
        <w:t>Bordetella pertussis</w:t>
      </w:r>
      <w:r w:rsidRPr="00E3118B">
        <w:rPr>
          <w:lang w:val="en-US"/>
        </w:rPr>
        <w:t xml:space="preserve"> in Australia by targeted culture-independent sequencing: A genomic epidemiology study. Lancet Microbe 2025.</w:t>
      </w:r>
    </w:p>
    <w:p w14:paraId="0FD47816" w14:textId="4912B8DE" w:rsidR="00EB0E1F" w:rsidRPr="00E3118B" w:rsidRDefault="00EB0E1F" w:rsidP="00766E2C">
      <w:pPr>
        <w:numPr>
          <w:ilvl w:val="0"/>
          <w:numId w:val="8"/>
        </w:numPr>
        <w:shd w:val="clear" w:color="auto" w:fill="FFFFFF"/>
        <w:spacing w:before="0" w:after="90" w:line="300" w:lineRule="atLeast"/>
        <w:rPr>
          <w:color w:val="222222"/>
        </w:rPr>
      </w:pPr>
      <w:r w:rsidRPr="00E3118B">
        <w:rPr>
          <w:noProof/>
        </w:rPr>
        <w:lastRenderedPageBreak/>
        <w:t xml:space="preserve">Bartkus JM, Juni BA, Ehresmann K, et al. Identification of a mutation associated with erythromycin resistance in </w:t>
      </w:r>
      <w:r w:rsidRPr="00E3118B">
        <w:rPr>
          <w:i/>
          <w:iCs/>
          <w:noProof/>
        </w:rPr>
        <w:t>Bordetella pertussi</w:t>
      </w:r>
      <w:r w:rsidRPr="00E3118B">
        <w:rPr>
          <w:noProof/>
        </w:rPr>
        <w:t xml:space="preserve">s: implications for surveillance of antimicrobial resistance. </w:t>
      </w:r>
      <w:r w:rsidRPr="00E3118B">
        <w:rPr>
          <w:iCs/>
          <w:noProof/>
        </w:rPr>
        <w:t>J Clin Microbiol 2003;</w:t>
      </w:r>
      <w:r w:rsidRPr="00E3118B">
        <w:rPr>
          <w:noProof/>
        </w:rPr>
        <w:t>41(3):1167-72.</w:t>
      </w:r>
    </w:p>
    <w:p w14:paraId="650FA541" w14:textId="62C6C59C" w:rsidR="00EB0E1F" w:rsidRPr="00E3118B" w:rsidRDefault="00EB0E1F" w:rsidP="00766E2C">
      <w:pPr>
        <w:numPr>
          <w:ilvl w:val="0"/>
          <w:numId w:val="8"/>
        </w:numPr>
        <w:shd w:val="clear" w:color="auto" w:fill="FFFFFF"/>
        <w:spacing w:before="0" w:after="90" w:line="300" w:lineRule="atLeast"/>
        <w:rPr>
          <w:color w:val="222222"/>
        </w:rPr>
      </w:pPr>
      <w:r w:rsidRPr="00E3118B">
        <w:t xml:space="preserve">Prabhakar D, Fong W, Sim EM, Howard-Jones AR, Nguyen T, Dempsey S, Rockett RJ, Kok J, Chen SC-A, Outhred AC, Sintchenko V. Pertussis treatment failure associated with macrolide-resistant </w:t>
      </w:r>
      <w:r w:rsidRPr="00E3118B">
        <w:rPr>
          <w:i/>
          <w:iCs/>
        </w:rPr>
        <w:t xml:space="preserve">Bordetella pertussis. </w:t>
      </w:r>
      <w:r w:rsidRPr="00E3118B">
        <w:rPr>
          <w:lang w:val="en-US"/>
        </w:rPr>
        <w:t>ASM Case Reports 2025;1(3):e00093-24.</w:t>
      </w:r>
    </w:p>
    <w:p w14:paraId="54CB3AE9"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Guidelines for control of pertussis outbreaks. 2000, updated 2005. </w:t>
      </w:r>
      <w:hyperlink r:id="rId20" w:history="1">
        <w:r w:rsidRPr="006C7574">
          <w:rPr>
            <w:color w:val="1157AD"/>
            <w:u w:val="single"/>
          </w:rPr>
          <w:t>http://www.cdc.gov/vaccines/pubs/pertussis-guide/guide.htm</w:t>
        </w:r>
      </w:hyperlink>
      <w:r w:rsidRPr="006C7574">
        <w:rPr>
          <w:color w:val="222222"/>
        </w:rPr>
        <w:t>.</w:t>
      </w:r>
    </w:p>
    <w:p w14:paraId="139FE732" w14:textId="6FEB6BC2"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Hill BC, Baker CN, and Tenover FC</w:t>
      </w:r>
      <w:r w:rsidR="00040314">
        <w:rPr>
          <w:color w:val="222222"/>
        </w:rPr>
        <w:t>.</w:t>
      </w:r>
      <w:r w:rsidRPr="006C7574">
        <w:rPr>
          <w:color w:val="222222"/>
        </w:rPr>
        <w:t xml:space="preserve"> A Simplified method for testing </w:t>
      </w:r>
      <w:r w:rsidRPr="00040314">
        <w:rPr>
          <w:i/>
          <w:iCs/>
          <w:color w:val="222222"/>
        </w:rPr>
        <w:t>Bordetella pertussis</w:t>
      </w:r>
      <w:r w:rsidRPr="006C7574">
        <w:rPr>
          <w:color w:val="222222"/>
        </w:rPr>
        <w:t xml:space="preserve"> for resistance to erythromycin and other antimicrobial agents J. Clin. Microbiol 2000;38(3):1151-1155.</w:t>
      </w:r>
    </w:p>
    <w:p w14:paraId="787527E0"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Sintchenko V, Brown M, Gilbert GL. Is </w:t>
      </w:r>
      <w:r w:rsidRPr="006C7574">
        <w:rPr>
          <w:i/>
          <w:iCs/>
          <w:color w:val="222222"/>
        </w:rPr>
        <w:t>Bordetella pertussis</w:t>
      </w:r>
      <w:r w:rsidRPr="006C7574">
        <w:rPr>
          <w:color w:val="222222"/>
        </w:rPr>
        <w:t> susceptibility to erythromycin changing? MIC trends among Australian isolates1971-2006. J Antimicrob Chemother 2007;60(5):1178-9.</w:t>
      </w:r>
    </w:p>
    <w:p w14:paraId="4187BDDA"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Register KB, Sanden GN Prevalence and sequence variants of IS481 in </w:t>
      </w:r>
      <w:r w:rsidRPr="006C7574">
        <w:rPr>
          <w:i/>
          <w:iCs/>
          <w:color w:val="222222"/>
        </w:rPr>
        <w:t>Bordetella bronchiseptica:</w:t>
      </w:r>
      <w:r w:rsidRPr="006C7574">
        <w:rPr>
          <w:color w:val="222222"/>
        </w:rPr>
        <w:t> implications for IS481-based detection of Bordetella pertussis. J Clin Microbiol 2006;44:4577–4583.</w:t>
      </w:r>
    </w:p>
    <w:p w14:paraId="0F8B293E"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Reischl U, Lehn N et al. Real-time PCR assay targeting IS481 of Bordetella pertussis and molecular basis for detecting </w:t>
      </w:r>
      <w:r w:rsidRPr="006C7574">
        <w:rPr>
          <w:i/>
          <w:iCs/>
          <w:color w:val="222222"/>
        </w:rPr>
        <w:t>Bordetella holmesii.</w:t>
      </w:r>
      <w:r w:rsidRPr="006C7574">
        <w:rPr>
          <w:color w:val="222222"/>
        </w:rPr>
        <w:t> J Clin Microbiol 2001; 39:1963–1966.</w:t>
      </w:r>
    </w:p>
    <w:p w14:paraId="68B9E937"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Kosters K, Reischl U et al. Real-time LightCycler PCR for detection and discrimination of </w:t>
      </w:r>
      <w:r w:rsidRPr="006C7574">
        <w:rPr>
          <w:i/>
          <w:iCs/>
          <w:color w:val="222222"/>
        </w:rPr>
        <w:t>Bordetella pertussis</w:t>
      </w:r>
      <w:r w:rsidRPr="006C7574">
        <w:rPr>
          <w:color w:val="222222"/>
        </w:rPr>
        <w:t> and </w:t>
      </w:r>
      <w:r w:rsidRPr="006C7574">
        <w:rPr>
          <w:i/>
          <w:iCs/>
          <w:color w:val="222222"/>
        </w:rPr>
        <w:t>Bordetella parapertussis</w:t>
      </w:r>
      <w:r w:rsidRPr="006C7574">
        <w:rPr>
          <w:color w:val="222222"/>
        </w:rPr>
        <w:t>. J Clin Microbiol 2002;40:1719–1722.</w:t>
      </w:r>
    </w:p>
    <w:p w14:paraId="3F34DDF0"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Templeton KE, Scheltinga SA, van der Zee A et al. Evaluation of real-time PCR for detection of and discrimination between </w:t>
      </w:r>
      <w:r w:rsidRPr="006C7574">
        <w:rPr>
          <w:i/>
          <w:iCs/>
          <w:color w:val="222222"/>
        </w:rPr>
        <w:t>Bordetella pertussis, Bordetella parapertussis,</w:t>
      </w:r>
      <w:r w:rsidRPr="006C7574">
        <w:rPr>
          <w:color w:val="222222"/>
        </w:rPr>
        <w:t> and </w:t>
      </w:r>
      <w:r w:rsidRPr="006C7574">
        <w:rPr>
          <w:i/>
          <w:iCs/>
          <w:color w:val="222222"/>
        </w:rPr>
        <w:t>Bordetella holmesii </w:t>
      </w:r>
      <w:r w:rsidRPr="006C7574">
        <w:rPr>
          <w:color w:val="222222"/>
        </w:rPr>
        <w:t>for clinical diagnosis. J Clin Microbiol 2003;41:4121–4126.</w:t>
      </w:r>
    </w:p>
    <w:p w14:paraId="6A331CCC"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Yih WK, Silva EA et al. </w:t>
      </w:r>
      <w:r w:rsidRPr="006C7574">
        <w:rPr>
          <w:i/>
          <w:iCs/>
          <w:color w:val="222222"/>
        </w:rPr>
        <w:t>Bordetella holmesii</w:t>
      </w:r>
      <w:r w:rsidRPr="006C7574">
        <w:rPr>
          <w:color w:val="222222"/>
        </w:rPr>
        <w:t>-like organisms isolated from Massachusetts patients with pertussis-like symptoms. Emerg Infect Dis 1999;5:441–443.</w:t>
      </w:r>
    </w:p>
    <w:p w14:paraId="45E4AB6E"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Koidl C, Bozic M et al. Detection and Differentiation of Bordetella spp. by Real-Time PCR J Clin Microbiol 2007;45:347-350.</w:t>
      </w:r>
    </w:p>
    <w:p w14:paraId="70917552"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Kathleen M, Tatti KM, Wu K, Tondella ML, Cassiday PK, Cortese MM, Wilkins PP, Sanden GN. Development and evaluation of dual-target real-time polymerase chain reaction assays to detect </w:t>
      </w:r>
      <w:r w:rsidRPr="006C7574">
        <w:rPr>
          <w:i/>
          <w:iCs/>
          <w:color w:val="222222"/>
        </w:rPr>
        <w:t>Bordetella</w:t>
      </w:r>
      <w:r w:rsidRPr="006C7574">
        <w:rPr>
          <w:color w:val="222222"/>
        </w:rPr>
        <w:t> spp Diagnostic Microbiology &amp; Infectious Diseases 2008;61: 264–272.</w:t>
      </w:r>
    </w:p>
    <w:p w14:paraId="174ECD3E"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Sammels L. </w:t>
      </w:r>
      <w:r w:rsidRPr="006C7574">
        <w:rPr>
          <w:i/>
          <w:iCs/>
          <w:color w:val="222222"/>
        </w:rPr>
        <w:t>Bordetella pertussis</w:t>
      </w:r>
      <w:r w:rsidRPr="006C7574">
        <w:rPr>
          <w:color w:val="222222"/>
        </w:rPr>
        <w:t> and </w:t>
      </w:r>
      <w:r w:rsidRPr="006C7574">
        <w:rPr>
          <w:i/>
          <w:iCs/>
          <w:color w:val="222222"/>
        </w:rPr>
        <w:t>Bordetella parapertussis.</w:t>
      </w:r>
      <w:r w:rsidRPr="006C7574">
        <w:rPr>
          <w:color w:val="222222"/>
        </w:rPr>
        <w:t> In:Carter I.W.J., Schuller M., James G.S., Sloots T.P., Halliday, C.L. (Eds.) PCR for Clinical Microbiology, 1st Edition., 2010, ISBN: 978-90-481-9038-6.</w:t>
      </w:r>
    </w:p>
    <w:p w14:paraId="45248024"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lastRenderedPageBreak/>
        <w:t>Riffelmann M, von Konig CHW, Caro V, Guiso N, for the Pertussis PCR Consensus Group. Nucleic acid amplification tests for diagnosis of </w:t>
      </w:r>
      <w:r w:rsidRPr="006C7574">
        <w:rPr>
          <w:i/>
          <w:iCs/>
          <w:color w:val="222222"/>
        </w:rPr>
        <w:t>Bordetella</w:t>
      </w:r>
      <w:r w:rsidRPr="006C7574">
        <w:rPr>
          <w:color w:val="222222"/>
        </w:rPr>
        <w:t> infections. J Clin Microbiol 2005;43:4925-4929.</w:t>
      </w:r>
    </w:p>
    <w:p w14:paraId="2454BCE5"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Vincart B, De Mendonça R, Rottiers R, Vermeulen F, Struelens MJ, and Denis O. A specific real-time PCR assay for the detection of </w:t>
      </w:r>
      <w:r w:rsidRPr="006C7574">
        <w:rPr>
          <w:i/>
          <w:iCs/>
          <w:color w:val="222222"/>
        </w:rPr>
        <w:t>Bordetella pertussis</w:t>
      </w:r>
      <w:r w:rsidRPr="006C7574">
        <w:rPr>
          <w:color w:val="222222"/>
        </w:rPr>
        <w:t> J Med Microbiol 2007; 56: 918 – 920.</w:t>
      </w:r>
    </w:p>
    <w:p w14:paraId="61DF7288"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Probert WS, Ely J et al. Identification and evaluation of new target sequences for specific detection of </w:t>
      </w:r>
      <w:r w:rsidRPr="006C7574">
        <w:rPr>
          <w:i/>
          <w:iCs/>
          <w:color w:val="222222"/>
        </w:rPr>
        <w:t>Bordetella pertussis </w:t>
      </w:r>
      <w:r w:rsidRPr="006C7574">
        <w:rPr>
          <w:color w:val="222222"/>
        </w:rPr>
        <w:t>by Real-Time PCR J Clin Microbiol 2008; 46:3228-3231.</w:t>
      </w:r>
    </w:p>
    <w:p w14:paraId="5439C756"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Qin X, Galanakis E et al. Multitarget PCR for diagnosis of pertussis and its clinical implications J Clin Microbiol 2007;45(2):506-511.</w:t>
      </w:r>
    </w:p>
    <w:p w14:paraId="47A118B7"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Bidet P, Liguori S et al. Real-Time PCR Measurement of Persistence of Bordetella pertussis DNA in Nasopharyngeal Secretions during Antibiotic Treatment of Young Children with Pertussis J Clin Microbiol 2008;48(4):1435-1437.</w:t>
      </w:r>
    </w:p>
    <w:p w14:paraId="0A3E0298"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Farrell DJ, Daggard G, Mukkur TKS. Nested duplex PCR to detect </w:t>
      </w:r>
      <w:r w:rsidRPr="006C7574">
        <w:rPr>
          <w:i/>
          <w:iCs/>
          <w:color w:val="222222"/>
        </w:rPr>
        <w:t>Bordetella pertussis</w:t>
      </w:r>
      <w:r w:rsidRPr="006C7574">
        <w:rPr>
          <w:color w:val="222222"/>
        </w:rPr>
        <w:t> and </w:t>
      </w:r>
      <w:r w:rsidRPr="006C7574">
        <w:rPr>
          <w:i/>
          <w:iCs/>
          <w:color w:val="222222"/>
        </w:rPr>
        <w:t>Bordetella parapertussis</w:t>
      </w:r>
      <w:r w:rsidRPr="006C7574">
        <w:rPr>
          <w:color w:val="222222"/>
        </w:rPr>
        <w:t> and its application in diagnosis of pertussis in nonmetropolitan Southeast Queensland, Australia. J Clin Microbiol 1999;37:606-610.</w:t>
      </w:r>
    </w:p>
    <w:p w14:paraId="07F63A18"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Dragsted DM, Dohn B, Madsen J, Jensen JS. 2004. Comparison of culture and PCR for detection of </w:t>
      </w:r>
      <w:r w:rsidRPr="006C7574">
        <w:rPr>
          <w:i/>
          <w:iCs/>
          <w:color w:val="222222"/>
        </w:rPr>
        <w:t>Bordetella pertussis </w:t>
      </w:r>
      <w:r w:rsidRPr="006C7574">
        <w:rPr>
          <w:color w:val="222222"/>
        </w:rPr>
        <w:t>and</w:t>
      </w:r>
      <w:r w:rsidRPr="006C7574">
        <w:rPr>
          <w:i/>
          <w:iCs/>
          <w:color w:val="222222"/>
        </w:rPr>
        <w:t> Bordetella parapertussis</w:t>
      </w:r>
      <w:r w:rsidRPr="006C7574">
        <w:rPr>
          <w:color w:val="222222"/>
        </w:rPr>
        <w:t> under routine laboratory conditions. J Med Micro 2004; 53:749-54.</w:t>
      </w:r>
    </w:p>
    <w:p w14:paraId="0C1F5907"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Guthrie JL, Robertson AV et al. Novel duplex real-time PCR assay detects </w:t>
      </w:r>
      <w:r w:rsidRPr="006C7574">
        <w:rPr>
          <w:i/>
          <w:iCs/>
          <w:color w:val="222222"/>
        </w:rPr>
        <w:t>Bordetella holmesii </w:t>
      </w:r>
      <w:r w:rsidRPr="006C7574">
        <w:rPr>
          <w:color w:val="222222"/>
        </w:rPr>
        <w:t>in specimens from patients with pertussis-like symptoms in Ontario, Canada.</w:t>
      </w:r>
      <w:r w:rsidRPr="006C7574">
        <w:rPr>
          <w:b/>
          <w:bCs/>
          <w:color w:val="222222"/>
        </w:rPr>
        <w:t> </w:t>
      </w:r>
      <w:r w:rsidRPr="006C7574">
        <w:rPr>
          <w:color w:val="222222"/>
        </w:rPr>
        <w:t>J Clin Microbiol 2001;48:1435-1437.</w:t>
      </w:r>
    </w:p>
    <w:p w14:paraId="29A71EC3"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Horby P, Macintyre CR, Macintyre PB, Gilbert GL, Staff M, Hanlon M, Heron LG, Cagney M, Bennett C. A boarding school outbreak of pertussis in adolescents: value of laboratory diagnostic methods. Epidemiol. Infect 2005;133:229-236.</w:t>
      </w:r>
    </w:p>
    <w:p w14:paraId="0B53E1AE"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i/>
          <w:iCs/>
          <w:color w:val="222222"/>
        </w:rPr>
        <w:t>Laboratory Accreditation Standards and Guidelines for Nucleic Acid Detection Techniques 2006 </w:t>
      </w:r>
      <w:hyperlink r:id="rId21" w:history="1">
        <w:r w:rsidRPr="006C7574">
          <w:rPr>
            <w:color w:val="1157AD"/>
            <w:u w:val="single"/>
          </w:rPr>
          <w:t>http://www1.health.gov.au/internet/main/publishing.nsf/Content/health-npaac-docs-nad.htm</w:t>
        </w:r>
      </w:hyperlink>
    </w:p>
    <w:p w14:paraId="2C058496"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i/>
          <w:iCs/>
          <w:color w:val="222222"/>
        </w:rPr>
        <w:t>Requirements for the Development and Use of In-House In Vitro diagnostic Devices 2007 </w:t>
      </w:r>
      <w:hyperlink r:id="rId22" w:history="1">
        <w:r w:rsidRPr="006C7574">
          <w:rPr>
            <w:color w:val="1157AD"/>
            <w:u w:val="single"/>
          </w:rPr>
          <w:t>http://www1.health.gov.au/internet/main/publishing.nsf/Content/health-npaac-dhaivd.htm</w:t>
        </w:r>
      </w:hyperlink>
    </w:p>
    <w:p w14:paraId="6ABC470E" w14:textId="77777777" w:rsidR="00A41DA0" w:rsidRDefault="00A41DA0" w:rsidP="00766E2C">
      <w:pPr>
        <w:numPr>
          <w:ilvl w:val="0"/>
          <w:numId w:val="8"/>
        </w:numPr>
        <w:shd w:val="clear" w:color="auto" w:fill="FFFFFF"/>
        <w:spacing w:before="0" w:after="90" w:line="300" w:lineRule="atLeast"/>
        <w:rPr>
          <w:color w:val="222222"/>
        </w:rPr>
      </w:pPr>
      <w:r w:rsidRPr="006C7574">
        <w:rPr>
          <w:color w:val="222222"/>
        </w:rPr>
        <w:t>Bartkus JM, Juni BA, Ehresmann K, Miller CA,1 Sanden GN, Cassiday K, Saubolle M, Lee B, Long J, Harrison, Jr. AR, Besser JM. Identification of a Mutation Associated with Erythromycin Resistance in </w:t>
      </w:r>
      <w:r w:rsidRPr="006C7574">
        <w:rPr>
          <w:i/>
          <w:iCs/>
          <w:color w:val="222222"/>
        </w:rPr>
        <w:t>Bordetella pertussis</w:t>
      </w:r>
      <w:r w:rsidRPr="006C7574">
        <w:rPr>
          <w:color w:val="222222"/>
        </w:rPr>
        <w:t>: Implications for Surveillance of Antimicrobial Resistance J Clin Microbiol. 2003 March; 41(3): 1167–1172.</w:t>
      </w:r>
    </w:p>
    <w:p w14:paraId="53FED8C0" w14:textId="31F35362" w:rsidR="00A41DA0" w:rsidRPr="00106F97" w:rsidRDefault="00A41DA0" w:rsidP="00766E2C">
      <w:pPr>
        <w:numPr>
          <w:ilvl w:val="0"/>
          <w:numId w:val="8"/>
        </w:numPr>
        <w:shd w:val="clear" w:color="auto" w:fill="FFFFFF"/>
        <w:spacing w:before="0" w:after="90" w:line="300" w:lineRule="atLeast"/>
        <w:rPr>
          <w:color w:val="222222"/>
        </w:rPr>
      </w:pPr>
      <w:r w:rsidRPr="00106F97">
        <w:rPr>
          <w:color w:val="222222"/>
        </w:rPr>
        <w:t>Pertussis Surveillance: A global Meeting. Geneva 16-18 October 2000.p28 </w:t>
      </w:r>
      <w:hyperlink r:id="rId23" w:history="1">
        <w:r w:rsidRPr="00106F97">
          <w:rPr>
            <w:color w:val="1157AD"/>
            <w:u w:val="single"/>
          </w:rPr>
          <w:t>http://www.who.int/vaccines-documents/DocsPDF01/www605.pdf</w:t>
        </w:r>
      </w:hyperlink>
    </w:p>
    <w:p w14:paraId="72CE1078"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Quinn HE, McIntyre PB. 2007. Pertussis epidemiology in Australia over the decade 1995-2005 – trends by region and age group. CDI 2007;31 (2):205-216.</w:t>
      </w:r>
    </w:p>
    <w:p w14:paraId="665AB9D0" w14:textId="77777777" w:rsidR="00A41DA0" w:rsidRPr="006C7574" w:rsidRDefault="00A41DA0" w:rsidP="00766E2C">
      <w:pPr>
        <w:numPr>
          <w:ilvl w:val="0"/>
          <w:numId w:val="8"/>
        </w:numPr>
        <w:shd w:val="clear" w:color="auto" w:fill="FFFFFF"/>
        <w:spacing w:before="0" w:after="90" w:line="300" w:lineRule="atLeast"/>
        <w:rPr>
          <w:color w:val="222222"/>
        </w:rPr>
      </w:pPr>
      <w:hyperlink r:id="rId24" w:history="1">
        <w:r w:rsidRPr="006C7574">
          <w:rPr>
            <w:color w:val="1157AD"/>
            <w:u w:val="single"/>
          </w:rPr>
          <w:t>Campbell PB</w:t>
        </w:r>
      </w:hyperlink>
      <w:r w:rsidRPr="006C7574">
        <w:rPr>
          <w:color w:val="222222"/>
        </w:rPr>
        <w:t>, </w:t>
      </w:r>
      <w:hyperlink r:id="rId25" w:history="1">
        <w:r w:rsidRPr="006C7574">
          <w:rPr>
            <w:color w:val="1157AD"/>
            <w:u w:val="single"/>
          </w:rPr>
          <w:t>Masters PL</w:t>
        </w:r>
      </w:hyperlink>
      <w:r w:rsidRPr="006C7574">
        <w:rPr>
          <w:color w:val="222222"/>
        </w:rPr>
        <w:t>, </w:t>
      </w:r>
      <w:hyperlink r:id="rId26" w:history="1">
        <w:r w:rsidRPr="006C7574">
          <w:rPr>
            <w:color w:val="1157AD"/>
            <w:u w:val="single"/>
          </w:rPr>
          <w:t>Rohwedder E</w:t>
        </w:r>
      </w:hyperlink>
      <w:r w:rsidRPr="006C7574">
        <w:rPr>
          <w:color w:val="222222"/>
        </w:rPr>
        <w:t>. Whooping cough diagnosis: a clinical evaluation of complementing culture and immunofluorescence with enzyme-linked immunosorbent assay of pertussis immunoglobulin A in nasopharyngeal secretions. J Med Microbiol. 1988;27(4):247-54.</w:t>
      </w:r>
    </w:p>
    <w:p w14:paraId="419741E5"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Beaman M, Keil A, Meyer I, Campbell P. Role of Pernasal IgA Testing In Diagnosis of Notified Cases of Pertussis In Australian Community Specimens. NRL Melbourne, 2010</w:t>
      </w:r>
    </w:p>
    <w:p w14:paraId="62C7C628" w14:textId="77777777" w:rsidR="00A41DA0" w:rsidRPr="006C7574" w:rsidRDefault="00A41DA0" w:rsidP="00766E2C">
      <w:pPr>
        <w:numPr>
          <w:ilvl w:val="0"/>
          <w:numId w:val="8"/>
        </w:numPr>
        <w:shd w:val="clear" w:color="auto" w:fill="FFFFFF"/>
        <w:spacing w:before="0" w:after="90" w:line="300" w:lineRule="atLeast"/>
        <w:rPr>
          <w:color w:val="222222"/>
        </w:rPr>
      </w:pPr>
      <w:hyperlink r:id="rId27" w:history="1">
        <w:r w:rsidRPr="006C7574">
          <w:rPr>
            <w:color w:val="1157AD"/>
            <w:u w:val="single"/>
          </w:rPr>
          <w:t>Zackrisson G</w:t>
        </w:r>
      </w:hyperlink>
      <w:r w:rsidRPr="006C7574">
        <w:rPr>
          <w:color w:val="222222"/>
        </w:rPr>
        <w:t>, </w:t>
      </w:r>
      <w:hyperlink r:id="rId28" w:history="1">
        <w:r w:rsidRPr="006C7574">
          <w:rPr>
            <w:color w:val="1157AD"/>
            <w:u w:val="single"/>
          </w:rPr>
          <w:t>Lagergård T</w:t>
        </w:r>
      </w:hyperlink>
      <w:r w:rsidRPr="006C7574">
        <w:rPr>
          <w:color w:val="222222"/>
        </w:rPr>
        <w:t>, </w:t>
      </w:r>
      <w:hyperlink r:id="rId29" w:history="1">
        <w:r w:rsidRPr="006C7574">
          <w:rPr>
            <w:color w:val="1157AD"/>
            <w:u w:val="single"/>
          </w:rPr>
          <w:t>Trollfors B</w:t>
        </w:r>
      </w:hyperlink>
      <w:r w:rsidRPr="006C7574">
        <w:rPr>
          <w:color w:val="222222"/>
        </w:rPr>
        <w:t>, </w:t>
      </w:r>
      <w:hyperlink r:id="rId30" w:history="1">
        <w:r w:rsidRPr="006C7574">
          <w:rPr>
            <w:color w:val="1157AD"/>
            <w:u w:val="single"/>
          </w:rPr>
          <w:t>Krantz I</w:t>
        </w:r>
      </w:hyperlink>
      <w:r w:rsidRPr="006C7574">
        <w:rPr>
          <w:color w:val="222222"/>
        </w:rPr>
        <w:t>.</w:t>
      </w:r>
      <w:r w:rsidRPr="006C7574">
        <w:rPr>
          <w:i/>
          <w:iCs/>
          <w:color w:val="222222"/>
        </w:rPr>
        <w:t> </w:t>
      </w:r>
      <w:r w:rsidRPr="006C7574">
        <w:rPr>
          <w:color w:val="222222"/>
        </w:rPr>
        <w:t>Immunoglobulin A antibodies to pertussis toxin and filamentous hemagglutinin in saliva from patients with pertussis J Clin Microbiol 1990 28(7):1502-5.</w:t>
      </w:r>
    </w:p>
    <w:p w14:paraId="2509CFD0"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Jackson L, Cherry JD, Wang SP, Grayston JT. Frequency of serological evidence of Bordetella infections and mixed infections with other respiratory pathogens in university students with cough illnesses. Clin Infect Dis 2000:31:3-6.</w:t>
      </w:r>
    </w:p>
    <w:p w14:paraId="04762BE4"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De Melker HE, Versteegh FGA, Conyn-van Spaendonck MAE, Elvers LH, Berbers GAM, van der Zee A et al. Specificity and sensitivity of high levels of immunoglobulin G antibodies against pertussis toxin in a single serum sample for the diagnosis of infection with </w:t>
      </w:r>
      <w:r w:rsidRPr="006C7574">
        <w:rPr>
          <w:i/>
          <w:iCs/>
          <w:color w:val="222222"/>
        </w:rPr>
        <w:t>Bordetella pertussis.</w:t>
      </w:r>
      <w:r w:rsidRPr="006C7574">
        <w:rPr>
          <w:color w:val="222222"/>
        </w:rPr>
        <w:t> J Clin Microbiol 2000: 39(2):800-806.</w:t>
      </w:r>
    </w:p>
    <w:p w14:paraId="447E8EB0"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Cherry JD. Grimprel E, Guiso N, Heininger U, Mertsola J. Defining Pertussis Epidemiology: Clinical, Microbiologic and Serologic Perspectives. Pediatr Infect Dis J. 2005 24(5 Suppl):S25-34.</w:t>
      </w:r>
    </w:p>
    <w:p w14:paraId="4634CD01"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Menzies SL, Kadwad V, Pawloski LC, Lin T,Baughman AL, Martin M, Tondella MLC,Meade BD,and the Pertussis Assay Working Group. Development and analytical validation of an immunoassay for quantifying serum anti-pertussis toxin antibodies resulting from </w:t>
      </w:r>
      <w:r w:rsidRPr="006C7574">
        <w:rPr>
          <w:i/>
          <w:iCs/>
          <w:color w:val="222222"/>
        </w:rPr>
        <w:t>Bordetella pertussis </w:t>
      </w:r>
      <w:r w:rsidRPr="006C7574">
        <w:rPr>
          <w:color w:val="222222"/>
        </w:rPr>
        <w:t>infection. Clinical &amp; Vaccine Immunology 2009; 16(12):1781–1788.</w:t>
      </w:r>
    </w:p>
    <w:p w14:paraId="72A97BBF"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Pebody RG, Gay NJ, Giammanco A, Baron S, Schellekens J, Tischer A, et al. The seroepidemiology of </w:t>
      </w:r>
      <w:r w:rsidRPr="006C7574">
        <w:rPr>
          <w:i/>
          <w:iCs/>
          <w:color w:val="222222"/>
        </w:rPr>
        <w:t>Bordetella pertussis </w:t>
      </w:r>
      <w:r w:rsidRPr="006C7574">
        <w:rPr>
          <w:color w:val="222222"/>
        </w:rPr>
        <w:t>infection in Western Europe. Epidemiol Infect 2005;133(1):159–171.</w:t>
      </w:r>
    </w:p>
    <w:p w14:paraId="6AFD4D2A" w14:textId="77777777" w:rsidR="00A41DA0" w:rsidRDefault="00A41DA0" w:rsidP="00766E2C">
      <w:pPr>
        <w:numPr>
          <w:ilvl w:val="0"/>
          <w:numId w:val="8"/>
        </w:numPr>
        <w:shd w:val="clear" w:color="auto" w:fill="FFFFFF"/>
        <w:spacing w:before="0" w:after="90" w:line="300" w:lineRule="atLeast"/>
        <w:rPr>
          <w:color w:val="222222"/>
        </w:rPr>
      </w:pPr>
      <w:r w:rsidRPr="006C7574">
        <w:rPr>
          <w:color w:val="222222"/>
        </w:rPr>
        <w:t>Le T, Cherry JD, Chang SJ, Knoll MD, Lee ML, Barenkamp S, et al. Immune responses and antibody decay after immunization of adolescents and adults with an Acellular Pertussis Vaccine: The APERT Study. J Infect Dis 2004:190:535-544.</w:t>
      </w:r>
    </w:p>
    <w:p w14:paraId="12862AFD" w14:textId="7F6A67CA" w:rsidR="00A41DA0" w:rsidRPr="00106F97" w:rsidRDefault="00A41DA0" w:rsidP="00766E2C">
      <w:pPr>
        <w:numPr>
          <w:ilvl w:val="0"/>
          <w:numId w:val="8"/>
        </w:numPr>
        <w:shd w:val="clear" w:color="auto" w:fill="FFFFFF"/>
        <w:spacing w:before="0" w:after="90" w:line="300" w:lineRule="atLeast"/>
        <w:rPr>
          <w:color w:val="222222"/>
        </w:rPr>
      </w:pPr>
      <w:r w:rsidRPr="00106F97">
        <w:rPr>
          <w:color w:val="222222"/>
        </w:rPr>
        <w:t>WHO International Standard Pertussis Antiserum (Human) 1st IS </w:t>
      </w:r>
      <w:hyperlink r:id="rId31" w:history="1">
        <w:r w:rsidRPr="00106F97">
          <w:rPr>
            <w:color w:val="1157AD"/>
            <w:u w:val="single"/>
          </w:rPr>
          <w:t>http://www.nibsc.ac.uk/documents/ifu/06-140.pdf</w:t>
        </w:r>
      </w:hyperlink>
    </w:p>
    <w:p w14:paraId="402BE096" w14:textId="1BBD504B" w:rsidR="00A41DA0" w:rsidRPr="00106F97" w:rsidRDefault="00A41DA0" w:rsidP="00766E2C">
      <w:pPr>
        <w:numPr>
          <w:ilvl w:val="0"/>
          <w:numId w:val="8"/>
        </w:numPr>
        <w:shd w:val="clear" w:color="auto" w:fill="FFFFFF"/>
        <w:spacing w:before="0" w:after="90" w:line="300" w:lineRule="atLeast"/>
        <w:rPr>
          <w:color w:val="222222"/>
        </w:rPr>
      </w:pPr>
      <w:r w:rsidRPr="00106F97">
        <w:rPr>
          <w:color w:val="222222"/>
        </w:rPr>
        <w:t>WHO Reference Reagent Pertussis Antiserum (Human) 1st RR: </w:t>
      </w:r>
      <w:hyperlink r:id="rId32" w:history="1">
        <w:r w:rsidRPr="00106F97">
          <w:rPr>
            <w:color w:val="1157AD"/>
            <w:u w:val="single"/>
          </w:rPr>
          <w:t>http://www.nibsc.ac.uk/documents/ifu/06-142.pdf</w:t>
        </w:r>
      </w:hyperlink>
      <w:r w:rsidRPr="00106F97">
        <w:rPr>
          <w:color w:val="222222"/>
        </w:rPr>
        <w:t>,</w:t>
      </w:r>
    </w:p>
    <w:p w14:paraId="6E53A891"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International </w:t>
      </w:r>
      <w:r w:rsidRPr="006C7574">
        <w:rPr>
          <w:i/>
          <w:iCs/>
          <w:color w:val="222222"/>
        </w:rPr>
        <w:t>Bordetella pertussis </w:t>
      </w:r>
      <w:r w:rsidRPr="006C7574">
        <w:rPr>
          <w:color w:val="222222"/>
        </w:rPr>
        <w:t>assay standardization and harmonization meeting report. Centers for Disease Control and Prevention, Atlanta, Georgia, United States, 19–20 July 2007; Vaccine 27 (2009) 803–814.</w:t>
      </w:r>
    </w:p>
    <w:p w14:paraId="1A76A6DC"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Andre P, Caro V, Njamkepo E, Wendelboe AM, Van Rie A, Guiso N. Comparison of serological and real-time PCR assays to diagnose </w:t>
      </w:r>
      <w:r w:rsidRPr="006C7574">
        <w:rPr>
          <w:i/>
          <w:iCs/>
          <w:color w:val="222222"/>
        </w:rPr>
        <w:t>Bordetella pertussis</w:t>
      </w:r>
      <w:r w:rsidRPr="006C7574">
        <w:rPr>
          <w:color w:val="222222"/>
        </w:rPr>
        <w:t> infection in 2007. J Clin Microbiol 2008;46(5):1672-1677.</w:t>
      </w:r>
    </w:p>
    <w:p w14:paraId="54EBF3DA" w14:textId="77777777"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lastRenderedPageBreak/>
        <w:t>Mooi FR, Hallander H, König CHW, Hoet B, Guiso N. Epidemiological typing of </w:t>
      </w:r>
      <w:r w:rsidRPr="006C7574">
        <w:rPr>
          <w:i/>
          <w:iCs/>
          <w:color w:val="222222"/>
        </w:rPr>
        <w:t>Bordetella pertussis</w:t>
      </w:r>
      <w:r w:rsidRPr="006C7574">
        <w:rPr>
          <w:color w:val="222222"/>
        </w:rPr>
        <w:t> isolates: Recommendations for a standard methodology. Euro J Clin Microbiol Infect Dis 2000;19:174–181.</w:t>
      </w:r>
    </w:p>
    <w:p w14:paraId="7AF6D94B" w14:textId="77B26DFA" w:rsidR="00A41DA0" w:rsidRPr="006C7574" w:rsidRDefault="00A41DA0" w:rsidP="00766E2C">
      <w:pPr>
        <w:numPr>
          <w:ilvl w:val="0"/>
          <w:numId w:val="8"/>
        </w:numPr>
        <w:shd w:val="clear" w:color="auto" w:fill="FFFFFF"/>
        <w:spacing w:before="0" w:after="90" w:line="300" w:lineRule="atLeast"/>
        <w:rPr>
          <w:color w:val="222222"/>
        </w:rPr>
      </w:pPr>
      <w:r w:rsidRPr="006C7574">
        <w:rPr>
          <w:color w:val="222222"/>
        </w:rPr>
        <w:t>Guiso N, Berbers G, Fry NK, He Q, Rifflelmann M, Wirsing von Konig CH for the EU Persttrain Group. What to do and not to do in serological diagnosis of pertussis: recommendations from EU reference laboratories</w:t>
      </w:r>
      <w:r w:rsidR="00106F97">
        <w:rPr>
          <w:color w:val="222222"/>
        </w:rPr>
        <w:t>.</w:t>
      </w:r>
      <w:r w:rsidRPr="006C7574">
        <w:rPr>
          <w:color w:val="222222"/>
        </w:rPr>
        <w:t xml:space="preserve"> Euro J Clin Microbiol Infect Dis</w:t>
      </w:r>
      <w:r w:rsidR="00106F97">
        <w:rPr>
          <w:color w:val="222222"/>
        </w:rPr>
        <w:t>.</w:t>
      </w:r>
      <w:r w:rsidRPr="006C7574">
        <w:rPr>
          <w:color w:val="222222"/>
        </w:rPr>
        <w:t xml:space="preserve"> 2011;30:307–312.</w:t>
      </w:r>
    </w:p>
    <w:p w14:paraId="606C26E6" w14:textId="065B240D" w:rsidR="00C000BA" w:rsidRDefault="00C000BA" w:rsidP="00A41DA0"/>
    <w:p w14:paraId="70109798" w14:textId="77777777" w:rsidR="00A41DA0" w:rsidRPr="006C7574" w:rsidRDefault="00A41DA0" w:rsidP="00A41DA0"/>
    <w:p w14:paraId="2AFFC83A" w14:textId="77777777" w:rsidR="00A41DA0" w:rsidRPr="006C7574" w:rsidRDefault="00A41DA0" w:rsidP="00A41DA0"/>
    <w:p w14:paraId="764882D2" w14:textId="77777777" w:rsidR="00A41DA0" w:rsidRPr="00E062B5" w:rsidRDefault="00A41DA0" w:rsidP="00A41DA0"/>
    <w:p w14:paraId="7980B79F" w14:textId="77777777" w:rsidR="00A41DA0" w:rsidRPr="00E062B5" w:rsidRDefault="00A41DA0" w:rsidP="00A41DA0"/>
    <w:p w14:paraId="65F24155" w14:textId="77777777" w:rsidR="00A41DA0" w:rsidRDefault="00A41DA0" w:rsidP="00A41DA0"/>
    <w:p w14:paraId="5323C35F" w14:textId="77777777" w:rsidR="00D76609" w:rsidRDefault="00D76609" w:rsidP="00A41DA0"/>
    <w:p w14:paraId="252C1CC4" w14:textId="77777777" w:rsidR="00D76609" w:rsidRDefault="00D76609" w:rsidP="00A41DA0"/>
    <w:p w14:paraId="5D71DEFC" w14:textId="77777777" w:rsidR="00D76609" w:rsidRDefault="00D76609" w:rsidP="00A41DA0"/>
    <w:p w14:paraId="64C87E24" w14:textId="77777777" w:rsidR="00903984" w:rsidRDefault="00903984" w:rsidP="00A41DA0"/>
    <w:p w14:paraId="4EE877DF" w14:textId="77777777" w:rsidR="00903984" w:rsidRDefault="00903984" w:rsidP="00A41DA0"/>
    <w:p w14:paraId="34B4340B" w14:textId="77777777" w:rsidR="00903984" w:rsidRDefault="00903984" w:rsidP="00A41DA0"/>
    <w:p w14:paraId="4CB62B3A" w14:textId="77777777" w:rsidR="00903984" w:rsidRDefault="00903984" w:rsidP="00A41DA0"/>
    <w:p w14:paraId="7200B2CE" w14:textId="77777777" w:rsidR="00903984" w:rsidRDefault="00903984" w:rsidP="00A41DA0"/>
    <w:p w14:paraId="4DD7FB5E" w14:textId="77777777" w:rsidR="00903984" w:rsidRDefault="00903984" w:rsidP="00A41DA0"/>
    <w:p w14:paraId="4ABA88B2" w14:textId="77777777" w:rsidR="00903984" w:rsidRDefault="00903984" w:rsidP="00A41DA0"/>
    <w:p w14:paraId="30A72343" w14:textId="77777777" w:rsidR="00903984" w:rsidRDefault="00903984" w:rsidP="00A41DA0"/>
    <w:p w14:paraId="0AE12152" w14:textId="77777777" w:rsidR="00903984" w:rsidRDefault="00903984" w:rsidP="00A41DA0"/>
    <w:p w14:paraId="1D09BE12" w14:textId="11474F64" w:rsidR="00EC3B9A" w:rsidRPr="00E062B5" w:rsidRDefault="00CF2D40" w:rsidP="00EC3B9A">
      <w:pPr>
        <w:pStyle w:val="Heading1"/>
      </w:pPr>
      <w:r w:rsidRPr="00E062B5">
        <w:lastRenderedPageBreak/>
        <w:t>Glossary</w:t>
      </w:r>
    </w:p>
    <w:p w14:paraId="584E3140" w14:textId="1C5A0BCB" w:rsidR="00DC4218" w:rsidRPr="00E062B5" w:rsidRDefault="00DC4218" w:rsidP="00CF2D40">
      <w:pPr>
        <w:rPr>
          <w:rStyle w:val="Strong"/>
          <w:b w:val="0"/>
          <w:bCs w:val="0"/>
          <w:color w:val="222222"/>
          <w:shd w:val="clear" w:color="auto" w:fill="FFFFFF"/>
        </w:rPr>
      </w:pPr>
      <w:r w:rsidRPr="00E062B5">
        <w:rPr>
          <w:rStyle w:val="Strong"/>
          <w:color w:val="222222"/>
          <w:shd w:val="clear" w:color="auto" w:fill="FFFFFF"/>
        </w:rPr>
        <w:t>Ag/Ab</w:t>
      </w:r>
      <w:r w:rsidR="006A499C" w:rsidRPr="00E062B5">
        <w:rPr>
          <w:rStyle w:val="Strong"/>
          <w:color w:val="222222"/>
          <w:shd w:val="clear" w:color="auto" w:fill="FFFFFF"/>
        </w:rPr>
        <w:t xml:space="preserve"> </w:t>
      </w:r>
      <w:r w:rsidR="006A499C" w:rsidRPr="00E062B5">
        <w:rPr>
          <w:rStyle w:val="Strong"/>
          <w:b w:val="0"/>
          <w:bCs w:val="0"/>
          <w:color w:val="222222"/>
          <w:shd w:val="clear" w:color="auto" w:fill="FFFFFF"/>
        </w:rPr>
        <w:t>– Antigen/Antibody</w:t>
      </w:r>
    </w:p>
    <w:p w14:paraId="45833081" w14:textId="1EBF2234" w:rsidR="00A26C3D" w:rsidRPr="00E062B5" w:rsidRDefault="00A26C3D" w:rsidP="00CF2D40">
      <w:pPr>
        <w:rPr>
          <w:rStyle w:val="Strong"/>
          <w:b w:val="0"/>
          <w:bCs w:val="0"/>
          <w:color w:val="222222"/>
          <w:shd w:val="clear" w:color="auto" w:fill="FFFFFF"/>
        </w:rPr>
      </w:pPr>
      <w:r w:rsidRPr="00E062B5">
        <w:rPr>
          <w:rStyle w:val="Strong"/>
          <w:color w:val="222222"/>
          <w:shd w:val="clear" w:color="auto" w:fill="FFFFFF"/>
        </w:rPr>
        <w:t>AMR</w:t>
      </w:r>
      <w:r w:rsidRPr="00E062B5">
        <w:rPr>
          <w:rStyle w:val="Strong"/>
          <w:b w:val="0"/>
          <w:bCs w:val="0"/>
          <w:color w:val="222222"/>
          <w:shd w:val="clear" w:color="auto" w:fill="FFFFFF"/>
        </w:rPr>
        <w:t xml:space="preserve"> – Antimicrobial resistance </w:t>
      </w:r>
    </w:p>
    <w:p w14:paraId="7388B913" w14:textId="23F20E62" w:rsidR="00BE0113" w:rsidRPr="00E062B5" w:rsidRDefault="00BE0113" w:rsidP="00CF2D40">
      <w:r w:rsidRPr="00E062B5">
        <w:rPr>
          <w:rStyle w:val="Strong"/>
          <w:color w:val="222222"/>
          <w:shd w:val="clear" w:color="auto" w:fill="FFFFFF"/>
        </w:rPr>
        <w:t>ARTG</w:t>
      </w:r>
      <w:r w:rsidRPr="00E062B5">
        <w:rPr>
          <w:color w:val="222222"/>
          <w:shd w:val="clear" w:color="auto" w:fill="FFFFFF"/>
        </w:rPr>
        <w:t> </w:t>
      </w:r>
      <w:r w:rsidR="00A26C3D" w:rsidRPr="00E062B5">
        <w:t xml:space="preserve">– </w:t>
      </w:r>
      <w:r w:rsidRPr="00E062B5">
        <w:rPr>
          <w:color w:val="222222"/>
          <w:shd w:val="clear" w:color="auto" w:fill="FFFFFF"/>
        </w:rPr>
        <w:t>Australian Register of Therapeutic Goods</w:t>
      </w:r>
      <w:r w:rsidRPr="00E062B5">
        <w:t xml:space="preserve"> </w:t>
      </w:r>
    </w:p>
    <w:p w14:paraId="1880D0B8" w14:textId="52612301" w:rsidR="00E1346E" w:rsidRPr="00E062B5" w:rsidRDefault="00E1346E" w:rsidP="00CF2D40">
      <w:r w:rsidRPr="00E062B5">
        <w:rPr>
          <w:b/>
          <w:bCs/>
        </w:rPr>
        <w:t>BA</w:t>
      </w:r>
      <w:r w:rsidRPr="00E062B5">
        <w:t xml:space="preserve"> – Blood agar</w:t>
      </w:r>
    </w:p>
    <w:p w14:paraId="25D77A86" w14:textId="05FB942B" w:rsidR="00D20A0B" w:rsidRPr="00E062B5" w:rsidRDefault="00D20A0B" w:rsidP="00CF2D40">
      <w:r w:rsidRPr="00E062B5">
        <w:rPr>
          <w:b/>
          <w:bCs/>
        </w:rPr>
        <w:t>Biotype</w:t>
      </w:r>
      <w:r w:rsidRPr="00E062B5">
        <w:t xml:space="preserve"> </w:t>
      </w:r>
      <w:r w:rsidR="00A26C3D" w:rsidRPr="00E062B5">
        <w:t>– S</w:t>
      </w:r>
      <w:r w:rsidR="003A583C" w:rsidRPr="00E062B5">
        <w:t>train distinguished from other microorganisms of the same species by its physiological properties</w:t>
      </w:r>
      <w:r w:rsidR="00DC4218" w:rsidRPr="00E062B5">
        <w:t xml:space="preserve"> or</w:t>
      </w:r>
      <w:r w:rsidR="003A583C" w:rsidRPr="00E062B5">
        <w:t xml:space="preserve"> a group of organisms with the same genotype</w:t>
      </w:r>
    </w:p>
    <w:p w14:paraId="76C65A34" w14:textId="795DCD7F" w:rsidR="00D20A0B" w:rsidRPr="00E062B5" w:rsidRDefault="00D20A0B" w:rsidP="00CF2D40">
      <w:r w:rsidRPr="00E062B5">
        <w:rPr>
          <w:b/>
          <w:bCs/>
        </w:rPr>
        <w:t>CCNA</w:t>
      </w:r>
      <w:r w:rsidRPr="00E062B5">
        <w:t xml:space="preserve"> </w:t>
      </w:r>
      <w:r w:rsidR="00A26C3D" w:rsidRPr="00E062B5">
        <w:t xml:space="preserve">– </w:t>
      </w:r>
      <w:r w:rsidR="006A499C" w:rsidRPr="00E062B5">
        <w:t>Cell cytotoxicity neutrali</w:t>
      </w:r>
      <w:r w:rsidR="00BF5A7B" w:rsidRPr="00E062B5">
        <w:t>s</w:t>
      </w:r>
      <w:r w:rsidR="006A499C" w:rsidRPr="00E062B5">
        <w:t>ation assay</w:t>
      </w:r>
    </w:p>
    <w:p w14:paraId="47156159" w14:textId="17FA8D33" w:rsidR="00E1346E" w:rsidRPr="00E062B5" w:rsidRDefault="00BF5A7B" w:rsidP="00CF2D40">
      <w:r w:rsidRPr="00E062B5">
        <w:rPr>
          <w:b/>
          <w:bCs/>
        </w:rPr>
        <w:t xml:space="preserve">(US) </w:t>
      </w:r>
      <w:r w:rsidR="00E1346E" w:rsidRPr="00E062B5">
        <w:rPr>
          <w:b/>
          <w:bCs/>
        </w:rPr>
        <w:t>CDC</w:t>
      </w:r>
      <w:r w:rsidR="00E1346E" w:rsidRPr="00E062B5">
        <w:t xml:space="preserve"> </w:t>
      </w:r>
      <w:r w:rsidR="00EC3B9A" w:rsidRPr="00E062B5">
        <w:t>–</w:t>
      </w:r>
      <w:r w:rsidR="00E1346E" w:rsidRPr="00E062B5">
        <w:t xml:space="preserve"> </w:t>
      </w:r>
      <w:r w:rsidR="00BE0113" w:rsidRPr="00E062B5">
        <w:t>Cent</w:t>
      </w:r>
      <w:r w:rsidR="00EC3B9A" w:rsidRPr="00E062B5">
        <w:t xml:space="preserve">ers </w:t>
      </w:r>
      <w:r w:rsidR="00BE0113" w:rsidRPr="00E062B5">
        <w:t>for Disease Control and Prevention</w:t>
      </w:r>
    </w:p>
    <w:p w14:paraId="44921DC9" w14:textId="29F5A041" w:rsidR="006A499C" w:rsidRPr="00E062B5" w:rsidRDefault="006A499C" w:rsidP="00CF2D40">
      <w:r w:rsidRPr="00E062B5">
        <w:rPr>
          <w:b/>
          <w:bCs/>
        </w:rPr>
        <w:t>CDS</w:t>
      </w:r>
      <w:r w:rsidRPr="00E062B5">
        <w:t xml:space="preserve"> </w:t>
      </w:r>
      <w:r w:rsidR="00A26C3D" w:rsidRPr="00E062B5">
        <w:t xml:space="preserve">– </w:t>
      </w:r>
      <w:r w:rsidRPr="00E062B5">
        <w:t xml:space="preserve">Calibrated </w:t>
      </w:r>
      <w:r w:rsidR="00EC3B9A" w:rsidRPr="00E062B5">
        <w:t>d</w:t>
      </w:r>
      <w:r w:rsidRPr="00E062B5">
        <w:t xml:space="preserve">ichotomous </w:t>
      </w:r>
      <w:r w:rsidR="00EC3B9A" w:rsidRPr="00E062B5">
        <w:t>s</w:t>
      </w:r>
      <w:r w:rsidRPr="00E062B5">
        <w:t>usceptibility</w:t>
      </w:r>
    </w:p>
    <w:p w14:paraId="48DC4C8A" w14:textId="6C2F28BB" w:rsidR="006A499C" w:rsidRPr="00E062B5" w:rsidRDefault="006A499C" w:rsidP="00CF2D40">
      <w:r w:rsidRPr="00E062B5">
        <w:rPr>
          <w:b/>
          <w:bCs/>
        </w:rPr>
        <w:t>CIA</w:t>
      </w:r>
      <w:r w:rsidRPr="00E062B5">
        <w:t xml:space="preserve"> </w:t>
      </w:r>
      <w:r w:rsidR="00A26C3D" w:rsidRPr="00E062B5">
        <w:t xml:space="preserve">– </w:t>
      </w:r>
      <w:r w:rsidRPr="00E062B5">
        <w:t>Chemiluminescent immunoassay</w:t>
      </w:r>
    </w:p>
    <w:p w14:paraId="53B5732C" w14:textId="47CBA7BE" w:rsidR="00D20A0B" w:rsidRPr="00E062B5" w:rsidRDefault="00D20A0B" w:rsidP="00CF2D40">
      <w:r w:rsidRPr="00E062B5">
        <w:rPr>
          <w:b/>
          <w:bCs/>
        </w:rPr>
        <w:t>Clade</w:t>
      </w:r>
      <w:r w:rsidR="003A583C" w:rsidRPr="00E062B5">
        <w:t xml:space="preserve"> </w:t>
      </w:r>
      <w:r w:rsidR="00A26C3D" w:rsidRPr="00E062B5">
        <w:t>– G</w:t>
      </w:r>
      <w:r w:rsidR="00DC4218" w:rsidRPr="00E062B5">
        <w:t xml:space="preserve">roup of organisms composed of a common ancestor and all its lineal descendants </w:t>
      </w:r>
    </w:p>
    <w:p w14:paraId="21B13BDE" w14:textId="1AC56E99" w:rsidR="006A499C" w:rsidRPr="00E062B5" w:rsidRDefault="006A499C" w:rsidP="00CF2D40">
      <w:r w:rsidRPr="00E062B5">
        <w:rPr>
          <w:b/>
          <w:bCs/>
        </w:rPr>
        <w:t>CLSI</w:t>
      </w:r>
      <w:r w:rsidRPr="00E062B5">
        <w:t xml:space="preserve"> </w:t>
      </w:r>
      <w:r w:rsidR="00A26C3D" w:rsidRPr="00E062B5">
        <w:t xml:space="preserve">– </w:t>
      </w:r>
      <w:r w:rsidRPr="00E062B5">
        <w:t>Clinical and Laboratory Standards Institute</w:t>
      </w:r>
    </w:p>
    <w:p w14:paraId="50932D48" w14:textId="4DE67B61" w:rsidR="00E1346E" w:rsidRPr="00E062B5" w:rsidRDefault="00E1346E" w:rsidP="00CF2D40">
      <w:r w:rsidRPr="00E062B5">
        <w:rPr>
          <w:b/>
          <w:bCs/>
        </w:rPr>
        <w:t>CSF</w:t>
      </w:r>
      <w:r w:rsidRPr="00E062B5">
        <w:t xml:space="preserve"> </w:t>
      </w:r>
      <w:r w:rsidR="00A26C3D" w:rsidRPr="00E062B5">
        <w:t xml:space="preserve">– </w:t>
      </w:r>
      <w:r w:rsidRPr="00E062B5">
        <w:t xml:space="preserve">Cerebrospinal fluid </w:t>
      </w:r>
    </w:p>
    <w:p w14:paraId="5735371B" w14:textId="32B422FB" w:rsidR="006A499C" w:rsidRPr="00E062B5" w:rsidRDefault="006A499C" w:rsidP="00CF2D40">
      <w:r w:rsidRPr="00E062B5">
        <w:rPr>
          <w:b/>
          <w:bCs/>
        </w:rPr>
        <w:t>Ct</w:t>
      </w:r>
      <w:r w:rsidRPr="00E062B5">
        <w:t xml:space="preserve"> – Cycle threshold</w:t>
      </w:r>
    </w:p>
    <w:p w14:paraId="0A97107D" w14:textId="119D4F5C" w:rsidR="00E1346E" w:rsidRPr="00E062B5" w:rsidRDefault="00E1346E" w:rsidP="00CF2D40">
      <w:r w:rsidRPr="00E062B5">
        <w:rPr>
          <w:b/>
          <w:bCs/>
        </w:rPr>
        <w:t>DFA</w:t>
      </w:r>
      <w:r w:rsidRPr="00E062B5">
        <w:t xml:space="preserve"> </w:t>
      </w:r>
      <w:r w:rsidR="00A26C3D" w:rsidRPr="00E062B5">
        <w:t xml:space="preserve">– </w:t>
      </w:r>
      <w:r w:rsidRPr="00E062B5">
        <w:t xml:space="preserve">Direct </w:t>
      </w:r>
      <w:r w:rsidR="00DD02C4" w:rsidRPr="00E062B5">
        <w:t>f</w:t>
      </w:r>
      <w:r w:rsidRPr="00E062B5">
        <w:t xml:space="preserve">luorescent </w:t>
      </w:r>
      <w:r w:rsidR="00DD02C4" w:rsidRPr="00E062B5">
        <w:t>a</w:t>
      </w:r>
      <w:r w:rsidRPr="00E062B5">
        <w:t>ntibody</w:t>
      </w:r>
    </w:p>
    <w:p w14:paraId="170600FB" w14:textId="1F5D4869" w:rsidR="00E1346E" w:rsidRPr="00E062B5" w:rsidRDefault="00E1346E" w:rsidP="00CF2D40">
      <w:r w:rsidRPr="00E062B5">
        <w:rPr>
          <w:b/>
          <w:bCs/>
        </w:rPr>
        <w:t>DNA</w:t>
      </w:r>
      <w:r w:rsidR="008A0130" w:rsidRPr="00E062B5">
        <w:t xml:space="preserve"> </w:t>
      </w:r>
      <w:r w:rsidR="006A499C" w:rsidRPr="00E062B5">
        <w:t>–</w:t>
      </w:r>
      <w:r w:rsidR="008A0130" w:rsidRPr="00E062B5">
        <w:t xml:space="preserve"> </w:t>
      </w:r>
      <w:r w:rsidR="006A499C" w:rsidRPr="00E062B5">
        <w:t xml:space="preserve">Deoxyribonucleic acid </w:t>
      </w:r>
    </w:p>
    <w:p w14:paraId="29FA3A8B" w14:textId="1154C494" w:rsidR="00D20A0B" w:rsidRPr="00E062B5" w:rsidRDefault="00D20A0B" w:rsidP="00CF2D40">
      <w:r w:rsidRPr="00E062B5">
        <w:rPr>
          <w:b/>
          <w:bCs/>
        </w:rPr>
        <w:t>EDTA</w:t>
      </w:r>
      <w:r w:rsidRPr="00E062B5">
        <w:t xml:space="preserve"> </w:t>
      </w:r>
      <w:r w:rsidR="00A26C3D" w:rsidRPr="00E062B5">
        <w:t xml:space="preserve">– </w:t>
      </w:r>
      <w:r w:rsidR="00DC4218" w:rsidRPr="00E062B5">
        <w:t>Ethylenediaminetetraacetic acid</w:t>
      </w:r>
    </w:p>
    <w:p w14:paraId="6FE121EF" w14:textId="16041E9D" w:rsidR="00DD02C4" w:rsidRPr="00E062B5" w:rsidRDefault="00DD02C4" w:rsidP="00CF2D40">
      <w:r w:rsidRPr="00E062B5">
        <w:rPr>
          <w:b/>
          <w:bCs/>
        </w:rPr>
        <w:t>EIA</w:t>
      </w:r>
      <w:r w:rsidRPr="00E062B5">
        <w:t xml:space="preserve"> </w:t>
      </w:r>
      <w:r w:rsidR="00A26C3D" w:rsidRPr="00E062B5">
        <w:t xml:space="preserve">– </w:t>
      </w:r>
      <w:r w:rsidRPr="00E062B5">
        <w:t xml:space="preserve">Enzyme </w:t>
      </w:r>
      <w:r w:rsidR="0083509D" w:rsidRPr="00E062B5">
        <w:t>i</w:t>
      </w:r>
      <w:r w:rsidRPr="00E062B5">
        <w:t>mmunoassay</w:t>
      </w:r>
    </w:p>
    <w:p w14:paraId="0E7D548A" w14:textId="4A96542E" w:rsidR="00E1346E" w:rsidRPr="00E062B5" w:rsidRDefault="00E1346E" w:rsidP="00CF2D40">
      <w:r w:rsidRPr="00E062B5">
        <w:rPr>
          <w:b/>
          <w:bCs/>
        </w:rPr>
        <w:t>ELISA</w:t>
      </w:r>
      <w:r w:rsidRPr="00E062B5">
        <w:t xml:space="preserve"> </w:t>
      </w:r>
      <w:r w:rsidR="00A26C3D" w:rsidRPr="00E062B5">
        <w:t xml:space="preserve">– </w:t>
      </w:r>
      <w:r w:rsidR="0083509D" w:rsidRPr="00E062B5">
        <w:t>E</w:t>
      </w:r>
      <w:r w:rsidR="00617E04" w:rsidRPr="00E062B5">
        <w:t>nzyme linked immunosorbent assay</w:t>
      </w:r>
    </w:p>
    <w:p w14:paraId="2783354E" w14:textId="6A3F0E2D" w:rsidR="006A499C" w:rsidRPr="00E062B5" w:rsidRDefault="006A499C" w:rsidP="00CF2D40">
      <w:r w:rsidRPr="00E062B5">
        <w:rPr>
          <w:b/>
          <w:bCs/>
        </w:rPr>
        <w:t>EUCAST</w:t>
      </w:r>
      <w:r w:rsidRPr="00E062B5">
        <w:t xml:space="preserve"> </w:t>
      </w:r>
      <w:r w:rsidR="00A26C3D" w:rsidRPr="00E062B5">
        <w:t xml:space="preserve">– </w:t>
      </w:r>
      <w:r w:rsidRPr="00E062B5">
        <w:t xml:space="preserve">European Committee on Antimicrobial Susceptibility Testing </w:t>
      </w:r>
    </w:p>
    <w:p w14:paraId="71EE511E" w14:textId="5DE84727" w:rsidR="00D20A0B" w:rsidRPr="00E062B5" w:rsidRDefault="006A499C" w:rsidP="00CF2D40">
      <w:r w:rsidRPr="00E062B5">
        <w:rPr>
          <w:b/>
          <w:bCs/>
        </w:rPr>
        <w:t>HI</w:t>
      </w:r>
      <w:r w:rsidRPr="00E062B5">
        <w:t xml:space="preserve"> </w:t>
      </w:r>
      <w:r w:rsidR="00A26C3D" w:rsidRPr="00E062B5">
        <w:t xml:space="preserve">– </w:t>
      </w:r>
      <w:r w:rsidR="00D20A0B" w:rsidRPr="00E062B5">
        <w:t xml:space="preserve">Haemagglutination </w:t>
      </w:r>
      <w:r w:rsidRPr="00E062B5">
        <w:t>i</w:t>
      </w:r>
      <w:r w:rsidR="00D20A0B" w:rsidRPr="00E062B5">
        <w:t>nhibition</w:t>
      </w:r>
    </w:p>
    <w:p w14:paraId="385307D6" w14:textId="755DE735" w:rsidR="00C83210" w:rsidRPr="00E062B5" w:rsidRDefault="00C83210" w:rsidP="00CF2D40">
      <w:r w:rsidRPr="00E062B5">
        <w:rPr>
          <w:b/>
          <w:bCs/>
        </w:rPr>
        <w:t>ICT</w:t>
      </w:r>
      <w:r w:rsidRPr="00E062B5">
        <w:t xml:space="preserve"> </w:t>
      </w:r>
      <w:r w:rsidR="00A26C3D" w:rsidRPr="00E062B5">
        <w:t xml:space="preserve">– </w:t>
      </w:r>
      <w:r w:rsidRPr="00E062B5">
        <w:t>Immunochromatographic test</w:t>
      </w:r>
    </w:p>
    <w:p w14:paraId="6C2B4FB7" w14:textId="070BB877" w:rsidR="00D20A0B" w:rsidRPr="00E062B5" w:rsidRDefault="00D20A0B" w:rsidP="00CF2D40">
      <w:r w:rsidRPr="00E062B5">
        <w:rPr>
          <w:b/>
          <w:bCs/>
        </w:rPr>
        <w:lastRenderedPageBreak/>
        <w:t>IFA</w:t>
      </w:r>
      <w:r w:rsidRPr="00E062B5">
        <w:t xml:space="preserve"> </w:t>
      </w:r>
      <w:r w:rsidR="00A26C3D" w:rsidRPr="00E062B5">
        <w:t xml:space="preserve">– </w:t>
      </w:r>
      <w:r w:rsidRPr="00E062B5">
        <w:t xml:space="preserve">Immunofluorescent </w:t>
      </w:r>
      <w:r w:rsidR="006A499C" w:rsidRPr="00E062B5">
        <w:t>a</w:t>
      </w:r>
      <w:r w:rsidRPr="00E062B5">
        <w:t>ntibody</w:t>
      </w:r>
    </w:p>
    <w:p w14:paraId="3296D531" w14:textId="717D2FF8" w:rsidR="00DD02C4" w:rsidRPr="00E062B5" w:rsidRDefault="00DD02C4" w:rsidP="00CF2D40">
      <w:r w:rsidRPr="00E062B5">
        <w:rPr>
          <w:b/>
          <w:bCs/>
        </w:rPr>
        <w:t>IgA</w:t>
      </w:r>
      <w:r w:rsidR="00BE0113" w:rsidRPr="00E062B5">
        <w:t xml:space="preserve"> </w:t>
      </w:r>
      <w:r w:rsidR="00A26C3D" w:rsidRPr="00E062B5">
        <w:t xml:space="preserve">– </w:t>
      </w:r>
      <w:r w:rsidR="00BE0113" w:rsidRPr="00E062B5">
        <w:t>Immunoglobulin A</w:t>
      </w:r>
    </w:p>
    <w:p w14:paraId="44F3B881" w14:textId="7336B640" w:rsidR="00E1346E" w:rsidRPr="00E062B5" w:rsidRDefault="00E1346E" w:rsidP="00CF2D40">
      <w:r w:rsidRPr="00E062B5">
        <w:rPr>
          <w:b/>
          <w:bCs/>
        </w:rPr>
        <w:t>IgG</w:t>
      </w:r>
      <w:r w:rsidR="00BE0113" w:rsidRPr="00E062B5">
        <w:t xml:space="preserve"> </w:t>
      </w:r>
      <w:r w:rsidR="00A26C3D" w:rsidRPr="00E062B5">
        <w:t xml:space="preserve">– </w:t>
      </w:r>
      <w:r w:rsidR="00BE0113" w:rsidRPr="00E062B5">
        <w:t>Immunoglobulin G</w:t>
      </w:r>
    </w:p>
    <w:p w14:paraId="112A6948" w14:textId="5F72A0FC" w:rsidR="00E1346E" w:rsidRPr="00E062B5" w:rsidRDefault="00E1346E" w:rsidP="00CF2D40">
      <w:r w:rsidRPr="00E062B5">
        <w:rPr>
          <w:b/>
          <w:bCs/>
        </w:rPr>
        <w:t>IgM</w:t>
      </w:r>
      <w:r w:rsidR="00BE0113" w:rsidRPr="00E062B5">
        <w:t xml:space="preserve"> </w:t>
      </w:r>
      <w:r w:rsidR="00A26C3D" w:rsidRPr="00E062B5">
        <w:t xml:space="preserve">– </w:t>
      </w:r>
      <w:r w:rsidR="00BE0113" w:rsidRPr="00E062B5">
        <w:t>Immunoglobulin M</w:t>
      </w:r>
    </w:p>
    <w:p w14:paraId="35208E8F" w14:textId="48B4B20B" w:rsidR="00C83210" w:rsidRPr="00E062B5" w:rsidRDefault="00C83210" w:rsidP="00CF2D40">
      <w:r w:rsidRPr="00E062B5">
        <w:rPr>
          <w:b/>
          <w:bCs/>
        </w:rPr>
        <w:t>IVD (device)</w:t>
      </w:r>
      <w:r w:rsidRPr="00E062B5">
        <w:t xml:space="preserve"> </w:t>
      </w:r>
      <w:r w:rsidR="00A26C3D" w:rsidRPr="00E062B5">
        <w:t xml:space="preserve">– </w:t>
      </w:r>
      <w:r w:rsidRPr="00E062B5">
        <w:t>In vitro diagnostic medical device</w:t>
      </w:r>
    </w:p>
    <w:p w14:paraId="13D75391" w14:textId="4BF6DE28" w:rsidR="00D20A0B" w:rsidRPr="00E062B5" w:rsidRDefault="00D20A0B" w:rsidP="00CF2D40">
      <w:r w:rsidRPr="00E062B5">
        <w:rPr>
          <w:b/>
          <w:bCs/>
        </w:rPr>
        <w:t>In vitro</w:t>
      </w:r>
      <w:r w:rsidR="006A499C" w:rsidRPr="00E062B5">
        <w:rPr>
          <w:b/>
          <w:bCs/>
        </w:rPr>
        <w:t xml:space="preserve"> </w:t>
      </w:r>
      <w:r w:rsidR="00A26C3D" w:rsidRPr="00E062B5">
        <w:t xml:space="preserve">– </w:t>
      </w:r>
      <w:r w:rsidR="006A499C" w:rsidRPr="00E062B5">
        <w:t>performed in a test tube, culture dish, or elsewhere outside a living organism</w:t>
      </w:r>
    </w:p>
    <w:p w14:paraId="0CB469DF" w14:textId="1D67538D" w:rsidR="00D20A0B" w:rsidRPr="00E062B5" w:rsidRDefault="00D20A0B" w:rsidP="00CF2D40">
      <w:r w:rsidRPr="00E062B5">
        <w:rPr>
          <w:b/>
          <w:bCs/>
        </w:rPr>
        <w:t>In vivo</w:t>
      </w:r>
      <w:r w:rsidR="006A499C" w:rsidRPr="00E062B5">
        <w:rPr>
          <w:b/>
          <w:bCs/>
        </w:rPr>
        <w:t xml:space="preserve"> </w:t>
      </w:r>
      <w:r w:rsidR="00A26C3D" w:rsidRPr="00E062B5">
        <w:t xml:space="preserve">– </w:t>
      </w:r>
      <w:r w:rsidR="006A499C" w:rsidRPr="00E062B5">
        <w:t>performed or taking place in a living organism</w:t>
      </w:r>
    </w:p>
    <w:p w14:paraId="4BA620CC" w14:textId="3A43E318" w:rsidR="006A499C" w:rsidRPr="00E062B5" w:rsidRDefault="006A499C" w:rsidP="00CF2D40">
      <w:r w:rsidRPr="00E062B5">
        <w:rPr>
          <w:b/>
          <w:bCs/>
        </w:rPr>
        <w:t>ITS</w:t>
      </w:r>
      <w:r w:rsidRPr="00E062B5">
        <w:t xml:space="preserve"> </w:t>
      </w:r>
      <w:r w:rsidR="00A26C3D" w:rsidRPr="00E062B5">
        <w:t xml:space="preserve">– </w:t>
      </w:r>
      <w:r w:rsidRPr="00E062B5">
        <w:t>Inter-genic spacer region</w:t>
      </w:r>
    </w:p>
    <w:p w14:paraId="461F78EB" w14:textId="0C9FDD1A" w:rsidR="00BE0113" w:rsidRPr="00E062B5" w:rsidRDefault="003A583C" w:rsidP="00CF2D40">
      <w:r w:rsidRPr="00E062B5">
        <w:rPr>
          <w:b/>
          <w:bCs/>
        </w:rPr>
        <w:t>LAMP</w:t>
      </w:r>
      <w:r w:rsidRPr="00E062B5">
        <w:t xml:space="preserve"> </w:t>
      </w:r>
      <w:r w:rsidR="00A26C3D" w:rsidRPr="00E062B5">
        <w:t xml:space="preserve">– </w:t>
      </w:r>
      <w:r w:rsidR="00BE0113" w:rsidRPr="00E062B5">
        <w:t>Loop-mediated isothermal amplification</w:t>
      </w:r>
      <w:r w:rsidR="008A0130" w:rsidRPr="00E062B5">
        <w:t xml:space="preserve"> </w:t>
      </w:r>
    </w:p>
    <w:p w14:paraId="052F64FB" w14:textId="7AD0F5FC" w:rsidR="00DD02C4" w:rsidRPr="00E062B5" w:rsidRDefault="00DD02C4" w:rsidP="00CF2D40">
      <w:r w:rsidRPr="00E062B5">
        <w:rPr>
          <w:b/>
          <w:bCs/>
        </w:rPr>
        <w:t>LPS</w:t>
      </w:r>
      <w:r w:rsidRPr="00E062B5">
        <w:t xml:space="preserve"> </w:t>
      </w:r>
      <w:r w:rsidR="00D20A0B" w:rsidRPr="00E062B5">
        <w:t>–</w:t>
      </w:r>
      <w:r w:rsidRPr="00E062B5">
        <w:t xml:space="preserve"> </w:t>
      </w:r>
      <w:r w:rsidR="003A583C" w:rsidRPr="00E062B5">
        <w:t>L</w:t>
      </w:r>
      <w:r w:rsidRPr="00E062B5">
        <w:t>ipopolysaccharide</w:t>
      </w:r>
    </w:p>
    <w:p w14:paraId="3D79C20D" w14:textId="24954BD9" w:rsidR="00C83210" w:rsidRPr="00E062B5" w:rsidRDefault="00C83210" w:rsidP="00CF2D40">
      <w:r w:rsidRPr="00E062B5">
        <w:rPr>
          <w:b/>
          <w:bCs/>
        </w:rPr>
        <w:t>MALDI-TOF</w:t>
      </w:r>
      <w:r w:rsidRPr="00E062B5">
        <w:t xml:space="preserve"> </w:t>
      </w:r>
      <w:r w:rsidR="00A26C3D" w:rsidRPr="00E062B5">
        <w:t xml:space="preserve">– </w:t>
      </w:r>
      <w:r w:rsidRPr="00E062B5">
        <w:t xml:space="preserve">Matrix-assisted laser desorption ionization-time of flight </w:t>
      </w:r>
    </w:p>
    <w:p w14:paraId="44FFE129" w14:textId="27717D93" w:rsidR="006A499C" w:rsidRPr="00E062B5" w:rsidRDefault="006A499C" w:rsidP="006A499C">
      <w:r w:rsidRPr="00E062B5">
        <w:rPr>
          <w:b/>
          <w:bCs/>
        </w:rPr>
        <w:t>MAT</w:t>
      </w:r>
      <w:r w:rsidRPr="00E062B5">
        <w:t xml:space="preserve"> </w:t>
      </w:r>
      <w:r w:rsidR="00A26C3D" w:rsidRPr="00E062B5">
        <w:t xml:space="preserve">– </w:t>
      </w:r>
      <w:r w:rsidRPr="00E062B5">
        <w:t>Microscopic agglutination test</w:t>
      </w:r>
    </w:p>
    <w:p w14:paraId="045B7E10" w14:textId="7B415F27" w:rsidR="006A499C" w:rsidRPr="00E062B5" w:rsidRDefault="00C83210" w:rsidP="00CF2D40">
      <w:r w:rsidRPr="00E062B5">
        <w:rPr>
          <w:b/>
          <w:bCs/>
        </w:rPr>
        <w:t>MDST</w:t>
      </w:r>
      <w:r w:rsidRPr="00E062B5">
        <w:t xml:space="preserve"> </w:t>
      </w:r>
      <w:r w:rsidR="00A26C3D" w:rsidRPr="00E062B5">
        <w:t xml:space="preserve">– </w:t>
      </w:r>
      <w:r w:rsidRPr="00E062B5">
        <w:t>Molecular drug susceptibility testing</w:t>
      </w:r>
    </w:p>
    <w:p w14:paraId="1EDBCCBD" w14:textId="39803965" w:rsidR="00A26C3D" w:rsidRPr="00E062B5" w:rsidRDefault="00A26C3D" w:rsidP="00CF2D40">
      <w:r w:rsidRPr="00E062B5">
        <w:rPr>
          <w:b/>
          <w:bCs/>
        </w:rPr>
        <w:t>MDR</w:t>
      </w:r>
      <w:r w:rsidRPr="00E062B5">
        <w:t xml:space="preserve"> – Multidrug resistant</w:t>
      </w:r>
    </w:p>
    <w:p w14:paraId="3C029B42" w14:textId="50B5C23C" w:rsidR="00C83210" w:rsidRPr="00E062B5" w:rsidRDefault="00C83210" w:rsidP="00CF2D40">
      <w:r w:rsidRPr="00E062B5">
        <w:rPr>
          <w:b/>
          <w:bCs/>
        </w:rPr>
        <w:t>MIA</w:t>
      </w:r>
      <w:r w:rsidRPr="00E062B5">
        <w:t xml:space="preserve"> </w:t>
      </w:r>
      <w:r w:rsidR="00A26C3D" w:rsidRPr="00E062B5">
        <w:t xml:space="preserve">– </w:t>
      </w:r>
      <w:r w:rsidRPr="00E062B5">
        <w:t>Microsphere immunoassay</w:t>
      </w:r>
    </w:p>
    <w:p w14:paraId="14B20A3A" w14:textId="6CFC7763" w:rsidR="00D20A0B" w:rsidRPr="00E062B5" w:rsidRDefault="00D20A0B" w:rsidP="00CF2D40">
      <w:r w:rsidRPr="00E062B5">
        <w:rPr>
          <w:b/>
          <w:bCs/>
        </w:rPr>
        <w:t>MLST</w:t>
      </w:r>
      <w:r w:rsidRPr="00E062B5">
        <w:t xml:space="preserve"> </w:t>
      </w:r>
      <w:r w:rsidR="00A26C3D" w:rsidRPr="00E062B5">
        <w:t xml:space="preserve">– </w:t>
      </w:r>
      <w:r w:rsidR="003A583C" w:rsidRPr="00E062B5">
        <w:t>M</w:t>
      </w:r>
      <w:r w:rsidRPr="00E062B5">
        <w:t>ultilocus sequence typing</w:t>
      </w:r>
    </w:p>
    <w:p w14:paraId="3EFBC9FC" w14:textId="02A3CB60" w:rsidR="00DD02C4" w:rsidRPr="00E062B5" w:rsidRDefault="00DD02C4" w:rsidP="00E1346E">
      <w:r w:rsidRPr="00E062B5">
        <w:rPr>
          <w:b/>
          <w:bCs/>
        </w:rPr>
        <w:t>NAAT</w:t>
      </w:r>
      <w:r w:rsidRPr="00E062B5">
        <w:t xml:space="preserve"> </w:t>
      </w:r>
      <w:r w:rsidR="00A26C3D" w:rsidRPr="00E062B5">
        <w:t xml:space="preserve">– </w:t>
      </w:r>
      <w:r w:rsidRPr="00E062B5">
        <w:t>Nucleic acid amplification test/ing</w:t>
      </w:r>
    </w:p>
    <w:p w14:paraId="0A85F343" w14:textId="1E26C072" w:rsidR="00E1346E" w:rsidRPr="00E062B5" w:rsidRDefault="00E1346E" w:rsidP="00E1346E">
      <w:r w:rsidRPr="00E062B5">
        <w:rPr>
          <w:b/>
          <w:bCs/>
        </w:rPr>
        <w:t>NATA</w:t>
      </w:r>
      <w:r w:rsidRPr="00E062B5">
        <w:t xml:space="preserve"> - National Association of Testing Authorities</w:t>
      </w:r>
      <w:r w:rsidR="00BF5A7B" w:rsidRPr="00E062B5">
        <w:t>, Australia</w:t>
      </w:r>
    </w:p>
    <w:p w14:paraId="46A272E6" w14:textId="29A201FB" w:rsidR="00BE0113" w:rsidRPr="00E062B5" w:rsidRDefault="00BE0113" w:rsidP="00E1346E">
      <w:r w:rsidRPr="00E062B5">
        <w:rPr>
          <w:b/>
          <w:bCs/>
        </w:rPr>
        <w:t>NGS</w:t>
      </w:r>
      <w:r w:rsidRPr="00E062B5">
        <w:t xml:space="preserve"> </w:t>
      </w:r>
      <w:r w:rsidR="00A26C3D" w:rsidRPr="00E062B5">
        <w:t xml:space="preserve">– </w:t>
      </w:r>
      <w:r w:rsidR="003A583C" w:rsidRPr="00E062B5">
        <w:t>N</w:t>
      </w:r>
      <w:r w:rsidRPr="00E062B5">
        <w:t>ext generation sequencing</w:t>
      </w:r>
    </w:p>
    <w:p w14:paraId="4F20829B" w14:textId="3B6B94ED" w:rsidR="00D20A0B" w:rsidRPr="00E062B5" w:rsidRDefault="00D20A0B" w:rsidP="00E1346E">
      <w:r w:rsidRPr="00E062B5">
        <w:rPr>
          <w:b/>
          <w:bCs/>
        </w:rPr>
        <w:t>NPAAC</w:t>
      </w:r>
      <w:r w:rsidR="003A583C" w:rsidRPr="00E062B5">
        <w:t xml:space="preserve"> </w:t>
      </w:r>
      <w:r w:rsidR="00A26C3D" w:rsidRPr="00E062B5">
        <w:t xml:space="preserve">– </w:t>
      </w:r>
      <w:r w:rsidR="003A583C" w:rsidRPr="00E062B5">
        <w:t>National Pathology Accreditation Advisory Council</w:t>
      </w:r>
    </w:p>
    <w:p w14:paraId="1D223DAB" w14:textId="4C120496" w:rsidR="0083509D" w:rsidRPr="00E062B5" w:rsidRDefault="00DD02C4" w:rsidP="00E1346E">
      <w:r w:rsidRPr="00E062B5">
        <w:rPr>
          <w:b/>
          <w:bCs/>
        </w:rPr>
        <w:t>NRL</w:t>
      </w:r>
      <w:r w:rsidR="00DC4218" w:rsidRPr="00E062B5">
        <w:t xml:space="preserve"> </w:t>
      </w:r>
      <w:r w:rsidR="00A26C3D" w:rsidRPr="00E062B5">
        <w:t xml:space="preserve">– </w:t>
      </w:r>
      <w:r w:rsidR="00DC4218" w:rsidRPr="00E062B5">
        <w:t>National Serology Reference Laboratory</w:t>
      </w:r>
    </w:p>
    <w:p w14:paraId="769F9354" w14:textId="3947AFB2" w:rsidR="00E1346E" w:rsidRPr="00E062B5" w:rsidRDefault="00E1346E" w:rsidP="00E1346E">
      <w:r w:rsidRPr="00E062B5">
        <w:rPr>
          <w:b/>
          <w:bCs/>
        </w:rPr>
        <w:t>PCR</w:t>
      </w:r>
      <w:r w:rsidR="00DD02C4" w:rsidRPr="00E062B5">
        <w:t xml:space="preserve"> </w:t>
      </w:r>
      <w:r w:rsidR="00A26C3D" w:rsidRPr="00E062B5">
        <w:t xml:space="preserve">– </w:t>
      </w:r>
      <w:r w:rsidR="00DD02C4" w:rsidRPr="00E062B5">
        <w:t xml:space="preserve">Polymerase </w:t>
      </w:r>
      <w:r w:rsidR="0083509D" w:rsidRPr="00E062B5">
        <w:t>c</w:t>
      </w:r>
      <w:r w:rsidR="00DD02C4" w:rsidRPr="00E062B5">
        <w:t xml:space="preserve">hain </w:t>
      </w:r>
      <w:r w:rsidR="0083509D" w:rsidRPr="00E062B5">
        <w:t>r</w:t>
      </w:r>
      <w:r w:rsidR="00DD02C4" w:rsidRPr="00E062B5">
        <w:t>eact</w:t>
      </w:r>
      <w:r w:rsidR="00DC4218" w:rsidRPr="00E062B5">
        <w:t>i</w:t>
      </w:r>
      <w:r w:rsidR="00DD02C4" w:rsidRPr="00E062B5">
        <w:t>on</w:t>
      </w:r>
    </w:p>
    <w:p w14:paraId="78A91FE9" w14:textId="7258648D" w:rsidR="00DD02C4" w:rsidRPr="00E062B5" w:rsidRDefault="00DD02C4" w:rsidP="00E1346E">
      <w:r w:rsidRPr="00E062B5">
        <w:rPr>
          <w:b/>
          <w:bCs/>
        </w:rPr>
        <w:t>PC2</w:t>
      </w:r>
      <w:r w:rsidR="006A499C" w:rsidRPr="00E062B5">
        <w:rPr>
          <w:b/>
          <w:bCs/>
        </w:rPr>
        <w:t xml:space="preserve"> </w:t>
      </w:r>
      <w:r w:rsidR="00BF5A7B" w:rsidRPr="00E062B5">
        <w:rPr>
          <w:b/>
          <w:bCs/>
        </w:rPr>
        <w:t>laboratory</w:t>
      </w:r>
      <w:r w:rsidR="006A499C" w:rsidRPr="00E062B5">
        <w:t xml:space="preserve"> </w:t>
      </w:r>
      <w:r w:rsidR="00A26C3D" w:rsidRPr="00E062B5">
        <w:t xml:space="preserve">– </w:t>
      </w:r>
      <w:r w:rsidR="006A499C" w:rsidRPr="00E062B5">
        <w:t xml:space="preserve">Physical </w:t>
      </w:r>
      <w:r w:rsidR="0083509D" w:rsidRPr="00E062B5">
        <w:t>c</w:t>
      </w:r>
      <w:r w:rsidR="006A499C" w:rsidRPr="00E062B5">
        <w:t xml:space="preserve">ontainment </w:t>
      </w:r>
      <w:r w:rsidR="0083509D" w:rsidRPr="00E062B5">
        <w:t>l</w:t>
      </w:r>
      <w:r w:rsidR="006A499C" w:rsidRPr="00E062B5">
        <w:t xml:space="preserve">evel 2 laboratory </w:t>
      </w:r>
    </w:p>
    <w:p w14:paraId="41C6F32F" w14:textId="7B31A0A7" w:rsidR="00DD02C4" w:rsidRPr="00E062B5" w:rsidRDefault="00DD02C4" w:rsidP="00E1346E">
      <w:r w:rsidRPr="00E062B5">
        <w:rPr>
          <w:b/>
          <w:bCs/>
        </w:rPr>
        <w:lastRenderedPageBreak/>
        <w:t>PC3</w:t>
      </w:r>
      <w:r w:rsidR="006A499C" w:rsidRPr="00E062B5">
        <w:rPr>
          <w:b/>
          <w:bCs/>
        </w:rPr>
        <w:t xml:space="preserve"> </w:t>
      </w:r>
      <w:r w:rsidR="00BF5A7B" w:rsidRPr="00E062B5">
        <w:rPr>
          <w:b/>
          <w:bCs/>
        </w:rPr>
        <w:t>laboratory</w:t>
      </w:r>
      <w:r w:rsidR="00BF5A7B" w:rsidRPr="00E062B5">
        <w:t xml:space="preserve"> </w:t>
      </w:r>
      <w:r w:rsidR="00A26C3D" w:rsidRPr="00E062B5">
        <w:t xml:space="preserve">– </w:t>
      </w:r>
      <w:r w:rsidR="006A499C" w:rsidRPr="00E062B5">
        <w:t xml:space="preserve">Physical </w:t>
      </w:r>
      <w:r w:rsidR="0083509D" w:rsidRPr="00E062B5">
        <w:t>c</w:t>
      </w:r>
      <w:r w:rsidR="006A499C" w:rsidRPr="00E062B5">
        <w:t xml:space="preserve">ontainment </w:t>
      </w:r>
      <w:r w:rsidR="0083509D" w:rsidRPr="00E062B5">
        <w:t>l</w:t>
      </w:r>
      <w:r w:rsidR="006A499C" w:rsidRPr="00E062B5">
        <w:t>evel 3 laboratory</w:t>
      </w:r>
    </w:p>
    <w:p w14:paraId="0FCB7B3E" w14:textId="17B2C3BA" w:rsidR="00DC4218" w:rsidRPr="00E062B5" w:rsidRDefault="00DC4218" w:rsidP="00E1346E">
      <w:r w:rsidRPr="00E062B5">
        <w:rPr>
          <w:b/>
          <w:bCs/>
        </w:rPr>
        <w:t xml:space="preserve">PC4 </w:t>
      </w:r>
      <w:r w:rsidR="00BF5A7B" w:rsidRPr="00E062B5">
        <w:rPr>
          <w:b/>
          <w:bCs/>
        </w:rPr>
        <w:t xml:space="preserve">laboratory </w:t>
      </w:r>
      <w:r w:rsidR="00A26C3D" w:rsidRPr="00E062B5">
        <w:t xml:space="preserve">– </w:t>
      </w:r>
      <w:r w:rsidR="006A499C" w:rsidRPr="00E062B5">
        <w:t xml:space="preserve">Physical </w:t>
      </w:r>
      <w:r w:rsidR="0083509D" w:rsidRPr="00E062B5">
        <w:t>c</w:t>
      </w:r>
      <w:r w:rsidR="006A499C" w:rsidRPr="00E062B5">
        <w:t xml:space="preserve">ontainment </w:t>
      </w:r>
      <w:r w:rsidR="0083509D" w:rsidRPr="00E062B5">
        <w:t>l</w:t>
      </w:r>
      <w:r w:rsidR="006A499C" w:rsidRPr="00E062B5">
        <w:t>evel 4</w:t>
      </w:r>
      <w:r w:rsidR="0083509D" w:rsidRPr="00E062B5">
        <w:t xml:space="preserve"> </w:t>
      </w:r>
      <w:r w:rsidR="006A499C" w:rsidRPr="00E062B5">
        <w:t>laboratory</w:t>
      </w:r>
    </w:p>
    <w:p w14:paraId="34CC3B7B" w14:textId="05E70585" w:rsidR="0083509D" w:rsidRPr="00E062B5" w:rsidRDefault="0083509D" w:rsidP="00E1346E">
      <w:r w:rsidRPr="00E062B5">
        <w:rPr>
          <w:b/>
          <w:bCs/>
        </w:rPr>
        <w:t>PFGE</w:t>
      </w:r>
      <w:r w:rsidRPr="00E062B5">
        <w:t xml:space="preserve"> </w:t>
      </w:r>
      <w:r w:rsidR="00A26C3D" w:rsidRPr="00E062B5">
        <w:t xml:space="preserve">– </w:t>
      </w:r>
      <w:r w:rsidRPr="00E062B5">
        <w:t>Pulsed field gel electrophoresis</w:t>
      </w:r>
    </w:p>
    <w:p w14:paraId="58099713" w14:textId="3308F1D9" w:rsidR="00DD02C4" w:rsidRPr="00E062B5" w:rsidRDefault="00DD02C4" w:rsidP="00E1346E">
      <w:r w:rsidRPr="00E062B5">
        <w:rPr>
          <w:b/>
          <w:bCs/>
        </w:rPr>
        <w:t>POC</w:t>
      </w:r>
      <w:r w:rsidRPr="00E062B5">
        <w:t xml:space="preserve"> – </w:t>
      </w:r>
      <w:r w:rsidR="003A583C" w:rsidRPr="00E062B5">
        <w:t>Point-of-care</w:t>
      </w:r>
    </w:p>
    <w:p w14:paraId="308262ED" w14:textId="77777777" w:rsidR="0083509D" w:rsidRPr="00E062B5" w:rsidRDefault="0083509D" w:rsidP="0083509D">
      <w:r w:rsidRPr="00E062B5">
        <w:rPr>
          <w:b/>
          <w:bCs/>
        </w:rPr>
        <w:t>QAP</w:t>
      </w:r>
      <w:r w:rsidRPr="00E062B5">
        <w:t xml:space="preserve"> – Quality assurance program</w:t>
      </w:r>
    </w:p>
    <w:p w14:paraId="7932E4D9" w14:textId="1EF09361" w:rsidR="0083509D" w:rsidRPr="00E062B5" w:rsidRDefault="0083509D" w:rsidP="00E1346E">
      <w:r w:rsidRPr="00E062B5">
        <w:rPr>
          <w:b/>
          <w:bCs/>
        </w:rPr>
        <w:t>QC</w:t>
      </w:r>
      <w:r w:rsidRPr="00E062B5">
        <w:t xml:space="preserve"> – Quality control</w:t>
      </w:r>
    </w:p>
    <w:p w14:paraId="4ACA97B5" w14:textId="68B7DB35" w:rsidR="0083509D" w:rsidRPr="00E062B5" w:rsidRDefault="0083509D" w:rsidP="00E1346E">
      <w:r w:rsidRPr="00E062B5">
        <w:rPr>
          <w:b/>
          <w:bCs/>
        </w:rPr>
        <w:t>RAPD</w:t>
      </w:r>
      <w:r w:rsidRPr="00E062B5">
        <w:t xml:space="preserve"> </w:t>
      </w:r>
      <w:r w:rsidR="00A26C3D" w:rsidRPr="00E062B5">
        <w:t xml:space="preserve">– </w:t>
      </w:r>
      <w:r w:rsidRPr="00E062B5">
        <w:t xml:space="preserve">Random amplified polymorphic DNA </w:t>
      </w:r>
    </w:p>
    <w:p w14:paraId="0EB82AC9" w14:textId="5EF2366B" w:rsidR="00DD02C4" w:rsidRPr="00E062B5" w:rsidRDefault="00DD02C4" w:rsidP="00E1346E">
      <w:r w:rsidRPr="00E062B5">
        <w:rPr>
          <w:b/>
          <w:bCs/>
        </w:rPr>
        <w:t>RCPA</w:t>
      </w:r>
      <w:r w:rsidRPr="00E062B5">
        <w:t xml:space="preserve"> </w:t>
      </w:r>
      <w:r w:rsidR="00A26C3D" w:rsidRPr="00E062B5">
        <w:t xml:space="preserve">– </w:t>
      </w:r>
      <w:r w:rsidR="00D20A0B" w:rsidRPr="00E062B5">
        <w:t>Royal College of Pathologists of Australasia</w:t>
      </w:r>
    </w:p>
    <w:p w14:paraId="6C35BE0A" w14:textId="3EA70C5C" w:rsidR="0083509D" w:rsidRPr="00E062B5" w:rsidRDefault="0083509D" w:rsidP="00E1346E">
      <w:r w:rsidRPr="00E062B5">
        <w:rPr>
          <w:b/>
          <w:bCs/>
        </w:rPr>
        <w:t>RFLP</w:t>
      </w:r>
      <w:r w:rsidRPr="00E062B5">
        <w:t xml:space="preserve"> </w:t>
      </w:r>
      <w:r w:rsidR="00A26C3D" w:rsidRPr="00E062B5">
        <w:t xml:space="preserve">– </w:t>
      </w:r>
      <w:r w:rsidRPr="00E062B5">
        <w:t>Restriction fragment length polymorphism</w:t>
      </w:r>
    </w:p>
    <w:p w14:paraId="3E7861B9" w14:textId="75803399" w:rsidR="00E1346E" w:rsidRPr="00E062B5" w:rsidRDefault="00E1346E" w:rsidP="00E1346E">
      <w:r w:rsidRPr="00E062B5">
        <w:rPr>
          <w:b/>
          <w:bCs/>
        </w:rPr>
        <w:t>RNA</w:t>
      </w:r>
      <w:r w:rsidR="00DD02C4" w:rsidRPr="00E062B5">
        <w:t xml:space="preserve"> </w:t>
      </w:r>
      <w:r w:rsidR="00A26C3D" w:rsidRPr="00E062B5">
        <w:t xml:space="preserve">– </w:t>
      </w:r>
      <w:r w:rsidR="003A583C" w:rsidRPr="00E062B5">
        <w:t>R</w:t>
      </w:r>
      <w:r w:rsidR="00DD02C4" w:rsidRPr="00E062B5">
        <w:t>ibonucleic acid</w:t>
      </w:r>
    </w:p>
    <w:p w14:paraId="6AEDB076" w14:textId="4BB3D252" w:rsidR="0083509D" w:rsidRPr="00E062B5" w:rsidRDefault="0083509D" w:rsidP="00E1346E">
      <w:r w:rsidRPr="00E062B5">
        <w:rPr>
          <w:b/>
          <w:bCs/>
        </w:rPr>
        <w:t>RT</w:t>
      </w:r>
      <w:r w:rsidRPr="00E062B5">
        <w:t xml:space="preserve"> </w:t>
      </w:r>
      <w:r w:rsidR="00A26C3D" w:rsidRPr="00E062B5">
        <w:t xml:space="preserve">– </w:t>
      </w:r>
      <w:r w:rsidRPr="00E062B5">
        <w:t xml:space="preserve">Reverse transcriptase </w:t>
      </w:r>
    </w:p>
    <w:p w14:paraId="37A0BD6E" w14:textId="42614B12" w:rsidR="00E1346E" w:rsidRPr="00E062B5" w:rsidRDefault="00E1346E" w:rsidP="00E1346E">
      <w:r w:rsidRPr="00E062B5">
        <w:rPr>
          <w:b/>
          <w:bCs/>
        </w:rPr>
        <w:t>RT-PCR</w:t>
      </w:r>
      <w:r w:rsidR="00BE0113" w:rsidRPr="00E062B5">
        <w:t xml:space="preserve"> </w:t>
      </w:r>
      <w:r w:rsidR="00A26C3D" w:rsidRPr="00E062B5">
        <w:t xml:space="preserve">– </w:t>
      </w:r>
      <w:r w:rsidR="003A583C" w:rsidRPr="00E062B5">
        <w:t>R</w:t>
      </w:r>
      <w:r w:rsidR="00BE0113" w:rsidRPr="00E062B5">
        <w:t>everse transcription polymerase chain reaction</w:t>
      </w:r>
    </w:p>
    <w:p w14:paraId="53BE9BD0" w14:textId="74C635C1" w:rsidR="00C83210" w:rsidRPr="00E062B5" w:rsidRDefault="00C83210" w:rsidP="00E1346E">
      <w:r w:rsidRPr="00E062B5">
        <w:rPr>
          <w:b/>
          <w:bCs/>
        </w:rPr>
        <w:t>SBT</w:t>
      </w:r>
      <w:r w:rsidRPr="00E062B5">
        <w:t xml:space="preserve"> </w:t>
      </w:r>
      <w:r w:rsidR="00A26C3D" w:rsidRPr="00E062B5">
        <w:t xml:space="preserve">– </w:t>
      </w:r>
      <w:r w:rsidRPr="00E062B5">
        <w:t>Sequence based typing</w:t>
      </w:r>
    </w:p>
    <w:p w14:paraId="12615D78" w14:textId="0FD5CCFC" w:rsidR="006A499C" w:rsidRPr="00E062B5" w:rsidRDefault="006A499C" w:rsidP="00E1346E">
      <w:r w:rsidRPr="00E062B5">
        <w:rPr>
          <w:b/>
          <w:bCs/>
        </w:rPr>
        <w:t>Serotype</w:t>
      </w:r>
      <w:r w:rsidRPr="00E062B5">
        <w:t xml:space="preserve"> –</w:t>
      </w:r>
      <w:r w:rsidR="00A26C3D" w:rsidRPr="00E062B5">
        <w:t xml:space="preserve"> Pathogens</w:t>
      </w:r>
      <w:r w:rsidRPr="00E062B5">
        <w:t xml:space="preserve"> of the same species that are antigenically different</w:t>
      </w:r>
    </w:p>
    <w:p w14:paraId="09B365F0" w14:textId="4B9E6928" w:rsidR="00C83210" w:rsidRPr="00E062B5" w:rsidRDefault="00C83210" w:rsidP="00E1346E">
      <w:r w:rsidRPr="00E062B5">
        <w:rPr>
          <w:b/>
          <w:bCs/>
        </w:rPr>
        <w:t>SNT</w:t>
      </w:r>
      <w:r w:rsidRPr="00E062B5">
        <w:t xml:space="preserve"> </w:t>
      </w:r>
      <w:r w:rsidR="00A26C3D" w:rsidRPr="00E062B5">
        <w:t>–</w:t>
      </w:r>
      <w:r w:rsidRPr="00E062B5">
        <w:t xml:space="preserve"> Serum neutralisation</w:t>
      </w:r>
    </w:p>
    <w:p w14:paraId="7D184C64" w14:textId="70A6D74C" w:rsidR="00E1346E" w:rsidRPr="00E062B5" w:rsidRDefault="00E1346E" w:rsidP="00E1346E">
      <w:r w:rsidRPr="00E062B5">
        <w:rPr>
          <w:b/>
          <w:bCs/>
        </w:rPr>
        <w:t>SSBA</w:t>
      </w:r>
      <w:r w:rsidRPr="00E062B5">
        <w:t xml:space="preserve"> </w:t>
      </w:r>
      <w:r w:rsidR="00A26C3D" w:rsidRPr="00E062B5">
        <w:t xml:space="preserve">– </w:t>
      </w:r>
      <w:r w:rsidRPr="00E062B5">
        <w:t xml:space="preserve">Security </w:t>
      </w:r>
      <w:r w:rsidR="0083509D" w:rsidRPr="00E062B5">
        <w:t>s</w:t>
      </w:r>
      <w:r w:rsidRPr="00E062B5">
        <w:t xml:space="preserve">ensitive </w:t>
      </w:r>
      <w:r w:rsidR="0083509D" w:rsidRPr="00E062B5">
        <w:t>b</w:t>
      </w:r>
      <w:r w:rsidRPr="00E062B5">
        <w:t xml:space="preserve">iological </w:t>
      </w:r>
      <w:r w:rsidR="0083509D" w:rsidRPr="00E062B5">
        <w:t>a</w:t>
      </w:r>
      <w:r w:rsidRPr="00E062B5">
        <w:t>gent</w:t>
      </w:r>
    </w:p>
    <w:p w14:paraId="6E06593B" w14:textId="6EC50546" w:rsidR="006A499C" w:rsidRPr="00E062B5" w:rsidRDefault="006A499C" w:rsidP="00E1346E">
      <w:r w:rsidRPr="00E062B5">
        <w:rPr>
          <w:b/>
          <w:bCs/>
        </w:rPr>
        <w:t>Strain</w:t>
      </w:r>
      <w:r w:rsidRPr="00E062B5">
        <w:t xml:space="preserve"> </w:t>
      </w:r>
      <w:r w:rsidR="00A26C3D" w:rsidRPr="00E062B5">
        <w:t xml:space="preserve">– </w:t>
      </w:r>
      <w:r w:rsidR="0083509D" w:rsidRPr="00E062B5">
        <w:t>V</w:t>
      </w:r>
      <w:r w:rsidRPr="00E062B5">
        <w:t>ariant that possesses unique and stable phenotypic characteristics</w:t>
      </w:r>
    </w:p>
    <w:p w14:paraId="703CB025" w14:textId="15C603D0" w:rsidR="00C83210" w:rsidRPr="00E062B5" w:rsidRDefault="00C83210" w:rsidP="00E1346E">
      <w:r w:rsidRPr="00E062B5">
        <w:rPr>
          <w:b/>
          <w:bCs/>
        </w:rPr>
        <w:t>SQAP</w:t>
      </w:r>
      <w:r w:rsidRPr="00E062B5">
        <w:t xml:space="preserve"> </w:t>
      </w:r>
      <w:r w:rsidR="00A26C3D" w:rsidRPr="00E062B5">
        <w:t xml:space="preserve">– </w:t>
      </w:r>
      <w:r w:rsidRPr="00E062B5">
        <w:t>Serology quality assurance program</w:t>
      </w:r>
    </w:p>
    <w:p w14:paraId="52864775" w14:textId="018E5D68" w:rsidR="0083509D" w:rsidRPr="00E062B5" w:rsidRDefault="0083509D" w:rsidP="0083509D">
      <w:r w:rsidRPr="00E062B5">
        <w:rPr>
          <w:b/>
          <w:bCs/>
        </w:rPr>
        <w:t>Test sensitivity</w:t>
      </w:r>
      <w:r w:rsidRPr="00E062B5">
        <w:t xml:space="preserve"> </w:t>
      </w:r>
      <w:r w:rsidR="00A26C3D" w:rsidRPr="00E062B5">
        <w:t xml:space="preserve">– </w:t>
      </w:r>
      <w:r w:rsidRPr="00E062B5">
        <w:t>Ability of a test to correctly identify patients with a disease</w:t>
      </w:r>
    </w:p>
    <w:p w14:paraId="5DCB1234" w14:textId="5BE5B3B2" w:rsidR="0083509D" w:rsidRPr="00E062B5" w:rsidRDefault="0083509D" w:rsidP="00E1346E">
      <w:r w:rsidRPr="00E062B5">
        <w:rPr>
          <w:b/>
          <w:bCs/>
        </w:rPr>
        <w:t>Test specificity</w:t>
      </w:r>
      <w:r w:rsidRPr="00E062B5">
        <w:t xml:space="preserve"> </w:t>
      </w:r>
      <w:r w:rsidR="00A26C3D" w:rsidRPr="00E062B5">
        <w:t xml:space="preserve">– </w:t>
      </w:r>
      <w:r w:rsidRPr="00E062B5">
        <w:t>Ability of a test to correctly identify people without the disease</w:t>
      </w:r>
    </w:p>
    <w:p w14:paraId="7DAB616A" w14:textId="1F8463AD" w:rsidR="0083509D" w:rsidRPr="00E062B5" w:rsidRDefault="00C83210" w:rsidP="00E1346E">
      <w:r w:rsidRPr="00E062B5">
        <w:rPr>
          <w:b/>
          <w:bCs/>
        </w:rPr>
        <w:t>TGA</w:t>
      </w:r>
      <w:r w:rsidRPr="00E062B5">
        <w:t xml:space="preserve"> </w:t>
      </w:r>
      <w:r w:rsidR="00A26C3D" w:rsidRPr="00E062B5">
        <w:t xml:space="preserve">– </w:t>
      </w:r>
      <w:r w:rsidRPr="00E062B5">
        <w:t>Therapeutic Goods Administration</w:t>
      </w:r>
    </w:p>
    <w:p w14:paraId="6EC32FAB" w14:textId="753B25A7" w:rsidR="0083509D" w:rsidRPr="00E062B5" w:rsidRDefault="0083509D" w:rsidP="00E1346E">
      <w:r w:rsidRPr="00E062B5">
        <w:rPr>
          <w:b/>
          <w:bCs/>
        </w:rPr>
        <w:t>UTM</w:t>
      </w:r>
      <w:r w:rsidRPr="00E062B5">
        <w:t xml:space="preserve"> </w:t>
      </w:r>
      <w:r w:rsidR="00A26C3D" w:rsidRPr="00E062B5">
        <w:t xml:space="preserve">– </w:t>
      </w:r>
      <w:r w:rsidRPr="00E062B5">
        <w:t xml:space="preserve">Universal </w:t>
      </w:r>
      <w:r w:rsidR="00A26C3D" w:rsidRPr="00E062B5">
        <w:t>t</w:t>
      </w:r>
      <w:r w:rsidRPr="00E062B5">
        <w:t xml:space="preserve">ransport </w:t>
      </w:r>
      <w:r w:rsidR="00A26C3D" w:rsidRPr="00E062B5">
        <w:t>m</w:t>
      </w:r>
      <w:r w:rsidRPr="00E062B5">
        <w:t>edium</w:t>
      </w:r>
    </w:p>
    <w:p w14:paraId="375C0230" w14:textId="417E546D" w:rsidR="0083509D" w:rsidRPr="00E062B5" w:rsidRDefault="0083509D" w:rsidP="00E1346E">
      <w:r w:rsidRPr="00E062B5">
        <w:rPr>
          <w:b/>
          <w:bCs/>
        </w:rPr>
        <w:t>VTM</w:t>
      </w:r>
      <w:r w:rsidRPr="00E062B5">
        <w:t xml:space="preserve"> </w:t>
      </w:r>
      <w:r w:rsidR="00A26C3D" w:rsidRPr="00E062B5">
        <w:t xml:space="preserve">– </w:t>
      </w:r>
      <w:r w:rsidRPr="00E062B5">
        <w:t>Viral transport media</w:t>
      </w:r>
    </w:p>
    <w:p w14:paraId="3650C5EF" w14:textId="23BDBA31" w:rsidR="00D20A0B" w:rsidRPr="00E062B5" w:rsidRDefault="00D20A0B" w:rsidP="00E1346E">
      <w:r w:rsidRPr="00E062B5">
        <w:rPr>
          <w:b/>
          <w:bCs/>
        </w:rPr>
        <w:lastRenderedPageBreak/>
        <w:t>WGS</w:t>
      </w:r>
      <w:r w:rsidRPr="00E062B5">
        <w:t xml:space="preserve"> </w:t>
      </w:r>
      <w:r w:rsidR="00A26C3D" w:rsidRPr="00E062B5">
        <w:t xml:space="preserve">– </w:t>
      </w:r>
      <w:r w:rsidRPr="00E062B5">
        <w:t>Whole genome sequencing</w:t>
      </w:r>
    </w:p>
    <w:p w14:paraId="7EB29846" w14:textId="14A1D57C" w:rsidR="00E1346E" w:rsidRPr="00E062B5" w:rsidRDefault="00E1346E" w:rsidP="00CF2D40">
      <w:r w:rsidRPr="00E062B5">
        <w:rPr>
          <w:b/>
          <w:bCs/>
        </w:rPr>
        <w:t>WHO</w:t>
      </w:r>
      <w:r w:rsidR="00D20A0B" w:rsidRPr="00E062B5">
        <w:t xml:space="preserve"> </w:t>
      </w:r>
      <w:r w:rsidR="00A26C3D" w:rsidRPr="00E062B5">
        <w:t xml:space="preserve">– </w:t>
      </w:r>
      <w:r w:rsidR="00D20A0B" w:rsidRPr="00E062B5">
        <w:t>World Health Organi</w:t>
      </w:r>
      <w:r w:rsidR="00BF5A7B" w:rsidRPr="00E062B5">
        <w:t>z</w:t>
      </w:r>
      <w:r w:rsidR="00D20A0B" w:rsidRPr="00E062B5">
        <w:t>ation</w:t>
      </w:r>
    </w:p>
    <w:p w14:paraId="73905932" w14:textId="7D5560EB" w:rsidR="0083509D" w:rsidRPr="00E062B5" w:rsidRDefault="0083509D" w:rsidP="00CF2D40">
      <w:r w:rsidRPr="00E062B5">
        <w:rPr>
          <w:b/>
          <w:bCs/>
        </w:rPr>
        <w:t>WHO CC</w:t>
      </w:r>
      <w:r w:rsidRPr="00E062B5">
        <w:t xml:space="preserve"> </w:t>
      </w:r>
      <w:r w:rsidR="00A26C3D" w:rsidRPr="00E062B5">
        <w:t xml:space="preserve">– </w:t>
      </w:r>
      <w:r w:rsidRPr="00E062B5">
        <w:t>WHO Collaborating Centre</w:t>
      </w:r>
    </w:p>
    <w:p w14:paraId="6EAFAB87" w14:textId="32158708" w:rsidR="00A26C3D" w:rsidRPr="00E062B5" w:rsidRDefault="00A26C3D" w:rsidP="00CF2D40">
      <w:r w:rsidRPr="00E062B5">
        <w:rPr>
          <w:b/>
          <w:bCs/>
        </w:rPr>
        <w:t>XDR</w:t>
      </w:r>
      <w:r w:rsidRPr="00E062B5">
        <w:t xml:space="preserve"> – Extensively drug resistant </w:t>
      </w:r>
    </w:p>
    <w:p w14:paraId="7C1BCFB7" w14:textId="11E4CA5A" w:rsidR="00617E04" w:rsidRPr="00E062B5" w:rsidRDefault="00617E04" w:rsidP="006A499C"/>
    <w:sectPr w:rsidR="00617E04" w:rsidRPr="00E062B5" w:rsidSect="00AE5C18">
      <w:headerReference w:type="even" r:id="rId33"/>
      <w:headerReference w:type="default" r:id="rId34"/>
      <w:footerReference w:type="even" r:id="rId35"/>
      <w:footerReference w:type="default" r:id="rId36"/>
      <w:headerReference w:type="first" r:id="rId37"/>
      <w:footerReference w:type="first" r:id="rId38"/>
      <w:pgSz w:w="11907" w:h="16840" w:code="9"/>
      <w:pgMar w:top="1440" w:right="1440" w:bottom="1440" w:left="1440" w:header="680" w:footer="457"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06B0" w14:textId="77777777" w:rsidR="003B4033" w:rsidRDefault="003B4033" w:rsidP="00A53F74">
      <w:r>
        <w:separator/>
      </w:r>
    </w:p>
    <w:p w14:paraId="4F4D59FD" w14:textId="77777777" w:rsidR="003B4033" w:rsidRDefault="003B4033" w:rsidP="00A53F74"/>
  </w:endnote>
  <w:endnote w:type="continuationSeparator" w:id="0">
    <w:p w14:paraId="4D15D73D" w14:textId="77777777" w:rsidR="003B4033" w:rsidRDefault="003B4033" w:rsidP="00A53F74">
      <w:r>
        <w:continuationSeparator/>
      </w:r>
    </w:p>
    <w:p w14:paraId="59EF152D" w14:textId="77777777" w:rsidR="003B4033" w:rsidRDefault="003B4033" w:rsidP="00A53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B03C" w14:textId="0EC1E074" w:rsidR="00536A3C" w:rsidRDefault="00536A3C">
    <w:pPr>
      <w:pStyle w:val="Footer"/>
    </w:pPr>
    <w:r>
      <w:rPr>
        <w:noProof/>
      </w:rPr>
      <mc:AlternateContent>
        <mc:Choice Requires="wps">
          <w:drawing>
            <wp:anchor distT="0" distB="0" distL="0" distR="0" simplePos="0" relativeHeight="251662336" behindDoc="0" locked="0" layoutInCell="1" allowOverlap="1" wp14:anchorId="3ECC8DBE" wp14:editId="47090827">
              <wp:simplePos x="635" y="635"/>
              <wp:positionH relativeFrom="page">
                <wp:align>center</wp:align>
              </wp:positionH>
              <wp:positionV relativeFrom="page">
                <wp:align>bottom</wp:align>
              </wp:positionV>
              <wp:extent cx="609600" cy="628650"/>
              <wp:effectExtent l="0" t="0" r="0" b="0"/>
              <wp:wrapNone/>
              <wp:docPr id="17123059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628650"/>
                      </a:xfrm>
                      <a:prstGeom prst="rect">
                        <a:avLst/>
                      </a:prstGeom>
                      <a:noFill/>
                      <a:ln>
                        <a:noFill/>
                      </a:ln>
                    </wps:spPr>
                    <wps:txbx>
                      <w:txbxContent>
                        <w:p w14:paraId="4B45D8FA" w14:textId="51A1CB81" w:rsidR="00536A3C" w:rsidRPr="00536A3C" w:rsidRDefault="00536A3C" w:rsidP="00536A3C">
                          <w:pPr>
                            <w:spacing w:after="0"/>
                            <w:rPr>
                              <w:rFonts w:ascii="Aptos" w:eastAsia="Aptos" w:hAnsi="Aptos" w:cs="Aptos"/>
                              <w:noProof/>
                              <w:color w:val="FF0000"/>
                              <w:sz w:val="24"/>
                              <w:szCs w:val="24"/>
                            </w:rPr>
                          </w:pPr>
                          <w:r w:rsidRPr="00536A3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CC8DBE" id="_x0000_t202" coordsize="21600,21600" o:spt="202" path="m,l,21600r21600,l21600,xe">
              <v:stroke joinstyle="miter"/>
              <v:path gradientshapeok="t" o:connecttype="rect"/>
            </v:shapetype>
            <v:shape id="Text Box 5" o:spid="_x0000_s1028" type="#_x0000_t202" alt="OFFICIAL" style="position:absolute;margin-left:0;margin-top:0;width:48pt;height: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" filled="f" stroked="f">
              <v:textbox style="mso-fit-shape-to-text:t" inset="0,0,0,15pt">
                <w:txbxContent>
                  <w:p w14:paraId="4B45D8FA" w14:textId="51A1CB81" w:rsidR="00536A3C" w:rsidRPr="00536A3C" w:rsidRDefault="00536A3C" w:rsidP="00536A3C">
                    <w:pPr>
                      <w:spacing w:after="0"/>
                      <w:rPr>
                        <w:rFonts w:ascii="Aptos" w:eastAsia="Aptos" w:hAnsi="Aptos" w:cs="Aptos"/>
                        <w:noProof/>
                        <w:color w:val="FF0000"/>
                        <w:sz w:val="24"/>
                        <w:szCs w:val="24"/>
                      </w:rPr>
                    </w:pPr>
                    <w:r w:rsidRPr="00536A3C">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0C22" w14:textId="3C0DDCCC" w:rsidR="004F61C6" w:rsidRPr="00AE5C18" w:rsidRDefault="00000000" w:rsidP="00A53F74">
    <w:pPr>
      <w:pStyle w:val="Footer"/>
      <w:rPr>
        <w:rFonts w:ascii="Arial" w:hAnsi="Arial" w:cs="Arial"/>
        <w:sz w:val="18"/>
        <w:szCs w:val="18"/>
      </w:rPr>
    </w:pPr>
    <w:sdt>
      <w:sdtPr>
        <w:id w:val="341599424"/>
        <w:docPartObj>
          <w:docPartGallery w:val="Page Numbers (Bottom of Page)"/>
          <w:docPartUnique/>
        </w:docPartObj>
      </w:sdtPr>
      <w:sdtEndPr>
        <w:rPr>
          <w:rFonts w:ascii="Arial" w:hAnsi="Arial" w:cs="Arial"/>
          <w:sz w:val="18"/>
          <w:szCs w:val="16"/>
        </w:rPr>
      </w:sdtEndPr>
      <w:sdtContent>
        <w:sdt>
          <w:sdtPr>
            <w:rPr>
              <w:rFonts w:ascii="Arial" w:hAnsi="Arial" w:cs="Arial"/>
              <w:sz w:val="18"/>
              <w:szCs w:val="16"/>
            </w:rPr>
            <w:id w:val="-1769616900"/>
            <w:docPartObj>
              <w:docPartGallery w:val="Page Numbers (Top of Page)"/>
              <w:docPartUnique/>
            </w:docPartObj>
          </w:sdtPr>
          <w:sdtEndPr>
            <w:rPr>
              <w:szCs w:val="18"/>
            </w:rPr>
          </w:sdtEndPr>
          <w:sdtContent>
            <w:r w:rsidR="00536A3C">
              <w:rPr>
                <w:noProof/>
              </w:rPr>
              <mc:AlternateContent>
                <mc:Choice Requires="wps">
                  <w:drawing>
                    <wp:anchor distT="0" distB="0" distL="0" distR="0" simplePos="0" relativeHeight="251663360" behindDoc="0" locked="0" layoutInCell="1" allowOverlap="1" wp14:anchorId="1AA517B2" wp14:editId="2AE50144">
                      <wp:simplePos x="635" y="635"/>
                      <wp:positionH relativeFrom="page">
                        <wp:align>center</wp:align>
                      </wp:positionH>
                      <wp:positionV relativeFrom="page">
                        <wp:align>bottom</wp:align>
                      </wp:positionV>
                      <wp:extent cx="609600" cy="628650"/>
                      <wp:effectExtent l="0" t="0" r="0" b="0"/>
                      <wp:wrapNone/>
                      <wp:docPr id="159091434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628650"/>
                              </a:xfrm>
                              <a:prstGeom prst="rect">
                                <a:avLst/>
                              </a:prstGeom>
                              <a:noFill/>
                              <a:ln>
                                <a:noFill/>
                              </a:ln>
                            </wps:spPr>
                            <wps:txbx>
                              <w:txbxContent>
                                <w:p w14:paraId="02F5755A" w14:textId="1DA3AB08" w:rsidR="00536A3C" w:rsidRPr="00536A3C" w:rsidRDefault="00536A3C" w:rsidP="00536A3C">
                                  <w:pPr>
                                    <w:spacing w:after="0"/>
                                    <w:rPr>
                                      <w:rFonts w:ascii="Aptos" w:eastAsia="Aptos" w:hAnsi="Aptos" w:cs="Aptos"/>
                                      <w:noProof/>
                                      <w:color w:val="FF0000"/>
                                      <w:sz w:val="24"/>
                                      <w:szCs w:val="24"/>
                                    </w:rPr>
                                  </w:pPr>
                                  <w:r w:rsidRPr="00536A3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A517B2" id="_x0000_t202" coordsize="21600,21600" o:spt="202" path="m,l,21600r21600,l21600,xe">
                      <v:stroke joinstyle="miter"/>
                      <v:path gradientshapeok="t" o:connecttype="rect"/>
                    </v:shapetype>
                    <v:shape id="Text Box 6" o:spid="_x0000_s1029" type="#_x0000_t202" alt="OFFICIAL" style="position:absolute;margin-left:0;margin-top:0;width:48pt;height: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" filled="f" stroked="f">
                      <v:textbox style="mso-fit-shape-to-text:t" inset="0,0,0,15pt">
                        <w:txbxContent>
                          <w:p w14:paraId="02F5755A" w14:textId="1DA3AB08" w:rsidR="00536A3C" w:rsidRPr="00536A3C" w:rsidRDefault="00536A3C" w:rsidP="00536A3C">
                            <w:pPr>
                              <w:spacing w:after="0"/>
                              <w:rPr>
                                <w:rFonts w:ascii="Aptos" w:eastAsia="Aptos" w:hAnsi="Aptos" w:cs="Aptos"/>
                                <w:noProof/>
                                <w:color w:val="FF0000"/>
                                <w:sz w:val="24"/>
                                <w:szCs w:val="24"/>
                              </w:rPr>
                            </w:pPr>
                            <w:r w:rsidRPr="00536A3C">
                              <w:rPr>
                                <w:rFonts w:ascii="Aptos" w:eastAsia="Aptos" w:hAnsi="Aptos" w:cs="Aptos"/>
                                <w:noProof/>
                                <w:color w:val="FF0000"/>
                                <w:sz w:val="24"/>
                                <w:szCs w:val="24"/>
                              </w:rPr>
                              <w:t>OFFICIAL</w:t>
                            </w:r>
                          </w:p>
                        </w:txbxContent>
                      </v:textbox>
                      <w10:wrap anchorx="page" anchory="page"/>
                    </v:shape>
                  </w:pict>
                </mc:Fallback>
              </mc:AlternateContent>
            </w:r>
          </w:sdtContent>
        </w:sdt>
      </w:sdtContent>
    </w:sdt>
    <w:r w:rsidR="70364542" w:rsidRPr="70364542">
      <w:rPr>
        <w:rFonts w:ascii="Arial" w:hAnsi="Arial" w:cs="Arial"/>
        <w:sz w:val="18"/>
        <w:szCs w:val="18"/>
      </w:rPr>
      <w:t xml:space="preserve">Page </w:t>
    </w:r>
    <w:r w:rsidR="004F61C6" w:rsidRPr="70364542">
      <w:rPr>
        <w:rFonts w:ascii="Arial" w:hAnsi="Arial" w:cs="Arial"/>
        <w:sz w:val="18"/>
        <w:szCs w:val="18"/>
      </w:rPr>
      <w:fldChar w:fldCharType="begin"/>
    </w:r>
    <w:r w:rsidR="004F61C6" w:rsidRPr="70364542">
      <w:rPr>
        <w:rFonts w:ascii="Arial" w:hAnsi="Arial" w:cs="Arial"/>
        <w:sz w:val="18"/>
        <w:szCs w:val="18"/>
      </w:rPr>
      <w:instrText xml:space="preserve"> PAGE </w:instrText>
    </w:r>
    <w:r w:rsidR="004F61C6" w:rsidRPr="70364542">
      <w:rPr>
        <w:rFonts w:ascii="Arial" w:hAnsi="Arial" w:cs="Arial"/>
        <w:sz w:val="18"/>
        <w:szCs w:val="18"/>
      </w:rPr>
      <w:fldChar w:fldCharType="separate"/>
    </w:r>
    <w:r w:rsidR="70364542" w:rsidRPr="70364542">
      <w:rPr>
        <w:rFonts w:ascii="Arial" w:hAnsi="Arial" w:cs="Arial"/>
        <w:noProof/>
        <w:sz w:val="18"/>
        <w:szCs w:val="18"/>
      </w:rPr>
      <w:t>2</w:t>
    </w:r>
    <w:r w:rsidR="004F61C6" w:rsidRPr="70364542">
      <w:rPr>
        <w:rFonts w:ascii="Arial" w:hAnsi="Arial" w:cs="Arial"/>
        <w:sz w:val="18"/>
        <w:szCs w:val="18"/>
      </w:rPr>
      <w:fldChar w:fldCharType="end"/>
    </w:r>
    <w:r w:rsidR="70364542" w:rsidRPr="70364542">
      <w:rPr>
        <w:rFonts w:ascii="Arial" w:hAnsi="Arial" w:cs="Arial"/>
        <w:sz w:val="18"/>
        <w:szCs w:val="18"/>
      </w:rPr>
      <w:t xml:space="preserve"> of </w:t>
    </w:r>
    <w:r w:rsidR="004F61C6" w:rsidRPr="70364542">
      <w:rPr>
        <w:rFonts w:ascii="Arial" w:hAnsi="Arial" w:cs="Arial"/>
        <w:sz w:val="18"/>
        <w:szCs w:val="18"/>
      </w:rPr>
      <w:fldChar w:fldCharType="begin"/>
    </w:r>
    <w:r w:rsidR="004F61C6" w:rsidRPr="70364542">
      <w:rPr>
        <w:rFonts w:ascii="Arial" w:hAnsi="Arial" w:cs="Arial"/>
        <w:sz w:val="18"/>
        <w:szCs w:val="18"/>
      </w:rPr>
      <w:instrText xml:space="preserve"> NUMPAGES  </w:instrText>
    </w:r>
    <w:r w:rsidR="004F61C6" w:rsidRPr="70364542">
      <w:rPr>
        <w:rFonts w:ascii="Arial" w:hAnsi="Arial" w:cs="Arial"/>
        <w:sz w:val="18"/>
        <w:szCs w:val="18"/>
      </w:rPr>
      <w:fldChar w:fldCharType="separate"/>
    </w:r>
    <w:r w:rsidR="70364542" w:rsidRPr="70364542">
      <w:rPr>
        <w:rFonts w:ascii="Arial" w:hAnsi="Arial" w:cs="Arial"/>
        <w:noProof/>
        <w:sz w:val="18"/>
        <w:szCs w:val="18"/>
      </w:rPr>
      <w:t>2</w:t>
    </w:r>
    <w:r w:rsidR="004F61C6" w:rsidRPr="70364542">
      <w:rPr>
        <w:rFonts w:ascii="Arial" w:hAnsi="Arial" w:cs="Arial"/>
        <w:sz w:val="18"/>
        <w:szCs w:val="18"/>
      </w:rPr>
      <w:fldChar w:fldCharType="end"/>
    </w:r>
  </w:p>
  <w:p w14:paraId="59C91BA3" w14:textId="41A60699" w:rsidR="00110BE3" w:rsidRPr="00AE5C18" w:rsidRDefault="00614977" w:rsidP="00AE5C18">
    <w:pPr>
      <w:pStyle w:val="Footer"/>
      <w:rPr>
        <w:rFonts w:ascii="Arial" w:hAnsi="Arial" w:cs="Arial"/>
        <w:sz w:val="18"/>
        <w:szCs w:val="16"/>
      </w:rPr>
    </w:pPr>
    <w:r>
      <w:rPr>
        <w:rFonts w:ascii="Arial" w:hAnsi="Arial" w:cs="Arial"/>
        <w:sz w:val="18"/>
        <w:szCs w:val="16"/>
      </w:rPr>
      <w:t>Whooping Cough</w:t>
    </w:r>
    <w:r w:rsidR="00AE5C18" w:rsidRPr="00AE5C18">
      <w:rPr>
        <w:rFonts w:ascii="Arial" w:hAnsi="Arial" w:cs="Arial"/>
        <w:sz w:val="18"/>
        <w:szCs w:val="16"/>
      </w:rPr>
      <w:t xml:space="preserve"> – </w:t>
    </w:r>
    <w:r w:rsidR="006D70F9" w:rsidRPr="00AE5C18">
      <w:rPr>
        <w:rFonts w:ascii="Arial" w:hAnsi="Arial" w:cs="Arial"/>
        <w:sz w:val="18"/>
        <w:szCs w:val="16"/>
      </w:rPr>
      <w:t>Laboratory case definition – Version</w:t>
    </w:r>
    <w:r w:rsidR="00AE5C18" w:rsidRPr="00AE5C18">
      <w:rPr>
        <w:rFonts w:ascii="Arial" w:hAnsi="Arial" w:cs="Arial"/>
        <w:sz w:val="18"/>
        <w:szCs w:val="16"/>
      </w:rPr>
      <w:t xml:space="preserve"> </w:t>
    </w:r>
    <w:r>
      <w:rPr>
        <w:rFonts w:ascii="Arial" w:hAnsi="Arial" w:cs="Arial"/>
        <w:sz w:val="18"/>
        <w:szCs w:val="16"/>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ADD9" w14:textId="2CF448C8" w:rsidR="00536A3C" w:rsidRDefault="00536A3C">
    <w:pPr>
      <w:pStyle w:val="Footer"/>
    </w:pPr>
    <w:r>
      <w:rPr>
        <w:noProof/>
      </w:rPr>
      <mc:AlternateContent>
        <mc:Choice Requires="wps">
          <w:drawing>
            <wp:anchor distT="0" distB="0" distL="0" distR="0" simplePos="0" relativeHeight="251661312" behindDoc="0" locked="0" layoutInCell="1" allowOverlap="1" wp14:anchorId="3298FB9F" wp14:editId="4C410C53">
              <wp:simplePos x="635" y="635"/>
              <wp:positionH relativeFrom="page">
                <wp:align>center</wp:align>
              </wp:positionH>
              <wp:positionV relativeFrom="page">
                <wp:align>bottom</wp:align>
              </wp:positionV>
              <wp:extent cx="609600" cy="628650"/>
              <wp:effectExtent l="0" t="0" r="0" b="0"/>
              <wp:wrapNone/>
              <wp:docPr id="9768253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628650"/>
                      </a:xfrm>
                      <a:prstGeom prst="rect">
                        <a:avLst/>
                      </a:prstGeom>
                      <a:noFill/>
                      <a:ln>
                        <a:noFill/>
                      </a:ln>
                    </wps:spPr>
                    <wps:txbx>
                      <w:txbxContent>
                        <w:p w14:paraId="73030B1F" w14:textId="56CE87EA" w:rsidR="00536A3C" w:rsidRPr="00536A3C" w:rsidRDefault="00536A3C" w:rsidP="00536A3C">
                          <w:pPr>
                            <w:spacing w:after="0"/>
                            <w:rPr>
                              <w:rFonts w:ascii="Aptos" w:eastAsia="Aptos" w:hAnsi="Aptos" w:cs="Aptos"/>
                              <w:noProof/>
                              <w:color w:val="FF0000"/>
                              <w:sz w:val="24"/>
                              <w:szCs w:val="24"/>
                            </w:rPr>
                          </w:pPr>
                          <w:r w:rsidRPr="00536A3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98FB9F" id="_x0000_t202" coordsize="21600,21600" o:spt="202" path="m,l,21600r21600,l21600,xe">
              <v:stroke joinstyle="miter"/>
              <v:path gradientshapeok="t" o:connecttype="rect"/>
            </v:shapetype>
            <v:shape id="Text Box 4" o:spid="_x0000_s1031" type="#_x0000_t202" alt="OFFICIAL" style="position:absolute;margin-left:0;margin-top:0;width:48pt;height: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" filled="f" stroked="f">
              <v:textbox style="mso-fit-shape-to-text:t" inset="0,0,0,15pt">
                <w:txbxContent>
                  <w:p w14:paraId="73030B1F" w14:textId="56CE87EA" w:rsidR="00536A3C" w:rsidRPr="00536A3C" w:rsidRDefault="00536A3C" w:rsidP="00536A3C">
                    <w:pPr>
                      <w:spacing w:after="0"/>
                      <w:rPr>
                        <w:rFonts w:ascii="Aptos" w:eastAsia="Aptos" w:hAnsi="Aptos" w:cs="Aptos"/>
                        <w:noProof/>
                        <w:color w:val="FF0000"/>
                        <w:sz w:val="24"/>
                        <w:szCs w:val="24"/>
                      </w:rPr>
                    </w:pPr>
                    <w:r w:rsidRPr="00536A3C">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DB2A" w14:textId="77777777" w:rsidR="003B4033" w:rsidRDefault="003B4033" w:rsidP="00A53F74">
      <w:r>
        <w:separator/>
      </w:r>
    </w:p>
    <w:p w14:paraId="1714AA0F" w14:textId="77777777" w:rsidR="003B4033" w:rsidRDefault="003B4033" w:rsidP="00A53F74"/>
  </w:footnote>
  <w:footnote w:type="continuationSeparator" w:id="0">
    <w:p w14:paraId="60D7FC27" w14:textId="77777777" w:rsidR="003B4033" w:rsidRDefault="003B4033" w:rsidP="00A53F74">
      <w:r>
        <w:continuationSeparator/>
      </w:r>
    </w:p>
    <w:p w14:paraId="58F14CEB" w14:textId="77777777" w:rsidR="003B4033" w:rsidRDefault="003B4033" w:rsidP="00A53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BDE6" w14:textId="2E4D3FBB" w:rsidR="00536A3C" w:rsidRDefault="00536A3C">
    <w:pPr>
      <w:pStyle w:val="Header"/>
    </w:pPr>
    <w:r>
      <w:rPr>
        <w:noProof/>
      </w:rPr>
      <mc:AlternateContent>
        <mc:Choice Requires="wps">
          <w:drawing>
            <wp:anchor distT="0" distB="0" distL="0" distR="0" simplePos="0" relativeHeight="251659264" behindDoc="0" locked="0" layoutInCell="1" allowOverlap="1" wp14:anchorId="6492C70B" wp14:editId="642967C2">
              <wp:simplePos x="635" y="635"/>
              <wp:positionH relativeFrom="page">
                <wp:align>center</wp:align>
              </wp:positionH>
              <wp:positionV relativeFrom="page">
                <wp:align>top</wp:align>
              </wp:positionV>
              <wp:extent cx="609600" cy="628650"/>
              <wp:effectExtent l="0" t="0" r="0" b="0"/>
              <wp:wrapNone/>
              <wp:docPr id="18788471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628650"/>
                      </a:xfrm>
                      <a:prstGeom prst="rect">
                        <a:avLst/>
                      </a:prstGeom>
                      <a:noFill/>
                      <a:ln>
                        <a:noFill/>
                      </a:ln>
                    </wps:spPr>
                    <wps:txbx>
                      <w:txbxContent>
                        <w:p w14:paraId="0265952E" w14:textId="0E18B020" w:rsidR="00536A3C" w:rsidRPr="00536A3C" w:rsidRDefault="00536A3C" w:rsidP="00536A3C">
                          <w:pPr>
                            <w:spacing w:after="0"/>
                            <w:rPr>
                              <w:rFonts w:ascii="Aptos" w:eastAsia="Aptos" w:hAnsi="Aptos" w:cs="Aptos"/>
                              <w:noProof/>
                              <w:color w:val="FF0000"/>
                              <w:sz w:val="24"/>
                              <w:szCs w:val="24"/>
                            </w:rPr>
                          </w:pPr>
                          <w:r w:rsidRPr="00536A3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92C70B" id="_x0000_t202" coordsize="21600,21600" o:spt="202" path="m,l,21600r21600,l21600,xe">
              <v:stroke joinstyle="miter"/>
              <v:path gradientshapeok="t" o:connecttype="rect"/>
            </v:shapetype>
            <v:shape id="Text Box 2" o:spid="_x0000_s1026" type="#_x0000_t202" alt="OFFICIAL" style="position:absolute;margin-left:0;margin-top:0;width:48pt;height: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" filled="f" stroked="f">
              <v:textbox style="mso-fit-shape-to-text:t" inset="0,15pt,0,0">
                <w:txbxContent>
                  <w:p w14:paraId="0265952E" w14:textId="0E18B020" w:rsidR="00536A3C" w:rsidRPr="00536A3C" w:rsidRDefault="00536A3C" w:rsidP="00536A3C">
                    <w:pPr>
                      <w:spacing w:after="0"/>
                      <w:rPr>
                        <w:rFonts w:ascii="Aptos" w:eastAsia="Aptos" w:hAnsi="Aptos" w:cs="Aptos"/>
                        <w:noProof/>
                        <w:color w:val="FF0000"/>
                        <w:sz w:val="24"/>
                        <w:szCs w:val="24"/>
                      </w:rPr>
                    </w:pPr>
                    <w:r w:rsidRPr="00536A3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9AC6" w14:textId="4446E94D" w:rsidR="00110BE3" w:rsidRDefault="00536A3C" w:rsidP="00AE5C18">
    <w:pPr>
      <w:pStyle w:val="Header"/>
    </w:pPr>
    <w:r>
      <w:rPr>
        <w:noProof/>
      </w:rPr>
      <mc:AlternateContent>
        <mc:Choice Requires="wps">
          <w:drawing>
            <wp:anchor distT="0" distB="0" distL="0" distR="0" simplePos="0" relativeHeight="251660288" behindDoc="0" locked="0" layoutInCell="1" allowOverlap="1" wp14:anchorId="6F70FFAB" wp14:editId="581DFAFB">
              <wp:simplePos x="635" y="635"/>
              <wp:positionH relativeFrom="page">
                <wp:align>center</wp:align>
              </wp:positionH>
              <wp:positionV relativeFrom="page">
                <wp:align>top</wp:align>
              </wp:positionV>
              <wp:extent cx="609600" cy="628650"/>
              <wp:effectExtent l="0" t="0" r="0" b="0"/>
              <wp:wrapNone/>
              <wp:docPr id="16437968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628650"/>
                      </a:xfrm>
                      <a:prstGeom prst="rect">
                        <a:avLst/>
                      </a:prstGeom>
                      <a:noFill/>
                      <a:ln>
                        <a:noFill/>
                      </a:ln>
                    </wps:spPr>
                    <wps:txbx>
                      <w:txbxContent>
                        <w:p w14:paraId="4356AEED" w14:textId="6F818D7E" w:rsidR="00536A3C" w:rsidRPr="00536A3C" w:rsidRDefault="00536A3C" w:rsidP="00536A3C">
                          <w:pPr>
                            <w:spacing w:after="0"/>
                            <w:rPr>
                              <w:rFonts w:ascii="Aptos" w:eastAsia="Aptos" w:hAnsi="Aptos" w:cs="Aptos"/>
                              <w:noProof/>
                              <w:color w:val="FF0000"/>
                              <w:sz w:val="24"/>
                              <w:szCs w:val="24"/>
                            </w:rPr>
                          </w:pPr>
                          <w:r w:rsidRPr="00536A3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70FFAB" id="_x0000_t202" coordsize="21600,21600" o:spt="202" path="m,l,21600r21600,l21600,xe">
              <v:stroke joinstyle="miter"/>
              <v:path gradientshapeok="t" o:connecttype="rect"/>
            </v:shapetype>
            <v:shape id="Text Box 3" o:spid="_x0000_s1027" type="#_x0000_t202" alt="OFFICIAL" style="position:absolute;margin-left:0;margin-top:0;width:48pt;height: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" filled="f" stroked="f">
              <v:textbox style="mso-fit-shape-to-text:t" inset="0,15pt,0,0">
                <w:txbxContent>
                  <w:p w14:paraId="4356AEED" w14:textId="6F818D7E" w:rsidR="00536A3C" w:rsidRPr="00536A3C" w:rsidRDefault="00536A3C" w:rsidP="00536A3C">
                    <w:pPr>
                      <w:spacing w:after="0"/>
                      <w:rPr>
                        <w:rFonts w:ascii="Aptos" w:eastAsia="Aptos" w:hAnsi="Aptos" w:cs="Aptos"/>
                        <w:noProof/>
                        <w:color w:val="FF0000"/>
                        <w:sz w:val="24"/>
                        <w:szCs w:val="24"/>
                      </w:rPr>
                    </w:pPr>
                    <w:r w:rsidRPr="00536A3C">
                      <w:rPr>
                        <w:rFonts w:ascii="Aptos" w:eastAsia="Aptos" w:hAnsi="Aptos" w:cs="Aptos"/>
                        <w:noProof/>
                        <w:color w:val="FF0000"/>
                        <w:sz w:val="24"/>
                        <w:szCs w:val="24"/>
                      </w:rPr>
                      <w:t>OFFICIAL</w:t>
                    </w:r>
                  </w:p>
                </w:txbxContent>
              </v:textbox>
              <w10:wrap anchorx="page" anchory="page"/>
            </v:shape>
          </w:pict>
        </mc:Fallback>
      </mc:AlternateContent>
    </w:r>
    <w:r w:rsidR="0086689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F466" w14:textId="61995B47" w:rsidR="00AE5C18" w:rsidRDefault="00536A3C">
    <w:pPr>
      <w:pStyle w:val="Header"/>
    </w:pPr>
    <w:r>
      <w:rPr>
        <w:noProof/>
        <w:lang w:val="en-AU" w:eastAsia="en-AU"/>
      </w:rPr>
      <mc:AlternateContent>
        <mc:Choice Requires="wps">
          <w:drawing>
            <wp:anchor distT="0" distB="0" distL="0" distR="0" simplePos="0" relativeHeight="251658240" behindDoc="0" locked="0" layoutInCell="1" allowOverlap="1" wp14:anchorId="534F9D6A" wp14:editId="7ADEAA06">
              <wp:simplePos x="635" y="635"/>
              <wp:positionH relativeFrom="page">
                <wp:align>center</wp:align>
              </wp:positionH>
              <wp:positionV relativeFrom="page">
                <wp:align>top</wp:align>
              </wp:positionV>
              <wp:extent cx="609600" cy="628650"/>
              <wp:effectExtent l="0" t="0" r="0" b="0"/>
              <wp:wrapNone/>
              <wp:docPr id="6363870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628650"/>
                      </a:xfrm>
                      <a:prstGeom prst="rect">
                        <a:avLst/>
                      </a:prstGeom>
                      <a:noFill/>
                      <a:ln>
                        <a:noFill/>
                      </a:ln>
                    </wps:spPr>
                    <wps:txbx>
                      <w:txbxContent>
                        <w:p w14:paraId="00E5B830" w14:textId="07D7BF9D" w:rsidR="00536A3C" w:rsidRPr="00536A3C" w:rsidRDefault="00536A3C" w:rsidP="00536A3C">
                          <w:pPr>
                            <w:spacing w:after="0"/>
                            <w:rPr>
                              <w:rFonts w:ascii="Aptos" w:eastAsia="Aptos" w:hAnsi="Aptos" w:cs="Aptos"/>
                              <w:noProof/>
                              <w:color w:val="FF0000"/>
                              <w:sz w:val="24"/>
                              <w:szCs w:val="24"/>
                            </w:rPr>
                          </w:pPr>
                          <w:r w:rsidRPr="00536A3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4F9D6A" id="_x0000_t202" coordsize="21600,21600" o:spt="202" path="m,l,21600r21600,l21600,xe">
              <v:stroke joinstyle="miter"/>
              <v:path gradientshapeok="t" o:connecttype="rect"/>
            </v:shapetype>
            <v:shape id="Text Box 1" o:spid="_x0000_s1030" type="#_x0000_t202" alt="OFFICIAL" style="position:absolute;margin-left:0;margin-top:0;width:48pt;height: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" filled="f" stroked="f">
              <v:textbox style="mso-fit-shape-to-text:t" inset="0,15pt,0,0">
                <w:txbxContent>
                  <w:p w14:paraId="00E5B830" w14:textId="07D7BF9D" w:rsidR="00536A3C" w:rsidRPr="00536A3C" w:rsidRDefault="00536A3C" w:rsidP="00536A3C">
                    <w:pPr>
                      <w:spacing w:after="0"/>
                      <w:rPr>
                        <w:rFonts w:ascii="Aptos" w:eastAsia="Aptos" w:hAnsi="Aptos" w:cs="Aptos"/>
                        <w:noProof/>
                        <w:color w:val="FF0000"/>
                        <w:sz w:val="24"/>
                        <w:szCs w:val="24"/>
                      </w:rPr>
                    </w:pPr>
                    <w:r w:rsidRPr="00536A3C">
                      <w:rPr>
                        <w:rFonts w:ascii="Aptos" w:eastAsia="Aptos" w:hAnsi="Aptos" w:cs="Aptos"/>
                        <w:noProof/>
                        <w:color w:val="FF0000"/>
                        <w:sz w:val="24"/>
                        <w:szCs w:val="24"/>
                      </w:rPr>
                      <w:t>OFFICIAL</w:t>
                    </w:r>
                  </w:p>
                </w:txbxContent>
              </v:textbox>
              <w10:wrap anchorx="page" anchory="page"/>
            </v:shape>
          </w:pict>
        </mc:Fallback>
      </mc:AlternateContent>
    </w:r>
    <w:r w:rsidR="00AE5C18">
      <w:rPr>
        <w:noProof/>
        <w:lang w:val="en-AU" w:eastAsia="en-AU"/>
      </w:rPr>
      <w:drawing>
        <wp:inline distT="0" distB="0" distL="0" distR="0" wp14:anchorId="55988EBD" wp14:editId="01E6E023">
          <wp:extent cx="3240000" cy="1320764"/>
          <wp:effectExtent l="0" t="0" r="0" b="0"/>
          <wp:docPr id="5" name="Picture 5" descr="PHL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LN logo"/>
                  <pic:cNvPicPr/>
                </pic:nvPicPr>
                <pic:blipFill>
                  <a:blip r:embed="rId1">
                    <a:extLst>
                      <a:ext uri="{28A0092B-C50C-407E-A947-70E740481C1C}">
                        <a14:useLocalDpi xmlns:a14="http://schemas.microsoft.com/office/drawing/2010/main" val="0"/>
                      </a:ext>
                    </a:extLst>
                  </a:blip>
                  <a:stretch>
                    <a:fillRect/>
                  </a:stretch>
                </pic:blipFill>
                <pic:spPr>
                  <a:xfrm>
                    <a:off x="0" y="0"/>
                    <a:ext cx="3240000" cy="132076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5nOrQ3lGyyJxZ" int2:id="wlJzL04y">
      <int2:state int2:value="Rejected" int2:type="spell"/>
    </int2:textHash>
    <int2:textHash int2:hashCode="FpqO25HVvOXJ13" int2:id="4d71zI3X">
      <int2:state int2:value="Rejected" int2:type="spell"/>
    </int2:textHash>
    <int2:textHash int2:hashCode="d0O4dt9HuDpG5x" int2:id="gfmLt0l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09B"/>
    <w:multiLevelType w:val="multilevel"/>
    <w:tmpl w:val="C87CF85E"/>
    <w:lvl w:ilvl="0">
      <w:start w:val="1"/>
      <w:numFmt w:val="decimal"/>
      <w:pStyle w:val="Heading1"/>
      <w:lvlText w:val="%1"/>
      <w:lvlJc w:val="left"/>
      <w:pPr>
        <w:ind w:left="397" w:hanging="397"/>
      </w:pPr>
      <w:rPr>
        <w:rFonts w:hint="default"/>
        <w:b w:val="0"/>
        <w:bCs w:val="0"/>
        <w:i w:val="0"/>
        <w:iCs w:val="0"/>
        <w:caps w:val="0"/>
        <w:smallCaps w:val="0"/>
        <w:strike w:val="0"/>
        <w:dstrike w:val="0"/>
        <w:outline w:val="0"/>
        <w:shadow w:val="0"/>
        <w:emboss w:val="0"/>
        <w:imprint w:val="0"/>
        <w:noProof w:val="0"/>
        <w:vanish w:val="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680"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624" w:firstLine="8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1" w15:restartNumberingAfterBreak="0">
    <w:nsid w:val="02E06B10"/>
    <w:multiLevelType w:val="multilevel"/>
    <w:tmpl w:val="42F63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E166D"/>
    <w:multiLevelType w:val="hybridMultilevel"/>
    <w:tmpl w:val="6B9262DE"/>
    <w:lvl w:ilvl="0" w:tplc="15326F3A">
      <w:start w:val="1"/>
      <w:numFmt w:val="bullet"/>
      <w:pStyle w:val="ListParagraph"/>
      <w:lvlText w:val=""/>
      <w:lvlJc w:val="left"/>
      <w:pPr>
        <w:ind w:left="2202"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943B60"/>
    <w:multiLevelType w:val="hybridMultilevel"/>
    <w:tmpl w:val="02AA6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E8E60F2"/>
    <w:multiLevelType w:val="hybridMultilevel"/>
    <w:tmpl w:val="E2A68462"/>
    <w:lvl w:ilvl="0" w:tplc="3E466006">
      <w:start w:val="1"/>
      <w:numFmt w:val="bullet"/>
      <w:pStyle w:val="NoSpacing"/>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5FF91CB1"/>
    <w:multiLevelType w:val="multilevel"/>
    <w:tmpl w:val="CEB2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F52EA4"/>
    <w:multiLevelType w:val="multilevel"/>
    <w:tmpl w:val="28BA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B86928"/>
    <w:multiLevelType w:val="multilevel"/>
    <w:tmpl w:val="FAF0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2704734">
    <w:abstractNumId w:val="0"/>
  </w:num>
  <w:num w:numId="2" w16cid:durableId="22676794">
    <w:abstractNumId w:val="2"/>
  </w:num>
  <w:num w:numId="3" w16cid:durableId="1914510619">
    <w:abstractNumId w:val="4"/>
  </w:num>
  <w:num w:numId="4" w16cid:durableId="665136664">
    <w:abstractNumId w:val="5"/>
  </w:num>
  <w:num w:numId="5" w16cid:durableId="992367323">
    <w:abstractNumId w:val="6"/>
  </w:num>
  <w:num w:numId="6" w16cid:durableId="1338072143">
    <w:abstractNumId w:val="3"/>
  </w:num>
  <w:num w:numId="7" w16cid:durableId="2060811709">
    <w:abstractNumId w:val="7"/>
  </w:num>
  <w:num w:numId="8" w16cid:durableId="1961602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FCD"/>
    <w:rsid w:val="000109C1"/>
    <w:rsid w:val="0001619D"/>
    <w:rsid w:val="00027378"/>
    <w:rsid w:val="00040314"/>
    <w:rsid w:val="00060A02"/>
    <w:rsid w:val="000746D2"/>
    <w:rsid w:val="00080F8B"/>
    <w:rsid w:val="000B3693"/>
    <w:rsid w:val="000B7611"/>
    <w:rsid w:val="000B7DE0"/>
    <w:rsid w:val="000C2896"/>
    <w:rsid w:val="000D3F76"/>
    <w:rsid w:val="000D43D8"/>
    <w:rsid w:val="00106F97"/>
    <w:rsid w:val="00110BE3"/>
    <w:rsid w:val="00114C2B"/>
    <w:rsid w:val="00134CD9"/>
    <w:rsid w:val="001403BB"/>
    <w:rsid w:val="00154072"/>
    <w:rsid w:val="00166373"/>
    <w:rsid w:val="00181120"/>
    <w:rsid w:val="001A114E"/>
    <w:rsid w:val="001A3848"/>
    <w:rsid w:val="001D77E8"/>
    <w:rsid w:val="001F05BE"/>
    <w:rsid w:val="001F233D"/>
    <w:rsid w:val="00203DAE"/>
    <w:rsid w:val="00210996"/>
    <w:rsid w:val="00211DFF"/>
    <w:rsid w:val="00211F1E"/>
    <w:rsid w:val="002148B8"/>
    <w:rsid w:val="00245218"/>
    <w:rsid w:val="00261C7E"/>
    <w:rsid w:val="0028067B"/>
    <w:rsid w:val="00293A74"/>
    <w:rsid w:val="00297492"/>
    <w:rsid w:val="002A06E3"/>
    <w:rsid w:val="002B24E5"/>
    <w:rsid w:val="002C4DBC"/>
    <w:rsid w:val="002D6F61"/>
    <w:rsid w:val="002F29D8"/>
    <w:rsid w:val="002F345C"/>
    <w:rsid w:val="0030236C"/>
    <w:rsid w:val="00311817"/>
    <w:rsid w:val="00331D00"/>
    <w:rsid w:val="00376F33"/>
    <w:rsid w:val="003804CF"/>
    <w:rsid w:val="00380691"/>
    <w:rsid w:val="003A13E3"/>
    <w:rsid w:val="003A583C"/>
    <w:rsid w:val="003B4033"/>
    <w:rsid w:val="003C0E2C"/>
    <w:rsid w:val="003E69E3"/>
    <w:rsid w:val="003F2615"/>
    <w:rsid w:val="004013EF"/>
    <w:rsid w:val="004140E2"/>
    <w:rsid w:val="00415085"/>
    <w:rsid w:val="0044772B"/>
    <w:rsid w:val="004538E6"/>
    <w:rsid w:val="00460A7C"/>
    <w:rsid w:val="004929B2"/>
    <w:rsid w:val="00494DA2"/>
    <w:rsid w:val="00495BE0"/>
    <w:rsid w:val="0049615E"/>
    <w:rsid w:val="00497604"/>
    <w:rsid w:val="004A7CB1"/>
    <w:rsid w:val="004B0412"/>
    <w:rsid w:val="004C7861"/>
    <w:rsid w:val="004D590B"/>
    <w:rsid w:val="004D7FB6"/>
    <w:rsid w:val="004E48B5"/>
    <w:rsid w:val="004F0B66"/>
    <w:rsid w:val="004F61C6"/>
    <w:rsid w:val="00525B69"/>
    <w:rsid w:val="005274FF"/>
    <w:rsid w:val="00530C71"/>
    <w:rsid w:val="00533E4C"/>
    <w:rsid w:val="00536A3C"/>
    <w:rsid w:val="00537C84"/>
    <w:rsid w:val="00547282"/>
    <w:rsid w:val="0058462A"/>
    <w:rsid w:val="00584A1E"/>
    <w:rsid w:val="005C6171"/>
    <w:rsid w:val="005D4176"/>
    <w:rsid w:val="005E7A40"/>
    <w:rsid w:val="00610570"/>
    <w:rsid w:val="00614977"/>
    <w:rsid w:val="00617E04"/>
    <w:rsid w:val="0062702B"/>
    <w:rsid w:val="0063241A"/>
    <w:rsid w:val="006431D9"/>
    <w:rsid w:val="00643C3E"/>
    <w:rsid w:val="00657148"/>
    <w:rsid w:val="00664005"/>
    <w:rsid w:val="0066736F"/>
    <w:rsid w:val="0067285B"/>
    <w:rsid w:val="00675A37"/>
    <w:rsid w:val="0069313F"/>
    <w:rsid w:val="006A499C"/>
    <w:rsid w:val="006B5DC9"/>
    <w:rsid w:val="006B7635"/>
    <w:rsid w:val="006B7BDB"/>
    <w:rsid w:val="006C2FB6"/>
    <w:rsid w:val="006C7574"/>
    <w:rsid w:val="006D4903"/>
    <w:rsid w:val="006D70F9"/>
    <w:rsid w:val="006F24C1"/>
    <w:rsid w:val="006F4457"/>
    <w:rsid w:val="006F7E00"/>
    <w:rsid w:val="007269C9"/>
    <w:rsid w:val="00730CC2"/>
    <w:rsid w:val="00735BD2"/>
    <w:rsid w:val="007507C3"/>
    <w:rsid w:val="00751598"/>
    <w:rsid w:val="007549B0"/>
    <w:rsid w:val="00762AA6"/>
    <w:rsid w:val="00765C51"/>
    <w:rsid w:val="00766E2C"/>
    <w:rsid w:val="00775235"/>
    <w:rsid w:val="00775BD2"/>
    <w:rsid w:val="007C0904"/>
    <w:rsid w:val="007D0923"/>
    <w:rsid w:val="007E2E56"/>
    <w:rsid w:val="0083509D"/>
    <w:rsid w:val="00851A2F"/>
    <w:rsid w:val="00862E84"/>
    <w:rsid w:val="00866892"/>
    <w:rsid w:val="00871E00"/>
    <w:rsid w:val="00891E64"/>
    <w:rsid w:val="0089468F"/>
    <w:rsid w:val="008A0130"/>
    <w:rsid w:val="008A2113"/>
    <w:rsid w:val="008B2663"/>
    <w:rsid w:val="008B6E31"/>
    <w:rsid w:val="008D4301"/>
    <w:rsid w:val="008F345A"/>
    <w:rsid w:val="00903984"/>
    <w:rsid w:val="00942B94"/>
    <w:rsid w:val="00963E90"/>
    <w:rsid w:val="009A0411"/>
    <w:rsid w:val="009A20B5"/>
    <w:rsid w:val="009B1B23"/>
    <w:rsid w:val="009B32A2"/>
    <w:rsid w:val="009D0AFD"/>
    <w:rsid w:val="009E6D1B"/>
    <w:rsid w:val="00A0555D"/>
    <w:rsid w:val="00A07809"/>
    <w:rsid w:val="00A2164F"/>
    <w:rsid w:val="00A26C3D"/>
    <w:rsid w:val="00A34049"/>
    <w:rsid w:val="00A34F21"/>
    <w:rsid w:val="00A41DA0"/>
    <w:rsid w:val="00A432D2"/>
    <w:rsid w:val="00A5102A"/>
    <w:rsid w:val="00A53F74"/>
    <w:rsid w:val="00A61ED4"/>
    <w:rsid w:val="00A70765"/>
    <w:rsid w:val="00AA1143"/>
    <w:rsid w:val="00AA2F00"/>
    <w:rsid w:val="00AA2F43"/>
    <w:rsid w:val="00AA5018"/>
    <w:rsid w:val="00AB7598"/>
    <w:rsid w:val="00AB75E2"/>
    <w:rsid w:val="00AC0EC0"/>
    <w:rsid w:val="00AE5C18"/>
    <w:rsid w:val="00AE6334"/>
    <w:rsid w:val="00AF62B3"/>
    <w:rsid w:val="00B21722"/>
    <w:rsid w:val="00B353ED"/>
    <w:rsid w:val="00B4018F"/>
    <w:rsid w:val="00B44EEB"/>
    <w:rsid w:val="00B47657"/>
    <w:rsid w:val="00B57968"/>
    <w:rsid w:val="00B90E9F"/>
    <w:rsid w:val="00B962CA"/>
    <w:rsid w:val="00BA01D8"/>
    <w:rsid w:val="00BC0DB1"/>
    <w:rsid w:val="00BE0113"/>
    <w:rsid w:val="00BF0995"/>
    <w:rsid w:val="00BF5A7B"/>
    <w:rsid w:val="00C000BA"/>
    <w:rsid w:val="00C04E5A"/>
    <w:rsid w:val="00C15953"/>
    <w:rsid w:val="00C36BE2"/>
    <w:rsid w:val="00C43000"/>
    <w:rsid w:val="00C46834"/>
    <w:rsid w:val="00C80F3B"/>
    <w:rsid w:val="00C83210"/>
    <w:rsid w:val="00CA4495"/>
    <w:rsid w:val="00CB0F83"/>
    <w:rsid w:val="00CC12C3"/>
    <w:rsid w:val="00CC4EC4"/>
    <w:rsid w:val="00CC6D05"/>
    <w:rsid w:val="00CD23B2"/>
    <w:rsid w:val="00CD3E00"/>
    <w:rsid w:val="00CF2D40"/>
    <w:rsid w:val="00D125E4"/>
    <w:rsid w:val="00D14776"/>
    <w:rsid w:val="00D16054"/>
    <w:rsid w:val="00D20A0B"/>
    <w:rsid w:val="00D3283D"/>
    <w:rsid w:val="00D409D7"/>
    <w:rsid w:val="00D52FAC"/>
    <w:rsid w:val="00D76609"/>
    <w:rsid w:val="00D94A99"/>
    <w:rsid w:val="00DA072A"/>
    <w:rsid w:val="00DC4218"/>
    <w:rsid w:val="00DC58AB"/>
    <w:rsid w:val="00DD02C4"/>
    <w:rsid w:val="00DD3DD9"/>
    <w:rsid w:val="00DD790A"/>
    <w:rsid w:val="00DE404C"/>
    <w:rsid w:val="00DE445D"/>
    <w:rsid w:val="00E03131"/>
    <w:rsid w:val="00E062B5"/>
    <w:rsid w:val="00E1066E"/>
    <w:rsid w:val="00E1346E"/>
    <w:rsid w:val="00E13609"/>
    <w:rsid w:val="00E14581"/>
    <w:rsid w:val="00E3118B"/>
    <w:rsid w:val="00E32BE5"/>
    <w:rsid w:val="00E34408"/>
    <w:rsid w:val="00E421D6"/>
    <w:rsid w:val="00E71D87"/>
    <w:rsid w:val="00E71F8C"/>
    <w:rsid w:val="00E87D7A"/>
    <w:rsid w:val="00E9473C"/>
    <w:rsid w:val="00EA3499"/>
    <w:rsid w:val="00EA5A1C"/>
    <w:rsid w:val="00EB0E1F"/>
    <w:rsid w:val="00EC3B9A"/>
    <w:rsid w:val="00ED586D"/>
    <w:rsid w:val="00EF12A6"/>
    <w:rsid w:val="00F16A46"/>
    <w:rsid w:val="00F24BC0"/>
    <w:rsid w:val="00F26F4D"/>
    <w:rsid w:val="00F311B5"/>
    <w:rsid w:val="00F35DD5"/>
    <w:rsid w:val="00F40615"/>
    <w:rsid w:val="00F47F45"/>
    <w:rsid w:val="00F6010A"/>
    <w:rsid w:val="00F61DFB"/>
    <w:rsid w:val="00F62BFF"/>
    <w:rsid w:val="00F67048"/>
    <w:rsid w:val="00F76A63"/>
    <w:rsid w:val="00F848B1"/>
    <w:rsid w:val="00F84FCD"/>
    <w:rsid w:val="00F86FA8"/>
    <w:rsid w:val="00FA126E"/>
    <w:rsid w:val="00FA3E4E"/>
    <w:rsid w:val="00FA76C6"/>
    <w:rsid w:val="00FD1B4F"/>
    <w:rsid w:val="013039A6"/>
    <w:rsid w:val="0231C76C"/>
    <w:rsid w:val="045A04EA"/>
    <w:rsid w:val="05B9F2F7"/>
    <w:rsid w:val="073E1BB2"/>
    <w:rsid w:val="0924ABE1"/>
    <w:rsid w:val="09C0BA78"/>
    <w:rsid w:val="09C702F5"/>
    <w:rsid w:val="0AF9E4E0"/>
    <w:rsid w:val="0CCE8A19"/>
    <w:rsid w:val="123D1350"/>
    <w:rsid w:val="13DA19A2"/>
    <w:rsid w:val="15DBDD4E"/>
    <w:rsid w:val="1757317B"/>
    <w:rsid w:val="18318044"/>
    <w:rsid w:val="193C4DF5"/>
    <w:rsid w:val="195D85B9"/>
    <w:rsid w:val="1989F213"/>
    <w:rsid w:val="1A07964B"/>
    <w:rsid w:val="1AAA944B"/>
    <w:rsid w:val="1B6D37D8"/>
    <w:rsid w:val="1EE4ECAA"/>
    <w:rsid w:val="2025F4B5"/>
    <w:rsid w:val="25D0881A"/>
    <w:rsid w:val="272429A2"/>
    <w:rsid w:val="29A4C5E7"/>
    <w:rsid w:val="2B44A885"/>
    <w:rsid w:val="2B60A20D"/>
    <w:rsid w:val="2B99A0C8"/>
    <w:rsid w:val="2BB47B08"/>
    <w:rsid w:val="2BE3CE17"/>
    <w:rsid w:val="2F27A6E6"/>
    <w:rsid w:val="2F52BCB5"/>
    <w:rsid w:val="305DC9F5"/>
    <w:rsid w:val="30FE562D"/>
    <w:rsid w:val="3254306B"/>
    <w:rsid w:val="35B67864"/>
    <w:rsid w:val="362B8187"/>
    <w:rsid w:val="37045CFC"/>
    <w:rsid w:val="37792C38"/>
    <w:rsid w:val="38D83760"/>
    <w:rsid w:val="3963A24F"/>
    <w:rsid w:val="39DFFD72"/>
    <w:rsid w:val="3A15A614"/>
    <w:rsid w:val="3E3F4AA8"/>
    <w:rsid w:val="40110B1C"/>
    <w:rsid w:val="417392A7"/>
    <w:rsid w:val="41B27128"/>
    <w:rsid w:val="42BBB197"/>
    <w:rsid w:val="450152A9"/>
    <w:rsid w:val="451A7C7A"/>
    <w:rsid w:val="451FD083"/>
    <w:rsid w:val="45F50DE6"/>
    <w:rsid w:val="46B4C966"/>
    <w:rsid w:val="49ACF1F5"/>
    <w:rsid w:val="49BA8C07"/>
    <w:rsid w:val="4A33B764"/>
    <w:rsid w:val="4B23E053"/>
    <w:rsid w:val="4C45379D"/>
    <w:rsid w:val="4CBEA2D0"/>
    <w:rsid w:val="4D1AFBCA"/>
    <w:rsid w:val="50B59B7D"/>
    <w:rsid w:val="50D8925A"/>
    <w:rsid w:val="50F344E8"/>
    <w:rsid w:val="5337F902"/>
    <w:rsid w:val="5338F63F"/>
    <w:rsid w:val="53783C13"/>
    <w:rsid w:val="5470FAA8"/>
    <w:rsid w:val="54A6FBB1"/>
    <w:rsid w:val="564137F9"/>
    <w:rsid w:val="59B7D933"/>
    <w:rsid w:val="5A0ABF89"/>
    <w:rsid w:val="5A48113F"/>
    <w:rsid w:val="5A51080A"/>
    <w:rsid w:val="5C52E417"/>
    <w:rsid w:val="5C7F6B38"/>
    <w:rsid w:val="61C9477D"/>
    <w:rsid w:val="62218C7E"/>
    <w:rsid w:val="62D8CEE9"/>
    <w:rsid w:val="6481FB65"/>
    <w:rsid w:val="67747A02"/>
    <w:rsid w:val="6992016F"/>
    <w:rsid w:val="6AB68B13"/>
    <w:rsid w:val="6B217131"/>
    <w:rsid w:val="6B772B7E"/>
    <w:rsid w:val="6E483CE7"/>
    <w:rsid w:val="6F053CEF"/>
    <w:rsid w:val="6FF6E83B"/>
    <w:rsid w:val="7012DE06"/>
    <w:rsid w:val="70364542"/>
    <w:rsid w:val="70D6BBF2"/>
    <w:rsid w:val="710565C4"/>
    <w:rsid w:val="7161D8A1"/>
    <w:rsid w:val="73DA0628"/>
    <w:rsid w:val="7618E4E1"/>
    <w:rsid w:val="778ADF4F"/>
    <w:rsid w:val="7843BC38"/>
    <w:rsid w:val="785E550A"/>
    <w:rsid w:val="786CB944"/>
    <w:rsid w:val="79FC23C8"/>
    <w:rsid w:val="7A24B746"/>
    <w:rsid w:val="7A9924B9"/>
    <w:rsid w:val="7A9E52A0"/>
    <w:rsid w:val="7B024648"/>
    <w:rsid w:val="7BB6CA69"/>
    <w:rsid w:val="7BE273F7"/>
    <w:rsid w:val="7BFAF1E1"/>
    <w:rsid w:val="7DD545D0"/>
    <w:rsid w:val="7E6DDB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88A3"/>
  <w15:chartTrackingRefBased/>
  <w15:docId w15:val="{C30B835C-7D77-4C6E-8072-936D6319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B9A"/>
    <w:pPr>
      <w:spacing w:before="240" w:after="240" w:line="360" w:lineRule="auto"/>
    </w:pPr>
    <w:rPr>
      <w:rFonts w:ascii="Arial" w:hAnsi="Arial" w:cs="Arial"/>
      <w:lang w:eastAsia="en-AU"/>
    </w:rPr>
  </w:style>
  <w:style w:type="paragraph" w:styleId="Heading1">
    <w:name w:val="heading 1"/>
    <w:basedOn w:val="Normal"/>
    <w:link w:val="Heading1Char"/>
    <w:uiPriority w:val="9"/>
    <w:qFormat/>
    <w:rsid w:val="00E1066E"/>
    <w:pPr>
      <w:numPr>
        <w:numId w:val="1"/>
      </w:numPr>
      <w:shd w:val="clear" w:color="auto" w:fill="FFFFFF"/>
      <w:spacing w:after="120" w:line="240" w:lineRule="auto"/>
      <w:jc w:val="both"/>
      <w:outlineLvl w:val="0"/>
    </w:pPr>
    <w:rPr>
      <w:rFonts w:eastAsia="Times New Roman"/>
      <w:color w:val="000000"/>
      <w:sz w:val="36"/>
      <w:szCs w:val="36"/>
    </w:rPr>
  </w:style>
  <w:style w:type="paragraph" w:styleId="Heading2">
    <w:name w:val="heading 2"/>
    <w:basedOn w:val="Heading1"/>
    <w:next w:val="Normal"/>
    <w:link w:val="Heading2Char"/>
    <w:uiPriority w:val="9"/>
    <w:unhideWhenUsed/>
    <w:qFormat/>
    <w:rsid w:val="00C000BA"/>
    <w:pPr>
      <w:numPr>
        <w:ilvl w:val="1"/>
      </w:numPr>
      <w:ind w:left="397"/>
      <w:outlineLvl w:val="1"/>
    </w:pPr>
    <w:rPr>
      <w:sz w:val="28"/>
      <w:szCs w:val="27"/>
      <w:shd w:val="clear" w:color="auto" w:fill="FFFFFF"/>
    </w:rPr>
  </w:style>
  <w:style w:type="paragraph" w:styleId="Heading3">
    <w:name w:val="heading 3"/>
    <w:basedOn w:val="Heading1"/>
    <w:next w:val="Normal"/>
    <w:link w:val="Heading3Char"/>
    <w:uiPriority w:val="9"/>
    <w:unhideWhenUsed/>
    <w:qFormat/>
    <w:rsid w:val="005C6171"/>
    <w:pPr>
      <w:numPr>
        <w:ilvl w:val="2"/>
      </w:numPr>
      <w:outlineLvl w:val="2"/>
    </w:pPr>
    <w:rPr>
      <w:sz w:val="24"/>
      <w:shd w:val="clear" w:color="auto" w:fill="FFFFFF"/>
    </w:rPr>
  </w:style>
  <w:style w:type="paragraph" w:styleId="Heading4">
    <w:name w:val="heading 4"/>
    <w:basedOn w:val="Heading1"/>
    <w:next w:val="Normal"/>
    <w:link w:val="Heading4Char"/>
    <w:uiPriority w:val="9"/>
    <w:unhideWhenUsed/>
    <w:qFormat/>
    <w:rsid w:val="00F84FCD"/>
    <w:pPr>
      <w:numPr>
        <w:ilvl w:val="3"/>
      </w:numPr>
      <w:outlineLvl w:val="3"/>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066E"/>
    <w:pPr>
      <w:ind w:left="360" w:hanging="360"/>
      <w:jc w:val="both"/>
    </w:pPr>
    <w:rPr>
      <w:sz w:val="48"/>
    </w:rPr>
  </w:style>
  <w:style w:type="character" w:customStyle="1" w:styleId="TitleChar">
    <w:name w:val="Title Char"/>
    <w:basedOn w:val="DefaultParagraphFont"/>
    <w:link w:val="Title"/>
    <w:uiPriority w:val="10"/>
    <w:rsid w:val="00E1066E"/>
    <w:rPr>
      <w:rFonts w:ascii="Arial" w:hAnsi="Arial" w:cs="Arial"/>
      <w:sz w:val="48"/>
      <w:lang w:eastAsia="en-AU"/>
    </w:rPr>
  </w:style>
  <w:style w:type="character" w:customStyle="1" w:styleId="Heading1Char">
    <w:name w:val="Heading 1 Char"/>
    <w:basedOn w:val="DefaultParagraphFont"/>
    <w:link w:val="Heading1"/>
    <w:uiPriority w:val="9"/>
    <w:rsid w:val="00E1066E"/>
    <w:rPr>
      <w:rFonts w:ascii="Arial" w:eastAsia="Times New Roman" w:hAnsi="Arial" w:cs="Arial"/>
      <w:color w:val="000000"/>
      <w:sz w:val="36"/>
      <w:szCs w:val="36"/>
      <w:shd w:val="clear" w:color="auto" w:fill="FFFFFF"/>
      <w:lang w:eastAsia="en-AU"/>
    </w:rPr>
  </w:style>
  <w:style w:type="character" w:customStyle="1" w:styleId="Heading2Char">
    <w:name w:val="Heading 2 Char"/>
    <w:basedOn w:val="DefaultParagraphFont"/>
    <w:link w:val="Heading2"/>
    <w:uiPriority w:val="9"/>
    <w:rsid w:val="00C000BA"/>
    <w:rPr>
      <w:rFonts w:ascii="Arial" w:eastAsia="Times New Roman" w:hAnsi="Arial" w:cs="Arial"/>
      <w:color w:val="000000"/>
      <w:sz w:val="28"/>
      <w:szCs w:val="27"/>
      <w:shd w:val="clear" w:color="auto" w:fill="FFFFFF"/>
      <w:lang w:eastAsia="en-AU"/>
    </w:rPr>
  </w:style>
  <w:style w:type="character" w:customStyle="1" w:styleId="Heading3Char">
    <w:name w:val="Heading 3 Char"/>
    <w:basedOn w:val="DefaultParagraphFont"/>
    <w:link w:val="Heading3"/>
    <w:uiPriority w:val="9"/>
    <w:rsid w:val="005C6171"/>
    <w:rPr>
      <w:rFonts w:ascii="Arial" w:eastAsia="Times New Roman" w:hAnsi="Arial" w:cs="Arial"/>
      <w:color w:val="000000"/>
      <w:sz w:val="24"/>
      <w:szCs w:val="36"/>
      <w:shd w:val="clear" w:color="auto" w:fill="FFFFFF"/>
      <w:lang w:eastAsia="en-AU"/>
    </w:rPr>
  </w:style>
  <w:style w:type="character" w:customStyle="1" w:styleId="Heading4Char">
    <w:name w:val="Heading 4 Char"/>
    <w:basedOn w:val="DefaultParagraphFont"/>
    <w:link w:val="Heading4"/>
    <w:uiPriority w:val="9"/>
    <w:rsid w:val="00F84FCD"/>
    <w:rPr>
      <w:rFonts w:ascii="Arial" w:eastAsia="Times New Roman" w:hAnsi="Arial" w:cs="Arial"/>
      <w:color w:val="000000"/>
      <w:szCs w:val="36"/>
      <w:shd w:val="clear" w:color="auto" w:fill="FFFFFF"/>
      <w:lang w:eastAsia="en-AU"/>
    </w:rPr>
  </w:style>
  <w:style w:type="paragraph" w:styleId="ListParagraph">
    <w:name w:val="List Paragraph"/>
    <w:basedOn w:val="Normal"/>
    <w:uiPriority w:val="34"/>
    <w:qFormat/>
    <w:rsid w:val="00871E00"/>
    <w:pPr>
      <w:numPr>
        <w:numId w:val="2"/>
      </w:numPr>
    </w:pPr>
  </w:style>
  <w:style w:type="paragraph" w:styleId="Subtitle">
    <w:name w:val="Subtitle"/>
    <w:basedOn w:val="Normal"/>
    <w:next w:val="Normal"/>
    <w:link w:val="SubtitleChar"/>
    <w:uiPriority w:val="11"/>
    <w:qFormat/>
    <w:rsid w:val="00D14776"/>
    <w:pPr>
      <w:shd w:val="clear" w:color="auto" w:fill="FFFFFF"/>
      <w:spacing w:after="160" w:line="240" w:lineRule="auto"/>
      <w:jc w:val="both"/>
    </w:pPr>
    <w:rPr>
      <w:rFonts w:ascii="Helvetica" w:eastAsia="Times New Roman" w:hAnsi="Helvetica" w:cs="Helvetica"/>
      <w:color w:val="707070"/>
      <w:szCs w:val="20"/>
    </w:rPr>
  </w:style>
  <w:style w:type="character" w:customStyle="1" w:styleId="SubtitleChar">
    <w:name w:val="Subtitle Char"/>
    <w:basedOn w:val="DefaultParagraphFont"/>
    <w:link w:val="Subtitle"/>
    <w:uiPriority w:val="11"/>
    <w:rsid w:val="00D14776"/>
    <w:rPr>
      <w:rFonts w:ascii="Helvetica" w:eastAsia="Times New Roman" w:hAnsi="Helvetica" w:cs="Helvetica"/>
      <w:color w:val="707070"/>
      <w:sz w:val="20"/>
      <w:szCs w:val="20"/>
      <w:shd w:val="clear" w:color="auto" w:fill="FFFFFF"/>
      <w:lang w:eastAsia="en-AU"/>
    </w:rPr>
  </w:style>
  <w:style w:type="paragraph" w:styleId="Header">
    <w:name w:val="header"/>
    <w:basedOn w:val="Normal"/>
    <w:link w:val="HeaderChar"/>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HeaderChar">
    <w:name w:val="Header Char"/>
    <w:basedOn w:val="DefaultParagraphFont"/>
    <w:link w:val="Header"/>
    <w:rsid w:val="00D1477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FooterChar">
    <w:name w:val="Footer Char"/>
    <w:basedOn w:val="DefaultParagraphFont"/>
    <w:link w:val="Footer"/>
    <w:uiPriority w:val="99"/>
    <w:rsid w:val="00D14776"/>
    <w:rPr>
      <w:rFonts w:ascii="Times New Roman" w:eastAsia="Times New Roman" w:hAnsi="Times New Roman" w:cs="Times New Roman"/>
      <w:sz w:val="20"/>
      <w:szCs w:val="20"/>
      <w:lang w:val="en-US"/>
    </w:rPr>
  </w:style>
  <w:style w:type="character" w:styleId="Hyperlink">
    <w:name w:val="Hyperlink"/>
    <w:rsid w:val="00D14776"/>
    <w:rPr>
      <w:color w:val="0000FF"/>
      <w:u w:val="single"/>
    </w:rPr>
  </w:style>
  <w:style w:type="paragraph" w:styleId="NoSpacing">
    <w:name w:val="No Spacing"/>
    <w:basedOn w:val="ListParagraph"/>
    <w:uiPriority w:val="1"/>
    <w:qFormat/>
    <w:rsid w:val="00A53F74"/>
    <w:pPr>
      <w:numPr>
        <w:numId w:val="3"/>
      </w:numPr>
      <w:ind w:left="723"/>
    </w:pPr>
    <w:rPr>
      <w:shd w:val="clear" w:color="auto" w:fill="FFFFFF"/>
    </w:rPr>
  </w:style>
  <w:style w:type="paragraph" w:styleId="BalloonText">
    <w:name w:val="Balloon Text"/>
    <w:basedOn w:val="Normal"/>
    <w:link w:val="BalloonTextChar"/>
    <w:uiPriority w:val="99"/>
    <w:semiHidden/>
    <w:unhideWhenUsed/>
    <w:rsid w:val="00FD1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B4F"/>
    <w:rPr>
      <w:rFonts w:ascii="Segoe UI" w:hAnsi="Segoe UI" w:cs="Segoe UI"/>
      <w:sz w:val="18"/>
      <w:szCs w:val="18"/>
      <w:lang w:eastAsia="en-AU"/>
    </w:rPr>
  </w:style>
  <w:style w:type="character" w:styleId="CommentReference">
    <w:name w:val="annotation reference"/>
    <w:basedOn w:val="DefaultParagraphFont"/>
    <w:uiPriority w:val="99"/>
    <w:semiHidden/>
    <w:unhideWhenUsed/>
    <w:rsid w:val="0001619D"/>
    <w:rPr>
      <w:sz w:val="16"/>
      <w:szCs w:val="16"/>
    </w:rPr>
  </w:style>
  <w:style w:type="paragraph" w:styleId="CommentText">
    <w:name w:val="annotation text"/>
    <w:basedOn w:val="Normal"/>
    <w:link w:val="CommentTextChar"/>
    <w:uiPriority w:val="99"/>
    <w:unhideWhenUsed/>
    <w:rsid w:val="0001619D"/>
    <w:pPr>
      <w:spacing w:line="240" w:lineRule="auto"/>
    </w:pPr>
    <w:rPr>
      <w:sz w:val="20"/>
      <w:szCs w:val="20"/>
    </w:rPr>
  </w:style>
  <w:style w:type="character" w:customStyle="1" w:styleId="CommentTextChar">
    <w:name w:val="Comment Text Char"/>
    <w:basedOn w:val="DefaultParagraphFont"/>
    <w:link w:val="CommentText"/>
    <w:uiPriority w:val="99"/>
    <w:rsid w:val="0001619D"/>
    <w:rPr>
      <w:rFonts w:ascii="Garamond" w:hAnsi="Garamond"/>
      <w:sz w:val="20"/>
      <w:szCs w:val="20"/>
      <w:lang w:eastAsia="en-AU"/>
    </w:rPr>
  </w:style>
  <w:style w:type="paragraph" w:styleId="CommentSubject">
    <w:name w:val="annotation subject"/>
    <w:basedOn w:val="CommentText"/>
    <w:next w:val="CommentText"/>
    <w:link w:val="CommentSubjectChar"/>
    <w:uiPriority w:val="99"/>
    <w:semiHidden/>
    <w:unhideWhenUsed/>
    <w:rsid w:val="0001619D"/>
    <w:rPr>
      <w:b/>
      <w:bCs/>
    </w:rPr>
  </w:style>
  <w:style w:type="character" w:customStyle="1" w:styleId="CommentSubjectChar">
    <w:name w:val="Comment Subject Char"/>
    <w:basedOn w:val="CommentTextChar"/>
    <w:link w:val="CommentSubject"/>
    <w:uiPriority w:val="99"/>
    <w:semiHidden/>
    <w:rsid w:val="0001619D"/>
    <w:rPr>
      <w:rFonts w:ascii="Garamond" w:hAnsi="Garamond"/>
      <w:b/>
      <w:bCs/>
      <w:sz w:val="20"/>
      <w:szCs w:val="20"/>
      <w:lang w:eastAsia="en-AU"/>
    </w:rPr>
  </w:style>
  <w:style w:type="table" w:styleId="TableGrid">
    <w:name w:val="Table Grid"/>
    <w:basedOn w:val="TableNormal"/>
    <w:uiPriority w:val="59"/>
    <w:rsid w:val="00CD2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07C3"/>
    <w:rPr>
      <w:color w:val="808080"/>
    </w:rPr>
  </w:style>
  <w:style w:type="table" w:styleId="ListTable3-Accent1">
    <w:name w:val="List Table 3 Accent 1"/>
    <w:basedOn w:val="TableNormal"/>
    <w:uiPriority w:val="48"/>
    <w:rsid w:val="00A53F7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ubtleEmphasis">
    <w:name w:val="Subtle Emphasis"/>
    <w:basedOn w:val="DefaultParagraphFont"/>
    <w:uiPriority w:val="19"/>
    <w:qFormat/>
    <w:rsid w:val="00C000BA"/>
    <w:rPr>
      <w:i/>
      <w:iCs/>
      <w:color w:val="404040" w:themeColor="text1" w:themeTint="BF"/>
    </w:rPr>
  </w:style>
  <w:style w:type="character" w:styleId="Emphasis">
    <w:name w:val="Emphasis"/>
    <w:basedOn w:val="DefaultParagraphFont"/>
    <w:uiPriority w:val="20"/>
    <w:qFormat/>
    <w:rsid w:val="00C000BA"/>
    <w:rPr>
      <w:i/>
      <w:iCs/>
    </w:rPr>
  </w:style>
  <w:style w:type="paragraph" w:styleId="Caption">
    <w:name w:val="caption"/>
    <w:basedOn w:val="Normal"/>
    <w:next w:val="Normal"/>
    <w:uiPriority w:val="35"/>
    <w:unhideWhenUsed/>
    <w:qFormat/>
    <w:rsid w:val="00C000BA"/>
    <w:pPr>
      <w:spacing w:before="0" w:after="200" w:line="240" w:lineRule="auto"/>
    </w:pPr>
    <w:rPr>
      <w:i/>
      <w:iCs/>
      <w:color w:val="1F497D" w:themeColor="text2"/>
      <w:sz w:val="18"/>
      <w:szCs w:val="18"/>
    </w:rPr>
  </w:style>
  <w:style w:type="character" w:styleId="Strong">
    <w:name w:val="Strong"/>
    <w:basedOn w:val="DefaultParagraphFont"/>
    <w:uiPriority w:val="22"/>
    <w:qFormat/>
    <w:rsid w:val="00BE0113"/>
    <w:rPr>
      <w:b/>
      <w:bCs/>
    </w:rPr>
  </w:style>
  <w:style w:type="character" w:styleId="UnresolvedMention">
    <w:name w:val="Unresolved Mention"/>
    <w:basedOn w:val="DefaultParagraphFont"/>
    <w:uiPriority w:val="99"/>
    <w:semiHidden/>
    <w:unhideWhenUsed/>
    <w:rsid w:val="00F311B5"/>
    <w:rPr>
      <w:color w:val="605E5C"/>
      <w:shd w:val="clear" w:color="auto" w:fill="E1DFDD"/>
    </w:rPr>
  </w:style>
  <w:style w:type="paragraph" w:customStyle="1" w:styleId="Default">
    <w:name w:val="Default"/>
    <w:rsid w:val="00261C7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xdefault">
    <w:name w:val="x_default"/>
    <w:basedOn w:val="Normal"/>
    <w:rsid w:val="00EB0E1F"/>
    <w:pPr>
      <w:autoSpaceDE w:val="0"/>
      <w:autoSpaceDN w:val="0"/>
      <w:spacing w:before="0" w:after="0" w:line="240" w:lineRule="auto"/>
    </w:pPr>
    <w:rPr>
      <w:rFonts w:ascii="Times New Roman" w:eastAsia="Times New Roman" w:hAnsi="Times New Roman" w:cs="Times New Roman"/>
      <w:color w:val="000000"/>
      <w:sz w:val="24"/>
      <w:szCs w:val="24"/>
    </w:r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537C84"/>
    <w:pPr>
      <w:spacing w:after="0" w:line="240" w:lineRule="auto"/>
    </w:pPr>
    <w:rPr>
      <w:rFonts w:ascii="Arial"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58133">
      <w:bodyDiv w:val="1"/>
      <w:marLeft w:val="0"/>
      <w:marRight w:val="0"/>
      <w:marTop w:val="0"/>
      <w:marBottom w:val="0"/>
      <w:divBdr>
        <w:top w:val="none" w:sz="0" w:space="0" w:color="auto"/>
        <w:left w:val="none" w:sz="0" w:space="0" w:color="auto"/>
        <w:bottom w:val="none" w:sz="0" w:space="0" w:color="auto"/>
        <w:right w:val="none" w:sz="0" w:space="0" w:color="auto"/>
      </w:divBdr>
    </w:div>
    <w:div w:id="20445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health.gov.au/internet/main/Publishing.nsf/Content/health-npaac-docs-validivd.htm" TargetMode="External"/><Relationship Id="rId18" Type="http://schemas.openxmlformats.org/officeDocument/2006/relationships/hyperlink" Target="http://web.ebscohost.com.ezproxy.bond.edu.au/ehost/viewarticle?data=dGJyMPPp44rp2%2fdV0%2bnjisfk5Ie46bJMr6q3SbWk63nn5Kx95uXxjL6urVGtqK5JrpaxUrKvuEq1ls5lpOrweezp33vy3%2b2G59q7RbKnsE%2b0qLRLsJzqeezdu33snOJ6u9e3gKTq33%2b7t8w%2b3%2bS7TbCpslC1rq4%2b5OXwhd%2fqu37z4uqM4%2b7y&amp;hid=111%5CoEffectivenessofAdolescentandAdultTetanus,Reduced-DoseDiphtheria,andAcellularPertussisVaccineagainstPertussis." TargetMode="External"/><Relationship Id="rId26" Type="http://schemas.openxmlformats.org/officeDocument/2006/relationships/hyperlink" Target="http://www.ncbi.nlm.nih.gov/pubmed?term=%22Rohwedder%20E%22%5BAuthor%5D" TargetMode="External"/><Relationship Id="rId39" Type="http://schemas.openxmlformats.org/officeDocument/2006/relationships/fontTable" Target="fontTable.xml"/><Relationship Id="rId21" Type="http://schemas.openxmlformats.org/officeDocument/2006/relationships/hyperlink" Target="http://www1.health.gov.au/internet/main/publishing.nsf/Content/health-npaac-docs-nad.htm" TargetMode="External"/><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rcpaqap.com/serology/diseaseresult.cfm" TargetMode="External"/><Relationship Id="rId20" Type="http://schemas.openxmlformats.org/officeDocument/2006/relationships/hyperlink" Target="http://www.cdc.gov/vaccines/pubs/pertussis-guide/guide.htm" TargetMode="External"/><Relationship Id="rId29" Type="http://schemas.openxmlformats.org/officeDocument/2006/relationships/hyperlink" Target="http://www.ncbi.nlm.nih.gov/pubmed?term=%22Trollfors%20B%22%5BAuthor%5D"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vaccines/pubs/surv-manual/chpt10-pertussis.htm" TargetMode="External"/><Relationship Id="rId24" Type="http://schemas.openxmlformats.org/officeDocument/2006/relationships/hyperlink" Target="http://www.ncbi.nlm.nih.gov/pubmed?term=%22Campbell%20PB%22%5BAuthor%5D" TargetMode="External"/><Relationship Id="rId32" Type="http://schemas.openxmlformats.org/officeDocument/2006/relationships/hyperlink" Target="http://www.nibsc.ac.uk/documents/ifu/06-142.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cpaqap.com/micro/reportsmenu.cfm" TargetMode="External"/><Relationship Id="rId23" Type="http://schemas.openxmlformats.org/officeDocument/2006/relationships/hyperlink" Target="http://www.who.int/vaccines-documents/DocsPDF01/www605.pdf" TargetMode="External"/><Relationship Id="rId28" Type="http://schemas.openxmlformats.org/officeDocument/2006/relationships/hyperlink" Target="http://www.ncbi.nlm.nih.gov/pubmed?term=%22Lagerg%C3%A5rd%20T%22%5BAuthor%5D"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eb.ebscohost.com.ezproxy.bond.edu.au/ehost/viewarticle?data=dGJyMPPp44rp2%2fdV0%2bnjisfk5Ie46bJMr6q3SbWk63nn5Kx95uXxjL6urVGtqK5JrpayUrCnuEuuls5lpOrweezp33vy3%2b2G59q7RbKnsE%2b0qLRLsJzqeezdu33snOJ6u9e3gKTq33%2b7t8w%2b3%2bS7TLWns0mwprY%2b5OXwhd%2fqu37z4uqM4%2b7y&amp;hid=111%5CoBordetellapertussisandvaccination:Thepersistenceofageneticallymonomorphicpathogen." TargetMode="External"/><Relationship Id="rId31" Type="http://schemas.openxmlformats.org/officeDocument/2006/relationships/hyperlink" Target="http://www.nibsc.ac.uk/documents/ifu/06-14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health.gov.au/internet/main/Publishing.nsf/Content/health-npaac-docs-nad.htm" TargetMode="External"/><Relationship Id="rId22" Type="http://schemas.openxmlformats.org/officeDocument/2006/relationships/hyperlink" Target="http://www1.health.gov.au/internet/main/publishing.nsf/Content/health-npaac-dhaivd.htm" TargetMode="External"/><Relationship Id="rId27" Type="http://schemas.openxmlformats.org/officeDocument/2006/relationships/hyperlink" Target="http://www.ncbi.nlm.nih.gov/pubmed?term=%22Zackrisson%20G%22%5BAuthor%5D" TargetMode="External"/><Relationship Id="rId30" Type="http://schemas.openxmlformats.org/officeDocument/2006/relationships/hyperlink" Target="http://www.ncbi.nlm.nih.gov/pubmed?term=%22Krantz%20I%22%5BAuthor%5D"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who.int/immunization_monitoring/diseases/pertussis_surveillance/en/" TargetMode="External"/><Relationship Id="rId17" Type="http://schemas.openxmlformats.org/officeDocument/2006/relationships/hyperlink" Target="http://www.nejm.org/doi/full/10.1056/NEJMcp041025" TargetMode="External"/><Relationship Id="rId25" Type="http://schemas.openxmlformats.org/officeDocument/2006/relationships/hyperlink" Target="http://www.ncbi.nlm.nih.gov/pubmed?term=%22Masters%20PL%22%5BAuthor%5D" TargetMode="External"/><Relationship Id="rId33" Type="http://schemas.openxmlformats.org/officeDocument/2006/relationships/header" Target="header1.xml"/><Relationship Id="rId38"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F22E431BBE12409AFF64C86A6197B7" ma:contentTypeVersion="12" ma:contentTypeDescription="Create a new document." ma:contentTypeScope="" ma:versionID="001a0b0537ba8138aaf225d6079e849a">
  <xsd:schema xmlns:xsd="http://www.w3.org/2001/XMLSchema" xmlns:xs="http://www.w3.org/2001/XMLSchema" xmlns:p="http://schemas.microsoft.com/office/2006/metadata/properties" xmlns:ns2="0ebf5690-dfa9-46aa-9761-8b851342f711" xmlns:ns3="d48bfc06-5762-4cfb-85f8-969387ebc8ab" targetNamespace="http://schemas.microsoft.com/office/2006/metadata/properties" ma:root="true" ma:fieldsID="3f18b566893f55519e79c5a9a4d716b7" ns2:_="" ns3:_="">
    <xsd:import namespace="0ebf5690-dfa9-46aa-9761-8b851342f711"/>
    <xsd:import namespace="d48bfc06-5762-4cfb-85f8-969387ebc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f5690-dfa9-46aa-9761-8b851342f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8bfc06-5762-4cfb-85f8-969387ebc8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F378D-1A33-4470-9E24-E29334E150A9}">
  <ds:schemaRefs>
    <ds:schemaRef ds:uri="http://schemas.microsoft.com/sharepoint/v3/contenttype/forms"/>
  </ds:schemaRefs>
</ds:datastoreItem>
</file>

<file path=customXml/itemProps2.xml><?xml version="1.0" encoding="utf-8"?>
<ds:datastoreItem xmlns:ds="http://schemas.openxmlformats.org/officeDocument/2006/customXml" ds:itemID="{1934E6CF-2861-4582-AB05-8D69C272E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f5690-dfa9-46aa-9761-8b851342f711"/>
    <ds:schemaRef ds:uri="d48bfc06-5762-4cfb-85f8-969387ebc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60147-F05C-4F13-9872-256A425961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FFF82A-E655-4FC5-8C9D-8827F78B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6984</Words>
  <Characters>39809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46700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PHLN laboratory case definition - pertussis</dc:title>
  <dc:subject>Communicable diseases</dc:subject>
  <dc:creator>Australian centre for disease control</dc:creator>
  <cp:keywords>Communicable diseases</cp:keywords>
  <dc:description/>
  <cp:lastModifiedBy>Jayden Hamilton</cp:lastModifiedBy>
  <cp:revision>3</cp:revision>
  <cp:lastPrinted>2026-01-27T02:04:00Z</cp:lastPrinted>
  <dcterms:created xsi:type="dcterms:W3CDTF">2026-01-26T23:04:00Z</dcterms:created>
  <dcterms:modified xsi:type="dcterms:W3CDTF">2026-01-27T02:04:00Z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0x010100DBF22E431BBE12409AFF64C86A6197B7</vt:lpwstr>
  </property>
  <property fmtid="{D5CDD505-2E9C-101B-9397-08002B2CF9AE}" pid="3" name="MSIP_Label_00f30421-7766-42c6-b167-b4a273574e25_Enabled">
    <vt:lpwstr>true</vt:lpwstr>
  </property>
  <property fmtid="{D5CDD505-2E9C-101B-9397-08002B2CF9AE}" pid="4" name="MSIP_Label_00f30421-7766-42c6-b167-b4a273574e25_SetDate">
    <vt:lpwstr>2025-06-20T03:09:43Z</vt:lpwstr>
  </property>
  <property fmtid="{D5CDD505-2E9C-101B-9397-08002B2CF9AE}" pid="5" name="MSIP_Label_00f30421-7766-42c6-b167-b4a273574e25_Method">
    <vt:lpwstr>Privileged</vt:lpwstr>
  </property>
  <property fmtid="{D5CDD505-2E9C-101B-9397-08002B2CF9AE}" pid="6" name="MSIP_Label_00f30421-7766-42c6-b167-b4a273574e25_Name">
    <vt:lpwstr>UNOFFICIAL</vt:lpwstr>
  </property>
  <property fmtid="{D5CDD505-2E9C-101B-9397-08002B2CF9AE}" pid="7" name="MSIP_Label_00f30421-7766-42c6-b167-b4a273574e25_SiteId">
    <vt:lpwstr>a687a7bf-02db-43df-bcbb-e7a8bda611a2</vt:lpwstr>
  </property>
  <property fmtid="{D5CDD505-2E9C-101B-9397-08002B2CF9AE}" pid="8" name="MSIP_Label_00f30421-7766-42c6-b167-b4a273574e25_ActionId">
    <vt:lpwstr>29cd78ae-e175-45d6-b92f-e6a0601b9ca0</vt:lpwstr>
  </property>
  <property fmtid="{D5CDD505-2E9C-101B-9397-08002B2CF9AE}" pid="9" name="MSIP_Label_00f30421-7766-42c6-b167-b4a273574e25_ContentBits">
    <vt:lpwstr>0</vt:lpwstr>
  </property>
  <property fmtid="{D5CDD505-2E9C-101B-9397-08002B2CF9AE}" pid="10" name="ClassificationContentMarkingHeaderShapeIds">
    <vt:lpwstr>25ee7ef4,6ffceedf,61fa5976</vt:lpwstr>
  </property>
  <property fmtid="{D5CDD505-2E9C-101B-9397-08002B2CF9AE}" pid="11" name="ClassificationContentMarkingHeaderFontProps">
    <vt:lpwstr>#ff0000,12,Aptos</vt:lpwstr>
  </property>
  <property fmtid="{D5CDD505-2E9C-101B-9397-08002B2CF9AE}" pid="12" name="ClassificationContentMarkingHeaderText">
    <vt:lpwstr>OFFICIAL</vt:lpwstr>
  </property>
  <property fmtid="{D5CDD505-2E9C-101B-9397-08002B2CF9AE}" pid="13" name="ClassificationContentMarkingFooterShapeIds">
    <vt:lpwstr>3a392bee,660fb702,5ed36d25</vt:lpwstr>
  </property>
  <property fmtid="{D5CDD505-2E9C-101B-9397-08002B2CF9AE}" pid="14" name="ClassificationContentMarkingFooterFontProps">
    <vt:lpwstr>#ff0000,12,Aptos</vt:lpwstr>
  </property>
  <property fmtid="{D5CDD505-2E9C-101B-9397-08002B2CF9AE}" pid="15" name="ClassificationContentMarkingFooterText">
    <vt:lpwstr>OFFICIAL</vt:lpwstr>
  </property>
  <property fmtid="{D5CDD505-2E9C-101B-9397-08002B2CF9AE}" pid="16" name="MSIP_Label_7cd3e8b9-ffed-43a8-b7f4-cc2fa0382d36_Enabled">
    <vt:lpwstr>true</vt:lpwstr>
  </property>
  <property fmtid="{D5CDD505-2E9C-101B-9397-08002B2CF9AE}" pid="17" name="MSIP_Label_7cd3e8b9-ffed-43a8-b7f4-cc2fa0382d36_SetDate">
    <vt:lpwstr>2025-10-16T00:42:21Z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af25ff5a-7c30-4bc5-b1c4-f284e08122b0</vt:lpwstr>
  </property>
  <property fmtid="{D5CDD505-2E9C-101B-9397-08002B2CF9AE}" pid="22" name="MSIP_Label_7cd3e8b9-ffed-43a8-b7f4-cc2fa0382d36_ContentBits">
    <vt:lpwstr>3</vt:lpwstr>
  </property>
  <property fmtid="{D5CDD505-2E9C-101B-9397-08002B2CF9AE}" pid="23" name="MSIP_Label_7cd3e8b9-ffed-43a8-b7f4-cc2fa0382d36_Tag">
    <vt:lpwstr>10, 0, 1, 2</vt:lpwstr>
  </property>
  <property fmtid="{D5CDD505-2E9C-101B-9397-08002B2CF9AE}" pid="24" name="docLang">
    <vt:lpwstr>en</vt:lpwstr>
  </property>
</Properties>
</file>