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945C3BC" w14:textId="77777777" w:rsidTr="00800DEB">
        <w:tc>
          <w:tcPr>
            <w:tcW w:w="2547" w:type="dxa"/>
          </w:tcPr>
          <w:p w14:paraId="025CC0B8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8E424EE" wp14:editId="6369ABE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B59F4DD" w14:textId="7962E4C8" w:rsidR="00800DEB" w:rsidRDefault="00805C55" w:rsidP="00800DEB">
            <w:pPr>
              <w:pStyle w:val="Title"/>
            </w:pPr>
            <w:r w:rsidRPr="00805C55">
              <w:t>Creutzfeldt-Jakob disease (CJD)</w:t>
            </w:r>
          </w:p>
          <w:p w14:paraId="0513879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472E441" w14:textId="586998F2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>case definition</w:t>
      </w:r>
      <w:r w:rsidR="004E54B9">
        <w:t>s</w:t>
      </w:r>
      <w:r w:rsidRPr="00872414">
        <w:t xml:space="preserve"> for </w:t>
      </w:r>
      <w:r w:rsidR="00805C55" w:rsidRPr="00805C55">
        <w:t>Creutzfeldt-Jakob disease (CJD)</w:t>
      </w:r>
      <w:r w:rsidR="00623A78">
        <w:t xml:space="preserve"> and closely related </w:t>
      </w:r>
      <w:r w:rsidR="00623A78" w:rsidRPr="004E54B9">
        <w:t>prion diseases</w:t>
      </w:r>
      <w:r w:rsidR="005F7166">
        <w:rPr>
          <w:rStyle w:val="EndnoteReference"/>
        </w:rPr>
        <w:endnoteReference w:id="2"/>
      </w:r>
      <w:r w:rsidR="00133092">
        <w:t>,</w:t>
      </w:r>
      <w:r w:rsidR="00133092" w:rsidRPr="00805C55">
        <w:t xml:space="preserve"> </w:t>
      </w:r>
      <w:r w:rsidR="00133092" w:rsidRPr="00872414">
        <w:t xml:space="preserve">which </w:t>
      </w:r>
      <w:r w:rsidR="00623A78">
        <w:t>are</w:t>
      </w:r>
      <w:r w:rsidR="00133092" w:rsidRPr="00872414">
        <w:t xml:space="preserve"> nationally notifiable within Australia</w:t>
      </w:r>
      <w:r w:rsidR="00623A78">
        <w:t>,</w:t>
      </w:r>
      <w:r w:rsidR="004E54B9" w:rsidRPr="004E54B9">
        <w:t xml:space="preserve"> </w:t>
      </w:r>
      <w:r w:rsidR="00623A78">
        <w:t xml:space="preserve">and </w:t>
      </w:r>
      <w:r w:rsidR="004E54B9" w:rsidRPr="004E54B9">
        <w:t>excluding variant CJD</w:t>
      </w:r>
      <w:r w:rsidR="005F7166">
        <w:rPr>
          <w:rStyle w:val="EndnoteReference"/>
        </w:rPr>
        <w:endnoteReference w:id="3"/>
      </w:r>
      <w:r w:rsidRPr="00872414">
        <w:t xml:space="preserve">. </w:t>
      </w:r>
      <w:r w:rsidR="004516E8">
        <w:t xml:space="preserve">State and territory health departments use this definition to decide whether to notify the Australian </w:t>
      </w:r>
      <w:r w:rsidR="004E54B9">
        <w:t>Centre for Disease Control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09"/>
        <w:gridCol w:w="1493"/>
        <w:gridCol w:w="1945"/>
      </w:tblGrid>
      <w:tr w:rsidR="00542EA3" w:rsidRPr="00872414" w14:paraId="44D53685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B6D1A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9854FF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A59A88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CA3D95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542EA3" w:rsidRPr="00872414" w14:paraId="757E3EC6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995F56" w14:textId="054AF391" w:rsidR="00800DEB" w:rsidRPr="00872414" w:rsidRDefault="00805C5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10EB49FA" w14:textId="14B64434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</w:tcPr>
          <w:p w14:paraId="2D81A63B" w14:textId="1BB92A2C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CDWG November 2009</w:t>
            </w:r>
          </w:p>
        </w:tc>
        <w:tc>
          <w:tcPr>
            <w:tcW w:w="0" w:type="auto"/>
          </w:tcPr>
          <w:p w14:paraId="61D2F7EE" w14:textId="1BBCE9B6" w:rsidR="00800DEB" w:rsidRPr="00872414" w:rsidRDefault="00805C5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805C55">
              <w:rPr>
                <w:lang w:eastAsia="en-AU"/>
              </w:rPr>
              <w:t>1 July 201</w:t>
            </w:r>
            <w:r>
              <w:rPr>
                <w:lang w:eastAsia="en-AU"/>
              </w:rPr>
              <w:t>0</w:t>
            </w:r>
          </w:p>
        </w:tc>
      </w:tr>
      <w:tr w:rsidR="000328CB" w:rsidRPr="00872414" w14:paraId="37959772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44B9D" w14:textId="1D24B0C1" w:rsidR="00BF06E9" w:rsidRDefault="00BF06E9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71F8F1BB" w14:textId="77777777" w:rsidR="00BF06E9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Complete review by </w:t>
            </w:r>
            <w:r w:rsidRPr="00BF06E9">
              <w:rPr>
                <w:lang w:eastAsia="en-AU"/>
              </w:rPr>
              <w:t>CJD IPCG and Surveillance Case Definition Working Group</w:t>
            </w:r>
          </w:p>
          <w:p w14:paraId="053B3C4A" w14:textId="77777777" w:rsidR="0002336F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Clarified that case definition applies to </w:t>
            </w:r>
            <w:r w:rsidRPr="0002336F">
              <w:rPr>
                <w:lang w:eastAsia="en-AU"/>
              </w:rPr>
              <w:t>fatal familial insomnia</w:t>
            </w:r>
            <w:r>
              <w:rPr>
                <w:lang w:eastAsia="en-AU"/>
              </w:rPr>
              <w:t xml:space="preserve"> </w:t>
            </w:r>
            <w:r w:rsidRPr="0002336F">
              <w:rPr>
                <w:lang w:eastAsia="en-AU"/>
              </w:rPr>
              <w:t>and Gerstmann-</w:t>
            </w:r>
            <w:proofErr w:type="spellStart"/>
            <w:r w:rsidRPr="0002336F">
              <w:rPr>
                <w:lang w:eastAsia="en-AU"/>
              </w:rPr>
              <w:t>Straeussler</w:t>
            </w:r>
            <w:proofErr w:type="spellEnd"/>
            <w:r w:rsidRPr="0002336F">
              <w:rPr>
                <w:lang w:eastAsia="en-AU"/>
              </w:rPr>
              <w:t>-</w:t>
            </w:r>
            <w:proofErr w:type="spellStart"/>
            <w:r w:rsidRPr="0002336F">
              <w:rPr>
                <w:lang w:eastAsia="en-AU"/>
              </w:rPr>
              <w:t>Scheinker</w:t>
            </w:r>
            <w:proofErr w:type="spellEnd"/>
            <w:r w:rsidRPr="0002336F">
              <w:rPr>
                <w:lang w:eastAsia="en-AU"/>
              </w:rPr>
              <w:t xml:space="preserve"> syndrome</w:t>
            </w:r>
          </w:p>
          <w:p w14:paraId="29DC72FF" w14:textId="77777777" w:rsidR="0002336F" w:rsidRPr="0002336F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02336F">
              <w:rPr>
                <w:b/>
                <w:bCs/>
                <w:lang w:eastAsia="en-AU"/>
              </w:rPr>
              <w:t>Laboratory Definitive Evidence</w:t>
            </w:r>
          </w:p>
          <w:p w14:paraId="0F172E83" w14:textId="77777777" w:rsidR="0002336F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Updated with greater detail</w:t>
            </w:r>
          </w:p>
          <w:p w14:paraId="4615446E" w14:textId="77777777" w:rsidR="0002336F" w:rsidRPr="000328CB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0328CB">
              <w:rPr>
                <w:b/>
                <w:bCs/>
                <w:lang w:eastAsia="en-AU"/>
              </w:rPr>
              <w:t xml:space="preserve">Probable Case </w:t>
            </w:r>
          </w:p>
          <w:p w14:paraId="48BA29B4" w14:textId="77777777" w:rsidR="0002336F" w:rsidRDefault="0002336F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Added several new evidence streams based around expert assessment of </w:t>
            </w:r>
            <w:r w:rsidR="000328CB">
              <w:rPr>
                <w:lang w:eastAsia="en-AU"/>
              </w:rPr>
              <w:t>p</w:t>
            </w:r>
            <w:r w:rsidR="000328CB" w:rsidRPr="000328CB">
              <w:rPr>
                <w:lang w:eastAsia="en-AU"/>
              </w:rPr>
              <w:t>rogressive neuropsychiatric disorder compatible with CJD</w:t>
            </w:r>
            <w:r w:rsidR="000328CB">
              <w:rPr>
                <w:lang w:eastAsia="en-AU"/>
              </w:rPr>
              <w:t xml:space="preserve"> coupled with clinical tests</w:t>
            </w:r>
          </w:p>
          <w:p w14:paraId="7A904E3F" w14:textId="77777777" w:rsidR="000328CB" w:rsidRPr="000328CB" w:rsidRDefault="000328C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0328CB">
              <w:rPr>
                <w:b/>
                <w:bCs/>
                <w:lang w:eastAsia="en-AU"/>
              </w:rPr>
              <w:t>Clinical Evidence</w:t>
            </w:r>
          </w:p>
          <w:p w14:paraId="47989EDB" w14:textId="77777777" w:rsidR="000328CB" w:rsidRDefault="000328C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Updated 1. from “</w:t>
            </w:r>
            <w:r w:rsidRPr="000328CB">
              <w:rPr>
                <w:lang w:eastAsia="en-AU"/>
              </w:rPr>
              <w:t>Progressive dementia of less than two years duration</w:t>
            </w:r>
            <w:r>
              <w:rPr>
                <w:lang w:eastAsia="en-AU"/>
              </w:rPr>
              <w:t>” to “</w:t>
            </w:r>
            <w:r w:rsidRPr="000328CB">
              <w:rPr>
                <w:lang w:eastAsia="en-AU"/>
              </w:rPr>
              <w:t>Rapidly progressive cognitive impairment</w:t>
            </w:r>
            <w:r>
              <w:rPr>
                <w:lang w:eastAsia="en-AU"/>
              </w:rPr>
              <w:t>”</w:t>
            </w:r>
          </w:p>
          <w:p w14:paraId="40BF282B" w14:textId="516FEBF2" w:rsidR="000328CB" w:rsidRPr="000328CB" w:rsidRDefault="000328C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0328CB">
              <w:rPr>
                <w:b/>
                <w:bCs/>
                <w:lang w:eastAsia="en-AU"/>
              </w:rPr>
              <w:t>Laboratory suggestive evidence</w:t>
            </w:r>
          </w:p>
          <w:p w14:paraId="0AD5AD5D" w14:textId="61D403CE" w:rsidR="000328CB" w:rsidRPr="00805C55" w:rsidRDefault="000328C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Removed</w:t>
            </w:r>
          </w:p>
        </w:tc>
        <w:tc>
          <w:tcPr>
            <w:tcW w:w="0" w:type="auto"/>
          </w:tcPr>
          <w:p w14:paraId="42688EC5" w14:textId="5C1AFFF6" w:rsidR="00BF06E9" w:rsidRPr="00805C55" w:rsidRDefault="00542EA3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CDNA </w:t>
            </w:r>
            <w:r w:rsidR="0002336F">
              <w:rPr>
                <w:lang w:eastAsia="en-AU"/>
              </w:rPr>
              <w:t xml:space="preserve">November </w:t>
            </w:r>
            <w:r w:rsidR="00BF06E9">
              <w:rPr>
                <w:lang w:eastAsia="en-AU"/>
              </w:rPr>
              <w:t>2025</w:t>
            </w:r>
          </w:p>
        </w:tc>
        <w:tc>
          <w:tcPr>
            <w:tcW w:w="0" w:type="auto"/>
          </w:tcPr>
          <w:p w14:paraId="4039E812" w14:textId="3EFC50CC" w:rsidR="00BF06E9" w:rsidRPr="00805C55" w:rsidRDefault="00BF06E9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January 2026</w:t>
            </w:r>
          </w:p>
        </w:tc>
      </w:tr>
    </w:tbl>
    <w:p w14:paraId="52E68610" w14:textId="77777777" w:rsidR="00B76474" w:rsidRDefault="00B76474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</w:p>
    <w:p w14:paraId="04569555" w14:textId="562E8D10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Reporting</w:t>
      </w:r>
    </w:p>
    <w:p w14:paraId="3A86524E" w14:textId="2A4A96B0" w:rsid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probable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cases should be notified</w:t>
      </w:r>
      <w:r w:rsidR="007E3D72">
        <w:rPr>
          <w:rStyle w:val="EndnoteReference"/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endnoteReference w:id="4"/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. </w:t>
      </w:r>
      <w:r w:rsidRPr="00805C55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39335EE3" w14:textId="41ECF52B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2CBF5EC" w14:textId="4E105273" w:rsidR="00805C55" w:rsidRPr="00805C55" w:rsidRDefault="00805C55" w:rsidP="00805C55">
      <w:pPr>
        <w:rPr>
          <w:rFonts w:ascii="Times New Roman" w:hAnsi="Times New Roman"/>
          <w:sz w:val="24"/>
          <w:lang w:eastAsia="en-AU"/>
        </w:rPr>
      </w:pP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805C5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</w:p>
    <w:p w14:paraId="65A60ED6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E94191D" w14:textId="70F1F567" w:rsidR="00805C55" w:rsidRPr="004F11A5" w:rsidRDefault="00623A78" w:rsidP="0002336F">
      <w:pPr>
        <w:rPr>
          <w:rFonts w:ascii="Times New Roman" w:hAnsi="Times New Roman"/>
          <w:sz w:val="24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Brain n</w:t>
      </w:r>
      <w:r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europathological </w:t>
      </w:r>
      <w:r w:rsidR="00805C55"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confirmation </w:t>
      </w:r>
      <w:r w:rsidRPr="00623A7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by immunochemical detection of abnormal prion protein (typically protease</w:t>
      </w:r>
      <w:r w:rsidR="0098600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-</w:t>
      </w:r>
      <w:r w:rsidRPr="00623A7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resistant</w:t>
      </w:r>
      <w:r w:rsidR="0098600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proofErr w:type="spellStart"/>
      <w:r w:rsidR="0098600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PrP</w:t>
      </w:r>
      <w:r w:rsidR="00986007" w:rsidRPr="00986007">
        <w:rPr>
          <w:rFonts w:ascii="Helvetica" w:hAnsi="Helvetica" w:cs="Helvetica"/>
          <w:color w:val="222222"/>
          <w:sz w:val="20"/>
          <w:szCs w:val="20"/>
          <w:shd w:val="clear" w:color="auto" w:fill="FFFFFF"/>
          <w:vertAlign w:val="superscript"/>
          <w:lang w:eastAsia="en-AU"/>
        </w:rPr>
        <w:t>Sc</w:t>
      </w:r>
      <w:proofErr w:type="spellEnd"/>
      <w:r w:rsidRPr="00623A7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) </w:t>
      </w:r>
      <w:r w:rsidR="00805C55" w:rsidRPr="00805C5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by</w:t>
      </w:r>
      <w:r w:rsidR="0002336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</w:t>
      </w:r>
      <w:r w:rsidR="00805C55" w:rsidRPr="00B76474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western blot </w:t>
      </w:r>
      <w:r w:rsidR="0002336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 i</w:t>
      </w:r>
      <w:r w:rsidR="00805C55"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mmunocytochemistry.</w:t>
      </w:r>
    </w:p>
    <w:p w14:paraId="02943133" w14:textId="77777777" w:rsidR="00805C55" w:rsidRPr="00805C55" w:rsidRDefault="00805C55" w:rsidP="00805C5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1312F05C" w14:textId="0D6053ED" w:rsidR="00DF059B" w:rsidRDefault="00DF059B" w:rsidP="00805C55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</w:p>
    <w:p w14:paraId="0350E3AE" w14:textId="26BC885A" w:rsidR="00DF059B" w:rsidRPr="000328CB" w:rsidRDefault="00986007" w:rsidP="00805C55">
      <w:pPr>
        <w:rPr>
          <w:rStyle w:val="eop"/>
          <w:rFonts w:ascii="Helvetica" w:eastAsiaTheme="majorEastAsia" w:hAnsi="Helvetica" w:cs="Helvetica"/>
          <w:sz w:val="20"/>
          <w:szCs w:val="20"/>
        </w:rPr>
      </w:pPr>
      <w:r w:rsidRPr="004F11A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</w:t>
      </w:r>
      <w:r w:rsidR="00DF059B" w:rsidRPr="004F11A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  <w:r w:rsidR="00805C55" w:rsidRPr="004F11A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</w:t>
      </w:r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 xml:space="preserve">progressive neuropsychiatric disorder compatible with CJD as determined by </w:t>
      </w:r>
      <w:r w:rsidR="007C2B67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 xml:space="preserve">an </w:t>
      </w:r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appropriate expert</w:t>
      </w:r>
      <w:r w:rsidR="005F7166" w:rsidRPr="000328CB">
        <w:rPr>
          <w:rStyle w:val="EndnoteReference"/>
          <w:rFonts w:ascii="Helvetica" w:eastAsiaTheme="majorEastAsia" w:hAnsi="Helvetica" w:cs="Helvetica"/>
          <w:sz w:val="20"/>
          <w:szCs w:val="20"/>
        </w:rPr>
        <w:endnoteReference w:id="5"/>
      </w:r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 xml:space="preserve"> AND positive real time-quaking induced conversion (RT-</w:t>
      </w:r>
      <w:proofErr w:type="spellStart"/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QuIC</w:t>
      </w:r>
      <w:proofErr w:type="spellEnd"/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 xml:space="preserve">) in CSF or other </w:t>
      </w:r>
      <w:proofErr w:type="gramStart"/>
      <w:r w:rsidR="00DF059B"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tissues</w:t>
      </w:r>
      <w:r w:rsidR="00DF059B" w:rsidRPr="000328CB">
        <w:rPr>
          <w:rStyle w:val="eop"/>
          <w:rFonts w:ascii="Helvetica" w:eastAsiaTheme="majorEastAsia" w:hAnsi="Helvetica" w:cs="Helvetica"/>
          <w:sz w:val="20"/>
          <w:szCs w:val="20"/>
        </w:rPr>
        <w:t> </w:t>
      </w:r>
      <w:r w:rsidR="007C2B67" w:rsidRPr="000328CB">
        <w:rPr>
          <w:rStyle w:val="eop"/>
          <w:rFonts w:ascii="Helvetica" w:eastAsiaTheme="majorEastAsia" w:hAnsi="Helvetica" w:cs="Helvetica"/>
          <w:sz w:val="20"/>
          <w:szCs w:val="20"/>
        </w:rPr>
        <w:t>;</w:t>
      </w:r>
      <w:proofErr w:type="gramEnd"/>
    </w:p>
    <w:p w14:paraId="7E76BF58" w14:textId="2FFAF097" w:rsidR="00DF059B" w:rsidRPr="004F11A5" w:rsidRDefault="00DF059B" w:rsidP="00805C55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</w:p>
    <w:p w14:paraId="4191AED5" w14:textId="4BB50C9A" w:rsidR="00CD6CA2" w:rsidRPr="004F11A5" w:rsidRDefault="00CD6CA2" w:rsidP="00805C55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</w:p>
    <w:p w14:paraId="56F666AB" w14:textId="77777777" w:rsidR="00CD6CA2" w:rsidRPr="004F11A5" w:rsidRDefault="00CD6CA2" w:rsidP="00805C55">
      <w:pP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</w:p>
    <w:p w14:paraId="369247C5" w14:textId="4C7171D7" w:rsidR="00CD6CA2" w:rsidRPr="000328CB" w:rsidRDefault="00DF059B" w:rsidP="00CD6CA2">
      <w:pPr>
        <w:rPr>
          <w:rStyle w:val="eop"/>
          <w:rFonts w:ascii="Helvetica" w:eastAsiaTheme="majorEastAsia" w:hAnsi="Helvetica" w:cs="Helvetica"/>
          <w:sz w:val="20"/>
          <w:szCs w:val="20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2.</w:t>
      </w:r>
      <w:r w:rsidR="00CD6CA2"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 Progressive neuropsychiatric disorder compatible with CJD and other related prion disease as determined by an appropriate </w:t>
      </w:r>
      <w:proofErr w:type="spellStart"/>
      <w:r w:rsidR="00CD6CA2" w:rsidRPr="000328CB">
        <w:rPr>
          <w:rStyle w:val="eop"/>
          <w:rFonts w:ascii="Helvetica" w:eastAsiaTheme="majorEastAsia" w:hAnsi="Helvetica" w:cs="Helvetica"/>
          <w:sz w:val="20"/>
          <w:szCs w:val="20"/>
        </w:rPr>
        <w:t>expert</w:t>
      </w:r>
      <w:r w:rsidR="004F11A5" w:rsidRPr="000328CB">
        <w:rPr>
          <w:rStyle w:val="eop"/>
          <w:rFonts w:ascii="Helvetica" w:eastAsiaTheme="majorEastAsia" w:hAnsi="Helvetica" w:cs="Helvetica"/>
          <w:sz w:val="20"/>
          <w:szCs w:val="20"/>
          <w:vertAlign w:val="superscript"/>
        </w:rPr>
        <w:t>iv</w:t>
      </w:r>
      <w:proofErr w:type="spellEnd"/>
      <w:r w:rsidR="00CD6CA2"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 AND definite or probable prion disease in 1</w:t>
      </w:r>
      <w:r w:rsidR="00CD6CA2" w:rsidRPr="000328CB">
        <w:rPr>
          <w:rStyle w:val="eop"/>
          <w:rFonts w:ascii="Helvetica" w:eastAsiaTheme="majorEastAsia" w:hAnsi="Helvetica" w:cs="Helvetica"/>
          <w:sz w:val="20"/>
          <w:szCs w:val="20"/>
          <w:vertAlign w:val="superscript"/>
        </w:rPr>
        <w:t>st</w:t>
      </w:r>
      <w:r w:rsidR="00CD6CA2"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 degree relative</w:t>
      </w:r>
    </w:p>
    <w:p w14:paraId="24D81A39" w14:textId="77777777" w:rsidR="00CD6CA2" w:rsidRPr="000328CB" w:rsidRDefault="00CD6CA2" w:rsidP="00CD6CA2">
      <w:pPr>
        <w:pStyle w:val="paragraph"/>
        <w:spacing w:before="0" w:beforeAutospacing="0" w:after="0" w:afterAutospacing="0"/>
        <w:contextualSpacing/>
        <w:rPr>
          <w:rStyle w:val="eop"/>
          <w:rFonts w:ascii="Helvetica" w:eastAsiaTheme="majorEastAsia" w:hAnsi="Helvetica" w:cs="Helvetica"/>
          <w:sz w:val="20"/>
          <w:szCs w:val="20"/>
        </w:rPr>
      </w:pPr>
    </w:p>
    <w:p w14:paraId="1172C564" w14:textId="154A58DE" w:rsidR="00CD6CA2" w:rsidRPr="000328CB" w:rsidRDefault="00CD6CA2" w:rsidP="00CD6CA2">
      <w:pPr>
        <w:pStyle w:val="paragraph"/>
        <w:spacing w:before="0" w:beforeAutospacing="0" w:after="0" w:afterAutospacing="0"/>
        <w:contextualSpacing/>
        <w:rPr>
          <w:rStyle w:val="eop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OR</w:t>
      </w:r>
    </w:p>
    <w:p w14:paraId="7B0B4825" w14:textId="77777777" w:rsidR="00CD6CA2" w:rsidRPr="000328CB" w:rsidRDefault="00CD6CA2" w:rsidP="00CD6CA2">
      <w:pPr>
        <w:pStyle w:val="paragraph"/>
        <w:spacing w:before="0" w:beforeAutospacing="0" w:after="0" w:afterAutospacing="0"/>
        <w:contextualSpacing/>
        <w:rPr>
          <w:rStyle w:val="eop"/>
          <w:rFonts w:ascii="Helvetica" w:eastAsiaTheme="majorEastAsia" w:hAnsi="Helvetica" w:cs="Helvetica"/>
          <w:sz w:val="20"/>
          <w:szCs w:val="20"/>
        </w:rPr>
      </w:pPr>
    </w:p>
    <w:p w14:paraId="7ADBA3D5" w14:textId="70200DE0" w:rsidR="00CD6CA2" w:rsidRPr="000328CB" w:rsidRDefault="00CD6CA2" w:rsidP="00CD6CA2">
      <w:pPr>
        <w:rPr>
          <w:rStyle w:val="eop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3. Progressive neuropsychiatric disorder compatible with CJD and other related prion disease as determined by an appropriate </w:t>
      </w:r>
      <w:proofErr w:type="spellStart"/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expert</w:t>
      </w:r>
      <w:r w:rsidR="004F11A5" w:rsidRPr="008E7437">
        <w:rPr>
          <w:rStyle w:val="eop"/>
          <w:rFonts w:ascii="Helvetica" w:eastAsiaTheme="majorEastAsia" w:hAnsi="Helvetica" w:cs="Helvetica"/>
          <w:sz w:val="20"/>
          <w:szCs w:val="20"/>
          <w:vertAlign w:val="superscript"/>
        </w:rPr>
        <w:t>iv</w:t>
      </w:r>
      <w:proofErr w:type="spellEnd"/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 AND recognised pathogenic </w:t>
      </w:r>
      <w:r w:rsidRPr="000328CB">
        <w:rPr>
          <w:rStyle w:val="eop"/>
          <w:rFonts w:ascii="Helvetica" w:eastAsiaTheme="majorEastAsia" w:hAnsi="Helvetica" w:cs="Helvetica"/>
          <w:i/>
          <w:iCs/>
          <w:sz w:val="20"/>
          <w:szCs w:val="20"/>
        </w:rPr>
        <w:t>PRNP</w:t>
      </w: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 xml:space="preserve"> sequence variation </w:t>
      </w:r>
    </w:p>
    <w:p w14:paraId="2FACBADE" w14:textId="57290DE6" w:rsidR="00DF059B" w:rsidRPr="000328CB" w:rsidRDefault="00DF059B" w:rsidP="00805C55">
      <w:pPr>
        <w:rPr>
          <w:rFonts w:ascii="Helvetica" w:hAnsi="Helvetica" w:cs="Helvetica"/>
          <w:sz w:val="20"/>
          <w:szCs w:val="20"/>
          <w:lang w:eastAsia="en-AU"/>
        </w:rPr>
      </w:pPr>
    </w:p>
    <w:p w14:paraId="64AF32B5" w14:textId="697CF938" w:rsidR="007E3D72" w:rsidRPr="000328CB" w:rsidRDefault="007E3D72" w:rsidP="007E3D72">
      <w:pPr>
        <w:pStyle w:val="paragraph"/>
        <w:spacing w:before="0" w:beforeAutospacing="0" w:after="0" w:afterAutospacing="0"/>
        <w:contextualSpacing/>
        <w:rPr>
          <w:rStyle w:val="eop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OR</w:t>
      </w:r>
    </w:p>
    <w:p w14:paraId="28375246" w14:textId="77777777" w:rsidR="007E3D72" w:rsidRPr="000328CB" w:rsidRDefault="007E3D72" w:rsidP="000328CB">
      <w:pPr>
        <w:pStyle w:val="paragraph"/>
        <w:spacing w:before="0" w:beforeAutospacing="0" w:after="0" w:afterAutospacing="0"/>
        <w:contextualSpacing/>
        <w:rPr>
          <w:rStyle w:val="eop"/>
          <w:rFonts w:ascii="Helvetica" w:eastAsiaTheme="majorEastAsia" w:hAnsi="Helvetica" w:cs="Helvetica"/>
          <w:sz w:val="20"/>
          <w:szCs w:val="20"/>
        </w:rPr>
      </w:pPr>
    </w:p>
    <w:p w14:paraId="208C6CAA" w14:textId="18C47862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 xml:space="preserve">4. Clinical evidence AND presence of 14-3-3 protein in cerebrospinal fluid (CSF) </w:t>
      </w:r>
    </w:p>
    <w:p w14:paraId="46317286" w14:textId="77777777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Helvetica" w:eastAsiaTheme="majorEastAsia" w:hAnsi="Helvetica" w:cs="Helvetica"/>
          <w:sz w:val="20"/>
          <w:szCs w:val="20"/>
        </w:rPr>
      </w:pPr>
    </w:p>
    <w:p w14:paraId="7203646E" w14:textId="077B5569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OR</w:t>
      </w:r>
    </w:p>
    <w:p w14:paraId="0730C36E" w14:textId="77777777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Helvetica" w:eastAsiaTheme="majorEastAsia" w:hAnsi="Helvetica" w:cs="Helvetica"/>
          <w:sz w:val="20"/>
          <w:szCs w:val="20"/>
        </w:rPr>
      </w:pPr>
    </w:p>
    <w:p w14:paraId="74C602FD" w14:textId="48A3604E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0"/>
          <w:szCs w:val="20"/>
        </w:rPr>
      </w:pPr>
      <w:r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5. Clinical evidence AND a typical MRI brain scan (that is, high signal in caudate/putamen or at least two cortical regions (temporal, parietal, occipital) either on DWI or FLAIR)</w:t>
      </w: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 </w:t>
      </w:r>
    </w:p>
    <w:p w14:paraId="6B6D8E4E" w14:textId="77777777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Helvetica" w:eastAsiaTheme="majorEastAsia" w:hAnsi="Helvetica" w:cs="Helvetica"/>
          <w:sz w:val="20"/>
          <w:szCs w:val="20"/>
        </w:rPr>
      </w:pPr>
    </w:p>
    <w:p w14:paraId="64F943D7" w14:textId="2F165BC1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Helvetica" w:eastAsiaTheme="majorEastAsia" w:hAnsi="Helvetica" w:cs="Helvetica"/>
          <w:sz w:val="20"/>
          <w:szCs w:val="20"/>
        </w:rPr>
      </w:pPr>
      <w:r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OR</w:t>
      </w:r>
    </w:p>
    <w:p w14:paraId="49AC7289" w14:textId="77777777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Helvetica" w:eastAsiaTheme="majorEastAsia" w:hAnsi="Helvetica" w:cs="Helvetica"/>
          <w:sz w:val="20"/>
          <w:szCs w:val="20"/>
        </w:rPr>
      </w:pPr>
    </w:p>
    <w:p w14:paraId="77B2CD07" w14:textId="0F136A0D" w:rsidR="007E3D72" w:rsidRPr="000328CB" w:rsidRDefault="007E3D72" w:rsidP="007E3D72">
      <w:pPr>
        <w:pStyle w:val="paragraph"/>
        <w:spacing w:before="0" w:beforeAutospacing="0" w:after="0" w:afterAutospacing="0"/>
        <w:contextualSpacing/>
        <w:textAlignment w:val="baseline"/>
        <w:rPr>
          <w:rFonts w:ascii="Helvetica" w:hAnsi="Helvetica" w:cs="Helvetica"/>
          <w:sz w:val="20"/>
          <w:szCs w:val="20"/>
        </w:rPr>
      </w:pPr>
      <w:r w:rsidRPr="000328CB">
        <w:rPr>
          <w:rStyle w:val="normaltextrun"/>
          <w:rFonts w:ascii="Helvetica" w:eastAsiaTheme="majorEastAsia" w:hAnsi="Helvetica" w:cs="Helvetica"/>
          <w:sz w:val="20"/>
          <w:szCs w:val="20"/>
        </w:rPr>
        <w:t>6. Clinical evidence AND a typical electroencephalogram (EEG) (that is, generalised periodic complexes)</w:t>
      </w:r>
      <w:r w:rsidRPr="000328CB">
        <w:rPr>
          <w:rStyle w:val="eop"/>
          <w:rFonts w:ascii="Helvetica" w:eastAsiaTheme="majorEastAsia" w:hAnsi="Helvetica" w:cs="Helvetica"/>
          <w:sz w:val="20"/>
          <w:szCs w:val="20"/>
        </w:rPr>
        <w:t> </w:t>
      </w:r>
    </w:p>
    <w:p w14:paraId="4EF457E1" w14:textId="77777777" w:rsidR="007E3D72" w:rsidRPr="00805C55" w:rsidRDefault="007E3D72" w:rsidP="00805C55">
      <w:pPr>
        <w:rPr>
          <w:rFonts w:ascii="Times New Roman" w:hAnsi="Times New Roman"/>
          <w:sz w:val="24"/>
          <w:lang w:eastAsia="en-AU"/>
        </w:rPr>
      </w:pPr>
    </w:p>
    <w:p w14:paraId="59934B35" w14:textId="77777777" w:rsidR="00805C55" w:rsidRPr="00805C55" w:rsidRDefault="00805C55" w:rsidP="00805C55">
      <w:pPr>
        <w:keepNext/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805C55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9B41E75" w14:textId="75F8EA27" w:rsidR="007E3D72" w:rsidRPr="000328CB" w:rsidRDefault="007E3D72" w:rsidP="000328CB">
      <w:pPr>
        <w:pStyle w:val="ListParagraph"/>
        <w:keepNext/>
        <w:numPr>
          <w:ilvl w:val="0"/>
          <w:numId w:val="22"/>
        </w:numPr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  <w:r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Rapidly progressive cognitive </w:t>
      </w:r>
      <w:proofErr w:type="gramStart"/>
      <w:r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impairment</w:t>
      </w:r>
      <w:r w:rsidR="00805C55"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;</w:t>
      </w:r>
      <w:proofErr w:type="gramEnd"/>
      <w:r w:rsidR="00805C55"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</w:t>
      </w:r>
    </w:p>
    <w:p w14:paraId="2BB6AF93" w14:textId="77777777" w:rsidR="004F11A5" w:rsidRPr="004F11A5" w:rsidRDefault="004F11A5" w:rsidP="007E3D72">
      <w:pPr>
        <w:pStyle w:val="ListParagraph"/>
        <w:keepNext/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</w:pPr>
    </w:p>
    <w:p w14:paraId="743075C5" w14:textId="63FAE882" w:rsidR="007E3D72" w:rsidRPr="000328CB" w:rsidRDefault="00805C55" w:rsidP="000328CB">
      <w:pPr>
        <w:pStyle w:val="ListParagraph"/>
        <w:keepNext/>
        <w:rPr>
          <w:rFonts w:ascii="Helvetica" w:hAnsi="Helvetica" w:cs="Helvetica"/>
          <w:sz w:val="20"/>
          <w:szCs w:val="20"/>
          <w:lang w:eastAsia="en-AU"/>
        </w:rPr>
      </w:pPr>
      <w:r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AND</w:t>
      </w:r>
      <w:r w:rsidRPr="000328C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</w:p>
    <w:p w14:paraId="02B927B2" w14:textId="01EB3314" w:rsidR="00805C55" w:rsidRPr="000328CB" w:rsidRDefault="00805C55" w:rsidP="000328CB">
      <w:pPr>
        <w:pStyle w:val="ListParagraph"/>
        <w:keepNext/>
        <w:numPr>
          <w:ilvl w:val="0"/>
          <w:numId w:val="22"/>
        </w:numPr>
        <w:rPr>
          <w:rFonts w:ascii="Helvetica" w:hAnsi="Helvetica" w:cs="Helvetica"/>
          <w:sz w:val="20"/>
          <w:szCs w:val="20"/>
          <w:lang w:eastAsia="en-AU"/>
        </w:rPr>
      </w:pPr>
      <w:r w:rsidRPr="000328C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At least 2 of the following clinical features:</w:t>
      </w:r>
    </w:p>
    <w:p w14:paraId="1434794F" w14:textId="77777777" w:rsidR="00805C55" w:rsidRPr="004F11A5" w:rsidRDefault="00805C55" w:rsidP="00805C55">
      <w:pPr>
        <w:keepNext/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lang w:eastAsia="en-AU"/>
        </w:rPr>
        <w:t>myoclonus</w:t>
      </w:r>
    </w:p>
    <w:p w14:paraId="3C1E9488" w14:textId="77777777" w:rsidR="00805C55" w:rsidRPr="004F11A5" w:rsidRDefault="00805C55" w:rsidP="00805C55">
      <w:pPr>
        <w:keepNext/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lang w:eastAsia="en-AU"/>
        </w:rPr>
        <w:t>visual or cerebellar signs</w:t>
      </w:r>
    </w:p>
    <w:p w14:paraId="7C350529" w14:textId="77777777" w:rsidR="00805C55" w:rsidRPr="004F11A5" w:rsidRDefault="00805C55" w:rsidP="00805C55">
      <w:pPr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lang w:eastAsia="en-AU"/>
        </w:rPr>
        <w:t>pyramidal/extrapyramidal signs</w:t>
      </w:r>
    </w:p>
    <w:p w14:paraId="1913FB58" w14:textId="77777777" w:rsidR="00805C55" w:rsidRPr="004F11A5" w:rsidRDefault="00805C55" w:rsidP="00805C55">
      <w:pPr>
        <w:numPr>
          <w:ilvl w:val="1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F11A5">
        <w:rPr>
          <w:rFonts w:ascii="Helvetica" w:hAnsi="Helvetica" w:cs="Helvetica"/>
          <w:color w:val="222222"/>
          <w:sz w:val="20"/>
          <w:szCs w:val="20"/>
          <w:lang w:eastAsia="en-AU"/>
        </w:rPr>
        <w:t>akinetic mutism.</w:t>
      </w:r>
    </w:p>
    <w:p w14:paraId="71B2F168" w14:textId="38BEA1EB" w:rsidR="009E0B84" w:rsidRDefault="009E0B84" w:rsidP="00805C55">
      <w:pPr>
        <w:pStyle w:val="Paragraphtext"/>
      </w:pPr>
    </w:p>
    <w:sectPr w:rsidR="009E0B84" w:rsidSect="000226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51D3" w14:textId="77777777" w:rsidR="0009359E" w:rsidRDefault="0009359E" w:rsidP="006B56BB">
      <w:r>
        <w:separator/>
      </w:r>
    </w:p>
    <w:p w14:paraId="51E8E232" w14:textId="77777777" w:rsidR="0009359E" w:rsidRDefault="0009359E"/>
  </w:endnote>
  <w:endnote w:type="continuationSeparator" w:id="0">
    <w:p w14:paraId="52068F9D" w14:textId="77777777" w:rsidR="0009359E" w:rsidRDefault="0009359E" w:rsidP="006B56BB">
      <w:r>
        <w:continuationSeparator/>
      </w:r>
    </w:p>
    <w:p w14:paraId="60C05E36" w14:textId="77777777" w:rsidR="0009359E" w:rsidRDefault="0009359E"/>
  </w:endnote>
  <w:endnote w:type="continuationNotice" w:id="1">
    <w:p w14:paraId="30D7DCA9" w14:textId="77777777" w:rsidR="0009359E" w:rsidRDefault="0009359E"/>
  </w:endnote>
  <w:endnote w:id="2">
    <w:p w14:paraId="39A4B08B" w14:textId="5FC7883B" w:rsidR="005F7166" w:rsidRPr="000328CB" w:rsidRDefault="005F7166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</w:t>
      </w:r>
      <w:r w:rsidRPr="000328CB">
        <w:rPr>
          <w:rFonts w:ascii="Helvetica" w:eastAsia="Aptos" w:hAnsi="Helvetica" w:cs="Helvetica"/>
          <w:sz w:val="16"/>
          <w:szCs w:val="16"/>
        </w:rPr>
        <w:t>Phenotypes of fatal familial insomnia (mostly genetic, but also sporadic), and Gerstmann-Straeussler-Scheinker syndrome should also be reported under this definition.</w:t>
      </w:r>
    </w:p>
  </w:endnote>
  <w:endnote w:id="3">
    <w:p w14:paraId="0DAF8B59" w14:textId="63A50209" w:rsidR="005F7166" w:rsidRPr="000328CB" w:rsidRDefault="005F7166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there is a separate case definition for variant CJD: https://www.health.gov.au/resources/publications/variant-creutzfeldt-jakob-disease-vcjd-surveillance-case-definition?language=en</w:t>
      </w:r>
    </w:p>
  </w:endnote>
  <w:endnote w:id="4">
    <w:p w14:paraId="40AB7EC1" w14:textId="30937B92" w:rsidR="007E3D72" w:rsidRPr="000328CB" w:rsidRDefault="007E3D72">
      <w:pPr>
        <w:pStyle w:val="EndnoteText"/>
        <w:rPr>
          <w:rFonts w:ascii="Helvetica" w:hAnsi="Helvetica" w:cs="Helvetica"/>
          <w:sz w:val="16"/>
          <w:szCs w:val="16"/>
        </w:rPr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</w:t>
      </w:r>
      <w:r w:rsidR="005F7166" w:rsidRPr="000328CB">
        <w:rPr>
          <w:rStyle w:val="normaltextrun"/>
          <w:rFonts w:ascii="Helvetica" w:eastAsiaTheme="majorEastAsia" w:hAnsi="Helvetica" w:cs="Helvetica"/>
          <w:sz w:val="16"/>
          <w:szCs w:val="16"/>
        </w:rPr>
        <w:t>This includes sporadic, acquired/accidental and genetic cases</w:t>
      </w:r>
    </w:p>
  </w:endnote>
  <w:endnote w:id="5">
    <w:p w14:paraId="29C79A7F" w14:textId="4D3917B3" w:rsidR="005F7166" w:rsidRDefault="005F7166">
      <w:pPr>
        <w:pStyle w:val="EndnoteText"/>
      </w:pPr>
      <w:r w:rsidRPr="000328CB">
        <w:rPr>
          <w:rStyle w:val="EndnoteReference"/>
          <w:rFonts w:ascii="Helvetica" w:hAnsi="Helvetica" w:cs="Helvetica"/>
          <w:sz w:val="16"/>
          <w:szCs w:val="16"/>
        </w:rPr>
        <w:endnoteRef/>
      </w:r>
      <w:r w:rsidRPr="000328CB">
        <w:rPr>
          <w:rFonts w:ascii="Helvetica" w:hAnsi="Helvetica" w:cs="Helvetica"/>
          <w:sz w:val="16"/>
          <w:szCs w:val="16"/>
        </w:rPr>
        <w:t xml:space="preserve"> An appropriate expert such as a neurologist or neuropsychiatrist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D81" w14:textId="3A80CDF3" w:rsidR="00204DD3" w:rsidRDefault="00204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69C9A0" wp14:editId="57314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59161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28EEB" w14:textId="5FB1AEB4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9C9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828EEB" w14:textId="5FB1AEB4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BF7" w14:textId="31EA412B" w:rsidR="00CD407A" w:rsidRDefault="00204DD3" w:rsidP="00805C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D2E997" wp14:editId="7635EBB3">
              <wp:simplePos x="897147" y="9946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91092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2C005" w14:textId="0AAD87D1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2E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A2C005" w14:textId="0AAD87D1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805C55" w:rsidRPr="00805C55">
              <w:t xml:space="preserve">Creutzfeldt-Jakob disease (CJD)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2916" w14:textId="17BF9C32" w:rsidR="00204DD3" w:rsidRDefault="00204D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D7F206" wp14:editId="6F8E34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790705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DE708" w14:textId="0824F1D4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7F2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CDE708" w14:textId="0824F1D4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9E25" w14:textId="77777777" w:rsidR="0009359E" w:rsidRDefault="0009359E" w:rsidP="006B56BB">
      <w:r>
        <w:separator/>
      </w:r>
    </w:p>
    <w:p w14:paraId="51E1CA15" w14:textId="77777777" w:rsidR="0009359E" w:rsidRDefault="0009359E"/>
  </w:footnote>
  <w:footnote w:type="continuationSeparator" w:id="0">
    <w:p w14:paraId="0182B229" w14:textId="77777777" w:rsidR="0009359E" w:rsidRDefault="0009359E" w:rsidP="006B56BB">
      <w:r>
        <w:continuationSeparator/>
      </w:r>
    </w:p>
    <w:p w14:paraId="0DF970C4" w14:textId="77777777" w:rsidR="0009359E" w:rsidRDefault="0009359E"/>
  </w:footnote>
  <w:footnote w:type="continuationNotice" w:id="1">
    <w:p w14:paraId="6939E3A8" w14:textId="77777777" w:rsidR="0009359E" w:rsidRDefault="00093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9E4A" w14:textId="0130E766" w:rsidR="00204DD3" w:rsidRDefault="00204D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29EE6C" wp14:editId="5E3E8C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323636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DA045" w14:textId="699A7BB0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9E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61DA045" w14:textId="699A7BB0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EC3A" w14:textId="32574EBD" w:rsidR="00204DD3" w:rsidRDefault="00204D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747503" wp14:editId="6BC47652">
              <wp:simplePos x="897147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76070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F639A" w14:textId="40DCEAC7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475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E3F639A" w14:textId="40DCEAC7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1E84" w14:textId="09B51ADF" w:rsidR="00204DD3" w:rsidRDefault="00204D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48D45" wp14:editId="3EA8E1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380932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B3D52" w14:textId="301C62F5" w:rsidR="00204DD3" w:rsidRPr="00204DD3" w:rsidRDefault="00204DD3" w:rsidP="00204D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04D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48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F6B3D52" w14:textId="301C62F5" w:rsidR="00204DD3" w:rsidRPr="00204DD3" w:rsidRDefault="00204DD3" w:rsidP="00204D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04DD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052758"/>
    <w:multiLevelType w:val="hybridMultilevel"/>
    <w:tmpl w:val="6F2682E0"/>
    <w:lvl w:ilvl="0" w:tplc="4192DE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A5D"/>
    <w:multiLevelType w:val="multilevel"/>
    <w:tmpl w:val="3E7E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0C5279"/>
    <w:multiLevelType w:val="hybridMultilevel"/>
    <w:tmpl w:val="2B6AFA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B5837"/>
    <w:multiLevelType w:val="hybridMultilevel"/>
    <w:tmpl w:val="E1145E84"/>
    <w:lvl w:ilvl="0" w:tplc="58262BB4">
      <w:start w:val="1"/>
      <w:numFmt w:val="lowerLetter"/>
      <w:lvlText w:val="%1)"/>
      <w:lvlJc w:val="left"/>
      <w:pPr>
        <w:ind w:left="770" w:hanging="360"/>
      </w:pPr>
      <w:rPr>
        <w:rFonts w:ascii="Helvetica" w:hAnsi="Helvetica" w:cs="Helvetica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21950427">
    <w:abstractNumId w:val="7"/>
  </w:num>
  <w:num w:numId="2" w16cid:durableId="567960455">
    <w:abstractNumId w:val="16"/>
  </w:num>
  <w:num w:numId="3" w16cid:durableId="1560750831">
    <w:abstractNumId w:val="20"/>
  </w:num>
  <w:num w:numId="4" w16cid:durableId="5208140">
    <w:abstractNumId w:val="8"/>
  </w:num>
  <w:num w:numId="5" w16cid:durableId="122775685">
    <w:abstractNumId w:val="8"/>
    <w:lvlOverride w:ilvl="0">
      <w:startOverride w:val="1"/>
    </w:lvlOverride>
  </w:num>
  <w:num w:numId="6" w16cid:durableId="1926528077">
    <w:abstractNumId w:val="9"/>
  </w:num>
  <w:num w:numId="7" w16cid:durableId="2122335729">
    <w:abstractNumId w:val="15"/>
  </w:num>
  <w:num w:numId="8" w16cid:durableId="944727755">
    <w:abstractNumId w:val="19"/>
  </w:num>
  <w:num w:numId="9" w16cid:durableId="1681085335">
    <w:abstractNumId w:val="5"/>
  </w:num>
  <w:num w:numId="10" w16cid:durableId="281763810">
    <w:abstractNumId w:val="4"/>
  </w:num>
  <w:num w:numId="11" w16cid:durableId="1674868027">
    <w:abstractNumId w:val="3"/>
  </w:num>
  <w:num w:numId="12" w16cid:durableId="332883303">
    <w:abstractNumId w:val="2"/>
  </w:num>
  <w:num w:numId="13" w16cid:durableId="494807786">
    <w:abstractNumId w:val="6"/>
  </w:num>
  <w:num w:numId="14" w16cid:durableId="1331980495">
    <w:abstractNumId w:val="1"/>
  </w:num>
  <w:num w:numId="15" w16cid:durableId="551115862">
    <w:abstractNumId w:val="0"/>
  </w:num>
  <w:num w:numId="16" w16cid:durableId="197012108">
    <w:abstractNumId w:val="21"/>
  </w:num>
  <w:num w:numId="17" w16cid:durableId="573903328">
    <w:abstractNumId w:val="10"/>
  </w:num>
  <w:num w:numId="18" w16cid:durableId="2032488646">
    <w:abstractNumId w:val="11"/>
  </w:num>
  <w:num w:numId="19" w16cid:durableId="2093501335">
    <w:abstractNumId w:val="12"/>
  </w:num>
  <w:num w:numId="20" w16cid:durableId="1162627660">
    <w:abstractNumId w:val="14"/>
  </w:num>
  <w:num w:numId="21" w16cid:durableId="2102292561">
    <w:abstractNumId w:val="17"/>
  </w:num>
  <w:num w:numId="22" w16cid:durableId="1516575527">
    <w:abstractNumId w:val="13"/>
  </w:num>
  <w:num w:numId="23" w16cid:durableId="1125080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55"/>
    <w:rsid w:val="00003743"/>
    <w:rsid w:val="000047B4"/>
    <w:rsid w:val="00005712"/>
    <w:rsid w:val="000069F9"/>
    <w:rsid w:val="00007FD8"/>
    <w:rsid w:val="000117F8"/>
    <w:rsid w:val="0001460F"/>
    <w:rsid w:val="00022629"/>
    <w:rsid w:val="0002336F"/>
    <w:rsid w:val="00026139"/>
    <w:rsid w:val="00027601"/>
    <w:rsid w:val="000328CB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59E"/>
    <w:rsid w:val="00093981"/>
    <w:rsid w:val="000963B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092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04DD3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AD6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E54B9"/>
    <w:rsid w:val="004F11A5"/>
    <w:rsid w:val="004F13EE"/>
    <w:rsid w:val="004F2022"/>
    <w:rsid w:val="004F7C05"/>
    <w:rsid w:val="00501C94"/>
    <w:rsid w:val="00506432"/>
    <w:rsid w:val="0052051D"/>
    <w:rsid w:val="00542EA3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427B"/>
    <w:rsid w:val="005E6883"/>
    <w:rsid w:val="005E772F"/>
    <w:rsid w:val="005F4ECA"/>
    <w:rsid w:val="005F7166"/>
    <w:rsid w:val="006041BE"/>
    <w:rsid w:val="006043C7"/>
    <w:rsid w:val="00623A78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4214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B2660"/>
    <w:rsid w:val="007C1FDC"/>
    <w:rsid w:val="007C2B67"/>
    <w:rsid w:val="007C6D9C"/>
    <w:rsid w:val="007C7DDB"/>
    <w:rsid w:val="007D2CC7"/>
    <w:rsid w:val="007D673D"/>
    <w:rsid w:val="007E3D72"/>
    <w:rsid w:val="007E4D09"/>
    <w:rsid w:val="007F2220"/>
    <w:rsid w:val="007F4B3E"/>
    <w:rsid w:val="00800DEB"/>
    <w:rsid w:val="00805C55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5656D"/>
    <w:rsid w:val="00960D6E"/>
    <w:rsid w:val="00974B59"/>
    <w:rsid w:val="0098340B"/>
    <w:rsid w:val="00986007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1A0A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76474"/>
    <w:rsid w:val="00B82563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178F"/>
    <w:rsid w:val="00BC4A19"/>
    <w:rsid w:val="00BC4E6D"/>
    <w:rsid w:val="00BD0617"/>
    <w:rsid w:val="00BD2E9B"/>
    <w:rsid w:val="00BD7FB2"/>
    <w:rsid w:val="00BF06E9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D6CA2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650B4"/>
    <w:rsid w:val="00D70A3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59B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3749F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19493"/>
  <w15:docId w15:val="{F0542275-1B05-4A3F-8149-AE452DDD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805C5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Revision">
    <w:name w:val="Revision"/>
    <w:hidden/>
    <w:uiPriority w:val="99"/>
    <w:semiHidden/>
    <w:rsid w:val="004E54B9"/>
    <w:rPr>
      <w:rFonts w:ascii="Arial" w:hAnsi="Arial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DF059B"/>
  </w:style>
  <w:style w:type="character" w:customStyle="1" w:styleId="eop">
    <w:name w:val="eop"/>
    <w:basedOn w:val="DefaultParagraphFont"/>
    <w:rsid w:val="00DF059B"/>
  </w:style>
  <w:style w:type="paragraph" w:customStyle="1" w:styleId="paragraph">
    <w:name w:val="paragraph"/>
    <w:basedOn w:val="Normal"/>
    <w:rsid w:val="00CD6CA2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EndnoteText">
    <w:name w:val="endnote text"/>
    <w:basedOn w:val="Normal"/>
    <w:link w:val="EndnoteTextChar"/>
    <w:semiHidden/>
    <w:unhideWhenUsed/>
    <w:rsid w:val="007E3D7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E3D72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semiHidden/>
    <w:unhideWhenUsed/>
    <w:rsid w:val="007E3D7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F71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F11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1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1A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1A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28E870F0-D2BC-4CCB-AF0E-8FE34125A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363</Words>
  <Characters>2330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Creutzfeldt-Jakob disease (CJD) – Surveillance case definition</vt:lpstr>
    </vt:vector>
  </TitlesOfParts>
  <Company>Department of Health, Disability and Ageing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Creutzfeldt-Jakob disease (CJD) – Surveillance case definition</dc:title>
  <dc:creator>Communicable Diseases Network Australia</dc:creator>
  <cp:keywords>Communicable diseases</cp:keywords>
  <cp:lastPrinted>2025-12-09T21:02:00Z</cp:lastPrinted>
  <dcterms:created xsi:type="dcterms:W3CDTF">2025-11-06T05:58:00Z</dcterms:created>
  <dcterms:modified xsi:type="dcterms:W3CDTF">2026-02-25T03:40:00Z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  <property fmtid="{D5CDD505-2E9C-101B-9397-08002B2CF9AE}" pid="5" name="ClassificationContentMarkingHeaderShapeIds">
    <vt:lpwstr>7f70b6d8,49746083,1b4687a0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5232f257,486638e,58e045c5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2025-11-06T02:32:19Z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e300f1b4-c97b-41b3-8a8d-37c8937548fd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