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2A2E" w:rsidRDefault="00B254A9" w:rsidP="00882A2E">
      <w:pPr>
        <w:pStyle w:val="Title"/>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2A2E">
        <w:rPr>
          <w:noProof/>
        </w:rPr>
        <w:t>National Communicable Diseases Surveillance Report</w:t>
      </w:r>
    </w:p>
    <w:p w14:paraId="201EB98E" w14:textId="778ACB10" w:rsidR="00AC0D80" w:rsidRPr="00882A2E" w:rsidRDefault="00807835" w:rsidP="00882A2E">
      <w:pPr>
        <w:pStyle w:val="Title"/>
        <w:rPr>
          <w:noProof/>
        </w:rPr>
      </w:pPr>
      <w:r w:rsidRPr="00882A2E">
        <w:rPr>
          <w:noProof/>
        </w:rPr>
        <w:t xml:space="preserve">Fortnight </w:t>
      </w:r>
      <w:r w:rsidR="006E0D7B">
        <w:rPr>
          <w:noProof/>
        </w:rPr>
        <w:t>3</w:t>
      </w:r>
      <w:r w:rsidR="00F816D5" w:rsidRPr="00882A2E">
        <w:rPr>
          <w:noProof/>
        </w:rPr>
        <w:t>,</w:t>
      </w:r>
      <w:r w:rsidR="003D48B5" w:rsidRPr="00882A2E">
        <w:rPr>
          <w:noProof/>
        </w:rPr>
        <w:t xml:space="preserve"> </w:t>
      </w:r>
      <w:r w:rsidR="00924FC7" w:rsidRPr="00882A2E">
        <w:rPr>
          <w:noProof/>
        </w:rPr>
        <w:t>202</w:t>
      </w:r>
      <w:r w:rsidR="006B08F7">
        <w:rPr>
          <w:noProof/>
        </w:rPr>
        <w:t>6</w:t>
      </w:r>
      <w:r w:rsidR="00031B33" w:rsidRPr="00882A2E">
        <w:rPr>
          <w:noProof/>
        </w:rPr>
        <w:t xml:space="preserve"> </w:t>
      </w:r>
      <w:r w:rsidRPr="00882A2E">
        <w:rPr>
          <w:noProof/>
        </w:rPr>
        <w:t>Summary Notes</w:t>
      </w:r>
      <w:r w:rsidR="00EB26EC" w:rsidRPr="00882A2E">
        <w:rPr>
          <w:noProof/>
        </w:rPr>
        <w:t xml:space="preserve"> for Selected Diseases</w:t>
      </w:r>
      <w:r w:rsidR="00882A2E">
        <w:rPr>
          <w:noProof/>
        </w:rPr>
        <w:t xml:space="preserve"> </w:t>
      </w:r>
      <w:bookmarkEnd w:id="0"/>
      <w:bookmarkEnd w:id="1"/>
      <w:bookmarkEnd w:id="2"/>
      <w:r w:rsidR="00843443">
        <w:rPr>
          <w:noProof/>
        </w:rPr>
        <w:t>2</w:t>
      </w:r>
      <w:r w:rsidR="00843443" w:rsidRPr="00843443">
        <w:rPr>
          <w:noProof/>
          <w:vertAlign w:val="superscript"/>
        </w:rPr>
        <w:t>nd</w:t>
      </w:r>
      <w:r w:rsidR="00843443">
        <w:rPr>
          <w:noProof/>
        </w:rPr>
        <w:t xml:space="preserve"> </w:t>
      </w:r>
      <w:r w:rsidR="006E0D7B">
        <w:rPr>
          <w:noProof/>
        </w:rPr>
        <w:t>February</w:t>
      </w:r>
      <w:r w:rsidR="006B08F7">
        <w:rPr>
          <w:noProof/>
        </w:rPr>
        <w:t xml:space="preserve"> 2026</w:t>
      </w:r>
      <w:r w:rsidR="00843443">
        <w:rPr>
          <w:noProof/>
        </w:rPr>
        <w:t xml:space="preserve"> to 15</w:t>
      </w:r>
      <w:r w:rsidR="00843443" w:rsidRPr="00843443">
        <w:rPr>
          <w:noProof/>
          <w:vertAlign w:val="superscript"/>
        </w:rPr>
        <w:t>th</w:t>
      </w:r>
      <w:r w:rsidR="00843443">
        <w:rPr>
          <w:noProof/>
        </w:rPr>
        <w:t xml:space="preserve"> February 2026</w:t>
      </w:r>
    </w:p>
    <w:p w14:paraId="1A995816" w14:textId="77777777" w:rsidR="00EE70D3" w:rsidRDefault="00A755BC" w:rsidP="00EE70D3">
      <w:pPr>
        <w:pStyle w:val="Heading2"/>
        <w:rPr>
          <w:rFonts w:ascii="Calibri" w:hAnsi="Calibri"/>
          <w:i w:val="0"/>
          <w:sz w:val="24"/>
        </w:rPr>
      </w:pPr>
      <w:r w:rsidRPr="00882A2E">
        <w:rPr>
          <w:rFonts w:ascii="Calibri" w:hAnsi="Calibri"/>
          <w:i w:val="0"/>
          <w:sz w:val="24"/>
        </w:rPr>
        <w:t>Infectious and congenital syphilis</w:t>
      </w:r>
    </w:p>
    <w:p w14:paraId="291FDF98" w14:textId="4595B04D" w:rsidR="00F605F3" w:rsidRDefault="00F605F3" w:rsidP="00EE70D3">
      <w:pPr>
        <w:rPr>
          <w:rFonts w:asciiTheme="minorHAnsi" w:hAnsiTheme="minorHAnsi" w:cstheme="minorHAnsi"/>
        </w:rPr>
      </w:pPr>
      <w:r w:rsidRPr="00F605F3">
        <w:rPr>
          <w:rFonts w:asciiTheme="minorHAnsi" w:hAnsiTheme="minorHAnsi" w:cstheme="minorHAnsi"/>
        </w:rPr>
        <w:t>On 7 August 2025, the Chief Medical Officer declared syphilis a </w:t>
      </w:r>
      <w:hyperlink r:id="rId8" w:tooltip="https://www.health.gov.au/news/cmo-statement-syphilis-cdins" w:history="1">
        <w:r w:rsidRPr="00F605F3">
          <w:rPr>
            <w:rStyle w:val="Hyperlink"/>
            <w:rFonts w:asciiTheme="minorHAnsi" w:hAnsiTheme="minorHAnsi" w:cstheme="minorHAnsi"/>
          </w:rPr>
          <w:t>Communicable Disease Incident of National Significance (CDINS)</w:t>
        </w:r>
      </w:hyperlink>
      <w:r w:rsidRPr="00F605F3">
        <w:rPr>
          <w:rFonts w:asciiTheme="minorHAnsi" w:hAnsiTheme="minorHAnsi" w:cstheme="minorHAnsi"/>
        </w:rPr>
        <w:t>. The CDINS will bring together national efforts to coordinate an enhanced national response to syphilis, working closely with the states and territories and other key stakeholders, to work on key actions in the </w:t>
      </w:r>
      <w:hyperlink r:id="rId9" w:tooltip="https://www.cdc.gov.au/resources/publications/national-syphilis-response-plan-2023-2030" w:history="1">
        <w:r w:rsidRPr="00F605F3">
          <w:rPr>
            <w:rStyle w:val="Hyperlink"/>
            <w:rFonts w:asciiTheme="minorHAnsi" w:hAnsiTheme="minorHAnsi" w:cstheme="minorHAnsi"/>
          </w:rPr>
          <w:t>National Syphilis Response Plan</w:t>
        </w:r>
      </w:hyperlink>
      <w:r w:rsidRPr="00F605F3">
        <w:rPr>
          <w:rFonts w:asciiTheme="minorHAnsi" w:hAnsiTheme="minorHAnsi" w:cstheme="minorHAnsi"/>
        </w:rPr>
        <w:t>.</w:t>
      </w:r>
    </w:p>
    <w:p w14:paraId="62FC0333" w14:textId="6CC3A863" w:rsidR="00F605F3" w:rsidRDefault="00F605F3" w:rsidP="00F605F3">
      <w:pPr>
        <w:spacing w:before="240"/>
        <w:rPr>
          <w:rFonts w:asciiTheme="minorHAnsi" w:hAnsiTheme="minorHAnsi" w:cstheme="minorHAnsi"/>
          <w:u w:val="single"/>
        </w:rPr>
      </w:pPr>
      <w:r w:rsidRPr="00F605F3">
        <w:rPr>
          <w:rFonts w:asciiTheme="minorHAnsi" w:hAnsiTheme="minorHAnsi" w:cstheme="minorHAnsi"/>
        </w:rPr>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0" w:tooltip="https://www.health.gov.au/resources/collections/national-syphilis-monitoring-reports" w:history="1">
        <w:r w:rsidRPr="00F605F3">
          <w:rPr>
            <w:rStyle w:val="Hyperlink"/>
            <w:rFonts w:asciiTheme="minorHAnsi" w:hAnsiTheme="minorHAnsi" w:cstheme="minorHAnsi"/>
          </w:rPr>
          <w:t>National syphilis surveillance reports</w:t>
        </w:r>
      </w:hyperlink>
      <w:r w:rsidRPr="00F605F3">
        <w:rPr>
          <w:rFonts w:asciiTheme="minorHAnsi" w:hAnsiTheme="minorHAnsi" w:cstheme="minorHAnsi"/>
          <w:u w:val="single"/>
        </w:rPr>
        <w:t>.</w:t>
      </w:r>
    </w:p>
    <w:p w14:paraId="03522D8E" w14:textId="70880C71" w:rsidR="00843443" w:rsidRDefault="00843443" w:rsidP="00843443">
      <w:pPr>
        <w:pStyle w:val="Heading2"/>
        <w:spacing w:after="0"/>
        <w:rPr>
          <w:rFonts w:ascii="Calibri" w:hAnsi="Calibri"/>
          <w:i w:val="0"/>
          <w:sz w:val="24"/>
        </w:rPr>
      </w:pPr>
      <w:r w:rsidRPr="00843443">
        <w:rPr>
          <w:rFonts w:ascii="Calibri" w:hAnsi="Calibri"/>
          <w:i w:val="0"/>
          <w:sz w:val="24"/>
        </w:rPr>
        <w:t>Diphtheria</w:t>
      </w:r>
      <w:r>
        <w:rPr>
          <w:rFonts w:ascii="Calibri" w:hAnsi="Calibri"/>
          <w:i w:val="0"/>
          <w:sz w:val="24"/>
        </w:rPr>
        <w:t xml:space="preserve"> update</w:t>
      </w:r>
    </w:p>
    <w:p w14:paraId="06E61A16" w14:textId="38648514" w:rsidR="00843443" w:rsidRPr="00843443" w:rsidRDefault="00843443" w:rsidP="00843443">
      <w:pPr>
        <w:rPr>
          <w:rFonts w:asciiTheme="minorHAnsi" w:hAnsiTheme="minorHAnsi" w:cstheme="minorHAnsi"/>
        </w:rPr>
      </w:pPr>
      <w:r w:rsidRPr="00843443">
        <w:rPr>
          <w:rFonts w:asciiTheme="minorHAnsi" w:hAnsiTheme="minorHAnsi" w:cstheme="minorHAnsi"/>
        </w:rPr>
        <w:t>During the past fortnight, 4 cases of diphtheria were notified to the National Notifiable Diseases Surveillance System (NNDSS) in Australia. Of these, 2 were reported in Western Australia, 1 in the Northern Territory, and 1 in Queensland. There has been a total of 9 cases of diphtheria notified in 2026. All cases were classified as cutaneous (skin) diphtheria.</w:t>
      </w:r>
    </w:p>
    <w:p w14:paraId="44835F7C" w14:textId="1EC47972" w:rsidR="00843443" w:rsidRPr="00843443" w:rsidRDefault="00843443" w:rsidP="00843443">
      <w:pPr>
        <w:pStyle w:val="Heading2"/>
        <w:spacing w:after="0"/>
        <w:rPr>
          <w:rFonts w:ascii="Calibri" w:hAnsi="Calibri"/>
          <w:i w:val="0"/>
          <w:sz w:val="24"/>
        </w:rPr>
      </w:pPr>
      <w:r w:rsidRPr="00843443">
        <w:rPr>
          <w:rFonts w:ascii="Calibri" w:hAnsi="Calibri"/>
          <w:i w:val="0"/>
          <w:sz w:val="24"/>
        </w:rPr>
        <w:t>Measles</w:t>
      </w:r>
      <w:r>
        <w:rPr>
          <w:rFonts w:ascii="Calibri" w:hAnsi="Calibri"/>
          <w:i w:val="0"/>
          <w:sz w:val="24"/>
        </w:rPr>
        <w:t xml:space="preserve"> update</w:t>
      </w:r>
    </w:p>
    <w:p w14:paraId="497CB976" w14:textId="7329C065" w:rsidR="00843443" w:rsidRPr="00843443" w:rsidRDefault="00843443" w:rsidP="00843443">
      <w:pPr>
        <w:rPr>
          <w:rFonts w:asciiTheme="minorHAnsi" w:hAnsiTheme="minorHAnsi" w:cstheme="minorHAnsi"/>
        </w:rPr>
      </w:pPr>
      <w:r w:rsidRPr="00843443">
        <w:rPr>
          <w:rFonts w:asciiTheme="minorHAnsi" w:hAnsiTheme="minorHAnsi" w:cstheme="minorHAnsi"/>
        </w:rPr>
        <w:t xml:space="preserve">During the past fortnight, 16 cases of measles were notified to the NNDSS in Australia. Of these, 9 were reported in New South Wales, 3 in Victoria, 2 in South Australia, 1 in Queensland, and 1 in Western Australia. There has been a total of 41 cases of measles notified in 2026. Most cases continue to occur in people who are under-vaccinated or have an unknown vaccination status, particularly among those who have recently travelled overseas and their contacts. </w:t>
      </w:r>
    </w:p>
    <w:p w14:paraId="15978A89" w14:textId="6BAF91E4" w:rsidR="00C37A92" w:rsidRPr="00882A2E" w:rsidRDefault="00C37A92" w:rsidP="0077660C">
      <w:pPr>
        <w:pStyle w:val="Heading2"/>
        <w:rPr>
          <w:rFonts w:ascii="Calibri" w:hAnsi="Calibri"/>
          <w:i w:val="0"/>
          <w:sz w:val="24"/>
        </w:rPr>
      </w:pPr>
      <w:r w:rsidRPr="00882A2E">
        <w:rPr>
          <w:rFonts w:ascii="Calibri" w:hAnsi="Calibri"/>
          <w:i w:val="0"/>
          <w:sz w:val="24"/>
        </w:rPr>
        <w:t>Interpretative Notes</w:t>
      </w:r>
    </w:p>
    <w:bookmarkEnd w:id="3"/>
    <w:bookmarkEnd w:id="4"/>
    <w:bookmarkEnd w:id="5"/>
    <w:bookmarkEnd w:id="6"/>
    <w:p w14:paraId="71AA7033" w14:textId="678FBC81" w:rsidR="00017515" w:rsidRPr="00882A2E" w:rsidRDefault="00017515" w:rsidP="00017515">
      <w:pPr>
        <w:spacing w:after="120"/>
        <w:rPr>
          <w:rFonts w:ascii="Calibri" w:hAnsi="Calibri" w:cs="Calibri"/>
          <w:iCs/>
          <w:sz w:val="20"/>
          <w:szCs w:val="20"/>
        </w:rPr>
      </w:pPr>
      <w:r w:rsidRPr="00882A2E">
        <w:rPr>
          <w:rFonts w:ascii="Calibri" w:hAnsi="Calibri" w:cs="Calibri"/>
          <w:iCs/>
          <w:color w:val="000000"/>
          <w:sz w:val="20"/>
          <w:szCs w:val="20"/>
        </w:rPr>
        <w:t xml:space="preserve">Selected diseases are chosen each fortnight based on either exceeding two standard deviations from the 90 day and/or </w:t>
      </w:r>
      <w:r w:rsidR="00307B1C" w:rsidRPr="00882A2E">
        <w:rPr>
          <w:rFonts w:ascii="Calibri" w:hAnsi="Calibri" w:cs="Calibri"/>
          <w:iCs/>
          <w:color w:val="000000"/>
          <w:sz w:val="20"/>
          <w:szCs w:val="20"/>
        </w:rPr>
        <w:t>365-day</w:t>
      </w:r>
      <w:r w:rsidRPr="00882A2E">
        <w:rPr>
          <w:rFonts w:ascii="Calibri" w:hAnsi="Calibri" w:cs="Calibri"/>
          <w:iCs/>
          <w:color w:val="000000"/>
          <w:sz w:val="20"/>
          <w:szCs w:val="20"/>
        </w:rPr>
        <w:t xml:space="preserve"> </w:t>
      </w:r>
      <w:proofErr w:type="gramStart"/>
      <w:r w:rsidRPr="00882A2E">
        <w:rPr>
          <w:rFonts w:ascii="Calibri" w:hAnsi="Calibri" w:cs="Calibri"/>
          <w:iCs/>
          <w:color w:val="000000"/>
          <w:sz w:val="20"/>
          <w:szCs w:val="20"/>
        </w:rPr>
        <w:t>five year</w:t>
      </w:r>
      <w:proofErr w:type="gramEnd"/>
      <w:r w:rsidRPr="00882A2E">
        <w:rPr>
          <w:rFonts w:ascii="Calibri" w:hAnsi="Calibri" w:cs="Calibri"/>
          <w:iCs/>
          <w:color w:val="000000"/>
          <w:sz w:val="20"/>
          <w:szCs w:val="20"/>
        </w:rPr>
        <w:t xml:space="preserve"> rolling mean or other disease issues of significance identified during the reporting period.  </w:t>
      </w:r>
      <w:r w:rsidRPr="00882A2E">
        <w:rPr>
          <w:rFonts w:ascii="Calibri" w:hAnsi="Calibri" w:cs="Calibri"/>
          <w:iCs/>
          <w:sz w:val="20"/>
          <w:szCs w:val="20"/>
        </w:rPr>
        <w:t>All diseases reported are analysed by notification receive date.  Data are extracted each Monday of a CDNA week.</w:t>
      </w:r>
    </w:p>
    <w:p w14:paraId="329F4AD7" w14:textId="77777777" w:rsidR="00017515" w:rsidRPr="00882A2E" w:rsidRDefault="00017515" w:rsidP="00017515">
      <w:pPr>
        <w:autoSpaceDE w:val="0"/>
        <w:autoSpaceDN w:val="0"/>
        <w:adjustRightInd w:val="0"/>
        <w:spacing w:after="120"/>
        <w:rPr>
          <w:rFonts w:ascii="Calibri" w:hAnsi="Calibri" w:cs="Calibri"/>
          <w:iCs/>
          <w:color w:val="000000"/>
          <w:sz w:val="20"/>
          <w:szCs w:val="20"/>
        </w:rPr>
      </w:pPr>
      <w:r w:rsidRPr="00882A2E">
        <w:rPr>
          <w:rFonts w:ascii="Calibri" w:hAnsi="Calibri" w:cs="Calibri"/>
          <w:iCs/>
          <w:color w:val="000000"/>
          <w:sz w:val="20"/>
          <w:szCs w:val="20"/>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0477FC6C"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1</w:t>
      </w:r>
      <w:r w:rsidRPr="00882A2E">
        <w:rPr>
          <w:rFonts w:ascii="Calibri" w:hAnsi="Calibri" w:cs="Calibri"/>
          <w:iCs/>
          <w:sz w:val="20"/>
          <w:szCs w:val="20"/>
        </w:rPr>
        <w:t>The past quarter (90 day) surveillance period includes the date range (</w:t>
      </w:r>
      <w:r w:rsidR="00843443">
        <w:rPr>
          <w:rFonts w:ascii="Calibri" w:hAnsi="Calibri" w:cs="Calibri"/>
          <w:iCs/>
          <w:sz w:val="20"/>
          <w:szCs w:val="20"/>
        </w:rPr>
        <w:t>18</w:t>
      </w:r>
      <w:r w:rsidR="006E0D7B">
        <w:rPr>
          <w:rFonts w:ascii="Calibri" w:hAnsi="Calibri" w:cs="Calibri"/>
          <w:iCs/>
          <w:sz w:val="20"/>
          <w:szCs w:val="20"/>
        </w:rPr>
        <w:t>/11</w:t>
      </w:r>
      <w:r w:rsidR="000E3B91" w:rsidRPr="00882A2E">
        <w:rPr>
          <w:rFonts w:ascii="Calibri" w:hAnsi="Calibri" w:cs="Calibri"/>
          <w:iCs/>
          <w:sz w:val="20"/>
          <w:szCs w:val="20"/>
        </w:rPr>
        <w:t>/2025</w:t>
      </w:r>
      <w:r w:rsidR="0081611F" w:rsidRPr="00882A2E">
        <w:rPr>
          <w:rFonts w:ascii="Calibri" w:hAnsi="Calibri" w:cs="Calibri"/>
          <w:iCs/>
          <w:sz w:val="20"/>
          <w:szCs w:val="20"/>
        </w:rPr>
        <w:t xml:space="preserve"> to</w:t>
      </w:r>
      <w:r w:rsidR="00996F12" w:rsidRPr="00882A2E">
        <w:rPr>
          <w:rFonts w:ascii="Calibri" w:hAnsi="Calibri" w:cs="Calibri"/>
          <w:iCs/>
          <w:sz w:val="20"/>
          <w:szCs w:val="20"/>
        </w:rPr>
        <w:t xml:space="preserve"> </w:t>
      </w:r>
      <w:r w:rsidR="00843443">
        <w:rPr>
          <w:rFonts w:ascii="Calibri" w:hAnsi="Calibri" w:cs="Calibri"/>
          <w:iCs/>
          <w:sz w:val="20"/>
          <w:szCs w:val="20"/>
        </w:rPr>
        <w:t>15</w:t>
      </w:r>
      <w:r w:rsidR="006E0D7B">
        <w:rPr>
          <w:rFonts w:ascii="Calibri" w:hAnsi="Calibri" w:cs="Calibri"/>
          <w:iCs/>
          <w:sz w:val="20"/>
          <w:szCs w:val="20"/>
        </w:rPr>
        <w:t>/02</w:t>
      </w:r>
      <w:r w:rsidR="006B08F7">
        <w:rPr>
          <w:rFonts w:ascii="Calibri" w:hAnsi="Calibri" w:cs="Calibri"/>
          <w:iCs/>
          <w:sz w:val="20"/>
          <w:szCs w:val="20"/>
        </w:rPr>
        <w:t>/2026</w:t>
      </w:r>
      <w:r w:rsidR="00777AAA" w:rsidRPr="00882A2E">
        <w:rPr>
          <w:rFonts w:ascii="Calibri" w:hAnsi="Calibri" w:cs="Calibri"/>
          <w:iCs/>
          <w:sz w:val="20"/>
          <w:szCs w:val="20"/>
        </w:rPr>
        <w:t>).</w:t>
      </w:r>
    </w:p>
    <w:p w14:paraId="38B56901" w14:textId="20A1A77A"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2</w:t>
      </w:r>
      <w:r w:rsidRPr="00882A2E">
        <w:rPr>
          <w:rFonts w:ascii="Calibri" w:hAnsi="Calibri" w:cs="Calibri"/>
          <w:iCs/>
          <w:sz w:val="20"/>
          <w:szCs w:val="20"/>
        </w:rPr>
        <w:t xml:space="preserve">The quarterly (90 day) </w:t>
      </w:r>
      <w:proofErr w:type="gramStart"/>
      <w:r w:rsidRPr="00882A2E">
        <w:rPr>
          <w:rFonts w:ascii="Calibri" w:hAnsi="Calibri" w:cs="Calibri"/>
          <w:iCs/>
          <w:sz w:val="20"/>
          <w:szCs w:val="20"/>
        </w:rPr>
        <w:t>five year</w:t>
      </w:r>
      <w:proofErr w:type="gramEnd"/>
      <w:r w:rsidRPr="00882A2E">
        <w:rPr>
          <w:rFonts w:ascii="Calibri" w:hAnsi="Calibri" w:cs="Calibri"/>
          <w:iCs/>
          <w:sz w:val="20"/>
          <w:szCs w:val="20"/>
        </w:rPr>
        <w:t xml:space="preserve"> rolling mean is the average </w:t>
      </w:r>
      <w:r w:rsidR="00D26EE8" w:rsidRPr="00882A2E">
        <w:rPr>
          <w:rFonts w:ascii="Calibri" w:hAnsi="Calibri" w:cs="Calibri"/>
          <w:iCs/>
          <w:sz w:val="20"/>
          <w:szCs w:val="20"/>
        </w:rPr>
        <w:t>of</w:t>
      </w:r>
      <w:r w:rsidR="00CA37B4" w:rsidRPr="00882A2E">
        <w:rPr>
          <w:rFonts w:ascii="Calibri" w:hAnsi="Calibri" w:cs="Calibri"/>
          <w:iCs/>
          <w:sz w:val="20"/>
          <w:szCs w:val="20"/>
        </w:rPr>
        <w:t xml:space="preserve"> 5 intervals of 90 days up </w:t>
      </w:r>
      <w:r w:rsidR="00843443">
        <w:rPr>
          <w:rFonts w:ascii="Calibri" w:hAnsi="Calibri" w:cs="Calibri"/>
          <w:iCs/>
          <w:sz w:val="20"/>
          <w:szCs w:val="20"/>
        </w:rPr>
        <w:t>15/02</w:t>
      </w:r>
      <w:r w:rsidR="00701EF5">
        <w:rPr>
          <w:rFonts w:ascii="Calibri" w:hAnsi="Calibri" w:cs="Calibri"/>
          <w:iCs/>
          <w:sz w:val="20"/>
          <w:szCs w:val="20"/>
        </w:rPr>
        <w:t>/</w:t>
      </w:r>
      <w:r w:rsidR="00AF43C7" w:rsidRPr="00882A2E">
        <w:rPr>
          <w:rFonts w:ascii="Calibri" w:hAnsi="Calibri" w:cs="Calibri"/>
          <w:iCs/>
          <w:sz w:val="20"/>
          <w:szCs w:val="20"/>
        </w:rPr>
        <w:t>202</w:t>
      </w:r>
      <w:r w:rsidR="006B08F7">
        <w:rPr>
          <w:rFonts w:ascii="Calibri" w:hAnsi="Calibri" w:cs="Calibri"/>
          <w:iCs/>
          <w:sz w:val="20"/>
          <w:szCs w:val="20"/>
        </w:rPr>
        <w:t>6</w:t>
      </w:r>
      <w:r w:rsidRPr="00882A2E">
        <w:rPr>
          <w:rFonts w:ascii="Calibri" w:hAnsi="Calibri" w:cs="Calibri"/>
          <w:iCs/>
          <w:sz w:val="20"/>
          <w:szCs w:val="20"/>
        </w:rPr>
        <w:t xml:space="preserve">.  The ratio is the notification activity in the past quarter (90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228A0A61" w14:textId="57814D0B"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3</w:t>
      </w:r>
      <w:r w:rsidRPr="00882A2E">
        <w:rPr>
          <w:rFonts w:ascii="Calibri" w:hAnsi="Calibri" w:cs="Calibri"/>
          <w:iCs/>
          <w:sz w:val="20"/>
          <w:szCs w:val="20"/>
        </w:rPr>
        <w:t xml:space="preserve">The past year (365 day) surveillance period includes the date range </w:t>
      </w:r>
      <w:r w:rsidR="002C38A0" w:rsidRPr="00882A2E">
        <w:rPr>
          <w:rFonts w:ascii="Calibri" w:hAnsi="Calibri" w:cs="Calibri"/>
          <w:iCs/>
          <w:sz w:val="20"/>
          <w:szCs w:val="20"/>
        </w:rPr>
        <w:t>(</w:t>
      </w:r>
      <w:r w:rsidR="00843443">
        <w:rPr>
          <w:rFonts w:ascii="Calibri" w:hAnsi="Calibri" w:cs="Calibri"/>
          <w:iCs/>
          <w:sz w:val="20"/>
          <w:szCs w:val="20"/>
        </w:rPr>
        <w:t>16</w:t>
      </w:r>
      <w:r w:rsidR="006E0D7B">
        <w:rPr>
          <w:rFonts w:ascii="Calibri" w:hAnsi="Calibri" w:cs="Calibri"/>
          <w:iCs/>
          <w:sz w:val="20"/>
          <w:szCs w:val="20"/>
        </w:rPr>
        <w:t>/02</w:t>
      </w:r>
      <w:r w:rsidR="00421F52" w:rsidRPr="00882A2E">
        <w:rPr>
          <w:rFonts w:ascii="Calibri" w:hAnsi="Calibri" w:cs="Calibri"/>
          <w:iCs/>
          <w:sz w:val="20"/>
          <w:szCs w:val="20"/>
        </w:rPr>
        <w:t>/</w:t>
      </w:r>
      <w:r w:rsidR="009C1059" w:rsidRPr="00882A2E">
        <w:rPr>
          <w:rFonts w:ascii="Calibri" w:hAnsi="Calibri" w:cs="Calibri"/>
          <w:iCs/>
          <w:sz w:val="20"/>
          <w:szCs w:val="20"/>
        </w:rPr>
        <w:t>202</w:t>
      </w:r>
      <w:r w:rsidR="006B08F7">
        <w:rPr>
          <w:rFonts w:ascii="Calibri" w:hAnsi="Calibri" w:cs="Calibri"/>
          <w:iCs/>
          <w:sz w:val="20"/>
          <w:szCs w:val="20"/>
        </w:rPr>
        <w:t>5</w:t>
      </w:r>
      <w:r w:rsidR="00493076" w:rsidRPr="00882A2E">
        <w:rPr>
          <w:rFonts w:ascii="Calibri" w:hAnsi="Calibri" w:cs="Calibri"/>
          <w:iCs/>
          <w:sz w:val="20"/>
          <w:szCs w:val="20"/>
        </w:rPr>
        <w:t xml:space="preserve"> to</w:t>
      </w:r>
      <w:r w:rsidR="00EA74EE" w:rsidRPr="00882A2E">
        <w:rPr>
          <w:rFonts w:ascii="Calibri" w:hAnsi="Calibri" w:cs="Calibri"/>
          <w:iCs/>
          <w:sz w:val="20"/>
          <w:szCs w:val="20"/>
        </w:rPr>
        <w:t xml:space="preserve"> </w:t>
      </w:r>
      <w:r w:rsidR="00843443">
        <w:rPr>
          <w:rFonts w:ascii="Calibri" w:hAnsi="Calibri" w:cs="Calibri"/>
          <w:iCs/>
          <w:sz w:val="20"/>
          <w:szCs w:val="20"/>
        </w:rPr>
        <w:t>15</w:t>
      </w:r>
      <w:r w:rsidR="006E0D7B">
        <w:rPr>
          <w:rFonts w:ascii="Calibri" w:hAnsi="Calibri" w:cs="Calibri"/>
          <w:iCs/>
          <w:sz w:val="20"/>
          <w:szCs w:val="20"/>
        </w:rPr>
        <w:t>/02</w:t>
      </w:r>
      <w:r w:rsidR="00AF43C7" w:rsidRPr="00882A2E">
        <w:rPr>
          <w:rFonts w:ascii="Calibri" w:hAnsi="Calibri" w:cs="Calibri"/>
          <w:iCs/>
          <w:sz w:val="20"/>
          <w:szCs w:val="20"/>
        </w:rPr>
        <w:t>/202</w:t>
      </w:r>
      <w:r w:rsidR="006B08F7">
        <w:rPr>
          <w:rFonts w:ascii="Calibri" w:hAnsi="Calibri" w:cs="Calibri"/>
          <w:iCs/>
          <w:sz w:val="20"/>
          <w:szCs w:val="20"/>
        </w:rPr>
        <w:t>6</w:t>
      </w:r>
      <w:r w:rsidR="002C38A0" w:rsidRPr="00882A2E">
        <w:rPr>
          <w:rFonts w:ascii="Calibri" w:hAnsi="Calibri" w:cs="Calibri"/>
          <w:iCs/>
          <w:sz w:val="20"/>
          <w:szCs w:val="20"/>
        </w:rPr>
        <w:t>).</w:t>
      </w:r>
    </w:p>
    <w:p w14:paraId="24BCFBDD" w14:textId="79A74597"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4</w:t>
      </w:r>
      <w:r w:rsidRPr="00882A2E">
        <w:rPr>
          <w:rFonts w:ascii="Calibri" w:hAnsi="Calibri" w:cs="Calibri"/>
          <w:iCs/>
          <w:sz w:val="20"/>
          <w:szCs w:val="20"/>
        </w:rPr>
        <w:t xml:space="preserve">The yearly (365 day) </w:t>
      </w:r>
      <w:proofErr w:type="gramStart"/>
      <w:r w:rsidRPr="00882A2E">
        <w:rPr>
          <w:rFonts w:ascii="Calibri" w:hAnsi="Calibri" w:cs="Calibri"/>
          <w:iCs/>
          <w:sz w:val="20"/>
          <w:szCs w:val="20"/>
        </w:rPr>
        <w:t>five year</w:t>
      </w:r>
      <w:proofErr w:type="gramEnd"/>
      <w:r w:rsidRPr="00882A2E">
        <w:rPr>
          <w:rFonts w:ascii="Calibri" w:hAnsi="Calibri" w:cs="Calibri"/>
          <w:iCs/>
          <w:sz w:val="20"/>
          <w:szCs w:val="20"/>
        </w:rPr>
        <w:t xml:space="preserve"> rolling mean is the average o</w:t>
      </w:r>
      <w:r w:rsidR="007F67BA" w:rsidRPr="00882A2E">
        <w:rPr>
          <w:rFonts w:ascii="Calibri" w:hAnsi="Calibri" w:cs="Calibri"/>
          <w:iCs/>
          <w:sz w:val="20"/>
          <w:szCs w:val="20"/>
        </w:rPr>
        <w:t xml:space="preserve">f </w:t>
      </w:r>
      <w:r w:rsidR="00CA37B4" w:rsidRPr="00882A2E">
        <w:rPr>
          <w:rFonts w:ascii="Calibri" w:hAnsi="Calibri" w:cs="Calibri"/>
          <w:iCs/>
          <w:sz w:val="20"/>
          <w:szCs w:val="20"/>
        </w:rPr>
        <w:t>5 intervals of 365 days up to</w:t>
      </w:r>
      <w:r w:rsidR="00A13BC6" w:rsidRPr="00882A2E">
        <w:rPr>
          <w:rFonts w:ascii="Calibri" w:hAnsi="Calibri" w:cs="Calibri"/>
          <w:iCs/>
          <w:sz w:val="20"/>
          <w:szCs w:val="20"/>
        </w:rPr>
        <w:t xml:space="preserve"> </w:t>
      </w:r>
      <w:r w:rsidR="00843443">
        <w:rPr>
          <w:rFonts w:ascii="Calibri" w:hAnsi="Calibri" w:cs="Calibri"/>
          <w:iCs/>
          <w:sz w:val="20"/>
          <w:szCs w:val="20"/>
        </w:rPr>
        <w:t>15</w:t>
      </w:r>
      <w:r w:rsidR="006E0D7B">
        <w:rPr>
          <w:rFonts w:ascii="Calibri" w:hAnsi="Calibri" w:cs="Calibri"/>
          <w:iCs/>
          <w:sz w:val="20"/>
          <w:szCs w:val="20"/>
        </w:rPr>
        <w:t>/02</w:t>
      </w:r>
      <w:r w:rsidR="006B08F7">
        <w:rPr>
          <w:rFonts w:ascii="Calibri" w:hAnsi="Calibri" w:cs="Calibri"/>
          <w:iCs/>
          <w:sz w:val="20"/>
          <w:szCs w:val="20"/>
        </w:rPr>
        <w:t>/2026</w:t>
      </w:r>
      <w:r w:rsidR="002C38A0" w:rsidRPr="00882A2E">
        <w:rPr>
          <w:rFonts w:ascii="Calibri" w:hAnsi="Calibri" w:cs="Calibri"/>
          <w:iCs/>
          <w:sz w:val="20"/>
          <w:szCs w:val="20"/>
        </w:rPr>
        <w:t>.</w:t>
      </w:r>
      <w:r w:rsidR="00777AAA" w:rsidRPr="00882A2E">
        <w:rPr>
          <w:rFonts w:ascii="Calibri" w:hAnsi="Calibri" w:cs="Calibri"/>
          <w:iCs/>
          <w:sz w:val="20"/>
          <w:szCs w:val="20"/>
        </w:rPr>
        <w:t xml:space="preserve"> </w:t>
      </w:r>
      <w:r w:rsidRPr="00882A2E">
        <w:rPr>
          <w:rFonts w:ascii="Calibri" w:hAnsi="Calibri" w:cs="Calibri"/>
          <w:iCs/>
          <w:sz w:val="20"/>
          <w:szCs w:val="20"/>
        </w:rPr>
        <w:t xml:space="preserve">The ratio is the notification activity in the past year (365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011711D9" w14:textId="1B04B3D5" w:rsidR="00745E0F" w:rsidRPr="00882A2E" w:rsidRDefault="00017515"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t xml:space="preserve">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and the ratio of notifications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should be interpreted with caution.  Changes in surveillance practice, diagnostic techniques and reporting may contribute to increases or decreases in the total notifications received over a </w:t>
      </w:r>
      <w:r w:rsidR="00307B1C" w:rsidRPr="00882A2E">
        <w:rPr>
          <w:rFonts w:ascii="Calibri" w:hAnsi="Calibri" w:cs="Calibri"/>
          <w:iCs/>
          <w:sz w:val="20"/>
          <w:szCs w:val="20"/>
        </w:rPr>
        <w:t>five-year</w:t>
      </w:r>
      <w:r w:rsidRPr="00882A2E">
        <w:rPr>
          <w:rFonts w:ascii="Calibri" w:hAnsi="Calibri" w:cs="Calibri"/>
          <w:iCs/>
          <w:sz w:val="20"/>
          <w:szCs w:val="20"/>
        </w:rPr>
        <w:t xml:space="preserve"> period. Ratios are to be taken as a crude measure of current disease activity and may reflect changes in reporting rather than changes in disease activity. </w:t>
      </w:r>
    </w:p>
    <w:p w14:paraId="1DA47516" w14:textId="4EB7A281" w:rsidR="00A755BC" w:rsidRPr="00882A2E" w:rsidRDefault="00A755BC"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t>*The term ‘women’ is used, but it</w:t>
      </w:r>
      <w:r w:rsidR="008B2E91">
        <w:rPr>
          <w:rFonts w:ascii="Calibri" w:hAnsi="Calibri" w:cs="Calibri"/>
          <w:iCs/>
          <w:sz w:val="20"/>
          <w:szCs w:val="20"/>
        </w:rPr>
        <w:t xml:space="preserve"> is</w:t>
      </w:r>
      <w:r w:rsidRPr="00882A2E">
        <w:rPr>
          <w:rFonts w:ascii="Calibri" w:hAnsi="Calibri" w:cs="Calibri"/>
          <w:iCs/>
          <w:sz w:val="20"/>
          <w:szCs w:val="20"/>
        </w:rPr>
        <w:t xml:space="preserve"> acknowledged that this may also include people with a uterus who are non-female identifying.</w:t>
      </w:r>
    </w:p>
    <w:sectPr w:rsidR="00A755BC" w:rsidRPr="00882A2E" w:rsidSect="00B02E68">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86D3" w14:textId="77777777" w:rsidR="00A513E3" w:rsidRDefault="00A513E3">
      <w:r>
        <w:separator/>
      </w:r>
    </w:p>
  </w:endnote>
  <w:endnote w:type="continuationSeparator" w:id="0">
    <w:p w14:paraId="60FCF87B" w14:textId="77777777" w:rsidR="00A513E3" w:rsidRDefault="00A5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7CE" w14:textId="1E0ECA71" w:rsidR="00CE5FD7" w:rsidRDefault="00CE5FD7">
    <w:pPr>
      <w:pStyle w:val="Footer"/>
    </w:pPr>
    <w:r>
      <w:rPr>
        <w:noProof/>
      </w:rPr>
      <mc:AlternateContent>
        <mc:Choice Requires="wps">
          <w:drawing>
            <wp:anchor distT="0" distB="0" distL="0" distR="0" simplePos="0" relativeHeight="251662336" behindDoc="0" locked="0" layoutInCell="1" allowOverlap="1" wp14:anchorId="38790B0C" wp14:editId="3F21D6F7">
              <wp:simplePos x="635" y="635"/>
              <wp:positionH relativeFrom="page">
                <wp:align>center</wp:align>
              </wp:positionH>
              <wp:positionV relativeFrom="page">
                <wp:align>bottom</wp:align>
              </wp:positionV>
              <wp:extent cx="551815" cy="376555"/>
              <wp:effectExtent l="0" t="0" r="635" b="0"/>
              <wp:wrapNone/>
              <wp:docPr id="1531725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0B0C"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AC73" w14:textId="176F5ACE" w:rsidR="00CE5FD7" w:rsidRDefault="00CE5FD7">
    <w:pPr>
      <w:pStyle w:val="Footer"/>
    </w:pPr>
    <w:r>
      <w:rPr>
        <w:noProof/>
      </w:rPr>
      <mc:AlternateContent>
        <mc:Choice Requires="wps">
          <w:drawing>
            <wp:anchor distT="0" distB="0" distL="0" distR="0" simplePos="0" relativeHeight="251663360" behindDoc="0" locked="0" layoutInCell="1" allowOverlap="1" wp14:anchorId="25FB3DB8" wp14:editId="3863A71C">
              <wp:simplePos x="723900" y="10067925"/>
              <wp:positionH relativeFrom="page">
                <wp:align>center</wp:align>
              </wp:positionH>
              <wp:positionV relativeFrom="page">
                <wp:align>bottom</wp:align>
              </wp:positionV>
              <wp:extent cx="551815" cy="376555"/>
              <wp:effectExtent l="0" t="0" r="635" b="0"/>
              <wp:wrapNone/>
              <wp:docPr id="8491973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B3DB8"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A50F" w14:textId="1BFFB8F3" w:rsidR="00CE5FD7" w:rsidRDefault="00CE5FD7">
    <w:pPr>
      <w:pStyle w:val="Footer"/>
    </w:pPr>
    <w:r>
      <w:rPr>
        <w:noProof/>
      </w:rPr>
      <mc:AlternateContent>
        <mc:Choice Requires="wps">
          <w:drawing>
            <wp:anchor distT="0" distB="0" distL="0" distR="0" simplePos="0" relativeHeight="251661312" behindDoc="0" locked="0" layoutInCell="1" allowOverlap="1" wp14:anchorId="3C66FFF2" wp14:editId="130392D6">
              <wp:simplePos x="635" y="635"/>
              <wp:positionH relativeFrom="page">
                <wp:align>center</wp:align>
              </wp:positionH>
              <wp:positionV relativeFrom="page">
                <wp:align>bottom</wp:align>
              </wp:positionV>
              <wp:extent cx="551815" cy="376555"/>
              <wp:effectExtent l="0" t="0" r="635" b="0"/>
              <wp:wrapNone/>
              <wp:docPr id="1721444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FFF2"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B4BD" w14:textId="77777777" w:rsidR="00A513E3" w:rsidRDefault="00A513E3">
      <w:r>
        <w:separator/>
      </w:r>
    </w:p>
  </w:footnote>
  <w:footnote w:type="continuationSeparator" w:id="0">
    <w:p w14:paraId="60FFEA9C" w14:textId="77777777" w:rsidR="00A513E3" w:rsidRDefault="00A51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9B0" w14:textId="461193A4" w:rsidR="00CE5FD7" w:rsidRDefault="00CE5FD7">
    <w:pPr>
      <w:pStyle w:val="Header"/>
    </w:pPr>
    <w:r>
      <w:rPr>
        <w:noProof/>
      </w:rPr>
      <mc:AlternateContent>
        <mc:Choice Requires="wps">
          <w:drawing>
            <wp:anchor distT="0" distB="0" distL="0" distR="0" simplePos="0" relativeHeight="251659264" behindDoc="0" locked="0" layoutInCell="1" allowOverlap="1" wp14:anchorId="2B59CDD3" wp14:editId="0BFE6356">
              <wp:simplePos x="635" y="635"/>
              <wp:positionH relativeFrom="page">
                <wp:align>center</wp:align>
              </wp:positionH>
              <wp:positionV relativeFrom="page">
                <wp:align>top</wp:align>
              </wp:positionV>
              <wp:extent cx="551815" cy="376555"/>
              <wp:effectExtent l="0" t="0" r="635" b="4445"/>
              <wp:wrapNone/>
              <wp:docPr id="67906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9CD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DAE" w14:textId="576DB34C" w:rsidR="00CE5FD7" w:rsidRDefault="00CE5FD7">
    <w:pPr>
      <w:pStyle w:val="Header"/>
    </w:pPr>
    <w:r>
      <w:rPr>
        <w:noProof/>
      </w:rPr>
      <mc:AlternateContent>
        <mc:Choice Requires="wps">
          <w:drawing>
            <wp:anchor distT="0" distB="0" distL="0" distR="0" simplePos="0" relativeHeight="251660288" behindDoc="0" locked="0" layoutInCell="1" allowOverlap="1" wp14:anchorId="268457B5" wp14:editId="23F188C6">
              <wp:simplePos x="723900" y="447675"/>
              <wp:positionH relativeFrom="page">
                <wp:align>center</wp:align>
              </wp:positionH>
              <wp:positionV relativeFrom="page">
                <wp:align>top</wp:align>
              </wp:positionV>
              <wp:extent cx="551815" cy="376555"/>
              <wp:effectExtent l="0" t="0" r="635" b="4445"/>
              <wp:wrapNone/>
              <wp:docPr id="10652191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457B5"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3C7" w14:textId="6BF8AC37" w:rsidR="00CE5FD7" w:rsidRDefault="00CE5FD7">
    <w:pPr>
      <w:pStyle w:val="Header"/>
    </w:pPr>
    <w:r>
      <w:rPr>
        <w:noProof/>
      </w:rPr>
      <mc:AlternateContent>
        <mc:Choice Requires="wps">
          <w:drawing>
            <wp:anchor distT="0" distB="0" distL="0" distR="0" simplePos="0" relativeHeight="251658240" behindDoc="0" locked="0" layoutInCell="1" allowOverlap="1" wp14:anchorId="3DF3AB59" wp14:editId="3D0AE896">
              <wp:simplePos x="635" y="635"/>
              <wp:positionH relativeFrom="page">
                <wp:align>center</wp:align>
              </wp:positionH>
              <wp:positionV relativeFrom="page">
                <wp:align>top</wp:align>
              </wp:positionV>
              <wp:extent cx="551815" cy="376555"/>
              <wp:effectExtent l="0" t="0" r="635" b="4445"/>
              <wp:wrapNone/>
              <wp:docPr id="1199041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3AB59"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04D"/>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376E6"/>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1F2E83"/>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76FF4"/>
    <w:rsid w:val="002820A8"/>
    <w:rsid w:val="00282B57"/>
    <w:rsid w:val="00282B6A"/>
    <w:rsid w:val="002843DB"/>
    <w:rsid w:val="0029005D"/>
    <w:rsid w:val="002901B4"/>
    <w:rsid w:val="00290EAA"/>
    <w:rsid w:val="00291824"/>
    <w:rsid w:val="002925D3"/>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79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178D"/>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1A26"/>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27899"/>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0BC1"/>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97E9A"/>
    <w:rsid w:val="006A1BA4"/>
    <w:rsid w:val="006A43C0"/>
    <w:rsid w:val="006A55BF"/>
    <w:rsid w:val="006A65C0"/>
    <w:rsid w:val="006B0616"/>
    <w:rsid w:val="006B08F7"/>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0D7B"/>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4354"/>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A8F"/>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1AB9"/>
    <w:rsid w:val="00815FEE"/>
    <w:rsid w:val="0081611F"/>
    <w:rsid w:val="00816247"/>
    <w:rsid w:val="00821297"/>
    <w:rsid w:val="008226FE"/>
    <w:rsid w:val="0082527C"/>
    <w:rsid w:val="00826072"/>
    <w:rsid w:val="00833116"/>
    <w:rsid w:val="00833D9A"/>
    <w:rsid w:val="008342F1"/>
    <w:rsid w:val="008350AA"/>
    <w:rsid w:val="00836154"/>
    <w:rsid w:val="00843443"/>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0AE5"/>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72"/>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0D94"/>
    <w:rsid w:val="00A513E3"/>
    <w:rsid w:val="00A55701"/>
    <w:rsid w:val="00A5576A"/>
    <w:rsid w:val="00A559A1"/>
    <w:rsid w:val="00A56593"/>
    <w:rsid w:val="00A642E5"/>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061F"/>
    <w:rsid w:val="00BC0802"/>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2D4"/>
    <w:rsid w:val="00BF2BC6"/>
    <w:rsid w:val="00BF3076"/>
    <w:rsid w:val="00BF387E"/>
    <w:rsid w:val="00BF5231"/>
    <w:rsid w:val="00BF6100"/>
    <w:rsid w:val="00BF7752"/>
    <w:rsid w:val="00C0248B"/>
    <w:rsid w:val="00C03319"/>
    <w:rsid w:val="00C044F4"/>
    <w:rsid w:val="00C0491F"/>
    <w:rsid w:val="00C05A7D"/>
    <w:rsid w:val="00C1031B"/>
    <w:rsid w:val="00C10E28"/>
    <w:rsid w:val="00C110A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3"/>
    <w:rsid w:val="00C6700B"/>
    <w:rsid w:val="00C70E2B"/>
    <w:rsid w:val="00C74A5A"/>
    <w:rsid w:val="00C75C5E"/>
    <w:rsid w:val="00C75DF4"/>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E5FD7"/>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0B85"/>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3"/>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C6B94"/>
    <w:rsid w:val="00ED21CE"/>
    <w:rsid w:val="00ED2863"/>
    <w:rsid w:val="00ED7F90"/>
    <w:rsid w:val="00EE2EB4"/>
    <w:rsid w:val="00EE401A"/>
    <w:rsid w:val="00EE70D3"/>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2D59"/>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4589"/>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882A2E"/>
    <w:pPr>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rsid w:val="00882A2E"/>
    <w:rPr>
      <w:rFonts w:ascii="Calibri" w:eastAsiaTheme="majorEastAsia" w:hAnsi="Calibri"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2920139">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56603148">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25162385">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1616280">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7173752">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081373039">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3713038">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71551166">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29921538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5718090">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83923527">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2847819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news/cmo-statement-syphilis-cdi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health.gov.au/resources/collections/national-syphilis-monitoring-reports" TargetMode="External"/><Relationship Id="rId4" Type="http://schemas.openxmlformats.org/officeDocument/2006/relationships/settings" Target="settings.xml"/><Relationship Id="rId9" Type="http://schemas.openxmlformats.org/officeDocument/2006/relationships/hyperlink" Target="https://www.cdc.gov.au/resources/publications/national-syphilis-response-plan-2023-203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577</Words>
  <Characters>3714</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4270</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Notifiable Diseases Surveillance System (NNDSS) fortnightly reports – 2-15 Feb 2026</dc:title>
  <dc:subject>Communicable diseases surveillance</dc:subject>
  <dc:creator>Australian Centre for Disease Control</dc:creator>
  <cp:keywords>Communicable diseases surveillance</cp:keywords>
  <dc:description/>
  <cp:lastPrinted>2026-02-10T06:01:00Z</cp:lastPrinted>
  <dcterms:created xsi:type="dcterms:W3CDTF">2025-11-04T02:49:00Z</dcterms:created>
  <dcterms:modified xsi:type="dcterms:W3CDTF">2026-02-24T03:29:00Z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lassificationContentMarkingHeaderShapeIds">
    <vt:lpwstr>4777ecb9,40c2af5,3f7df442</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669b29aa,5b4c47c0,329db93a</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2025-09-22T04:51:16Z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96778dde-0680-4990-9af6-6771077f461b</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