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s="Times New Roman (Body CS)"/>
          <w:b/>
          <w:bCs/>
          <w:color w:val="033636"/>
          <w:spacing w:val="0"/>
          <w:kern w:val="2"/>
          <w:sz w:val="48"/>
          <w:szCs w:val="48"/>
          <w14:ligatures w14:val="none"/>
        </w:rPr>
        <w:id w:val="-1859646906"/>
        <w:docPartObj>
          <w:docPartGallery w:val="Cover Pages"/>
          <w:docPartUnique/>
        </w:docPartObj>
      </w:sdtPr>
      <w:sdtEndPr>
        <w:rPr>
          <w:b w:val="0"/>
          <w:bCs w:val="0"/>
          <w:color w:val="033636" w:themeColor="text2"/>
          <w:sz w:val="28"/>
          <w:szCs w:val="28"/>
          <w14:ligatures w14:val="standardContextual"/>
        </w:rPr>
      </w:sdtEndPr>
      <w:sdtContent>
        <w:p w14:paraId="7C156B2C" w14:textId="77777777" w:rsidR="0047616C" w:rsidRPr="00EB74A8" w:rsidRDefault="0094078C" w:rsidP="0094078C">
          <w:pPr>
            <w:pStyle w:val="Title"/>
            <w:spacing w:before="2640" w:after="120"/>
            <w:rPr>
              <w:b/>
              <w:color w:val="033636"/>
              <w:spacing w:val="0"/>
              <w:sz w:val="48"/>
              <w:szCs w:val="52"/>
              <w14:ligatures w14:val="none"/>
            </w:rPr>
          </w:pPr>
          <w:r w:rsidRPr="00EB74A8">
            <w:rPr>
              <w:b/>
              <w:color w:val="033636"/>
              <w:spacing w:val="0"/>
              <w:sz w:val="48"/>
              <w:szCs w:val="52"/>
              <w14:ligatures w14:val="none"/>
            </w:rPr>
            <w:t>National Syphilis Surveillance Report</w:t>
          </w:r>
        </w:p>
        <w:p w14:paraId="5CBD71A4" w14:textId="05585AEF" w:rsidR="0047616C" w:rsidRPr="00EB74A8" w:rsidRDefault="0094078C" w:rsidP="00D87CA3">
          <w:pPr>
            <w:pStyle w:val="Subtitle"/>
            <w:rPr>
              <w:sz w:val="28"/>
              <w:szCs w:val="26"/>
            </w:rPr>
          </w:pPr>
          <w:r w:rsidRPr="00EB74A8">
            <w:rPr>
              <w:sz w:val="28"/>
              <w:szCs w:val="26"/>
            </w:rPr>
            <w:t xml:space="preserve">Quarter </w:t>
          </w:r>
          <w:r w:rsidR="0079146E" w:rsidRPr="00EB74A8">
            <w:rPr>
              <w:sz w:val="28"/>
              <w:szCs w:val="26"/>
            </w:rPr>
            <w:t>3</w:t>
          </w:r>
          <w:r w:rsidRPr="00EB74A8">
            <w:rPr>
              <w:sz w:val="28"/>
              <w:szCs w:val="26"/>
            </w:rPr>
            <w:t xml:space="preserve"> 202</w:t>
          </w:r>
          <w:r w:rsidR="0079146E" w:rsidRPr="00EB74A8">
            <w:rPr>
              <w:sz w:val="28"/>
              <w:szCs w:val="26"/>
            </w:rPr>
            <w:t>5</w:t>
          </w:r>
        </w:p>
      </w:sdtContent>
    </w:sdt>
    <w:p w14:paraId="35425ACD" w14:textId="77777777" w:rsidR="005C5DBE" w:rsidRPr="00EB74A8" w:rsidRDefault="0047616C" w:rsidP="0047616C">
      <w:pPr>
        <w:pStyle w:val="Title"/>
        <w:sectPr w:rsidR="005C5DBE" w:rsidRPr="00EB74A8" w:rsidSect="005F0659">
          <w:headerReference w:type="even" r:id="rId11"/>
          <w:footerReference w:type="even" r:id="rId12"/>
          <w:footerReference w:type="default" r:id="rId13"/>
          <w:headerReference w:type="first" r:id="rId14"/>
          <w:footerReference w:type="first" r:id="rId15"/>
          <w:pgSz w:w="11900" w:h="16840"/>
          <w:pgMar w:top="1134" w:right="1134" w:bottom="1134" w:left="1134" w:header="709" w:footer="527" w:gutter="0"/>
          <w:pgNumType w:start="0"/>
          <w:cols w:space="708"/>
          <w:titlePg/>
          <w:docGrid w:linePitch="360"/>
        </w:sectPr>
      </w:pPr>
      <w:r w:rsidRPr="00EB74A8">
        <w:br w:type="page"/>
      </w:r>
    </w:p>
    <w:p w14:paraId="040DD587" w14:textId="77777777" w:rsidR="00C14BF9" w:rsidRPr="00EB74A8" w:rsidRDefault="00C14BF9" w:rsidP="000D78AF">
      <w:pPr>
        <w:pStyle w:val="NormalWeb"/>
        <w:rPr>
          <w:rFonts w:ascii="Arial" w:hAnsi="Arial" w:cs="Arial"/>
          <w:color w:val="000000"/>
          <w:sz w:val="18"/>
          <w:szCs w:val="18"/>
        </w:rPr>
      </w:pPr>
      <w:r w:rsidRPr="00EB74A8">
        <w:rPr>
          <w:rFonts w:ascii="Arial" w:hAnsi="Arial" w:cs="Arial"/>
          <w:color w:val="000000"/>
          <w:sz w:val="18"/>
          <w:szCs w:val="18"/>
        </w:rPr>
        <w:lastRenderedPageBreak/>
        <w:t>© Commonwealth of Australia as represented by the Australian Centre for Disease Control</w:t>
      </w:r>
    </w:p>
    <w:p w14:paraId="21C54A6D" w14:textId="4708ECE7" w:rsidR="00C14BF9" w:rsidRPr="00EB74A8" w:rsidRDefault="00C14BF9" w:rsidP="000D78AF">
      <w:pPr>
        <w:pStyle w:val="NormalWeb"/>
        <w:rPr>
          <w:rFonts w:ascii="Arial" w:hAnsi="Arial" w:cs="Arial"/>
          <w:color w:val="000000"/>
          <w:sz w:val="18"/>
          <w:szCs w:val="18"/>
        </w:rPr>
      </w:pPr>
      <w:r w:rsidRPr="00EB74A8">
        <w:rPr>
          <w:rFonts w:ascii="Arial" w:hAnsi="Arial" w:cs="Arial"/>
          <w:color w:val="000000"/>
          <w:sz w:val="18"/>
          <w:szCs w:val="18"/>
        </w:rPr>
        <w:t xml:space="preserve">Title: </w:t>
      </w:r>
      <w:r w:rsidR="0094078C" w:rsidRPr="00EB74A8">
        <w:rPr>
          <w:rFonts w:ascii="Arial" w:hAnsi="Arial" w:cs="Arial"/>
          <w:color w:val="000000"/>
          <w:sz w:val="18"/>
          <w:szCs w:val="18"/>
        </w:rPr>
        <w:t xml:space="preserve">National Syphilis Surveillance Report – Quarter </w:t>
      </w:r>
      <w:r w:rsidR="00D87CA3" w:rsidRPr="00EB74A8">
        <w:rPr>
          <w:rFonts w:ascii="Arial" w:hAnsi="Arial" w:cs="Arial"/>
          <w:color w:val="000000"/>
          <w:sz w:val="18"/>
          <w:szCs w:val="18"/>
        </w:rPr>
        <w:t>3</w:t>
      </w:r>
      <w:r w:rsidR="0094078C" w:rsidRPr="00EB74A8">
        <w:rPr>
          <w:rFonts w:ascii="Arial" w:hAnsi="Arial" w:cs="Arial"/>
          <w:color w:val="000000"/>
          <w:sz w:val="18"/>
          <w:szCs w:val="18"/>
        </w:rPr>
        <w:t xml:space="preserve"> 202</w:t>
      </w:r>
      <w:r w:rsidR="00D87CA3" w:rsidRPr="00EB74A8">
        <w:rPr>
          <w:rFonts w:ascii="Arial" w:hAnsi="Arial" w:cs="Arial"/>
          <w:color w:val="000000"/>
          <w:sz w:val="18"/>
          <w:szCs w:val="18"/>
        </w:rPr>
        <w:t>5</w:t>
      </w:r>
    </w:p>
    <w:p w14:paraId="28C4FBC9" w14:textId="77777777" w:rsidR="00C14BF9" w:rsidRPr="00EB74A8" w:rsidRDefault="00C14BF9" w:rsidP="000D78AF">
      <w:pPr>
        <w:pStyle w:val="NormalWeb"/>
        <w:rPr>
          <w:rFonts w:ascii="Arial" w:hAnsi="Arial" w:cs="Arial"/>
          <w:b/>
          <w:bCs/>
          <w:color w:val="000000"/>
          <w:sz w:val="18"/>
          <w:szCs w:val="18"/>
        </w:rPr>
      </w:pPr>
      <w:r w:rsidRPr="00EB74A8">
        <w:rPr>
          <w:rFonts w:ascii="Arial" w:hAnsi="Arial" w:cs="Arial"/>
          <w:b/>
          <w:bCs/>
          <w:color w:val="000000"/>
          <w:sz w:val="18"/>
          <w:szCs w:val="18"/>
        </w:rPr>
        <w:t>Creative Commons Licence</w:t>
      </w:r>
    </w:p>
    <w:p w14:paraId="27FC0CBC" w14:textId="77777777" w:rsidR="00C14BF9" w:rsidRPr="00EB74A8" w:rsidRDefault="00C14BF9" w:rsidP="000D78AF">
      <w:pPr>
        <w:pStyle w:val="Copyrightversotext"/>
      </w:pPr>
      <w:r w:rsidRPr="00EB74A8">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0B81636A" w14:textId="77777777" w:rsidR="00C14BF9" w:rsidRPr="00EB74A8" w:rsidRDefault="00C14BF9" w:rsidP="000D78AF">
      <w:pPr>
        <w:pStyle w:val="NormalWeb"/>
        <w:rPr>
          <w:rFonts w:ascii="Arial" w:hAnsi="Arial" w:cs="Arial"/>
          <w:b/>
          <w:bCs/>
          <w:color w:val="000000"/>
          <w:sz w:val="18"/>
          <w:szCs w:val="18"/>
        </w:rPr>
      </w:pPr>
      <w:r w:rsidRPr="00EB74A8">
        <w:rPr>
          <w:rFonts w:ascii="Arial" w:hAnsi="Arial" w:cs="Arial"/>
          <w:b/>
          <w:bCs/>
          <w:color w:val="000000"/>
          <w:sz w:val="18"/>
          <w:szCs w:val="18"/>
        </w:rPr>
        <w:t>Restrictions</w:t>
      </w:r>
    </w:p>
    <w:p w14:paraId="7DCF882F" w14:textId="77777777" w:rsidR="00C14BF9" w:rsidRPr="00EB74A8" w:rsidRDefault="00C14BF9" w:rsidP="000D78AF">
      <w:pPr>
        <w:pStyle w:val="Copyrightversotext"/>
      </w:pPr>
      <w:r w:rsidRPr="00EB74A8">
        <w:t>The Licence may not give you all the permissions necessary for your intended use. For example, other rights (such as publicity, privacy and moral rights) may limit how you use the material found in this publication.</w:t>
      </w:r>
    </w:p>
    <w:p w14:paraId="1DA8797F" w14:textId="77777777" w:rsidR="00C14BF9" w:rsidRPr="00EB74A8" w:rsidRDefault="00C14BF9" w:rsidP="000D78AF">
      <w:pPr>
        <w:pStyle w:val="NormalWeb"/>
        <w:rPr>
          <w:rFonts w:ascii="Arial" w:hAnsi="Arial" w:cs="Arial"/>
          <w:color w:val="000000"/>
          <w:sz w:val="18"/>
          <w:szCs w:val="18"/>
        </w:rPr>
      </w:pPr>
      <w:r w:rsidRPr="00EB74A8">
        <w:rPr>
          <w:rFonts w:ascii="Arial" w:hAnsi="Arial" w:cs="Arial"/>
          <w:color w:val="000000"/>
          <w:sz w:val="18"/>
          <w:szCs w:val="18"/>
        </w:rPr>
        <w:t>The Licence does not cover, and there is no permission given for, use of any of the following material found in this publication:</w:t>
      </w:r>
    </w:p>
    <w:p w14:paraId="6349D1E1" w14:textId="77777777" w:rsidR="00C14BF9" w:rsidRPr="00EB74A8" w:rsidRDefault="00C14BF9" w:rsidP="000D78AF">
      <w:pPr>
        <w:pStyle w:val="NormalWeb"/>
        <w:numPr>
          <w:ilvl w:val="0"/>
          <w:numId w:val="5"/>
        </w:numPr>
        <w:rPr>
          <w:rFonts w:ascii="Arial" w:hAnsi="Arial" w:cs="Arial"/>
          <w:color w:val="000000"/>
          <w:sz w:val="18"/>
          <w:szCs w:val="18"/>
        </w:rPr>
      </w:pPr>
      <w:r w:rsidRPr="00EB74A8">
        <w:rPr>
          <w:rFonts w:ascii="Arial" w:hAnsi="Arial" w:cs="Arial"/>
          <w:color w:val="000000"/>
          <w:sz w:val="18"/>
          <w:szCs w:val="18"/>
        </w:rPr>
        <w:t>the Commonwealth Coat of Arms. (</w:t>
      </w:r>
      <w:proofErr w:type="gramStart"/>
      <w:r w:rsidRPr="00EB74A8">
        <w:rPr>
          <w:rFonts w:ascii="Arial" w:hAnsi="Arial" w:cs="Arial"/>
          <w:color w:val="000000"/>
          <w:sz w:val="18"/>
          <w:szCs w:val="18"/>
        </w:rPr>
        <w:t>by</w:t>
      </w:r>
      <w:proofErr w:type="gramEnd"/>
      <w:r w:rsidRPr="00EB74A8">
        <w:rPr>
          <w:rFonts w:ascii="Arial" w:hAnsi="Arial" w:cs="Arial"/>
          <w:color w:val="000000"/>
          <w:sz w:val="18"/>
          <w:szCs w:val="18"/>
        </w:rPr>
        <w:t xml:space="preserve"> way of information, the terms under which the Coat of Arms may be used can be found on the Department of Prime Minister and Cabinet website</w:t>
      </w:r>
    </w:p>
    <w:p w14:paraId="22058F4A" w14:textId="77777777" w:rsidR="00C14BF9" w:rsidRPr="00EB74A8" w:rsidRDefault="00C14BF9" w:rsidP="000D78AF">
      <w:pPr>
        <w:pStyle w:val="NormalWeb"/>
        <w:numPr>
          <w:ilvl w:val="0"/>
          <w:numId w:val="5"/>
        </w:numPr>
        <w:rPr>
          <w:rFonts w:ascii="Arial" w:hAnsi="Arial" w:cs="Arial"/>
          <w:color w:val="000000"/>
          <w:sz w:val="18"/>
          <w:szCs w:val="18"/>
        </w:rPr>
      </w:pPr>
      <w:r w:rsidRPr="00EB74A8">
        <w:rPr>
          <w:rFonts w:ascii="Arial" w:hAnsi="Arial" w:cs="Arial"/>
          <w:color w:val="000000"/>
          <w:sz w:val="18"/>
          <w:szCs w:val="18"/>
        </w:rPr>
        <w:t xml:space="preserve">any logos and </w:t>
      </w:r>
      <w:proofErr w:type="gramStart"/>
      <w:r w:rsidRPr="00EB74A8">
        <w:rPr>
          <w:rFonts w:ascii="Arial" w:hAnsi="Arial" w:cs="Arial"/>
          <w:color w:val="000000"/>
          <w:sz w:val="18"/>
          <w:szCs w:val="18"/>
        </w:rPr>
        <w:t>trademarks;</w:t>
      </w:r>
      <w:proofErr w:type="gramEnd"/>
    </w:p>
    <w:p w14:paraId="4A56C899" w14:textId="77777777" w:rsidR="00C14BF9" w:rsidRPr="00EB74A8" w:rsidRDefault="00C14BF9" w:rsidP="000D78AF">
      <w:pPr>
        <w:pStyle w:val="NormalWeb"/>
        <w:numPr>
          <w:ilvl w:val="0"/>
          <w:numId w:val="5"/>
        </w:numPr>
        <w:rPr>
          <w:rFonts w:ascii="Arial" w:hAnsi="Arial" w:cs="Arial"/>
          <w:color w:val="000000"/>
          <w:sz w:val="18"/>
          <w:szCs w:val="18"/>
        </w:rPr>
      </w:pPr>
      <w:r w:rsidRPr="00EB74A8">
        <w:rPr>
          <w:rFonts w:ascii="Arial" w:hAnsi="Arial" w:cs="Arial"/>
          <w:color w:val="000000"/>
          <w:sz w:val="18"/>
          <w:szCs w:val="18"/>
        </w:rPr>
        <w:t xml:space="preserve">any photographs and </w:t>
      </w:r>
      <w:proofErr w:type="gramStart"/>
      <w:r w:rsidRPr="00EB74A8">
        <w:rPr>
          <w:rFonts w:ascii="Arial" w:hAnsi="Arial" w:cs="Arial"/>
          <w:color w:val="000000"/>
          <w:sz w:val="18"/>
          <w:szCs w:val="18"/>
        </w:rPr>
        <w:t>images;</w:t>
      </w:r>
      <w:proofErr w:type="gramEnd"/>
    </w:p>
    <w:p w14:paraId="7E5A70B1" w14:textId="77777777" w:rsidR="00C14BF9" w:rsidRPr="00EB74A8" w:rsidRDefault="00C14BF9" w:rsidP="000D78AF">
      <w:pPr>
        <w:pStyle w:val="NormalWeb"/>
        <w:numPr>
          <w:ilvl w:val="0"/>
          <w:numId w:val="5"/>
        </w:numPr>
        <w:rPr>
          <w:rFonts w:ascii="Arial" w:hAnsi="Arial" w:cs="Arial"/>
          <w:color w:val="000000"/>
          <w:sz w:val="18"/>
          <w:szCs w:val="18"/>
        </w:rPr>
      </w:pPr>
      <w:r w:rsidRPr="00EB74A8">
        <w:rPr>
          <w:rFonts w:ascii="Arial" w:hAnsi="Arial" w:cs="Arial"/>
          <w:color w:val="000000"/>
          <w:sz w:val="18"/>
          <w:szCs w:val="18"/>
        </w:rPr>
        <w:t>any signatures; and</w:t>
      </w:r>
    </w:p>
    <w:p w14:paraId="6EA231B5" w14:textId="77777777" w:rsidR="00C14BF9" w:rsidRPr="00EB74A8" w:rsidRDefault="00C14BF9" w:rsidP="000D78AF">
      <w:pPr>
        <w:pStyle w:val="NormalWeb"/>
        <w:numPr>
          <w:ilvl w:val="0"/>
          <w:numId w:val="5"/>
        </w:numPr>
        <w:rPr>
          <w:rFonts w:ascii="Arial" w:hAnsi="Arial" w:cs="Arial"/>
          <w:color w:val="000000"/>
          <w:sz w:val="18"/>
          <w:szCs w:val="18"/>
        </w:rPr>
      </w:pPr>
      <w:r w:rsidRPr="00EB74A8">
        <w:rPr>
          <w:rFonts w:ascii="Arial" w:hAnsi="Arial" w:cs="Arial"/>
          <w:color w:val="000000"/>
          <w:sz w:val="18"/>
          <w:szCs w:val="18"/>
        </w:rPr>
        <w:t xml:space="preserve">any material belonging to third parties. The </w:t>
      </w:r>
      <w:proofErr w:type="gramStart"/>
      <w:r w:rsidRPr="00EB74A8">
        <w:rPr>
          <w:rFonts w:ascii="Arial" w:hAnsi="Arial" w:cs="Arial"/>
          <w:color w:val="000000"/>
          <w:sz w:val="18"/>
          <w:szCs w:val="18"/>
        </w:rPr>
        <w:t>third party</w:t>
      </w:r>
      <w:proofErr w:type="gramEnd"/>
      <w:r w:rsidRPr="00EB74A8">
        <w:rPr>
          <w:rFonts w:ascii="Arial" w:hAnsi="Arial" w:cs="Arial"/>
          <w:color w:val="000000"/>
          <w:sz w:val="18"/>
          <w:szCs w:val="18"/>
        </w:rPr>
        <w:t xml:space="preserve"> elements must be included here or have a footnote reference throughout the document showing where they are</w:t>
      </w:r>
    </w:p>
    <w:p w14:paraId="5F59CCE3" w14:textId="77777777" w:rsidR="00C14BF9" w:rsidRPr="00EB74A8" w:rsidRDefault="00C14BF9" w:rsidP="000D78AF">
      <w:pPr>
        <w:pStyle w:val="NormalWeb"/>
        <w:rPr>
          <w:rFonts w:ascii="Arial" w:hAnsi="Arial" w:cs="Arial"/>
          <w:b/>
          <w:bCs/>
          <w:color w:val="000000"/>
          <w:sz w:val="18"/>
          <w:szCs w:val="18"/>
        </w:rPr>
      </w:pPr>
      <w:r w:rsidRPr="00EB74A8">
        <w:rPr>
          <w:rFonts w:ascii="Arial" w:hAnsi="Arial" w:cs="Arial"/>
          <w:b/>
          <w:bCs/>
          <w:color w:val="000000"/>
          <w:sz w:val="18"/>
          <w:szCs w:val="18"/>
        </w:rPr>
        <w:t>Attribution</w:t>
      </w:r>
    </w:p>
    <w:p w14:paraId="1315FC1B" w14:textId="77777777" w:rsidR="00C14BF9" w:rsidRPr="00EB74A8" w:rsidRDefault="00C14BF9" w:rsidP="000D78AF">
      <w:pPr>
        <w:pStyle w:val="Copyrightversotext"/>
      </w:pPr>
      <w:r w:rsidRPr="00EB74A8">
        <w:t xml:space="preserve">Without limiting your obligations under the Licence, the </w:t>
      </w:r>
      <w:r w:rsidR="000701F4" w:rsidRPr="00EB74A8">
        <w:t xml:space="preserve">Australian Centre for Disease Control </w:t>
      </w:r>
      <w:r w:rsidRPr="00EB74A8">
        <w:t>requests that you attribute this publication in your work. Any reasonable form of words may be used provided that you:</w:t>
      </w:r>
    </w:p>
    <w:p w14:paraId="4D7550E7" w14:textId="77777777" w:rsidR="00C14BF9" w:rsidRPr="00EB74A8" w:rsidRDefault="00C14BF9" w:rsidP="000D78AF">
      <w:pPr>
        <w:pStyle w:val="Copyrightversotext"/>
        <w:numPr>
          <w:ilvl w:val="0"/>
          <w:numId w:val="9"/>
        </w:numPr>
      </w:pPr>
      <w:r w:rsidRPr="00EB74A8">
        <w:t xml:space="preserve">include a reference to this publication and </w:t>
      </w:r>
      <w:proofErr w:type="gramStart"/>
      <w:r w:rsidRPr="00EB74A8">
        <w:t>where</w:t>
      </w:r>
      <w:proofErr w:type="gramEnd"/>
      <w:r w:rsidRPr="00EB74A8">
        <w:t xml:space="preserve">, practicable, the relevant page </w:t>
      </w:r>
      <w:proofErr w:type="gramStart"/>
      <w:r w:rsidRPr="00EB74A8">
        <w:t>numbers;</w:t>
      </w:r>
      <w:proofErr w:type="gramEnd"/>
    </w:p>
    <w:p w14:paraId="28AD977E" w14:textId="77777777" w:rsidR="00C14BF9" w:rsidRPr="00EB74A8" w:rsidRDefault="00C14BF9" w:rsidP="000D78AF">
      <w:pPr>
        <w:pStyle w:val="Copyrightversotext"/>
        <w:numPr>
          <w:ilvl w:val="0"/>
          <w:numId w:val="9"/>
        </w:numPr>
      </w:pPr>
      <w:r w:rsidRPr="00EB74A8">
        <w:t xml:space="preserve">make it clear that you have permission to use the material under the Creative Commons Attribution 4.0 International Public </w:t>
      </w:r>
      <w:proofErr w:type="gramStart"/>
      <w:r w:rsidRPr="00EB74A8">
        <w:t>License;</w:t>
      </w:r>
      <w:proofErr w:type="gramEnd"/>
    </w:p>
    <w:p w14:paraId="269993FE" w14:textId="77777777" w:rsidR="00C14BF9" w:rsidRPr="00EB74A8" w:rsidRDefault="00C14BF9" w:rsidP="000D78AF">
      <w:pPr>
        <w:pStyle w:val="Copyrightversotext"/>
        <w:numPr>
          <w:ilvl w:val="0"/>
          <w:numId w:val="9"/>
        </w:numPr>
      </w:pPr>
      <w:r w:rsidRPr="00EB74A8">
        <w:t xml:space="preserve">make it clear whether or not you have changed the material used from this </w:t>
      </w:r>
      <w:proofErr w:type="gramStart"/>
      <w:r w:rsidRPr="00EB74A8">
        <w:t>publication;</w:t>
      </w:r>
      <w:proofErr w:type="gramEnd"/>
    </w:p>
    <w:p w14:paraId="6CCF3B3B" w14:textId="12E18863" w:rsidR="00C14BF9" w:rsidRPr="00EB74A8" w:rsidRDefault="00C14BF9" w:rsidP="000D78AF">
      <w:pPr>
        <w:pStyle w:val="Copyrightversotext"/>
        <w:numPr>
          <w:ilvl w:val="0"/>
          <w:numId w:val="9"/>
        </w:numPr>
      </w:pPr>
      <w:r w:rsidRPr="00EB74A8">
        <w:t>include a copyright notice in relation to the material used. In the case of no change to the material, the words “© Commonwealth of Australia (Australian Centre for Disease Control) 20</w:t>
      </w:r>
      <w:r w:rsidR="00A10426" w:rsidRPr="00EB74A8">
        <w:t>26</w:t>
      </w:r>
      <w:r w:rsidRPr="00EB74A8">
        <w:t>” may be used. In the case where the material has been changed or adapted, the words: “Based on Commonwealth of Australia (Australian Centre for Disease Control) material” may be used; and</w:t>
      </w:r>
    </w:p>
    <w:p w14:paraId="65203CF8" w14:textId="77777777" w:rsidR="00C14BF9" w:rsidRPr="00EB74A8" w:rsidRDefault="00C14BF9" w:rsidP="000D78AF">
      <w:pPr>
        <w:pStyle w:val="Copyrightversotext"/>
        <w:numPr>
          <w:ilvl w:val="0"/>
          <w:numId w:val="9"/>
        </w:numPr>
      </w:pPr>
      <w:r w:rsidRPr="00EB74A8">
        <w:t>do not suggest that the Australian Centre for Disease Control endorses you or your use of the material.</w:t>
      </w:r>
    </w:p>
    <w:p w14:paraId="20CFDDB9" w14:textId="77777777" w:rsidR="00C14BF9" w:rsidRPr="00EB74A8" w:rsidRDefault="00C14BF9" w:rsidP="000D78AF">
      <w:pPr>
        <w:pStyle w:val="NormalWeb"/>
        <w:rPr>
          <w:rFonts w:ascii="Arial" w:hAnsi="Arial" w:cs="Arial"/>
          <w:b/>
          <w:bCs/>
          <w:color w:val="000000"/>
          <w:sz w:val="18"/>
          <w:szCs w:val="18"/>
        </w:rPr>
      </w:pPr>
      <w:r w:rsidRPr="00EB74A8">
        <w:rPr>
          <w:rFonts w:ascii="Arial" w:hAnsi="Arial" w:cs="Arial"/>
          <w:b/>
          <w:bCs/>
          <w:color w:val="000000"/>
          <w:sz w:val="18"/>
          <w:szCs w:val="18"/>
        </w:rPr>
        <w:t>Enquiries</w:t>
      </w:r>
    </w:p>
    <w:p w14:paraId="6179BDB3" w14:textId="77777777" w:rsidR="00C14BF9" w:rsidRPr="00EB74A8" w:rsidRDefault="00C14BF9" w:rsidP="000D78AF">
      <w:pPr>
        <w:pStyle w:val="Copyrightversotext"/>
      </w:pPr>
      <w:r w:rsidRPr="00EB74A8">
        <w:t xml:space="preserve">Enquiries regarding any other use of this publication should be addressed to the </w:t>
      </w:r>
      <w:r w:rsidR="000701F4" w:rsidRPr="00EB74A8">
        <w:t xml:space="preserve">Communication and Public Information Section, Strategy and Engagement Branch, Australian Centre for Disease Control, GPO Box </w:t>
      </w:r>
      <w:r w:rsidR="00DC3272" w:rsidRPr="00EB74A8">
        <w:t>798</w:t>
      </w:r>
      <w:r w:rsidR="000701F4" w:rsidRPr="00EB74A8">
        <w:t xml:space="preserve">, </w:t>
      </w:r>
      <w:r w:rsidRPr="00EB74A8">
        <w:t xml:space="preserve">Canberra ACT 2601, or via e-mail to </w:t>
      </w:r>
      <w:hyperlink r:id="rId16" w:history="1">
        <w:r w:rsidR="000701F4" w:rsidRPr="00EB74A8">
          <w:rPr>
            <w:rStyle w:val="Hyperlink"/>
          </w:rPr>
          <w:t>CDCComms@cdc.gov.au</w:t>
        </w:r>
      </w:hyperlink>
      <w:r w:rsidR="000701F4" w:rsidRPr="00EB74A8">
        <w:t>.</w:t>
      </w:r>
    </w:p>
    <w:p w14:paraId="166F5E69" w14:textId="77777777" w:rsidR="00C14BF9" w:rsidRPr="00EB74A8" w:rsidRDefault="00C14BF9" w:rsidP="000D78AF">
      <w:pPr>
        <w:rPr>
          <w:rFonts w:eastAsia="Times New Roman" w:cs="Arial"/>
          <w:color w:val="000000"/>
          <w:kern w:val="0"/>
          <w:sz w:val="18"/>
          <w:szCs w:val="18"/>
          <w:lang w:eastAsia="en-GB"/>
          <w14:ligatures w14:val="none"/>
        </w:rPr>
      </w:pPr>
      <w:r w:rsidRPr="00EB74A8">
        <w:br w:type="page"/>
      </w:r>
    </w:p>
    <w:sdt>
      <w:sdtPr>
        <w:rPr>
          <w:rFonts w:asciiTheme="minorHAnsi" w:eastAsiaTheme="minorEastAsia" w:hAnsiTheme="minorHAnsi" w:cstheme="minorBidi"/>
          <w:iCs/>
          <w:color w:val="auto"/>
          <w:kern w:val="2"/>
          <w:sz w:val="24"/>
          <w:szCs w:val="24"/>
          <w:lang w:val="en-AU"/>
          <w14:ligatures w14:val="standardContextual"/>
        </w:rPr>
        <w:id w:val="-294442415"/>
        <w:docPartObj>
          <w:docPartGallery w:val="Table of Contents"/>
          <w:docPartUnique/>
        </w:docPartObj>
      </w:sdtPr>
      <w:sdtEndPr>
        <w:rPr>
          <w:noProof/>
        </w:rPr>
      </w:sdtEndPr>
      <w:sdtContent>
        <w:p w14:paraId="4985A894" w14:textId="77777777" w:rsidR="00F40769" w:rsidRPr="00AD4542" w:rsidRDefault="00F40769" w:rsidP="00AD4542">
          <w:pPr>
            <w:pStyle w:val="TOCHeading"/>
          </w:pPr>
          <w:r w:rsidRPr="00AD4542">
            <w:t>Contents</w:t>
          </w:r>
        </w:p>
        <w:p w14:paraId="3808441B" w14:textId="5A172535" w:rsidR="004E3DA8" w:rsidRDefault="00F40769">
          <w:pPr>
            <w:pStyle w:val="TOC1"/>
            <w:tabs>
              <w:tab w:val="right" w:leader="dot" w:pos="9622"/>
            </w:tabs>
            <w:rPr>
              <w:rFonts w:eastAsiaTheme="minorEastAsia" w:cstheme="minorBidi"/>
              <w:b w:val="0"/>
              <w:bCs w:val="0"/>
              <w:iCs w:val="0"/>
              <w:noProof/>
              <w:lang w:eastAsia="en-AU"/>
            </w:rPr>
          </w:pPr>
          <w:r w:rsidRPr="00EB74A8">
            <w:rPr>
              <w:iCs w:val="0"/>
            </w:rPr>
            <w:fldChar w:fldCharType="begin"/>
          </w:r>
          <w:r w:rsidRPr="00EB74A8">
            <w:rPr>
              <w:iCs w:val="0"/>
            </w:rPr>
            <w:instrText xml:space="preserve"> TOC \o "1-3" \h \z \u </w:instrText>
          </w:r>
          <w:r w:rsidRPr="00EB74A8">
            <w:rPr>
              <w:iCs w:val="0"/>
            </w:rPr>
            <w:fldChar w:fldCharType="separate"/>
          </w:r>
          <w:hyperlink w:anchor="_Toc225244412" w:history="1">
            <w:r w:rsidR="004E3DA8" w:rsidRPr="00AC2C4E">
              <w:rPr>
                <w:rStyle w:val="Hyperlink"/>
                <w:noProof/>
              </w:rPr>
              <w:t>List of figures</w:t>
            </w:r>
            <w:r w:rsidR="004E3DA8">
              <w:rPr>
                <w:noProof/>
                <w:webHidden/>
              </w:rPr>
              <w:tab/>
            </w:r>
            <w:r w:rsidR="004E3DA8">
              <w:rPr>
                <w:noProof/>
                <w:webHidden/>
              </w:rPr>
              <w:fldChar w:fldCharType="begin"/>
            </w:r>
            <w:r w:rsidR="004E3DA8">
              <w:rPr>
                <w:noProof/>
                <w:webHidden/>
              </w:rPr>
              <w:instrText xml:space="preserve"> PAGEREF _Toc225244412 \h </w:instrText>
            </w:r>
            <w:r w:rsidR="004E3DA8">
              <w:rPr>
                <w:noProof/>
                <w:webHidden/>
              </w:rPr>
            </w:r>
            <w:r w:rsidR="004E3DA8">
              <w:rPr>
                <w:noProof/>
                <w:webHidden/>
              </w:rPr>
              <w:fldChar w:fldCharType="separate"/>
            </w:r>
            <w:r w:rsidR="004E3DA8">
              <w:rPr>
                <w:noProof/>
                <w:webHidden/>
              </w:rPr>
              <w:t>4</w:t>
            </w:r>
            <w:r w:rsidR="004E3DA8">
              <w:rPr>
                <w:noProof/>
                <w:webHidden/>
              </w:rPr>
              <w:fldChar w:fldCharType="end"/>
            </w:r>
          </w:hyperlink>
        </w:p>
        <w:p w14:paraId="302994DA" w14:textId="7448E161" w:rsidR="004E3DA8" w:rsidRDefault="004E3DA8">
          <w:pPr>
            <w:pStyle w:val="TOC1"/>
            <w:tabs>
              <w:tab w:val="right" w:leader="dot" w:pos="9622"/>
            </w:tabs>
            <w:rPr>
              <w:rFonts w:eastAsiaTheme="minorEastAsia" w:cstheme="minorBidi"/>
              <w:b w:val="0"/>
              <w:bCs w:val="0"/>
              <w:iCs w:val="0"/>
              <w:noProof/>
              <w:lang w:eastAsia="en-AU"/>
            </w:rPr>
          </w:pPr>
          <w:hyperlink w:anchor="_Toc225244413" w:history="1">
            <w:r w:rsidRPr="00AC2C4E">
              <w:rPr>
                <w:rStyle w:val="Hyperlink"/>
                <w:noProof/>
              </w:rPr>
              <w:t>List of tables</w:t>
            </w:r>
            <w:r>
              <w:rPr>
                <w:noProof/>
                <w:webHidden/>
              </w:rPr>
              <w:tab/>
            </w:r>
            <w:r>
              <w:rPr>
                <w:noProof/>
                <w:webHidden/>
              </w:rPr>
              <w:fldChar w:fldCharType="begin"/>
            </w:r>
            <w:r>
              <w:rPr>
                <w:noProof/>
                <w:webHidden/>
              </w:rPr>
              <w:instrText xml:space="preserve"> PAGEREF _Toc225244413 \h </w:instrText>
            </w:r>
            <w:r>
              <w:rPr>
                <w:noProof/>
                <w:webHidden/>
              </w:rPr>
            </w:r>
            <w:r>
              <w:rPr>
                <w:noProof/>
                <w:webHidden/>
              </w:rPr>
              <w:fldChar w:fldCharType="separate"/>
            </w:r>
            <w:r>
              <w:rPr>
                <w:noProof/>
                <w:webHidden/>
              </w:rPr>
              <w:t>5</w:t>
            </w:r>
            <w:r>
              <w:rPr>
                <w:noProof/>
                <w:webHidden/>
              </w:rPr>
              <w:fldChar w:fldCharType="end"/>
            </w:r>
          </w:hyperlink>
        </w:p>
        <w:p w14:paraId="46404F41" w14:textId="057986D6" w:rsidR="004E3DA8" w:rsidRDefault="004E3DA8">
          <w:pPr>
            <w:pStyle w:val="TOC1"/>
            <w:tabs>
              <w:tab w:val="right" w:leader="dot" w:pos="9622"/>
            </w:tabs>
            <w:rPr>
              <w:rFonts w:eastAsiaTheme="minorEastAsia" w:cstheme="minorBidi"/>
              <w:b w:val="0"/>
              <w:bCs w:val="0"/>
              <w:iCs w:val="0"/>
              <w:noProof/>
              <w:lang w:eastAsia="en-AU"/>
            </w:rPr>
          </w:pPr>
          <w:hyperlink w:anchor="_Toc225244414" w:history="1">
            <w:r w:rsidRPr="00AC2C4E">
              <w:rPr>
                <w:rStyle w:val="Hyperlink"/>
                <w:noProof/>
              </w:rPr>
              <w:t>Introduction</w:t>
            </w:r>
            <w:r>
              <w:rPr>
                <w:noProof/>
                <w:webHidden/>
              </w:rPr>
              <w:tab/>
            </w:r>
            <w:r>
              <w:rPr>
                <w:noProof/>
                <w:webHidden/>
              </w:rPr>
              <w:fldChar w:fldCharType="begin"/>
            </w:r>
            <w:r>
              <w:rPr>
                <w:noProof/>
                <w:webHidden/>
              </w:rPr>
              <w:instrText xml:space="preserve"> PAGEREF _Toc225244414 \h </w:instrText>
            </w:r>
            <w:r>
              <w:rPr>
                <w:noProof/>
                <w:webHidden/>
              </w:rPr>
            </w:r>
            <w:r>
              <w:rPr>
                <w:noProof/>
                <w:webHidden/>
              </w:rPr>
              <w:fldChar w:fldCharType="separate"/>
            </w:r>
            <w:r>
              <w:rPr>
                <w:noProof/>
                <w:webHidden/>
              </w:rPr>
              <w:t>6</w:t>
            </w:r>
            <w:r>
              <w:rPr>
                <w:noProof/>
                <w:webHidden/>
              </w:rPr>
              <w:fldChar w:fldCharType="end"/>
            </w:r>
          </w:hyperlink>
        </w:p>
        <w:p w14:paraId="2C2D4535" w14:textId="2070002E" w:rsidR="004E3DA8" w:rsidRDefault="004E3DA8">
          <w:pPr>
            <w:pStyle w:val="TOC2"/>
            <w:tabs>
              <w:tab w:val="right" w:leader="dot" w:pos="9622"/>
            </w:tabs>
            <w:rPr>
              <w:rFonts w:eastAsiaTheme="minorEastAsia" w:cstheme="minorBidi"/>
              <w:b w:val="0"/>
              <w:bCs w:val="0"/>
              <w:noProof/>
              <w:sz w:val="24"/>
              <w:szCs w:val="24"/>
              <w:lang w:eastAsia="en-AU"/>
            </w:rPr>
          </w:pPr>
          <w:hyperlink w:anchor="_Toc225244415" w:history="1">
            <w:r w:rsidRPr="00AC2C4E">
              <w:rPr>
                <w:rStyle w:val="Hyperlink"/>
                <w:noProof/>
              </w:rPr>
              <w:t>Reporting</w:t>
            </w:r>
            <w:r>
              <w:rPr>
                <w:noProof/>
                <w:webHidden/>
              </w:rPr>
              <w:tab/>
            </w:r>
            <w:r>
              <w:rPr>
                <w:noProof/>
                <w:webHidden/>
              </w:rPr>
              <w:fldChar w:fldCharType="begin"/>
            </w:r>
            <w:r>
              <w:rPr>
                <w:noProof/>
                <w:webHidden/>
              </w:rPr>
              <w:instrText xml:space="preserve"> PAGEREF _Toc225244415 \h </w:instrText>
            </w:r>
            <w:r>
              <w:rPr>
                <w:noProof/>
                <w:webHidden/>
              </w:rPr>
            </w:r>
            <w:r>
              <w:rPr>
                <w:noProof/>
                <w:webHidden/>
              </w:rPr>
              <w:fldChar w:fldCharType="separate"/>
            </w:r>
            <w:r>
              <w:rPr>
                <w:noProof/>
                <w:webHidden/>
              </w:rPr>
              <w:t>6</w:t>
            </w:r>
            <w:r>
              <w:rPr>
                <w:noProof/>
                <w:webHidden/>
              </w:rPr>
              <w:fldChar w:fldCharType="end"/>
            </w:r>
          </w:hyperlink>
        </w:p>
        <w:p w14:paraId="5FC4DEDD" w14:textId="01E318EA" w:rsidR="004E3DA8" w:rsidRDefault="004E3DA8">
          <w:pPr>
            <w:pStyle w:val="TOC2"/>
            <w:tabs>
              <w:tab w:val="right" w:leader="dot" w:pos="9622"/>
            </w:tabs>
            <w:rPr>
              <w:rFonts w:eastAsiaTheme="minorEastAsia" w:cstheme="minorBidi"/>
              <w:b w:val="0"/>
              <w:bCs w:val="0"/>
              <w:noProof/>
              <w:sz w:val="24"/>
              <w:szCs w:val="24"/>
              <w:lang w:eastAsia="en-AU"/>
            </w:rPr>
          </w:pPr>
          <w:hyperlink w:anchor="_Toc225244416" w:history="1">
            <w:r w:rsidRPr="00AC2C4E">
              <w:rPr>
                <w:rStyle w:val="Hyperlink"/>
                <w:noProof/>
              </w:rPr>
              <w:t>Guidance</w:t>
            </w:r>
            <w:r>
              <w:rPr>
                <w:noProof/>
                <w:webHidden/>
              </w:rPr>
              <w:tab/>
            </w:r>
            <w:r>
              <w:rPr>
                <w:noProof/>
                <w:webHidden/>
              </w:rPr>
              <w:fldChar w:fldCharType="begin"/>
            </w:r>
            <w:r>
              <w:rPr>
                <w:noProof/>
                <w:webHidden/>
              </w:rPr>
              <w:instrText xml:space="preserve"> PAGEREF _Toc225244416 \h </w:instrText>
            </w:r>
            <w:r>
              <w:rPr>
                <w:noProof/>
                <w:webHidden/>
              </w:rPr>
            </w:r>
            <w:r>
              <w:rPr>
                <w:noProof/>
                <w:webHidden/>
              </w:rPr>
              <w:fldChar w:fldCharType="separate"/>
            </w:r>
            <w:r>
              <w:rPr>
                <w:noProof/>
                <w:webHidden/>
              </w:rPr>
              <w:t>6</w:t>
            </w:r>
            <w:r>
              <w:rPr>
                <w:noProof/>
                <w:webHidden/>
              </w:rPr>
              <w:fldChar w:fldCharType="end"/>
            </w:r>
          </w:hyperlink>
        </w:p>
        <w:p w14:paraId="1EA6B19C" w14:textId="1F8607FD" w:rsidR="004E3DA8" w:rsidRDefault="004E3DA8">
          <w:pPr>
            <w:pStyle w:val="TOC2"/>
            <w:tabs>
              <w:tab w:val="right" w:leader="dot" w:pos="9622"/>
            </w:tabs>
            <w:rPr>
              <w:rFonts w:eastAsiaTheme="minorEastAsia" w:cstheme="minorBidi"/>
              <w:b w:val="0"/>
              <w:bCs w:val="0"/>
              <w:noProof/>
              <w:sz w:val="24"/>
              <w:szCs w:val="24"/>
              <w:lang w:eastAsia="en-AU"/>
            </w:rPr>
          </w:pPr>
          <w:hyperlink w:anchor="_Toc225244417" w:history="1">
            <w:r w:rsidRPr="00AC2C4E">
              <w:rPr>
                <w:rStyle w:val="Hyperlink"/>
                <w:noProof/>
              </w:rPr>
              <w:t>Terminology</w:t>
            </w:r>
            <w:r>
              <w:rPr>
                <w:noProof/>
                <w:webHidden/>
              </w:rPr>
              <w:tab/>
            </w:r>
            <w:r>
              <w:rPr>
                <w:noProof/>
                <w:webHidden/>
              </w:rPr>
              <w:fldChar w:fldCharType="begin"/>
            </w:r>
            <w:r>
              <w:rPr>
                <w:noProof/>
                <w:webHidden/>
              </w:rPr>
              <w:instrText xml:space="preserve"> PAGEREF _Toc225244417 \h </w:instrText>
            </w:r>
            <w:r>
              <w:rPr>
                <w:noProof/>
                <w:webHidden/>
              </w:rPr>
            </w:r>
            <w:r>
              <w:rPr>
                <w:noProof/>
                <w:webHidden/>
              </w:rPr>
              <w:fldChar w:fldCharType="separate"/>
            </w:r>
            <w:r>
              <w:rPr>
                <w:noProof/>
                <w:webHidden/>
              </w:rPr>
              <w:t>6</w:t>
            </w:r>
            <w:r>
              <w:rPr>
                <w:noProof/>
                <w:webHidden/>
              </w:rPr>
              <w:fldChar w:fldCharType="end"/>
            </w:r>
          </w:hyperlink>
        </w:p>
        <w:p w14:paraId="7BF861AB" w14:textId="700FCC86" w:rsidR="004E3DA8" w:rsidRDefault="004E3DA8">
          <w:pPr>
            <w:pStyle w:val="TOC1"/>
            <w:tabs>
              <w:tab w:val="right" w:leader="dot" w:pos="9622"/>
            </w:tabs>
            <w:rPr>
              <w:rFonts w:eastAsiaTheme="minorEastAsia" w:cstheme="minorBidi"/>
              <w:b w:val="0"/>
              <w:bCs w:val="0"/>
              <w:iCs w:val="0"/>
              <w:noProof/>
              <w:lang w:eastAsia="en-AU"/>
            </w:rPr>
          </w:pPr>
          <w:hyperlink w:anchor="_Toc225244418" w:history="1">
            <w:r w:rsidRPr="00AC2C4E">
              <w:rPr>
                <w:rStyle w:val="Hyperlink"/>
                <w:noProof/>
              </w:rPr>
              <w:t>Goal 1: Strengthen prevention and testing strategies for syphilis in priority populations and settings, targeting high-burden area</w:t>
            </w:r>
            <w:r>
              <w:rPr>
                <w:noProof/>
                <w:webHidden/>
              </w:rPr>
              <w:tab/>
            </w:r>
            <w:r>
              <w:rPr>
                <w:noProof/>
                <w:webHidden/>
              </w:rPr>
              <w:fldChar w:fldCharType="begin"/>
            </w:r>
            <w:r>
              <w:rPr>
                <w:noProof/>
                <w:webHidden/>
              </w:rPr>
              <w:instrText xml:space="preserve"> PAGEREF _Toc225244418 \h </w:instrText>
            </w:r>
            <w:r>
              <w:rPr>
                <w:noProof/>
                <w:webHidden/>
              </w:rPr>
            </w:r>
            <w:r>
              <w:rPr>
                <w:noProof/>
                <w:webHidden/>
              </w:rPr>
              <w:fldChar w:fldCharType="separate"/>
            </w:r>
            <w:r>
              <w:rPr>
                <w:noProof/>
                <w:webHidden/>
              </w:rPr>
              <w:t>11</w:t>
            </w:r>
            <w:r>
              <w:rPr>
                <w:noProof/>
                <w:webHidden/>
              </w:rPr>
              <w:fldChar w:fldCharType="end"/>
            </w:r>
          </w:hyperlink>
        </w:p>
        <w:p w14:paraId="02C7DF93" w14:textId="370078F0" w:rsidR="004E3DA8" w:rsidRDefault="004E3DA8">
          <w:pPr>
            <w:pStyle w:val="TOC2"/>
            <w:tabs>
              <w:tab w:val="right" w:leader="dot" w:pos="9622"/>
            </w:tabs>
            <w:rPr>
              <w:rFonts w:eastAsiaTheme="minorEastAsia" w:cstheme="minorBidi"/>
              <w:b w:val="0"/>
              <w:bCs w:val="0"/>
              <w:noProof/>
              <w:sz w:val="24"/>
              <w:szCs w:val="24"/>
              <w:lang w:eastAsia="en-AU"/>
            </w:rPr>
          </w:pPr>
          <w:hyperlink w:anchor="_Toc225244419" w:history="1">
            <w:r w:rsidRPr="00AC2C4E">
              <w:rPr>
                <w:rStyle w:val="Hyperlink"/>
                <w:noProof/>
              </w:rPr>
              <w:t>Indicators 1.2 and 1.3 – Syphilis tests</w:t>
            </w:r>
            <w:r>
              <w:rPr>
                <w:noProof/>
                <w:webHidden/>
              </w:rPr>
              <w:tab/>
            </w:r>
            <w:r>
              <w:rPr>
                <w:noProof/>
                <w:webHidden/>
              </w:rPr>
              <w:fldChar w:fldCharType="begin"/>
            </w:r>
            <w:r>
              <w:rPr>
                <w:noProof/>
                <w:webHidden/>
              </w:rPr>
              <w:instrText xml:space="preserve"> PAGEREF _Toc225244419 \h </w:instrText>
            </w:r>
            <w:r>
              <w:rPr>
                <w:noProof/>
                <w:webHidden/>
              </w:rPr>
            </w:r>
            <w:r>
              <w:rPr>
                <w:noProof/>
                <w:webHidden/>
              </w:rPr>
              <w:fldChar w:fldCharType="separate"/>
            </w:r>
            <w:r>
              <w:rPr>
                <w:noProof/>
                <w:webHidden/>
              </w:rPr>
              <w:t>12</w:t>
            </w:r>
            <w:r>
              <w:rPr>
                <w:noProof/>
                <w:webHidden/>
              </w:rPr>
              <w:fldChar w:fldCharType="end"/>
            </w:r>
          </w:hyperlink>
        </w:p>
        <w:p w14:paraId="48D8C705" w14:textId="4AD46291" w:rsidR="004E3DA8" w:rsidRDefault="004E3DA8">
          <w:pPr>
            <w:pStyle w:val="TOC1"/>
            <w:tabs>
              <w:tab w:val="right" w:leader="dot" w:pos="9622"/>
            </w:tabs>
            <w:rPr>
              <w:rFonts w:eastAsiaTheme="minorEastAsia" w:cstheme="minorBidi"/>
              <w:b w:val="0"/>
              <w:bCs w:val="0"/>
              <w:iCs w:val="0"/>
              <w:noProof/>
              <w:lang w:eastAsia="en-AU"/>
            </w:rPr>
          </w:pPr>
          <w:hyperlink w:anchor="_Toc225244420" w:history="1">
            <w:r w:rsidRPr="00AC2C4E">
              <w:rPr>
                <w:rStyle w:val="Hyperlink"/>
                <w:noProof/>
              </w:rPr>
              <w:t>Goal 2: Reduce ongoing transmission and incidence of syphilis across priority populations</w:t>
            </w:r>
            <w:r>
              <w:rPr>
                <w:noProof/>
                <w:webHidden/>
              </w:rPr>
              <w:tab/>
            </w:r>
            <w:r>
              <w:rPr>
                <w:noProof/>
                <w:webHidden/>
              </w:rPr>
              <w:fldChar w:fldCharType="begin"/>
            </w:r>
            <w:r>
              <w:rPr>
                <w:noProof/>
                <w:webHidden/>
              </w:rPr>
              <w:instrText xml:space="preserve"> PAGEREF _Toc225244420 \h </w:instrText>
            </w:r>
            <w:r>
              <w:rPr>
                <w:noProof/>
                <w:webHidden/>
              </w:rPr>
            </w:r>
            <w:r>
              <w:rPr>
                <w:noProof/>
                <w:webHidden/>
              </w:rPr>
              <w:fldChar w:fldCharType="separate"/>
            </w:r>
            <w:r>
              <w:rPr>
                <w:noProof/>
                <w:webHidden/>
              </w:rPr>
              <w:t>16</w:t>
            </w:r>
            <w:r>
              <w:rPr>
                <w:noProof/>
                <w:webHidden/>
              </w:rPr>
              <w:fldChar w:fldCharType="end"/>
            </w:r>
          </w:hyperlink>
        </w:p>
        <w:p w14:paraId="3F57E2A3" w14:textId="465B51C0" w:rsidR="004E3DA8" w:rsidRDefault="004E3DA8">
          <w:pPr>
            <w:pStyle w:val="TOC2"/>
            <w:tabs>
              <w:tab w:val="right" w:leader="dot" w:pos="9622"/>
            </w:tabs>
            <w:rPr>
              <w:rFonts w:eastAsiaTheme="minorEastAsia" w:cstheme="minorBidi"/>
              <w:b w:val="0"/>
              <w:bCs w:val="0"/>
              <w:noProof/>
              <w:sz w:val="24"/>
              <w:szCs w:val="24"/>
              <w:lang w:eastAsia="en-AU"/>
            </w:rPr>
          </w:pPr>
          <w:hyperlink w:anchor="_Toc225244421" w:history="1">
            <w:r w:rsidRPr="00AC2C4E">
              <w:rPr>
                <w:rStyle w:val="Hyperlink"/>
                <w:noProof/>
              </w:rPr>
              <w:t>Indicator 2.1 – Notification rates</w:t>
            </w:r>
            <w:r>
              <w:rPr>
                <w:noProof/>
                <w:webHidden/>
              </w:rPr>
              <w:tab/>
            </w:r>
            <w:r>
              <w:rPr>
                <w:noProof/>
                <w:webHidden/>
              </w:rPr>
              <w:fldChar w:fldCharType="begin"/>
            </w:r>
            <w:r>
              <w:rPr>
                <w:noProof/>
                <w:webHidden/>
              </w:rPr>
              <w:instrText xml:space="preserve"> PAGEREF _Toc225244421 \h </w:instrText>
            </w:r>
            <w:r>
              <w:rPr>
                <w:noProof/>
                <w:webHidden/>
              </w:rPr>
            </w:r>
            <w:r>
              <w:rPr>
                <w:noProof/>
                <w:webHidden/>
              </w:rPr>
              <w:fldChar w:fldCharType="separate"/>
            </w:r>
            <w:r>
              <w:rPr>
                <w:noProof/>
                <w:webHidden/>
              </w:rPr>
              <w:t>19</w:t>
            </w:r>
            <w:r>
              <w:rPr>
                <w:noProof/>
                <w:webHidden/>
              </w:rPr>
              <w:fldChar w:fldCharType="end"/>
            </w:r>
          </w:hyperlink>
        </w:p>
        <w:p w14:paraId="299E4D33" w14:textId="3F5BA305" w:rsidR="004E3DA8" w:rsidRDefault="004E3DA8">
          <w:pPr>
            <w:pStyle w:val="TOC2"/>
            <w:tabs>
              <w:tab w:val="right" w:leader="dot" w:pos="9622"/>
            </w:tabs>
            <w:rPr>
              <w:rFonts w:eastAsiaTheme="minorEastAsia" w:cstheme="minorBidi"/>
              <w:b w:val="0"/>
              <w:bCs w:val="0"/>
              <w:noProof/>
              <w:sz w:val="24"/>
              <w:szCs w:val="24"/>
              <w:lang w:eastAsia="en-AU"/>
            </w:rPr>
          </w:pPr>
          <w:hyperlink w:anchor="_Toc225244422" w:history="1">
            <w:r w:rsidRPr="00AC2C4E">
              <w:rPr>
                <w:rStyle w:val="Hyperlink"/>
                <w:noProof/>
              </w:rPr>
              <w:t>Indicators 2.2 and 2.3 – Geographical areas</w:t>
            </w:r>
            <w:r>
              <w:rPr>
                <w:noProof/>
                <w:webHidden/>
              </w:rPr>
              <w:tab/>
            </w:r>
            <w:r>
              <w:rPr>
                <w:noProof/>
                <w:webHidden/>
              </w:rPr>
              <w:fldChar w:fldCharType="begin"/>
            </w:r>
            <w:r>
              <w:rPr>
                <w:noProof/>
                <w:webHidden/>
              </w:rPr>
              <w:instrText xml:space="preserve"> PAGEREF _Toc225244422 \h </w:instrText>
            </w:r>
            <w:r>
              <w:rPr>
                <w:noProof/>
                <w:webHidden/>
              </w:rPr>
            </w:r>
            <w:r>
              <w:rPr>
                <w:noProof/>
                <w:webHidden/>
              </w:rPr>
              <w:fldChar w:fldCharType="separate"/>
            </w:r>
            <w:r>
              <w:rPr>
                <w:noProof/>
                <w:webHidden/>
              </w:rPr>
              <w:t>24</w:t>
            </w:r>
            <w:r>
              <w:rPr>
                <w:noProof/>
                <w:webHidden/>
              </w:rPr>
              <w:fldChar w:fldCharType="end"/>
            </w:r>
          </w:hyperlink>
        </w:p>
        <w:p w14:paraId="39046A08" w14:textId="73CC5498" w:rsidR="004E3DA8" w:rsidRDefault="004E3DA8">
          <w:pPr>
            <w:pStyle w:val="TOC2"/>
            <w:tabs>
              <w:tab w:val="right" w:leader="dot" w:pos="9622"/>
            </w:tabs>
            <w:rPr>
              <w:rFonts w:eastAsiaTheme="minorEastAsia" w:cstheme="minorBidi"/>
              <w:b w:val="0"/>
              <w:bCs w:val="0"/>
              <w:noProof/>
              <w:sz w:val="24"/>
              <w:szCs w:val="24"/>
              <w:lang w:eastAsia="en-AU"/>
            </w:rPr>
          </w:pPr>
          <w:hyperlink w:anchor="_Toc225244423" w:history="1">
            <w:r w:rsidRPr="00AC2C4E">
              <w:rPr>
                <w:rStyle w:val="Hyperlink"/>
                <w:noProof/>
              </w:rPr>
              <w:t>Indicator 2.4 – Women of reproductive age</w:t>
            </w:r>
            <w:r>
              <w:rPr>
                <w:noProof/>
                <w:webHidden/>
              </w:rPr>
              <w:tab/>
            </w:r>
            <w:r>
              <w:rPr>
                <w:noProof/>
                <w:webHidden/>
              </w:rPr>
              <w:fldChar w:fldCharType="begin"/>
            </w:r>
            <w:r>
              <w:rPr>
                <w:noProof/>
                <w:webHidden/>
              </w:rPr>
              <w:instrText xml:space="preserve"> PAGEREF _Toc225244423 \h </w:instrText>
            </w:r>
            <w:r>
              <w:rPr>
                <w:noProof/>
                <w:webHidden/>
              </w:rPr>
            </w:r>
            <w:r>
              <w:rPr>
                <w:noProof/>
                <w:webHidden/>
              </w:rPr>
              <w:fldChar w:fldCharType="separate"/>
            </w:r>
            <w:r>
              <w:rPr>
                <w:noProof/>
                <w:webHidden/>
              </w:rPr>
              <w:t>27</w:t>
            </w:r>
            <w:r>
              <w:rPr>
                <w:noProof/>
                <w:webHidden/>
              </w:rPr>
              <w:fldChar w:fldCharType="end"/>
            </w:r>
          </w:hyperlink>
        </w:p>
        <w:p w14:paraId="796479D6" w14:textId="3501C379" w:rsidR="004E3DA8" w:rsidRDefault="004E3DA8">
          <w:pPr>
            <w:pStyle w:val="TOC2"/>
            <w:tabs>
              <w:tab w:val="right" w:leader="dot" w:pos="9622"/>
            </w:tabs>
            <w:rPr>
              <w:rFonts w:eastAsiaTheme="minorEastAsia" w:cstheme="minorBidi"/>
              <w:b w:val="0"/>
              <w:bCs w:val="0"/>
              <w:noProof/>
              <w:sz w:val="24"/>
              <w:szCs w:val="24"/>
              <w:lang w:eastAsia="en-AU"/>
            </w:rPr>
          </w:pPr>
          <w:hyperlink w:anchor="_Toc225244424" w:history="1">
            <w:r w:rsidRPr="00AC2C4E">
              <w:rPr>
                <w:rStyle w:val="Hyperlink"/>
                <w:noProof/>
              </w:rPr>
              <w:t>Indicators 2.5 and 2.6 – Males by sexual exposure</w:t>
            </w:r>
            <w:r>
              <w:rPr>
                <w:noProof/>
                <w:webHidden/>
              </w:rPr>
              <w:tab/>
            </w:r>
            <w:r>
              <w:rPr>
                <w:noProof/>
                <w:webHidden/>
              </w:rPr>
              <w:fldChar w:fldCharType="begin"/>
            </w:r>
            <w:r>
              <w:rPr>
                <w:noProof/>
                <w:webHidden/>
              </w:rPr>
              <w:instrText xml:space="preserve"> PAGEREF _Toc225244424 \h </w:instrText>
            </w:r>
            <w:r>
              <w:rPr>
                <w:noProof/>
                <w:webHidden/>
              </w:rPr>
            </w:r>
            <w:r>
              <w:rPr>
                <w:noProof/>
                <w:webHidden/>
              </w:rPr>
              <w:fldChar w:fldCharType="separate"/>
            </w:r>
            <w:r>
              <w:rPr>
                <w:noProof/>
                <w:webHidden/>
              </w:rPr>
              <w:t>29</w:t>
            </w:r>
            <w:r>
              <w:rPr>
                <w:noProof/>
                <w:webHidden/>
              </w:rPr>
              <w:fldChar w:fldCharType="end"/>
            </w:r>
          </w:hyperlink>
        </w:p>
        <w:p w14:paraId="1EA30B25" w14:textId="7452F873" w:rsidR="004E3DA8" w:rsidRDefault="004E3DA8">
          <w:pPr>
            <w:pStyle w:val="TOC1"/>
            <w:tabs>
              <w:tab w:val="right" w:leader="dot" w:pos="9622"/>
            </w:tabs>
            <w:rPr>
              <w:rFonts w:eastAsiaTheme="minorEastAsia" w:cstheme="minorBidi"/>
              <w:b w:val="0"/>
              <w:bCs w:val="0"/>
              <w:iCs w:val="0"/>
              <w:noProof/>
              <w:lang w:eastAsia="en-AU"/>
            </w:rPr>
          </w:pPr>
          <w:hyperlink w:anchor="_Toc225244425" w:history="1">
            <w:r w:rsidRPr="00AC2C4E">
              <w:rPr>
                <w:rStyle w:val="Hyperlink"/>
                <w:noProof/>
              </w:rPr>
              <w:t>Goal 3: Reduce morbidity and mortality associated with syphilis</w:t>
            </w:r>
            <w:r>
              <w:rPr>
                <w:noProof/>
                <w:webHidden/>
              </w:rPr>
              <w:tab/>
            </w:r>
            <w:r>
              <w:rPr>
                <w:noProof/>
                <w:webHidden/>
              </w:rPr>
              <w:fldChar w:fldCharType="begin"/>
            </w:r>
            <w:r>
              <w:rPr>
                <w:noProof/>
                <w:webHidden/>
              </w:rPr>
              <w:instrText xml:space="preserve"> PAGEREF _Toc225244425 \h </w:instrText>
            </w:r>
            <w:r>
              <w:rPr>
                <w:noProof/>
                <w:webHidden/>
              </w:rPr>
            </w:r>
            <w:r>
              <w:rPr>
                <w:noProof/>
                <w:webHidden/>
              </w:rPr>
              <w:fldChar w:fldCharType="separate"/>
            </w:r>
            <w:r>
              <w:rPr>
                <w:noProof/>
                <w:webHidden/>
              </w:rPr>
              <w:t>31</w:t>
            </w:r>
            <w:r>
              <w:rPr>
                <w:noProof/>
                <w:webHidden/>
              </w:rPr>
              <w:fldChar w:fldCharType="end"/>
            </w:r>
          </w:hyperlink>
        </w:p>
        <w:p w14:paraId="6FEF3C6A" w14:textId="0BE9B6FA" w:rsidR="004E3DA8" w:rsidRDefault="004E3DA8">
          <w:pPr>
            <w:pStyle w:val="TOC1"/>
            <w:tabs>
              <w:tab w:val="right" w:leader="dot" w:pos="9622"/>
            </w:tabs>
            <w:rPr>
              <w:rFonts w:eastAsiaTheme="minorEastAsia" w:cstheme="minorBidi"/>
              <w:b w:val="0"/>
              <w:bCs w:val="0"/>
              <w:iCs w:val="0"/>
              <w:noProof/>
              <w:lang w:eastAsia="en-AU"/>
            </w:rPr>
          </w:pPr>
          <w:hyperlink w:anchor="_Toc225244426" w:history="1">
            <w:r w:rsidRPr="00AC2C4E">
              <w:rPr>
                <w:rStyle w:val="Hyperlink"/>
                <w:noProof/>
              </w:rPr>
              <w:t>Goal 4: Eliminate congenital syphilis (defined as sustained zero congenital syphilis cases)</w:t>
            </w:r>
            <w:r>
              <w:rPr>
                <w:noProof/>
                <w:webHidden/>
              </w:rPr>
              <w:tab/>
            </w:r>
            <w:r>
              <w:rPr>
                <w:noProof/>
                <w:webHidden/>
              </w:rPr>
              <w:fldChar w:fldCharType="begin"/>
            </w:r>
            <w:r>
              <w:rPr>
                <w:noProof/>
                <w:webHidden/>
              </w:rPr>
              <w:instrText xml:space="preserve"> PAGEREF _Toc225244426 \h </w:instrText>
            </w:r>
            <w:r>
              <w:rPr>
                <w:noProof/>
                <w:webHidden/>
              </w:rPr>
            </w:r>
            <w:r>
              <w:rPr>
                <w:noProof/>
                <w:webHidden/>
              </w:rPr>
              <w:fldChar w:fldCharType="separate"/>
            </w:r>
            <w:r>
              <w:rPr>
                <w:noProof/>
                <w:webHidden/>
              </w:rPr>
              <w:t>32</w:t>
            </w:r>
            <w:r>
              <w:rPr>
                <w:noProof/>
                <w:webHidden/>
              </w:rPr>
              <w:fldChar w:fldCharType="end"/>
            </w:r>
          </w:hyperlink>
        </w:p>
        <w:p w14:paraId="47EDB4A1" w14:textId="1D884780" w:rsidR="004E3DA8" w:rsidRDefault="004E3DA8">
          <w:pPr>
            <w:pStyle w:val="TOC2"/>
            <w:tabs>
              <w:tab w:val="right" w:leader="dot" w:pos="9622"/>
            </w:tabs>
            <w:rPr>
              <w:rFonts w:eastAsiaTheme="minorEastAsia" w:cstheme="minorBidi"/>
              <w:b w:val="0"/>
              <w:bCs w:val="0"/>
              <w:noProof/>
              <w:sz w:val="24"/>
              <w:szCs w:val="24"/>
              <w:lang w:eastAsia="en-AU"/>
            </w:rPr>
          </w:pPr>
          <w:hyperlink w:anchor="_Toc225244427" w:history="1">
            <w:r w:rsidRPr="00AC2C4E">
              <w:rPr>
                <w:rStyle w:val="Hyperlink"/>
                <w:noProof/>
              </w:rPr>
              <w:t>Indicators 4.1, 4.2 and 4.3 – Remoteness area and Indigenous status</w:t>
            </w:r>
            <w:r>
              <w:rPr>
                <w:noProof/>
                <w:webHidden/>
              </w:rPr>
              <w:tab/>
            </w:r>
            <w:r>
              <w:rPr>
                <w:noProof/>
                <w:webHidden/>
              </w:rPr>
              <w:fldChar w:fldCharType="begin"/>
            </w:r>
            <w:r>
              <w:rPr>
                <w:noProof/>
                <w:webHidden/>
              </w:rPr>
              <w:instrText xml:space="preserve"> PAGEREF _Toc225244427 \h </w:instrText>
            </w:r>
            <w:r>
              <w:rPr>
                <w:noProof/>
                <w:webHidden/>
              </w:rPr>
            </w:r>
            <w:r>
              <w:rPr>
                <w:noProof/>
                <w:webHidden/>
              </w:rPr>
              <w:fldChar w:fldCharType="separate"/>
            </w:r>
            <w:r>
              <w:rPr>
                <w:noProof/>
                <w:webHidden/>
              </w:rPr>
              <w:t>32</w:t>
            </w:r>
            <w:r>
              <w:rPr>
                <w:noProof/>
                <w:webHidden/>
              </w:rPr>
              <w:fldChar w:fldCharType="end"/>
            </w:r>
          </w:hyperlink>
        </w:p>
        <w:p w14:paraId="053763BA" w14:textId="79524510" w:rsidR="004E3DA8" w:rsidRDefault="004E3DA8">
          <w:pPr>
            <w:pStyle w:val="TOC2"/>
            <w:tabs>
              <w:tab w:val="right" w:leader="dot" w:pos="9622"/>
            </w:tabs>
            <w:rPr>
              <w:rFonts w:eastAsiaTheme="minorEastAsia" w:cstheme="minorBidi"/>
              <w:b w:val="0"/>
              <w:bCs w:val="0"/>
              <w:noProof/>
              <w:sz w:val="24"/>
              <w:szCs w:val="24"/>
              <w:lang w:eastAsia="en-AU"/>
            </w:rPr>
          </w:pPr>
          <w:hyperlink w:anchor="_Toc225244428" w:history="1">
            <w:r w:rsidRPr="00AC2C4E">
              <w:rPr>
                <w:rStyle w:val="Hyperlink"/>
                <w:noProof/>
              </w:rPr>
              <w:t>Indicator 4.4 – Women who were pregnant</w:t>
            </w:r>
            <w:r>
              <w:rPr>
                <w:noProof/>
                <w:webHidden/>
              </w:rPr>
              <w:tab/>
            </w:r>
            <w:r>
              <w:rPr>
                <w:noProof/>
                <w:webHidden/>
              </w:rPr>
              <w:fldChar w:fldCharType="begin"/>
            </w:r>
            <w:r>
              <w:rPr>
                <w:noProof/>
                <w:webHidden/>
              </w:rPr>
              <w:instrText xml:space="preserve"> PAGEREF _Toc225244428 \h </w:instrText>
            </w:r>
            <w:r>
              <w:rPr>
                <w:noProof/>
                <w:webHidden/>
              </w:rPr>
            </w:r>
            <w:r>
              <w:rPr>
                <w:noProof/>
                <w:webHidden/>
              </w:rPr>
              <w:fldChar w:fldCharType="separate"/>
            </w:r>
            <w:r>
              <w:rPr>
                <w:noProof/>
                <w:webHidden/>
              </w:rPr>
              <w:t>33</w:t>
            </w:r>
            <w:r>
              <w:rPr>
                <w:noProof/>
                <w:webHidden/>
              </w:rPr>
              <w:fldChar w:fldCharType="end"/>
            </w:r>
          </w:hyperlink>
        </w:p>
        <w:p w14:paraId="38F984E0" w14:textId="31A90DC2" w:rsidR="004E3DA8" w:rsidRDefault="004E3DA8">
          <w:pPr>
            <w:pStyle w:val="TOC2"/>
            <w:tabs>
              <w:tab w:val="right" w:leader="dot" w:pos="9622"/>
            </w:tabs>
            <w:rPr>
              <w:rFonts w:eastAsiaTheme="minorEastAsia" w:cstheme="minorBidi"/>
              <w:b w:val="0"/>
              <w:bCs w:val="0"/>
              <w:noProof/>
              <w:sz w:val="24"/>
              <w:szCs w:val="24"/>
              <w:lang w:eastAsia="en-AU"/>
            </w:rPr>
          </w:pPr>
          <w:hyperlink w:anchor="_Toc225244429" w:history="1">
            <w:r w:rsidRPr="00AC2C4E">
              <w:rPr>
                <w:rStyle w:val="Hyperlink"/>
                <w:noProof/>
              </w:rPr>
              <w:t>Indicator 4.5 – Late diagnosis</w:t>
            </w:r>
            <w:r>
              <w:rPr>
                <w:noProof/>
                <w:webHidden/>
              </w:rPr>
              <w:tab/>
            </w:r>
            <w:r>
              <w:rPr>
                <w:noProof/>
                <w:webHidden/>
              </w:rPr>
              <w:fldChar w:fldCharType="begin"/>
            </w:r>
            <w:r>
              <w:rPr>
                <w:noProof/>
                <w:webHidden/>
              </w:rPr>
              <w:instrText xml:space="preserve"> PAGEREF _Toc225244429 \h </w:instrText>
            </w:r>
            <w:r>
              <w:rPr>
                <w:noProof/>
                <w:webHidden/>
              </w:rPr>
            </w:r>
            <w:r>
              <w:rPr>
                <w:noProof/>
                <w:webHidden/>
              </w:rPr>
              <w:fldChar w:fldCharType="separate"/>
            </w:r>
            <w:r>
              <w:rPr>
                <w:noProof/>
                <w:webHidden/>
              </w:rPr>
              <w:t>36</w:t>
            </w:r>
            <w:r>
              <w:rPr>
                <w:noProof/>
                <w:webHidden/>
              </w:rPr>
              <w:fldChar w:fldCharType="end"/>
            </w:r>
          </w:hyperlink>
        </w:p>
        <w:p w14:paraId="576B68F4" w14:textId="2DD032B7" w:rsidR="004E3DA8" w:rsidRDefault="004E3DA8">
          <w:pPr>
            <w:pStyle w:val="TOC2"/>
            <w:tabs>
              <w:tab w:val="right" w:leader="dot" w:pos="9622"/>
            </w:tabs>
            <w:rPr>
              <w:rFonts w:eastAsiaTheme="minorEastAsia" w:cstheme="minorBidi"/>
              <w:b w:val="0"/>
              <w:bCs w:val="0"/>
              <w:noProof/>
              <w:sz w:val="24"/>
              <w:szCs w:val="24"/>
              <w:lang w:eastAsia="en-AU"/>
            </w:rPr>
          </w:pPr>
          <w:hyperlink w:anchor="_Toc225244430" w:history="1">
            <w:r w:rsidRPr="00AC2C4E">
              <w:rPr>
                <w:rStyle w:val="Hyperlink"/>
                <w:noProof/>
              </w:rPr>
              <w:t>Indicator 4.6 – Adequate treatment</w:t>
            </w:r>
            <w:r>
              <w:rPr>
                <w:noProof/>
                <w:webHidden/>
              </w:rPr>
              <w:tab/>
            </w:r>
            <w:r>
              <w:rPr>
                <w:noProof/>
                <w:webHidden/>
              </w:rPr>
              <w:fldChar w:fldCharType="begin"/>
            </w:r>
            <w:r>
              <w:rPr>
                <w:noProof/>
                <w:webHidden/>
              </w:rPr>
              <w:instrText xml:space="preserve"> PAGEREF _Toc225244430 \h </w:instrText>
            </w:r>
            <w:r>
              <w:rPr>
                <w:noProof/>
                <w:webHidden/>
              </w:rPr>
            </w:r>
            <w:r>
              <w:rPr>
                <w:noProof/>
                <w:webHidden/>
              </w:rPr>
              <w:fldChar w:fldCharType="separate"/>
            </w:r>
            <w:r>
              <w:rPr>
                <w:noProof/>
                <w:webHidden/>
              </w:rPr>
              <w:t>37</w:t>
            </w:r>
            <w:r>
              <w:rPr>
                <w:noProof/>
                <w:webHidden/>
              </w:rPr>
              <w:fldChar w:fldCharType="end"/>
            </w:r>
          </w:hyperlink>
        </w:p>
        <w:p w14:paraId="4EA641D7" w14:textId="6EC7A83A" w:rsidR="004E3DA8" w:rsidRDefault="004E3DA8">
          <w:pPr>
            <w:pStyle w:val="TOC2"/>
            <w:tabs>
              <w:tab w:val="right" w:leader="dot" w:pos="9622"/>
            </w:tabs>
            <w:rPr>
              <w:rFonts w:eastAsiaTheme="minorEastAsia" w:cstheme="minorBidi"/>
              <w:b w:val="0"/>
              <w:bCs w:val="0"/>
              <w:noProof/>
              <w:sz w:val="24"/>
              <w:szCs w:val="24"/>
              <w:lang w:eastAsia="en-AU"/>
            </w:rPr>
          </w:pPr>
          <w:hyperlink w:anchor="_Toc225244431" w:history="1">
            <w:r w:rsidRPr="00AC2C4E">
              <w:rPr>
                <w:rStyle w:val="Hyperlink"/>
                <w:noProof/>
              </w:rPr>
              <w:t>Indicator 4.7 – Testing during pregnancy</w:t>
            </w:r>
            <w:r>
              <w:rPr>
                <w:noProof/>
                <w:webHidden/>
              </w:rPr>
              <w:tab/>
            </w:r>
            <w:r>
              <w:rPr>
                <w:noProof/>
                <w:webHidden/>
              </w:rPr>
              <w:fldChar w:fldCharType="begin"/>
            </w:r>
            <w:r>
              <w:rPr>
                <w:noProof/>
                <w:webHidden/>
              </w:rPr>
              <w:instrText xml:space="preserve"> PAGEREF _Toc225244431 \h </w:instrText>
            </w:r>
            <w:r>
              <w:rPr>
                <w:noProof/>
                <w:webHidden/>
              </w:rPr>
            </w:r>
            <w:r>
              <w:rPr>
                <w:noProof/>
                <w:webHidden/>
              </w:rPr>
              <w:fldChar w:fldCharType="separate"/>
            </w:r>
            <w:r>
              <w:rPr>
                <w:noProof/>
                <w:webHidden/>
              </w:rPr>
              <w:t>39</w:t>
            </w:r>
            <w:r>
              <w:rPr>
                <w:noProof/>
                <w:webHidden/>
              </w:rPr>
              <w:fldChar w:fldCharType="end"/>
            </w:r>
          </w:hyperlink>
        </w:p>
        <w:p w14:paraId="5B38AFD8" w14:textId="6007526B" w:rsidR="004E3DA8" w:rsidRDefault="004E3DA8">
          <w:pPr>
            <w:pStyle w:val="TOC2"/>
            <w:tabs>
              <w:tab w:val="right" w:leader="dot" w:pos="9622"/>
            </w:tabs>
            <w:rPr>
              <w:rFonts w:eastAsiaTheme="minorEastAsia" w:cstheme="minorBidi"/>
              <w:b w:val="0"/>
              <w:bCs w:val="0"/>
              <w:noProof/>
              <w:sz w:val="24"/>
              <w:szCs w:val="24"/>
              <w:lang w:eastAsia="en-AU"/>
            </w:rPr>
          </w:pPr>
          <w:hyperlink w:anchor="_Toc225244432" w:history="1">
            <w:r w:rsidRPr="00AC2C4E">
              <w:rPr>
                <w:rStyle w:val="Hyperlink"/>
                <w:noProof/>
              </w:rPr>
              <w:t>Indicator 4.8 – Reinfection during pregnancy</w:t>
            </w:r>
            <w:r>
              <w:rPr>
                <w:noProof/>
                <w:webHidden/>
              </w:rPr>
              <w:tab/>
            </w:r>
            <w:r>
              <w:rPr>
                <w:noProof/>
                <w:webHidden/>
              </w:rPr>
              <w:fldChar w:fldCharType="begin"/>
            </w:r>
            <w:r>
              <w:rPr>
                <w:noProof/>
                <w:webHidden/>
              </w:rPr>
              <w:instrText xml:space="preserve"> PAGEREF _Toc225244432 \h </w:instrText>
            </w:r>
            <w:r>
              <w:rPr>
                <w:noProof/>
                <w:webHidden/>
              </w:rPr>
            </w:r>
            <w:r>
              <w:rPr>
                <w:noProof/>
                <w:webHidden/>
              </w:rPr>
              <w:fldChar w:fldCharType="separate"/>
            </w:r>
            <w:r>
              <w:rPr>
                <w:noProof/>
                <w:webHidden/>
              </w:rPr>
              <w:t>40</w:t>
            </w:r>
            <w:r>
              <w:rPr>
                <w:noProof/>
                <w:webHidden/>
              </w:rPr>
              <w:fldChar w:fldCharType="end"/>
            </w:r>
          </w:hyperlink>
        </w:p>
        <w:p w14:paraId="28BECA09" w14:textId="3D86653B" w:rsidR="004E3DA8" w:rsidRDefault="004E3DA8">
          <w:pPr>
            <w:pStyle w:val="TOC1"/>
            <w:tabs>
              <w:tab w:val="right" w:leader="dot" w:pos="9622"/>
            </w:tabs>
            <w:rPr>
              <w:rFonts w:eastAsiaTheme="minorEastAsia" w:cstheme="minorBidi"/>
              <w:b w:val="0"/>
              <w:bCs w:val="0"/>
              <w:iCs w:val="0"/>
              <w:noProof/>
              <w:lang w:eastAsia="en-AU"/>
            </w:rPr>
          </w:pPr>
          <w:hyperlink w:anchor="_Toc225244433" w:history="1">
            <w:r w:rsidRPr="00AC2C4E">
              <w:rPr>
                <w:rStyle w:val="Hyperlink"/>
                <w:noProof/>
              </w:rPr>
              <w:t>Notes</w:t>
            </w:r>
            <w:r>
              <w:rPr>
                <w:noProof/>
                <w:webHidden/>
              </w:rPr>
              <w:tab/>
            </w:r>
            <w:r>
              <w:rPr>
                <w:noProof/>
                <w:webHidden/>
              </w:rPr>
              <w:fldChar w:fldCharType="begin"/>
            </w:r>
            <w:r>
              <w:rPr>
                <w:noProof/>
                <w:webHidden/>
              </w:rPr>
              <w:instrText xml:space="preserve"> PAGEREF _Toc225244433 \h </w:instrText>
            </w:r>
            <w:r>
              <w:rPr>
                <w:noProof/>
                <w:webHidden/>
              </w:rPr>
            </w:r>
            <w:r>
              <w:rPr>
                <w:noProof/>
                <w:webHidden/>
              </w:rPr>
              <w:fldChar w:fldCharType="separate"/>
            </w:r>
            <w:r>
              <w:rPr>
                <w:noProof/>
                <w:webHidden/>
              </w:rPr>
              <w:t>41</w:t>
            </w:r>
            <w:r>
              <w:rPr>
                <w:noProof/>
                <w:webHidden/>
              </w:rPr>
              <w:fldChar w:fldCharType="end"/>
            </w:r>
          </w:hyperlink>
        </w:p>
        <w:p w14:paraId="3A598992" w14:textId="0E269427" w:rsidR="004E3DA8" w:rsidRDefault="004E3DA8">
          <w:pPr>
            <w:pStyle w:val="TOC2"/>
            <w:tabs>
              <w:tab w:val="right" w:leader="dot" w:pos="9622"/>
            </w:tabs>
            <w:rPr>
              <w:rFonts w:eastAsiaTheme="minorEastAsia" w:cstheme="minorBidi"/>
              <w:b w:val="0"/>
              <w:bCs w:val="0"/>
              <w:noProof/>
              <w:sz w:val="24"/>
              <w:szCs w:val="24"/>
              <w:lang w:eastAsia="en-AU"/>
            </w:rPr>
          </w:pPr>
          <w:hyperlink w:anchor="_Toc225244434" w:history="1">
            <w:r w:rsidRPr="00AC2C4E">
              <w:rPr>
                <w:rStyle w:val="Hyperlink"/>
                <w:noProof/>
              </w:rPr>
              <w:t>Methodological notes</w:t>
            </w:r>
            <w:r>
              <w:rPr>
                <w:noProof/>
                <w:webHidden/>
              </w:rPr>
              <w:tab/>
            </w:r>
            <w:r>
              <w:rPr>
                <w:noProof/>
                <w:webHidden/>
              </w:rPr>
              <w:fldChar w:fldCharType="begin"/>
            </w:r>
            <w:r>
              <w:rPr>
                <w:noProof/>
                <w:webHidden/>
              </w:rPr>
              <w:instrText xml:space="preserve"> PAGEREF _Toc225244434 \h </w:instrText>
            </w:r>
            <w:r>
              <w:rPr>
                <w:noProof/>
                <w:webHidden/>
              </w:rPr>
            </w:r>
            <w:r>
              <w:rPr>
                <w:noProof/>
                <w:webHidden/>
              </w:rPr>
              <w:fldChar w:fldCharType="separate"/>
            </w:r>
            <w:r>
              <w:rPr>
                <w:noProof/>
                <w:webHidden/>
              </w:rPr>
              <w:t>41</w:t>
            </w:r>
            <w:r>
              <w:rPr>
                <w:noProof/>
                <w:webHidden/>
              </w:rPr>
              <w:fldChar w:fldCharType="end"/>
            </w:r>
          </w:hyperlink>
        </w:p>
        <w:p w14:paraId="17FF78C3" w14:textId="387097D1" w:rsidR="004E3DA8" w:rsidRDefault="004E3DA8">
          <w:pPr>
            <w:pStyle w:val="TOC2"/>
            <w:tabs>
              <w:tab w:val="right" w:leader="dot" w:pos="9622"/>
            </w:tabs>
            <w:rPr>
              <w:rFonts w:eastAsiaTheme="minorEastAsia" w:cstheme="minorBidi"/>
              <w:b w:val="0"/>
              <w:bCs w:val="0"/>
              <w:noProof/>
              <w:sz w:val="24"/>
              <w:szCs w:val="24"/>
              <w:lang w:eastAsia="en-AU"/>
            </w:rPr>
          </w:pPr>
          <w:hyperlink w:anchor="_Toc225244435" w:history="1">
            <w:r w:rsidRPr="00AC2C4E">
              <w:rPr>
                <w:rStyle w:val="Hyperlink"/>
                <w:noProof/>
              </w:rPr>
              <w:t>Data elements</w:t>
            </w:r>
            <w:r>
              <w:rPr>
                <w:noProof/>
                <w:webHidden/>
              </w:rPr>
              <w:tab/>
            </w:r>
            <w:r>
              <w:rPr>
                <w:noProof/>
                <w:webHidden/>
              </w:rPr>
              <w:fldChar w:fldCharType="begin"/>
            </w:r>
            <w:r>
              <w:rPr>
                <w:noProof/>
                <w:webHidden/>
              </w:rPr>
              <w:instrText xml:space="preserve"> PAGEREF _Toc225244435 \h </w:instrText>
            </w:r>
            <w:r>
              <w:rPr>
                <w:noProof/>
                <w:webHidden/>
              </w:rPr>
            </w:r>
            <w:r>
              <w:rPr>
                <w:noProof/>
                <w:webHidden/>
              </w:rPr>
              <w:fldChar w:fldCharType="separate"/>
            </w:r>
            <w:r>
              <w:rPr>
                <w:noProof/>
                <w:webHidden/>
              </w:rPr>
              <w:t>41</w:t>
            </w:r>
            <w:r>
              <w:rPr>
                <w:noProof/>
                <w:webHidden/>
              </w:rPr>
              <w:fldChar w:fldCharType="end"/>
            </w:r>
          </w:hyperlink>
        </w:p>
        <w:p w14:paraId="3EC898B2" w14:textId="20206E65" w:rsidR="004E3DA8" w:rsidRDefault="004E3DA8">
          <w:pPr>
            <w:pStyle w:val="TOC2"/>
            <w:tabs>
              <w:tab w:val="right" w:leader="dot" w:pos="9622"/>
            </w:tabs>
            <w:rPr>
              <w:rFonts w:eastAsiaTheme="minorEastAsia" w:cstheme="minorBidi"/>
              <w:b w:val="0"/>
              <w:bCs w:val="0"/>
              <w:noProof/>
              <w:sz w:val="24"/>
              <w:szCs w:val="24"/>
              <w:lang w:eastAsia="en-AU"/>
            </w:rPr>
          </w:pPr>
          <w:hyperlink w:anchor="_Toc225244436" w:history="1">
            <w:r w:rsidRPr="00AC2C4E">
              <w:rPr>
                <w:rStyle w:val="Hyperlink"/>
                <w:noProof/>
              </w:rPr>
              <w:t>Case definitions</w:t>
            </w:r>
            <w:r>
              <w:rPr>
                <w:noProof/>
                <w:webHidden/>
              </w:rPr>
              <w:tab/>
            </w:r>
            <w:r>
              <w:rPr>
                <w:noProof/>
                <w:webHidden/>
              </w:rPr>
              <w:fldChar w:fldCharType="begin"/>
            </w:r>
            <w:r>
              <w:rPr>
                <w:noProof/>
                <w:webHidden/>
              </w:rPr>
              <w:instrText xml:space="preserve"> PAGEREF _Toc225244436 \h </w:instrText>
            </w:r>
            <w:r>
              <w:rPr>
                <w:noProof/>
                <w:webHidden/>
              </w:rPr>
            </w:r>
            <w:r>
              <w:rPr>
                <w:noProof/>
                <w:webHidden/>
              </w:rPr>
              <w:fldChar w:fldCharType="separate"/>
            </w:r>
            <w:r>
              <w:rPr>
                <w:noProof/>
                <w:webHidden/>
              </w:rPr>
              <w:t>42</w:t>
            </w:r>
            <w:r>
              <w:rPr>
                <w:noProof/>
                <w:webHidden/>
              </w:rPr>
              <w:fldChar w:fldCharType="end"/>
            </w:r>
          </w:hyperlink>
        </w:p>
        <w:p w14:paraId="3096C5EC" w14:textId="57ADE518" w:rsidR="004E3DA8" w:rsidRDefault="004E3DA8">
          <w:pPr>
            <w:pStyle w:val="TOC2"/>
            <w:tabs>
              <w:tab w:val="right" w:leader="dot" w:pos="9622"/>
            </w:tabs>
            <w:rPr>
              <w:rFonts w:eastAsiaTheme="minorEastAsia" w:cstheme="minorBidi"/>
              <w:b w:val="0"/>
              <w:bCs w:val="0"/>
              <w:noProof/>
              <w:sz w:val="24"/>
              <w:szCs w:val="24"/>
              <w:lang w:eastAsia="en-AU"/>
            </w:rPr>
          </w:pPr>
          <w:hyperlink w:anchor="_Toc225244437" w:history="1">
            <w:r w:rsidRPr="00AC2C4E">
              <w:rPr>
                <w:rStyle w:val="Hyperlink"/>
                <w:noProof/>
              </w:rPr>
              <w:t>Acknowledgements</w:t>
            </w:r>
            <w:r>
              <w:rPr>
                <w:noProof/>
                <w:webHidden/>
              </w:rPr>
              <w:tab/>
            </w:r>
            <w:r>
              <w:rPr>
                <w:noProof/>
                <w:webHidden/>
              </w:rPr>
              <w:fldChar w:fldCharType="begin"/>
            </w:r>
            <w:r>
              <w:rPr>
                <w:noProof/>
                <w:webHidden/>
              </w:rPr>
              <w:instrText xml:space="preserve"> PAGEREF _Toc225244437 \h </w:instrText>
            </w:r>
            <w:r>
              <w:rPr>
                <w:noProof/>
                <w:webHidden/>
              </w:rPr>
            </w:r>
            <w:r>
              <w:rPr>
                <w:noProof/>
                <w:webHidden/>
              </w:rPr>
              <w:fldChar w:fldCharType="separate"/>
            </w:r>
            <w:r>
              <w:rPr>
                <w:noProof/>
                <w:webHidden/>
              </w:rPr>
              <w:t>42</w:t>
            </w:r>
            <w:r>
              <w:rPr>
                <w:noProof/>
                <w:webHidden/>
              </w:rPr>
              <w:fldChar w:fldCharType="end"/>
            </w:r>
          </w:hyperlink>
        </w:p>
        <w:p w14:paraId="2333BFBC" w14:textId="795BCBAF" w:rsidR="004E3DA8" w:rsidRDefault="004E3DA8">
          <w:pPr>
            <w:pStyle w:val="TOC2"/>
            <w:tabs>
              <w:tab w:val="right" w:leader="dot" w:pos="9622"/>
            </w:tabs>
            <w:rPr>
              <w:rFonts w:eastAsiaTheme="minorEastAsia" w:cstheme="minorBidi"/>
              <w:b w:val="0"/>
              <w:bCs w:val="0"/>
              <w:noProof/>
              <w:sz w:val="24"/>
              <w:szCs w:val="24"/>
              <w:lang w:eastAsia="en-AU"/>
            </w:rPr>
          </w:pPr>
          <w:hyperlink w:anchor="_Toc225244438" w:history="1">
            <w:r w:rsidRPr="00AC2C4E">
              <w:rPr>
                <w:rStyle w:val="Hyperlink"/>
                <w:noProof/>
              </w:rPr>
              <w:t>Contact</w:t>
            </w:r>
            <w:r>
              <w:rPr>
                <w:noProof/>
                <w:webHidden/>
              </w:rPr>
              <w:tab/>
            </w:r>
            <w:r>
              <w:rPr>
                <w:noProof/>
                <w:webHidden/>
              </w:rPr>
              <w:fldChar w:fldCharType="begin"/>
            </w:r>
            <w:r>
              <w:rPr>
                <w:noProof/>
                <w:webHidden/>
              </w:rPr>
              <w:instrText xml:space="preserve"> PAGEREF _Toc225244438 \h </w:instrText>
            </w:r>
            <w:r>
              <w:rPr>
                <w:noProof/>
                <w:webHidden/>
              </w:rPr>
            </w:r>
            <w:r>
              <w:rPr>
                <w:noProof/>
                <w:webHidden/>
              </w:rPr>
              <w:fldChar w:fldCharType="separate"/>
            </w:r>
            <w:r>
              <w:rPr>
                <w:noProof/>
                <w:webHidden/>
              </w:rPr>
              <w:t>42</w:t>
            </w:r>
            <w:r>
              <w:rPr>
                <w:noProof/>
                <w:webHidden/>
              </w:rPr>
              <w:fldChar w:fldCharType="end"/>
            </w:r>
          </w:hyperlink>
        </w:p>
        <w:p w14:paraId="134F5056" w14:textId="49EF28C9" w:rsidR="004E3DA8" w:rsidRDefault="004E3DA8">
          <w:pPr>
            <w:pStyle w:val="TOC1"/>
            <w:tabs>
              <w:tab w:val="right" w:leader="dot" w:pos="9622"/>
            </w:tabs>
            <w:rPr>
              <w:rFonts w:eastAsiaTheme="minorEastAsia" w:cstheme="minorBidi"/>
              <w:b w:val="0"/>
              <w:bCs w:val="0"/>
              <w:iCs w:val="0"/>
              <w:noProof/>
              <w:lang w:eastAsia="en-AU"/>
            </w:rPr>
          </w:pPr>
          <w:hyperlink w:anchor="_Toc225244439" w:history="1">
            <w:r w:rsidRPr="00AC2C4E">
              <w:rPr>
                <w:rStyle w:val="Hyperlink"/>
                <w:noProof/>
              </w:rPr>
              <w:t>Appendix A – Goals and indicators reporting schedule</w:t>
            </w:r>
            <w:r>
              <w:rPr>
                <w:noProof/>
                <w:webHidden/>
              </w:rPr>
              <w:tab/>
            </w:r>
            <w:r>
              <w:rPr>
                <w:noProof/>
                <w:webHidden/>
              </w:rPr>
              <w:fldChar w:fldCharType="begin"/>
            </w:r>
            <w:r>
              <w:rPr>
                <w:noProof/>
                <w:webHidden/>
              </w:rPr>
              <w:instrText xml:space="preserve"> PAGEREF _Toc225244439 \h </w:instrText>
            </w:r>
            <w:r>
              <w:rPr>
                <w:noProof/>
                <w:webHidden/>
              </w:rPr>
            </w:r>
            <w:r>
              <w:rPr>
                <w:noProof/>
                <w:webHidden/>
              </w:rPr>
              <w:fldChar w:fldCharType="separate"/>
            </w:r>
            <w:r>
              <w:rPr>
                <w:noProof/>
                <w:webHidden/>
              </w:rPr>
              <w:t>43</w:t>
            </w:r>
            <w:r>
              <w:rPr>
                <w:noProof/>
                <w:webHidden/>
              </w:rPr>
              <w:fldChar w:fldCharType="end"/>
            </w:r>
          </w:hyperlink>
        </w:p>
        <w:p w14:paraId="64C9C031" w14:textId="51D99338" w:rsidR="004E3DA8" w:rsidRDefault="004E3DA8">
          <w:pPr>
            <w:pStyle w:val="TOC1"/>
            <w:tabs>
              <w:tab w:val="right" w:leader="dot" w:pos="9622"/>
            </w:tabs>
            <w:rPr>
              <w:rFonts w:eastAsiaTheme="minorEastAsia" w:cstheme="minorBidi"/>
              <w:b w:val="0"/>
              <w:bCs w:val="0"/>
              <w:iCs w:val="0"/>
              <w:noProof/>
              <w:lang w:eastAsia="en-AU"/>
            </w:rPr>
          </w:pPr>
          <w:hyperlink w:anchor="_Toc225244440" w:history="1">
            <w:r w:rsidRPr="00AC2C4E">
              <w:rPr>
                <w:rStyle w:val="Hyperlink"/>
                <w:noProof/>
              </w:rPr>
              <w:t>Appendix B – NNDSS syphilis notification and enhanced data completeness by year, 2020 to Q3 2025</w:t>
            </w:r>
            <w:r>
              <w:rPr>
                <w:noProof/>
                <w:webHidden/>
              </w:rPr>
              <w:tab/>
            </w:r>
            <w:r>
              <w:rPr>
                <w:noProof/>
                <w:webHidden/>
              </w:rPr>
              <w:fldChar w:fldCharType="begin"/>
            </w:r>
            <w:r>
              <w:rPr>
                <w:noProof/>
                <w:webHidden/>
              </w:rPr>
              <w:instrText xml:space="preserve"> PAGEREF _Toc225244440 \h </w:instrText>
            </w:r>
            <w:r>
              <w:rPr>
                <w:noProof/>
                <w:webHidden/>
              </w:rPr>
            </w:r>
            <w:r>
              <w:rPr>
                <w:noProof/>
                <w:webHidden/>
              </w:rPr>
              <w:fldChar w:fldCharType="separate"/>
            </w:r>
            <w:r>
              <w:rPr>
                <w:noProof/>
                <w:webHidden/>
              </w:rPr>
              <w:t>46</w:t>
            </w:r>
            <w:r>
              <w:rPr>
                <w:noProof/>
                <w:webHidden/>
              </w:rPr>
              <w:fldChar w:fldCharType="end"/>
            </w:r>
          </w:hyperlink>
        </w:p>
        <w:p w14:paraId="7CE0F67E" w14:textId="66923861" w:rsidR="00F40769" w:rsidRPr="00EB74A8" w:rsidRDefault="004E3DA8" w:rsidP="00041F9C">
          <w:pPr>
            <w:pStyle w:val="TOC1"/>
            <w:tabs>
              <w:tab w:val="right" w:leader="dot" w:pos="9622"/>
            </w:tabs>
            <w:rPr>
              <w:b w:val="0"/>
              <w:bCs w:val="0"/>
              <w:noProof/>
            </w:rPr>
          </w:pPr>
          <w:hyperlink w:anchor="_Toc225244441" w:history="1">
            <w:r w:rsidRPr="00AC2C4E">
              <w:rPr>
                <w:rStyle w:val="Hyperlink"/>
                <w:noProof/>
              </w:rPr>
              <w:t>References</w:t>
            </w:r>
            <w:r>
              <w:rPr>
                <w:noProof/>
                <w:webHidden/>
              </w:rPr>
              <w:tab/>
            </w:r>
            <w:r>
              <w:rPr>
                <w:noProof/>
                <w:webHidden/>
              </w:rPr>
              <w:fldChar w:fldCharType="begin"/>
            </w:r>
            <w:r>
              <w:rPr>
                <w:noProof/>
                <w:webHidden/>
              </w:rPr>
              <w:instrText xml:space="preserve"> PAGEREF _Toc225244441 \h </w:instrText>
            </w:r>
            <w:r>
              <w:rPr>
                <w:noProof/>
                <w:webHidden/>
              </w:rPr>
            </w:r>
            <w:r>
              <w:rPr>
                <w:noProof/>
                <w:webHidden/>
              </w:rPr>
              <w:fldChar w:fldCharType="separate"/>
            </w:r>
            <w:r>
              <w:rPr>
                <w:noProof/>
                <w:webHidden/>
              </w:rPr>
              <w:t>48</w:t>
            </w:r>
            <w:r>
              <w:rPr>
                <w:noProof/>
                <w:webHidden/>
              </w:rPr>
              <w:fldChar w:fldCharType="end"/>
            </w:r>
          </w:hyperlink>
          <w:r w:rsidR="00F40769" w:rsidRPr="00EB74A8">
            <w:rPr>
              <w:b w:val="0"/>
              <w:bCs w:val="0"/>
              <w:iCs w:val="0"/>
            </w:rPr>
            <w:fldChar w:fldCharType="end"/>
          </w:r>
        </w:p>
      </w:sdtContent>
    </w:sdt>
    <w:p w14:paraId="5D18CF64" w14:textId="77777777" w:rsidR="00F40769" w:rsidRPr="00EB74A8" w:rsidRDefault="00F40769" w:rsidP="00F40769">
      <w:pPr>
        <w:pStyle w:val="Heading1"/>
      </w:pPr>
      <w:bookmarkStart w:id="0" w:name="_Toc225244412"/>
      <w:r w:rsidRPr="00EB74A8">
        <w:lastRenderedPageBreak/>
        <w:t>List of figures</w:t>
      </w:r>
      <w:bookmarkEnd w:id="0"/>
    </w:p>
    <w:p w14:paraId="78A1BCCA" w14:textId="5ED86A49" w:rsidR="00EB74A8" w:rsidRDefault="000E1997">
      <w:pPr>
        <w:pStyle w:val="TableofFigures"/>
        <w:tabs>
          <w:tab w:val="left" w:pos="1200"/>
          <w:tab w:val="right" w:leader="dot" w:pos="9622"/>
        </w:tabs>
        <w:rPr>
          <w:rFonts w:asciiTheme="minorHAnsi" w:eastAsiaTheme="minorEastAsia" w:hAnsiTheme="minorHAnsi"/>
          <w:noProof/>
          <w:lang w:eastAsia="en-AU"/>
        </w:rPr>
      </w:pPr>
      <w:r w:rsidRPr="00EB74A8">
        <w:fldChar w:fldCharType="begin"/>
      </w:r>
      <w:r w:rsidRPr="00EB74A8">
        <w:instrText xml:space="preserve"> TOC \h \z \t "Heading Figure,1" \c "Figure" </w:instrText>
      </w:r>
      <w:r w:rsidRPr="00EB74A8">
        <w:fldChar w:fldCharType="separate"/>
      </w:r>
      <w:hyperlink w:anchor="_Toc224801178" w:history="1">
        <w:r w:rsidR="00EB74A8" w:rsidRPr="00A66F06">
          <w:rPr>
            <w:rStyle w:val="Hyperlink"/>
            <w:noProof/>
          </w:rPr>
          <w:t>Figure 1.</w:t>
        </w:r>
        <w:r w:rsidR="00EB74A8">
          <w:rPr>
            <w:rFonts w:asciiTheme="minorHAnsi" w:eastAsiaTheme="minorEastAsia" w:hAnsiTheme="minorHAnsi"/>
            <w:noProof/>
            <w:lang w:eastAsia="en-AU"/>
          </w:rPr>
          <w:tab/>
        </w:r>
        <w:r w:rsidR="00EB74A8" w:rsidRPr="00A66F06">
          <w:rPr>
            <w:rStyle w:val="Hyperlink"/>
            <w:noProof/>
          </w:rPr>
          <w:t>Cumulative number of syphilis tests (PoCT and or serology) delivered through participating ACCHS to Aboriginal and Torres Strait Islander peoples, by quarter and year, Q3 2018 to Q3 2025</w:t>
        </w:r>
        <w:r w:rsidR="00EB74A8">
          <w:rPr>
            <w:noProof/>
            <w:webHidden/>
          </w:rPr>
          <w:tab/>
        </w:r>
        <w:r w:rsidR="00EB74A8">
          <w:rPr>
            <w:noProof/>
            <w:webHidden/>
          </w:rPr>
          <w:fldChar w:fldCharType="begin"/>
        </w:r>
        <w:r w:rsidR="00EB74A8">
          <w:rPr>
            <w:noProof/>
            <w:webHidden/>
          </w:rPr>
          <w:instrText xml:space="preserve"> PAGEREF _Toc224801178 \h </w:instrText>
        </w:r>
        <w:r w:rsidR="00EB74A8">
          <w:rPr>
            <w:noProof/>
            <w:webHidden/>
          </w:rPr>
        </w:r>
        <w:r w:rsidR="00EB74A8">
          <w:rPr>
            <w:noProof/>
            <w:webHidden/>
          </w:rPr>
          <w:fldChar w:fldCharType="separate"/>
        </w:r>
        <w:r w:rsidR="00EB74A8">
          <w:rPr>
            <w:noProof/>
            <w:webHidden/>
          </w:rPr>
          <w:t>11</w:t>
        </w:r>
        <w:r w:rsidR="00EB74A8">
          <w:rPr>
            <w:noProof/>
            <w:webHidden/>
          </w:rPr>
          <w:fldChar w:fldCharType="end"/>
        </w:r>
      </w:hyperlink>
    </w:p>
    <w:p w14:paraId="6FD481FF" w14:textId="52914CEF"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79" w:history="1">
        <w:r w:rsidRPr="00A66F06">
          <w:rPr>
            <w:rStyle w:val="Hyperlink"/>
            <w:noProof/>
          </w:rPr>
          <w:t>Figure 2.</w:t>
        </w:r>
        <w:r>
          <w:rPr>
            <w:rFonts w:asciiTheme="minorHAnsi" w:eastAsiaTheme="minorEastAsia" w:hAnsiTheme="minorHAnsi"/>
            <w:noProof/>
            <w:lang w:eastAsia="en-AU"/>
          </w:rPr>
          <w:tab/>
        </w:r>
        <w:r w:rsidRPr="00A66F06">
          <w:rPr>
            <w:rStyle w:val="Hyperlink"/>
            <w:noProof/>
          </w:rPr>
          <w:t>Proportion of Aboriginal and Torres Strait Islander clients attending participating ACCHS who received a syphilis test (PoCT and or serology), quarter and year, Q3 2018 to Q3 2025 (a. all age groups; b. target age group 15 to 34 years</w:t>
        </w:r>
        <w:r w:rsidRPr="00A66F06">
          <w:rPr>
            <w:rStyle w:val="Hyperlink"/>
            <w:noProof/>
            <w:vertAlign w:val="superscript"/>
          </w:rPr>
          <w:t>1</w:t>
        </w:r>
        <w:r w:rsidRPr="00A66F06">
          <w:rPr>
            <w:rStyle w:val="Hyperlink"/>
            <w:noProof/>
          </w:rPr>
          <w:t>)</w:t>
        </w:r>
        <w:r>
          <w:rPr>
            <w:noProof/>
            <w:webHidden/>
          </w:rPr>
          <w:tab/>
        </w:r>
        <w:r>
          <w:rPr>
            <w:noProof/>
            <w:webHidden/>
          </w:rPr>
          <w:fldChar w:fldCharType="begin"/>
        </w:r>
        <w:r>
          <w:rPr>
            <w:noProof/>
            <w:webHidden/>
          </w:rPr>
          <w:instrText xml:space="preserve"> PAGEREF _Toc224801179 \h </w:instrText>
        </w:r>
        <w:r>
          <w:rPr>
            <w:noProof/>
            <w:webHidden/>
          </w:rPr>
        </w:r>
        <w:r>
          <w:rPr>
            <w:noProof/>
            <w:webHidden/>
          </w:rPr>
          <w:fldChar w:fldCharType="separate"/>
        </w:r>
        <w:r>
          <w:rPr>
            <w:noProof/>
            <w:webHidden/>
          </w:rPr>
          <w:t>12</w:t>
        </w:r>
        <w:r>
          <w:rPr>
            <w:noProof/>
            <w:webHidden/>
          </w:rPr>
          <w:fldChar w:fldCharType="end"/>
        </w:r>
      </w:hyperlink>
    </w:p>
    <w:p w14:paraId="468C1423" w14:textId="0212BB81"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80" w:history="1">
        <w:r w:rsidRPr="00A66F06">
          <w:rPr>
            <w:rStyle w:val="Hyperlink"/>
            <w:noProof/>
          </w:rPr>
          <w:t>Figure 3.</w:t>
        </w:r>
        <w:r>
          <w:rPr>
            <w:rFonts w:asciiTheme="minorHAnsi" w:eastAsiaTheme="minorEastAsia" w:hAnsiTheme="minorHAnsi"/>
            <w:noProof/>
            <w:lang w:eastAsia="en-AU"/>
          </w:rPr>
          <w:tab/>
        </w:r>
        <w:r w:rsidRPr="00A66F06">
          <w:rPr>
            <w:rStyle w:val="Hyperlink"/>
            <w:noProof/>
          </w:rPr>
          <w:t>Proportion of syphilis tests delivered through participating ACCHS, by test type (PoCT only, serology only and both serology and PoCT), by quarter and year, Q3 2018 to Q3 2025</w:t>
        </w:r>
        <w:r>
          <w:rPr>
            <w:noProof/>
            <w:webHidden/>
          </w:rPr>
          <w:tab/>
        </w:r>
        <w:r>
          <w:rPr>
            <w:noProof/>
            <w:webHidden/>
          </w:rPr>
          <w:fldChar w:fldCharType="begin"/>
        </w:r>
        <w:r>
          <w:rPr>
            <w:noProof/>
            <w:webHidden/>
          </w:rPr>
          <w:instrText xml:space="preserve"> PAGEREF _Toc224801180 \h </w:instrText>
        </w:r>
        <w:r>
          <w:rPr>
            <w:noProof/>
            <w:webHidden/>
          </w:rPr>
        </w:r>
        <w:r>
          <w:rPr>
            <w:noProof/>
            <w:webHidden/>
          </w:rPr>
          <w:fldChar w:fldCharType="separate"/>
        </w:r>
        <w:r>
          <w:rPr>
            <w:noProof/>
            <w:webHidden/>
          </w:rPr>
          <w:t>13</w:t>
        </w:r>
        <w:r>
          <w:rPr>
            <w:noProof/>
            <w:webHidden/>
          </w:rPr>
          <w:fldChar w:fldCharType="end"/>
        </w:r>
      </w:hyperlink>
    </w:p>
    <w:p w14:paraId="06ED7057" w14:textId="2F0169AE"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81" w:history="1">
        <w:r w:rsidRPr="00A66F06">
          <w:rPr>
            <w:rStyle w:val="Hyperlink"/>
            <w:noProof/>
          </w:rPr>
          <w:t>Figure 4.</w:t>
        </w:r>
        <w:r>
          <w:rPr>
            <w:rFonts w:asciiTheme="minorHAnsi" w:eastAsiaTheme="minorEastAsia" w:hAnsiTheme="minorHAnsi"/>
            <w:noProof/>
            <w:lang w:eastAsia="en-AU"/>
          </w:rPr>
          <w:tab/>
        </w:r>
        <w:r w:rsidRPr="00A66F06">
          <w:rPr>
            <w:rStyle w:val="Hyperlink"/>
            <w:noProof/>
          </w:rPr>
          <w:t>Notifications (number) and notification rate (per 100,000)</w:t>
        </w:r>
        <w:r w:rsidRPr="00A66F06">
          <w:rPr>
            <w:rStyle w:val="Hyperlink"/>
            <w:noProof/>
            <w:vertAlign w:val="superscript"/>
          </w:rPr>
          <w:t>1</w:t>
        </w:r>
        <w:r w:rsidRPr="00A66F06">
          <w:rPr>
            <w:rStyle w:val="Hyperlink"/>
            <w:noProof/>
          </w:rPr>
          <w:t xml:space="preserve"> of infectious syphilis, by Indigenous status, sex, year and quarter, 2020 to Q3 2025</w:t>
        </w:r>
        <w:r>
          <w:rPr>
            <w:noProof/>
            <w:webHidden/>
          </w:rPr>
          <w:tab/>
        </w:r>
        <w:r>
          <w:rPr>
            <w:noProof/>
            <w:webHidden/>
          </w:rPr>
          <w:fldChar w:fldCharType="begin"/>
        </w:r>
        <w:r>
          <w:rPr>
            <w:noProof/>
            <w:webHidden/>
          </w:rPr>
          <w:instrText xml:space="preserve"> PAGEREF _Toc224801181 \h </w:instrText>
        </w:r>
        <w:r>
          <w:rPr>
            <w:noProof/>
            <w:webHidden/>
          </w:rPr>
        </w:r>
        <w:r>
          <w:rPr>
            <w:noProof/>
            <w:webHidden/>
          </w:rPr>
          <w:fldChar w:fldCharType="separate"/>
        </w:r>
        <w:r>
          <w:rPr>
            <w:noProof/>
            <w:webHidden/>
          </w:rPr>
          <w:t>15</w:t>
        </w:r>
        <w:r>
          <w:rPr>
            <w:noProof/>
            <w:webHidden/>
          </w:rPr>
          <w:fldChar w:fldCharType="end"/>
        </w:r>
      </w:hyperlink>
    </w:p>
    <w:p w14:paraId="5DFB631D" w14:textId="0749822F"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82" w:history="1">
        <w:r w:rsidRPr="00A66F06">
          <w:rPr>
            <w:rStyle w:val="Hyperlink"/>
            <w:noProof/>
          </w:rPr>
          <w:t>Figure 5.</w:t>
        </w:r>
        <w:r>
          <w:rPr>
            <w:rFonts w:asciiTheme="minorHAnsi" w:eastAsiaTheme="minorEastAsia" w:hAnsiTheme="minorHAnsi"/>
            <w:noProof/>
            <w:lang w:eastAsia="en-AU"/>
          </w:rPr>
          <w:tab/>
        </w:r>
        <w:r w:rsidRPr="00A66F06">
          <w:rPr>
            <w:rStyle w:val="Hyperlink"/>
            <w:noProof/>
          </w:rPr>
          <w:t>Notifications (number) and notification rate (per 100,000) of infectious syphilis reported in males, by Indigenous status, remoteness area, age, quarter, and year, 2020 to Q3 2025</w:t>
        </w:r>
        <w:r w:rsidRPr="00A66F06">
          <w:rPr>
            <w:rStyle w:val="Hyperlink"/>
            <w:noProof/>
            <w:vertAlign w:val="superscript"/>
          </w:rPr>
          <w:t>1</w:t>
        </w:r>
        <w:r w:rsidRPr="00A66F06">
          <w:rPr>
            <w:rStyle w:val="Hyperlink"/>
            <w:noProof/>
          </w:rPr>
          <w:t xml:space="preserve"> (a. Major cities, b. Inner and outer regional areas, c. Remote and very remote areas)</w:t>
        </w:r>
        <w:r>
          <w:rPr>
            <w:noProof/>
            <w:webHidden/>
          </w:rPr>
          <w:tab/>
        </w:r>
        <w:r>
          <w:rPr>
            <w:noProof/>
            <w:webHidden/>
          </w:rPr>
          <w:fldChar w:fldCharType="begin"/>
        </w:r>
        <w:r>
          <w:rPr>
            <w:noProof/>
            <w:webHidden/>
          </w:rPr>
          <w:instrText xml:space="preserve"> PAGEREF _Toc224801182 \h </w:instrText>
        </w:r>
        <w:r>
          <w:rPr>
            <w:noProof/>
            <w:webHidden/>
          </w:rPr>
        </w:r>
        <w:r>
          <w:rPr>
            <w:noProof/>
            <w:webHidden/>
          </w:rPr>
          <w:fldChar w:fldCharType="separate"/>
        </w:r>
        <w:r>
          <w:rPr>
            <w:noProof/>
            <w:webHidden/>
          </w:rPr>
          <w:t>18</w:t>
        </w:r>
        <w:r>
          <w:rPr>
            <w:noProof/>
            <w:webHidden/>
          </w:rPr>
          <w:fldChar w:fldCharType="end"/>
        </w:r>
      </w:hyperlink>
    </w:p>
    <w:p w14:paraId="10164181" w14:textId="5DA2CED4"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83" w:history="1">
        <w:r w:rsidRPr="00A66F06">
          <w:rPr>
            <w:rStyle w:val="Hyperlink"/>
            <w:noProof/>
          </w:rPr>
          <w:t>Figure 6.</w:t>
        </w:r>
        <w:r>
          <w:rPr>
            <w:rFonts w:asciiTheme="minorHAnsi" w:eastAsiaTheme="minorEastAsia" w:hAnsiTheme="minorHAnsi"/>
            <w:noProof/>
            <w:lang w:eastAsia="en-AU"/>
          </w:rPr>
          <w:tab/>
        </w:r>
        <w:r w:rsidRPr="00A66F06">
          <w:rPr>
            <w:rStyle w:val="Hyperlink"/>
            <w:noProof/>
          </w:rPr>
          <w:t>Notifications (number) and notification rate (per 100,000) of infectious syphilis reported in females, by Indigenous status, remoteness area, age, quarter, and year, 2020 to Q3 2025</w:t>
        </w:r>
        <w:r w:rsidRPr="00A66F06">
          <w:rPr>
            <w:rStyle w:val="Hyperlink"/>
            <w:noProof/>
            <w:vertAlign w:val="superscript"/>
          </w:rPr>
          <w:t>1</w:t>
        </w:r>
        <w:r w:rsidRPr="00A66F06">
          <w:rPr>
            <w:rStyle w:val="Hyperlink"/>
            <w:noProof/>
          </w:rPr>
          <w:t xml:space="preserve"> (a. Major cities, b. Inner and outer regional areas, c. Remote and very remote areas)</w:t>
        </w:r>
        <w:r>
          <w:rPr>
            <w:noProof/>
            <w:webHidden/>
          </w:rPr>
          <w:tab/>
        </w:r>
        <w:r>
          <w:rPr>
            <w:noProof/>
            <w:webHidden/>
          </w:rPr>
          <w:fldChar w:fldCharType="begin"/>
        </w:r>
        <w:r>
          <w:rPr>
            <w:noProof/>
            <w:webHidden/>
          </w:rPr>
          <w:instrText xml:space="preserve"> PAGEREF _Toc224801183 \h </w:instrText>
        </w:r>
        <w:r>
          <w:rPr>
            <w:noProof/>
            <w:webHidden/>
          </w:rPr>
        </w:r>
        <w:r>
          <w:rPr>
            <w:noProof/>
            <w:webHidden/>
          </w:rPr>
          <w:fldChar w:fldCharType="separate"/>
        </w:r>
        <w:r>
          <w:rPr>
            <w:noProof/>
            <w:webHidden/>
          </w:rPr>
          <w:t>20</w:t>
        </w:r>
        <w:r>
          <w:rPr>
            <w:noProof/>
            <w:webHidden/>
          </w:rPr>
          <w:fldChar w:fldCharType="end"/>
        </w:r>
      </w:hyperlink>
    </w:p>
    <w:p w14:paraId="40DBAFE7" w14:textId="06A63A5C"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84" w:history="1">
        <w:r w:rsidRPr="00A66F06">
          <w:rPr>
            <w:rStyle w:val="Hyperlink"/>
            <w:noProof/>
          </w:rPr>
          <w:t>Figure 7.</w:t>
        </w:r>
        <w:r>
          <w:rPr>
            <w:rFonts w:asciiTheme="minorHAnsi" w:eastAsiaTheme="minorEastAsia" w:hAnsiTheme="minorHAnsi"/>
            <w:noProof/>
            <w:lang w:eastAsia="en-AU"/>
          </w:rPr>
          <w:tab/>
        </w:r>
        <w:r w:rsidRPr="00A66F06">
          <w:rPr>
            <w:rStyle w:val="Hyperlink"/>
            <w:noProof/>
          </w:rPr>
          <w:t>Notifications (number) and notification rate (per 100,000) of infectious syphilis reported in women aged 15 to 44 years, by Indigenous status, remoteness area, quarter, and year, 2020 to Q3 2025 (a. Aboriginal and Torres Strait Islander, b. non-Indigenous)</w:t>
        </w:r>
        <w:r>
          <w:rPr>
            <w:noProof/>
            <w:webHidden/>
          </w:rPr>
          <w:tab/>
        </w:r>
        <w:r>
          <w:rPr>
            <w:noProof/>
            <w:webHidden/>
          </w:rPr>
          <w:fldChar w:fldCharType="begin"/>
        </w:r>
        <w:r>
          <w:rPr>
            <w:noProof/>
            <w:webHidden/>
          </w:rPr>
          <w:instrText xml:space="preserve"> PAGEREF _Toc224801184 \h </w:instrText>
        </w:r>
        <w:r>
          <w:rPr>
            <w:noProof/>
            <w:webHidden/>
          </w:rPr>
        </w:r>
        <w:r>
          <w:rPr>
            <w:noProof/>
            <w:webHidden/>
          </w:rPr>
          <w:fldChar w:fldCharType="separate"/>
        </w:r>
        <w:r>
          <w:rPr>
            <w:noProof/>
            <w:webHidden/>
          </w:rPr>
          <w:t>26</w:t>
        </w:r>
        <w:r>
          <w:rPr>
            <w:noProof/>
            <w:webHidden/>
          </w:rPr>
          <w:fldChar w:fldCharType="end"/>
        </w:r>
      </w:hyperlink>
    </w:p>
    <w:p w14:paraId="46F81A0B" w14:textId="17E5523D"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85" w:history="1">
        <w:r w:rsidRPr="00A66F06">
          <w:rPr>
            <w:rStyle w:val="Hyperlink"/>
            <w:noProof/>
          </w:rPr>
          <w:t>Figure 8.</w:t>
        </w:r>
        <w:r>
          <w:rPr>
            <w:rFonts w:asciiTheme="minorHAnsi" w:eastAsiaTheme="minorEastAsia" w:hAnsiTheme="minorHAnsi"/>
            <w:noProof/>
            <w:lang w:eastAsia="en-AU"/>
          </w:rPr>
          <w:tab/>
        </w:r>
        <w:r w:rsidRPr="00A66F06">
          <w:rPr>
            <w:rStyle w:val="Hyperlink"/>
            <w:noProof/>
          </w:rPr>
          <w:t>Number of infectious syphilis notifications among males and proportion (%) of cases by sexual exposure and year 2020 to Q3 2025</w:t>
        </w:r>
        <w:r>
          <w:rPr>
            <w:noProof/>
            <w:webHidden/>
          </w:rPr>
          <w:tab/>
        </w:r>
        <w:r>
          <w:rPr>
            <w:noProof/>
            <w:webHidden/>
          </w:rPr>
          <w:fldChar w:fldCharType="begin"/>
        </w:r>
        <w:r>
          <w:rPr>
            <w:noProof/>
            <w:webHidden/>
          </w:rPr>
          <w:instrText xml:space="preserve"> PAGEREF _Toc224801185 \h </w:instrText>
        </w:r>
        <w:r>
          <w:rPr>
            <w:noProof/>
            <w:webHidden/>
          </w:rPr>
        </w:r>
        <w:r>
          <w:rPr>
            <w:noProof/>
            <w:webHidden/>
          </w:rPr>
          <w:fldChar w:fldCharType="separate"/>
        </w:r>
        <w:r>
          <w:rPr>
            <w:noProof/>
            <w:webHidden/>
          </w:rPr>
          <w:t>28</w:t>
        </w:r>
        <w:r>
          <w:rPr>
            <w:noProof/>
            <w:webHidden/>
          </w:rPr>
          <w:fldChar w:fldCharType="end"/>
        </w:r>
      </w:hyperlink>
    </w:p>
    <w:p w14:paraId="370BEBC4" w14:textId="7310A848"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86" w:history="1">
        <w:r w:rsidRPr="00A66F06">
          <w:rPr>
            <w:rStyle w:val="Hyperlink"/>
            <w:noProof/>
          </w:rPr>
          <w:t>Figure 9.</w:t>
        </w:r>
        <w:r>
          <w:rPr>
            <w:rFonts w:asciiTheme="minorHAnsi" w:eastAsiaTheme="minorEastAsia" w:hAnsiTheme="minorHAnsi"/>
            <w:noProof/>
            <w:lang w:eastAsia="en-AU"/>
          </w:rPr>
          <w:tab/>
        </w:r>
        <w:r w:rsidRPr="00A66F06">
          <w:rPr>
            <w:rStyle w:val="Hyperlink"/>
            <w:noProof/>
          </w:rPr>
          <w:t>Notifications (number) and notification rate (per 100,000 live births</w:t>
        </w:r>
        <w:r w:rsidRPr="00A66F06">
          <w:rPr>
            <w:rStyle w:val="Hyperlink"/>
            <w:noProof/>
            <w:vertAlign w:val="superscript"/>
          </w:rPr>
          <w:t>1</w:t>
        </w:r>
        <w:r w:rsidRPr="00A66F06">
          <w:rPr>
            <w:rStyle w:val="Hyperlink"/>
            <w:noProof/>
          </w:rPr>
          <w:t>) of congenital syphilis, by Indigenous status, remoteness area, and year, 2020 to Q3 2025*</w:t>
        </w:r>
        <w:r>
          <w:rPr>
            <w:noProof/>
            <w:webHidden/>
          </w:rPr>
          <w:tab/>
        </w:r>
        <w:r>
          <w:rPr>
            <w:noProof/>
            <w:webHidden/>
          </w:rPr>
          <w:fldChar w:fldCharType="begin"/>
        </w:r>
        <w:r>
          <w:rPr>
            <w:noProof/>
            <w:webHidden/>
          </w:rPr>
          <w:instrText xml:space="preserve"> PAGEREF _Toc224801186 \h </w:instrText>
        </w:r>
        <w:r>
          <w:rPr>
            <w:noProof/>
            <w:webHidden/>
          </w:rPr>
        </w:r>
        <w:r>
          <w:rPr>
            <w:noProof/>
            <w:webHidden/>
          </w:rPr>
          <w:fldChar w:fldCharType="separate"/>
        </w:r>
        <w:r>
          <w:rPr>
            <w:noProof/>
            <w:webHidden/>
          </w:rPr>
          <w:t>31</w:t>
        </w:r>
        <w:r>
          <w:rPr>
            <w:noProof/>
            <w:webHidden/>
          </w:rPr>
          <w:fldChar w:fldCharType="end"/>
        </w:r>
      </w:hyperlink>
    </w:p>
    <w:p w14:paraId="5F609AE3" w14:textId="7791BCAF" w:rsidR="00EB74A8" w:rsidRDefault="00EB74A8">
      <w:pPr>
        <w:pStyle w:val="TableofFigures"/>
        <w:tabs>
          <w:tab w:val="left" w:pos="1440"/>
          <w:tab w:val="right" w:leader="dot" w:pos="9622"/>
        </w:tabs>
        <w:rPr>
          <w:rFonts w:asciiTheme="minorHAnsi" w:eastAsiaTheme="minorEastAsia" w:hAnsiTheme="minorHAnsi"/>
          <w:noProof/>
          <w:lang w:eastAsia="en-AU"/>
        </w:rPr>
      </w:pPr>
      <w:hyperlink w:anchor="_Toc224801187" w:history="1">
        <w:r w:rsidRPr="00A66F06">
          <w:rPr>
            <w:rStyle w:val="Hyperlink"/>
            <w:noProof/>
          </w:rPr>
          <w:t>Figure 10.</w:t>
        </w:r>
        <w:r>
          <w:rPr>
            <w:rFonts w:asciiTheme="minorHAnsi" w:eastAsiaTheme="minorEastAsia" w:hAnsiTheme="minorHAnsi"/>
            <w:noProof/>
            <w:lang w:eastAsia="en-AU"/>
          </w:rPr>
          <w:tab/>
        </w:r>
        <w:r w:rsidRPr="00A66F06">
          <w:rPr>
            <w:rStyle w:val="Hyperlink"/>
            <w:noProof/>
          </w:rPr>
          <w:t>Number of syphilis notifications among women of reproductive age (15 to 44 years) and proportion (%) of cases pregnant at time of syphilis diagnosis, 2020 to Q3 2025</w:t>
        </w:r>
        <w:r w:rsidRPr="00A66F06">
          <w:rPr>
            <w:rStyle w:val="Hyperlink"/>
            <w:noProof/>
            <w:vertAlign w:val="superscript"/>
          </w:rPr>
          <w:t>1</w:t>
        </w:r>
        <w:r>
          <w:rPr>
            <w:noProof/>
            <w:webHidden/>
          </w:rPr>
          <w:tab/>
        </w:r>
        <w:r>
          <w:rPr>
            <w:noProof/>
            <w:webHidden/>
          </w:rPr>
          <w:fldChar w:fldCharType="begin"/>
        </w:r>
        <w:r>
          <w:rPr>
            <w:noProof/>
            <w:webHidden/>
          </w:rPr>
          <w:instrText xml:space="preserve"> PAGEREF _Toc224801187 \h </w:instrText>
        </w:r>
        <w:r>
          <w:rPr>
            <w:noProof/>
            <w:webHidden/>
          </w:rPr>
        </w:r>
        <w:r>
          <w:rPr>
            <w:noProof/>
            <w:webHidden/>
          </w:rPr>
          <w:fldChar w:fldCharType="separate"/>
        </w:r>
        <w:r>
          <w:rPr>
            <w:noProof/>
            <w:webHidden/>
          </w:rPr>
          <w:t>32</w:t>
        </w:r>
        <w:r>
          <w:rPr>
            <w:noProof/>
            <w:webHidden/>
          </w:rPr>
          <w:fldChar w:fldCharType="end"/>
        </w:r>
      </w:hyperlink>
    </w:p>
    <w:p w14:paraId="1822EAC2" w14:textId="082194BB" w:rsidR="00EB74A8" w:rsidRDefault="00EB74A8">
      <w:pPr>
        <w:pStyle w:val="TableofFigures"/>
        <w:tabs>
          <w:tab w:val="left" w:pos="1440"/>
          <w:tab w:val="right" w:leader="dot" w:pos="9622"/>
        </w:tabs>
        <w:rPr>
          <w:rFonts w:asciiTheme="minorHAnsi" w:eastAsiaTheme="minorEastAsia" w:hAnsiTheme="minorHAnsi"/>
          <w:noProof/>
          <w:lang w:eastAsia="en-AU"/>
        </w:rPr>
      </w:pPr>
      <w:hyperlink w:anchor="_Toc224801188" w:history="1">
        <w:r w:rsidRPr="00A66F06">
          <w:rPr>
            <w:rStyle w:val="Hyperlink"/>
            <w:noProof/>
          </w:rPr>
          <w:t>Figure 11.</w:t>
        </w:r>
        <w:r>
          <w:rPr>
            <w:rFonts w:asciiTheme="minorHAnsi" w:eastAsiaTheme="minorEastAsia" w:hAnsiTheme="minorHAnsi"/>
            <w:noProof/>
            <w:lang w:eastAsia="en-AU"/>
          </w:rPr>
          <w:tab/>
        </w:r>
        <w:r w:rsidRPr="00A66F06">
          <w:rPr>
            <w:rStyle w:val="Hyperlink"/>
            <w:noProof/>
          </w:rPr>
          <w:t>Number of syphilis notifications among women of reproductive age (15 to 44 years) and proportion (%) of cases pregnant at time of syphilis diagnosis, by Indigenous status, 2020 to Q3 2025</w:t>
        </w:r>
        <w:r w:rsidRPr="00A66F06">
          <w:rPr>
            <w:rStyle w:val="Hyperlink"/>
            <w:noProof/>
            <w:vertAlign w:val="superscript"/>
          </w:rPr>
          <w:t>1</w:t>
        </w:r>
        <w:r w:rsidRPr="00A66F06">
          <w:rPr>
            <w:rStyle w:val="Hyperlink"/>
            <w:noProof/>
          </w:rPr>
          <w:t xml:space="preserve"> (a. non-Indigenous, b. Aboriginal and Torres Strait Islander non-Indigenous)</w:t>
        </w:r>
        <w:r>
          <w:rPr>
            <w:noProof/>
            <w:webHidden/>
          </w:rPr>
          <w:tab/>
        </w:r>
        <w:r>
          <w:rPr>
            <w:noProof/>
            <w:webHidden/>
          </w:rPr>
          <w:fldChar w:fldCharType="begin"/>
        </w:r>
        <w:r>
          <w:rPr>
            <w:noProof/>
            <w:webHidden/>
          </w:rPr>
          <w:instrText xml:space="preserve"> PAGEREF _Toc224801188 \h </w:instrText>
        </w:r>
        <w:r>
          <w:rPr>
            <w:noProof/>
            <w:webHidden/>
          </w:rPr>
        </w:r>
        <w:r>
          <w:rPr>
            <w:noProof/>
            <w:webHidden/>
          </w:rPr>
          <w:fldChar w:fldCharType="separate"/>
        </w:r>
        <w:r>
          <w:rPr>
            <w:noProof/>
            <w:webHidden/>
          </w:rPr>
          <w:t>33</w:t>
        </w:r>
        <w:r>
          <w:rPr>
            <w:noProof/>
            <w:webHidden/>
          </w:rPr>
          <w:fldChar w:fldCharType="end"/>
        </w:r>
      </w:hyperlink>
    </w:p>
    <w:p w14:paraId="0E94C45C" w14:textId="1D2A14E1" w:rsidR="00EB74A8" w:rsidRDefault="00EB74A8">
      <w:pPr>
        <w:pStyle w:val="TableofFigures"/>
        <w:tabs>
          <w:tab w:val="left" w:pos="1440"/>
          <w:tab w:val="right" w:leader="dot" w:pos="9622"/>
        </w:tabs>
        <w:rPr>
          <w:rFonts w:asciiTheme="minorHAnsi" w:eastAsiaTheme="minorEastAsia" w:hAnsiTheme="minorHAnsi"/>
          <w:noProof/>
          <w:lang w:eastAsia="en-AU"/>
        </w:rPr>
      </w:pPr>
      <w:hyperlink w:anchor="_Toc224801189" w:history="1">
        <w:r w:rsidRPr="00A66F06">
          <w:rPr>
            <w:rStyle w:val="Hyperlink"/>
            <w:noProof/>
          </w:rPr>
          <w:t>Figure 12.</w:t>
        </w:r>
        <w:r>
          <w:rPr>
            <w:rFonts w:asciiTheme="minorHAnsi" w:eastAsiaTheme="minorEastAsia" w:hAnsiTheme="minorHAnsi"/>
            <w:noProof/>
            <w:lang w:eastAsia="en-AU"/>
          </w:rPr>
          <w:tab/>
        </w:r>
        <w:r w:rsidRPr="00A66F06">
          <w:rPr>
            <w:rStyle w:val="Hyperlink"/>
            <w:noProof/>
          </w:rPr>
          <w:t>Adequate maternal treatment among women giving birth to an infant with congenital syphilis, 2020 to Q3 2025</w:t>
        </w:r>
        <w:r>
          <w:rPr>
            <w:noProof/>
            <w:webHidden/>
          </w:rPr>
          <w:tab/>
        </w:r>
        <w:r>
          <w:rPr>
            <w:noProof/>
            <w:webHidden/>
          </w:rPr>
          <w:fldChar w:fldCharType="begin"/>
        </w:r>
        <w:r>
          <w:rPr>
            <w:noProof/>
            <w:webHidden/>
          </w:rPr>
          <w:instrText xml:space="preserve"> PAGEREF _Toc224801189 \h </w:instrText>
        </w:r>
        <w:r>
          <w:rPr>
            <w:noProof/>
            <w:webHidden/>
          </w:rPr>
        </w:r>
        <w:r>
          <w:rPr>
            <w:noProof/>
            <w:webHidden/>
          </w:rPr>
          <w:fldChar w:fldCharType="separate"/>
        </w:r>
        <w:r>
          <w:rPr>
            <w:noProof/>
            <w:webHidden/>
          </w:rPr>
          <w:t>36</w:t>
        </w:r>
        <w:r>
          <w:rPr>
            <w:noProof/>
            <w:webHidden/>
          </w:rPr>
          <w:fldChar w:fldCharType="end"/>
        </w:r>
      </w:hyperlink>
    </w:p>
    <w:p w14:paraId="7C3DB384" w14:textId="43CC69B1" w:rsidR="00EB74A8" w:rsidRDefault="00EB74A8">
      <w:pPr>
        <w:pStyle w:val="TableofFigures"/>
        <w:tabs>
          <w:tab w:val="left" w:pos="1440"/>
          <w:tab w:val="right" w:leader="dot" w:pos="9622"/>
        </w:tabs>
        <w:rPr>
          <w:rFonts w:asciiTheme="minorHAnsi" w:eastAsiaTheme="minorEastAsia" w:hAnsiTheme="minorHAnsi"/>
          <w:noProof/>
          <w:lang w:eastAsia="en-AU"/>
        </w:rPr>
      </w:pPr>
      <w:hyperlink w:anchor="_Toc224801190" w:history="1">
        <w:r w:rsidRPr="00A66F06">
          <w:rPr>
            <w:rStyle w:val="Hyperlink"/>
            <w:noProof/>
          </w:rPr>
          <w:t>Figure 13.</w:t>
        </w:r>
        <w:r>
          <w:rPr>
            <w:rFonts w:asciiTheme="minorHAnsi" w:eastAsiaTheme="minorEastAsia" w:hAnsiTheme="minorHAnsi"/>
            <w:noProof/>
            <w:lang w:eastAsia="en-AU"/>
          </w:rPr>
          <w:tab/>
        </w:r>
        <w:r w:rsidRPr="00A66F06">
          <w:rPr>
            <w:rStyle w:val="Hyperlink"/>
            <w:noProof/>
          </w:rPr>
          <w:t>Maternal syphilis testing history during pregnancy among women giving birth to an infant with congenital syphilis, by stage of pregnancy at syphilis diagnosis, 2020 to Q3 2025</w:t>
        </w:r>
        <w:r>
          <w:rPr>
            <w:noProof/>
            <w:webHidden/>
          </w:rPr>
          <w:tab/>
        </w:r>
        <w:r>
          <w:rPr>
            <w:noProof/>
            <w:webHidden/>
          </w:rPr>
          <w:fldChar w:fldCharType="begin"/>
        </w:r>
        <w:r>
          <w:rPr>
            <w:noProof/>
            <w:webHidden/>
          </w:rPr>
          <w:instrText xml:space="preserve"> PAGEREF _Toc224801190 \h </w:instrText>
        </w:r>
        <w:r>
          <w:rPr>
            <w:noProof/>
            <w:webHidden/>
          </w:rPr>
        </w:r>
        <w:r>
          <w:rPr>
            <w:noProof/>
            <w:webHidden/>
          </w:rPr>
          <w:fldChar w:fldCharType="separate"/>
        </w:r>
        <w:r>
          <w:rPr>
            <w:noProof/>
            <w:webHidden/>
          </w:rPr>
          <w:t>37</w:t>
        </w:r>
        <w:r>
          <w:rPr>
            <w:noProof/>
            <w:webHidden/>
          </w:rPr>
          <w:fldChar w:fldCharType="end"/>
        </w:r>
      </w:hyperlink>
    </w:p>
    <w:p w14:paraId="3D2469D0" w14:textId="661CD4B3" w:rsidR="000E1997" w:rsidRPr="00EB74A8" w:rsidRDefault="000E1997" w:rsidP="000E1997">
      <w:pPr>
        <w:pStyle w:val="Heading1"/>
      </w:pPr>
      <w:r w:rsidRPr="00EB74A8">
        <w:lastRenderedPageBreak/>
        <w:fldChar w:fldCharType="end"/>
      </w:r>
      <w:bookmarkStart w:id="1" w:name="_Toc225244413"/>
      <w:r w:rsidRPr="00EB74A8">
        <w:t>List of tables</w:t>
      </w:r>
      <w:bookmarkEnd w:id="1"/>
    </w:p>
    <w:p w14:paraId="7700CFC4" w14:textId="4BAF16ED" w:rsidR="00EB74A8" w:rsidRDefault="000E1997">
      <w:pPr>
        <w:pStyle w:val="TableofFigures"/>
        <w:tabs>
          <w:tab w:val="left" w:pos="1200"/>
          <w:tab w:val="right" w:leader="dot" w:pos="9622"/>
        </w:tabs>
        <w:rPr>
          <w:rFonts w:asciiTheme="minorHAnsi" w:eastAsiaTheme="minorEastAsia" w:hAnsiTheme="minorHAnsi"/>
          <w:noProof/>
          <w:lang w:eastAsia="en-AU"/>
        </w:rPr>
      </w:pPr>
      <w:r w:rsidRPr="00EB74A8">
        <w:fldChar w:fldCharType="begin"/>
      </w:r>
      <w:r w:rsidRPr="00EB74A8">
        <w:instrText xml:space="preserve"> TOC \h \z \t "Heading TABLE" \c </w:instrText>
      </w:r>
      <w:r w:rsidRPr="00EB74A8">
        <w:fldChar w:fldCharType="separate"/>
      </w:r>
      <w:hyperlink w:anchor="_Toc224801191" w:history="1">
        <w:r w:rsidR="00EB74A8" w:rsidRPr="005E5057">
          <w:rPr>
            <w:rStyle w:val="Hyperlink"/>
            <w:noProof/>
          </w:rPr>
          <w:t>Table 1.</w:t>
        </w:r>
        <w:r w:rsidR="00EB74A8">
          <w:rPr>
            <w:rFonts w:asciiTheme="minorHAnsi" w:eastAsiaTheme="minorEastAsia" w:hAnsiTheme="minorHAnsi"/>
            <w:noProof/>
            <w:lang w:eastAsia="en-AU"/>
          </w:rPr>
          <w:tab/>
        </w:r>
        <w:r w:rsidR="00EB74A8" w:rsidRPr="005E5057">
          <w:rPr>
            <w:rStyle w:val="Hyperlink"/>
            <w:noProof/>
          </w:rPr>
          <w:t>Quarterly summary of indicator data for the reporting period</w:t>
        </w:r>
        <w:r w:rsidR="00EB74A8">
          <w:rPr>
            <w:noProof/>
            <w:webHidden/>
          </w:rPr>
          <w:tab/>
        </w:r>
        <w:r w:rsidR="00EB74A8">
          <w:rPr>
            <w:noProof/>
            <w:webHidden/>
          </w:rPr>
          <w:fldChar w:fldCharType="begin"/>
        </w:r>
        <w:r w:rsidR="00EB74A8">
          <w:rPr>
            <w:noProof/>
            <w:webHidden/>
          </w:rPr>
          <w:instrText xml:space="preserve"> PAGEREF _Toc224801191 \h </w:instrText>
        </w:r>
        <w:r w:rsidR="00EB74A8">
          <w:rPr>
            <w:noProof/>
            <w:webHidden/>
          </w:rPr>
        </w:r>
        <w:r w:rsidR="00EB74A8">
          <w:rPr>
            <w:noProof/>
            <w:webHidden/>
          </w:rPr>
          <w:fldChar w:fldCharType="separate"/>
        </w:r>
        <w:r w:rsidR="00EB74A8">
          <w:rPr>
            <w:noProof/>
            <w:webHidden/>
          </w:rPr>
          <w:t>5</w:t>
        </w:r>
        <w:r w:rsidR="00EB74A8">
          <w:rPr>
            <w:noProof/>
            <w:webHidden/>
          </w:rPr>
          <w:fldChar w:fldCharType="end"/>
        </w:r>
      </w:hyperlink>
    </w:p>
    <w:p w14:paraId="752F782D" w14:textId="468B523A"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92" w:history="1">
        <w:r w:rsidRPr="005E5057">
          <w:rPr>
            <w:rStyle w:val="Hyperlink"/>
            <w:noProof/>
          </w:rPr>
          <w:t>Table 2.</w:t>
        </w:r>
        <w:r>
          <w:rPr>
            <w:rFonts w:asciiTheme="minorHAnsi" w:eastAsiaTheme="minorEastAsia" w:hAnsiTheme="minorHAnsi"/>
            <w:noProof/>
            <w:lang w:eastAsia="en-AU"/>
          </w:rPr>
          <w:tab/>
        </w:r>
        <w:r w:rsidRPr="005E5057">
          <w:rPr>
            <w:rStyle w:val="Hyperlink"/>
            <w:noProof/>
          </w:rPr>
          <w:t>Summary of Goal 4 indicator data for the reporting period</w:t>
        </w:r>
        <w:r>
          <w:rPr>
            <w:noProof/>
            <w:webHidden/>
          </w:rPr>
          <w:tab/>
        </w:r>
        <w:r>
          <w:rPr>
            <w:noProof/>
            <w:webHidden/>
          </w:rPr>
          <w:fldChar w:fldCharType="begin"/>
        </w:r>
        <w:r>
          <w:rPr>
            <w:noProof/>
            <w:webHidden/>
          </w:rPr>
          <w:instrText xml:space="preserve"> PAGEREF _Toc224801192 \h </w:instrText>
        </w:r>
        <w:r>
          <w:rPr>
            <w:noProof/>
            <w:webHidden/>
          </w:rPr>
        </w:r>
        <w:r>
          <w:rPr>
            <w:noProof/>
            <w:webHidden/>
          </w:rPr>
          <w:fldChar w:fldCharType="separate"/>
        </w:r>
        <w:r>
          <w:rPr>
            <w:noProof/>
            <w:webHidden/>
          </w:rPr>
          <w:t>7</w:t>
        </w:r>
        <w:r>
          <w:rPr>
            <w:noProof/>
            <w:webHidden/>
          </w:rPr>
          <w:fldChar w:fldCharType="end"/>
        </w:r>
      </w:hyperlink>
    </w:p>
    <w:p w14:paraId="39225ECB" w14:textId="0FDCB24C"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93" w:history="1">
        <w:r w:rsidRPr="005E5057">
          <w:rPr>
            <w:rStyle w:val="Hyperlink"/>
            <w:noProof/>
          </w:rPr>
          <w:t>Table 3.</w:t>
        </w:r>
        <w:r>
          <w:rPr>
            <w:rFonts w:asciiTheme="minorHAnsi" w:eastAsiaTheme="minorEastAsia" w:hAnsiTheme="minorHAnsi"/>
            <w:noProof/>
            <w:lang w:eastAsia="en-AU"/>
          </w:rPr>
          <w:tab/>
        </w:r>
        <w:r w:rsidRPr="005E5057">
          <w:rPr>
            <w:rStyle w:val="Hyperlink"/>
            <w:noProof/>
          </w:rPr>
          <w:t>Demographic summary of infectious syphilis notifications, 2020 to Q3 2025</w:t>
        </w:r>
        <w:r>
          <w:rPr>
            <w:noProof/>
            <w:webHidden/>
          </w:rPr>
          <w:tab/>
        </w:r>
        <w:r>
          <w:rPr>
            <w:noProof/>
            <w:webHidden/>
          </w:rPr>
          <w:fldChar w:fldCharType="begin"/>
        </w:r>
        <w:r>
          <w:rPr>
            <w:noProof/>
            <w:webHidden/>
          </w:rPr>
          <w:instrText xml:space="preserve"> PAGEREF _Toc224801193 \h </w:instrText>
        </w:r>
        <w:r>
          <w:rPr>
            <w:noProof/>
            <w:webHidden/>
          </w:rPr>
        </w:r>
        <w:r>
          <w:rPr>
            <w:noProof/>
            <w:webHidden/>
          </w:rPr>
          <w:fldChar w:fldCharType="separate"/>
        </w:r>
        <w:r>
          <w:rPr>
            <w:noProof/>
            <w:webHidden/>
          </w:rPr>
          <w:t>16</w:t>
        </w:r>
        <w:r>
          <w:rPr>
            <w:noProof/>
            <w:webHidden/>
          </w:rPr>
          <w:fldChar w:fldCharType="end"/>
        </w:r>
      </w:hyperlink>
    </w:p>
    <w:p w14:paraId="769B62BE" w14:textId="37765FF8" w:rsidR="00EB74A8" w:rsidRDefault="00EB74A8">
      <w:pPr>
        <w:pStyle w:val="TableofFigures"/>
        <w:tabs>
          <w:tab w:val="left" w:pos="1200"/>
          <w:tab w:val="right" w:leader="dot" w:pos="9622"/>
        </w:tabs>
        <w:rPr>
          <w:rFonts w:asciiTheme="minorHAnsi" w:eastAsiaTheme="minorEastAsia" w:hAnsiTheme="minorHAnsi"/>
          <w:noProof/>
          <w:lang w:eastAsia="en-AU"/>
        </w:rPr>
      </w:pPr>
      <w:hyperlink w:anchor="_Toc224801194" w:history="1">
        <w:r w:rsidRPr="005E5057">
          <w:rPr>
            <w:rStyle w:val="Hyperlink"/>
            <w:noProof/>
          </w:rPr>
          <w:t>Table 4.</w:t>
        </w:r>
        <w:r>
          <w:rPr>
            <w:rFonts w:asciiTheme="minorHAnsi" w:eastAsiaTheme="minorEastAsia" w:hAnsiTheme="minorHAnsi"/>
            <w:noProof/>
            <w:lang w:eastAsia="en-AU"/>
          </w:rPr>
          <w:tab/>
        </w:r>
        <w:r w:rsidRPr="005E5057">
          <w:rPr>
            <w:rStyle w:val="Hyperlink"/>
            <w:noProof/>
          </w:rPr>
          <w:t>Number of women giving birth to an infant with congenital syphilis, by trimester mother was diagnosed with syphilis, 2020 to Q3 2025</w:t>
        </w:r>
        <w:r>
          <w:rPr>
            <w:noProof/>
            <w:webHidden/>
          </w:rPr>
          <w:tab/>
        </w:r>
        <w:r>
          <w:rPr>
            <w:noProof/>
            <w:webHidden/>
          </w:rPr>
          <w:fldChar w:fldCharType="begin"/>
        </w:r>
        <w:r>
          <w:rPr>
            <w:noProof/>
            <w:webHidden/>
          </w:rPr>
          <w:instrText xml:space="preserve"> PAGEREF _Toc224801194 \h </w:instrText>
        </w:r>
        <w:r>
          <w:rPr>
            <w:noProof/>
            <w:webHidden/>
          </w:rPr>
        </w:r>
        <w:r>
          <w:rPr>
            <w:noProof/>
            <w:webHidden/>
          </w:rPr>
          <w:fldChar w:fldCharType="separate"/>
        </w:r>
        <w:r>
          <w:rPr>
            <w:noProof/>
            <w:webHidden/>
          </w:rPr>
          <w:t>34</w:t>
        </w:r>
        <w:r>
          <w:rPr>
            <w:noProof/>
            <w:webHidden/>
          </w:rPr>
          <w:fldChar w:fldCharType="end"/>
        </w:r>
      </w:hyperlink>
    </w:p>
    <w:p w14:paraId="782BA604" w14:textId="4227FA6D" w:rsidR="008F53B6" w:rsidRPr="00EB74A8" w:rsidRDefault="000E1997" w:rsidP="000E1997">
      <w:r w:rsidRPr="00EB74A8">
        <w:fldChar w:fldCharType="end"/>
      </w:r>
    </w:p>
    <w:p w14:paraId="1743E1E7" w14:textId="7E4A0195" w:rsidR="000D78AF" w:rsidRPr="00EB74A8" w:rsidRDefault="0094078C" w:rsidP="000D78AF">
      <w:pPr>
        <w:pStyle w:val="Heading1"/>
      </w:pPr>
      <w:bookmarkStart w:id="2" w:name="_Toc225244414"/>
      <w:r w:rsidRPr="00EB74A8">
        <w:lastRenderedPageBreak/>
        <w:t>Introduction</w:t>
      </w:r>
      <w:bookmarkEnd w:id="2"/>
    </w:p>
    <w:p w14:paraId="223E28FF" w14:textId="77777777" w:rsidR="0094078C" w:rsidRPr="00EB74A8" w:rsidRDefault="0094078C" w:rsidP="0094078C">
      <w:r w:rsidRPr="00EB74A8">
        <w:t xml:space="preserve">On 21 November 2023, the Australian Health Protection Committee (AHPC) endorsed the </w:t>
      </w:r>
      <w:hyperlink r:id="rId17" w:history="1">
        <w:r w:rsidRPr="00EB74A8">
          <w:rPr>
            <w:rStyle w:val="Hyperlink"/>
          </w:rPr>
          <w:t>National Syphilis Response Plan 2025 to 2030</w:t>
        </w:r>
      </w:hyperlink>
      <w:r w:rsidRPr="00EB74A8">
        <w:t xml:space="preserve"> (Response Plan). Four overarching national goals have been adopted to be pursued throughout the life cycle of the Response Plan (2023 to 2030):</w:t>
      </w:r>
    </w:p>
    <w:p w14:paraId="45B77C74" w14:textId="77777777" w:rsidR="0094078C" w:rsidRPr="00EB74A8" w:rsidRDefault="0094078C" w:rsidP="0094078C">
      <w:pPr>
        <w:pStyle w:val="ListNumber"/>
        <w:tabs>
          <w:tab w:val="num" w:pos="360"/>
        </w:tabs>
        <w:rPr>
          <w:sz w:val="24"/>
        </w:rPr>
      </w:pPr>
      <w:r w:rsidRPr="00EB74A8">
        <w:rPr>
          <w:sz w:val="24"/>
        </w:rPr>
        <w:t xml:space="preserve">Strengthen prevention and testing strategies for syphilis in priority populations and settings, targeting high-burden areas. </w:t>
      </w:r>
    </w:p>
    <w:p w14:paraId="2B2E425D" w14:textId="77777777" w:rsidR="0094078C" w:rsidRPr="00EB74A8" w:rsidRDefault="0094078C" w:rsidP="0094078C">
      <w:pPr>
        <w:pStyle w:val="ListNumber"/>
        <w:tabs>
          <w:tab w:val="num" w:pos="360"/>
        </w:tabs>
        <w:rPr>
          <w:sz w:val="24"/>
        </w:rPr>
      </w:pPr>
      <w:r w:rsidRPr="00EB74A8">
        <w:rPr>
          <w:sz w:val="24"/>
        </w:rPr>
        <w:t xml:space="preserve">Reduce ongoing transmission and incidence of syphilis across priority populations. </w:t>
      </w:r>
    </w:p>
    <w:p w14:paraId="28B4A38E" w14:textId="77777777" w:rsidR="0094078C" w:rsidRPr="00EB74A8" w:rsidRDefault="0094078C" w:rsidP="0094078C">
      <w:pPr>
        <w:pStyle w:val="ListNumber"/>
        <w:tabs>
          <w:tab w:val="num" w:pos="360"/>
        </w:tabs>
        <w:rPr>
          <w:sz w:val="24"/>
        </w:rPr>
      </w:pPr>
      <w:r w:rsidRPr="00EB74A8">
        <w:rPr>
          <w:sz w:val="24"/>
        </w:rPr>
        <w:t xml:space="preserve">Reduce morbidity and mortality associated with syphilis. </w:t>
      </w:r>
    </w:p>
    <w:p w14:paraId="34F35A26" w14:textId="77777777" w:rsidR="0094078C" w:rsidRPr="00EB74A8" w:rsidRDefault="0094078C" w:rsidP="0094078C">
      <w:pPr>
        <w:pStyle w:val="ListNumber"/>
        <w:tabs>
          <w:tab w:val="num" w:pos="360"/>
        </w:tabs>
        <w:rPr>
          <w:sz w:val="24"/>
        </w:rPr>
      </w:pPr>
      <w:r w:rsidRPr="00EB74A8">
        <w:rPr>
          <w:sz w:val="24"/>
        </w:rPr>
        <w:t>Eliminate congenital syphilis (defined as sustained zero congenital syphilis cases).</w:t>
      </w:r>
    </w:p>
    <w:p w14:paraId="76D63C4B" w14:textId="7CDC4A08" w:rsidR="0094078C" w:rsidRPr="00EB74A8" w:rsidRDefault="0094078C" w:rsidP="0094078C">
      <w:r w:rsidRPr="00EB74A8">
        <w:t xml:space="preserve">The Response Plan builds on the efforts of the National strategic approach for responding to rising </w:t>
      </w:r>
      <w:r w:rsidR="00394420" w:rsidRPr="00EB74A8">
        <w:t xml:space="preserve">notification </w:t>
      </w:r>
      <w:r w:rsidRPr="00EB74A8">
        <w:t>rates of syphilis 2021.</w:t>
      </w:r>
    </w:p>
    <w:p w14:paraId="13D3F6F2" w14:textId="3A676F45" w:rsidR="0094078C" w:rsidRPr="00EB74A8" w:rsidRDefault="0094078C" w:rsidP="0094078C">
      <w:pPr>
        <w:rPr>
          <w:rFonts w:eastAsiaTheme="minorEastAsia"/>
        </w:rPr>
      </w:pPr>
      <w:r w:rsidRPr="00EB74A8">
        <w:t xml:space="preserve">The </w:t>
      </w:r>
      <w:hyperlink r:id="rId18" w:history="1">
        <w:r w:rsidRPr="00EB74A8">
          <w:rPr>
            <w:rStyle w:val="Hyperlink"/>
          </w:rPr>
          <w:t>National Syphilis Surveillance and Monitoring Plan</w:t>
        </w:r>
      </w:hyperlink>
      <w:r w:rsidRPr="00EB74A8">
        <w:t xml:space="preserve"> (the Surveillance Plan) outlines indicators that will be used to monitor progress towards achieving the above goals. </w:t>
      </w:r>
      <w:r w:rsidRPr="00EB74A8">
        <w:rPr>
          <w:rFonts w:eastAsiaTheme="minorEastAsia"/>
        </w:rPr>
        <w:t xml:space="preserve">Each goal covers a set of related </w:t>
      </w:r>
      <w:r w:rsidRPr="00EB74A8">
        <w:t>indicators that</w:t>
      </w:r>
      <w:r w:rsidRPr="00EB74A8">
        <w:rPr>
          <w:rFonts w:eastAsiaTheme="minorEastAsia"/>
        </w:rPr>
        <w:t xml:space="preserve"> can be disaggregated to allow finer-grained </w:t>
      </w:r>
      <w:r w:rsidR="00D80156" w:rsidRPr="00EB74A8">
        <w:rPr>
          <w:rFonts w:eastAsiaTheme="minorEastAsia"/>
        </w:rPr>
        <w:t>analysis</w:t>
      </w:r>
      <w:r w:rsidRPr="00EB74A8">
        <w:rPr>
          <w:rFonts w:eastAsiaTheme="minorEastAsia"/>
        </w:rPr>
        <w:t>.</w:t>
      </w:r>
    </w:p>
    <w:p w14:paraId="45B55265" w14:textId="77777777" w:rsidR="000D78AF" w:rsidRPr="00EB74A8" w:rsidRDefault="0094078C" w:rsidP="000D78AF">
      <w:pPr>
        <w:pStyle w:val="Heading2"/>
      </w:pPr>
      <w:bookmarkStart w:id="3" w:name="_Toc225244415"/>
      <w:r w:rsidRPr="00EB74A8">
        <w:t>Reporting</w:t>
      </w:r>
      <w:bookmarkEnd w:id="3"/>
    </w:p>
    <w:p w14:paraId="5826B42C" w14:textId="77777777" w:rsidR="0094078C" w:rsidRPr="00EB74A8" w:rsidRDefault="0094078C" w:rsidP="0094078C">
      <w:r w:rsidRPr="00EB74A8">
        <w:t>This report provides a quarterly account of progress against the goals and selected indicators in the Surveillance Plan, using data available at the time of writing. A complete list of indicators and the reporting schedule are provided at Appendix A.</w:t>
      </w:r>
    </w:p>
    <w:p w14:paraId="5FDAE0C3" w14:textId="77777777" w:rsidR="0094078C" w:rsidRPr="00EB74A8" w:rsidRDefault="0094078C" w:rsidP="0094078C">
      <w:r w:rsidRPr="00EB74A8">
        <w:t>Completeness of NNDSS data used in this report have been calculated and are summarised at Appendix B. Where completeness is less than 50% data have been excluded from reporting.</w:t>
      </w:r>
    </w:p>
    <w:p w14:paraId="6AED7E71" w14:textId="77777777" w:rsidR="0094078C" w:rsidRPr="00EB74A8" w:rsidRDefault="0094078C" w:rsidP="0094078C">
      <w:r w:rsidRPr="00EB74A8">
        <w:t>A quarterly summary of data reported against selected indicators is provided in Tables 1 and 2.</w:t>
      </w:r>
    </w:p>
    <w:p w14:paraId="34189A94" w14:textId="77777777" w:rsidR="0094078C" w:rsidRPr="00EB74A8" w:rsidRDefault="0094078C" w:rsidP="009B7AA1">
      <w:pPr>
        <w:pStyle w:val="Heading2"/>
      </w:pPr>
      <w:bookmarkStart w:id="4" w:name="_Toc225244416"/>
      <w:r w:rsidRPr="00EB74A8">
        <w:t>Guidance</w:t>
      </w:r>
      <w:bookmarkEnd w:id="4"/>
    </w:p>
    <w:p w14:paraId="5D8E9241" w14:textId="42D08C1A" w:rsidR="009B7AA1" w:rsidRPr="00EB74A8" w:rsidRDefault="009B7AA1" w:rsidP="009B7AA1">
      <w:r w:rsidRPr="00EB74A8">
        <w:t xml:space="preserve">When considering this report we recommend you refer to the </w:t>
      </w:r>
      <w:hyperlink r:id="rId19" w:history="1">
        <w:r w:rsidRPr="00EB74A8">
          <w:rPr>
            <w:rStyle w:val="Hyperlink"/>
          </w:rPr>
          <w:t>Surveillance Plan</w:t>
        </w:r>
      </w:hyperlink>
      <w:r w:rsidRPr="00EB74A8">
        <w:t xml:space="preserve"> for detailed notes on the indicators and data sources.</w:t>
      </w:r>
    </w:p>
    <w:p w14:paraId="024C5778" w14:textId="08488719" w:rsidR="00DA6C7F" w:rsidRPr="00EB74A8" w:rsidRDefault="00DA6C7F" w:rsidP="00967E92">
      <w:pPr>
        <w:pStyle w:val="Heading2"/>
      </w:pPr>
      <w:bookmarkStart w:id="5" w:name="_Toc225244417"/>
      <w:r w:rsidRPr="00EB74A8">
        <w:t>Terminology</w:t>
      </w:r>
      <w:bookmarkEnd w:id="5"/>
    </w:p>
    <w:p w14:paraId="02BD3BB8" w14:textId="22FFE25F" w:rsidR="00DA6C7F" w:rsidRPr="00EB74A8" w:rsidRDefault="00967E92" w:rsidP="00967E92">
      <w:pPr>
        <w:sectPr w:rsidR="00DA6C7F" w:rsidRPr="00EB74A8" w:rsidSect="00AD4542">
          <w:pgSz w:w="11900" w:h="16840"/>
          <w:pgMar w:top="1134" w:right="1134" w:bottom="1134" w:left="1134" w:header="709" w:footer="527" w:gutter="0"/>
          <w:cols w:space="708"/>
          <w:docGrid w:linePitch="360"/>
        </w:sectPr>
      </w:pPr>
      <w:r w:rsidRPr="00EB74A8">
        <w:t>Throughout this report, we use the term ‘women</w:t>
      </w:r>
      <w:r w:rsidR="00EB74A8" w:rsidRPr="00EB74A8">
        <w:t>,’</w:t>
      </w:r>
      <w:r w:rsidRPr="00EB74A8">
        <w:t xml:space="preserve"> but we acknowledge that this may also include people with a uterus who do not identify as being female.</w:t>
      </w:r>
    </w:p>
    <w:p w14:paraId="21A278B5" w14:textId="6BD983F5" w:rsidR="00C14BF9" w:rsidRPr="00EB74A8" w:rsidRDefault="009B7AA1" w:rsidP="00FF60EE">
      <w:pPr>
        <w:pStyle w:val="HeadingTABLE"/>
        <w:tabs>
          <w:tab w:val="clear" w:pos="1247"/>
          <w:tab w:val="num" w:pos="993"/>
        </w:tabs>
        <w:ind w:left="993" w:hanging="993"/>
      </w:pPr>
      <w:bookmarkStart w:id="6" w:name="_Toc224801191"/>
      <w:r w:rsidRPr="00EB74A8">
        <w:lastRenderedPageBreak/>
        <w:t>Quarterly summary of indicator data for the reporting period</w:t>
      </w:r>
      <w:bookmarkEnd w:id="6"/>
    </w:p>
    <w:p w14:paraId="0F59464D" w14:textId="77777777" w:rsidR="001E4165" w:rsidRPr="00EB74A8" w:rsidRDefault="001E4165" w:rsidP="001E4165">
      <w:pPr>
        <w:rPr>
          <w:rStyle w:val="Notetext"/>
        </w:rPr>
      </w:pPr>
      <w:r w:rsidRPr="00EB74A8">
        <w:rPr>
          <w:rStyle w:val="uparrowredChar"/>
          <w:rFonts w:eastAsiaTheme="minorHAnsi"/>
          <w:sz w:val="22"/>
        </w:rPr>
        <w:t>↑</w:t>
      </w:r>
      <w:r w:rsidRPr="00EB74A8">
        <w:rPr>
          <w:rStyle w:val="Notetext"/>
        </w:rPr>
        <w:t xml:space="preserve">increase </w:t>
      </w:r>
      <w:r w:rsidRPr="00EB74A8">
        <w:rPr>
          <w:rStyle w:val="downarrowgreenChar"/>
          <w:sz w:val="22"/>
        </w:rPr>
        <w:t>↓</w:t>
      </w:r>
      <w:r w:rsidRPr="00EB74A8">
        <w:rPr>
          <w:rStyle w:val="Notetext"/>
        </w:rPr>
        <w:t xml:space="preserve">decrease </w:t>
      </w:r>
      <w:r w:rsidRPr="00EB74A8">
        <w:rPr>
          <w:rStyle w:val="rightarroworangeChar"/>
          <w:rFonts w:eastAsiaTheme="minorHAnsi"/>
          <w:sz w:val="22"/>
        </w:rPr>
        <w:t>→</w:t>
      </w:r>
      <w:r w:rsidRPr="00EB74A8">
        <w:rPr>
          <w:rStyle w:val="Notetext"/>
        </w:rPr>
        <w:t xml:space="preserve"> stable compared with subsequent columns.</w:t>
      </w:r>
    </w:p>
    <w:tbl>
      <w:tblPr>
        <w:tblStyle w:val="TableGrid"/>
        <w:tblW w:w="0" w:type="auto"/>
        <w:tblLayout w:type="fixed"/>
        <w:tblLook w:val="04A0" w:firstRow="1" w:lastRow="0" w:firstColumn="1" w:lastColumn="0" w:noHBand="0" w:noVBand="1"/>
      </w:tblPr>
      <w:tblGrid>
        <w:gridCol w:w="1276"/>
        <w:gridCol w:w="6095"/>
        <w:gridCol w:w="2410"/>
        <w:gridCol w:w="2410"/>
        <w:gridCol w:w="2254"/>
      </w:tblGrid>
      <w:tr w:rsidR="009B7AA1" w:rsidRPr="00EB74A8" w14:paraId="6BD19783" w14:textId="77777777" w:rsidTr="000440C0">
        <w:trPr>
          <w:cnfStyle w:val="100000000000" w:firstRow="1" w:lastRow="0" w:firstColumn="0" w:lastColumn="0" w:oddVBand="0" w:evenVBand="0" w:oddHBand="0" w:evenHBand="0" w:firstRowFirstColumn="0" w:firstRowLastColumn="0" w:lastRowFirstColumn="0" w:lastRowLastColumn="0"/>
          <w:trHeight w:val="20"/>
          <w:tblHeader/>
        </w:trPr>
        <w:tc>
          <w:tcPr>
            <w:tcW w:w="1276" w:type="dxa"/>
            <w:tcBorders>
              <w:top w:val="nil"/>
            </w:tcBorders>
          </w:tcPr>
          <w:p w14:paraId="70FD6F93" w14:textId="47B52F1E" w:rsidR="009B7AA1" w:rsidRPr="00EB74A8" w:rsidRDefault="009424B3" w:rsidP="006104E3">
            <w:pPr>
              <w:pStyle w:val="Tableheadrowboldleftaligned"/>
              <w:jc w:val="center"/>
            </w:pPr>
            <w:r w:rsidRPr="00EB74A8">
              <w:t>Indicator</w:t>
            </w:r>
          </w:p>
        </w:tc>
        <w:tc>
          <w:tcPr>
            <w:tcW w:w="6095" w:type="dxa"/>
            <w:tcBorders>
              <w:top w:val="nil"/>
            </w:tcBorders>
          </w:tcPr>
          <w:p w14:paraId="45AE409B" w14:textId="36143E87" w:rsidR="009B7AA1" w:rsidRPr="00EB74A8" w:rsidRDefault="009B7AA1" w:rsidP="006104E3">
            <w:pPr>
              <w:pStyle w:val="Tableheadrowboldleftaligned"/>
              <w:jc w:val="center"/>
            </w:pPr>
            <w:r w:rsidRPr="00EB74A8">
              <w:t>Summarised indicator description</w:t>
            </w:r>
          </w:p>
        </w:tc>
        <w:tc>
          <w:tcPr>
            <w:tcW w:w="2410" w:type="dxa"/>
            <w:tcBorders>
              <w:top w:val="nil"/>
            </w:tcBorders>
          </w:tcPr>
          <w:p w14:paraId="49ADB03A" w14:textId="62FB8100" w:rsidR="009B7AA1" w:rsidRPr="00EB74A8" w:rsidRDefault="009B7AA1" w:rsidP="006104E3">
            <w:pPr>
              <w:pStyle w:val="Tableheadrowboldleftaligned"/>
              <w:jc w:val="center"/>
            </w:pPr>
            <w:r w:rsidRPr="00EB74A8">
              <w:t>Current quarter</w:t>
            </w:r>
            <w:r w:rsidRPr="00EB74A8">
              <w:br/>
              <w:t>(Q</w:t>
            </w:r>
            <w:r w:rsidR="00195705" w:rsidRPr="00EB74A8">
              <w:t>3</w:t>
            </w:r>
            <w:r w:rsidRPr="00EB74A8">
              <w:t xml:space="preserve"> 202</w:t>
            </w:r>
            <w:r w:rsidR="00195705" w:rsidRPr="00EB74A8">
              <w:t>5</w:t>
            </w:r>
            <w:r w:rsidRPr="00EB74A8">
              <w:t>)</w:t>
            </w:r>
          </w:p>
        </w:tc>
        <w:tc>
          <w:tcPr>
            <w:tcW w:w="2410" w:type="dxa"/>
            <w:tcBorders>
              <w:top w:val="nil"/>
            </w:tcBorders>
          </w:tcPr>
          <w:p w14:paraId="6CDBF4F7" w14:textId="2E4FF4E2" w:rsidR="009B7AA1" w:rsidRPr="00EB74A8" w:rsidRDefault="009B7AA1" w:rsidP="006104E3">
            <w:pPr>
              <w:pStyle w:val="Tableheadrowboldleftaligned"/>
              <w:jc w:val="center"/>
            </w:pPr>
            <w:r w:rsidRPr="00EB74A8">
              <w:t>Previous quarter</w:t>
            </w:r>
            <w:r w:rsidRPr="00EB74A8">
              <w:br/>
              <w:t>(Q</w:t>
            </w:r>
            <w:r w:rsidR="00195705" w:rsidRPr="00EB74A8">
              <w:t>2</w:t>
            </w:r>
            <w:r w:rsidRPr="00EB74A8">
              <w:t xml:space="preserve"> 202</w:t>
            </w:r>
            <w:r w:rsidR="00195705" w:rsidRPr="00EB74A8">
              <w:t>5</w:t>
            </w:r>
            <w:r w:rsidRPr="00EB74A8">
              <w:t>)</w:t>
            </w:r>
          </w:p>
        </w:tc>
        <w:tc>
          <w:tcPr>
            <w:tcW w:w="2254" w:type="dxa"/>
            <w:tcBorders>
              <w:top w:val="nil"/>
            </w:tcBorders>
          </w:tcPr>
          <w:p w14:paraId="48F14ADB" w14:textId="6A889C66" w:rsidR="009B7AA1" w:rsidRPr="00EB74A8" w:rsidRDefault="009B7AA1" w:rsidP="006104E3">
            <w:pPr>
              <w:pStyle w:val="Tableheadrowboldleftaligned"/>
              <w:jc w:val="center"/>
            </w:pPr>
            <w:r w:rsidRPr="00EB74A8">
              <w:t>Previous 12 months (quarterly average)</w:t>
            </w:r>
            <w:r w:rsidRPr="00EB74A8">
              <w:br/>
              <w:t>(Q</w:t>
            </w:r>
            <w:r w:rsidR="00195705" w:rsidRPr="00EB74A8">
              <w:t>4</w:t>
            </w:r>
            <w:r w:rsidRPr="00EB74A8">
              <w:t xml:space="preserve"> 202</w:t>
            </w:r>
            <w:r w:rsidR="00195705" w:rsidRPr="00EB74A8">
              <w:t>4</w:t>
            </w:r>
            <w:r w:rsidRPr="00EB74A8">
              <w:t xml:space="preserve"> to Q</w:t>
            </w:r>
            <w:r w:rsidR="00195705" w:rsidRPr="00EB74A8">
              <w:t>3</w:t>
            </w:r>
            <w:r w:rsidRPr="00EB74A8">
              <w:t xml:space="preserve"> 202</w:t>
            </w:r>
            <w:r w:rsidR="00195705" w:rsidRPr="00EB74A8">
              <w:t>5</w:t>
            </w:r>
            <w:r w:rsidRPr="00EB74A8">
              <w:t>)</w:t>
            </w:r>
          </w:p>
        </w:tc>
      </w:tr>
      <w:tr w:rsidR="009B7AA1" w:rsidRPr="00EB74A8" w14:paraId="5324C5AD" w14:textId="77777777" w:rsidTr="00453125">
        <w:trPr>
          <w:cnfStyle w:val="000000100000" w:firstRow="0" w:lastRow="0" w:firstColumn="0" w:lastColumn="0" w:oddVBand="0" w:evenVBand="0" w:oddHBand="1" w:evenHBand="0" w:firstRowFirstColumn="0" w:firstRowLastColumn="0" w:lastRowFirstColumn="0" w:lastRowLastColumn="0"/>
          <w:trHeight w:val="299"/>
        </w:trPr>
        <w:tc>
          <w:tcPr>
            <w:tcW w:w="14445" w:type="dxa"/>
            <w:gridSpan w:val="5"/>
          </w:tcPr>
          <w:p w14:paraId="380FD9D6" w14:textId="40BB1BE7" w:rsidR="009B7AA1" w:rsidRPr="00EB74A8" w:rsidRDefault="009B7AA1" w:rsidP="00653325">
            <w:pPr>
              <w:pStyle w:val="Tableheadingcentred"/>
            </w:pPr>
            <w:bookmarkStart w:id="7" w:name="OLE_LINK1"/>
            <w:r w:rsidRPr="00EB74A8">
              <w:t xml:space="preserve">Goal 1 – </w:t>
            </w:r>
            <w:r w:rsidR="00E221FB" w:rsidRPr="00EB74A8">
              <w:t>S</w:t>
            </w:r>
            <w:r w:rsidRPr="00EB74A8">
              <w:t>trengthen prevention and testing strategies for syphilis in priority populations and settings, targeting high-burden areas</w:t>
            </w:r>
            <w:r w:rsidR="0067106D" w:rsidRPr="00EB74A8">
              <w:rPr>
                <w:vertAlign w:val="superscript"/>
              </w:rPr>
              <w:t>1</w:t>
            </w:r>
          </w:p>
        </w:tc>
      </w:tr>
      <w:tr w:rsidR="009B7AA1" w:rsidRPr="00EB74A8" w14:paraId="62AAB06F" w14:textId="77777777" w:rsidTr="000440C0">
        <w:trPr>
          <w:trHeight w:val="20"/>
        </w:trPr>
        <w:tc>
          <w:tcPr>
            <w:tcW w:w="1276" w:type="dxa"/>
          </w:tcPr>
          <w:p w14:paraId="44C05D02" w14:textId="56AF4DC9" w:rsidR="009B7AA1" w:rsidRPr="00EB74A8" w:rsidRDefault="00BC0120" w:rsidP="00060775">
            <w:pPr>
              <w:pStyle w:val="Tabletextleftaligned"/>
            </w:pPr>
            <w:r w:rsidRPr="00EB74A8">
              <w:t>1.2</w:t>
            </w:r>
          </w:p>
        </w:tc>
        <w:tc>
          <w:tcPr>
            <w:tcW w:w="6095" w:type="dxa"/>
          </w:tcPr>
          <w:p w14:paraId="22BCE36E" w14:textId="19C618CC" w:rsidR="009B7AA1" w:rsidRPr="00EB74A8" w:rsidRDefault="00BC0120" w:rsidP="00060775">
            <w:pPr>
              <w:pStyle w:val="Tabletextleftaligned"/>
            </w:pPr>
            <w:r w:rsidRPr="00EB74A8">
              <w:t>Number of syphilis tests</w:t>
            </w:r>
          </w:p>
        </w:tc>
        <w:tc>
          <w:tcPr>
            <w:tcW w:w="2410" w:type="dxa"/>
          </w:tcPr>
          <w:p w14:paraId="76880EA7" w14:textId="429203AD" w:rsidR="009B7AA1" w:rsidRPr="00EB74A8" w:rsidRDefault="003821E8" w:rsidP="00453125">
            <w:pPr>
              <w:spacing w:before="60" w:after="60" w:line="240" w:lineRule="auto"/>
              <w:jc w:val="center"/>
            </w:pPr>
            <w:r w:rsidRPr="00EB74A8">
              <w:t>8,052</w:t>
            </w:r>
            <w:r w:rsidR="00453125" w:rsidRPr="00EB74A8">
              <w:t xml:space="preserve"> </w:t>
            </w:r>
            <w:r w:rsidR="00453125" w:rsidRPr="00EB74A8">
              <w:rPr>
                <w:rStyle w:val="uparrowredChar"/>
                <w:rFonts w:eastAsiaTheme="minorHAnsi"/>
                <w:sz w:val="22"/>
              </w:rPr>
              <w:t>↑↑</w:t>
            </w:r>
          </w:p>
          <w:p w14:paraId="1835A140" w14:textId="09160385" w:rsidR="006F34DF" w:rsidRPr="00EB74A8" w:rsidRDefault="006F34DF" w:rsidP="00453125">
            <w:pPr>
              <w:spacing w:before="60" w:after="60" w:line="240" w:lineRule="auto"/>
              <w:jc w:val="center"/>
            </w:pPr>
            <w:r w:rsidRPr="00EB74A8">
              <w:t xml:space="preserve">(cumulative </w:t>
            </w:r>
            <w:r w:rsidR="00911911" w:rsidRPr="00EB74A8">
              <w:t>176,856)</w:t>
            </w:r>
          </w:p>
        </w:tc>
        <w:tc>
          <w:tcPr>
            <w:tcW w:w="2410" w:type="dxa"/>
          </w:tcPr>
          <w:p w14:paraId="0F675114" w14:textId="2DE62290" w:rsidR="009B7AA1" w:rsidRPr="00EB74A8" w:rsidRDefault="006F34DF" w:rsidP="00453125">
            <w:pPr>
              <w:spacing w:before="60" w:after="60" w:line="240" w:lineRule="auto"/>
              <w:jc w:val="center"/>
            </w:pPr>
            <w:r w:rsidRPr="00EB74A8">
              <w:t>7,631</w:t>
            </w:r>
          </w:p>
        </w:tc>
        <w:tc>
          <w:tcPr>
            <w:tcW w:w="2254" w:type="dxa"/>
          </w:tcPr>
          <w:p w14:paraId="436DB44C" w14:textId="2FDAAFCA" w:rsidR="009B7AA1" w:rsidRPr="00EB74A8" w:rsidRDefault="006F34DF" w:rsidP="00453125">
            <w:pPr>
              <w:spacing w:before="60" w:after="60" w:line="240" w:lineRule="auto"/>
              <w:jc w:val="center"/>
            </w:pPr>
            <w:r w:rsidRPr="00EB74A8">
              <w:t>7,687</w:t>
            </w:r>
          </w:p>
        </w:tc>
      </w:tr>
      <w:tr w:rsidR="009B7AA1" w:rsidRPr="00EB74A8" w14:paraId="321FA463"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493F7095" w14:textId="28284411" w:rsidR="009B7AA1" w:rsidRPr="00EB74A8" w:rsidRDefault="00BC0120" w:rsidP="00060775">
            <w:pPr>
              <w:pStyle w:val="Tabletextleftaligned"/>
            </w:pPr>
            <w:r w:rsidRPr="00EB74A8">
              <w:t>1.3</w:t>
            </w:r>
          </w:p>
        </w:tc>
        <w:tc>
          <w:tcPr>
            <w:tcW w:w="6095" w:type="dxa"/>
          </w:tcPr>
          <w:p w14:paraId="21CEF14D" w14:textId="057C09E8" w:rsidR="009B7AA1" w:rsidRPr="00EB74A8" w:rsidRDefault="00BC0120" w:rsidP="00060775">
            <w:pPr>
              <w:pStyle w:val="Tabletextleftaligned"/>
            </w:pPr>
            <w:r w:rsidRPr="00EB74A8">
              <w:t>Syphilis testing coverage – target population</w:t>
            </w:r>
            <w:r w:rsidR="00DC4173" w:rsidRPr="00EB74A8">
              <w:t xml:space="preserve"> (%)</w:t>
            </w:r>
          </w:p>
        </w:tc>
        <w:tc>
          <w:tcPr>
            <w:tcW w:w="2410" w:type="dxa"/>
          </w:tcPr>
          <w:p w14:paraId="7CA2E04E" w14:textId="71225ABC" w:rsidR="009B7AA1" w:rsidRPr="00EB74A8" w:rsidRDefault="0005524B" w:rsidP="00453125">
            <w:pPr>
              <w:spacing w:before="60" w:after="60" w:line="240" w:lineRule="auto"/>
              <w:jc w:val="center"/>
            </w:pPr>
            <w:r w:rsidRPr="00EB74A8">
              <w:t>25%</w:t>
            </w:r>
            <w:r w:rsidR="006104E3" w:rsidRPr="00EB74A8">
              <w:t xml:space="preserve"> </w:t>
            </w:r>
            <w:r w:rsidR="006104E3" w:rsidRPr="00EB74A8">
              <w:rPr>
                <w:rStyle w:val="downarrowgreenChar"/>
                <w:sz w:val="22"/>
              </w:rPr>
              <w:t>↓</w:t>
            </w:r>
            <w:r w:rsidR="006104E3" w:rsidRPr="00EB74A8">
              <w:rPr>
                <w:rStyle w:val="rightarroworangeChar"/>
                <w:rFonts w:eastAsiaTheme="minorHAnsi"/>
                <w:sz w:val="22"/>
              </w:rPr>
              <w:t>→</w:t>
            </w:r>
          </w:p>
        </w:tc>
        <w:tc>
          <w:tcPr>
            <w:tcW w:w="2410" w:type="dxa"/>
          </w:tcPr>
          <w:p w14:paraId="1214EF1F" w14:textId="0ED8E106" w:rsidR="009B7AA1" w:rsidRPr="00EB74A8" w:rsidRDefault="0005524B" w:rsidP="00453125">
            <w:pPr>
              <w:spacing w:before="60" w:after="60" w:line="240" w:lineRule="auto"/>
              <w:jc w:val="center"/>
            </w:pPr>
            <w:r w:rsidRPr="00EB74A8">
              <w:t>26%</w:t>
            </w:r>
          </w:p>
        </w:tc>
        <w:tc>
          <w:tcPr>
            <w:tcW w:w="2254" w:type="dxa"/>
          </w:tcPr>
          <w:p w14:paraId="1B0BE367" w14:textId="22C23879" w:rsidR="009B7AA1" w:rsidRPr="00EB74A8" w:rsidRDefault="006104E3" w:rsidP="00453125">
            <w:pPr>
              <w:spacing w:before="60" w:after="60" w:line="240" w:lineRule="auto"/>
              <w:jc w:val="center"/>
            </w:pPr>
            <w:r w:rsidRPr="00EB74A8">
              <w:t>25%</w:t>
            </w:r>
          </w:p>
        </w:tc>
      </w:tr>
      <w:tr w:rsidR="009B7AA1" w:rsidRPr="00EB74A8" w14:paraId="0A21F452" w14:textId="77777777" w:rsidTr="000440C0">
        <w:trPr>
          <w:trHeight w:val="20"/>
        </w:trPr>
        <w:tc>
          <w:tcPr>
            <w:tcW w:w="1276" w:type="dxa"/>
          </w:tcPr>
          <w:p w14:paraId="02F225C3" w14:textId="022E1285" w:rsidR="009B7AA1" w:rsidRPr="00EB74A8" w:rsidRDefault="00BC0120" w:rsidP="00060775">
            <w:pPr>
              <w:pStyle w:val="Tabletextleftaligned"/>
            </w:pPr>
            <w:r w:rsidRPr="00EB74A8">
              <w:t>1.3</w:t>
            </w:r>
          </w:p>
        </w:tc>
        <w:tc>
          <w:tcPr>
            <w:tcW w:w="6095" w:type="dxa"/>
          </w:tcPr>
          <w:p w14:paraId="1E9F5B5F" w14:textId="2FE920FE" w:rsidR="009B7AA1" w:rsidRPr="00EB74A8" w:rsidRDefault="00BC0120" w:rsidP="00060775">
            <w:pPr>
              <w:pStyle w:val="Tabletextleftaligned"/>
            </w:pPr>
            <w:r w:rsidRPr="00EB74A8">
              <w:t>Syphilis testing coverage – total population</w:t>
            </w:r>
            <w:r w:rsidR="00DC4173" w:rsidRPr="00EB74A8">
              <w:t xml:space="preserve"> (%)</w:t>
            </w:r>
          </w:p>
        </w:tc>
        <w:tc>
          <w:tcPr>
            <w:tcW w:w="2410" w:type="dxa"/>
          </w:tcPr>
          <w:p w14:paraId="573F1E1B" w14:textId="7E491871" w:rsidR="009B7AA1" w:rsidRPr="00EB74A8" w:rsidRDefault="00327DFF" w:rsidP="00453125">
            <w:pPr>
              <w:spacing w:before="60" w:after="60" w:line="240" w:lineRule="auto"/>
              <w:jc w:val="center"/>
            </w:pPr>
            <w:r w:rsidRPr="00EB74A8">
              <w:t xml:space="preserve">15% </w:t>
            </w:r>
            <w:r w:rsidRPr="00EB74A8">
              <w:rPr>
                <w:rStyle w:val="downarrowgreenChar"/>
                <w:sz w:val="22"/>
              </w:rPr>
              <w:t>↓</w:t>
            </w:r>
            <w:r w:rsidRPr="00EB74A8">
              <w:rPr>
                <w:rStyle w:val="rightarroworangeChar"/>
                <w:rFonts w:eastAsiaTheme="minorHAnsi"/>
                <w:sz w:val="22"/>
              </w:rPr>
              <w:t>→</w:t>
            </w:r>
          </w:p>
        </w:tc>
        <w:tc>
          <w:tcPr>
            <w:tcW w:w="2410" w:type="dxa"/>
          </w:tcPr>
          <w:p w14:paraId="7C62D814" w14:textId="60F031E3" w:rsidR="009B7AA1" w:rsidRPr="00EB74A8" w:rsidRDefault="00327DFF" w:rsidP="00453125">
            <w:pPr>
              <w:spacing w:before="60" w:after="60" w:line="240" w:lineRule="auto"/>
              <w:jc w:val="center"/>
            </w:pPr>
            <w:r w:rsidRPr="00EB74A8">
              <w:t>16%</w:t>
            </w:r>
          </w:p>
        </w:tc>
        <w:tc>
          <w:tcPr>
            <w:tcW w:w="2254" w:type="dxa"/>
          </w:tcPr>
          <w:p w14:paraId="62810176" w14:textId="567BBCA8" w:rsidR="009B7AA1" w:rsidRPr="00EB74A8" w:rsidRDefault="00327DFF" w:rsidP="00453125">
            <w:pPr>
              <w:spacing w:before="60" w:after="60" w:line="240" w:lineRule="auto"/>
              <w:jc w:val="center"/>
            </w:pPr>
            <w:r w:rsidRPr="00EB74A8">
              <w:t>15%</w:t>
            </w:r>
          </w:p>
        </w:tc>
      </w:tr>
      <w:tr w:rsidR="009B7AA1" w:rsidRPr="00EB74A8" w14:paraId="1F10B76D"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53A6A935" w14:textId="4181EB8E" w:rsidR="009B7AA1" w:rsidRPr="00EB74A8" w:rsidRDefault="006E514F" w:rsidP="00060775">
            <w:pPr>
              <w:pStyle w:val="Tabletextleftaligned"/>
            </w:pPr>
            <w:r w:rsidRPr="00EB74A8">
              <w:t>1.3</w:t>
            </w:r>
          </w:p>
        </w:tc>
        <w:tc>
          <w:tcPr>
            <w:tcW w:w="6095" w:type="dxa"/>
          </w:tcPr>
          <w:p w14:paraId="3BB631AB" w14:textId="78AE7010" w:rsidR="009B7AA1" w:rsidRPr="00EB74A8" w:rsidRDefault="006E514F" w:rsidP="00060775">
            <w:pPr>
              <w:pStyle w:val="Tabletextleftaligned"/>
            </w:pPr>
            <w:r w:rsidRPr="00EB74A8">
              <w:t>Type of syphilis test – total population</w:t>
            </w:r>
            <w:r w:rsidR="00DC4173" w:rsidRPr="00EB74A8">
              <w:t xml:space="preserve"> (%)</w:t>
            </w:r>
          </w:p>
        </w:tc>
        <w:tc>
          <w:tcPr>
            <w:tcW w:w="2410" w:type="dxa"/>
          </w:tcPr>
          <w:p w14:paraId="6DE751E1" w14:textId="77777777" w:rsidR="009B7AA1" w:rsidRPr="00EB74A8" w:rsidRDefault="009B7AA1" w:rsidP="00453125">
            <w:pPr>
              <w:spacing w:before="60" w:after="60" w:line="240" w:lineRule="auto"/>
              <w:jc w:val="center"/>
            </w:pPr>
          </w:p>
        </w:tc>
        <w:tc>
          <w:tcPr>
            <w:tcW w:w="2410" w:type="dxa"/>
          </w:tcPr>
          <w:p w14:paraId="18CDFFEF" w14:textId="2B72CB20" w:rsidR="009B7AA1" w:rsidRPr="00EB74A8" w:rsidRDefault="009B7AA1" w:rsidP="00453125">
            <w:pPr>
              <w:spacing w:before="60" w:after="60" w:line="240" w:lineRule="auto"/>
              <w:jc w:val="center"/>
            </w:pPr>
          </w:p>
        </w:tc>
        <w:tc>
          <w:tcPr>
            <w:tcW w:w="2254" w:type="dxa"/>
          </w:tcPr>
          <w:p w14:paraId="579C37AC" w14:textId="2581E951" w:rsidR="009B7AA1" w:rsidRPr="00EB74A8" w:rsidRDefault="009B7AA1" w:rsidP="00453125">
            <w:pPr>
              <w:spacing w:before="60" w:after="60" w:line="240" w:lineRule="auto"/>
              <w:jc w:val="center"/>
            </w:pPr>
          </w:p>
        </w:tc>
      </w:tr>
      <w:tr w:rsidR="009B7AA1" w:rsidRPr="00EB74A8" w14:paraId="3CDCFDD5" w14:textId="77777777" w:rsidTr="000440C0">
        <w:trPr>
          <w:trHeight w:val="20"/>
        </w:trPr>
        <w:tc>
          <w:tcPr>
            <w:tcW w:w="1276" w:type="dxa"/>
          </w:tcPr>
          <w:p w14:paraId="5F598053" w14:textId="3D9B361C" w:rsidR="009B7AA1" w:rsidRPr="00EB74A8" w:rsidRDefault="009B7AA1" w:rsidP="005E5511">
            <w:pPr>
              <w:spacing w:before="60" w:after="60" w:line="240" w:lineRule="auto"/>
            </w:pPr>
          </w:p>
        </w:tc>
        <w:tc>
          <w:tcPr>
            <w:tcW w:w="6095" w:type="dxa"/>
          </w:tcPr>
          <w:p w14:paraId="079CE50B" w14:textId="2D42B361" w:rsidR="009B7AA1" w:rsidRPr="00EB74A8" w:rsidRDefault="006E514F" w:rsidP="000C77FF">
            <w:pPr>
              <w:pStyle w:val="Tabletextindented"/>
            </w:pPr>
            <w:r w:rsidRPr="00EB74A8">
              <w:t>Serology only</w:t>
            </w:r>
          </w:p>
        </w:tc>
        <w:tc>
          <w:tcPr>
            <w:tcW w:w="2410" w:type="dxa"/>
          </w:tcPr>
          <w:p w14:paraId="6940B492" w14:textId="1D58D1DB" w:rsidR="009B7AA1" w:rsidRPr="00EB74A8" w:rsidRDefault="005F6222" w:rsidP="00453125">
            <w:pPr>
              <w:spacing w:before="60" w:after="60" w:line="240" w:lineRule="auto"/>
              <w:jc w:val="center"/>
            </w:pPr>
            <w:r w:rsidRPr="00EB74A8">
              <w:t xml:space="preserve">90% </w:t>
            </w:r>
            <w:r w:rsidRPr="00EB74A8">
              <w:rPr>
                <w:rStyle w:val="uparrowredChar"/>
                <w:rFonts w:eastAsiaTheme="minorHAnsi"/>
                <w:sz w:val="22"/>
              </w:rPr>
              <w:t>↑</w:t>
            </w:r>
            <w:r w:rsidRPr="00EB74A8">
              <w:rPr>
                <w:rStyle w:val="rightarroworangeChar"/>
                <w:rFonts w:eastAsiaTheme="minorHAnsi"/>
                <w:sz w:val="22"/>
              </w:rPr>
              <w:t>→</w:t>
            </w:r>
          </w:p>
        </w:tc>
        <w:tc>
          <w:tcPr>
            <w:tcW w:w="2410" w:type="dxa"/>
          </w:tcPr>
          <w:p w14:paraId="030ADBB6" w14:textId="6F845212" w:rsidR="009B7AA1" w:rsidRPr="00EB74A8" w:rsidRDefault="005F6222" w:rsidP="00453125">
            <w:pPr>
              <w:spacing w:before="60" w:after="60" w:line="240" w:lineRule="auto"/>
              <w:jc w:val="center"/>
            </w:pPr>
            <w:r w:rsidRPr="00EB74A8">
              <w:t>87%</w:t>
            </w:r>
          </w:p>
        </w:tc>
        <w:tc>
          <w:tcPr>
            <w:tcW w:w="2254" w:type="dxa"/>
          </w:tcPr>
          <w:p w14:paraId="290B9843" w14:textId="7B1063F2" w:rsidR="009B7AA1" w:rsidRPr="00EB74A8" w:rsidRDefault="005F6222" w:rsidP="00453125">
            <w:pPr>
              <w:spacing w:before="60" w:after="60" w:line="240" w:lineRule="auto"/>
              <w:jc w:val="center"/>
            </w:pPr>
            <w:r w:rsidRPr="00EB74A8">
              <w:t>90%</w:t>
            </w:r>
          </w:p>
        </w:tc>
      </w:tr>
      <w:tr w:rsidR="006E514F" w:rsidRPr="00EB74A8" w14:paraId="0FD01AA7"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2A5798B4" w14:textId="77777777" w:rsidR="006E514F" w:rsidRPr="00EB74A8" w:rsidRDefault="006E514F" w:rsidP="005E5511">
            <w:pPr>
              <w:spacing w:before="60" w:after="60" w:line="240" w:lineRule="auto"/>
            </w:pPr>
          </w:p>
        </w:tc>
        <w:tc>
          <w:tcPr>
            <w:tcW w:w="6095" w:type="dxa"/>
          </w:tcPr>
          <w:p w14:paraId="7D8A0B00" w14:textId="0161E496" w:rsidR="006E514F" w:rsidRPr="00EB74A8" w:rsidRDefault="006E514F" w:rsidP="000C77FF">
            <w:pPr>
              <w:pStyle w:val="Tabletextindented"/>
            </w:pPr>
            <w:r w:rsidRPr="00EB74A8">
              <w:t>PoCT only</w:t>
            </w:r>
          </w:p>
        </w:tc>
        <w:tc>
          <w:tcPr>
            <w:tcW w:w="2410" w:type="dxa"/>
          </w:tcPr>
          <w:p w14:paraId="33D5087F" w14:textId="2408272F" w:rsidR="006E514F" w:rsidRPr="00EB74A8" w:rsidRDefault="008E7C11" w:rsidP="00453125">
            <w:pPr>
              <w:spacing w:before="60" w:after="60" w:line="240" w:lineRule="auto"/>
              <w:jc w:val="center"/>
            </w:pPr>
            <w:r w:rsidRPr="00EB74A8">
              <w:t>2%</w:t>
            </w:r>
            <w:r w:rsidR="0060282B" w:rsidRPr="00EB74A8">
              <w:t xml:space="preserve"> </w:t>
            </w:r>
            <w:r w:rsidR="0060282B" w:rsidRPr="00EB74A8">
              <w:rPr>
                <w:rStyle w:val="downarrowgreenChar"/>
                <w:sz w:val="22"/>
              </w:rPr>
              <w:t>↓</w:t>
            </w:r>
            <w:r w:rsidR="0060282B" w:rsidRPr="00EB74A8">
              <w:rPr>
                <w:rStyle w:val="rightarroworangeChar"/>
                <w:rFonts w:eastAsiaTheme="minorHAnsi"/>
                <w:sz w:val="22"/>
              </w:rPr>
              <w:t>→</w:t>
            </w:r>
          </w:p>
        </w:tc>
        <w:tc>
          <w:tcPr>
            <w:tcW w:w="2410" w:type="dxa"/>
          </w:tcPr>
          <w:p w14:paraId="0EB3AF9B" w14:textId="7937ECD8" w:rsidR="006E514F" w:rsidRPr="00EB74A8" w:rsidRDefault="008E7C11" w:rsidP="00453125">
            <w:pPr>
              <w:spacing w:before="60" w:after="60" w:line="240" w:lineRule="auto"/>
              <w:jc w:val="center"/>
            </w:pPr>
            <w:r w:rsidRPr="00EB74A8">
              <w:t>3%</w:t>
            </w:r>
          </w:p>
        </w:tc>
        <w:tc>
          <w:tcPr>
            <w:tcW w:w="2254" w:type="dxa"/>
          </w:tcPr>
          <w:p w14:paraId="1E647B04" w14:textId="08019ADD" w:rsidR="006E514F" w:rsidRPr="00EB74A8" w:rsidRDefault="0060282B" w:rsidP="00453125">
            <w:pPr>
              <w:spacing w:before="60" w:after="60" w:line="240" w:lineRule="auto"/>
              <w:jc w:val="center"/>
            </w:pPr>
            <w:r w:rsidRPr="00EB74A8">
              <w:t>2%</w:t>
            </w:r>
          </w:p>
        </w:tc>
      </w:tr>
      <w:tr w:rsidR="006E514F" w:rsidRPr="00EB74A8" w14:paraId="5E9A795A" w14:textId="77777777" w:rsidTr="000440C0">
        <w:trPr>
          <w:trHeight w:val="20"/>
        </w:trPr>
        <w:tc>
          <w:tcPr>
            <w:tcW w:w="1276" w:type="dxa"/>
          </w:tcPr>
          <w:p w14:paraId="67F78A27" w14:textId="77777777" w:rsidR="006E514F" w:rsidRPr="00EB74A8" w:rsidRDefault="006E514F" w:rsidP="005E5511">
            <w:pPr>
              <w:spacing w:before="60" w:after="60" w:line="240" w:lineRule="auto"/>
            </w:pPr>
          </w:p>
        </w:tc>
        <w:tc>
          <w:tcPr>
            <w:tcW w:w="6095" w:type="dxa"/>
          </w:tcPr>
          <w:p w14:paraId="1E7BF92C" w14:textId="7DEE6282" w:rsidR="006E514F" w:rsidRPr="00EB74A8" w:rsidRDefault="006E514F" w:rsidP="000C77FF">
            <w:pPr>
              <w:pStyle w:val="Tabletextindented"/>
            </w:pPr>
            <w:r w:rsidRPr="00EB74A8">
              <w:t>Both (PoCT and serology)</w:t>
            </w:r>
          </w:p>
        </w:tc>
        <w:tc>
          <w:tcPr>
            <w:tcW w:w="2410" w:type="dxa"/>
          </w:tcPr>
          <w:p w14:paraId="1512E241" w14:textId="3DC25D83" w:rsidR="006E514F" w:rsidRPr="00EB74A8" w:rsidRDefault="0060282B" w:rsidP="00453125">
            <w:pPr>
              <w:spacing w:before="60" w:after="60" w:line="240" w:lineRule="auto"/>
              <w:jc w:val="center"/>
            </w:pPr>
            <w:r w:rsidRPr="00EB74A8">
              <w:t>8%</w:t>
            </w:r>
            <w:r w:rsidR="00651B9A" w:rsidRPr="00EB74A8">
              <w:t xml:space="preserve"> </w:t>
            </w:r>
            <w:r w:rsidR="00651B9A" w:rsidRPr="00EB74A8">
              <w:rPr>
                <w:rStyle w:val="downarrowgreenChar"/>
                <w:sz w:val="22"/>
              </w:rPr>
              <w:t>↓</w:t>
            </w:r>
            <w:r w:rsidR="00651B9A" w:rsidRPr="00EB74A8">
              <w:rPr>
                <w:rStyle w:val="rightarroworangeChar"/>
                <w:rFonts w:eastAsiaTheme="minorHAnsi"/>
                <w:sz w:val="22"/>
              </w:rPr>
              <w:t>→</w:t>
            </w:r>
          </w:p>
        </w:tc>
        <w:tc>
          <w:tcPr>
            <w:tcW w:w="2410" w:type="dxa"/>
          </w:tcPr>
          <w:p w14:paraId="107EA637" w14:textId="0AF92D33" w:rsidR="006E514F" w:rsidRPr="00EB74A8" w:rsidRDefault="0060282B" w:rsidP="00453125">
            <w:pPr>
              <w:spacing w:before="60" w:after="60" w:line="240" w:lineRule="auto"/>
              <w:jc w:val="center"/>
            </w:pPr>
            <w:r w:rsidRPr="00EB74A8">
              <w:t>10%</w:t>
            </w:r>
          </w:p>
        </w:tc>
        <w:tc>
          <w:tcPr>
            <w:tcW w:w="2254" w:type="dxa"/>
          </w:tcPr>
          <w:p w14:paraId="65BB5436" w14:textId="0DE1C6B2" w:rsidR="006E514F" w:rsidRPr="00EB74A8" w:rsidRDefault="00651B9A" w:rsidP="00453125">
            <w:pPr>
              <w:spacing w:before="60" w:after="60" w:line="240" w:lineRule="auto"/>
              <w:jc w:val="center"/>
            </w:pPr>
            <w:r w:rsidRPr="00EB74A8">
              <w:t>8%</w:t>
            </w:r>
          </w:p>
        </w:tc>
      </w:tr>
      <w:tr w:rsidR="007F49B7" w:rsidRPr="00EB74A8" w14:paraId="728DA1BA" w14:textId="77777777" w:rsidTr="005A4F5A">
        <w:trPr>
          <w:cnfStyle w:val="000000100000" w:firstRow="0" w:lastRow="0" w:firstColumn="0" w:lastColumn="0" w:oddVBand="0" w:evenVBand="0" w:oddHBand="1" w:evenHBand="0" w:firstRowFirstColumn="0" w:firstRowLastColumn="0" w:lastRowFirstColumn="0" w:lastRowLastColumn="0"/>
          <w:trHeight w:val="20"/>
        </w:trPr>
        <w:tc>
          <w:tcPr>
            <w:tcW w:w="14445" w:type="dxa"/>
            <w:gridSpan w:val="5"/>
          </w:tcPr>
          <w:p w14:paraId="46EC4E88" w14:textId="4A79D164" w:rsidR="007F49B7" w:rsidRPr="00EB74A8" w:rsidRDefault="007F49B7" w:rsidP="00653325">
            <w:pPr>
              <w:pStyle w:val="Tableheadingcentred"/>
            </w:pPr>
            <w:r w:rsidRPr="00EB74A8">
              <w:t>Goal 2 – Reduce ongoing transmission and incidence of syphilis across priority populations</w:t>
            </w:r>
            <w:r w:rsidR="00846AF8" w:rsidRPr="00EB74A8">
              <w:rPr>
                <w:vertAlign w:val="superscript"/>
              </w:rPr>
              <w:t>2</w:t>
            </w:r>
          </w:p>
        </w:tc>
      </w:tr>
      <w:tr w:rsidR="007F49B7" w:rsidRPr="00EB74A8" w14:paraId="5E7B381D" w14:textId="77777777" w:rsidTr="000440C0">
        <w:trPr>
          <w:trHeight w:val="20"/>
        </w:trPr>
        <w:tc>
          <w:tcPr>
            <w:tcW w:w="1276" w:type="dxa"/>
          </w:tcPr>
          <w:p w14:paraId="3E82531B" w14:textId="043D2275" w:rsidR="007F49B7" w:rsidRPr="00EB74A8" w:rsidRDefault="007F49B7" w:rsidP="00060775">
            <w:pPr>
              <w:pStyle w:val="Tabletextleftaligned"/>
            </w:pPr>
            <w:r w:rsidRPr="00EB74A8">
              <w:t>2.1</w:t>
            </w:r>
          </w:p>
        </w:tc>
        <w:tc>
          <w:tcPr>
            <w:tcW w:w="6095" w:type="dxa"/>
          </w:tcPr>
          <w:p w14:paraId="28BB1A70" w14:textId="6E408C02" w:rsidR="007F49B7" w:rsidRPr="00EB74A8" w:rsidRDefault="007F49B7" w:rsidP="00060775">
            <w:pPr>
              <w:pStyle w:val="Tabletextleftaligned"/>
            </w:pPr>
            <w:r w:rsidRPr="00EB74A8">
              <w:t>Infectious syphilis</w:t>
            </w:r>
            <w:r w:rsidR="00394420" w:rsidRPr="00EB74A8">
              <w:t xml:space="preserve"> notification</w:t>
            </w:r>
            <w:r w:rsidRPr="00EB74A8">
              <w:t xml:space="preserve"> rates – Aboriginal and Torres Strait Islander males</w:t>
            </w:r>
            <w:r w:rsidR="00BE37E5" w:rsidRPr="00EB74A8">
              <w:t xml:space="preserve"> (per 100,000)</w:t>
            </w:r>
          </w:p>
        </w:tc>
        <w:tc>
          <w:tcPr>
            <w:tcW w:w="2410" w:type="dxa"/>
          </w:tcPr>
          <w:p w14:paraId="2CF1F62F" w14:textId="25FC5B00" w:rsidR="007F49B7" w:rsidRPr="00EB74A8" w:rsidRDefault="00E218A7" w:rsidP="008A1F4E">
            <w:pPr>
              <w:spacing w:before="60" w:after="60" w:line="240" w:lineRule="auto"/>
              <w:jc w:val="center"/>
            </w:pPr>
            <w:r w:rsidRPr="00EB74A8">
              <w:t>37</w:t>
            </w:r>
            <w:r w:rsidR="00116619" w:rsidRPr="00EB74A8">
              <w:t xml:space="preserve"> </w:t>
            </w:r>
            <w:r w:rsidR="00116619" w:rsidRPr="00EB74A8">
              <w:rPr>
                <w:rStyle w:val="uparrowredChar"/>
                <w:rFonts w:eastAsiaTheme="minorHAnsi"/>
                <w:sz w:val="22"/>
              </w:rPr>
              <w:t>↑</w:t>
            </w:r>
            <w:r w:rsidR="00116619" w:rsidRPr="00EB74A8">
              <w:rPr>
                <w:rStyle w:val="downarrowgreenChar"/>
                <w:sz w:val="22"/>
              </w:rPr>
              <w:t>↓</w:t>
            </w:r>
          </w:p>
        </w:tc>
        <w:tc>
          <w:tcPr>
            <w:tcW w:w="2410" w:type="dxa"/>
          </w:tcPr>
          <w:p w14:paraId="597E2517" w14:textId="4DDDF6B5" w:rsidR="007F49B7" w:rsidRPr="00EB74A8" w:rsidRDefault="00E218A7" w:rsidP="008A1F4E">
            <w:pPr>
              <w:spacing w:before="60" w:after="60" w:line="240" w:lineRule="auto"/>
              <w:jc w:val="center"/>
            </w:pPr>
            <w:r w:rsidRPr="00EB74A8">
              <w:t>35</w:t>
            </w:r>
          </w:p>
        </w:tc>
        <w:tc>
          <w:tcPr>
            <w:tcW w:w="2254" w:type="dxa"/>
          </w:tcPr>
          <w:p w14:paraId="5761D026" w14:textId="0F4F8721" w:rsidR="007F49B7" w:rsidRPr="00EB74A8" w:rsidRDefault="00116619" w:rsidP="008A1F4E">
            <w:pPr>
              <w:spacing w:before="60" w:after="60" w:line="240" w:lineRule="auto"/>
              <w:jc w:val="center"/>
            </w:pPr>
            <w:r w:rsidRPr="00EB74A8">
              <w:t>38</w:t>
            </w:r>
          </w:p>
        </w:tc>
      </w:tr>
      <w:tr w:rsidR="007F49B7" w:rsidRPr="00EB74A8" w14:paraId="1BED6403"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4F0D2C3B" w14:textId="31D14C3B" w:rsidR="007F49B7" w:rsidRPr="00EB74A8" w:rsidRDefault="007F49B7" w:rsidP="00060775">
            <w:pPr>
              <w:pStyle w:val="Tabletextleftaligned"/>
            </w:pPr>
            <w:r w:rsidRPr="00EB74A8">
              <w:t>2.1</w:t>
            </w:r>
          </w:p>
        </w:tc>
        <w:tc>
          <w:tcPr>
            <w:tcW w:w="6095" w:type="dxa"/>
          </w:tcPr>
          <w:p w14:paraId="4766A04F" w14:textId="3F670091" w:rsidR="007F49B7" w:rsidRPr="00EB74A8" w:rsidRDefault="007F49B7" w:rsidP="00060775">
            <w:pPr>
              <w:pStyle w:val="Tabletextleftaligned"/>
            </w:pPr>
            <w:r w:rsidRPr="00EB74A8">
              <w:t xml:space="preserve">Infectious syphilis </w:t>
            </w:r>
            <w:r w:rsidR="00394420" w:rsidRPr="00EB74A8">
              <w:t xml:space="preserve">notification </w:t>
            </w:r>
            <w:r w:rsidRPr="00EB74A8">
              <w:t>rates – Aboriginal and Torres Strait Islander females</w:t>
            </w:r>
            <w:r w:rsidR="00BE37E5" w:rsidRPr="00EB74A8">
              <w:t xml:space="preserve"> (per 100,000)</w:t>
            </w:r>
          </w:p>
        </w:tc>
        <w:tc>
          <w:tcPr>
            <w:tcW w:w="2410" w:type="dxa"/>
          </w:tcPr>
          <w:p w14:paraId="4720DE7A" w14:textId="6AF2A692" w:rsidR="007F49B7" w:rsidRPr="00EB74A8" w:rsidRDefault="007766A2" w:rsidP="008A1F4E">
            <w:pPr>
              <w:spacing w:before="60" w:after="60" w:line="240" w:lineRule="auto"/>
              <w:jc w:val="center"/>
            </w:pPr>
            <w:r w:rsidRPr="00EB74A8">
              <w:t xml:space="preserve">34 </w:t>
            </w:r>
            <w:r w:rsidRPr="00EB74A8">
              <w:rPr>
                <w:rStyle w:val="rightarroworangeChar"/>
                <w:rFonts w:eastAsiaTheme="minorHAnsi"/>
                <w:sz w:val="22"/>
              </w:rPr>
              <w:t>→</w:t>
            </w:r>
            <w:r w:rsidRPr="00EB74A8">
              <w:rPr>
                <w:rStyle w:val="uparrowredChar"/>
                <w:rFonts w:eastAsiaTheme="minorHAnsi"/>
                <w:sz w:val="22"/>
              </w:rPr>
              <w:t>↑</w:t>
            </w:r>
          </w:p>
        </w:tc>
        <w:tc>
          <w:tcPr>
            <w:tcW w:w="2410" w:type="dxa"/>
          </w:tcPr>
          <w:p w14:paraId="5303B7C0" w14:textId="13DBF8E0" w:rsidR="007F49B7" w:rsidRPr="00EB74A8" w:rsidRDefault="007766A2" w:rsidP="008A1F4E">
            <w:pPr>
              <w:spacing w:before="60" w:after="60" w:line="240" w:lineRule="auto"/>
              <w:jc w:val="center"/>
            </w:pPr>
            <w:r w:rsidRPr="00EB74A8">
              <w:t>34</w:t>
            </w:r>
          </w:p>
        </w:tc>
        <w:tc>
          <w:tcPr>
            <w:tcW w:w="2254" w:type="dxa"/>
          </w:tcPr>
          <w:p w14:paraId="50AD1AE3" w14:textId="616B8BA3" w:rsidR="007F49B7" w:rsidRPr="00EB74A8" w:rsidRDefault="007766A2" w:rsidP="008A1F4E">
            <w:pPr>
              <w:spacing w:before="60" w:after="60" w:line="240" w:lineRule="auto"/>
              <w:jc w:val="center"/>
            </w:pPr>
            <w:r w:rsidRPr="00EB74A8">
              <w:t>33</w:t>
            </w:r>
          </w:p>
        </w:tc>
      </w:tr>
      <w:tr w:rsidR="007F49B7" w:rsidRPr="00EB74A8" w14:paraId="2BD8366F" w14:textId="77777777" w:rsidTr="000440C0">
        <w:trPr>
          <w:trHeight w:val="20"/>
        </w:trPr>
        <w:tc>
          <w:tcPr>
            <w:tcW w:w="1276" w:type="dxa"/>
          </w:tcPr>
          <w:p w14:paraId="0E72F2B6" w14:textId="486DA5B8" w:rsidR="007F49B7" w:rsidRPr="00EB74A8" w:rsidRDefault="007F49B7" w:rsidP="00060775">
            <w:pPr>
              <w:pStyle w:val="Tabletextleftaligned"/>
            </w:pPr>
            <w:r w:rsidRPr="00EB74A8">
              <w:t>2.1</w:t>
            </w:r>
          </w:p>
        </w:tc>
        <w:tc>
          <w:tcPr>
            <w:tcW w:w="6095" w:type="dxa"/>
          </w:tcPr>
          <w:p w14:paraId="6AD5ED42" w14:textId="495CDE2E" w:rsidR="007F49B7" w:rsidRPr="00EB74A8" w:rsidRDefault="007F49B7" w:rsidP="00060775">
            <w:pPr>
              <w:pStyle w:val="Tabletextleftaligned"/>
            </w:pPr>
            <w:r w:rsidRPr="00EB74A8">
              <w:t xml:space="preserve">Infectious syphilis </w:t>
            </w:r>
            <w:r w:rsidR="00394420" w:rsidRPr="00EB74A8">
              <w:t xml:space="preserve">notification </w:t>
            </w:r>
            <w:r w:rsidRPr="00EB74A8">
              <w:t xml:space="preserve">rates – </w:t>
            </w:r>
            <w:proofErr w:type="gramStart"/>
            <w:r w:rsidRPr="00EB74A8">
              <w:t>Non-Indigenous</w:t>
            </w:r>
            <w:proofErr w:type="gramEnd"/>
            <w:r w:rsidRPr="00EB74A8">
              <w:t xml:space="preserve"> males</w:t>
            </w:r>
            <w:r w:rsidR="00EB6CE7" w:rsidRPr="00EB74A8">
              <w:t xml:space="preserve"> (per 100,000)</w:t>
            </w:r>
          </w:p>
        </w:tc>
        <w:tc>
          <w:tcPr>
            <w:tcW w:w="2410" w:type="dxa"/>
          </w:tcPr>
          <w:p w14:paraId="2BFBDF36" w14:textId="77CE95AC" w:rsidR="007F49B7" w:rsidRPr="00EB74A8" w:rsidRDefault="00065E38" w:rsidP="008A1F4E">
            <w:pPr>
              <w:spacing w:before="60" w:after="60" w:line="240" w:lineRule="auto"/>
              <w:jc w:val="center"/>
            </w:pPr>
            <w:r w:rsidRPr="00EB74A8">
              <w:t>9</w:t>
            </w:r>
            <w:r w:rsidR="00AB1145" w:rsidRPr="00EB74A8">
              <w:t xml:space="preserve"> </w:t>
            </w:r>
            <w:r w:rsidR="00AB1145" w:rsidRPr="00EB74A8">
              <w:rPr>
                <w:rStyle w:val="rightarroworangeChar"/>
                <w:rFonts w:eastAsiaTheme="minorHAnsi"/>
                <w:sz w:val="22"/>
              </w:rPr>
              <w:t>→→</w:t>
            </w:r>
          </w:p>
        </w:tc>
        <w:tc>
          <w:tcPr>
            <w:tcW w:w="2410" w:type="dxa"/>
          </w:tcPr>
          <w:p w14:paraId="78AED32F" w14:textId="08EC4F12" w:rsidR="007F49B7" w:rsidRPr="00EB74A8" w:rsidRDefault="00065E38" w:rsidP="008A1F4E">
            <w:pPr>
              <w:spacing w:before="60" w:after="60" w:line="240" w:lineRule="auto"/>
              <w:jc w:val="center"/>
            </w:pPr>
            <w:r w:rsidRPr="00EB74A8">
              <w:t>9</w:t>
            </w:r>
          </w:p>
        </w:tc>
        <w:tc>
          <w:tcPr>
            <w:tcW w:w="2254" w:type="dxa"/>
          </w:tcPr>
          <w:p w14:paraId="65E8B798" w14:textId="254B9F31" w:rsidR="007F49B7" w:rsidRPr="00EB74A8" w:rsidRDefault="00AB1145" w:rsidP="008A1F4E">
            <w:pPr>
              <w:spacing w:before="60" w:after="60" w:line="240" w:lineRule="auto"/>
              <w:jc w:val="center"/>
            </w:pPr>
            <w:r w:rsidRPr="00EB74A8">
              <w:t>9</w:t>
            </w:r>
          </w:p>
        </w:tc>
      </w:tr>
      <w:tr w:rsidR="007F49B7" w:rsidRPr="00EB74A8" w14:paraId="23305BA6"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65896E70" w14:textId="2D531781" w:rsidR="007F49B7" w:rsidRPr="00EB74A8" w:rsidRDefault="007F49B7" w:rsidP="00060775">
            <w:pPr>
              <w:pStyle w:val="Tabletextleftaligned"/>
            </w:pPr>
            <w:r w:rsidRPr="00EB74A8">
              <w:t>2.1</w:t>
            </w:r>
          </w:p>
        </w:tc>
        <w:tc>
          <w:tcPr>
            <w:tcW w:w="6095" w:type="dxa"/>
          </w:tcPr>
          <w:p w14:paraId="645EA710" w14:textId="436523DE" w:rsidR="007F49B7" w:rsidRPr="00EB74A8" w:rsidRDefault="007F49B7" w:rsidP="00060775">
            <w:pPr>
              <w:pStyle w:val="Tabletextleftaligned"/>
            </w:pPr>
            <w:r w:rsidRPr="00EB74A8">
              <w:t xml:space="preserve">Infectious syphilis </w:t>
            </w:r>
            <w:r w:rsidR="00394420" w:rsidRPr="00EB74A8">
              <w:t xml:space="preserve">notification </w:t>
            </w:r>
            <w:r w:rsidRPr="00EB74A8">
              <w:t xml:space="preserve">rates – </w:t>
            </w:r>
            <w:proofErr w:type="gramStart"/>
            <w:r w:rsidRPr="00EB74A8">
              <w:t>Non-Indigenous</w:t>
            </w:r>
            <w:proofErr w:type="gramEnd"/>
            <w:r w:rsidRPr="00EB74A8">
              <w:t xml:space="preserve"> </w:t>
            </w:r>
            <w:r w:rsidR="00854630" w:rsidRPr="00EB74A8">
              <w:t>fe</w:t>
            </w:r>
            <w:r w:rsidRPr="00EB74A8">
              <w:t>males</w:t>
            </w:r>
            <w:r w:rsidR="00EB6CE7" w:rsidRPr="00EB74A8">
              <w:t xml:space="preserve"> (per 100,000)</w:t>
            </w:r>
          </w:p>
        </w:tc>
        <w:tc>
          <w:tcPr>
            <w:tcW w:w="2410" w:type="dxa"/>
          </w:tcPr>
          <w:p w14:paraId="1E3BEBA1" w14:textId="13444B62" w:rsidR="007F49B7" w:rsidRPr="00EB74A8" w:rsidRDefault="00AB1145" w:rsidP="008A1F4E">
            <w:pPr>
              <w:spacing w:before="60" w:after="60" w:line="240" w:lineRule="auto"/>
              <w:jc w:val="center"/>
            </w:pPr>
            <w:r w:rsidRPr="00EB74A8">
              <w:t>1</w:t>
            </w:r>
            <w:r w:rsidR="004707FF" w:rsidRPr="00EB74A8">
              <w:t xml:space="preserve"> </w:t>
            </w:r>
            <w:r w:rsidR="004707FF" w:rsidRPr="00EB74A8">
              <w:rPr>
                <w:rStyle w:val="downarrowgreenChar"/>
                <w:sz w:val="22"/>
              </w:rPr>
              <w:t>↓</w:t>
            </w:r>
            <w:r w:rsidR="004707FF" w:rsidRPr="00EB74A8">
              <w:rPr>
                <w:rStyle w:val="rightarroworangeChar"/>
                <w:rFonts w:eastAsiaTheme="minorHAnsi"/>
                <w:sz w:val="22"/>
              </w:rPr>
              <w:t>→</w:t>
            </w:r>
          </w:p>
        </w:tc>
        <w:tc>
          <w:tcPr>
            <w:tcW w:w="2410" w:type="dxa"/>
          </w:tcPr>
          <w:p w14:paraId="7BCB38A8" w14:textId="79CC7CFE" w:rsidR="007F49B7" w:rsidRPr="00EB74A8" w:rsidRDefault="00AB1145" w:rsidP="008A1F4E">
            <w:pPr>
              <w:spacing w:before="60" w:after="60" w:line="240" w:lineRule="auto"/>
              <w:jc w:val="center"/>
            </w:pPr>
            <w:r w:rsidRPr="00EB74A8">
              <w:t>2</w:t>
            </w:r>
          </w:p>
        </w:tc>
        <w:tc>
          <w:tcPr>
            <w:tcW w:w="2254" w:type="dxa"/>
          </w:tcPr>
          <w:p w14:paraId="3E497593" w14:textId="6C6AFAE9" w:rsidR="007F49B7" w:rsidRPr="00EB74A8" w:rsidRDefault="004707FF" w:rsidP="008A1F4E">
            <w:pPr>
              <w:spacing w:before="60" w:after="60" w:line="240" w:lineRule="auto"/>
              <w:jc w:val="center"/>
            </w:pPr>
            <w:r w:rsidRPr="00EB74A8">
              <w:t>1</w:t>
            </w:r>
          </w:p>
        </w:tc>
      </w:tr>
      <w:tr w:rsidR="007F49B7" w:rsidRPr="00EB74A8" w14:paraId="7AAC0F18" w14:textId="77777777" w:rsidTr="000440C0">
        <w:trPr>
          <w:trHeight w:val="20"/>
        </w:trPr>
        <w:tc>
          <w:tcPr>
            <w:tcW w:w="1276" w:type="dxa"/>
          </w:tcPr>
          <w:p w14:paraId="485C597F" w14:textId="7048FC74" w:rsidR="007F49B7" w:rsidRPr="00EB74A8" w:rsidRDefault="00892357" w:rsidP="00060775">
            <w:pPr>
              <w:pStyle w:val="Tabletextleftaligned"/>
            </w:pPr>
            <w:r w:rsidRPr="00EB74A8">
              <w:lastRenderedPageBreak/>
              <w:t>2.4</w:t>
            </w:r>
          </w:p>
        </w:tc>
        <w:tc>
          <w:tcPr>
            <w:tcW w:w="6095" w:type="dxa"/>
          </w:tcPr>
          <w:p w14:paraId="19E226CB" w14:textId="079436BF" w:rsidR="007F49B7" w:rsidRPr="00EB74A8" w:rsidRDefault="00892357" w:rsidP="00060775">
            <w:pPr>
              <w:pStyle w:val="Tabletextleftaligned"/>
            </w:pPr>
            <w:r w:rsidRPr="00EB74A8">
              <w:t>Remoteness area and women of reproductive age</w:t>
            </w:r>
            <w:r w:rsidR="00102F29" w:rsidRPr="00EB74A8">
              <w:t>: Infectious syphilis</w:t>
            </w:r>
            <w:r w:rsidR="003805F2" w:rsidRPr="00EB74A8">
              <w:t xml:space="preserve"> notification</w:t>
            </w:r>
            <w:r w:rsidR="00102F29" w:rsidRPr="00EB74A8">
              <w:t xml:space="preserve"> rates – Aboriginal and Torres Strait Islander </w:t>
            </w:r>
            <w:r w:rsidR="009424B3" w:rsidRPr="00EB74A8">
              <w:t>women</w:t>
            </w:r>
            <w:r w:rsidR="00EB6CE7" w:rsidRPr="00EB74A8">
              <w:t xml:space="preserve"> (per 100,000)</w:t>
            </w:r>
          </w:p>
        </w:tc>
        <w:tc>
          <w:tcPr>
            <w:tcW w:w="2410" w:type="dxa"/>
          </w:tcPr>
          <w:p w14:paraId="13F7026E" w14:textId="77777777" w:rsidR="007F49B7" w:rsidRPr="00EB74A8" w:rsidRDefault="007F49B7" w:rsidP="005E5511">
            <w:pPr>
              <w:spacing w:before="60" w:after="60" w:line="240" w:lineRule="auto"/>
            </w:pPr>
          </w:p>
        </w:tc>
        <w:tc>
          <w:tcPr>
            <w:tcW w:w="2410" w:type="dxa"/>
          </w:tcPr>
          <w:p w14:paraId="0624F0C9" w14:textId="77777777" w:rsidR="007F49B7" w:rsidRPr="00EB74A8" w:rsidRDefault="007F49B7" w:rsidP="005E5511">
            <w:pPr>
              <w:spacing w:before="60" w:after="60" w:line="240" w:lineRule="auto"/>
            </w:pPr>
          </w:p>
        </w:tc>
        <w:tc>
          <w:tcPr>
            <w:tcW w:w="2254" w:type="dxa"/>
          </w:tcPr>
          <w:p w14:paraId="5235F2AF" w14:textId="77777777" w:rsidR="007F49B7" w:rsidRPr="00EB74A8" w:rsidRDefault="007F49B7" w:rsidP="005E5511">
            <w:pPr>
              <w:spacing w:before="60" w:after="60" w:line="240" w:lineRule="auto"/>
            </w:pPr>
          </w:p>
        </w:tc>
      </w:tr>
      <w:tr w:rsidR="007F49B7" w:rsidRPr="00EB74A8" w14:paraId="122887E6"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464319CF" w14:textId="77777777" w:rsidR="007F49B7" w:rsidRPr="00EB74A8" w:rsidRDefault="007F49B7" w:rsidP="005E5511">
            <w:pPr>
              <w:spacing w:before="60" w:after="60" w:line="240" w:lineRule="auto"/>
            </w:pPr>
          </w:p>
        </w:tc>
        <w:tc>
          <w:tcPr>
            <w:tcW w:w="6095" w:type="dxa"/>
          </w:tcPr>
          <w:p w14:paraId="1741E402" w14:textId="408BBA21" w:rsidR="007F49B7" w:rsidRPr="00EB74A8" w:rsidRDefault="00165582" w:rsidP="000C77FF">
            <w:pPr>
              <w:pStyle w:val="Tabletextindented"/>
            </w:pPr>
            <w:r w:rsidRPr="00EB74A8">
              <w:t>Major cities</w:t>
            </w:r>
          </w:p>
        </w:tc>
        <w:tc>
          <w:tcPr>
            <w:tcW w:w="2410" w:type="dxa"/>
          </w:tcPr>
          <w:p w14:paraId="55D4D0FB" w14:textId="5D59FC61" w:rsidR="007F49B7" w:rsidRPr="00EB74A8" w:rsidRDefault="00CF7FD7" w:rsidP="002C6212">
            <w:pPr>
              <w:spacing w:before="60" w:after="60" w:line="240" w:lineRule="auto"/>
              <w:jc w:val="center"/>
            </w:pPr>
            <w:r w:rsidRPr="00EB74A8">
              <w:t xml:space="preserve">55 </w:t>
            </w:r>
            <w:r w:rsidRPr="00EB74A8">
              <w:rPr>
                <w:rStyle w:val="uparrowredChar"/>
                <w:rFonts w:eastAsiaTheme="minorHAnsi"/>
                <w:sz w:val="22"/>
              </w:rPr>
              <w:t>↑↑</w:t>
            </w:r>
          </w:p>
        </w:tc>
        <w:tc>
          <w:tcPr>
            <w:tcW w:w="2410" w:type="dxa"/>
          </w:tcPr>
          <w:p w14:paraId="6062061F" w14:textId="5BECBDB3" w:rsidR="007F49B7" w:rsidRPr="00EB74A8" w:rsidRDefault="00CF7FD7" w:rsidP="002C6212">
            <w:pPr>
              <w:spacing w:before="60" w:after="60" w:line="240" w:lineRule="auto"/>
              <w:jc w:val="center"/>
            </w:pPr>
            <w:r w:rsidRPr="00EB74A8">
              <w:t>42</w:t>
            </w:r>
          </w:p>
        </w:tc>
        <w:tc>
          <w:tcPr>
            <w:tcW w:w="2254" w:type="dxa"/>
          </w:tcPr>
          <w:p w14:paraId="2B91C468" w14:textId="566BB615" w:rsidR="007F49B7" w:rsidRPr="00EB74A8" w:rsidRDefault="00CF7FD7" w:rsidP="002C6212">
            <w:pPr>
              <w:spacing w:before="60" w:after="60" w:line="240" w:lineRule="auto"/>
              <w:jc w:val="center"/>
            </w:pPr>
            <w:r w:rsidRPr="00EB74A8">
              <w:t>51</w:t>
            </w:r>
          </w:p>
        </w:tc>
      </w:tr>
      <w:tr w:rsidR="00102F29" w:rsidRPr="00EB74A8" w14:paraId="32F0AA98" w14:textId="77777777" w:rsidTr="000440C0">
        <w:trPr>
          <w:trHeight w:val="20"/>
        </w:trPr>
        <w:tc>
          <w:tcPr>
            <w:tcW w:w="1276" w:type="dxa"/>
          </w:tcPr>
          <w:p w14:paraId="5A031826" w14:textId="77777777" w:rsidR="00102F29" w:rsidRPr="00EB74A8" w:rsidRDefault="00102F29" w:rsidP="005E5511">
            <w:pPr>
              <w:spacing w:before="60" w:after="60" w:line="240" w:lineRule="auto"/>
            </w:pPr>
          </w:p>
        </w:tc>
        <w:tc>
          <w:tcPr>
            <w:tcW w:w="6095" w:type="dxa"/>
          </w:tcPr>
          <w:p w14:paraId="43C2478A" w14:textId="1630FF8D" w:rsidR="00102F29" w:rsidRPr="00EB74A8" w:rsidRDefault="00165582" w:rsidP="000C77FF">
            <w:pPr>
              <w:pStyle w:val="Tabletextindented"/>
            </w:pPr>
            <w:r w:rsidRPr="00EB74A8">
              <w:t>Inner and outer regional areas</w:t>
            </w:r>
          </w:p>
        </w:tc>
        <w:tc>
          <w:tcPr>
            <w:tcW w:w="2410" w:type="dxa"/>
          </w:tcPr>
          <w:p w14:paraId="0F3F5BE4" w14:textId="21F15FB8" w:rsidR="00102F29" w:rsidRPr="00EB74A8" w:rsidRDefault="00CF7FD7" w:rsidP="002C6212">
            <w:pPr>
              <w:spacing w:before="60" w:after="60" w:line="240" w:lineRule="auto"/>
              <w:jc w:val="center"/>
            </w:pPr>
            <w:r w:rsidRPr="00EB74A8">
              <w:t>44</w:t>
            </w:r>
            <w:r w:rsidR="000B1F91" w:rsidRPr="00EB74A8">
              <w:t xml:space="preserve"> </w:t>
            </w:r>
            <w:r w:rsidR="000B1F91" w:rsidRPr="00EB74A8">
              <w:rPr>
                <w:rStyle w:val="uparrowredChar"/>
                <w:rFonts w:eastAsiaTheme="minorHAnsi"/>
                <w:sz w:val="22"/>
              </w:rPr>
              <w:t>↑↑</w:t>
            </w:r>
          </w:p>
        </w:tc>
        <w:tc>
          <w:tcPr>
            <w:tcW w:w="2410" w:type="dxa"/>
          </w:tcPr>
          <w:p w14:paraId="0CB4FCBE" w14:textId="283FA497" w:rsidR="00102F29" w:rsidRPr="00EB74A8" w:rsidRDefault="000B1F91" w:rsidP="002C6212">
            <w:pPr>
              <w:spacing w:before="60" w:after="60" w:line="240" w:lineRule="auto"/>
              <w:jc w:val="center"/>
            </w:pPr>
            <w:r w:rsidRPr="00EB74A8">
              <w:t>37</w:t>
            </w:r>
          </w:p>
        </w:tc>
        <w:tc>
          <w:tcPr>
            <w:tcW w:w="2254" w:type="dxa"/>
          </w:tcPr>
          <w:p w14:paraId="1650C05F" w14:textId="29220327" w:rsidR="00102F29" w:rsidRPr="00EB74A8" w:rsidRDefault="000B1F91" w:rsidP="002C6212">
            <w:pPr>
              <w:spacing w:before="60" w:after="60" w:line="240" w:lineRule="auto"/>
              <w:jc w:val="center"/>
            </w:pPr>
            <w:r w:rsidRPr="00EB74A8">
              <w:t>37</w:t>
            </w:r>
          </w:p>
        </w:tc>
      </w:tr>
      <w:tr w:rsidR="007F49B7" w:rsidRPr="00EB74A8" w14:paraId="34856D74"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53129B4B" w14:textId="77777777" w:rsidR="007F49B7" w:rsidRPr="00EB74A8" w:rsidRDefault="007F49B7" w:rsidP="005E5511">
            <w:pPr>
              <w:spacing w:before="60" w:after="60" w:line="240" w:lineRule="auto"/>
            </w:pPr>
          </w:p>
        </w:tc>
        <w:tc>
          <w:tcPr>
            <w:tcW w:w="6095" w:type="dxa"/>
          </w:tcPr>
          <w:p w14:paraId="0BDC7B5E" w14:textId="063E9C5D" w:rsidR="007F49B7" w:rsidRPr="00EB74A8" w:rsidRDefault="00165582" w:rsidP="000C77FF">
            <w:pPr>
              <w:pStyle w:val="Tabletextindented"/>
            </w:pPr>
            <w:r w:rsidRPr="00EB74A8">
              <w:t>Remote and very remote areas</w:t>
            </w:r>
          </w:p>
        </w:tc>
        <w:tc>
          <w:tcPr>
            <w:tcW w:w="2410" w:type="dxa"/>
          </w:tcPr>
          <w:p w14:paraId="247586F0" w14:textId="1B06E692" w:rsidR="007F49B7" w:rsidRPr="00EB74A8" w:rsidRDefault="000B1F91" w:rsidP="002C6212">
            <w:pPr>
              <w:spacing w:before="60" w:after="60" w:line="240" w:lineRule="auto"/>
              <w:jc w:val="center"/>
            </w:pPr>
            <w:r w:rsidRPr="00EB74A8">
              <w:t xml:space="preserve">193 </w:t>
            </w:r>
            <w:r w:rsidRPr="00EB74A8">
              <w:rPr>
                <w:rStyle w:val="downarrowgreenChar"/>
                <w:sz w:val="22"/>
              </w:rPr>
              <w:t>↓</w:t>
            </w:r>
            <w:r w:rsidRPr="00EB74A8">
              <w:rPr>
                <w:rStyle w:val="uparrowredChar"/>
                <w:rFonts w:eastAsiaTheme="minorHAnsi"/>
                <w:sz w:val="22"/>
              </w:rPr>
              <w:t>↑</w:t>
            </w:r>
          </w:p>
        </w:tc>
        <w:tc>
          <w:tcPr>
            <w:tcW w:w="2410" w:type="dxa"/>
          </w:tcPr>
          <w:p w14:paraId="4BC66B18" w14:textId="76937957" w:rsidR="007F49B7" w:rsidRPr="00EB74A8" w:rsidRDefault="000B1F91" w:rsidP="002C6212">
            <w:pPr>
              <w:spacing w:before="60" w:after="60" w:line="240" w:lineRule="auto"/>
              <w:jc w:val="center"/>
            </w:pPr>
            <w:r w:rsidRPr="00EB74A8">
              <w:t>204</w:t>
            </w:r>
          </w:p>
        </w:tc>
        <w:tc>
          <w:tcPr>
            <w:tcW w:w="2254" w:type="dxa"/>
          </w:tcPr>
          <w:p w14:paraId="1607639E" w14:textId="38D45808" w:rsidR="007F49B7" w:rsidRPr="00EB74A8" w:rsidRDefault="000B1F91" w:rsidP="002C6212">
            <w:pPr>
              <w:spacing w:before="60" w:after="60" w:line="240" w:lineRule="auto"/>
              <w:jc w:val="center"/>
            </w:pPr>
            <w:r w:rsidRPr="00EB74A8">
              <w:t>189</w:t>
            </w:r>
          </w:p>
        </w:tc>
      </w:tr>
      <w:tr w:rsidR="009B7AA1" w:rsidRPr="00EB74A8" w14:paraId="377A19CF" w14:textId="77777777" w:rsidTr="000440C0">
        <w:trPr>
          <w:trHeight w:val="20"/>
        </w:trPr>
        <w:tc>
          <w:tcPr>
            <w:tcW w:w="1276" w:type="dxa"/>
          </w:tcPr>
          <w:p w14:paraId="0502B6C4" w14:textId="46D6A717" w:rsidR="009B7AA1" w:rsidRPr="00EB74A8" w:rsidRDefault="009424B3" w:rsidP="00060775">
            <w:pPr>
              <w:pStyle w:val="Tabletextleftaligned"/>
            </w:pPr>
            <w:r w:rsidRPr="00EB74A8">
              <w:t>2.4</w:t>
            </w:r>
          </w:p>
        </w:tc>
        <w:tc>
          <w:tcPr>
            <w:tcW w:w="6095" w:type="dxa"/>
          </w:tcPr>
          <w:p w14:paraId="542A1D46" w14:textId="577D95C3" w:rsidR="009B7AA1" w:rsidRPr="00EB74A8" w:rsidRDefault="009424B3" w:rsidP="00060775">
            <w:pPr>
              <w:pStyle w:val="Tabletextleftaligned"/>
            </w:pPr>
            <w:r w:rsidRPr="00EB74A8">
              <w:t xml:space="preserve">Remoteness area and women of reproductive age: Infectious syphilis </w:t>
            </w:r>
            <w:r w:rsidR="003805F2" w:rsidRPr="00EB74A8">
              <w:t xml:space="preserve">notification </w:t>
            </w:r>
            <w:r w:rsidRPr="00EB74A8">
              <w:t xml:space="preserve">rates – </w:t>
            </w:r>
            <w:r w:rsidR="00DA6C76" w:rsidRPr="00EB74A8">
              <w:t>non-Indigenous women</w:t>
            </w:r>
            <w:r w:rsidR="00EB6CE7" w:rsidRPr="00EB74A8">
              <w:t xml:space="preserve"> (per 100,000)</w:t>
            </w:r>
          </w:p>
        </w:tc>
        <w:tc>
          <w:tcPr>
            <w:tcW w:w="2410" w:type="dxa"/>
          </w:tcPr>
          <w:p w14:paraId="56C5651F" w14:textId="77777777" w:rsidR="009B7AA1" w:rsidRPr="00EB74A8" w:rsidRDefault="009B7AA1" w:rsidP="005E5511">
            <w:pPr>
              <w:spacing w:before="60" w:after="60" w:line="240" w:lineRule="auto"/>
            </w:pPr>
          </w:p>
        </w:tc>
        <w:tc>
          <w:tcPr>
            <w:tcW w:w="2410" w:type="dxa"/>
          </w:tcPr>
          <w:p w14:paraId="35B12B6D" w14:textId="725C3760" w:rsidR="009B7AA1" w:rsidRPr="00EB74A8" w:rsidRDefault="009B7AA1" w:rsidP="005E5511">
            <w:pPr>
              <w:spacing w:before="60" w:after="60" w:line="240" w:lineRule="auto"/>
            </w:pPr>
          </w:p>
        </w:tc>
        <w:tc>
          <w:tcPr>
            <w:tcW w:w="2254" w:type="dxa"/>
          </w:tcPr>
          <w:p w14:paraId="6EB1D660" w14:textId="57C44A28" w:rsidR="009B7AA1" w:rsidRPr="00EB74A8" w:rsidRDefault="009B7AA1" w:rsidP="005E5511">
            <w:pPr>
              <w:spacing w:before="60" w:after="60" w:line="240" w:lineRule="auto"/>
            </w:pPr>
          </w:p>
        </w:tc>
      </w:tr>
      <w:tr w:rsidR="00DA6C76" w:rsidRPr="00EB74A8" w14:paraId="1AA94F93"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5D8E2BB8" w14:textId="77777777" w:rsidR="00DA6C76" w:rsidRPr="00EB74A8" w:rsidRDefault="00DA6C76" w:rsidP="005E5511">
            <w:pPr>
              <w:spacing w:before="60" w:after="60" w:line="240" w:lineRule="auto"/>
            </w:pPr>
          </w:p>
        </w:tc>
        <w:tc>
          <w:tcPr>
            <w:tcW w:w="6095" w:type="dxa"/>
          </w:tcPr>
          <w:p w14:paraId="32301FD7" w14:textId="77777777" w:rsidR="00DA6C76" w:rsidRPr="00EB74A8" w:rsidRDefault="00DA6C76" w:rsidP="000C77FF">
            <w:pPr>
              <w:pStyle w:val="Tabletextindented"/>
            </w:pPr>
            <w:r w:rsidRPr="00EB74A8">
              <w:t>Major cities</w:t>
            </w:r>
          </w:p>
        </w:tc>
        <w:tc>
          <w:tcPr>
            <w:tcW w:w="2410" w:type="dxa"/>
          </w:tcPr>
          <w:p w14:paraId="7B424774" w14:textId="03494DDB" w:rsidR="00DA6C76" w:rsidRPr="00EB74A8" w:rsidRDefault="00274C3C" w:rsidP="00DF3CFE">
            <w:pPr>
              <w:spacing w:before="60" w:after="60" w:line="240" w:lineRule="auto"/>
              <w:jc w:val="center"/>
            </w:pPr>
            <w:r w:rsidRPr="00EB74A8">
              <w:t>3</w:t>
            </w:r>
            <w:r w:rsidR="002F3304" w:rsidRPr="00EB74A8">
              <w:t xml:space="preserve"> </w:t>
            </w:r>
            <w:r w:rsidR="002F3304" w:rsidRPr="00EB74A8">
              <w:rPr>
                <w:rStyle w:val="rightarroworangeChar"/>
                <w:rFonts w:eastAsiaTheme="minorHAnsi"/>
                <w:sz w:val="22"/>
              </w:rPr>
              <w:t>→→</w:t>
            </w:r>
          </w:p>
        </w:tc>
        <w:tc>
          <w:tcPr>
            <w:tcW w:w="2410" w:type="dxa"/>
          </w:tcPr>
          <w:p w14:paraId="38BC30DE" w14:textId="5F0EAAF2" w:rsidR="00DA6C76" w:rsidRPr="00EB74A8" w:rsidRDefault="00274C3C" w:rsidP="00DF3CFE">
            <w:pPr>
              <w:spacing w:before="60" w:after="60" w:line="240" w:lineRule="auto"/>
              <w:jc w:val="center"/>
            </w:pPr>
            <w:r w:rsidRPr="00EB74A8">
              <w:t>3</w:t>
            </w:r>
          </w:p>
        </w:tc>
        <w:tc>
          <w:tcPr>
            <w:tcW w:w="2254" w:type="dxa"/>
          </w:tcPr>
          <w:p w14:paraId="26AB74B7" w14:textId="585114CB" w:rsidR="00DA6C76" w:rsidRPr="00EB74A8" w:rsidRDefault="002F3304" w:rsidP="00DF3CFE">
            <w:pPr>
              <w:spacing w:before="60" w:after="60" w:line="240" w:lineRule="auto"/>
              <w:jc w:val="center"/>
            </w:pPr>
            <w:r w:rsidRPr="00EB74A8">
              <w:t>3</w:t>
            </w:r>
          </w:p>
        </w:tc>
      </w:tr>
      <w:tr w:rsidR="00DA6C76" w:rsidRPr="00EB74A8" w14:paraId="4BB17D27" w14:textId="77777777" w:rsidTr="000440C0">
        <w:trPr>
          <w:trHeight w:val="20"/>
        </w:trPr>
        <w:tc>
          <w:tcPr>
            <w:tcW w:w="1276" w:type="dxa"/>
          </w:tcPr>
          <w:p w14:paraId="6C5E6BA1" w14:textId="77777777" w:rsidR="00DA6C76" w:rsidRPr="00EB74A8" w:rsidRDefault="00DA6C76" w:rsidP="005E5511">
            <w:pPr>
              <w:spacing w:before="60" w:after="60" w:line="240" w:lineRule="auto"/>
            </w:pPr>
          </w:p>
        </w:tc>
        <w:tc>
          <w:tcPr>
            <w:tcW w:w="6095" w:type="dxa"/>
          </w:tcPr>
          <w:p w14:paraId="7D53E649" w14:textId="77777777" w:rsidR="00DA6C76" w:rsidRPr="00EB74A8" w:rsidRDefault="00DA6C76" w:rsidP="000C77FF">
            <w:pPr>
              <w:pStyle w:val="Tabletextindented"/>
            </w:pPr>
            <w:r w:rsidRPr="00EB74A8">
              <w:t>Inner and outer regional areas</w:t>
            </w:r>
          </w:p>
        </w:tc>
        <w:tc>
          <w:tcPr>
            <w:tcW w:w="2410" w:type="dxa"/>
          </w:tcPr>
          <w:p w14:paraId="16B686D1" w14:textId="5CC58A22" w:rsidR="00DA6C76" w:rsidRPr="00EB74A8" w:rsidRDefault="002F3304" w:rsidP="00DF3CFE">
            <w:pPr>
              <w:spacing w:before="60" w:after="60" w:line="240" w:lineRule="auto"/>
              <w:jc w:val="center"/>
            </w:pPr>
            <w:proofErr w:type="gramStart"/>
            <w:r w:rsidRPr="00EB74A8">
              <w:t xml:space="preserve">2  </w:t>
            </w:r>
            <w:r w:rsidRPr="00EB74A8">
              <w:rPr>
                <w:rStyle w:val="downarrowgreenChar"/>
                <w:sz w:val="22"/>
              </w:rPr>
              <w:t>↓</w:t>
            </w:r>
            <w:proofErr w:type="gramEnd"/>
            <w:r w:rsidRPr="00EB74A8">
              <w:rPr>
                <w:rStyle w:val="rightarroworangeChar"/>
                <w:rFonts w:eastAsiaTheme="minorHAnsi"/>
                <w:sz w:val="22"/>
              </w:rPr>
              <w:t>→</w:t>
            </w:r>
          </w:p>
        </w:tc>
        <w:tc>
          <w:tcPr>
            <w:tcW w:w="2410" w:type="dxa"/>
          </w:tcPr>
          <w:p w14:paraId="735EC2FC" w14:textId="63D298E3" w:rsidR="00DA6C76" w:rsidRPr="00EB74A8" w:rsidRDefault="002F3304" w:rsidP="00DF3CFE">
            <w:pPr>
              <w:spacing w:before="60" w:after="60" w:line="240" w:lineRule="auto"/>
              <w:jc w:val="center"/>
            </w:pPr>
            <w:r w:rsidRPr="00EB74A8">
              <w:t>3</w:t>
            </w:r>
          </w:p>
        </w:tc>
        <w:tc>
          <w:tcPr>
            <w:tcW w:w="2254" w:type="dxa"/>
          </w:tcPr>
          <w:p w14:paraId="156B2D31" w14:textId="21402D9C" w:rsidR="00DA6C76" w:rsidRPr="00EB74A8" w:rsidRDefault="002F3304" w:rsidP="00DF3CFE">
            <w:pPr>
              <w:spacing w:before="60" w:after="60" w:line="240" w:lineRule="auto"/>
              <w:jc w:val="center"/>
            </w:pPr>
            <w:r w:rsidRPr="00EB74A8">
              <w:t>2</w:t>
            </w:r>
          </w:p>
        </w:tc>
      </w:tr>
      <w:tr w:rsidR="00DA6C76" w:rsidRPr="00EB74A8" w14:paraId="6EFE708D"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731B1E87" w14:textId="77777777" w:rsidR="00DA6C76" w:rsidRPr="00EB74A8" w:rsidRDefault="00DA6C76" w:rsidP="005E5511">
            <w:pPr>
              <w:spacing w:before="60" w:after="60" w:line="240" w:lineRule="auto"/>
            </w:pPr>
          </w:p>
        </w:tc>
        <w:tc>
          <w:tcPr>
            <w:tcW w:w="6095" w:type="dxa"/>
          </w:tcPr>
          <w:p w14:paraId="726F0751" w14:textId="77777777" w:rsidR="00DA6C76" w:rsidRPr="00EB74A8" w:rsidRDefault="00DA6C76" w:rsidP="000C77FF">
            <w:pPr>
              <w:pStyle w:val="Tabletextindented"/>
            </w:pPr>
            <w:r w:rsidRPr="00EB74A8">
              <w:t>Remote and very remote areas</w:t>
            </w:r>
          </w:p>
        </w:tc>
        <w:tc>
          <w:tcPr>
            <w:tcW w:w="2410" w:type="dxa"/>
          </w:tcPr>
          <w:p w14:paraId="2878AC62" w14:textId="36007AC6" w:rsidR="00DA6C76" w:rsidRPr="00EB74A8" w:rsidRDefault="001D24DD" w:rsidP="00DF3CFE">
            <w:pPr>
              <w:spacing w:before="60" w:after="60" w:line="240" w:lineRule="auto"/>
              <w:jc w:val="center"/>
            </w:pPr>
            <w:r w:rsidRPr="00EB74A8">
              <w:t xml:space="preserve">0 </w:t>
            </w:r>
            <w:r w:rsidRPr="00EB74A8">
              <w:rPr>
                <w:rStyle w:val="downarrowgreenChar"/>
                <w:sz w:val="22"/>
              </w:rPr>
              <w:t>↓↓</w:t>
            </w:r>
          </w:p>
        </w:tc>
        <w:tc>
          <w:tcPr>
            <w:tcW w:w="2410" w:type="dxa"/>
          </w:tcPr>
          <w:p w14:paraId="3879EC1E" w14:textId="42274474" w:rsidR="00DA6C76" w:rsidRPr="00EB74A8" w:rsidRDefault="001D24DD" w:rsidP="00DF3CFE">
            <w:pPr>
              <w:spacing w:before="60" w:after="60" w:line="240" w:lineRule="auto"/>
              <w:jc w:val="center"/>
            </w:pPr>
            <w:r w:rsidRPr="00EB74A8">
              <w:t>2</w:t>
            </w:r>
          </w:p>
        </w:tc>
        <w:tc>
          <w:tcPr>
            <w:tcW w:w="2254" w:type="dxa"/>
          </w:tcPr>
          <w:p w14:paraId="3863FD70" w14:textId="7779DFA4" w:rsidR="00DA6C76" w:rsidRPr="00EB74A8" w:rsidRDefault="001D24DD" w:rsidP="00DF3CFE">
            <w:pPr>
              <w:spacing w:before="60" w:after="60" w:line="240" w:lineRule="auto"/>
              <w:jc w:val="center"/>
            </w:pPr>
            <w:r w:rsidRPr="00EB74A8">
              <w:t>2</w:t>
            </w:r>
          </w:p>
        </w:tc>
      </w:tr>
      <w:tr w:rsidR="00165582" w:rsidRPr="00EB74A8" w14:paraId="652CD520" w14:textId="77777777" w:rsidTr="000440C0">
        <w:trPr>
          <w:trHeight w:val="20"/>
        </w:trPr>
        <w:tc>
          <w:tcPr>
            <w:tcW w:w="1276" w:type="dxa"/>
          </w:tcPr>
          <w:p w14:paraId="23A9081A" w14:textId="6721A1F9" w:rsidR="00165582" w:rsidRPr="00EB74A8" w:rsidRDefault="00DA6C76" w:rsidP="00060775">
            <w:pPr>
              <w:pStyle w:val="Tabletextleftaligned"/>
            </w:pPr>
            <w:r w:rsidRPr="00EB74A8">
              <w:t>2.5</w:t>
            </w:r>
          </w:p>
        </w:tc>
        <w:tc>
          <w:tcPr>
            <w:tcW w:w="6095" w:type="dxa"/>
          </w:tcPr>
          <w:p w14:paraId="26A88A37" w14:textId="0397DE70" w:rsidR="00165582" w:rsidRPr="00EB74A8" w:rsidRDefault="00DA6C76" w:rsidP="00060775">
            <w:pPr>
              <w:pStyle w:val="Tabletextleftaligned"/>
            </w:pPr>
            <w:r w:rsidRPr="00EB74A8">
              <w:t>Men, notified with infectious syphilis, reporting sexual exposure with men only (%)</w:t>
            </w:r>
          </w:p>
        </w:tc>
        <w:tc>
          <w:tcPr>
            <w:tcW w:w="2410" w:type="dxa"/>
          </w:tcPr>
          <w:p w14:paraId="2ACB1F5F" w14:textId="065D60F8" w:rsidR="00165582" w:rsidRPr="00EB74A8" w:rsidRDefault="00F32533" w:rsidP="00492515">
            <w:pPr>
              <w:spacing w:before="60" w:after="60" w:line="240" w:lineRule="auto"/>
              <w:jc w:val="center"/>
            </w:pPr>
            <w:r w:rsidRPr="00EB74A8">
              <w:t>48%</w:t>
            </w:r>
            <w:r w:rsidR="007F3972" w:rsidRPr="00EB74A8">
              <w:t xml:space="preserve"> </w:t>
            </w:r>
            <w:r w:rsidR="007F3972" w:rsidRPr="00EB74A8">
              <w:rPr>
                <w:rStyle w:val="downarrowgreenChar"/>
                <w:sz w:val="22"/>
              </w:rPr>
              <w:t>↓↓</w:t>
            </w:r>
          </w:p>
        </w:tc>
        <w:tc>
          <w:tcPr>
            <w:tcW w:w="2410" w:type="dxa"/>
          </w:tcPr>
          <w:p w14:paraId="4D7F4C9D" w14:textId="7A2D0ECE" w:rsidR="00165582" w:rsidRPr="00EB74A8" w:rsidRDefault="00F32533" w:rsidP="00492515">
            <w:pPr>
              <w:spacing w:before="60" w:after="60" w:line="240" w:lineRule="auto"/>
              <w:jc w:val="center"/>
            </w:pPr>
            <w:r w:rsidRPr="00EB74A8">
              <w:t>52%</w:t>
            </w:r>
          </w:p>
        </w:tc>
        <w:tc>
          <w:tcPr>
            <w:tcW w:w="2254" w:type="dxa"/>
          </w:tcPr>
          <w:p w14:paraId="27AAF95B" w14:textId="3B06347C" w:rsidR="00165582" w:rsidRPr="00EB74A8" w:rsidRDefault="007F3972" w:rsidP="00492515">
            <w:pPr>
              <w:spacing w:before="60" w:after="60" w:line="240" w:lineRule="auto"/>
              <w:jc w:val="center"/>
            </w:pPr>
            <w:r w:rsidRPr="00EB74A8">
              <w:t>49%</w:t>
            </w:r>
          </w:p>
        </w:tc>
      </w:tr>
      <w:tr w:rsidR="00165582" w:rsidRPr="00EB74A8" w14:paraId="2A102A23"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6E01573E" w14:textId="2C8C0197" w:rsidR="00165582" w:rsidRPr="00EB74A8" w:rsidRDefault="00944944" w:rsidP="00060775">
            <w:pPr>
              <w:pStyle w:val="Tabletextleftaligned"/>
            </w:pPr>
            <w:r w:rsidRPr="00EB74A8">
              <w:t>2.6</w:t>
            </w:r>
          </w:p>
        </w:tc>
        <w:tc>
          <w:tcPr>
            <w:tcW w:w="6095" w:type="dxa"/>
          </w:tcPr>
          <w:p w14:paraId="447CE0EE" w14:textId="0A12BA48" w:rsidR="00165582" w:rsidRPr="00EB74A8" w:rsidRDefault="00944944" w:rsidP="00060775">
            <w:pPr>
              <w:pStyle w:val="Tabletextleftaligned"/>
            </w:pPr>
            <w:r w:rsidRPr="00EB74A8">
              <w:t>Men, notified with infectious syphilis, reporting sexual exposure with men and women (%)</w:t>
            </w:r>
          </w:p>
        </w:tc>
        <w:tc>
          <w:tcPr>
            <w:tcW w:w="2410" w:type="dxa"/>
          </w:tcPr>
          <w:p w14:paraId="05CDEA99" w14:textId="04761B2E" w:rsidR="00165582" w:rsidRPr="00EB74A8" w:rsidRDefault="007F3972" w:rsidP="00492515">
            <w:pPr>
              <w:spacing w:before="60" w:after="60" w:line="240" w:lineRule="auto"/>
              <w:jc w:val="center"/>
            </w:pPr>
            <w:r w:rsidRPr="00EB74A8">
              <w:t>8%</w:t>
            </w:r>
            <w:r w:rsidR="0014776C" w:rsidRPr="00EB74A8">
              <w:t xml:space="preserve"> </w:t>
            </w:r>
            <w:r w:rsidR="0014776C" w:rsidRPr="00EB74A8">
              <w:rPr>
                <w:rStyle w:val="uparrowredChar"/>
                <w:rFonts w:eastAsiaTheme="minorHAnsi"/>
                <w:sz w:val="22"/>
              </w:rPr>
              <w:t>↑↑</w:t>
            </w:r>
          </w:p>
        </w:tc>
        <w:tc>
          <w:tcPr>
            <w:tcW w:w="2410" w:type="dxa"/>
          </w:tcPr>
          <w:p w14:paraId="47ADA4C8" w14:textId="0D318FB7" w:rsidR="00165582" w:rsidRPr="00EB74A8" w:rsidRDefault="007F3972" w:rsidP="00492515">
            <w:pPr>
              <w:spacing w:before="60" w:after="60" w:line="240" w:lineRule="auto"/>
              <w:jc w:val="center"/>
            </w:pPr>
            <w:r w:rsidRPr="00EB74A8">
              <w:t>6%</w:t>
            </w:r>
          </w:p>
        </w:tc>
        <w:tc>
          <w:tcPr>
            <w:tcW w:w="2254" w:type="dxa"/>
          </w:tcPr>
          <w:p w14:paraId="6B976525" w14:textId="63806DBD" w:rsidR="00165582" w:rsidRPr="00EB74A8" w:rsidRDefault="0014776C" w:rsidP="00492515">
            <w:pPr>
              <w:spacing w:before="60" w:after="60" w:line="240" w:lineRule="auto"/>
              <w:jc w:val="center"/>
            </w:pPr>
            <w:r w:rsidRPr="00EB74A8">
              <w:t>6%</w:t>
            </w:r>
          </w:p>
        </w:tc>
      </w:tr>
      <w:tr w:rsidR="00F048DD" w:rsidRPr="00EB74A8" w14:paraId="53684323" w14:textId="77777777" w:rsidTr="005A4F5A">
        <w:trPr>
          <w:trHeight w:val="20"/>
        </w:trPr>
        <w:tc>
          <w:tcPr>
            <w:tcW w:w="14445" w:type="dxa"/>
            <w:gridSpan w:val="5"/>
          </w:tcPr>
          <w:p w14:paraId="20DCD872" w14:textId="701C60D0" w:rsidR="00F048DD" w:rsidRPr="00EB74A8" w:rsidRDefault="00F048DD" w:rsidP="00653325">
            <w:pPr>
              <w:pStyle w:val="Tableheadingcentred"/>
            </w:pPr>
            <w:r w:rsidRPr="00EB74A8">
              <w:t>Goal 3 – Reduce morbidity and mortality associated with syphilis</w:t>
            </w:r>
            <w:r w:rsidR="00846AF8" w:rsidRPr="00EB74A8">
              <w:rPr>
                <w:vertAlign w:val="superscript"/>
              </w:rPr>
              <w:t>3</w:t>
            </w:r>
          </w:p>
        </w:tc>
      </w:tr>
      <w:tr w:rsidR="00F048DD" w:rsidRPr="00EB74A8" w14:paraId="14F43C9D" w14:textId="77777777" w:rsidTr="005A4F5A">
        <w:trPr>
          <w:cnfStyle w:val="000000100000" w:firstRow="0" w:lastRow="0" w:firstColumn="0" w:lastColumn="0" w:oddVBand="0" w:evenVBand="0" w:oddHBand="1" w:evenHBand="0" w:firstRowFirstColumn="0" w:firstRowLastColumn="0" w:lastRowFirstColumn="0" w:lastRowLastColumn="0"/>
          <w:trHeight w:val="20"/>
        </w:trPr>
        <w:tc>
          <w:tcPr>
            <w:tcW w:w="14445" w:type="dxa"/>
            <w:gridSpan w:val="5"/>
          </w:tcPr>
          <w:p w14:paraId="61E4789E" w14:textId="20BF5B89" w:rsidR="00F048DD" w:rsidRPr="00EB74A8" w:rsidRDefault="00F048DD" w:rsidP="00653325">
            <w:pPr>
              <w:pStyle w:val="Tableheadingcentred"/>
            </w:pPr>
            <w:r w:rsidRPr="00EB74A8">
              <w:t>Goal 4 – Eliminate congenital syphilis</w:t>
            </w:r>
            <w:r w:rsidR="00DB1A4D" w:rsidRPr="00EB74A8">
              <w:t xml:space="preserve"> (defined as sustained zero congenital syphilis cases)</w:t>
            </w:r>
            <w:r w:rsidR="00846AF8" w:rsidRPr="00EB74A8">
              <w:rPr>
                <w:vertAlign w:val="superscript"/>
              </w:rPr>
              <w:t>4</w:t>
            </w:r>
          </w:p>
        </w:tc>
      </w:tr>
      <w:tr w:rsidR="00165582" w:rsidRPr="00EB74A8" w14:paraId="15656BFF" w14:textId="77777777" w:rsidTr="000440C0">
        <w:trPr>
          <w:trHeight w:val="20"/>
        </w:trPr>
        <w:tc>
          <w:tcPr>
            <w:tcW w:w="1276" w:type="dxa"/>
          </w:tcPr>
          <w:p w14:paraId="7ADE532B" w14:textId="398EEA35" w:rsidR="00165582" w:rsidRPr="00EB74A8" w:rsidRDefault="009F5F3D" w:rsidP="00060775">
            <w:pPr>
              <w:pStyle w:val="Tabletextleftaligned"/>
            </w:pPr>
            <w:r w:rsidRPr="00EB74A8">
              <w:t>4.4</w:t>
            </w:r>
          </w:p>
        </w:tc>
        <w:tc>
          <w:tcPr>
            <w:tcW w:w="6095" w:type="dxa"/>
          </w:tcPr>
          <w:p w14:paraId="3E299F0B" w14:textId="0F4D404B" w:rsidR="00165582" w:rsidRPr="00EB74A8" w:rsidRDefault="009F5F3D" w:rsidP="00060775">
            <w:pPr>
              <w:pStyle w:val="Tabletextleftaligned"/>
            </w:pPr>
            <w:r w:rsidRPr="00EB74A8">
              <w:t>Women of reproductive age pregnant at infectious syphilis diagnosis – Aboriginal and Torres Strait Islander women</w:t>
            </w:r>
            <w:r w:rsidR="000A1EB7" w:rsidRPr="00EB74A8">
              <w:t xml:space="preserve"> (%)</w:t>
            </w:r>
          </w:p>
        </w:tc>
        <w:tc>
          <w:tcPr>
            <w:tcW w:w="2410" w:type="dxa"/>
          </w:tcPr>
          <w:p w14:paraId="5DC73DBD" w14:textId="25D27A25" w:rsidR="00165582" w:rsidRPr="00EB74A8" w:rsidRDefault="00E52898" w:rsidP="00592D06">
            <w:pPr>
              <w:spacing w:before="60" w:after="60" w:line="240" w:lineRule="auto"/>
              <w:jc w:val="center"/>
            </w:pPr>
            <w:r w:rsidRPr="00EB74A8">
              <w:t>10%</w:t>
            </w:r>
            <w:r w:rsidR="00A2615E" w:rsidRPr="00EB74A8">
              <w:t xml:space="preserve"> </w:t>
            </w:r>
            <w:r w:rsidR="00A2615E" w:rsidRPr="00EB74A8">
              <w:rPr>
                <w:rStyle w:val="downarrowgreenChar"/>
                <w:sz w:val="22"/>
              </w:rPr>
              <w:t>↓↓</w:t>
            </w:r>
          </w:p>
        </w:tc>
        <w:tc>
          <w:tcPr>
            <w:tcW w:w="2410" w:type="dxa"/>
          </w:tcPr>
          <w:p w14:paraId="3F986635" w14:textId="2EA5AE4D" w:rsidR="00165582" w:rsidRPr="00EB74A8" w:rsidRDefault="00E52898" w:rsidP="00592D06">
            <w:pPr>
              <w:spacing w:before="60" w:after="60" w:line="240" w:lineRule="auto"/>
              <w:jc w:val="center"/>
            </w:pPr>
            <w:r w:rsidRPr="00EB74A8">
              <w:t>11%</w:t>
            </w:r>
          </w:p>
        </w:tc>
        <w:tc>
          <w:tcPr>
            <w:tcW w:w="2254" w:type="dxa"/>
          </w:tcPr>
          <w:p w14:paraId="5495E455" w14:textId="4AA15542" w:rsidR="00165582" w:rsidRPr="00EB74A8" w:rsidRDefault="00A2615E" w:rsidP="00592D06">
            <w:pPr>
              <w:spacing w:before="60" w:after="60" w:line="240" w:lineRule="auto"/>
              <w:jc w:val="center"/>
            </w:pPr>
            <w:r w:rsidRPr="00EB74A8">
              <w:t>13%</w:t>
            </w:r>
          </w:p>
        </w:tc>
      </w:tr>
      <w:tr w:rsidR="00165582" w:rsidRPr="00EB74A8" w14:paraId="599FB93A" w14:textId="77777777" w:rsidTr="000440C0">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567F4C80" w14:textId="3B5DC48C" w:rsidR="00165582" w:rsidRPr="00EB74A8" w:rsidRDefault="00165582" w:rsidP="00060775">
            <w:pPr>
              <w:pStyle w:val="Tabletextleftaligned"/>
            </w:pPr>
          </w:p>
        </w:tc>
        <w:tc>
          <w:tcPr>
            <w:tcW w:w="6095" w:type="dxa"/>
          </w:tcPr>
          <w:p w14:paraId="6CA6BD70" w14:textId="323DDE25" w:rsidR="00165582" w:rsidRPr="00EB74A8" w:rsidRDefault="00E80BC8" w:rsidP="00060775">
            <w:pPr>
              <w:pStyle w:val="Tabletextleftaligned"/>
            </w:pPr>
            <w:r w:rsidRPr="00EB74A8">
              <w:t>Women of reproductive age pregnant at infectious syphilis diagnosis – non-Indigenous women</w:t>
            </w:r>
            <w:r w:rsidR="000A1EB7" w:rsidRPr="00EB74A8">
              <w:t xml:space="preserve"> (%)</w:t>
            </w:r>
          </w:p>
        </w:tc>
        <w:tc>
          <w:tcPr>
            <w:tcW w:w="2410" w:type="dxa"/>
          </w:tcPr>
          <w:p w14:paraId="53BE63F4" w14:textId="127A7BC3" w:rsidR="00165582" w:rsidRPr="00EB74A8" w:rsidRDefault="00A2615E" w:rsidP="00592D06">
            <w:pPr>
              <w:spacing w:before="60" w:after="60" w:line="240" w:lineRule="auto"/>
              <w:jc w:val="center"/>
            </w:pPr>
            <w:r w:rsidRPr="00EB74A8">
              <w:t xml:space="preserve">21% </w:t>
            </w:r>
            <w:r w:rsidRPr="00EB74A8">
              <w:rPr>
                <w:rStyle w:val="uparrowredChar"/>
                <w:rFonts w:eastAsiaTheme="minorHAnsi"/>
                <w:sz w:val="22"/>
              </w:rPr>
              <w:t>↑↑</w:t>
            </w:r>
          </w:p>
        </w:tc>
        <w:tc>
          <w:tcPr>
            <w:tcW w:w="2410" w:type="dxa"/>
          </w:tcPr>
          <w:p w14:paraId="4A0D61A1" w14:textId="0E31CE59" w:rsidR="00165582" w:rsidRPr="00EB74A8" w:rsidRDefault="00A2615E" w:rsidP="00592D06">
            <w:pPr>
              <w:spacing w:before="60" w:after="60" w:line="240" w:lineRule="auto"/>
              <w:jc w:val="center"/>
            </w:pPr>
            <w:r w:rsidRPr="00EB74A8">
              <w:t>16%</w:t>
            </w:r>
          </w:p>
        </w:tc>
        <w:tc>
          <w:tcPr>
            <w:tcW w:w="2254" w:type="dxa"/>
          </w:tcPr>
          <w:p w14:paraId="7E673D18" w14:textId="5FC6A058" w:rsidR="00165582" w:rsidRPr="00EB74A8" w:rsidRDefault="00A2615E" w:rsidP="00592D06">
            <w:pPr>
              <w:spacing w:before="60" w:after="60" w:line="240" w:lineRule="auto"/>
              <w:jc w:val="center"/>
            </w:pPr>
            <w:r w:rsidRPr="00EB74A8">
              <w:t>17%</w:t>
            </w:r>
          </w:p>
        </w:tc>
      </w:tr>
    </w:tbl>
    <w:bookmarkEnd w:id="7"/>
    <w:p w14:paraId="21DEF4E4" w14:textId="77777777" w:rsidR="009B7AA1" w:rsidRPr="00EB74A8" w:rsidRDefault="009B7AA1" w:rsidP="005A4F5A">
      <w:pPr>
        <w:keepNext/>
        <w:spacing w:before="60" w:after="60" w:line="240" w:lineRule="auto"/>
        <w:rPr>
          <w:sz w:val="18"/>
          <w:szCs w:val="18"/>
          <w:vertAlign w:val="superscript"/>
        </w:rPr>
      </w:pPr>
      <w:r w:rsidRPr="00EB74A8">
        <w:rPr>
          <w:rStyle w:val="Notetext"/>
        </w:rPr>
        <w:lastRenderedPageBreak/>
        <w:t>Notes:</w:t>
      </w:r>
      <w:r w:rsidRPr="00EB74A8">
        <w:rPr>
          <w:sz w:val="18"/>
          <w:szCs w:val="18"/>
          <w:vertAlign w:val="superscript"/>
        </w:rPr>
        <w:t xml:space="preserve"> </w:t>
      </w:r>
    </w:p>
    <w:p w14:paraId="19415540" w14:textId="2E4DFF75" w:rsidR="00430049" w:rsidRPr="00EB74A8" w:rsidRDefault="00846AF8" w:rsidP="005A4F5A">
      <w:pPr>
        <w:keepNext/>
        <w:spacing w:before="60" w:after="60" w:line="240" w:lineRule="auto"/>
        <w:rPr>
          <w:rStyle w:val="Notetext"/>
        </w:rPr>
      </w:pPr>
      <w:r w:rsidRPr="00EB74A8">
        <w:rPr>
          <w:sz w:val="18"/>
          <w:szCs w:val="18"/>
        </w:rPr>
        <w:t>1</w:t>
      </w:r>
      <w:r w:rsidR="009B7AA1" w:rsidRPr="00EB74A8">
        <w:rPr>
          <w:sz w:val="18"/>
          <w:szCs w:val="18"/>
        </w:rPr>
        <w:t xml:space="preserve"> </w:t>
      </w:r>
      <w:r w:rsidR="009B7AA1" w:rsidRPr="00EB74A8">
        <w:rPr>
          <w:rStyle w:val="Notetext"/>
        </w:rPr>
        <w:t>Indicators 1.1 and 1.4 to 1.10 are report</w:t>
      </w:r>
      <w:r w:rsidR="001F4AD6" w:rsidRPr="00EB74A8">
        <w:rPr>
          <w:rStyle w:val="Notetext"/>
        </w:rPr>
        <w:t>ed</w:t>
      </w:r>
      <w:r w:rsidR="009B7AA1" w:rsidRPr="00EB74A8">
        <w:rPr>
          <w:rStyle w:val="Notetext"/>
        </w:rPr>
        <w:t xml:space="preserve"> annually. </w:t>
      </w:r>
    </w:p>
    <w:p w14:paraId="074B217E" w14:textId="3B163586" w:rsidR="00DB1A4D" w:rsidRPr="00EB74A8" w:rsidRDefault="00846AF8" w:rsidP="005A4F5A">
      <w:pPr>
        <w:keepNext/>
        <w:spacing w:before="60" w:after="60" w:line="240" w:lineRule="auto"/>
        <w:rPr>
          <w:sz w:val="18"/>
          <w:szCs w:val="18"/>
          <w:vertAlign w:val="superscript"/>
        </w:rPr>
      </w:pPr>
      <w:r w:rsidRPr="00EB74A8">
        <w:rPr>
          <w:sz w:val="18"/>
          <w:szCs w:val="18"/>
        </w:rPr>
        <w:t>2</w:t>
      </w:r>
      <w:r w:rsidR="00B34B05" w:rsidRPr="00EB74A8">
        <w:rPr>
          <w:sz w:val="18"/>
          <w:szCs w:val="18"/>
          <w:vertAlign w:val="superscript"/>
        </w:rPr>
        <w:t xml:space="preserve"> </w:t>
      </w:r>
      <w:r w:rsidR="001F4AD6" w:rsidRPr="00EB74A8">
        <w:rPr>
          <w:rStyle w:val="Notetext"/>
        </w:rPr>
        <w:t>Indicators 2.2 and 2.3 are mapped; i</w:t>
      </w:r>
      <w:r w:rsidR="00430049" w:rsidRPr="00EB74A8">
        <w:rPr>
          <w:rStyle w:val="Notetext"/>
        </w:rPr>
        <w:t xml:space="preserve">ndicators </w:t>
      </w:r>
      <w:r w:rsidR="001F4AD6" w:rsidRPr="00EB74A8">
        <w:rPr>
          <w:rStyle w:val="Notetext"/>
        </w:rPr>
        <w:t>2.7 to 2.10 are reported annually.</w:t>
      </w:r>
      <w:r w:rsidR="001F4AD6" w:rsidRPr="00EB74A8">
        <w:rPr>
          <w:sz w:val="18"/>
          <w:szCs w:val="18"/>
          <w:vertAlign w:val="superscript"/>
        </w:rPr>
        <w:t xml:space="preserve"> </w:t>
      </w:r>
    </w:p>
    <w:p w14:paraId="5278020F" w14:textId="2CA002A3" w:rsidR="00E4571C" w:rsidRPr="00EB74A8" w:rsidRDefault="00846AF8" w:rsidP="005A4F5A">
      <w:pPr>
        <w:keepNext/>
        <w:spacing w:before="60" w:after="60" w:line="240" w:lineRule="auto"/>
        <w:rPr>
          <w:rStyle w:val="Notetext"/>
        </w:rPr>
      </w:pPr>
      <w:r w:rsidRPr="00EB74A8">
        <w:rPr>
          <w:sz w:val="18"/>
          <w:szCs w:val="18"/>
        </w:rPr>
        <w:t>3</w:t>
      </w:r>
      <w:r w:rsidR="00B34B05" w:rsidRPr="00EB74A8">
        <w:rPr>
          <w:sz w:val="18"/>
          <w:szCs w:val="18"/>
        </w:rPr>
        <w:t xml:space="preserve"> </w:t>
      </w:r>
      <w:r w:rsidR="00DB1A4D" w:rsidRPr="00EB74A8">
        <w:rPr>
          <w:rStyle w:val="Notetext"/>
        </w:rPr>
        <w:t>Indicators 3.1 to 3.3 are reported annually.</w:t>
      </w:r>
    </w:p>
    <w:p w14:paraId="1AEA1F41" w14:textId="292B28AA" w:rsidR="00874698" w:rsidRPr="00EB74A8" w:rsidRDefault="00846AF8" w:rsidP="00E80BC8">
      <w:pPr>
        <w:spacing w:before="0" w:after="0" w:line="240" w:lineRule="auto"/>
        <w:rPr>
          <w:rStyle w:val="Notetext"/>
        </w:rPr>
      </w:pPr>
      <w:r w:rsidRPr="00EB74A8">
        <w:rPr>
          <w:sz w:val="18"/>
          <w:szCs w:val="18"/>
        </w:rPr>
        <w:t>4</w:t>
      </w:r>
      <w:r w:rsidR="001E24CC" w:rsidRPr="00EB74A8">
        <w:rPr>
          <w:rStyle w:val="Notetext"/>
        </w:rPr>
        <w:t xml:space="preserve"> </w:t>
      </w:r>
      <w:r w:rsidR="00E80BC8" w:rsidRPr="00EB74A8">
        <w:rPr>
          <w:rStyle w:val="Notetext"/>
        </w:rPr>
        <w:t>Summary for indicators 4.1</w:t>
      </w:r>
      <w:r w:rsidR="00183377" w:rsidRPr="00EB74A8">
        <w:rPr>
          <w:rStyle w:val="Notetext"/>
        </w:rPr>
        <w:t xml:space="preserve">, 4.2, 4.3 and 4.5 to 4.8 are in Table 2. </w:t>
      </w:r>
    </w:p>
    <w:p w14:paraId="77A03EF9" w14:textId="162A3026" w:rsidR="00DA6845" w:rsidRPr="00EB74A8" w:rsidRDefault="002E6926" w:rsidP="00FF60EE">
      <w:pPr>
        <w:pStyle w:val="HeadingTABLE"/>
        <w:tabs>
          <w:tab w:val="clear" w:pos="1247"/>
          <w:tab w:val="num" w:pos="1134"/>
        </w:tabs>
        <w:ind w:hanging="1247"/>
      </w:pPr>
      <w:bookmarkStart w:id="8" w:name="_Toc224801192"/>
      <w:r w:rsidRPr="00EB74A8">
        <w:t xml:space="preserve">Summary of </w:t>
      </w:r>
      <w:r w:rsidR="00DA6845" w:rsidRPr="00EB74A8">
        <w:t xml:space="preserve">Goal 4 </w:t>
      </w:r>
      <w:r w:rsidRPr="00EB74A8">
        <w:t>indicator data for the reporting period</w:t>
      </w:r>
      <w:bookmarkEnd w:id="8"/>
    </w:p>
    <w:tbl>
      <w:tblPr>
        <w:tblStyle w:val="TableGrid"/>
        <w:tblW w:w="0" w:type="auto"/>
        <w:tblLayout w:type="fixed"/>
        <w:tblLook w:val="04A0" w:firstRow="1" w:lastRow="0" w:firstColumn="1" w:lastColumn="0" w:noHBand="0" w:noVBand="1"/>
      </w:tblPr>
      <w:tblGrid>
        <w:gridCol w:w="1276"/>
        <w:gridCol w:w="6521"/>
        <w:gridCol w:w="2409"/>
        <w:gridCol w:w="2268"/>
        <w:gridCol w:w="1971"/>
      </w:tblGrid>
      <w:tr w:rsidR="00DA6845" w:rsidRPr="00EB74A8" w14:paraId="42D32928" w14:textId="77777777" w:rsidTr="00EB2C23">
        <w:trPr>
          <w:cnfStyle w:val="100000000000" w:firstRow="1" w:lastRow="0" w:firstColumn="0" w:lastColumn="0" w:oddVBand="0" w:evenVBand="0" w:oddHBand="0" w:evenHBand="0" w:firstRowFirstColumn="0" w:firstRowLastColumn="0" w:lastRowFirstColumn="0" w:lastRowLastColumn="0"/>
          <w:trHeight w:val="20"/>
          <w:tblHeader/>
        </w:trPr>
        <w:tc>
          <w:tcPr>
            <w:tcW w:w="1276" w:type="dxa"/>
            <w:tcBorders>
              <w:top w:val="nil"/>
            </w:tcBorders>
          </w:tcPr>
          <w:p w14:paraId="3C203840" w14:textId="77777777" w:rsidR="00DA6845" w:rsidRPr="00EB74A8" w:rsidRDefault="00DA6845" w:rsidP="00EA3E60">
            <w:pPr>
              <w:pStyle w:val="Tableheadrowboldleftaligned"/>
              <w:jc w:val="center"/>
            </w:pPr>
            <w:r w:rsidRPr="00EB74A8">
              <w:t>Indicator</w:t>
            </w:r>
          </w:p>
        </w:tc>
        <w:tc>
          <w:tcPr>
            <w:tcW w:w="6521" w:type="dxa"/>
            <w:tcBorders>
              <w:top w:val="nil"/>
            </w:tcBorders>
          </w:tcPr>
          <w:p w14:paraId="3B1AC86A" w14:textId="77777777" w:rsidR="00DA6845" w:rsidRPr="00EB74A8" w:rsidRDefault="00DA6845" w:rsidP="00EA3E60">
            <w:pPr>
              <w:pStyle w:val="Tableheadrowboldleftaligned"/>
              <w:jc w:val="center"/>
            </w:pPr>
            <w:r w:rsidRPr="00EB74A8">
              <w:t>Summarised indicator description</w:t>
            </w:r>
          </w:p>
        </w:tc>
        <w:tc>
          <w:tcPr>
            <w:tcW w:w="2409" w:type="dxa"/>
            <w:tcBorders>
              <w:top w:val="nil"/>
            </w:tcBorders>
          </w:tcPr>
          <w:p w14:paraId="0D876A32" w14:textId="2CBBFD6A" w:rsidR="00DA6845" w:rsidRPr="00EB74A8" w:rsidRDefault="00DA6845" w:rsidP="00EA3E60">
            <w:pPr>
              <w:pStyle w:val="Tableheadrowboldleftaligned"/>
              <w:jc w:val="center"/>
            </w:pPr>
            <w:r w:rsidRPr="00EB74A8">
              <w:t xml:space="preserve">Current </w:t>
            </w:r>
            <w:r w:rsidR="002163EE" w:rsidRPr="00EB74A8">
              <w:t>year to date</w:t>
            </w:r>
            <w:r w:rsidRPr="00EB74A8">
              <w:br/>
              <w:t>(</w:t>
            </w:r>
            <w:r w:rsidR="00EA3E60" w:rsidRPr="00EB74A8">
              <w:t xml:space="preserve">Q1 - </w:t>
            </w:r>
            <w:r w:rsidRPr="00EB74A8">
              <w:t>Q</w:t>
            </w:r>
            <w:r w:rsidR="008B482E" w:rsidRPr="00EB74A8">
              <w:t>3</w:t>
            </w:r>
            <w:r w:rsidRPr="00EB74A8">
              <w:t xml:space="preserve"> 202</w:t>
            </w:r>
            <w:r w:rsidR="008B482E" w:rsidRPr="00EB74A8">
              <w:t>5</w:t>
            </w:r>
            <w:r w:rsidRPr="00EB74A8">
              <w:t>)</w:t>
            </w:r>
          </w:p>
        </w:tc>
        <w:tc>
          <w:tcPr>
            <w:tcW w:w="2268" w:type="dxa"/>
            <w:tcBorders>
              <w:top w:val="nil"/>
            </w:tcBorders>
          </w:tcPr>
          <w:p w14:paraId="1F01B1EB" w14:textId="4796E821" w:rsidR="00DA6845" w:rsidRPr="00EB74A8" w:rsidRDefault="002163EE" w:rsidP="00EA3E60">
            <w:pPr>
              <w:pStyle w:val="Tableheadrowboldleftaligned"/>
              <w:jc w:val="center"/>
            </w:pPr>
            <w:r w:rsidRPr="00EB74A8">
              <w:t>Last complete year</w:t>
            </w:r>
            <w:r w:rsidR="00DA6845" w:rsidRPr="00EB74A8">
              <w:br/>
              <w:t>(202</w:t>
            </w:r>
            <w:r w:rsidR="008B482E" w:rsidRPr="00EB74A8">
              <w:t>4</w:t>
            </w:r>
            <w:r w:rsidR="00DA6845" w:rsidRPr="00EB74A8">
              <w:t>)</w:t>
            </w:r>
          </w:p>
        </w:tc>
        <w:tc>
          <w:tcPr>
            <w:tcW w:w="1971" w:type="dxa"/>
            <w:tcBorders>
              <w:top w:val="nil"/>
            </w:tcBorders>
          </w:tcPr>
          <w:p w14:paraId="1F134F3A" w14:textId="6C080720" w:rsidR="00DA6845" w:rsidRPr="00EB74A8" w:rsidRDefault="00DA6845" w:rsidP="00EA3E60">
            <w:pPr>
              <w:pStyle w:val="Tableheadrowboldleftaligned"/>
              <w:jc w:val="center"/>
            </w:pPr>
            <w:r w:rsidRPr="00EB74A8">
              <w:t xml:space="preserve">Previous </w:t>
            </w:r>
            <w:r w:rsidR="002163EE" w:rsidRPr="00EB74A8">
              <w:t>complete year</w:t>
            </w:r>
            <w:r w:rsidR="00EB2C23" w:rsidRPr="00EB74A8">
              <w:t xml:space="preserve"> </w:t>
            </w:r>
            <w:r w:rsidRPr="00EB74A8">
              <w:t>(</w:t>
            </w:r>
            <w:r w:rsidR="002163EE" w:rsidRPr="00EB74A8">
              <w:t>202</w:t>
            </w:r>
            <w:r w:rsidR="008B482E" w:rsidRPr="00EB74A8">
              <w:t>3</w:t>
            </w:r>
            <w:r w:rsidRPr="00EB74A8">
              <w:t>)</w:t>
            </w:r>
          </w:p>
        </w:tc>
      </w:tr>
      <w:tr w:rsidR="00DA6845" w:rsidRPr="00EB74A8" w14:paraId="1AF40D29" w14:textId="77777777" w:rsidTr="008F35D8">
        <w:trPr>
          <w:cnfStyle w:val="000000100000" w:firstRow="0" w:lastRow="0" w:firstColumn="0" w:lastColumn="0" w:oddVBand="0" w:evenVBand="0" w:oddHBand="1" w:evenHBand="0" w:firstRowFirstColumn="0" w:firstRowLastColumn="0" w:lastRowFirstColumn="0" w:lastRowLastColumn="0"/>
          <w:trHeight w:val="20"/>
        </w:trPr>
        <w:tc>
          <w:tcPr>
            <w:tcW w:w="14445" w:type="dxa"/>
            <w:gridSpan w:val="5"/>
          </w:tcPr>
          <w:p w14:paraId="1343612F" w14:textId="1FA9A381" w:rsidR="00DA6845" w:rsidRPr="00EB74A8" w:rsidRDefault="00DA6845" w:rsidP="00343C52">
            <w:pPr>
              <w:pStyle w:val="Tableheadingcentred"/>
            </w:pPr>
            <w:r w:rsidRPr="00EB74A8">
              <w:t>Goal 4 – Eliminate congenital syphilis (defined as sustained zero congenital syphilis cases)</w:t>
            </w:r>
          </w:p>
        </w:tc>
      </w:tr>
      <w:tr w:rsidR="00DA6845" w:rsidRPr="00EB74A8" w14:paraId="119DA60A" w14:textId="77777777" w:rsidTr="00EB2C23">
        <w:trPr>
          <w:trHeight w:val="20"/>
        </w:trPr>
        <w:tc>
          <w:tcPr>
            <w:tcW w:w="1276" w:type="dxa"/>
          </w:tcPr>
          <w:p w14:paraId="0E23B0FD" w14:textId="0A1B805D" w:rsidR="00DA6845" w:rsidRPr="00EB74A8" w:rsidRDefault="00DA6845" w:rsidP="00060775">
            <w:pPr>
              <w:pStyle w:val="Tabletextleftaligned"/>
            </w:pPr>
            <w:r w:rsidRPr="00EB74A8">
              <w:t>4.1 &amp; 4.2</w:t>
            </w:r>
          </w:p>
        </w:tc>
        <w:tc>
          <w:tcPr>
            <w:tcW w:w="6521" w:type="dxa"/>
          </w:tcPr>
          <w:p w14:paraId="0A498FB6" w14:textId="756780E8" w:rsidR="00DA6845" w:rsidRPr="00EB74A8" w:rsidRDefault="009702F2" w:rsidP="00060775">
            <w:pPr>
              <w:pStyle w:val="Tabletextleftaligned"/>
            </w:pPr>
            <w:r w:rsidRPr="00EB74A8">
              <w:t>Congenital syphilis cases (deaths) – Aboriginal and Torres Strait Islander infants</w:t>
            </w:r>
          </w:p>
        </w:tc>
        <w:tc>
          <w:tcPr>
            <w:tcW w:w="2409" w:type="dxa"/>
          </w:tcPr>
          <w:p w14:paraId="431AFCA1" w14:textId="0032F46B" w:rsidR="00DA6845" w:rsidRPr="00EB74A8" w:rsidRDefault="00BB29E3" w:rsidP="00EA3E60">
            <w:pPr>
              <w:spacing w:before="60" w:after="60" w:line="240" w:lineRule="auto"/>
              <w:jc w:val="center"/>
            </w:pPr>
            <w:r w:rsidRPr="00EB74A8">
              <w:t>5 (3)</w:t>
            </w:r>
          </w:p>
        </w:tc>
        <w:tc>
          <w:tcPr>
            <w:tcW w:w="2268" w:type="dxa"/>
          </w:tcPr>
          <w:p w14:paraId="7D5A7936" w14:textId="34EBECF6" w:rsidR="00DA6845" w:rsidRPr="00EB74A8" w:rsidRDefault="00A81BA3" w:rsidP="00EA3E60">
            <w:pPr>
              <w:spacing w:before="60" w:after="60" w:line="240" w:lineRule="auto"/>
              <w:jc w:val="center"/>
            </w:pPr>
            <w:r w:rsidRPr="00EB74A8">
              <w:t>3 (0)</w:t>
            </w:r>
          </w:p>
        </w:tc>
        <w:tc>
          <w:tcPr>
            <w:tcW w:w="1971" w:type="dxa"/>
          </w:tcPr>
          <w:p w14:paraId="12E90CD3" w14:textId="11A53221" w:rsidR="00DA6845" w:rsidRPr="00EB74A8" w:rsidRDefault="00A81BA3" w:rsidP="00EA3E60">
            <w:pPr>
              <w:spacing w:before="60" w:after="60" w:line="240" w:lineRule="auto"/>
              <w:jc w:val="center"/>
            </w:pPr>
            <w:r w:rsidRPr="00EB74A8">
              <w:t>13 (7)</w:t>
            </w:r>
          </w:p>
        </w:tc>
      </w:tr>
      <w:tr w:rsidR="00DA6845" w:rsidRPr="00EB74A8" w14:paraId="2F5A8E82" w14:textId="77777777" w:rsidTr="00EB2C23">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6F939F03" w14:textId="23C8C1A1" w:rsidR="00DA6845" w:rsidRPr="00EB74A8" w:rsidRDefault="00DA6845" w:rsidP="00060775">
            <w:pPr>
              <w:pStyle w:val="Tabletextleftaligned"/>
            </w:pPr>
            <w:r w:rsidRPr="00EB74A8">
              <w:t>4.1 &amp; 4.2</w:t>
            </w:r>
          </w:p>
        </w:tc>
        <w:tc>
          <w:tcPr>
            <w:tcW w:w="6521" w:type="dxa"/>
          </w:tcPr>
          <w:p w14:paraId="0D481CBF" w14:textId="5C5DB405" w:rsidR="00DA6845" w:rsidRPr="00EB74A8" w:rsidRDefault="009702F2" w:rsidP="00060775">
            <w:pPr>
              <w:pStyle w:val="Tabletextleftaligned"/>
            </w:pPr>
            <w:r w:rsidRPr="00EB74A8">
              <w:t>Congenital syphilis cases (deaths) – non-Indigenous infants</w:t>
            </w:r>
          </w:p>
        </w:tc>
        <w:tc>
          <w:tcPr>
            <w:tcW w:w="2409" w:type="dxa"/>
          </w:tcPr>
          <w:p w14:paraId="2283792C" w14:textId="5FC7537B" w:rsidR="00DA6845" w:rsidRPr="00EB74A8" w:rsidRDefault="007B4097" w:rsidP="00EA3E60">
            <w:pPr>
              <w:spacing w:before="60" w:after="60" w:line="240" w:lineRule="auto"/>
              <w:jc w:val="center"/>
            </w:pPr>
            <w:r w:rsidRPr="00EB74A8">
              <w:t>6 (1)</w:t>
            </w:r>
          </w:p>
        </w:tc>
        <w:tc>
          <w:tcPr>
            <w:tcW w:w="2268" w:type="dxa"/>
          </w:tcPr>
          <w:p w14:paraId="28CC3FCA" w14:textId="3B558743" w:rsidR="00DA6845" w:rsidRPr="00EB74A8" w:rsidRDefault="00E20861" w:rsidP="00EA3E60">
            <w:pPr>
              <w:spacing w:before="60" w:after="60" w:line="240" w:lineRule="auto"/>
              <w:jc w:val="center"/>
            </w:pPr>
            <w:r w:rsidRPr="00EB74A8">
              <w:t>6 (3)</w:t>
            </w:r>
          </w:p>
        </w:tc>
        <w:tc>
          <w:tcPr>
            <w:tcW w:w="1971" w:type="dxa"/>
          </w:tcPr>
          <w:p w14:paraId="3EB7E1B4" w14:textId="0C5ACEAC" w:rsidR="00DA6845" w:rsidRPr="00EB74A8" w:rsidRDefault="00C46D71" w:rsidP="00EA3E60">
            <w:pPr>
              <w:spacing w:before="60" w:after="60" w:line="240" w:lineRule="auto"/>
              <w:jc w:val="center"/>
            </w:pPr>
            <w:r w:rsidRPr="00EB74A8">
              <w:t>7 (3)</w:t>
            </w:r>
          </w:p>
        </w:tc>
      </w:tr>
      <w:tr w:rsidR="00DA6845" w:rsidRPr="00EB74A8" w14:paraId="020F36DA" w14:textId="77777777" w:rsidTr="00EB2C23">
        <w:trPr>
          <w:trHeight w:val="20"/>
        </w:trPr>
        <w:tc>
          <w:tcPr>
            <w:tcW w:w="1276" w:type="dxa"/>
          </w:tcPr>
          <w:p w14:paraId="704F7AC6" w14:textId="67B8F5D5" w:rsidR="00DA6845" w:rsidRPr="00EB74A8" w:rsidRDefault="00DA6845" w:rsidP="00060775">
            <w:pPr>
              <w:pStyle w:val="Tabletextleftaligned"/>
            </w:pPr>
            <w:r w:rsidRPr="00EB74A8">
              <w:t>4.1 &amp; 4.2</w:t>
            </w:r>
          </w:p>
        </w:tc>
        <w:tc>
          <w:tcPr>
            <w:tcW w:w="6521" w:type="dxa"/>
          </w:tcPr>
          <w:p w14:paraId="3425DFB6" w14:textId="2249B0C7" w:rsidR="00DA6845" w:rsidRPr="00EB74A8" w:rsidRDefault="009702F2" w:rsidP="00060775">
            <w:pPr>
              <w:pStyle w:val="Tabletextleftaligned"/>
            </w:pPr>
            <w:r w:rsidRPr="00EB74A8">
              <w:t>Congenital syphilis cases (deaths) – unknown Indigenous status</w:t>
            </w:r>
          </w:p>
        </w:tc>
        <w:tc>
          <w:tcPr>
            <w:tcW w:w="2409" w:type="dxa"/>
          </w:tcPr>
          <w:p w14:paraId="2C04249B" w14:textId="20586CB6" w:rsidR="00DA6845" w:rsidRPr="00EB74A8" w:rsidRDefault="00C46D71" w:rsidP="00EA3E60">
            <w:pPr>
              <w:spacing w:before="60" w:after="60" w:line="240" w:lineRule="auto"/>
              <w:jc w:val="center"/>
            </w:pPr>
            <w:r w:rsidRPr="00EB74A8">
              <w:t>0 (0)</w:t>
            </w:r>
          </w:p>
        </w:tc>
        <w:tc>
          <w:tcPr>
            <w:tcW w:w="2268" w:type="dxa"/>
          </w:tcPr>
          <w:p w14:paraId="35FD1FD5" w14:textId="01AAB1E4" w:rsidR="00DA6845" w:rsidRPr="00EB74A8" w:rsidRDefault="00C46D71" w:rsidP="00EA3E60">
            <w:pPr>
              <w:spacing w:before="60" w:after="60" w:line="240" w:lineRule="auto"/>
              <w:jc w:val="center"/>
            </w:pPr>
            <w:r w:rsidRPr="00EB74A8">
              <w:t>1 (1)</w:t>
            </w:r>
          </w:p>
        </w:tc>
        <w:tc>
          <w:tcPr>
            <w:tcW w:w="1971" w:type="dxa"/>
          </w:tcPr>
          <w:p w14:paraId="4ABAF9D5" w14:textId="7084CE94" w:rsidR="00DA6845" w:rsidRPr="00EB74A8" w:rsidRDefault="00753D4E" w:rsidP="00EA3E60">
            <w:pPr>
              <w:spacing w:before="60" w:after="60" w:line="240" w:lineRule="auto"/>
              <w:jc w:val="center"/>
            </w:pPr>
            <w:r w:rsidRPr="00EB74A8">
              <w:t>0 (0)</w:t>
            </w:r>
          </w:p>
        </w:tc>
      </w:tr>
      <w:tr w:rsidR="00DA6845" w:rsidRPr="00EB74A8" w14:paraId="5897CB88" w14:textId="77777777" w:rsidTr="00EB2C23">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46E74E91" w14:textId="306919E3" w:rsidR="00DA6845" w:rsidRPr="00EB74A8" w:rsidRDefault="003804BD" w:rsidP="00060775">
            <w:pPr>
              <w:pStyle w:val="Tabletextleftaligned"/>
            </w:pPr>
            <w:r w:rsidRPr="00EB74A8">
              <w:t>4.3</w:t>
            </w:r>
          </w:p>
        </w:tc>
        <w:tc>
          <w:tcPr>
            <w:tcW w:w="6521" w:type="dxa"/>
          </w:tcPr>
          <w:p w14:paraId="32BDDEC1" w14:textId="5A4C91A5" w:rsidR="00DA6845" w:rsidRPr="00EB74A8" w:rsidRDefault="003804BD" w:rsidP="00060775">
            <w:pPr>
              <w:pStyle w:val="Tabletextleftaligned"/>
            </w:pPr>
            <w:r w:rsidRPr="00EB74A8">
              <w:t>Congenital syphilis notification rate (per 100,000 live births</w:t>
            </w:r>
            <w:r w:rsidR="00927B8B" w:rsidRPr="00EB74A8">
              <w:rPr>
                <w:vertAlign w:val="superscript"/>
              </w:rPr>
              <w:t>1</w:t>
            </w:r>
            <w:r w:rsidRPr="00EB74A8">
              <w:t>) – Aboriginal and Torres Strait Islander infants</w:t>
            </w:r>
          </w:p>
        </w:tc>
        <w:tc>
          <w:tcPr>
            <w:tcW w:w="2409" w:type="dxa"/>
          </w:tcPr>
          <w:p w14:paraId="39174FEE" w14:textId="02002A94" w:rsidR="00DA6845" w:rsidRPr="00EB74A8" w:rsidRDefault="000E1DD4" w:rsidP="00EA3E60">
            <w:pPr>
              <w:jc w:val="center"/>
            </w:pPr>
            <w:r w:rsidRPr="00EB74A8">
              <w:t>20</w:t>
            </w:r>
          </w:p>
        </w:tc>
        <w:tc>
          <w:tcPr>
            <w:tcW w:w="2268" w:type="dxa"/>
          </w:tcPr>
          <w:p w14:paraId="4E6231AE" w14:textId="6EEC117B" w:rsidR="00DA6845" w:rsidRPr="00EB74A8" w:rsidRDefault="00BB0AD1" w:rsidP="00EA3E60">
            <w:pPr>
              <w:spacing w:before="60" w:after="60" w:line="240" w:lineRule="auto"/>
              <w:jc w:val="center"/>
            </w:pPr>
            <w:r w:rsidRPr="00EB74A8">
              <w:t>12</w:t>
            </w:r>
          </w:p>
        </w:tc>
        <w:tc>
          <w:tcPr>
            <w:tcW w:w="1971" w:type="dxa"/>
          </w:tcPr>
          <w:p w14:paraId="2818C059" w14:textId="2F4CDFC8" w:rsidR="00DA6845" w:rsidRPr="00EB74A8" w:rsidRDefault="00BB0AD1" w:rsidP="00EA3E60">
            <w:pPr>
              <w:spacing w:before="60" w:after="60" w:line="240" w:lineRule="auto"/>
              <w:jc w:val="center"/>
            </w:pPr>
            <w:r w:rsidRPr="00EB74A8">
              <w:t>53</w:t>
            </w:r>
          </w:p>
        </w:tc>
      </w:tr>
      <w:tr w:rsidR="00DA6845" w:rsidRPr="00EB74A8" w14:paraId="4E4816B4" w14:textId="77777777" w:rsidTr="00EB2C23">
        <w:trPr>
          <w:trHeight w:val="20"/>
        </w:trPr>
        <w:tc>
          <w:tcPr>
            <w:tcW w:w="1276" w:type="dxa"/>
          </w:tcPr>
          <w:p w14:paraId="70C42889" w14:textId="44DA9759" w:rsidR="00DA6845" w:rsidRPr="00EB74A8" w:rsidRDefault="003804BD" w:rsidP="00060775">
            <w:pPr>
              <w:pStyle w:val="Tabletextleftaligned"/>
            </w:pPr>
            <w:r w:rsidRPr="00EB74A8">
              <w:t>4.3</w:t>
            </w:r>
          </w:p>
        </w:tc>
        <w:tc>
          <w:tcPr>
            <w:tcW w:w="6521" w:type="dxa"/>
          </w:tcPr>
          <w:p w14:paraId="3053F4A0" w14:textId="467C4E91" w:rsidR="00DA6845" w:rsidRPr="00EB74A8" w:rsidRDefault="003804BD" w:rsidP="00060775">
            <w:pPr>
              <w:pStyle w:val="Tabletextleftaligned"/>
            </w:pPr>
            <w:r w:rsidRPr="00EB74A8">
              <w:t>Congenital syphilis notification rate (per 100,000 live births</w:t>
            </w:r>
            <w:r w:rsidR="00927B8B" w:rsidRPr="00EB74A8">
              <w:rPr>
                <w:vertAlign w:val="superscript"/>
              </w:rPr>
              <w:t>1</w:t>
            </w:r>
            <w:r w:rsidRPr="00EB74A8">
              <w:t>) – non-Indigenous infants</w:t>
            </w:r>
          </w:p>
        </w:tc>
        <w:tc>
          <w:tcPr>
            <w:tcW w:w="2409" w:type="dxa"/>
          </w:tcPr>
          <w:p w14:paraId="1FDC647C" w14:textId="3331C875" w:rsidR="00DA6845" w:rsidRPr="00EB74A8" w:rsidRDefault="00BB0AD1" w:rsidP="00EA3E60">
            <w:pPr>
              <w:spacing w:before="60" w:after="60" w:line="240" w:lineRule="auto"/>
              <w:jc w:val="center"/>
            </w:pPr>
            <w:r w:rsidRPr="00EB74A8">
              <w:t>2</w:t>
            </w:r>
          </w:p>
        </w:tc>
        <w:tc>
          <w:tcPr>
            <w:tcW w:w="2268" w:type="dxa"/>
          </w:tcPr>
          <w:p w14:paraId="6507B206" w14:textId="17E41150" w:rsidR="00DA6845" w:rsidRPr="00EB74A8" w:rsidRDefault="00BB0AD1" w:rsidP="00EA3E60">
            <w:pPr>
              <w:spacing w:before="60" w:after="60" w:line="240" w:lineRule="auto"/>
              <w:jc w:val="center"/>
            </w:pPr>
            <w:r w:rsidRPr="00EB74A8">
              <w:t>2</w:t>
            </w:r>
          </w:p>
        </w:tc>
        <w:tc>
          <w:tcPr>
            <w:tcW w:w="1971" w:type="dxa"/>
          </w:tcPr>
          <w:p w14:paraId="73458D3B" w14:textId="2378F79E" w:rsidR="00DA6845" w:rsidRPr="00EB74A8" w:rsidRDefault="00BB0AD1" w:rsidP="00EA3E60">
            <w:pPr>
              <w:spacing w:before="60" w:after="60" w:line="240" w:lineRule="auto"/>
              <w:jc w:val="center"/>
            </w:pPr>
            <w:r w:rsidRPr="00EB74A8">
              <w:t>2</w:t>
            </w:r>
          </w:p>
        </w:tc>
      </w:tr>
      <w:tr w:rsidR="007117D7" w:rsidRPr="00EB74A8" w14:paraId="16ECB267" w14:textId="77777777" w:rsidTr="00EB2C23">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5A4399FF" w14:textId="392DD212" w:rsidR="007117D7" w:rsidRPr="00EB74A8" w:rsidRDefault="007117D7" w:rsidP="00060775">
            <w:pPr>
              <w:pStyle w:val="Tabletextleftaligned"/>
            </w:pPr>
            <w:r w:rsidRPr="00EB74A8">
              <w:t>4.5</w:t>
            </w:r>
          </w:p>
        </w:tc>
        <w:tc>
          <w:tcPr>
            <w:tcW w:w="6521" w:type="dxa"/>
          </w:tcPr>
          <w:p w14:paraId="6E77C086" w14:textId="4C9F8288" w:rsidR="007117D7" w:rsidRPr="00EB74A8" w:rsidRDefault="007477AC" w:rsidP="00060775">
            <w:pPr>
              <w:pStyle w:val="Tabletextleftaligned"/>
            </w:pPr>
            <w:r w:rsidRPr="00EB74A8">
              <w:t>Women giving birth to an infant with congenital syphilis diagnosed late in pregnancy – Aboriginal and Torres Strait Islander women (% all cases)</w:t>
            </w:r>
          </w:p>
        </w:tc>
        <w:tc>
          <w:tcPr>
            <w:tcW w:w="2409" w:type="dxa"/>
          </w:tcPr>
          <w:p w14:paraId="0321BC4F" w14:textId="0568BEC9" w:rsidR="007117D7" w:rsidRPr="00EB74A8" w:rsidRDefault="00C12005" w:rsidP="00EA3E60">
            <w:pPr>
              <w:spacing w:before="60" w:after="60" w:line="240" w:lineRule="auto"/>
              <w:jc w:val="center"/>
            </w:pPr>
            <w:r w:rsidRPr="00EB74A8">
              <w:t>4 (</w:t>
            </w:r>
            <w:r w:rsidR="00080CB9" w:rsidRPr="00EB74A8">
              <w:t>80%</w:t>
            </w:r>
            <w:r w:rsidRPr="00EB74A8">
              <w:t>)</w:t>
            </w:r>
          </w:p>
        </w:tc>
        <w:tc>
          <w:tcPr>
            <w:tcW w:w="2268" w:type="dxa"/>
          </w:tcPr>
          <w:p w14:paraId="4041DE44" w14:textId="26C4AEB1" w:rsidR="007117D7" w:rsidRPr="00EB74A8" w:rsidRDefault="00964C88" w:rsidP="00EA3E60">
            <w:pPr>
              <w:spacing w:before="60" w:after="60" w:line="240" w:lineRule="auto"/>
              <w:jc w:val="center"/>
            </w:pPr>
            <w:r w:rsidRPr="00EB74A8">
              <w:t>2 (67%)</w:t>
            </w:r>
          </w:p>
        </w:tc>
        <w:tc>
          <w:tcPr>
            <w:tcW w:w="1971" w:type="dxa"/>
          </w:tcPr>
          <w:p w14:paraId="39F8C00E" w14:textId="100ECAC2" w:rsidR="007117D7" w:rsidRPr="00EB74A8" w:rsidRDefault="00964C88" w:rsidP="00EA3E60">
            <w:pPr>
              <w:spacing w:before="60" w:after="60" w:line="240" w:lineRule="auto"/>
              <w:jc w:val="center"/>
            </w:pPr>
            <w:r w:rsidRPr="00EB74A8">
              <w:t>11 (85%)</w:t>
            </w:r>
          </w:p>
        </w:tc>
      </w:tr>
      <w:tr w:rsidR="007117D7" w:rsidRPr="00EB74A8" w14:paraId="2F6314EC" w14:textId="77777777" w:rsidTr="00EB2C23">
        <w:trPr>
          <w:trHeight w:val="20"/>
        </w:trPr>
        <w:tc>
          <w:tcPr>
            <w:tcW w:w="1276" w:type="dxa"/>
          </w:tcPr>
          <w:p w14:paraId="3898EF21" w14:textId="3B0064C8" w:rsidR="007117D7" w:rsidRPr="00EB74A8" w:rsidRDefault="007117D7" w:rsidP="00060775">
            <w:pPr>
              <w:pStyle w:val="Tabletextleftaligned"/>
            </w:pPr>
            <w:r w:rsidRPr="00EB74A8">
              <w:t>4.5</w:t>
            </w:r>
          </w:p>
        </w:tc>
        <w:tc>
          <w:tcPr>
            <w:tcW w:w="6521" w:type="dxa"/>
          </w:tcPr>
          <w:p w14:paraId="5E1A9D07" w14:textId="52AD2DFC" w:rsidR="007117D7" w:rsidRPr="00EB74A8" w:rsidRDefault="00FF6BD4" w:rsidP="00060775">
            <w:pPr>
              <w:pStyle w:val="Tabletextleftaligned"/>
            </w:pPr>
            <w:r w:rsidRPr="00EB74A8">
              <w:t>Women giving birth to an infant with congenital syphilis diagnosed late in pregnancy – non-Indigenous women</w:t>
            </w:r>
            <w:r w:rsidR="00FD46F4" w:rsidRPr="00EB74A8">
              <w:t xml:space="preserve"> (% all cases</w:t>
            </w:r>
            <w:r w:rsidR="00812228" w:rsidRPr="00EB74A8">
              <w:t xml:space="preserve"> with complete data</w:t>
            </w:r>
            <w:r w:rsidR="00FD46F4" w:rsidRPr="00EB74A8">
              <w:t>)</w:t>
            </w:r>
          </w:p>
        </w:tc>
        <w:tc>
          <w:tcPr>
            <w:tcW w:w="2409" w:type="dxa"/>
          </w:tcPr>
          <w:p w14:paraId="3E06FFCB" w14:textId="5844EB3F" w:rsidR="007117D7" w:rsidRPr="00EB74A8" w:rsidRDefault="00C66FE9" w:rsidP="00EA3E60">
            <w:pPr>
              <w:spacing w:before="60" w:after="60" w:line="240" w:lineRule="auto"/>
              <w:jc w:val="center"/>
            </w:pPr>
            <w:r w:rsidRPr="00EB74A8">
              <w:t xml:space="preserve">5 </w:t>
            </w:r>
            <w:r w:rsidR="00CA2191" w:rsidRPr="00EB74A8">
              <w:t>(83%)</w:t>
            </w:r>
          </w:p>
        </w:tc>
        <w:tc>
          <w:tcPr>
            <w:tcW w:w="2268" w:type="dxa"/>
          </w:tcPr>
          <w:p w14:paraId="2D8FD7F4" w14:textId="45B21A20" w:rsidR="007117D7" w:rsidRPr="00EB74A8" w:rsidRDefault="00CA2191" w:rsidP="00EA3E60">
            <w:pPr>
              <w:spacing w:before="60" w:after="60" w:line="240" w:lineRule="auto"/>
              <w:jc w:val="center"/>
            </w:pPr>
            <w:r w:rsidRPr="00EB74A8">
              <w:t>6 (100%)</w:t>
            </w:r>
          </w:p>
        </w:tc>
        <w:tc>
          <w:tcPr>
            <w:tcW w:w="1971" w:type="dxa"/>
          </w:tcPr>
          <w:p w14:paraId="025C70E1" w14:textId="62AAE017" w:rsidR="007117D7" w:rsidRPr="00EB74A8" w:rsidRDefault="00D17317" w:rsidP="00EA3E60">
            <w:pPr>
              <w:spacing w:before="60" w:after="60" w:line="240" w:lineRule="auto"/>
              <w:jc w:val="center"/>
            </w:pPr>
            <w:r w:rsidRPr="00EB74A8">
              <w:t>4 (67%)</w:t>
            </w:r>
          </w:p>
        </w:tc>
      </w:tr>
      <w:tr w:rsidR="007117D7" w:rsidRPr="00EB74A8" w14:paraId="1F3F4D10" w14:textId="77777777" w:rsidTr="00EB2C23">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19E3F602" w14:textId="6EB9AE2A" w:rsidR="007117D7" w:rsidRPr="00EB74A8" w:rsidRDefault="00FF6BD4" w:rsidP="00060775">
            <w:pPr>
              <w:pStyle w:val="Tabletextleftaligned"/>
            </w:pPr>
            <w:r w:rsidRPr="00EB74A8">
              <w:t>4.6</w:t>
            </w:r>
          </w:p>
        </w:tc>
        <w:tc>
          <w:tcPr>
            <w:tcW w:w="6521" w:type="dxa"/>
          </w:tcPr>
          <w:p w14:paraId="596159B2" w14:textId="69613148" w:rsidR="007117D7" w:rsidRPr="00EB74A8" w:rsidRDefault="00B9212F" w:rsidP="00060775">
            <w:pPr>
              <w:pStyle w:val="Tabletextleftaligned"/>
            </w:pPr>
            <w:r w:rsidRPr="00EB74A8">
              <w:t xml:space="preserve">Women giving birth to an infant with congenital syphilis who did not receive adequate treatment prior to delivery </w:t>
            </w:r>
            <w:r w:rsidR="00812228" w:rsidRPr="00EB74A8">
              <w:t>(% all cases with complete data</w:t>
            </w:r>
            <w:r w:rsidRPr="00EB74A8">
              <w:t>)</w:t>
            </w:r>
          </w:p>
        </w:tc>
        <w:tc>
          <w:tcPr>
            <w:tcW w:w="2409" w:type="dxa"/>
          </w:tcPr>
          <w:p w14:paraId="06BAEE5A" w14:textId="109BF8E0" w:rsidR="007117D7" w:rsidRPr="00EB74A8" w:rsidRDefault="00EC207F" w:rsidP="00EA3E60">
            <w:pPr>
              <w:spacing w:before="60" w:after="60" w:line="240" w:lineRule="auto"/>
              <w:jc w:val="center"/>
            </w:pPr>
            <w:r w:rsidRPr="00EB74A8">
              <w:t>10 (9</w:t>
            </w:r>
            <w:r w:rsidR="00D021C4" w:rsidRPr="00EB74A8">
              <w:t>1</w:t>
            </w:r>
            <w:r w:rsidRPr="00EB74A8">
              <w:t>%)</w:t>
            </w:r>
          </w:p>
        </w:tc>
        <w:tc>
          <w:tcPr>
            <w:tcW w:w="2268" w:type="dxa"/>
          </w:tcPr>
          <w:p w14:paraId="4C56A50C" w14:textId="576A98BF" w:rsidR="007117D7" w:rsidRPr="00EB74A8" w:rsidRDefault="00D021C4" w:rsidP="00EA3E60">
            <w:pPr>
              <w:spacing w:before="60" w:after="60" w:line="240" w:lineRule="auto"/>
              <w:jc w:val="center"/>
            </w:pPr>
            <w:r w:rsidRPr="00EB74A8">
              <w:t>7 (70%)</w:t>
            </w:r>
          </w:p>
        </w:tc>
        <w:tc>
          <w:tcPr>
            <w:tcW w:w="1971" w:type="dxa"/>
          </w:tcPr>
          <w:p w14:paraId="33069999" w14:textId="6E679178" w:rsidR="007117D7" w:rsidRPr="00EB74A8" w:rsidRDefault="00D021C4" w:rsidP="00EA3E60">
            <w:pPr>
              <w:spacing w:before="60" w:after="60" w:line="240" w:lineRule="auto"/>
              <w:jc w:val="center"/>
            </w:pPr>
            <w:r w:rsidRPr="00EB74A8">
              <w:t>19 (95%)</w:t>
            </w:r>
          </w:p>
        </w:tc>
      </w:tr>
      <w:tr w:rsidR="00E04715" w:rsidRPr="00EB74A8" w14:paraId="035E0B0B" w14:textId="77777777" w:rsidTr="00EB2C23">
        <w:trPr>
          <w:trHeight w:val="20"/>
        </w:trPr>
        <w:tc>
          <w:tcPr>
            <w:tcW w:w="1276" w:type="dxa"/>
          </w:tcPr>
          <w:p w14:paraId="34D3BCCE" w14:textId="6555EEB0" w:rsidR="00E04715" w:rsidRPr="00EB74A8" w:rsidRDefault="00E04715" w:rsidP="00060775">
            <w:pPr>
              <w:pStyle w:val="Tabletextleftaligned"/>
            </w:pPr>
            <w:r w:rsidRPr="00EB74A8">
              <w:lastRenderedPageBreak/>
              <w:t>4.7</w:t>
            </w:r>
          </w:p>
        </w:tc>
        <w:tc>
          <w:tcPr>
            <w:tcW w:w="6521" w:type="dxa"/>
          </w:tcPr>
          <w:p w14:paraId="39FEECEC" w14:textId="079C3D15" w:rsidR="00E04715" w:rsidRPr="00EB74A8" w:rsidRDefault="00E04715" w:rsidP="008F35D8">
            <w:pPr>
              <w:spacing w:before="60" w:after="60" w:line="240" w:lineRule="auto"/>
            </w:pPr>
            <w:r w:rsidRPr="00EB74A8">
              <w:t xml:space="preserve">Total number of women giving birth to an infant with congenital syphilis that did not have a syphilis test/s prior to diagnosis during their pregnancy </w:t>
            </w:r>
            <w:r w:rsidR="00812228" w:rsidRPr="00EB74A8">
              <w:t>(% all cases with complete data</w:t>
            </w:r>
            <w:r w:rsidRPr="00EB74A8">
              <w:t xml:space="preserve">) </w:t>
            </w:r>
            <w:r w:rsidR="000C7466" w:rsidRPr="00EB74A8">
              <w:t xml:space="preserve">– since </w:t>
            </w:r>
            <w:r w:rsidR="000C7466" w:rsidRPr="00EB74A8">
              <w:rPr>
                <w:b/>
                <w:bCs/>
              </w:rPr>
              <w:t>2020 – Q3 2025</w:t>
            </w:r>
          </w:p>
        </w:tc>
        <w:tc>
          <w:tcPr>
            <w:tcW w:w="6648" w:type="dxa"/>
            <w:gridSpan w:val="3"/>
          </w:tcPr>
          <w:p w14:paraId="14E72AB4" w14:textId="21B59CD9" w:rsidR="00E04715" w:rsidRPr="00EB74A8" w:rsidRDefault="000752D5" w:rsidP="00EA3E60">
            <w:pPr>
              <w:spacing w:before="60" w:after="60" w:line="240" w:lineRule="auto"/>
              <w:jc w:val="center"/>
            </w:pPr>
            <w:r w:rsidRPr="00EB74A8">
              <w:t>53 (62%)</w:t>
            </w:r>
          </w:p>
        </w:tc>
      </w:tr>
      <w:tr w:rsidR="00E04715" w:rsidRPr="00EB74A8" w14:paraId="3C41C75E" w14:textId="77777777" w:rsidTr="00EB2C23">
        <w:trPr>
          <w:cnfStyle w:val="000000100000" w:firstRow="0" w:lastRow="0" w:firstColumn="0" w:lastColumn="0" w:oddVBand="0" w:evenVBand="0" w:oddHBand="1" w:evenHBand="0" w:firstRowFirstColumn="0" w:firstRowLastColumn="0" w:lastRowFirstColumn="0" w:lastRowLastColumn="0"/>
          <w:trHeight w:val="20"/>
        </w:trPr>
        <w:tc>
          <w:tcPr>
            <w:tcW w:w="1276" w:type="dxa"/>
          </w:tcPr>
          <w:p w14:paraId="5D51ABB4" w14:textId="214CEBFC" w:rsidR="00E04715" w:rsidRPr="00EB74A8" w:rsidRDefault="00E04715" w:rsidP="00060775">
            <w:pPr>
              <w:pStyle w:val="Tabletextleftaligned"/>
            </w:pPr>
            <w:r w:rsidRPr="00EB74A8">
              <w:t>4.8</w:t>
            </w:r>
          </w:p>
        </w:tc>
        <w:tc>
          <w:tcPr>
            <w:tcW w:w="6521" w:type="dxa"/>
          </w:tcPr>
          <w:p w14:paraId="21351167" w14:textId="1E872573" w:rsidR="00E04715" w:rsidRPr="00EB74A8" w:rsidRDefault="00E04715" w:rsidP="00060775">
            <w:pPr>
              <w:pStyle w:val="Tabletextleftaligned"/>
            </w:pPr>
            <w:r w:rsidRPr="00EB74A8">
              <w:t xml:space="preserve">Total number of women giving birth to an infant with congenital syphilis reinfected during the current pregnancy </w:t>
            </w:r>
            <w:r w:rsidR="00812228" w:rsidRPr="00EB74A8">
              <w:t>(% all cases with complete data</w:t>
            </w:r>
            <w:r w:rsidRPr="00EB74A8">
              <w:t xml:space="preserve">) </w:t>
            </w:r>
            <w:r w:rsidR="000C7466" w:rsidRPr="00EB74A8">
              <w:t xml:space="preserve">- since </w:t>
            </w:r>
            <w:r w:rsidR="000C7466" w:rsidRPr="00EB74A8">
              <w:rPr>
                <w:b/>
                <w:bCs/>
              </w:rPr>
              <w:t>2020 – Q3 2025</w:t>
            </w:r>
          </w:p>
        </w:tc>
        <w:tc>
          <w:tcPr>
            <w:tcW w:w="6648" w:type="dxa"/>
            <w:gridSpan w:val="3"/>
          </w:tcPr>
          <w:p w14:paraId="2017631B" w14:textId="7999278B" w:rsidR="00E04715" w:rsidRPr="00EB74A8" w:rsidRDefault="00AE0AE0" w:rsidP="00E04715">
            <w:pPr>
              <w:spacing w:before="60" w:after="60" w:line="240" w:lineRule="auto"/>
              <w:jc w:val="center"/>
            </w:pPr>
            <w:r w:rsidRPr="00EB74A8">
              <w:t>2 (</w:t>
            </w:r>
            <w:r w:rsidR="00812228" w:rsidRPr="00EB74A8">
              <w:t>2%)</w:t>
            </w:r>
          </w:p>
        </w:tc>
      </w:tr>
    </w:tbl>
    <w:p w14:paraId="5C38D786" w14:textId="77777777" w:rsidR="00DE7606" w:rsidRPr="00EB74A8" w:rsidRDefault="00DE7606" w:rsidP="005E14F2">
      <w:pPr>
        <w:rPr>
          <w:rStyle w:val="Notetext"/>
        </w:rPr>
      </w:pPr>
      <w:r w:rsidRPr="00EB74A8">
        <w:rPr>
          <w:rStyle w:val="Notetext"/>
        </w:rPr>
        <w:t>Note:</w:t>
      </w:r>
    </w:p>
    <w:p w14:paraId="0D407A57" w14:textId="0B20199D" w:rsidR="005050CB" w:rsidRPr="00EB74A8" w:rsidRDefault="00DE7606" w:rsidP="005E14F2">
      <w:pPr>
        <w:rPr>
          <w:rStyle w:val="Notetext"/>
        </w:rPr>
        <w:sectPr w:rsidR="005050CB" w:rsidRPr="00EB74A8" w:rsidSect="005F0659">
          <w:headerReference w:type="first" r:id="rId20"/>
          <w:pgSz w:w="16840" w:h="11900" w:orient="landscape"/>
          <w:pgMar w:top="1134" w:right="1134" w:bottom="1134" w:left="1134" w:header="709" w:footer="527" w:gutter="0"/>
          <w:cols w:space="708"/>
          <w:docGrid w:linePitch="360"/>
        </w:sectPr>
      </w:pPr>
      <w:r w:rsidRPr="00EB74A8">
        <w:rPr>
          <w:rStyle w:val="Notetext"/>
        </w:rPr>
        <w:t xml:space="preserve">1. The denominator (live births) is for the complete year, whereas the numerator (congenital syphilis notifications) represents cases for the reporting period. The rate calculated may be lower than </w:t>
      </w:r>
      <w:r w:rsidR="008E64E7" w:rsidRPr="00EB74A8">
        <w:rPr>
          <w:rStyle w:val="Notetext"/>
        </w:rPr>
        <w:t xml:space="preserve">notification </w:t>
      </w:r>
      <w:r w:rsidRPr="00EB74A8">
        <w:rPr>
          <w:rStyle w:val="Notetext"/>
        </w:rPr>
        <w:t>rates reported for a complete (12 months) year.</w:t>
      </w:r>
    </w:p>
    <w:p w14:paraId="11982CEE" w14:textId="77777777" w:rsidR="00321DB1" w:rsidRPr="00EB74A8" w:rsidRDefault="00321DB1" w:rsidP="00321DB1">
      <w:pPr>
        <w:pStyle w:val="Heading1"/>
      </w:pPr>
      <w:bookmarkStart w:id="9" w:name="_Toc225244418"/>
      <w:r w:rsidRPr="00EB74A8">
        <w:lastRenderedPageBreak/>
        <w:t>Goal 1: Strengthen prevention and testing strategies for syphilis in priority populations and settings, targeting high-burden area</w:t>
      </w:r>
      <w:bookmarkEnd w:id="9"/>
    </w:p>
    <w:p w14:paraId="0A0DB2F5" w14:textId="568EE7E0" w:rsidR="007F37CE" w:rsidRPr="00EB74A8" w:rsidRDefault="007F37CE" w:rsidP="00B376E7">
      <w:pPr>
        <w:pStyle w:val="Style3"/>
      </w:pPr>
      <w:r w:rsidRPr="00EB74A8">
        <w:t>Key facts</w:t>
      </w:r>
    </w:p>
    <w:p w14:paraId="58A09956" w14:textId="7B0D8D51" w:rsidR="004F7BCD" w:rsidRPr="00EB74A8" w:rsidRDefault="004F7BCD" w:rsidP="00404904">
      <w:pPr>
        <w:pStyle w:val="BoxBulletGreen"/>
      </w:pPr>
      <w:r w:rsidRPr="00EB74A8">
        <w:t xml:space="preserve">More than </w:t>
      </w:r>
      <w:r w:rsidR="005542E8" w:rsidRPr="00EB74A8">
        <w:rPr>
          <w:rStyle w:val="Strong"/>
        </w:rPr>
        <w:t>176,856</w:t>
      </w:r>
      <w:r w:rsidRPr="00EB74A8">
        <w:rPr>
          <w:rStyle w:val="Strong"/>
        </w:rPr>
        <w:t xml:space="preserve"> syphilis tests</w:t>
      </w:r>
      <w:r w:rsidRPr="00EB74A8">
        <w:t xml:space="preserve"> were administered through participating Aboriginal Community Controlled Health Services (ACCHS).</w:t>
      </w:r>
    </w:p>
    <w:p w14:paraId="24275EBF" w14:textId="70A8788D" w:rsidR="004F7BCD" w:rsidRPr="00EB74A8" w:rsidRDefault="004F7BCD" w:rsidP="00404904">
      <w:pPr>
        <w:pStyle w:val="BoxBulletGreen"/>
      </w:pPr>
      <w:r w:rsidRPr="00EB74A8">
        <w:t xml:space="preserve">Quarter </w:t>
      </w:r>
      <w:r w:rsidR="005542E8" w:rsidRPr="00EB74A8">
        <w:t>3</w:t>
      </w:r>
      <w:r w:rsidR="00297631" w:rsidRPr="00EB74A8">
        <w:t xml:space="preserve"> 202</w:t>
      </w:r>
      <w:r w:rsidR="005542E8" w:rsidRPr="00EB74A8">
        <w:t>5</w:t>
      </w:r>
      <w:r w:rsidRPr="00EB74A8">
        <w:t xml:space="preserve"> </w:t>
      </w:r>
      <w:r w:rsidRPr="00EB74A8">
        <w:rPr>
          <w:rStyle w:val="Strong"/>
          <w:b w:val="0"/>
          <w:bCs w:val="0"/>
        </w:rPr>
        <w:t>reported</w:t>
      </w:r>
      <w:r w:rsidRPr="00EB74A8">
        <w:rPr>
          <w:rStyle w:val="Strong"/>
        </w:rPr>
        <w:t xml:space="preserve"> testing coverage</w:t>
      </w:r>
      <w:r w:rsidR="005542E8" w:rsidRPr="00EB74A8">
        <w:rPr>
          <w:rStyle w:val="Strong"/>
        </w:rPr>
        <w:t xml:space="preserve"> consistent </w:t>
      </w:r>
      <w:r w:rsidR="00A126D8" w:rsidRPr="00EB74A8">
        <w:rPr>
          <w:rStyle w:val="Strong"/>
        </w:rPr>
        <w:t>with historical trends</w:t>
      </w:r>
      <w:r w:rsidRPr="00EB74A8">
        <w:t xml:space="preserve"> for all age groups (1</w:t>
      </w:r>
      <w:r w:rsidR="005542E8" w:rsidRPr="00EB74A8">
        <w:t>5</w:t>
      </w:r>
      <w:r w:rsidRPr="00EB74A8">
        <w:t>%) and the target age group (2</w:t>
      </w:r>
      <w:r w:rsidR="00A126D8" w:rsidRPr="00EB74A8">
        <w:t>5</w:t>
      </w:r>
      <w:r w:rsidRPr="00EB74A8">
        <w:t>%) at participating ACCHS.</w:t>
      </w:r>
    </w:p>
    <w:p w14:paraId="156A8B73" w14:textId="72463819" w:rsidR="004F7BCD" w:rsidRPr="00EB74A8" w:rsidRDefault="004F7BCD" w:rsidP="00404904">
      <w:pPr>
        <w:pStyle w:val="BoxBulletGreen"/>
      </w:pPr>
      <w:r w:rsidRPr="00EB74A8">
        <w:rPr>
          <w:rStyle w:val="Strong"/>
        </w:rPr>
        <w:t>Serology</w:t>
      </w:r>
      <w:r w:rsidRPr="00EB74A8">
        <w:t xml:space="preserve"> was the </w:t>
      </w:r>
      <w:r w:rsidRPr="00EB74A8">
        <w:rPr>
          <w:rStyle w:val="Strong"/>
        </w:rPr>
        <w:t>most common</w:t>
      </w:r>
      <w:r w:rsidRPr="00EB74A8">
        <w:t xml:space="preserve"> method of syphilis diagnosis (</w:t>
      </w:r>
      <w:r w:rsidR="007172FD" w:rsidRPr="00EB74A8">
        <w:t>90</w:t>
      </w:r>
      <w:r w:rsidRPr="00EB74A8">
        <w:t>%) in participating ACCHS.</w:t>
      </w:r>
    </w:p>
    <w:p w14:paraId="50199377" w14:textId="073A32A9" w:rsidR="00B818BB" w:rsidRPr="00EB74A8" w:rsidRDefault="00B818BB" w:rsidP="00B818BB">
      <w:r w:rsidRPr="00EB74A8">
        <w:t xml:space="preserve">Strengthening Australia’s prevention and testing strategies for syphilis requires ongoing evaluation of current approaches, and reflection on required improvements and missed opportunities among vulnerable people and communities at a greater risk of infection. This includes people who are pregnant and have a syphilis infection, and regions and populations with disproportionately high </w:t>
      </w:r>
      <w:r w:rsidR="008E64E7" w:rsidRPr="00EB74A8">
        <w:t xml:space="preserve">notification </w:t>
      </w:r>
      <w:r w:rsidRPr="00EB74A8">
        <w:t>rates of syphilis – for example Aboriginal and Torres Strait Islander peoples.</w:t>
      </w:r>
    </w:p>
    <w:p w14:paraId="05E22403" w14:textId="11717BA2" w:rsidR="005779C0" w:rsidRPr="00EB74A8" w:rsidRDefault="00520B71" w:rsidP="00B818BB">
      <w:r w:rsidRPr="00EB74A8">
        <w:t>S</w:t>
      </w:r>
      <w:r w:rsidR="00B818BB" w:rsidRPr="00EB74A8">
        <w:t>yphilis testing coverage</w:t>
      </w:r>
      <w:r w:rsidR="00477026" w:rsidRPr="00EB74A8">
        <w:t xml:space="preserve"> data</w:t>
      </w:r>
      <w:r w:rsidR="00B818BB" w:rsidRPr="00EB74A8">
        <w:t xml:space="preserve"> reflects only a proportion of Aboriginal and Torres Strait Islander peoples attending selected ACCHS, funded by the Australian Centre for Disease Control to deliver point of care testing. </w:t>
      </w:r>
    </w:p>
    <w:p w14:paraId="12935A65" w14:textId="06A09CA4" w:rsidR="005779C0" w:rsidRPr="00EB74A8" w:rsidRDefault="00B818BB" w:rsidP="00B818BB">
      <w:r w:rsidRPr="00EB74A8">
        <w:t>These data do not include individuals accessing care outside of participating ACCHS or data from other health services</w:t>
      </w:r>
      <w:r w:rsidR="00B34B05" w:rsidRPr="00EB74A8">
        <w:t xml:space="preserve"> </w:t>
      </w:r>
      <w:r w:rsidRPr="00EB74A8">
        <w:t xml:space="preserve">and therefore may not be representative of the health service participation or testing coverage among the Aboriginal and Torres Strait Islander population more broadly. </w:t>
      </w:r>
    </w:p>
    <w:p w14:paraId="003B244F" w14:textId="107F07BB" w:rsidR="00B818BB" w:rsidRPr="00EB74A8" w:rsidRDefault="00B818BB" w:rsidP="00B818BB">
      <w:r w:rsidRPr="00EB74A8">
        <w:t>Routine collection of other suitable data sources, including data from mainstream services and ACCHS not currently funded through the national syphilis response are currently being explored and will be indicated, as appropriate, in future iterations of the Surveillance Plan.</w:t>
      </w:r>
    </w:p>
    <w:p w14:paraId="6CA416BD" w14:textId="77777777" w:rsidR="001E45A0" w:rsidRPr="00EB74A8" w:rsidRDefault="001E45A0">
      <w:pPr>
        <w:spacing w:before="0" w:after="0" w:line="240" w:lineRule="auto"/>
        <w:rPr>
          <w:rFonts w:eastAsiaTheme="majorEastAsia" w:cstheme="majorBidi"/>
          <w:b/>
          <w:color w:val="033636" w:themeColor="text2"/>
          <w:sz w:val="40"/>
          <w:szCs w:val="26"/>
        </w:rPr>
      </w:pPr>
      <w:r w:rsidRPr="00EB74A8">
        <w:br w:type="page"/>
      </w:r>
    </w:p>
    <w:p w14:paraId="7BFCE284" w14:textId="3BA60F41" w:rsidR="00E90B41" w:rsidRPr="00EB74A8" w:rsidRDefault="00E90B41" w:rsidP="00181353">
      <w:pPr>
        <w:pStyle w:val="Heading2"/>
      </w:pPr>
      <w:bookmarkStart w:id="10" w:name="_Toc225244419"/>
      <w:r w:rsidRPr="00EB74A8">
        <w:lastRenderedPageBreak/>
        <w:t>Indicators 1.2 and 1.3</w:t>
      </w:r>
      <w:r w:rsidR="00181353" w:rsidRPr="00EB74A8">
        <w:t xml:space="preserve"> – </w:t>
      </w:r>
      <w:r w:rsidR="00F70AE3" w:rsidRPr="00EB74A8">
        <w:t>S</w:t>
      </w:r>
      <w:r w:rsidR="00181353" w:rsidRPr="00EB74A8">
        <w:t>yphilis tests</w:t>
      </w:r>
      <w:bookmarkEnd w:id="10"/>
    </w:p>
    <w:p w14:paraId="77ECA9A3" w14:textId="77777777" w:rsidR="00B818BB" w:rsidRPr="00EB74A8" w:rsidRDefault="00B818BB" w:rsidP="00B21AD1">
      <w:pPr>
        <w:pStyle w:val="Boxemerald"/>
      </w:pPr>
      <w:r w:rsidRPr="00EB74A8">
        <w:t>1.2 Cumulative number of syphilis tests delivered through participating ACCHS, by target and total population</w:t>
      </w:r>
    </w:p>
    <w:p w14:paraId="4D34C23C" w14:textId="77777777" w:rsidR="00B818BB" w:rsidRPr="00EB74A8" w:rsidRDefault="00B818BB" w:rsidP="00B21AD1">
      <w:pPr>
        <w:pStyle w:val="Boxemerald"/>
      </w:pPr>
      <w:r w:rsidRPr="00EB74A8">
        <w:t>1.3 Proportion of people attending participating ACCHS receiving a syphilis test within the previous 12 months, by target and total population (syphilis testing coverage)</w:t>
      </w:r>
    </w:p>
    <w:p w14:paraId="7C0C4EEF" w14:textId="6E0C8491" w:rsidR="00B818BB" w:rsidRPr="00EB74A8" w:rsidRDefault="00B818BB" w:rsidP="00715040">
      <w:pPr>
        <w:ind w:right="-478"/>
      </w:pPr>
      <w:r w:rsidRPr="00EB74A8">
        <w:t>In August 2018</w:t>
      </w:r>
      <w:r w:rsidR="005779C0" w:rsidRPr="00EB74A8">
        <w:t>,</w:t>
      </w:r>
      <w:r w:rsidRPr="00EB74A8">
        <w:t xml:space="preserve"> as part of the Enhanced Syphilis Response, the test and treat model commenced at selected ACCHS in Queensland, the Northern Territory and Western Australia.</w:t>
      </w:r>
      <w:r w:rsidR="00722CDB" w:rsidRPr="00EB74A8">
        <w:t xml:space="preserve"> </w:t>
      </w:r>
      <w:r w:rsidR="00722CDB" w:rsidRPr="00EB74A8">
        <w:fldChar w:fldCharType="begin"/>
      </w:r>
      <w:r w:rsidR="00170126" w:rsidRPr="00EB74A8">
        <w:instrText xml:space="preserve"> ADDIN EN.CITE &lt;EndNote&gt;&lt;Cite&gt;&lt;Author&gt;Equity Economics&lt;/Author&gt;&lt;Year&gt;2021&lt;/Year&gt;&lt;RecNum&gt;1&lt;/RecNum&gt;&lt;DisplayText&gt;(1, 2)&lt;/DisplayText&gt;&lt;record&gt;&lt;rec-number&gt;1&lt;/rec-number&gt;&lt;foreign-keys&gt;&lt;key app="EN" db-id="r995eva9qf5r9ae5pxfv9ssp0fvtpxpdwaee" timestamp="1771451325"&gt;1&lt;/key&gt;&lt;/foreign-keys&gt;&lt;ref-type name="Report"&gt;27&lt;/ref-type&gt;&lt;contributors&gt;&lt;authors&gt;&lt;author&gt;Equity Economics,&lt;/author&gt;&lt;/authors&gt;&lt;/contributors&gt;&lt;titles&gt;&lt;title&gt;Blueprint for the Future: Evaluation of NACCHO’s Role under the Enhanced Syphilis Response. A Report prepared for the National Aboriginal Community Controlled Health Organisation (NACCHO).&lt;/title&gt;&lt;/titles&gt;&lt;dates&gt;&lt;year&gt;2021&lt;/year&gt;&lt;/dates&gt;&lt;urls&gt;&lt;related-urls&gt;&lt;url&gt;https://www.naccho.org.au/wp-content/uploads/2024/11/NACCHO-ESR-Report-February-2021.pdf&lt;/url&gt;&lt;/related-urls&gt;&lt;/urls&gt;&lt;/record&gt;&lt;/Cite&gt;&lt;Cite&gt;&lt;Year&gt;2025&lt;/Year&gt;&lt;RecNum&gt;2&lt;/RecNum&gt;&lt;record&gt;&lt;rec-number&gt;2&lt;/rec-number&gt;&lt;foreign-keys&gt;&lt;key app="EN" db-id="r995eva9qf5r9ae5pxfv9ssp0fvtpxpdwaee" timestamp="1771451325"&gt;2&lt;/key&gt;&lt;/foreign-keys&gt;&lt;ref-type name="Report"&gt;27&lt;/ref-type&gt;&lt;contributors&gt;&lt;/contributors&gt;&lt;titles&gt;&lt;title&gt;National Syphilis Surveillance Quarterly Report (Quarter 4: 1 October - 31 December 2024)&lt;/title&gt;&lt;/titles&gt;&lt;dates&gt;&lt;year&gt;2025&lt;/year&gt;&lt;/dates&gt;&lt;urls&gt;&lt;related-urls&gt;&lt;url&gt;https://www.health.gov.au/resources/publications/national-syphilis-surveillance-quarterly-report-october-to-december-2024?language=en&lt;/url&gt;&lt;/related-urls&gt;&lt;/urls&gt;&lt;/record&gt;&lt;/Cite&gt;&lt;/EndNote&gt;</w:instrText>
      </w:r>
      <w:r w:rsidR="00722CDB" w:rsidRPr="00EB74A8">
        <w:fldChar w:fldCharType="separate"/>
      </w:r>
      <w:r w:rsidR="00170126" w:rsidRPr="00EB74A8">
        <w:rPr>
          <w:noProof/>
        </w:rPr>
        <w:t>(1, 2)</w:t>
      </w:r>
      <w:r w:rsidR="00722CDB" w:rsidRPr="00EB74A8">
        <w:fldChar w:fldCharType="end"/>
      </w:r>
      <w:r w:rsidR="00722CDB" w:rsidRPr="00EB74A8">
        <w:t xml:space="preserve"> </w:t>
      </w:r>
      <w:r w:rsidRPr="00EB74A8">
        <w:t xml:space="preserve"> Since then the program has expanded, with a view for further expansion in the future to target high burden areas and communities impacted by syphilis. </w:t>
      </w:r>
    </w:p>
    <w:p w14:paraId="7F3D308A" w14:textId="1653ECF8" w:rsidR="00B818BB" w:rsidRPr="00EB74A8" w:rsidRDefault="00B818BB" w:rsidP="00B818BB">
      <w:r w:rsidRPr="00EB74A8">
        <w:t xml:space="preserve">Between August 2018 </w:t>
      </w:r>
      <w:r w:rsidR="005F2F12" w:rsidRPr="00EB74A8">
        <w:t>and</w:t>
      </w:r>
      <w:r w:rsidRPr="00EB74A8">
        <w:t xml:space="preserve"> the end of Q</w:t>
      </w:r>
      <w:r w:rsidR="00612021" w:rsidRPr="00EB74A8">
        <w:t>3</w:t>
      </w:r>
      <w:r w:rsidRPr="00EB74A8">
        <w:t xml:space="preserve"> 202</w:t>
      </w:r>
      <w:r w:rsidR="00612021" w:rsidRPr="00EB74A8">
        <w:t>5</w:t>
      </w:r>
      <w:r w:rsidRPr="00EB74A8">
        <w:t>, through participating ACCHS (Figure</w:t>
      </w:r>
      <w:r w:rsidR="005F2F12" w:rsidRPr="00EB74A8">
        <w:t> </w:t>
      </w:r>
      <w:r w:rsidRPr="00EB74A8">
        <w:t xml:space="preserve">1) </w:t>
      </w:r>
      <w:r w:rsidR="00276A25" w:rsidRPr="00EB74A8">
        <w:t>176</w:t>
      </w:r>
      <w:r w:rsidR="003022F7" w:rsidRPr="00EB74A8">
        <w:t>,856</w:t>
      </w:r>
      <w:r w:rsidRPr="00EB74A8">
        <w:t xml:space="preserve"> syphilis tests, point-of-care tests (PoCT) and serological tests were delivered at over 20 services. Over this period on average </w:t>
      </w:r>
      <w:r w:rsidR="003022F7" w:rsidRPr="00EB74A8">
        <w:t>6,098</w:t>
      </w:r>
      <w:r w:rsidRPr="00EB74A8">
        <w:t xml:space="preserve"> new tests were performed each quarter.</w:t>
      </w:r>
    </w:p>
    <w:p w14:paraId="697C18F0" w14:textId="6FD7F674" w:rsidR="00B818BB" w:rsidRPr="00EB74A8" w:rsidRDefault="00B818BB" w:rsidP="00B818BB">
      <w:r w:rsidRPr="00EB74A8">
        <w:t>In Q</w:t>
      </w:r>
      <w:r w:rsidR="003022F7" w:rsidRPr="00EB74A8">
        <w:t>3</w:t>
      </w:r>
      <w:r w:rsidRPr="00EB74A8">
        <w:t xml:space="preserve"> 202</w:t>
      </w:r>
      <w:r w:rsidR="003022F7" w:rsidRPr="00EB74A8">
        <w:t>5</w:t>
      </w:r>
      <w:r w:rsidR="00BF16A2" w:rsidRPr="00EB74A8">
        <w:t>,</w:t>
      </w:r>
      <w:r w:rsidRPr="00EB74A8">
        <w:t xml:space="preserve"> testing coverage for clients attending participating services for all age groups and the target age group (15</w:t>
      </w:r>
      <w:r w:rsidR="00BF16A2" w:rsidRPr="00EB74A8">
        <w:t xml:space="preserve"> to</w:t>
      </w:r>
      <w:r w:rsidRPr="00EB74A8">
        <w:t xml:space="preserve"> 34 years) was </w:t>
      </w:r>
      <w:r w:rsidR="00586609" w:rsidRPr="00EB74A8">
        <w:t>15</w:t>
      </w:r>
      <w:r w:rsidRPr="00EB74A8">
        <w:t xml:space="preserve">% and </w:t>
      </w:r>
      <w:r w:rsidR="00586609" w:rsidRPr="00EB74A8">
        <w:t>25</w:t>
      </w:r>
      <w:r w:rsidRPr="00EB74A8">
        <w:t>%</w:t>
      </w:r>
      <w:r w:rsidR="00BF16A2" w:rsidRPr="00EB74A8">
        <w:t>,</w:t>
      </w:r>
      <w:r w:rsidRPr="00EB74A8">
        <w:t xml:space="preserve"> respectively. This was </w:t>
      </w:r>
      <w:r w:rsidR="00586609" w:rsidRPr="00EB74A8">
        <w:t xml:space="preserve">a small decline compared </w:t>
      </w:r>
      <w:r w:rsidR="008B196A" w:rsidRPr="00EB74A8">
        <w:t>to</w:t>
      </w:r>
      <w:r w:rsidRPr="00EB74A8">
        <w:t xml:space="preserve"> Q</w:t>
      </w:r>
      <w:r w:rsidR="008B196A" w:rsidRPr="00EB74A8">
        <w:t>2</w:t>
      </w:r>
      <w:r w:rsidRPr="00EB74A8">
        <w:t xml:space="preserve"> 2025 (Figures</w:t>
      </w:r>
      <w:r w:rsidR="00282C87" w:rsidRPr="00EB74A8">
        <w:t> </w:t>
      </w:r>
      <w:r w:rsidRPr="00EB74A8">
        <w:t>2a</w:t>
      </w:r>
      <w:r w:rsidR="00282C87" w:rsidRPr="00EB74A8">
        <w:t> </w:t>
      </w:r>
      <w:r w:rsidR="00BF16A2" w:rsidRPr="00EB74A8">
        <w:t>and</w:t>
      </w:r>
      <w:r w:rsidR="00282C87" w:rsidRPr="00EB74A8">
        <w:t> 2</w:t>
      </w:r>
      <w:r w:rsidRPr="00EB74A8">
        <w:t>b).</w:t>
      </w:r>
    </w:p>
    <w:p w14:paraId="58D5A44D" w14:textId="49F5C045" w:rsidR="00B818BB" w:rsidRPr="00EB74A8" w:rsidRDefault="00B818BB" w:rsidP="00B818BB">
      <w:r w:rsidRPr="00EB74A8">
        <w:t xml:space="preserve">In </w:t>
      </w:r>
      <w:r w:rsidR="00657F5C" w:rsidRPr="00EB74A8">
        <w:t>Q</w:t>
      </w:r>
      <w:r w:rsidR="008B196A" w:rsidRPr="00EB74A8">
        <w:t>3</w:t>
      </w:r>
      <w:r w:rsidR="00657F5C" w:rsidRPr="00EB74A8">
        <w:t xml:space="preserve"> 202</w:t>
      </w:r>
      <w:r w:rsidR="008B196A" w:rsidRPr="00EB74A8">
        <w:t>5</w:t>
      </w:r>
      <w:r w:rsidR="00657F5C" w:rsidRPr="00EB74A8">
        <w:t xml:space="preserve">, </w:t>
      </w:r>
      <w:r w:rsidRPr="00EB74A8">
        <w:t>diagnosis by serology only was the most common method of detecting syphilis (</w:t>
      </w:r>
      <w:r w:rsidR="008B196A" w:rsidRPr="00EB74A8">
        <w:t>90</w:t>
      </w:r>
      <w:r w:rsidRPr="00EB74A8">
        <w:t xml:space="preserve">%) consistent with historical trends (average </w:t>
      </w:r>
      <w:r w:rsidR="00B23DE6" w:rsidRPr="00EB74A8">
        <w:t>89</w:t>
      </w:r>
      <w:r w:rsidRPr="00EB74A8">
        <w:t>%). A combination of serology and PoCT represented the second highest proportion (</w:t>
      </w:r>
      <w:r w:rsidR="00B23DE6" w:rsidRPr="00EB74A8">
        <w:t>8</w:t>
      </w:r>
      <w:r w:rsidRPr="00EB74A8">
        <w:t xml:space="preserve">%; historical average </w:t>
      </w:r>
      <w:r w:rsidR="00B23DE6" w:rsidRPr="00EB74A8">
        <w:t>8</w:t>
      </w:r>
      <w:r w:rsidRPr="00EB74A8">
        <w:t>%) followed by PoCT only (</w:t>
      </w:r>
      <w:r w:rsidR="009240EE" w:rsidRPr="00EB74A8">
        <w:t>2</w:t>
      </w:r>
      <w:r w:rsidRPr="00EB74A8">
        <w:t xml:space="preserve">%; historical average </w:t>
      </w:r>
      <w:r w:rsidR="009240EE" w:rsidRPr="00EB74A8">
        <w:t>3</w:t>
      </w:r>
      <w:r w:rsidRPr="00EB74A8">
        <w:t>%) (Figure</w:t>
      </w:r>
      <w:r w:rsidR="00282C87" w:rsidRPr="00EB74A8">
        <w:t> </w:t>
      </w:r>
      <w:r w:rsidRPr="00EB74A8">
        <w:t>3).</w:t>
      </w:r>
    </w:p>
    <w:p w14:paraId="170CF425" w14:textId="60EC627A" w:rsidR="00A25884" w:rsidRPr="00EB74A8" w:rsidRDefault="00B818BB" w:rsidP="00A77114">
      <w:pPr>
        <w:ind w:right="-336"/>
      </w:pPr>
      <w:r w:rsidRPr="00EB74A8">
        <w:t>Please note that at the time of writing data were missing for some services</w:t>
      </w:r>
      <w:r w:rsidR="00105936" w:rsidRPr="00EB74A8">
        <w:t>,</w:t>
      </w:r>
      <w:r w:rsidRPr="00EB74A8">
        <w:t xml:space="preserve"> and therefore testing numbers reported are likely to be an underestimate of all tests delivered.</w:t>
      </w:r>
    </w:p>
    <w:p w14:paraId="6B63D8BA" w14:textId="77777777" w:rsidR="00B54EFD" w:rsidRPr="00EB74A8" w:rsidRDefault="00B54EFD">
      <w:pPr>
        <w:spacing w:before="0" w:after="0" w:line="240" w:lineRule="auto"/>
        <w:rPr>
          <w:b/>
          <w:noProof/>
          <w:color w:val="033636" w:themeColor="text2"/>
        </w:rPr>
      </w:pPr>
      <w:bookmarkStart w:id="11" w:name="_Toc218836700"/>
      <w:r w:rsidRPr="00EB74A8">
        <w:br w:type="page"/>
      </w:r>
    </w:p>
    <w:p w14:paraId="30498D4B" w14:textId="5BE49638" w:rsidR="0094320F" w:rsidRPr="00EB74A8" w:rsidRDefault="0094320F" w:rsidP="0094320F">
      <w:pPr>
        <w:pStyle w:val="HeadingFigure"/>
      </w:pPr>
      <w:bookmarkStart w:id="12" w:name="_Toc224801178"/>
      <w:r w:rsidRPr="00EB74A8">
        <w:lastRenderedPageBreak/>
        <w:t>Cumulative number of syphilis tests (PoCT and</w:t>
      </w:r>
      <w:r w:rsidR="00CD7568" w:rsidRPr="00EB74A8">
        <w:t xml:space="preserve"> </w:t>
      </w:r>
      <w:r w:rsidRPr="00EB74A8">
        <w:t xml:space="preserve">or serology) delivered through participating ACCHS to Aboriginal and Torres Strait Islander peoples, by quarter and year, Q3 2018 </w:t>
      </w:r>
      <w:r w:rsidR="00105936" w:rsidRPr="00EB74A8">
        <w:t>to</w:t>
      </w:r>
      <w:r w:rsidRPr="00EB74A8">
        <w:t xml:space="preserve"> Q</w:t>
      </w:r>
      <w:r w:rsidR="00B34B05" w:rsidRPr="00EB74A8">
        <w:t>3</w:t>
      </w:r>
      <w:r w:rsidRPr="00EB74A8">
        <w:t xml:space="preserve"> 202</w:t>
      </w:r>
      <w:bookmarkEnd w:id="11"/>
      <w:r w:rsidR="00B34B05" w:rsidRPr="00EB74A8">
        <w:t>5</w:t>
      </w:r>
      <w:bookmarkEnd w:id="12"/>
    </w:p>
    <w:p w14:paraId="0055FC38" w14:textId="3CEFB546" w:rsidR="00A75813" w:rsidRPr="00EB74A8" w:rsidRDefault="006A29A9" w:rsidP="00B818BB">
      <w:pPr>
        <w:rPr>
          <w:rStyle w:val="Notetext"/>
        </w:rPr>
      </w:pPr>
      <w:r w:rsidRPr="00EB74A8">
        <w:rPr>
          <w:rStyle w:val="Notetext"/>
          <w:noProof/>
        </w:rPr>
        <w:drawing>
          <wp:inline distT="0" distB="0" distL="0" distR="0" wp14:anchorId="723A76D6" wp14:editId="1F6A7B7E">
            <wp:extent cx="6105525" cy="3976864"/>
            <wp:effectExtent l="0" t="0" r="0" b="5080"/>
            <wp:docPr id="2033548477" name="Picture 2" descr=" This figure shows the number of new syphilis tests from 2018 to Q3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8477" name="Picture 2" descr=" This figure shows the number of new syphilis tests from 2018 to Q3 2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817" cy="3984219"/>
                    </a:xfrm>
                    <a:prstGeom prst="rect">
                      <a:avLst/>
                    </a:prstGeom>
                    <a:noFill/>
                  </pic:spPr>
                </pic:pic>
              </a:graphicData>
            </a:graphic>
          </wp:inline>
        </w:drawing>
      </w:r>
    </w:p>
    <w:p w14:paraId="0DFB39D3" w14:textId="77777777" w:rsidR="00715040" w:rsidRPr="00EB74A8" w:rsidRDefault="00023CD8" w:rsidP="00B54EFD">
      <w:pPr>
        <w:spacing w:before="0" w:after="0"/>
        <w:rPr>
          <w:rStyle w:val="Notetext"/>
        </w:rPr>
      </w:pPr>
      <w:r w:rsidRPr="00EB74A8">
        <w:rPr>
          <w:rStyle w:val="Notetext"/>
        </w:rPr>
        <w:t xml:space="preserve">Note: </w:t>
      </w:r>
    </w:p>
    <w:p w14:paraId="0B68D539" w14:textId="30178FAF" w:rsidR="00715040" w:rsidRPr="00EB74A8" w:rsidRDefault="006A29A9" w:rsidP="00B54EFD">
      <w:pPr>
        <w:spacing w:before="0" w:after="0"/>
        <w:rPr>
          <w:rStyle w:val="Notetext"/>
        </w:rPr>
      </w:pPr>
      <w:r w:rsidRPr="00EB74A8">
        <w:rPr>
          <w:rStyle w:val="Notetext"/>
        </w:rPr>
        <w:t xml:space="preserve">* </w:t>
      </w:r>
      <w:r w:rsidR="00023CD8" w:rsidRPr="00EB74A8">
        <w:rPr>
          <w:rStyle w:val="Notetext"/>
        </w:rPr>
        <w:t>Q3 2018 includes data for August and September only.</w:t>
      </w:r>
    </w:p>
    <w:p w14:paraId="12F0030B" w14:textId="77777777" w:rsidR="00715040" w:rsidRPr="00EB74A8" w:rsidRDefault="00715040">
      <w:pPr>
        <w:spacing w:before="0" w:after="0" w:line="240" w:lineRule="auto"/>
        <w:rPr>
          <w:rStyle w:val="Notetext"/>
        </w:rPr>
      </w:pPr>
      <w:r w:rsidRPr="00EB74A8">
        <w:rPr>
          <w:rStyle w:val="Notetext"/>
        </w:rPr>
        <w:br w:type="page"/>
      </w:r>
    </w:p>
    <w:p w14:paraId="4F20D610" w14:textId="24430037" w:rsidR="00023CD8" w:rsidRPr="00EB74A8" w:rsidRDefault="00A970C7" w:rsidP="00B818BB">
      <w:pPr>
        <w:pStyle w:val="HeadingFigure"/>
      </w:pPr>
      <w:bookmarkStart w:id="13" w:name="_Toc218836701"/>
      <w:bookmarkStart w:id="14" w:name="_Toc224801179"/>
      <w:r w:rsidRPr="00EB74A8">
        <w:lastRenderedPageBreak/>
        <w:t>Proportion of Aboriginal and Torres Strait Islander clients attending participating ACCHS who received a syphilis test (PoCT and</w:t>
      </w:r>
      <w:r w:rsidR="001E45A0" w:rsidRPr="00EB74A8">
        <w:t xml:space="preserve"> </w:t>
      </w:r>
      <w:r w:rsidRPr="00EB74A8">
        <w:t xml:space="preserve">or serology), quarter and year, Q3 2018 </w:t>
      </w:r>
      <w:r w:rsidR="00C926C7" w:rsidRPr="00EB74A8">
        <w:t>to</w:t>
      </w:r>
      <w:r w:rsidRPr="00EB74A8">
        <w:t xml:space="preserve"> Q</w:t>
      </w:r>
      <w:r w:rsidR="00553830" w:rsidRPr="00EB74A8">
        <w:t>3</w:t>
      </w:r>
      <w:r w:rsidRPr="00EB74A8">
        <w:t xml:space="preserve"> 202</w:t>
      </w:r>
      <w:r w:rsidR="00553830" w:rsidRPr="00EB74A8">
        <w:t>5</w:t>
      </w:r>
      <w:r w:rsidRPr="00EB74A8">
        <w:t xml:space="preserve"> (a. all age groups</w:t>
      </w:r>
      <w:r w:rsidR="008865BD" w:rsidRPr="00EB74A8">
        <w:t>;</w:t>
      </w:r>
      <w:r w:rsidRPr="00EB74A8">
        <w:t xml:space="preserve"> b. target age group 15</w:t>
      </w:r>
      <w:r w:rsidR="008865BD" w:rsidRPr="00EB74A8">
        <w:t xml:space="preserve"> to </w:t>
      </w:r>
      <w:r w:rsidRPr="00EB74A8">
        <w:t>34 years</w:t>
      </w:r>
      <w:r w:rsidR="00D60C16" w:rsidRPr="00EB74A8">
        <w:rPr>
          <w:vertAlign w:val="superscript"/>
        </w:rPr>
        <w:t>1</w:t>
      </w:r>
      <w:r w:rsidRPr="00EB74A8">
        <w:t>)</w:t>
      </w:r>
      <w:bookmarkEnd w:id="13"/>
      <w:bookmarkEnd w:id="14"/>
    </w:p>
    <w:p w14:paraId="3029D173" w14:textId="2C49D2B1" w:rsidR="004521BD" w:rsidRPr="00EB74A8" w:rsidRDefault="00D45C7F" w:rsidP="004D045B">
      <w:r w:rsidRPr="00EB74A8">
        <w:rPr>
          <w:noProof/>
        </w:rPr>
        <w:drawing>
          <wp:inline distT="0" distB="0" distL="0" distR="0" wp14:anchorId="3D6B582E" wp14:editId="5011BCCE">
            <wp:extent cx="5962650" cy="3883805"/>
            <wp:effectExtent l="0" t="0" r="0" b="2540"/>
            <wp:docPr id="291093150" name="Picture 3" descr="This figure shows the proportion of Aboriginal and Torres Strait Islander clients of all age groups attending participating ACCHS who received a syphilis test from 2018 to Q3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93150" name="Picture 3" descr="This figure shows the proportion of Aboriginal and Torres Strait Islander clients of all age groups attending participating ACCHS who received a syphilis test from 2018 to Q3 20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90284" cy="3901805"/>
                    </a:xfrm>
                    <a:prstGeom prst="rect">
                      <a:avLst/>
                    </a:prstGeom>
                    <a:noFill/>
                  </pic:spPr>
                </pic:pic>
              </a:graphicData>
            </a:graphic>
          </wp:inline>
        </w:drawing>
      </w:r>
      <w:r w:rsidR="004D045B" w:rsidRPr="00EB74A8">
        <w:rPr>
          <w:noProof/>
        </w:rPr>
        <w:drawing>
          <wp:inline distT="0" distB="0" distL="0" distR="0" wp14:anchorId="7CADB698" wp14:editId="13B4AF4E">
            <wp:extent cx="5943600" cy="3871392"/>
            <wp:effectExtent l="0" t="0" r="0" b="0"/>
            <wp:docPr id="1231087723" name="Picture 4" descr="This figure shows the proportion of Aboriginal and Torres Strait Islander clients of aged 15 to 34 years attending participating ACCHS who received a syphilis test from 2018 to Q3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7723" name="Picture 4" descr="This figure shows the proportion of Aboriginal and Torres Strait Islander clients of aged 15 to 34 years attending participating ACCHS who received a syphilis test from 2018 to Q3 20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5987" cy="3892487"/>
                    </a:xfrm>
                    <a:prstGeom prst="rect">
                      <a:avLst/>
                    </a:prstGeom>
                    <a:noFill/>
                  </pic:spPr>
                </pic:pic>
              </a:graphicData>
            </a:graphic>
          </wp:inline>
        </w:drawing>
      </w:r>
    </w:p>
    <w:p w14:paraId="58C51B92" w14:textId="77777777" w:rsidR="00554215" w:rsidRPr="00EB74A8" w:rsidRDefault="004521BD" w:rsidP="00206C3D">
      <w:pPr>
        <w:spacing w:before="0" w:after="0"/>
        <w:rPr>
          <w:rStyle w:val="Notetext"/>
        </w:rPr>
      </w:pPr>
      <w:r w:rsidRPr="00EB74A8">
        <w:rPr>
          <w:rStyle w:val="Notetext"/>
        </w:rPr>
        <w:t>Note</w:t>
      </w:r>
      <w:r w:rsidR="00554215" w:rsidRPr="00EB74A8">
        <w:rPr>
          <w:rStyle w:val="Notetext"/>
        </w:rPr>
        <w:t>s</w:t>
      </w:r>
      <w:r w:rsidRPr="00EB74A8">
        <w:rPr>
          <w:rStyle w:val="Notetext"/>
        </w:rPr>
        <w:t xml:space="preserve">: </w:t>
      </w:r>
    </w:p>
    <w:p w14:paraId="4D2852FA" w14:textId="62EF7031" w:rsidR="004F37D2" w:rsidRPr="00EB74A8" w:rsidRDefault="00D60C16" w:rsidP="00206C3D">
      <w:pPr>
        <w:spacing w:before="0" w:after="0"/>
        <w:rPr>
          <w:rStyle w:val="Notetext"/>
        </w:rPr>
      </w:pPr>
      <w:r w:rsidRPr="00EB74A8">
        <w:rPr>
          <w:rStyle w:val="Notetext"/>
        </w:rPr>
        <w:t>1.</w:t>
      </w:r>
      <w:r w:rsidR="004F37D2" w:rsidRPr="00EB74A8">
        <w:rPr>
          <w:rStyle w:val="Notetext"/>
        </w:rPr>
        <w:t xml:space="preserve"> Excludes testing data for individuals whose age was not reported.</w:t>
      </w:r>
    </w:p>
    <w:p w14:paraId="1F0A1DDF" w14:textId="74F999E6" w:rsidR="004F37D2" w:rsidRPr="00EB74A8" w:rsidRDefault="004F37D2" w:rsidP="00206C3D">
      <w:pPr>
        <w:spacing w:before="0" w:after="0"/>
        <w:rPr>
          <w:rStyle w:val="Notetext"/>
        </w:rPr>
      </w:pPr>
      <w:r w:rsidRPr="00EB74A8">
        <w:rPr>
          <w:rStyle w:val="Notetext"/>
        </w:rPr>
        <w:t>* Q3 2018 includes data for August and September only.</w:t>
      </w:r>
    </w:p>
    <w:p w14:paraId="5A630AD0" w14:textId="35CEABB7" w:rsidR="009752F5" w:rsidRPr="00EB74A8" w:rsidRDefault="0066141A" w:rsidP="0066141A">
      <w:pPr>
        <w:pStyle w:val="HeadingFigure"/>
      </w:pPr>
      <w:bookmarkStart w:id="15" w:name="_Toc218836702"/>
      <w:bookmarkStart w:id="16" w:name="_Toc224801180"/>
      <w:r w:rsidRPr="00EB74A8">
        <w:lastRenderedPageBreak/>
        <w:t xml:space="preserve">Proportion of syphilis tests delivered through participating ACCHS, by test type (PoCT only, serology only and both serology and PoCT), by quarter and year, Q3 2018 </w:t>
      </w:r>
      <w:r w:rsidR="00A65E50" w:rsidRPr="00EB74A8">
        <w:t>to</w:t>
      </w:r>
      <w:r w:rsidRPr="00EB74A8">
        <w:t xml:space="preserve"> Q</w:t>
      </w:r>
      <w:r w:rsidR="00CD704F" w:rsidRPr="00EB74A8">
        <w:t>3</w:t>
      </w:r>
      <w:r w:rsidR="00A65E50" w:rsidRPr="00EB74A8">
        <w:t xml:space="preserve"> 202</w:t>
      </w:r>
      <w:bookmarkEnd w:id="15"/>
      <w:r w:rsidR="00CD704F" w:rsidRPr="00EB74A8">
        <w:t>5</w:t>
      </w:r>
      <w:bookmarkEnd w:id="16"/>
    </w:p>
    <w:p w14:paraId="4769CF68" w14:textId="5F74F974" w:rsidR="00D46C20" w:rsidRPr="00EB74A8" w:rsidRDefault="00982B53" w:rsidP="00BB0093">
      <w:r w:rsidRPr="00EB74A8">
        <w:rPr>
          <w:noProof/>
        </w:rPr>
        <w:drawing>
          <wp:inline distT="0" distB="0" distL="0" distR="0" wp14:anchorId="51C5C362" wp14:editId="0D99B949">
            <wp:extent cx="5991225" cy="3902413"/>
            <wp:effectExtent l="0" t="0" r="0" b="3175"/>
            <wp:docPr id="533436734" name="Picture 5" descr="This figure shows the proportion syphilis test types delivered to Aboriginal and Torres Strait Islander clients  attending participating ACCHS from 2018 to Q3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36734" name="Picture 5" descr="This figure shows the proportion syphilis test types delivered to Aboriginal and Torres Strait Islander clients  attending participating ACCHS from 2018 to Q3 20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10141" cy="3914734"/>
                    </a:xfrm>
                    <a:prstGeom prst="rect">
                      <a:avLst/>
                    </a:prstGeom>
                    <a:noFill/>
                  </pic:spPr>
                </pic:pic>
              </a:graphicData>
            </a:graphic>
          </wp:inline>
        </w:drawing>
      </w:r>
    </w:p>
    <w:p w14:paraId="0B1DD1C1" w14:textId="77777777" w:rsidR="00206C3D" w:rsidRPr="00EB74A8" w:rsidRDefault="00D46C20" w:rsidP="00206C3D">
      <w:pPr>
        <w:spacing w:before="0" w:after="0"/>
        <w:rPr>
          <w:rStyle w:val="Notetext"/>
        </w:rPr>
      </w:pPr>
      <w:r w:rsidRPr="00EB74A8">
        <w:rPr>
          <w:rStyle w:val="Notetext"/>
        </w:rPr>
        <w:t xml:space="preserve">Note: </w:t>
      </w:r>
    </w:p>
    <w:p w14:paraId="4146A697" w14:textId="0A8E2B3F" w:rsidR="00D46C20" w:rsidRPr="00EB74A8" w:rsidRDefault="00982B53" w:rsidP="00206C3D">
      <w:pPr>
        <w:spacing w:before="0" w:after="0"/>
        <w:rPr>
          <w:rStyle w:val="Notetext"/>
        </w:rPr>
      </w:pPr>
      <w:r w:rsidRPr="00EB74A8">
        <w:rPr>
          <w:rStyle w:val="Notetext"/>
        </w:rPr>
        <w:t xml:space="preserve">* </w:t>
      </w:r>
      <w:r w:rsidR="00D46C20" w:rsidRPr="00EB74A8">
        <w:rPr>
          <w:rStyle w:val="Notetext"/>
        </w:rPr>
        <w:t>Q3 2018 includes data for August and September only.</w:t>
      </w:r>
    </w:p>
    <w:p w14:paraId="189A54EE" w14:textId="77777777" w:rsidR="008F6272" w:rsidRPr="00EB74A8" w:rsidRDefault="008F6272" w:rsidP="008F6272">
      <w:pPr>
        <w:pStyle w:val="Heading1"/>
      </w:pPr>
      <w:bookmarkStart w:id="17" w:name="_Toc218512926"/>
      <w:bookmarkStart w:id="18" w:name="_Toc225244420"/>
      <w:r w:rsidRPr="00EB74A8">
        <w:lastRenderedPageBreak/>
        <w:t>Goal 2: Reduce ongoing transmission and incidence of syphilis across priority populations</w:t>
      </w:r>
      <w:bookmarkEnd w:id="17"/>
      <w:bookmarkEnd w:id="18"/>
    </w:p>
    <w:p w14:paraId="7DD2B6A7" w14:textId="77777777" w:rsidR="00DC156C" w:rsidRPr="00EB74A8" w:rsidRDefault="00DC156C" w:rsidP="00B376E7">
      <w:pPr>
        <w:pStyle w:val="Style3"/>
      </w:pPr>
      <w:r w:rsidRPr="00EB74A8">
        <w:t>Key facts</w:t>
      </w:r>
    </w:p>
    <w:p w14:paraId="0A41D7A0" w14:textId="53BEEE5C" w:rsidR="00173176" w:rsidRPr="00EB74A8" w:rsidRDefault="00173176" w:rsidP="00173176">
      <w:pPr>
        <w:pStyle w:val="BoxBulletGreen"/>
      </w:pPr>
      <w:r w:rsidRPr="00EB74A8">
        <w:t xml:space="preserve">Between </w:t>
      </w:r>
      <w:r w:rsidRPr="00EB74A8">
        <w:rPr>
          <w:b/>
          <w:bCs/>
        </w:rPr>
        <w:t>January and Septemb</w:t>
      </w:r>
      <w:r w:rsidR="00842DBB" w:rsidRPr="00EB74A8">
        <w:rPr>
          <w:b/>
          <w:bCs/>
        </w:rPr>
        <w:t>er 2025</w:t>
      </w:r>
      <w:r w:rsidR="00842DBB" w:rsidRPr="00EB74A8">
        <w:t xml:space="preserve">, </w:t>
      </w:r>
      <w:r w:rsidR="00842DBB" w:rsidRPr="00EB74A8">
        <w:rPr>
          <w:b/>
          <w:bCs/>
        </w:rPr>
        <w:t>4,699</w:t>
      </w:r>
      <w:r w:rsidR="00842DBB" w:rsidRPr="00EB74A8">
        <w:t xml:space="preserve"> infectious syphilis cases were reported</w:t>
      </w:r>
    </w:p>
    <w:p w14:paraId="43355F60" w14:textId="5EF57978" w:rsidR="00DC156C" w:rsidRPr="00EB74A8" w:rsidRDefault="00DC156C" w:rsidP="0075331C">
      <w:pPr>
        <w:pStyle w:val="BoxTextGreen"/>
      </w:pPr>
      <w:r w:rsidRPr="00EB74A8">
        <w:t xml:space="preserve">In </w:t>
      </w:r>
      <w:r w:rsidR="001C408D" w:rsidRPr="00EB74A8">
        <w:t>Q</w:t>
      </w:r>
      <w:r w:rsidR="00CA628A" w:rsidRPr="00EB74A8">
        <w:t>3</w:t>
      </w:r>
      <w:r w:rsidR="001C408D" w:rsidRPr="00EB74A8">
        <w:t xml:space="preserve"> 202</w:t>
      </w:r>
      <w:r w:rsidR="00CA628A" w:rsidRPr="00EB74A8">
        <w:t>5</w:t>
      </w:r>
      <w:r w:rsidRPr="00EB74A8">
        <w:t>:</w:t>
      </w:r>
    </w:p>
    <w:p w14:paraId="7198B9F1" w14:textId="0862DCD8" w:rsidR="00DC156C" w:rsidRPr="00EB74A8" w:rsidRDefault="00DD6849" w:rsidP="00B21AD1">
      <w:pPr>
        <w:pStyle w:val="BoxBulletGreen"/>
      </w:pPr>
      <w:r w:rsidRPr="00EB74A8">
        <w:rPr>
          <w:b/>
          <w:bCs/>
        </w:rPr>
        <w:t>1,529</w:t>
      </w:r>
      <w:r w:rsidRPr="00EB74A8">
        <w:t xml:space="preserve"> </w:t>
      </w:r>
      <w:r w:rsidR="00DC156C" w:rsidRPr="00EB74A8">
        <w:rPr>
          <w:b/>
          <w:bCs/>
        </w:rPr>
        <w:t>infectious syphilis cases</w:t>
      </w:r>
      <w:r w:rsidR="00DC156C" w:rsidRPr="00EB74A8">
        <w:t xml:space="preserve"> were notified, </w:t>
      </w:r>
      <w:r w:rsidR="006024FC" w:rsidRPr="00EB74A8">
        <w:t xml:space="preserve">decreasing marginally </w:t>
      </w:r>
      <w:r w:rsidR="00DC156C" w:rsidRPr="00EB74A8">
        <w:t xml:space="preserve">compared </w:t>
      </w:r>
      <w:r w:rsidR="006024FC" w:rsidRPr="00EB74A8">
        <w:t xml:space="preserve">to Q2 2025 and the </w:t>
      </w:r>
      <w:proofErr w:type="gramStart"/>
      <w:r w:rsidR="00DC156C" w:rsidRPr="00EB74A8">
        <w:t>12 month</w:t>
      </w:r>
      <w:proofErr w:type="gramEnd"/>
      <w:r w:rsidR="00DC156C" w:rsidRPr="00EB74A8">
        <w:t xml:space="preserve"> quarterly mean </w:t>
      </w:r>
    </w:p>
    <w:p w14:paraId="0B224B1D" w14:textId="43755B4B" w:rsidR="00DC156C" w:rsidRPr="00EB74A8" w:rsidRDefault="00F76C9A" w:rsidP="00B21AD1">
      <w:pPr>
        <w:pStyle w:val="BoxBulletGreen"/>
      </w:pPr>
      <w:r w:rsidRPr="00EB74A8">
        <w:rPr>
          <w:b/>
          <w:bCs/>
        </w:rPr>
        <w:t>H</w:t>
      </w:r>
      <w:r w:rsidR="00DC156C" w:rsidRPr="00EB74A8">
        <w:rPr>
          <w:b/>
          <w:bCs/>
        </w:rPr>
        <w:t>ighest notification rates</w:t>
      </w:r>
      <w:r w:rsidR="00DC156C" w:rsidRPr="00EB74A8">
        <w:t xml:space="preserve"> were reported in </w:t>
      </w:r>
      <w:r w:rsidR="00DC156C" w:rsidRPr="00EB74A8">
        <w:rPr>
          <w:b/>
          <w:bCs/>
        </w:rPr>
        <w:t>Aboriginal and Torres Strait Islander people</w:t>
      </w:r>
      <w:r w:rsidR="00A91C81" w:rsidRPr="00EB74A8">
        <w:rPr>
          <w:b/>
          <w:bCs/>
        </w:rPr>
        <w:t>s</w:t>
      </w:r>
      <w:r w:rsidR="00DC156C" w:rsidRPr="00EB74A8">
        <w:rPr>
          <w:b/>
          <w:bCs/>
        </w:rPr>
        <w:t xml:space="preserve"> </w:t>
      </w:r>
      <w:r w:rsidR="004A5DCE" w:rsidRPr="00EB74A8">
        <w:rPr>
          <w:b/>
          <w:bCs/>
        </w:rPr>
        <w:t>aged 15 to 24 years</w:t>
      </w:r>
      <w:r w:rsidR="004A5DCE" w:rsidRPr="00EB74A8">
        <w:t xml:space="preserve"> </w:t>
      </w:r>
      <w:r w:rsidR="00DC156C" w:rsidRPr="00EB74A8">
        <w:t xml:space="preserve">in </w:t>
      </w:r>
      <w:r w:rsidR="00DC156C" w:rsidRPr="00EB74A8">
        <w:rPr>
          <w:b/>
          <w:bCs/>
        </w:rPr>
        <w:t>remote</w:t>
      </w:r>
      <w:r w:rsidR="003246D2" w:rsidRPr="00EB74A8">
        <w:rPr>
          <w:b/>
          <w:bCs/>
        </w:rPr>
        <w:t>/</w:t>
      </w:r>
      <w:r w:rsidR="00DC156C" w:rsidRPr="00EB74A8">
        <w:rPr>
          <w:b/>
          <w:bCs/>
        </w:rPr>
        <w:t>very remote areas</w:t>
      </w:r>
    </w:p>
    <w:p w14:paraId="3DA8550D" w14:textId="4F37BEE1" w:rsidR="00DC156C" w:rsidRPr="00EB74A8" w:rsidRDefault="00DC156C" w:rsidP="0075331C">
      <w:pPr>
        <w:pStyle w:val="BoxTextGreen"/>
      </w:pPr>
      <w:r w:rsidRPr="00EB74A8">
        <w:t xml:space="preserve">Compared </w:t>
      </w:r>
      <w:r w:rsidR="00B21AD1" w:rsidRPr="00EB74A8">
        <w:t>with</w:t>
      </w:r>
      <w:r w:rsidRPr="00EB74A8">
        <w:t xml:space="preserve"> the 12-month quarterly average, notification rates in</w:t>
      </w:r>
      <w:r w:rsidR="00803D48" w:rsidRPr="00EB74A8">
        <w:t xml:space="preserve"> Q</w:t>
      </w:r>
      <w:r w:rsidR="00F71357" w:rsidRPr="00EB74A8">
        <w:t>3</w:t>
      </w:r>
      <w:r w:rsidR="00803D48" w:rsidRPr="00EB74A8">
        <w:t xml:space="preserve"> 202</w:t>
      </w:r>
      <w:r w:rsidR="00F71357" w:rsidRPr="00EB74A8">
        <w:t>5</w:t>
      </w:r>
      <w:r w:rsidRPr="00EB74A8">
        <w:t xml:space="preserve">: </w:t>
      </w:r>
    </w:p>
    <w:p w14:paraId="7DD3B26E" w14:textId="2D2BD129" w:rsidR="00DC156C" w:rsidRPr="00EB74A8" w:rsidRDefault="00F71357" w:rsidP="00B21AD1">
      <w:pPr>
        <w:pStyle w:val="BoxBulletGreen"/>
      </w:pPr>
      <w:r w:rsidRPr="00EB74A8">
        <w:rPr>
          <w:b/>
          <w:bCs/>
        </w:rPr>
        <w:t>Increased</w:t>
      </w:r>
      <w:r w:rsidRPr="00EB74A8">
        <w:t xml:space="preserve"> in </w:t>
      </w:r>
      <w:r w:rsidR="00DC156C" w:rsidRPr="00EB74A8">
        <w:rPr>
          <w:b/>
          <w:bCs/>
        </w:rPr>
        <w:t xml:space="preserve">Aboriginal and Torres Strait Islander males </w:t>
      </w:r>
      <w:r w:rsidR="00803D48" w:rsidRPr="00EB74A8">
        <w:rPr>
          <w:b/>
          <w:bCs/>
        </w:rPr>
        <w:t xml:space="preserve">aged </w:t>
      </w:r>
      <w:r w:rsidR="005F34CE" w:rsidRPr="00EB74A8">
        <w:rPr>
          <w:b/>
          <w:bCs/>
        </w:rPr>
        <w:t>45+</w:t>
      </w:r>
      <w:r w:rsidR="005F34CE" w:rsidRPr="00EB74A8">
        <w:t xml:space="preserve"> years</w:t>
      </w:r>
      <w:r w:rsidR="00DC156C" w:rsidRPr="00EB74A8">
        <w:t xml:space="preserve"> </w:t>
      </w:r>
      <w:r w:rsidR="005F34CE" w:rsidRPr="00EB74A8">
        <w:t xml:space="preserve">in </w:t>
      </w:r>
      <w:r w:rsidR="005F34CE" w:rsidRPr="00EB74A8">
        <w:rPr>
          <w:b/>
          <w:bCs/>
        </w:rPr>
        <w:t>remote/very remote</w:t>
      </w:r>
      <w:r w:rsidR="005F34CE" w:rsidRPr="00EB74A8">
        <w:t xml:space="preserve"> areas and </w:t>
      </w:r>
      <w:r w:rsidR="001C4EAB" w:rsidRPr="00EB74A8">
        <w:rPr>
          <w:b/>
          <w:bCs/>
        </w:rPr>
        <w:t>major cities</w:t>
      </w:r>
      <w:r w:rsidR="001C4EAB" w:rsidRPr="00EB74A8">
        <w:t xml:space="preserve"> of Australia</w:t>
      </w:r>
    </w:p>
    <w:p w14:paraId="2C15F425" w14:textId="08A3B229" w:rsidR="001C4EAB" w:rsidRPr="00EB74A8" w:rsidRDefault="001C4EAB" w:rsidP="00FC5270">
      <w:pPr>
        <w:pStyle w:val="BoxBulletGreen"/>
      </w:pPr>
      <w:r w:rsidRPr="00EB74A8">
        <w:rPr>
          <w:b/>
          <w:bCs/>
        </w:rPr>
        <w:t>I</w:t>
      </w:r>
      <w:r w:rsidR="00803D48" w:rsidRPr="00EB74A8">
        <w:rPr>
          <w:b/>
          <w:bCs/>
        </w:rPr>
        <w:t>ncreased</w:t>
      </w:r>
      <w:r w:rsidR="00803D48" w:rsidRPr="00EB74A8">
        <w:t xml:space="preserve"> in </w:t>
      </w:r>
      <w:r w:rsidR="00DC156C" w:rsidRPr="00EB74A8">
        <w:rPr>
          <w:b/>
          <w:bCs/>
        </w:rPr>
        <w:t>Aboriginal and Torres Strait Islander females</w:t>
      </w:r>
      <w:r w:rsidR="00803D48" w:rsidRPr="00EB74A8">
        <w:rPr>
          <w:b/>
          <w:bCs/>
        </w:rPr>
        <w:t xml:space="preserve"> aged </w:t>
      </w:r>
      <w:proofErr w:type="gramStart"/>
      <w:r w:rsidRPr="00EB74A8">
        <w:rPr>
          <w:b/>
          <w:bCs/>
        </w:rPr>
        <w:t>35-44</w:t>
      </w:r>
      <w:r w:rsidRPr="00EB74A8">
        <w:t xml:space="preserve"> year olds</w:t>
      </w:r>
      <w:proofErr w:type="gramEnd"/>
      <w:r w:rsidRPr="00EB74A8">
        <w:t xml:space="preserve"> in </w:t>
      </w:r>
      <w:r w:rsidRPr="00EB74A8">
        <w:rPr>
          <w:b/>
          <w:bCs/>
        </w:rPr>
        <w:t>remote/very remote</w:t>
      </w:r>
      <w:r w:rsidRPr="00EB74A8">
        <w:t xml:space="preserve"> areas and </w:t>
      </w:r>
      <w:r w:rsidRPr="00EB74A8">
        <w:rPr>
          <w:b/>
          <w:bCs/>
        </w:rPr>
        <w:t>inner/outer</w:t>
      </w:r>
      <w:r w:rsidRPr="00EB74A8">
        <w:t xml:space="preserve"> regional areas</w:t>
      </w:r>
    </w:p>
    <w:p w14:paraId="3027AED6" w14:textId="53C6B05C" w:rsidR="001C4EAB" w:rsidRPr="00EB74A8" w:rsidRDefault="00896694" w:rsidP="00FC5270">
      <w:pPr>
        <w:pStyle w:val="BoxBulletGreen"/>
      </w:pPr>
      <w:r w:rsidRPr="00EB74A8">
        <w:rPr>
          <w:b/>
          <w:bCs/>
        </w:rPr>
        <w:t>D</w:t>
      </w:r>
      <w:r w:rsidR="00803D48" w:rsidRPr="00EB74A8">
        <w:rPr>
          <w:b/>
          <w:bCs/>
        </w:rPr>
        <w:t xml:space="preserve">ecreased </w:t>
      </w:r>
      <w:r w:rsidR="00803D48" w:rsidRPr="00EB74A8">
        <w:t xml:space="preserve">in </w:t>
      </w:r>
      <w:r w:rsidR="00803D48" w:rsidRPr="00EB74A8">
        <w:rPr>
          <w:b/>
          <w:bCs/>
        </w:rPr>
        <w:t>n</w:t>
      </w:r>
      <w:r w:rsidR="00DC156C" w:rsidRPr="00EB74A8">
        <w:rPr>
          <w:b/>
          <w:bCs/>
        </w:rPr>
        <w:t>on-Indigenous males</w:t>
      </w:r>
      <w:r w:rsidR="00DC156C" w:rsidRPr="00EB74A8">
        <w:t xml:space="preserve"> across most age groups and remoteness areas</w:t>
      </w:r>
    </w:p>
    <w:p w14:paraId="367C05E8" w14:textId="2259F4CC" w:rsidR="00DC156C" w:rsidRPr="00EB74A8" w:rsidRDefault="00896694" w:rsidP="00FC5270">
      <w:pPr>
        <w:pStyle w:val="BoxBulletGreen"/>
      </w:pPr>
      <w:r w:rsidRPr="00EB74A8">
        <w:rPr>
          <w:b/>
          <w:bCs/>
        </w:rPr>
        <w:t>Increased</w:t>
      </w:r>
      <w:r w:rsidRPr="00EB74A8">
        <w:t xml:space="preserve"> in </w:t>
      </w:r>
      <w:r w:rsidR="007E378C" w:rsidRPr="00EB74A8">
        <w:rPr>
          <w:b/>
          <w:bCs/>
        </w:rPr>
        <w:t>non-Indigenous females</w:t>
      </w:r>
      <w:r w:rsidR="007D6403" w:rsidRPr="00EB74A8">
        <w:rPr>
          <w:b/>
          <w:bCs/>
        </w:rPr>
        <w:t xml:space="preserve"> aged 45+</w:t>
      </w:r>
      <w:r w:rsidR="007D6403" w:rsidRPr="00EB74A8">
        <w:t xml:space="preserve"> years in </w:t>
      </w:r>
      <w:r w:rsidR="007D6403" w:rsidRPr="00EB74A8">
        <w:rPr>
          <w:b/>
          <w:bCs/>
        </w:rPr>
        <w:t>major cities</w:t>
      </w:r>
      <w:r w:rsidR="007D6403" w:rsidRPr="00EB74A8">
        <w:t xml:space="preserve"> of Australia and </w:t>
      </w:r>
      <w:r w:rsidR="007D6403" w:rsidRPr="00EB74A8">
        <w:rPr>
          <w:b/>
          <w:bCs/>
        </w:rPr>
        <w:t>inner/outer</w:t>
      </w:r>
      <w:r w:rsidR="007D6403" w:rsidRPr="00EB74A8">
        <w:t xml:space="preserve"> regional areas</w:t>
      </w:r>
    </w:p>
    <w:p w14:paraId="1999F14C" w14:textId="02CEE38F" w:rsidR="00EC5D02" w:rsidRPr="00EB74A8" w:rsidRDefault="00581E67" w:rsidP="00795FB7">
      <w:r w:rsidRPr="00EB74A8">
        <w:t xml:space="preserve">Between </w:t>
      </w:r>
      <w:r w:rsidR="000464BB" w:rsidRPr="00EB74A8">
        <w:t>January and September</w:t>
      </w:r>
      <w:r w:rsidRPr="00EB74A8">
        <w:t xml:space="preserve"> 2025</w:t>
      </w:r>
      <w:r w:rsidR="009F24BF" w:rsidRPr="00EB74A8">
        <w:t xml:space="preserve"> (Q1-Q3)</w:t>
      </w:r>
      <w:r w:rsidRPr="00EB74A8">
        <w:t xml:space="preserve">, </w:t>
      </w:r>
      <w:r w:rsidR="00C26588" w:rsidRPr="00EB74A8">
        <w:t>4,699</w:t>
      </w:r>
      <w:r w:rsidRPr="00EB74A8">
        <w:t xml:space="preserve"> cases of infectious syphilis were notified, higher than the same reporting period in 2024 (n=</w:t>
      </w:r>
      <w:r w:rsidR="00715401" w:rsidRPr="00EB74A8">
        <w:t>4,483</w:t>
      </w:r>
      <w:r w:rsidRPr="00EB74A8">
        <w:t>) and</w:t>
      </w:r>
      <w:r w:rsidR="003A74DB" w:rsidRPr="00EB74A8">
        <w:t xml:space="preserve"> similar</w:t>
      </w:r>
      <w:r w:rsidR="002518DE" w:rsidRPr="00EB74A8">
        <w:t xml:space="preserve"> to the</w:t>
      </w:r>
      <w:r w:rsidRPr="00EB74A8">
        <w:t xml:space="preserve"> 5-year average (n=</w:t>
      </w:r>
      <w:r w:rsidR="002518DE" w:rsidRPr="00EB74A8">
        <w:t>4,670</w:t>
      </w:r>
      <w:r w:rsidRPr="00EB74A8">
        <w:t xml:space="preserve">). </w:t>
      </w:r>
    </w:p>
    <w:p w14:paraId="4F7DFCC9" w14:textId="77777777" w:rsidR="0078323F" w:rsidRPr="00EB74A8" w:rsidRDefault="00581E67" w:rsidP="00795FB7">
      <w:r w:rsidRPr="00EB74A8">
        <w:t>In Q</w:t>
      </w:r>
      <w:r w:rsidR="006A4804" w:rsidRPr="00EB74A8">
        <w:t>3</w:t>
      </w:r>
      <w:r w:rsidRPr="00EB74A8">
        <w:t xml:space="preserve"> 2025, 1,5</w:t>
      </w:r>
      <w:r w:rsidR="006A4804" w:rsidRPr="00EB74A8">
        <w:t>29</w:t>
      </w:r>
      <w:r w:rsidRPr="00EB74A8">
        <w:t xml:space="preserve"> infectious syphilis cases were notified</w:t>
      </w:r>
      <w:r w:rsidR="008C3F78" w:rsidRPr="00EB74A8">
        <w:t>,</w:t>
      </w:r>
      <w:r w:rsidRPr="00EB74A8">
        <w:t xml:space="preserve"> </w:t>
      </w:r>
      <w:r w:rsidR="00BD5CEA" w:rsidRPr="00EB74A8">
        <w:t xml:space="preserve">a marginal </w:t>
      </w:r>
      <w:r w:rsidRPr="00EB74A8">
        <w:t>decrease compared to Q</w:t>
      </w:r>
      <w:r w:rsidR="006A4804" w:rsidRPr="00EB74A8">
        <w:t>2</w:t>
      </w:r>
      <w:r w:rsidRPr="00EB74A8">
        <w:t xml:space="preserve"> 2025 (</w:t>
      </w:r>
      <w:r w:rsidR="00BD5CEA" w:rsidRPr="00EB74A8">
        <w:t xml:space="preserve">2%, </w:t>
      </w:r>
      <w:r w:rsidRPr="00EB74A8">
        <w:t>n=1,</w:t>
      </w:r>
      <w:r w:rsidR="00837FF6" w:rsidRPr="00EB74A8">
        <w:t>565</w:t>
      </w:r>
      <w:r w:rsidRPr="00EB74A8">
        <w:t xml:space="preserve">) </w:t>
      </w:r>
      <w:r w:rsidR="00274AEE" w:rsidRPr="00EB74A8">
        <w:t xml:space="preserve">and </w:t>
      </w:r>
      <w:r w:rsidRPr="00EB74A8">
        <w:t>the quarterly mean over the past 12 months (</w:t>
      </w:r>
      <w:r w:rsidR="00BD5CEA" w:rsidRPr="00EB74A8">
        <w:t xml:space="preserve">1%, </w:t>
      </w:r>
      <w:r w:rsidRPr="00EB74A8">
        <w:t>1,5</w:t>
      </w:r>
      <w:r w:rsidR="00274AEE" w:rsidRPr="00EB74A8">
        <w:t>48</w:t>
      </w:r>
      <w:r w:rsidRPr="00EB74A8">
        <w:t>, Q</w:t>
      </w:r>
      <w:r w:rsidR="00795FB7" w:rsidRPr="00EB74A8">
        <w:t>4</w:t>
      </w:r>
      <w:r w:rsidRPr="00EB74A8">
        <w:t xml:space="preserve"> 2024 – Q</w:t>
      </w:r>
      <w:r w:rsidR="00795FB7" w:rsidRPr="00EB74A8">
        <w:t>3</w:t>
      </w:r>
      <w:r w:rsidRPr="00EB74A8">
        <w:t xml:space="preserve"> 2025) (Figure 4). Consistent with historical trends, in Q</w:t>
      </w:r>
      <w:r w:rsidR="003009C5" w:rsidRPr="00EB74A8">
        <w:t>3</w:t>
      </w:r>
      <w:r w:rsidRPr="00EB74A8">
        <w:t xml:space="preserve"> 2025 notifications were predominately reported in males (7</w:t>
      </w:r>
      <w:r w:rsidR="008F1EDA" w:rsidRPr="00EB74A8">
        <w:t>9</w:t>
      </w:r>
      <w:r w:rsidRPr="00EB74A8">
        <w:t>%) and were aged 25-34 years (3</w:t>
      </w:r>
      <w:r w:rsidR="002F6127" w:rsidRPr="00EB74A8">
        <w:t>3</w:t>
      </w:r>
      <w:r w:rsidRPr="00EB74A8">
        <w:t xml:space="preserve">%) (Table 3). </w:t>
      </w:r>
    </w:p>
    <w:p w14:paraId="5A5D7D98" w14:textId="2409D9E9" w:rsidR="00581E67" w:rsidRPr="00EB74A8" w:rsidRDefault="00581E67" w:rsidP="00795FB7">
      <w:r w:rsidRPr="00EB74A8">
        <w:t>While notifications were largely reported among residents of major cities (7</w:t>
      </w:r>
      <w:r w:rsidR="00F632BF" w:rsidRPr="00EB74A8">
        <w:t>4</w:t>
      </w:r>
      <w:r w:rsidRPr="00EB74A8">
        <w:t xml:space="preserve">%), proportions in inner/outer regional areas are continuing to increase due in part to rises in notifications in urban areas in the Northern Territory (Darwin classified as an outer regional area), and areas in north Queensland (Map 2). Proportional increases in remote/very remote areas reflects consistent reporting of cases in these areas, and </w:t>
      </w:r>
      <w:r w:rsidR="00700CE0" w:rsidRPr="00EB74A8">
        <w:t xml:space="preserve">resurgence </w:t>
      </w:r>
      <w:r w:rsidRPr="00EB74A8">
        <w:t xml:space="preserve">in remote/very remote areas in the Northern Territory, </w:t>
      </w:r>
      <w:r w:rsidR="001629AA" w:rsidRPr="00EB74A8">
        <w:t xml:space="preserve">including </w:t>
      </w:r>
      <w:r w:rsidR="00B83C58" w:rsidRPr="00EB74A8">
        <w:t>Top End</w:t>
      </w:r>
      <w:r w:rsidR="001629AA" w:rsidRPr="00EB74A8">
        <w:t>,</w:t>
      </w:r>
      <w:r w:rsidR="00B83C58" w:rsidRPr="00EB74A8">
        <w:t xml:space="preserve"> Big Rivers</w:t>
      </w:r>
      <w:r w:rsidR="0088365C" w:rsidRPr="00EB74A8">
        <w:t xml:space="preserve"> (Katherine)</w:t>
      </w:r>
      <w:r w:rsidR="001629AA" w:rsidRPr="00EB74A8">
        <w:t xml:space="preserve"> and East Arnhem regions</w:t>
      </w:r>
      <w:r w:rsidRPr="00EB74A8">
        <w:t xml:space="preserve"> (Map 1 and 2) </w:t>
      </w:r>
      <w:r w:rsidR="00D307A8" w:rsidRPr="00EB74A8">
        <w:fldChar w:fldCharType="begin"/>
      </w:r>
      <w:r w:rsidR="00901401" w:rsidRPr="00EB74A8">
        <w:instrText xml:space="preserve"> ADDIN EN.CITE &lt;EndNote&gt;&lt;Cite&gt;&lt;Author&gt;NT Health&lt;/Author&gt;&lt;Year&gt;2026&lt;/Year&gt;&lt;RecNum&gt;16&lt;/RecNum&gt;&lt;DisplayText&gt;(3)&lt;/DisplayText&gt;&lt;record&gt;&lt;rec-number&gt;16&lt;/rec-number&gt;&lt;foreign-keys&gt;&lt;key app="EN" db-id="r995eva9qf5r9ae5pxfv9ssp0fvtpxpdwaee" timestamp="1771451708"&gt;16&lt;/key&gt;&lt;/foreign-keys&gt;&lt;ref-type name="Web Page"&gt;12&lt;/ref-type&gt;&lt;contributors&gt;&lt;authors&gt;&lt;author&gt;NT Health,&lt;/author&gt;&lt;/authors&gt;&lt;/contributors&gt;&lt;titles&gt;&lt;title&gt;Public health alert: syphilis - ongoing high transmission&lt;/title&gt;&lt;/titles&gt;&lt;dates&gt;&lt;year&gt;2026&lt;/year&gt;&lt;/dates&gt;&lt;publisher&gt;NT Health Centre for Disease Control&lt;/publisher&gt;&lt;urls&gt;&lt;related-urls&gt;&lt;url&gt;https://health.nt.gov.au/__data/assets/pdf_file/0009/1592199/health-alert-syphilis-update-11.02.2026.pdf&lt;/url&gt;&lt;/related-urls&gt;&lt;/urls&gt;&lt;access-date&gt;11 February 2026&lt;/access-date&gt;&lt;/record&gt;&lt;/Cite&gt;&lt;/EndNote&gt;</w:instrText>
      </w:r>
      <w:r w:rsidR="00D307A8" w:rsidRPr="00EB74A8">
        <w:fldChar w:fldCharType="separate"/>
      </w:r>
      <w:r w:rsidR="00D307A8" w:rsidRPr="00EB74A8">
        <w:rPr>
          <w:noProof/>
        </w:rPr>
        <w:t>(3)</w:t>
      </w:r>
      <w:r w:rsidR="00D307A8" w:rsidRPr="00EB74A8">
        <w:fldChar w:fldCharType="end"/>
      </w:r>
      <w:r w:rsidRPr="00EB74A8">
        <w:t>.</w:t>
      </w:r>
    </w:p>
    <w:p w14:paraId="00794661" w14:textId="77777777" w:rsidR="00581E67" w:rsidRPr="00EB74A8" w:rsidRDefault="00581E67" w:rsidP="0060274F"/>
    <w:p w14:paraId="6753F34B" w14:textId="77777777" w:rsidR="001E45A0" w:rsidRPr="00EB74A8" w:rsidRDefault="001E45A0">
      <w:pPr>
        <w:spacing w:before="0" w:after="0" w:line="240" w:lineRule="auto"/>
      </w:pPr>
      <w:r w:rsidRPr="00EB74A8">
        <w:br w:type="page"/>
      </w:r>
    </w:p>
    <w:p w14:paraId="2C255024" w14:textId="1A351AAE" w:rsidR="00CB785F" w:rsidRPr="00EB74A8" w:rsidRDefault="00DE5C3B" w:rsidP="0061019C">
      <w:pPr>
        <w:pStyle w:val="HeadingFigure"/>
      </w:pPr>
      <w:bookmarkStart w:id="19" w:name="_Toc218836703"/>
      <w:bookmarkStart w:id="20" w:name="_Toc224801181"/>
      <w:r w:rsidRPr="00EB74A8">
        <w:lastRenderedPageBreak/>
        <w:t>Notifications (n</w:t>
      </w:r>
      <w:r w:rsidR="0061019C" w:rsidRPr="00EB74A8">
        <w:t>umber</w:t>
      </w:r>
      <w:r w:rsidRPr="00EB74A8">
        <w:t>) and notification rate (per 100,000)</w:t>
      </w:r>
      <w:r w:rsidR="0057555E" w:rsidRPr="00EB74A8">
        <w:rPr>
          <w:vertAlign w:val="superscript"/>
        </w:rPr>
        <w:t>1</w:t>
      </w:r>
      <w:r w:rsidRPr="00EB74A8">
        <w:t xml:space="preserve"> of infectious syphilis, by Indigenous status, sex, year and quarter, 2020 </w:t>
      </w:r>
      <w:r w:rsidR="0061019C" w:rsidRPr="00EB74A8">
        <w:t>to</w:t>
      </w:r>
      <w:r w:rsidRPr="00EB74A8">
        <w:t xml:space="preserve"> Q</w:t>
      </w:r>
      <w:r w:rsidR="006945FC" w:rsidRPr="00EB74A8">
        <w:t>3</w:t>
      </w:r>
      <w:r w:rsidRPr="00EB74A8">
        <w:t xml:space="preserve"> 202</w:t>
      </w:r>
      <w:bookmarkEnd w:id="19"/>
      <w:r w:rsidR="000A3014" w:rsidRPr="00EB74A8">
        <w:t>5</w:t>
      </w:r>
      <w:bookmarkEnd w:id="20"/>
    </w:p>
    <w:p w14:paraId="38E1B903" w14:textId="568A20F8" w:rsidR="00D321BE" w:rsidRPr="00EB74A8" w:rsidRDefault="00CD0411" w:rsidP="0060274F">
      <w:r w:rsidRPr="00EB74A8">
        <w:rPr>
          <w:noProof/>
        </w:rPr>
        <w:drawing>
          <wp:inline distT="0" distB="0" distL="0" distR="0" wp14:anchorId="5055E8B6" wp14:editId="76DA4923">
            <wp:extent cx="5972175" cy="3890005"/>
            <wp:effectExtent l="0" t="0" r="0" b="0"/>
            <wp:docPr id="951848194" name="Picture 10" descr="This figure shows the number and rate of infectious syphilis for Aboriginal and Torres Strait Islander people and for non-Indigenous people from 2020 to Q3 2025. It shows that, across all years, the highest notification numbers are among non-Indigenous males. But rates are consistently much higher among Aboriginal and Torres Strait Islander people, both male and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194" name="Picture 10" descr="This figure shows the number and rate of infectious syphilis for Aboriginal and Torres Strait Islander people and for non-Indigenous people from 2020 to Q3 2025. It shows that, across all years, the highest notification numbers are among non-Indigenous males. But rates are consistently much higher among Aboriginal and Torres Strait Islander people, both male and femal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5252" cy="3905036"/>
                    </a:xfrm>
                    <a:prstGeom prst="rect">
                      <a:avLst/>
                    </a:prstGeom>
                    <a:noFill/>
                  </pic:spPr>
                </pic:pic>
              </a:graphicData>
            </a:graphic>
          </wp:inline>
        </w:drawing>
      </w:r>
    </w:p>
    <w:p w14:paraId="33AAF63A" w14:textId="77777777" w:rsidR="0057555E" w:rsidRPr="00EB74A8" w:rsidRDefault="0057555E" w:rsidP="00206C3D">
      <w:pPr>
        <w:spacing w:before="0" w:after="0"/>
        <w:rPr>
          <w:rStyle w:val="Notetext"/>
        </w:rPr>
      </w:pPr>
      <w:r w:rsidRPr="00EB74A8">
        <w:rPr>
          <w:rStyle w:val="Notetext"/>
        </w:rPr>
        <w:t xml:space="preserve">Note: </w:t>
      </w:r>
    </w:p>
    <w:p w14:paraId="555E8236" w14:textId="3479DD1A" w:rsidR="00AA78E8" w:rsidRPr="00EB74A8" w:rsidRDefault="0057555E" w:rsidP="00206C3D">
      <w:pPr>
        <w:spacing w:before="0" w:after="0"/>
      </w:pPr>
      <w:r w:rsidRPr="00EB74A8">
        <w:rPr>
          <w:rStyle w:val="Notetext"/>
        </w:rPr>
        <w:t>1. Excludes cases whose sex, age, Indigenous status and/or residential postcode were not reported.</w:t>
      </w:r>
      <w:r w:rsidR="00AA78E8" w:rsidRPr="00EB74A8">
        <w:br w:type="page"/>
      </w:r>
    </w:p>
    <w:p w14:paraId="53304449" w14:textId="1781E970" w:rsidR="00F61525" w:rsidRPr="00EB74A8" w:rsidRDefault="0094155D" w:rsidP="00DB03F6">
      <w:pPr>
        <w:pStyle w:val="HeadingTABLE"/>
        <w:keepNext/>
        <w:tabs>
          <w:tab w:val="clear" w:pos="1247"/>
          <w:tab w:val="num" w:pos="1276"/>
        </w:tabs>
        <w:ind w:hanging="1247"/>
      </w:pPr>
      <w:bookmarkStart w:id="21" w:name="_Toc224801193"/>
      <w:r w:rsidRPr="00EB74A8">
        <w:lastRenderedPageBreak/>
        <w:t xml:space="preserve">Demographic summary of infectious syphilis notifications, 2020 </w:t>
      </w:r>
      <w:r w:rsidR="00EC0CF6" w:rsidRPr="00EB74A8">
        <w:t>to</w:t>
      </w:r>
      <w:r w:rsidRPr="00EB74A8">
        <w:t xml:space="preserve"> Q</w:t>
      </w:r>
      <w:r w:rsidR="00A77114" w:rsidRPr="00EB74A8">
        <w:t>3</w:t>
      </w:r>
      <w:r w:rsidRPr="00EB74A8">
        <w:t xml:space="preserve"> 202</w:t>
      </w:r>
      <w:r w:rsidR="00A77114" w:rsidRPr="00EB74A8">
        <w:t>5</w:t>
      </w:r>
      <w:bookmarkEnd w:id="21"/>
    </w:p>
    <w:tbl>
      <w:tblPr>
        <w:tblStyle w:val="TableGrid"/>
        <w:tblW w:w="8505" w:type="dxa"/>
        <w:tblLayout w:type="fixed"/>
        <w:tblLook w:val="04A0" w:firstRow="1" w:lastRow="0" w:firstColumn="1" w:lastColumn="0" w:noHBand="0" w:noVBand="1"/>
      </w:tblPr>
      <w:tblGrid>
        <w:gridCol w:w="2268"/>
        <w:gridCol w:w="656"/>
        <w:gridCol w:w="797"/>
        <w:gridCol w:w="797"/>
        <w:gridCol w:w="798"/>
        <w:gridCol w:w="797"/>
        <w:gridCol w:w="797"/>
        <w:gridCol w:w="797"/>
        <w:gridCol w:w="798"/>
      </w:tblGrid>
      <w:tr w:rsidR="00DB03F6" w:rsidRPr="00EB74A8" w14:paraId="30F392B3" w14:textId="77777777" w:rsidTr="007B4BE4">
        <w:trPr>
          <w:cnfStyle w:val="100000000000" w:firstRow="1" w:lastRow="0" w:firstColumn="0" w:lastColumn="0" w:oddVBand="0" w:evenVBand="0" w:oddHBand="0" w:evenHBand="0" w:firstRowFirstColumn="0" w:firstRowLastColumn="0" w:lastRowFirstColumn="0" w:lastRowLastColumn="0"/>
          <w:trHeight w:val="20"/>
          <w:tblHeader/>
        </w:trPr>
        <w:tc>
          <w:tcPr>
            <w:tcW w:w="2268" w:type="dxa"/>
            <w:tcBorders>
              <w:top w:val="nil"/>
            </w:tcBorders>
          </w:tcPr>
          <w:p w14:paraId="19E73288" w14:textId="77777777" w:rsidR="00DB03F6" w:rsidRPr="00EB74A8" w:rsidRDefault="00DB03F6" w:rsidP="00891BD6">
            <w:pPr>
              <w:pStyle w:val="Tableheadrowboldleftaligned"/>
            </w:pPr>
            <w:r w:rsidRPr="00EB74A8">
              <w:t>Characteristics</w:t>
            </w:r>
          </w:p>
        </w:tc>
        <w:tc>
          <w:tcPr>
            <w:tcW w:w="656" w:type="dxa"/>
            <w:tcBorders>
              <w:top w:val="nil"/>
            </w:tcBorders>
          </w:tcPr>
          <w:p w14:paraId="558A5C7A" w14:textId="77777777" w:rsidR="00DB03F6" w:rsidRPr="00EB74A8" w:rsidRDefault="00DB03F6" w:rsidP="00891BD6">
            <w:pPr>
              <w:pStyle w:val="Tableheadrowboldleftaligned"/>
            </w:pPr>
            <w:r w:rsidRPr="00EB74A8">
              <w:t>2020</w:t>
            </w:r>
          </w:p>
        </w:tc>
        <w:tc>
          <w:tcPr>
            <w:tcW w:w="797" w:type="dxa"/>
            <w:tcBorders>
              <w:top w:val="nil"/>
            </w:tcBorders>
          </w:tcPr>
          <w:p w14:paraId="380AA2B1" w14:textId="77777777" w:rsidR="00DB03F6" w:rsidRPr="00EB74A8" w:rsidRDefault="00DB03F6" w:rsidP="00891BD6">
            <w:pPr>
              <w:pStyle w:val="Tableheadrowboldleftaligned"/>
            </w:pPr>
            <w:r w:rsidRPr="00EB74A8">
              <w:t>2021</w:t>
            </w:r>
          </w:p>
        </w:tc>
        <w:tc>
          <w:tcPr>
            <w:tcW w:w="797" w:type="dxa"/>
            <w:tcBorders>
              <w:top w:val="nil"/>
            </w:tcBorders>
          </w:tcPr>
          <w:p w14:paraId="0B102922" w14:textId="77777777" w:rsidR="00DB03F6" w:rsidRPr="00EB74A8" w:rsidRDefault="00DB03F6" w:rsidP="00891BD6">
            <w:pPr>
              <w:pStyle w:val="Tableheadrowboldleftaligned"/>
            </w:pPr>
            <w:r w:rsidRPr="00EB74A8">
              <w:t>2022</w:t>
            </w:r>
          </w:p>
        </w:tc>
        <w:tc>
          <w:tcPr>
            <w:tcW w:w="798" w:type="dxa"/>
            <w:tcBorders>
              <w:top w:val="nil"/>
            </w:tcBorders>
          </w:tcPr>
          <w:p w14:paraId="0606C61C" w14:textId="77777777" w:rsidR="00DB03F6" w:rsidRPr="00EB74A8" w:rsidRDefault="00DB03F6" w:rsidP="00891BD6">
            <w:pPr>
              <w:pStyle w:val="Tableheadrowboldleftaligned"/>
            </w:pPr>
            <w:r w:rsidRPr="00EB74A8">
              <w:t>2023</w:t>
            </w:r>
          </w:p>
        </w:tc>
        <w:tc>
          <w:tcPr>
            <w:tcW w:w="797" w:type="dxa"/>
            <w:tcBorders>
              <w:top w:val="nil"/>
            </w:tcBorders>
          </w:tcPr>
          <w:p w14:paraId="4CEAE1F5" w14:textId="77777777" w:rsidR="00DB03F6" w:rsidRPr="00EB74A8" w:rsidRDefault="00DB03F6" w:rsidP="00891BD6">
            <w:pPr>
              <w:pStyle w:val="Tableheadrowboldleftaligned"/>
            </w:pPr>
            <w:r w:rsidRPr="00EB74A8">
              <w:t>2024</w:t>
            </w:r>
          </w:p>
        </w:tc>
        <w:tc>
          <w:tcPr>
            <w:tcW w:w="2392" w:type="dxa"/>
            <w:gridSpan w:val="3"/>
            <w:tcBorders>
              <w:top w:val="nil"/>
            </w:tcBorders>
          </w:tcPr>
          <w:p w14:paraId="7BDEE491" w14:textId="77777777" w:rsidR="00DB03F6" w:rsidRPr="00EB74A8" w:rsidRDefault="00DB03F6" w:rsidP="00B521F8">
            <w:pPr>
              <w:pStyle w:val="Tableheadingcentred"/>
            </w:pPr>
            <w:r w:rsidRPr="00EB74A8">
              <w:t>2025</w:t>
            </w:r>
          </w:p>
        </w:tc>
      </w:tr>
      <w:tr w:rsidR="00780D17" w:rsidRPr="00EB74A8" w14:paraId="2E10C812" w14:textId="77777777" w:rsidTr="00A8520F">
        <w:trPr>
          <w:cnfStyle w:val="100000000000" w:firstRow="1" w:lastRow="0" w:firstColumn="0" w:lastColumn="0" w:oddVBand="0" w:evenVBand="0" w:oddHBand="0" w:evenHBand="0" w:firstRowFirstColumn="0" w:firstRowLastColumn="0" w:lastRowFirstColumn="0" w:lastRowLastColumn="0"/>
          <w:trHeight w:val="20"/>
          <w:tblHeader/>
        </w:trPr>
        <w:tc>
          <w:tcPr>
            <w:tcW w:w="2268" w:type="dxa"/>
            <w:tcBorders>
              <w:top w:val="single" w:sz="4" w:space="0" w:color="auto"/>
            </w:tcBorders>
          </w:tcPr>
          <w:p w14:paraId="36DF569E" w14:textId="6ACB483F" w:rsidR="00780D17" w:rsidRPr="00EB74A8" w:rsidRDefault="00780D17" w:rsidP="00B21955">
            <w:pPr>
              <w:spacing w:before="60" w:after="60" w:line="240" w:lineRule="auto"/>
              <w:rPr>
                <w:b/>
                <w:bCs/>
              </w:rPr>
            </w:pPr>
          </w:p>
        </w:tc>
        <w:tc>
          <w:tcPr>
            <w:tcW w:w="656" w:type="dxa"/>
            <w:tcBorders>
              <w:top w:val="single" w:sz="4" w:space="0" w:color="auto"/>
            </w:tcBorders>
          </w:tcPr>
          <w:p w14:paraId="310AC457" w14:textId="748699E8" w:rsidR="00780D17" w:rsidRPr="00EB74A8" w:rsidRDefault="00780D17" w:rsidP="00B21955">
            <w:pPr>
              <w:spacing w:before="60" w:after="60" w:line="240" w:lineRule="auto"/>
              <w:rPr>
                <w:b/>
                <w:bCs/>
              </w:rPr>
            </w:pPr>
          </w:p>
        </w:tc>
        <w:tc>
          <w:tcPr>
            <w:tcW w:w="797" w:type="dxa"/>
            <w:tcBorders>
              <w:top w:val="single" w:sz="4" w:space="0" w:color="auto"/>
            </w:tcBorders>
          </w:tcPr>
          <w:p w14:paraId="051B0863" w14:textId="43537A46" w:rsidR="00780D17" w:rsidRPr="00EB74A8" w:rsidRDefault="00780D17" w:rsidP="00B21955">
            <w:pPr>
              <w:spacing w:before="60" w:after="60" w:line="240" w:lineRule="auto"/>
              <w:rPr>
                <w:b/>
                <w:bCs/>
              </w:rPr>
            </w:pPr>
          </w:p>
        </w:tc>
        <w:tc>
          <w:tcPr>
            <w:tcW w:w="797" w:type="dxa"/>
            <w:tcBorders>
              <w:top w:val="single" w:sz="4" w:space="0" w:color="auto"/>
            </w:tcBorders>
          </w:tcPr>
          <w:p w14:paraId="791D7C14" w14:textId="52EC039D" w:rsidR="00780D17" w:rsidRPr="00EB74A8" w:rsidRDefault="00780D17" w:rsidP="00B21955">
            <w:pPr>
              <w:spacing w:before="60" w:after="60" w:line="240" w:lineRule="auto"/>
              <w:rPr>
                <w:b/>
                <w:bCs/>
              </w:rPr>
            </w:pPr>
          </w:p>
        </w:tc>
        <w:tc>
          <w:tcPr>
            <w:tcW w:w="798" w:type="dxa"/>
          </w:tcPr>
          <w:p w14:paraId="09E678F5" w14:textId="66C29C1D" w:rsidR="00780D17" w:rsidRPr="00EB74A8" w:rsidRDefault="00780D17" w:rsidP="00B21955">
            <w:pPr>
              <w:spacing w:before="60" w:after="60" w:line="240" w:lineRule="auto"/>
              <w:rPr>
                <w:b/>
                <w:bCs/>
              </w:rPr>
            </w:pPr>
          </w:p>
        </w:tc>
        <w:tc>
          <w:tcPr>
            <w:tcW w:w="797" w:type="dxa"/>
          </w:tcPr>
          <w:p w14:paraId="7508EA68" w14:textId="0C77B0B4" w:rsidR="00780D17" w:rsidRPr="00EB74A8" w:rsidRDefault="00780D17" w:rsidP="00B21955">
            <w:pPr>
              <w:spacing w:before="60" w:after="60" w:line="240" w:lineRule="auto"/>
              <w:rPr>
                <w:b/>
                <w:bCs/>
              </w:rPr>
            </w:pPr>
          </w:p>
        </w:tc>
        <w:tc>
          <w:tcPr>
            <w:tcW w:w="797" w:type="dxa"/>
          </w:tcPr>
          <w:p w14:paraId="576782F7" w14:textId="6CD21853" w:rsidR="00780D17" w:rsidRPr="00EB74A8" w:rsidRDefault="00DB03F6" w:rsidP="00891BD6">
            <w:pPr>
              <w:pStyle w:val="Tableheadrowboldleftaligned"/>
            </w:pPr>
            <w:r w:rsidRPr="00EB74A8">
              <w:t>Q1</w:t>
            </w:r>
          </w:p>
        </w:tc>
        <w:tc>
          <w:tcPr>
            <w:tcW w:w="797" w:type="dxa"/>
          </w:tcPr>
          <w:p w14:paraId="2C6024D6" w14:textId="2BEA7C28" w:rsidR="00780D17" w:rsidRPr="00EB74A8" w:rsidRDefault="00DB03F6" w:rsidP="00891BD6">
            <w:pPr>
              <w:pStyle w:val="Tableheadrowboldleftaligned"/>
            </w:pPr>
            <w:r w:rsidRPr="00EB74A8">
              <w:t>Q2</w:t>
            </w:r>
          </w:p>
        </w:tc>
        <w:tc>
          <w:tcPr>
            <w:tcW w:w="798" w:type="dxa"/>
            <w:tcBorders>
              <w:top w:val="single" w:sz="4" w:space="0" w:color="auto"/>
            </w:tcBorders>
          </w:tcPr>
          <w:p w14:paraId="7B2DFB5B" w14:textId="5A31FC1B" w:rsidR="00780D17" w:rsidRPr="00EB74A8" w:rsidRDefault="00DB03F6" w:rsidP="00891BD6">
            <w:pPr>
              <w:pStyle w:val="Tableheadrowboldleftaligned"/>
            </w:pPr>
            <w:r w:rsidRPr="00EB74A8">
              <w:t>Q3</w:t>
            </w:r>
          </w:p>
        </w:tc>
      </w:tr>
      <w:tr w:rsidR="00740B24" w:rsidRPr="00EB74A8" w14:paraId="7930FEAC"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150270DD" w14:textId="3D607FC2" w:rsidR="00740B24" w:rsidRPr="00EB74A8" w:rsidRDefault="00740B24" w:rsidP="00891BD6">
            <w:pPr>
              <w:pStyle w:val="Tableheadrowboldleftaligned"/>
            </w:pPr>
            <w:r w:rsidRPr="00EB74A8">
              <w:t>Total</w:t>
            </w:r>
          </w:p>
        </w:tc>
        <w:tc>
          <w:tcPr>
            <w:tcW w:w="656" w:type="dxa"/>
          </w:tcPr>
          <w:p w14:paraId="19B0940C" w14:textId="6D7C8A07" w:rsidR="00740B24" w:rsidRPr="00EB74A8" w:rsidRDefault="00740B24" w:rsidP="00B521F8">
            <w:pPr>
              <w:pStyle w:val="Tabletextboldrightaligned"/>
            </w:pPr>
            <w:r w:rsidRPr="00EB74A8">
              <w:t>5,36</w:t>
            </w:r>
            <w:r w:rsidR="004A68A9" w:rsidRPr="00EB74A8">
              <w:t>2</w:t>
            </w:r>
          </w:p>
        </w:tc>
        <w:tc>
          <w:tcPr>
            <w:tcW w:w="797" w:type="dxa"/>
          </w:tcPr>
          <w:p w14:paraId="262C47F5" w14:textId="5FD673D3" w:rsidR="00740B24" w:rsidRPr="00EB74A8" w:rsidRDefault="00740B24" w:rsidP="00B521F8">
            <w:pPr>
              <w:pStyle w:val="Tabletextboldrightaligned"/>
            </w:pPr>
            <w:r w:rsidRPr="00EB74A8">
              <w:t>5,76</w:t>
            </w:r>
            <w:r w:rsidR="004A68A9" w:rsidRPr="00EB74A8">
              <w:t>5</w:t>
            </w:r>
          </w:p>
        </w:tc>
        <w:tc>
          <w:tcPr>
            <w:tcW w:w="797" w:type="dxa"/>
          </w:tcPr>
          <w:p w14:paraId="0BD1534E" w14:textId="75BD1B28" w:rsidR="00740B24" w:rsidRPr="00EB74A8" w:rsidRDefault="00740B24" w:rsidP="00B521F8">
            <w:pPr>
              <w:pStyle w:val="Tabletextboldrightaligned"/>
            </w:pPr>
            <w:r w:rsidRPr="00EB74A8">
              <w:t>6,18</w:t>
            </w:r>
            <w:r w:rsidR="004A68A9" w:rsidRPr="00EB74A8">
              <w:t>4</w:t>
            </w:r>
          </w:p>
        </w:tc>
        <w:tc>
          <w:tcPr>
            <w:tcW w:w="798" w:type="dxa"/>
          </w:tcPr>
          <w:p w14:paraId="78758DE1" w14:textId="3BE7DB76" w:rsidR="00740B24" w:rsidRPr="00EB74A8" w:rsidRDefault="00596D3D" w:rsidP="00B521F8">
            <w:pPr>
              <w:pStyle w:val="Tabletextboldrightaligned"/>
            </w:pPr>
            <w:r w:rsidRPr="00EB74A8">
              <w:t>6,56</w:t>
            </w:r>
            <w:r w:rsidR="00A51C81" w:rsidRPr="00EB74A8">
              <w:t>6</w:t>
            </w:r>
          </w:p>
        </w:tc>
        <w:tc>
          <w:tcPr>
            <w:tcW w:w="797" w:type="dxa"/>
          </w:tcPr>
          <w:p w14:paraId="50D0F9EE" w14:textId="19DB58E6" w:rsidR="00740B24" w:rsidRPr="00EB74A8" w:rsidRDefault="00596D3D" w:rsidP="00B521F8">
            <w:pPr>
              <w:pStyle w:val="Tabletextboldrightaligned"/>
            </w:pPr>
            <w:r w:rsidRPr="00EB74A8">
              <w:t>5,97</w:t>
            </w:r>
            <w:r w:rsidR="00A51C81" w:rsidRPr="00EB74A8">
              <w:t>7</w:t>
            </w:r>
          </w:p>
        </w:tc>
        <w:tc>
          <w:tcPr>
            <w:tcW w:w="797" w:type="dxa"/>
          </w:tcPr>
          <w:p w14:paraId="7C110FC6" w14:textId="652C68C0" w:rsidR="00740B24" w:rsidRPr="00EB74A8" w:rsidRDefault="00596D3D" w:rsidP="00B521F8">
            <w:pPr>
              <w:pStyle w:val="Tabletextboldrightaligned"/>
            </w:pPr>
            <w:r w:rsidRPr="00EB74A8">
              <w:t>1,60</w:t>
            </w:r>
            <w:r w:rsidR="00A51C81" w:rsidRPr="00EB74A8">
              <w:t>5</w:t>
            </w:r>
          </w:p>
        </w:tc>
        <w:tc>
          <w:tcPr>
            <w:tcW w:w="797" w:type="dxa"/>
          </w:tcPr>
          <w:p w14:paraId="359729D9" w14:textId="0DFBD997" w:rsidR="00740B24" w:rsidRPr="00EB74A8" w:rsidRDefault="00596D3D" w:rsidP="00B521F8">
            <w:pPr>
              <w:pStyle w:val="Tabletextboldrightaligned"/>
            </w:pPr>
            <w:r w:rsidRPr="00EB74A8">
              <w:t>1,5</w:t>
            </w:r>
            <w:r w:rsidR="00A51C81" w:rsidRPr="00EB74A8">
              <w:t>65</w:t>
            </w:r>
          </w:p>
        </w:tc>
        <w:tc>
          <w:tcPr>
            <w:tcW w:w="798" w:type="dxa"/>
          </w:tcPr>
          <w:p w14:paraId="032D3AAF" w14:textId="043FBEF7" w:rsidR="00740B24" w:rsidRPr="00EB74A8" w:rsidRDefault="00A51C81" w:rsidP="00C27815">
            <w:pPr>
              <w:spacing w:before="60" w:after="60" w:line="240" w:lineRule="auto"/>
              <w:jc w:val="right"/>
              <w:rPr>
                <w:b/>
                <w:bCs/>
              </w:rPr>
            </w:pPr>
            <w:r w:rsidRPr="00EB74A8">
              <w:rPr>
                <w:b/>
                <w:bCs/>
              </w:rPr>
              <w:t>1,529</w:t>
            </w:r>
          </w:p>
        </w:tc>
      </w:tr>
      <w:tr w:rsidR="00780D17" w:rsidRPr="00EB74A8" w14:paraId="280820FB" w14:textId="77777777" w:rsidTr="00A8520F">
        <w:trPr>
          <w:trHeight w:val="20"/>
        </w:trPr>
        <w:tc>
          <w:tcPr>
            <w:tcW w:w="2268" w:type="dxa"/>
          </w:tcPr>
          <w:p w14:paraId="7FBA7D38" w14:textId="7FBE0B83" w:rsidR="00780D17" w:rsidRPr="00EB74A8" w:rsidRDefault="009E5803" w:rsidP="00060775">
            <w:pPr>
              <w:pStyle w:val="Tabletextleftaligned"/>
            </w:pPr>
            <w:r w:rsidRPr="00EB74A8">
              <w:t>Sex</w:t>
            </w:r>
          </w:p>
        </w:tc>
        <w:tc>
          <w:tcPr>
            <w:tcW w:w="656" w:type="dxa"/>
          </w:tcPr>
          <w:p w14:paraId="3062D26B" w14:textId="69A2AE76" w:rsidR="00780D17" w:rsidRPr="00EB74A8" w:rsidRDefault="00780D17" w:rsidP="003D6BC1">
            <w:pPr>
              <w:spacing w:before="60" w:after="60" w:line="240" w:lineRule="auto"/>
              <w:jc w:val="right"/>
            </w:pPr>
          </w:p>
        </w:tc>
        <w:tc>
          <w:tcPr>
            <w:tcW w:w="797" w:type="dxa"/>
          </w:tcPr>
          <w:p w14:paraId="5A2F1D20" w14:textId="504B08F0" w:rsidR="00780D17" w:rsidRPr="00EB74A8" w:rsidRDefault="00780D17" w:rsidP="003D6BC1">
            <w:pPr>
              <w:spacing w:before="60" w:after="60" w:line="240" w:lineRule="auto"/>
              <w:jc w:val="right"/>
            </w:pPr>
          </w:p>
        </w:tc>
        <w:tc>
          <w:tcPr>
            <w:tcW w:w="797" w:type="dxa"/>
          </w:tcPr>
          <w:p w14:paraId="5C7D2EB0" w14:textId="3DE68A0E" w:rsidR="00780D17" w:rsidRPr="00EB74A8" w:rsidRDefault="00780D17" w:rsidP="003D6BC1">
            <w:pPr>
              <w:spacing w:before="60" w:after="60" w:line="240" w:lineRule="auto"/>
              <w:jc w:val="right"/>
            </w:pPr>
          </w:p>
        </w:tc>
        <w:tc>
          <w:tcPr>
            <w:tcW w:w="798" w:type="dxa"/>
          </w:tcPr>
          <w:p w14:paraId="23396CFB" w14:textId="7B712006" w:rsidR="00780D17" w:rsidRPr="00EB74A8" w:rsidRDefault="00780D17" w:rsidP="003D6BC1">
            <w:pPr>
              <w:spacing w:before="60" w:after="60" w:line="240" w:lineRule="auto"/>
              <w:jc w:val="right"/>
            </w:pPr>
          </w:p>
        </w:tc>
        <w:tc>
          <w:tcPr>
            <w:tcW w:w="797" w:type="dxa"/>
          </w:tcPr>
          <w:p w14:paraId="7112ED77" w14:textId="44A14F6F" w:rsidR="00780D17" w:rsidRPr="00EB74A8" w:rsidRDefault="00780D17" w:rsidP="003D6BC1">
            <w:pPr>
              <w:spacing w:before="60" w:after="60" w:line="240" w:lineRule="auto"/>
              <w:jc w:val="right"/>
            </w:pPr>
          </w:p>
        </w:tc>
        <w:tc>
          <w:tcPr>
            <w:tcW w:w="797" w:type="dxa"/>
          </w:tcPr>
          <w:p w14:paraId="605A764D" w14:textId="50F43BA7" w:rsidR="00780D17" w:rsidRPr="00EB74A8" w:rsidRDefault="00780D17" w:rsidP="003D6BC1">
            <w:pPr>
              <w:spacing w:before="60" w:after="60" w:line="240" w:lineRule="auto"/>
              <w:jc w:val="right"/>
            </w:pPr>
          </w:p>
        </w:tc>
        <w:tc>
          <w:tcPr>
            <w:tcW w:w="797" w:type="dxa"/>
          </w:tcPr>
          <w:p w14:paraId="35B21C21" w14:textId="1362D0E2" w:rsidR="00780D17" w:rsidRPr="00EB74A8" w:rsidRDefault="00780D17" w:rsidP="003D6BC1">
            <w:pPr>
              <w:spacing w:before="60" w:after="60" w:line="240" w:lineRule="auto"/>
              <w:jc w:val="right"/>
            </w:pPr>
          </w:p>
        </w:tc>
        <w:tc>
          <w:tcPr>
            <w:tcW w:w="798" w:type="dxa"/>
          </w:tcPr>
          <w:p w14:paraId="4974FC84" w14:textId="7DC62624" w:rsidR="00780D17" w:rsidRPr="00EB74A8" w:rsidRDefault="00780D17" w:rsidP="00C27815">
            <w:pPr>
              <w:spacing w:before="60" w:after="60" w:line="240" w:lineRule="auto"/>
              <w:jc w:val="right"/>
            </w:pPr>
          </w:p>
        </w:tc>
      </w:tr>
      <w:tr w:rsidR="00E53550" w:rsidRPr="00EB74A8" w14:paraId="622A175D"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3CCADAA8" w14:textId="15383F44" w:rsidR="00E53550" w:rsidRPr="00EB74A8" w:rsidRDefault="00E53550" w:rsidP="00891BD6">
            <w:pPr>
              <w:pStyle w:val="Tabletextindented"/>
            </w:pPr>
            <w:r w:rsidRPr="00EB74A8">
              <w:t>Female</w:t>
            </w:r>
          </w:p>
        </w:tc>
        <w:tc>
          <w:tcPr>
            <w:tcW w:w="656" w:type="dxa"/>
          </w:tcPr>
          <w:p w14:paraId="4D3335A6" w14:textId="48F5703F" w:rsidR="00E53550" w:rsidRPr="00EB74A8" w:rsidRDefault="00E53550" w:rsidP="004A2FC7">
            <w:pPr>
              <w:pStyle w:val="Tabletextrightaligned"/>
            </w:pPr>
            <w:r w:rsidRPr="00EB74A8">
              <w:t>958</w:t>
            </w:r>
          </w:p>
        </w:tc>
        <w:tc>
          <w:tcPr>
            <w:tcW w:w="797" w:type="dxa"/>
          </w:tcPr>
          <w:p w14:paraId="409DFA3F" w14:textId="3E3EF062" w:rsidR="00E53550" w:rsidRPr="00EB74A8" w:rsidRDefault="00E53550" w:rsidP="004A2FC7">
            <w:pPr>
              <w:pStyle w:val="Tabletextrightaligned"/>
            </w:pPr>
            <w:r w:rsidRPr="00EB74A8">
              <w:t>1,0</w:t>
            </w:r>
            <w:r w:rsidR="00A51C81" w:rsidRPr="00EB74A8">
              <w:t>40</w:t>
            </w:r>
          </w:p>
        </w:tc>
        <w:tc>
          <w:tcPr>
            <w:tcW w:w="797" w:type="dxa"/>
          </w:tcPr>
          <w:p w14:paraId="07960DAB" w14:textId="4C6EF114" w:rsidR="00E53550" w:rsidRPr="00EB74A8" w:rsidRDefault="00E53550" w:rsidP="004A2FC7">
            <w:pPr>
              <w:pStyle w:val="Tabletextrightaligned"/>
            </w:pPr>
            <w:r w:rsidRPr="00EB74A8">
              <w:t>1,084</w:t>
            </w:r>
          </w:p>
        </w:tc>
        <w:tc>
          <w:tcPr>
            <w:tcW w:w="798" w:type="dxa"/>
          </w:tcPr>
          <w:p w14:paraId="2297173D" w14:textId="5723789C" w:rsidR="00E53550" w:rsidRPr="00EB74A8" w:rsidRDefault="00E53550" w:rsidP="004A2FC7">
            <w:pPr>
              <w:pStyle w:val="Tabletextrightaligned"/>
            </w:pPr>
            <w:r w:rsidRPr="00EB74A8">
              <w:t>1,334</w:t>
            </w:r>
          </w:p>
        </w:tc>
        <w:tc>
          <w:tcPr>
            <w:tcW w:w="797" w:type="dxa"/>
          </w:tcPr>
          <w:p w14:paraId="196348E4" w14:textId="06D6EB8A" w:rsidR="00E53550" w:rsidRPr="00EB74A8" w:rsidRDefault="00E53550" w:rsidP="004A2FC7">
            <w:pPr>
              <w:pStyle w:val="Tabletextrightaligned"/>
            </w:pPr>
            <w:r w:rsidRPr="00EB74A8">
              <w:t>1,216</w:t>
            </w:r>
          </w:p>
        </w:tc>
        <w:tc>
          <w:tcPr>
            <w:tcW w:w="797" w:type="dxa"/>
          </w:tcPr>
          <w:p w14:paraId="10F0227B" w14:textId="274A2544" w:rsidR="00E53550" w:rsidRPr="00EB74A8" w:rsidRDefault="00AB0FCA" w:rsidP="004A2FC7">
            <w:pPr>
              <w:pStyle w:val="Tabletextrightaligned"/>
            </w:pPr>
            <w:r w:rsidRPr="00EB74A8">
              <w:t>347</w:t>
            </w:r>
          </w:p>
        </w:tc>
        <w:tc>
          <w:tcPr>
            <w:tcW w:w="797" w:type="dxa"/>
          </w:tcPr>
          <w:p w14:paraId="67677F61" w14:textId="300EC703" w:rsidR="00E53550" w:rsidRPr="00EB74A8" w:rsidRDefault="00AB0FCA" w:rsidP="004A2FC7">
            <w:pPr>
              <w:pStyle w:val="Tabletextrightaligned"/>
            </w:pPr>
            <w:r w:rsidRPr="00EB74A8">
              <w:t>349</w:t>
            </w:r>
          </w:p>
        </w:tc>
        <w:tc>
          <w:tcPr>
            <w:tcW w:w="798" w:type="dxa"/>
          </w:tcPr>
          <w:p w14:paraId="088E9D02" w14:textId="0129B3F2" w:rsidR="00E53550" w:rsidRPr="00EB74A8" w:rsidRDefault="00AB0FCA" w:rsidP="00C27815">
            <w:pPr>
              <w:spacing w:before="60" w:after="60" w:line="240" w:lineRule="auto"/>
              <w:jc w:val="right"/>
            </w:pPr>
            <w:r w:rsidRPr="00EB74A8">
              <w:t>327</w:t>
            </w:r>
          </w:p>
        </w:tc>
      </w:tr>
      <w:tr w:rsidR="00E53550" w:rsidRPr="00EB74A8" w14:paraId="15BF6BF4" w14:textId="77777777" w:rsidTr="00A8520F">
        <w:trPr>
          <w:trHeight w:val="20"/>
        </w:trPr>
        <w:tc>
          <w:tcPr>
            <w:tcW w:w="2268" w:type="dxa"/>
          </w:tcPr>
          <w:p w14:paraId="40DF5616" w14:textId="244DE875" w:rsidR="00E53550" w:rsidRPr="00EB74A8" w:rsidRDefault="00E53550" w:rsidP="00891BD6">
            <w:pPr>
              <w:pStyle w:val="Tabletextindented"/>
            </w:pPr>
            <w:r w:rsidRPr="00EB74A8">
              <w:t>Male</w:t>
            </w:r>
          </w:p>
        </w:tc>
        <w:tc>
          <w:tcPr>
            <w:tcW w:w="656" w:type="dxa"/>
          </w:tcPr>
          <w:p w14:paraId="52F66BC6" w14:textId="3C583E12" w:rsidR="00E53550" w:rsidRPr="00EB74A8" w:rsidRDefault="00AB0FCA" w:rsidP="004A2FC7">
            <w:pPr>
              <w:pStyle w:val="Tabletextrightaligned"/>
            </w:pPr>
            <w:r w:rsidRPr="00EB74A8">
              <w:t>4,387</w:t>
            </w:r>
          </w:p>
        </w:tc>
        <w:tc>
          <w:tcPr>
            <w:tcW w:w="797" w:type="dxa"/>
          </w:tcPr>
          <w:p w14:paraId="52916657" w14:textId="244804A4" w:rsidR="00E53550" w:rsidRPr="00EB74A8" w:rsidRDefault="00AB0FCA" w:rsidP="004A2FC7">
            <w:pPr>
              <w:pStyle w:val="Tabletextrightaligned"/>
            </w:pPr>
            <w:r w:rsidRPr="00EB74A8">
              <w:t>4,706</w:t>
            </w:r>
          </w:p>
        </w:tc>
        <w:tc>
          <w:tcPr>
            <w:tcW w:w="797" w:type="dxa"/>
          </w:tcPr>
          <w:p w14:paraId="2F100886" w14:textId="46A6A114" w:rsidR="00E53550" w:rsidRPr="00EB74A8" w:rsidRDefault="00AB0FCA" w:rsidP="004A2FC7">
            <w:pPr>
              <w:pStyle w:val="Tabletextrightaligned"/>
            </w:pPr>
            <w:r w:rsidRPr="00EB74A8">
              <w:t>5,072</w:t>
            </w:r>
          </w:p>
        </w:tc>
        <w:tc>
          <w:tcPr>
            <w:tcW w:w="798" w:type="dxa"/>
          </w:tcPr>
          <w:p w14:paraId="1523CC42" w14:textId="23670E9E" w:rsidR="00E53550" w:rsidRPr="00EB74A8" w:rsidRDefault="00AB0FCA" w:rsidP="004A2FC7">
            <w:pPr>
              <w:pStyle w:val="Tabletextrightaligned"/>
            </w:pPr>
            <w:r w:rsidRPr="00EB74A8">
              <w:t>5,221</w:t>
            </w:r>
          </w:p>
        </w:tc>
        <w:tc>
          <w:tcPr>
            <w:tcW w:w="797" w:type="dxa"/>
          </w:tcPr>
          <w:p w14:paraId="195FAFB5" w14:textId="73FE9ACC" w:rsidR="00E53550" w:rsidRPr="00EB74A8" w:rsidRDefault="003113C8" w:rsidP="004A2FC7">
            <w:pPr>
              <w:pStyle w:val="Tabletextrightaligned"/>
            </w:pPr>
            <w:r w:rsidRPr="00EB74A8">
              <w:t>4,751</w:t>
            </w:r>
          </w:p>
        </w:tc>
        <w:tc>
          <w:tcPr>
            <w:tcW w:w="797" w:type="dxa"/>
          </w:tcPr>
          <w:p w14:paraId="06E48148" w14:textId="1FB8B011" w:rsidR="00E53550" w:rsidRPr="00EB74A8" w:rsidRDefault="003113C8" w:rsidP="004A2FC7">
            <w:pPr>
              <w:pStyle w:val="Tabletextrightaligned"/>
            </w:pPr>
            <w:r w:rsidRPr="00EB74A8">
              <w:t>1,254</w:t>
            </w:r>
          </w:p>
        </w:tc>
        <w:tc>
          <w:tcPr>
            <w:tcW w:w="797" w:type="dxa"/>
          </w:tcPr>
          <w:p w14:paraId="0740686C" w14:textId="243E4486" w:rsidR="00E53550" w:rsidRPr="00EB74A8" w:rsidRDefault="003113C8" w:rsidP="004A2FC7">
            <w:pPr>
              <w:pStyle w:val="Tabletextrightaligned"/>
            </w:pPr>
            <w:r w:rsidRPr="00EB74A8">
              <w:t>1,213</w:t>
            </w:r>
          </w:p>
        </w:tc>
        <w:tc>
          <w:tcPr>
            <w:tcW w:w="798" w:type="dxa"/>
          </w:tcPr>
          <w:p w14:paraId="4CF2B2BA" w14:textId="1DB47A9F" w:rsidR="00E53550" w:rsidRPr="00EB74A8" w:rsidRDefault="003113C8" w:rsidP="00C27815">
            <w:pPr>
              <w:spacing w:before="60" w:after="60" w:line="240" w:lineRule="auto"/>
              <w:jc w:val="right"/>
            </w:pPr>
            <w:r w:rsidRPr="00EB74A8">
              <w:t>1,201</w:t>
            </w:r>
          </w:p>
        </w:tc>
      </w:tr>
      <w:tr w:rsidR="00757EDF" w:rsidRPr="00EB74A8" w14:paraId="370B7591"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6B9D3612" w14:textId="1B99CD81" w:rsidR="00757EDF" w:rsidRPr="00EB74A8" w:rsidRDefault="00A53F29" w:rsidP="008F35D8">
            <w:pPr>
              <w:spacing w:before="60" w:after="60" w:line="240" w:lineRule="auto"/>
              <w:ind w:left="224"/>
            </w:pPr>
            <w:r w:rsidRPr="00EB74A8">
              <w:t>Other</w:t>
            </w:r>
            <w:r w:rsidR="00B11CC0" w:rsidRPr="00EB74A8">
              <w:rPr>
                <w:vertAlign w:val="superscript"/>
              </w:rPr>
              <w:t>1</w:t>
            </w:r>
          </w:p>
        </w:tc>
        <w:tc>
          <w:tcPr>
            <w:tcW w:w="656" w:type="dxa"/>
          </w:tcPr>
          <w:p w14:paraId="093046DB" w14:textId="642E0886" w:rsidR="00757EDF" w:rsidRPr="00EB74A8" w:rsidRDefault="00F82B90" w:rsidP="004A2FC7">
            <w:pPr>
              <w:pStyle w:val="Tabletextrightaligned"/>
            </w:pPr>
            <w:r w:rsidRPr="00EB74A8">
              <w:t>4</w:t>
            </w:r>
          </w:p>
        </w:tc>
        <w:tc>
          <w:tcPr>
            <w:tcW w:w="797" w:type="dxa"/>
          </w:tcPr>
          <w:p w14:paraId="1C1AEBD8" w14:textId="5509DF22" w:rsidR="00757EDF" w:rsidRPr="00EB74A8" w:rsidRDefault="00F82B90" w:rsidP="004A2FC7">
            <w:pPr>
              <w:pStyle w:val="Tabletextrightaligned"/>
            </w:pPr>
            <w:r w:rsidRPr="00EB74A8">
              <w:t>6</w:t>
            </w:r>
          </w:p>
        </w:tc>
        <w:tc>
          <w:tcPr>
            <w:tcW w:w="797" w:type="dxa"/>
          </w:tcPr>
          <w:p w14:paraId="4FD67E5B" w14:textId="35DD5B84" w:rsidR="00757EDF" w:rsidRPr="00EB74A8" w:rsidRDefault="00F82B90" w:rsidP="004A2FC7">
            <w:pPr>
              <w:pStyle w:val="Tabletextrightaligned"/>
            </w:pPr>
            <w:r w:rsidRPr="00EB74A8">
              <w:t>8</w:t>
            </w:r>
          </w:p>
        </w:tc>
        <w:tc>
          <w:tcPr>
            <w:tcW w:w="798" w:type="dxa"/>
          </w:tcPr>
          <w:p w14:paraId="72BA4E6F" w14:textId="080CB3B8" w:rsidR="00757EDF" w:rsidRPr="00EB74A8" w:rsidRDefault="00F82B90" w:rsidP="004A2FC7">
            <w:pPr>
              <w:pStyle w:val="Tabletextrightaligned"/>
            </w:pPr>
            <w:r w:rsidRPr="00EB74A8">
              <w:t>5</w:t>
            </w:r>
          </w:p>
        </w:tc>
        <w:tc>
          <w:tcPr>
            <w:tcW w:w="797" w:type="dxa"/>
          </w:tcPr>
          <w:p w14:paraId="705FEF4F" w14:textId="6A57485F" w:rsidR="00757EDF" w:rsidRPr="00EB74A8" w:rsidRDefault="00F82B90" w:rsidP="004A2FC7">
            <w:pPr>
              <w:pStyle w:val="Tabletextrightaligned"/>
            </w:pPr>
            <w:r w:rsidRPr="00EB74A8">
              <w:t>1</w:t>
            </w:r>
          </w:p>
        </w:tc>
        <w:tc>
          <w:tcPr>
            <w:tcW w:w="797" w:type="dxa"/>
          </w:tcPr>
          <w:p w14:paraId="2B6C94A0" w14:textId="7E096711" w:rsidR="00757EDF" w:rsidRPr="00EB74A8" w:rsidRDefault="00C27815" w:rsidP="004A2FC7">
            <w:pPr>
              <w:pStyle w:val="Tabletextrightaligned"/>
            </w:pPr>
            <w:r w:rsidRPr="00EB74A8">
              <w:t>0</w:t>
            </w:r>
          </w:p>
        </w:tc>
        <w:tc>
          <w:tcPr>
            <w:tcW w:w="797" w:type="dxa"/>
          </w:tcPr>
          <w:p w14:paraId="7F8E7964" w14:textId="49C3F9A0" w:rsidR="00757EDF" w:rsidRPr="00EB74A8" w:rsidRDefault="00C27815" w:rsidP="004A2FC7">
            <w:pPr>
              <w:pStyle w:val="Tabletextrightaligned"/>
            </w:pPr>
            <w:r w:rsidRPr="00EB74A8">
              <w:t>0</w:t>
            </w:r>
          </w:p>
        </w:tc>
        <w:tc>
          <w:tcPr>
            <w:tcW w:w="798" w:type="dxa"/>
          </w:tcPr>
          <w:p w14:paraId="17D3E52C" w14:textId="7E4C521A" w:rsidR="00757EDF" w:rsidRPr="00EB74A8" w:rsidRDefault="00C27815" w:rsidP="00C27815">
            <w:pPr>
              <w:spacing w:before="60" w:after="60" w:line="240" w:lineRule="auto"/>
              <w:jc w:val="right"/>
            </w:pPr>
            <w:r w:rsidRPr="00EB74A8">
              <w:t>0</w:t>
            </w:r>
          </w:p>
        </w:tc>
      </w:tr>
      <w:tr w:rsidR="00757EDF" w:rsidRPr="00EB74A8" w14:paraId="01195CAD" w14:textId="77777777" w:rsidTr="00A8520F">
        <w:trPr>
          <w:trHeight w:val="20"/>
        </w:trPr>
        <w:tc>
          <w:tcPr>
            <w:tcW w:w="2268" w:type="dxa"/>
          </w:tcPr>
          <w:p w14:paraId="4DAA1870" w14:textId="654C1908" w:rsidR="00757EDF" w:rsidRPr="00EB74A8" w:rsidRDefault="00A53F29" w:rsidP="00891BD6">
            <w:pPr>
              <w:pStyle w:val="Tabletextindented"/>
            </w:pPr>
            <w:r w:rsidRPr="00EB74A8">
              <w:t>Not reported</w:t>
            </w:r>
          </w:p>
        </w:tc>
        <w:tc>
          <w:tcPr>
            <w:tcW w:w="656" w:type="dxa"/>
          </w:tcPr>
          <w:p w14:paraId="11785596" w14:textId="1608001A" w:rsidR="00757EDF" w:rsidRPr="00EB74A8" w:rsidRDefault="00C27815" w:rsidP="004A2FC7">
            <w:pPr>
              <w:pStyle w:val="Tabletextrightaligned"/>
            </w:pPr>
            <w:r w:rsidRPr="00EB74A8">
              <w:t>13</w:t>
            </w:r>
          </w:p>
        </w:tc>
        <w:tc>
          <w:tcPr>
            <w:tcW w:w="797" w:type="dxa"/>
          </w:tcPr>
          <w:p w14:paraId="50780740" w14:textId="1EFD7A25" w:rsidR="00757EDF" w:rsidRPr="00EB74A8" w:rsidRDefault="00C27815" w:rsidP="004A2FC7">
            <w:pPr>
              <w:pStyle w:val="Tabletextrightaligned"/>
            </w:pPr>
            <w:r w:rsidRPr="00EB74A8">
              <w:t>13</w:t>
            </w:r>
          </w:p>
        </w:tc>
        <w:tc>
          <w:tcPr>
            <w:tcW w:w="797" w:type="dxa"/>
          </w:tcPr>
          <w:p w14:paraId="27BAFF17" w14:textId="643C0A09" w:rsidR="00757EDF" w:rsidRPr="00EB74A8" w:rsidRDefault="00F6426F" w:rsidP="004A2FC7">
            <w:pPr>
              <w:pStyle w:val="Tabletextrightaligned"/>
            </w:pPr>
            <w:r w:rsidRPr="00EB74A8">
              <w:t>20</w:t>
            </w:r>
          </w:p>
        </w:tc>
        <w:tc>
          <w:tcPr>
            <w:tcW w:w="798" w:type="dxa"/>
          </w:tcPr>
          <w:p w14:paraId="4BD8CADB" w14:textId="6E59ED62" w:rsidR="00757EDF" w:rsidRPr="00EB74A8" w:rsidRDefault="00F6426F" w:rsidP="004A2FC7">
            <w:pPr>
              <w:pStyle w:val="Tabletextrightaligned"/>
            </w:pPr>
            <w:r w:rsidRPr="00EB74A8">
              <w:t>6</w:t>
            </w:r>
          </w:p>
        </w:tc>
        <w:tc>
          <w:tcPr>
            <w:tcW w:w="797" w:type="dxa"/>
          </w:tcPr>
          <w:p w14:paraId="56EB018F" w14:textId="0AF4BAF2" w:rsidR="00757EDF" w:rsidRPr="00EB74A8" w:rsidRDefault="00F6426F" w:rsidP="004A2FC7">
            <w:pPr>
              <w:pStyle w:val="Tabletextrightaligned"/>
            </w:pPr>
            <w:r w:rsidRPr="00EB74A8">
              <w:t>9</w:t>
            </w:r>
          </w:p>
        </w:tc>
        <w:tc>
          <w:tcPr>
            <w:tcW w:w="797" w:type="dxa"/>
          </w:tcPr>
          <w:p w14:paraId="10A7A82A" w14:textId="69B49095" w:rsidR="00757EDF" w:rsidRPr="00EB74A8" w:rsidRDefault="00F6426F" w:rsidP="004A2FC7">
            <w:pPr>
              <w:pStyle w:val="Tabletextrightaligned"/>
            </w:pPr>
            <w:r w:rsidRPr="00EB74A8">
              <w:t>4</w:t>
            </w:r>
          </w:p>
        </w:tc>
        <w:tc>
          <w:tcPr>
            <w:tcW w:w="797" w:type="dxa"/>
          </w:tcPr>
          <w:p w14:paraId="0AEB053D" w14:textId="4F1B8696" w:rsidR="00757EDF" w:rsidRPr="00EB74A8" w:rsidRDefault="00F6426F" w:rsidP="004A2FC7">
            <w:pPr>
              <w:pStyle w:val="Tabletextrightaligned"/>
            </w:pPr>
            <w:r w:rsidRPr="00EB74A8">
              <w:t>3</w:t>
            </w:r>
          </w:p>
        </w:tc>
        <w:tc>
          <w:tcPr>
            <w:tcW w:w="798" w:type="dxa"/>
          </w:tcPr>
          <w:p w14:paraId="7534AE8D" w14:textId="6E06F5E4" w:rsidR="00757EDF" w:rsidRPr="00EB74A8" w:rsidRDefault="00F6426F" w:rsidP="00F6426F">
            <w:pPr>
              <w:spacing w:before="60" w:after="60" w:line="240" w:lineRule="auto"/>
              <w:jc w:val="right"/>
            </w:pPr>
            <w:r w:rsidRPr="00EB74A8">
              <w:t>1</w:t>
            </w:r>
          </w:p>
        </w:tc>
      </w:tr>
      <w:tr w:rsidR="009E5803" w:rsidRPr="00EB74A8" w14:paraId="75509676"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67AC07F2" w14:textId="72B00E44" w:rsidR="009E5803" w:rsidRPr="00EB74A8" w:rsidRDefault="00CB06B8" w:rsidP="00060775">
            <w:pPr>
              <w:pStyle w:val="Tabletextleftaligned"/>
            </w:pPr>
            <w:r w:rsidRPr="00EB74A8">
              <w:t>Age group (years)</w:t>
            </w:r>
          </w:p>
        </w:tc>
        <w:tc>
          <w:tcPr>
            <w:tcW w:w="656" w:type="dxa"/>
          </w:tcPr>
          <w:p w14:paraId="4DB9C1A1" w14:textId="77777777" w:rsidR="009E5803" w:rsidRPr="00EB74A8" w:rsidRDefault="009E5803" w:rsidP="003D6BC1">
            <w:pPr>
              <w:spacing w:before="60" w:after="60" w:line="240" w:lineRule="auto"/>
              <w:jc w:val="right"/>
            </w:pPr>
          </w:p>
        </w:tc>
        <w:tc>
          <w:tcPr>
            <w:tcW w:w="797" w:type="dxa"/>
          </w:tcPr>
          <w:p w14:paraId="6A461AD9" w14:textId="77777777" w:rsidR="009E5803" w:rsidRPr="00EB74A8" w:rsidRDefault="009E5803" w:rsidP="003D6BC1">
            <w:pPr>
              <w:spacing w:before="60" w:after="60" w:line="240" w:lineRule="auto"/>
              <w:jc w:val="right"/>
            </w:pPr>
          </w:p>
        </w:tc>
        <w:tc>
          <w:tcPr>
            <w:tcW w:w="797" w:type="dxa"/>
          </w:tcPr>
          <w:p w14:paraId="1E80DD1D" w14:textId="77777777" w:rsidR="009E5803" w:rsidRPr="00EB74A8" w:rsidRDefault="009E5803" w:rsidP="003D6BC1">
            <w:pPr>
              <w:spacing w:before="60" w:after="60" w:line="240" w:lineRule="auto"/>
              <w:jc w:val="right"/>
            </w:pPr>
          </w:p>
        </w:tc>
        <w:tc>
          <w:tcPr>
            <w:tcW w:w="798" w:type="dxa"/>
          </w:tcPr>
          <w:p w14:paraId="50AF52B0" w14:textId="77777777" w:rsidR="009E5803" w:rsidRPr="00EB74A8" w:rsidRDefault="009E5803" w:rsidP="003D6BC1">
            <w:pPr>
              <w:spacing w:before="60" w:after="60" w:line="240" w:lineRule="auto"/>
              <w:jc w:val="right"/>
            </w:pPr>
          </w:p>
        </w:tc>
        <w:tc>
          <w:tcPr>
            <w:tcW w:w="797" w:type="dxa"/>
          </w:tcPr>
          <w:p w14:paraId="710409C5" w14:textId="77777777" w:rsidR="009E5803" w:rsidRPr="00EB74A8" w:rsidRDefault="009E5803" w:rsidP="003D6BC1">
            <w:pPr>
              <w:spacing w:before="60" w:after="60" w:line="240" w:lineRule="auto"/>
              <w:jc w:val="right"/>
            </w:pPr>
          </w:p>
        </w:tc>
        <w:tc>
          <w:tcPr>
            <w:tcW w:w="797" w:type="dxa"/>
          </w:tcPr>
          <w:p w14:paraId="42F7B09E" w14:textId="77777777" w:rsidR="009E5803" w:rsidRPr="00EB74A8" w:rsidRDefault="009E5803" w:rsidP="003D6BC1">
            <w:pPr>
              <w:spacing w:before="60" w:after="60" w:line="240" w:lineRule="auto"/>
              <w:jc w:val="right"/>
            </w:pPr>
          </w:p>
        </w:tc>
        <w:tc>
          <w:tcPr>
            <w:tcW w:w="797" w:type="dxa"/>
          </w:tcPr>
          <w:p w14:paraId="333F8686" w14:textId="77777777" w:rsidR="009E5803" w:rsidRPr="00EB74A8" w:rsidRDefault="009E5803" w:rsidP="003D6BC1">
            <w:pPr>
              <w:spacing w:before="60" w:after="60" w:line="240" w:lineRule="auto"/>
              <w:jc w:val="right"/>
            </w:pPr>
          </w:p>
        </w:tc>
        <w:tc>
          <w:tcPr>
            <w:tcW w:w="798" w:type="dxa"/>
          </w:tcPr>
          <w:p w14:paraId="27189674" w14:textId="77777777" w:rsidR="009E5803" w:rsidRPr="00EB74A8" w:rsidRDefault="009E5803" w:rsidP="00B21955">
            <w:pPr>
              <w:spacing w:before="60" w:after="60" w:line="240" w:lineRule="auto"/>
            </w:pPr>
          </w:p>
        </w:tc>
      </w:tr>
      <w:tr w:rsidR="00CB06B8" w:rsidRPr="00EB74A8" w14:paraId="279FE0C2" w14:textId="77777777" w:rsidTr="00A8520F">
        <w:trPr>
          <w:trHeight w:val="20"/>
        </w:trPr>
        <w:tc>
          <w:tcPr>
            <w:tcW w:w="2268" w:type="dxa"/>
          </w:tcPr>
          <w:p w14:paraId="3C56635B" w14:textId="5B3ED02F" w:rsidR="00CB06B8" w:rsidRPr="00EB74A8" w:rsidRDefault="00CB06B8" w:rsidP="00891BD6">
            <w:pPr>
              <w:pStyle w:val="Tabletextindented"/>
            </w:pPr>
            <w:r w:rsidRPr="00EB74A8">
              <w:t>15–24</w:t>
            </w:r>
          </w:p>
        </w:tc>
        <w:tc>
          <w:tcPr>
            <w:tcW w:w="656" w:type="dxa"/>
          </w:tcPr>
          <w:p w14:paraId="592E7EC3" w14:textId="246F790F" w:rsidR="00CB06B8" w:rsidRPr="00EB74A8" w:rsidRDefault="00555F13" w:rsidP="004A2FC7">
            <w:pPr>
              <w:pStyle w:val="Tabletextrightaligned"/>
            </w:pPr>
            <w:r w:rsidRPr="00EB74A8">
              <w:t>881</w:t>
            </w:r>
          </w:p>
        </w:tc>
        <w:tc>
          <w:tcPr>
            <w:tcW w:w="797" w:type="dxa"/>
          </w:tcPr>
          <w:p w14:paraId="67C1DD79" w14:textId="691E8E90" w:rsidR="00CB06B8" w:rsidRPr="00EB74A8" w:rsidRDefault="00555F13" w:rsidP="004A2FC7">
            <w:pPr>
              <w:pStyle w:val="Tabletextrightaligned"/>
            </w:pPr>
            <w:r w:rsidRPr="00EB74A8">
              <w:t>843</w:t>
            </w:r>
          </w:p>
        </w:tc>
        <w:tc>
          <w:tcPr>
            <w:tcW w:w="797" w:type="dxa"/>
          </w:tcPr>
          <w:p w14:paraId="135A549C" w14:textId="7F0FD36D" w:rsidR="00CB06B8" w:rsidRPr="00EB74A8" w:rsidRDefault="00555F13" w:rsidP="004A2FC7">
            <w:pPr>
              <w:pStyle w:val="Tabletextrightaligned"/>
            </w:pPr>
            <w:r w:rsidRPr="00EB74A8">
              <w:t>843</w:t>
            </w:r>
          </w:p>
        </w:tc>
        <w:tc>
          <w:tcPr>
            <w:tcW w:w="798" w:type="dxa"/>
          </w:tcPr>
          <w:p w14:paraId="0B6C9C7F" w14:textId="476BEA44" w:rsidR="00CB06B8" w:rsidRPr="00EB74A8" w:rsidRDefault="00555F13" w:rsidP="004A2FC7">
            <w:pPr>
              <w:pStyle w:val="Tabletextrightaligned"/>
            </w:pPr>
            <w:r w:rsidRPr="00EB74A8">
              <w:t>926</w:t>
            </w:r>
          </w:p>
        </w:tc>
        <w:tc>
          <w:tcPr>
            <w:tcW w:w="797" w:type="dxa"/>
          </w:tcPr>
          <w:p w14:paraId="60BC73F9" w14:textId="6C126DC8" w:rsidR="00CB06B8" w:rsidRPr="00EB74A8" w:rsidRDefault="00555F13" w:rsidP="004A2FC7">
            <w:pPr>
              <w:pStyle w:val="Tabletextrightaligned"/>
            </w:pPr>
            <w:r w:rsidRPr="00EB74A8">
              <w:t>768</w:t>
            </w:r>
          </w:p>
        </w:tc>
        <w:tc>
          <w:tcPr>
            <w:tcW w:w="797" w:type="dxa"/>
          </w:tcPr>
          <w:p w14:paraId="38BA0E5E" w14:textId="0F13861A" w:rsidR="00CB06B8" w:rsidRPr="00EB74A8" w:rsidRDefault="00506619" w:rsidP="004A2FC7">
            <w:pPr>
              <w:pStyle w:val="Tabletextrightaligned"/>
            </w:pPr>
            <w:r w:rsidRPr="00EB74A8">
              <w:t>185</w:t>
            </w:r>
          </w:p>
        </w:tc>
        <w:tc>
          <w:tcPr>
            <w:tcW w:w="797" w:type="dxa"/>
          </w:tcPr>
          <w:p w14:paraId="54C6101A" w14:textId="1A82F153" w:rsidR="00CB06B8" w:rsidRPr="00EB74A8" w:rsidRDefault="00506619" w:rsidP="004A2FC7">
            <w:pPr>
              <w:pStyle w:val="Tabletextrightaligned"/>
            </w:pPr>
            <w:r w:rsidRPr="00EB74A8">
              <w:t>165</w:t>
            </w:r>
          </w:p>
        </w:tc>
        <w:tc>
          <w:tcPr>
            <w:tcW w:w="798" w:type="dxa"/>
          </w:tcPr>
          <w:p w14:paraId="4D649B1F" w14:textId="0C6047E9" w:rsidR="00CB06B8" w:rsidRPr="00EB74A8" w:rsidRDefault="00506619" w:rsidP="00F6426F">
            <w:pPr>
              <w:spacing w:before="60" w:after="60" w:line="240" w:lineRule="auto"/>
              <w:jc w:val="right"/>
            </w:pPr>
            <w:r w:rsidRPr="00EB74A8">
              <w:t>197</w:t>
            </w:r>
          </w:p>
        </w:tc>
      </w:tr>
      <w:tr w:rsidR="00CB06B8" w:rsidRPr="00EB74A8" w14:paraId="1DB8D09F"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3B7E4CEA" w14:textId="0B0CD227" w:rsidR="00CB06B8" w:rsidRPr="00EB74A8" w:rsidRDefault="00CB06B8" w:rsidP="00891BD6">
            <w:pPr>
              <w:pStyle w:val="Tabletextindented"/>
            </w:pPr>
            <w:r w:rsidRPr="00EB74A8">
              <w:t>25–34</w:t>
            </w:r>
          </w:p>
        </w:tc>
        <w:tc>
          <w:tcPr>
            <w:tcW w:w="656" w:type="dxa"/>
          </w:tcPr>
          <w:p w14:paraId="7759900F" w14:textId="50F2597B" w:rsidR="00CB06B8" w:rsidRPr="00EB74A8" w:rsidRDefault="00EE404D" w:rsidP="004A2FC7">
            <w:pPr>
              <w:pStyle w:val="Tabletextrightaligned"/>
            </w:pPr>
            <w:r w:rsidRPr="00EB74A8">
              <w:t>1,908</w:t>
            </w:r>
          </w:p>
        </w:tc>
        <w:tc>
          <w:tcPr>
            <w:tcW w:w="797" w:type="dxa"/>
          </w:tcPr>
          <w:p w14:paraId="41F89499" w14:textId="1F9A0538" w:rsidR="00CB06B8" w:rsidRPr="00EB74A8" w:rsidRDefault="00EE404D" w:rsidP="004A2FC7">
            <w:pPr>
              <w:pStyle w:val="Tabletextrightaligned"/>
            </w:pPr>
            <w:r w:rsidRPr="00EB74A8">
              <w:t>2,145</w:t>
            </w:r>
          </w:p>
        </w:tc>
        <w:tc>
          <w:tcPr>
            <w:tcW w:w="797" w:type="dxa"/>
          </w:tcPr>
          <w:p w14:paraId="786982E0" w14:textId="6D523E1C" w:rsidR="00CB06B8" w:rsidRPr="00EB74A8" w:rsidRDefault="00EE404D" w:rsidP="004A2FC7">
            <w:pPr>
              <w:pStyle w:val="Tabletextrightaligned"/>
            </w:pPr>
            <w:r w:rsidRPr="00EB74A8">
              <w:t>2,279</w:t>
            </w:r>
          </w:p>
        </w:tc>
        <w:tc>
          <w:tcPr>
            <w:tcW w:w="798" w:type="dxa"/>
          </w:tcPr>
          <w:p w14:paraId="02CECEA7" w14:textId="699E8904" w:rsidR="00CB06B8" w:rsidRPr="00EB74A8" w:rsidRDefault="00EE404D" w:rsidP="004A2FC7">
            <w:pPr>
              <w:pStyle w:val="Tabletextrightaligned"/>
            </w:pPr>
            <w:r w:rsidRPr="00EB74A8">
              <w:t>2,360</w:t>
            </w:r>
          </w:p>
        </w:tc>
        <w:tc>
          <w:tcPr>
            <w:tcW w:w="797" w:type="dxa"/>
          </w:tcPr>
          <w:p w14:paraId="52DA9922" w14:textId="1B70BBE9" w:rsidR="00CB06B8" w:rsidRPr="00EB74A8" w:rsidRDefault="00CA764F" w:rsidP="004A2FC7">
            <w:pPr>
              <w:pStyle w:val="Tabletextrightaligned"/>
            </w:pPr>
            <w:r w:rsidRPr="00EB74A8">
              <w:t>2,099</w:t>
            </w:r>
          </w:p>
        </w:tc>
        <w:tc>
          <w:tcPr>
            <w:tcW w:w="797" w:type="dxa"/>
          </w:tcPr>
          <w:p w14:paraId="27319D99" w14:textId="04F4122B" w:rsidR="00CB06B8" w:rsidRPr="00EB74A8" w:rsidRDefault="00CA764F" w:rsidP="004A2FC7">
            <w:pPr>
              <w:pStyle w:val="Tabletextrightaligned"/>
            </w:pPr>
            <w:r w:rsidRPr="00EB74A8">
              <w:t>563</w:t>
            </w:r>
          </w:p>
        </w:tc>
        <w:tc>
          <w:tcPr>
            <w:tcW w:w="797" w:type="dxa"/>
          </w:tcPr>
          <w:p w14:paraId="3577C4CF" w14:textId="22CB503B" w:rsidR="00CB06B8" w:rsidRPr="00EB74A8" w:rsidRDefault="00CA764F" w:rsidP="004A2FC7">
            <w:pPr>
              <w:pStyle w:val="Tabletextrightaligned"/>
            </w:pPr>
            <w:r w:rsidRPr="00EB74A8">
              <w:t>551</w:t>
            </w:r>
          </w:p>
        </w:tc>
        <w:tc>
          <w:tcPr>
            <w:tcW w:w="798" w:type="dxa"/>
          </w:tcPr>
          <w:p w14:paraId="4EC604F3" w14:textId="7A757073" w:rsidR="00CB06B8" w:rsidRPr="00EB74A8" w:rsidRDefault="00CA764F" w:rsidP="00F6426F">
            <w:pPr>
              <w:spacing w:before="60" w:after="60" w:line="240" w:lineRule="auto"/>
              <w:jc w:val="right"/>
            </w:pPr>
            <w:r w:rsidRPr="00EB74A8">
              <w:t>507</w:t>
            </w:r>
          </w:p>
        </w:tc>
      </w:tr>
      <w:tr w:rsidR="00CB06B8" w:rsidRPr="00EB74A8" w14:paraId="28D8640B" w14:textId="77777777" w:rsidTr="00A8520F">
        <w:trPr>
          <w:trHeight w:val="20"/>
        </w:trPr>
        <w:tc>
          <w:tcPr>
            <w:tcW w:w="2268" w:type="dxa"/>
          </w:tcPr>
          <w:p w14:paraId="56281E48" w14:textId="260FEED4" w:rsidR="00CB06B8" w:rsidRPr="00EB74A8" w:rsidRDefault="00CB06B8" w:rsidP="00891BD6">
            <w:pPr>
              <w:pStyle w:val="Tabletextindented"/>
            </w:pPr>
            <w:r w:rsidRPr="00EB74A8">
              <w:t>35–</w:t>
            </w:r>
            <w:r w:rsidR="00AD0A18" w:rsidRPr="00EB74A8">
              <w:t>44</w:t>
            </w:r>
          </w:p>
        </w:tc>
        <w:tc>
          <w:tcPr>
            <w:tcW w:w="656" w:type="dxa"/>
          </w:tcPr>
          <w:p w14:paraId="5C1E84AD" w14:textId="67F6495C" w:rsidR="00CB06B8" w:rsidRPr="00EB74A8" w:rsidRDefault="00CA764F" w:rsidP="004A2FC7">
            <w:pPr>
              <w:pStyle w:val="Tabletextrightaligned"/>
            </w:pPr>
            <w:r w:rsidRPr="00EB74A8">
              <w:t>1,335</w:t>
            </w:r>
          </w:p>
        </w:tc>
        <w:tc>
          <w:tcPr>
            <w:tcW w:w="797" w:type="dxa"/>
          </w:tcPr>
          <w:p w14:paraId="19D4B67E" w14:textId="17B64816" w:rsidR="00CB06B8" w:rsidRPr="00EB74A8" w:rsidRDefault="00CA764F" w:rsidP="004A2FC7">
            <w:pPr>
              <w:pStyle w:val="Tabletextrightaligned"/>
            </w:pPr>
            <w:r w:rsidRPr="00EB74A8">
              <w:t>1,500</w:t>
            </w:r>
          </w:p>
        </w:tc>
        <w:tc>
          <w:tcPr>
            <w:tcW w:w="797" w:type="dxa"/>
          </w:tcPr>
          <w:p w14:paraId="1069CADB" w14:textId="64E2B000" w:rsidR="00CB06B8" w:rsidRPr="00EB74A8" w:rsidRDefault="00CA764F" w:rsidP="004A2FC7">
            <w:pPr>
              <w:pStyle w:val="Tabletextrightaligned"/>
            </w:pPr>
            <w:r w:rsidRPr="00EB74A8">
              <w:t>1,645</w:t>
            </w:r>
          </w:p>
        </w:tc>
        <w:tc>
          <w:tcPr>
            <w:tcW w:w="798" w:type="dxa"/>
          </w:tcPr>
          <w:p w14:paraId="4597E72F" w14:textId="4E79947B" w:rsidR="00CB06B8" w:rsidRPr="00EB74A8" w:rsidRDefault="00CA764F" w:rsidP="004A2FC7">
            <w:pPr>
              <w:pStyle w:val="Tabletextrightaligned"/>
            </w:pPr>
            <w:r w:rsidRPr="00EB74A8">
              <w:t>1,715</w:t>
            </w:r>
          </w:p>
        </w:tc>
        <w:tc>
          <w:tcPr>
            <w:tcW w:w="797" w:type="dxa"/>
          </w:tcPr>
          <w:p w14:paraId="6F8CD5AE" w14:textId="2BAB09A4" w:rsidR="00CB06B8" w:rsidRPr="00EB74A8" w:rsidRDefault="00CA764F" w:rsidP="004A2FC7">
            <w:pPr>
              <w:pStyle w:val="Tabletextrightaligned"/>
            </w:pPr>
            <w:r w:rsidRPr="00EB74A8">
              <w:t>1,645</w:t>
            </w:r>
          </w:p>
        </w:tc>
        <w:tc>
          <w:tcPr>
            <w:tcW w:w="797" w:type="dxa"/>
          </w:tcPr>
          <w:p w14:paraId="08EE6BBA" w14:textId="44E593F2" w:rsidR="00CB06B8" w:rsidRPr="00EB74A8" w:rsidRDefault="00CA764F" w:rsidP="004A2FC7">
            <w:pPr>
              <w:pStyle w:val="Tabletextrightaligned"/>
            </w:pPr>
            <w:r w:rsidRPr="00EB74A8">
              <w:t>479</w:t>
            </w:r>
          </w:p>
        </w:tc>
        <w:tc>
          <w:tcPr>
            <w:tcW w:w="797" w:type="dxa"/>
          </w:tcPr>
          <w:p w14:paraId="3DA76742" w14:textId="685AAAAB" w:rsidR="00CB06B8" w:rsidRPr="00EB74A8" w:rsidRDefault="00CA764F" w:rsidP="004A2FC7">
            <w:pPr>
              <w:pStyle w:val="Tabletextrightaligned"/>
            </w:pPr>
            <w:r w:rsidRPr="00EB74A8">
              <w:t>455</w:t>
            </w:r>
          </w:p>
        </w:tc>
        <w:tc>
          <w:tcPr>
            <w:tcW w:w="798" w:type="dxa"/>
          </w:tcPr>
          <w:p w14:paraId="5A311AA7" w14:textId="5592AC51" w:rsidR="00CB06B8" w:rsidRPr="00EB74A8" w:rsidRDefault="00CA764F" w:rsidP="00F6426F">
            <w:pPr>
              <w:spacing w:before="60" w:after="60" w:line="240" w:lineRule="auto"/>
              <w:jc w:val="right"/>
            </w:pPr>
            <w:r w:rsidRPr="00EB74A8">
              <w:t>447</w:t>
            </w:r>
          </w:p>
        </w:tc>
      </w:tr>
      <w:tr w:rsidR="00CB06B8" w:rsidRPr="00EB74A8" w14:paraId="06701FE0"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1082B8A4" w14:textId="3F3826B7" w:rsidR="00CB06B8" w:rsidRPr="00EB74A8" w:rsidRDefault="00AD0A18" w:rsidP="00891BD6">
            <w:pPr>
              <w:pStyle w:val="Tabletextindented"/>
            </w:pPr>
            <w:r w:rsidRPr="00EB74A8">
              <w:t>45+</w:t>
            </w:r>
          </w:p>
        </w:tc>
        <w:tc>
          <w:tcPr>
            <w:tcW w:w="656" w:type="dxa"/>
          </w:tcPr>
          <w:p w14:paraId="01F2195D" w14:textId="2974EB7D" w:rsidR="00CB06B8" w:rsidRPr="00EB74A8" w:rsidRDefault="004165F5" w:rsidP="004A2FC7">
            <w:pPr>
              <w:pStyle w:val="Tabletextrightaligned"/>
            </w:pPr>
            <w:r w:rsidRPr="00EB74A8">
              <w:t>1,222</w:t>
            </w:r>
          </w:p>
        </w:tc>
        <w:tc>
          <w:tcPr>
            <w:tcW w:w="797" w:type="dxa"/>
          </w:tcPr>
          <w:p w14:paraId="3FC3B796" w14:textId="4A57A1D7" w:rsidR="00CB06B8" w:rsidRPr="00EB74A8" w:rsidRDefault="004165F5" w:rsidP="004A2FC7">
            <w:pPr>
              <w:pStyle w:val="Tabletextrightaligned"/>
            </w:pPr>
            <w:r w:rsidRPr="00EB74A8">
              <w:t>1,262</w:t>
            </w:r>
          </w:p>
        </w:tc>
        <w:tc>
          <w:tcPr>
            <w:tcW w:w="797" w:type="dxa"/>
          </w:tcPr>
          <w:p w14:paraId="5266D52D" w14:textId="381E60EA" w:rsidR="00CB06B8" w:rsidRPr="00EB74A8" w:rsidRDefault="004165F5" w:rsidP="004A2FC7">
            <w:pPr>
              <w:pStyle w:val="Tabletextrightaligned"/>
            </w:pPr>
            <w:r w:rsidRPr="00EB74A8">
              <w:t>1,405</w:t>
            </w:r>
          </w:p>
        </w:tc>
        <w:tc>
          <w:tcPr>
            <w:tcW w:w="798" w:type="dxa"/>
          </w:tcPr>
          <w:p w14:paraId="4E0D0E77" w14:textId="4F2636BD" w:rsidR="00CB06B8" w:rsidRPr="00EB74A8" w:rsidRDefault="004165F5" w:rsidP="004A2FC7">
            <w:pPr>
              <w:pStyle w:val="Tabletextrightaligned"/>
            </w:pPr>
            <w:r w:rsidRPr="00EB74A8">
              <w:t>1,549</w:t>
            </w:r>
          </w:p>
        </w:tc>
        <w:tc>
          <w:tcPr>
            <w:tcW w:w="797" w:type="dxa"/>
          </w:tcPr>
          <w:p w14:paraId="65F0D361" w14:textId="62DA3954" w:rsidR="00CB06B8" w:rsidRPr="00EB74A8" w:rsidRDefault="004165F5" w:rsidP="004A2FC7">
            <w:pPr>
              <w:pStyle w:val="Tabletextrightaligned"/>
            </w:pPr>
            <w:r w:rsidRPr="00EB74A8">
              <w:t>1,440</w:t>
            </w:r>
          </w:p>
        </w:tc>
        <w:tc>
          <w:tcPr>
            <w:tcW w:w="797" w:type="dxa"/>
          </w:tcPr>
          <w:p w14:paraId="62EA1C82" w14:textId="18599745" w:rsidR="00CB06B8" w:rsidRPr="00EB74A8" w:rsidRDefault="004165F5" w:rsidP="004A2FC7">
            <w:pPr>
              <w:pStyle w:val="Tabletextrightaligned"/>
            </w:pPr>
            <w:r w:rsidRPr="00EB74A8">
              <w:t>371</w:t>
            </w:r>
          </w:p>
        </w:tc>
        <w:tc>
          <w:tcPr>
            <w:tcW w:w="797" w:type="dxa"/>
          </w:tcPr>
          <w:p w14:paraId="4A54931F" w14:textId="3A7C8D8C" w:rsidR="00CB06B8" w:rsidRPr="00EB74A8" w:rsidRDefault="004165F5" w:rsidP="004A2FC7">
            <w:pPr>
              <w:pStyle w:val="Tabletextrightaligned"/>
            </w:pPr>
            <w:r w:rsidRPr="00EB74A8">
              <w:t>388</w:t>
            </w:r>
          </w:p>
        </w:tc>
        <w:tc>
          <w:tcPr>
            <w:tcW w:w="798" w:type="dxa"/>
          </w:tcPr>
          <w:p w14:paraId="299CFBAF" w14:textId="2EE25606" w:rsidR="00CB06B8" w:rsidRPr="00EB74A8" w:rsidRDefault="004165F5" w:rsidP="00F6426F">
            <w:pPr>
              <w:spacing w:before="60" w:after="60" w:line="240" w:lineRule="auto"/>
              <w:jc w:val="right"/>
            </w:pPr>
            <w:r w:rsidRPr="00EB74A8">
              <w:t>376</w:t>
            </w:r>
          </w:p>
        </w:tc>
      </w:tr>
      <w:tr w:rsidR="009E5803" w:rsidRPr="00EB74A8" w14:paraId="6A143496" w14:textId="77777777" w:rsidTr="00A8520F">
        <w:trPr>
          <w:trHeight w:val="20"/>
        </w:trPr>
        <w:tc>
          <w:tcPr>
            <w:tcW w:w="2268" w:type="dxa"/>
          </w:tcPr>
          <w:p w14:paraId="6031E01B" w14:textId="22113EAA" w:rsidR="009E5803" w:rsidRPr="00EB74A8" w:rsidRDefault="00AD0A18" w:rsidP="00060775">
            <w:pPr>
              <w:pStyle w:val="Tabletextleftaligned"/>
            </w:pPr>
            <w:r w:rsidRPr="00EB74A8">
              <w:t>Mean age at diagnosis</w:t>
            </w:r>
          </w:p>
        </w:tc>
        <w:tc>
          <w:tcPr>
            <w:tcW w:w="656" w:type="dxa"/>
          </w:tcPr>
          <w:p w14:paraId="746F56CE" w14:textId="77777777" w:rsidR="009E5803" w:rsidRPr="00EB74A8" w:rsidRDefault="009E5803" w:rsidP="003D6BC1">
            <w:pPr>
              <w:spacing w:before="60" w:after="60" w:line="240" w:lineRule="auto"/>
              <w:jc w:val="right"/>
            </w:pPr>
          </w:p>
        </w:tc>
        <w:tc>
          <w:tcPr>
            <w:tcW w:w="797" w:type="dxa"/>
          </w:tcPr>
          <w:p w14:paraId="6E62055C" w14:textId="77777777" w:rsidR="009E5803" w:rsidRPr="00EB74A8" w:rsidRDefault="009E5803" w:rsidP="003D6BC1">
            <w:pPr>
              <w:spacing w:before="60" w:after="60" w:line="240" w:lineRule="auto"/>
              <w:jc w:val="right"/>
            </w:pPr>
          </w:p>
        </w:tc>
        <w:tc>
          <w:tcPr>
            <w:tcW w:w="797" w:type="dxa"/>
          </w:tcPr>
          <w:p w14:paraId="4174833F" w14:textId="77777777" w:rsidR="009E5803" w:rsidRPr="00EB74A8" w:rsidRDefault="009E5803" w:rsidP="003D6BC1">
            <w:pPr>
              <w:spacing w:before="60" w:after="60" w:line="240" w:lineRule="auto"/>
              <w:jc w:val="right"/>
            </w:pPr>
          </w:p>
        </w:tc>
        <w:tc>
          <w:tcPr>
            <w:tcW w:w="798" w:type="dxa"/>
          </w:tcPr>
          <w:p w14:paraId="2DDBE639" w14:textId="77777777" w:rsidR="009E5803" w:rsidRPr="00EB74A8" w:rsidRDefault="009E5803" w:rsidP="003D6BC1">
            <w:pPr>
              <w:spacing w:before="60" w:after="60" w:line="240" w:lineRule="auto"/>
              <w:jc w:val="right"/>
            </w:pPr>
          </w:p>
        </w:tc>
        <w:tc>
          <w:tcPr>
            <w:tcW w:w="797" w:type="dxa"/>
          </w:tcPr>
          <w:p w14:paraId="681BE67B" w14:textId="77777777" w:rsidR="009E5803" w:rsidRPr="00EB74A8" w:rsidRDefault="009E5803" w:rsidP="003D6BC1">
            <w:pPr>
              <w:spacing w:before="60" w:after="60" w:line="240" w:lineRule="auto"/>
              <w:jc w:val="right"/>
            </w:pPr>
          </w:p>
        </w:tc>
        <w:tc>
          <w:tcPr>
            <w:tcW w:w="797" w:type="dxa"/>
          </w:tcPr>
          <w:p w14:paraId="1165EB5B" w14:textId="77777777" w:rsidR="009E5803" w:rsidRPr="00EB74A8" w:rsidRDefault="009E5803" w:rsidP="003D6BC1">
            <w:pPr>
              <w:spacing w:before="60" w:after="60" w:line="240" w:lineRule="auto"/>
              <w:jc w:val="right"/>
            </w:pPr>
          </w:p>
        </w:tc>
        <w:tc>
          <w:tcPr>
            <w:tcW w:w="797" w:type="dxa"/>
          </w:tcPr>
          <w:p w14:paraId="0E02C067" w14:textId="77777777" w:rsidR="009E5803" w:rsidRPr="00EB74A8" w:rsidRDefault="009E5803" w:rsidP="003D6BC1">
            <w:pPr>
              <w:spacing w:before="60" w:after="60" w:line="240" w:lineRule="auto"/>
              <w:jc w:val="right"/>
            </w:pPr>
          </w:p>
        </w:tc>
        <w:tc>
          <w:tcPr>
            <w:tcW w:w="798" w:type="dxa"/>
          </w:tcPr>
          <w:p w14:paraId="1A9BE7B1" w14:textId="77777777" w:rsidR="009E5803" w:rsidRPr="00EB74A8" w:rsidRDefault="009E5803" w:rsidP="00B21955">
            <w:pPr>
              <w:spacing w:before="60" w:after="60" w:line="240" w:lineRule="auto"/>
            </w:pPr>
          </w:p>
        </w:tc>
      </w:tr>
      <w:tr w:rsidR="00AD0A18" w:rsidRPr="00EB74A8" w14:paraId="396371CD"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62067712" w14:textId="11E0863A" w:rsidR="00AD0A18" w:rsidRPr="00EB74A8" w:rsidRDefault="00F652E9" w:rsidP="00891BD6">
            <w:pPr>
              <w:pStyle w:val="Tabletextindented"/>
            </w:pPr>
            <w:r w:rsidRPr="00EB74A8">
              <w:t>Female</w:t>
            </w:r>
          </w:p>
        </w:tc>
        <w:tc>
          <w:tcPr>
            <w:tcW w:w="656" w:type="dxa"/>
          </w:tcPr>
          <w:p w14:paraId="2D12E74D" w14:textId="3B650595" w:rsidR="00AD0A18" w:rsidRPr="00EB74A8" w:rsidRDefault="0064072A" w:rsidP="004A2FC7">
            <w:pPr>
              <w:pStyle w:val="Tabletextrightaligned"/>
            </w:pPr>
            <w:r w:rsidRPr="00EB74A8">
              <w:t>30</w:t>
            </w:r>
          </w:p>
        </w:tc>
        <w:tc>
          <w:tcPr>
            <w:tcW w:w="797" w:type="dxa"/>
          </w:tcPr>
          <w:p w14:paraId="49402ED1" w14:textId="1F7E7ABA" w:rsidR="00AD0A18" w:rsidRPr="00EB74A8" w:rsidRDefault="0064072A" w:rsidP="004A2FC7">
            <w:pPr>
              <w:pStyle w:val="Tabletextrightaligned"/>
            </w:pPr>
            <w:r w:rsidRPr="00EB74A8">
              <w:t>30</w:t>
            </w:r>
          </w:p>
        </w:tc>
        <w:tc>
          <w:tcPr>
            <w:tcW w:w="797" w:type="dxa"/>
          </w:tcPr>
          <w:p w14:paraId="3E50EA75" w14:textId="23227F50" w:rsidR="00AD0A18" w:rsidRPr="00EB74A8" w:rsidRDefault="0064072A" w:rsidP="004A2FC7">
            <w:pPr>
              <w:pStyle w:val="Tabletextrightaligned"/>
            </w:pPr>
            <w:r w:rsidRPr="00EB74A8">
              <w:t>31</w:t>
            </w:r>
          </w:p>
        </w:tc>
        <w:tc>
          <w:tcPr>
            <w:tcW w:w="798" w:type="dxa"/>
          </w:tcPr>
          <w:p w14:paraId="413F5EE0" w14:textId="6E14AFA7" w:rsidR="00AD0A18" w:rsidRPr="00EB74A8" w:rsidRDefault="0064072A" w:rsidP="004A2FC7">
            <w:pPr>
              <w:pStyle w:val="Tabletextrightaligned"/>
            </w:pPr>
            <w:r w:rsidRPr="00EB74A8">
              <w:t>32</w:t>
            </w:r>
          </w:p>
        </w:tc>
        <w:tc>
          <w:tcPr>
            <w:tcW w:w="797" w:type="dxa"/>
          </w:tcPr>
          <w:p w14:paraId="37277F15" w14:textId="5FF42189" w:rsidR="00AD0A18" w:rsidRPr="00EB74A8" w:rsidRDefault="0064072A" w:rsidP="004A2FC7">
            <w:pPr>
              <w:pStyle w:val="Tabletextrightaligned"/>
            </w:pPr>
            <w:r w:rsidRPr="00EB74A8">
              <w:t>33</w:t>
            </w:r>
          </w:p>
        </w:tc>
        <w:tc>
          <w:tcPr>
            <w:tcW w:w="797" w:type="dxa"/>
          </w:tcPr>
          <w:p w14:paraId="01431BF4" w14:textId="1E4AA61C" w:rsidR="00AD0A18" w:rsidRPr="00EB74A8" w:rsidRDefault="0064072A" w:rsidP="004A2FC7">
            <w:pPr>
              <w:pStyle w:val="Tabletextrightaligned"/>
            </w:pPr>
            <w:r w:rsidRPr="00EB74A8">
              <w:t>33</w:t>
            </w:r>
          </w:p>
        </w:tc>
        <w:tc>
          <w:tcPr>
            <w:tcW w:w="797" w:type="dxa"/>
          </w:tcPr>
          <w:p w14:paraId="06941285" w14:textId="3648213D" w:rsidR="00AD0A18" w:rsidRPr="00EB74A8" w:rsidRDefault="0064072A" w:rsidP="004A2FC7">
            <w:pPr>
              <w:pStyle w:val="Tabletextrightaligned"/>
            </w:pPr>
            <w:r w:rsidRPr="00EB74A8">
              <w:t>34</w:t>
            </w:r>
          </w:p>
        </w:tc>
        <w:tc>
          <w:tcPr>
            <w:tcW w:w="798" w:type="dxa"/>
          </w:tcPr>
          <w:p w14:paraId="7997389A" w14:textId="31F3F53C" w:rsidR="00AD0A18" w:rsidRPr="00EB74A8" w:rsidRDefault="0064072A" w:rsidP="00F6426F">
            <w:pPr>
              <w:spacing w:before="60" w:after="60" w:line="240" w:lineRule="auto"/>
              <w:jc w:val="right"/>
            </w:pPr>
            <w:r w:rsidRPr="00EB74A8">
              <w:t>33</w:t>
            </w:r>
          </w:p>
        </w:tc>
      </w:tr>
      <w:tr w:rsidR="00AD0A18" w:rsidRPr="00EB74A8" w14:paraId="31859691" w14:textId="77777777" w:rsidTr="00A8520F">
        <w:trPr>
          <w:trHeight w:val="20"/>
        </w:trPr>
        <w:tc>
          <w:tcPr>
            <w:tcW w:w="2268" w:type="dxa"/>
          </w:tcPr>
          <w:p w14:paraId="371197D2" w14:textId="544B2030" w:rsidR="00AD0A18" w:rsidRPr="00EB74A8" w:rsidRDefault="00F652E9" w:rsidP="00891BD6">
            <w:pPr>
              <w:pStyle w:val="Tabletextindented"/>
            </w:pPr>
            <w:r w:rsidRPr="00EB74A8">
              <w:t>Male</w:t>
            </w:r>
          </w:p>
        </w:tc>
        <w:tc>
          <w:tcPr>
            <w:tcW w:w="656" w:type="dxa"/>
          </w:tcPr>
          <w:p w14:paraId="38FA1EAB" w14:textId="4FCF525C" w:rsidR="00AD0A18" w:rsidRPr="00EB74A8" w:rsidRDefault="0064072A" w:rsidP="004A2FC7">
            <w:pPr>
              <w:pStyle w:val="Tabletextrightaligned"/>
            </w:pPr>
            <w:r w:rsidRPr="00EB74A8">
              <w:t>37</w:t>
            </w:r>
          </w:p>
        </w:tc>
        <w:tc>
          <w:tcPr>
            <w:tcW w:w="797" w:type="dxa"/>
          </w:tcPr>
          <w:p w14:paraId="6E77559E" w14:textId="509AA5C0" w:rsidR="00AD0A18" w:rsidRPr="00EB74A8" w:rsidRDefault="0064072A" w:rsidP="004A2FC7">
            <w:pPr>
              <w:pStyle w:val="Tabletextrightaligned"/>
            </w:pPr>
            <w:r w:rsidRPr="00EB74A8">
              <w:t>37</w:t>
            </w:r>
          </w:p>
        </w:tc>
        <w:tc>
          <w:tcPr>
            <w:tcW w:w="797" w:type="dxa"/>
          </w:tcPr>
          <w:p w14:paraId="731C83E2" w14:textId="38E4ADD6" w:rsidR="00AD0A18" w:rsidRPr="00EB74A8" w:rsidRDefault="0064072A" w:rsidP="004A2FC7">
            <w:pPr>
              <w:pStyle w:val="Tabletextrightaligned"/>
            </w:pPr>
            <w:r w:rsidRPr="00EB74A8">
              <w:t>38</w:t>
            </w:r>
          </w:p>
        </w:tc>
        <w:tc>
          <w:tcPr>
            <w:tcW w:w="798" w:type="dxa"/>
          </w:tcPr>
          <w:p w14:paraId="27FC6E1D" w14:textId="367626FE" w:rsidR="00AD0A18" w:rsidRPr="00EB74A8" w:rsidRDefault="0064072A" w:rsidP="004A2FC7">
            <w:pPr>
              <w:pStyle w:val="Tabletextrightaligned"/>
            </w:pPr>
            <w:r w:rsidRPr="00EB74A8">
              <w:t>38</w:t>
            </w:r>
          </w:p>
        </w:tc>
        <w:tc>
          <w:tcPr>
            <w:tcW w:w="797" w:type="dxa"/>
          </w:tcPr>
          <w:p w14:paraId="1A190F80" w14:textId="61CD85D4" w:rsidR="00AD0A18" w:rsidRPr="00EB74A8" w:rsidRDefault="0064072A" w:rsidP="004A2FC7">
            <w:pPr>
              <w:pStyle w:val="Tabletextrightaligned"/>
            </w:pPr>
            <w:r w:rsidRPr="00EB74A8">
              <w:t>38</w:t>
            </w:r>
          </w:p>
        </w:tc>
        <w:tc>
          <w:tcPr>
            <w:tcW w:w="797" w:type="dxa"/>
          </w:tcPr>
          <w:p w14:paraId="4E74677C" w14:textId="5A65763B" w:rsidR="00AD0A18" w:rsidRPr="00EB74A8" w:rsidRDefault="0064072A" w:rsidP="004A2FC7">
            <w:pPr>
              <w:pStyle w:val="Tabletextrightaligned"/>
            </w:pPr>
            <w:r w:rsidRPr="00EB74A8">
              <w:t>39</w:t>
            </w:r>
          </w:p>
        </w:tc>
        <w:tc>
          <w:tcPr>
            <w:tcW w:w="797" w:type="dxa"/>
          </w:tcPr>
          <w:p w14:paraId="62B2CC8C" w14:textId="15F502E1" w:rsidR="00AD0A18" w:rsidRPr="00EB74A8" w:rsidRDefault="0064072A" w:rsidP="004A2FC7">
            <w:pPr>
              <w:pStyle w:val="Tabletextrightaligned"/>
            </w:pPr>
            <w:r w:rsidRPr="00EB74A8">
              <w:t>39</w:t>
            </w:r>
          </w:p>
        </w:tc>
        <w:tc>
          <w:tcPr>
            <w:tcW w:w="798" w:type="dxa"/>
          </w:tcPr>
          <w:p w14:paraId="005E0229" w14:textId="004FE242" w:rsidR="00AD0A18" w:rsidRPr="00EB74A8" w:rsidRDefault="0064072A" w:rsidP="00F6426F">
            <w:pPr>
              <w:spacing w:before="60" w:after="60" w:line="240" w:lineRule="auto"/>
              <w:jc w:val="right"/>
            </w:pPr>
            <w:r w:rsidRPr="00EB74A8">
              <w:t>39</w:t>
            </w:r>
          </w:p>
        </w:tc>
      </w:tr>
      <w:tr w:rsidR="00AD0A18" w:rsidRPr="00EB74A8" w14:paraId="6BBBFF40"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6CEE10F1" w14:textId="4C92ADE2" w:rsidR="00AD0A18" w:rsidRPr="00EB74A8" w:rsidRDefault="00F652E9" w:rsidP="00891BD6">
            <w:pPr>
              <w:pStyle w:val="Tabletextindented"/>
            </w:pPr>
            <w:r w:rsidRPr="00EB74A8">
              <w:t>Overall</w:t>
            </w:r>
          </w:p>
        </w:tc>
        <w:tc>
          <w:tcPr>
            <w:tcW w:w="656" w:type="dxa"/>
          </w:tcPr>
          <w:p w14:paraId="040CD4BB" w14:textId="20D15D87" w:rsidR="00AD0A18" w:rsidRPr="00EB74A8" w:rsidRDefault="0064072A" w:rsidP="004A2FC7">
            <w:pPr>
              <w:pStyle w:val="Tabletextrightaligned"/>
            </w:pPr>
            <w:r w:rsidRPr="00EB74A8">
              <w:t>36</w:t>
            </w:r>
          </w:p>
        </w:tc>
        <w:tc>
          <w:tcPr>
            <w:tcW w:w="797" w:type="dxa"/>
          </w:tcPr>
          <w:p w14:paraId="7B49C20D" w14:textId="0D30ED67" w:rsidR="00AD0A18" w:rsidRPr="00EB74A8" w:rsidRDefault="00ED053F" w:rsidP="004A2FC7">
            <w:pPr>
              <w:pStyle w:val="Tabletextrightaligned"/>
            </w:pPr>
            <w:r w:rsidRPr="00EB74A8">
              <w:t>36</w:t>
            </w:r>
          </w:p>
        </w:tc>
        <w:tc>
          <w:tcPr>
            <w:tcW w:w="797" w:type="dxa"/>
          </w:tcPr>
          <w:p w14:paraId="57A66ECC" w14:textId="718B69B0" w:rsidR="00AD0A18" w:rsidRPr="00EB74A8" w:rsidRDefault="00ED053F" w:rsidP="004A2FC7">
            <w:pPr>
              <w:pStyle w:val="Tabletextrightaligned"/>
            </w:pPr>
            <w:r w:rsidRPr="00EB74A8">
              <w:t>36</w:t>
            </w:r>
          </w:p>
        </w:tc>
        <w:tc>
          <w:tcPr>
            <w:tcW w:w="798" w:type="dxa"/>
          </w:tcPr>
          <w:p w14:paraId="26F56E8A" w14:textId="37885B29" w:rsidR="00AD0A18" w:rsidRPr="00EB74A8" w:rsidRDefault="00ED053F" w:rsidP="004A2FC7">
            <w:pPr>
              <w:pStyle w:val="Tabletextrightaligned"/>
            </w:pPr>
            <w:r w:rsidRPr="00EB74A8">
              <w:t>37</w:t>
            </w:r>
          </w:p>
        </w:tc>
        <w:tc>
          <w:tcPr>
            <w:tcW w:w="797" w:type="dxa"/>
          </w:tcPr>
          <w:p w14:paraId="309E6339" w14:textId="69E57ACA" w:rsidR="00AD0A18" w:rsidRPr="00EB74A8" w:rsidRDefault="00ED053F" w:rsidP="004A2FC7">
            <w:pPr>
              <w:pStyle w:val="Tabletextrightaligned"/>
            </w:pPr>
            <w:r w:rsidRPr="00EB74A8">
              <w:t>37</w:t>
            </w:r>
          </w:p>
        </w:tc>
        <w:tc>
          <w:tcPr>
            <w:tcW w:w="797" w:type="dxa"/>
          </w:tcPr>
          <w:p w14:paraId="4751594C" w14:textId="7ADF981A" w:rsidR="00AD0A18" w:rsidRPr="00EB74A8" w:rsidRDefault="00ED053F" w:rsidP="004A2FC7">
            <w:pPr>
              <w:pStyle w:val="Tabletextrightaligned"/>
            </w:pPr>
            <w:r w:rsidRPr="00EB74A8">
              <w:t>37</w:t>
            </w:r>
          </w:p>
        </w:tc>
        <w:tc>
          <w:tcPr>
            <w:tcW w:w="797" w:type="dxa"/>
          </w:tcPr>
          <w:p w14:paraId="16DB9F6A" w14:textId="6766571D" w:rsidR="00AD0A18" w:rsidRPr="00EB74A8" w:rsidRDefault="00ED053F" w:rsidP="004A2FC7">
            <w:pPr>
              <w:pStyle w:val="Tabletextrightaligned"/>
            </w:pPr>
            <w:r w:rsidRPr="00EB74A8">
              <w:t>38</w:t>
            </w:r>
          </w:p>
        </w:tc>
        <w:tc>
          <w:tcPr>
            <w:tcW w:w="798" w:type="dxa"/>
          </w:tcPr>
          <w:p w14:paraId="027F6114" w14:textId="2A3DE9C8" w:rsidR="00AD0A18" w:rsidRPr="00EB74A8" w:rsidRDefault="00ED053F" w:rsidP="00F6426F">
            <w:pPr>
              <w:spacing w:before="60" w:after="60" w:line="240" w:lineRule="auto"/>
              <w:jc w:val="right"/>
            </w:pPr>
            <w:r w:rsidRPr="00EB74A8">
              <w:t>37</w:t>
            </w:r>
          </w:p>
        </w:tc>
      </w:tr>
      <w:tr w:rsidR="009E5803" w:rsidRPr="00EB74A8" w14:paraId="322F184E" w14:textId="77777777" w:rsidTr="00A8520F">
        <w:trPr>
          <w:trHeight w:val="20"/>
        </w:trPr>
        <w:tc>
          <w:tcPr>
            <w:tcW w:w="2268" w:type="dxa"/>
          </w:tcPr>
          <w:p w14:paraId="768234B5" w14:textId="7C9711E1" w:rsidR="009E5803" w:rsidRPr="00EB74A8" w:rsidRDefault="00F652E9" w:rsidP="00060775">
            <w:pPr>
              <w:pStyle w:val="Tabletextleftaligned"/>
            </w:pPr>
            <w:r w:rsidRPr="00EB74A8">
              <w:t>Indigenous status</w:t>
            </w:r>
          </w:p>
        </w:tc>
        <w:tc>
          <w:tcPr>
            <w:tcW w:w="656" w:type="dxa"/>
          </w:tcPr>
          <w:p w14:paraId="7C2D0DB2" w14:textId="77777777" w:rsidR="009E5803" w:rsidRPr="00EB74A8" w:rsidRDefault="009E5803" w:rsidP="003D6BC1">
            <w:pPr>
              <w:spacing w:before="60" w:after="60" w:line="240" w:lineRule="auto"/>
              <w:jc w:val="right"/>
            </w:pPr>
          </w:p>
        </w:tc>
        <w:tc>
          <w:tcPr>
            <w:tcW w:w="797" w:type="dxa"/>
          </w:tcPr>
          <w:p w14:paraId="67734EF0" w14:textId="77777777" w:rsidR="009E5803" w:rsidRPr="00EB74A8" w:rsidRDefault="009E5803" w:rsidP="003D6BC1">
            <w:pPr>
              <w:spacing w:before="60" w:after="60" w:line="240" w:lineRule="auto"/>
              <w:jc w:val="right"/>
            </w:pPr>
          </w:p>
        </w:tc>
        <w:tc>
          <w:tcPr>
            <w:tcW w:w="797" w:type="dxa"/>
          </w:tcPr>
          <w:p w14:paraId="4DA82EF8" w14:textId="77777777" w:rsidR="009E5803" w:rsidRPr="00EB74A8" w:rsidRDefault="009E5803" w:rsidP="003D6BC1">
            <w:pPr>
              <w:spacing w:before="60" w:after="60" w:line="240" w:lineRule="auto"/>
              <w:jc w:val="right"/>
            </w:pPr>
          </w:p>
        </w:tc>
        <w:tc>
          <w:tcPr>
            <w:tcW w:w="798" w:type="dxa"/>
          </w:tcPr>
          <w:p w14:paraId="481EBB82" w14:textId="77777777" w:rsidR="009E5803" w:rsidRPr="00EB74A8" w:rsidRDefault="009E5803" w:rsidP="003D6BC1">
            <w:pPr>
              <w:spacing w:before="60" w:after="60" w:line="240" w:lineRule="auto"/>
              <w:jc w:val="right"/>
            </w:pPr>
          </w:p>
        </w:tc>
        <w:tc>
          <w:tcPr>
            <w:tcW w:w="797" w:type="dxa"/>
          </w:tcPr>
          <w:p w14:paraId="5E0C34C7" w14:textId="77777777" w:rsidR="009E5803" w:rsidRPr="00EB74A8" w:rsidRDefault="009E5803" w:rsidP="003D6BC1">
            <w:pPr>
              <w:spacing w:before="60" w:after="60" w:line="240" w:lineRule="auto"/>
              <w:jc w:val="right"/>
            </w:pPr>
          </w:p>
        </w:tc>
        <w:tc>
          <w:tcPr>
            <w:tcW w:w="797" w:type="dxa"/>
          </w:tcPr>
          <w:p w14:paraId="1551AC3C" w14:textId="77777777" w:rsidR="009E5803" w:rsidRPr="00EB74A8" w:rsidRDefault="009E5803" w:rsidP="003D6BC1">
            <w:pPr>
              <w:spacing w:before="60" w:after="60" w:line="240" w:lineRule="auto"/>
              <w:jc w:val="right"/>
            </w:pPr>
          </w:p>
        </w:tc>
        <w:tc>
          <w:tcPr>
            <w:tcW w:w="797" w:type="dxa"/>
          </w:tcPr>
          <w:p w14:paraId="79492986" w14:textId="77777777" w:rsidR="009E5803" w:rsidRPr="00EB74A8" w:rsidRDefault="009E5803" w:rsidP="004A2FC7">
            <w:pPr>
              <w:spacing w:before="60" w:after="60" w:line="240" w:lineRule="auto"/>
              <w:jc w:val="right"/>
            </w:pPr>
          </w:p>
        </w:tc>
        <w:tc>
          <w:tcPr>
            <w:tcW w:w="798" w:type="dxa"/>
          </w:tcPr>
          <w:p w14:paraId="06CAEE92" w14:textId="77777777" w:rsidR="009E5803" w:rsidRPr="00EB74A8" w:rsidRDefault="009E5803" w:rsidP="00B21955">
            <w:pPr>
              <w:spacing w:before="60" w:after="60" w:line="240" w:lineRule="auto"/>
            </w:pPr>
          </w:p>
        </w:tc>
      </w:tr>
      <w:tr w:rsidR="00F652E9" w:rsidRPr="00EB74A8" w14:paraId="065483C2"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417F929A" w14:textId="7989C65B" w:rsidR="00F652E9" w:rsidRPr="00EB74A8" w:rsidRDefault="00F652E9" w:rsidP="00891BD6">
            <w:pPr>
              <w:pStyle w:val="Tabletextindented"/>
            </w:pPr>
            <w:r w:rsidRPr="00EB74A8">
              <w:t>Aboriginal or Torres Strait Islander</w:t>
            </w:r>
          </w:p>
        </w:tc>
        <w:tc>
          <w:tcPr>
            <w:tcW w:w="656" w:type="dxa"/>
          </w:tcPr>
          <w:p w14:paraId="5627EBB8" w14:textId="357E6F6D" w:rsidR="00F652E9" w:rsidRPr="00EB74A8" w:rsidRDefault="00ED053F" w:rsidP="004A2FC7">
            <w:pPr>
              <w:pStyle w:val="Tabletextrightaligned"/>
            </w:pPr>
            <w:r w:rsidRPr="00EB74A8">
              <w:t>929</w:t>
            </w:r>
          </w:p>
        </w:tc>
        <w:tc>
          <w:tcPr>
            <w:tcW w:w="797" w:type="dxa"/>
          </w:tcPr>
          <w:p w14:paraId="548AE083" w14:textId="090225AB" w:rsidR="00F652E9" w:rsidRPr="00EB74A8" w:rsidRDefault="00ED053F" w:rsidP="004A2FC7">
            <w:pPr>
              <w:pStyle w:val="Tabletextrightaligned"/>
            </w:pPr>
            <w:r w:rsidRPr="00EB74A8">
              <w:t>1,004</w:t>
            </w:r>
          </w:p>
        </w:tc>
        <w:tc>
          <w:tcPr>
            <w:tcW w:w="797" w:type="dxa"/>
          </w:tcPr>
          <w:p w14:paraId="6ED3E64A" w14:textId="0794784E" w:rsidR="00F652E9" w:rsidRPr="00EB74A8" w:rsidRDefault="00ED053F" w:rsidP="004A2FC7">
            <w:pPr>
              <w:pStyle w:val="Tabletextrightaligned"/>
            </w:pPr>
            <w:r w:rsidRPr="00EB74A8">
              <w:t>1,021</w:t>
            </w:r>
          </w:p>
        </w:tc>
        <w:tc>
          <w:tcPr>
            <w:tcW w:w="798" w:type="dxa"/>
          </w:tcPr>
          <w:p w14:paraId="5236A9E1" w14:textId="113804B0" w:rsidR="00F652E9" w:rsidRPr="00EB74A8" w:rsidRDefault="00ED053F" w:rsidP="004A2FC7">
            <w:pPr>
              <w:pStyle w:val="Tabletextrightaligned"/>
            </w:pPr>
            <w:r w:rsidRPr="00EB74A8">
              <w:t>1,063</w:t>
            </w:r>
          </w:p>
        </w:tc>
        <w:tc>
          <w:tcPr>
            <w:tcW w:w="797" w:type="dxa"/>
          </w:tcPr>
          <w:p w14:paraId="16200677" w14:textId="11CEC81A" w:rsidR="00F652E9" w:rsidRPr="00EB74A8" w:rsidRDefault="00ED053F" w:rsidP="004A2FC7">
            <w:pPr>
              <w:pStyle w:val="Tabletextrightaligned"/>
            </w:pPr>
            <w:r w:rsidRPr="00EB74A8">
              <w:t>1,009</w:t>
            </w:r>
          </w:p>
        </w:tc>
        <w:tc>
          <w:tcPr>
            <w:tcW w:w="797" w:type="dxa"/>
          </w:tcPr>
          <w:p w14:paraId="65A4C205" w14:textId="2A91052F" w:rsidR="00F652E9" w:rsidRPr="00EB74A8" w:rsidRDefault="008F37CD" w:rsidP="004A2FC7">
            <w:pPr>
              <w:pStyle w:val="Tabletextrightaligned"/>
            </w:pPr>
            <w:r w:rsidRPr="00EB74A8">
              <w:t>323</w:t>
            </w:r>
          </w:p>
        </w:tc>
        <w:tc>
          <w:tcPr>
            <w:tcW w:w="797" w:type="dxa"/>
          </w:tcPr>
          <w:p w14:paraId="7CB41BE5" w14:textId="10AFABD3" w:rsidR="00F652E9" w:rsidRPr="00EB74A8" w:rsidRDefault="008F37CD" w:rsidP="004A2FC7">
            <w:pPr>
              <w:pStyle w:val="Tabletextrightaligned"/>
            </w:pPr>
            <w:r w:rsidRPr="00EB74A8">
              <w:t>280</w:t>
            </w:r>
          </w:p>
        </w:tc>
        <w:tc>
          <w:tcPr>
            <w:tcW w:w="798" w:type="dxa"/>
          </w:tcPr>
          <w:p w14:paraId="249F177B" w14:textId="1C2068ED" w:rsidR="00F652E9" w:rsidRPr="00EB74A8" w:rsidRDefault="008F37CD" w:rsidP="00F6426F">
            <w:pPr>
              <w:spacing w:before="60" w:after="60" w:line="240" w:lineRule="auto"/>
              <w:jc w:val="right"/>
            </w:pPr>
            <w:r w:rsidRPr="00EB74A8">
              <w:t>288</w:t>
            </w:r>
          </w:p>
        </w:tc>
      </w:tr>
      <w:tr w:rsidR="00F652E9" w:rsidRPr="00EB74A8" w14:paraId="7A701AE0" w14:textId="77777777" w:rsidTr="00A8520F">
        <w:trPr>
          <w:trHeight w:val="20"/>
        </w:trPr>
        <w:tc>
          <w:tcPr>
            <w:tcW w:w="2268" w:type="dxa"/>
          </w:tcPr>
          <w:p w14:paraId="734F542F" w14:textId="5C4703F5" w:rsidR="00F652E9" w:rsidRPr="00EB74A8" w:rsidRDefault="00F652E9" w:rsidP="00891BD6">
            <w:pPr>
              <w:pStyle w:val="Tabletextindented"/>
            </w:pPr>
            <w:r w:rsidRPr="00EB74A8">
              <w:t>Non-Indigenous</w:t>
            </w:r>
          </w:p>
        </w:tc>
        <w:tc>
          <w:tcPr>
            <w:tcW w:w="656" w:type="dxa"/>
          </w:tcPr>
          <w:p w14:paraId="455D7D72" w14:textId="77E40A42" w:rsidR="00F652E9" w:rsidRPr="00EB74A8" w:rsidRDefault="008F37CD" w:rsidP="004A2FC7">
            <w:pPr>
              <w:pStyle w:val="Tabletextrightaligned"/>
            </w:pPr>
            <w:r w:rsidRPr="00EB74A8">
              <w:t>4,238</w:t>
            </w:r>
          </w:p>
        </w:tc>
        <w:tc>
          <w:tcPr>
            <w:tcW w:w="797" w:type="dxa"/>
          </w:tcPr>
          <w:p w14:paraId="2EA24752" w14:textId="70C0EFFA" w:rsidR="00F652E9" w:rsidRPr="00EB74A8" w:rsidRDefault="008F37CD" w:rsidP="004A2FC7">
            <w:pPr>
              <w:pStyle w:val="Tabletextrightaligned"/>
            </w:pPr>
            <w:r w:rsidRPr="00EB74A8">
              <w:t>4,486</w:t>
            </w:r>
          </w:p>
        </w:tc>
        <w:tc>
          <w:tcPr>
            <w:tcW w:w="797" w:type="dxa"/>
          </w:tcPr>
          <w:p w14:paraId="2296E484" w14:textId="196259D5" w:rsidR="00F652E9" w:rsidRPr="00EB74A8" w:rsidRDefault="008F37CD" w:rsidP="004A2FC7">
            <w:pPr>
              <w:pStyle w:val="Tabletextrightaligned"/>
            </w:pPr>
            <w:r w:rsidRPr="00EB74A8">
              <w:t>4,660</w:t>
            </w:r>
          </w:p>
        </w:tc>
        <w:tc>
          <w:tcPr>
            <w:tcW w:w="798" w:type="dxa"/>
          </w:tcPr>
          <w:p w14:paraId="11C9599F" w14:textId="1801355D" w:rsidR="00F652E9" w:rsidRPr="00EB74A8" w:rsidRDefault="008F37CD" w:rsidP="004A2FC7">
            <w:pPr>
              <w:pStyle w:val="Tabletextrightaligned"/>
            </w:pPr>
            <w:r w:rsidRPr="00EB74A8">
              <w:t>5,125</w:t>
            </w:r>
          </w:p>
        </w:tc>
        <w:tc>
          <w:tcPr>
            <w:tcW w:w="797" w:type="dxa"/>
          </w:tcPr>
          <w:p w14:paraId="747FEF0B" w14:textId="2A0E6CE8" w:rsidR="00F652E9" w:rsidRPr="00EB74A8" w:rsidRDefault="008F37CD" w:rsidP="004A2FC7">
            <w:pPr>
              <w:pStyle w:val="Tabletextrightaligned"/>
            </w:pPr>
            <w:r w:rsidRPr="00EB74A8">
              <w:t>4,653</w:t>
            </w:r>
          </w:p>
        </w:tc>
        <w:tc>
          <w:tcPr>
            <w:tcW w:w="797" w:type="dxa"/>
          </w:tcPr>
          <w:p w14:paraId="6B02615E" w14:textId="38F0B6F1" w:rsidR="00F652E9" w:rsidRPr="00EB74A8" w:rsidRDefault="008F37CD" w:rsidP="004A2FC7">
            <w:pPr>
              <w:pStyle w:val="Tabletextrightaligned"/>
            </w:pPr>
            <w:r w:rsidRPr="00EB74A8">
              <w:t>1,</w:t>
            </w:r>
            <w:r w:rsidR="00F94A65" w:rsidRPr="00EB74A8">
              <w:t>198</w:t>
            </w:r>
          </w:p>
        </w:tc>
        <w:tc>
          <w:tcPr>
            <w:tcW w:w="797" w:type="dxa"/>
          </w:tcPr>
          <w:p w14:paraId="555E5466" w14:textId="6B5267A3" w:rsidR="00F652E9" w:rsidRPr="00EB74A8" w:rsidRDefault="00F94A65" w:rsidP="004A2FC7">
            <w:pPr>
              <w:pStyle w:val="Tabletextrightaligned"/>
            </w:pPr>
            <w:r w:rsidRPr="00EB74A8">
              <w:t>1,183</w:t>
            </w:r>
          </w:p>
        </w:tc>
        <w:tc>
          <w:tcPr>
            <w:tcW w:w="798" w:type="dxa"/>
          </w:tcPr>
          <w:p w14:paraId="1ED8B3A2" w14:textId="68774129" w:rsidR="00F652E9" w:rsidRPr="00EB74A8" w:rsidRDefault="00F94A65" w:rsidP="00F6426F">
            <w:pPr>
              <w:spacing w:before="60" w:after="60" w:line="240" w:lineRule="auto"/>
              <w:jc w:val="right"/>
            </w:pPr>
            <w:r w:rsidRPr="00EB74A8">
              <w:t>1,159</w:t>
            </w:r>
          </w:p>
        </w:tc>
      </w:tr>
      <w:tr w:rsidR="00F652E9" w:rsidRPr="00EB74A8" w14:paraId="0B790730"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39C3F917" w14:textId="57C51B0E" w:rsidR="00F652E9" w:rsidRPr="00EB74A8" w:rsidRDefault="00F652E9" w:rsidP="00891BD6">
            <w:pPr>
              <w:pStyle w:val="Tabletextindented"/>
            </w:pPr>
            <w:r w:rsidRPr="00EB74A8">
              <w:t>Not reported</w:t>
            </w:r>
          </w:p>
        </w:tc>
        <w:tc>
          <w:tcPr>
            <w:tcW w:w="656" w:type="dxa"/>
          </w:tcPr>
          <w:p w14:paraId="2E37A89F" w14:textId="38E93450" w:rsidR="00F652E9" w:rsidRPr="00EB74A8" w:rsidRDefault="00F94A65" w:rsidP="004A2FC7">
            <w:pPr>
              <w:pStyle w:val="Tabletextrightaligned"/>
            </w:pPr>
            <w:r w:rsidRPr="00EB74A8">
              <w:t>195</w:t>
            </w:r>
          </w:p>
        </w:tc>
        <w:tc>
          <w:tcPr>
            <w:tcW w:w="797" w:type="dxa"/>
          </w:tcPr>
          <w:p w14:paraId="284C9742" w14:textId="79338243" w:rsidR="00F652E9" w:rsidRPr="00EB74A8" w:rsidRDefault="00F94A65" w:rsidP="004A2FC7">
            <w:pPr>
              <w:pStyle w:val="Tabletextrightaligned"/>
            </w:pPr>
            <w:r w:rsidRPr="00EB74A8">
              <w:t>275</w:t>
            </w:r>
          </w:p>
        </w:tc>
        <w:tc>
          <w:tcPr>
            <w:tcW w:w="797" w:type="dxa"/>
          </w:tcPr>
          <w:p w14:paraId="1D537AFF" w14:textId="34F14EEA" w:rsidR="00F652E9" w:rsidRPr="00EB74A8" w:rsidRDefault="00F94A65" w:rsidP="004A2FC7">
            <w:pPr>
              <w:pStyle w:val="Tabletextrightaligned"/>
            </w:pPr>
            <w:r w:rsidRPr="00EB74A8">
              <w:t>503</w:t>
            </w:r>
          </w:p>
        </w:tc>
        <w:tc>
          <w:tcPr>
            <w:tcW w:w="798" w:type="dxa"/>
          </w:tcPr>
          <w:p w14:paraId="26A24F12" w14:textId="2C591A2C" w:rsidR="00F652E9" w:rsidRPr="00EB74A8" w:rsidRDefault="006263FB" w:rsidP="004A2FC7">
            <w:pPr>
              <w:pStyle w:val="Tabletextrightaligned"/>
            </w:pPr>
            <w:r w:rsidRPr="00EB74A8">
              <w:t>378</w:t>
            </w:r>
          </w:p>
        </w:tc>
        <w:tc>
          <w:tcPr>
            <w:tcW w:w="797" w:type="dxa"/>
          </w:tcPr>
          <w:p w14:paraId="3BC0357D" w14:textId="341104FF" w:rsidR="00F652E9" w:rsidRPr="00EB74A8" w:rsidRDefault="006263FB" w:rsidP="004A2FC7">
            <w:pPr>
              <w:pStyle w:val="Tabletextrightaligned"/>
            </w:pPr>
            <w:r w:rsidRPr="00EB74A8">
              <w:t>315</w:t>
            </w:r>
          </w:p>
        </w:tc>
        <w:tc>
          <w:tcPr>
            <w:tcW w:w="797" w:type="dxa"/>
          </w:tcPr>
          <w:p w14:paraId="57D0CEFB" w14:textId="7B345254" w:rsidR="00F652E9" w:rsidRPr="00EB74A8" w:rsidRDefault="006263FB" w:rsidP="004A2FC7">
            <w:pPr>
              <w:pStyle w:val="Tabletextrightaligned"/>
            </w:pPr>
            <w:r w:rsidRPr="00EB74A8">
              <w:t>84</w:t>
            </w:r>
          </w:p>
        </w:tc>
        <w:tc>
          <w:tcPr>
            <w:tcW w:w="797" w:type="dxa"/>
          </w:tcPr>
          <w:p w14:paraId="00A15378" w14:textId="410A259D" w:rsidR="00F652E9" w:rsidRPr="00EB74A8" w:rsidRDefault="006263FB" w:rsidP="004A2FC7">
            <w:pPr>
              <w:pStyle w:val="Tabletextrightaligned"/>
            </w:pPr>
            <w:r w:rsidRPr="00EB74A8">
              <w:t>102</w:t>
            </w:r>
          </w:p>
        </w:tc>
        <w:tc>
          <w:tcPr>
            <w:tcW w:w="798" w:type="dxa"/>
          </w:tcPr>
          <w:p w14:paraId="480BE5BB" w14:textId="046F2CC3" w:rsidR="00F652E9" w:rsidRPr="00EB74A8" w:rsidRDefault="006263FB" w:rsidP="00F6426F">
            <w:pPr>
              <w:spacing w:before="60" w:after="60" w:line="240" w:lineRule="auto"/>
              <w:jc w:val="right"/>
            </w:pPr>
            <w:r w:rsidRPr="00EB74A8">
              <w:t>82</w:t>
            </w:r>
          </w:p>
        </w:tc>
      </w:tr>
      <w:tr w:rsidR="009E5803" w:rsidRPr="00EB74A8" w14:paraId="4584B114" w14:textId="77777777" w:rsidTr="00A8520F">
        <w:trPr>
          <w:trHeight w:val="20"/>
        </w:trPr>
        <w:tc>
          <w:tcPr>
            <w:tcW w:w="2268" w:type="dxa"/>
          </w:tcPr>
          <w:p w14:paraId="0CAD2D48" w14:textId="1ED945B5" w:rsidR="009E5803" w:rsidRPr="00EB74A8" w:rsidRDefault="00F652E9" w:rsidP="00060775">
            <w:pPr>
              <w:pStyle w:val="Tabletextleftaligned"/>
            </w:pPr>
            <w:r w:rsidRPr="00EB74A8">
              <w:t>Remoteness area</w:t>
            </w:r>
          </w:p>
        </w:tc>
        <w:tc>
          <w:tcPr>
            <w:tcW w:w="656" w:type="dxa"/>
          </w:tcPr>
          <w:p w14:paraId="6AAEDE7F" w14:textId="77777777" w:rsidR="009E5803" w:rsidRPr="00EB74A8" w:rsidRDefault="009E5803" w:rsidP="003D6BC1">
            <w:pPr>
              <w:spacing w:before="60" w:after="60" w:line="240" w:lineRule="auto"/>
              <w:jc w:val="right"/>
            </w:pPr>
          </w:p>
        </w:tc>
        <w:tc>
          <w:tcPr>
            <w:tcW w:w="797" w:type="dxa"/>
          </w:tcPr>
          <w:p w14:paraId="519AA8F2" w14:textId="77777777" w:rsidR="009E5803" w:rsidRPr="00EB74A8" w:rsidRDefault="009E5803" w:rsidP="003D6BC1">
            <w:pPr>
              <w:spacing w:before="60" w:after="60" w:line="240" w:lineRule="auto"/>
              <w:jc w:val="right"/>
            </w:pPr>
          </w:p>
        </w:tc>
        <w:tc>
          <w:tcPr>
            <w:tcW w:w="797" w:type="dxa"/>
          </w:tcPr>
          <w:p w14:paraId="35501A97" w14:textId="77777777" w:rsidR="009E5803" w:rsidRPr="00EB74A8" w:rsidRDefault="009E5803" w:rsidP="003D6BC1">
            <w:pPr>
              <w:spacing w:before="60" w:after="60" w:line="240" w:lineRule="auto"/>
              <w:jc w:val="right"/>
            </w:pPr>
          </w:p>
        </w:tc>
        <w:tc>
          <w:tcPr>
            <w:tcW w:w="798" w:type="dxa"/>
          </w:tcPr>
          <w:p w14:paraId="5D18E20E" w14:textId="77777777" w:rsidR="009E5803" w:rsidRPr="00EB74A8" w:rsidRDefault="009E5803" w:rsidP="003D6BC1">
            <w:pPr>
              <w:spacing w:before="60" w:after="60" w:line="240" w:lineRule="auto"/>
              <w:jc w:val="right"/>
            </w:pPr>
          </w:p>
        </w:tc>
        <w:tc>
          <w:tcPr>
            <w:tcW w:w="797" w:type="dxa"/>
          </w:tcPr>
          <w:p w14:paraId="1EA50CB4" w14:textId="77777777" w:rsidR="009E5803" w:rsidRPr="00EB74A8" w:rsidRDefault="009E5803" w:rsidP="003D6BC1">
            <w:pPr>
              <w:spacing w:before="60" w:after="60" w:line="240" w:lineRule="auto"/>
              <w:jc w:val="right"/>
            </w:pPr>
          </w:p>
        </w:tc>
        <w:tc>
          <w:tcPr>
            <w:tcW w:w="797" w:type="dxa"/>
          </w:tcPr>
          <w:p w14:paraId="3CE51228" w14:textId="77777777" w:rsidR="009E5803" w:rsidRPr="00EB74A8" w:rsidRDefault="009E5803" w:rsidP="003D6BC1">
            <w:pPr>
              <w:spacing w:before="60" w:after="60" w:line="240" w:lineRule="auto"/>
              <w:jc w:val="right"/>
            </w:pPr>
          </w:p>
        </w:tc>
        <w:tc>
          <w:tcPr>
            <w:tcW w:w="797" w:type="dxa"/>
          </w:tcPr>
          <w:p w14:paraId="3AF66E49" w14:textId="77777777" w:rsidR="009E5803" w:rsidRPr="00EB74A8" w:rsidRDefault="009E5803" w:rsidP="003D6BC1">
            <w:pPr>
              <w:spacing w:before="60" w:after="60" w:line="240" w:lineRule="auto"/>
              <w:jc w:val="right"/>
            </w:pPr>
          </w:p>
        </w:tc>
        <w:tc>
          <w:tcPr>
            <w:tcW w:w="798" w:type="dxa"/>
          </w:tcPr>
          <w:p w14:paraId="1AF1B3A0" w14:textId="77777777" w:rsidR="009E5803" w:rsidRPr="00EB74A8" w:rsidRDefault="009E5803" w:rsidP="00F6426F">
            <w:pPr>
              <w:spacing w:before="60" w:after="60" w:line="240" w:lineRule="auto"/>
              <w:jc w:val="right"/>
            </w:pPr>
          </w:p>
        </w:tc>
      </w:tr>
      <w:tr w:rsidR="00F652E9" w:rsidRPr="00EB74A8" w14:paraId="0B0E7DDB"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3B067144" w14:textId="4CA48E68" w:rsidR="00F652E9" w:rsidRPr="00EB74A8" w:rsidRDefault="00F652E9" w:rsidP="00891BD6">
            <w:pPr>
              <w:pStyle w:val="Tabletextindented"/>
            </w:pPr>
            <w:r w:rsidRPr="00EB74A8">
              <w:t>Major cities</w:t>
            </w:r>
          </w:p>
        </w:tc>
        <w:tc>
          <w:tcPr>
            <w:tcW w:w="656" w:type="dxa"/>
          </w:tcPr>
          <w:p w14:paraId="01340989" w14:textId="70B7E4D4" w:rsidR="00F652E9" w:rsidRPr="00EB74A8" w:rsidRDefault="006263FB" w:rsidP="004A2FC7">
            <w:pPr>
              <w:pStyle w:val="Tabletextrightaligned"/>
            </w:pPr>
            <w:r w:rsidRPr="00EB74A8">
              <w:t>4,080</w:t>
            </w:r>
          </w:p>
        </w:tc>
        <w:tc>
          <w:tcPr>
            <w:tcW w:w="797" w:type="dxa"/>
          </w:tcPr>
          <w:p w14:paraId="445E795A" w14:textId="0152AB9C" w:rsidR="00F652E9" w:rsidRPr="00EB74A8" w:rsidRDefault="006263FB" w:rsidP="004A2FC7">
            <w:pPr>
              <w:pStyle w:val="Tabletextrightaligned"/>
            </w:pPr>
            <w:r w:rsidRPr="00EB74A8">
              <w:t>4,415</w:t>
            </w:r>
          </w:p>
        </w:tc>
        <w:tc>
          <w:tcPr>
            <w:tcW w:w="797" w:type="dxa"/>
          </w:tcPr>
          <w:p w14:paraId="77624E74" w14:textId="24790986" w:rsidR="00F652E9" w:rsidRPr="00EB74A8" w:rsidRDefault="006263FB" w:rsidP="004A2FC7">
            <w:pPr>
              <w:pStyle w:val="Tabletextrightaligned"/>
            </w:pPr>
            <w:r w:rsidRPr="00EB74A8">
              <w:t>4,767</w:t>
            </w:r>
          </w:p>
        </w:tc>
        <w:tc>
          <w:tcPr>
            <w:tcW w:w="798" w:type="dxa"/>
          </w:tcPr>
          <w:p w14:paraId="1168BEDD" w14:textId="37A15235" w:rsidR="00F652E9" w:rsidRPr="00EB74A8" w:rsidRDefault="006263FB" w:rsidP="004A2FC7">
            <w:pPr>
              <w:pStyle w:val="Tabletextrightaligned"/>
            </w:pPr>
            <w:r w:rsidRPr="00EB74A8">
              <w:t>4,989</w:t>
            </w:r>
          </w:p>
        </w:tc>
        <w:tc>
          <w:tcPr>
            <w:tcW w:w="797" w:type="dxa"/>
          </w:tcPr>
          <w:p w14:paraId="7A6EEE89" w14:textId="072B0154" w:rsidR="00F652E9" w:rsidRPr="00EB74A8" w:rsidRDefault="006263FB" w:rsidP="004A2FC7">
            <w:pPr>
              <w:pStyle w:val="Tabletextrightaligned"/>
            </w:pPr>
            <w:r w:rsidRPr="00EB74A8">
              <w:t>4,480</w:t>
            </w:r>
          </w:p>
        </w:tc>
        <w:tc>
          <w:tcPr>
            <w:tcW w:w="797" w:type="dxa"/>
          </w:tcPr>
          <w:p w14:paraId="0CC1FE33" w14:textId="3F39AE0D" w:rsidR="00F652E9" w:rsidRPr="00EB74A8" w:rsidRDefault="001B4194" w:rsidP="004A2FC7">
            <w:pPr>
              <w:pStyle w:val="Tabletextrightaligned"/>
            </w:pPr>
            <w:r w:rsidRPr="00EB74A8">
              <w:t>1,175</w:t>
            </w:r>
          </w:p>
        </w:tc>
        <w:tc>
          <w:tcPr>
            <w:tcW w:w="797" w:type="dxa"/>
          </w:tcPr>
          <w:p w14:paraId="0941AAE5" w14:textId="27915546" w:rsidR="00F652E9" w:rsidRPr="00EB74A8" w:rsidRDefault="001B4194" w:rsidP="004A2FC7">
            <w:pPr>
              <w:pStyle w:val="Tabletextrightaligned"/>
            </w:pPr>
            <w:r w:rsidRPr="00EB74A8">
              <w:t>1,141</w:t>
            </w:r>
          </w:p>
        </w:tc>
        <w:tc>
          <w:tcPr>
            <w:tcW w:w="798" w:type="dxa"/>
          </w:tcPr>
          <w:p w14:paraId="3745C7CB" w14:textId="2672CD30" w:rsidR="00F652E9" w:rsidRPr="00EB74A8" w:rsidRDefault="001B4194" w:rsidP="00F6426F">
            <w:pPr>
              <w:spacing w:before="60" w:after="60" w:line="240" w:lineRule="auto"/>
              <w:jc w:val="right"/>
            </w:pPr>
            <w:r w:rsidRPr="00EB74A8">
              <w:t>1,132</w:t>
            </w:r>
          </w:p>
        </w:tc>
      </w:tr>
      <w:tr w:rsidR="00F652E9" w:rsidRPr="00EB74A8" w14:paraId="07125F08" w14:textId="77777777" w:rsidTr="00A8520F">
        <w:trPr>
          <w:trHeight w:val="20"/>
        </w:trPr>
        <w:tc>
          <w:tcPr>
            <w:tcW w:w="2268" w:type="dxa"/>
          </w:tcPr>
          <w:p w14:paraId="45FEFC7F" w14:textId="396516CD" w:rsidR="00F652E9" w:rsidRPr="00EB74A8" w:rsidRDefault="00F652E9" w:rsidP="00891BD6">
            <w:pPr>
              <w:pStyle w:val="Tabletextindented"/>
            </w:pPr>
            <w:r w:rsidRPr="00EB74A8">
              <w:t>Inner/outer regional</w:t>
            </w:r>
          </w:p>
        </w:tc>
        <w:tc>
          <w:tcPr>
            <w:tcW w:w="656" w:type="dxa"/>
          </w:tcPr>
          <w:p w14:paraId="622967FB" w14:textId="0E18B574" w:rsidR="00F652E9" w:rsidRPr="00EB74A8" w:rsidRDefault="001B4194" w:rsidP="004A2FC7">
            <w:pPr>
              <w:pStyle w:val="Tabletextrightaligned"/>
            </w:pPr>
            <w:r w:rsidRPr="00EB74A8">
              <w:t>665</w:t>
            </w:r>
          </w:p>
        </w:tc>
        <w:tc>
          <w:tcPr>
            <w:tcW w:w="797" w:type="dxa"/>
          </w:tcPr>
          <w:p w14:paraId="6986EBD6" w14:textId="0704211C" w:rsidR="00F652E9" w:rsidRPr="00EB74A8" w:rsidRDefault="001B4194" w:rsidP="004A2FC7">
            <w:pPr>
              <w:pStyle w:val="Tabletextrightaligned"/>
            </w:pPr>
            <w:r w:rsidRPr="00EB74A8">
              <w:t>607</w:t>
            </w:r>
          </w:p>
        </w:tc>
        <w:tc>
          <w:tcPr>
            <w:tcW w:w="797" w:type="dxa"/>
          </w:tcPr>
          <w:p w14:paraId="781260E8" w14:textId="75104706" w:rsidR="00F652E9" w:rsidRPr="00EB74A8" w:rsidRDefault="001B4194" w:rsidP="004A2FC7">
            <w:pPr>
              <w:pStyle w:val="Tabletextrightaligned"/>
            </w:pPr>
            <w:r w:rsidRPr="00EB74A8">
              <w:t>757</w:t>
            </w:r>
          </w:p>
        </w:tc>
        <w:tc>
          <w:tcPr>
            <w:tcW w:w="798" w:type="dxa"/>
          </w:tcPr>
          <w:p w14:paraId="741CA142" w14:textId="1BD05ED7" w:rsidR="00F652E9" w:rsidRPr="00EB74A8" w:rsidRDefault="001B4194" w:rsidP="004A2FC7">
            <w:pPr>
              <w:pStyle w:val="Tabletextrightaligned"/>
            </w:pPr>
            <w:r w:rsidRPr="00EB74A8">
              <w:t>913</w:t>
            </w:r>
          </w:p>
        </w:tc>
        <w:tc>
          <w:tcPr>
            <w:tcW w:w="797" w:type="dxa"/>
          </w:tcPr>
          <w:p w14:paraId="09636049" w14:textId="477638E7" w:rsidR="00F652E9" w:rsidRPr="00EB74A8" w:rsidRDefault="001B4194" w:rsidP="004A2FC7">
            <w:pPr>
              <w:pStyle w:val="Tabletextrightaligned"/>
            </w:pPr>
            <w:r w:rsidRPr="00EB74A8">
              <w:t>920</w:t>
            </w:r>
          </w:p>
        </w:tc>
        <w:tc>
          <w:tcPr>
            <w:tcW w:w="797" w:type="dxa"/>
          </w:tcPr>
          <w:p w14:paraId="44717502" w14:textId="231BF431" w:rsidR="00F652E9" w:rsidRPr="00EB74A8" w:rsidRDefault="001B4194" w:rsidP="004A2FC7">
            <w:pPr>
              <w:pStyle w:val="Tabletextrightaligned"/>
            </w:pPr>
            <w:r w:rsidRPr="00EB74A8">
              <w:t>241</w:t>
            </w:r>
          </w:p>
        </w:tc>
        <w:tc>
          <w:tcPr>
            <w:tcW w:w="797" w:type="dxa"/>
          </w:tcPr>
          <w:p w14:paraId="4FA2B92C" w14:textId="79064F95" w:rsidR="00F652E9" w:rsidRPr="00EB74A8" w:rsidRDefault="001B4194" w:rsidP="004A2FC7">
            <w:pPr>
              <w:pStyle w:val="Tabletextrightaligned"/>
            </w:pPr>
            <w:r w:rsidRPr="00EB74A8">
              <w:t>253</w:t>
            </w:r>
          </w:p>
        </w:tc>
        <w:tc>
          <w:tcPr>
            <w:tcW w:w="798" w:type="dxa"/>
          </w:tcPr>
          <w:p w14:paraId="30A6B8F5" w14:textId="4080A843" w:rsidR="00F652E9" w:rsidRPr="00EB74A8" w:rsidRDefault="00F310DC" w:rsidP="00F6426F">
            <w:pPr>
              <w:spacing w:before="60" w:after="60" w:line="240" w:lineRule="auto"/>
              <w:jc w:val="right"/>
            </w:pPr>
            <w:r w:rsidRPr="00EB74A8">
              <w:t>222</w:t>
            </w:r>
          </w:p>
        </w:tc>
      </w:tr>
      <w:tr w:rsidR="00F652E9" w:rsidRPr="00EB74A8" w14:paraId="540FD7FB" w14:textId="77777777" w:rsidTr="00A8520F">
        <w:trPr>
          <w:cnfStyle w:val="000000100000" w:firstRow="0" w:lastRow="0" w:firstColumn="0" w:lastColumn="0" w:oddVBand="0" w:evenVBand="0" w:oddHBand="1" w:evenHBand="0" w:firstRowFirstColumn="0" w:firstRowLastColumn="0" w:lastRowFirstColumn="0" w:lastRowLastColumn="0"/>
          <w:trHeight w:val="20"/>
        </w:trPr>
        <w:tc>
          <w:tcPr>
            <w:tcW w:w="2268" w:type="dxa"/>
          </w:tcPr>
          <w:p w14:paraId="66D46915" w14:textId="208D0662" w:rsidR="00F652E9" w:rsidRPr="00EB74A8" w:rsidRDefault="00F652E9" w:rsidP="00891BD6">
            <w:pPr>
              <w:pStyle w:val="Tabletextindented"/>
            </w:pPr>
            <w:r w:rsidRPr="00EB74A8">
              <w:t>Remote/very remote</w:t>
            </w:r>
          </w:p>
        </w:tc>
        <w:tc>
          <w:tcPr>
            <w:tcW w:w="656" w:type="dxa"/>
          </w:tcPr>
          <w:p w14:paraId="7DD026CA" w14:textId="1660970B" w:rsidR="00F652E9" w:rsidRPr="00EB74A8" w:rsidRDefault="00F310DC" w:rsidP="004A2FC7">
            <w:pPr>
              <w:pStyle w:val="Tabletextrightaligned"/>
            </w:pPr>
            <w:r w:rsidRPr="00EB74A8">
              <w:t>486</w:t>
            </w:r>
          </w:p>
        </w:tc>
        <w:tc>
          <w:tcPr>
            <w:tcW w:w="797" w:type="dxa"/>
          </w:tcPr>
          <w:p w14:paraId="356CFD42" w14:textId="5FCD2C13" w:rsidR="00F652E9" w:rsidRPr="00EB74A8" w:rsidRDefault="00F310DC" w:rsidP="004A2FC7">
            <w:pPr>
              <w:pStyle w:val="Tabletextrightaligned"/>
            </w:pPr>
            <w:r w:rsidRPr="00EB74A8">
              <w:t>573</w:t>
            </w:r>
          </w:p>
        </w:tc>
        <w:tc>
          <w:tcPr>
            <w:tcW w:w="797" w:type="dxa"/>
          </w:tcPr>
          <w:p w14:paraId="313C99C7" w14:textId="718CCCF4" w:rsidR="00F652E9" w:rsidRPr="00EB74A8" w:rsidRDefault="00F310DC" w:rsidP="004A2FC7">
            <w:pPr>
              <w:pStyle w:val="Tabletextrightaligned"/>
            </w:pPr>
            <w:r w:rsidRPr="00EB74A8">
              <w:t>463</w:t>
            </w:r>
          </w:p>
        </w:tc>
        <w:tc>
          <w:tcPr>
            <w:tcW w:w="798" w:type="dxa"/>
          </w:tcPr>
          <w:p w14:paraId="7CE44819" w14:textId="605207BD" w:rsidR="00F652E9" w:rsidRPr="00EB74A8" w:rsidRDefault="00F310DC" w:rsidP="004A2FC7">
            <w:pPr>
              <w:pStyle w:val="Tabletextrightaligned"/>
            </w:pPr>
            <w:r w:rsidRPr="00EB74A8">
              <w:t>470</w:t>
            </w:r>
          </w:p>
        </w:tc>
        <w:tc>
          <w:tcPr>
            <w:tcW w:w="797" w:type="dxa"/>
          </w:tcPr>
          <w:p w14:paraId="5CAEDAFF" w14:textId="6833F663" w:rsidR="00F652E9" w:rsidRPr="00EB74A8" w:rsidRDefault="00F310DC" w:rsidP="004A2FC7">
            <w:pPr>
              <w:pStyle w:val="Tabletextrightaligned"/>
            </w:pPr>
            <w:r w:rsidRPr="00EB74A8">
              <w:t>411</w:t>
            </w:r>
          </w:p>
        </w:tc>
        <w:tc>
          <w:tcPr>
            <w:tcW w:w="797" w:type="dxa"/>
          </w:tcPr>
          <w:p w14:paraId="3B14427A" w14:textId="4BB1AAE0" w:rsidR="00F652E9" w:rsidRPr="00EB74A8" w:rsidRDefault="00F310DC" w:rsidP="004A2FC7">
            <w:pPr>
              <w:pStyle w:val="Tabletextrightaligned"/>
            </w:pPr>
            <w:r w:rsidRPr="00EB74A8">
              <w:t>128</w:t>
            </w:r>
          </w:p>
        </w:tc>
        <w:tc>
          <w:tcPr>
            <w:tcW w:w="797" w:type="dxa"/>
          </w:tcPr>
          <w:p w14:paraId="134713FF" w14:textId="006C24A7" w:rsidR="00F652E9" w:rsidRPr="00EB74A8" w:rsidRDefault="00F310DC" w:rsidP="004A2FC7">
            <w:pPr>
              <w:pStyle w:val="Tabletextrightaligned"/>
            </w:pPr>
            <w:r w:rsidRPr="00EB74A8">
              <w:t>121</w:t>
            </w:r>
          </w:p>
        </w:tc>
        <w:tc>
          <w:tcPr>
            <w:tcW w:w="798" w:type="dxa"/>
          </w:tcPr>
          <w:p w14:paraId="28D6D0AA" w14:textId="07098DBF" w:rsidR="00F652E9" w:rsidRPr="00EB74A8" w:rsidRDefault="00F310DC" w:rsidP="00F6426F">
            <w:pPr>
              <w:spacing w:before="60" w:after="60" w:line="240" w:lineRule="auto"/>
              <w:jc w:val="right"/>
            </w:pPr>
            <w:r w:rsidRPr="00EB74A8">
              <w:t>129</w:t>
            </w:r>
          </w:p>
        </w:tc>
      </w:tr>
      <w:tr w:rsidR="00F652E9" w:rsidRPr="00EB74A8" w14:paraId="3658BF60" w14:textId="77777777" w:rsidTr="00A8520F">
        <w:trPr>
          <w:trHeight w:val="20"/>
        </w:trPr>
        <w:tc>
          <w:tcPr>
            <w:tcW w:w="2268" w:type="dxa"/>
          </w:tcPr>
          <w:p w14:paraId="7EDDAA4C" w14:textId="3C3D3562" w:rsidR="00F652E9" w:rsidRPr="00EB74A8" w:rsidRDefault="00F652E9" w:rsidP="00891BD6">
            <w:pPr>
              <w:pStyle w:val="Tabletextindented"/>
            </w:pPr>
            <w:r w:rsidRPr="00EB74A8">
              <w:t>Not reported</w:t>
            </w:r>
            <w:r w:rsidR="00A8520F" w:rsidRPr="00EB74A8">
              <w:t>/ overseas resident</w:t>
            </w:r>
          </w:p>
        </w:tc>
        <w:tc>
          <w:tcPr>
            <w:tcW w:w="656" w:type="dxa"/>
          </w:tcPr>
          <w:p w14:paraId="18DB17F4" w14:textId="22D871D5" w:rsidR="00F652E9" w:rsidRPr="00EB74A8" w:rsidRDefault="002A5E25" w:rsidP="004A2FC7">
            <w:pPr>
              <w:pStyle w:val="Tabletextrightaligned"/>
            </w:pPr>
            <w:r w:rsidRPr="00EB74A8">
              <w:t>131</w:t>
            </w:r>
          </w:p>
        </w:tc>
        <w:tc>
          <w:tcPr>
            <w:tcW w:w="797" w:type="dxa"/>
          </w:tcPr>
          <w:p w14:paraId="2832A650" w14:textId="5891EA98" w:rsidR="00F652E9" w:rsidRPr="00EB74A8" w:rsidRDefault="002A5E25" w:rsidP="004A2FC7">
            <w:pPr>
              <w:pStyle w:val="Tabletextrightaligned"/>
            </w:pPr>
            <w:r w:rsidRPr="00EB74A8">
              <w:t>170</w:t>
            </w:r>
          </w:p>
        </w:tc>
        <w:tc>
          <w:tcPr>
            <w:tcW w:w="797" w:type="dxa"/>
          </w:tcPr>
          <w:p w14:paraId="3A230728" w14:textId="2EE99FAF" w:rsidR="00F652E9" w:rsidRPr="00EB74A8" w:rsidRDefault="002A5E25" w:rsidP="004A2FC7">
            <w:pPr>
              <w:pStyle w:val="Tabletextrightaligned"/>
            </w:pPr>
            <w:r w:rsidRPr="00EB74A8">
              <w:t>197</w:t>
            </w:r>
          </w:p>
        </w:tc>
        <w:tc>
          <w:tcPr>
            <w:tcW w:w="798" w:type="dxa"/>
          </w:tcPr>
          <w:p w14:paraId="6CD656EE" w14:textId="32D0E832" w:rsidR="00F652E9" w:rsidRPr="00EB74A8" w:rsidRDefault="002A5E25" w:rsidP="004A2FC7">
            <w:pPr>
              <w:pStyle w:val="Tabletextrightaligned"/>
            </w:pPr>
            <w:r w:rsidRPr="00EB74A8">
              <w:t>194</w:t>
            </w:r>
          </w:p>
        </w:tc>
        <w:tc>
          <w:tcPr>
            <w:tcW w:w="797" w:type="dxa"/>
          </w:tcPr>
          <w:p w14:paraId="75D1DAA6" w14:textId="6E0CAE28" w:rsidR="00F652E9" w:rsidRPr="00EB74A8" w:rsidRDefault="002A5E25" w:rsidP="004A2FC7">
            <w:pPr>
              <w:pStyle w:val="Tabletextrightaligned"/>
            </w:pPr>
            <w:r w:rsidRPr="00EB74A8">
              <w:t>166</w:t>
            </w:r>
          </w:p>
        </w:tc>
        <w:tc>
          <w:tcPr>
            <w:tcW w:w="797" w:type="dxa"/>
          </w:tcPr>
          <w:p w14:paraId="0EBE0B9E" w14:textId="55A46AB5" w:rsidR="00F652E9" w:rsidRPr="00EB74A8" w:rsidRDefault="002A5E25" w:rsidP="004A2FC7">
            <w:pPr>
              <w:pStyle w:val="Tabletextrightaligned"/>
            </w:pPr>
            <w:r w:rsidRPr="00EB74A8">
              <w:t>61</w:t>
            </w:r>
          </w:p>
        </w:tc>
        <w:tc>
          <w:tcPr>
            <w:tcW w:w="797" w:type="dxa"/>
          </w:tcPr>
          <w:p w14:paraId="2BD062DF" w14:textId="20E0D3BA" w:rsidR="00F652E9" w:rsidRPr="00EB74A8" w:rsidRDefault="002A5E25" w:rsidP="004A2FC7">
            <w:pPr>
              <w:pStyle w:val="Tabletextrightaligned"/>
            </w:pPr>
            <w:r w:rsidRPr="00EB74A8">
              <w:t>50</w:t>
            </w:r>
          </w:p>
        </w:tc>
        <w:tc>
          <w:tcPr>
            <w:tcW w:w="798" w:type="dxa"/>
          </w:tcPr>
          <w:p w14:paraId="746DE0DF" w14:textId="3C0100F5" w:rsidR="00F652E9" w:rsidRPr="00EB74A8" w:rsidRDefault="002A5E25" w:rsidP="00F6426F">
            <w:pPr>
              <w:spacing w:before="60" w:after="60" w:line="240" w:lineRule="auto"/>
              <w:jc w:val="right"/>
            </w:pPr>
            <w:r w:rsidRPr="00EB74A8">
              <w:t>46</w:t>
            </w:r>
          </w:p>
        </w:tc>
      </w:tr>
    </w:tbl>
    <w:p w14:paraId="04EF0421" w14:textId="1C063A15" w:rsidR="0005643F" w:rsidRPr="00EB74A8" w:rsidRDefault="0005643F" w:rsidP="00206C3D">
      <w:pPr>
        <w:spacing w:before="0" w:after="0"/>
        <w:rPr>
          <w:rStyle w:val="Notetext"/>
        </w:rPr>
      </w:pPr>
      <w:r w:rsidRPr="00EB74A8">
        <w:rPr>
          <w:rStyle w:val="Notetext"/>
        </w:rPr>
        <w:t>Note:</w:t>
      </w:r>
    </w:p>
    <w:p w14:paraId="49684D3D" w14:textId="533B7180" w:rsidR="004505F2" w:rsidRPr="00EB74A8" w:rsidRDefault="00B11CC0" w:rsidP="00206C3D">
      <w:pPr>
        <w:spacing w:before="0" w:after="0"/>
        <w:rPr>
          <w:rStyle w:val="Notetext"/>
        </w:rPr>
      </w:pPr>
      <w:r w:rsidRPr="00EB74A8">
        <w:rPr>
          <w:rStyle w:val="Notetext"/>
        </w:rPr>
        <w:t>1</w:t>
      </w:r>
      <w:r w:rsidR="00206C3D" w:rsidRPr="00EB74A8">
        <w:rPr>
          <w:rStyle w:val="Notetext"/>
        </w:rPr>
        <w:t xml:space="preserve"> </w:t>
      </w:r>
      <w:r w:rsidR="0052703F" w:rsidRPr="00EB74A8">
        <w:rPr>
          <w:rStyle w:val="Notetext"/>
        </w:rPr>
        <w:t>People who reported their sex assigned at birth as a term other than male or female.</w:t>
      </w:r>
    </w:p>
    <w:p w14:paraId="72CF60D6" w14:textId="56DC6F02" w:rsidR="00B07C1A" w:rsidRPr="00EB74A8" w:rsidRDefault="00B07C1A" w:rsidP="00821A4F">
      <w:pPr>
        <w:pStyle w:val="Heading2"/>
      </w:pPr>
      <w:bookmarkStart w:id="22" w:name="_Toc225244421"/>
      <w:r w:rsidRPr="00EB74A8">
        <w:lastRenderedPageBreak/>
        <w:t>Indicator 2.1 – Notification rates</w:t>
      </w:r>
      <w:bookmarkEnd w:id="22"/>
    </w:p>
    <w:p w14:paraId="6BB24EF3" w14:textId="415B9E29" w:rsidR="007A7C8F" w:rsidRPr="00EB74A8" w:rsidRDefault="007A7C8F" w:rsidP="00821A4F">
      <w:pPr>
        <w:pStyle w:val="Boxemerald"/>
      </w:pPr>
      <w:r w:rsidRPr="00EB74A8">
        <w:t>2.1 Notification rate of infectious syphilis by Indigenous status, sex, age and remoteness area classification</w:t>
      </w:r>
    </w:p>
    <w:p w14:paraId="328BB4F1" w14:textId="6586A4DD" w:rsidR="007A7C8F" w:rsidRPr="00EB74A8" w:rsidRDefault="007A7C8F" w:rsidP="00D53FC6">
      <w:pPr>
        <w:pStyle w:val="Style2"/>
      </w:pPr>
      <w:r w:rsidRPr="00EB74A8">
        <w:t>Aboriginal and Torres Strait Islander males</w:t>
      </w:r>
    </w:p>
    <w:p w14:paraId="34A0A149" w14:textId="309C22AC" w:rsidR="00C61E0C" w:rsidRPr="00EB74A8" w:rsidRDefault="003004C0" w:rsidP="00821A4F">
      <w:pPr>
        <w:keepNext/>
      </w:pPr>
      <w:r w:rsidRPr="00EB74A8">
        <w:t>In Q</w:t>
      </w:r>
      <w:r w:rsidR="000521F8" w:rsidRPr="00EB74A8">
        <w:t>3</w:t>
      </w:r>
      <w:r w:rsidRPr="00EB74A8">
        <w:t xml:space="preserve"> 2025, notification rates among Aboriginal and Torres Strait Islander males decreased across most age groups in major cities and inner/outer regional areas compared to the 12-month quarterly mean. </w:t>
      </w:r>
      <w:r w:rsidR="00C61E0C" w:rsidRPr="00EB74A8">
        <w:t xml:space="preserve">Increases </w:t>
      </w:r>
      <w:r w:rsidR="00250973" w:rsidRPr="00EB74A8">
        <w:t xml:space="preserve">were reported in remote/very remote areas in all age groups except </w:t>
      </w:r>
      <w:proofErr w:type="gramStart"/>
      <w:r w:rsidR="00250973" w:rsidRPr="00EB74A8">
        <w:t>15-24 year olds</w:t>
      </w:r>
      <w:proofErr w:type="gramEnd"/>
      <w:r w:rsidR="006115ED" w:rsidRPr="00EB74A8">
        <w:t xml:space="preserve"> over the same comparison period.</w:t>
      </w:r>
    </w:p>
    <w:p w14:paraId="34A95459" w14:textId="36CFFFF6" w:rsidR="007A7C8F" w:rsidRPr="00EB74A8" w:rsidRDefault="003004C0" w:rsidP="00821A4F">
      <w:pPr>
        <w:keepNext/>
      </w:pPr>
      <w:r w:rsidRPr="00EB74A8">
        <w:t>The greatest notification rate increase compared to the 12-month quarterly mean w</w:t>
      </w:r>
      <w:r w:rsidR="00EB5F65" w:rsidRPr="00EB74A8">
        <w:t>ere</w:t>
      </w:r>
      <w:r w:rsidRPr="00EB74A8">
        <w:t xml:space="preserve"> reported in 45+ year olds in remote/very remote areas (</w:t>
      </w:r>
      <w:r w:rsidR="00E20C91" w:rsidRPr="00EB74A8">
        <w:t>60</w:t>
      </w:r>
      <w:r w:rsidRPr="00EB74A8">
        <w:t xml:space="preserve">%) and </w:t>
      </w:r>
      <w:r w:rsidR="00EB5F65" w:rsidRPr="00EB74A8">
        <w:t>major cities</w:t>
      </w:r>
      <w:r w:rsidRPr="00EB74A8">
        <w:t xml:space="preserve"> (</w:t>
      </w:r>
      <w:r w:rsidR="0033431E" w:rsidRPr="00EB74A8">
        <w:t>75</w:t>
      </w:r>
      <w:r w:rsidRPr="00EB74A8">
        <w:t>%)</w:t>
      </w:r>
      <w:r w:rsidR="007A7C8F" w:rsidRPr="00EB74A8">
        <w:t xml:space="preserve"> (Figure</w:t>
      </w:r>
      <w:r w:rsidR="00992A60" w:rsidRPr="00EB74A8">
        <w:t> </w:t>
      </w:r>
      <w:r w:rsidR="007A7C8F" w:rsidRPr="00EB74A8">
        <w:t>5a</w:t>
      </w:r>
      <w:r w:rsidR="007A3F2A" w:rsidRPr="00EB74A8">
        <w:t> </w:t>
      </w:r>
      <w:r w:rsidR="007A7C8F" w:rsidRPr="00EB74A8">
        <w:t>to</w:t>
      </w:r>
      <w:r w:rsidR="007A3F2A" w:rsidRPr="00EB74A8">
        <w:t> </w:t>
      </w:r>
      <w:r w:rsidR="00992A60" w:rsidRPr="00EB74A8">
        <w:t>5</w:t>
      </w:r>
      <w:r w:rsidR="007A7C8F" w:rsidRPr="00EB74A8">
        <w:t xml:space="preserve">c). </w:t>
      </w:r>
    </w:p>
    <w:p w14:paraId="5F15A928" w14:textId="77777777" w:rsidR="007A7C8F" w:rsidRPr="00EB74A8" w:rsidRDefault="007A7C8F" w:rsidP="00D53FC6">
      <w:pPr>
        <w:pStyle w:val="Style2"/>
      </w:pPr>
      <w:r w:rsidRPr="00EB74A8">
        <w:t>Non-Indigenous males</w:t>
      </w:r>
    </w:p>
    <w:p w14:paraId="5D0740AA" w14:textId="74256D4B" w:rsidR="007A7C8F" w:rsidRPr="00EB74A8" w:rsidRDefault="007A7C8F" w:rsidP="007A7C8F">
      <w:r w:rsidRPr="00EB74A8">
        <w:t>On average non-Indigenous males represent around 8</w:t>
      </w:r>
      <w:r w:rsidR="00594161" w:rsidRPr="00EB74A8">
        <w:t>0</w:t>
      </w:r>
      <w:r w:rsidRPr="00EB74A8">
        <w:t>% of all infectious syphilis notifications, with most of these cases reported in major cities of Australia (Figure</w:t>
      </w:r>
      <w:r w:rsidR="001A7CD9" w:rsidRPr="00EB74A8">
        <w:t> </w:t>
      </w:r>
      <w:r w:rsidRPr="00EB74A8">
        <w:t>5a). In Q</w:t>
      </w:r>
      <w:r w:rsidR="00275982" w:rsidRPr="00EB74A8">
        <w:t>3</w:t>
      </w:r>
      <w:r w:rsidRPr="00EB74A8">
        <w:t xml:space="preserve"> 202</w:t>
      </w:r>
      <w:r w:rsidR="001A47EE" w:rsidRPr="00EB74A8">
        <w:t>5</w:t>
      </w:r>
      <w:r w:rsidRPr="00EB74A8">
        <w:t>, notification rates in most age groups across all remoteness areas reported a decrease</w:t>
      </w:r>
      <w:r w:rsidR="001A47EE" w:rsidRPr="00EB74A8">
        <w:t xml:space="preserve"> or were similar </w:t>
      </w:r>
      <w:r w:rsidRPr="00EB74A8">
        <w:t xml:space="preserve">compared to the 12 month and 5 </w:t>
      </w:r>
      <w:proofErr w:type="gramStart"/>
      <w:r w:rsidRPr="00EB74A8">
        <w:t>year</w:t>
      </w:r>
      <w:proofErr w:type="gramEnd"/>
      <w:r w:rsidRPr="00EB74A8">
        <w:t xml:space="preserve"> quarterly mean (Figure</w:t>
      </w:r>
      <w:r w:rsidR="001A7CD9" w:rsidRPr="00EB74A8">
        <w:t> </w:t>
      </w:r>
      <w:r w:rsidRPr="00EB74A8">
        <w:t>5a</w:t>
      </w:r>
      <w:r w:rsidR="001A7CD9" w:rsidRPr="00EB74A8">
        <w:t> to </w:t>
      </w:r>
      <w:r w:rsidR="00B0246D" w:rsidRPr="00EB74A8">
        <w:t>5</w:t>
      </w:r>
      <w:r w:rsidRPr="00EB74A8">
        <w:t>c).</w:t>
      </w:r>
    </w:p>
    <w:p w14:paraId="7A48B17D" w14:textId="77777777" w:rsidR="007A7C8F" w:rsidRPr="00EB74A8" w:rsidRDefault="007A7C8F" w:rsidP="00D53FC6">
      <w:pPr>
        <w:pStyle w:val="Style2"/>
      </w:pPr>
      <w:r w:rsidRPr="00EB74A8">
        <w:t>Aboriginal and Torres Strait Islander females</w:t>
      </w:r>
    </w:p>
    <w:p w14:paraId="4991E49C" w14:textId="78981AD6" w:rsidR="00A926BE" w:rsidRPr="00EB74A8" w:rsidRDefault="004A6826" w:rsidP="007A7C8F">
      <w:r w:rsidRPr="00EB74A8">
        <w:t>In Q</w:t>
      </w:r>
      <w:r w:rsidR="00EA5AB6" w:rsidRPr="00EB74A8">
        <w:t>3</w:t>
      </w:r>
      <w:r w:rsidRPr="00EB74A8">
        <w:t xml:space="preserve"> 2025, Aboriginal and Torres Strait Islander females aged 15-24 years in remote/very remote areas recorded the highest notification rate among all population and geographical groups, with a </w:t>
      </w:r>
      <w:r w:rsidR="007E2369" w:rsidRPr="00EB74A8">
        <w:t xml:space="preserve">notification </w:t>
      </w:r>
      <w:r w:rsidRPr="00EB74A8">
        <w:t>rate of 2</w:t>
      </w:r>
      <w:r w:rsidR="00512087" w:rsidRPr="00EB74A8">
        <w:t>42</w:t>
      </w:r>
      <w:r w:rsidRPr="00EB74A8">
        <w:t xml:space="preserve"> per 100,000 (Figure 6c). </w:t>
      </w:r>
      <w:r w:rsidR="00F840D7" w:rsidRPr="00EB74A8">
        <w:t>Despite recording the highest</w:t>
      </w:r>
      <w:r w:rsidR="007E2369" w:rsidRPr="00EB74A8">
        <w:t xml:space="preserve"> notification</w:t>
      </w:r>
      <w:r w:rsidR="00F840D7" w:rsidRPr="00EB74A8">
        <w:t xml:space="preserve"> rate</w:t>
      </w:r>
      <w:r w:rsidR="00E16034" w:rsidRPr="00EB74A8">
        <w:t xml:space="preserve"> overall, this group observed decreases</w:t>
      </w:r>
      <w:r w:rsidR="00AF0E59" w:rsidRPr="00EB74A8">
        <w:t xml:space="preserve"> in Q3 2025</w:t>
      </w:r>
      <w:r w:rsidR="00E16034" w:rsidRPr="00EB74A8">
        <w:t xml:space="preserve"> </w:t>
      </w:r>
      <w:r w:rsidR="00AF0E59" w:rsidRPr="00EB74A8">
        <w:t xml:space="preserve">compared to the 12 month and 5 </w:t>
      </w:r>
      <w:proofErr w:type="gramStart"/>
      <w:r w:rsidR="00AF0E59" w:rsidRPr="00EB74A8">
        <w:t>year</w:t>
      </w:r>
      <w:proofErr w:type="gramEnd"/>
      <w:r w:rsidR="00AF0E59" w:rsidRPr="00EB74A8">
        <w:t xml:space="preserve"> quarterly mean, 13% and </w:t>
      </w:r>
      <w:r w:rsidR="00EB74A8" w:rsidRPr="00EB74A8">
        <w:t>25%,</w:t>
      </w:r>
      <w:r w:rsidR="00AF0E59" w:rsidRPr="00EB74A8">
        <w:t xml:space="preserve"> respectively.</w:t>
      </w:r>
      <w:r w:rsidR="00A926BE" w:rsidRPr="00EB74A8">
        <w:t xml:space="preserve"> </w:t>
      </w:r>
    </w:p>
    <w:p w14:paraId="51CE12A7" w14:textId="638782CD" w:rsidR="007A7C8F" w:rsidRPr="00EB74A8" w:rsidRDefault="00A926BE" w:rsidP="007A7C8F">
      <w:r w:rsidRPr="00EB74A8">
        <w:t xml:space="preserve">Across other </w:t>
      </w:r>
      <w:r w:rsidR="004A6826" w:rsidRPr="00EB74A8">
        <w:t>geographical areas</w:t>
      </w:r>
      <w:r w:rsidR="008E495B" w:rsidRPr="00EB74A8">
        <w:t xml:space="preserve"> and age groups,</w:t>
      </w:r>
      <w:r w:rsidR="004A6826" w:rsidRPr="00EB74A8">
        <w:t xml:space="preserve"> </w:t>
      </w:r>
      <w:r w:rsidR="008E495B" w:rsidRPr="00EB74A8">
        <w:t xml:space="preserve">the greatest </w:t>
      </w:r>
      <w:r w:rsidR="004A6826" w:rsidRPr="00EB74A8">
        <w:t xml:space="preserve">increases in notification rates compared to the </w:t>
      </w:r>
      <w:proofErr w:type="gramStart"/>
      <w:r w:rsidR="004A6826" w:rsidRPr="00EB74A8">
        <w:t>12 month</w:t>
      </w:r>
      <w:proofErr w:type="gramEnd"/>
      <w:r w:rsidR="004A6826" w:rsidRPr="00EB74A8">
        <w:t xml:space="preserve"> quarterly mean </w:t>
      </w:r>
      <w:r w:rsidR="008E495B" w:rsidRPr="00EB74A8">
        <w:t>were</w:t>
      </w:r>
      <w:r w:rsidR="004A6826" w:rsidRPr="00EB74A8">
        <w:t xml:space="preserve"> reported in </w:t>
      </w:r>
      <w:proofErr w:type="gramStart"/>
      <w:r w:rsidR="008E495B" w:rsidRPr="00EB74A8">
        <w:t>35-44 year olds</w:t>
      </w:r>
      <w:proofErr w:type="gramEnd"/>
      <w:r w:rsidR="008E495B" w:rsidRPr="00EB74A8">
        <w:t xml:space="preserve"> in remote/very remote areas </w:t>
      </w:r>
      <w:r w:rsidR="0066129E" w:rsidRPr="00EB74A8">
        <w:t>(47%) and inner/outer regional areas (33%)</w:t>
      </w:r>
      <w:r w:rsidR="004A6826" w:rsidRPr="00EB74A8">
        <w:t xml:space="preserve"> </w:t>
      </w:r>
      <w:r w:rsidR="007A7C8F" w:rsidRPr="00EB74A8">
        <w:t>(Figure</w:t>
      </w:r>
      <w:r w:rsidR="00282C87" w:rsidRPr="00EB74A8">
        <w:t> </w:t>
      </w:r>
      <w:r w:rsidR="007A7C8F" w:rsidRPr="00EB74A8">
        <w:t>6a</w:t>
      </w:r>
      <w:r w:rsidR="00282C87" w:rsidRPr="00EB74A8">
        <w:t> to 6</w:t>
      </w:r>
      <w:r w:rsidR="007A7C8F" w:rsidRPr="00EB74A8">
        <w:t xml:space="preserve">c). </w:t>
      </w:r>
    </w:p>
    <w:p w14:paraId="69AE6F73" w14:textId="77777777" w:rsidR="007A7C8F" w:rsidRPr="00EB74A8" w:rsidRDefault="007A7C8F" w:rsidP="00D53FC6">
      <w:pPr>
        <w:pStyle w:val="Style2"/>
      </w:pPr>
      <w:r w:rsidRPr="00EB74A8">
        <w:t>Non-Indigenous females</w:t>
      </w:r>
    </w:p>
    <w:p w14:paraId="63F6865C" w14:textId="5F1828CF" w:rsidR="007A7C8F" w:rsidRPr="00EB74A8" w:rsidRDefault="008F0E2E" w:rsidP="007A7C8F">
      <w:r w:rsidRPr="00EB74A8">
        <w:t>In Q</w:t>
      </w:r>
      <w:r w:rsidR="007F72E7" w:rsidRPr="00EB74A8">
        <w:t>3</w:t>
      </w:r>
      <w:r w:rsidRPr="00EB74A8">
        <w:t xml:space="preserve"> 2025, compared to the </w:t>
      </w:r>
      <w:proofErr w:type="gramStart"/>
      <w:r w:rsidRPr="00EB74A8">
        <w:t>12 month</w:t>
      </w:r>
      <w:proofErr w:type="gramEnd"/>
      <w:r w:rsidRPr="00EB74A8">
        <w:t xml:space="preserve"> quarterly mean, notification rates in non-Indigenous females showed small declines or remained similar across most age and geographical groups, except for females aged 45+ years in major cities of Australia </w:t>
      </w:r>
      <w:r w:rsidR="00517E24" w:rsidRPr="00EB74A8">
        <w:t xml:space="preserve">and inner/outer regional areas </w:t>
      </w:r>
      <w:r w:rsidRPr="00EB74A8">
        <w:t xml:space="preserve">where an increasing trend was observed (Figure 6a-c). Compared to the 5 </w:t>
      </w:r>
      <w:proofErr w:type="gramStart"/>
      <w:r w:rsidRPr="00EB74A8">
        <w:t>year</w:t>
      </w:r>
      <w:proofErr w:type="gramEnd"/>
      <w:r w:rsidRPr="00EB74A8">
        <w:t xml:space="preserve"> quarterly mean however considerable increases were reported in all age groups in major cities of Australia </w:t>
      </w:r>
      <w:r w:rsidR="007A7C8F" w:rsidRPr="00EB74A8">
        <w:t>(Figure</w:t>
      </w:r>
      <w:r w:rsidR="007A3F2A" w:rsidRPr="00EB74A8">
        <w:t> </w:t>
      </w:r>
      <w:r w:rsidR="007A7C8F" w:rsidRPr="00EB74A8">
        <w:t>6a</w:t>
      </w:r>
      <w:r w:rsidRPr="00EB74A8">
        <w:t xml:space="preserve"> to 6c</w:t>
      </w:r>
      <w:r w:rsidR="007A7C8F" w:rsidRPr="00EB74A8">
        <w:t>).</w:t>
      </w:r>
    </w:p>
    <w:p w14:paraId="5CC22A34" w14:textId="77777777" w:rsidR="002C634E" w:rsidRPr="00EB74A8" w:rsidRDefault="002C634E">
      <w:pPr>
        <w:spacing w:before="0" w:after="0" w:line="240" w:lineRule="auto"/>
        <w:rPr>
          <w:b/>
          <w:noProof/>
          <w:color w:val="033636" w:themeColor="text2"/>
        </w:rPr>
      </w:pPr>
      <w:r w:rsidRPr="00EB74A8">
        <w:br w:type="page"/>
      </w:r>
    </w:p>
    <w:p w14:paraId="3835EE14" w14:textId="4A9F9C24" w:rsidR="000C5179" w:rsidRPr="00EB74A8" w:rsidRDefault="000C5179" w:rsidP="000C5179">
      <w:pPr>
        <w:pStyle w:val="HeadingFigure"/>
      </w:pPr>
      <w:bookmarkStart w:id="23" w:name="_Toc224801182"/>
      <w:r w:rsidRPr="00EB74A8">
        <w:lastRenderedPageBreak/>
        <w:t>Notifications (number) and notification rate (per 100,000) of infectious syphilis reported in males, by Indigenous status, remoteness area, age, quarter, and year, 2020 to Q</w:t>
      </w:r>
      <w:r w:rsidR="002C634E" w:rsidRPr="00EB74A8">
        <w:t>3</w:t>
      </w:r>
      <w:r w:rsidRPr="00EB74A8">
        <w:t xml:space="preserve"> 202</w:t>
      </w:r>
      <w:r w:rsidR="002C634E" w:rsidRPr="00EB74A8">
        <w:t>5</w:t>
      </w:r>
      <w:r w:rsidR="0048633C" w:rsidRPr="00EB74A8">
        <w:rPr>
          <w:vertAlign w:val="superscript"/>
        </w:rPr>
        <w:t>1</w:t>
      </w:r>
      <w:r w:rsidRPr="00EB74A8">
        <w:t xml:space="preserve"> (a. Major cities, b. Inner and outer regional areas</w:t>
      </w:r>
      <w:r w:rsidR="007A77F8" w:rsidRPr="00EB74A8">
        <w:t>,</w:t>
      </w:r>
      <w:r w:rsidRPr="00EB74A8">
        <w:t xml:space="preserve"> c. Remote and very remote areas)</w:t>
      </w:r>
      <w:bookmarkEnd w:id="23"/>
      <w:r w:rsidRPr="00EB74A8">
        <w:t xml:space="preserve"> </w:t>
      </w:r>
    </w:p>
    <w:p w14:paraId="5089AC95" w14:textId="26EF7307" w:rsidR="002D3908" w:rsidRPr="00EB74A8" w:rsidRDefault="00D40D2D" w:rsidP="00C52BF8">
      <w:r w:rsidRPr="00EB74A8">
        <w:rPr>
          <w:noProof/>
        </w:rPr>
        <w:drawing>
          <wp:inline distT="0" distB="0" distL="0" distR="0" wp14:anchorId="1D2E5735" wp14:editId="78C34927">
            <wp:extent cx="6010275" cy="3914822"/>
            <wp:effectExtent l="0" t="0" r="0" b="9525"/>
            <wp:docPr id="161333790" name="Picture 1" descr="This figure shows the number and rate of infectious syphilis for Aboriginal and Torres Strait Islander males and for non-Indigenous males in major cities from 2020 to Q3 2025. It shows that, for both populations, the highest rates is among those aged 25 to 44 years. Although numbers are higher among non-Indigenous males, rates are consistently much higher among Aboriginal and Torres Strait Islander ma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3790" name="Picture 1" descr="This figure shows the number and rate of infectious syphilis for Aboriginal and Torres Strait Islander males and for non-Indigenous males in major cities from 2020 to Q3 2025. It shows that, for both populations, the highest rates is among those aged 25 to 44 years. Although numbers are higher among non-Indigenous males, rates are consistently much higher among Aboriginal and Torres Strait Islander males.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5120" cy="3924491"/>
                    </a:xfrm>
                    <a:prstGeom prst="rect">
                      <a:avLst/>
                    </a:prstGeom>
                    <a:noFill/>
                  </pic:spPr>
                </pic:pic>
              </a:graphicData>
            </a:graphic>
          </wp:inline>
        </w:drawing>
      </w:r>
    </w:p>
    <w:p w14:paraId="46578D72" w14:textId="762B98D2" w:rsidR="00D40D2D" w:rsidRPr="00EB74A8" w:rsidRDefault="002C634E" w:rsidP="00C52BF8">
      <w:r w:rsidRPr="00EB74A8">
        <w:rPr>
          <w:noProof/>
        </w:rPr>
        <w:drawing>
          <wp:inline distT="0" distB="0" distL="0" distR="0" wp14:anchorId="2CD1C2D4" wp14:editId="2981EF3A">
            <wp:extent cx="6048375" cy="3939639"/>
            <wp:effectExtent l="0" t="0" r="0" b="3810"/>
            <wp:docPr id="2116602143" name="Picture 2" descr=" This figure shows the number and rate of infectious syphilis for Aboriginal and Torres Strait Islander males and for non-Indigenous males in inner and outer regional areas from 2020 to Q3 2025. It shows that, for both populations, the highest rates is among those aged 25 to 44 years. Although numbers are higher among non-Indigenous males, rates are consistently much higher among Aboriginal and Torres Strait Islander 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02143" name="Picture 2" descr=" This figure shows the number and rate of infectious syphilis for Aboriginal and Torres Strait Islander males and for non-Indigenous males in inner and outer regional areas from 2020 to Q3 2025. It shows that, for both populations, the highest rates is among those aged 25 to 44 years. Although numbers are higher among non-Indigenous males, rates are consistently much higher among Aboriginal and Torres Strait Islander male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5911" cy="3951061"/>
                    </a:xfrm>
                    <a:prstGeom prst="rect">
                      <a:avLst/>
                    </a:prstGeom>
                    <a:noFill/>
                  </pic:spPr>
                </pic:pic>
              </a:graphicData>
            </a:graphic>
          </wp:inline>
        </w:drawing>
      </w:r>
    </w:p>
    <w:p w14:paraId="59C7AA00" w14:textId="1028EB81" w:rsidR="002C634E" w:rsidRPr="00EB74A8" w:rsidRDefault="002C634E" w:rsidP="00C52BF8">
      <w:r w:rsidRPr="00EB74A8">
        <w:rPr>
          <w:noProof/>
        </w:rPr>
        <w:lastRenderedPageBreak/>
        <w:drawing>
          <wp:inline distT="0" distB="0" distL="0" distR="0" wp14:anchorId="12F85CEB" wp14:editId="3B00D1EB">
            <wp:extent cx="6024826" cy="3924300"/>
            <wp:effectExtent l="0" t="0" r="0" b="0"/>
            <wp:docPr id="819797470" name="Picture 3" descr="This figure shows the number and rate of infectious syphilis for Aboriginal and Torres Strait Islander males and for non-Indigenous males in remote and very remote areas from 2020 to Q3 2025. It shows that both numbers and rates are much higher among Aboriginal and Torres Strait Islander males. The highest rate is among those aged 15 to 24 years across mos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97470" name="Picture 3" descr="This figure shows the number and rate of infectious syphilis for Aboriginal and Torres Strait Islander males and for non-Indigenous males in remote and very remote areas from 2020 to Q3 2025. It shows that both numbers and rates are much higher among Aboriginal and Torres Strait Islander males. The highest rate is among those aged 15 to 24 years across most yea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4208" cy="3949952"/>
                    </a:xfrm>
                    <a:prstGeom prst="rect">
                      <a:avLst/>
                    </a:prstGeom>
                    <a:noFill/>
                  </pic:spPr>
                </pic:pic>
              </a:graphicData>
            </a:graphic>
          </wp:inline>
        </w:drawing>
      </w:r>
    </w:p>
    <w:p w14:paraId="7A144D6D" w14:textId="77777777" w:rsidR="0048633C" w:rsidRPr="00EB74A8" w:rsidRDefault="00C52BF8" w:rsidP="00206C3D">
      <w:pPr>
        <w:spacing w:before="0" w:after="0"/>
        <w:rPr>
          <w:rStyle w:val="Notetext"/>
        </w:rPr>
      </w:pPr>
      <w:bookmarkStart w:id="24" w:name="_Hlk222384420"/>
      <w:r w:rsidRPr="00EB74A8">
        <w:rPr>
          <w:rStyle w:val="Notetext"/>
        </w:rPr>
        <w:t>Note:</w:t>
      </w:r>
    </w:p>
    <w:p w14:paraId="40CFBF0F" w14:textId="668E91CA" w:rsidR="00C52BF8" w:rsidRPr="00EB74A8" w:rsidRDefault="0048633C" w:rsidP="00206C3D">
      <w:pPr>
        <w:spacing w:before="0" w:after="0"/>
        <w:rPr>
          <w:rStyle w:val="Notetext"/>
        </w:rPr>
      </w:pPr>
      <w:r w:rsidRPr="00EB74A8">
        <w:rPr>
          <w:rStyle w:val="Notetext"/>
        </w:rPr>
        <w:t xml:space="preserve">1. </w:t>
      </w:r>
      <w:r w:rsidR="00C52BF8" w:rsidRPr="00EB74A8">
        <w:rPr>
          <w:rStyle w:val="Notetext"/>
        </w:rPr>
        <w:t>Excludes cases whose sex, age, Indigenous status and/or residential postcode were not reported.</w:t>
      </w:r>
      <w:bookmarkEnd w:id="24"/>
    </w:p>
    <w:p w14:paraId="4F64A6C3" w14:textId="77777777" w:rsidR="00CF51AB" w:rsidRPr="00EB74A8" w:rsidRDefault="00CF51AB">
      <w:pPr>
        <w:spacing w:before="0" w:after="0" w:line="240" w:lineRule="auto"/>
        <w:rPr>
          <w:b/>
          <w:noProof/>
          <w:color w:val="033636" w:themeColor="text2"/>
        </w:rPr>
      </w:pPr>
      <w:r w:rsidRPr="00EB74A8">
        <w:br w:type="page"/>
      </w:r>
    </w:p>
    <w:p w14:paraId="0EA378F0" w14:textId="6F489AB9" w:rsidR="002D3908" w:rsidRPr="00EB74A8" w:rsidRDefault="002D3908" w:rsidP="00C52BF8">
      <w:pPr>
        <w:pStyle w:val="HeadingFigure"/>
      </w:pPr>
      <w:bookmarkStart w:id="25" w:name="_Toc224801183"/>
      <w:r w:rsidRPr="00EB74A8">
        <w:lastRenderedPageBreak/>
        <w:t>Notifications (n</w:t>
      </w:r>
      <w:r w:rsidR="00C52BF8" w:rsidRPr="00EB74A8">
        <w:t>umber</w:t>
      </w:r>
      <w:r w:rsidRPr="00EB74A8">
        <w:t xml:space="preserve">) and notification rate (per 100,000) of infectious syphilis reported in females, by Indigenous status, remoteness area, age, quarter, and year, 2020 </w:t>
      </w:r>
      <w:r w:rsidR="00C52BF8" w:rsidRPr="00EB74A8">
        <w:t>to</w:t>
      </w:r>
      <w:r w:rsidRPr="00EB74A8">
        <w:t xml:space="preserve"> Q</w:t>
      </w:r>
      <w:r w:rsidR="00CE1B85" w:rsidRPr="00EB74A8">
        <w:t>3</w:t>
      </w:r>
      <w:r w:rsidRPr="00EB74A8">
        <w:t xml:space="preserve"> 202</w:t>
      </w:r>
      <w:r w:rsidR="00CE1B85" w:rsidRPr="00EB74A8">
        <w:t>5</w:t>
      </w:r>
      <w:r w:rsidR="00335E3E" w:rsidRPr="00EB74A8">
        <w:rPr>
          <w:vertAlign w:val="superscript"/>
        </w:rPr>
        <w:t>1</w:t>
      </w:r>
      <w:r w:rsidRPr="00EB74A8">
        <w:t xml:space="preserve"> (a. Major cities, b. Inner and outer regional areas</w:t>
      </w:r>
      <w:r w:rsidR="00692F26" w:rsidRPr="00EB74A8">
        <w:t>,</w:t>
      </w:r>
      <w:r w:rsidRPr="00EB74A8">
        <w:t xml:space="preserve"> c. Remote and very remote area</w:t>
      </w:r>
      <w:r w:rsidR="00A6159E" w:rsidRPr="00EB74A8">
        <w:t>s</w:t>
      </w:r>
      <w:r w:rsidRPr="00EB74A8">
        <w:t>)</w:t>
      </w:r>
      <w:bookmarkEnd w:id="25"/>
    </w:p>
    <w:p w14:paraId="00CBE84F" w14:textId="67036938" w:rsidR="002D3908" w:rsidRPr="00EB74A8" w:rsidRDefault="00C31EBD" w:rsidP="002D3908">
      <w:r w:rsidRPr="00EB74A8">
        <w:rPr>
          <w:noProof/>
        </w:rPr>
        <w:drawing>
          <wp:inline distT="0" distB="0" distL="0" distR="0" wp14:anchorId="219C6E46" wp14:editId="70FD2852">
            <wp:extent cx="6071621" cy="3954780"/>
            <wp:effectExtent l="0" t="0" r="5715" b="7620"/>
            <wp:docPr id="897630213" name="Picture 2" descr="This figure shows the number and rate of infectious syphilis for Aboriginal and Torres Strait Islander females and for non-Indigenous females in major cities from 2020 to Q3 2025. It shows that, for both populations, the highest rates is among those aged 25 to 34 years. Although numbers are higher among non-Indigenous females, rates are consistently much higher among Aboriginal and Torres Strait Islander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30213" name="Picture 2" descr="This figure shows the number and rate of infectious syphilis for Aboriginal and Torres Strait Islander females and for non-Indigenous females in major cities from 2020 to Q3 2025. It shows that, for both populations, the highest rates is among those aged 25 to 34 years. Although numbers are higher among non-Indigenous females, rates are consistently much higher among Aboriginal and Torres Strait Islander fema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0355" cy="3960469"/>
                    </a:xfrm>
                    <a:prstGeom prst="rect">
                      <a:avLst/>
                    </a:prstGeom>
                    <a:noFill/>
                  </pic:spPr>
                </pic:pic>
              </a:graphicData>
            </a:graphic>
          </wp:inline>
        </w:drawing>
      </w:r>
    </w:p>
    <w:p w14:paraId="17D9BDD9" w14:textId="7FB92D34" w:rsidR="00527D14" w:rsidRPr="00EB74A8" w:rsidRDefault="00527D14" w:rsidP="002D3908">
      <w:r w:rsidRPr="00EB74A8">
        <w:rPr>
          <w:noProof/>
        </w:rPr>
        <w:drawing>
          <wp:inline distT="0" distB="0" distL="0" distR="0" wp14:anchorId="3176614A" wp14:editId="3769CD7E">
            <wp:extent cx="6029325" cy="3927231"/>
            <wp:effectExtent l="0" t="0" r="0" b="0"/>
            <wp:docPr id="226608415" name="Picture 5" descr="This figure shows the number and rate of infectious syphilis for Aboriginal and Torres Strait Islander females and for non-Indigenous females in inner and outer regional areas from 2020 to Q3 2025. It shows that, for both populations, the highest rates is among those aged 25 to 34 years. Although numbers are fairly similar across both populations, rates are consistently much higher among Aboriginal and Torres Strait Islander fema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08415" name="Picture 5" descr="This figure shows the number and rate of infectious syphilis for Aboriginal and Torres Strait Islander females and for non-Indigenous females in inner and outer regional areas from 2020 to Q3 2025. It shows that, for both populations, the highest rates is among those aged 25 to 34 years. Although numbers are fairly similar across both populations, rates are consistently much higher among Aboriginal and Torres Strait Islander females.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50819" cy="3941231"/>
                    </a:xfrm>
                    <a:prstGeom prst="rect">
                      <a:avLst/>
                    </a:prstGeom>
                    <a:noFill/>
                  </pic:spPr>
                </pic:pic>
              </a:graphicData>
            </a:graphic>
          </wp:inline>
        </w:drawing>
      </w:r>
    </w:p>
    <w:p w14:paraId="7FF14A55" w14:textId="3CD946A9" w:rsidR="00527D14" w:rsidRPr="00EB74A8" w:rsidRDefault="00CE1B85" w:rsidP="002D3908">
      <w:r w:rsidRPr="00EB74A8">
        <w:rPr>
          <w:noProof/>
        </w:rPr>
        <w:lastRenderedPageBreak/>
        <w:drawing>
          <wp:inline distT="0" distB="0" distL="0" distR="0" wp14:anchorId="07482C15" wp14:editId="2010967C">
            <wp:extent cx="6029325" cy="3927230"/>
            <wp:effectExtent l="0" t="0" r="0" b="0"/>
            <wp:docPr id="198078613" name="Picture 6" descr="This figure shows the number and rate of infectious syphilis for Aboriginal and Torres Strait Islander females and for non-Indigenous females in remote and very remote areas from 2020 to Q3 2025. It shows that both numbers and rates are much higher among Aboriginal and Torres Strait Islander females. The highest rate is among those aged 15 to 24 years across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8613" name="Picture 6" descr="This figure shows the number and rate of infectious syphilis for Aboriginal and Torres Strait Islander females and for non-Indigenous females in remote and very remote areas from 2020 to Q3 2025. It shows that both numbers and rates are much higher among Aboriginal and Torres Strait Islander females. The highest rate is among those aged 15 to 24 years across all yea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1241" cy="3934992"/>
                    </a:xfrm>
                    <a:prstGeom prst="rect">
                      <a:avLst/>
                    </a:prstGeom>
                    <a:noFill/>
                  </pic:spPr>
                </pic:pic>
              </a:graphicData>
            </a:graphic>
          </wp:inline>
        </w:drawing>
      </w:r>
    </w:p>
    <w:p w14:paraId="30699F12" w14:textId="77777777" w:rsidR="00335E3E" w:rsidRPr="00EB74A8" w:rsidRDefault="002D3908" w:rsidP="00206C3D">
      <w:pPr>
        <w:spacing w:before="0" w:after="0"/>
        <w:rPr>
          <w:rStyle w:val="Notetext"/>
        </w:rPr>
      </w:pPr>
      <w:r w:rsidRPr="00EB74A8">
        <w:rPr>
          <w:rStyle w:val="Notetext"/>
        </w:rPr>
        <w:t xml:space="preserve">Note: </w:t>
      </w:r>
    </w:p>
    <w:p w14:paraId="2A197039" w14:textId="5FA173B8" w:rsidR="006532AD" w:rsidRPr="00EB74A8" w:rsidRDefault="00335E3E" w:rsidP="00206C3D">
      <w:pPr>
        <w:spacing w:before="0" w:after="0"/>
        <w:rPr>
          <w:rStyle w:val="Notetext"/>
        </w:rPr>
      </w:pPr>
      <w:r w:rsidRPr="00EB74A8">
        <w:rPr>
          <w:rStyle w:val="Notetext"/>
        </w:rPr>
        <w:t xml:space="preserve">1. </w:t>
      </w:r>
      <w:r w:rsidR="002D3908" w:rsidRPr="00EB74A8">
        <w:rPr>
          <w:rStyle w:val="Notetext"/>
        </w:rPr>
        <w:t>Excludes cases whose sex, age, Indigenous status and/or residential postcode were not reported.</w:t>
      </w:r>
    </w:p>
    <w:p w14:paraId="47E9CC1F" w14:textId="77777777" w:rsidR="00CF51AB" w:rsidRPr="00EB74A8" w:rsidRDefault="00CF51AB">
      <w:pPr>
        <w:spacing w:before="0" w:after="0" w:line="240" w:lineRule="auto"/>
        <w:rPr>
          <w:rFonts w:eastAsiaTheme="majorEastAsia" w:cstheme="majorBidi"/>
          <w:b/>
          <w:color w:val="033636" w:themeColor="text2"/>
          <w:sz w:val="40"/>
          <w:szCs w:val="26"/>
        </w:rPr>
      </w:pPr>
      <w:r w:rsidRPr="00EB74A8">
        <w:br w:type="page"/>
      </w:r>
    </w:p>
    <w:p w14:paraId="263B6B5E" w14:textId="3EEDE7FE" w:rsidR="004C3C31" w:rsidRPr="00EB74A8" w:rsidRDefault="00C67DEA" w:rsidP="00C67DEA">
      <w:pPr>
        <w:pStyle w:val="Heading2"/>
      </w:pPr>
      <w:bookmarkStart w:id="26" w:name="_Toc225244422"/>
      <w:r w:rsidRPr="00EB74A8">
        <w:lastRenderedPageBreak/>
        <w:t xml:space="preserve">Indicators 2.2 and 2.3 – </w:t>
      </w:r>
      <w:r w:rsidR="00D41C42" w:rsidRPr="00EB74A8">
        <w:t>Geographical areas</w:t>
      </w:r>
      <w:bookmarkEnd w:id="26"/>
    </w:p>
    <w:p w14:paraId="12639F46" w14:textId="613AC243" w:rsidR="00D72C6C" w:rsidRPr="00EB74A8" w:rsidRDefault="00D72C6C" w:rsidP="00B21AD1">
      <w:pPr>
        <w:pStyle w:val="Boxemerald"/>
      </w:pPr>
      <w:r w:rsidRPr="00EB74A8">
        <w:t>2.2 Notification rate of infectious syphilis in Aboriginal and Torres Strait Islander peoples by Indigenous Areas (IAREs)</w:t>
      </w:r>
    </w:p>
    <w:p w14:paraId="12E1EDC4" w14:textId="77777777" w:rsidR="00D72C6C" w:rsidRPr="00EB74A8" w:rsidRDefault="00D72C6C" w:rsidP="00B21AD1">
      <w:pPr>
        <w:pStyle w:val="Boxemerald"/>
      </w:pPr>
      <w:r w:rsidRPr="00EB74A8">
        <w:t>2.3 Notification rate of infectious syphilis by Statistical Area 3 (SA3), by Indigenous status</w:t>
      </w:r>
    </w:p>
    <w:p w14:paraId="4032AD8B" w14:textId="751604F7" w:rsidR="00595C4A" w:rsidRPr="00EB74A8" w:rsidRDefault="00477026" w:rsidP="00B84934">
      <w:pPr>
        <w:ind w:right="-149"/>
      </w:pPr>
      <w:r w:rsidRPr="00EB74A8">
        <w:t>M</w:t>
      </w:r>
      <w:r w:rsidR="00D72C6C" w:rsidRPr="00EB74A8">
        <w:t xml:space="preserve">apped notification data </w:t>
      </w:r>
      <w:r w:rsidR="00922F88" w:rsidRPr="00EB74A8">
        <w:t>uses</w:t>
      </w:r>
      <w:r w:rsidR="00D72C6C" w:rsidRPr="00EB74A8">
        <w:t xml:space="preserve"> </w:t>
      </w:r>
      <w:r w:rsidR="00922F88" w:rsidRPr="00EB74A8">
        <w:t xml:space="preserve">residential </w:t>
      </w:r>
      <w:r w:rsidR="00D72C6C" w:rsidRPr="00EB74A8">
        <w:t>postcodes</w:t>
      </w:r>
      <w:r w:rsidR="00922F88" w:rsidRPr="00EB74A8">
        <w:t xml:space="preserve"> of notified cases</w:t>
      </w:r>
      <w:r w:rsidR="00D72C6C" w:rsidRPr="00EB74A8">
        <w:t xml:space="preserve"> to allocate cases to a geographical area. This may not necessarily reflect where the infection was acquired</w:t>
      </w:r>
      <w:r w:rsidR="00595C4A" w:rsidRPr="00EB74A8">
        <w:t>,</w:t>
      </w:r>
      <w:r w:rsidR="00D72C6C" w:rsidRPr="00EB74A8">
        <w:t xml:space="preserve"> and in some instances the postcode reported may reflect the location where the case was diagnosed rather than residence and locality of acquisition. </w:t>
      </w:r>
    </w:p>
    <w:p w14:paraId="59BB4AC7" w14:textId="77777777" w:rsidR="00595C4A" w:rsidRPr="00EB74A8" w:rsidRDefault="00D72C6C" w:rsidP="00D72C6C">
      <w:r w:rsidRPr="00EB74A8">
        <w:t xml:space="preserve">If the postcode reflects the location where an individual sought health care, the mapped notifications may reflect areas of high volume or centralised services where people are being diagnosed rather than areas with a high burden of infection or acquisition. </w:t>
      </w:r>
    </w:p>
    <w:p w14:paraId="006B2790" w14:textId="297814B1" w:rsidR="00D72C6C" w:rsidRPr="00EB74A8" w:rsidRDefault="00D72C6C" w:rsidP="00C23DF6">
      <w:pPr>
        <w:ind w:right="-164"/>
      </w:pPr>
      <w:r w:rsidRPr="00EB74A8">
        <w:t xml:space="preserve">Availability and accessibility of safe and culturally appropriate health services, particularly in remote/very remote areas and Aboriginal and Torres Strait Islander communities, along with other social factors may influence where people are tested and diagnosed, noting that this may occur outside of an individual’s place of residence </w:t>
      </w:r>
      <w:r w:rsidR="000C0E87" w:rsidRPr="00EB74A8">
        <w:fldChar w:fldCharType="begin"/>
      </w:r>
      <w:r w:rsidR="001629AA" w:rsidRPr="00EB74A8">
        <w:instrText xml:space="preserve"> ADDIN EN.CITE &lt;EndNote&gt;&lt;Cite&gt;&lt;Author&gt;Australian Institute of Health and Welfare&lt;/Author&gt;&lt;Year&gt;2025&lt;/Year&gt;&lt;RecNum&gt;4&lt;/RecNum&gt;&lt;DisplayText&gt;(4)&lt;/DisplayText&gt;&lt;record&gt;&lt;rec-number&gt;4&lt;/rec-number&gt;&lt;foreign-keys&gt;&lt;key app="EN" db-id="r995eva9qf5r9ae5pxfv9ssp0fvtpxpdwaee" timestamp="1771451325"&gt;4&lt;/key&gt;&lt;/foreign-keys&gt;&lt;ref-type name="Report"&gt;27&lt;/ref-type&gt;&lt;contributors&gt;&lt;authors&gt;&lt;author&gt;Australian Institute of Health and Welfare,&lt;/author&gt;&lt;/authors&gt;&lt;/contributors&gt;&lt;titles&gt;&lt;title&gt;Aboriginal and Torres Strait Islander Health Performance Framework: summary report&lt;/title&gt;&lt;/titles&gt;&lt;dates&gt;&lt;year&gt;2025&lt;/year&gt;&lt;/dates&gt;&lt;publisher&gt;AIHW: Australian Government&lt;/publisher&gt;&lt;urls&gt;&lt;related-urls&gt;&lt;url&gt;https://www.indigenoushpf.gov.au/getattachment/36db9308-d7ed-47b9-945c-5ceebb956528/hpf_summary-report-june-2025.pdf&lt;/url&gt;&lt;/related-urls&gt;&lt;/urls&gt;&lt;/record&gt;&lt;/Cite&gt;&lt;/EndNote&gt;</w:instrText>
      </w:r>
      <w:r w:rsidR="000C0E87" w:rsidRPr="00EB74A8">
        <w:fldChar w:fldCharType="separate"/>
      </w:r>
      <w:r w:rsidR="001629AA" w:rsidRPr="00EB74A8">
        <w:rPr>
          <w:noProof/>
        </w:rPr>
        <w:t>(4)</w:t>
      </w:r>
      <w:r w:rsidR="000C0E87" w:rsidRPr="00EB74A8">
        <w:fldChar w:fldCharType="end"/>
      </w:r>
      <w:r w:rsidR="000C0E87" w:rsidRPr="00EB74A8">
        <w:t>.</w:t>
      </w:r>
    </w:p>
    <w:p w14:paraId="29D96AFF" w14:textId="77777777" w:rsidR="00D72C6C" w:rsidRPr="00EB74A8" w:rsidRDefault="00D72C6C" w:rsidP="00D53FC6">
      <w:pPr>
        <w:pStyle w:val="Style2"/>
      </w:pPr>
      <w:r w:rsidRPr="00EB74A8">
        <w:t xml:space="preserve">Indigenous Areas </w:t>
      </w:r>
    </w:p>
    <w:p w14:paraId="70EBEF72" w14:textId="148BAA48" w:rsidR="00E44C05" w:rsidRPr="00EB74A8" w:rsidRDefault="00D72C6C" w:rsidP="00D72C6C">
      <w:r w:rsidRPr="00EB74A8">
        <w:t xml:space="preserve">Indigenous Areas (IAREs) are geographic areas built from Indigenous </w:t>
      </w:r>
      <w:r w:rsidR="00255909" w:rsidRPr="00EB74A8">
        <w:t>l</w:t>
      </w:r>
      <w:r w:rsidRPr="00EB74A8">
        <w:t xml:space="preserve">ocations, which are designed to represent Aboriginal and Torres Strait Islander communities (urban and rural) that are near each other or that share language, traditional borders or Native </w:t>
      </w:r>
      <w:r w:rsidR="00E44C05" w:rsidRPr="00EB74A8">
        <w:t xml:space="preserve">Title </w:t>
      </w:r>
      <w:r w:rsidR="00E44C05" w:rsidRPr="00EB74A8">
        <w:fldChar w:fldCharType="begin"/>
      </w:r>
      <w:r w:rsidR="001629AA" w:rsidRPr="00EB74A8">
        <w:instrText xml:space="preserve"> ADDIN EN.CITE &lt;EndNote&gt;&lt;Cite ExcludeAuth="1"&gt;&lt;Year&gt;2021&lt;/Year&gt;&lt;RecNum&gt;5&lt;/RecNum&gt;&lt;DisplayText&gt;(5)&lt;/DisplayText&gt;&lt;record&gt;&lt;rec-number&gt;5&lt;/rec-number&gt;&lt;foreign-keys&gt;&lt;key app="EN" db-id="r995eva9qf5r9ae5pxfv9ssp0fvtpxpdwaee" timestamp="1771451325"&gt;5&lt;/key&gt;&lt;/foreign-keys&gt;&lt;ref-type name="Web Page"&gt;12&lt;/ref-type&gt;&lt;contributors&gt;&lt;/contributors&gt;&lt;titles&gt;&lt;title&gt;Australian Statistical Geography Standard (ASGS) Edition 3: Indigenous Structure&lt;/title&gt;&lt;/titles&gt;&lt;volume&gt;2025&lt;/volume&gt;&lt;number&gt;11 September&lt;/number&gt;&lt;dates&gt;&lt;year&gt;2021&lt;/year&gt;&lt;/dates&gt;&lt;publisher&gt;Australian Bureau of Statistics&lt;/publisher&gt;&lt;urls&gt;&lt;related-urls&gt;&lt;url&gt;https://www.abs.gov.au/statistics/standards/australian-statistical-geography-standard-asgs-edition-3/jul2021-jun2026/indigenous-structure&lt;/url&gt;&lt;/related-urls&gt;&lt;/urls&gt;&lt;/record&gt;&lt;/Cite&gt;&lt;/EndNote&gt;</w:instrText>
      </w:r>
      <w:r w:rsidR="00E44C05" w:rsidRPr="00EB74A8">
        <w:fldChar w:fldCharType="separate"/>
      </w:r>
      <w:r w:rsidR="001629AA" w:rsidRPr="00EB74A8">
        <w:rPr>
          <w:noProof/>
        </w:rPr>
        <w:t>(5)</w:t>
      </w:r>
      <w:r w:rsidR="00E44C05" w:rsidRPr="00EB74A8">
        <w:fldChar w:fldCharType="end"/>
      </w:r>
      <w:r w:rsidR="00E44C05" w:rsidRPr="00EB74A8">
        <w:t xml:space="preserve">.  </w:t>
      </w:r>
    </w:p>
    <w:p w14:paraId="1723C1E9" w14:textId="40D11C94" w:rsidR="00534530" w:rsidRPr="00EB74A8" w:rsidRDefault="00D72C6C" w:rsidP="009B50D0">
      <w:pPr>
        <w:ind w:right="-433"/>
      </w:pPr>
      <w:r w:rsidRPr="00EB74A8">
        <w:t>Age standardised infectious syphilis notification rates by IAREs for Aboriginal and Torres Strait Islander peoples are presented in Map 1 for the previous 12 months (Q</w:t>
      </w:r>
      <w:r w:rsidR="0005484D" w:rsidRPr="00EB74A8">
        <w:t>4</w:t>
      </w:r>
      <w:r w:rsidRPr="00EB74A8">
        <w:t xml:space="preserve"> 2024 </w:t>
      </w:r>
      <w:r w:rsidR="00534530" w:rsidRPr="00EB74A8">
        <w:t>to</w:t>
      </w:r>
      <w:r w:rsidRPr="00EB74A8">
        <w:t xml:space="preserve"> Q</w:t>
      </w:r>
      <w:r w:rsidR="0005484D" w:rsidRPr="00EB74A8">
        <w:t>3</w:t>
      </w:r>
      <w:r w:rsidRPr="00EB74A8">
        <w:t xml:space="preserve"> 2025). </w:t>
      </w:r>
    </w:p>
    <w:p w14:paraId="1EC88A43" w14:textId="77777777" w:rsidR="00534530" w:rsidRPr="00EB74A8" w:rsidRDefault="00D72C6C" w:rsidP="00D72C6C">
      <w:r w:rsidRPr="00EB74A8">
        <w:t xml:space="preserve">The highest notification rates were reported largely in very remote areas of Western Australia, South Australia and the Northern Territory, noting that in some IAREs the population was small. </w:t>
      </w:r>
    </w:p>
    <w:p w14:paraId="14EA8E82" w14:textId="4BA0CF56" w:rsidR="00D72C6C" w:rsidRPr="00EB74A8" w:rsidRDefault="00D72C6C" w:rsidP="00D72C6C">
      <w:r w:rsidRPr="00EB74A8">
        <w:t>High notification rates in outer regional areas (Darwin and surrounds)</w:t>
      </w:r>
      <w:r w:rsidR="00247108" w:rsidRPr="00EB74A8">
        <w:t xml:space="preserve"> and </w:t>
      </w:r>
      <w:r w:rsidR="000E1E77" w:rsidRPr="00EB74A8">
        <w:t>communities in the</w:t>
      </w:r>
      <w:r w:rsidRPr="00EB74A8">
        <w:t xml:space="preserve"> </w:t>
      </w:r>
      <w:r w:rsidR="00AF6472" w:rsidRPr="00EB74A8">
        <w:t xml:space="preserve">Top End, Big Rivers (Katherine) and East Arnhem regions </w:t>
      </w:r>
      <w:r w:rsidRPr="00EB74A8">
        <w:t>reflect the increase in reported cases in urban</w:t>
      </w:r>
      <w:r w:rsidR="00AF6472" w:rsidRPr="00EB74A8">
        <w:t xml:space="preserve"> and remote </w:t>
      </w:r>
      <w:r w:rsidRPr="00EB74A8">
        <w:t>areas in the Northern Territory</w:t>
      </w:r>
      <w:r w:rsidR="00170126" w:rsidRPr="00EB74A8">
        <w:t xml:space="preserve"> </w:t>
      </w:r>
      <w:r w:rsidR="00CE3FDF" w:rsidRPr="00EB74A8">
        <w:fldChar w:fldCharType="begin"/>
      </w:r>
      <w:r w:rsidR="00901401" w:rsidRPr="00EB74A8">
        <w:instrText xml:space="preserve"> ADDIN EN.CITE &lt;EndNote&gt;&lt;Cite&gt;&lt;Author&gt;NT Health&lt;/Author&gt;&lt;Year&gt;2026&lt;/Year&gt;&lt;RecNum&gt;16&lt;/RecNum&gt;&lt;DisplayText&gt;(3)&lt;/DisplayText&gt;&lt;record&gt;&lt;rec-number&gt;16&lt;/rec-number&gt;&lt;foreign-keys&gt;&lt;key app="EN" db-id="r995eva9qf5r9ae5pxfv9ssp0fvtpxpdwaee" timestamp="1771451708"&gt;16&lt;/key&gt;&lt;/foreign-keys&gt;&lt;ref-type name="Web Page"&gt;12&lt;/ref-type&gt;&lt;contributors&gt;&lt;authors&gt;&lt;author&gt;NT Health,&lt;/author&gt;&lt;/authors&gt;&lt;/contributors&gt;&lt;titles&gt;&lt;title&gt;Public health alert: syphilis - ongoing high transmission&lt;/title&gt;&lt;/titles&gt;&lt;dates&gt;&lt;year&gt;2026&lt;/year&gt;&lt;/dates&gt;&lt;publisher&gt;NT Health Centre for Disease Control&lt;/publisher&gt;&lt;urls&gt;&lt;related-urls&gt;&lt;url&gt;https://health.nt.gov.au/__data/assets/pdf_file/0009/1592199/health-alert-syphilis-update-11.02.2026.pdf&lt;/url&gt;&lt;/related-urls&gt;&lt;/urls&gt;&lt;access-date&gt;11 February 2026&lt;/access-date&gt;&lt;/record&gt;&lt;/Cite&gt;&lt;/EndNote&gt;</w:instrText>
      </w:r>
      <w:r w:rsidR="00CE3FDF" w:rsidRPr="00EB74A8">
        <w:fldChar w:fldCharType="separate"/>
      </w:r>
      <w:r w:rsidR="00D307A8" w:rsidRPr="00EB74A8">
        <w:rPr>
          <w:noProof/>
        </w:rPr>
        <w:t>(3)</w:t>
      </w:r>
      <w:r w:rsidR="00CE3FDF" w:rsidRPr="00EB74A8">
        <w:fldChar w:fldCharType="end"/>
      </w:r>
      <w:r w:rsidRPr="00EB74A8">
        <w:t>.</w:t>
      </w:r>
    </w:p>
    <w:p w14:paraId="0569D65A" w14:textId="77777777" w:rsidR="00D72C6C" w:rsidRPr="00EB74A8" w:rsidRDefault="00D72C6C" w:rsidP="00D53FC6">
      <w:pPr>
        <w:pStyle w:val="Style2"/>
      </w:pPr>
      <w:r w:rsidRPr="00EB74A8">
        <w:t>Statistical Area 3 (SA3)</w:t>
      </w:r>
    </w:p>
    <w:p w14:paraId="1703BAD3" w14:textId="77777777" w:rsidR="00DE19BA" w:rsidRPr="00EB74A8" w:rsidRDefault="00D72C6C" w:rsidP="00D72C6C">
      <w:r w:rsidRPr="00EB74A8">
        <w:t>In the previous 12 months</w:t>
      </w:r>
      <w:r w:rsidR="00DE19BA" w:rsidRPr="00EB74A8">
        <w:t>,</w:t>
      </w:r>
      <w:r w:rsidRPr="00EB74A8">
        <w:t xml:space="preserve"> age-standardised notification rates of infectious syphilis by statistical area 3 (SA3) were widely distributed across Australia (Map 2). </w:t>
      </w:r>
    </w:p>
    <w:p w14:paraId="0D49F06D" w14:textId="378F5C20" w:rsidR="00DE19BA" w:rsidRPr="00EB74A8" w:rsidRDefault="00D72C6C" w:rsidP="00D72C6C">
      <w:r w:rsidRPr="00EB74A8">
        <w:t xml:space="preserve">The highest </w:t>
      </w:r>
      <w:r w:rsidR="009E2A9F" w:rsidRPr="00EB74A8">
        <w:t xml:space="preserve">notification </w:t>
      </w:r>
      <w:r w:rsidRPr="00EB74A8">
        <w:t xml:space="preserve">rates were reported across very remote areas in the north-west of Australia and SA3s in some major cities, including Sydney. </w:t>
      </w:r>
    </w:p>
    <w:p w14:paraId="4850F09B" w14:textId="511850C8" w:rsidR="00D72C6C" w:rsidRPr="00EB74A8" w:rsidRDefault="00D72C6C" w:rsidP="00D72C6C">
      <w:r w:rsidRPr="00EB74A8">
        <w:t>This geographical distribution reflects the concurrent infectious syphilis outbreaks and sub-epidemics occurring across populations groups in Australia, including</w:t>
      </w:r>
      <w:r w:rsidR="00F73DEA" w:rsidRPr="00EB74A8">
        <w:t xml:space="preserve"> a</w:t>
      </w:r>
      <w:r w:rsidRPr="00EB74A8">
        <w:t>boriginal and Torres Strait Islander peoples in regional and remote areas, gay and bisexual men in major cities of Australia, and non-Indigenous women in major cities.</w:t>
      </w:r>
    </w:p>
    <w:p w14:paraId="2D10355E" w14:textId="77777777" w:rsidR="00A9048C" w:rsidRPr="00EB74A8" w:rsidRDefault="00F73DEA" w:rsidP="00D72C6C">
      <w:r w:rsidRPr="00EB74A8">
        <w:t>R</w:t>
      </w:r>
      <w:r w:rsidR="00D72C6C" w:rsidRPr="00EB74A8">
        <w:t>efer to the methodological notes for further information on the development of the maps</w:t>
      </w:r>
      <w:r w:rsidRPr="00EB74A8">
        <w:t>.</w:t>
      </w:r>
    </w:p>
    <w:p w14:paraId="6D5484D7" w14:textId="77777777" w:rsidR="00992F6F" w:rsidRPr="00EB74A8" w:rsidRDefault="00992F6F" w:rsidP="00D72C6C">
      <w:pPr>
        <w:sectPr w:rsidR="00992F6F" w:rsidRPr="00EB74A8" w:rsidSect="005F0659">
          <w:pgSz w:w="11900" w:h="16840"/>
          <w:pgMar w:top="1134" w:right="1134" w:bottom="1134" w:left="1134" w:header="709" w:footer="527" w:gutter="0"/>
          <w:cols w:space="708"/>
          <w:docGrid w:linePitch="360"/>
        </w:sectPr>
      </w:pPr>
    </w:p>
    <w:p w14:paraId="112C94A6" w14:textId="118C358E" w:rsidR="00094FE2" w:rsidRPr="00EB74A8" w:rsidRDefault="00094FE2" w:rsidP="00E57CE1">
      <w:pPr>
        <w:spacing w:before="0" w:after="0"/>
        <w:rPr>
          <w:b/>
          <w:bCs/>
        </w:rPr>
      </w:pPr>
      <w:r w:rsidRPr="00EB74A8">
        <w:rPr>
          <w:b/>
          <w:bCs/>
          <w:color w:val="033636"/>
        </w:rPr>
        <w:lastRenderedPageBreak/>
        <w:t>Map 1: Notification rate (per 100,000) of infectious syphilis in Aboriginal and Torres Strait Islander peoples by Indigenous Areas (IAREs) in the previous 12 months (Q</w:t>
      </w:r>
      <w:r w:rsidR="0005484D" w:rsidRPr="00EB74A8">
        <w:rPr>
          <w:b/>
          <w:bCs/>
          <w:color w:val="033636"/>
        </w:rPr>
        <w:t>4</w:t>
      </w:r>
      <w:r w:rsidRPr="00EB74A8">
        <w:rPr>
          <w:b/>
          <w:bCs/>
          <w:color w:val="033636"/>
        </w:rPr>
        <w:t xml:space="preserve"> 2024 </w:t>
      </w:r>
      <w:r w:rsidR="004E5DE4" w:rsidRPr="00EB74A8">
        <w:rPr>
          <w:b/>
          <w:bCs/>
          <w:color w:val="033636"/>
        </w:rPr>
        <w:t>to</w:t>
      </w:r>
      <w:r w:rsidRPr="00EB74A8">
        <w:rPr>
          <w:b/>
          <w:bCs/>
          <w:color w:val="033636"/>
        </w:rPr>
        <w:t xml:space="preserve"> Q</w:t>
      </w:r>
      <w:r w:rsidR="0005484D" w:rsidRPr="00EB74A8">
        <w:rPr>
          <w:b/>
          <w:bCs/>
          <w:color w:val="033636"/>
        </w:rPr>
        <w:t>3</w:t>
      </w:r>
      <w:r w:rsidRPr="00EB74A8">
        <w:rPr>
          <w:b/>
          <w:bCs/>
          <w:color w:val="033636"/>
        </w:rPr>
        <w:t xml:space="preserve"> 2025)</w:t>
      </w:r>
    </w:p>
    <w:p w14:paraId="11407273" w14:textId="28F25067" w:rsidR="00E57CE1" w:rsidRPr="00EB74A8" w:rsidRDefault="005B6B0A" w:rsidP="00E57CE1">
      <w:pPr>
        <w:spacing w:before="0" w:after="0" w:line="240" w:lineRule="auto"/>
        <w:rPr>
          <w:rFonts w:ascii="Times New Roman" w:eastAsia="Times New Roman" w:hAnsi="Times New Roman" w:cs="Times New Roman"/>
          <w:kern w:val="0"/>
          <w:lang w:eastAsia="en-AU"/>
          <w14:ligatures w14:val="none"/>
        </w:rPr>
      </w:pPr>
      <w:r w:rsidRPr="00EB74A8">
        <w:rPr>
          <w:rFonts w:ascii="Times New Roman" w:eastAsia="Times New Roman" w:hAnsi="Times New Roman" w:cs="Times New Roman"/>
          <w:noProof/>
          <w:kern w:val="0"/>
          <w:lang w:eastAsia="en-AU"/>
          <w14:ligatures w14:val="none"/>
        </w:rPr>
        <w:drawing>
          <wp:inline distT="0" distB="0" distL="0" distR="0" wp14:anchorId="4AF4546C" wp14:editId="4E9A918B">
            <wp:extent cx="7734300" cy="5478106"/>
            <wp:effectExtent l="0" t="0" r="0" b="8890"/>
            <wp:docPr id="2060758758" name="Picture 4" descr="This map shows the notification rate of infectious syphilis in Aboriginal and Torres Strait Islander peoples by Indigenou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58758" name="Picture 4" descr="This map shows the notification rate of infectious syphilis in Aboriginal and Torres Strait Islander peoples by Indigenous are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56642" cy="5493931"/>
                    </a:xfrm>
                    <a:prstGeom prst="rect">
                      <a:avLst/>
                    </a:prstGeom>
                    <a:noFill/>
                    <a:ln>
                      <a:noFill/>
                    </a:ln>
                  </pic:spPr>
                </pic:pic>
              </a:graphicData>
            </a:graphic>
          </wp:inline>
        </w:drawing>
      </w:r>
    </w:p>
    <w:p w14:paraId="615CD8C1" w14:textId="71CC5F91" w:rsidR="00DD588F" w:rsidRPr="00EB74A8" w:rsidRDefault="00DD588F" w:rsidP="00206C3D">
      <w:pPr>
        <w:spacing w:before="0" w:after="0"/>
        <w:rPr>
          <w:rStyle w:val="Notetext"/>
        </w:rPr>
      </w:pPr>
      <w:r w:rsidRPr="00EB74A8">
        <w:rPr>
          <w:rStyle w:val="Notetext"/>
        </w:rPr>
        <w:t>Note: Excludes cases whose Indigenous status and/or residential postcode were not reported.</w:t>
      </w:r>
    </w:p>
    <w:p w14:paraId="6B035FB8" w14:textId="640046E6" w:rsidR="004E5DE4" w:rsidRPr="00EB74A8" w:rsidRDefault="004E5DE4" w:rsidP="0001143F">
      <w:pPr>
        <w:spacing w:before="0" w:after="0"/>
        <w:rPr>
          <w:b/>
          <w:bCs/>
          <w:color w:val="033636"/>
        </w:rPr>
      </w:pPr>
      <w:r w:rsidRPr="00EB74A8">
        <w:rPr>
          <w:b/>
          <w:bCs/>
          <w:color w:val="033636"/>
        </w:rPr>
        <w:lastRenderedPageBreak/>
        <w:t>Map 2: Age-standardised notification rate (per 100,000) of infectious syphilis by Statistical Area 3 (SA3) in the previous 12 months (Q</w:t>
      </w:r>
      <w:r w:rsidR="0005484D" w:rsidRPr="00EB74A8">
        <w:rPr>
          <w:b/>
          <w:bCs/>
          <w:color w:val="033636"/>
        </w:rPr>
        <w:t>4</w:t>
      </w:r>
      <w:r w:rsidRPr="00EB74A8">
        <w:rPr>
          <w:b/>
          <w:bCs/>
          <w:color w:val="033636"/>
        </w:rPr>
        <w:t xml:space="preserve"> 2024 – Q</w:t>
      </w:r>
      <w:r w:rsidR="0005484D" w:rsidRPr="00EB74A8">
        <w:rPr>
          <w:b/>
          <w:bCs/>
          <w:color w:val="033636"/>
        </w:rPr>
        <w:t>3</w:t>
      </w:r>
      <w:r w:rsidRPr="00EB74A8">
        <w:rPr>
          <w:b/>
          <w:bCs/>
          <w:color w:val="033636"/>
        </w:rPr>
        <w:t xml:space="preserve"> 2025) </w:t>
      </w:r>
    </w:p>
    <w:p w14:paraId="1D94E8DC" w14:textId="77777777" w:rsidR="0001143F" w:rsidRPr="00EB74A8" w:rsidRDefault="0001143F" w:rsidP="0001143F">
      <w:pPr>
        <w:spacing w:before="0" w:after="0" w:line="240" w:lineRule="auto"/>
        <w:rPr>
          <w:rFonts w:ascii="Times New Roman" w:eastAsia="Times New Roman" w:hAnsi="Times New Roman" w:cs="Times New Roman"/>
          <w:kern w:val="0"/>
          <w:lang w:eastAsia="en-AU"/>
          <w14:ligatures w14:val="none"/>
        </w:rPr>
      </w:pPr>
      <w:r w:rsidRPr="00EB74A8">
        <w:rPr>
          <w:rFonts w:ascii="Times New Roman" w:eastAsia="Times New Roman" w:hAnsi="Times New Roman" w:cs="Times New Roman"/>
          <w:noProof/>
          <w:kern w:val="0"/>
          <w:lang w:eastAsia="en-AU"/>
          <w14:ligatures w14:val="none"/>
        </w:rPr>
        <w:drawing>
          <wp:inline distT="0" distB="0" distL="0" distR="0" wp14:anchorId="74B5F019" wp14:editId="6646AF1B">
            <wp:extent cx="7886700" cy="5575544"/>
            <wp:effectExtent l="0" t="0" r="0" b="6350"/>
            <wp:docPr id="2" name="Picture 1" descr="This map shows the notification rate of infectious syphilis in Australia by Statistical Ar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is map shows the notification rate of infectious syphilis in Australia by Statistical Area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81546" cy="5642596"/>
                    </a:xfrm>
                    <a:prstGeom prst="rect">
                      <a:avLst/>
                    </a:prstGeom>
                    <a:noFill/>
                    <a:ln>
                      <a:noFill/>
                    </a:ln>
                  </pic:spPr>
                </pic:pic>
              </a:graphicData>
            </a:graphic>
          </wp:inline>
        </w:drawing>
      </w:r>
    </w:p>
    <w:p w14:paraId="11B1ACED" w14:textId="2AB4B68F" w:rsidR="00DB006C" w:rsidRPr="00EB74A8" w:rsidRDefault="00AA1EEA" w:rsidP="00206C3D">
      <w:pPr>
        <w:spacing w:before="0" w:after="0"/>
      </w:pPr>
      <w:r w:rsidRPr="00EB74A8">
        <w:rPr>
          <w:rStyle w:val="Notetext"/>
        </w:rPr>
        <w:t>Note: Excludes cases whose residential postcode w</w:t>
      </w:r>
      <w:r w:rsidR="00F86A29" w:rsidRPr="00EB74A8">
        <w:rPr>
          <w:rStyle w:val="Notetext"/>
        </w:rPr>
        <w:t>as</w:t>
      </w:r>
      <w:r w:rsidRPr="00EB74A8">
        <w:rPr>
          <w:rStyle w:val="Notetext"/>
        </w:rPr>
        <w:t xml:space="preserve"> not reported.</w:t>
      </w:r>
      <w:r w:rsidR="00DB006C" w:rsidRPr="00EB74A8">
        <w:br w:type="page"/>
      </w:r>
    </w:p>
    <w:p w14:paraId="6C8586A1" w14:textId="5C62FBFA" w:rsidR="00580ABD" w:rsidRPr="00EB74A8" w:rsidRDefault="00580ABD">
      <w:pPr>
        <w:spacing w:before="0" w:after="0" w:line="240" w:lineRule="auto"/>
        <w:sectPr w:rsidR="00580ABD" w:rsidRPr="00EB74A8" w:rsidSect="005F0659">
          <w:pgSz w:w="16840" w:h="11900" w:orient="landscape"/>
          <w:pgMar w:top="1134" w:right="1134" w:bottom="1134" w:left="1134" w:header="709" w:footer="527" w:gutter="0"/>
          <w:cols w:space="708"/>
          <w:docGrid w:linePitch="360"/>
        </w:sectPr>
      </w:pPr>
    </w:p>
    <w:p w14:paraId="65DEC6FF" w14:textId="4D26C377" w:rsidR="00D41C42" w:rsidRPr="00EB74A8" w:rsidRDefault="00D41C42" w:rsidP="00603757">
      <w:pPr>
        <w:pStyle w:val="Heading2"/>
      </w:pPr>
      <w:bookmarkStart w:id="27" w:name="_Toc225244423"/>
      <w:r w:rsidRPr="00EB74A8">
        <w:lastRenderedPageBreak/>
        <w:t>Indicator 2.</w:t>
      </w:r>
      <w:r w:rsidR="00603757" w:rsidRPr="00EB74A8">
        <w:t>4 – Women of reproductive age</w:t>
      </w:r>
      <w:bookmarkEnd w:id="27"/>
    </w:p>
    <w:p w14:paraId="5EF05C73" w14:textId="212D6740" w:rsidR="00902F72" w:rsidRPr="00EB74A8" w:rsidRDefault="00902F72" w:rsidP="00B21AD1">
      <w:pPr>
        <w:pStyle w:val="Boxemerald"/>
      </w:pPr>
      <w:r w:rsidRPr="00EB74A8">
        <w:t>2.4 Notification rate of infectious syphilis in women of reproductive age (15 to 44 years) by Indigenous status and remoteness area</w:t>
      </w:r>
    </w:p>
    <w:p w14:paraId="46179C24" w14:textId="5E394F9F" w:rsidR="00902F72" w:rsidRPr="00EB74A8" w:rsidRDefault="00902F72" w:rsidP="00902F72">
      <w:pPr>
        <w:tabs>
          <w:tab w:val="left" w:pos="4010"/>
        </w:tabs>
      </w:pPr>
      <w:r w:rsidRPr="00EB74A8">
        <w:t>Between 2020 and Q</w:t>
      </w:r>
      <w:r w:rsidR="000C7806" w:rsidRPr="00EB74A8">
        <w:t>3</w:t>
      </w:r>
      <w:r w:rsidRPr="00EB74A8">
        <w:t xml:space="preserve"> 202</w:t>
      </w:r>
      <w:r w:rsidR="000C7806" w:rsidRPr="00EB74A8">
        <w:t>5</w:t>
      </w:r>
      <w:r w:rsidRPr="00EB74A8">
        <w:t>, of infectious syphilis cases reported among women, most (8</w:t>
      </w:r>
      <w:r w:rsidR="00B62D9A" w:rsidRPr="00EB74A8">
        <w:t>3</w:t>
      </w:r>
      <w:r w:rsidRPr="00EB74A8">
        <w:t>%) were in women aged between 15</w:t>
      </w:r>
      <w:r w:rsidR="00741F55" w:rsidRPr="00EB74A8">
        <w:t> to </w:t>
      </w:r>
      <w:r w:rsidRPr="00EB74A8">
        <w:t>44</w:t>
      </w:r>
      <w:r w:rsidR="00741F55" w:rsidRPr="00EB74A8">
        <w:t> </w:t>
      </w:r>
      <w:r w:rsidRPr="00EB74A8">
        <w:t>years of age, with the average proportion among Aboriginal and Torres Strait Islander women higher (</w:t>
      </w:r>
      <w:r w:rsidR="00DE5663" w:rsidRPr="00EB74A8">
        <w:t>92</w:t>
      </w:r>
      <w:r w:rsidRPr="00EB74A8">
        <w:t>%) and non-Indigenous women lower (</w:t>
      </w:r>
      <w:r w:rsidR="0030686F" w:rsidRPr="00EB74A8">
        <w:t>76</w:t>
      </w:r>
      <w:r w:rsidRPr="00EB74A8">
        <w:t>%)</w:t>
      </w:r>
      <w:r w:rsidR="00B90A7A" w:rsidRPr="00EB74A8">
        <w:t>.</w:t>
      </w:r>
      <w:r w:rsidRPr="00EB74A8">
        <w:t xml:space="preserve"> </w:t>
      </w:r>
    </w:p>
    <w:p w14:paraId="12CDEE4B" w14:textId="77777777" w:rsidR="00902F72" w:rsidRPr="00EB74A8" w:rsidRDefault="00902F72" w:rsidP="00D53FC6">
      <w:pPr>
        <w:pStyle w:val="Style2"/>
      </w:pPr>
      <w:r w:rsidRPr="00EB74A8">
        <w:t>Aboriginal and Torres Strait Islander women</w:t>
      </w:r>
    </w:p>
    <w:p w14:paraId="0FD86B2C" w14:textId="6848DC48" w:rsidR="00DC3F94" w:rsidRPr="00EB74A8" w:rsidRDefault="00902F72" w:rsidP="00902F72">
      <w:pPr>
        <w:tabs>
          <w:tab w:val="left" w:pos="4010"/>
        </w:tabs>
      </w:pPr>
      <w:r w:rsidRPr="00EB74A8">
        <w:t>The highest proportion and notification rates among Aboriginal and Torres Strait Islander women of reproductive age have consistently been reported in remote</w:t>
      </w:r>
      <w:r w:rsidR="00DA4AB5" w:rsidRPr="00EB74A8">
        <w:t xml:space="preserve"> and </w:t>
      </w:r>
      <w:r w:rsidRPr="00EB74A8">
        <w:t>very remote areas of Australia, representing half of the cases (50%) reported between 2020 and Q</w:t>
      </w:r>
      <w:r w:rsidR="00A0537B" w:rsidRPr="00EB74A8">
        <w:t>3</w:t>
      </w:r>
      <w:r w:rsidRPr="00EB74A8">
        <w:t xml:space="preserve"> 202</w:t>
      </w:r>
      <w:r w:rsidR="00A0537B" w:rsidRPr="00EB74A8">
        <w:t>5</w:t>
      </w:r>
      <w:r w:rsidRPr="00EB74A8">
        <w:t xml:space="preserve"> (Figure</w:t>
      </w:r>
      <w:r w:rsidR="00DC3F94" w:rsidRPr="00EB74A8">
        <w:t> </w:t>
      </w:r>
      <w:r w:rsidRPr="00EB74A8">
        <w:t xml:space="preserve">7a). </w:t>
      </w:r>
    </w:p>
    <w:p w14:paraId="013B653A" w14:textId="5ECCC729" w:rsidR="00902F72" w:rsidRPr="00EB74A8" w:rsidRDefault="00902F72" w:rsidP="00902F72">
      <w:pPr>
        <w:tabs>
          <w:tab w:val="left" w:pos="4010"/>
        </w:tabs>
      </w:pPr>
      <w:r w:rsidRPr="00EB74A8">
        <w:t xml:space="preserve">Although lower notifications and rates have been reported in major cities of Australia, the proportion of cases overall has been </w:t>
      </w:r>
      <w:r w:rsidR="00753253" w:rsidRPr="00EB74A8">
        <w:t xml:space="preserve">steadily </w:t>
      </w:r>
      <w:r w:rsidRPr="00EB74A8">
        <w:t>increasing</w:t>
      </w:r>
      <w:r w:rsidR="00BE06DF" w:rsidRPr="00EB74A8">
        <w:t xml:space="preserve">, </w:t>
      </w:r>
      <w:r w:rsidR="00A023FE" w:rsidRPr="00EB74A8">
        <w:t xml:space="preserve">representing on </w:t>
      </w:r>
      <w:r w:rsidRPr="00EB74A8">
        <w:t xml:space="preserve">average </w:t>
      </w:r>
      <w:r w:rsidR="006D1F7A" w:rsidRPr="00EB74A8">
        <w:t xml:space="preserve">26% </w:t>
      </w:r>
      <w:r w:rsidR="00BE06DF" w:rsidRPr="00EB74A8">
        <w:t xml:space="preserve">of all cases in Aboriginal and Torres Strait Islander </w:t>
      </w:r>
      <w:r w:rsidR="00220D25" w:rsidRPr="00EB74A8">
        <w:t xml:space="preserve">women of reproductive age. </w:t>
      </w:r>
      <w:r w:rsidR="00DE3F33" w:rsidRPr="00EB74A8">
        <w:t>I</w:t>
      </w:r>
      <w:r w:rsidRPr="00EB74A8">
        <w:t xml:space="preserve">n inner and outer regional </w:t>
      </w:r>
      <w:r w:rsidR="006D1F7A" w:rsidRPr="00EB74A8">
        <w:t>areas,</w:t>
      </w:r>
      <w:r w:rsidRPr="00EB74A8">
        <w:t xml:space="preserve"> the proportion has remained relatively constant</w:t>
      </w:r>
      <w:r w:rsidR="00DE3F33" w:rsidRPr="00EB74A8">
        <w:t>, representing on average 2</w:t>
      </w:r>
      <w:r w:rsidR="00980F30" w:rsidRPr="00EB74A8">
        <w:t>4</w:t>
      </w:r>
      <w:r w:rsidR="00DE3F33" w:rsidRPr="00EB74A8">
        <w:t>%</w:t>
      </w:r>
      <w:r w:rsidRPr="00EB74A8">
        <w:t xml:space="preserve"> (Figure</w:t>
      </w:r>
      <w:r w:rsidR="00383626" w:rsidRPr="00EB74A8">
        <w:t> </w:t>
      </w:r>
      <w:r w:rsidRPr="00EB74A8">
        <w:t>7a).</w:t>
      </w:r>
    </w:p>
    <w:p w14:paraId="5EA71B77" w14:textId="77777777" w:rsidR="00902F72" w:rsidRPr="00EB74A8" w:rsidRDefault="00902F72" w:rsidP="00D53FC6">
      <w:pPr>
        <w:pStyle w:val="Style2"/>
      </w:pPr>
      <w:r w:rsidRPr="00EB74A8">
        <w:t>Non-Indigenous women</w:t>
      </w:r>
    </w:p>
    <w:p w14:paraId="4BD58351" w14:textId="03D21018" w:rsidR="00902F72" w:rsidRPr="00EB74A8" w:rsidRDefault="00902F72" w:rsidP="00902F72">
      <w:pPr>
        <w:tabs>
          <w:tab w:val="left" w:pos="4010"/>
        </w:tabs>
      </w:pPr>
      <w:r w:rsidRPr="00EB74A8">
        <w:t>Most notifications among non-Indigenous women of reproductive age were reported in major cities of Australia, on average representing 80% of cases reported between 2020 and Q</w:t>
      </w:r>
      <w:r w:rsidR="00BA5E3C" w:rsidRPr="00EB74A8">
        <w:t>3</w:t>
      </w:r>
      <w:r w:rsidRPr="00EB74A8">
        <w:t xml:space="preserve"> 202</w:t>
      </w:r>
      <w:r w:rsidR="00BA5E3C" w:rsidRPr="00EB74A8">
        <w:t>5</w:t>
      </w:r>
      <w:r w:rsidRPr="00EB74A8">
        <w:t>. A smaller proportion (average 19%) were reported in inner</w:t>
      </w:r>
      <w:r w:rsidR="00DA4AB5" w:rsidRPr="00EB74A8">
        <w:t xml:space="preserve"> and </w:t>
      </w:r>
      <w:r w:rsidRPr="00EB74A8">
        <w:t xml:space="preserve">outer regional areas, and </w:t>
      </w:r>
      <w:r w:rsidR="00EB74A8" w:rsidRPr="00EB74A8">
        <w:t>small</w:t>
      </w:r>
      <w:r w:rsidRPr="00EB74A8">
        <w:t xml:space="preserve"> proportion (average 1%) in remote and very remote Australia (Figure</w:t>
      </w:r>
      <w:r w:rsidR="0083251D" w:rsidRPr="00EB74A8">
        <w:t> </w:t>
      </w:r>
      <w:r w:rsidRPr="00EB74A8">
        <w:t>7b).</w:t>
      </w:r>
    </w:p>
    <w:p w14:paraId="33DE6442" w14:textId="77777777" w:rsidR="00E01237" w:rsidRPr="00EB74A8" w:rsidRDefault="00E01237">
      <w:pPr>
        <w:spacing w:before="0" w:after="0" w:line="240" w:lineRule="auto"/>
        <w:rPr>
          <w:b/>
          <w:noProof/>
          <w:color w:val="033636" w:themeColor="text2"/>
        </w:rPr>
      </w:pPr>
      <w:r w:rsidRPr="00EB74A8">
        <w:br w:type="page"/>
      </w:r>
    </w:p>
    <w:p w14:paraId="588F52F2" w14:textId="2BADAD17" w:rsidR="003E2698" w:rsidRPr="00EB74A8" w:rsidRDefault="00902F72" w:rsidP="00641254">
      <w:pPr>
        <w:pStyle w:val="HeadingFigure"/>
      </w:pPr>
      <w:bookmarkStart w:id="28" w:name="_Toc224801184"/>
      <w:r w:rsidRPr="00EB74A8">
        <w:lastRenderedPageBreak/>
        <w:t>Notifications (n</w:t>
      </w:r>
      <w:r w:rsidR="004D1D01" w:rsidRPr="00EB74A8">
        <w:t>umber</w:t>
      </w:r>
      <w:r w:rsidRPr="00EB74A8">
        <w:t>) and notification rate (per 100,000) of infectious syphilis reported in women</w:t>
      </w:r>
      <w:r w:rsidR="005B74C2" w:rsidRPr="00EB74A8">
        <w:t xml:space="preserve"> </w:t>
      </w:r>
      <w:r w:rsidRPr="00EB74A8">
        <w:t>aged 15</w:t>
      </w:r>
      <w:r w:rsidR="005B74C2" w:rsidRPr="00EB74A8">
        <w:t> to </w:t>
      </w:r>
      <w:r w:rsidRPr="00EB74A8">
        <w:t>44</w:t>
      </w:r>
      <w:r w:rsidR="005B74C2" w:rsidRPr="00EB74A8">
        <w:t> </w:t>
      </w:r>
      <w:r w:rsidRPr="00EB74A8">
        <w:t xml:space="preserve">years, by Indigenous status, remoteness area, quarter, and year, 2020 </w:t>
      </w:r>
      <w:r w:rsidR="005B74C2" w:rsidRPr="00EB74A8">
        <w:t>to</w:t>
      </w:r>
      <w:r w:rsidRPr="00EB74A8">
        <w:t xml:space="preserve"> Q</w:t>
      </w:r>
      <w:r w:rsidR="00E01237" w:rsidRPr="00EB74A8">
        <w:t>3</w:t>
      </w:r>
      <w:r w:rsidRPr="00EB74A8">
        <w:t xml:space="preserve"> 202</w:t>
      </w:r>
      <w:r w:rsidR="00E01237" w:rsidRPr="00EB74A8">
        <w:t>5</w:t>
      </w:r>
      <w:r w:rsidRPr="00EB74A8">
        <w:t xml:space="preserve"> (a. Aboriginal and Torres Strait Islander</w:t>
      </w:r>
      <w:r w:rsidR="005B74C2" w:rsidRPr="00EB74A8">
        <w:t>,</w:t>
      </w:r>
      <w:r w:rsidRPr="00EB74A8">
        <w:t xml:space="preserve"> b. non-Indigenous)</w:t>
      </w:r>
      <w:bookmarkEnd w:id="28"/>
    </w:p>
    <w:p w14:paraId="3C88067F" w14:textId="5210366D" w:rsidR="00473CF8" w:rsidRPr="00EB74A8" w:rsidRDefault="00E01237" w:rsidP="00902F72">
      <w:pPr>
        <w:tabs>
          <w:tab w:val="left" w:pos="4010"/>
        </w:tabs>
      </w:pPr>
      <w:r w:rsidRPr="00EB74A8">
        <w:rPr>
          <w:noProof/>
        </w:rPr>
        <w:drawing>
          <wp:inline distT="0" distB="0" distL="0" distR="0" wp14:anchorId="5C57B272" wp14:editId="3DA93986">
            <wp:extent cx="6067425" cy="3952045"/>
            <wp:effectExtent l="0" t="0" r="0" b="0"/>
            <wp:docPr id="453920890" name="Picture 7" descr="This figure shows the number and rate of notifications of infectious syphilis in Aboriginal and Torres Strait Islander women aged 15 to 44 years between 2020 and Q3 2025. It shows that both numbers and rates are much higher in remove and very remote areas across the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20890" name="Picture 7" descr="This figure shows the number and rate of notifications of infectious syphilis in Aboriginal and Torres Strait Islander women aged 15 to 44 years between 2020 and Q3 2025. It shows that both numbers and rates are much higher in remove and very remote areas across the years.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84582" cy="3963220"/>
                    </a:xfrm>
                    <a:prstGeom prst="rect">
                      <a:avLst/>
                    </a:prstGeom>
                    <a:noFill/>
                  </pic:spPr>
                </pic:pic>
              </a:graphicData>
            </a:graphic>
          </wp:inline>
        </w:drawing>
      </w:r>
    </w:p>
    <w:p w14:paraId="6C16A531" w14:textId="77777777" w:rsidR="00A83448" w:rsidRPr="00EB74A8" w:rsidRDefault="009D1990">
      <w:pPr>
        <w:spacing w:before="0" w:after="0" w:line="240" w:lineRule="auto"/>
        <w:rPr>
          <w:rStyle w:val="Notetext"/>
          <w:sz w:val="40"/>
        </w:rPr>
      </w:pPr>
      <w:r w:rsidRPr="00EB74A8">
        <w:rPr>
          <w:rStyle w:val="Notetext"/>
          <w:noProof/>
          <w:sz w:val="40"/>
        </w:rPr>
        <w:drawing>
          <wp:inline distT="0" distB="0" distL="0" distR="0" wp14:anchorId="3AACD4B7" wp14:editId="066A78CE">
            <wp:extent cx="6067425" cy="3952049"/>
            <wp:effectExtent l="0" t="0" r="0" b="0"/>
            <wp:docPr id="987273619" name="Picture 8" descr="This figure shows the number and rate of notifications of infectious syphilis in non-Indigenous women aged 15 to 44 years between 2020 and Q3 2025. It shows that numbers are highest in major cities across the years. Rates are similar across areas, although there is great variation between years for remote and very remote areas, due to the very small number of cases reported in thos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3619" name="Picture 8" descr="This figure shows the number and rate of notifications of infectious syphilis in non-Indigenous women aged 15 to 44 years between 2020 and Q3 2025. It shows that numbers are highest in major cities across the years. Rates are similar across areas, although there is great variation between years for remote and very remote areas, due to the very small number of cases reported in those area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0776" cy="3980286"/>
                    </a:xfrm>
                    <a:prstGeom prst="rect">
                      <a:avLst/>
                    </a:prstGeom>
                    <a:noFill/>
                  </pic:spPr>
                </pic:pic>
              </a:graphicData>
            </a:graphic>
          </wp:inline>
        </w:drawing>
      </w:r>
    </w:p>
    <w:p w14:paraId="73E3A011" w14:textId="08E15515" w:rsidR="001E6E65" w:rsidRPr="00EB74A8" w:rsidRDefault="001E6E65" w:rsidP="00206C3D">
      <w:pPr>
        <w:spacing w:before="0" w:after="0"/>
        <w:rPr>
          <w:rStyle w:val="Notetext"/>
        </w:rPr>
      </w:pPr>
      <w:r w:rsidRPr="00EB74A8">
        <w:rPr>
          <w:rStyle w:val="Notetext"/>
        </w:rPr>
        <w:t>Note:</w:t>
      </w:r>
    </w:p>
    <w:p w14:paraId="7EBE2974" w14:textId="341D8F52" w:rsidR="00A83448" w:rsidRPr="00EB74A8" w:rsidRDefault="00A83448" w:rsidP="00206C3D">
      <w:pPr>
        <w:spacing w:before="0" w:after="0"/>
        <w:rPr>
          <w:rStyle w:val="Notetext"/>
        </w:rPr>
      </w:pPr>
      <w:r w:rsidRPr="00EB74A8">
        <w:rPr>
          <w:rStyle w:val="Notetext"/>
        </w:rPr>
        <w:t xml:space="preserve">1. Excludes cases whose </w:t>
      </w:r>
      <w:r w:rsidR="00403BA6" w:rsidRPr="00EB74A8">
        <w:rPr>
          <w:rStyle w:val="Notetext"/>
        </w:rPr>
        <w:t xml:space="preserve">sex, </w:t>
      </w:r>
      <w:r w:rsidRPr="00EB74A8">
        <w:rPr>
          <w:rStyle w:val="Notetext"/>
        </w:rPr>
        <w:t>age, Indigenous status and/or residential postcode were not reported.</w:t>
      </w:r>
    </w:p>
    <w:p w14:paraId="1AAF63FB" w14:textId="18F737FC" w:rsidR="006329C5" w:rsidRPr="00EB74A8" w:rsidRDefault="006329C5" w:rsidP="00E16088">
      <w:pPr>
        <w:pStyle w:val="Heading2"/>
        <w:rPr>
          <w:rStyle w:val="Notetext"/>
          <w:sz w:val="40"/>
        </w:rPr>
      </w:pPr>
      <w:bookmarkStart w:id="29" w:name="_Toc225244424"/>
      <w:r w:rsidRPr="00EB74A8">
        <w:rPr>
          <w:rStyle w:val="Notetext"/>
          <w:sz w:val="40"/>
        </w:rPr>
        <w:lastRenderedPageBreak/>
        <w:t xml:space="preserve">Indicators 2.5 and 2.6 </w:t>
      </w:r>
      <w:r w:rsidR="009618FB" w:rsidRPr="00EB74A8">
        <w:rPr>
          <w:rStyle w:val="Notetext"/>
          <w:sz w:val="40"/>
        </w:rPr>
        <w:t>–</w:t>
      </w:r>
      <w:r w:rsidRPr="00EB74A8">
        <w:rPr>
          <w:rStyle w:val="Notetext"/>
          <w:sz w:val="40"/>
        </w:rPr>
        <w:t xml:space="preserve"> </w:t>
      </w:r>
      <w:r w:rsidR="009618FB" w:rsidRPr="00EB74A8">
        <w:rPr>
          <w:rStyle w:val="Notetext"/>
          <w:sz w:val="40"/>
        </w:rPr>
        <w:t>M</w:t>
      </w:r>
      <w:r w:rsidR="00403BA6" w:rsidRPr="00EB74A8">
        <w:rPr>
          <w:rStyle w:val="Notetext"/>
          <w:sz w:val="40"/>
        </w:rPr>
        <w:t>ales</w:t>
      </w:r>
      <w:r w:rsidR="009618FB" w:rsidRPr="00EB74A8">
        <w:rPr>
          <w:rStyle w:val="Notetext"/>
          <w:sz w:val="40"/>
        </w:rPr>
        <w:t xml:space="preserve"> by sexual exposure</w:t>
      </w:r>
      <w:bookmarkEnd w:id="29"/>
    </w:p>
    <w:p w14:paraId="286A93CB" w14:textId="77777777" w:rsidR="000C75AA" w:rsidRPr="00EB74A8" w:rsidRDefault="000C75AA" w:rsidP="00B21AD1">
      <w:pPr>
        <w:pStyle w:val="Boxemerald"/>
      </w:pPr>
      <w:r w:rsidRPr="00EB74A8">
        <w:t>2.5 Proportion of infectious syphilis notifications in men reporting sexual exposure with men only</w:t>
      </w:r>
    </w:p>
    <w:p w14:paraId="1BB4AA6A" w14:textId="147B6CB0" w:rsidR="000C75AA" w:rsidRPr="00EB74A8" w:rsidRDefault="000C75AA" w:rsidP="00B21AD1">
      <w:pPr>
        <w:pStyle w:val="Boxemerald"/>
      </w:pPr>
      <w:r w:rsidRPr="00EB74A8">
        <w:t>2.6 Proportion of infectious syphilis notifications in men reporting sexual exposure with men and women</w:t>
      </w:r>
    </w:p>
    <w:p w14:paraId="2F5A4BDE" w14:textId="77777777" w:rsidR="0005590E" w:rsidRPr="00EB74A8" w:rsidRDefault="0005590E" w:rsidP="000C75AA">
      <w:r w:rsidRPr="00EB74A8">
        <w:t xml:space="preserve">‘Sexual exposure’ refers to the sex of the sexual contact of the notified case and can be reported as either: </w:t>
      </w:r>
    </w:p>
    <w:p w14:paraId="5ABD929F" w14:textId="7ADC76A5" w:rsidR="0005590E" w:rsidRPr="00EB74A8" w:rsidRDefault="00BE12DA" w:rsidP="00BE12DA">
      <w:pPr>
        <w:pStyle w:val="ListParagraph"/>
      </w:pPr>
      <w:r w:rsidRPr="00EB74A8">
        <w:t>person(s)</w:t>
      </w:r>
      <w:r w:rsidR="0005590E" w:rsidRPr="00EB74A8">
        <w:t xml:space="preserve"> of different sex only</w:t>
      </w:r>
    </w:p>
    <w:p w14:paraId="0C3F979B" w14:textId="0580C406" w:rsidR="0005590E" w:rsidRPr="00EB74A8" w:rsidRDefault="00BE12DA" w:rsidP="00BE12DA">
      <w:pPr>
        <w:pStyle w:val="ListParagraph"/>
      </w:pPr>
      <w:r w:rsidRPr="00EB74A8">
        <w:t xml:space="preserve">person(s) </w:t>
      </w:r>
      <w:r w:rsidR="0005590E" w:rsidRPr="00EB74A8">
        <w:t>of same sex only</w:t>
      </w:r>
    </w:p>
    <w:p w14:paraId="4F785F3B" w14:textId="125B3A8D" w:rsidR="0005590E" w:rsidRPr="00EB74A8" w:rsidRDefault="00BE12DA" w:rsidP="00BE12DA">
      <w:pPr>
        <w:pStyle w:val="ListParagraph"/>
      </w:pPr>
      <w:r w:rsidRPr="00EB74A8">
        <w:t xml:space="preserve">person(s) </w:t>
      </w:r>
      <w:r w:rsidR="0005590E" w:rsidRPr="00EB74A8">
        <w:t>of different sex AND person(s) of same sex</w:t>
      </w:r>
    </w:p>
    <w:p w14:paraId="4705884B" w14:textId="74A42064" w:rsidR="0005590E" w:rsidRPr="00EB74A8" w:rsidRDefault="0005590E" w:rsidP="00BE12DA">
      <w:pPr>
        <w:pStyle w:val="ListParagraph"/>
      </w:pPr>
      <w:r w:rsidRPr="00EB74A8">
        <w:t>sexual exposure unknown.</w:t>
      </w:r>
    </w:p>
    <w:p w14:paraId="7CFA6BE9" w14:textId="4CC2CF9D" w:rsidR="000C75AA" w:rsidRPr="00EB74A8" w:rsidRDefault="000C75AA" w:rsidP="000C75AA">
      <w:r w:rsidRPr="00EB74A8">
        <w:t>Enhanced data (sexual exposure: same sex, opposite sex and both sexes) are used to report against indicators 2.5 and 2.6.</w:t>
      </w:r>
    </w:p>
    <w:p w14:paraId="2E0ACDD2" w14:textId="7A6D1490" w:rsidR="000C75AA" w:rsidRPr="00EB74A8" w:rsidRDefault="000C75AA" w:rsidP="000C75AA">
      <w:r w:rsidRPr="00EB74A8">
        <w:t>Completeness of sexual exposure in males notified with infectious syphilis fluctuated between 2020 and Q</w:t>
      </w:r>
      <w:r w:rsidR="00F733C7" w:rsidRPr="00EB74A8">
        <w:t>3</w:t>
      </w:r>
      <w:r w:rsidRPr="00EB74A8">
        <w:t xml:space="preserve"> 202</w:t>
      </w:r>
      <w:r w:rsidR="00F733C7" w:rsidRPr="00EB74A8">
        <w:t>5</w:t>
      </w:r>
      <w:r w:rsidRPr="00EB74A8">
        <w:t>, ranging from 63% to 8</w:t>
      </w:r>
      <w:r w:rsidR="0013162C" w:rsidRPr="00EB74A8">
        <w:t>8</w:t>
      </w:r>
      <w:r w:rsidRPr="00EB74A8">
        <w:t>% (average 7</w:t>
      </w:r>
      <w:r w:rsidR="0013162C" w:rsidRPr="00EB74A8">
        <w:t>4</w:t>
      </w:r>
      <w:r w:rsidRPr="00EB74A8">
        <w:t>%).</w:t>
      </w:r>
    </w:p>
    <w:p w14:paraId="5EFBB6F3" w14:textId="0EB8AECC" w:rsidR="009763D4" w:rsidRPr="00EB74A8" w:rsidRDefault="000C75AA" w:rsidP="000C75AA">
      <w:r w:rsidRPr="00EB74A8">
        <w:t>Males reporting sexual exposure with the same sex only, represented the highest proportion of sexual exposure events (</w:t>
      </w:r>
      <w:r w:rsidR="00E5118F" w:rsidRPr="00EB74A8">
        <w:t>48</w:t>
      </w:r>
      <w:r w:rsidRPr="00EB74A8">
        <w:t>%) in Q</w:t>
      </w:r>
      <w:r w:rsidR="00E5118F" w:rsidRPr="00EB74A8">
        <w:t>3</w:t>
      </w:r>
      <w:r w:rsidRPr="00EB74A8">
        <w:t xml:space="preserve"> 202</w:t>
      </w:r>
      <w:r w:rsidR="00E5118F" w:rsidRPr="00EB74A8">
        <w:t>5</w:t>
      </w:r>
      <w:r w:rsidRPr="00EB74A8">
        <w:t xml:space="preserve"> consistent with historical trends. </w:t>
      </w:r>
    </w:p>
    <w:p w14:paraId="6F86B4A6" w14:textId="0C6DF5B0" w:rsidR="000C75AA" w:rsidRPr="00EB74A8" w:rsidRDefault="000C75AA" w:rsidP="000C75AA">
      <w:r w:rsidRPr="00EB74A8">
        <w:t>The proportion of males reporting sexual exposure with people of a different sex only, was 2</w:t>
      </w:r>
      <w:r w:rsidR="00E5118F" w:rsidRPr="00EB74A8">
        <w:t>4</w:t>
      </w:r>
      <w:r w:rsidRPr="00EB74A8">
        <w:t>% in Q</w:t>
      </w:r>
      <w:r w:rsidR="00E5118F" w:rsidRPr="00EB74A8">
        <w:t>3</w:t>
      </w:r>
      <w:r w:rsidRPr="00EB74A8">
        <w:t xml:space="preserve"> 202</w:t>
      </w:r>
      <w:r w:rsidR="00E5118F" w:rsidRPr="00EB74A8">
        <w:t>5</w:t>
      </w:r>
      <w:r w:rsidRPr="00EB74A8">
        <w:t>, with proportional increases compared with the 12 month and 5</w:t>
      </w:r>
      <w:r w:rsidR="00914FE8" w:rsidRPr="00EB74A8">
        <w:t>-</w:t>
      </w:r>
      <w:r w:rsidRPr="00EB74A8">
        <w:t xml:space="preserve">year quarterly means, </w:t>
      </w:r>
      <w:r w:rsidR="00221D5A" w:rsidRPr="00EB74A8">
        <w:t>21%</w:t>
      </w:r>
      <w:r w:rsidRPr="00EB74A8">
        <w:t xml:space="preserve"> and </w:t>
      </w:r>
      <w:r w:rsidR="00EB74A8" w:rsidRPr="00EB74A8">
        <w:t>17%,</w:t>
      </w:r>
      <w:r w:rsidRPr="00EB74A8">
        <w:t xml:space="preserve"> respectively. Proportionally males reporting sexual exposure with people of different and same sex was </w:t>
      </w:r>
      <w:r w:rsidR="00221D5A" w:rsidRPr="00EB74A8">
        <w:t>8</w:t>
      </w:r>
      <w:r w:rsidRPr="00EB74A8">
        <w:t>% in Q</w:t>
      </w:r>
      <w:r w:rsidR="00221D5A" w:rsidRPr="00EB74A8">
        <w:t>3</w:t>
      </w:r>
      <w:r w:rsidRPr="00EB74A8">
        <w:t xml:space="preserve"> 202</w:t>
      </w:r>
      <w:r w:rsidR="00221D5A" w:rsidRPr="00EB74A8">
        <w:t>5</w:t>
      </w:r>
      <w:r w:rsidR="00D97BF9" w:rsidRPr="00EB74A8">
        <w:t>, higher than an</w:t>
      </w:r>
      <w:r w:rsidR="00EF6E61" w:rsidRPr="00EB74A8">
        <w:t>y other quarter in the last 5 years</w:t>
      </w:r>
      <w:r w:rsidRPr="00EB74A8">
        <w:t>. (Figure</w:t>
      </w:r>
      <w:r w:rsidR="009763D4" w:rsidRPr="00EB74A8">
        <w:t> </w:t>
      </w:r>
      <w:r w:rsidRPr="00EB74A8">
        <w:t xml:space="preserve">8). </w:t>
      </w:r>
    </w:p>
    <w:p w14:paraId="1DCD2976" w14:textId="0FC23C40" w:rsidR="000C75AA" w:rsidRPr="00EB74A8" w:rsidRDefault="000C75AA" w:rsidP="000C75AA">
      <w:r w:rsidRPr="00EB74A8">
        <w:t xml:space="preserve">Changes in sexual exposure over time suggests potential overlapping in sexual networks influencing the epidemiology of syphilis transmission across Australia, including increasing exposure risk for females. This concept has also been observed in genomic analysis of Treponema pallidum (syphilis) in Australia and other sexually transmissible infections </w:t>
      </w:r>
      <w:r w:rsidR="005C68E6" w:rsidRPr="00EB74A8">
        <w:fldChar w:fldCharType="begin">
          <w:fldData xml:space="preserve">PEVuZE5vdGU+PENpdGU+PEF1dGhvcj5UYW91azwvQXV0aG9yPjxZZWFyPjIwMjI8L1llYXI+PFJl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</w:fldData>
        </w:fldChar>
      </w:r>
      <w:r w:rsidR="001629AA" w:rsidRPr="00EB74A8">
        <w:instrText xml:space="preserve"> ADDIN EN.CITE </w:instrText>
      </w:r>
      <w:r w:rsidR="001629AA" w:rsidRPr="00EB74A8">
        <w:fldChar w:fldCharType="begin">
          <w:fldData xml:space="preserve">PEVuZE5vdGU+PENpdGU+PEF1dGhvcj5UYW91azwvQXV0aG9yPjxZZWFyPjIwMjI8L1llYXI+PFJl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</w:fldData>
        </w:fldChar>
      </w:r>
      <w:r w:rsidR="001629AA" w:rsidRPr="00EB74A8">
        <w:instrText xml:space="preserve"> ADDIN EN.CITE.DATA </w:instrText>
      </w:r>
      <w:r w:rsidR="001629AA" w:rsidRPr="00EB74A8">
        <w:fldChar w:fldCharType="end"/>
      </w:r>
      <w:r w:rsidR="005C68E6" w:rsidRPr="00EB74A8">
        <w:fldChar w:fldCharType="separate"/>
      </w:r>
      <w:r w:rsidR="001629AA" w:rsidRPr="00EB74A8">
        <w:rPr>
          <w:noProof/>
        </w:rPr>
        <w:t>(6, 7)</w:t>
      </w:r>
      <w:r w:rsidR="005C68E6" w:rsidRPr="00EB74A8">
        <w:fldChar w:fldCharType="end"/>
      </w:r>
      <w:r w:rsidR="005C68E6" w:rsidRPr="00EB74A8">
        <w:t>.</w:t>
      </w:r>
    </w:p>
    <w:p w14:paraId="73570335" w14:textId="77777777" w:rsidR="007A5A53" w:rsidRPr="00EB74A8" w:rsidRDefault="007A5A53">
      <w:pPr>
        <w:spacing w:before="0" w:after="0" w:line="240" w:lineRule="auto"/>
        <w:rPr>
          <w:b/>
          <w:noProof/>
          <w:color w:val="033636" w:themeColor="text2"/>
        </w:rPr>
      </w:pPr>
      <w:r w:rsidRPr="00EB74A8">
        <w:br w:type="page"/>
      </w:r>
    </w:p>
    <w:p w14:paraId="375BCE1F" w14:textId="0B30ACBD" w:rsidR="00FA4688" w:rsidRPr="00EB74A8" w:rsidRDefault="000C75AA" w:rsidP="00E906E7">
      <w:pPr>
        <w:pStyle w:val="HeadingFigure"/>
      </w:pPr>
      <w:bookmarkStart w:id="30" w:name="_Toc224801185"/>
      <w:r w:rsidRPr="00EB74A8">
        <w:lastRenderedPageBreak/>
        <w:t xml:space="preserve">Number of infectious syphilis notifications among males and proportion (%) of cases by sexual exposure and year 2020 </w:t>
      </w:r>
      <w:r w:rsidR="005C68E6" w:rsidRPr="00EB74A8">
        <w:t>to</w:t>
      </w:r>
      <w:r w:rsidRPr="00EB74A8">
        <w:t xml:space="preserve"> Q</w:t>
      </w:r>
      <w:r w:rsidR="007A5A53" w:rsidRPr="00EB74A8">
        <w:t>3</w:t>
      </w:r>
      <w:r w:rsidR="005C68E6" w:rsidRPr="00EB74A8">
        <w:t xml:space="preserve"> </w:t>
      </w:r>
      <w:r w:rsidRPr="00EB74A8">
        <w:t>202</w:t>
      </w:r>
      <w:r w:rsidR="007A5A53" w:rsidRPr="00EB74A8">
        <w:t>5</w:t>
      </w:r>
      <w:bookmarkEnd w:id="30"/>
    </w:p>
    <w:p w14:paraId="6F3C7D08" w14:textId="7164A64D" w:rsidR="00E906E7" w:rsidRPr="00EB74A8" w:rsidRDefault="007A5A53" w:rsidP="00E906E7">
      <w:r w:rsidRPr="00EB74A8">
        <w:rPr>
          <w:noProof/>
        </w:rPr>
        <w:drawing>
          <wp:inline distT="0" distB="0" distL="0" distR="0" wp14:anchorId="6CDF7BF4" wp14:editId="662722AF">
            <wp:extent cx="6141085" cy="4000026"/>
            <wp:effectExtent l="0" t="0" r="0" b="635"/>
            <wp:docPr id="1968275271" name="Picture 9" descr="This figure shows infectious syphilis notifications among males by sexual exposure for 2020 to Q3 2025. It shows that the highest proportion of notifications were among males who have sex with males only across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75271" name="Picture 9" descr="This figure shows infectious syphilis notifications among males by sexual exposure for 2020 to Q3 2025. It shows that the highest proportion of notifications were among males who have sex with males only across all yea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46701" cy="4003684"/>
                    </a:xfrm>
                    <a:prstGeom prst="rect">
                      <a:avLst/>
                    </a:prstGeom>
                    <a:noFill/>
                  </pic:spPr>
                </pic:pic>
              </a:graphicData>
            </a:graphic>
          </wp:inline>
        </w:drawing>
      </w:r>
    </w:p>
    <w:p w14:paraId="0A3541A3" w14:textId="77777777" w:rsidR="001A3688" w:rsidRPr="00EB74A8" w:rsidRDefault="001A3688" w:rsidP="0045711B">
      <w:pPr>
        <w:pStyle w:val="Heading1"/>
      </w:pPr>
      <w:bookmarkStart w:id="31" w:name="_Toc225244425"/>
      <w:r w:rsidRPr="00EB74A8">
        <w:lastRenderedPageBreak/>
        <w:t>Goal 3: Reduce morbidity and mortality associated with syphilis</w:t>
      </w:r>
      <w:bookmarkEnd w:id="31"/>
    </w:p>
    <w:p w14:paraId="26F30E05" w14:textId="77777777" w:rsidR="0045711B" w:rsidRPr="00EB74A8" w:rsidRDefault="001A3688" w:rsidP="001A3688">
      <w:r w:rsidRPr="00EB74A8">
        <w:t xml:space="preserve">Death and hospitalisations data reported to the NNDSS are not used in reporting against this goal due to poor completeness and inconsistencies in reporting. </w:t>
      </w:r>
    </w:p>
    <w:p w14:paraId="3823D332" w14:textId="1FEB6196" w:rsidR="001A3688" w:rsidRPr="00EB74A8" w:rsidRDefault="001A3688" w:rsidP="001A3688">
      <w:r w:rsidRPr="00EB74A8">
        <w:t>More comprehensive data are available through The Australian Bureau of Statistics (ABS) and The Australian Institute of Health and Welfare (AIHW) data collections</w:t>
      </w:r>
      <w:r w:rsidR="0045711B" w:rsidRPr="00EB74A8">
        <w:t>. H</w:t>
      </w:r>
      <w:r w:rsidRPr="00EB74A8">
        <w:t>owever</w:t>
      </w:r>
      <w:r w:rsidR="0045711B" w:rsidRPr="00EB74A8">
        <w:t>,</w:t>
      </w:r>
      <w:r w:rsidRPr="00EB74A8">
        <w:t xml:space="preserve"> these data are less timely with at least a minimum </w:t>
      </w:r>
      <w:r w:rsidR="0045711B" w:rsidRPr="00EB74A8">
        <w:t>1</w:t>
      </w:r>
      <w:r w:rsidRPr="00EB74A8">
        <w:t xml:space="preserve"> to </w:t>
      </w:r>
      <w:r w:rsidR="0045711B" w:rsidRPr="00EB74A8">
        <w:t>2-</w:t>
      </w:r>
      <w:r w:rsidRPr="00EB74A8">
        <w:t>year delay from the reporting year.</w:t>
      </w:r>
    </w:p>
    <w:p w14:paraId="16883D0E" w14:textId="5169FBDB" w:rsidR="00E906E7" w:rsidRPr="00EB74A8" w:rsidRDefault="001A3688" w:rsidP="001A3688">
      <w:r w:rsidRPr="00EB74A8">
        <w:t>The latest available data from the ABS and AIHW will be incorporated into annual reporting for this goal.</w:t>
      </w:r>
    </w:p>
    <w:p w14:paraId="6AE99EFC" w14:textId="77777777" w:rsidR="00F950FD" w:rsidRPr="00EB74A8" w:rsidRDefault="00F950FD" w:rsidP="00F950FD">
      <w:pPr>
        <w:pStyle w:val="Heading1"/>
      </w:pPr>
      <w:bookmarkStart w:id="32" w:name="_Toc225244426"/>
      <w:r w:rsidRPr="00EB74A8">
        <w:lastRenderedPageBreak/>
        <w:t>Goal 4: Eliminate congenital syphilis (defined as sustained zero congenital syphilis cases)</w:t>
      </w:r>
      <w:bookmarkEnd w:id="32"/>
    </w:p>
    <w:p w14:paraId="4DAAC9B2" w14:textId="77777777" w:rsidR="00AF4088" w:rsidRPr="00EB74A8" w:rsidRDefault="00AF4088" w:rsidP="006B2917">
      <w:pPr>
        <w:pStyle w:val="Style3"/>
      </w:pPr>
      <w:r w:rsidRPr="00EB74A8">
        <w:t>Key facts</w:t>
      </w:r>
    </w:p>
    <w:p w14:paraId="38431044" w14:textId="77777777" w:rsidR="008D26CE" w:rsidRPr="00EB74A8" w:rsidRDefault="008B71F6" w:rsidP="00AF4088">
      <w:pPr>
        <w:pStyle w:val="BoxTextGreen"/>
        <w:rPr>
          <w:rStyle w:val="Strong"/>
          <w:b w:val="0"/>
          <w:bCs w:val="0"/>
        </w:rPr>
      </w:pPr>
      <w:r w:rsidRPr="00EB74A8">
        <w:rPr>
          <w:rStyle w:val="Strong"/>
          <w:b w:val="0"/>
          <w:bCs w:val="0"/>
        </w:rPr>
        <w:t xml:space="preserve">Between January and September </w:t>
      </w:r>
      <w:r w:rsidR="00B21AD1" w:rsidRPr="00EB74A8">
        <w:rPr>
          <w:rStyle w:val="Strong"/>
          <w:b w:val="0"/>
          <w:bCs w:val="0"/>
        </w:rPr>
        <w:t>of 2025</w:t>
      </w:r>
      <w:r w:rsidR="008D26CE" w:rsidRPr="00EB74A8">
        <w:rPr>
          <w:rStyle w:val="Strong"/>
          <w:b w:val="0"/>
          <w:bCs w:val="0"/>
        </w:rPr>
        <w:t>:</w:t>
      </w:r>
    </w:p>
    <w:p w14:paraId="2C089C37" w14:textId="6D21799B" w:rsidR="00AF4088" w:rsidRPr="00EB74A8" w:rsidRDefault="00B21AD1" w:rsidP="008D26CE">
      <w:pPr>
        <w:pStyle w:val="BoxBulletGreen"/>
      </w:pPr>
      <w:r w:rsidRPr="00EB74A8">
        <w:rPr>
          <w:b/>
          <w:bCs/>
        </w:rPr>
        <w:t xml:space="preserve"> </w:t>
      </w:r>
      <w:r w:rsidR="008B71F6" w:rsidRPr="00EB74A8">
        <w:rPr>
          <w:b/>
          <w:bCs/>
        </w:rPr>
        <w:t>11</w:t>
      </w:r>
      <w:r w:rsidR="00AF4088" w:rsidRPr="00EB74A8">
        <w:rPr>
          <w:b/>
          <w:bCs/>
        </w:rPr>
        <w:t xml:space="preserve"> cases</w:t>
      </w:r>
      <w:r w:rsidR="00AF4088" w:rsidRPr="00EB74A8">
        <w:t xml:space="preserve"> of </w:t>
      </w:r>
      <w:r w:rsidR="00AF4088" w:rsidRPr="00EB74A8">
        <w:rPr>
          <w:b/>
          <w:bCs/>
        </w:rPr>
        <w:t>congenital syphilis</w:t>
      </w:r>
      <w:r w:rsidR="00AF4088" w:rsidRPr="00EB74A8">
        <w:t xml:space="preserve"> were reported</w:t>
      </w:r>
      <w:r w:rsidR="003140EE" w:rsidRPr="00EB74A8">
        <w:t>. Of those</w:t>
      </w:r>
      <w:r w:rsidR="00AF4088" w:rsidRPr="00EB74A8">
        <w:t>:</w:t>
      </w:r>
    </w:p>
    <w:p w14:paraId="615DA8B2" w14:textId="5FCA1FDF" w:rsidR="00AF4088" w:rsidRPr="00EB74A8" w:rsidRDefault="00877CF5" w:rsidP="00877CF5">
      <w:pPr>
        <w:pStyle w:val="BoxBulletGreen"/>
        <w:numPr>
          <w:ilvl w:val="0"/>
          <w:numId w:val="0"/>
        </w:numPr>
        <w:ind w:firstLine="360"/>
      </w:pPr>
      <w:r w:rsidRPr="00EB74A8">
        <w:t xml:space="preserve">- </w:t>
      </w:r>
      <w:r w:rsidR="00BC019F" w:rsidRPr="00EB74A8">
        <w:t>6</w:t>
      </w:r>
      <w:r w:rsidR="00AF4088" w:rsidRPr="00EB74A8">
        <w:t xml:space="preserve"> </w:t>
      </w:r>
      <w:r w:rsidR="003140EE" w:rsidRPr="00EB74A8">
        <w:t xml:space="preserve">were </w:t>
      </w:r>
      <w:r w:rsidR="00AF4088" w:rsidRPr="00EB74A8">
        <w:t>non-Indigenous infants, including 1 who sadly died</w:t>
      </w:r>
    </w:p>
    <w:p w14:paraId="611D8FC6" w14:textId="6835AA9E" w:rsidR="00AF4088" w:rsidRPr="00EB74A8" w:rsidRDefault="00877CF5" w:rsidP="00877CF5">
      <w:pPr>
        <w:pStyle w:val="BoxBulletGreen"/>
        <w:numPr>
          <w:ilvl w:val="0"/>
          <w:numId w:val="0"/>
        </w:numPr>
        <w:ind w:firstLine="360"/>
      </w:pPr>
      <w:r w:rsidRPr="00EB74A8">
        <w:t xml:space="preserve">- </w:t>
      </w:r>
      <w:r w:rsidR="00F41F01" w:rsidRPr="00EB74A8">
        <w:t>5</w:t>
      </w:r>
      <w:r w:rsidR="00AF4088" w:rsidRPr="00EB74A8">
        <w:t xml:space="preserve"> </w:t>
      </w:r>
      <w:r w:rsidR="003140EE" w:rsidRPr="00EB74A8">
        <w:t xml:space="preserve">were </w:t>
      </w:r>
      <w:r w:rsidR="00AF4088" w:rsidRPr="00EB74A8">
        <w:t>Aboriginal and Torres Strait Islander infants, including 3 who sadly died</w:t>
      </w:r>
    </w:p>
    <w:p w14:paraId="46219A56" w14:textId="6DDF4BDC" w:rsidR="00AF4088" w:rsidRPr="00EB74A8" w:rsidRDefault="00D231D1" w:rsidP="003258E1">
      <w:pPr>
        <w:pStyle w:val="BoxBulletGreen"/>
        <w:rPr>
          <w:b/>
          <w:bCs/>
        </w:rPr>
      </w:pPr>
      <w:r w:rsidRPr="00EB74A8">
        <w:t>Nine</w:t>
      </w:r>
      <w:r w:rsidR="00AF4088" w:rsidRPr="00EB74A8">
        <w:t xml:space="preserve"> women</w:t>
      </w:r>
      <w:r w:rsidR="00AF4088" w:rsidRPr="00EB74A8">
        <w:rPr>
          <w:b/>
          <w:bCs/>
        </w:rPr>
        <w:t xml:space="preserve"> who gave birth </w:t>
      </w:r>
      <w:r w:rsidR="00AF4088" w:rsidRPr="00EB74A8">
        <w:t>to these infants were diagnosed with syphilis</w:t>
      </w:r>
      <w:r w:rsidR="00AF4088" w:rsidRPr="00EB74A8">
        <w:rPr>
          <w:b/>
          <w:bCs/>
        </w:rPr>
        <w:t xml:space="preserve"> </w:t>
      </w:r>
      <w:r w:rsidR="00AF4088" w:rsidRPr="00EB74A8">
        <w:t>late in pregnancy</w:t>
      </w:r>
      <w:r w:rsidR="00AF4088" w:rsidRPr="00EB74A8">
        <w:rPr>
          <w:b/>
          <w:bCs/>
        </w:rPr>
        <w:t xml:space="preserve"> and did not receive adequate treatment prior to delivery</w:t>
      </w:r>
    </w:p>
    <w:p w14:paraId="122AB54E" w14:textId="44C351D2" w:rsidR="00AF4088" w:rsidRPr="00EB74A8" w:rsidRDefault="00AF4088" w:rsidP="00335A10">
      <w:pPr>
        <w:pStyle w:val="BoxBulletGreen"/>
      </w:pPr>
      <w:r w:rsidRPr="00EB74A8">
        <w:rPr>
          <w:b/>
          <w:bCs/>
        </w:rPr>
        <w:t>1</w:t>
      </w:r>
      <w:r w:rsidR="0017241A" w:rsidRPr="00EB74A8">
        <w:rPr>
          <w:b/>
          <w:bCs/>
        </w:rPr>
        <w:t>7</w:t>
      </w:r>
      <w:r w:rsidRPr="00EB74A8">
        <w:rPr>
          <w:b/>
          <w:bCs/>
        </w:rPr>
        <w:t>%</w:t>
      </w:r>
      <w:r w:rsidRPr="00EB74A8">
        <w:t xml:space="preserve"> of</w:t>
      </w:r>
      <w:r w:rsidR="000B5661" w:rsidRPr="00EB74A8">
        <w:t xml:space="preserve"> all</w:t>
      </w:r>
      <w:r w:rsidRPr="00EB74A8">
        <w:t xml:space="preserve"> women of reproductive age </w:t>
      </w:r>
      <w:r w:rsidR="000B5661" w:rsidRPr="00EB74A8">
        <w:t xml:space="preserve">diagnosed with </w:t>
      </w:r>
      <w:r w:rsidRPr="00EB74A8">
        <w:t xml:space="preserve">syphilis </w:t>
      </w:r>
      <w:r w:rsidR="000B5661" w:rsidRPr="00EB74A8">
        <w:t xml:space="preserve">were </w:t>
      </w:r>
      <w:r w:rsidR="000B5661" w:rsidRPr="00EB74A8">
        <w:rPr>
          <w:b/>
          <w:bCs/>
        </w:rPr>
        <w:t>pregnant</w:t>
      </w:r>
      <w:r w:rsidRPr="00EB74A8">
        <w:t xml:space="preserve"> </w:t>
      </w:r>
    </w:p>
    <w:p w14:paraId="0B7A1F92" w14:textId="440F9AEF" w:rsidR="00AF4088" w:rsidRPr="00EB74A8" w:rsidRDefault="00AF4088" w:rsidP="006B2917">
      <w:pPr>
        <w:pStyle w:val="Style3"/>
      </w:pPr>
      <w:r w:rsidRPr="00EB74A8">
        <w:t>Long</w:t>
      </w:r>
      <w:r w:rsidR="00F427C8" w:rsidRPr="00EB74A8">
        <w:t>-</w:t>
      </w:r>
      <w:r w:rsidRPr="00EB74A8">
        <w:t>term trends</w:t>
      </w:r>
    </w:p>
    <w:p w14:paraId="56424FA1" w14:textId="77777777" w:rsidR="00C11745" w:rsidRPr="00EB74A8" w:rsidRDefault="001F37ED" w:rsidP="00AF4088">
      <w:pPr>
        <w:pStyle w:val="BoxTextGreen"/>
        <w:rPr>
          <w:rStyle w:val="Strong"/>
          <w:b w:val="0"/>
          <w:bCs w:val="0"/>
        </w:rPr>
      </w:pPr>
      <w:r w:rsidRPr="00EB74A8">
        <w:t xml:space="preserve">Between </w:t>
      </w:r>
      <w:r w:rsidRPr="00EB74A8">
        <w:rPr>
          <w:rStyle w:val="Strong"/>
          <w:b w:val="0"/>
          <w:bCs w:val="0"/>
        </w:rPr>
        <w:t>2020 and Q</w:t>
      </w:r>
      <w:r w:rsidR="00C11745" w:rsidRPr="00EB74A8">
        <w:rPr>
          <w:rStyle w:val="Strong"/>
          <w:b w:val="0"/>
          <w:bCs w:val="0"/>
        </w:rPr>
        <w:t>3</w:t>
      </w:r>
      <w:r w:rsidRPr="00EB74A8">
        <w:rPr>
          <w:rStyle w:val="Strong"/>
          <w:b w:val="0"/>
          <w:bCs w:val="0"/>
        </w:rPr>
        <w:t xml:space="preserve"> 202</w:t>
      </w:r>
      <w:r w:rsidR="00C11745" w:rsidRPr="00EB74A8">
        <w:rPr>
          <w:rStyle w:val="Strong"/>
          <w:b w:val="0"/>
          <w:bCs w:val="0"/>
        </w:rPr>
        <w:t>5:</w:t>
      </w:r>
    </w:p>
    <w:p w14:paraId="6719DA49" w14:textId="31BA2DB2" w:rsidR="00AF4088" w:rsidRPr="00EB74A8" w:rsidRDefault="001F37ED" w:rsidP="004155CA">
      <w:pPr>
        <w:pStyle w:val="BoxBulletGreen"/>
      </w:pPr>
      <w:r w:rsidRPr="00EB74A8">
        <w:t xml:space="preserve"> </w:t>
      </w:r>
      <w:r w:rsidR="00AF4088" w:rsidRPr="00EB74A8">
        <w:rPr>
          <w:b/>
          <w:bCs/>
        </w:rPr>
        <w:t>8</w:t>
      </w:r>
      <w:r w:rsidR="004C2C96" w:rsidRPr="00EB74A8">
        <w:rPr>
          <w:b/>
          <w:bCs/>
        </w:rPr>
        <w:t>8</w:t>
      </w:r>
      <w:r w:rsidR="00AC103E" w:rsidRPr="00EB74A8">
        <w:rPr>
          <w:b/>
          <w:bCs/>
        </w:rPr>
        <w:t xml:space="preserve"> cases</w:t>
      </w:r>
      <w:r w:rsidR="00AF4088" w:rsidRPr="00EB74A8">
        <w:t xml:space="preserve"> </w:t>
      </w:r>
      <w:r w:rsidR="00AC103E" w:rsidRPr="00EB74A8">
        <w:t xml:space="preserve">of </w:t>
      </w:r>
      <w:r w:rsidR="00AF4088" w:rsidRPr="00EB74A8">
        <w:rPr>
          <w:b/>
          <w:bCs/>
        </w:rPr>
        <w:t xml:space="preserve">congenital syphilis have been reported, including </w:t>
      </w:r>
      <w:r w:rsidR="00AF4088" w:rsidRPr="00EB74A8">
        <w:t>30 deaths</w:t>
      </w:r>
      <w:r w:rsidR="003140EE" w:rsidRPr="00EB74A8">
        <w:rPr>
          <w:b/>
          <w:bCs/>
        </w:rPr>
        <w:t xml:space="preserve">. </w:t>
      </w:r>
      <w:r w:rsidR="003140EE" w:rsidRPr="00EB74A8">
        <w:t>Of those:</w:t>
      </w:r>
    </w:p>
    <w:p w14:paraId="65D80FD7" w14:textId="1CBF9350" w:rsidR="00AF4088" w:rsidRPr="00EB74A8" w:rsidRDefault="00A16878" w:rsidP="00BC5195">
      <w:pPr>
        <w:pStyle w:val="BoxBulletGreen"/>
        <w:numPr>
          <w:ilvl w:val="0"/>
          <w:numId w:val="0"/>
        </w:numPr>
        <w:ind w:firstLine="360"/>
      </w:pPr>
      <w:r w:rsidRPr="00EB74A8">
        <w:t xml:space="preserve">- </w:t>
      </w:r>
      <w:r w:rsidR="00AF4088" w:rsidRPr="00EB74A8">
        <w:rPr>
          <w:b/>
          <w:bCs/>
        </w:rPr>
        <w:t>4</w:t>
      </w:r>
      <w:r w:rsidRPr="00EB74A8">
        <w:rPr>
          <w:b/>
          <w:bCs/>
        </w:rPr>
        <w:t>7</w:t>
      </w:r>
      <w:r w:rsidR="00AF4088" w:rsidRPr="00EB74A8">
        <w:rPr>
          <w:b/>
          <w:bCs/>
        </w:rPr>
        <w:t xml:space="preserve"> </w:t>
      </w:r>
      <w:r w:rsidR="003140EE" w:rsidRPr="00EB74A8">
        <w:rPr>
          <w:b/>
          <w:bCs/>
        </w:rPr>
        <w:t xml:space="preserve">were </w:t>
      </w:r>
      <w:r w:rsidR="00AF4088" w:rsidRPr="00EB74A8">
        <w:rPr>
          <w:b/>
          <w:bCs/>
        </w:rPr>
        <w:t>Aboriginal and Torres Strait Islander infants</w:t>
      </w:r>
      <w:r w:rsidR="00AF4088" w:rsidRPr="00EB74A8">
        <w:t xml:space="preserve">, including </w:t>
      </w:r>
      <w:r w:rsidR="00AF4088" w:rsidRPr="00EB74A8">
        <w:rPr>
          <w:b/>
          <w:bCs/>
        </w:rPr>
        <w:t>18 deaths</w:t>
      </w:r>
    </w:p>
    <w:p w14:paraId="2CE48578" w14:textId="34CE2BC8" w:rsidR="00AF4088" w:rsidRPr="00EB74A8" w:rsidRDefault="00A16878" w:rsidP="00BC5195">
      <w:pPr>
        <w:pStyle w:val="BoxBulletGreen"/>
        <w:numPr>
          <w:ilvl w:val="0"/>
          <w:numId w:val="0"/>
        </w:numPr>
        <w:ind w:firstLine="360"/>
      </w:pPr>
      <w:r w:rsidRPr="00EB74A8">
        <w:t xml:space="preserve">- </w:t>
      </w:r>
      <w:r w:rsidR="00AF4088" w:rsidRPr="00EB74A8">
        <w:rPr>
          <w:b/>
          <w:bCs/>
        </w:rPr>
        <w:t>3</w:t>
      </w:r>
      <w:r w:rsidR="00305EC2" w:rsidRPr="00EB74A8">
        <w:rPr>
          <w:b/>
          <w:bCs/>
        </w:rPr>
        <w:t>9</w:t>
      </w:r>
      <w:r w:rsidR="00AF4088" w:rsidRPr="00EB74A8">
        <w:rPr>
          <w:b/>
          <w:bCs/>
        </w:rPr>
        <w:t xml:space="preserve"> </w:t>
      </w:r>
      <w:r w:rsidR="003140EE" w:rsidRPr="00EB74A8">
        <w:rPr>
          <w:b/>
          <w:bCs/>
        </w:rPr>
        <w:t xml:space="preserve">were </w:t>
      </w:r>
      <w:r w:rsidR="00AF4088" w:rsidRPr="00EB74A8">
        <w:rPr>
          <w:b/>
          <w:bCs/>
        </w:rPr>
        <w:t>non-Indigenous infants</w:t>
      </w:r>
      <w:r w:rsidR="00AF4088" w:rsidRPr="00EB74A8">
        <w:t xml:space="preserve">, including </w:t>
      </w:r>
      <w:r w:rsidR="00AF4088" w:rsidRPr="00EB74A8">
        <w:rPr>
          <w:b/>
          <w:bCs/>
        </w:rPr>
        <w:t>10 deaths</w:t>
      </w:r>
    </w:p>
    <w:p w14:paraId="55E128AE" w14:textId="2DE5E855" w:rsidR="00AF4088" w:rsidRPr="00EB74A8" w:rsidRDefault="00A16878" w:rsidP="00BC5195">
      <w:pPr>
        <w:pStyle w:val="BoxBulletGreen"/>
        <w:numPr>
          <w:ilvl w:val="0"/>
          <w:numId w:val="0"/>
        </w:numPr>
        <w:ind w:firstLine="360"/>
      </w:pPr>
      <w:r w:rsidRPr="00EB74A8">
        <w:t xml:space="preserve">- </w:t>
      </w:r>
      <w:r w:rsidR="00AF4088" w:rsidRPr="00EB74A8">
        <w:t xml:space="preserve">2 infants </w:t>
      </w:r>
      <w:r w:rsidR="003140EE" w:rsidRPr="00EB74A8">
        <w:t>with</w:t>
      </w:r>
      <w:r w:rsidR="00AF4088" w:rsidRPr="00EB74A8">
        <w:t xml:space="preserve"> unknown Indigenous status who died of the infection.</w:t>
      </w:r>
    </w:p>
    <w:p w14:paraId="39E27E1E" w14:textId="6DAE9D3E" w:rsidR="00AF4088" w:rsidRPr="00EB74A8" w:rsidRDefault="00AF4088" w:rsidP="00AC103E">
      <w:pPr>
        <w:pStyle w:val="BoxBulletGreen"/>
      </w:pPr>
      <w:r w:rsidRPr="00EB74A8">
        <w:t>Of the women giving birth to an infant with congenital syphilis</w:t>
      </w:r>
      <w:r w:rsidR="00033B34" w:rsidRPr="00EB74A8">
        <w:t xml:space="preserve"> (with data available)</w:t>
      </w:r>
      <w:r w:rsidRPr="00EB74A8">
        <w:t xml:space="preserve"> </w:t>
      </w:r>
    </w:p>
    <w:p w14:paraId="410D15BF" w14:textId="08813490" w:rsidR="00AF4088" w:rsidRPr="00EB74A8" w:rsidRDefault="00D15E74" w:rsidP="00D15E74">
      <w:pPr>
        <w:pStyle w:val="BoxBulletGreen"/>
        <w:numPr>
          <w:ilvl w:val="0"/>
          <w:numId w:val="0"/>
        </w:numPr>
        <w:ind w:firstLine="360"/>
      </w:pPr>
      <w:r w:rsidRPr="00EB74A8">
        <w:t xml:space="preserve">- </w:t>
      </w:r>
      <w:r w:rsidR="00AF4088" w:rsidRPr="00EB74A8">
        <w:rPr>
          <w:b/>
          <w:bCs/>
        </w:rPr>
        <w:t>8</w:t>
      </w:r>
      <w:r w:rsidR="00084D67" w:rsidRPr="00EB74A8">
        <w:rPr>
          <w:b/>
          <w:bCs/>
        </w:rPr>
        <w:t>2</w:t>
      </w:r>
      <w:r w:rsidR="00AF4088" w:rsidRPr="00EB74A8">
        <w:rPr>
          <w:b/>
          <w:bCs/>
        </w:rPr>
        <w:t>%</w:t>
      </w:r>
      <w:r w:rsidR="00AF4088" w:rsidRPr="00EB74A8">
        <w:t xml:space="preserve"> were </w:t>
      </w:r>
      <w:r w:rsidR="00AF4088" w:rsidRPr="00EB74A8">
        <w:rPr>
          <w:b/>
          <w:bCs/>
        </w:rPr>
        <w:t>diagnosed late</w:t>
      </w:r>
      <w:r w:rsidR="00AF4088" w:rsidRPr="00EB74A8">
        <w:t xml:space="preserve"> in pregnancy</w:t>
      </w:r>
    </w:p>
    <w:p w14:paraId="2E0819DA" w14:textId="6AC7492E" w:rsidR="00AF4088" w:rsidRPr="00EB74A8" w:rsidRDefault="00033B34" w:rsidP="00D15E74">
      <w:pPr>
        <w:pStyle w:val="BoxBulletGreen"/>
        <w:numPr>
          <w:ilvl w:val="0"/>
          <w:numId w:val="0"/>
        </w:numPr>
        <w:ind w:firstLine="360"/>
      </w:pPr>
      <w:r w:rsidRPr="00EB74A8">
        <w:t xml:space="preserve">- </w:t>
      </w:r>
      <w:r w:rsidR="00AF4088" w:rsidRPr="00EB74A8">
        <w:rPr>
          <w:b/>
          <w:bCs/>
        </w:rPr>
        <w:t>96% did not receive adequate treatment</w:t>
      </w:r>
      <w:r w:rsidR="00AF4088" w:rsidRPr="00EB74A8">
        <w:t xml:space="preserve"> prior to delivery</w:t>
      </w:r>
    </w:p>
    <w:p w14:paraId="07D49564" w14:textId="53600B9F" w:rsidR="00AF4088" w:rsidRPr="00EB74A8" w:rsidRDefault="00033B34" w:rsidP="00D15E74">
      <w:pPr>
        <w:pStyle w:val="BoxBulletGreen"/>
        <w:numPr>
          <w:ilvl w:val="0"/>
          <w:numId w:val="0"/>
        </w:numPr>
        <w:ind w:firstLine="360"/>
      </w:pPr>
      <w:r w:rsidRPr="00EB74A8">
        <w:rPr>
          <w:b/>
          <w:bCs/>
        </w:rPr>
        <w:t xml:space="preserve">- </w:t>
      </w:r>
      <w:r w:rsidR="00AF4088" w:rsidRPr="00EB74A8">
        <w:rPr>
          <w:b/>
          <w:bCs/>
        </w:rPr>
        <w:t>6</w:t>
      </w:r>
      <w:r w:rsidRPr="00EB74A8">
        <w:rPr>
          <w:b/>
          <w:bCs/>
        </w:rPr>
        <w:t>2</w:t>
      </w:r>
      <w:r w:rsidR="00AF4088" w:rsidRPr="00EB74A8">
        <w:rPr>
          <w:b/>
          <w:bCs/>
        </w:rPr>
        <w:t>% did not have a previous syphilis test</w:t>
      </w:r>
      <w:r w:rsidR="00AF4088" w:rsidRPr="00EB74A8">
        <w:t xml:space="preserve"> in pregnancy</w:t>
      </w:r>
    </w:p>
    <w:p w14:paraId="039BECBE" w14:textId="77DF826F" w:rsidR="0045711B" w:rsidRPr="00EB74A8" w:rsidRDefault="00EF5105" w:rsidP="00111000">
      <w:pPr>
        <w:pStyle w:val="Heading2"/>
      </w:pPr>
      <w:bookmarkStart w:id="33" w:name="_Toc225244427"/>
      <w:r w:rsidRPr="00EB74A8">
        <w:t xml:space="preserve">Indicators 4.1, 4.2 and 4.3 </w:t>
      </w:r>
      <w:r w:rsidR="00A83BAD" w:rsidRPr="00EB74A8">
        <w:t>–</w:t>
      </w:r>
      <w:r w:rsidRPr="00EB74A8">
        <w:t xml:space="preserve"> </w:t>
      </w:r>
      <w:r w:rsidR="00990D59" w:rsidRPr="00EB74A8">
        <w:t>Remoteness area and Indigenous status</w:t>
      </w:r>
      <w:bookmarkEnd w:id="33"/>
    </w:p>
    <w:p w14:paraId="744BCBFF" w14:textId="77777777" w:rsidR="00A83BAD" w:rsidRPr="00EB74A8" w:rsidRDefault="00A83BAD" w:rsidP="00A83BAD">
      <w:pPr>
        <w:pStyle w:val="Boxemerald"/>
      </w:pPr>
      <w:r w:rsidRPr="00EB74A8">
        <w:t>4.1 Number of congenital syphilis cases by remoteness area and Indigenous status</w:t>
      </w:r>
    </w:p>
    <w:p w14:paraId="1ADDDFBD" w14:textId="77777777" w:rsidR="00A83BAD" w:rsidRPr="00EB74A8" w:rsidRDefault="00A83BAD" w:rsidP="00A83BAD">
      <w:pPr>
        <w:pStyle w:val="Boxemerald"/>
      </w:pPr>
      <w:r w:rsidRPr="00EB74A8">
        <w:t>4.2 Number of congenital syphilis related deaths by Indigenous status</w:t>
      </w:r>
    </w:p>
    <w:p w14:paraId="4CDD10EE" w14:textId="77777777" w:rsidR="00A83BAD" w:rsidRPr="00EB74A8" w:rsidRDefault="00A83BAD" w:rsidP="00A83BAD">
      <w:pPr>
        <w:pStyle w:val="Boxemerald"/>
      </w:pPr>
      <w:r w:rsidRPr="00EB74A8">
        <w:t>4.3 Notification rate of congenital syphilis per 100,000 live births by remoteness area and Indigenous status</w:t>
      </w:r>
    </w:p>
    <w:p w14:paraId="57DF47F0" w14:textId="0E883EBC" w:rsidR="00A83BAD" w:rsidRPr="00EB74A8" w:rsidRDefault="00A83BAD" w:rsidP="00A83BAD">
      <w:r w:rsidRPr="00EB74A8">
        <w:t xml:space="preserve">In the first </w:t>
      </w:r>
      <w:r w:rsidR="00E851F8" w:rsidRPr="00EB74A8">
        <w:t>9</w:t>
      </w:r>
      <w:r w:rsidRPr="00EB74A8">
        <w:t xml:space="preserve"> months of 2025, </w:t>
      </w:r>
      <w:r w:rsidR="00E851F8" w:rsidRPr="00EB74A8">
        <w:t>11</w:t>
      </w:r>
      <w:r w:rsidRPr="00EB74A8">
        <w:t xml:space="preserve"> cases of congenital syphilis were reported</w:t>
      </w:r>
      <w:r w:rsidR="000D33CB" w:rsidRPr="00EB74A8">
        <w:t>. Of those</w:t>
      </w:r>
      <w:r w:rsidRPr="00EB74A8">
        <w:t>:</w:t>
      </w:r>
    </w:p>
    <w:p w14:paraId="2BD794FC" w14:textId="49D3E411" w:rsidR="00A83BAD" w:rsidRPr="00EB74A8" w:rsidRDefault="005E1835" w:rsidP="009B7B5A">
      <w:pPr>
        <w:pStyle w:val="ListParagraph"/>
      </w:pPr>
      <w:r w:rsidRPr="00EB74A8">
        <w:t>6</w:t>
      </w:r>
      <w:r w:rsidR="009B7B5A" w:rsidRPr="00EB74A8">
        <w:t xml:space="preserve"> were</w:t>
      </w:r>
      <w:r w:rsidR="00A83BAD" w:rsidRPr="00EB74A8">
        <w:t xml:space="preserve"> non-Indigenous infants from major cities of Australia, including one infant who sadly died</w:t>
      </w:r>
    </w:p>
    <w:p w14:paraId="087B5660" w14:textId="09AB5091" w:rsidR="00A83BAD" w:rsidRPr="00EB74A8" w:rsidRDefault="005E1835" w:rsidP="009B7B5A">
      <w:pPr>
        <w:pStyle w:val="ListParagraph"/>
      </w:pPr>
      <w:r w:rsidRPr="00EB74A8">
        <w:t>5</w:t>
      </w:r>
      <w:r w:rsidR="00465349" w:rsidRPr="00EB74A8">
        <w:t xml:space="preserve"> were</w:t>
      </w:r>
      <w:r w:rsidR="00A83BAD" w:rsidRPr="00EB74A8">
        <w:t xml:space="preserve"> Aboriginal and Torres Strait Islander infants</w:t>
      </w:r>
      <w:r w:rsidR="00465349" w:rsidRPr="00EB74A8">
        <w:t xml:space="preserve"> – 2 </w:t>
      </w:r>
      <w:r w:rsidR="00A83BAD" w:rsidRPr="00EB74A8">
        <w:t xml:space="preserve">from major cities including </w:t>
      </w:r>
      <w:r w:rsidR="00465349" w:rsidRPr="00EB74A8">
        <w:t>1 </w:t>
      </w:r>
      <w:r w:rsidR="00A83BAD" w:rsidRPr="00EB74A8">
        <w:t>who died</w:t>
      </w:r>
      <w:r w:rsidR="00465349" w:rsidRPr="00EB74A8">
        <w:t>,</w:t>
      </w:r>
      <w:r w:rsidR="00A83BAD" w:rsidRPr="00EB74A8">
        <w:t xml:space="preserve"> </w:t>
      </w:r>
      <w:r w:rsidR="00A73FB5" w:rsidRPr="00EB74A8">
        <w:t>1 from inner/outer regional areas</w:t>
      </w:r>
      <w:r w:rsidR="007163F2" w:rsidRPr="00EB74A8">
        <w:t xml:space="preserve">, </w:t>
      </w:r>
      <w:r w:rsidR="00A83BAD" w:rsidRPr="00EB74A8">
        <w:t xml:space="preserve">and </w:t>
      </w:r>
      <w:r w:rsidR="00465349" w:rsidRPr="00EB74A8">
        <w:t>2</w:t>
      </w:r>
      <w:r w:rsidR="00A83BAD" w:rsidRPr="00EB74A8">
        <w:t xml:space="preserve"> from remote</w:t>
      </w:r>
      <w:r w:rsidR="00465349" w:rsidRPr="00EB74A8">
        <w:t xml:space="preserve"> and </w:t>
      </w:r>
      <w:r w:rsidR="00A83BAD" w:rsidRPr="00EB74A8">
        <w:t xml:space="preserve">very remote </w:t>
      </w:r>
      <w:r w:rsidR="00465349" w:rsidRPr="00EB74A8">
        <w:t>area</w:t>
      </w:r>
      <w:r w:rsidR="00A83BAD" w:rsidRPr="00EB74A8">
        <w:t xml:space="preserve">, both who sadly died. </w:t>
      </w:r>
    </w:p>
    <w:p w14:paraId="5B565899" w14:textId="60CFC7B7" w:rsidR="00465349" w:rsidRPr="00EB74A8" w:rsidRDefault="00A83BAD" w:rsidP="00A83BAD">
      <w:r w:rsidRPr="00EB74A8">
        <w:t>Between 2020 and Q</w:t>
      </w:r>
      <w:r w:rsidR="008472C2" w:rsidRPr="00EB74A8">
        <w:t>3</w:t>
      </w:r>
      <w:r w:rsidRPr="00EB74A8">
        <w:t xml:space="preserve"> 202</w:t>
      </w:r>
      <w:r w:rsidR="008472C2" w:rsidRPr="00EB74A8">
        <w:t>5</w:t>
      </w:r>
      <w:r w:rsidRPr="00EB74A8">
        <w:t>, 8</w:t>
      </w:r>
      <w:r w:rsidR="008472C2" w:rsidRPr="00EB74A8">
        <w:t>8</w:t>
      </w:r>
      <w:r w:rsidRPr="00EB74A8">
        <w:t xml:space="preserve"> cases of congenital syphilis cases have been notified. </w:t>
      </w:r>
    </w:p>
    <w:p w14:paraId="27928E6E" w14:textId="0623FCC7" w:rsidR="0043317B" w:rsidRPr="00EB74A8" w:rsidRDefault="00A83BAD" w:rsidP="00A83BAD">
      <w:r w:rsidRPr="00EB74A8">
        <w:lastRenderedPageBreak/>
        <w:t>More than half (4</w:t>
      </w:r>
      <w:r w:rsidR="008A7229" w:rsidRPr="00EB74A8">
        <w:t>7</w:t>
      </w:r>
      <w:r w:rsidRPr="00EB74A8">
        <w:t>/8</w:t>
      </w:r>
      <w:r w:rsidR="008A7229" w:rsidRPr="00EB74A8">
        <w:t>8</w:t>
      </w:r>
      <w:r w:rsidRPr="00EB74A8">
        <w:t>,</w:t>
      </w:r>
      <w:r w:rsidR="0043317B" w:rsidRPr="00EB74A8">
        <w:t xml:space="preserve"> </w:t>
      </w:r>
      <w:r w:rsidRPr="00EB74A8">
        <w:t>53%) were reported in Aboriginal and Torres Strait Islander infants, 3</w:t>
      </w:r>
      <w:r w:rsidR="00B279AF" w:rsidRPr="00EB74A8">
        <w:t>9</w:t>
      </w:r>
      <w:r w:rsidRPr="00EB74A8">
        <w:t xml:space="preserve"> in non-Indigenous infants (3</w:t>
      </w:r>
      <w:r w:rsidR="00D356FF" w:rsidRPr="00EB74A8">
        <w:t>9</w:t>
      </w:r>
      <w:r w:rsidRPr="00EB74A8">
        <w:t>/8</w:t>
      </w:r>
      <w:r w:rsidR="00D356FF" w:rsidRPr="00EB74A8">
        <w:t>8</w:t>
      </w:r>
      <w:r w:rsidRPr="00EB74A8">
        <w:t xml:space="preserve">, 44%) and </w:t>
      </w:r>
      <w:r w:rsidR="0043317B" w:rsidRPr="00EB74A8">
        <w:t>2</w:t>
      </w:r>
      <w:r w:rsidRPr="00EB74A8">
        <w:t xml:space="preserve"> cases with an unknown Indigenous status reported (2/8</w:t>
      </w:r>
      <w:r w:rsidR="00D356FF" w:rsidRPr="00EB74A8">
        <w:t>8</w:t>
      </w:r>
      <w:r w:rsidRPr="00EB74A8">
        <w:t xml:space="preserve">, 2%). </w:t>
      </w:r>
    </w:p>
    <w:p w14:paraId="7EAD57A5" w14:textId="6DA032D5" w:rsidR="00A83BAD" w:rsidRPr="00EB74A8" w:rsidRDefault="00A83BAD" w:rsidP="00A83BAD">
      <w:r w:rsidRPr="00EB74A8">
        <w:t>Of the 8</w:t>
      </w:r>
      <w:r w:rsidR="00E81D03" w:rsidRPr="00EB74A8">
        <w:t>8</w:t>
      </w:r>
      <w:r w:rsidRPr="00EB74A8">
        <w:t xml:space="preserve"> cases reported, 30 infants tragically died, 18 Aboriginal and Torres Strait Islander infants, 10 non-Indigenous infants, and two infants with an unknown Indigenous status (Figure</w:t>
      </w:r>
      <w:r w:rsidR="0043317B" w:rsidRPr="00EB74A8">
        <w:t> </w:t>
      </w:r>
      <w:r w:rsidRPr="00EB74A8">
        <w:t>9).</w:t>
      </w:r>
    </w:p>
    <w:p w14:paraId="09389E2C" w14:textId="69128C83" w:rsidR="00A83BAD" w:rsidRPr="00EB74A8" w:rsidRDefault="00A83BAD" w:rsidP="005C4F8A">
      <w:pPr>
        <w:pStyle w:val="HeadingFigure"/>
      </w:pPr>
      <w:bookmarkStart w:id="34" w:name="_Toc224801186"/>
      <w:r w:rsidRPr="00EB74A8">
        <w:t>Notifications (n</w:t>
      </w:r>
      <w:r w:rsidR="0043317B" w:rsidRPr="00EB74A8">
        <w:t>umber</w:t>
      </w:r>
      <w:r w:rsidRPr="00EB74A8">
        <w:t>) and notification rate (per 100,000 live births</w:t>
      </w:r>
      <w:r w:rsidR="00DE69D6" w:rsidRPr="00EB74A8">
        <w:rPr>
          <w:vertAlign w:val="superscript"/>
        </w:rPr>
        <w:t>1</w:t>
      </w:r>
      <w:r w:rsidRPr="00EB74A8">
        <w:t xml:space="preserve">) of congenital syphilis, by Indigenous status, remoteness area, and year, 2020 </w:t>
      </w:r>
      <w:r w:rsidR="0043317B" w:rsidRPr="00EB74A8">
        <w:t>to</w:t>
      </w:r>
      <w:r w:rsidRPr="00EB74A8">
        <w:t xml:space="preserve"> Q</w:t>
      </w:r>
      <w:r w:rsidR="00FB2F5A" w:rsidRPr="00EB74A8">
        <w:t>3</w:t>
      </w:r>
      <w:r w:rsidRPr="00EB74A8">
        <w:t xml:space="preserve"> 202</w:t>
      </w:r>
      <w:r w:rsidR="00FB2F5A" w:rsidRPr="00EB74A8">
        <w:t>5</w:t>
      </w:r>
      <w:r w:rsidR="00AF2DFC" w:rsidRPr="00EB74A8">
        <w:t>*</w:t>
      </w:r>
      <w:bookmarkEnd w:id="34"/>
    </w:p>
    <w:p w14:paraId="1BABBC46" w14:textId="29D213CF" w:rsidR="005C4F8A" w:rsidRPr="00EB74A8" w:rsidRDefault="000654AE" w:rsidP="00A83BAD">
      <w:r w:rsidRPr="00EB74A8">
        <w:rPr>
          <w:noProof/>
        </w:rPr>
        <w:drawing>
          <wp:inline distT="0" distB="0" distL="0" distR="0" wp14:anchorId="3F1D4B5F" wp14:editId="78A4D25D">
            <wp:extent cx="6255385" cy="4074475"/>
            <wp:effectExtent l="0" t="0" r="0" b="2540"/>
            <wp:docPr id="2046768280" name="Picture 1" descr="This figure shows the number and rate of congenital syphilis by Indigenous status and remoteness area for 2020 to Q3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68280" name="Picture 1" descr="This figure shows the number and rate of congenital syphilis by Indigenous status and remoteness area for 2020 to Q3 20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3771" cy="4079937"/>
                    </a:xfrm>
                    <a:prstGeom prst="rect">
                      <a:avLst/>
                    </a:prstGeom>
                    <a:noFill/>
                  </pic:spPr>
                </pic:pic>
              </a:graphicData>
            </a:graphic>
          </wp:inline>
        </w:drawing>
      </w:r>
    </w:p>
    <w:p w14:paraId="72333C25" w14:textId="77777777" w:rsidR="00D47255" w:rsidRPr="00EB74A8" w:rsidRDefault="0043317B" w:rsidP="008E65E6">
      <w:pPr>
        <w:spacing w:after="0"/>
        <w:rPr>
          <w:rStyle w:val="Notetext"/>
        </w:rPr>
      </w:pPr>
      <w:r w:rsidRPr="00EB74A8">
        <w:rPr>
          <w:rStyle w:val="Notetext"/>
        </w:rPr>
        <w:t>Note:</w:t>
      </w:r>
    </w:p>
    <w:p w14:paraId="3CDF4B4A" w14:textId="77777777" w:rsidR="00DB5601" w:rsidRPr="00EB74A8" w:rsidRDefault="00DE69D6" w:rsidP="00DE69D6">
      <w:pPr>
        <w:tabs>
          <w:tab w:val="left" w:pos="426"/>
        </w:tabs>
        <w:spacing w:before="60" w:after="60" w:line="240" w:lineRule="auto"/>
        <w:rPr>
          <w:rStyle w:val="Notetext"/>
        </w:rPr>
      </w:pPr>
      <w:r w:rsidRPr="00EB74A8">
        <w:rPr>
          <w:rStyle w:val="Notetext"/>
        </w:rPr>
        <w:t xml:space="preserve">1. </w:t>
      </w:r>
      <w:r w:rsidR="005C4F8A" w:rsidRPr="00EB74A8">
        <w:rPr>
          <w:rStyle w:val="Notetext"/>
        </w:rPr>
        <w:t xml:space="preserve">The denominator (live births) is for the complete year, whereas the numerator (congenital syphilis notifications) represents cases for the reporting period. The </w:t>
      </w:r>
      <w:r w:rsidR="00DB5601" w:rsidRPr="00EB74A8">
        <w:rPr>
          <w:rStyle w:val="Notetext"/>
        </w:rPr>
        <w:t xml:space="preserve">notification </w:t>
      </w:r>
    </w:p>
    <w:p w14:paraId="6B851A69" w14:textId="06CB35E5" w:rsidR="0043317B" w:rsidRPr="00EB74A8" w:rsidRDefault="005C4F8A" w:rsidP="00DE69D6">
      <w:pPr>
        <w:tabs>
          <w:tab w:val="left" w:pos="426"/>
        </w:tabs>
        <w:spacing w:before="60" w:after="60" w:line="240" w:lineRule="auto"/>
        <w:rPr>
          <w:rStyle w:val="Notetext"/>
        </w:rPr>
      </w:pPr>
      <w:r w:rsidRPr="00EB74A8">
        <w:rPr>
          <w:rStyle w:val="Notetext"/>
        </w:rPr>
        <w:t>rate calculated may be lower than</w:t>
      </w:r>
      <w:r w:rsidR="00BA4449" w:rsidRPr="00EB74A8">
        <w:rPr>
          <w:rStyle w:val="Notetext"/>
        </w:rPr>
        <w:t xml:space="preserve"> notification</w:t>
      </w:r>
      <w:r w:rsidRPr="00EB74A8">
        <w:rPr>
          <w:rStyle w:val="Notetext"/>
        </w:rPr>
        <w:t xml:space="preserve"> rates reported for a complete (12</w:t>
      </w:r>
      <w:r w:rsidR="00F77CA3" w:rsidRPr="00EB74A8">
        <w:rPr>
          <w:rStyle w:val="Notetext"/>
        </w:rPr>
        <w:t> </w:t>
      </w:r>
      <w:r w:rsidRPr="00EB74A8">
        <w:rPr>
          <w:rStyle w:val="Notetext"/>
        </w:rPr>
        <w:t>months) year.</w:t>
      </w:r>
    </w:p>
    <w:p w14:paraId="66B740BE" w14:textId="5CB5448B" w:rsidR="00111000" w:rsidRPr="00EB74A8" w:rsidRDefault="00111000" w:rsidP="00F34CCB">
      <w:pPr>
        <w:pStyle w:val="Heading2"/>
      </w:pPr>
      <w:bookmarkStart w:id="35" w:name="_Toc225244428"/>
      <w:r w:rsidRPr="00EB74A8">
        <w:t xml:space="preserve">Indicator 4.4 </w:t>
      </w:r>
      <w:r w:rsidR="00F34CCB" w:rsidRPr="00EB74A8">
        <w:t>–</w:t>
      </w:r>
      <w:r w:rsidRPr="00EB74A8">
        <w:t xml:space="preserve"> </w:t>
      </w:r>
      <w:r w:rsidR="00F34CCB" w:rsidRPr="00EB74A8">
        <w:t>Women who were pregnant</w:t>
      </w:r>
      <w:bookmarkEnd w:id="35"/>
    </w:p>
    <w:p w14:paraId="0D2829D4" w14:textId="3D043D7A" w:rsidR="00793FC9" w:rsidRPr="00EB74A8" w:rsidRDefault="00793FC9" w:rsidP="00F34CCB">
      <w:pPr>
        <w:pStyle w:val="Boxemerald"/>
      </w:pPr>
      <w:r w:rsidRPr="00EB74A8">
        <w:t>4.4 Proportion of syphilis notifications among women</w:t>
      </w:r>
      <w:r w:rsidR="00CC4731" w:rsidRPr="00EB74A8">
        <w:t xml:space="preserve"> </w:t>
      </w:r>
      <w:r w:rsidRPr="00EB74A8">
        <w:t>of reproductive age (1</w:t>
      </w:r>
      <w:r w:rsidR="00CC4731" w:rsidRPr="00EB74A8">
        <w:t>5 to </w:t>
      </w:r>
      <w:r w:rsidRPr="00EB74A8">
        <w:t>44</w:t>
      </w:r>
      <w:r w:rsidR="00CC4731" w:rsidRPr="00EB74A8">
        <w:t> </w:t>
      </w:r>
      <w:r w:rsidRPr="00EB74A8">
        <w:t>years) who were pregnant at time of diagnosis, by remoteness area and Indigenous status</w:t>
      </w:r>
    </w:p>
    <w:p w14:paraId="62738CAC" w14:textId="1C8A4443" w:rsidR="0036434E" w:rsidRPr="00EB74A8" w:rsidRDefault="0036434E" w:rsidP="004B23F5">
      <w:r w:rsidRPr="00EB74A8">
        <w:t>Pregnancy data were available for:</w:t>
      </w:r>
      <w:r w:rsidR="0032600F" w:rsidRPr="00EB74A8">
        <w:t xml:space="preserve"> </w:t>
      </w:r>
      <w:r w:rsidRPr="00EB74A8">
        <w:t>6 jurisdictions in 2020 (excluding Victoria and the Northern Territory)</w:t>
      </w:r>
      <w:r w:rsidR="0032600F" w:rsidRPr="00EB74A8">
        <w:t xml:space="preserve">; </w:t>
      </w:r>
      <w:r w:rsidRPr="00EB74A8">
        <w:t>7 jurisdictions in 2021 to 2023 (excluding the Northern Territory)</w:t>
      </w:r>
      <w:r w:rsidR="0032600F" w:rsidRPr="00EB74A8">
        <w:t xml:space="preserve">; </w:t>
      </w:r>
      <w:r w:rsidR="000E5B8F" w:rsidRPr="00EB74A8">
        <w:t>8</w:t>
      </w:r>
      <w:r w:rsidRPr="00EB74A8">
        <w:t xml:space="preserve"> jurisdictions in 2024</w:t>
      </w:r>
      <w:r w:rsidR="0032600F" w:rsidRPr="00EB74A8">
        <w:t xml:space="preserve">; </w:t>
      </w:r>
      <w:r w:rsidR="004B23F5" w:rsidRPr="00EB74A8">
        <w:t>8</w:t>
      </w:r>
      <w:r w:rsidRPr="00EB74A8">
        <w:t xml:space="preserve"> jurisdictions Q1</w:t>
      </w:r>
      <w:r w:rsidR="004B23F5" w:rsidRPr="00EB74A8">
        <w:t>-Q</w:t>
      </w:r>
      <w:r w:rsidR="006553BB" w:rsidRPr="00EB74A8">
        <w:t>2</w:t>
      </w:r>
      <w:r w:rsidRPr="00EB74A8">
        <w:t xml:space="preserve"> 2025</w:t>
      </w:r>
      <w:r w:rsidR="006553BB" w:rsidRPr="00EB74A8">
        <w:t xml:space="preserve">, and; </w:t>
      </w:r>
      <w:r w:rsidR="008E35C4" w:rsidRPr="00EB74A8">
        <w:t>7 jurisdictions (excluding Victoria as data were not available at the time of writing, however it is expected tha</w:t>
      </w:r>
      <w:r w:rsidR="00355758" w:rsidRPr="00EB74A8">
        <w:t>t data from Victoria will be included in the Q4 2025 report).</w:t>
      </w:r>
    </w:p>
    <w:p w14:paraId="05E88B2A" w14:textId="7352B309" w:rsidR="0036434E" w:rsidRPr="00EB74A8" w:rsidRDefault="00D06038" w:rsidP="0036434E">
      <w:r w:rsidRPr="00EB74A8">
        <w:lastRenderedPageBreak/>
        <w:t xml:space="preserve">Interpretation of </w:t>
      </w:r>
      <w:r w:rsidR="00ED7E9A" w:rsidRPr="00EB74A8">
        <w:t xml:space="preserve">these data are affected by </w:t>
      </w:r>
      <w:r w:rsidR="0036434E" w:rsidRPr="00EB74A8">
        <w:t>high proportion</w:t>
      </w:r>
      <w:r w:rsidR="00ED7E9A" w:rsidRPr="00EB74A8">
        <w:t>s</w:t>
      </w:r>
      <w:r w:rsidR="0036434E" w:rsidRPr="00EB74A8">
        <w:t xml:space="preserve"> of cases with an unknown pregnancy status and retrospective changes to the data,</w:t>
      </w:r>
      <w:r w:rsidR="00B3695E" w:rsidRPr="00EB74A8">
        <w:t xml:space="preserve"> including</w:t>
      </w:r>
      <w:r w:rsidR="0036434E" w:rsidRPr="00EB74A8">
        <w:t xml:space="preserve"> </w:t>
      </w:r>
      <w:r w:rsidR="00B3695E" w:rsidRPr="00EB74A8">
        <w:t>d</w:t>
      </w:r>
      <w:r w:rsidR="0036434E" w:rsidRPr="00EB74A8">
        <w:t xml:space="preserve">ifferences with previous reports due to pregnancy status being reclassified </w:t>
      </w:r>
      <w:proofErr w:type="gramStart"/>
      <w:r w:rsidR="0036434E" w:rsidRPr="00EB74A8">
        <w:t>and  inclusion</w:t>
      </w:r>
      <w:proofErr w:type="gramEnd"/>
      <w:r w:rsidR="0036434E" w:rsidRPr="00EB74A8">
        <w:t xml:space="preserve"> of new historical data from jurisdictions. </w:t>
      </w:r>
    </w:p>
    <w:p w14:paraId="452F7438" w14:textId="07E0EEAA" w:rsidR="0036434E" w:rsidRPr="00EB74A8" w:rsidRDefault="0036434E" w:rsidP="0036434E">
      <w:r w:rsidRPr="00EB74A8">
        <w:t>In Q</w:t>
      </w:r>
      <w:r w:rsidR="00D819A6" w:rsidRPr="00EB74A8">
        <w:t>3</w:t>
      </w:r>
      <w:r w:rsidRPr="00EB74A8">
        <w:t xml:space="preserve"> 2025, 1</w:t>
      </w:r>
      <w:r w:rsidR="00D819A6" w:rsidRPr="00EB74A8">
        <w:t>7</w:t>
      </w:r>
      <w:r w:rsidRPr="00EB74A8">
        <w:t>% of all women of reproductive age, including those with an unknown Indigenous status, were reported to be pregnant at the time of their syphilis diagnosis, higher than the 12</w:t>
      </w:r>
      <w:r w:rsidR="00FB4D2D" w:rsidRPr="00EB74A8">
        <w:t>-</w:t>
      </w:r>
      <w:r w:rsidRPr="00EB74A8">
        <w:t xml:space="preserve">month and </w:t>
      </w:r>
      <w:r w:rsidR="00D41E87" w:rsidRPr="00EB74A8">
        <w:t xml:space="preserve">the same as the </w:t>
      </w:r>
      <w:r w:rsidRPr="00EB74A8">
        <w:t>5</w:t>
      </w:r>
      <w:r w:rsidR="00FB4D2D" w:rsidRPr="00EB74A8">
        <w:t>-</w:t>
      </w:r>
      <w:r w:rsidRPr="00EB74A8">
        <w:t>year quarterly mean (1</w:t>
      </w:r>
      <w:r w:rsidR="00D41E87" w:rsidRPr="00EB74A8">
        <w:t>6</w:t>
      </w:r>
      <w:r w:rsidRPr="00EB74A8">
        <w:t>% and 1</w:t>
      </w:r>
      <w:r w:rsidR="00D41E87" w:rsidRPr="00EB74A8">
        <w:t>7</w:t>
      </w:r>
      <w:r w:rsidRPr="00EB74A8">
        <w:t xml:space="preserve">%, respectively) (Figure 10). </w:t>
      </w:r>
      <w:r w:rsidR="00701227" w:rsidRPr="00EB74A8">
        <w:t>In Q3 2025, t</w:t>
      </w:r>
      <w:r w:rsidR="008B5EF3" w:rsidRPr="00EB74A8">
        <w:t xml:space="preserve">he proportion of </w:t>
      </w:r>
      <w:r w:rsidRPr="00EB74A8">
        <w:t>women of reproductive</w:t>
      </w:r>
      <w:r w:rsidR="001F1484" w:rsidRPr="00EB74A8">
        <w:t xml:space="preserve"> pregnant at syphilis diagnosis was higher</w:t>
      </w:r>
      <w:r w:rsidR="00701227" w:rsidRPr="00EB74A8">
        <w:t xml:space="preserve"> among non-Indigenous women (21%) than</w:t>
      </w:r>
      <w:r w:rsidR="00607735" w:rsidRPr="00EB74A8">
        <w:t xml:space="preserve"> Aboriginal and Torres Strait Islander women (10%)</w:t>
      </w:r>
      <w:r w:rsidRPr="00EB74A8">
        <w:t xml:space="preserve"> (Figure 10 and 11a-b). </w:t>
      </w:r>
      <w:r w:rsidR="005625C6" w:rsidRPr="00EB74A8">
        <w:t xml:space="preserve">The overall </w:t>
      </w:r>
      <w:r w:rsidR="00FD36B6" w:rsidRPr="00EB74A8">
        <w:t>5-year</w:t>
      </w:r>
      <w:r w:rsidR="00020C82" w:rsidRPr="00EB74A8">
        <w:t xml:space="preserve"> proportiona</w:t>
      </w:r>
      <w:r w:rsidR="007F5B84" w:rsidRPr="00EB74A8">
        <w:t xml:space="preserve">l </w:t>
      </w:r>
      <w:r w:rsidR="005625C6" w:rsidRPr="00EB74A8">
        <w:t xml:space="preserve">trend </w:t>
      </w:r>
      <w:r w:rsidR="00C6092E" w:rsidRPr="00EB74A8">
        <w:t xml:space="preserve">for </w:t>
      </w:r>
      <w:r w:rsidR="00FD36B6" w:rsidRPr="00EB74A8">
        <w:t xml:space="preserve">both groups were the same (17%), noting </w:t>
      </w:r>
      <w:r w:rsidR="00066534" w:rsidRPr="00EB74A8">
        <w:t>variability across the time period likely attributed to the number of jurisdictions reporting and completeness of the data.</w:t>
      </w:r>
    </w:p>
    <w:p w14:paraId="02731E7B" w14:textId="45BF3B9C" w:rsidR="006F63C8" w:rsidRPr="00EB74A8" w:rsidRDefault="006F63C8" w:rsidP="003F04D3">
      <w:pPr>
        <w:pStyle w:val="HeadingFigure"/>
      </w:pPr>
      <w:bookmarkStart w:id="36" w:name="_Toc224801187"/>
      <w:r w:rsidRPr="00EB74A8">
        <w:t>Number of syphilis notifications among wome</w:t>
      </w:r>
      <w:r w:rsidR="000B21B4" w:rsidRPr="00EB74A8">
        <w:t>n</w:t>
      </w:r>
      <w:r w:rsidRPr="00EB74A8">
        <w:t xml:space="preserve"> of reproductive age (15</w:t>
      </w:r>
      <w:r w:rsidR="00125A41" w:rsidRPr="00EB74A8">
        <w:t> to </w:t>
      </w:r>
      <w:r w:rsidRPr="00EB74A8">
        <w:t>44</w:t>
      </w:r>
      <w:r w:rsidR="00125A41" w:rsidRPr="00EB74A8">
        <w:t> </w:t>
      </w:r>
      <w:r w:rsidRPr="00EB74A8">
        <w:t>years) and proportion (%) of cases pregnant at time of syphilis diagnosis, 2020</w:t>
      </w:r>
      <w:r w:rsidR="000E7E22" w:rsidRPr="00EB74A8">
        <w:t xml:space="preserve"> to</w:t>
      </w:r>
      <w:r w:rsidRPr="00EB74A8">
        <w:t xml:space="preserve"> Q</w:t>
      </w:r>
      <w:r w:rsidR="0032600F" w:rsidRPr="00EB74A8">
        <w:t>3</w:t>
      </w:r>
      <w:r w:rsidRPr="00EB74A8">
        <w:t xml:space="preserve"> 202</w:t>
      </w:r>
      <w:r w:rsidR="0032600F" w:rsidRPr="00EB74A8">
        <w:t>5</w:t>
      </w:r>
      <w:r w:rsidR="00B54163" w:rsidRPr="00EB74A8">
        <w:rPr>
          <w:vertAlign w:val="superscript"/>
        </w:rPr>
        <w:t>1</w:t>
      </w:r>
      <w:bookmarkEnd w:id="36"/>
    </w:p>
    <w:p w14:paraId="46A45472" w14:textId="6FBBB99A" w:rsidR="00C31009" w:rsidRPr="00EB74A8" w:rsidRDefault="004776EA" w:rsidP="00A9326C">
      <w:pPr>
        <w:rPr>
          <w:rStyle w:val="Heading1Char"/>
        </w:rPr>
      </w:pPr>
      <w:r w:rsidRPr="00EB74A8">
        <w:rPr>
          <w:noProof/>
        </w:rPr>
        <w:drawing>
          <wp:inline distT="0" distB="0" distL="0" distR="0" wp14:anchorId="7E81A7DB" wp14:editId="388C47A2">
            <wp:extent cx="6141813" cy="4000500"/>
            <wp:effectExtent l="0" t="0" r="0" b="0"/>
            <wp:docPr id="1486602996" name="Picture 14" descr="This figure shows the number of women aged 15 to 44 years diagnosed with syphilis and percentage of those who were pregnant. It shows a steady increase in numbers over the years, with pregnant proportions ranging from about 12% to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2996" name="Picture 14" descr="This figure shows the number of women aged 15 to 44 years diagnosed with syphilis and percentage of those who were pregnant. It shows a steady increase in numbers over the years, with pregnant proportions ranging from about 12% to 22%.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0108" cy="4012417"/>
                    </a:xfrm>
                    <a:prstGeom prst="rect">
                      <a:avLst/>
                    </a:prstGeom>
                    <a:noFill/>
                  </pic:spPr>
                </pic:pic>
              </a:graphicData>
            </a:graphic>
          </wp:inline>
        </w:drawing>
      </w:r>
      <w:r w:rsidR="000574E5" w:rsidRPr="00EB74A8">
        <w:rPr>
          <w:rStyle w:val="Heading1Char"/>
        </w:rPr>
        <w:t xml:space="preserve"> </w:t>
      </w:r>
    </w:p>
    <w:p w14:paraId="53D4B03C" w14:textId="77777777" w:rsidR="00711180" w:rsidRPr="00EB74A8" w:rsidRDefault="00711180" w:rsidP="00711180">
      <w:pPr>
        <w:spacing w:before="0" w:after="0" w:line="240" w:lineRule="auto"/>
        <w:rPr>
          <w:rFonts w:eastAsia="Times New Roman" w:cs="Times New Roman"/>
          <w:color w:val="000000" w:themeColor="text1"/>
          <w:kern w:val="0"/>
          <w:sz w:val="18"/>
          <w:szCs w:val="20"/>
          <w14:ligatures w14:val="none"/>
        </w:rPr>
      </w:pPr>
      <w:r w:rsidRPr="00EB74A8">
        <w:rPr>
          <w:rFonts w:eastAsia="Times New Roman" w:cs="Times New Roman"/>
          <w:color w:val="000000" w:themeColor="text1"/>
          <w:kern w:val="0"/>
          <w:sz w:val="18"/>
          <w:szCs w:val="20"/>
          <w14:ligatures w14:val="none"/>
        </w:rPr>
        <w:t xml:space="preserve">Note: </w:t>
      </w:r>
    </w:p>
    <w:p w14:paraId="2179C3BE" w14:textId="6D8A3B2D" w:rsidR="00711180" w:rsidRPr="00EB74A8" w:rsidRDefault="00711180" w:rsidP="00711180">
      <w:pPr>
        <w:spacing w:before="0" w:after="0" w:line="240" w:lineRule="auto"/>
        <w:rPr>
          <w:rFonts w:eastAsia="Times New Roman" w:cs="Times New Roman"/>
          <w:color w:val="000000" w:themeColor="text1"/>
          <w:kern w:val="0"/>
          <w:sz w:val="18"/>
          <w:szCs w:val="20"/>
          <w14:ligatures w14:val="none"/>
        </w:rPr>
      </w:pPr>
      <w:r w:rsidRPr="00EB74A8">
        <w:rPr>
          <w:rFonts w:eastAsia="Times New Roman" w:cs="Times New Roman"/>
          <w:color w:val="000000" w:themeColor="text1"/>
          <w:kern w:val="0"/>
          <w:sz w:val="18"/>
          <w:szCs w:val="20"/>
          <w14:ligatures w14:val="none"/>
        </w:rPr>
        <w:t>1. Excludes cases for whom sex</w:t>
      </w:r>
      <w:r w:rsidR="006D11C2" w:rsidRPr="00EB74A8">
        <w:rPr>
          <w:rFonts w:eastAsia="Times New Roman" w:cs="Times New Roman"/>
          <w:color w:val="000000" w:themeColor="text1"/>
          <w:kern w:val="0"/>
          <w:sz w:val="18"/>
          <w:szCs w:val="20"/>
          <w14:ligatures w14:val="none"/>
        </w:rPr>
        <w:t xml:space="preserve"> and</w:t>
      </w:r>
      <w:r w:rsidRPr="00EB74A8">
        <w:rPr>
          <w:rFonts w:eastAsia="Times New Roman" w:cs="Times New Roman"/>
          <w:color w:val="000000" w:themeColor="text1"/>
          <w:kern w:val="0"/>
          <w:sz w:val="18"/>
          <w:szCs w:val="20"/>
          <w14:ligatures w14:val="none"/>
        </w:rPr>
        <w:t xml:space="preserve"> age</w:t>
      </w:r>
      <w:r w:rsidR="006D11C2" w:rsidRPr="00EB74A8">
        <w:rPr>
          <w:rFonts w:eastAsia="Times New Roman" w:cs="Times New Roman"/>
          <w:color w:val="000000" w:themeColor="text1"/>
          <w:kern w:val="0"/>
          <w:sz w:val="18"/>
          <w:szCs w:val="20"/>
          <w14:ligatures w14:val="none"/>
        </w:rPr>
        <w:t xml:space="preserve"> </w:t>
      </w:r>
      <w:r w:rsidRPr="00EB74A8">
        <w:rPr>
          <w:rFonts w:eastAsia="Times New Roman" w:cs="Times New Roman"/>
          <w:color w:val="000000" w:themeColor="text1"/>
          <w:kern w:val="0"/>
          <w:sz w:val="18"/>
          <w:szCs w:val="20"/>
          <w14:ligatures w14:val="none"/>
        </w:rPr>
        <w:t>were not reported.</w:t>
      </w:r>
    </w:p>
    <w:p w14:paraId="0FCC2CE7" w14:textId="77777777" w:rsidR="00C31009" w:rsidRPr="00EB74A8" w:rsidRDefault="00C31009">
      <w:pPr>
        <w:spacing w:before="0" w:after="0" w:line="240" w:lineRule="auto"/>
        <w:rPr>
          <w:rStyle w:val="Heading1Char"/>
          <w:b w:val="0"/>
          <w:noProof/>
        </w:rPr>
      </w:pPr>
      <w:r w:rsidRPr="00EB74A8">
        <w:rPr>
          <w:rStyle w:val="Heading1Char"/>
        </w:rPr>
        <w:br w:type="page"/>
      </w:r>
    </w:p>
    <w:p w14:paraId="204C3C29" w14:textId="283DB759" w:rsidR="00E04C4C" w:rsidRPr="00EB74A8" w:rsidRDefault="00E04C4C" w:rsidP="0083373E">
      <w:pPr>
        <w:pStyle w:val="HeadingFigure"/>
        <w:spacing w:before="0" w:after="0"/>
      </w:pPr>
      <w:bookmarkStart w:id="37" w:name="_Toc224801188"/>
      <w:r w:rsidRPr="00EB74A8">
        <w:lastRenderedPageBreak/>
        <w:t>Number of syphilis notifications among women of reproductive age (15</w:t>
      </w:r>
      <w:r w:rsidR="00CD7F37" w:rsidRPr="00EB74A8">
        <w:t> to </w:t>
      </w:r>
      <w:r w:rsidRPr="00EB74A8">
        <w:t>44</w:t>
      </w:r>
      <w:r w:rsidR="00CD7F37" w:rsidRPr="00EB74A8">
        <w:t> </w:t>
      </w:r>
      <w:r w:rsidRPr="00EB74A8">
        <w:t xml:space="preserve">years) and proportion (%) of cases pregnant at time of syphilis diagnosis, by Indigenous status, 2020 </w:t>
      </w:r>
      <w:r w:rsidR="00CD7F37" w:rsidRPr="00EB74A8">
        <w:t>to</w:t>
      </w:r>
      <w:r w:rsidRPr="00EB74A8">
        <w:t xml:space="preserve"> Q</w:t>
      </w:r>
      <w:r w:rsidR="00C31009" w:rsidRPr="00EB74A8">
        <w:t>3</w:t>
      </w:r>
      <w:r w:rsidRPr="00EB74A8">
        <w:t xml:space="preserve"> 202</w:t>
      </w:r>
      <w:r w:rsidR="00C31009" w:rsidRPr="00EB74A8">
        <w:t>5</w:t>
      </w:r>
      <w:r w:rsidR="0083373E" w:rsidRPr="00EB74A8">
        <w:rPr>
          <w:vertAlign w:val="superscript"/>
        </w:rPr>
        <w:t>1</w:t>
      </w:r>
      <w:r w:rsidRPr="00EB74A8">
        <w:t xml:space="preserve"> (a. </w:t>
      </w:r>
      <w:r w:rsidR="00C659C2" w:rsidRPr="00EB74A8">
        <w:t>non-Indigenous</w:t>
      </w:r>
      <w:r w:rsidR="00CD7F37" w:rsidRPr="00EB74A8">
        <w:t>,</w:t>
      </w:r>
      <w:r w:rsidRPr="00EB74A8">
        <w:t xml:space="preserve"> b. </w:t>
      </w:r>
      <w:r w:rsidR="00C659C2" w:rsidRPr="00EB74A8">
        <w:t xml:space="preserve">Aboriginal and Torres Strait Islander </w:t>
      </w:r>
      <w:r w:rsidRPr="00EB74A8">
        <w:t>non-Indigenous)</w:t>
      </w:r>
      <w:bookmarkEnd w:id="37"/>
    </w:p>
    <w:p w14:paraId="5B7EB809" w14:textId="7AA8D722" w:rsidR="008D61E0" w:rsidRPr="00EB74A8" w:rsidRDefault="008D61E0" w:rsidP="00A9326C">
      <w:r w:rsidRPr="00EB74A8">
        <w:rPr>
          <w:noProof/>
        </w:rPr>
        <w:drawing>
          <wp:inline distT="0" distB="0" distL="0" distR="0" wp14:anchorId="2650E178" wp14:editId="18A2CC82">
            <wp:extent cx="5857875" cy="3815555"/>
            <wp:effectExtent l="0" t="0" r="0" b="0"/>
            <wp:docPr id="1209069063" name="Picture 15" descr="This figure shows the number of non-Indigenous women aged 15 to 44 years diagnosed with syphilis and percentage of those who were pregnant. It shows an overall increase in numbers over the years, with pregnant proportion ranging from about 11% to abou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69063" name="Picture 15" descr="This figure shows the number of non-Indigenous women aged 15 to 44 years diagnosed with syphilis and percentage of those who were pregnant. It shows an overall increase in numbers over the years, with pregnant proportion ranging from about 11% to about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694" cy="3846702"/>
                    </a:xfrm>
                    <a:prstGeom prst="rect">
                      <a:avLst/>
                    </a:prstGeom>
                    <a:noFill/>
                  </pic:spPr>
                </pic:pic>
              </a:graphicData>
            </a:graphic>
          </wp:inline>
        </w:drawing>
      </w:r>
    </w:p>
    <w:p w14:paraId="4B202562" w14:textId="479F98D3" w:rsidR="001663CA" w:rsidRPr="00EB74A8" w:rsidRDefault="004D0A12" w:rsidP="00A9326C">
      <w:r w:rsidRPr="00EB74A8">
        <w:rPr>
          <w:noProof/>
        </w:rPr>
        <w:drawing>
          <wp:inline distT="0" distB="0" distL="0" distR="0" wp14:anchorId="4BCF8C85" wp14:editId="5F8BFE2C">
            <wp:extent cx="5829300" cy="3796942"/>
            <wp:effectExtent l="0" t="0" r="0" b="0"/>
            <wp:docPr id="854387032" name="Picture 16" descr="This figure shows the number of Aboriginal and Torres Strait Islander women aged 15 to 44 years diagnosed with syphilis and percentage of those who were pregnant. It shows an overall increase in numbers over the years, with pregnant proportion ranging from about 10% to about 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87032" name="Picture 16" descr="This figure shows the number of Aboriginal and Torres Strait Islander women aged 15 to 44 years diagnosed with syphilis and percentage of those who were pregnant. It shows an overall increase in numbers over the years, with pregnant proportion ranging from about 10% to about 26%.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2006" cy="3824759"/>
                    </a:xfrm>
                    <a:prstGeom prst="rect">
                      <a:avLst/>
                    </a:prstGeom>
                    <a:noFill/>
                  </pic:spPr>
                </pic:pic>
              </a:graphicData>
            </a:graphic>
          </wp:inline>
        </w:drawing>
      </w:r>
    </w:p>
    <w:p w14:paraId="07CDCE17" w14:textId="77777777" w:rsidR="0083373E" w:rsidRPr="00EB74A8" w:rsidRDefault="000B21B4" w:rsidP="0079591C">
      <w:pPr>
        <w:pStyle w:val="FootnoteText"/>
        <w:rPr>
          <w:rStyle w:val="Notetext"/>
        </w:rPr>
      </w:pPr>
      <w:r w:rsidRPr="00EB74A8">
        <w:rPr>
          <w:rStyle w:val="Notetext"/>
        </w:rPr>
        <w:t xml:space="preserve">Note: </w:t>
      </w:r>
    </w:p>
    <w:p w14:paraId="6B9C0FE4" w14:textId="2126BA62" w:rsidR="0079591C" w:rsidRPr="00EB74A8" w:rsidRDefault="0083373E" w:rsidP="0079591C">
      <w:pPr>
        <w:pStyle w:val="FootnoteText"/>
        <w:rPr>
          <w:rStyle w:val="Notetext"/>
        </w:rPr>
      </w:pPr>
      <w:r w:rsidRPr="00EB74A8">
        <w:rPr>
          <w:rStyle w:val="Notetext"/>
        </w:rPr>
        <w:t xml:space="preserve">1. </w:t>
      </w:r>
      <w:r w:rsidR="0079591C" w:rsidRPr="00EB74A8">
        <w:rPr>
          <w:rStyle w:val="Notetext"/>
        </w:rPr>
        <w:t>Excludes cases for whom sex, age</w:t>
      </w:r>
      <w:r w:rsidR="006D11C2" w:rsidRPr="00EB74A8">
        <w:rPr>
          <w:rStyle w:val="Notetext"/>
        </w:rPr>
        <w:t xml:space="preserve"> and </w:t>
      </w:r>
      <w:r w:rsidR="0079591C" w:rsidRPr="00EB74A8">
        <w:rPr>
          <w:rStyle w:val="Notetext"/>
        </w:rPr>
        <w:t>Indigenous status were not reported.</w:t>
      </w:r>
    </w:p>
    <w:p w14:paraId="3822BA8C" w14:textId="0976B912" w:rsidR="00E77291" w:rsidRPr="00EB74A8" w:rsidRDefault="00F34CCB" w:rsidP="00CF7242">
      <w:pPr>
        <w:pStyle w:val="Heading2"/>
      </w:pPr>
      <w:bookmarkStart w:id="38" w:name="_Toc225244429"/>
      <w:r w:rsidRPr="00EB74A8">
        <w:lastRenderedPageBreak/>
        <w:t xml:space="preserve">Indicator 4.5 </w:t>
      </w:r>
      <w:r w:rsidR="002B4811" w:rsidRPr="00EB74A8">
        <w:t>–</w:t>
      </w:r>
      <w:r w:rsidR="00C77B8E" w:rsidRPr="00EB74A8">
        <w:t xml:space="preserve"> L</w:t>
      </w:r>
      <w:r w:rsidR="00C96016" w:rsidRPr="00EB74A8">
        <w:t>ate diagnosis</w:t>
      </w:r>
      <w:bookmarkEnd w:id="38"/>
    </w:p>
    <w:p w14:paraId="69FD8F1E" w14:textId="326678AE" w:rsidR="00CF7242" w:rsidRPr="00EB74A8" w:rsidRDefault="00CF7242" w:rsidP="00CF7242">
      <w:pPr>
        <w:pStyle w:val="Boxemerald"/>
      </w:pPr>
      <w:r w:rsidRPr="00EB74A8">
        <w:t>4.5 Number of women giving birth to an infant with congenital syphilis who were diagnosed with syphilis late</w:t>
      </w:r>
      <w:r w:rsidR="002639D7" w:rsidRPr="00EB74A8">
        <w:t xml:space="preserve"> </w:t>
      </w:r>
      <w:r w:rsidRPr="00EB74A8">
        <w:t>in pregnancy by Indigenous status</w:t>
      </w:r>
    </w:p>
    <w:p w14:paraId="3F6865F6" w14:textId="3ECA0CFF" w:rsidR="00CF7242" w:rsidRPr="00EB74A8" w:rsidRDefault="00CF7242" w:rsidP="00CF7242">
      <w:r w:rsidRPr="00EB74A8">
        <w:t>Late diagnosis with syphilis in pregnancy refers</w:t>
      </w:r>
      <w:r w:rsidR="007C1FD9" w:rsidRPr="00EB74A8">
        <w:t xml:space="preserve"> to</w:t>
      </w:r>
      <w:r w:rsidRPr="00EB74A8">
        <w:t xml:space="preserve"> women who did not receive treatment more than 30 days prior to delivery. Late diagnosis also includes women who were diagnosed with syphilis at-birth (day of delivery) or post-birth and therefore could not receive adequate treatment for their syphilis infection.</w:t>
      </w:r>
    </w:p>
    <w:p w14:paraId="231C7612" w14:textId="0A3CBD26" w:rsidR="00CF7242" w:rsidRPr="00EB74A8" w:rsidRDefault="00CF7242" w:rsidP="00CF7242">
      <w:r w:rsidRPr="00EB74A8">
        <w:t>Most women (8</w:t>
      </w:r>
      <w:r w:rsidR="00CB3423" w:rsidRPr="00EB74A8">
        <w:t>2</w:t>
      </w:r>
      <w:r w:rsidRPr="00EB74A8">
        <w:t xml:space="preserve">%, </w:t>
      </w:r>
      <w:r w:rsidR="00CB3423" w:rsidRPr="00EB74A8">
        <w:t>72</w:t>
      </w:r>
      <w:r w:rsidRPr="00EB74A8">
        <w:t>/8</w:t>
      </w:r>
      <w:r w:rsidR="00CB3423" w:rsidRPr="00EB74A8">
        <w:t>8</w:t>
      </w:r>
      <w:r w:rsidRPr="00EB74A8">
        <w:t>) giving birth to an infant with congenital syphilis between 2020 and Q</w:t>
      </w:r>
      <w:r w:rsidR="003763FA" w:rsidRPr="00EB74A8">
        <w:t>3</w:t>
      </w:r>
      <w:r w:rsidRPr="00EB74A8">
        <w:t xml:space="preserve"> 2025, were diagnosed late in pregnancy. Among non-Indigenous women this proportion was 8</w:t>
      </w:r>
      <w:r w:rsidR="003763FA" w:rsidRPr="00EB74A8">
        <w:t>5</w:t>
      </w:r>
      <w:r w:rsidRPr="00EB74A8">
        <w:t>% (3</w:t>
      </w:r>
      <w:r w:rsidR="003763FA" w:rsidRPr="00EB74A8">
        <w:t>3</w:t>
      </w:r>
      <w:r w:rsidRPr="00EB74A8">
        <w:t>/3</w:t>
      </w:r>
      <w:r w:rsidR="004514C2" w:rsidRPr="00EB74A8">
        <w:t>9</w:t>
      </w:r>
      <w:r w:rsidRPr="00EB74A8">
        <w:t>), and Aboriginal and Torres Strait Islander women 79% (3</w:t>
      </w:r>
      <w:r w:rsidR="004514C2" w:rsidRPr="00EB74A8">
        <w:t>7</w:t>
      </w:r>
      <w:r w:rsidRPr="00EB74A8">
        <w:t>/4</w:t>
      </w:r>
      <w:r w:rsidR="004514C2" w:rsidRPr="00EB74A8">
        <w:t>7</w:t>
      </w:r>
      <w:r w:rsidRPr="00EB74A8">
        <w:t>) (Table 4).</w:t>
      </w:r>
    </w:p>
    <w:p w14:paraId="15EA5301" w14:textId="461398DA" w:rsidR="00CF7242" w:rsidRPr="00EB74A8" w:rsidRDefault="00CF7242" w:rsidP="002B4B64">
      <w:pPr>
        <w:pStyle w:val="HeadingTABLE"/>
        <w:tabs>
          <w:tab w:val="clear" w:pos="1247"/>
          <w:tab w:val="num" w:pos="993"/>
        </w:tabs>
        <w:ind w:left="993" w:hanging="993"/>
      </w:pPr>
      <w:bookmarkStart w:id="39" w:name="_Toc224801194"/>
      <w:r w:rsidRPr="00EB74A8">
        <w:t xml:space="preserve">Number of women giving birth to an infant with congenital syphilis, by trimester mother was diagnosed with syphilis, 2020 </w:t>
      </w:r>
      <w:r w:rsidR="004C0206" w:rsidRPr="00EB74A8">
        <w:t>to</w:t>
      </w:r>
      <w:r w:rsidRPr="00EB74A8">
        <w:t xml:space="preserve"> Q</w:t>
      </w:r>
      <w:r w:rsidR="002329B8" w:rsidRPr="00EB74A8">
        <w:t>3</w:t>
      </w:r>
      <w:r w:rsidRPr="00EB74A8">
        <w:t xml:space="preserve"> 202</w:t>
      </w:r>
      <w:r w:rsidR="002329B8" w:rsidRPr="00EB74A8">
        <w:t>5</w:t>
      </w:r>
      <w:bookmarkEnd w:id="39"/>
    </w:p>
    <w:tbl>
      <w:tblPr>
        <w:tblStyle w:val="TableGrid"/>
        <w:tblW w:w="9490" w:type="dxa"/>
        <w:tblBorders>
          <w:top w:val="none" w:sz="0" w:space="0" w:color="auto"/>
          <w:bottom w:val="single" w:sz="4" w:space="0" w:color="00DCA1" w:themeColor="background2"/>
          <w:insideV w:val="single" w:sz="6" w:space="0" w:color="00DCA1" w:themeColor="background2"/>
        </w:tblBorders>
        <w:tblLayout w:type="fixed"/>
        <w:tblLook w:val="04A0" w:firstRow="1" w:lastRow="0" w:firstColumn="1" w:lastColumn="0" w:noHBand="0" w:noVBand="1"/>
      </w:tblPr>
      <w:tblGrid>
        <w:gridCol w:w="2544"/>
        <w:gridCol w:w="850"/>
        <w:gridCol w:w="709"/>
        <w:gridCol w:w="709"/>
        <w:gridCol w:w="709"/>
        <w:gridCol w:w="850"/>
        <w:gridCol w:w="992"/>
        <w:gridCol w:w="993"/>
        <w:gridCol w:w="1134"/>
      </w:tblGrid>
      <w:tr w:rsidR="004C0206" w:rsidRPr="00EB74A8" w14:paraId="117C91E2" w14:textId="77777777" w:rsidTr="00C5757E">
        <w:trPr>
          <w:cnfStyle w:val="100000000000" w:firstRow="1" w:lastRow="0" w:firstColumn="0" w:lastColumn="0" w:oddVBand="0" w:evenVBand="0" w:oddHBand="0" w:evenHBand="0" w:firstRowFirstColumn="0" w:firstRowLastColumn="0" w:lastRowFirstColumn="0" w:lastRowLastColumn="0"/>
          <w:trHeight w:val="20"/>
          <w:tblHeader/>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14DE4633" w14:textId="727C8C40" w:rsidR="004C0206" w:rsidRPr="00EB74A8" w:rsidRDefault="00684C01" w:rsidP="00582961">
            <w:pPr>
              <w:pStyle w:val="Tableheadrowboldleftaligned"/>
            </w:pPr>
            <w:r w:rsidRPr="00EB74A8">
              <w:t xml:space="preserve">Stage of </w:t>
            </w:r>
            <w:r w:rsidR="00711180" w:rsidRPr="00EB74A8">
              <w:t>pregnancy</w:t>
            </w:r>
          </w:p>
        </w:tc>
        <w:tc>
          <w:tcPr>
            <w:tcW w:w="850" w:type="dxa"/>
            <w:tcBorders>
              <w:top w:val="single" w:sz="6" w:space="0" w:color="00DCA1" w:themeColor="background2"/>
              <w:left w:val="nil"/>
              <w:bottom w:val="single" w:sz="6" w:space="0" w:color="00DCA1" w:themeColor="background2"/>
              <w:right w:val="nil"/>
            </w:tcBorders>
          </w:tcPr>
          <w:p w14:paraId="2E37CDA6" w14:textId="77777777" w:rsidR="004C0206" w:rsidRPr="00EB74A8" w:rsidRDefault="004C0206" w:rsidP="00582961">
            <w:pPr>
              <w:pStyle w:val="Tableheadrowboldleftaligned"/>
            </w:pPr>
            <w:r w:rsidRPr="00EB74A8">
              <w:t>2020</w:t>
            </w:r>
          </w:p>
        </w:tc>
        <w:tc>
          <w:tcPr>
            <w:tcW w:w="709" w:type="dxa"/>
            <w:tcBorders>
              <w:top w:val="single" w:sz="6" w:space="0" w:color="00DCA1" w:themeColor="background2"/>
              <w:left w:val="nil"/>
              <w:bottom w:val="single" w:sz="6" w:space="0" w:color="00DCA1" w:themeColor="background2"/>
              <w:right w:val="nil"/>
            </w:tcBorders>
          </w:tcPr>
          <w:p w14:paraId="2DD918D8" w14:textId="77777777" w:rsidR="004C0206" w:rsidRPr="00EB74A8" w:rsidRDefault="004C0206" w:rsidP="00582961">
            <w:pPr>
              <w:pStyle w:val="Tableheadrowboldleftaligned"/>
            </w:pPr>
            <w:r w:rsidRPr="00EB74A8">
              <w:t>2021</w:t>
            </w:r>
          </w:p>
        </w:tc>
        <w:tc>
          <w:tcPr>
            <w:tcW w:w="709" w:type="dxa"/>
            <w:tcBorders>
              <w:top w:val="single" w:sz="6" w:space="0" w:color="00DCA1" w:themeColor="background2"/>
              <w:left w:val="nil"/>
              <w:bottom w:val="single" w:sz="6" w:space="0" w:color="00DCA1" w:themeColor="background2"/>
              <w:right w:val="nil"/>
            </w:tcBorders>
          </w:tcPr>
          <w:p w14:paraId="7C9AF181" w14:textId="77777777" w:rsidR="004C0206" w:rsidRPr="00EB74A8" w:rsidRDefault="004C0206" w:rsidP="00582961">
            <w:pPr>
              <w:pStyle w:val="Tableheadrowboldleftaligned"/>
            </w:pPr>
            <w:r w:rsidRPr="00EB74A8">
              <w:t>2022</w:t>
            </w:r>
          </w:p>
        </w:tc>
        <w:tc>
          <w:tcPr>
            <w:tcW w:w="709" w:type="dxa"/>
            <w:tcBorders>
              <w:top w:val="single" w:sz="6" w:space="0" w:color="00DCA1" w:themeColor="background2"/>
              <w:left w:val="nil"/>
              <w:bottom w:val="single" w:sz="6" w:space="0" w:color="00DCA1" w:themeColor="background2"/>
              <w:right w:val="nil"/>
            </w:tcBorders>
          </w:tcPr>
          <w:p w14:paraId="5F2FD64D" w14:textId="77777777" w:rsidR="004C0206" w:rsidRPr="00EB74A8" w:rsidRDefault="004C0206" w:rsidP="00582961">
            <w:pPr>
              <w:pStyle w:val="Tableheadrowboldleftaligned"/>
            </w:pPr>
            <w:r w:rsidRPr="00EB74A8">
              <w:t>2023</w:t>
            </w:r>
          </w:p>
        </w:tc>
        <w:tc>
          <w:tcPr>
            <w:tcW w:w="850" w:type="dxa"/>
            <w:tcBorders>
              <w:top w:val="single" w:sz="6" w:space="0" w:color="00DCA1" w:themeColor="background2"/>
              <w:left w:val="nil"/>
              <w:bottom w:val="single" w:sz="6" w:space="0" w:color="00DCA1" w:themeColor="background2"/>
              <w:right w:val="nil"/>
            </w:tcBorders>
          </w:tcPr>
          <w:p w14:paraId="493D2C4D" w14:textId="77777777" w:rsidR="004C0206" w:rsidRPr="00EB74A8" w:rsidRDefault="004C0206" w:rsidP="00582961">
            <w:pPr>
              <w:pStyle w:val="Tableheadrowboldleftaligned"/>
            </w:pPr>
            <w:r w:rsidRPr="00EB74A8">
              <w:t>2024</w:t>
            </w:r>
          </w:p>
        </w:tc>
        <w:tc>
          <w:tcPr>
            <w:tcW w:w="3119" w:type="dxa"/>
            <w:gridSpan w:val="3"/>
            <w:tcBorders>
              <w:top w:val="single" w:sz="6" w:space="0" w:color="00DCA1" w:themeColor="background2"/>
              <w:left w:val="nil"/>
              <w:bottom w:val="single" w:sz="6" w:space="0" w:color="00DCA1" w:themeColor="background2"/>
              <w:right w:val="single" w:sz="6" w:space="0" w:color="00DCA1" w:themeColor="background2"/>
            </w:tcBorders>
          </w:tcPr>
          <w:p w14:paraId="4AD96821" w14:textId="77777777" w:rsidR="004C0206" w:rsidRPr="00EB74A8" w:rsidRDefault="004C0206" w:rsidP="00582961">
            <w:pPr>
              <w:pStyle w:val="Tableheadingcentred"/>
            </w:pPr>
            <w:r w:rsidRPr="00EB74A8">
              <w:t>2025</w:t>
            </w:r>
          </w:p>
        </w:tc>
      </w:tr>
      <w:tr w:rsidR="0055286C" w:rsidRPr="00EB74A8" w14:paraId="022BF1DA" w14:textId="77777777" w:rsidTr="00C5757E">
        <w:trPr>
          <w:cnfStyle w:val="100000000000" w:firstRow="1" w:lastRow="0" w:firstColumn="0" w:lastColumn="0" w:oddVBand="0" w:evenVBand="0" w:oddHBand="0" w:evenHBand="0" w:firstRowFirstColumn="0" w:firstRowLastColumn="0" w:lastRowFirstColumn="0" w:lastRowLastColumn="0"/>
          <w:trHeight w:val="20"/>
          <w:tblHeader/>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72F5410C" w14:textId="77777777" w:rsidR="004C0206" w:rsidRPr="00EB74A8" w:rsidRDefault="004C0206" w:rsidP="00582961">
            <w:pPr>
              <w:spacing w:before="60" w:after="60" w:line="240" w:lineRule="auto"/>
              <w:rPr>
                <w:b/>
                <w:bCs/>
              </w:rPr>
            </w:pPr>
          </w:p>
        </w:tc>
        <w:tc>
          <w:tcPr>
            <w:tcW w:w="850" w:type="dxa"/>
            <w:tcBorders>
              <w:top w:val="single" w:sz="6" w:space="0" w:color="00DCA1" w:themeColor="background2"/>
              <w:left w:val="nil"/>
              <w:bottom w:val="single" w:sz="6" w:space="0" w:color="00DCA1" w:themeColor="background2"/>
              <w:right w:val="nil"/>
            </w:tcBorders>
          </w:tcPr>
          <w:p w14:paraId="45CD612B" w14:textId="77777777" w:rsidR="004C0206" w:rsidRPr="00EB74A8" w:rsidRDefault="004C0206" w:rsidP="00582961">
            <w:pPr>
              <w:spacing w:before="60" w:after="60" w:line="240" w:lineRule="auto"/>
              <w:rPr>
                <w:b/>
                <w:bCs/>
              </w:rPr>
            </w:pPr>
          </w:p>
        </w:tc>
        <w:tc>
          <w:tcPr>
            <w:tcW w:w="709" w:type="dxa"/>
            <w:tcBorders>
              <w:top w:val="single" w:sz="6" w:space="0" w:color="00DCA1" w:themeColor="background2"/>
              <w:left w:val="nil"/>
              <w:bottom w:val="single" w:sz="6" w:space="0" w:color="00DCA1" w:themeColor="background2"/>
              <w:right w:val="nil"/>
            </w:tcBorders>
          </w:tcPr>
          <w:p w14:paraId="7315998A" w14:textId="77777777" w:rsidR="004C0206" w:rsidRPr="00EB74A8" w:rsidRDefault="004C0206" w:rsidP="00582961">
            <w:pPr>
              <w:spacing w:before="60" w:after="60" w:line="240" w:lineRule="auto"/>
              <w:rPr>
                <w:b/>
                <w:bCs/>
              </w:rPr>
            </w:pPr>
          </w:p>
        </w:tc>
        <w:tc>
          <w:tcPr>
            <w:tcW w:w="709" w:type="dxa"/>
            <w:tcBorders>
              <w:top w:val="single" w:sz="6" w:space="0" w:color="00DCA1" w:themeColor="background2"/>
              <w:left w:val="nil"/>
              <w:bottom w:val="single" w:sz="6" w:space="0" w:color="00DCA1" w:themeColor="background2"/>
              <w:right w:val="nil"/>
            </w:tcBorders>
          </w:tcPr>
          <w:p w14:paraId="1EB04B0E" w14:textId="77777777" w:rsidR="004C0206" w:rsidRPr="00EB74A8" w:rsidRDefault="004C0206" w:rsidP="00582961">
            <w:pPr>
              <w:spacing w:before="60" w:after="60" w:line="240" w:lineRule="auto"/>
              <w:rPr>
                <w:b/>
                <w:bCs/>
              </w:rPr>
            </w:pPr>
          </w:p>
        </w:tc>
        <w:tc>
          <w:tcPr>
            <w:tcW w:w="709" w:type="dxa"/>
            <w:tcBorders>
              <w:top w:val="single" w:sz="6" w:space="0" w:color="00DCA1" w:themeColor="background2"/>
              <w:left w:val="nil"/>
              <w:bottom w:val="single" w:sz="6" w:space="0" w:color="00DCA1" w:themeColor="background2"/>
              <w:right w:val="nil"/>
            </w:tcBorders>
          </w:tcPr>
          <w:p w14:paraId="6C3C1EBE" w14:textId="77777777" w:rsidR="004C0206" w:rsidRPr="00EB74A8" w:rsidRDefault="004C0206" w:rsidP="00582961">
            <w:pPr>
              <w:spacing w:before="60" w:after="60" w:line="240" w:lineRule="auto"/>
              <w:rPr>
                <w:b/>
                <w:bCs/>
              </w:rPr>
            </w:pPr>
          </w:p>
        </w:tc>
        <w:tc>
          <w:tcPr>
            <w:tcW w:w="850" w:type="dxa"/>
            <w:tcBorders>
              <w:top w:val="single" w:sz="6" w:space="0" w:color="00DCA1" w:themeColor="background2"/>
              <w:left w:val="nil"/>
              <w:bottom w:val="single" w:sz="6" w:space="0" w:color="00DCA1" w:themeColor="background2"/>
              <w:right w:val="nil"/>
            </w:tcBorders>
          </w:tcPr>
          <w:p w14:paraId="597443E0" w14:textId="77777777" w:rsidR="004C0206" w:rsidRPr="00EB74A8" w:rsidRDefault="004C0206" w:rsidP="00582961">
            <w:pPr>
              <w:spacing w:before="60" w:after="60" w:line="240" w:lineRule="auto"/>
              <w:rPr>
                <w:b/>
                <w:bCs/>
              </w:rPr>
            </w:pPr>
          </w:p>
        </w:tc>
        <w:tc>
          <w:tcPr>
            <w:tcW w:w="992" w:type="dxa"/>
            <w:tcBorders>
              <w:top w:val="single" w:sz="6" w:space="0" w:color="00DCA1" w:themeColor="background2"/>
              <w:left w:val="nil"/>
              <w:bottom w:val="single" w:sz="6" w:space="0" w:color="00DCA1" w:themeColor="background2"/>
              <w:right w:val="nil"/>
            </w:tcBorders>
          </w:tcPr>
          <w:p w14:paraId="5C5CD518" w14:textId="77777777" w:rsidR="004C0206" w:rsidRPr="00EB74A8" w:rsidRDefault="004C0206" w:rsidP="00582961">
            <w:pPr>
              <w:pStyle w:val="Tableheadrowboldleftaligned"/>
            </w:pPr>
            <w:r w:rsidRPr="00EB74A8">
              <w:t>Q1</w:t>
            </w:r>
          </w:p>
        </w:tc>
        <w:tc>
          <w:tcPr>
            <w:tcW w:w="993" w:type="dxa"/>
            <w:tcBorders>
              <w:top w:val="single" w:sz="6" w:space="0" w:color="00DCA1" w:themeColor="background2"/>
              <w:left w:val="nil"/>
              <w:bottom w:val="single" w:sz="6" w:space="0" w:color="00DCA1" w:themeColor="background2"/>
              <w:right w:val="nil"/>
            </w:tcBorders>
          </w:tcPr>
          <w:p w14:paraId="7067E90F" w14:textId="77777777" w:rsidR="004C0206" w:rsidRPr="00EB74A8" w:rsidRDefault="004C0206" w:rsidP="00582961">
            <w:pPr>
              <w:pStyle w:val="Tableheadrowboldleftaligned"/>
            </w:pPr>
            <w:r w:rsidRPr="00EB74A8">
              <w:t>Q2</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tcPr>
          <w:p w14:paraId="5D64E181" w14:textId="77777777" w:rsidR="004C0206" w:rsidRPr="00EB74A8" w:rsidRDefault="004C0206" w:rsidP="00582961">
            <w:pPr>
              <w:pStyle w:val="Tableheadrowboldleftaligned"/>
            </w:pPr>
            <w:r w:rsidRPr="00EB74A8">
              <w:t>Q3</w:t>
            </w:r>
          </w:p>
        </w:tc>
      </w:tr>
      <w:tr w:rsidR="00221BB6" w:rsidRPr="00EB74A8" w14:paraId="111DDAB9"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9490" w:type="dxa"/>
            <w:gridSpan w:val="9"/>
            <w:tcBorders>
              <w:top w:val="single" w:sz="6" w:space="0" w:color="00DCA1" w:themeColor="background2"/>
              <w:left w:val="single" w:sz="6" w:space="0" w:color="00DCA1" w:themeColor="background2"/>
              <w:bottom w:val="single" w:sz="6" w:space="0" w:color="00DCA1" w:themeColor="background2"/>
              <w:right w:val="single" w:sz="6" w:space="0" w:color="00DCA1" w:themeColor="background2"/>
              <w:tl2br w:val="none" w:sz="0" w:space="0" w:color="auto"/>
              <w:tr2bl w:val="none" w:sz="0" w:space="0" w:color="auto"/>
            </w:tcBorders>
          </w:tcPr>
          <w:p w14:paraId="07DBAA38" w14:textId="531363C9" w:rsidR="00221BB6" w:rsidRPr="00EB74A8" w:rsidRDefault="00221BB6" w:rsidP="002639D7">
            <w:pPr>
              <w:pStyle w:val="Tableheadingcentred"/>
            </w:pPr>
            <w:r w:rsidRPr="00EB74A8">
              <w:t>Aboriginal and Torres Strait Islander women</w:t>
            </w:r>
          </w:p>
        </w:tc>
      </w:tr>
      <w:tr w:rsidR="0055286C" w:rsidRPr="00EB74A8" w14:paraId="291A55F8"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6AE9DF75" w14:textId="6BD45FCD" w:rsidR="005A04AF" w:rsidRPr="00EB74A8" w:rsidRDefault="005A04AF" w:rsidP="005A04AF">
            <w:pPr>
              <w:pStyle w:val="Tabletextleftaligned"/>
            </w:pPr>
            <w:r w:rsidRPr="00EB74A8">
              <w:t>First trimester</w:t>
            </w:r>
          </w:p>
        </w:tc>
        <w:tc>
          <w:tcPr>
            <w:tcW w:w="850" w:type="dxa"/>
            <w:tcBorders>
              <w:top w:val="single" w:sz="6" w:space="0" w:color="00DCA1" w:themeColor="background2"/>
              <w:left w:val="nil"/>
              <w:bottom w:val="single" w:sz="6" w:space="0" w:color="00DCA1" w:themeColor="background2"/>
              <w:right w:val="nil"/>
            </w:tcBorders>
            <w:vAlign w:val="top"/>
          </w:tcPr>
          <w:p w14:paraId="292E6C3E" w14:textId="2917268C" w:rsidR="005A04AF" w:rsidRPr="00EB74A8" w:rsidRDefault="00FF2AA1"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74FB3DBE" w14:textId="782E9B34" w:rsidR="005A04AF" w:rsidRPr="00EB74A8" w:rsidRDefault="00FF2AA1"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657C9D34" w14:textId="2F050BA2" w:rsidR="005A04AF" w:rsidRPr="00EB74A8" w:rsidRDefault="00FF2AA1"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78A7C567" w14:textId="6F9C157F" w:rsidR="005A04AF" w:rsidRPr="00EB74A8" w:rsidRDefault="00FF2AA1" w:rsidP="007D5619">
            <w:pPr>
              <w:pStyle w:val="Tabletextleft"/>
            </w:pPr>
            <w:r w:rsidRPr="00EB74A8">
              <w:t>0</w:t>
            </w:r>
          </w:p>
        </w:tc>
        <w:tc>
          <w:tcPr>
            <w:tcW w:w="850" w:type="dxa"/>
            <w:tcBorders>
              <w:top w:val="single" w:sz="6" w:space="0" w:color="00DCA1" w:themeColor="background2"/>
              <w:left w:val="nil"/>
              <w:bottom w:val="single" w:sz="6" w:space="0" w:color="00DCA1" w:themeColor="background2"/>
              <w:right w:val="nil"/>
            </w:tcBorders>
            <w:vAlign w:val="top"/>
          </w:tcPr>
          <w:p w14:paraId="574D07BD" w14:textId="3E6757F5" w:rsidR="005A04AF" w:rsidRPr="00EB74A8" w:rsidRDefault="005A04AF" w:rsidP="007D5619">
            <w:pPr>
              <w:pStyle w:val="Tabletextleft"/>
            </w:pPr>
            <w:r w:rsidRPr="00EB74A8">
              <w:t>1</w:t>
            </w:r>
          </w:p>
        </w:tc>
        <w:tc>
          <w:tcPr>
            <w:tcW w:w="992" w:type="dxa"/>
            <w:tcBorders>
              <w:top w:val="single" w:sz="6" w:space="0" w:color="00DCA1" w:themeColor="background2"/>
              <w:left w:val="nil"/>
              <w:bottom w:val="single" w:sz="6" w:space="0" w:color="00DCA1" w:themeColor="background2"/>
              <w:right w:val="nil"/>
            </w:tcBorders>
            <w:vAlign w:val="top"/>
          </w:tcPr>
          <w:p w14:paraId="412EB94C" w14:textId="51F1AC8F" w:rsidR="005A04AF" w:rsidRPr="00EB74A8" w:rsidRDefault="00FF2AA1" w:rsidP="007D5619">
            <w:pPr>
              <w:pStyle w:val="Tabletextleft"/>
            </w:pPr>
            <w:r w:rsidRPr="00EB74A8">
              <w:t>0</w:t>
            </w:r>
          </w:p>
        </w:tc>
        <w:tc>
          <w:tcPr>
            <w:tcW w:w="993" w:type="dxa"/>
            <w:tcBorders>
              <w:top w:val="single" w:sz="6" w:space="0" w:color="00DCA1" w:themeColor="background2"/>
              <w:left w:val="nil"/>
              <w:bottom w:val="single" w:sz="6" w:space="0" w:color="00DCA1" w:themeColor="background2"/>
              <w:right w:val="nil"/>
            </w:tcBorders>
            <w:vAlign w:val="top"/>
          </w:tcPr>
          <w:p w14:paraId="38877812" w14:textId="3F75DADE" w:rsidR="005A04AF" w:rsidRPr="00EB74A8" w:rsidRDefault="00FF2AA1" w:rsidP="007D5619">
            <w:pPr>
              <w:pStyle w:val="Tabletextleft"/>
            </w:pPr>
            <w:r w:rsidRPr="00EB74A8">
              <w:t>0</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40160DC0" w14:textId="275A4639" w:rsidR="005A04AF" w:rsidRPr="00EB74A8" w:rsidRDefault="00FF2AA1" w:rsidP="007D5619">
            <w:pPr>
              <w:pStyle w:val="Tabletextleft"/>
            </w:pPr>
            <w:r w:rsidRPr="00EB74A8">
              <w:t>0</w:t>
            </w:r>
          </w:p>
        </w:tc>
      </w:tr>
      <w:tr w:rsidR="0055286C" w:rsidRPr="00EB74A8" w14:paraId="7F4B2466"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7260CF0D" w14:textId="12F6CF89" w:rsidR="005A04AF" w:rsidRPr="00EB74A8" w:rsidRDefault="005A04AF" w:rsidP="005A04AF">
            <w:pPr>
              <w:pStyle w:val="Tabletextleftaligned"/>
            </w:pPr>
            <w:r w:rsidRPr="00EB74A8">
              <w:t>Second trimester</w:t>
            </w:r>
          </w:p>
        </w:tc>
        <w:tc>
          <w:tcPr>
            <w:tcW w:w="850" w:type="dxa"/>
            <w:tcBorders>
              <w:top w:val="single" w:sz="6" w:space="0" w:color="00DCA1" w:themeColor="background2"/>
              <w:bottom w:val="single" w:sz="6" w:space="0" w:color="00DCA1" w:themeColor="background2"/>
            </w:tcBorders>
            <w:vAlign w:val="top"/>
          </w:tcPr>
          <w:p w14:paraId="06F41C43" w14:textId="1DA624A7" w:rsidR="005A04AF" w:rsidRPr="00EB74A8" w:rsidRDefault="005A04AF" w:rsidP="007D5619">
            <w:pPr>
              <w:pStyle w:val="Tabletextleft"/>
            </w:pPr>
            <w:r w:rsidRPr="00EB74A8">
              <w:t>1</w:t>
            </w:r>
          </w:p>
        </w:tc>
        <w:tc>
          <w:tcPr>
            <w:tcW w:w="709" w:type="dxa"/>
            <w:tcBorders>
              <w:top w:val="single" w:sz="6" w:space="0" w:color="00DCA1" w:themeColor="background2"/>
              <w:bottom w:val="single" w:sz="6" w:space="0" w:color="00DCA1" w:themeColor="background2"/>
            </w:tcBorders>
            <w:vAlign w:val="top"/>
          </w:tcPr>
          <w:p w14:paraId="5DECF79A" w14:textId="4D44CECD" w:rsidR="005A04AF" w:rsidRPr="00EB74A8" w:rsidRDefault="00FF2AA1"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66E3B0CD" w14:textId="09D8DB8F" w:rsidR="005A04AF" w:rsidRPr="00EB74A8" w:rsidRDefault="005A04AF" w:rsidP="007D5619">
            <w:pPr>
              <w:pStyle w:val="Tabletextleft"/>
            </w:pPr>
            <w:r w:rsidRPr="00EB74A8">
              <w:t>2</w:t>
            </w:r>
          </w:p>
        </w:tc>
        <w:tc>
          <w:tcPr>
            <w:tcW w:w="709" w:type="dxa"/>
            <w:tcBorders>
              <w:top w:val="single" w:sz="6" w:space="0" w:color="00DCA1" w:themeColor="background2"/>
              <w:bottom w:val="single" w:sz="6" w:space="0" w:color="00DCA1" w:themeColor="background2"/>
            </w:tcBorders>
            <w:vAlign w:val="top"/>
          </w:tcPr>
          <w:p w14:paraId="48028ADA" w14:textId="5F6BBBF6" w:rsidR="005A04AF" w:rsidRPr="00EB74A8" w:rsidRDefault="005A04AF" w:rsidP="007D5619">
            <w:pPr>
              <w:pStyle w:val="Tabletextleft"/>
            </w:pPr>
            <w:r w:rsidRPr="00EB74A8">
              <w:t>2</w:t>
            </w:r>
          </w:p>
        </w:tc>
        <w:tc>
          <w:tcPr>
            <w:tcW w:w="850" w:type="dxa"/>
            <w:tcBorders>
              <w:top w:val="single" w:sz="6" w:space="0" w:color="00DCA1" w:themeColor="background2"/>
              <w:bottom w:val="single" w:sz="6" w:space="0" w:color="00DCA1" w:themeColor="background2"/>
            </w:tcBorders>
            <w:vAlign w:val="top"/>
          </w:tcPr>
          <w:p w14:paraId="2495B9FE" w14:textId="63BE5CFF" w:rsidR="005A04AF" w:rsidRPr="00EB74A8" w:rsidRDefault="00FF2AA1" w:rsidP="007D5619">
            <w:pPr>
              <w:pStyle w:val="Tabletextleft"/>
            </w:pPr>
            <w:r w:rsidRPr="00EB74A8">
              <w:t>0</w:t>
            </w:r>
          </w:p>
        </w:tc>
        <w:tc>
          <w:tcPr>
            <w:tcW w:w="992" w:type="dxa"/>
            <w:tcBorders>
              <w:top w:val="single" w:sz="6" w:space="0" w:color="00DCA1" w:themeColor="background2"/>
              <w:bottom w:val="single" w:sz="6" w:space="0" w:color="00DCA1" w:themeColor="background2"/>
            </w:tcBorders>
            <w:vAlign w:val="top"/>
          </w:tcPr>
          <w:p w14:paraId="1F0D1539" w14:textId="19028A44" w:rsidR="005A04AF" w:rsidRPr="00EB74A8" w:rsidRDefault="00FF2AA1"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53F3FE47" w14:textId="4316C35A" w:rsidR="005A04AF" w:rsidRPr="00EB74A8" w:rsidRDefault="005A04AF" w:rsidP="007D5619">
            <w:pPr>
              <w:pStyle w:val="Tabletextleft"/>
            </w:pPr>
            <w:r w:rsidRPr="00EB74A8">
              <w:t>1</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526ECA13" w14:textId="117F0E33" w:rsidR="005A04AF" w:rsidRPr="00EB74A8" w:rsidRDefault="00FF2AA1" w:rsidP="007D5619">
            <w:pPr>
              <w:pStyle w:val="Tabletextleft"/>
            </w:pPr>
            <w:r w:rsidRPr="00EB74A8">
              <w:t>0</w:t>
            </w:r>
          </w:p>
        </w:tc>
      </w:tr>
      <w:tr w:rsidR="0055286C" w:rsidRPr="00EB74A8" w14:paraId="19424259"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5D38BCED" w14:textId="6C0D3FF2" w:rsidR="005A04AF" w:rsidRPr="00EB74A8" w:rsidRDefault="005A04AF" w:rsidP="005A04AF">
            <w:pPr>
              <w:pStyle w:val="Tabletextleftaligned"/>
            </w:pPr>
            <w:r w:rsidRPr="00EB74A8">
              <w:t>Third trimester</w:t>
            </w:r>
          </w:p>
        </w:tc>
        <w:tc>
          <w:tcPr>
            <w:tcW w:w="850" w:type="dxa"/>
            <w:tcBorders>
              <w:top w:val="single" w:sz="6" w:space="0" w:color="00DCA1" w:themeColor="background2"/>
              <w:left w:val="nil"/>
              <w:bottom w:val="single" w:sz="6" w:space="0" w:color="00DCA1" w:themeColor="background2"/>
              <w:right w:val="nil"/>
            </w:tcBorders>
            <w:vAlign w:val="top"/>
          </w:tcPr>
          <w:p w14:paraId="64B4B15B" w14:textId="5250768B" w:rsidR="005A04AF" w:rsidRPr="00EB74A8" w:rsidRDefault="00FF2AA1"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0304CC86" w14:textId="5B513E9E" w:rsidR="005A04AF" w:rsidRPr="00EB74A8" w:rsidRDefault="005A04AF" w:rsidP="007D5619">
            <w:pPr>
              <w:pStyle w:val="Tabletextleft"/>
            </w:pPr>
            <w:r w:rsidRPr="00EB74A8">
              <w:t>2</w:t>
            </w:r>
          </w:p>
        </w:tc>
        <w:tc>
          <w:tcPr>
            <w:tcW w:w="709" w:type="dxa"/>
            <w:tcBorders>
              <w:top w:val="single" w:sz="6" w:space="0" w:color="00DCA1" w:themeColor="background2"/>
              <w:left w:val="nil"/>
              <w:bottom w:val="single" w:sz="6" w:space="0" w:color="00DCA1" w:themeColor="background2"/>
              <w:right w:val="nil"/>
            </w:tcBorders>
            <w:vAlign w:val="top"/>
          </w:tcPr>
          <w:p w14:paraId="6A26E9B3" w14:textId="56DC14F4" w:rsidR="005A04AF" w:rsidRPr="00EB74A8" w:rsidRDefault="005A04AF" w:rsidP="007D5619">
            <w:pPr>
              <w:pStyle w:val="Tabletextleft"/>
            </w:pPr>
            <w:r w:rsidRPr="00EB74A8">
              <w:t>1</w:t>
            </w:r>
          </w:p>
        </w:tc>
        <w:tc>
          <w:tcPr>
            <w:tcW w:w="709" w:type="dxa"/>
            <w:tcBorders>
              <w:top w:val="single" w:sz="6" w:space="0" w:color="00DCA1" w:themeColor="background2"/>
              <w:left w:val="nil"/>
              <w:bottom w:val="single" w:sz="6" w:space="0" w:color="00DCA1" w:themeColor="background2"/>
              <w:right w:val="nil"/>
            </w:tcBorders>
            <w:vAlign w:val="top"/>
          </w:tcPr>
          <w:p w14:paraId="71E05AA2" w14:textId="541CC183" w:rsidR="005A04AF" w:rsidRPr="00EB74A8" w:rsidRDefault="005A04AF" w:rsidP="007D5619">
            <w:pPr>
              <w:pStyle w:val="Tabletextleft"/>
            </w:pPr>
            <w:r w:rsidRPr="00EB74A8">
              <w:t>4</w:t>
            </w:r>
          </w:p>
        </w:tc>
        <w:tc>
          <w:tcPr>
            <w:tcW w:w="850" w:type="dxa"/>
            <w:tcBorders>
              <w:top w:val="single" w:sz="6" w:space="0" w:color="00DCA1" w:themeColor="background2"/>
              <w:left w:val="nil"/>
              <w:bottom w:val="single" w:sz="6" w:space="0" w:color="00DCA1" w:themeColor="background2"/>
              <w:right w:val="nil"/>
            </w:tcBorders>
            <w:vAlign w:val="top"/>
          </w:tcPr>
          <w:p w14:paraId="4701EB31" w14:textId="73E09F4A" w:rsidR="005A04AF" w:rsidRPr="00EB74A8" w:rsidRDefault="00FF2AA1" w:rsidP="007D5619">
            <w:pPr>
              <w:pStyle w:val="Tabletextleft"/>
            </w:pPr>
            <w:r w:rsidRPr="00EB74A8">
              <w:t>0</w:t>
            </w:r>
          </w:p>
        </w:tc>
        <w:tc>
          <w:tcPr>
            <w:tcW w:w="992" w:type="dxa"/>
            <w:tcBorders>
              <w:top w:val="single" w:sz="6" w:space="0" w:color="00DCA1" w:themeColor="background2"/>
              <w:left w:val="nil"/>
              <w:bottom w:val="single" w:sz="6" w:space="0" w:color="00DCA1" w:themeColor="background2"/>
              <w:right w:val="nil"/>
            </w:tcBorders>
            <w:vAlign w:val="top"/>
          </w:tcPr>
          <w:p w14:paraId="2FA897D6" w14:textId="6E389581" w:rsidR="005A04AF" w:rsidRPr="00EB74A8" w:rsidRDefault="005A04AF" w:rsidP="007D5619">
            <w:pPr>
              <w:pStyle w:val="Tabletextleft"/>
            </w:pPr>
            <w:r w:rsidRPr="00EB74A8">
              <w:t>1</w:t>
            </w:r>
          </w:p>
        </w:tc>
        <w:tc>
          <w:tcPr>
            <w:tcW w:w="993" w:type="dxa"/>
            <w:tcBorders>
              <w:top w:val="single" w:sz="6" w:space="0" w:color="00DCA1" w:themeColor="background2"/>
              <w:left w:val="nil"/>
              <w:bottom w:val="single" w:sz="6" w:space="0" w:color="00DCA1" w:themeColor="background2"/>
              <w:right w:val="nil"/>
            </w:tcBorders>
            <w:vAlign w:val="top"/>
          </w:tcPr>
          <w:p w14:paraId="71D5A8D5" w14:textId="0B4BD033" w:rsidR="005A04AF" w:rsidRPr="00EB74A8" w:rsidRDefault="00FF2AA1" w:rsidP="007D5619">
            <w:pPr>
              <w:pStyle w:val="Tabletextleft"/>
            </w:pPr>
            <w:r w:rsidRPr="00EB74A8">
              <w:t>0</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2CBAE725" w14:textId="767EE0CF" w:rsidR="005A04AF" w:rsidRPr="00EB74A8" w:rsidRDefault="00FF2AA1" w:rsidP="007D5619">
            <w:pPr>
              <w:pStyle w:val="Tabletextleft"/>
            </w:pPr>
            <w:r w:rsidRPr="00EB74A8">
              <w:t>0</w:t>
            </w:r>
          </w:p>
        </w:tc>
      </w:tr>
      <w:tr w:rsidR="0055286C" w:rsidRPr="00EB74A8" w14:paraId="5B692055"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6CA5E184" w14:textId="64BDB3E5" w:rsidR="005A04AF" w:rsidRPr="00EB74A8" w:rsidRDefault="005A04AF" w:rsidP="005A04AF">
            <w:pPr>
              <w:pStyle w:val="Tabletextleftaligned"/>
            </w:pPr>
            <w:r w:rsidRPr="00EB74A8">
              <w:t>At birth</w:t>
            </w:r>
          </w:p>
        </w:tc>
        <w:tc>
          <w:tcPr>
            <w:tcW w:w="850" w:type="dxa"/>
            <w:tcBorders>
              <w:top w:val="single" w:sz="6" w:space="0" w:color="00DCA1" w:themeColor="background2"/>
              <w:bottom w:val="single" w:sz="6" w:space="0" w:color="00DCA1" w:themeColor="background2"/>
            </w:tcBorders>
            <w:vAlign w:val="top"/>
          </w:tcPr>
          <w:p w14:paraId="32C97858" w14:textId="0BCC6AAE" w:rsidR="005A04AF" w:rsidRPr="00EB74A8" w:rsidRDefault="005A04AF" w:rsidP="007D5619">
            <w:pPr>
              <w:pStyle w:val="Tabletextleft"/>
            </w:pPr>
            <w:r w:rsidRPr="00EB74A8">
              <w:t>4</w:t>
            </w:r>
          </w:p>
        </w:tc>
        <w:tc>
          <w:tcPr>
            <w:tcW w:w="709" w:type="dxa"/>
            <w:tcBorders>
              <w:top w:val="single" w:sz="6" w:space="0" w:color="00DCA1" w:themeColor="background2"/>
              <w:bottom w:val="single" w:sz="6" w:space="0" w:color="00DCA1" w:themeColor="background2"/>
            </w:tcBorders>
            <w:vAlign w:val="top"/>
          </w:tcPr>
          <w:p w14:paraId="761A9751" w14:textId="3C254F95" w:rsidR="005A04AF" w:rsidRPr="00EB74A8" w:rsidRDefault="005A04AF" w:rsidP="007D5619">
            <w:pPr>
              <w:pStyle w:val="Tabletextleft"/>
            </w:pPr>
            <w:r w:rsidRPr="00EB74A8">
              <w:t>4</w:t>
            </w:r>
          </w:p>
        </w:tc>
        <w:tc>
          <w:tcPr>
            <w:tcW w:w="709" w:type="dxa"/>
            <w:tcBorders>
              <w:top w:val="single" w:sz="6" w:space="0" w:color="00DCA1" w:themeColor="background2"/>
              <w:bottom w:val="single" w:sz="6" w:space="0" w:color="00DCA1" w:themeColor="background2"/>
            </w:tcBorders>
            <w:vAlign w:val="top"/>
          </w:tcPr>
          <w:p w14:paraId="752BE5F9" w14:textId="7E6ACDB5" w:rsidR="005A04AF" w:rsidRPr="00EB74A8" w:rsidRDefault="005A04AF" w:rsidP="007D5619">
            <w:pPr>
              <w:pStyle w:val="Tabletextleft"/>
            </w:pPr>
            <w:r w:rsidRPr="00EB74A8">
              <w:t>3</w:t>
            </w:r>
          </w:p>
        </w:tc>
        <w:tc>
          <w:tcPr>
            <w:tcW w:w="709" w:type="dxa"/>
            <w:tcBorders>
              <w:top w:val="single" w:sz="6" w:space="0" w:color="00DCA1" w:themeColor="background2"/>
              <w:bottom w:val="single" w:sz="6" w:space="0" w:color="00DCA1" w:themeColor="background2"/>
            </w:tcBorders>
            <w:vAlign w:val="top"/>
          </w:tcPr>
          <w:p w14:paraId="302282DC" w14:textId="62629D00" w:rsidR="005A04AF" w:rsidRPr="00EB74A8" w:rsidRDefault="005A04AF" w:rsidP="007D5619">
            <w:pPr>
              <w:pStyle w:val="Tabletextleft"/>
            </w:pPr>
            <w:r w:rsidRPr="00EB74A8">
              <w:t>4</w:t>
            </w:r>
          </w:p>
        </w:tc>
        <w:tc>
          <w:tcPr>
            <w:tcW w:w="850" w:type="dxa"/>
            <w:tcBorders>
              <w:top w:val="single" w:sz="6" w:space="0" w:color="00DCA1" w:themeColor="background2"/>
              <w:bottom w:val="single" w:sz="6" w:space="0" w:color="00DCA1" w:themeColor="background2"/>
            </w:tcBorders>
            <w:vAlign w:val="top"/>
          </w:tcPr>
          <w:p w14:paraId="37030013" w14:textId="7C2DF9C4" w:rsidR="005A04AF" w:rsidRPr="00EB74A8" w:rsidRDefault="005A04AF" w:rsidP="007D5619">
            <w:pPr>
              <w:pStyle w:val="Tabletextleft"/>
            </w:pPr>
            <w:r w:rsidRPr="00EB74A8">
              <w:t>1</w:t>
            </w:r>
          </w:p>
        </w:tc>
        <w:tc>
          <w:tcPr>
            <w:tcW w:w="992" w:type="dxa"/>
            <w:tcBorders>
              <w:top w:val="single" w:sz="6" w:space="0" w:color="00DCA1" w:themeColor="background2"/>
              <w:bottom w:val="single" w:sz="6" w:space="0" w:color="00DCA1" w:themeColor="background2"/>
            </w:tcBorders>
            <w:vAlign w:val="top"/>
          </w:tcPr>
          <w:p w14:paraId="09269DB1" w14:textId="7C834C72" w:rsidR="005A04AF" w:rsidRPr="00EB74A8" w:rsidRDefault="00FF2AA1"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297C390A" w14:textId="5418BD4E" w:rsidR="005A04AF" w:rsidRPr="00EB74A8" w:rsidRDefault="00FF2AA1" w:rsidP="007D5619">
            <w:pPr>
              <w:pStyle w:val="Tabletextleft"/>
            </w:pPr>
            <w:r w:rsidRPr="00EB74A8">
              <w:t>0</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1DA4EEC8" w14:textId="0AD3BC35" w:rsidR="005A04AF" w:rsidRPr="00EB74A8" w:rsidRDefault="005A04AF" w:rsidP="007D5619">
            <w:pPr>
              <w:pStyle w:val="Tabletextleft"/>
            </w:pPr>
            <w:r w:rsidRPr="00EB74A8">
              <w:t>1</w:t>
            </w:r>
          </w:p>
        </w:tc>
      </w:tr>
      <w:tr w:rsidR="0055286C" w:rsidRPr="00EB74A8" w14:paraId="19D0C548"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3B0D80F6" w14:textId="3C4F1FBB" w:rsidR="005A04AF" w:rsidRPr="00EB74A8" w:rsidRDefault="005A04AF" w:rsidP="005A04AF">
            <w:pPr>
              <w:pStyle w:val="Tabletextleftaligned"/>
            </w:pPr>
            <w:r w:rsidRPr="00EB74A8">
              <w:t>Post birth</w:t>
            </w:r>
          </w:p>
        </w:tc>
        <w:tc>
          <w:tcPr>
            <w:tcW w:w="850" w:type="dxa"/>
            <w:tcBorders>
              <w:top w:val="single" w:sz="6" w:space="0" w:color="00DCA1" w:themeColor="background2"/>
              <w:left w:val="nil"/>
              <w:bottom w:val="single" w:sz="6" w:space="0" w:color="00DCA1" w:themeColor="background2"/>
              <w:right w:val="nil"/>
            </w:tcBorders>
            <w:vAlign w:val="top"/>
          </w:tcPr>
          <w:p w14:paraId="1019253A" w14:textId="77E7F539" w:rsidR="005A04AF" w:rsidRPr="00EB74A8" w:rsidRDefault="005A04AF" w:rsidP="007D5619">
            <w:pPr>
              <w:pStyle w:val="Tabletextleft"/>
            </w:pPr>
            <w:r w:rsidRPr="00EB74A8">
              <w:t>3</w:t>
            </w:r>
          </w:p>
        </w:tc>
        <w:tc>
          <w:tcPr>
            <w:tcW w:w="709" w:type="dxa"/>
            <w:tcBorders>
              <w:top w:val="single" w:sz="6" w:space="0" w:color="00DCA1" w:themeColor="background2"/>
              <w:left w:val="nil"/>
              <w:bottom w:val="single" w:sz="6" w:space="0" w:color="00DCA1" w:themeColor="background2"/>
              <w:right w:val="nil"/>
            </w:tcBorders>
            <w:vAlign w:val="top"/>
          </w:tcPr>
          <w:p w14:paraId="2FB5DCF7" w14:textId="18B77FD9" w:rsidR="005A04AF" w:rsidRPr="00EB74A8" w:rsidRDefault="005A04AF" w:rsidP="007D5619">
            <w:pPr>
              <w:pStyle w:val="Tabletextleft"/>
            </w:pPr>
            <w:r w:rsidRPr="00EB74A8">
              <w:t>3</w:t>
            </w:r>
          </w:p>
        </w:tc>
        <w:tc>
          <w:tcPr>
            <w:tcW w:w="709" w:type="dxa"/>
            <w:tcBorders>
              <w:top w:val="single" w:sz="6" w:space="0" w:color="00DCA1" w:themeColor="background2"/>
              <w:left w:val="nil"/>
              <w:bottom w:val="single" w:sz="6" w:space="0" w:color="00DCA1" w:themeColor="background2"/>
              <w:right w:val="nil"/>
            </w:tcBorders>
            <w:vAlign w:val="top"/>
          </w:tcPr>
          <w:p w14:paraId="6EEAC0BA" w14:textId="542337F8" w:rsidR="005A04AF" w:rsidRPr="00EB74A8" w:rsidRDefault="00FF2AA1"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3EF086F9" w14:textId="52B07049" w:rsidR="005A04AF" w:rsidRPr="00EB74A8" w:rsidRDefault="005A04AF" w:rsidP="007D5619">
            <w:pPr>
              <w:pStyle w:val="Tabletextleft"/>
            </w:pPr>
            <w:r w:rsidRPr="00EB74A8">
              <w:t>3</w:t>
            </w:r>
          </w:p>
        </w:tc>
        <w:tc>
          <w:tcPr>
            <w:tcW w:w="850" w:type="dxa"/>
            <w:tcBorders>
              <w:top w:val="single" w:sz="6" w:space="0" w:color="00DCA1" w:themeColor="background2"/>
              <w:left w:val="nil"/>
              <w:bottom w:val="single" w:sz="6" w:space="0" w:color="00DCA1" w:themeColor="background2"/>
              <w:right w:val="nil"/>
            </w:tcBorders>
            <w:vAlign w:val="top"/>
          </w:tcPr>
          <w:p w14:paraId="2C76CB69" w14:textId="55D09329" w:rsidR="005A04AF" w:rsidRPr="00EB74A8" w:rsidRDefault="005A04AF" w:rsidP="007D5619">
            <w:pPr>
              <w:pStyle w:val="Tabletextleft"/>
            </w:pPr>
            <w:r w:rsidRPr="00EB74A8">
              <w:t>1</w:t>
            </w:r>
          </w:p>
        </w:tc>
        <w:tc>
          <w:tcPr>
            <w:tcW w:w="992" w:type="dxa"/>
            <w:tcBorders>
              <w:top w:val="single" w:sz="6" w:space="0" w:color="00DCA1" w:themeColor="background2"/>
              <w:left w:val="nil"/>
              <w:bottom w:val="single" w:sz="6" w:space="0" w:color="00DCA1" w:themeColor="background2"/>
              <w:right w:val="nil"/>
            </w:tcBorders>
            <w:vAlign w:val="top"/>
          </w:tcPr>
          <w:p w14:paraId="64664386" w14:textId="66270EBE" w:rsidR="005A04AF" w:rsidRPr="00EB74A8" w:rsidRDefault="00FF2AA1" w:rsidP="007D5619">
            <w:pPr>
              <w:pStyle w:val="Tabletextleft"/>
            </w:pPr>
            <w:r w:rsidRPr="00EB74A8">
              <w:t>0</w:t>
            </w:r>
          </w:p>
        </w:tc>
        <w:tc>
          <w:tcPr>
            <w:tcW w:w="993" w:type="dxa"/>
            <w:tcBorders>
              <w:top w:val="single" w:sz="6" w:space="0" w:color="00DCA1" w:themeColor="background2"/>
              <w:left w:val="nil"/>
              <w:bottom w:val="single" w:sz="6" w:space="0" w:color="00DCA1" w:themeColor="background2"/>
              <w:right w:val="nil"/>
            </w:tcBorders>
            <w:vAlign w:val="top"/>
          </w:tcPr>
          <w:p w14:paraId="4239575A" w14:textId="3DAA624A" w:rsidR="005A04AF" w:rsidRPr="00EB74A8" w:rsidRDefault="005A04AF" w:rsidP="007D5619">
            <w:pPr>
              <w:pStyle w:val="Tabletextleft"/>
            </w:pPr>
            <w:r w:rsidRPr="00EB74A8">
              <w:t>2</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2CD8F236" w14:textId="036D6D36" w:rsidR="005A04AF" w:rsidRPr="00EB74A8" w:rsidRDefault="00FF2AA1" w:rsidP="007D5619">
            <w:pPr>
              <w:pStyle w:val="Tabletextleft"/>
            </w:pPr>
            <w:r w:rsidRPr="00EB74A8">
              <w:t>0</w:t>
            </w:r>
          </w:p>
        </w:tc>
      </w:tr>
      <w:tr w:rsidR="0055286C" w:rsidRPr="00EB74A8" w14:paraId="2F6FD4B1"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0A2E7FDD" w14:textId="22E14785" w:rsidR="005A04AF" w:rsidRPr="00EB74A8" w:rsidRDefault="005A04AF" w:rsidP="005A04AF">
            <w:pPr>
              <w:pStyle w:val="Tabletextleftaligned"/>
            </w:pPr>
            <w:r w:rsidRPr="00EB74A8">
              <w:t>Unknown</w:t>
            </w:r>
          </w:p>
        </w:tc>
        <w:tc>
          <w:tcPr>
            <w:tcW w:w="850" w:type="dxa"/>
            <w:tcBorders>
              <w:top w:val="single" w:sz="6" w:space="0" w:color="00DCA1" w:themeColor="background2"/>
              <w:bottom w:val="single" w:sz="6" w:space="0" w:color="00DCA1" w:themeColor="background2"/>
            </w:tcBorders>
            <w:vAlign w:val="top"/>
          </w:tcPr>
          <w:p w14:paraId="34EC0180" w14:textId="18037075" w:rsidR="005A04AF" w:rsidRPr="00EB74A8" w:rsidRDefault="00FF2AA1"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5D025886" w14:textId="56FE090D" w:rsidR="005A04AF" w:rsidRPr="00EB74A8" w:rsidRDefault="00FF2AA1"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3E0B0264" w14:textId="4C8974EB" w:rsidR="005A04AF" w:rsidRPr="00EB74A8" w:rsidRDefault="005A04AF" w:rsidP="007D5619">
            <w:pPr>
              <w:pStyle w:val="Tabletextleft"/>
            </w:pPr>
            <w:r w:rsidRPr="00EB74A8">
              <w:t>3</w:t>
            </w:r>
          </w:p>
        </w:tc>
        <w:tc>
          <w:tcPr>
            <w:tcW w:w="709" w:type="dxa"/>
            <w:tcBorders>
              <w:top w:val="single" w:sz="6" w:space="0" w:color="00DCA1" w:themeColor="background2"/>
              <w:bottom w:val="single" w:sz="6" w:space="0" w:color="00DCA1" w:themeColor="background2"/>
            </w:tcBorders>
            <w:vAlign w:val="top"/>
          </w:tcPr>
          <w:p w14:paraId="47679DE1" w14:textId="6AAE1BAD" w:rsidR="005A04AF" w:rsidRPr="00EB74A8" w:rsidRDefault="00FF2AA1" w:rsidP="007D5619">
            <w:pPr>
              <w:pStyle w:val="Tabletextleft"/>
            </w:pPr>
            <w:r w:rsidRPr="00EB74A8">
              <w:t>0</w:t>
            </w:r>
          </w:p>
        </w:tc>
        <w:tc>
          <w:tcPr>
            <w:tcW w:w="850" w:type="dxa"/>
            <w:tcBorders>
              <w:top w:val="single" w:sz="6" w:space="0" w:color="00DCA1" w:themeColor="background2"/>
              <w:bottom w:val="single" w:sz="6" w:space="0" w:color="00DCA1" w:themeColor="background2"/>
            </w:tcBorders>
            <w:vAlign w:val="top"/>
          </w:tcPr>
          <w:p w14:paraId="6D209BA0" w14:textId="3468A187" w:rsidR="005A04AF" w:rsidRPr="00EB74A8" w:rsidRDefault="00FF2AA1" w:rsidP="007D5619">
            <w:pPr>
              <w:pStyle w:val="Tabletextleft"/>
            </w:pPr>
            <w:r w:rsidRPr="00EB74A8">
              <w:t>0</w:t>
            </w:r>
          </w:p>
        </w:tc>
        <w:tc>
          <w:tcPr>
            <w:tcW w:w="992" w:type="dxa"/>
            <w:tcBorders>
              <w:top w:val="single" w:sz="6" w:space="0" w:color="00DCA1" w:themeColor="background2"/>
              <w:bottom w:val="single" w:sz="6" w:space="0" w:color="00DCA1" w:themeColor="background2"/>
            </w:tcBorders>
            <w:vAlign w:val="top"/>
          </w:tcPr>
          <w:p w14:paraId="16FF2FA1" w14:textId="2D097E2D" w:rsidR="005A04AF" w:rsidRPr="00EB74A8" w:rsidRDefault="00FF2AA1"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56D2F98C" w14:textId="603A5EC9" w:rsidR="005A04AF" w:rsidRPr="00EB74A8" w:rsidRDefault="00FF2AA1" w:rsidP="007D5619">
            <w:pPr>
              <w:pStyle w:val="Tabletextleft"/>
            </w:pPr>
            <w:r w:rsidRPr="00EB74A8">
              <w:t>0</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76BC4354" w14:textId="3A532813" w:rsidR="005A04AF" w:rsidRPr="00EB74A8" w:rsidRDefault="00FF2AA1" w:rsidP="007D5619">
            <w:pPr>
              <w:pStyle w:val="Tabletextleft"/>
            </w:pPr>
            <w:r w:rsidRPr="00EB74A8">
              <w:t>0</w:t>
            </w:r>
          </w:p>
        </w:tc>
      </w:tr>
      <w:tr w:rsidR="0055286C" w:rsidRPr="00EB74A8" w14:paraId="585FD403"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shd w:val="clear" w:color="auto" w:fill="D3FCFC" w:themeFill="text2" w:themeFillTint="1A"/>
          </w:tcPr>
          <w:p w14:paraId="1BC62002" w14:textId="0E525CBB" w:rsidR="005A04AF" w:rsidRPr="00EB74A8" w:rsidRDefault="005A04AF" w:rsidP="005A04AF">
            <w:pPr>
              <w:pStyle w:val="Tabletextleftaligned"/>
            </w:pPr>
            <w:r w:rsidRPr="00EB74A8">
              <w:t>Late diagnosis</w:t>
            </w:r>
          </w:p>
        </w:tc>
        <w:tc>
          <w:tcPr>
            <w:tcW w:w="850"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1AC6AA05" w14:textId="50573283" w:rsidR="005A04AF" w:rsidRPr="00EB74A8" w:rsidRDefault="005A04AF" w:rsidP="007D5619">
            <w:pPr>
              <w:pStyle w:val="Tabletextleft"/>
            </w:pPr>
            <w:r w:rsidRPr="00EB74A8">
              <w:t>7</w:t>
            </w:r>
          </w:p>
        </w:tc>
        <w:tc>
          <w:tcPr>
            <w:tcW w:w="709"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52754B9F" w14:textId="3C39AEF2" w:rsidR="005A04AF" w:rsidRPr="00EB74A8" w:rsidRDefault="005A04AF" w:rsidP="007D5619">
            <w:pPr>
              <w:pStyle w:val="Tabletextleft"/>
            </w:pPr>
            <w:r w:rsidRPr="00EB74A8">
              <w:t>9</w:t>
            </w:r>
          </w:p>
        </w:tc>
        <w:tc>
          <w:tcPr>
            <w:tcW w:w="709"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78E2E960" w14:textId="0BF94E36" w:rsidR="005A04AF" w:rsidRPr="00EB74A8" w:rsidRDefault="005A04AF" w:rsidP="007D5619">
            <w:pPr>
              <w:pStyle w:val="Tabletextleft"/>
            </w:pPr>
            <w:r w:rsidRPr="00EB74A8">
              <w:t>4</w:t>
            </w:r>
          </w:p>
        </w:tc>
        <w:tc>
          <w:tcPr>
            <w:tcW w:w="709"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3420072E" w14:textId="763A2E5A" w:rsidR="005A04AF" w:rsidRPr="00EB74A8" w:rsidRDefault="005A04AF" w:rsidP="007D5619">
            <w:pPr>
              <w:pStyle w:val="Tabletextleft"/>
            </w:pPr>
            <w:r w:rsidRPr="00EB74A8">
              <w:t>11</w:t>
            </w:r>
          </w:p>
        </w:tc>
        <w:tc>
          <w:tcPr>
            <w:tcW w:w="850"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4BC03A90" w14:textId="31113080" w:rsidR="005A04AF" w:rsidRPr="00EB74A8" w:rsidRDefault="005A04AF" w:rsidP="007D5619">
            <w:pPr>
              <w:pStyle w:val="Tabletextleft"/>
            </w:pPr>
            <w:r w:rsidRPr="00EB74A8">
              <w:t>2</w:t>
            </w:r>
          </w:p>
        </w:tc>
        <w:tc>
          <w:tcPr>
            <w:tcW w:w="992"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289391C3" w14:textId="7B7E7770" w:rsidR="005A04AF" w:rsidRPr="00EB74A8" w:rsidRDefault="005A04AF" w:rsidP="007D5619">
            <w:pPr>
              <w:pStyle w:val="Tabletextleft"/>
            </w:pPr>
            <w:r w:rsidRPr="00EB74A8">
              <w:t>1</w:t>
            </w:r>
          </w:p>
        </w:tc>
        <w:tc>
          <w:tcPr>
            <w:tcW w:w="993"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404BAB73" w14:textId="3DB8F4D4" w:rsidR="005A04AF" w:rsidRPr="00EB74A8" w:rsidRDefault="005A04AF" w:rsidP="007D5619">
            <w:pPr>
              <w:pStyle w:val="Tabletextleft"/>
            </w:pPr>
            <w:r w:rsidRPr="00EB74A8">
              <w:t>2</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shd w:val="clear" w:color="auto" w:fill="D3FCFC" w:themeFill="text2" w:themeFillTint="1A"/>
            <w:vAlign w:val="top"/>
          </w:tcPr>
          <w:p w14:paraId="31FD2ACD" w14:textId="18FB63AC" w:rsidR="005A04AF" w:rsidRPr="00EB74A8" w:rsidRDefault="005A04AF" w:rsidP="007D5619">
            <w:pPr>
              <w:pStyle w:val="Tabletextleft"/>
            </w:pPr>
            <w:r w:rsidRPr="00EB74A8">
              <w:t>1</w:t>
            </w:r>
          </w:p>
        </w:tc>
      </w:tr>
      <w:tr w:rsidR="0055286C" w:rsidRPr="00EB74A8" w14:paraId="30E389E0"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2406BF1F" w14:textId="11D142D1" w:rsidR="005A04AF" w:rsidRPr="00EB74A8" w:rsidRDefault="005A04AF" w:rsidP="005A04AF">
            <w:pPr>
              <w:pStyle w:val="Tabletextleftaligned"/>
              <w:rPr>
                <w:b/>
                <w:bCs/>
              </w:rPr>
            </w:pPr>
            <w:r w:rsidRPr="00EB74A8">
              <w:rPr>
                <w:b/>
                <w:bCs/>
              </w:rPr>
              <w:t>Total</w:t>
            </w:r>
          </w:p>
        </w:tc>
        <w:tc>
          <w:tcPr>
            <w:tcW w:w="850" w:type="dxa"/>
            <w:tcBorders>
              <w:top w:val="single" w:sz="6" w:space="0" w:color="00DCA1" w:themeColor="background2"/>
              <w:bottom w:val="single" w:sz="6" w:space="0" w:color="00DCA1" w:themeColor="background2"/>
            </w:tcBorders>
            <w:vAlign w:val="top"/>
          </w:tcPr>
          <w:p w14:paraId="31DEC9C1" w14:textId="29D08A9C" w:rsidR="005A04AF" w:rsidRPr="00EB74A8" w:rsidRDefault="005A04AF" w:rsidP="007D5619">
            <w:pPr>
              <w:pStyle w:val="Tabletextleft"/>
            </w:pPr>
            <w:r w:rsidRPr="00EB74A8">
              <w:t>8</w:t>
            </w:r>
          </w:p>
        </w:tc>
        <w:tc>
          <w:tcPr>
            <w:tcW w:w="709" w:type="dxa"/>
            <w:tcBorders>
              <w:top w:val="single" w:sz="6" w:space="0" w:color="00DCA1" w:themeColor="background2"/>
              <w:bottom w:val="single" w:sz="6" w:space="0" w:color="00DCA1" w:themeColor="background2"/>
            </w:tcBorders>
            <w:vAlign w:val="top"/>
          </w:tcPr>
          <w:p w14:paraId="4AEEB227" w14:textId="40624A3B" w:rsidR="005A04AF" w:rsidRPr="00EB74A8" w:rsidRDefault="005A04AF" w:rsidP="007D5619">
            <w:pPr>
              <w:pStyle w:val="Tabletextleft"/>
            </w:pPr>
            <w:r w:rsidRPr="00EB74A8">
              <w:t>9</w:t>
            </w:r>
          </w:p>
        </w:tc>
        <w:tc>
          <w:tcPr>
            <w:tcW w:w="709" w:type="dxa"/>
            <w:tcBorders>
              <w:top w:val="single" w:sz="6" w:space="0" w:color="00DCA1" w:themeColor="background2"/>
              <w:bottom w:val="single" w:sz="6" w:space="0" w:color="00DCA1" w:themeColor="background2"/>
            </w:tcBorders>
            <w:vAlign w:val="top"/>
          </w:tcPr>
          <w:p w14:paraId="42354F1F" w14:textId="15C67ED2" w:rsidR="005A04AF" w:rsidRPr="00EB74A8" w:rsidRDefault="005A04AF" w:rsidP="007D5619">
            <w:pPr>
              <w:pStyle w:val="Tabletextleft"/>
            </w:pPr>
            <w:r w:rsidRPr="00EB74A8">
              <w:t>9</w:t>
            </w:r>
          </w:p>
        </w:tc>
        <w:tc>
          <w:tcPr>
            <w:tcW w:w="709" w:type="dxa"/>
            <w:tcBorders>
              <w:top w:val="single" w:sz="6" w:space="0" w:color="00DCA1" w:themeColor="background2"/>
              <w:bottom w:val="single" w:sz="6" w:space="0" w:color="00DCA1" w:themeColor="background2"/>
            </w:tcBorders>
            <w:vAlign w:val="top"/>
          </w:tcPr>
          <w:p w14:paraId="122920A5" w14:textId="7AFBF967" w:rsidR="005A04AF" w:rsidRPr="00EB74A8" w:rsidRDefault="005A04AF" w:rsidP="007D5619">
            <w:pPr>
              <w:pStyle w:val="Tabletextleft"/>
            </w:pPr>
            <w:r w:rsidRPr="00EB74A8">
              <w:t>13</w:t>
            </w:r>
          </w:p>
        </w:tc>
        <w:tc>
          <w:tcPr>
            <w:tcW w:w="850" w:type="dxa"/>
            <w:tcBorders>
              <w:top w:val="single" w:sz="6" w:space="0" w:color="00DCA1" w:themeColor="background2"/>
              <w:bottom w:val="single" w:sz="6" w:space="0" w:color="00DCA1" w:themeColor="background2"/>
            </w:tcBorders>
            <w:vAlign w:val="top"/>
          </w:tcPr>
          <w:p w14:paraId="4ED61F40" w14:textId="2F9BF0AF" w:rsidR="005A04AF" w:rsidRPr="00EB74A8" w:rsidRDefault="005A04AF" w:rsidP="007D5619">
            <w:pPr>
              <w:pStyle w:val="Tabletextleft"/>
            </w:pPr>
            <w:r w:rsidRPr="00EB74A8">
              <w:t>3</w:t>
            </w:r>
          </w:p>
        </w:tc>
        <w:tc>
          <w:tcPr>
            <w:tcW w:w="992" w:type="dxa"/>
            <w:tcBorders>
              <w:top w:val="single" w:sz="6" w:space="0" w:color="00DCA1" w:themeColor="background2"/>
              <w:bottom w:val="single" w:sz="6" w:space="0" w:color="00DCA1" w:themeColor="background2"/>
            </w:tcBorders>
            <w:vAlign w:val="top"/>
          </w:tcPr>
          <w:p w14:paraId="0779B4C4" w14:textId="0C6D449E" w:rsidR="005A04AF" w:rsidRPr="00EB74A8" w:rsidRDefault="005A04AF" w:rsidP="007D5619">
            <w:pPr>
              <w:pStyle w:val="Tabletextleft"/>
            </w:pPr>
            <w:r w:rsidRPr="00EB74A8">
              <w:t>1</w:t>
            </w:r>
          </w:p>
        </w:tc>
        <w:tc>
          <w:tcPr>
            <w:tcW w:w="993" w:type="dxa"/>
            <w:tcBorders>
              <w:top w:val="single" w:sz="6" w:space="0" w:color="00DCA1" w:themeColor="background2"/>
              <w:bottom w:val="single" w:sz="6" w:space="0" w:color="00DCA1" w:themeColor="background2"/>
            </w:tcBorders>
            <w:vAlign w:val="top"/>
          </w:tcPr>
          <w:p w14:paraId="631886DD" w14:textId="56EE091C" w:rsidR="005A04AF" w:rsidRPr="00EB74A8" w:rsidRDefault="005A04AF" w:rsidP="007D5619">
            <w:pPr>
              <w:pStyle w:val="Tabletextleft"/>
            </w:pPr>
            <w:r w:rsidRPr="00EB74A8">
              <w:t>3</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3EFAA6F3" w14:textId="04E05B5B" w:rsidR="005A04AF" w:rsidRPr="00EB74A8" w:rsidRDefault="005A04AF" w:rsidP="007D5619">
            <w:pPr>
              <w:pStyle w:val="Tabletextleft"/>
            </w:pPr>
            <w:r w:rsidRPr="00EB74A8">
              <w:t>1</w:t>
            </w:r>
          </w:p>
        </w:tc>
      </w:tr>
      <w:tr w:rsidR="002639D7" w:rsidRPr="00EB74A8" w14:paraId="7CA03544" w14:textId="77777777" w:rsidTr="00C5757E">
        <w:trPr>
          <w:trHeight w:val="20"/>
        </w:trPr>
        <w:tc>
          <w:tcPr>
            <w:tcW w:w="9490" w:type="dxa"/>
            <w:gridSpan w:val="9"/>
            <w:tcBorders>
              <w:top w:val="single" w:sz="6" w:space="0" w:color="00DCA1" w:themeColor="background2"/>
              <w:left w:val="single" w:sz="6" w:space="0" w:color="00DCA1" w:themeColor="background2"/>
              <w:bottom w:val="single" w:sz="6" w:space="0" w:color="00DCA1" w:themeColor="background2"/>
              <w:right w:val="single" w:sz="6" w:space="0" w:color="00DCA1" w:themeColor="background2"/>
            </w:tcBorders>
          </w:tcPr>
          <w:p w14:paraId="26393B2F" w14:textId="1D0C8D58" w:rsidR="002639D7" w:rsidRPr="00EB74A8" w:rsidRDefault="002639D7" w:rsidP="00582961">
            <w:pPr>
              <w:pStyle w:val="Tableheadingcentred"/>
            </w:pPr>
            <w:r w:rsidRPr="00EB74A8">
              <w:t>Non-Indigenous women</w:t>
            </w:r>
          </w:p>
        </w:tc>
      </w:tr>
      <w:tr w:rsidR="0055286C" w:rsidRPr="00EB74A8" w14:paraId="3A50861A"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29285E93" w14:textId="77777777" w:rsidR="00DA075C" w:rsidRPr="00EB74A8" w:rsidRDefault="00DA075C" w:rsidP="00DA075C">
            <w:pPr>
              <w:pStyle w:val="Tabletextleftaligned"/>
            </w:pPr>
            <w:r w:rsidRPr="00EB74A8">
              <w:t>First trimester</w:t>
            </w:r>
          </w:p>
        </w:tc>
        <w:tc>
          <w:tcPr>
            <w:tcW w:w="850" w:type="dxa"/>
            <w:tcBorders>
              <w:top w:val="single" w:sz="6" w:space="0" w:color="00DCA1" w:themeColor="background2"/>
              <w:bottom w:val="single" w:sz="6" w:space="0" w:color="00DCA1" w:themeColor="background2"/>
            </w:tcBorders>
            <w:vAlign w:val="top"/>
          </w:tcPr>
          <w:p w14:paraId="0CC10466" w14:textId="2CED5E59" w:rsidR="00DA075C" w:rsidRPr="00EB74A8" w:rsidRDefault="00DA075C"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63D26C1C" w14:textId="29493D26" w:rsidR="00DA075C" w:rsidRPr="00EB74A8" w:rsidRDefault="00DA075C"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1A8A4AB6" w14:textId="79BB92D9" w:rsidR="00DA075C" w:rsidRPr="00EB74A8" w:rsidRDefault="00DA075C"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4660E81B" w14:textId="2BFD89F1" w:rsidR="00DA075C" w:rsidRPr="00EB74A8" w:rsidRDefault="00DA075C" w:rsidP="007D5619">
            <w:pPr>
              <w:pStyle w:val="Tabletextleft"/>
            </w:pPr>
            <w:r w:rsidRPr="00EB74A8">
              <w:t>0</w:t>
            </w:r>
          </w:p>
        </w:tc>
        <w:tc>
          <w:tcPr>
            <w:tcW w:w="850" w:type="dxa"/>
            <w:tcBorders>
              <w:top w:val="single" w:sz="6" w:space="0" w:color="00DCA1" w:themeColor="background2"/>
              <w:bottom w:val="single" w:sz="6" w:space="0" w:color="00DCA1" w:themeColor="background2"/>
            </w:tcBorders>
            <w:vAlign w:val="top"/>
          </w:tcPr>
          <w:p w14:paraId="0EB5324C" w14:textId="38A1A6D0" w:rsidR="00DA075C" w:rsidRPr="00EB74A8" w:rsidRDefault="00DA075C" w:rsidP="007D5619">
            <w:pPr>
              <w:pStyle w:val="Tabletextleft"/>
            </w:pPr>
            <w:r w:rsidRPr="00EB74A8">
              <w:t>0</w:t>
            </w:r>
          </w:p>
        </w:tc>
        <w:tc>
          <w:tcPr>
            <w:tcW w:w="992" w:type="dxa"/>
            <w:tcBorders>
              <w:top w:val="single" w:sz="6" w:space="0" w:color="00DCA1" w:themeColor="background2"/>
              <w:bottom w:val="single" w:sz="6" w:space="0" w:color="00DCA1" w:themeColor="background2"/>
            </w:tcBorders>
            <w:vAlign w:val="top"/>
          </w:tcPr>
          <w:p w14:paraId="585742F5" w14:textId="2C893F3F" w:rsidR="00DA075C" w:rsidRPr="00EB74A8" w:rsidRDefault="00DA075C"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26B0976F" w14:textId="284C2AE1" w:rsidR="00DA075C" w:rsidRPr="00EB74A8" w:rsidRDefault="00DA075C" w:rsidP="007D5619">
            <w:pPr>
              <w:pStyle w:val="Tabletextleft"/>
            </w:pPr>
            <w:r w:rsidRPr="00EB74A8">
              <w:t>0</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5FAE3C6A" w14:textId="0D15CF29" w:rsidR="00DA075C" w:rsidRPr="00EB74A8" w:rsidRDefault="00DA075C" w:rsidP="007D5619">
            <w:pPr>
              <w:pStyle w:val="Tabletextleft"/>
            </w:pPr>
            <w:r w:rsidRPr="00EB74A8">
              <w:t>0</w:t>
            </w:r>
          </w:p>
        </w:tc>
      </w:tr>
      <w:tr w:rsidR="0055286C" w:rsidRPr="00EB74A8" w14:paraId="34EB4428"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3E3553E2" w14:textId="77777777" w:rsidR="00DA075C" w:rsidRPr="00EB74A8" w:rsidRDefault="00DA075C" w:rsidP="00DA075C">
            <w:pPr>
              <w:pStyle w:val="Tabletextleftaligned"/>
            </w:pPr>
            <w:r w:rsidRPr="00EB74A8">
              <w:t>Second trimester</w:t>
            </w:r>
          </w:p>
        </w:tc>
        <w:tc>
          <w:tcPr>
            <w:tcW w:w="850" w:type="dxa"/>
            <w:tcBorders>
              <w:top w:val="single" w:sz="6" w:space="0" w:color="00DCA1" w:themeColor="background2"/>
              <w:left w:val="nil"/>
              <w:bottom w:val="single" w:sz="6" w:space="0" w:color="00DCA1" w:themeColor="background2"/>
              <w:right w:val="nil"/>
            </w:tcBorders>
            <w:vAlign w:val="top"/>
          </w:tcPr>
          <w:p w14:paraId="1EDFE709" w14:textId="3FC59B54" w:rsidR="00DA075C" w:rsidRPr="00EB74A8" w:rsidRDefault="005E3530"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0EAF0742" w14:textId="1AE4CDD2" w:rsidR="00DA075C" w:rsidRPr="00EB74A8" w:rsidRDefault="005E3530"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6BB63149" w14:textId="1EA8C579" w:rsidR="00DA075C" w:rsidRPr="00EB74A8" w:rsidRDefault="00DA075C" w:rsidP="007D5619">
            <w:pPr>
              <w:pStyle w:val="Tabletextleft"/>
            </w:pPr>
            <w:r w:rsidRPr="00EB74A8">
              <w:t>1</w:t>
            </w:r>
          </w:p>
        </w:tc>
        <w:tc>
          <w:tcPr>
            <w:tcW w:w="709" w:type="dxa"/>
            <w:tcBorders>
              <w:top w:val="single" w:sz="6" w:space="0" w:color="00DCA1" w:themeColor="background2"/>
              <w:left w:val="nil"/>
              <w:bottom w:val="single" w:sz="6" w:space="0" w:color="00DCA1" w:themeColor="background2"/>
              <w:right w:val="nil"/>
            </w:tcBorders>
            <w:vAlign w:val="top"/>
          </w:tcPr>
          <w:p w14:paraId="478DB435" w14:textId="4BAC7C76" w:rsidR="00DA075C" w:rsidRPr="00EB74A8" w:rsidRDefault="00DA075C" w:rsidP="007D5619">
            <w:pPr>
              <w:pStyle w:val="Tabletextleft"/>
            </w:pPr>
            <w:r w:rsidRPr="00EB74A8">
              <w:t>3</w:t>
            </w:r>
          </w:p>
        </w:tc>
        <w:tc>
          <w:tcPr>
            <w:tcW w:w="850" w:type="dxa"/>
            <w:tcBorders>
              <w:top w:val="single" w:sz="6" w:space="0" w:color="00DCA1" w:themeColor="background2"/>
              <w:left w:val="nil"/>
              <w:bottom w:val="single" w:sz="6" w:space="0" w:color="00DCA1" w:themeColor="background2"/>
              <w:right w:val="nil"/>
            </w:tcBorders>
            <w:vAlign w:val="top"/>
          </w:tcPr>
          <w:p w14:paraId="2247244E" w14:textId="56B89EC5" w:rsidR="00DA075C" w:rsidRPr="00EB74A8" w:rsidRDefault="005E3530" w:rsidP="007D5619">
            <w:pPr>
              <w:pStyle w:val="Tabletextleft"/>
            </w:pPr>
            <w:r w:rsidRPr="00EB74A8">
              <w:t>0</w:t>
            </w:r>
          </w:p>
        </w:tc>
        <w:tc>
          <w:tcPr>
            <w:tcW w:w="992" w:type="dxa"/>
            <w:tcBorders>
              <w:top w:val="single" w:sz="6" w:space="0" w:color="00DCA1" w:themeColor="background2"/>
              <w:left w:val="nil"/>
              <w:bottom w:val="single" w:sz="6" w:space="0" w:color="00DCA1" w:themeColor="background2"/>
              <w:right w:val="nil"/>
            </w:tcBorders>
            <w:vAlign w:val="top"/>
          </w:tcPr>
          <w:p w14:paraId="1E489004" w14:textId="03AFCF3A" w:rsidR="00DA075C" w:rsidRPr="00EB74A8" w:rsidRDefault="005E3530" w:rsidP="007D5619">
            <w:pPr>
              <w:pStyle w:val="Tabletextleft"/>
            </w:pPr>
            <w:r w:rsidRPr="00EB74A8">
              <w:t>0</w:t>
            </w:r>
          </w:p>
        </w:tc>
        <w:tc>
          <w:tcPr>
            <w:tcW w:w="993" w:type="dxa"/>
            <w:tcBorders>
              <w:top w:val="single" w:sz="6" w:space="0" w:color="00DCA1" w:themeColor="background2"/>
              <w:left w:val="nil"/>
              <w:bottom w:val="single" w:sz="6" w:space="0" w:color="00DCA1" w:themeColor="background2"/>
              <w:right w:val="nil"/>
            </w:tcBorders>
            <w:vAlign w:val="top"/>
          </w:tcPr>
          <w:p w14:paraId="60C9AE76" w14:textId="332F9BFA" w:rsidR="00DA075C" w:rsidRPr="00EB74A8" w:rsidRDefault="00DA075C" w:rsidP="007D5619">
            <w:pPr>
              <w:pStyle w:val="Tabletextleft"/>
            </w:pPr>
            <w:r w:rsidRPr="00EB74A8">
              <w:t>1</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3436C9DF" w14:textId="0AAD8784" w:rsidR="00DA075C" w:rsidRPr="00EB74A8" w:rsidRDefault="005E3530" w:rsidP="007D5619">
            <w:pPr>
              <w:pStyle w:val="Tabletextleft"/>
            </w:pPr>
            <w:r w:rsidRPr="00EB74A8">
              <w:t>0</w:t>
            </w:r>
          </w:p>
        </w:tc>
      </w:tr>
      <w:tr w:rsidR="0055286C" w:rsidRPr="00EB74A8" w14:paraId="747016C8"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40A28BB2" w14:textId="77777777" w:rsidR="00DA075C" w:rsidRPr="00EB74A8" w:rsidRDefault="00DA075C" w:rsidP="00DA075C">
            <w:pPr>
              <w:pStyle w:val="Tabletextleftaligned"/>
            </w:pPr>
            <w:r w:rsidRPr="00EB74A8">
              <w:t>Third trimester</w:t>
            </w:r>
          </w:p>
        </w:tc>
        <w:tc>
          <w:tcPr>
            <w:tcW w:w="850" w:type="dxa"/>
            <w:tcBorders>
              <w:top w:val="single" w:sz="6" w:space="0" w:color="00DCA1" w:themeColor="background2"/>
              <w:bottom w:val="single" w:sz="6" w:space="0" w:color="00DCA1" w:themeColor="background2"/>
            </w:tcBorders>
            <w:vAlign w:val="top"/>
          </w:tcPr>
          <w:p w14:paraId="36D60B59" w14:textId="447F88E2" w:rsidR="00DA075C" w:rsidRPr="00EB74A8" w:rsidRDefault="00DA075C" w:rsidP="007D5619">
            <w:pPr>
              <w:pStyle w:val="Tabletextleft"/>
            </w:pPr>
            <w:r w:rsidRPr="00EB74A8">
              <w:t>2</w:t>
            </w:r>
          </w:p>
        </w:tc>
        <w:tc>
          <w:tcPr>
            <w:tcW w:w="709" w:type="dxa"/>
            <w:tcBorders>
              <w:top w:val="single" w:sz="6" w:space="0" w:color="00DCA1" w:themeColor="background2"/>
              <w:bottom w:val="single" w:sz="6" w:space="0" w:color="00DCA1" w:themeColor="background2"/>
            </w:tcBorders>
            <w:vAlign w:val="top"/>
          </w:tcPr>
          <w:p w14:paraId="4C7E2D73" w14:textId="6BB30F61" w:rsidR="00DA075C" w:rsidRPr="00EB74A8" w:rsidRDefault="00DA075C" w:rsidP="007D5619">
            <w:pPr>
              <w:pStyle w:val="Tabletextleft"/>
            </w:pPr>
            <w:r w:rsidRPr="00EB74A8">
              <w:t>1</w:t>
            </w:r>
          </w:p>
        </w:tc>
        <w:tc>
          <w:tcPr>
            <w:tcW w:w="709" w:type="dxa"/>
            <w:tcBorders>
              <w:top w:val="single" w:sz="6" w:space="0" w:color="00DCA1" w:themeColor="background2"/>
              <w:bottom w:val="single" w:sz="6" w:space="0" w:color="00DCA1" w:themeColor="background2"/>
            </w:tcBorders>
            <w:vAlign w:val="top"/>
          </w:tcPr>
          <w:p w14:paraId="1FA25FA2" w14:textId="4F61EECE" w:rsidR="00DA075C" w:rsidRPr="00EB74A8" w:rsidRDefault="00DA075C" w:rsidP="007D5619">
            <w:pPr>
              <w:pStyle w:val="Tabletextleft"/>
            </w:pPr>
            <w:r w:rsidRPr="00EB74A8">
              <w:t>1</w:t>
            </w:r>
          </w:p>
        </w:tc>
        <w:tc>
          <w:tcPr>
            <w:tcW w:w="709" w:type="dxa"/>
            <w:tcBorders>
              <w:top w:val="single" w:sz="6" w:space="0" w:color="00DCA1" w:themeColor="background2"/>
              <w:bottom w:val="single" w:sz="6" w:space="0" w:color="00DCA1" w:themeColor="background2"/>
            </w:tcBorders>
            <w:vAlign w:val="top"/>
          </w:tcPr>
          <w:p w14:paraId="333B8EF0" w14:textId="3E348335" w:rsidR="00DA075C" w:rsidRPr="00EB74A8" w:rsidRDefault="005E3530" w:rsidP="007D5619">
            <w:pPr>
              <w:pStyle w:val="Tabletextleft"/>
            </w:pPr>
            <w:r w:rsidRPr="00EB74A8">
              <w:t>0</w:t>
            </w:r>
          </w:p>
        </w:tc>
        <w:tc>
          <w:tcPr>
            <w:tcW w:w="850" w:type="dxa"/>
            <w:tcBorders>
              <w:top w:val="single" w:sz="6" w:space="0" w:color="00DCA1" w:themeColor="background2"/>
              <w:bottom w:val="single" w:sz="6" w:space="0" w:color="00DCA1" w:themeColor="background2"/>
            </w:tcBorders>
            <w:vAlign w:val="top"/>
          </w:tcPr>
          <w:p w14:paraId="0EE752CD" w14:textId="7B132455" w:rsidR="00DA075C" w:rsidRPr="00EB74A8" w:rsidRDefault="00DA075C" w:rsidP="007D5619">
            <w:pPr>
              <w:pStyle w:val="Tabletextleft"/>
            </w:pPr>
            <w:r w:rsidRPr="00EB74A8">
              <w:t>1</w:t>
            </w:r>
          </w:p>
        </w:tc>
        <w:tc>
          <w:tcPr>
            <w:tcW w:w="992" w:type="dxa"/>
            <w:tcBorders>
              <w:top w:val="single" w:sz="6" w:space="0" w:color="00DCA1" w:themeColor="background2"/>
              <w:bottom w:val="single" w:sz="6" w:space="0" w:color="00DCA1" w:themeColor="background2"/>
            </w:tcBorders>
            <w:vAlign w:val="top"/>
          </w:tcPr>
          <w:p w14:paraId="5B602C22" w14:textId="7F9A6131" w:rsidR="00DA075C" w:rsidRPr="00EB74A8" w:rsidRDefault="005E3530"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1389EDE5" w14:textId="608F85F1" w:rsidR="00DA075C" w:rsidRPr="00EB74A8" w:rsidRDefault="005E3530" w:rsidP="007D5619">
            <w:pPr>
              <w:pStyle w:val="Tabletextleft"/>
            </w:pPr>
            <w:r w:rsidRPr="00EB74A8">
              <w:t>0</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2D781FFE" w14:textId="7D12532D" w:rsidR="00DA075C" w:rsidRPr="00EB74A8" w:rsidRDefault="005E3530" w:rsidP="007D5619">
            <w:pPr>
              <w:pStyle w:val="Tabletextleft"/>
            </w:pPr>
            <w:r w:rsidRPr="00EB74A8">
              <w:t>0</w:t>
            </w:r>
          </w:p>
        </w:tc>
      </w:tr>
      <w:tr w:rsidR="0055286C" w:rsidRPr="00EB74A8" w14:paraId="3A7A7A1E"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0B26E9C0" w14:textId="77777777" w:rsidR="00DA075C" w:rsidRPr="00EB74A8" w:rsidRDefault="00DA075C" w:rsidP="00DA075C">
            <w:pPr>
              <w:pStyle w:val="Tabletextleftaligned"/>
            </w:pPr>
            <w:r w:rsidRPr="00EB74A8">
              <w:t>At birth</w:t>
            </w:r>
          </w:p>
        </w:tc>
        <w:tc>
          <w:tcPr>
            <w:tcW w:w="850" w:type="dxa"/>
            <w:tcBorders>
              <w:top w:val="single" w:sz="6" w:space="0" w:color="00DCA1" w:themeColor="background2"/>
              <w:left w:val="nil"/>
              <w:bottom w:val="single" w:sz="6" w:space="0" w:color="00DCA1" w:themeColor="background2"/>
              <w:right w:val="nil"/>
            </w:tcBorders>
            <w:vAlign w:val="top"/>
          </w:tcPr>
          <w:p w14:paraId="6EE21E39" w14:textId="2865C65E" w:rsidR="00DA075C" w:rsidRPr="00EB74A8" w:rsidRDefault="00DA075C" w:rsidP="007D5619">
            <w:pPr>
              <w:pStyle w:val="Tabletextleft"/>
            </w:pPr>
            <w:r w:rsidRPr="00EB74A8">
              <w:t>2</w:t>
            </w:r>
          </w:p>
        </w:tc>
        <w:tc>
          <w:tcPr>
            <w:tcW w:w="709" w:type="dxa"/>
            <w:tcBorders>
              <w:top w:val="single" w:sz="6" w:space="0" w:color="00DCA1" w:themeColor="background2"/>
              <w:left w:val="nil"/>
              <w:bottom w:val="single" w:sz="6" w:space="0" w:color="00DCA1" w:themeColor="background2"/>
              <w:right w:val="nil"/>
            </w:tcBorders>
            <w:vAlign w:val="top"/>
          </w:tcPr>
          <w:p w14:paraId="73AE68BD" w14:textId="6377D6CB" w:rsidR="00DA075C" w:rsidRPr="00EB74A8" w:rsidRDefault="00DA075C" w:rsidP="007D5619">
            <w:pPr>
              <w:pStyle w:val="Tabletextleft"/>
            </w:pPr>
            <w:r w:rsidRPr="00EB74A8">
              <w:t>1</w:t>
            </w:r>
          </w:p>
        </w:tc>
        <w:tc>
          <w:tcPr>
            <w:tcW w:w="709" w:type="dxa"/>
            <w:tcBorders>
              <w:top w:val="single" w:sz="6" w:space="0" w:color="00DCA1" w:themeColor="background2"/>
              <w:left w:val="nil"/>
              <w:bottom w:val="single" w:sz="6" w:space="0" w:color="00DCA1" w:themeColor="background2"/>
              <w:right w:val="nil"/>
            </w:tcBorders>
            <w:vAlign w:val="top"/>
          </w:tcPr>
          <w:p w14:paraId="04F51A91" w14:textId="07781100" w:rsidR="00DA075C" w:rsidRPr="00EB74A8" w:rsidRDefault="00DA075C" w:rsidP="007D5619">
            <w:pPr>
              <w:pStyle w:val="Tabletextleft"/>
            </w:pPr>
            <w:r w:rsidRPr="00EB74A8">
              <w:t>1</w:t>
            </w:r>
          </w:p>
        </w:tc>
        <w:tc>
          <w:tcPr>
            <w:tcW w:w="709" w:type="dxa"/>
            <w:tcBorders>
              <w:top w:val="single" w:sz="6" w:space="0" w:color="00DCA1" w:themeColor="background2"/>
              <w:left w:val="nil"/>
              <w:bottom w:val="single" w:sz="6" w:space="0" w:color="00DCA1" w:themeColor="background2"/>
              <w:right w:val="nil"/>
            </w:tcBorders>
            <w:vAlign w:val="top"/>
          </w:tcPr>
          <w:p w14:paraId="4A08E28D" w14:textId="2430EC04" w:rsidR="00DA075C" w:rsidRPr="00EB74A8" w:rsidRDefault="00DA075C" w:rsidP="007D5619">
            <w:pPr>
              <w:pStyle w:val="Tabletextleft"/>
            </w:pPr>
            <w:r w:rsidRPr="00EB74A8">
              <w:t>1</w:t>
            </w:r>
          </w:p>
        </w:tc>
        <w:tc>
          <w:tcPr>
            <w:tcW w:w="850" w:type="dxa"/>
            <w:tcBorders>
              <w:top w:val="single" w:sz="6" w:space="0" w:color="00DCA1" w:themeColor="background2"/>
              <w:left w:val="nil"/>
              <w:bottom w:val="single" w:sz="6" w:space="0" w:color="00DCA1" w:themeColor="background2"/>
              <w:right w:val="nil"/>
            </w:tcBorders>
            <w:vAlign w:val="top"/>
          </w:tcPr>
          <w:p w14:paraId="51E805B3" w14:textId="03DB2614" w:rsidR="00DA075C" w:rsidRPr="00EB74A8" w:rsidRDefault="00DA075C" w:rsidP="007D5619">
            <w:pPr>
              <w:pStyle w:val="Tabletextleft"/>
            </w:pPr>
            <w:r w:rsidRPr="00EB74A8">
              <w:t>1</w:t>
            </w:r>
          </w:p>
        </w:tc>
        <w:tc>
          <w:tcPr>
            <w:tcW w:w="992" w:type="dxa"/>
            <w:tcBorders>
              <w:top w:val="single" w:sz="6" w:space="0" w:color="00DCA1" w:themeColor="background2"/>
              <w:left w:val="nil"/>
              <w:bottom w:val="single" w:sz="6" w:space="0" w:color="00DCA1" w:themeColor="background2"/>
              <w:right w:val="nil"/>
            </w:tcBorders>
            <w:vAlign w:val="top"/>
          </w:tcPr>
          <w:p w14:paraId="4D2F92FF" w14:textId="095091D4" w:rsidR="00DA075C" w:rsidRPr="00EB74A8" w:rsidRDefault="00DA075C" w:rsidP="007D5619">
            <w:pPr>
              <w:pStyle w:val="Tabletextleft"/>
            </w:pPr>
            <w:r w:rsidRPr="00EB74A8">
              <w:t>2</w:t>
            </w:r>
          </w:p>
        </w:tc>
        <w:tc>
          <w:tcPr>
            <w:tcW w:w="993" w:type="dxa"/>
            <w:tcBorders>
              <w:top w:val="single" w:sz="6" w:space="0" w:color="00DCA1" w:themeColor="background2"/>
              <w:left w:val="nil"/>
              <w:bottom w:val="single" w:sz="6" w:space="0" w:color="00DCA1" w:themeColor="background2"/>
              <w:right w:val="nil"/>
            </w:tcBorders>
            <w:vAlign w:val="top"/>
          </w:tcPr>
          <w:p w14:paraId="35271ADA" w14:textId="72F72D35" w:rsidR="00DA075C" w:rsidRPr="00EB74A8" w:rsidRDefault="00DA075C" w:rsidP="007D5619">
            <w:pPr>
              <w:pStyle w:val="Tabletextleft"/>
            </w:pPr>
            <w:r w:rsidRPr="00EB74A8">
              <w:t>1</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383DEB59" w14:textId="430DE361" w:rsidR="00DA075C" w:rsidRPr="00EB74A8" w:rsidRDefault="005E3530" w:rsidP="007D5619">
            <w:pPr>
              <w:pStyle w:val="Tabletextleft"/>
            </w:pPr>
            <w:r w:rsidRPr="00EB74A8">
              <w:t>0</w:t>
            </w:r>
          </w:p>
        </w:tc>
      </w:tr>
      <w:tr w:rsidR="0055286C" w:rsidRPr="00EB74A8" w14:paraId="185251AD"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07ABA100" w14:textId="77777777" w:rsidR="00DA075C" w:rsidRPr="00EB74A8" w:rsidRDefault="00DA075C" w:rsidP="00DA075C">
            <w:pPr>
              <w:pStyle w:val="Tabletextleftaligned"/>
            </w:pPr>
            <w:r w:rsidRPr="00EB74A8">
              <w:t>Post birth</w:t>
            </w:r>
          </w:p>
        </w:tc>
        <w:tc>
          <w:tcPr>
            <w:tcW w:w="850" w:type="dxa"/>
            <w:tcBorders>
              <w:top w:val="single" w:sz="6" w:space="0" w:color="00DCA1" w:themeColor="background2"/>
              <w:bottom w:val="single" w:sz="6" w:space="0" w:color="00DCA1" w:themeColor="background2"/>
            </w:tcBorders>
            <w:vAlign w:val="top"/>
          </w:tcPr>
          <w:p w14:paraId="5E4C3725" w14:textId="0F8E3721" w:rsidR="00DA075C" w:rsidRPr="00EB74A8" w:rsidRDefault="00DA075C" w:rsidP="007D5619">
            <w:pPr>
              <w:pStyle w:val="Tabletextleft"/>
            </w:pPr>
            <w:r w:rsidRPr="00EB74A8">
              <w:t>5</w:t>
            </w:r>
          </w:p>
        </w:tc>
        <w:tc>
          <w:tcPr>
            <w:tcW w:w="709" w:type="dxa"/>
            <w:tcBorders>
              <w:top w:val="single" w:sz="6" w:space="0" w:color="00DCA1" w:themeColor="background2"/>
              <w:bottom w:val="single" w:sz="6" w:space="0" w:color="00DCA1" w:themeColor="background2"/>
            </w:tcBorders>
            <w:vAlign w:val="top"/>
          </w:tcPr>
          <w:p w14:paraId="2CEC5E7C" w14:textId="5DE59D9E" w:rsidR="00DA075C" w:rsidRPr="00EB74A8" w:rsidRDefault="00DA075C" w:rsidP="007D5619">
            <w:pPr>
              <w:pStyle w:val="Tabletextleft"/>
            </w:pPr>
            <w:r w:rsidRPr="00EB74A8">
              <w:t>4</w:t>
            </w:r>
          </w:p>
        </w:tc>
        <w:tc>
          <w:tcPr>
            <w:tcW w:w="709" w:type="dxa"/>
            <w:tcBorders>
              <w:top w:val="single" w:sz="6" w:space="0" w:color="00DCA1" w:themeColor="background2"/>
              <w:bottom w:val="single" w:sz="6" w:space="0" w:color="00DCA1" w:themeColor="background2"/>
            </w:tcBorders>
            <w:vAlign w:val="top"/>
          </w:tcPr>
          <w:p w14:paraId="02F17EF0" w14:textId="4CDC8BD1" w:rsidR="00DA075C" w:rsidRPr="00EB74A8" w:rsidRDefault="00DA075C" w:rsidP="007D5619">
            <w:pPr>
              <w:pStyle w:val="Tabletextleft"/>
            </w:pPr>
            <w:r w:rsidRPr="00EB74A8">
              <w:t>2</w:t>
            </w:r>
          </w:p>
        </w:tc>
        <w:tc>
          <w:tcPr>
            <w:tcW w:w="709" w:type="dxa"/>
            <w:tcBorders>
              <w:top w:val="single" w:sz="6" w:space="0" w:color="00DCA1" w:themeColor="background2"/>
              <w:bottom w:val="single" w:sz="6" w:space="0" w:color="00DCA1" w:themeColor="background2"/>
            </w:tcBorders>
            <w:vAlign w:val="top"/>
          </w:tcPr>
          <w:p w14:paraId="059F6008" w14:textId="43ECAD76" w:rsidR="00DA075C" w:rsidRPr="00EB74A8" w:rsidRDefault="00DA075C" w:rsidP="007D5619">
            <w:pPr>
              <w:pStyle w:val="Tabletextleft"/>
            </w:pPr>
            <w:r w:rsidRPr="00EB74A8">
              <w:t>3</w:t>
            </w:r>
          </w:p>
        </w:tc>
        <w:tc>
          <w:tcPr>
            <w:tcW w:w="850" w:type="dxa"/>
            <w:tcBorders>
              <w:top w:val="single" w:sz="6" w:space="0" w:color="00DCA1" w:themeColor="background2"/>
              <w:bottom w:val="single" w:sz="6" w:space="0" w:color="00DCA1" w:themeColor="background2"/>
            </w:tcBorders>
            <w:vAlign w:val="top"/>
          </w:tcPr>
          <w:p w14:paraId="4E33D824" w14:textId="69C76E38" w:rsidR="00DA075C" w:rsidRPr="00EB74A8" w:rsidRDefault="00DA075C" w:rsidP="007D5619">
            <w:pPr>
              <w:pStyle w:val="Tabletextleft"/>
            </w:pPr>
            <w:r w:rsidRPr="00EB74A8">
              <w:t>4</w:t>
            </w:r>
          </w:p>
        </w:tc>
        <w:tc>
          <w:tcPr>
            <w:tcW w:w="992" w:type="dxa"/>
            <w:tcBorders>
              <w:top w:val="single" w:sz="6" w:space="0" w:color="00DCA1" w:themeColor="background2"/>
              <w:bottom w:val="single" w:sz="6" w:space="0" w:color="00DCA1" w:themeColor="background2"/>
            </w:tcBorders>
            <w:vAlign w:val="top"/>
          </w:tcPr>
          <w:p w14:paraId="35F7C79E" w14:textId="06D8C7CC" w:rsidR="00DA075C" w:rsidRPr="00EB74A8" w:rsidRDefault="005E3530"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7DB1CE30" w14:textId="22DC38D5" w:rsidR="00DA075C" w:rsidRPr="00EB74A8" w:rsidRDefault="00DA075C" w:rsidP="007D5619">
            <w:pPr>
              <w:pStyle w:val="Tabletextleft"/>
            </w:pPr>
            <w:r w:rsidRPr="00EB74A8">
              <w:t>1</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294006D1" w14:textId="757CF8BA" w:rsidR="00DA075C" w:rsidRPr="00EB74A8" w:rsidRDefault="00DA075C" w:rsidP="007D5619">
            <w:pPr>
              <w:pStyle w:val="Tabletextleft"/>
            </w:pPr>
            <w:r w:rsidRPr="00EB74A8">
              <w:t>1</w:t>
            </w:r>
          </w:p>
        </w:tc>
      </w:tr>
      <w:tr w:rsidR="0055286C" w:rsidRPr="00EB74A8" w14:paraId="32F7D7D8"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291413D8" w14:textId="37816B4B" w:rsidR="00DA075C" w:rsidRPr="00EB74A8" w:rsidRDefault="00DA075C" w:rsidP="00DA075C">
            <w:pPr>
              <w:pStyle w:val="Tabletextleftaligned"/>
            </w:pPr>
            <w:r w:rsidRPr="00EB74A8">
              <w:t>Unknown</w:t>
            </w:r>
          </w:p>
        </w:tc>
        <w:tc>
          <w:tcPr>
            <w:tcW w:w="850" w:type="dxa"/>
            <w:tcBorders>
              <w:top w:val="single" w:sz="6" w:space="0" w:color="00DCA1" w:themeColor="background2"/>
              <w:left w:val="nil"/>
              <w:bottom w:val="single" w:sz="6" w:space="0" w:color="00DCA1" w:themeColor="background2"/>
              <w:right w:val="nil"/>
            </w:tcBorders>
            <w:vAlign w:val="top"/>
          </w:tcPr>
          <w:p w14:paraId="024A0F94" w14:textId="4575A27E" w:rsidR="00DA075C" w:rsidRPr="00EB74A8" w:rsidRDefault="005E3530"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6E444687" w14:textId="4CE79D41" w:rsidR="00DA075C" w:rsidRPr="00EB74A8" w:rsidRDefault="005E3530"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4C5297DD" w14:textId="6C88AC83" w:rsidR="00DA075C" w:rsidRPr="00EB74A8" w:rsidRDefault="005E3530"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1798DC91" w14:textId="524F1EFD" w:rsidR="00DA075C" w:rsidRPr="00EB74A8" w:rsidRDefault="005E3530" w:rsidP="007D5619">
            <w:pPr>
              <w:pStyle w:val="Tabletextleft"/>
            </w:pPr>
            <w:r w:rsidRPr="00EB74A8">
              <w:t>0</w:t>
            </w:r>
          </w:p>
        </w:tc>
        <w:tc>
          <w:tcPr>
            <w:tcW w:w="850" w:type="dxa"/>
            <w:tcBorders>
              <w:top w:val="single" w:sz="6" w:space="0" w:color="00DCA1" w:themeColor="background2"/>
              <w:left w:val="nil"/>
              <w:bottom w:val="single" w:sz="6" w:space="0" w:color="00DCA1" w:themeColor="background2"/>
              <w:right w:val="nil"/>
            </w:tcBorders>
            <w:vAlign w:val="top"/>
          </w:tcPr>
          <w:p w14:paraId="5E527400" w14:textId="4064C46D" w:rsidR="00DA075C" w:rsidRPr="00EB74A8" w:rsidRDefault="005E3530" w:rsidP="007D5619">
            <w:pPr>
              <w:pStyle w:val="Tabletextleft"/>
            </w:pPr>
            <w:r w:rsidRPr="00EB74A8">
              <w:t>0</w:t>
            </w:r>
          </w:p>
        </w:tc>
        <w:tc>
          <w:tcPr>
            <w:tcW w:w="992" w:type="dxa"/>
            <w:tcBorders>
              <w:top w:val="single" w:sz="6" w:space="0" w:color="00DCA1" w:themeColor="background2"/>
              <w:left w:val="nil"/>
              <w:bottom w:val="single" w:sz="6" w:space="0" w:color="00DCA1" w:themeColor="background2"/>
              <w:right w:val="nil"/>
            </w:tcBorders>
            <w:vAlign w:val="top"/>
          </w:tcPr>
          <w:p w14:paraId="1C390F3A" w14:textId="74D04E61" w:rsidR="00DA075C" w:rsidRPr="00EB74A8" w:rsidRDefault="005E3530" w:rsidP="007D5619">
            <w:pPr>
              <w:pStyle w:val="Tabletextleft"/>
            </w:pPr>
            <w:r w:rsidRPr="00EB74A8">
              <w:t>0</w:t>
            </w:r>
          </w:p>
        </w:tc>
        <w:tc>
          <w:tcPr>
            <w:tcW w:w="993" w:type="dxa"/>
            <w:tcBorders>
              <w:top w:val="single" w:sz="6" w:space="0" w:color="00DCA1" w:themeColor="background2"/>
              <w:left w:val="nil"/>
              <w:bottom w:val="single" w:sz="6" w:space="0" w:color="00DCA1" w:themeColor="background2"/>
              <w:right w:val="nil"/>
            </w:tcBorders>
            <w:vAlign w:val="top"/>
          </w:tcPr>
          <w:p w14:paraId="5409D4C6" w14:textId="765BD5B2" w:rsidR="00DA075C" w:rsidRPr="00EB74A8" w:rsidRDefault="005E3530" w:rsidP="007D5619">
            <w:pPr>
              <w:pStyle w:val="Tabletextleft"/>
            </w:pPr>
            <w:r w:rsidRPr="00EB74A8">
              <w:t>0</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18348C52" w14:textId="3C22149C" w:rsidR="00DA075C" w:rsidRPr="00EB74A8" w:rsidRDefault="005E3530" w:rsidP="007D5619">
            <w:pPr>
              <w:pStyle w:val="Tabletextleft"/>
            </w:pPr>
            <w:r w:rsidRPr="00EB74A8">
              <w:t>0</w:t>
            </w:r>
          </w:p>
        </w:tc>
      </w:tr>
      <w:tr w:rsidR="0055286C" w:rsidRPr="00EB74A8" w14:paraId="2960A260"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shd w:val="clear" w:color="auto" w:fill="D3FCFC" w:themeFill="text2" w:themeFillTint="1A"/>
          </w:tcPr>
          <w:p w14:paraId="692039D4" w14:textId="77777777" w:rsidR="00DA075C" w:rsidRPr="00EB74A8" w:rsidRDefault="00DA075C" w:rsidP="00DA075C">
            <w:pPr>
              <w:pStyle w:val="Tabletextleftaligned"/>
            </w:pPr>
            <w:r w:rsidRPr="00EB74A8">
              <w:t>Late diagnosis</w:t>
            </w:r>
          </w:p>
        </w:tc>
        <w:tc>
          <w:tcPr>
            <w:tcW w:w="850" w:type="dxa"/>
            <w:tcBorders>
              <w:top w:val="single" w:sz="6" w:space="0" w:color="00DCA1" w:themeColor="background2"/>
              <w:bottom w:val="single" w:sz="6" w:space="0" w:color="00DCA1" w:themeColor="background2"/>
            </w:tcBorders>
            <w:shd w:val="clear" w:color="auto" w:fill="D3FCFC" w:themeFill="text2" w:themeFillTint="1A"/>
            <w:vAlign w:val="top"/>
          </w:tcPr>
          <w:p w14:paraId="14577B58" w14:textId="565EDDFF" w:rsidR="00DA075C" w:rsidRPr="00EB74A8" w:rsidRDefault="00DA075C" w:rsidP="007D5619">
            <w:pPr>
              <w:pStyle w:val="Tabletextleft"/>
            </w:pPr>
            <w:r w:rsidRPr="00EB74A8">
              <w:t>8</w:t>
            </w:r>
          </w:p>
        </w:tc>
        <w:tc>
          <w:tcPr>
            <w:tcW w:w="709" w:type="dxa"/>
            <w:tcBorders>
              <w:top w:val="single" w:sz="6" w:space="0" w:color="00DCA1" w:themeColor="background2"/>
              <w:bottom w:val="single" w:sz="6" w:space="0" w:color="00DCA1" w:themeColor="background2"/>
            </w:tcBorders>
            <w:shd w:val="clear" w:color="auto" w:fill="D3FCFC" w:themeFill="text2" w:themeFillTint="1A"/>
            <w:vAlign w:val="top"/>
          </w:tcPr>
          <w:p w14:paraId="7B23A613" w14:textId="1077652B" w:rsidR="00DA075C" w:rsidRPr="00EB74A8" w:rsidRDefault="00DA075C" w:rsidP="007D5619">
            <w:pPr>
              <w:pStyle w:val="Tabletextleft"/>
            </w:pPr>
            <w:r w:rsidRPr="00EB74A8">
              <w:t>6</w:t>
            </w:r>
          </w:p>
        </w:tc>
        <w:tc>
          <w:tcPr>
            <w:tcW w:w="709" w:type="dxa"/>
            <w:tcBorders>
              <w:top w:val="single" w:sz="6" w:space="0" w:color="00DCA1" w:themeColor="background2"/>
              <w:bottom w:val="single" w:sz="6" w:space="0" w:color="00DCA1" w:themeColor="background2"/>
            </w:tcBorders>
            <w:shd w:val="clear" w:color="auto" w:fill="D3FCFC" w:themeFill="text2" w:themeFillTint="1A"/>
            <w:vAlign w:val="top"/>
          </w:tcPr>
          <w:p w14:paraId="21A70F34" w14:textId="4F70DAD1" w:rsidR="00DA075C" w:rsidRPr="00EB74A8" w:rsidRDefault="00DA075C" w:rsidP="007D5619">
            <w:pPr>
              <w:pStyle w:val="Tabletextleft"/>
            </w:pPr>
            <w:r w:rsidRPr="00EB74A8">
              <w:t>4</w:t>
            </w:r>
          </w:p>
        </w:tc>
        <w:tc>
          <w:tcPr>
            <w:tcW w:w="709" w:type="dxa"/>
            <w:tcBorders>
              <w:top w:val="single" w:sz="6" w:space="0" w:color="00DCA1" w:themeColor="background2"/>
              <w:bottom w:val="single" w:sz="6" w:space="0" w:color="00DCA1" w:themeColor="background2"/>
            </w:tcBorders>
            <w:shd w:val="clear" w:color="auto" w:fill="D3FCFC" w:themeFill="text2" w:themeFillTint="1A"/>
            <w:vAlign w:val="top"/>
          </w:tcPr>
          <w:p w14:paraId="20FF11BD" w14:textId="3787669B" w:rsidR="00DA075C" w:rsidRPr="00EB74A8" w:rsidRDefault="00DA075C" w:rsidP="007D5619">
            <w:pPr>
              <w:pStyle w:val="Tabletextleft"/>
            </w:pPr>
            <w:r w:rsidRPr="00EB74A8">
              <w:t>4</w:t>
            </w:r>
          </w:p>
        </w:tc>
        <w:tc>
          <w:tcPr>
            <w:tcW w:w="850" w:type="dxa"/>
            <w:tcBorders>
              <w:top w:val="single" w:sz="6" w:space="0" w:color="00DCA1" w:themeColor="background2"/>
              <w:bottom w:val="single" w:sz="6" w:space="0" w:color="00DCA1" w:themeColor="background2"/>
            </w:tcBorders>
            <w:shd w:val="clear" w:color="auto" w:fill="D3FCFC" w:themeFill="text2" w:themeFillTint="1A"/>
            <w:vAlign w:val="top"/>
          </w:tcPr>
          <w:p w14:paraId="74583CF3" w14:textId="60782A9D" w:rsidR="00DA075C" w:rsidRPr="00EB74A8" w:rsidRDefault="00DA075C" w:rsidP="007D5619">
            <w:pPr>
              <w:pStyle w:val="Tabletextleft"/>
            </w:pPr>
            <w:r w:rsidRPr="00EB74A8">
              <w:t>6</w:t>
            </w:r>
          </w:p>
        </w:tc>
        <w:tc>
          <w:tcPr>
            <w:tcW w:w="992" w:type="dxa"/>
            <w:tcBorders>
              <w:top w:val="single" w:sz="6" w:space="0" w:color="00DCA1" w:themeColor="background2"/>
              <w:bottom w:val="single" w:sz="6" w:space="0" w:color="00DCA1" w:themeColor="background2"/>
            </w:tcBorders>
            <w:shd w:val="clear" w:color="auto" w:fill="D3FCFC" w:themeFill="text2" w:themeFillTint="1A"/>
            <w:vAlign w:val="top"/>
          </w:tcPr>
          <w:p w14:paraId="78272671" w14:textId="7D07AEDC" w:rsidR="00DA075C" w:rsidRPr="00EB74A8" w:rsidRDefault="00DA075C" w:rsidP="007D5619">
            <w:pPr>
              <w:pStyle w:val="Tabletextleft"/>
            </w:pPr>
            <w:r w:rsidRPr="00EB74A8">
              <w:t>2</w:t>
            </w:r>
          </w:p>
        </w:tc>
        <w:tc>
          <w:tcPr>
            <w:tcW w:w="993" w:type="dxa"/>
            <w:tcBorders>
              <w:top w:val="single" w:sz="6" w:space="0" w:color="00DCA1" w:themeColor="background2"/>
              <w:bottom w:val="single" w:sz="6" w:space="0" w:color="00DCA1" w:themeColor="background2"/>
            </w:tcBorders>
            <w:shd w:val="clear" w:color="auto" w:fill="D3FCFC" w:themeFill="text2" w:themeFillTint="1A"/>
            <w:vAlign w:val="top"/>
          </w:tcPr>
          <w:p w14:paraId="10FABA1C" w14:textId="2ACC285B" w:rsidR="00DA075C" w:rsidRPr="00EB74A8" w:rsidRDefault="00DA075C" w:rsidP="007D5619">
            <w:pPr>
              <w:pStyle w:val="Tabletextleft"/>
            </w:pPr>
            <w:r w:rsidRPr="00EB74A8">
              <w:t>2</w:t>
            </w:r>
          </w:p>
        </w:tc>
        <w:tc>
          <w:tcPr>
            <w:tcW w:w="1134" w:type="dxa"/>
            <w:tcBorders>
              <w:top w:val="single" w:sz="6" w:space="0" w:color="00DCA1" w:themeColor="background2"/>
              <w:bottom w:val="single" w:sz="6" w:space="0" w:color="00DCA1" w:themeColor="background2"/>
              <w:right w:val="single" w:sz="6" w:space="0" w:color="00DCA1" w:themeColor="background2"/>
            </w:tcBorders>
            <w:shd w:val="clear" w:color="auto" w:fill="D3FCFC" w:themeFill="text2" w:themeFillTint="1A"/>
            <w:vAlign w:val="top"/>
          </w:tcPr>
          <w:p w14:paraId="7DC27DCA" w14:textId="7534FD67" w:rsidR="00DA075C" w:rsidRPr="00EB74A8" w:rsidRDefault="00DA075C" w:rsidP="007D5619">
            <w:pPr>
              <w:pStyle w:val="Tabletextleft"/>
            </w:pPr>
            <w:r w:rsidRPr="00EB74A8">
              <w:t>1</w:t>
            </w:r>
          </w:p>
        </w:tc>
      </w:tr>
      <w:tr w:rsidR="0055286C" w:rsidRPr="00EB74A8" w14:paraId="14A1ADAA"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7B41F73E" w14:textId="77777777" w:rsidR="00DA075C" w:rsidRPr="00EB74A8" w:rsidRDefault="00DA075C" w:rsidP="00DA075C">
            <w:pPr>
              <w:pStyle w:val="Tabletextleftaligned"/>
              <w:rPr>
                <w:b/>
                <w:bCs/>
              </w:rPr>
            </w:pPr>
            <w:r w:rsidRPr="00EB74A8">
              <w:rPr>
                <w:b/>
                <w:bCs/>
              </w:rPr>
              <w:lastRenderedPageBreak/>
              <w:t>Total</w:t>
            </w:r>
          </w:p>
        </w:tc>
        <w:tc>
          <w:tcPr>
            <w:tcW w:w="850" w:type="dxa"/>
            <w:tcBorders>
              <w:top w:val="single" w:sz="6" w:space="0" w:color="00DCA1" w:themeColor="background2"/>
              <w:left w:val="nil"/>
              <w:bottom w:val="single" w:sz="6" w:space="0" w:color="00DCA1" w:themeColor="background2"/>
              <w:right w:val="nil"/>
            </w:tcBorders>
            <w:vAlign w:val="top"/>
          </w:tcPr>
          <w:p w14:paraId="2CB6F278" w14:textId="0CEA4A2A" w:rsidR="00DA075C" w:rsidRPr="00EB74A8" w:rsidRDefault="00DA075C" w:rsidP="007D5619">
            <w:pPr>
              <w:pStyle w:val="Tabletextleft"/>
            </w:pPr>
            <w:r w:rsidRPr="00EB74A8">
              <w:t>9</w:t>
            </w:r>
          </w:p>
        </w:tc>
        <w:tc>
          <w:tcPr>
            <w:tcW w:w="709" w:type="dxa"/>
            <w:tcBorders>
              <w:top w:val="single" w:sz="6" w:space="0" w:color="00DCA1" w:themeColor="background2"/>
              <w:left w:val="nil"/>
              <w:bottom w:val="single" w:sz="6" w:space="0" w:color="00DCA1" w:themeColor="background2"/>
              <w:right w:val="nil"/>
            </w:tcBorders>
            <w:vAlign w:val="top"/>
          </w:tcPr>
          <w:p w14:paraId="0180C3A2" w14:textId="132BD68C" w:rsidR="00DA075C" w:rsidRPr="00EB74A8" w:rsidRDefault="00DA075C" w:rsidP="007D5619">
            <w:pPr>
              <w:pStyle w:val="Tabletextleft"/>
            </w:pPr>
            <w:r w:rsidRPr="00EB74A8">
              <w:t>6</w:t>
            </w:r>
          </w:p>
        </w:tc>
        <w:tc>
          <w:tcPr>
            <w:tcW w:w="709" w:type="dxa"/>
            <w:tcBorders>
              <w:top w:val="single" w:sz="6" w:space="0" w:color="00DCA1" w:themeColor="background2"/>
              <w:left w:val="nil"/>
              <w:bottom w:val="single" w:sz="6" w:space="0" w:color="00DCA1" w:themeColor="background2"/>
              <w:right w:val="nil"/>
            </w:tcBorders>
            <w:vAlign w:val="top"/>
          </w:tcPr>
          <w:p w14:paraId="43DDCFC1" w14:textId="13D26F8F" w:rsidR="00DA075C" w:rsidRPr="00EB74A8" w:rsidRDefault="00DA075C" w:rsidP="007D5619">
            <w:pPr>
              <w:pStyle w:val="Tabletextleft"/>
            </w:pPr>
            <w:r w:rsidRPr="00EB74A8">
              <w:t>5</w:t>
            </w:r>
          </w:p>
        </w:tc>
        <w:tc>
          <w:tcPr>
            <w:tcW w:w="709" w:type="dxa"/>
            <w:tcBorders>
              <w:top w:val="single" w:sz="6" w:space="0" w:color="00DCA1" w:themeColor="background2"/>
              <w:left w:val="nil"/>
              <w:bottom w:val="single" w:sz="6" w:space="0" w:color="00DCA1" w:themeColor="background2"/>
              <w:right w:val="nil"/>
            </w:tcBorders>
            <w:vAlign w:val="top"/>
          </w:tcPr>
          <w:p w14:paraId="2F77F7E8" w14:textId="0B0E8B5B" w:rsidR="00DA075C" w:rsidRPr="00EB74A8" w:rsidRDefault="00DA075C" w:rsidP="007D5619">
            <w:pPr>
              <w:pStyle w:val="Tabletextleft"/>
            </w:pPr>
            <w:r w:rsidRPr="00EB74A8">
              <w:t>7</w:t>
            </w:r>
          </w:p>
        </w:tc>
        <w:tc>
          <w:tcPr>
            <w:tcW w:w="850" w:type="dxa"/>
            <w:tcBorders>
              <w:top w:val="single" w:sz="6" w:space="0" w:color="00DCA1" w:themeColor="background2"/>
              <w:left w:val="nil"/>
              <w:bottom w:val="single" w:sz="6" w:space="0" w:color="00DCA1" w:themeColor="background2"/>
              <w:right w:val="nil"/>
            </w:tcBorders>
            <w:vAlign w:val="top"/>
          </w:tcPr>
          <w:p w14:paraId="286E4797" w14:textId="4804E3B2" w:rsidR="00DA075C" w:rsidRPr="00EB74A8" w:rsidRDefault="00DA075C" w:rsidP="007D5619">
            <w:pPr>
              <w:pStyle w:val="Tabletextleft"/>
            </w:pPr>
            <w:r w:rsidRPr="00EB74A8">
              <w:t>6</w:t>
            </w:r>
          </w:p>
        </w:tc>
        <w:tc>
          <w:tcPr>
            <w:tcW w:w="992" w:type="dxa"/>
            <w:tcBorders>
              <w:top w:val="single" w:sz="6" w:space="0" w:color="00DCA1" w:themeColor="background2"/>
              <w:left w:val="nil"/>
              <w:bottom w:val="single" w:sz="6" w:space="0" w:color="00DCA1" w:themeColor="background2"/>
              <w:right w:val="nil"/>
            </w:tcBorders>
            <w:vAlign w:val="top"/>
          </w:tcPr>
          <w:p w14:paraId="29BD2A33" w14:textId="7EA001FF" w:rsidR="00DA075C" w:rsidRPr="00EB74A8" w:rsidRDefault="00DA075C" w:rsidP="007D5619">
            <w:pPr>
              <w:pStyle w:val="Tabletextleft"/>
            </w:pPr>
            <w:r w:rsidRPr="00EB74A8">
              <w:t>2</w:t>
            </w:r>
          </w:p>
        </w:tc>
        <w:tc>
          <w:tcPr>
            <w:tcW w:w="993" w:type="dxa"/>
            <w:tcBorders>
              <w:top w:val="single" w:sz="6" w:space="0" w:color="00DCA1" w:themeColor="background2"/>
              <w:left w:val="nil"/>
              <w:bottom w:val="single" w:sz="6" w:space="0" w:color="00DCA1" w:themeColor="background2"/>
              <w:right w:val="nil"/>
            </w:tcBorders>
            <w:vAlign w:val="top"/>
          </w:tcPr>
          <w:p w14:paraId="59089ECC" w14:textId="5B7987C6" w:rsidR="00DA075C" w:rsidRPr="00EB74A8" w:rsidRDefault="00DA075C" w:rsidP="007D5619">
            <w:pPr>
              <w:pStyle w:val="Tabletextleft"/>
            </w:pPr>
            <w:r w:rsidRPr="00EB74A8">
              <w:t>3</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3AC0E1C2" w14:textId="605AA5BF" w:rsidR="00DA075C" w:rsidRPr="00EB74A8" w:rsidRDefault="00DA075C" w:rsidP="007D5619">
            <w:pPr>
              <w:pStyle w:val="Tabletextleft"/>
            </w:pPr>
            <w:r w:rsidRPr="00EB74A8">
              <w:t>1</w:t>
            </w:r>
          </w:p>
        </w:tc>
      </w:tr>
      <w:tr w:rsidR="00877728" w:rsidRPr="00EB74A8" w14:paraId="5D5722AE"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9490" w:type="dxa"/>
            <w:gridSpan w:val="9"/>
            <w:tcBorders>
              <w:top w:val="single" w:sz="6" w:space="0" w:color="00DCA1" w:themeColor="background2"/>
              <w:left w:val="single" w:sz="6" w:space="0" w:color="00DCA1" w:themeColor="background2"/>
              <w:bottom w:val="single" w:sz="6" w:space="0" w:color="00DCA1" w:themeColor="background2"/>
              <w:right w:val="single" w:sz="6" w:space="0" w:color="00DCA1" w:themeColor="background2"/>
              <w:tl2br w:val="none" w:sz="0" w:space="0" w:color="auto"/>
              <w:tr2bl w:val="none" w:sz="0" w:space="0" w:color="auto"/>
            </w:tcBorders>
          </w:tcPr>
          <w:p w14:paraId="639EC778" w14:textId="67CC0BDB" w:rsidR="00877728" w:rsidRPr="00EB74A8" w:rsidRDefault="00877728" w:rsidP="00582961">
            <w:pPr>
              <w:pStyle w:val="Tableheadingcentred"/>
              <w:rPr>
                <w:vertAlign w:val="superscript"/>
              </w:rPr>
            </w:pPr>
            <w:r w:rsidRPr="00EB74A8">
              <w:t>Total women</w:t>
            </w:r>
            <w:r w:rsidR="00431786" w:rsidRPr="00EB74A8">
              <w:rPr>
                <w:vertAlign w:val="superscript"/>
              </w:rPr>
              <w:t>1</w:t>
            </w:r>
          </w:p>
        </w:tc>
      </w:tr>
      <w:tr w:rsidR="0055286C" w:rsidRPr="00EB74A8" w14:paraId="57251079"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72DA501D" w14:textId="77777777" w:rsidR="004C7FAB" w:rsidRPr="00EB74A8" w:rsidRDefault="004C7FAB" w:rsidP="004C7FAB">
            <w:pPr>
              <w:pStyle w:val="Tabletextleftaligned"/>
            </w:pPr>
            <w:r w:rsidRPr="00EB74A8">
              <w:t>First trimester</w:t>
            </w:r>
          </w:p>
        </w:tc>
        <w:tc>
          <w:tcPr>
            <w:tcW w:w="850" w:type="dxa"/>
            <w:tcBorders>
              <w:top w:val="single" w:sz="6" w:space="0" w:color="00DCA1" w:themeColor="background2"/>
              <w:left w:val="nil"/>
              <w:bottom w:val="single" w:sz="6" w:space="0" w:color="00DCA1" w:themeColor="background2"/>
              <w:right w:val="nil"/>
            </w:tcBorders>
            <w:vAlign w:val="top"/>
          </w:tcPr>
          <w:p w14:paraId="3C405FBF" w14:textId="6E394EBA" w:rsidR="004C7FAB" w:rsidRPr="00EB74A8" w:rsidRDefault="004C7FAB"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0CA5FBEE" w14:textId="278E346D" w:rsidR="004C7FAB" w:rsidRPr="00EB74A8" w:rsidRDefault="004C7FAB"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56BE8F42" w14:textId="157E0102" w:rsidR="004C7FAB" w:rsidRPr="00EB74A8" w:rsidRDefault="004C7FAB" w:rsidP="007D5619">
            <w:pPr>
              <w:pStyle w:val="Tabletextleft"/>
            </w:pPr>
            <w:r w:rsidRPr="00EB74A8">
              <w:t>0</w:t>
            </w:r>
          </w:p>
        </w:tc>
        <w:tc>
          <w:tcPr>
            <w:tcW w:w="709" w:type="dxa"/>
            <w:tcBorders>
              <w:top w:val="single" w:sz="6" w:space="0" w:color="00DCA1" w:themeColor="background2"/>
              <w:left w:val="nil"/>
              <w:bottom w:val="single" w:sz="6" w:space="0" w:color="00DCA1" w:themeColor="background2"/>
              <w:right w:val="nil"/>
            </w:tcBorders>
            <w:vAlign w:val="top"/>
          </w:tcPr>
          <w:p w14:paraId="678AC0D9" w14:textId="1DF9612D" w:rsidR="004C7FAB" w:rsidRPr="00EB74A8" w:rsidRDefault="004C7FAB" w:rsidP="007D5619">
            <w:pPr>
              <w:pStyle w:val="Tabletextleft"/>
            </w:pPr>
            <w:r w:rsidRPr="00EB74A8">
              <w:t>0</w:t>
            </w:r>
          </w:p>
        </w:tc>
        <w:tc>
          <w:tcPr>
            <w:tcW w:w="850" w:type="dxa"/>
            <w:tcBorders>
              <w:top w:val="single" w:sz="6" w:space="0" w:color="00DCA1" w:themeColor="background2"/>
              <w:left w:val="nil"/>
              <w:bottom w:val="single" w:sz="6" w:space="0" w:color="00DCA1" w:themeColor="background2"/>
              <w:right w:val="nil"/>
            </w:tcBorders>
            <w:vAlign w:val="top"/>
          </w:tcPr>
          <w:p w14:paraId="511537EC" w14:textId="5302312B" w:rsidR="004C7FAB" w:rsidRPr="00EB74A8" w:rsidRDefault="004C7FAB" w:rsidP="007D5619">
            <w:pPr>
              <w:pStyle w:val="Tabletextleft"/>
            </w:pPr>
            <w:r w:rsidRPr="00EB74A8">
              <w:t>1</w:t>
            </w:r>
          </w:p>
        </w:tc>
        <w:tc>
          <w:tcPr>
            <w:tcW w:w="992" w:type="dxa"/>
            <w:tcBorders>
              <w:top w:val="single" w:sz="6" w:space="0" w:color="00DCA1" w:themeColor="background2"/>
              <w:left w:val="nil"/>
              <w:bottom w:val="single" w:sz="6" w:space="0" w:color="00DCA1" w:themeColor="background2"/>
              <w:right w:val="nil"/>
            </w:tcBorders>
            <w:vAlign w:val="top"/>
          </w:tcPr>
          <w:p w14:paraId="360F3293" w14:textId="0311BEB6" w:rsidR="004C7FAB" w:rsidRPr="00EB74A8" w:rsidRDefault="004C7FAB" w:rsidP="007D5619">
            <w:pPr>
              <w:pStyle w:val="Tabletextleft"/>
            </w:pPr>
            <w:r w:rsidRPr="00EB74A8">
              <w:t>0</w:t>
            </w:r>
          </w:p>
        </w:tc>
        <w:tc>
          <w:tcPr>
            <w:tcW w:w="993" w:type="dxa"/>
            <w:tcBorders>
              <w:top w:val="single" w:sz="6" w:space="0" w:color="00DCA1" w:themeColor="background2"/>
              <w:left w:val="nil"/>
              <w:bottom w:val="single" w:sz="6" w:space="0" w:color="00DCA1" w:themeColor="background2"/>
              <w:right w:val="nil"/>
            </w:tcBorders>
            <w:vAlign w:val="top"/>
          </w:tcPr>
          <w:p w14:paraId="00140314" w14:textId="5ACE0AE8" w:rsidR="004C7FAB" w:rsidRPr="00EB74A8" w:rsidRDefault="004C7FAB" w:rsidP="007D5619">
            <w:pPr>
              <w:pStyle w:val="Tabletextleft"/>
            </w:pPr>
            <w:r w:rsidRPr="00EB74A8">
              <w:t>0</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1AC6C94B" w14:textId="2D85485E" w:rsidR="004C7FAB" w:rsidRPr="00EB74A8" w:rsidRDefault="004C7FAB" w:rsidP="007D5619">
            <w:pPr>
              <w:pStyle w:val="Tabletextleft"/>
            </w:pPr>
            <w:r w:rsidRPr="00EB74A8">
              <w:t>0</w:t>
            </w:r>
          </w:p>
        </w:tc>
      </w:tr>
      <w:tr w:rsidR="0055286C" w:rsidRPr="00EB74A8" w14:paraId="7DC12C6E"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43F5CB59" w14:textId="77777777" w:rsidR="004C7FAB" w:rsidRPr="00EB74A8" w:rsidRDefault="004C7FAB" w:rsidP="004C7FAB">
            <w:pPr>
              <w:pStyle w:val="Tabletextleftaligned"/>
            </w:pPr>
            <w:r w:rsidRPr="00EB74A8">
              <w:t>Second trimester</w:t>
            </w:r>
          </w:p>
        </w:tc>
        <w:tc>
          <w:tcPr>
            <w:tcW w:w="850" w:type="dxa"/>
            <w:tcBorders>
              <w:top w:val="single" w:sz="6" w:space="0" w:color="00DCA1" w:themeColor="background2"/>
              <w:bottom w:val="single" w:sz="6" w:space="0" w:color="00DCA1" w:themeColor="background2"/>
            </w:tcBorders>
            <w:vAlign w:val="top"/>
          </w:tcPr>
          <w:p w14:paraId="4786E38F" w14:textId="16252068" w:rsidR="004C7FAB" w:rsidRPr="00EB74A8" w:rsidRDefault="004C7FAB" w:rsidP="007D5619">
            <w:pPr>
              <w:pStyle w:val="Tabletextleft"/>
            </w:pPr>
            <w:r w:rsidRPr="00EB74A8">
              <w:t>1</w:t>
            </w:r>
          </w:p>
        </w:tc>
        <w:tc>
          <w:tcPr>
            <w:tcW w:w="709" w:type="dxa"/>
            <w:tcBorders>
              <w:top w:val="single" w:sz="6" w:space="0" w:color="00DCA1" w:themeColor="background2"/>
              <w:bottom w:val="single" w:sz="6" w:space="0" w:color="00DCA1" w:themeColor="background2"/>
            </w:tcBorders>
            <w:vAlign w:val="top"/>
          </w:tcPr>
          <w:p w14:paraId="1CD4B0B4" w14:textId="6D35FFB5" w:rsidR="004C7FAB" w:rsidRPr="00EB74A8" w:rsidRDefault="004C7FAB"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268BB55F" w14:textId="2958EAD5" w:rsidR="004C7FAB" w:rsidRPr="00EB74A8" w:rsidRDefault="004C7FAB" w:rsidP="007D5619">
            <w:pPr>
              <w:pStyle w:val="Tabletextleft"/>
            </w:pPr>
            <w:r w:rsidRPr="00EB74A8">
              <w:t>3</w:t>
            </w:r>
          </w:p>
        </w:tc>
        <w:tc>
          <w:tcPr>
            <w:tcW w:w="709" w:type="dxa"/>
            <w:tcBorders>
              <w:top w:val="single" w:sz="6" w:space="0" w:color="00DCA1" w:themeColor="background2"/>
              <w:bottom w:val="single" w:sz="6" w:space="0" w:color="00DCA1" w:themeColor="background2"/>
            </w:tcBorders>
            <w:vAlign w:val="top"/>
          </w:tcPr>
          <w:p w14:paraId="58B9B808" w14:textId="5335B7EF" w:rsidR="004C7FAB" w:rsidRPr="00EB74A8" w:rsidRDefault="004C7FAB" w:rsidP="007D5619">
            <w:pPr>
              <w:pStyle w:val="Tabletextleft"/>
            </w:pPr>
            <w:r w:rsidRPr="00EB74A8">
              <w:t>5</w:t>
            </w:r>
          </w:p>
        </w:tc>
        <w:tc>
          <w:tcPr>
            <w:tcW w:w="850" w:type="dxa"/>
            <w:tcBorders>
              <w:top w:val="single" w:sz="6" w:space="0" w:color="00DCA1" w:themeColor="background2"/>
              <w:bottom w:val="single" w:sz="6" w:space="0" w:color="00DCA1" w:themeColor="background2"/>
            </w:tcBorders>
            <w:vAlign w:val="top"/>
          </w:tcPr>
          <w:p w14:paraId="67D5DF6C" w14:textId="4B9FC07C" w:rsidR="004C7FAB" w:rsidRPr="00EB74A8" w:rsidRDefault="004C7FAB" w:rsidP="007D5619">
            <w:pPr>
              <w:pStyle w:val="Tabletextleft"/>
            </w:pPr>
            <w:r w:rsidRPr="00EB74A8">
              <w:t>0</w:t>
            </w:r>
          </w:p>
        </w:tc>
        <w:tc>
          <w:tcPr>
            <w:tcW w:w="992" w:type="dxa"/>
            <w:tcBorders>
              <w:top w:val="single" w:sz="6" w:space="0" w:color="00DCA1" w:themeColor="background2"/>
              <w:bottom w:val="single" w:sz="6" w:space="0" w:color="00DCA1" w:themeColor="background2"/>
            </w:tcBorders>
            <w:vAlign w:val="top"/>
          </w:tcPr>
          <w:p w14:paraId="12E92E3E" w14:textId="4AA82718" w:rsidR="004C7FAB" w:rsidRPr="00EB74A8" w:rsidRDefault="004C7FAB"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169FCB9B" w14:textId="4EDE1B66" w:rsidR="004C7FAB" w:rsidRPr="00EB74A8" w:rsidRDefault="004C7FAB" w:rsidP="007D5619">
            <w:pPr>
              <w:pStyle w:val="Tabletextleft"/>
            </w:pPr>
            <w:r w:rsidRPr="00EB74A8">
              <w:t>2</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0B52ACF0" w14:textId="2FF09996" w:rsidR="004C7FAB" w:rsidRPr="00EB74A8" w:rsidRDefault="004C7FAB" w:rsidP="007D5619">
            <w:pPr>
              <w:pStyle w:val="Tabletextleft"/>
            </w:pPr>
            <w:r w:rsidRPr="00EB74A8">
              <w:t>0</w:t>
            </w:r>
          </w:p>
        </w:tc>
      </w:tr>
      <w:tr w:rsidR="0055286C" w:rsidRPr="00EB74A8" w14:paraId="6B5CDAB2"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76D26F78" w14:textId="77777777" w:rsidR="004C7FAB" w:rsidRPr="00EB74A8" w:rsidRDefault="004C7FAB" w:rsidP="004C7FAB">
            <w:pPr>
              <w:pStyle w:val="Tabletextleftaligned"/>
            </w:pPr>
            <w:r w:rsidRPr="00EB74A8">
              <w:t>Third trimester</w:t>
            </w:r>
          </w:p>
        </w:tc>
        <w:tc>
          <w:tcPr>
            <w:tcW w:w="850" w:type="dxa"/>
            <w:tcBorders>
              <w:top w:val="single" w:sz="6" w:space="0" w:color="00DCA1" w:themeColor="background2"/>
              <w:left w:val="nil"/>
              <w:bottom w:val="single" w:sz="6" w:space="0" w:color="00DCA1" w:themeColor="background2"/>
              <w:right w:val="nil"/>
            </w:tcBorders>
            <w:vAlign w:val="top"/>
          </w:tcPr>
          <w:p w14:paraId="020B4403" w14:textId="39CDEE26" w:rsidR="004C7FAB" w:rsidRPr="00EB74A8" w:rsidRDefault="004C7FAB" w:rsidP="007D5619">
            <w:pPr>
              <w:pStyle w:val="Tabletextleft"/>
            </w:pPr>
            <w:r w:rsidRPr="00EB74A8">
              <w:t>2</w:t>
            </w:r>
          </w:p>
        </w:tc>
        <w:tc>
          <w:tcPr>
            <w:tcW w:w="709" w:type="dxa"/>
            <w:tcBorders>
              <w:top w:val="single" w:sz="6" w:space="0" w:color="00DCA1" w:themeColor="background2"/>
              <w:left w:val="nil"/>
              <w:bottom w:val="single" w:sz="6" w:space="0" w:color="00DCA1" w:themeColor="background2"/>
              <w:right w:val="nil"/>
            </w:tcBorders>
            <w:vAlign w:val="top"/>
          </w:tcPr>
          <w:p w14:paraId="053CCC7C" w14:textId="2C35F655" w:rsidR="004C7FAB" w:rsidRPr="00EB74A8" w:rsidRDefault="004C7FAB" w:rsidP="007D5619">
            <w:pPr>
              <w:pStyle w:val="Tabletextleft"/>
            </w:pPr>
            <w:r w:rsidRPr="00EB74A8">
              <w:t>3</w:t>
            </w:r>
          </w:p>
        </w:tc>
        <w:tc>
          <w:tcPr>
            <w:tcW w:w="709" w:type="dxa"/>
            <w:tcBorders>
              <w:top w:val="single" w:sz="6" w:space="0" w:color="00DCA1" w:themeColor="background2"/>
              <w:left w:val="nil"/>
              <w:bottom w:val="single" w:sz="6" w:space="0" w:color="00DCA1" w:themeColor="background2"/>
              <w:right w:val="nil"/>
            </w:tcBorders>
            <w:vAlign w:val="top"/>
          </w:tcPr>
          <w:p w14:paraId="087D56AB" w14:textId="2D37DC25" w:rsidR="004C7FAB" w:rsidRPr="00EB74A8" w:rsidRDefault="004C7FAB" w:rsidP="007D5619">
            <w:pPr>
              <w:pStyle w:val="Tabletextleft"/>
            </w:pPr>
            <w:r w:rsidRPr="00EB74A8">
              <w:t>2</w:t>
            </w:r>
          </w:p>
        </w:tc>
        <w:tc>
          <w:tcPr>
            <w:tcW w:w="709" w:type="dxa"/>
            <w:tcBorders>
              <w:top w:val="single" w:sz="6" w:space="0" w:color="00DCA1" w:themeColor="background2"/>
              <w:left w:val="nil"/>
              <w:bottom w:val="single" w:sz="6" w:space="0" w:color="00DCA1" w:themeColor="background2"/>
              <w:right w:val="nil"/>
            </w:tcBorders>
            <w:vAlign w:val="top"/>
          </w:tcPr>
          <w:p w14:paraId="4B728945" w14:textId="530532EF" w:rsidR="004C7FAB" w:rsidRPr="00EB74A8" w:rsidRDefault="004C7FAB" w:rsidP="007D5619">
            <w:pPr>
              <w:pStyle w:val="Tabletextleft"/>
            </w:pPr>
            <w:r w:rsidRPr="00EB74A8">
              <w:t>4</w:t>
            </w:r>
          </w:p>
        </w:tc>
        <w:tc>
          <w:tcPr>
            <w:tcW w:w="850" w:type="dxa"/>
            <w:tcBorders>
              <w:top w:val="single" w:sz="6" w:space="0" w:color="00DCA1" w:themeColor="background2"/>
              <w:left w:val="nil"/>
              <w:bottom w:val="single" w:sz="6" w:space="0" w:color="00DCA1" w:themeColor="background2"/>
              <w:right w:val="nil"/>
            </w:tcBorders>
            <w:vAlign w:val="top"/>
          </w:tcPr>
          <w:p w14:paraId="0408FEA1" w14:textId="097FDD35" w:rsidR="004C7FAB" w:rsidRPr="00EB74A8" w:rsidRDefault="004C7FAB" w:rsidP="007D5619">
            <w:pPr>
              <w:pStyle w:val="Tabletextleft"/>
            </w:pPr>
            <w:r w:rsidRPr="00EB74A8">
              <w:t>1</w:t>
            </w:r>
          </w:p>
        </w:tc>
        <w:tc>
          <w:tcPr>
            <w:tcW w:w="992" w:type="dxa"/>
            <w:tcBorders>
              <w:top w:val="single" w:sz="6" w:space="0" w:color="00DCA1" w:themeColor="background2"/>
              <w:left w:val="nil"/>
              <w:bottom w:val="single" w:sz="6" w:space="0" w:color="00DCA1" w:themeColor="background2"/>
              <w:right w:val="nil"/>
            </w:tcBorders>
            <w:vAlign w:val="top"/>
          </w:tcPr>
          <w:p w14:paraId="681D1BE9" w14:textId="095600B1" w:rsidR="004C7FAB" w:rsidRPr="00EB74A8" w:rsidRDefault="004C7FAB" w:rsidP="007D5619">
            <w:pPr>
              <w:pStyle w:val="Tabletextleft"/>
            </w:pPr>
            <w:r w:rsidRPr="00EB74A8">
              <w:t>1</w:t>
            </w:r>
          </w:p>
        </w:tc>
        <w:tc>
          <w:tcPr>
            <w:tcW w:w="993" w:type="dxa"/>
            <w:tcBorders>
              <w:top w:val="single" w:sz="6" w:space="0" w:color="00DCA1" w:themeColor="background2"/>
              <w:left w:val="nil"/>
              <w:bottom w:val="single" w:sz="6" w:space="0" w:color="00DCA1" w:themeColor="background2"/>
              <w:right w:val="nil"/>
            </w:tcBorders>
            <w:vAlign w:val="top"/>
          </w:tcPr>
          <w:p w14:paraId="3FC4A70A" w14:textId="3C40EF7A" w:rsidR="004C7FAB" w:rsidRPr="00EB74A8" w:rsidRDefault="004C7FAB" w:rsidP="007D5619">
            <w:pPr>
              <w:pStyle w:val="Tabletextleft"/>
            </w:pPr>
            <w:r w:rsidRPr="00EB74A8">
              <w:t>0</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76490BF6" w14:textId="222FE8F3" w:rsidR="004C7FAB" w:rsidRPr="00EB74A8" w:rsidRDefault="004C7FAB" w:rsidP="007D5619">
            <w:pPr>
              <w:pStyle w:val="Tabletextleft"/>
            </w:pPr>
            <w:r w:rsidRPr="00EB74A8">
              <w:t>0</w:t>
            </w:r>
          </w:p>
        </w:tc>
      </w:tr>
      <w:tr w:rsidR="0055286C" w:rsidRPr="00EB74A8" w14:paraId="6F257684"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643EC218" w14:textId="77777777" w:rsidR="004C7FAB" w:rsidRPr="00EB74A8" w:rsidRDefault="004C7FAB" w:rsidP="004C7FAB">
            <w:pPr>
              <w:pStyle w:val="Tabletextleftaligned"/>
            </w:pPr>
            <w:r w:rsidRPr="00EB74A8">
              <w:t>At birth</w:t>
            </w:r>
          </w:p>
        </w:tc>
        <w:tc>
          <w:tcPr>
            <w:tcW w:w="850" w:type="dxa"/>
            <w:tcBorders>
              <w:top w:val="single" w:sz="6" w:space="0" w:color="00DCA1" w:themeColor="background2"/>
              <w:bottom w:val="single" w:sz="6" w:space="0" w:color="00DCA1" w:themeColor="background2"/>
            </w:tcBorders>
            <w:vAlign w:val="top"/>
          </w:tcPr>
          <w:p w14:paraId="56A8EE0E" w14:textId="43652FE3" w:rsidR="004C7FAB" w:rsidRPr="00EB74A8" w:rsidRDefault="004C7FAB" w:rsidP="007D5619">
            <w:pPr>
              <w:pStyle w:val="Tabletextleft"/>
            </w:pPr>
            <w:r w:rsidRPr="00EB74A8">
              <w:t>6</w:t>
            </w:r>
          </w:p>
        </w:tc>
        <w:tc>
          <w:tcPr>
            <w:tcW w:w="709" w:type="dxa"/>
            <w:tcBorders>
              <w:top w:val="single" w:sz="6" w:space="0" w:color="00DCA1" w:themeColor="background2"/>
              <w:bottom w:val="single" w:sz="6" w:space="0" w:color="00DCA1" w:themeColor="background2"/>
            </w:tcBorders>
            <w:vAlign w:val="top"/>
          </w:tcPr>
          <w:p w14:paraId="29C17909" w14:textId="1BEAEA0A" w:rsidR="004C7FAB" w:rsidRPr="00EB74A8" w:rsidRDefault="004C7FAB" w:rsidP="007D5619">
            <w:pPr>
              <w:pStyle w:val="Tabletextleft"/>
            </w:pPr>
            <w:r w:rsidRPr="00EB74A8">
              <w:t>5</w:t>
            </w:r>
          </w:p>
        </w:tc>
        <w:tc>
          <w:tcPr>
            <w:tcW w:w="709" w:type="dxa"/>
            <w:tcBorders>
              <w:top w:val="single" w:sz="6" w:space="0" w:color="00DCA1" w:themeColor="background2"/>
              <w:bottom w:val="single" w:sz="6" w:space="0" w:color="00DCA1" w:themeColor="background2"/>
            </w:tcBorders>
            <w:vAlign w:val="top"/>
          </w:tcPr>
          <w:p w14:paraId="7E4D21F6" w14:textId="1E213B8E" w:rsidR="004C7FAB" w:rsidRPr="00EB74A8" w:rsidRDefault="004C7FAB" w:rsidP="007D5619">
            <w:pPr>
              <w:pStyle w:val="Tabletextleft"/>
            </w:pPr>
            <w:r w:rsidRPr="00EB74A8">
              <w:t>4</w:t>
            </w:r>
          </w:p>
        </w:tc>
        <w:tc>
          <w:tcPr>
            <w:tcW w:w="709" w:type="dxa"/>
            <w:tcBorders>
              <w:top w:val="single" w:sz="6" w:space="0" w:color="00DCA1" w:themeColor="background2"/>
              <w:bottom w:val="single" w:sz="6" w:space="0" w:color="00DCA1" w:themeColor="background2"/>
            </w:tcBorders>
            <w:vAlign w:val="top"/>
          </w:tcPr>
          <w:p w14:paraId="701CD672" w14:textId="7BF679B8" w:rsidR="004C7FAB" w:rsidRPr="00EB74A8" w:rsidRDefault="004C7FAB" w:rsidP="007D5619">
            <w:pPr>
              <w:pStyle w:val="Tabletextleft"/>
            </w:pPr>
            <w:r w:rsidRPr="00EB74A8">
              <w:t>5</w:t>
            </w:r>
          </w:p>
        </w:tc>
        <w:tc>
          <w:tcPr>
            <w:tcW w:w="850" w:type="dxa"/>
            <w:tcBorders>
              <w:top w:val="single" w:sz="6" w:space="0" w:color="00DCA1" w:themeColor="background2"/>
              <w:bottom w:val="single" w:sz="6" w:space="0" w:color="00DCA1" w:themeColor="background2"/>
            </w:tcBorders>
            <w:vAlign w:val="top"/>
          </w:tcPr>
          <w:p w14:paraId="1D5BCBD4" w14:textId="39A87E75" w:rsidR="004C7FAB" w:rsidRPr="00EB74A8" w:rsidRDefault="004C7FAB" w:rsidP="007D5619">
            <w:pPr>
              <w:pStyle w:val="Tabletextleft"/>
            </w:pPr>
            <w:r w:rsidRPr="00EB74A8">
              <w:t>2</w:t>
            </w:r>
          </w:p>
        </w:tc>
        <w:tc>
          <w:tcPr>
            <w:tcW w:w="992" w:type="dxa"/>
            <w:tcBorders>
              <w:top w:val="single" w:sz="6" w:space="0" w:color="00DCA1" w:themeColor="background2"/>
              <w:bottom w:val="single" w:sz="6" w:space="0" w:color="00DCA1" w:themeColor="background2"/>
            </w:tcBorders>
            <w:vAlign w:val="top"/>
          </w:tcPr>
          <w:p w14:paraId="65A73398" w14:textId="100816AA" w:rsidR="004C7FAB" w:rsidRPr="00EB74A8" w:rsidRDefault="004C7FAB" w:rsidP="007D5619">
            <w:pPr>
              <w:pStyle w:val="Tabletextleft"/>
            </w:pPr>
            <w:r w:rsidRPr="00EB74A8">
              <w:t>2</w:t>
            </w:r>
          </w:p>
        </w:tc>
        <w:tc>
          <w:tcPr>
            <w:tcW w:w="993" w:type="dxa"/>
            <w:tcBorders>
              <w:top w:val="single" w:sz="6" w:space="0" w:color="00DCA1" w:themeColor="background2"/>
              <w:bottom w:val="single" w:sz="6" w:space="0" w:color="00DCA1" w:themeColor="background2"/>
            </w:tcBorders>
            <w:vAlign w:val="top"/>
          </w:tcPr>
          <w:p w14:paraId="5A73352B" w14:textId="215A282A" w:rsidR="004C7FAB" w:rsidRPr="00EB74A8" w:rsidRDefault="004C7FAB" w:rsidP="007D5619">
            <w:pPr>
              <w:pStyle w:val="Tabletextleft"/>
            </w:pPr>
            <w:r w:rsidRPr="00EB74A8">
              <w:t>1</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10CBA27E" w14:textId="62880CB9" w:rsidR="004C7FAB" w:rsidRPr="00EB74A8" w:rsidRDefault="001B1BA0" w:rsidP="007D5619">
            <w:pPr>
              <w:pStyle w:val="Tabletextleft"/>
            </w:pPr>
            <w:r w:rsidRPr="00EB74A8">
              <w:t>1</w:t>
            </w:r>
          </w:p>
        </w:tc>
      </w:tr>
      <w:tr w:rsidR="0055286C" w:rsidRPr="00EB74A8" w14:paraId="3C694B7B"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tcPr>
          <w:p w14:paraId="0B408F61" w14:textId="77777777" w:rsidR="004C7FAB" w:rsidRPr="00EB74A8" w:rsidRDefault="004C7FAB" w:rsidP="004C7FAB">
            <w:pPr>
              <w:pStyle w:val="Tabletextleftaligned"/>
            </w:pPr>
            <w:r w:rsidRPr="00EB74A8">
              <w:t>Post birth</w:t>
            </w:r>
          </w:p>
        </w:tc>
        <w:tc>
          <w:tcPr>
            <w:tcW w:w="850" w:type="dxa"/>
            <w:tcBorders>
              <w:top w:val="single" w:sz="6" w:space="0" w:color="00DCA1" w:themeColor="background2"/>
              <w:left w:val="nil"/>
              <w:bottom w:val="single" w:sz="6" w:space="0" w:color="00DCA1" w:themeColor="background2"/>
              <w:right w:val="nil"/>
            </w:tcBorders>
            <w:vAlign w:val="top"/>
          </w:tcPr>
          <w:p w14:paraId="46C94598" w14:textId="1AC393C6" w:rsidR="004C7FAB" w:rsidRPr="00EB74A8" w:rsidRDefault="004C7FAB" w:rsidP="007D5619">
            <w:pPr>
              <w:pStyle w:val="Tabletextleft"/>
            </w:pPr>
            <w:r w:rsidRPr="00EB74A8">
              <w:t>8</w:t>
            </w:r>
          </w:p>
        </w:tc>
        <w:tc>
          <w:tcPr>
            <w:tcW w:w="709" w:type="dxa"/>
            <w:tcBorders>
              <w:top w:val="single" w:sz="6" w:space="0" w:color="00DCA1" w:themeColor="background2"/>
              <w:left w:val="nil"/>
              <w:bottom w:val="single" w:sz="6" w:space="0" w:color="00DCA1" w:themeColor="background2"/>
              <w:right w:val="nil"/>
            </w:tcBorders>
            <w:vAlign w:val="top"/>
          </w:tcPr>
          <w:p w14:paraId="327FAB64" w14:textId="5C08D577" w:rsidR="004C7FAB" w:rsidRPr="00EB74A8" w:rsidRDefault="004C7FAB" w:rsidP="007D5619">
            <w:pPr>
              <w:pStyle w:val="Tabletextleft"/>
            </w:pPr>
            <w:r w:rsidRPr="00EB74A8">
              <w:t>7</w:t>
            </w:r>
          </w:p>
        </w:tc>
        <w:tc>
          <w:tcPr>
            <w:tcW w:w="709" w:type="dxa"/>
            <w:tcBorders>
              <w:top w:val="single" w:sz="6" w:space="0" w:color="00DCA1" w:themeColor="background2"/>
              <w:left w:val="nil"/>
              <w:bottom w:val="single" w:sz="6" w:space="0" w:color="00DCA1" w:themeColor="background2"/>
              <w:right w:val="nil"/>
            </w:tcBorders>
            <w:vAlign w:val="top"/>
          </w:tcPr>
          <w:p w14:paraId="66DEE6A1" w14:textId="59F21B75" w:rsidR="004C7FAB" w:rsidRPr="00EB74A8" w:rsidRDefault="004C7FAB" w:rsidP="007D5619">
            <w:pPr>
              <w:pStyle w:val="Tabletextleft"/>
            </w:pPr>
            <w:r w:rsidRPr="00EB74A8">
              <w:t>3</w:t>
            </w:r>
          </w:p>
        </w:tc>
        <w:tc>
          <w:tcPr>
            <w:tcW w:w="709" w:type="dxa"/>
            <w:tcBorders>
              <w:top w:val="single" w:sz="6" w:space="0" w:color="00DCA1" w:themeColor="background2"/>
              <w:left w:val="nil"/>
              <w:bottom w:val="single" w:sz="6" w:space="0" w:color="00DCA1" w:themeColor="background2"/>
              <w:right w:val="nil"/>
            </w:tcBorders>
            <w:vAlign w:val="top"/>
          </w:tcPr>
          <w:p w14:paraId="10429D63" w14:textId="3814408E" w:rsidR="004C7FAB" w:rsidRPr="00EB74A8" w:rsidRDefault="004C7FAB" w:rsidP="007D5619">
            <w:pPr>
              <w:pStyle w:val="Tabletextleft"/>
            </w:pPr>
            <w:r w:rsidRPr="00EB74A8">
              <w:t>6</w:t>
            </w:r>
          </w:p>
        </w:tc>
        <w:tc>
          <w:tcPr>
            <w:tcW w:w="850" w:type="dxa"/>
            <w:tcBorders>
              <w:top w:val="single" w:sz="6" w:space="0" w:color="00DCA1" w:themeColor="background2"/>
              <w:left w:val="nil"/>
              <w:bottom w:val="single" w:sz="6" w:space="0" w:color="00DCA1" w:themeColor="background2"/>
              <w:right w:val="nil"/>
            </w:tcBorders>
            <w:vAlign w:val="top"/>
          </w:tcPr>
          <w:p w14:paraId="669C8BD8" w14:textId="7BFD5462" w:rsidR="004C7FAB" w:rsidRPr="00EB74A8" w:rsidRDefault="004C7FAB" w:rsidP="007D5619">
            <w:pPr>
              <w:pStyle w:val="Tabletextleft"/>
            </w:pPr>
            <w:r w:rsidRPr="00EB74A8">
              <w:t>6</w:t>
            </w:r>
          </w:p>
        </w:tc>
        <w:tc>
          <w:tcPr>
            <w:tcW w:w="992" w:type="dxa"/>
            <w:tcBorders>
              <w:top w:val="single" w:sz="6" w:space="0" w:color="00DCA1" w:themeColor="background2"/>
              <w:left w:val="nil"/>
              <w:bottom w:val="single" w:sz="6" w:space="0" w:color="00DCA1" w:themeColor="background2"/>
              <w:right w:val="nil"/>
            </w:tcBorders>
            <w:vAlign w:val="top"/>
          </w:tcPr>
          <w:p w14:paraId="1EADD61B" w14:textId="008C2D24" w:rsidR="004C7FAB" w:rsidRPr="00EB74A8" w:rsidRDefault="001B1BA0" w:rsidP="007D5619">
            <w:pPr>
              <w:pStyle w:val="Tabletextleft"/>
            </w:pPr>
            <w:r w:rsidRPr="00EB74A8">
              <w:t>0</w:t>
            </w:r>
          </w:p>
        </w:tc>
        <w:tc>
          <w:tcPr>
            <w:tcW w:w="993" w:type="dxa"/>
            <w:tcBorders>
              <w:top w:val="single" w:sz="6" w:space="0" w:color="00DCA1" w:themeColor="background2"/>
              <w:left w:val="nil"/>
              <w:bottom w:val="single" w:sz="6" w:space="0" w:color="00DCA1" w:themeColor="background2"/>
              <w:right w:val="nil"/>
            </w:tcBorders>
            <w:vAlign w:val="top"/>
          </w:tcPr>
          <w:p w14:paraId="0DFB8E39" w14:textId="409B3AC6" w:rsidR="004C7FAB" w:rsidRPr="00EB74A8" w:rsidRDefault="004C7FAB" w:rsidP="007D5619">
            <w:pPr>
              <w:pStyle w:val="Tabletextleft"/>
            </w:pPr>
            <w:r w:rsidRPr="00EB74A8">
              <w:t>3</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vAlign w:val="top"/>
          </w:tcPr>
          <w:p w14:paraId="068BCDF8" w14:textId="185CF724" w:rsidR="004C7FAB" w:rsidRPr="00EB74A8" w:rsidRDefault="001B1BA0" w:rsidP="007D5619">
            <w:pPr>
              <w:pStyle w:val="Tabletextleft"/>
            </w:pPr>
            <w:r w:rsidRPr="00EB74A8">
              <w:t>1</w:t>
            </w:r>
          </w:p>
        </w:tc>
      </w:tr>
      <w:tr w:rsidR="0055286C" w:rsidRPr="00EB74A8" w14:paraId="3C04EDF6"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2E8183DA" w14:textId="7E95B47E" w:rsidR="004C7FAB" w:rsidRPr="00EB74A8" w:rsidRDefault="004C7FAB" w:rsidP="004C7FAB">
            <w:pPr>
              <w:pStyle w:val="Tabletextleftaligned"/>
            </w:pPr>
            <w:r w:rsidRPr="00EB74A8">
              <w:t>Unknown</w:t>
            </w:r>
          </w:p>
        </w:tc>
        <w:tc>
          <w:tcPr>
            <w:tcW w:w="850" w:type="dxa"/>
            <w:tcBorders>
              <w:top w:val="single" w:sz="6" w:space="0" w:color="00DCA1" w:themeColor="background2"/>
              <w:bottom w:val="single" w:sz="6" w:space="0" w:color="00DCA1" w:themeColor="background2"/>
            </w:tcBorders>
            <w:vAlign w:val="top"/>
          </w:tcPr>
          <w:p w14:paraId="39AC17B0" w14:textId="2EF0C57D" w:rsidR="004C7FAB" w:rsidRPr="00EB74A8" w:rsidRDefault="001B1BA0"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1A159E72" w14:textId="65D51CBB" w:rsidR="004C7FAB" w:rsidRPr="00EB74A8" w:rsidRDefault="001B1BA0" w:rsidP="007D5619">
            <w:pPr>
              <w:pStyle w:val="Tabletextleft"/>
            </w:pPr>
            <w:r w:rsidRPr="00EB74A8">
              <w:t>0</w:t>
            </w:r>
          </w:p>
        </w:tc>
        <w:tc>
          <w:tcPr>
            <w:tcW w:w="709" w:type="dxa"/>
            <w:tcBorders>
              <w:top w:val="single" w:sz="6" w:space="0" w:color="00DCA1" w:themeColor="background2"/>
              <w:bottom w:val="single" w:sz="6" w:space="0" w:color="00DCA1" w:themeColor="background2"/>
            </w:tcBorders>
            <w:vAlign w:val="top"/>
          </w:tcPr>
          <w:p w14:paraId="4A6C3748" w14:textId="1E2A8B7C" w:rsidR="004C7FAB" w:rsidRPr="00EB74A8" w:rsidRDefault="004C7FAB" w:rsidP="007D5619">
            <w:pPr>
              <w:pStyle w:val="Tabletextleft"/>
            </w:pPr>
            <w:r w:rsidRPr="00EB74A8">
              <w:t>3</w:t>
            </w:r>
          </w:p>
        </w:tc>
        <w:tc>
          <w:tcPr>
            <w:tcW w:w="709" w:type="dxa"/>
            <w:tcBorders>
              <w:top w:val="single" w:sz="6" w:space="0" w:color="00DCA1" w:themeColor="background2"/>
              <w:bottom w:val="single" w:sz="6" w:space="0" w:color="00DCA1" w:themeColor="background2"/>
            </w:tcBorders>
            <w:vAlign w:val="top"/>
          </w:tcPr>
          <w:p w14:paraId="3491A404" w14:textId="3BBC2759" w:rsidR="004C7FAB" w:rsidRPr="00EB74A8" w:rsidRDefault="001B1BA0" w:rsidP="007D5619">
            <w:pPr>
              <w:pStyle w:val="Tabletextleft"/>
            </w:pPr>
            <w:r w:rsidRPr="00EB74A8">
              <w:t>0</w:t>
            </w:r>
          </w:p>
        </w:tc>
        <w:tc>
          <w:tcPr>
            <w:tcW w:w="850" w:type="dxa"/>
            <w:tcBorders>
              <w:top w:val="single" w:sz="6" w:space="0" w:color="00DCA1" w:themeColor="background2"/>
              <w:bottom w:val="single" w:sz="6" w:space="0" w:color="00DCA1" w:themeColor="background2"/>
            </w:tcBorders>
            <w:vAlign w:val="top"/>
          </w:tcPr>
          <w:p w14:paraId="524E05A5" w14:textId="3C3E4D03" w:rsidR="004C7FAB" w:rsidRPr="00EB74A8" w:rsidRDefault="001B1BA0" w:rsidP="007D5619">
            <w:pPr>
              <w:pStyle w:val="Tabletextleft"/>
            </w:pPr>
            <w:r w:rsidRPr="00EB74A8">
              <w:t>0</w:t>
            </w:r>
          </w:p>
        </w:tc>
        <w:tc>
          <w:tcPr>
            <w:tcW w:w="992" w:type="dxa"/>
            <w:tcBorders>
              <w:top w:val="single" w:sz="6" w:space="0" w:color="00DCA1" w:themeColor="background2"/>
              <w:bottom w:val="single" w:sz="6" w:space="0" w:color="00DCA1" w:themeColor="background2"/>
            </w:tcBorders>
            <w:vAlign w:val="top"/>
          </w:tcPr>
          <w:p w14:paraId="163B5CC4" w14:textId="3D1D3119" w:rsidR="004C7FAB" w:rsidRPr="00EB74A8" w:rsidRDefault="001B1BA0" w:rsidP="007D5619">
            <w:pPr>
              <w:pStyle w:val="Tabletextleft"/>
            </w:pPr>
            <w:r w:rsidRPr="00EB74A8">
              <w:t>0</w:t>
            </w:r>
          </w:p>
        </w:tc>
        <w:tc>
          <w:tcPr>
            <w:tcW w:w="993" w:type="dxa"/>
            <w:tcBorders>
              <w:top w:val="single" w:sz="6" w:space="0" w:color="00DCA1" w:themeColor="background2"/>
              <w:bottom w:val="single" w:sz="6" w:space="0" w:color="00DCA1" w:themeColor="background2"/>
            </w:tcBorders>
            <w:vAlign w:val="top"/>
          </w:tcPr>
          <w:p w14:paraId="7E628C2A" w14:textId="23F17116" w:rsidR="004C7FAB" w:rsidRPr="00EB74A8" w:rsidRDefault="001B1BA0" w:rsidP="007D5619">
            <w:pPr>
              <w:pStyle w:val="Tabletextleft"/>
            </w:pPr>
            <w:r w:rsidRPr="00EB74A8">
              <w:t>0</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25A8139B" w14:textId="4181E310" w:rsidR="004C7FAB" w:rsidRPr="00EB74A8" w:rsidRDefault="001B1BA0" w:rsidP="007D5619">
            <w:pPr>
              <w:pStyle w:val="Tabletextleft"/>
            </w:pPr>
            <w:r w:rsidRPr="00EB74A8">
              <w:t>0</w:t>
            </w:r>
          </w:p>
        </w:tc>
      </w:tr>
      <w:tr w:rsidR="0055286C" w:rsidRPr="00EB74A8" w14:paraId="0A562E58" w14:textId="77777777" w:rsidTr="00C5757E">
        <w:trPr>
          <w:trHeight w:val="20"/>
        </w:trPr>
        <w:tc>
          <w:tcPr>
            <w:tcW w:w="2544" w:type="dxa"/>
            <w:tcBorders>
              <w:top w:val="single" w:sz="6" w:space="0" w:color="00DCA1" w:themeColor="background2"/>
              <w:left w:val="single" w:sz="6" w:space="0" w:color="00DCA1" w:themeColor="background2"/>
              <w:bottom w:val="single" w:sz="6" w:space="0" w:color="00DCA1" w:themeColor="background2"/>
              <w:right w:val="nil"/>
            </w:tcBorders>
            <w:shd w:val="clear" w:color="auto" w:fill="D3FCFC" w:themeFill="text2" w:themeFillTint="1A"/>
          </w:tcPr>
          <w:p w14:paraId="2429C93D" w14:textId="77777777" w:rsidR="004C7FAB" w:rsidRPr="00EB74A8" w:rsidRDefault="004C7FAB" w:rsidP="004C7FAB">
            <w:pPr>
              <w:pStyle w:val="Tabletextleftaligned"/>
            </w:pPr>
            <w:r w:rsidRPr="00EB74A8">
              <w:t>Late diagnosis</w:t>
            </w:r>
          </w:p>
        </w:tc>
        <w:tc>
          <w:tcPr>
            <w:tcW w:w="850"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7219FEF3" w14:textId="6135C772" w:rsidR="004C7FAB" w:rsidRPr="00EB74A8" w:rsidRDefault="004C7FAB" w:rsidP="007D5619">
            <w:pPr>
              <w:pStyle w:val="Tabletextleft"/>
            </w:pPr>
            <w:r w:rsidRPr="00EB74A8">
              <w:t>15</w:t>
            </w:r>
          </w:p>
        </w:tc>
        <w:tc>
          <w:tcPr>
            <w:tcW w:w="709"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6A56AFA7" w14:textId="6731517B" w:rsidR="004C7FAB" w:rsidRPr="00EB74A8" w:rsidRDefault="004C7FAB" w:rsidP="007D5619">
            <w:pPr>
              <w:pStyle w:val="Tabletextleft"/>
            </w:pPr>
            <w:r w:rsidRPr="00EB74A8">
              <w:t>15</w:t>
            </w:r>
          </w:p>
        </w:tc>
        <w:tc>
          <w:tcPr>
            <w:tcW w:w="709"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1A9D91C8" w14:textId="6A0FB931" w:rsidR="004C7FAB" w:rsidRPr="00EB74A8" w:rsidRDefault="004C7FAB" w:rsidP="007D5619">
            <w:pPr>
              <w:pStyle w:val="Tabletextleft"/>
            </w:pPr>
            <w:r w:rsidRPr="00EB74A8">
              <w:t>9</w:t>
            </w:r>
          </w:p>
        </w:tc>
        <w:tc>
          <w:tcPr>
            <w:tcW w:w="709"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29EE5FA7" w14:textId="78408103" w:rsidR="004C7FAB" w:rsidRPr="00EB74A8" w:rsidRDefault="004C7FAB" w:rsidP="007D5619">
            <w:pPr>
              <w:pStyle w:val="Tabletextleft"/>
            </w:pPr>
            <w:r w:rsidRPr="00EB74A8">
              <w:t>15</w:t>
            </w:r>
          </w:p>
        </w:tc>
        <w:tc>
          <w:tcPr>
            <w:tcW w:w="850"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38D853C6" w14:textId="5DA245BA" w:rsidR="004C7FAB" w:rsidRPr="00EB74A8" w:rsidRDefault="004C7FAB" w:rsidP="007D5619">
            <w:pPr>
              <w:pStyle w:val="Tabletextleft"/>
            </w:pPr>
            <w:r w:rsidRPr="00EB74A8">
              <w:t>9</w:t>
            </w:r>
          </w:p>
        </w:tc>
        <w:tc>
          <w:tcPr>
            <w:tcW w:w="992"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5E129F0E" w14:textId="3559D14E" w:rsidR="004C7FAB" w:rsidRPr="00EB74A8" w:rsidRDefault="004C7FAB" w:rsidP="007D5619">
            <w:pPr>
              <w:pStyle w:val="Tabletextleft"/>
            </w:pPr>
            <w:r w:rsidRPr="00EB74A8">
              <w:t>3</w:t>
            </w:r>
          </w:p>
        </w:tc>
        <w:tc>
          <w:tcPr>
            <w:tcW w:w="993" w:type="dxa"/>
            <w:tcBorders>
              <w:top w:val="single" w:sz="6" w:space="0" w:color="00DCA1" w:themeColor="background2"/>
              <w:left w:val="nil"/>
              <w:bottom w:val="single" w:sz="6" w:space="0" w:color="00DCA1" w:themeColor="background2"/>
              <w:right w:val="nil"/>
            </w:tcBorders>
            <w:shd w:val="clear" w:color="auto" w:fill="D3FCFC" w:themeFill="text2" w:themeFillTint="1A"/>
            <w:vAlign w:val="top"/>
          </w:tcPr>
          <w:p w14:paraId="0B6CCAE9" w14:textId="51BF63EB" w:rsidR="004C7FAB" w:rsidRPr="00EB74A8" w:rsidRDefault="004C7FAB" w:rsidP="007D5619">
            <w:pPr>
              <w:pStyle w:val="Tabletextleft"/>
            </w:pPr>
            <w:r w:rsidRPr="00EB74A8">
              <w:t>4</w:t>
            </w:r>
          </w:p>
        </w:tc>
        <w:tc>
          <w:tcPr>
            <w:tcW w:w="1134" w:type="dxa"/>
            <w:tcBorders>
              <w:top w:val="single" w:sz="6" w:space="0" w:color="00DCA1" w:themeColor="background2"/>
              <w:left w:val="nil"/>
              <w:bottom w:val="single" w:sz="6" w:space="0" w:color="00DCA1" w:themeColor="background2"/>
              <w:right w:val="single" w:sz="6" w:space="0" w:color="00DCA1" w:themeColor="background2"/>
            </w:tcBorders>
            <w:shd w:val="clear" w:color="auto" w:fill="D3FCFC" w:themeFill="text2" w:themeFillTint="1A"/>
            <w:vAlign w:val="top"/>
          </w:tcPr>
          <w:p w14:paraId="67B0F28E" w14:textId="36690C42" w:rsidR="004C7FAB" w:rsidRPr="00EB74A8" w:rsidRDefault="004C7FAB" w:rsidP="007D5619">
            <w:pPr>
              <w:pStyle w:val="Tabletextleft"/>
            </w:pPr>
            <w:r w:rsidRPr="00EB74A8">
              <w:t>2</w:t>
            </w:r>
          </w:p>
        </w:tc>
      </w:tr>
      <w:tr w:rsidR="0055286C" w:rsidRPr="00EB74A8" w14:paraId="32834A30" w14:textId="77777777" w:rsidTr="00C5757E">
        <w:trPr>
          <w:cnfStyle w:val="000000100000" w:firstRow="0" w:lastRow="0" w:firstColumn="0" w:lastColumn="0" w:oddVBand="0" w:evenVBand="0" w:oddHBand="1" w:evenHBand="0" w:firstRowFirstColumn="0" w:firstRowLastColumn="0" w:lastRowFirstColumn="0" w:lastRowLastColumn="0"/>
          <w:trHeight w:val="20"/>
        </w:trPr>
        <w:tc>
          <w:tcPr>
            <w:tcW w:w="2544" w:type="dxa"/>
            <w:tcBorders>
              <w:top w:val="single" w:sz="6" w:space="0" w:color="00DCA1" w:themeColor="background2"/>
              <w:left w:val="single" w:sz="6" w:space="0" w:color="00DCA1" w:themeColor="background2"/>
              <w:bottom w:val="single" w:sz="6" w:space="0" w:color="00DCA1" w:themeColor="background2"/>
            </w:tcBorders>
          </w:tcPr>
          <w:p w14:paraId="273CAA01" w14:textId="77777777" w:rsidR="004C7FAB" w:rsidRPr="00EB74A8" w:rsidRDefault="004C7FAB" w:rsidP="004C7FAB">
            <w:pPr>
              <w:pStyle w:val="Tabletextleftaligned"/>
              <w:rPr>
                <w:b/>
                <w:bCs/>
              </w:rPr>
            </w:pPr>
            <w:r w:rsidRPr="00EB74A8">
              <w:rPr>
                <w:b/>
                <w:bCs/>
              </w:rPr>
              <w:t>Total</w:t>
            </w:r>
          </w:p>
        </w:tc>
        <w:tc>
          <w:tcPr>
            <w:tcW w:w="850" w:type="dxa"/>
            <w:tcBorders>
              <w:top w:val="single" w:sz="6" w:space="0" w:color="00DCA1" w:themeColor="background2"/>
              <w:bottom w:val="single" w:sz="6" w:space="0" w:color="00DCA1" w:themeColor="background2"/>
            </w:tcBorders>
            <w:vAlign w:val="top"/>
          </w:tcPr>
          <w:p w14:paraId="5D52BF81" w14:textId="77080A4D" w:rsidR="004C7FAB" w:rsidRPr="00EB74A8" w:rsidRDefault="004C7FAB" w:rsidP="007D5619">
            <w:pPr>
              <w:pStyle w:val="Tabletextleft"/>
            </w:pPr>
            <w:r w:rsidRPr="00EB74A8">
              <w:t>17</w:t>
            </w:r>
          </w:p>
        </w:tc>
        <w:tc>
          <w:tcPr>
            <w:tcW w:w="709" w:type="dxa"/>
            <w:tcBorders>
              <w:top w:val="single" w:sz="6" w:space="0" w:color="00DCA1" w:themeColor="background2"/>
              <w:bottom w:val="single" w:sz="6" w:space="0" w:color="00DCA1" w:themeColor="background2"/>
            </w:tcBorders>
            <w:vAlign w:val="top"/>
          </w:tcPr>
          <w:p w14:paraId="4A899B38" w14:textId="0A80335F" w:rsidR="004C7FAB" w:rsidRPr="00EB74A8" w:rsidRDefault="004C7FAB" w:rsidP="007D5619">
            <w:pPr>
              <w:pStyle w:val="Tabletextleft"/>
            </w:pPr>
            <w:r w:rsidRPr="00EB74A8">
              <w:t>15</w:t>
            </w:r>
          </w:p>
        </w:tc>
        <w:tc>
          <w:tcPr>
            <w:tcW w:w="709" w:type="dxa"/>
            <w:tcBorders>
              <w:top w:val="single" w:sz="6" w:space="0" w:color="00DCA1" w:themeColor="background2"/>
              <w:bottom w:val="single" w:sz="6" w:space="0" w:color="00DCA1" w:themeColor="background2"/>
            </w:tcBorders>
            <w:vAlign w:val="top"/>
          </w:tcPr>
          <w:p w14:paraId="1C1487A4" w14:textId="733F7FAD" w:rsidR="004C7FAB" w:rsidRPr="00EB74A8" w:rsidRDefault="004C7FAB" w:rsidP="007D5619">
            <w:pPr>
              <w:pStyle w:val="Tabletextleft"/>
            </w:pPr>
            <w:r w:rsidRPr="00EB74A8">
              <w:t>15</w:t>
            </w:r>
          </w:p>
        </w:tc>
        <w:tc>
          <w:tcPr>
            <w:tcW w:w="709" w:type="dxa"/>
            <w:tcBorders>
              <w:top w:val="single" w:sz="6" w:space="0" w:color="00DCA1" w:themeColor="background2"/>
              <w:bottom w:val="single" w:sz="6" w:space="0" w:color="00DCA1" w:themeColor="background2"/>
            </w:tcBorders>
            <w:vAlign w:val="top"/>
          </w:tcPr>
          <w:p w14:paraId="5AA45F51" w14:textId="66120A94" w:rsidR="004C7FAB" w:rsidRPr="00EB74A8" w:rsidRDefault="004C7FAB" w:rsidP="007D5619">
            <w:pPr>
              <w:pStyle w:val="Tabletextleft"/>
            </w:pPr>
            <w:r w:rsidRPr="00EB74A8">
              <w:t>20</w:t>
            </w:r>
          </w:p>
        </w:tc>
        <w:tc>
          <w:tcPr>
            <w:tcW w:w="850" w:type="dxa"/>
            <w:tcBorders>
              <w:top w:val="single" w:sz="6" w:space="0" w:color="00DCA1" w:themeColor="background2"/>
              <w:bottom w:val="single" w:sz="6" w:space="0" w:color="00DCA1" w:themeColor="background2"/>
            </w:tcBorders>
            <w:vAlign w:val="top"/>
          </w:tcPr>
          <w:p w14:paraId="6EE97DDD" w14:textId="5D2CBDFC" w:rsidR="004C7FAB" w:rsidRPr="00EB74A8" w:rsidRDefault="004C7FAB" w:rsidP="007D5619">
            <w:pPr>
              <w:pStyle w:val="Tabletextleft"/>
            </w:pPr>
            <w:r w:rsidRPr="00EB74A8">
              <w:t>10</w:t>
            </w:r>
          </w:p>
        </w:tc>
        <w:tc>
          <w:tcPr>
            <w:tcW w:w="992" w:type="dxa"/>
            <w:tcBorders>
              <w:top w:val="single" w:sz="6" w:space="0" w:color="00DCA1" w:themeColor="background2"/>
              <w:bottom w:val="single" w:sz="6" w:space="0" w:color="00DCA1" w:themeColor="background2"/>
            </w:tcBorders>
            <w:vAlign w:val="top"/>
          </w:tcPr>
          <w:p w14:paraId="0E8E8684" w14:textId="18814DCE" w:rsidR="004C7FAB" w:rsidRPr="00EB74A8" w:rsidRDefault="004C7FAB" w:rsidP="007D5619">
            <w:pPr>
              <w:pStyle w:val="Tabletextleft"/>
            </w:pPr>
            <w:r w:rsidRPr="00EB74A8">
              <w:t>3</w:t>
            </w:r>
          </w:p>
        </w:tc>
        <w:tc>
          <w:tcPr>
            <w:tcW w:w="993" w:type="dxa"/>
            <w:tcBorders>
              <w:top w:val="single" w:sz="6" w:space="0" w:color="00DCA1" w:themeColor="background2"/>
              <w:bottom w:val="single" w:sz="6" w:space="0" w:color="00DCA1" w:themeColor="background2"/>
            </w:tcBorders>
            <w:vAlign w:val="top"/>
          </w:tcPr>
          <w:p w14:paraId="0CCB39EB" w14:textId="3392A8D6" w:rsidR="004C7FAB" w:rsidRPr="00EB74A8" w:rsidRDefault="004C7FAB" w:rsidP="007D5619">
            <w:pPr>
              <w:pStyle w:val="Tabletextleft"/>
            </w:pPr>
            <w:r w:rsidRPr="00EB74A8">
              <w:t>6</w:t>
            </w:r>
          </w:p>
        </w:tc>
        <w:tc>
          <w:tcPr>
            <w:tcW w:w="1134" w:type="dxa"/>
            <w:tcBorders>
              <w:top w:val="single" w:sz="6" w:space="0" w:color="00DCA1" w:themeColor="background2"/>
              <w:bottom w:val="single" w:sz="6" w:space="0" w:color="00DCA1" w:themeColor="background2"/>
              <w:right w:val="single" w:sz="6" w:space="0" w:color="00DCA1" w:themeColor="background2"/>
            </w:tcBorders>
            <w:vAlign w:val="top"/>
          </w:tcPr>
          <w:p w14:paraId="6B79962E" w14:textId="1C63DAC8" w:rsidR="004C7FAB" w:rsidRPr="00EB74A8" w:rsidRDefault="004C7FAB" w:rsidP="007D5619">
            <w:pPr>
              <w:pStyle w:val="Tabletextleft"/>
            </w:pPr>
            <w:r w:rsidRPr="00EB74A8">
              <w:t>2</w:t>
            </w:r>
          </w:p>
        </w:tc>
      </w:tr>
    </w:tbl>
    <w:p w14:paraId="3FA79D22" w14:textId="149DA37D" w:rsidR="00042AC2" w:rsidRPr="00EB74A8" w:rsidRDefault="00042AC2" w:rsidP="00142D64">
      <w:pPr>
        <w:tabs>
          <w:tab w:val="left" w:pos="426"/>
        </w:tabs>
        <w:spacing w:before="0" w:after="0"/>
        <w:rPr>
          <w:rStyle w:val="Notetext"/>
        </w:rPr>
      </w:pPr>
      <w:r w:rsidRPr="00EB74A8">
        <w:rPr>
          <w:rStyle w:val="Notetext"/>
        </w:rPr>
        <w:t>Note:</w:t>
      </w:r>
    </w:p>
    <w:p w14:paraId="65E77423" w14:textId="1824EF15" w:rsidR="00FC7248" w:rsidRPr="00EB74A8" w:rsidRDefault="00FC7248" w:rsidP="00142D64">
      <w:pPr>
        <w:tabs>
          <w:tab w:val="left" w:pos="426"/>
        </w:tabs>
        <w:spacing w:before="0" w:after="0" w:line="240" w:lineRule="auto"/>
        <w:rPr>
          <w:rStyle w:val="Notetext"/>
        </w:rPr>
      </w:pPr>
      <w:r w:rsidRPr="00EB74A8">
        <w:rPr>
          <w:rStyle w:val="Notetext"/>
        </w:rPr>
        <w:t>1</w:t>
      </w:r>
      <w:r w:rsidR="00142D64" w:rsidRPr="00EB74A8">
        <w:rPr>
          <w:rStyle w:val="Notetext"/>
        </w:rPr>
        <w:t xml:space="preserve"> </w:t>
      </w:r>
      <w:r w:rsidR="00431786" w:rsidRPr="00EB74A8">
        <w:rPr>
          <w:rStyle w:val="Notetext"/>
        </w:rPr>
        <w:t>Includes cases with unknown Indigenous status</w:t>
      </w:r>
      <w:r w:rsidRPr="00EB74A8">
        <w:rPr>
          <w:rStyle w:val="Notetext"/>
        </w:rPr>
        <w:t>.</w:t>
      </w:r>
    </w:p>
    <w:p w14:paraId="721FBBBD" w14:textId="56500A25" w:rsidR="00714011" w:rsidRPr="00EB74A8" w:rsidRDefault="00714011" w:rsidP="00C77B8E">
      <w:pPr>
        <w:pStyle w:val="Heading2"/>
      </w:pPr>
      <w:bookmarkStart w:id="40" w:name="_Toc225244430"/>
      <w:r w:rsidRPr="00EB74A8">
        <w:t>Indicator 4.6 –</w:t>
      </w:r>
      <w:r w:rsidR="00C77B8E" w:rsidRPr="00EB74A8">
        <w:t xml:space="preserve"> A</w:t>
      </w:r>
      <w:r w:rsidRPr="00EB74A8">
        <w:t>dequate treatment</w:t>
      </w:r>
      <w:bookmarkEnd w:id="40"/>
    </w:p>
    <w:p w14:paraId="28855381" w14:textId="35C434ED" w:rsidR="00714011" w:rsidRPr="00EB74A8" w:rsidRDefault="00714011" w:rsidP="00C77B8E">
      <w:pPr>
        <w:pStyle w:val="Boxemerald"/>
      </w:pPr>
      <w:r w:rsidRPr="00EB74A8">
        <w:t>4.6 Proportion of women</w:t>
      </w:r>
      <w:r w:rsidR="00C77B8E" w:rsidRPr="00EB74A8">
        <w:t xml:space="preserve"> </w:t>
      </w:r>
      <w:r w:rsidRPr="00EB74A8">
        <w:t>giving birth to an infant with congenital syphilis receiving adequate treatment prior to delivery</w:t>
      </w:r>
    </w:p>
    <w:p w14:paraId="6FF4337C" w14:textId="5A4F4A81" w:rsidR="00710275" w:rsidRPr="00EB74A8" w:rsidRDefault="00710275" w:rsidP="00714011">
      <w:r w:rsidRPr="00EB74A8">
        <w:t>Treatment is considered adequate if a stage-appropriate penicillin-containing regimen is administered 30 days or more prior to delivery</w:t>
      </w:r>
      <w:r w:rsidR="003A345F" w:rsidRPr="00EB74A8">
        <w:t>,</w:t>
      </w:r>
      <w:r w:rsidRPr="00EB74A8">
        <w:t xml:space="preserve"> and all antenatal and delivery pathology were performed and results verified with no evidence of reinfection.</w:t>
      </w:r>
    </w:p>
    <w:p w14:paraId="1DE131F7" w14:textId="601F9D16" w:rsidR="00714011" w:rsidRPr="00EB74A8" w:rsidRDefault="00714011" w:rsidP="00714011">
      <w:r w:rsidRPr="00EB74A8">
        <w:t>Maternal treatment of syphilis was reported for 93% (</w:t>
      </w:r>
      <w:r w:rsidR="008477C0" w:rsidRPr="00EB74A8">
        <w:t>82</w:t>
      </w:r>
      <w:r w:rsidRPr="00EB74A8">
        <w:t>/8</w:t>
      </w:r>
      <w:r w:rsidR="008477C0" w:rsidRPr="00EB74A8">
        <w:t>8</w:t>
      </w:r>
      <w:r w:rsidRPr="00EB74A8">
        <w:t>) of women giving birth to an infant with congenital syphilis between 2020 and Q</w:t>
      </w:r>
      <w:r w:rsidR="008477C0" w:rsidRPr="00EB74A8">
        <w:t xml:space="preserve">3 </w:t>
      </w:r>
      <w:r w:rsidRPr="00EB74A8">
        <w:t>2025. Of these women 9</w:t>
      </w:r>
      <w:r w:rsidR="00B06D80" w:rsidRPr="00EB74A8">
        <w:t>6</w:t>
      </w:r>
      <w:r w:rsidRPr="00EB74A8">
        <w:t>% (7</w:t>
      </w:r>
      <w:r w:rsidR="00B06D80" w:rsidRPr="00EB74A8">
        <w:t>9</w:t>
      </w:r>
      <w:r w:rsidRPr="00EB74A8">
        <w:t>/</w:t>
      </w:r>
      <w:r w:rsidR="00B06D80" w:rsidRPr="00EB74A8">
        <w:t>82</w:t>
      </w:r>
      <w:r w:rsidRPr="00EB74A8">
        <w:t>) did not receive adequate treatment prior to delivery (Figure 12)</w:t>
      </w:r>
      <w:r w:rsidR="0067087C" w:rsidRPr="00EB74A8">
        <w:t>. T</w:t>
      </w:r>
      <w:r w:rsidRPr="00EB74A8">
        <w:t xml:space="preserve">his includes </w:t>
      </w:r>
      <w:r w:rsidR="00E62893" w:rsidRPr="00EB74A8">
        <w:t>54</w:t>
      </w:r>
      <w:r w:rsidRPr="00EB74A8">
        <w:t xml:space="preserve"> women who were diagnosed at-birth (day of delivery) and post-birth and 1</w:t>
      </w:r>
      <w:r w:rsidR="00E62893" w:rsidRPr="00EB74A8">
        <w:t>3</w:t>
      </w:r>
      <w:r w:rsidRPr="00EB74A8">
        <w:t xml:space="preserve"> women who were diagnosed in the third trimester (</w:t>
      </w:r>
      <w:r w:rsidR="00D54B18" w:rsidRPr="00EB74A8">
        <w:t xml:space="preserve">fewer than </w:t>
      </w:r>
      <w:r w:rsidRPr="00EB74A8">
        <w:t xml:space="preserve">30 days prior to delivery). Of the remaining cases, </w:t>
      </w:r>
      <w:r w:rsidR="001D164A" w:rsidRPr="00EB74A8">
        <w:t>9</w:t>
      </w:r>
      <w:r w:rsidRPr="00EB74A8">
        <w:t xml:space="preserve"> were diagnosed in the 2nd trimester and </w:t>
      </w:r>
      <w:r w:rsidR="00D54B18" w:rsidRPr="00EB74A8">
        <w:t>3</w:t>
      </w:r>
      <w:r w:rsidRPr="00EB74A8">
        <w:t xml:space="preserve"> had an unknown trimester of diagnosis.</w:t>
      </w:r>
    </w:p>
    <w:p w14:paraId="1EE988DF" w14:textId="77777777" w:rsidR="00D34A93" w:rsidRPr="00EB74A8" w:rsidRDefault="00714011" w:rsidP="00714011">
      <w:r w:rsidRPr="00EB74A8">
        <w:t>Of the 7</w:t>
      </w:r>
      <w:r w:rsidR="001D164A" w:rsidRPr="00EB74A8">
        <w:t>9</w:t>
      </w:r>
      <w:r w:rsidRPr="00EB74A8">
        <w:t xml:space="preserve"> women who did not receive adequate treatment prior to delivery</w:t>
      </w:r>
      <w:r w:rsidR="00097D27" w:rsidRPr="00EB74A8">
        <w:t xml:space="preserve"> </w:t>
      </w:r>
      <w:r w:rsidRPr="00EB74A8">
        <w:t>one-third (3</w:t>
      </w:r>
      <w:r w:rsidR="005F4634" w:rsidRPr="00EB74A8">
        <w:t>4</w:t>
      </w:r>
      <w:r w:rsidRPr="00EB74A8">
        <w:t>%, 2</w:t>
      </w:r>
      <w:r w:rsidR="003B4953" w:rsidRPr="00EB74A8">
        <w:t>7</w:t>
      </w:r>
      <w:r w:rsidRPr="00EB74A8">
        <w:t>/7</w:t>
      </w:r>
      <w:r w:rsidR="003B4953" w:rsidRPr="00EB74A8">
        <w:t>9</w:t>
      </w:r>
      <w:r w:rsidRPr="00EB74A8">
        <w:t>) of these pregnancies resulted in a congenital syphilis fetal death (still-birth or following birth)</w:t>
      </w:r>
      <w:r w:rsidR="007D1B9C" w:rsidRPr="00EB74A8">
        <w:t>. Thirty-four per cent</w:t>
      </w:r>
      <w:r w:rsidR="00097D27" w:rsidRPr="00EB74A8">
        <w:t xml:space="preserve"> </w:t>
      </w:r>
      <w:r w:rsidR="007D1B9C" w:rsidRPr="00EB74A8">
        <w:t>(</w:t>
      </w:r>
      <w:r w:rsidRPr="00EB74A8">
        <w:t>3</w:t>
      </w:r>
      <w:r w:rsidR="00E03A96" w:rsidRPr="00EB74A8">
        <w:t>4</w:t>
      </w:r>
      <w:r w:rsidRPr="00EB74A8">
        <w:t>%</w:t>
      </w:r>
      <w:r w:rsidR="007D1B9C" w:rsidRPr="00EB74A8">
        <w:t xml:space="preserve">, </w:t>
      </w:r>
      <w:r w:rsidRPr="00EB74A8">
        <w:t>2</w:t>
      </w:r>
      <w:r w:rsidR="00E03A96" w:rsidRPr="00EB74A8">
        <w:t>7</w:t>
      </w:r>
      <w:r w:rsidRPr="00EB74A8">
        <w:t>/7</w:t>
      </w:r>
      <w:r w:rsidR="00E03A96" w:rsidRPr="00EB74A8">
        <w:t>9</w:t>
      </w:r>
      <w:r w:rsidRPr="00EB74A8">
        <w:t xml:space="preserve">) gave birth to a live-born infant with a range of clinical symptoms associated with congenital syphilis including bone abnormalities, damage to spleen and/or liver, anaemia, hearing loss, jaundice and sepsis. </w:t>
      </w:r>
    </w:p>
    <w:p w14:paraId="7996E0E6" w14:textId="77777777" w:rsidR="00D34A93" w:rsidRPr="00EB74A8" w:rsidRDefault="00D34A93">
      <w:pPr>
        <w:spacing w:before="0" w:after="0" w:line="240" w:lineRule="auto"/>
      </w:pPr>
      <w:r w:rsidRPr="00EB74A8">
        <w:br w:type="page"/>
      </w:r>
    </w:p>
    <w:p w14:paraId="339CD9D5" w14:textId="0034831F" w:rsidR="00836D30" w:rsidRPr="00EB74A8" w:rsidRDefault="00714011" w:rsidP="00714011">
      <w:r w:rsidRPr="00EB74A8">
        <w:lastRenderedPageBreak/>
        <w:t>Eight women gave birth to infants (1</w:t>
      </w:r>
      <w:r w:rsidR="00725965" w:rsidRPr="00EB74A8">
        <w:t>0</w:t>
      </w:r>
      <w:r w:rsidRPr="00EB74A8">
        <w:t>%, 8/7</w:t>
      </w:r>
      <w:r w:rsidR="00725965" w:rsidRPr="00EB74A8">
        <w:t>9</w:t>
      </w:r>
      <w:r w:rsidRPr="00EB74A8">
        <w:t>) with congenital syphilis</w:t>
      </w:r>
      <w:r w:rsidR="00E71022" w:rsidRPr="00EB74A8">
        <w:t xml:space="preserve"> who</w:t>
      </w:r>
      <w:r w:rsidRPr="00EB74A8">
        <w:t xml:space="preserve"> were diagnosed in the weeks and months following their birth. Where additional information </w:t>
      </w:r>
      <w:proofErr w:type="gramStart"/>
      <w:r w:rsidRPr="00EB74A8">
        <w:t>were</w:t>
      </w:r>
      <w:proofErr w:type="gramEnd"/>
      <w:r w:rsidRPr="00EB74A8">
        <w:t xml:space="preserve"> available, the reason for the later diagnosis were reported as</w:t>
      </w:r>
      <w:r w:rsidR="00836D30" w:rsidRPr="00EB74A8">
        <w:t>:</w:t>
      </w:r>
    </w:p>
    <w:p w14:paraId="43ED8B28" w14:textId="77777777" w:rsidR="00836D30" w:rsidRPr="00EB74A8" w:rsidRDefault="00714011" w:rsidP="00836D30">
      <w:pPr>
        <w:pStyle w:val="ListParagraph"/>
        <w:ind w:left="357" w:hanging="357"/>
      </w:pPr>
      <w:r w:rsidRPr="00EB74A8">
        <w:t>the infant not being investigated at birth as they were clinically well</w:t>
      </w:r>
    </w:p>
    <w:p w14:paraId="3D596E11" w14:textId="77777777" w:rsidR="00836D30" w:rsidRPr="00EB74A8" w:rsidRDefault="00714011" w:rsidP="00836D30">
      <w:pPr>
        <w:pStyle w:val="ListParagraph"/>
        <w:ind w:left="357" w:hanging="357"/>
      </w:pPr>
      <w:r w:rsidRPr="00EB74A8">
        <w:t xml:space="preserve">the mother </w:t>
      </w:r>
      <w:r w:rsidR="00836D30" w:rsidRPr="00EB74A8">
        <w:t>being</w:t>
      </w:r>
      <w:r w:rsidRPr="00EB74A8">
        <w:t xml:space="preserve"> diagnosed with syphilis post-birth </w:t>
      </w:r>
    </w:p>
    <w:p w14:paraId="7C009045" w14:textId="57283E11" w:rsidR="00836D30" w:rsidRPr="00EB74A8" w:rsidRDefault="00714011" w:rsidP="00836D30">
      <w:pPr>
        <w:pStyle w:val="ListParagraph"/>
        <w:ind w:left="357" w:hanging="357"/>
      </w:pPr>
      <w:r w:rsidRPr="00EB74A8">
        <w:t>the infant present</w:t>
      </w:r>
      <w:r w:rsidR="00836D30" w:rsidRPr="00EB74A8">
        <w:t>ing</w:t>
      </w:r>
      <w:r w:rsidRPr="00EB74A8">
        <w:t xml:space="preserve"> with symptoms post-birth. </w:t>
      </w:r>
    </w:p>
    <w:p w14:paraId="634689C0" w14:textId="0E537AB2" w:rsidR="00714011" w:rsidRPr="00EB74A8" w:rsidRDefault="00714011" w:rsidP="00714011">
      <w:r w:rsidRPr="00EB74A8">
        <w:t>The remaining 1</w:t>
      </w:r>
      <w:r w:rsidR="000804EB" w:rsidRPr="00EB74A8">
        <w:t>7</w:t>
      </w:r>
      <w:r w:rsidRPr="00EB74A8">
        <w:t xml:space="preserve"> women gave birth to infants (2</w:t>
      </w:r>
      <w:r w:rsidR="000804EB" w:rsidRPr="00EB74A8">
        <w:t>2</w:t>
      </w:r>
      <w:r w:rsidRPr="00EB74A8">
        <w:t>%, 1</w:t>
      </w:r>
      <w:r w:rsidR="000804EB" w:rsidRPr="00EB74A8">
        <w:t>7</w:t>
      </w:r>
      <w:r w:rsidRPr="00EB74A8">
        <w:t>/7</w:t>
      </w:r>
      <w:r w:rsidR="000804EB" w:rsidRPr="00EB74A8">
        <w:t>9</w:t>
      </w:r>
      <w:r w:rsidRPr="00EB74A8">
        <w:t xml:space="preserve">) with congenital syphilis that were </w:t>
      </w:r>
      <w:proofErr w:type="gramStart"/>
      <w:r w:rsidRPr="00EB74A8">
        <w:t>live-born</w:t>
      </w:r>
      <w:proofErr w:type="gramEnd"/>
      <w:r w:rsidRPr="00EB74A8">
        <w:t xml:space="preserve"> with no congenital syphilis symptoms. </w:t>
      </w:r>
    </w:p>
    <w:p w14:paraId="241F6D5C" w14:textId="2A4B9F76" w:rsidR="00714011" w:rsidRPr="00EB74A8" w:rsidRDefault="00714011" w:rsidP="00657FDD">
      <w:pPr>
        <w:pStyle w:val="HeadingFigure"/>
      </w:pPr>
      <w:bookmarkStart w:id="41" w:name="_Toc224801189"/>
      <w:r w:rsidRPr="00EB74A8">
        <w:t xml:space="preserve">Adequate maternal treatment among women giving birth to an infant with congenital syphilis, 2020 </w:t>
      </w:r>
      <w:r w:rsidR="00657FDD" w:rsidRPr="00EB74A8">
        <w:t>to</w:t>
      </w:r>
      <w:r w:rsidRPr="00EB74A8">
        <w:t xml:space="preserve"> Q</w:t>
      </w:r>
      <w:r w:rsidR="00B04215" w:rsidRPr="00EB74A8">
        <w:t>3</w:t>
      </w:r>
      <w:r w:rsidRPr="00EB74A8">
        <w:t xml:space="preserve"> 202</w:t>
      </w:r>
      <w:r w:rsidR="0071059F" w:rsidRPr="00EB74A8">
        <w:t>5</w:t>
      </w:r>
      <w:bookmarkEnd w:id="41"/>
    </w:p>
    <w:p w14:paraId="76AE07A6" w14:textId="5794F413" w:rsidR="00E4667E" w:rsidRPr="00EB74A8" w:rsidRDefault="0022473D" w:rsidP="006329C5">
      <w:r w:rsidRPr="00EB74A8">
        <w:rPr>
          <w:noProof/>
        </w:rPr>
        <w:drawing>
          <wp:inline distT="0" distB="0" distL="0" distR="0" wp14:anchorId="3EFEE901" wp14:editId="5AEF016C">
            <wp:extent cx="6093460" cy="3969005"/>
            <wp:effectExtent l="0" t="0" r="2540" b="0"/>
            <wp:docPr id="1900381828" name="Picture 6" descr="This figure shows that vast majority of women who gave birth to an infant with congenital syphilis did not receive adequate maternal treatment before delivery, across all years from 2020 to Q3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81828" name="Picture 6" descr="This figure shows that vast majority of women who gave birth to an infant with congenital syphilis did not receive adequate maternal treatment before delivery, across all years from 2020 to Q3 2025.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3120" cy="3981811"/>
                    </a:xfrm>
                    <a:prstGeom prst="rect">
                      <a:avLst/>
                    </a:prstGeom>
                    <a:noFill/>
                  </pic:spPr>
                </pic:pic>
              </a:graphicData>
            </a:graphic>
          </wp:inline>
        </w:drawing>
      </w:r>
    </w:p>
    <w:p w14:paraId="1EE8196A" w14:textId="77777777" w:rsidR="00FA5C8F" w:rsidRPr="00EB74A8" w:rsidRDefault="00FA5C8F">
      <w:pPr>
        <w:spacing w:before="0" w:after="0" w:line="240" w:lineRule="auto"/>
        <w:rPr>
          <w:rFonts w:eastAsiaTheme="majorEastAsia" w:cstheme="majorBidi"/>
          <w:b/>
          <w:color w:val="033636" w:themeColor="text2"/>
          <w:sz w:val="40"/>
          <w:szCs w:val="26"/>
        </w:rPr>
      </w:pPr>
      <w:r w:rsidRPr="00EB74A8">
        <w:br w:type="page"/>
      </w:r>
    </w:p>
    <w:p w14:paraId="3C4D4AC6" w14:textId="0F7537BD" w:rsidR="00245ADB" w:rsidRPr="00EB74A8" w:rsidRDefault="008F5482" w:rsidP="00222B9B">
      <w:pPr>
        <w:pStyle w:val="Heading2"/>
      </w:pPr>
      <w:bookmarkStart w:id="42" w:name="_Toc225244431"/>
      <w:r w:rsidRPr="00EB74A8">
        <w:lastRenderedPageBreak/>
        <w:t xml:space="preserve">Indicator 4.7 </w:t>
      </w:r>
      <w:r w:rsidR="00222B9B" w:rsidRPr="00EB74A8">
        <w:t>–</w:t>
      </w:r>
      <w:r w:rsidRPr="00EB74A8">
        <w:t xml:space="preserve"> </w:t>
      </w:r>
      <w:r w:rsidR="00222B9B" w:rsidRPr="00EB74A8">
        <w:t>Testing during pregnancy</w:t>
      </w:r>
      <w:bookmarkEnd w:id="42"/>
    </w:p>
    <w:p w14:paraId="314FA74D" w14:textId="0837337F" w:rsidR="00245ADB" w:rsidRPr="00EB74A8" w:rsidRDefault="00245ADB" w:rsidP="002E5AE7">
      <w:pPr>
        <w:pStyle w:val="Boxemerald"/>
      </w:pPr>
      <w:r w:rsidRPr="00EB74A8">
        <w:t>4.7 Number of women giving birth to an infant with congenital syphilis by number of syphilis tests received during their pregnancy</w:t>
      </w:r>
    </w:p>
    <w:p w14:paraId="57D214E1" w14:textId="4FF6588A" w:rsidR="00245ADB" w:rsidRPr="00EB74A8" w:rsidRDefault="00245ADB" w:rsidP="00245ADB">
      <w:r w:rsidRPr="00EB74A8">
        <w:t>Maternal syphilis testing history was reported for 9</w:t>
      </w:r>
      <w:r w:rsidR="00EA34CF" w:rsidRPr="00EB74A8">
        <w:t>7</w:t>
      </w:r>
      <w:r w:rsidRPr="00EB74A8">
        <w:t>% (</w:t>
      </w:r>
      <w:r w:rsidR="007C0F4A" w:rsidRPr="00EB74A8">
        <w:t>85/88</w:t>
      </w:r>
      <w:r w:rsidRPr="00EB74A8">
        <w:t>) of women giving birth to an infant</w:t>
      </w:r>
      <w:r w:rsidR="007C1FD9" w:rsidRPr="00EB74A8">
        <w:t xml:space="preserve"> with congenital syphilis</w:t>
      </w:r>
      <w:r w:rsidRPr="00EB74A8">
        <w:t xml:space="preserve"> between 2020 and Q</w:t>
      </w:r>
      <w:r w:rsidR="007C0F4A" w:rsidRPr="00EB74A8">
        <w:t>2</w:t>
      </w:r>
      <w:r w:rsidRPr="00EB74A8">
        <w:t xml:space="preserve"> 2025 (Figure 13). Of those women</w:t>
      </w:r>
      <w:r w:rsidR="00962C43" w:rsidRPr="00EB74A8">
        <w:t>,</w:t>
      </w:r>
      <w:r w:rsidRPr="00EB74A8">
        <w:t xml:space="preserve"> 6</w:t>
      </w:r>
      <w:r w:rsidR="00DA6712" w:rsidRPr="00EB74A8">
        <w:t>2</w:t>
      </w:r>
      <w:r w:rsidRPr="00EB74A8">
        <w:t>% (5</w:t>
      </w:r>
      <w:r w:rsidR="00DA6712" w:rsidRPr="00EB74A8">
        <w:t>3</w:t>
      </w:r>
      <w:r w:rsidRPr="00EB74A8">
        <w:t>/</w:t>
      </w:r>
      <w:r w:rsidR="00DA6712" w:rsidRPr="00EB74A8">
        <w:t>85</w:t>
      </w:r>
      <w:r w:rsidRPr="00EB74A8">
        <w:t xml:space="preserve">) did not report a previous syphilis test during their current pregnancy prior to being diagnosed with infectious syphilis. </w:t>
      </w:r>
      <w:r w:rsidR="000F1B60" w:rsidRPr="00EB74A8">
        <w:t>Thirty-two per cent (32%) of cases</w:t>
      </w:r>
      <w:r w:rsidRPr="00EB74A8">
        <w:t xml:space="preserve"> (27/</w:t>
      </w:r>
      <w:r w:rsidR="005E2A95" w:rsidRPr="00EB74A8">
        <w:t>85</w:t>
      </w:r>
      <w:r w:rsidRPr="00EB74A8">
        <w:t>) reported at least one previous syphilis test</w:t>
      </w:r>
      <w:r w:rsidR="00824E30" w:rsidRPr="00EB74A8">
        <w:t xml:space="preserve"> and one (1) case reported having two (2) </w:t>
      </w:r>
      <w:r w:rsidR="00383020" w:rsidRPr="00EB74A8">
        <w:t>tests during their current pregnancy. O</w:t>
      </w:r>
      <w:r w:rsidR="00141C27" w:rsidRPr="00EB74A8">
        <w:t>nly one (1)</w:t>
      </w:r>
      <w:r w:rsidRPr="00EB74A8">
        <w:t xml:space="preserve"> wom</w:t>
      </w:r>
      <w:r w:rsidR="0034785F" w:rsidRPr="00EB74A8">
        <w:t>a</w:t>
      </w:r>
      <w:r w:rsidRPr="00EB74A8">
        <w:t xml:space="preserve">n reported having 3 or more tests during their current pregnancy as recommended in national and jurisdictional guidelines </w:t>
      </w:r>
      <w:r w:rsidRPr="00EB74A8">
        <w:fldChar w:fldCharType="begin">
          <w:fldData xml:space="preserve">PEVuZE5vdGU+PENpdGU+PFJlY051bT44PC9SZWNOdW0+PERpc3BsYXlUZXh0Pig4LTE1KTwvRGlz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==
</w:fldData>
        </w:fldChar>
      </w:r>
      <w:r w:rsidR="001629AA" w:rsidRPr="00EB74A8">
        <w:instrText xml:space="preserve"> ADDIN EN.CITE </w:instrText>
      </w:r>
      <w:r w:rsidR="001629AA" w:rsidRPr="00EB74A8">
        <w:fldChar w:fldCharType="begin">
          <w:fldData xml:space="preserve">PEVuZE5vdGU+PENpdGU+PFJlY051bT44PC9SZWNOdW0+PERpc3BsYXlUZXh0Pig4LTE1KTwvRGlz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==
</w:fldData>
        </w:fldChar>
      </w:r>
      <w:r w:rsidR="001629AA" w:rsidRPr="00EB74A8">
        <w:instrText xml:space="preserve"> ADDIN EN.CITE.DATA </w:instrText>
      </w:r>
      <w:r w:rsidR="001629AA" w:rsidRPr="00EB74A8">
        <w:fldChar w:fldCharType="end"/>
      </w:r>
      <w:r w:rsidRPr="00EB74A8">
        <w:fldChar w:fldCharType="separate"/>
      </w:r>
      <w:r w:rsidR="001629AA" w:rsidRPr="00EB74A8">
        <w:rPr>
          <w:noProof/>
        </w:rPr>
        <w:t>(8-15)</w:t>
      </w:r>
      <w:r w:rsidRPr="00EB74A8">
        <w:fldChar w:fldCharType="end"/>
      </w:r>
      <w:r w:rsidRPr="00EB74A8">
        <w:t xml:space="preserve"> (Figure 13).</w:t>
      </w:r>
      <w:r w:rsidR="00FE28EB" w:rsidRPr="00EB74A8">
        <w:t>The remaining three (3) cases report</w:t>
      </w:r>
      <w:r w:rsidR="00DD2F47" w:rsidRPr="00EB74A8">
        <w:t>ed</w:t>
      </w:r>
      <w:r w:rsidR="00FE28EB" w:rsidRPr="00EB74A8">
        <w:t xml:space="preserve"> </w:t>
      </w:r>
      <w:r w:rsidR="00DD2F47" w:rsidRPr="00EB74A8">
        <w:t>a</w:t>
      </w:r>
      <w:r w:rsidR="00FE28EB" w:rsidRPr="00EB74A8">
        <w:t xml:space="preserve"> previous test during the</w:t>
      </w:r>
      <w:r w:rsidR="00DD2F47" w:rsidRPr="00EB74A8">
        <w:t>ir</w:t>
      </w:r>
      <w:r w:rsidR="00FE28EB" w:rsidRPr="00EB74A8">
        <w:t xml:space="preserve"> current pregnancy</w:t>
      </w:r>
      <w:r w:rsidR="00DD2F47" w:rsidRPr="00EB74A8">
        <w:t>, but the number of tests was unknown.</w:t>
      </w:r>
    </w:p>
    <w:p w14:paraId="3177E8C3" w14:textId="6D3064D8" w:rsidR="00245ADB" w:rsidRPr="00EB74A8" w:rsidRDefault="00245ADB" w:rsidP="002E5AE7">
      <w:pPr>
        <w:pStyle w:val="HeadingFigure"/>
      </w:pPr>
      <w:bookmarkStart w:id="43" w:name="_Toc224801190"/>
      <w:r w:rsidRPr="00EB74A8">
        <w:t>Maternal syphilis testing history during pregnancy among women</w:t>
      </w:r>
      <w:r w:rsidR="002E5AE7" w:rsidRPr="00EB74A8">
        <w:t xml:space="preserve"> </w:t>
      </w:r>
      <w:r w:rsidRPr="00EB74A8">
        <w:t xml:space="preserve">giving birth to an infant with congenital syphilis, by stage of pregnancy at syphilis diagnosis, 2020 </w:t>
      </w:r>
      <w:r w:rsidR="002E5AE7" w:rsidRPr="00EB74A8">
        <w:t>to</w:t>
      </w:r>
      <w:r w:rsidRPr="00EB74A8">
        <w:t xml:space="preserve"> Q</w:t>
      </w:r>
      <w:r w:rsidR="00DD2F47" w:rsidRPr="00EB74A8">
        <w:t>3</w:t>
      </w:r>
      <w:r w:rsidRPr="00EB74A8">
        <w:t xml:space="preserve"> 202</w:t>
      </w:r>
      <w:r w:rsidR="005551C0" w:rsidRPr="00EB74A8">
        <w:t>5</w:t>
      </w:r>
      <w:bookmarkEnd w:id="43"/>
    </w:p>
    <w:p w14:paraId="6924514B" w14:textId="30C2E224" w:rsidR="00245ADB" w:rsidRPr="00EB74A8" w:rsidRDefault="005551C0" w:rsidP="006329C5">
      <w:r w:rsidRPr="00EB74A8">
        <w:rPr>
          <w:noProof/>
        </w:rPr>
        <w:drawing>
          <wp:inline distT="0" distB="0" distL="0" distR="0" wp14:anchorId="02947920" wp14:editId="1B3E7888">
            <wp:extent cx="6244177" cy="4067175"/>
            <wp:effectExtent l="0" t="0" r="4445" b="0"/>
            <wp:docPr id="1896658765" name="Picture 1" descr="This figure shows the testing history of women who gave birth to an infant with congenital syphilis during first, second and third trimesters, at birth and post birth. It shows the vast majority of women had received no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58765" name="Picture 1" descr="This figure shows the testing history of women who gave birth to an infant with congenital syphilis during first, second and third trimesters, at birth and post birth. It shows the vast majority of women had received no te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54720" cy="4074042"/>
                    </a:xfrm>
                    <a:prstGeom prst="rect">
                      <a:avLst/>
                    </a:prstGeom>
                    <a:noFill/>
                  </pic:spPr>
                </pic:pic>
              </a:graphicData>
            </a:graphic>
          </wp:inline>
        </w:drawing>
      </w:r>
    </w:p>
    <w:p w14:paraId="3A3FCBC7" w14:textId="77777777" w:rsidR="004F6405" w:rsidRPr="00EB74A8" w:rsidRDefault="004F6405">
      <w:pPr>
        <w:spacing w:before="0" w:after="0" w:line="240" w:lineRule="auto"/>
        <w:rPr>
          <w:rFonts w:eastAsiaTheme="majorEastAsia" w:cstheme="majorBidi"/>
          <w:b/>
          <w:color w:val="033636" w:themeColor="text2"/>
          <w:sz w:val="40"/>
          <w:szCs w:val="26"/>
        </w:rPr>
      </w:pPr>
      <w:r w:rsidRPr="00EB74A8">
        <w:br w:type="page"/>
      </w:r>
    </w:p>
    <w:p w14:paraId="66D66CD7" w14:textId="60C9D6BC" w:rsidR="00AB1D43" w:rsidRPr="00EB74A8" w:rsidRDefault="001B699C" w:rsidP="00DC6370">
      <w:pPr>
        <w:pStyle w:val="Heading2"/>
      </w:pPr>
      <w:bookmarkStart w:id="44" w:name="_Toc225244432"/>
      <w:r w:rsidRPr="00EB74A8">
        <w:lastRenderedPageBreak/>
        <w:t>Indicator 4.8 – Reinfection during pregnancy</w:t>
      </w:r>
      <w:bookmarkEnd w:id="44"/>
    </w:p>
    <w:p w14:paraId="4647CA34" w14:textId="6C9AE5F2" w:rsidR="00DC6370" w:rsidRPr="00EB74A8" w:rsidRDefault="00DC6370" w:rsidP="00DC6370">
      <w:pPr>
        <w:pStyle w:val="Boxemerald"/>
      </w:pPr>
      <w:r w:rsidRPr="00EB74A8">
        <w:t>4.8 Number of women giving birth to an infant with congenital syphilis reinfected during their pregnancy</w:t>
      </w:r>
    </w:p>
    <w:p w14:paraId="48497CDB" w14:textId="207D0184" w:rsidR="00DC6370" w:rsidRPr="00EB74A8" w:rsidRDefault="00DB2E94" w:rsidP="006329C5">
      <w:r w:rsidRPr="00EB74A8">
        <w:t>Reinfection is generally diagnosed on the basis of changes in RPR titre. A four-fold or two-titre rise in RPR – for example, 1 in 2 to 1 in 8 – following previous adequate treatment is considered a re-infection.</w:t>
      </w:r>
    </w:p>
    <w:p w14:paraId="6FB9F0D4" w14:textId="0DC98C9B" w:rsidR="00AE326D" w:rsidRPr="00EB74A8" w:rsidRDefault="008B5747" w:rsidP="006329C5">
      <w:r w:rsidRPr="00EB74A8">
        <w:t>Maternal reinfection data</w:t>
      </w:r>
      <w:r w:rsidR="00AE326D" w:rsidRPr="00EB74A8">
        <w:t xml:space="preserve"> were available for 9</w:t>
      </w:r>
      <w:r w:rsidR="0039047F" w:rsidRPr="00EB74A8">
        <w:t>5</w:t>
      </w:r>
      <w:r w:rsidR="00AE326D" w:rsidRPr="00EB74A8">
        <w:t>% (</w:t>
      </w:r>
      <w:r w:rsidR="0039047F" w:rsidRPr="00EB74A8">
        <w:t>84</w:t>
      </w:r>
      <w:r w:rsidR="00AE326D" w:rsidRPr="00EB74A8">
        <w:t>/8</w:t>
      </w:r>
      <w:r w:rsidR="0039047F" w:rsidRPr="00EB74A8">
        <w:t>8</w:t>
      </w:r>
      <w:r w:rsidR="00AE326D" w:rsidRPr="00EB74A8">
        <w:t xml:space="preserve">) of women giving birth to an infant </w:t>
      </w:r>
      <w:r w:rsidR="002E0E33" w:rsidRPr="00EB74A8">
        <w:t xml:space="preserve">with congenital syphilis </w:t>
      </w:r>
      <w:r w:rsidR="00AE326D" w:rsidRPr="00EB74A8">
        <w:t>between 2020 and Q</w:t>
      </w:r>
      <w:r w:rsidR="0039047F" w:rsidRPr="00EB74A8">
        <w:t>3</w:t>
      </w:r>
      <w:r w:rsidR="00AE326D" w:rsidRPr="00EB74A8">
        <w:t xml:space="preserve"> 202</w:t>
      </w:r>
      <w:r w:rsidR="0039047F" w:rsidRPr="00EB74A8">
        <w:t>5</w:t>
      </w:r>
      <w:r w:rsidRPr="00EB74A8">
        <w:t>, either</w:t>
      </w:r>
      <w:r w:rsidR="00AE326D" w:rsidRPr="00EB74A8">
        <w:t>:</w:t>
      </w:r>
    </w:p>
    <w:p w14:paraId="67D3F01D" w14:textId="77777777" w:rsidR="00000F03" w:rsidRPr="00EB74A8" w:rsidRDefault="008B5747" w:rsidP="00AE326D">
      <w:pPr>
        <w:pStyle w:val="ListParagraph"/>
        <w:ind w:left="357" w:hanging="357"/>
      </w:pPr>
      <w:r w:rsidRPr="00EB74A8">
        <w:t>during the current pregnancy (that is, the pregnancy when the maternal notification was made</w:t>
      </w:r>
      <w:r w:rsidR="00AE326D" w:rsidRPr="00EB74A8">
        <w:t>)</w:t>
      </w:r>
      <w:r w:rsidRPr="00EB74A8">
        <w:t xml:space="preserve"> </w:t>
      </w:r>
    </w:p>
    <w:p w14:paraId="1F8A7EAC" w14:textId="6F5B15FB" w:rsidR="00AE326D" w:rsidRPr="00EB74A8" w:rsidRDefault="00000F03" w:rsidP="00AE326D">
      <w:pPr>
        <w:pStyle w:val="ListParagraph"/>
        <w:ind w:left="357" w:hanging="357"/>
      </w:pPr>
      <w:r w:rsidRPr="00EB74A8">
        <w:t>before</w:t>
      </w:r>
      <w:r w:rsidR="008B5747" w:rsidRPr="00EB74A8">
        <w:t xml:space="preserve"> the current pregnancy. </w:t>
      </w:r>
    </w:p>
    <w:p w14:paraId="1E341049" w14:textId="38AF915B" w:rsidR="00AD192D" w:rsidRPr="00EB74A8" w:rsidRDefault="008B5747" w:rsidP="006329C5">
      <w:r w:rsidRPr="00EB74A8">
        <w:t xml:space="preserve">Of the </w:t>
      </w:r>
      <w:r w:rsidR="0039047F" w:rsidRPr="00EB74A8">
        <w:t>84</w:t>
      </w:r>
      <w:r w:rsidRPr="00EB74A8">
        <w:t xml:space="preserve"> women with data available</w:t>
      </w:r>
      <w:r w:rsidR="00962C43" w:rsidRPr="00EB74A8">
        <w:t>,</w:t>
      </w:r>
      <w:r w:rsidRPr="00EB74A8">
        <w:t xml:space="preserve"> seven (</w:t>
      </w:r>
      <w:r w:rsidR="00E52ED0" w:rsidRPr="00EB74A8">
        <w:t>10</w:t>
      </w:r>
      <w:r w:rsidRPr="00EB74A8">
        <w:t xml:space="preserve">%, </w:t>
      </w:r>
      <w:r w:rsidR="00BC6FC8" w:rsidRPr="00EB74A8">
        <w:t>8</w:t>
      </w:r>
      <w:r w:rsidRPr="00EB74A8">
        <w:t>/</w:t>
      </w:r>
      <w:r w:rsidR="00E52ED0" w:rsidRPr="00EB74A8">
        <w:t>84</w:t>
      </w:r>
      <w:r w:rsidRPr="00EB74A8">
        <w:t>) reported being diagnosed with a previous syphilis infection during the current or previous pregnancy. The remaining 7</w:t>
      </w:r>
      <w:r w:rsidR="008931F5" w:rsidRPr="00EB74A8">
        <w:t>6</w:t>
      </w:r>
      <w:r w:rsidRPr="00EB74A8">
        <w:t xml:space="preserve"> cases (9</w:t>
      </w:r>
      <w:r w:rsidR="00424C98" w:rsidRPr="00EB74A8">
        <w:t>0</w:t>
      </w:r>
      <w:r w:rsidRPr="00EB74A8">
        <w:t>%, 7</w:t>
      </w:r>
      <w:r w:rsidR="00AF446E" w:rsidRPr="00EB74A8">
        <w:t>6</w:t>
      </w:r>
      <w:r w:rsidRPr="00EB74A8">
        <w:t>/</w:t>
      </w:r>
      <w:r w:rsidR="00C3527C" w:rsidRPr="00EB74A8">
        <w:t>84</w:t>
      </w:r>
      <w:r w:rsidRPr="00EB74A8">
        <w:t>) did not report a previous syphilis infection prior to the current diagnosis.</w:t>
      </w:r>
    </w:p>
    <w:p w14:paraId="3507FD47" w14:textId="3B780E05" w:rsidR="001974EF" w:rsidRPr="00EB74A8" w:rsidRDefault="00835BCD" w:rsidP="00ED1614">
      <w:pPr>
        <w:pStyle w:val="Heading1"/>
      </w:pPr>
      <w:bookmarkStart w:id="45" w:name="_Toc225244433"/>
      <w:bookmarkStart w:id="46" w:name="_Toc218512929"/>
      <w:r w:rsidRPr="00EB74A8">
        <w:lastRenderedPageBreak/>
        <w:t>Notes</w:t>
      </w:r>
      <w:bookmarkEnd w:id="45"/>
    </w:p>
    <w:p w14:paraId="2076ACDC" w14:textId="738AF5E3" w:rsidR="00ED1614" w:rsidRPr="00EB74A8" w:rsidRDefault="00ED1614" w:rsidP="00835BCD">
      <w:pPr>
        <w:pStyle w:val="Heading2"/>
      </w:pPr>
      <w:bookmarkStart w:id="47" w:name="_Toc225244434"/>
      <w:r w:rsidRPr="00EB74A8">
        <w:t>Methodological notes</w:t>
      </w:r>
      <w:bookmarkEnd w:id="46"/>
      <w:bookmarkEnd w:id="47"/>
    </w:p>
    <w:p w14:paraId="03D23F4E" w14:textId="5A8F0A0D" w:rsidR="00ED1614" w:rsidRPr="00EB74A8" w:rsidRDefault="00ED1614" w:rsidP="00ED1614">
      <w:bookmarkStart w:id="48" w:name="_Hlk149805975"/>
      <w:r w:rsidRPr="00EB74A8">
        <w:t xml:space="preserve">Syphilis notification and enhanced data were extracted from the NNDSS on </w:t>
      </w:r>
      <w:r w:rsidR="007A412A" w:rsidRPr="00EB74A8">
        <w:t>17 February</w:t>
      </w:r>
      <w:r w:rsidRPr="00EB74A8">
        <w:t xml:space="preserve"> 202</w:t>
      </w:r>
      <w:r w:rsidR="007A412A" w:rsidRPr="00EB74A8">
        <w:t>6</w:t>
      </w:r>
      <w:r w:rsidRPr="00EB74A8">
        <w:t xml:space="preserve">, by diagnosis date. Due to the dynamic nature of the NNDSS, data in this extract are subject to retrospective revision and may vary from data reported in published NNDSS reports and reports of notification data by states and territories. </w:t>
      </w:r>
      <w:bookmarkEnd w:id="48"/>
      <w:r w:rsidRPr="00EB74A8">
        <w:t xml:space="preserve">Data are to </w:t>
      </w:r>
      <w:r w:rsidR="003064DE" w:rsidRPr="00EB74A8">
        <w:t>30 September</w:t>
      </w:r>
      <w:r w:rsidRPr="00EB74A8">
        <w:t xml:space="preserve"> 2025 unless otherwise specified.</w:t>
      </w:r>
    </w:p>
    <w:p w14:paraId="33D33C79" w14:textId="77777777" w:rsidR="00ED1614" w:rsidRPr="00EB74A8" w:rsidRDefault="00ED1614" w:rsidP="00ED1614">
      <w:r w:rsidRPr="00EB74A8">
        <w:t xml:space="preserve">In general, notification data represent only a proportion of the total cases occurring in the community, that is, only those cases for which health care was sought, a test conducted, and a diagnosis made, followed by a notification to health authorities. The degree of under-representation of all cases is unknown and is most likely variable by disease and jurisdiction. </w:t>
      </w:r>
    </w:p>
    <w:p w14:paraId="49C3BD15" w14:textId="482E8ECC" w:rsidR="00ED1614" w:rsidRPr="00EB74A8" w:rsidRDefault="00BD1946" w:rsidP="00ED1614">
      <w:r w:rsidRPr="00EB74A8">
        <w:t>C</w:t>
      </w:r>
      <w:r w:rsidR="00ED1614" w:rsidRPr="00EB74A8">
        <w:t>hanges in notifications over time may not solely reflect changes in disease prevalence or incidence. Changes in testing policies; screening programs including the preferential testing of high-risk populations; the use of less invasive and more sensitive diagnostic tests; and periodic awareness campaigns, may influence the number of notifications that occur annually.</w:t>
      </w:r>
    </w:p>
    <w:p w14:paraId="7539A146" w14:textId="77777777" w:rsidR="00ED1614" w:rsidRPr="00EB74A8" w:rsidRDefault="00ED1614" w:rsidP="00835BCD">
      <w:pPr>
        <w:pStyle w:val="Heading2"/>
      </w:pPr>
      <w:bookmarkStart w:id="49" w:name="_Toc218512930"/>
      <w:bookmarkStart w:id="50" w:name="_Toc225244435"/>
      <w:r w:rsidRPr="00EB74A8">
        <w:t>Data elements</w:t>
      </w:r>
      <w:bookmarkEnd w:id="49"/>
      <w:bookmarkEnd w:id="50"/>
    </w:p>
    <w:p w14:paraId="3EECE1AE" w14:textId="77777777" w:rsidR="00ED1614" w:rsidRPr="00EB74A8" w:rsidRDefault="00ED1614" w:rsidP="00835BCD">
      <w:pPr>
        <w:pStyle w:val="ListParagraph"/>
        <w:ind w:left="357" w:hanging="357"/>
      </w:pPr>
      <w:r w:rsidRPr="00EB74A8">
        <w:t>‘Diagnosis year’ was used to define the period of analysis. This date represents either the onset date or where the date of onset was not known, the earliest of the specimen collection date, the notification date, or the notification received date.</w:t>
      </w:r>
    </w:p>
    <w:p w14:paraId="209AB5BE" w14:textId="77777777" w:rsidR="00ED1614" w:rsidRPr="00EB74A8" w:rsidRDefault="00ED1614" w:rsidP="00835BCD">
      <w:pPr>
        <w:pStyle w:val="ListParagraph"/>
        <w:ind w:left="357" w:hanging="357"/>
      </w:pPr>
      <w:r w:rsidRPr="00EB74A8">
        <w:t>‘Residential postcode’ usually reflects the residential location of a case at the time of testing and does not necessarily represent the place where the disease was acquired.</w:t>
      </w:r>
    </w:p>
    <w:p w14:paraId="6A3AF238" w14:textId="77777777" w:rsidR="00ED1614" w:rsidRPr="00EB74A8" w:rsidRDefault="00ED1614" w:rsidP="00835BCD">
      <w:pPr>
        <w:pStyle w:val="ListParagraph"/>
        <w:ind w:left="357" w:hanging="357"/>
      </w:pPr>
      <w:r w:rsidRPr="00EB74A8">
        <w:t>Residential postcode’ reported to the NNDSS was used to allocate notifications of infectious and congenital syphilis to remoteness areas and mapped data by Statistical Area 3 (SA3) (as defined by the Australian Bureau of Statistics). Where a postcode was not reported the notification was excluded from remoteness area, SA3 and IARE analysis.</w:t>
      </w:r>
    </w:p>
    <w:p w14:paraId="726B3106" w14:textId="77777777" w:rsidR="00ED1614" w:rsidRPr="00EB74A8" w:rsidRDefault="00ED1614" w:rsidP="00835BCD">
      <w:pPr>
        <w:pStyle w:val="ListParagraph"/>
        <w:ind w:left="357" w:hanging="357"/>
      </w:pPr>
      <w:r w:rsidRPr="00EB74A8">
        <w:t>The ‘population denominator’ used to calculate notification rates, including for remoteness areas, SA3 and IARE (per 100,000 population) was extracted from the Australian Bureau of Statistics Census Table Builder (based on 2021 Census data).</w:t>
      </w:r>
    </w:p>
    <w:p w14:paraId="1544957D" w14:textId="53FFD137" w:rsidR="00ED1614" w:rsidRPr="00EB74A8" w:rsidRDefault="00ED1614" w:rsidP="00835BCD">
      <w:pPr>
        <w:pStyle w:val="ListParagraph"/>
        <w:ind w:left="357" w:hanging="357"/>
      </w:pPr>
      <w:r w:rsidRPr="00EB74A8">
        <w:t xml:space="preserve">The determination of the Indigenous status is by descent, self-identification, and community acceptance. </w:t>
      </w:r>
      <w:r w:rsidR="00BD1946" w:rsidRPr="00EB74A8">
        <w:t>C</w:t>
      </w:r>
      <w:r w:rsidRPr="00EB74A8">
        <w:t xml:space="preserve">ompleteness of the Indigenous status field is generally high, </w:t>
      </w:r>
      <w:r w:rsidR="00BD1946" w:rsidRPr="00EB74A8">
        <w:t xml:space="preserve">with variations </w:t>
      </w:r>
      <w:r w:rsidRPr="00EB74A8">
        <w:t xml:space="preserve">from year to year and jurisdiction to jurisdiction. </w:t>
      </w:r>
    </w:p>
    <w:p w14:paraId="03279BE1" w14:textId="6AD7C5CD" w:rsidR="00ED1614" w:rsidRPr="00EB74A8" w:rsidRDefault="00ED1614" w:rsidP="00835BCD">
      <w:pPr>
        <w:pStyle w:val="ListParagraph"/>
        <w:ind w:left="357" w:hanging="357"/>
      </w:pPr>
      <w:r w:rsidRPr="00EB74A8">
        <w:t>‘Syphilis testing data’ have been provided by participating ACCHS. A participating service refers to clinics currently funded by the Australian Government Department of Health, Disability and Ageing</w:t>
      </w:r>
      <w:r w:rsidR="00962C43" w:rsidRPr="00EB74A8">
        <w:t xml:space="preserve"> </w:t>
      </w:r>
      <w:r w:rsidRPr="00EB74A8">
        <w:t xml:space="preserve">to deliver point of care testing in syphilis outbreak regions. Services extract data from local clinical information management systems. Data are provided for the reporting month, and cumulatively for the previous 12 </w:t>
      </w:r>
      <w:r w:rsidRPr="00EB74A8">
        <w:lastRenderedPageBreak/>
        <w:t>months. ‘Testing coverage’ is calculated using as the denominator ‘clients attending the service’ (a participating ACCHS) during the reporting period.</w:t>
      </w:r>
    </w:p>
    <w:p w14:paraId="2193B472" w14:textId="77777777" w:rsidR="00ED1614" w:rsidRPr="00EB74A8" w:rsidRDefault="00ED1614" w:rsidP="00835BCD">
      <w:pPr>
        <w:pStyle w:val="Heading2"/>
      </w:pPr>
      <w:bookmarkStart w:id="51" w:name="_Toc218512931"/>
      <w:bookmarkStart w:id="52" w:name="_Toc225244436"/>
      <w:r w:rsidRPr="00EB74A8">
        <w:t>Case definitions</w:t>
      </w:r>
      <w:bookmarkEnd w:id="51"/>
      <w:bookmarkEnd w:id="52"/>
    </w:p>
    <w:p w14:paraId="3A7E4B9D" w14:textId="77777777" w:rsidR="00ED1614" w:rsidRPr="00EB74A8" w:rsidRDefault="00ED1614" w:rsidP="00ED1614">
      <w:r w:rsidRPr="00EB74A8">
        <w:t xml:space="preserve">The CDNA national surveillance case definitions for infectious and congenital syphilis, including any historical edits, are available at: </w:t>
      </w:r>
      <w:hyperlink r:id="rId43" w:history="1">
        <w:r w:rsidRPr="00EB74A8">
          <w:rPr>
            <w:rStyle w:val="Hyperlink"/>
          </w:rPr>
          <w:t>https://www.health.gov.au/casedefinitions.</w:t>
        </w:r>
      </w:hyperlink>
    </w:p>
    <w:p w14:paraId="1A279A7B" w14:textId="77777777" w:rsidR="00ED1614" w:rsidRPr="00EB74A8" w:rsidRDefault="00ED1614" w:rsidP="00835BCD">
      <w:pPr>
        <w:pStyle w:val="Heading2"/>
      </w:pPr>
      <w:bookmarkStart w:id="53" w:name="_Toc218512932"/>
      <w:bookmarkStart w:id="54" w:name="_Toc225244437"/>
      <w:r w:rsidRPr="00EB74A8">
        <w:t>Acknowledgements</w:t>
      </w:r>
      <w:bookmarkEnd w:id="53"/>
      <w:bookmarkEnd w:id="54"/>
    </w:p>
    <w:p w14:paraId="7C5E2F5B" w14:textId="77777777" w:rsidR="00ED1614" w:rsidRPr="00EB74A8" w:rsidRDefault="00ED1614" w:rsidP="00ED1614">
      <w:r w:rsidRPr="00EB74A8">
        <w:t xml:space="preserve">We, the Australian Centre for Disease Control, acknowledge the Traditional Owners and Custodians of Country throughout Australia. We recognise the strength and resilience of Aboriginal and Torres Strait Islander peoples and acknowledge and respect their continuing connections and relationships to country, rivers, land and sea. We acknowledge the ongoing contribution Aboriginal and Torres Strait Islander peoples make across the </w:t>
      </w:r>
      <w:proofErr w:type="gramStart"/>
      <w:r w:rsidRPr="00EB74A8">
        <w:t>Health</w:t>
      </w:r>
      <w:proofErr w:type="gramEnd"/>
      <w:r w:rsidRPr="00EB74A8">
        <w:t xml:space="preserve"> system and wider community. We also pay our respects to Elders past, present and future and extend that respect to all Traditional Custodians of this land.</w:t>
      </w:r>
    </w:p>
    <w:p w14:paraId="444BAB9F" w14:textId="10410BD7" w:rsidR="00ED1614" w:rsidRPr="00EB74A8" w:rsidRDefault="00ED1614" w:rsidP="00ED1614">
      <w:r w:rsidRPr="00EB74A8">
        <w:t xml:space="preserve">The Australian Centre for Disease Control acknowledges the Communicable Diseases Network Australia; the work of public health officers involved in the collection of surveillance data; state and territory public health communicable disease surveillance managers and data managers; Aboriginal Community Controlled Health Services, </w:t>
      </w:r>
      <w:proofErr w:type="gramStart"/>
      <w:r w:rsidRPr="00EB74A8">
        <w:t>and;</w:t>
      </w:r>
      <w:proofErr w:type="gramEnd"/>
      <w:r w:rsidRPr="00EB74A8">
        <w:t xml:space="preserve"> all public and private laboratories that support laboratory surveillance in Australia</w:t>
      </w:r>
      <w:r w:rsidR="00EB74A8" w:rsidRPr="00EB74A8">
        <w:t xml:space="preserve">. </w:t>
      </w:r>
    </w:p>
    <w:p w14:paraId="2603CC74" w14:textId="77777777" w:rsidR="00ED1614" w:rsidRPr="00EB74A8" w:rsidRDefault="00ED1614" w:rsidP="00835BCD">
      <w:pPr>
        <w:pStyle w:val="Heading2"/>
      </w:pPr>
      <w:bookmarkStart w:id="55" w:name="_Toc218512933"/>
      <w:bookmarkStart w:id="56" w:name="_Toc225244438"/>
      <w:r w:rsidRPr="00EB74A8">
        <w:t>Contact</w:t>
      </w:r>
      <w:bookmarkEnd w:id="55"/>
      <w:bookmarkEnd w:id="56"/>
    </w:p>
    <w:p w14:paraId="2D308980" w14:textId="35FFCA5D" w:rsidR="002E5AE7" w:rsidRPr="00EB74A8" w:rsidRDefault="00ED1614" w:rsidP="00ED1614">
      <w:r w:rsidRPr="00EB74A8">
        <w:t xml:space="preserve">For any further details about information contained in this report please contact Ms Amy Bright by emailing </w:t>
      </w:r>
      <w:hyperlink r:id="rId44" w:history="1">
        <w:r w:rsidR="00835BCD" w:rsidRPr="00EB74A8">
          <w:rPr>
            <w:rStyle w:val="Hyperlink"/>
          </w:rPr>
          <w:t>syphilis.surveillance@cdc.gov.au</w:t>
        </w:r>
      </w:hyperlink>
      <w:r w:rsidR="00835BCD" w:rsidRPr="00EB74A8">
        <w:t xml:space="preserve">. </w:t>
      </w:r>
    </w:p>
    <w:p w14:paraId="459E0614" w14:textId="77777777" w:rsidR="00C735FA" w:rsidRPr="00EB74A8" w:rsidRDefault="00C735FA" w:rsidP="00C735FA">
      <w:pPr>
        <w:spacing w:before="0" w:after="0" w:line="240" w:lineRule="auto"/>
        <w:sectPr w:rsidR="00C735FA" w:rsidRPr="00EB74A8" w:rsidSect="005F0659">
          <w:pgSz w:w="11900" w:h="16840" w:code="9"/>
          <w:pgMar w:top="1134" w:right="1134" w:bottom="1134" w:left="1134" w:header="709" w:footer="425" w:gutter="0"/>
          <w:cols w:space="708"/>
          <w:docGrid w:linePitch="360"/>
        </w:sectPr>
      </w:pPr>
    </w:p>
    <w:p w14:paraId="6876B5A7" w14:textId="70712220" w:rsidR="00FF1282" w:rsidRPr="00EB74A8" w:rsidRDefault="00C073A1" w:rsidP="00C777BF">
      <w:pPr>
        <w:pStyle w:val="Heading1"/>
      </w:pPr>
      <w:bookmarkStart w:id="57" w:name="_Toc225244439"/>
      <w:r w:rsidRPr="00EB74A8">
        <w:lastRenderedPageBreak/>
        <w:t>Appendix A –</w:t>
      </w:r>
      <w:r w:rsidR="00C777BF" w:rsidRPr="00EB74A8">
        <w:t xml:space="preserve"> Goals and indicators r</w:t>
      </w:r>
      <w:r w:rsidRPr="00EB74A8">
        <w:t>eporting schedule</w:t>
      </w:r>
      <w:bookmarkEnd w:id="57"/>
    </w:p>
    <w:tbl>
      <w:tblPr>
        <w:tblStyle w:val="TableGrid"/>
        <w:tblW w:w="13892" w:type="dxa"/>
        <w:tblLayout w:type="fixed"/>
        <w:tblLook w:val="04A0" w:firstRow="1" w:lastRow="0" w:firstColumn="1" w:lastColumn="0" w:noHBand="0" w:noVBand="1"/>
      </w:tblPr>
      <w:tblGrid>
        <w:gridCol w:w="1843"/>
        <w:gridCol w:w="10773"/>
        <w:gridCol w:w="1276"/>
      </w:tblGrid>
      <w:tr w:rsidR="00FC0E47" w:rsidRPr="00EB74A8" w14:paraId="3743DD9B" w14:textId="77777777" w:rsidTr="007B4BE4">
        <w:trPr>
          <w:cnfStyle w:val="100000000000" w:firstRow="1" w:lastRow="0" w:firstColumn="0" w:lastColumn="0" w:oddVBand="0" w:evenVBand="0" w:oddHBand="0" w:evenHBand="0" w:firstRowFirstColumn="0" w:firstRowLastColumn="0" w:lastRowFirstColumn="0" w:lastRowLastColumn="0"/>
          <w:trHeight w:val="20"/>
          <w:tblHeader/>
        </w:trPr>
        <w:tc>
          <w:tcPr>
            <w:tcW w:w="1843" w:type="dxa"/>
            <w:tcBorders>
              <w:top w:val="nil"/>
            </w:tcBorders>
          </w:tcPr>
          <w:p w14:paraId="2B94D238" w14:textId="29D4CE6D" w:rsidR="00FC0E47" w:rsidRPr="00EB74A8" w:rsidRDefault="00FC0E47" w:rsidP="00582961">
            <w:pPr>
              <w:pStyle w:val="Tableheadrowboldleftaligned"/>
            </w:pPr>
            <w:r w:rsidRPr="00EB74A8">
              <w:t>Indicator</w:t>
            </w:r>
            <w:r w:rsidR="00745726" w:rsidRPr="00EB74A8">
              <w:t xml:space="preserve"> number</w:t>
            </w:r>
          </w:p>
        </w:tc>
        <w:tc>
          <w:tcPr>
            <w:tcW w:w="10773" w:type="dxa"/>
            <w:tcBorders>
              <w:top w:val="nil"/>
            </w:tcBorders>
          </w:tcPr>
          <w:p w14:paraId="5979B658" w14:textId="7ECAB1BE" w:rsidR="00FC0E47" w:rsidRPr="00EB74A8" w:rsidRDefault="00745726" w:rsidP="00582961">
            <w:pPr>
              <w:pStyle w:val="Tableheadrowboldleftaligned"/>
            </w:pPr>
            <w:r w:rsidRPr="00EB74A8">
              <w:t>Indicator</w:t>
            </w:r>
          </w:p>
        </w:tc>
        <w:tc>
          <w:tcPr>
            <w:tcW w:w="1276" w:type="dxa"/>
            <w:tcBorders>
              <w:top w:val="nil"/>
            </w:tcBorders>
          </w:tcPr>
          <w:p w14:paraId="2D552A48" w14:textId="75149568" w:rsidR="00FC0E47" w:rsidRPr="00EB74A8" w:rsidRDefault="000C0480" w:rsidP="000C0480">
            <w:pPr>
              <w:pStyle w:val="Tableheadrowboldleftaligned"/>
            </w:pPr>
            <w:r w:rsidRPr="00EB74A8">
              <w:t>Reporting</w:t>
            </w:r>
          </w:p>
        </w:tc>
      </w:tr>
      <w:tr w:rsidR="008F0612" w:rsidRPr="00EB74A8" w14:paraId="4C80D44B" w14:textId="77777777" w:rsidTr="00FC0E47">
        <w:trPr>
          <w:cnfStyle w:val="000000100000" w:firstRow="0" w:lastRow="0" w:firstColumn="0" w:lastColumn="0" w:oddVBand="0" w:evenVBand="0" w:oddHBand="1" w:evenHBand="0" w:firstRowFirstColumn="0" w:firstRowLastColumn="0" w:lastRowFirstColumn="0" w:lastRowLastColumn="0"/>
          <w:trHeight w:val="20"/>
        </w:trPr>
        <w:tc>
          <w:tcPr>
            <w:tcW w:w="13892" w:type="dxa"/>
            <w:gridSpan w:val="3"/>
          </w:tcPr>
          <w:p w14:paraId="2C5B7AC0" w14:textId="16CCE14D" w:rsidR="008F0612" w:rsidRPr="00EB74A8" w:rsidRDefault="00B7156E" w:rsidP="00E22813">
            <w:pPr>
              <w:pStyle w:val="Tableheadingcentred"/>
            </w:pPr>
            <w:r w:rsidRPr="00EB74A8">
              <w:t>Goal 1 – Strengthen prevention and testing strategies for syphilis in priority populations and settings, targeting high-burden areas</w:t>
            </w:r>
          </w:p>
        </w:tc>
      </w:tr>
      <w:tr w:rsidR="00745726" w:rsidRPr="00EB74A8" w14:paraId="2CB49CBD" w14:textId="77777777" w:rsidTr="006C7360">
        <w:trPr>
          <w:trHeight w:val="20"/>
        </w:trPr>
        <w:tc>
          <w:tcPr>
            <w:tcW w:w="1843" w:type="dxa"/>
          </w:tcPr>
          <w:p w14:paraId="055D1219" w14:textId="651D9EB1" w:rsidR="00745726" w:rsidRPr="00EB74A8" w:rsidRDefault="00B7156E" w:rsidP="00582961">
            <w:pPr>
              <w:pStyle w:val="Tabletextleftaligned"/>
            </w:pPr>
            <w:r w:rsidRPr="00EB74A8">
              <w:t>1.1</w:t>
            </w:r>
          </w:p>
        </w:tc>
        <w:tc>
          <w:tcPr>
            <w:tcW w:w="10773" w:type="dxa"/>
          </w:tcPr>
          <w:p w14:paraId="40A35ABB" w14:textId="318A015E" w:rsidR="00745726" w:rsidRPr="00EB74A8" w:rsidRDefault="00535361" w:rsidP="00506CF9">
            <w:pPr>
              <w:pStyle w:val="Tabletextleftaligned"/>
            </w:pPr>
            <w:r w:rsidRPr="00EB74A8">
              <w:t>Reported risk factors for people giving birth to an infant with congenital syphilis</w:t>
            </w:r>
          </w:p>
        </w:tc>
        <w:tc>
          <w:tcPr>
            <w:tcW w:w="1276" w:type="dxa"/>
          </w:tcPr>
          <w:p w14:paraId="08D9F5BA" w14:textId="615F7AD7" w:rsidR="00745726" w:rsidRPr="00EB74A8" w:rsidRDefault="00B7156E" w:rsidP="00B7156E">
            <w:pPr>
              <w:pStyle w:val="Tabletextleftaligned"/>
            </w:pPr>
            <w:r w:rsidRPr="00EB74A8">
              <w:t>Annually</w:t>
            </w:r>
          </w:p>
        </w:tc>
      </w:tr>
      <w:tr w:rsidR="00B7156E" w:rsidRPr="00EB74A8" w14:paraId="3216F0B9"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688AA5BB" w14:textId="43208C20" w:rsidR="00B7156E" w:rsidRPr="00EB74A8" w:rsidRDefault="00B7156E" w:rsidP="00582961">
            <w:pPr>
              <w:pStyle w:val="Tabletextleftaligned"/>
            </w:pPr>
            <w:r w:rsidRPr="00EB74A8">
              <w:t>1.2</w:t>
            </w:r>
          </w:p>
        </w:tc>
        <w:tc>
          <w:tcPr>
            <w:tcW w:w="10773" w:type="dxa"/>
          </w:tcPr>
          <w:p w14:paraId="2A04EA8D" w14:textId="0D1AAF7F" w:rsidR="00B7156E" w:rsidRPr="00EB74A8" w:rsidRDefault="00247CBA" w:rsidP="00506CF9">
            <w:pPr>
              <w:pStyle w:val="Tabletextleftaligned"/>
            </w:pPr>
            <w:r w:rsidRPr="00EB74A8">
              <w:t>Cumulative number of syphilis tests delivered through participating ACCHS, by target and total population</w:t>
            </w:r>
          </w:p>
        </w:tc>
        <w:tc>
          <w:tcPr>
            <w:tcW w:w="1276" w:type="dxa"/>
          </w:tcPr>
          <w:p w14:paraId="19A6E11E" w14:textId="6B975E7B" w:rsidR="00B7156E" w:rsidRPr="00EB74A8" w:rsidRDefault="00B7156E" w:rsidP="00B7156E">
            <w:pPr>
              <w:pStyle w:val="Tabletextleftaligned"/>
            </w:pPr>
            <w:r w:rsidRPr="00EB74A8">
              <w:t>Quarterly</w:t>
            </w:r>
          </w:p>
        </w:tc>
      </w:tr>
      <w:tr w:rsidR="00B7156E" w:rsidRPr="00EB74A8" w14:paraId="56029D6E" w14:textId="77777777" w:rsidTr="006C7360">
        <w:trPr>
          <w:trHeight w:val="20"/>
        </w:trPr>
        <w:tc>
          <w:tcPr>
            <w:tcW w:w="1843" w:type="dxa"/>
          </w:tcPr>
          <w:p w14:paraId="3CD59F2F" w14:textId="36E3EB67" w:rsidR="00B7156E" w:rsidRPr="00EB74A8" w:rsidRDefault="00B7156E" w:rsidP="00582961">
            <w:pPr>
              <w:pStyle w:val="Tabletextleftaligned"/>
            </w:pPr>
            <w:r w:rsidRPr="00EB74A8">
              <w:t>1.3</w:t>
            </w:r>
          </w:p>
        </w:tc>
        <w:tc>
          <w:tcPr>
            <w:tcW w:w="10773" w:type="dxa"/>
          </w:tcPr>
          <w:p w14:paraId="6A48AEE1" w14:textId="2291E843" w:rsidR="00B7156E" w:rsidRPr="00EB74A8" w:rsidRDefault="004D1DA5" w:rsidP="00506CF9">
            <w:pPr>
              <w:pStyle w:val="Tabletextleftaligned"/>
            </w:pPr>
            <w:r w:rsidRPr="00EB74A8">
              <w:t>Proportion of people attending participating ACCHS receiving a syphilis test within the previous 12 months, by target and total population (syphilis testing coverage)</w:t>
            </w:r>
          </w:p>
        </w:tc>
        <w:tc>
          <w:tcPr>
            <w:tcW w:w="1276" w:type="dxa"/>
          </w:tcPr>
          <w:p w14:paraId="0169E1A8" w14:textId="519C5BD9" w:rsidR="00B7156E" w:rsidRPr="00EB74A8" w:rsidRDefault="00B7156E" w:rsidP="00B7156E">
            <w:pPr>
              <w:pStyle w:val="Tabletextleftaligned"/>
            </w:pPr>
            <w:r w:rsidRPr="00EB74A8">
              <w:t>Quarterly</w:t>
            </w:r>
          </w:p>
        </w:tc>
      </w:tr>
      <w:tr w:rsidR="00B7156E" w:rsidRPr="00EB74A8" w14:paraId="7D0E7FE2"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71DC3E78" w14:textId="7806971B" w:rsidR="00B7156E" w:rsidRPr="00EB74A8" w:rsidRDefault="00B7156E" w:rsidP="00582961">
            <w:pPr>
              <w:pStyle w:val="Tabletextleftaligned"/>
            </w:pPr>
            <w:r w:rsidRPr="00EB74A8">
              <w:t>1.4</w:t>
            </w:r>
          </w:p>
        </w:tc>
        <w:tc>
          <w:tcPr>
            <w:tcW w:w="10773" w:type="dxa"/>
          </w:tcPr>
          <w:p w14:paraId="29558073" w14:textId="4D85F304" w:rsidR="00B7156E" w:rsidRPr="00EB74A8" w:rsidRDefault="00BF1812" w:rsidP="00506CF9">
            <w:pPr>
              <w:pStyle w:val="Tabletextleftaligned"/>
            </w:pPr>
            <w:r w:rsidRPr="00EB74A8">
              <w:t>Proportion of people from priority populations tested for syphilis in the previous 12 months attending a site within the ACCESS network</w:t>
            </w:r>
          </w:p>
        </w:tc>
        <w:tc>
          <w:tcPr>
            <w:tcW w:w="1276" w:type="dxa"/>
          </w:tcPr>
          <w:p w14:paraId="502D832F" w14:textId="5FAFD02D" w:rsidR="00B7156E" w:rsidRPr="00EB74A8" w:rsidRDefault="00B7156E" w:rsidP="00B7156E">
            <w:pPr>
              <w:pStyle w:val="Tabletextleftaligned"/>
            </w:pPr>
            <w:r w:rsidRPr="00EB74A8">
              <w:t>Annually</w:t>
            </w:r>
          </w:p>
        </w:tc>
      </w:tr>
      <w:tr w:rsidR="00B7156E" w:rsidRPr="00EB74A8" w14:paraId="0E889E3A" w14:textId="77777777" w:rsidTr="006C7360">
        <w:trPr>
          <w:trHeight w:val="20"/>
        </w:trPr>
        <w:tc>
          <w:tcPr>
            <w:tcW w:w="1843" w:type="dxa"/>
          </w:tcPr>
          <w:p w14:paraId="1B9767E6" w14:textId="71857E27" w:rsidR="00B7156E" w:rsidRPr="00EB74A8" w:rsidRDefault="00B7156E" w:rsidP="00582961">
            <w:pPr>
              <w:pStyle w:val="Tabletextleftaligned"/>
            </w:pPr>
            <w:r w:rsidRPr="00EB74A8">
              <w:t>1.5</w:t>
            </w:r>
          </w:p>
        </w:tc>
        <w:tc>
          <w:tcPr>
            <w:tcW w:w="10773" w:type="dxa"/>
          </w:tcPr>
          <w:p w14:paraId="1A799D87" w14:textId="2499FB3F" w:rsidR="00B7156E" w:rsidRPr="00EB74A8" w:rsidRDefault="009F0AB8" w:rsidP="00506CF9">
            <w:pPr>
              <w:pStyle w:val="Tabletextleftaligned"/>
            </w:pPr>
            <w:r w:rsidRPr="00EB74A8">
              <w:t>Proportion of gay and bisexual men who have sex with men who have been tested for syphilis three or more times in the previous 12 months attending a site within the ACCESS network</w:t>
            </w:r>
          </w:p>
        </w:tc>
        <w:tc>
          <w:tcPr>
            <w:tcW w:w="1276" w:type="dxa"/>
          </w:tcPr>
          <w:p w14:paraId="469CF5A5" w14:textId="14AC2679" w:rsidR="00B7156E" w:rsidRPr="00EB74A8" w:rsidRDefault="00B7156E" w:rsidP="00B7156E">
            <w:pPr>
              <w:pStyle w:val="Tabletextleftaligned"/>
            </w:pPr>
            <w:r w:rsidRPr="00EB74A8">
              <w:t>Annually</w:t>
            </w:r>
          </w:p>
        </w:tc>
      </w:tr>
      <w:tr w:rsidR="00B7156E" w:rsidRPr="00EB74A8" w14:paraId="11AEDF07"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1CDC05C3" w14:textId="4CA7F89E" w:rsidR="00B7156E" w:rsidRPr="00EB74A8" w:rsidRDefault="00B7156E" w:rsidP="00582961">
            <w:pPr>
              <w:pStyle w:val="Tabletextleftaligned"/>
            </w:pPr>
            <w:r w:rsidRPr="00EB74A8">
              <w:t>1.6</w:t>
            </w:r>
          </w:p>
        </w:tc>
        <w:tc>
          <w:tcPr>
            <w:tcW w:w="10773" w:type="dxa"/>
          </w:tcPr>
          <w:p w14:paraId="3FD5C688" w14:textId="359556A0" w:rsidR="00B7156E" w:rsidRPr="00EB74A8" w:rsidRDefault="009D025B" w:rsidP="00506CF9">
            <w:pPr>
              <w:pStyle w:val="Tabletextleftaligned"/>
            </w:pPr>
            <w:r w:rsidRPr="00EB74A8">
              <w:t>Proportion of women who gave birth, by duration of pregnancy at first antenatal visit</w:t>
            </w:r>
          </w:p>
        </w:tc>
        <w:tc>
          <w:tcPr>
            <w:tcW w:w="1276" w:type="dxa"/>
          </w:tcPr>
          <w:p w14:paraId="072E2E32" w14:textId="2B4CB39E" w:rsidR="00B7156E" w:rsidRPr="00EB74A8" w:rsidRDefault="00B7156E" w:rsidP="00B7156E">
            <w:pPr>
              <w:pStyle w:val="Tabletextleftaligned"/>
            </w:pPr>
            <w:r w:rsidRPr="00EB74A8">
              <w:t>Annually</w:t>
            </w:r>
          </w:p>
        </w:tc>
      </w:tr>
      <w:tr w:rsidR="00B7156E" w:rsidRPr="00EB74A8" w14:paraId="05AEC7B7" w14:textId="77777777" w:rsidTr="006C7360">
        <w:trPr>
          <w:trHeight w:val="20"/>
        </w:trPr>
        <w:tc>
          <w:tcPr>
            <w:tcW w:w="1843" w:type="dxa"/>
          </w:tcPr>
          <w:p w14:paraId="0FCB0527" w14:textId="1AE51125" w:rsidR="00B7156E" w:rsidRPr="00EB74A8" w:rsidRDefault="00B7156E" w:rsidP="00582961">
            <w:pPr>
              <w:pStyle w:val="Tabletextleftaligned"/>
            </w:pPr>
            <w:r w:rsidRPr="00EB74A8">
              <w:t>1.7</w:t>
            </w:r>
          </w:p>
        </w:tc>
        <w:tc>
          <w:tcPr>
            <w:tcW w:w="10773" w:type="dxa"/>
          </w:tcPr>
          <w:p w14:paraId="7A917538" w14:textId="189893B9" w:rsidR="00B7156E" w:rsidRPr="00EB74A8" w:rsidRDefault="008D073A" w:rsidP="00506CF9">
            <w:pPr>
              <w:pStyle w:val="Tabletextleftaligned"/>
            </w:pPr>
            <w:r w:rsidRPr="00EB74A8">
              <w:t>Proportion of women who gave birth, by duration of pregnancy at first antenatal visit</w:t>
            </w:r>
          </w:p>
        </w:tc>
        <w:tc>
          <w:tcPr>
            <w:tcW w:w="1276" w:type="dxa"/>
          </w:tcPr>
          <w:p w14:paraId="394ACD32" w14:textId="38938F10" w:rsidR="00B7156E" w:rsidRPr="00EB74A8" w:rsidRDefault="00B7156E" w:rsidP="00B7156E">
            <w:pPr>
              <w:pStyle w:val="Tabletextleftaligned"/>
            </w:pPr>
            <w:r w:rsidRPr="00EB74A8">
              <w:t>Annually</w:t>
            </w:r>
          </w:p>
        </w:tc>
      </w:tr>
      <w:tr w:rsidR="00B7156E" w:rsidRPr="00EB74A8" w14:paraId="695021DC"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1F303E74" w14:textId="37E0B838" w:rsidR="00B7156E" w:rsidRPr="00EB74A8" w:rsidRDefault="00B7156E" w:rsidP="00582961">
            <w:pPr>
              <w:pStyle w:val="Tabletextleftaligned"/>
            </w:pPr>
            <w:r w:rsidRPr="00EB74A8">
              <w:t>1.8</w:t>
            </w:r>
          </w:p>
        </w:tc>
        <w:tc>
          <w:tcPr>
            <w:tcW w:w="10773" w:type="dxa"/>
          </w:tcPr>
          <w:p w14:paraId="18D8B039" w14:textId="162ECF84" w:rsidR="00B7156E" w:rsidRPr="00EB74A8" w:rsidRDefault="006C3634" w:rsidP="00506CF9">
            <w:pPr>
              <w:pStyle w:val="Tabletextleftaligned"/>
            </w:pPr>
            <w:r w:rsidRPr="00EB74A8">
              <w:t>Proportion of women who gave birth, by number of antenatal visits</w:t>
            </w:r>
          </w:p>
        </w:tc>
        <w:tc>
          <w:tcPr>
            <w:tcW w:w="1276" w:type="dxa"/>
          </w:tcPr>
          <w:p w14:paraId="4BED4A81" w14:textId="0FE42A6A" w:rsidR="00B7156E" w:rsidRPr="00EB74A8" w:rsidRDefault="00B7156E" w:rsidP="00B7156E">
            <w:pPr>
              <w:pStyle w:val="Tabletextleftaligned"/>
            </w:pPr>
            <w:r w:rsidRPr="00EB74A8">
              <w:t>Annually</w:t>
            </w:r>
          </w:p>
        </w:tc>
      </w:tr>
      <w:tr w:rsidR="00B7156E" w:rsidRPr="00EB74A8" w14:paraId="3EBBAE21" w14:textId="77777777" w:rsidTr="006C7360">
        <w:trPr>
          <w:trHeight w:val="20"/>
        </w:trPr>
        <w:tc>
          <w:tcPr>
            <w:tcW w:w="1843" w:type="dxa"/>
          </w:tcPr>
          <w:p w14:paraId="2E9D5162" w14:textId="107F3C23" w:rsidR="00B7156E" w:rsidRPr="00EB74A8" w:rsidRDefault="00B7156E" w:rsidP="00582961">
            <w:pPr>
              <w:pStyle w:val="Tabletextleftaligned"/>
            </w:pPr>
            <w:r w:rsidRPr="00EB74A8">
              <w:t>1.9</w:t>
            </w:r>
          </w:p>
        </w:tc>
        <w:tc>
          <w:tcPr>
            <w:tcW w:w="10773" w:type="dxa"/>
          </w:tcPr>
          <w:p w14:paraId="6447F564" w14:textId="1E6D4223" w:rsidR="00B7156E" w:rsidRPr="00EB74A8" w:rsidRDefault="00522170" w:rsidP="00506CF9">
            <w:pPr>
              <w:pStyle w:val="Tabletextleftaligned"/>
            </w:pPr>
            <w:r w:rsidRPr="00EB74A8">
              <w:t>Proportion of women who gave birth, by number of antenatal visits, by remoteness area</w:t>
            </w:r>
          </w:p>
        </w:tc>
        <w:tc>
          <w:tcPr>
            <w:tcW w:w="1276" w:type="dxa"/>
          </w:tcPr>
          <w:p w14:paraId="379DE089" w14:textId="3F3BD091" w:rsidR="00B7156E" w:rsidRPr="00EB74A8" w:rsidRDefault="00B7156E" w:rsidP="00B7156E">
            <w:pPr>
              <w:pStyle w:val="Tabletextleftaligned"/>
            </w:pPr>
            <w:r w:rsidRPr="00EB74A8">
              <w:t>Annually</w:t>
            </w:r>
          </w:p>
        </w:tc>
      </w:tr>
      <w:tr w:rsidR="00B7156E" w:rsidRPr="00EB74A8" w14:paraId="770C0B84"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505CB4D2" w14:textId="7059EA97" w:rsidR="00B7156E" w:rsidRPr="00EB74A8" w:rsidRDefault="00B7156E" w:rsidP="00582961">
            <w:pPr>
              <w:pStyle w:val="Tabletextleftaligned"/>
            </w:pPr>
            <w:r w:rsidRPr="00EB74A8">
              <w:t>1.10</w:t>
            </w:r>
          </w:p>
        </w:tc>
        <w:tc>
          <w:tcPr>
            <w:tcW w:w="10773" w:type="dxa"/>
          </w:tcPr>
          <w:p w14:paraId="0F91B90E" w14:textId="623F2047" w:rsidR="00B7156E" w:rsidRPr="00EB74A8" w:rsidRDefault="00506CF9" w:rsidP="00506CF9">
            <w:pPr>
              <w:pStyle w:val="Tabletextleftaligned"/>
            </w:pPr>
            <w:r w:rsidRPr="00EB74A8">
              <w:t>Proportion of women who gave birth, by country of birth</w:t>
            </w:r>
          </w:p>
        </w:tc>
        <w:tc>
          <w:tcPr>
            <w:tcW w:w="1276" w:type="dxa"/>
          </w:tcPr>
          <w:p w14:paraId="6474FC9D" w14:textId="74BD1D05" w:rsidR="00B7156E" w:rsidRPr="00EB74A8" w:rsidRDefault="00B7156E" w:rsidP="00B7156E">
            <w:pPr>
              <w:pStyle w:val="Tabletextleftaligned"/>
            </w:pPr>
            <w:r w:rsidRPr="00EB74A8">
              <w:t>Annually</w:t>
            </w:r>
          </w:p>
        </w:tc>
      </w:tr>
      <w:tr w:rsidR="00506CF9" w:rsidRPr="00EB74A8" w14:paraId="2E39A5D6" w14:textId="77777777" w:rsidTr="00582961">
        <w:trPr>
          <w:trHeight w:val="20"/>
        </w:trPr>
        <w:tc>
          <w:tcPr>
            <w:tcW w:w="13892" w:type="dxa"/>
            <w:gridSpan w:val="3"/>
          </w:tcPr>
          <w:p w14:paraId="0F1831C2" w14:textId="7EEB4943" w:rsidR="00506CF9" w:rsidRPr="00EB74A8" w:rsidRDefault="00CD49E5" w:rsidP="00EA28CB">
            <w:pPr>
              <w:pStyle w:val="Tableheadingcentred"/>
            </w:pPr>
            <w:r w:rsidRPr="00EB74A8">
              <w:t xml:space="preserve">Goal 2 </w:t>
            </w:r>
            <w:r w:rsidR="008862FB" w:rsidRPr="00EB74A8">
              <w:t>–</w:t>
            </w:r>
            <w:r w:rsidRPr="00EB74A8">
              <w:t xml:space="preserve"> Reduce ongoing transmission and incidence of syphilis across priority populations</w:t>
            </w:r>
          </w:p>
        </w:tc>
      </w:tr>
      <w:tr w:rsidR="00506CF9" w:rsidRPr="00EB74A8" w14:paraId="464C54C2"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749BCBB8" w14:textId="69ABCC11" w:rsidR="00506CF9" w:rsidRPr="00EB74A8" w:rsidRDefault="00CD49E5" w:rsidP="00582961">
            <w:pPr>
              <w:pStyle w:val="Tabletextleftaligned"/>
            </w:pPr>
            <w:r w:rsidRPr="00EB74A8">
              <w:t>2</w:t>
            </w:r>
            <w:r w:rsidR="00506CF9" w:rsidRPr="00EB74A8">
              <w:t>.1</w:t>
            </w:r>
          </w:p>
        </w:tc>
        <w:tc>
          <w:tcPr>
            <w:tcW w:w="10773" w:type="dxa"/>
          </w:tcPr>
          <w:p w14:paraId="17E34EE7" w14:textId="0B50EBEF" w:rsidR="00506CF9" w:rsidRPr="00EB74A8" w:rsidRDefault="003E1805" w:rsidP="00582961">
            <w:pPr>
              <w:pStyle w:val="Tabletextleftaligned"/>
            </w:pPr>
            <w:r w:rsidRPr="00EB74A8">
              <w:t>Notification rate of infectious syphilis by Indigenous status, sex, age and remoteness area classification</w:t>
            </w:r>
          </w:p>
        </w:tc>
        <w:tc>
          <w:tcPr>
            <w:tcW w:w="1276" w:type="dxa"/>
          </w:tcPr>
          <w:p w14:paraId="0656AD8B" w14:textId="73D7BB65" w:rsidR="00506CF9" w:rsidRPr="00EB74A8" w:rsidRDefault="00CD49E5" w:rsidP="00582961">
            <w:pPr>
              <w:pStyle w:val="Tabletextleftaligned"/>
            </w:pPr>
            <w:r w:rsidRPr="00EB74A8">
              <w:t>Quarterly</w:t>
            </w:r>
          </w:p>
        </w:tc>
      </w:tr>
      <w:tr w:rsidR="00CD49E5" w:rsidRPr="00EB74A8" w14:paraId="7C350D73" w14:textId="77777777" w:rsidTr="006C7360">
        <w:trPr>
          <w:trHeight w:val="20"/>
        </w:trPr>
        <w:tc>
          <w:tcPr>
            <w:tcW w:w="1843" w:type="dxa"/>
          </w:tcPr>
          <w:p w14:paraId="1E20DF8A" w14:textId="4C013A08" w:rsidR="00CD49E5" w:rsidRPr="00EB74A8" w:rsidRDefault="00CD49E5" w:rsidP="00582961">
            <w:pPr>
              <w:pStyle w:val="Tabletextleftaligned"/>
            </w:pPr>
            <w:r w:rsidRPr="00EB74A8">
              <w:t>2.2</w:t>
            </w:r>
          </w:p>
        </w:tc>
        <w:tc>
          <w:tcPr>
            <w:tcW w:w="10773" w:type="dxa"/>
          </w:tcPr>
          <w:p w14:paraId="6E2C68A7" w14:textId="7F6EA348" w:rsidR="00CD49E5" w:rsidRPr="00EB74A8" w:rsidRDefault="00977A29" w:rsidP="00582961">
            <w:pPr>
              <w:pStyle w:val="Tabletextleftaligned"/>
            </w:pPr>
            <w:r w:rsidRPr="00EB74A8">
              <w:t>Notification rate of infectious syphilis in Aboriginal and Torres Strait Islander peoples by Indigenous Areas (IAREs)</w:t>
            </w:r>
          </w:p>
        </w:tc>
        <w:tc>
          <w:tcPr>
            <w:tcW w:w="1276" w:type="dxa"/>
          </w:tcPr>
          <w:p w14:paraId="38B7BF5C" w14:textId="1B9FE602" w:rsidR="00CD49E5" w:rsidRPr="00EB74A8" w:rsidRDefault="00CD49E5" w:rsidP="00582961">
            <w:pPr>
              <w:pStyle w:val="Tabletextleftaligned"/>
            </w:pPr>
            <w:r w:rsidRPr="00EB74A8">
              <w:t>Quarterly</w:t>
            </w:r>
          </w:p>
        </w:tc>
      </w:tr>
      <w:tr w:rsidR="00CD49E5" w:rsidRPr="00EB74A8" w14:paraId="2BBD1CFF"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0F95EE94" w14:textId="27305A3B" w:rsidR="00CD49E5" w:rsidRPr="00EB74A8" w:rsidRDefault="00CD49E5" w:rsidP="00582961">
            <w:pPr>
              <w:pStyle w:val="Tabletextleftaligned"/>
            </w:pPr>
            <w:r w:rsidRPr="00EB74A8">
              <w:t>2.3</w:t>
            </w:r>
          </w:p>
        </w:tc>
        <w:tc>
          <w:tcPr>
            <w:tcW w:w="10773" w:type="dxa"/>
          </w:tcPr>
          <w:p w14:paraId="05EE6089" w14:textId="57F09641" w:rsidR="00CD49E5" w:rsidRPr="00EB74A8" w:rsidRDefault="001D626B" w:rsidP="00582961">
            <w:pPr>
              <w:pStyle w:val="Tabletextleftaligned"/>
            </w:pPr>
            <w:r w:rsidRPr="00EB74A8">
              <w:t>Notification rate of infectious syphilis by Statistical Area 3 (SA3), by Indigenous status</w:t>
            </w:r>
          </w:p>
        </w:tc>
        <w:tc>
          <w:tcPr>
            <w:tcW w:w="1276" w:type="dxa"/>
          </w:tcPr>
          <w:p w14:paraId="24FA2729" w14:textId="60479971" w:rsidR="00CD49E5" w:rsidRPr="00EB74A8" w:rsidRDefault="00CD49E5" w:rsidP="00582961">
            <w:pPr>
              <w:pStyle w:val="Tabletextleftaligned"/>
            </w:pPr>
            <w:r w:rsidRPr="00EB74A8">
              <w:t>Quarterly</w:t>
            </w:r>
          </w:p>
        </w:tc>
      </w:tr>
      <w:tr w:rsidR="00CD49E5" w:rsidRPr="00EB74A8" w14:paraId="45E1FA60" w14:textId="77777777" w:rsidTr="006C7360">
        <w:trPr>
          <w:trHeight w:val="20"/>
        </w:trPr>
        <w:tc>
          <w:tcPr>
            <w:tcW w:w="1843" w:type="dxa"/>
          </w:tcPr>
          <w:p w14:paraId="4F440755" w14:textId="45F94FBE" w:rsidR="00CD49E5" w:rsidRPr="00EB74A8" w:rsidRDefault="00CD49E5" w:rsidP="00582961">
            <w:pPr>
              <w:pStyle w:val="Tabletextleftaligned"/>
            </w:pPr>
            <w:r w:rsidRPr="00EB74A8">
              <w:lastRenderedPageBreak/>
              <w:t>2.4</w:t>
            </w:r>
          </w:p>
        </w:tc>
        <w:tc>
          <w:tcPr>
            <w:tcW w:w="10773" w:type="dxa"/>
          </w:tcPr>
          <w:p w14:paraId="7FDA2F80" w14:textId="33D5BEA3" w:rsidR="00CD49E5" w:rsidRPr="00EB74A8" w:rsidRDefault="007E0F77" w:rsidP="00582961">
            <w:pPr>
              <w:pStyle w:val="Tabletextleftaligned"/>
            </w:pPr>
            <w:r w:rsidRPr="00EB74A8">
              <w:t>Notification rate of infectious syphilis in women of reproductive age (15 to 44 years) by Indigenous status and remoteness area</w:t>
            </w:r>
          </w:p>
        </w:tc>
        <w:tc>
          <w:tcPr>
            <w:tcW w:w="1276" w:type="dxa"/>
          </w:tcPr>
          <w:p w14:paraId="705D49B8" w14:textId="35D65F2A" w:rsidR="00CD49E5" w:rsidRPr="00EB74A8" w:rsidRDefault="00CD49E5" w:rsidP="00582961">
            <w:pPr>
              <w:pStyle w:val="Tabletextleftaligned"/>
            </w:pPr>
            <w:r w:rsidRPr="00EB74A8">
              <w:t>Quarterly</w:t>
            </w:r>
          </w:p>
        </w:tc>
      </w:tr>
      <w:tr w:rsidR="00CD49E5" w:rsidRPr="00EB74A8" w14:paraId="066E7D07"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27E20556" w14:textId="550BE1DF" w:rsidR="00CD49E5" w:rsidRPr="00EB74A8" w:rsidRDefault="00CD49E5" w:rsidP="00582961">
            <w:pPr>
              <w:pStyle w:val="Tabletextleftaligned"/>
            </w:pPr>
            <w:r w:rsidRPr="00EB74A8">
              <w:t>2.5</w:t>
            </w:r>
          </w:p>
        </w:tc>
        <w:tc>
          <w:tcPr>
            <w:tcW w:w="10773" w:type="dxa"/>
          </w:tcPr>
          <w:p w14:paraId="24F37655" w14:textId="0A182AA0" w:rsidR="00CD49E5" w:rsidRPr="00EB74A8" w:rsidRDefault="00C6288C" w:rsidP="00582961">
            <w:pPr>
              <w:pStyle w:val="Tabletextleftaligned"/>
            </w:pPr>
            <w:r w:rsidRPr="00EB74A8">
              <w:t>Proportion of infectious syphilis notifications in men reporting sexual exposure with men only</w:t>
            </w:r>
          </w:p>
        </w:tc>
        <w:tc>
          <w:tcPr>
            <w:tcW w:w="1276" w:type="dxa"/>
          </w:tcPr>
          <w:p w14:paraId="2B0F564C" w14:textId="7C0DA34C" w:rsidR="00CD49E5" w:rsidRPr="00EB74A8" w:rsidRDefault="00CD49E5" w:rsidP="00582961">
            <w:pPr>
              <w:pStyle w:val="Tabletextleftaligned"/>
            </w:pPr>
            <w:r w:rsidRPr="00EB74A8">
              <w:t>Quarterly</w:t>
            </w:r>
          </w:p>
        </w:tc>
      </w:tr>
      <w:tr w:rsidR="00CD49E5" w:rsidRPr="00EB74A8" w14:paraId="7A65BC54" w14:textId="77777777" w:rsidTr="006C7360">
        <w:trPr>
          <w:trHeight w:val="20"/>
        </w:trPr>
        <w:tc>
          <w:tcPr>
            <w:tcW w:w="1843" w:type="dxa"/>
          </w:tcPr>
          <w:p w14:paraId="67E0F79A" w14:textId="09453D6E" w:rsidR="00CD49E5" w:rsidRPr="00EB74A8" w:rsidRDefault="00CD49E5" w:rsidP="00582961">
            <w:pPr>
              <w:pStyle w:val="Tabletextleftaligned"/>
            </w:pPr>
            <w:r w:rsidRPr="00EB74A8">
              <w:t>2.6</w:t>
            </w:r>
          </w:p>
        </w:tc>
        <w:tc>
          <w:tcPr>
            <w:tcW w:w="10773" w:type="dxa"/>
          </w:tcPr>
          <w:p w14:paraId="3C87AC75" w14:textId="524ACF12" w:rsidR="00CD49E5" w:rsidRPr="00EB74A8" w:rsidRDefault="00F04511" w:rsidP="00582961">
            <w:pPr>
              <w:pStyle w:val="Tabletextleftaligned"/>
            </w:pPr>
            <w:r w:rsidRPr="00EB74A8">
              <w:t>Proportion of infectious syphilis notifications in men reporting sexual exposure with men and women</w:t>
            </w:r>
          </w:p>
        </w:tc>
        <w:tc>
          <w:tcPr>
            <w:tcW w:w="1276" w:type="dxa"/>
          </w:tcPr>
          <w:p w14:paraId="3BEFD25B" w14:textId="323EA108" w:rsidR="00CD49E5" w:rsidRPr="00EB74A8" w:rsidRDefault="00CD49E5" w:rsidP="00582961">
            <w:pPr>
              <w:pStyle w:val="Tabletextleftaligned"/>
            </w:pPr>
            <w:r w:rsidRPr="00EB74A8">
              <w:t>Quarterly</w:t>
            </w:r>
          </w:p>
        </w:tc>
      </w:tr>
      <w:tr w:rsidR="00B7156E" w:rsidRPr="00EB74A8" w14:paraId="788FDD84"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13B2EAE1" w14:textId="4B50ABA4" w:rsidR="00B7156E" w:rsidRPr="00EB74A8" w:rsidRDefault="00CD49E5" w:rsidP="00582961">
            <w:pPr>
              <w:pStyle w:val="Tabletextleftaligned"/>
            </w:pPr>
            <w:r w:rsidRPr="00EB74A8">
              <w:t>2.7</w:t>
            </w:r>
          </w:p>
        </w:tc>
        <w:tc>
          <w:tcPr>
            <w:tcW w:w="10773" w:type="dxa"/>
          </w:tcPr>
          <w:p w14:paraId="51E980C5" w14:textId="754F4C0C" w:rsidR="00B7156E" w:rsidRPr="00EB74A8" w:rsidRDefault="00412E82" w:rsidP="00412E82">
            <w:pPr>
              <w:pStyle w:val="Tabletextleftaligned"/>
            </w:pPr>
            <w:r w:rsidRPr="00EB74A8">
              <w:t>Proportion of infectious syphilis notifications by primary reason for testing</w:t>
            </w:r>
          </w:p>
        </w:tc>
        <w:tc>
          <w:tcPr>
            <w:tcW w:w="1276" w:type="dxa"/>
          </w:tcPr>
          <w:p w14:paraId="05FDE6E7" w14:textId="170B589C" w:rsidR="00B7156E" w:rsidRPr="00EB74A8" w:rsidRDefault="00CD49E5" w:rsidP="00B7156E">
            <w:pPr>
              <w:pStyle w:val="Tabletextleftaligned"/>
            </w:pPr>
            <w:r w:rsidRPr="00EB74A8">
              <w:t>Annually</w:t>
            </w:r>
          </w:p>
        </w:tc>
      </w:tr>
      <w:tr w:rsidR="00CD49E5" w:rsidRPr="00EB74A8" w14:paraId="05E47E7E" w14:textId="77777777" w:rsidTr="006C7360">
        <w:trPr>
          <w:trHeight w:val="20"/>
        </w:trPr>
        <w:tc>
          <w:tcPr>
            <w:tcW w:w="1843" w:type="dxa"/>
          </w:tcPr>
          <w:p w14:paraId="0C6B876C" w14:textId="14E6CBAE" w:rsidR="00CD49E5" w:rsidRPr="00EB74A8" w:rsidRDefault="00CD49E5" w:rsidP="00582961">
            <w:pPr>
              <w:pStyle w:val="Tabletextleftaligned"/>
            </w:pPr>
            <w:r w:rsidRPr="00EB74A8">
              <w:t>2.8</w:t>
            </w:r>
          </w:p>
        </w:tc>
        <w:tc>
          <w:tcPr>
            <w:tcW w:w="10773" w:type="dxa"/>
          </w:tcPr>
          <w:p w14:paraId="1436EB2A" w14:textId="649ECB8C" w:rsidR="00CD49E5" w:rsidRPr="00EB74A8" w:rsidRDefault="00FF0DA4" w:rsidP="00412E82">
            <w:pPr>
              <w:pStyle w:val="Tabletextleftaligned"/>
            </w:pPr>
            <w:r w:rsidRPr="00EB74A8">
              <w:t>Proportion of infectious syphilis notifications in gay and bisexual men who have sex with men reporting HIV PrEP use at time of syphilis diagnosis</w:t>
            </w:r>
          </w:p>
        </w:tc>
        <w:tc>
          <w:tcPr>
            <w:tcW w:w="1276" w:type="dxa"/>
          </w:tcPr>
          <w:p w14:paraId="19E87530" w14:textId="46778668" w:rsidR="00CD49E5" w:rsidRPr="00EB74A8" w:rsidRDefault="00CD49E5" w:rsidP="00B7156E">
            <w:pPr>
              <w:pStyle w:val="Tabletextleftaligned"/>
            </w:pPr>
            <w:r w:rsidRPr="00EB74A8">
              <w:t>Annually</w:t>
            </w:r>
          </w:p>
        </w:tc>
      </w:tr>
      <w:tr w:rsidR="00CD49E5" w:rsidRPr="00EB74A8" w14:paraId="7ED80C00"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2A46454E" w14:textId="6F174EE8" w:rsidR="00CD49E5" w:rsidRPr="00EB74A8" w:rsidRDefault="00CD49E5" w:rsidP="00582961">
            <w:pPr>
              <w:pStyle w:val="Tabletextleftaligned"/>
            </w:pPr>
            <w:r w:rsidRPr="00EB74A8">
              <w:t>2.9</w:t>
            </w:r>
          </w:p>
        </w:tc>
        <w:tc>
          <w:tcPr>
            <w:tcW w:w="10773" w:type="dxa"/>
          </w:tcPr>
          <w:p w14:paraId="64DD7FE6" w14:textId="4B0BF849" w:rsidR="00CD49E5" w:rsidRPr="00EB74A8" w:rsidRDefault="00CF03EF" w:rsidP="00412E82">
            <w:pPr>
              <w:pStyle w:val="Tabletextleftaligned"/>
            </w:pPr>
            <w:r w:rsidRPr="00EB74A8">
              <w:t>Proportion of infectious syphilis notifications by clinical facility where the syphilis infection was diagnosed</w:t>
            </w:r>
          </w:p>
        </w:tc>
        <w:tc>
          <w:tcPr>
            <w:tcW w:w="1276" w:type="dxa"/>
          </w:tcPr>
          <w:p w14:paraId="20808E19" w14:textId="726C11C7" w:rsidR="00CD49E5" w:rsidRPr="00EB74A8" w:rsidRDefault="00CD49E5" w:rsidP="00B7156E">
            <w:pPr>
              <w:pStyle w:val="Tabletextleftaligned"/>
            </w:pPr>
            <w:r w:rsidRPr="00EB74A8">
              <w:t>Annually</w:t>
            </w:r>
          </w:p>
        </w:tc>
      </w:tr>
      <w:tr w:rsidR="00CD49E5" w:rsidRPr="00EB74A8" w14:paraId="174D95C9" w14:textId="77777777" w:rsidTr="006C7360">
        <w:trPr>
          <w:trHeight w:val="20"/>
        </w:trPr>
        <w:tc>
          <w:tcPr>
            <w:tcW w:w="1843" w:type="dxa"/>
          </w:tcPr>
          <w:p w14:paraId="75703C91" w14:textId="159F8888" w:rsidR="00CD49E5" w:rsidRPr="00EB74A8" w:rsidRDefault="00CD49E5" w:rsidP="00582961">
            <w:pPr>
              <w:pStyle w:val="Tabletextleftaligned"/>
            </w:pPr>
            <w:r w:rsidRPr="00EB74A8">
              <w:t>2.10</w:t>
            </w:r>
          </w:p>
        </w:tc>
        <w:tc>
          <w:tcPr>
            <w:tcW w:w="10773" w:type="dxa"/>
          </w:tcPr>
          <w:p w14:paraId="6DD072CB" w14:textId="7A57F161" w:rsidR="00CD49E5" w:rsidRPr="00EB74A8" w:rsidRDefault="00AB2947" w:rsidP="00412E82">
            <w:pPr>
              <w:pStyle w:val="Tabletextleftaligned"/>
            </w:pPr>
            <w:r w:rsidRPr="00EB74A8">
              <w:t>Proportion of infectious syphilis notifications receiving treatment, by time to treatment</w:t>
            </w:r>
          </w:p>
        </w:tc>
        <w:tc>
          <w:tcPr>
            <w:tcW w:w="1276" w:type="dxa"/>
          </w:tcPr>
          <w:p w14:paraId="70D0DA24" w14:textId="36F302DE" w:rsidR="00CD49E5" w:rsidRPr="00EB74A8" w:rsidRDefault="00CD49E5" w:rsidP="00B7156E">
            <w:pPr>
              <w:pStyle w:val="Tabletextleftaligned"/>
            </w:pPr>
            <w:r w:rsidRPr="00EB74A8">
              <w:t>Annually</w:t>
            </w:r>
          </w:p>
        </w:tc>
      </w:tr>
      <w:tr w:rsidR="00AB2947" w:rsidRPr="00EB74A8" w14:paraId="19393550" w14:textId="77777777" w:rsidTr="00582961">
        <w:trPr>
          <w:cnfStyle w:val="000000100000" w:firstRow="0" w:lastRow="0" w:firstColumn="0" w:lastColumn="0" w:oddVBand="0" w:evenVBand="0" w:oddHBand="1" w:evenHBand="0" w:firstRowFirstColumn="0" w:firstRowLastColumn="0" w:lastRowFirstColumn="0" w:lastRowLastColumn="0"/>
          <w:trHeight w:val="20"/>
        </w:trPr>
        <w:tc>
          <w:tcPr>
            <w:tcW w:w="13892" w:type="dxa"/>
            <w:gridSpan w:val="3"/>
          </w:tcPr>
          <w:p w14:paraId="301B0FC8" w14:textId="5E203315" w:rsidR="00AB2947" w:rsidRPr="00EB74A8" w:rsidRDefault="00355965" w:rsidP="00E22813">
            <w:pPr>
              <w:pStyle w:val="Tableheadingcentred"/>
            </w:pPr>
            <w:r w:rsidRPr="00EB74A8">
              <w:t xml:space="preserve">Goal 3 </w:t>
            </w:r>
            <w:r w:rsidR="008862FB" w:rsidRPr="00EB74A8">
              <w:t>–</w:t>
            </w:r>
            <w:r w:rsidRPr="00EB74A8">
              <w:t xml:space="preserve"> Reduce morbidity and mortality associated with syphilis</w:t>
            </w:r>
          </w:p>
        </w:tc>
      </w:tr>
      <w:tr w:rsidR="00AB2947" w:rsidRPr="00EB74A8" w14:paraId="02B66CAF" w14:textId="77777777" w:rsidTr="006C7360">
        <w:trPr>
          <w:trHeight w:val="20"/>
        </w:trPr>
        <w:tc>
          <w:tcPr>
            <w:tcW w:w="1843" w:type="dxa"/>
          </w:tcPr>
          <w:p w14:paraId="42BF06BE" w14:textId="5D19FDAA" w:rsidR="00AB2947" w:rsidRPr="00EB74A8" w:rsidRDefault="00355965" w:rsidP="00582961">
            <w:pPr>
              <w:pStyle w:val="Tabletextleftaligned"/>
            </w:pPr>
            <w:r w:rsidRPr="00EB74A8">
              <w:t>3.1</w:t>
            </w:r>
          </w:p>
        </w:tc>
        <w:tc>
          <w:tcPr>
            <w:tcW w:w="10773" w:type="dxa"/>
          </w:tcPr>
          <w:p w14:paraId="35728835" w14:textId="099CBB8F" w:rsidR="00AB2947" w:rsidRPr="00EB74A8" w:rsidRDefault="00A86DBC" w:rsidP="00582961">
            <w:pPr>
              <w:pStyle w:val="Tabletextleftaligned"/>
            </w:pPr>
            <w:r w:rsidRPr="00EB74A8">
              <w:t>Number of syphilis related deaths (ICD-10 coded), by stage of infection</w:t>
            </w:r>
          </w:p>
        </w:tc>
        <w:tc>
          <w:tcPr>
            <w:tcW w:w="1276" w:type="dxa"/>
          </w:tcPr>
          <w:p w14:paraId="05E02349" w14:textId="2B5105E2" w:rsidR="00AB2947" w:rsidRPr="00EB74A8" w:rsidRDefault="006220DA" w:rsidP="00582961">
            <w:pPr>
              <w:pStyle w:val="Tabletextleftaligned"/>
            </w:pPr>
            <w:r w:rsidRPr="00EB74A8">
              <w:t>Annually</w:t>
            </w:r>
          </w:p>
        </w:tc>
      </w:tr>
      <w:tr w:rsidR="00355965" w:rsidRPr="00EB74A8" w14:paraId="615F8FCB"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679AE02F" w14:textId="6F214CB4" w:rsidR="00355965" w:rsidRPr="00EB74A8" w:rsidRDefault="00355965" w:rsidP="00582961">
            <w:pPr>
              <w:pStyle w:val="Tabletextleftaligned"/>
            </w:pPr>
            <w:r w:rsidRPr="00EB74A8">
              <w:t>3.2</w:t>
            </w:r>
          </w:p>
        </w:tc>
        <w:tc>
          <w:tcPr>
            <w:tcW w:w="10773" w:type="dxa"/>
          </w:tcPr>
          <w:p w14:paraId="3B9751CD" w14:textId="7D896C55" w:rsidR="00355965" w:rsidRPr="00EB74A8" w:rsidRDefault="002C5CD1" w:rsidP="00582961">
            <w:pPr>
              <w:pStyle w:val="Tabletextleftaligned"/>
            </w:pPr>
            <w:r w:rsidRPr="00EB74A8">
              <w:t>Number of hospitalisations with a principal diagnosis of syphilis (ICD-10 coded)</w:t>
            </w:r>
          </w:p>
        </w:tc>
        <w:tc>
          <w:tcPr>
            <w:tcW w:w="1276" w:type="dxa"/>
          </w:tcPr>
          <w:p w14:paraId="372A0070" w14:textId="5E5B7A2E" w:rsidR="00355965" w:rsidRPr="00EB74A8" w:rsidRDefault="006220DA" w:rsidP="00582961">
            <w:pPr>
              <w:pStyle w:val="Tabletextleftaligned"/>
            </w:pPr>
            <w:r w:rsidRPr="00EB74A8">
              <w:t>Annually</w:t>
            </w:r>
          </w:p>
        </w:tc>
      </w:tr>
      <w:tr w:rsidR="00355965" w:rsidRPr="00EB74A8" w14:paraId="0BB26331" w14:textId="77777777" w:rsidTr="006C7360">
        <w:trPr>
          <w:trHeight w:val="20"/>
        </w:trPr>
        <w:tc>
          <w:tcPr>
            <w:tcW w:w="1843" w:type="dxa"/>
          </w:tcPr>
          <w:p w14:paraId="243735E6" w14:textId="4D290D9E" w:rsidR="00355965" w:rsidRPr="00EB74A8" w:rsidRDefault="00355965" w:rsidP="00582961">
            <w:pPr>
              <w:pStyle w:val="Tabletextleftaligned"/>
            </w:pPr>
            <w:r w:rsidRPr="00EB74A8">
              <w:t>3.3</w:t>
            </w:r>
          </w:p>
        </w:tc>
        <w:tc>
          <w:tcPr>
            <w:tcW w:w="10773" w:type="dxa"/>
          </w:tcPr>
          <w:p w14:paraId="751B79D0" w14:textId="7680BC2C" w:rsidR="00355965" w:rsidRPr="00EB74A8" w:rsidRDefault="000701A1" w:rsidP="00582961">
            <w:pPr>
              <w:pStyle w:val="Tabletextleftaligned"/>
            </w:pPr>
            <w:r w:rsidRPr="00EB74A8">
              <w:t>Estimated number of disability-adjusted life years (DALY) due to syphilis</w:t>
            </w:r>
          </w:p>
        </w:tc>
        <w:tc>
          <w:tcPr>
            <w:tcW w:w="1276" w:type="dxa"/>
          </w:tcPr>
          <w:p w14:paraId="3A1D28C8" w14:textId="766B10B2" w:rsidR="00355965" w:rsidRPr="00EB74A8" w:rsidRDefault="006220DA" w:rsidP="00582961">
            <w:pPr>
              <w:pStyle w:val="Tabletextleftaligned"/>
            </w:pPr>
            <w:r w:rsidRPr="00EB74A8">
              <w:t>Annually</w:t>
            </w:r>
          </w:p>
        </w:tc>
      </w:tr>
      <w:tr w:rsidR="000701A1" w:rsidRPr="00EB74A8" w14:paraId="4850BF9E" w14:textId="77777777" w:rsidTr="00582961">
        <w:trPr>
          <w:cnfStyle w:val="000000100000" w:firstRow="0" w:lastRow="0" w:firstColumn="0" w:lastColumn="0" w:oddVBand="0" w:evenVBand="0" w:oddHBand="1" w:evenHBand="0" w:firstRowFirstColumn="0" w:firstRowLastColumn="0" w:lastRowFirstColumn="0" w:lastRowLastColumn="0"/>
          <w:trHeight w:val="20"/>
        </w:trPr>
        <w:tc>
          <w:tcPr>
            <w:tcW w:w="13892" w:type="dxa"/>
            <w:gridSpan w:val="3"/>
          </w:tcPr>
          <w:p w14:paraId="20611AE0" w14:textId="23531C94" w:rsidR="000701A1" w:rsidRPr="00EB74A8" w:rsidRDefault="000701A1" w:rsidP="00E22813">
            <w:pPr>
              <w:pStyle w:val="Tableheadingcentred"/>
            </w:pPr>
            <w:r w:rsidRPr="00EB74A8">
              <w:t xml:space="preserve">Goal 4 </w:t>
            </w:r>
            <w:r w:rsidR="008862FB" w:rsidRPr="00EB74A8">
              <w:t>–</w:t>
            </w:r>
            <w:r w:rsidRPr="00EB74A8">
              <w:t xml:space="preserve"> </w:t>
            </w:r>
            <w:r w:rsidR="008862FB" w:rsidRPr="00EB74A8">
              <w:t>Eliminate congenital syphilis (defined as sustained zero congenital syphilis cases)</w:t>
            </w:r>
          </w:p>
        </w:tc>
      </w:tr>
      <w:tr w:rsidR="000701A1" w:rsidRPr="00EB74A8" w14:paraId="638DBAD8" w14:textId="77777777" w:rsidTr="006C7360">
        <w:trPr>
          <w:trHeight w:val="20"/>
        </w:trPr>
        <w:tc>
          <w:tcPr>
            <w:tcW w:w="1843" w:type="dxa"/>
          </w:tcPr>
          <w:p w14:paraId="5CD3EBBC" w14:textId="098534AC" w:rsidR="000701A1" w:rsidRPr="00EB74A8" w:rsidRDefault="008862FB" w:rsidP="00582961">
            <w:pPr>
              <w:pStyle w:val="Tabletextleftaligned"/>
            </w:pPr>
            <w:r w:rsidRPr="00EB74A8">
              <w:t>4.1</w:t>
            </w:r>
          </w:p>
        </w:tc>
        <w:tc>
          <w:tcPr>
            <w:tcW w:w="10773" w:type="dxa"/>
          </w:tcPr>
          <w:p w14:paraId="4907753F" w14:textId="50EEED99" w:rsidR="000701A1" w:rsidRPr="00EB74A8" w:rsidRDefault="00D24D2E" w:rsidP="00582961">
            <w:pPr>
              <w:pStyle w:val="Tabletextleftaligned"/>
            </w:pPr>
            <w:r w:rsidRPr="00EB74A8">
              <w:t>Number of congenital syphilis cases by remoteness area and Indigenous status</w:t>
            </w:r>
          </w:p>
        </w:tc>
        <w:tc>
          <w:tcPr>
            <w:tcW w:w="1276" w:type="dxa"/>
          </w:tcPr>
          <w:p w14:paraId="3E29C595" w14:textId="281964BF" w:rsidR="000701A1" w:rsidRPr="00EB74A8" w:rsidRDefault="00171578" w:rsidP="00582961">
            <w:pPr>
              <w:pStyle w:val="Tabletextleftaligned"/>
            </w:pPr>
            <w:r w:rsidRPr="00EB74A8">
              <w:t>Quarterly</w:t>
            </w:r>
          </w:p>
        </w:tc>
      </w:tr>
      <w:tr w:rsidR="00355965" w:rsidRPr="00EB74A8" w14:paraId="3E02691F"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2F267325" w14:textId="69AEE8D3" w:rsidR="00355965" w:rsidRPr="00EB74A8" w:rsidRDefault="008862FB" w:rsidP="00582961">
            <w:pPr>
              <w:pStyle w:val="Tabletextleftaligned"/>
            </w:pPr>
            <w:r w:rsidRPr="00EB74A8">
              <w:t>4.2</w:t>
            </w:r>
          </w:p>
        </w:tc>
        <w:tc>
          <w:tcPr>
            <w:tcW w:w="10773" w:type="dxa"/>
          </w:tcPr>
          <w:p w14:paraId="711C29BB" w14:textId="3EAAB373" w:rsidR="00355965" w:rsidRPr="00EB74A8" w:rsidRDefault="00085816" w:rsidP="00582961">
            <w:pPr>
              <w:pStyle w:val="Tabletextleftaligned"/>
            </w:pPr>
            <w:r w:rsidRPr="00EB74A8">
              <w:t>Number of congenital syphilis related deaths by Indigenous status</w:t>
            </w:r>
          </w:p>
        </w:tc>
        <w:tc>
          <w:tcPr>
            <w:tcW w:w="1276" w:type="dxa"/>
          </w:tcPr>
          <w:p w14:paraId="6079DC39" w14:textId="713AAD9A" w:rsidR="00355965" w:rsidRPr="00EB74A8" w:rsidRDefault="00171578" w:rsidP="00582961">
            <w:pPr>
              <w:pStyle w:val="Tabletextleftaligned"/>
            </w:pPr>
            <w:r w:rsidRPr="00EB74A8">
              <w:t>Quarterly</w:t>
            </w:r>
          </w:p>
        </w:tc>
      </w:tr>
      <w:tr w:rsidR="008862FB" w:rsidRPr="00EB74A8" w14:paraId="37CBFFFF" w14:textId="77777777" w:rsidTr="006C7360">
        <w:trPr>
          <w:trHeight w:val="20"/>
        </w:trPr>
        <w:tc>
          <w:tcPr>
            <w:tcW w:w="1843" w:type="dxa"/>
          </w:tcPr>
          <w:p w14:paraId="1B7EED6C" w14:textId="6ECC28CD" w:rsidR="008862FB" w:rsidRPr="00EB74A8" w:rsidRDefault="008862FB" w:rsidP="00582961">
            <w:pPr>
              <w:pStyle w:val="Tabletextleftaligned"/>
            </w:pPr>
            <w:r w:rsidRPr="00EB74A8">
              <w:t>4.3</w:t>
            </w:r>
          </w:p>
        </w:tc>
        <w:tc>
          <w:tcPr>
            <w:tcW w:w="10773" w:type="dxa"/>
          </w:tcPr>
          <w:p w14:paraId="6F670B5E" w14:textId="009E6289" w:rsidR="008862FB" w:rsidRPr="00EB74A8" w:rsidRDefault="002759FE" w:rsidP="00582961">
            <w:pPr>
              <w:pStyle w:val="Tabletextleftaligned"/>
            </w:pPr>
            <w:r w:rsidRPr="00EB74A8">
              <w:t>Notification rate of congenital syphilis per 100,000 live births by remoteness area and Indigenous status</w:t>
            </w:r>
          </w:p>
        </w:tc>
        <w:tc>
          <w:tcPr>
            <w:tcW w:w="1276" w:type="dxa"/>
          </w:tcPr>
          <w:p w14:paraId="5F2C0BC2" w14:textId="7322F251" w:rsidR="008862FB" w:rsidRPr="00EB74A8" w:rsidRDefault="00171578" w:rsidP="00582961">
            <w:pPr>
              <w:pStyle w:val="Tabletextleftaligned"/>
            </w:pPr>
            <w:r w:rsidRPr="00EB74A8">
              <w:t>Quarterly</w:t>
            </w:r>
          </w:p>
        </w:tc>
      </w:tr>
      <w:tr w:rsidR="008862FB" w:rsidRPr="00EB74A8" w14:paraId="7E2635C3"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3EE684CD" w14:textId="26A5C55D" w:rsidR="008862FB" w:rsidRPr="00EB74A8" w:rsidRDefault="008862FB" w:rsidP="00582961">
            <w:pPr>
              <w:pStyle w:val="Tabletextleftaligned"/>
            </w:pPr>
            <w:r w:rsidRPr="00EB74A8">
              <w:t>4.4</w:t>
            </w:r>
          </w:p>
        </w:tc>
        <w:tc>
          <w:tcPr>
            <w:tcW w:w="10773" w:type="dxa"/>
          </w:tcPr>
          <w:p w14:paraId="2C8184E4" w14:textId="453801AE" w:rsidR="008862FB" w:rsidRPr="00EB74A8" w:rsidRDefault="00387A73" w:rsidP="00582961">
            <w:pPr>
              <w:pStyle w:val="Tabletextleftaligned"/>
            </w:pPr>
            <w:r w:rsidRPr="00EB74A8">
              <w:t>Proportion of syphilis notifications among women of reproductive age (15- 44 years) who were pregnant at time of diagnosis, by remoteness area classification and Indigenous status</w:t>
            </w:r>
          </w:p>
        </w:tc>
        <w:tc>
          <w:tcPr>
            <w:tcW w:w="1276" w:type="dxa"/>
          </w:tcPr>
          <w:p w14:paraId="7FD3DF30" w14:textId="1EB6F38E" w:rsidR="008862FB" w:rsidRPr="00EB74A8" w:rsidRDefault="00171578" w:rsidP="00582961">
            <w:pPr>
              <w:pStyle w:val="Tabletextleftaligned"/>
            </w:pPr>
            <w:r w:rsidRPr="00EB74A8">
              <w:t>Quarterly</w:t>
            </w:r>
          </w:p>
        </w:tc>
      </w:tr>
      <w:tr w:rsidR="008862FB" w:rsidRPr="00EB74A8" w14:paraId="36CE876B" w14:textId="77777777" w:rsidTr="006C7360">
        <w:trPr>
          <w:trHeight w:val="20"/>
        </w:trPr>
        <w:tc>
          <w:tcPr>
            <w:tcW w:w="1843" w:type="dxa"/>
          </w:tcPr>
          <w:p w14:paraId="381F17A3" w14:textId="14109F14" w:rsidR="008862FB" w:rsidRPr="00EB74A8" w:rsidRDefault="008862FB" w:rsidP="00582961">
            <w:pPr>
              <w:pStyle w:val="Tabletextleftaligned"/>
            </w:pPr>
            <w:r w:rsidRPr="00EB74A8">
              <w:t>4.5</w:t>
            </w:r>
          </w:p>
        </w:tc>
        <w:tc>
          <w:tcPr>
            <w:tcW w:w="10773" w:type="dxa"/>
          </w:tcPr>
          <w:p w14:paraId="1BDAA67A" w14:textId="74D679E9" w:rsidR="008862FB" w:rsidRPr="00EB74A8" w:rsidRDefault="00BC289C" w:rsidP="00582961">
            <w:pPr>
              <w:pStyle w:val="Tabletextleftaligned"/>
            </w:pPr>
            <w:r w:rsidRPr="00EB74A8">
              <w:t>Number of women giving birth to an infant with congenital syphilis who were diagnosed with syphilis ‘late’ in pregnancy by Indigenous status</w:t>
            </w:r>
          </w:p>
        </w:tc>
        <w:tc>
          <w:tcPr>
            <w:tcW w:w="1276" w:type="dxa"/>
          </w:tcPr>
          <w:p w14:paraId="2E315D21" w14:textId="6BAA583D" w:rsidR="008862FB" w:rsidRPr="00EB74A8" w:rsidRDefault="00171578" w:rsidP="00582961">
            <w:pPr>
              <w:pStyle w:val="Tabletextleftaligned"/>
            </w:pPr>
            <w:r w:rsidRPr="00EB74A8">
              <w:t>Quarterly</w:t>
            </w:r>
          </w:p>
        </w:tc>
      </w:tr>
      <w:tr w:rsidR="008862FB" w:rsidRPr="00EB74A8" w14:paraId="70D3B8DC"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69C7351C" w14:textId="210F04FD" w:rsidR="008862FB" w:rsidRPr="00EB74A8" w:rsidRDefault="008862FB" w:rsidP="00582961">
            <w:pPr>
              <w:pStyle w:val="Tabletextleftaligned"/>
            </w:pPr>
            <w:r w:rsidRPr="00EB74A8">
              <w:lastRenderedPageBreak/>
              <w:t>4.6</w:t>
            </w:r>
          </w:p>
        </w:tc>
        <w:tc>
          <w:tcPr>
            <w:tcW w:w="10773" w:type="dxa"/>
          </w:tcPr>
          <w:p w14:paraId="1A4D599A" w14:textId="57755CDF" w:rsidR="008862FB" w:rsidRPr="00EB74A8" w:rsidRDefault="009E09CF" w:rsidP="00582961">
            <w:pPr>
              <w:pStyle w:val="Tabletextleftaligned"/>
            </w:pPr>
            <w:r w:rsidRPr="00EB74A8">
              <w:t>Proportion of women giving birth to an infant with congenital syphilis receiving adequate treatment prior to delivery</w:t>
            </w:r>
          </w:p>
        </w:tc>
        <w:tc>
          <w:tcPr>
            <w:tcW w:w="1276" w:type="dxa"/>
          </w:tcPr>
          <w:p w14:paraId="24732809" w14:textId="01080B35" w:rsidR="008862FB" w:rsidRPr="00EB74A8" w:rsidRDefault="00171578" w:rsidP="00582961">
            <w:pPr>
              <w:pStyle w:val="Tabletextleftaligned"/>
            </w:pPr>
            <w:r w:rsidRPr="00EB74A8">
              <w:t>Quarterly</w:t>
            </w:r>
          </w:p>
        </w:tc>
      </w:tr>
      <w:tr w:rsidR="00355965" w:rsidRPr="00EB74A8" w14:paraId="32E38644" w14:textId="77777777" w:rsidTr="006C7360">
        <w:trPr>
          <w:trHeight w:val="20"/>
        </w:trPr>
        <w:tc>
          <w:tcPr>
            <w:tcW w:w="1843" w:type="dxa"/>
          </w:tcPr>
          <w:p w14:paraId="6C88E1E3" w14:textId="04F55D2E" w:rsidR="00355965" w:rsidRPr="00EB74A8" w:rsidRDefault="008862FB" w:rsidP="00582961">
            <w:pPr>
              <w:pStyle w:val="Tabletextleftaligned"/>
            </w:pPr>
            <w:r w:rsidRPr="00EB74A8">
              <w:t>4.7</w:t>
            </w:r>
          </w:p>
        </w:tc>
        <w:tc>
          <w:tcPr>
            <w:tcW w:w="10773" w:type="dxa"/>
          </w:tcPr>
          <w:p w14:paraId="5A4EAAF6" w14:textId="287D0931" w:rsidR="00355965" w:rsidRPr="00EB74A8" w:rsidRDefault="000D5D43" w:rsidP="00582961">
            <w:pPr>
              <w:pStyle w:val="Tabletextleftaligned"/>
            </w:pPr>
            <w:r w:rsidRPr="00EB74A8">
              <w:t>Number of women giving birth to an infant with congenital syphilis by number of syphilis tests received during their pregnancy</w:t>
            </w:r>
          </w:p>
        </w:tc>
        <w:tc>
          <w:tcPr>
            <w:tcW w:w="1276" w:type="dxa"/>
          </w:tcPr>
          <w:p w14:paraId="170195FB" w14:textId="2CA2AB39" w:rsidR="00355965" w:rsidRPr="00EB74A8" w:rsidRDefault="00171578" w:rsidP="00582961">
            <w:pPr>
              <w:pStyle w:val="Tabletextleftaligned"/>
            </w:pPr>
            <w:r w:rsidRPr="00EB74A8">
              <w:t>Quarterly</w:t>
            </w:r>
          </w:p>
        </w:tc>
      </w:tr>
      <w:tr w:rsidR="00CD49E5" w:rsidRPr="00EB74A8" w14:paraId="1B8F0D06"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7F426FA9" w14:textId="4318FB52" w:rsidR="00CD49E5" w:rsidRPr="00EB74A8" w:rsidRDefault="008862FB" w:rsidP="00582961">
            <w:pPr>
              <w:pStyle w:val="Tabletextleftaligned"/>
            </w:pPr>
            <w:r w:rsidRPr="00EB74A8">
              <w:t>4.8</w:t>
            </w:r>
          </w:p>
        </w:tc>
        <w:tc>
          <w:tcPr>
            <w:tcW w:w="10773" w:type="dxa"/>
          </w:tcPr>
          <w:p w14:paraId="32C2955D" w14:textId="122DC364" w:rsidR="00CD49E5" w:rsidRPr="00EB74A8" w:rsidRDefault="00532A7D" w:rsidP="00412E82">
            <w:pPr>
              <w:pStyle w:val="Tabletextleftaligned"/>
            </w:pPr>
            <w:r w:rsidRPr="00EB74A8">
              <w:t>Number of women giving birth to an infant with congenital syphilis reinfected during their pregnancy</w:t>
            </w:r>
          </w:p>
        </w:tc>
        <w:tc>
          <w:tcPr>
            <w:tcW w:w="1276" w:type="dxa"/>
          </w:tcPr>
          <w:p w14:paraId="6DE8EB12" w14:textId="778F81AC" w:rsidR="00CD49E5" w:rsidRPr="00EB74A8" w:rsidRDefault="00171578" w:rsidP="00B7156E">
            <w:pPr>
              <w:pStyle w:val="Tabletextleftaligned"/>
            </w:pPr>
            <w:r w:rsidRPr="00EB74A8">
              <w:t>Quarterly</w:t>
            </w:r>
          </w:p>
        </w:tc>
      </w:tr>
      <w:tr w:rsidR="00171578" w:rsidRPr="00EB74A8" w14:paraId="281F40D6" w14:textId="77777777" w:rsidTr="006C7360">
        <w:trPr>
          <w:trHeight w:val="20"/>
        </w:trPr>
        <w:tc>
          <w:tcPr>
            <w:tcW w:w="1843" w:type="dxa"/>
          </w:tcPr>
          <w:p w14:paraId="00090E87" w14:textId="7048C91C" w:rsidR="00171578" w:rsidRPr="00EB74A8" w:rsidRDefault="00171578" w:rsidP="00582961">
            <w:pPr>
              <w:pStyle w:val="Tabletextleftaligned"/>
            </w:pPr>
            <w:r w:rsidRPr="00EB74A8">
              <w:t>4.9</w:t>
            </w:r>
          </w:p>
        </w:tc>
        <w:tc>
          <w:tcPr>
            <w:tcW w:w="10773" w:type="dxa"/>
          </w:tcPr>
          <w:p w14:paraId="767EFE85" w14:textId="339E236D" w:rsidR="00171578" w:rsidRPr="00EB74A8" w:rsidRDefault="00E908C7" w:rsidP="00412E82">
            <w:pPr>
              <w:pStyle w:val="Tabletextleftaligned"/>
            </w:pPr>
            <w:r w:rsidRPr="00EB74A8">
              <w:t>Number of women of reproductive age (15 to 44 years) hospitalised with a principal diagnosis of syphilis (ICD-10 coded)</w:t>
            </w:r>
          </w:p>
        </w:tc>
        <w:tc>
          <w:tcPr>
            <w:tcW w:w="1276" w:type="dxa"/>
          </w:tcPr>
          <w:p w14:paraId="00F73E57" w14:textId="7F697E73" w:rsidR="00171578" w:rsidRPr="00EB74A8" w:rsidRDefault="00171578" w:rsidP="00B7156E">
            <w:pPr>
              <w:pStyle w:val="Tabletextleftaligned"/>
            </w:pPr>
            <w:r w:rsidRPr="00EB74A8">
              <w:t>Annually</w:t>
            </w:r>
          </w:p>
        </w:tc>
      </w:tr>
      <w:tr w:rsidR="008862FB" w:rsidRPr="00EB74A8" w14:paraId="7108CADA" w14:textId="77777777" w:rsidTr="006C7360">
        <w:trPr>
          <w:cnfStyle w:val="000000100000" w:firstRow="0" w:lastRow="0" w:firstColumn="0" w:lastColumn="0" w:oddVBand="0" w:evenVBand="0" w:oddHBand="1" w:evenHBand="0" w:firstRowFirstColumn="0" w:firstRowLastColumn="0" w:lastRowFirstColumn="0" w:lastRowLastColumn="0"/>
          <w:trHeight w:val="20"/>
        </w:trPr>
        <w:tc>
          <w:tcPr>
            <w:tcW w:w="1843" w:type="dxa"/>
          </w:tcPr>
          <w:p w14:paraId="6B0B1FDE" w14:textId="475E798E" w:rsidR="008862FB" w:rsidRPr="00EB74A8" w:rsidRDefault="00171578" w:rsidP="00582961">
            <w:pPr>
              <w:pStyle w:val="Tabletextleftaligned"/>
            </w:pPr>
            <w:r w:rsidRPr="00EB74A8">
              <w:t>4.10</w:t>
            </w:r>
          </w:p>
        </w:tc>
        <w:tc>
          <w:tcPr>
            <w:tcW w:w="10773" w:type="dxa"/>
          </w:tcPr>
          <w:p w14:paraId="24D2720C" w14:textId="6FDE72EE" w:rsidR="008862FB" w:rsidRPr="00EB74A8" w:rsidRDefault="006C7360" w:rsidP="00412E82">
            <w:pPr>
              <w:pStyle w:val="Tabletextleftaligned"/>
            </w:pPr>
            <w:r w:rsidRPr="00EB74A8">
              <w:t>Number of women hospitalised with a principal diagnosis of syphilis in pregnancy, childbirth and puerperium (ICD-10 coded)</w:t>
            </w:r>
          </w:p>
        </w:tc>
        <w:tc>
          <w:tcPr>
            <w:tcW w:w="1276" w:type="dxa"/>
          </w:tcPr>
          <w:p w14:paraId="386E0D80" w14:textId="48200BB1" w:rsidR="008862FB" w:rsidRPr="00EB74A8" w:rsidRDefault="00171578" w:rsidP="00B7156E">
            <w:pPr>
              <w:pStyle w:val="Tabletextleftaligned"/>
            </w:pPr>
            <w:r w:rsidRPr="00EB74A8">
              <w:t>Annually</w:t>
            </w:r>
          </w:p>
        </w:tc>
      </w:tr>
    </w:tbl>
    <w:p w14:paraId="2EE304C4" w14:textId="531B2C75" w:rsidR="00B02726" w:rsidRPr="00EB74A8" w:rsidRDefault="000F0541" w:rsidP="000F0541">
      <w:pPr>
        <w:pStyle w:val="Heading1"/>
      </w:pPr>
      <w:bookmarkStart w:id="58" w:name="_Toc218512935"/>
      <w:bookmarkStart w:id="59" w:name="_Toc225244440"/>
      <w:r w:rsidRPr="00EB74A8">
        <w:lastRenderedPageBreak/>
        <w:t>Appendix B – NNDSS syphilis notification and enhanced data completeness by year,</w:t>
      </w:r>
      <w:r w:rsidR="00C93271" w:rsidRPr="00EB74A8">
        <w:t xml:space="preserve"> 2020 to</w:t>
      </w:r>
      <w:r w:rsidRPr="00EB74A8">
        <w:t xml:space="preserve"> </w:t>
      </w:r>
      <w:r w:rsidR="00381907" w:rsidRPr="00EB74A8">
        <w:t xml:space="preserve">Q3 </w:t>
      </w:r>
      <w:r w:rsidRPr="00EB74A8">
        <w:t>202</w:t>
      </w:r>
      <w:bookmarkEnd w:id="58"/>
      <w:r w:rsidR="00381907" w:rsidRPr="00EB74A8">
        <w:t>5</w:t>
      </w:r>
      <w:bookmarkEnd w:id="59"/>
    </w:p>
    <w:tbl>
      <w:tblPr>
        <w:tblStyle w:val="TableGrid"/>
        <w:tblW w:w="13892" w:type="dxa"/>
        <w:tblLayout w:type="fixed"/>
        <w:tblLook w:val="04A0" w:firstRow="1" w:lastRow="0" w:firstColumn="1" w:lastColumn="0" w:noHBand="0" w:noVBand="1"/>
      </w:tblPr>
      <w:tblGrid>
        <w:gridCol w:w="3119"/>
        <w:gridCol w:w="850"/>
        <w:gridCol w:w="1758"/>
        <w:gridCol w:w="1304"/>
        <w:gridCol w:w="1304"/>
        <w:gridCol w:w="1304"/>
        <w:gridCol w:w="1417"/>
        <w:gridCol w:w="1418"/>
        <w:gridCol w:w="1418"/>
      </w:tblGrid>
      <w:tr w:rsidR="008C1D2D" w:rsidRPr="00EB74A8" w14:paraId="7CD8676E" w14:textId="77777777" w:rsidTr="004A5174">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top w:val="nil"/>
            </w:tcBorders>
          </w:tcPr>
          <w:p w14:paraId="556A6CCB" w14:textId="7F4E1087" w:rsidR="008C1D2D" w:rsidRPr="00EB74A8" w:rsidRDefault="008C1D2D" w:rsidP="00582961">
            <w:pPr>
              <w:pStyle w:val="Tableheadrowboldleftaligned"/>
              <w:rPr>
                <w:vertAlign w:val="superscript"/>
              </w:rPr>
            </w:pPr>
            <w:r w:rsidRPr="00EB74A8">
              <w:t>Variable</w:t>
            </w:r>
            <w:r w:rsidR="00407ED8" w:rsidRPr="00EB74A8">
              <w:rPr>
                <w:vertAlign w:val="superscript"/>
              </w:rPr>
              <w:t>1</w:t>
            </w:r>
          </w:p>
        </w:tc>
        <w:tc>
          <w:tcPr>
            <w:tcW w:w="850" w:type="dxa"/>
            <w:tcBorders>
              <w:top w:val="single" w:sz="4" w:space="0" w:color="auto"/>
            </w:tcBorders>
          </w:tcPr>
          <w:p w14:paraId="6EDC9B22" w14:textId="77777777" w:rsidR="008C1D2D" w:rsidRPr="00EB74A8" w:rsidRDefault="008C1D2D" w:rsidP="00582961">
            <w:pPr>
              <w:pStyle w:val="Tableheadrowboldleftaligned"/>
            </w:pPr>
            <w:r w:rsidRPr="00EB74A8">
              <w:t>2020</w:t>
            </w:r>
          </w:p>
        </w:tc>
        <w:tc>
          <w:tcPr>
            <w:tcW w:w="1758" w:type="dxa"/>
            <w:tcBorders>
              <w:top w:val="nil"/>
            </w:tcBorders>
          </w:tcPr>
          <w:p w14:paraId="20385D11" w14:textId="77777777" w:rsidR="008C1D2D" w:rsidRPr="00EB74A8" w:rsidRDefault="008C1D2D" w:rsidP="004A5174">
            <w:pPr>
              <w:pStyle w:val="Tableheadrowboldleftaligned"/>
              <w:jc w:val="right"/>
            </w:pPr>
            <w:r w:rsidRPr="00EB74A8">
              <w:t>2021</w:t>
            </w:r>
          </w:p>
        </w:tc>
        <w:tc>
          <w:tcPr>
            <w:tcW w:w="1304" w:type="dxa"/>
            <w:tcBorders>
              <w:top w:val="nil"/>
            </w:tcBorders>
          </w:tcPr>
          <w:p w14:paraId="2D571671" w14:textId="77777777" w:rsidR="008C1D2D" w:rsidRPr="00EB74A8" w:rsidRDefault="008C1D2D" w:rsidP="004A5174">
            <w:pPr>
              <w:pStyle w:val="Tableheadrowboldleftaligned"/>
              <w:jc w:val="right"/>
            </w:pPr>
            <w:r w:rsidRPr="00EB74A8">
              <w:t>2022</w:t>
            </w:r>
          </w:p>
        </w:tc>
        <w:tc>
          <w:tcPr>
            <w:tcW w:w="1304" w:type="dxa"/>
            <w:tcBorders>
              <w:top w:val="nil"/>
            </w:tcBorders>
          </w:tcPr>
          <w:p w14:paraId="0104A88C" w14:textId="77777777" w:rsidR="008C1D2D" w:rsidRPr="00EB74A8" w:rsidRDefault="008C1D2D" w:rsidP="004A5174">
            <w:pPr>
              <w:pStyle w:val="Tableheadrowboldleftaligned"/>
              <w:jc w:val="right"/>
            </w:pPr>
            <w:r w:rsidRPr="00EB74A8">
              <w:t>2023</w:t>
            </w:r>
          </w:p>
        </w:tc>
        <w:tc>
          <w:tcPr>
            <w:tcW w:w="1304" w:type="dxa"/>
            <w:tcBorders>
              <w:top w:val="nil"/>
            </w:tcBorders>
          </w:tcPr>
          <w:p w14:paraId="2AC2BEE1" w14:textId="77777777" w:rsidR="008C1D2D" w:rsidRPr="00EB74A8" w:rsidRDefault="008C1D2D" w:rsidP="004A5174">
            <w:pPr>
              <w:pStyle w:val="Tableheadrowboldleftaligned"/>
              <w:jc w:val="right"/>
            </w:pPr>
            <w:r w:rsidRPr="00EB74A8">
              <w:t>2024</w:t>
            </w:r>
          </w:p>
        </w:tc>
        <w:tc>
          <w:tcPr>
            <w:tcW w:w="4253" w:type="dxa"/>
            <w:gridSpan w:val="3"/>
            <w:tcBorders>
              <w:top w:val="nil"/>
            </w:tcBorders>
          </w:tcPr>
          <w:p w14:paraId="0C21842D" w14:textId="77777777" w:rsidR="008C1D2D" w:rsidRPr="00EB74A8" w:rsidRDefault="008C1D2D" w:rsidP="00582961">
            <w:pPr>
              <w:pStyle w:val="Tableheadingcentred"/>
            </w:pPr>
            <w:r w:rsidRPr="00EB74A8">
              <w:t>2025</w:t>
            </w:r>
          </w:p>
        </w:tc>
      </w:tr>
      <w:tr w:rsidR="00C93271" w:rsidRPr="00EB74A8" w14:paraId="030EFE51" w14:textId="77777777" w:rsidTr="004A5174">
        <w:trPr>
          <w:cnfStyle w:val="100000000000" w:firstRow="1" w:lastRow="0" w:firstColumn="0" w:lastColumn="0" w:oddVBand="0" w:evenVBand="0" w:oddHBand="0" w:evenHBand="0" w:firstRowFirstColumn="0" w:firstRowLastColumn="0" w:lastRowFirstColumn="0" w:lastRowLastColumn="0"/>
          <w:trHeight w:val="20"/>
          <w:tblHeader/>
        </w:trPr>
        <w:tc>
          <w:tcPr>
            <w:tcW w:w="3119" w:type="dxa"/>
            <w:tcBorders>
              <w:top w:val="single" w:sz="4" w:space="0" w:color="auto"/>
            </w:tcBorders>
          </w:tcPr>
          <w:p w14:paraId="1504EE8C" w14:textId="77777777" w:rsidR="008C1D2D" w:rsidRPr="00EB74A8" w:rsidRDefault="008C1D2D" w:rsidP="00582961">
            <w:pPr>
              <w:spacing w:before="60" w:after="60" w:line="240" w:lineRule="auto"/>
              <w:rPr>
                <w:b/>
                <w:bCs/>
              </w:rPr>
            </w:pPr>
          </w:p>
        </w:tc>
        <w:tc>
          <w:tcPr>
            <w:tcW w:w="850" w:type="dxa"/>
            <w:tcBorders>
              <w:top w:val="single" w:sz="4" w:space="0" w:color="auto"/>
            </w:tcBorders>
          </w:tcPr>
          <w:p w14:paraId="79402B3A" w14:textId="77777777" w:rsidR="008C1D2D" w:rsidRPr="00EB74A8" w:rsidRDefault="008C1D2D" w:rsidP="00582961">
            <w:pPr>
              <w:spacing w:before="60" w:after="60" w:line="240" w:lineRule="auto"/>
              <w:rPr>
                <w:b/>
                <w:bCs/>
              </w:rPr>
            </w:pPr>
          </w:p>
        </w:tc>
        <w:tc>
          <w:tcPr>
            <w:tcW w:w="1758" w:type="dxa"/>
            <w:tcBorders>
              <w:top w:val="single" w:sz="4" w:space="0" w:color="auto"/>
            </w:tcBorders>
          </w:tcPr>
          <w:p w14:paraId="2DC73D04" w14:textId="77777777" w:rsidR="008C1D2D" w:rsidRPr="00EB74A8" w:rsidRDefault="008C1D2D" w:rsidP="00582961">
            <w:pPr>
              <w:spacing w:before="60" w:after="60" w:line="240" w:lineRule="auto"/>
              <w:rPr>
                <w:b/>
                <w:bCs/>
              </w:rPr>
            </w:pPr>
          </w:p>
        </w:tc>
        <w:tc>
          <w:tcPr>
            <w:tcW w:w="1304" w:type="dxa"/>
            <w:tcBorders>
              <w:top w:val="single" w:sz="4" w:space="0" w:color="auto"/>
            </w:tcBorders>
          </w:tcPr>
          <w:p w14:paraId="4F7CA07D" w14:textId="77777777" w:rsidR="008C1D2D" w:rsidRPr="00EB74A8" w:rsidRDefault="008C1D2D" w:rsidP="00582961">
            <w:pPr>
              <w:spacing w:before="60" w:after="60" w:line="240" w:lineRule="auto"/>
              <w:rPr>
                <w:b/>
                <w:bCs/>
              </w:rPr>
            </w:pPr>
          </w:p>
        </w:tc>
        <w:tc>
          <w:tcPr>
            <w:tcW w:w="1304" w:type="dxa"/>
          </w:tcPr>
          <w:p w14:paraId="7B25B3AC" w14:textId="77777777" w:rsidR="008C1D2D" w:rsidRPr="00EB74A8" w:rsidRDefault="008C1D2D" w:rsidP="00582961">
            <w:pPr>
              <w:spacing w:before="60" w:after="60" w:line="240" w:lineRule="auto"/>
              <w:rPr>
                <w:b/>
                <w:bCs/>
              </w:rPr>
            </w:pPr>
          </w:p>
        </w:tc>
        <w:tc>
          <w:tcPr>
            <w:tcW w:w="1304" w:type="dxa"/>
          </w:tcPr>
          <w:p w14:paraId="706ACCA3" w14:textId="77777777" w:rsidR="008C1D2D" w:rsidRPr="00EB74A8" w:rsidRDefault="008C1D2D" w:rsidP="00582961">
            <w:pPr>
              <w:spacing w:before="60" w:after="60" w:line="240" w:lineRule="auto"/>
              <w:rPr>
                <w:b/>
                <w:bCs/>
              </w:rPr>
            </w:pPr>
          </w:p>
        </w:tc>
        <w:tc>
          <w:tcPr>
            <w:tcW w:w="1417" w:type="dxa"/>
          </w:tcPr>
          <w:p w14:paraId="4C396C7F" w14:textId="77777777" w:rsidR="008C1D2D" w:rsidRPr="00EB74A8" w:rsidRDefault="008C1D2D" w:rsidP="004A5174">
            <w:pPr>
              <w:pStyle w:val="Tableheadrowboldleftaligned"/>
              <w:jc w:val="right"/>
            </w:pPr>
            <w:r w:rsidRPr="00EB74A8">
              <w:t>Q1</w:t>
            </w:r>
          </w:p>
        </w:tc>
        <w:tc>
          <w:tcPr>
            <w:tcW w:w="1418" w:type="dxa"/>
          </w:tcPr>
          <w:p w14:paraId="52041189" w14:textId="77777777" w:rsidR="008C1D2D" w:rsidRPr="00EB74A8" w:rsidRDefault="008C1D2D" w:rsidP="004A5174">
            <w:pPr>
              <w:pStyle w:val="Tableheadrowboldleftaligned"/>
              <w:jc w:val="right"/>
            </w:pPr>
            <w:r w:rsidRPr="00EB74A8">
              <w:t>Q2</w:t>
            </w:r>
          </w:p>
        </w:tc>
        <w:tc>
          <w:tcPr>
            <w:tcW w:w="1418" w:type="dxa"/>
            <w:tcBorders>
              <w:top w:val="single" w:sz="4" w:space="0" w:color="auto"/>
            </w:tcBorders>
          </w:tcPr>
          <w:p w14:paraId="0121A6F7" w14:textId="77777777" w:rsidR="008C1D2D" w:rsidRPr="00EB74A8" w:rsidRDefault="008C1D2D" w:rsidP="004A5174">
            <w:pPr>
              <w:pStyle w:val="Tableheadrowboldleftaligned"/>
              <w:jc w:val="right"/>
            </w:pPr>
            <w:r w:rsidRPr="00EB74A8">
              <w:t>Q3</w:t>
            </w:r>
          </w:p>
        </w:tc>
      </w:tr>
      <w:tr w:rsidR="003C0698" w:rsidRPr="00EB74A8" w14:paraId="4131010C" w14:textId="77777777" w:rsidTr="003C0698">
        <w:trPr>
          <w:cnfStyle w:val="000000100000" w:firstRow="0" w:lastRow="0" w:firstColumn="0" w:lastColumn="0" w:oddVBand="0" w:evenVBand="0" w:oddHBand="1" w:evenHBand="0" w:firstRowFirstColumn="0" w:firstRowLastColumn="0" w:lastRowFirstColumn="0" w:lastRowLastColumn="0"/>
          <w:trHeight w:val="20"/>
        </w:trPr>
        <w:tc>
          <w:tcPr>
            <w:tcW w:w="13892" w:type="dxa"/>
            <w:gridSpan w:val="9"/>
          </w:tcPr>
          <w:p w14:paraId="0822FC2D" w14:textId="6FD9F262" w:rsidR="003C0698" w:rsidRPr="00EB74A8" w:rsidRDefault="003C0698" w:rsidP="003C0698">
            <w:pPr>
              <w:pStyle w:val="Tableheadingcentred"/>
            </w:pPr>
            <w:r w:rsidRPr="00EB74A8">
              <w:t>Indigenous status</w:t>
            </w:r>
          </w:p>
        </w:tc>
      </w:tr>
      <w:tr w:rsidR="00B8383F" w:rsidRPr="00EB74A8" w14:paraId="2C847AD2" w14:textId="77777777" w:rsidTr="004A5174">
        <w:trPr>
          <w:trHeight w:val="20"/>
        </w:trPr>
        <w:tc>
          <w:tcPr>
            <w:tcW w:w="3119" w:type="dxa"/>
          </w:tcPr>
          <w:p w14:paraId="1D6B587C" w14:textId="10BBB44F" w:rsidR="00B8383F" w:rsidRPr="00EB74A8" w:rsidRDefault="00724369" w:rsidP="00724369">
            <w:pPr>
              <w:pStyle w:val="Tabletextleftaligned"/>
            </w:pPr>
            <w:r w:rsidRPr="00EB74A8">
              <w:t>Infectious syphilis</w:t>
            </w:r>
          </w:p>
        </w:tc>
        <w:tc>
          <w:tcPr>
            <w:tcW w:w="850" w:type="dxa"/>
          </w:tcPr>
          <w:p w14:paraId="3A2E4924" w14:textId="0D18EEEF" w:rsidR="00B8383F" w:rsidRPr="00EB74A8" w:rsidRDefault="00724369" w:rsidP="00724369">
            <w:pPr>
              <w:pStyle w:val="Tabletextrightaligned"/>
            </w:pPr>
            <w:r w:rsidRPr="00EB74A8">
              <w:t>96%</w:t>
            </w:r>
          </w:p>
        </w:tc>
        <w:tc>
          <w:tcPr>
            <w:tcW w:w="1758" w:type="dxa"/>
          </w:tcPr>
          <w:p w14:paraId="1CB8B77B" w14:textId="5526B1C3" w:rsidR="00B8383F" w:rsidRPr="00EB74A8" w:rsidRDefault="00724369" w:rsidP="00724369">
            <w:pPr>
              <w:pStyle w:val="Tabletextrightaligned"/>
            </w:pPr>
            <w:r w:rsidRPr="00EB74A8">
              <w:t>95%</w:t>
            </w:r>
          </w:p>
        </w:tc>
        <w:tc>
          <w:tcPr>
            <w:tcW w:w="1304" w:type="dxa"/>
          </w:tcPr>
          <w:p w14:paraId="7563B582" w14:textId="65AC5E3C" w:rsidR="00B8383F" w:rsidRPr="00EB74A8" w:rsidRDefault="0098033E" w:rsidP="00724369">
            <w:pPr>
              <w:pStyle w:val="Tabletextrightaligned"/>
            </w:pPr>
            <w:r w:rsidRPr="00EB74A8">
              <w:t>92%</w:t>
            </w:r>
          </w:p>
        </w:tc>
        <w:tc>
          <w:tcPr>
            <w:tcW w:w="1304" w:type="dxa"/>
          </w:tcPr>
          <w:p w14:paraId="0D37358A" w14:textId="728AE8F4" w:rsidR="00B8383F" w:rsidRPr="00EB74A8" w:rsidRDefault="0098033E" w:rsidP="00724369">
            <w:pPr>
              <w:pStyle w:val="Tabletextrightaligned"/>
            </w:pPr>
            <w:r w:rsidRPr="00EB74A8">
              <w:t>94%</w:t>
            </w:r>
          </w:p>
        </w:tc>
        <w:tc>
          <w:tcPr>
            <w:tcW w:w="1304" w:type="dxa"/>
          </w:tcPr>
          <w:p w14:paraId="1A0DA59C" w14:textId="35F989CA" w:rsidR="00B8383F" w:rsidRPr="00EB74A8" w:rsidRDefault="00342ABD" w:rsidP="00724369">
            <w:pPr>
              <w:pStyle w:val="Tabletextrightaligned"/>
            </w:pPr>
            <w:r w:rsidRPr="00EB74A8">
              <w:t>95%</w:t>
            </w:r>
          </w:p>
        </w:tc>
        <w:tc>
          <w:tcPr>
            <w:tcW w:w="1417" w:type="dxa"/>
          </w:tcPr>
          <w:p w14:paraId="1897072C" w14:textId="23C5353E" w:rsidR="00B8383F" w:rsidRPr="00EB74A8" w:rsidRDefault="005700DC" w:rsidP="00724369">
            <w:pPr>
              <w:pStyle w:val="Tabletextrightaligned"/>
            </w:pPr>
            <w:r w:rsidRPr="00EB74A8">
              <w:t>95%</w:t>
            </w:r>
          </w:p>
        </w:tc>
        <w:tc>
          <w:tcPr>
            <w:tcW w:w="1418" w:type="dxa"/>
          </w:tcPr>
          <w:p w14:paraId="74FAF0FB" w14:textId="4D5B0207" w:rsidR="00B8383F" w:rsidRPr="00EB74A8" w:rsidRDefault="005700DC" w:rsidP="00724369">
            <w:pPr>
              <w:pStyle w:val="Tabletextrightaligned"/>
            </w:pPr>
            <w:r w:rsidRPr="00EB74A8">
              <w:t>93%</w:t>
            </w:r>
          </w:p>
        </w:tc>
        <w:tc>
          <w:tcPr>
            <w:tcW w:w="1418" w:type="dxa"/>
          </w:tcPr>
          <w:p w14:paraId="59FBD0C2" w14:textId="5BB1C9BF" w:rsidR="00B8383F" w:rsidRPr="00EB74A8" w:rsidRDefault="005700DC" w:rsidP="00724369">
            <w:pPr>
              <w:pStyle w:val="Tabletextrightaligned"/>
            </w:pPr>
            <w:r w:rsidRPr="00EB74A8">
              <w:t>95%</w:t>
            </w:r>
          </w:p>
        </w:tc>
      </w:tr>
      <w:tr w:rsidR="00C93271" w:rsidRPr="00EB74A8" w14:paraId="3A92A2A5" w14:textId="77777777" w:rsidTr="004A5174">
        <w:trPr>
          <w:cnfStyle w:val="000000100000" w:firstRow="0" w:lastRow="0" w:firstColumn="0" w:lastColumn="0" w:oddVBand="0" w:evenVBand="0" w:oddHBand="1" w:evenHBand="0" w:firstRowFirstColumn="0" w:firstRowLastColumn="0" w:lastRowFirstColumn="0" w:lastRowLastColumn="0"/>
          <w:trHeight w:val="20"/>
        </w:trPr>
        <w:tc>
          <w:tcPr>
            <w:tcW w:w="3119" w:type="dxa"/>
          </w:tcPr>
          <w:p w14:paraId="1001F3C4" w14:textId="1226FEF8" w:rsidR="008C1D2D" w:rsidRPr="00EB74A8" w:rsidRDefault="002235DE" w:rsidP="00724369">
            <w:pPr>
              <w:pStyle w:val="Tabletextleftaligned"/>
            </w:pPr>
            <w:r w:rsidRPr="00EB74A8">
              <w:t>Congenital syphilis</w:t>
            </w:r>
          </w:p>
        </w:tc>
        <w:tc>
          <w:tcPr>
            <w:tcW w:w="850" w:type="dxa"/>
          </w:tcPr>
          <w:p w14:paraId="35F167D7" w14:textId="09548D33" w:rsidR="008C1D2D" w:rsidRPr="00EB74A8" w:rsidRDefault="002235DE" w:rsidP="00724369">
            <w:pPr>
              <w:pStyle w:val="Tabletextrightaligned"/>
            </w:pPr>
            <w:r w:rsidRPr="00EB74A8">
              <w:t>100%</w:t>
            </w:r>
          </w:p>
        </w:tc>
        <w:tc>
          <w:tcPr>
            <w:tcW w:w="1758" w:type="dxa"/>
          </w:tcPr>
          <w:p w14:paraId="09298172" w14:textId="463493BC" w:rsidR="008C1D2D" w:rsidRPr="00EB74A8" w:rsidRDefault="002235DE" w:rsidP="00724369">
            <w:pPr>
              <w:pStyle w:val="Tabletextrightaligned"/>
            </w:pPr>
            <w:r w:rsidRPr="00EB74A8">
              <w:t>100%</w:t>
            </w:r>
          </w:p>
        </w:tc>
        <w:tc>
          <w:tcPr>
            <w:tcW w:w="1304" w:type="dxa"/>
          </w:tcPr>
          <w:p w14:paraId="185799D4" w14:textId="32EEB16F" w:rsidR="008C1D2D" w:rsidRPr="00EB74A8" w:rsidRDefault="002235DE" w:rsidP="00724369">
            <w:pPr>
              <w:pStyle w:val="Tabletextrightaligned"/>
            </w:pPr>
            <w:r w:rsidRPr="00EB74A8">
              <w:t>93%</w:t>
            </w:r>
          </w:p>
        </w:tc>
        <w:tc>
          <w:tcPr>
            <w:tcW w:w="1304" w:type="dxa"/>
          </w:tcPr>
          <w:p w14:paraId="73B52252" w14:textId="5A52E79D" w:rsidR="008C1D2D" w:rsidRPr="00EB74A8" w:rsidRDefault="002235DE" w:rsidP="00724369">
            <w:pPr>
              <w:pStyle w:val="Tabletextrightaligned"/>
            </w:pPr>
            <w:r w:rsidRPr="00EB74A8">
              <w:t>100%</w:t>
            </w:r>
          </w:p>
        </w:tc>
        <w:tc>
          <w:tcPr>
            <w:tcW w:w="1304" w:type="dxa"/>
          </w:tcPr>
          <w:p w14:paraId="06F2887F" w14:textId="3E485829" w:rsidR="008C1D2D" w:rsidRPr="00EB74A8" w:rsidRDefault="002235DE" w:rsidP="00724369">
            <w:pPr>
              <w:pStyle w:val="Tabletextrightaligned"/>
            </w:pPr>
            <w:r w:rsidRPr="00EB74A8">
              <w:t>90%</w:t>
            </w:r>
          </w:p>
        </w:tc>
        <w:tc>
          <w:tcPr>
            <w:tcW w:w="1417" w:type="dxa"/>
          </w:tcPr>
          <w:p w14:paraId="216B2869" w14:textId="2A26E15E" w:rsidR="008C1D2D" w:rsidRPr="00EB74A8" w:rsidRDefault="002235DE" w:rsidP="00724369">
            <w:pPr>
              <w:pStyle w:val="Tabletextrightaligned"/>
            </w:pPr>
            <w:r w:rsidRPr="00EB74A8">
              <w:t>100%</w:t>
            </w:r>
          </w:p>
        </w:tc>
        <w:tc>
          <w:tcPr>
            <w:tcW w:w="1418" w:type="dxa"/>
          </w:tcPr>
          <w:p w14:paraId="26FA076F" w14:textId="4030B3BB" w:rsidR="008C1D2D" w:rsidRPr="00EB74A8" w:rsidRDefault="009E4591" w:rsidP="00724369">
            <w:pPr>
              <w:pStyle w:val="Tabletextrightaligned"/>
            </w:pPr>
            <w:r w:rsidRPr="00EB74A8">
              <w:t>100%</w:t>
            </w:r>
          </w:p>
        </w:tc>
        <w:tc>
          <w:tcPr>
            <w:tcW w:w="1418" w:type="dxa"/>
          </w:tcPr>
          <w:p w14:paraId="60FBE525" w14:textId="3D067272" w:rsidR="008C1D2D" w:rsidRPr="00EB74A8" w:rsidRDefault="009E4591" w:rsidP="00724369">
            <w:pPr>
              <w:pStyle w:val="Tabletextrightaligned"/>
            </w:pPr>
            <w:r w:rsidRPr="00EB74A8">
              <w:t>100%</w:t>
            </w:r>
          </w:p>
        </w:tc>
      </w:tr>
      <w:tr w:rsidR="002235DE" w:rsidRPr="00EB74A8" w14:paraId="0734F46A" w14:textId="77777777" w:rsidTr="00582961">
        <w:trPr>
          <w:trHeight w:val="20"/>
        </w:trPr>
        <w:tc>
          <w:tcPr>
            <w:tcW w:w="13892" w:type="dxa"/>
            <w:gridSpan w:val="9"/>
          </w:tcPr>
          <w:p w14:paraId="52E71C49" w14:textId="44277D17" w:rsidR="002235DE" w:rsidRPr="00EB74A8" w:rsidRDefault="002235DE" w:rsidP="00582961">
            <w:pPr>
              <w:pStyle w:val="Tableheadingcentred"/>
            </w:pPr>
            <w:r w:rsidRPr="00EB74A8">
              <w:t>Residential location (to map to reported geographies)</w:t>
            </w:r>
          </w:p>
        </w:tc>
      </w:tr>
      <w:tr w:rsidR="00C93271" w:rsidRPr="00EB74A8" w14:paraId="1CC820B9" w14:textId="77777777" w:rsidTr="004A5174">
        <w:trPr>
          <w:cnfStyle w:val="000000100000" w:firstRow="0" w:lastRow="0" w:firstColumn="0" w:lastColumn="0" w:oddVBand="0" w:evenVBand="0" w:oddHBand="1" w:evenHBand="0" w:firstRowFirstColumn="0" w:firstRowLastColumn="0" w:lastRowFirstColumn="0" w:lastRowLastColumn="0"/>
          <w:trHeight w:val="20"/>
        </w:trPr>
        <w:tc>
          <w:tcPr>
            <w:tcW w:w="3119" w:type="dxa"/>
          </w:tcPr>
          <w:p w14:paraId="15913C76" w14:textId="79F5BE65" w:rsidR="002235DE" w:rsidRPr="00EB74A8" w:rsidRDefault="002235DE" w:rsidP="00582961">
            <w:pPr>
              <w:pStyle w:val="Tabletextleftaligned"/>
            </w:pPr>
            <w:r w:rsidRPr="00EB74A8">
              <w:t>Remoteness area</w:t>
            </w:r>
          </w:p>
        </w:tc>
        <w:tc>
          <w:tcPr>
            <w:tcW w:w="850" w:type="dxa"/>
          </w:tcPr>
          <w:p w14:paraId="7FC925F3" w14:textId="2281F800" w:rsidR="002235DE" w:rsidRPr="00EB74A8" w:rsidRDefault="002235DE" w:rsidP="00582961">
            <w:pPr>
              <w:pStyle w:val="Tabletextrightaligned"/>
            </w:pPr>
            <w:r w:rsidRPr="00EB74A8">
              <w:t>98%</w:t>
            </w:r>
          </w:p>
        </w:tc>
        <w:tc>
          <w:tcPr>
            <w:tcW w:w="1758" w:type="dxa"/>
          </w:tcPr>
          <w:p w14:paraId="62C1C620" w14:textId="6A9F1460" w:rsidR="002235DE" w:rsidRPr="00EB74A8" w:rsidRDefault="002235DE" w:rsidP="00582961">
            <w:pPr>
              <w:pStyle w:val="Tabletextrightaligned"/>
            </w:pPr>
            <w:r w:rsidRPr="00EB74A8">
              <w:t>97%</w:t>
            </w:r>
          </w:p>
        </w:tc>
        <w:tc>
          <w:tcPr>
            <w:tcW w:w="1304" w:type="dxa"/>
          </w:tcPr>
          <w:p w14:paraId="3EDA945D" w14:textId="14F8AEA3" w:rsidR="002235DE" w:rsidRPr="00EB74A8" w:rsidRDefault="002235DE" w:rsidP="00582961">
            <w:pPr>
              <w:pStyle w:val="Tabletextrightaligned"/>
            </w:pPr>
            <w:r w:rsidRPr="00EB74A8">
              <w:t>97%</w:t>
            </w:r>
          </w:p>
        </w:tc>
        <w:tc>
          <w:tcPr>
            <w:tcW w:w="1304" w:type="dxa"/>
          </w:tcPr>
          <w:p w14:paraId="627A8C59" w14:textId="55B88D09" w:rsidR="002235DE" w:rsidRPr="00EB74A8" w:rsidRDefault="002235DE" w:rsidP="00582961">
            <w:pPr>
              <w:pStyle w:val="Tabletextrightaligned"/>
            </w:pPr>
            <w:r w:rsidRPr="00EB74A8">
              <w:t>9</w:t>
            </w:r>
            <w:r w:rsidR="003356A0" w:rsidRPr="00EB74A8">
              <w:t>7</w:t>
            </w:r>
            <w:r w:rsidRPr="00EB74A8">
              <w:t>%</w:t>
            </w:r>
          </w:p>
        </w:tc>
        <w:tc>
          <w:tcPr>
            <w:tcW w:w="1304" w:type="dxa"/>
          </w:tcPr>
          <w:p w14:paraId="12672700" w14:textId="4BEADE6C" w:rsidR="002235DE" w:rsidRPr="00EB74A8" w:rsidRDefault="002235DE" w:rsidP="00582961">
            <w:pPr>
              <w:pStyle w:val="Tabletextrightaligned"/>
            </w:pPr>
            <w:r w:rsidRPr="00EB74A8">
              <w:t>9</w:t>
            </w:r>
            <w:r w:rsidR="003356A0" w:rsidRPr="00EB74A8">
              <w:t>8</w:t>
            </w:r>
            <w:r w:rsidRPr="00EB74A8">
              <w:t>%</w:t>
            </w:r>
          </w:p>
        </w:tc>
        <w:tc>
          <w:tcPr>
            <w:tcW w:w="1417" w:type="dxa"/>
          </w:tcPr>
          <w:p w14:paraId="1A4FD75C" w14:textId="6623AA60" w:rsidR="002235DE" w:rsidRPr="00EB74A8" w:rsidRDefault="002235DE" w:rsidP="00582961">
            <w:pPr>
              <w:pStyle w:val="Tabletextrightaligned"/>
            </w:pPr>
            <w:r w:rsidRPr="00EB74A8">
              <w:t>9</w:t>
            </w:r>
            <w:r w:rsidR="003356A0" w:rsidRPr="00EB74A8">
              <w:t>7</w:t>
            </w:r>
            <w:r w:rsidRPr="00EB74A8">
              <w:t>%</w:t>
            </w:r>
          </w:p>
        </w:tc>
        <w:tc>
          <w:tcPr>
            <w:tcW w:w="1418" w:type="dxa"/>
          </w:tcPr>
          <w:p w14:paraId="0405AC48" w14:textId="46C9261D" w:rsidR="002235DE" w:rsidRPr="00EB74A8" w:rsidRDefault="008F6563" w:rsidP="00582961">
            <w:pPr>
              <w:pStyle w:val="Tabletextrightaligned"/>
            </w:pPr>
            <w:r w:rsidRPr="00EB74A8">
              <w:t>95%</w:t>
            </w:r>
          </w:p>
        </w:tc>
        <w:tc>
          <w:tcPr>
            <w:tcW w:w="1418" w:type="dxa"/>
          </w:tcPr>
          <w:p w14:paraId="68AF010C" w14:textId="3F3280C0" w:rsidR="002235DE" w:rsidRPr="00EB74A8" w:rsidRDefault="00A035CF" w:rsidP="00582961">
            <w:pPr>
              <w:pStyle w:val="Tabletextrightaligned"/>
            </w:pPr>
            <w:r w:rsidRPr="00EB74A8">
              <w:t>93%</w:t>
            </w:r>
          </w:p>
        </w:tc>
      </w:tr>
      <w:tr w:rsidR="00C93271" w:rsidRPr="00EB74A8" w14:paraId="39515061" w14:textId="77777777" w:rsidTr="004A5174">
        <w:trPr>
          <w:trHeight w:val="20"/>
        </w:trPr>
        <w:tc>
          <w:tcPr>
            <w:tcW w:w="3119" w:type="dxa"/>
          </w:tcPr>
          <w:p w14:paraId="449C1A3F" w14:textId="2EA2F5DF" w:rsidR="002235DE" w:rsidRPr="00EB74A8" w:rsidRDefault="002235DE" w:rsidP="00582961">
            <w:pPr>
              <w:pStyle w:val="Tabletextleftaligned"/>
            </w:pPr>
            <w:r w:rsidRPr="00EB74A8">
              <w:t>Statistical area 3</w:t>
            </w:r>
          </w:p>
        </w:tc>
        <w:tc>
          <w:tcPr>
            <w:tcW w:w="850" w:type="dxa"/>
          </w:tcPr>
          <w:p w14:paraId="33A7AFD7" w14:textId="10F2189C" w:rsidR="002235DE" w:rsidRPr="00EB74A8" w:rsidRDefault="00E60302" w:rsidP="00582961">
            <w:pPr>
              <w:pStyle w:val="Tabletextrightaligned"/>
            </w:pPr>
            <w:r w:rsidRPr="00EB74A8">
              <w:t>n/a</w:t>
            </w:r>
          </w:p>
        </w:tc>
        <w:tc>
          <w:tcPr>
            <w:tcW w:w="1758" w:type="dxa"/>
          </w:tcPr>
          <w:p w14:paraId="4311937D" w14:textId="092C058B" w:rsidR="002235DE" w:rsidRPr="00EB74A8" w:rsidRDefault="00E60302" w:rsidP="00582961">
            <w:pPr>
              <w:pStyle w:val="Tabletextrightaligned"/>
            </w:pPr>
            <w:r w:rsidRPr="00EB74A8">
              <w:t>n/a</w:t>
            </w:r>
          </w:p>
        </w:tc>
        <w:tc>
          <w:tcPr>
            <w:tcW w:w="1304" w:type="dxa"/>
          </w:tcPr>
          <w:p w14:paraId="1453E7B9" w14:textId="5C75AB31" w:rsidR="002235DE" w:rsidRPr="00EB74A8" w:rsidRDefault="00E60302" w:rsidP="00582961">
            <w:pPr>
              <w:pStyle w:val="Tabletextrightaligned"/>
            </w:pPr>
            <w:r w:rsidRPr="00EB74A8">
              <w:t>n/a</w:t>
            </w:r>
          </w:p>
        </w:tc>
        <w:tc>
          <w:tcPr>
            <w:tcW w:w="1304" w:type="dxa"/>
          </w:tcPr>
          <w:p w14:paraId="71ED585B" w14:textId="29D50A6B" w:rsidR="002235DE" w:rsidRPr="00EB74A8" w:rsidRDefault="00E60302" w:rsidP="00582961">
            <w:pPr>
              <w:pStyle w:val="Tabletextrightaligned"/>
            </w:pPr>
            <w:r w:rsidRPr="00EB74A8">
              <w:t>n/a</w:t>
            </w:r>
          </w:p>
        </w:tc>
        <w:tc>
          <w:tcPr>
            <w:tcW w:w="1304" w:type="dxa"/>
          </w:tcPr>
          <w:p w14:paraId="39638515" w14:textId="2E78A5C8" w:rsidR="002235DE" w:rsidRPr="00EB74A8" w:rsidRDefault="00514298" w:rsidP="00582961">
            <w:pPr>
              <w:pStyle w:val="Tabletextrightaligned"/>
            </w:pPr>
            <w:r w:rsidRPr="00EB74A8">
              <w:t>9</w:t>
            </w:r>
            <w:r w:rsidR="001D09EB" w:rsidRPr="00EB74A8">
              <w:t>7</w:t>
            </w:r>
            <w:r w:rsidRPr="00EB74A8">
              <w:t>%</w:t>
            </w:r>
            <w:r w:rsidRPr="00EB74A8">
              <w:rPr>
                <w:vertAlign w:val="superscript"/>
              </w:rPr>
              <w:t>2</w:t>
            </w:r>
          </w:p>
        </w:tc>
        <w:tc>
          <w:tcPr>
            <w:tcW w:w="1417" w:type="dxa"/>
          </w:tcPr>
          <w:p w14:paraId="39F5515E" w14:textId="79966828" w:rsidR="002235DE" w:rsidRPr="00EB74A8" w:rsidRDefault="00514298" w:rsidP="00582961">
            <w:pPr>
              <w:pStyle w:val="Tabletextrightaligned"/>
            </w:pPr>
            <w:r w:rsidRPr="00EB74A8">
              <w:t>9</w:t>
            </w:r>
            <w:r w:rsidR="001D09EB" w:rsidRPr="00EB74A8">
              <w:t>7</w:t>
            </w:r>
            <w:r w:rsidRPr="00EB74A8">
              <w:t>%</w:t>
            </w:r>
            <w:r w:rsidRPr="00EB74A8">
              <w:rPr>
                <w:vertAlign w:val="superscript"/>
              </w:rPr>
              <w:t>2</w:t>
            </w:r>
          </w:p>
        </w:tc>
        <w:tc>
          <w:tcPr>
            <w:tcW w:w="1418" w:type="dxa"/>
          </w:tcPr>
          <w:p w14:paraId="133F5BB7" w14:textId="5A17F85A" w:rsidR="002235DE" w:rsidRPr="00EB74A8" w:rsidRDefault="000D328C" w:rsidP="00582961">
            <w:pPr>
              <w:pStyle w:val="Tabletextrightaligned"/>
            </w:pPr>
            <w:r w:rsidRPr="00EB74A8">
              <w:t>97%</w:t>
            </w:r>
            <w:r w:rsidRPr="00EB74A8">
              <w:rPr>
                <w:vertAlign w:val="superscript"/>
              </w:rPr>
              <w:t>2</w:t>
            </w:r>
          </w:p>
        </w:tc>
        <w:tc>
          <w:tcPr>
            <w:tcW w:w="1418" w:type="dxa"/>
          </w:tcPr>
          <w:p w14:paraId="00AE49C9" w14:textId="649F79EC" w:rsidR="002235DE" w:rsidRPr="00EB74A8" w:rsidRDefault="000D328C" w:rsidP="00582961">
            <w:pPr>
              <w:pStyle w:val="Tabletextrightaligned"/>
            </w:pPr>
            <w:r w:rsidRPr="00EB74A8">
              <w:t>98%</w:t>
            </w:r>
            <w:r w:rsidRPr="00EB74A8">
              <w:rPr>
                <w:vertAlign w:val="superscript"/>
              </w:rPr>
              <w:t>2</w:t>
            </w:r>
          </w:p>
        </w:tc>
      </w:tr>
      <w:tr w:rsidR="002235DE" w:rsidRPr="00EB74A8" w14:paraId="646FCC0D" w14:textId="77777777" w:rsidTr="004A5174">
        <w:trPr>
          <w:cnfStyle w:val="000000100000" w:firstRow="0" w:lastRow="0" w:firstColumn="0" w:lastColumn="0" w:oddVBand="0" w:evenVBand="0" w:oddHBand="1" w:evenHBand="0" w:firstRowFirstColumn="0" w:firstRowLastColumn="0" w:lastRowFirstColumn="0" w:lastRowLastColumn="0"/>
          <w:trHeight w:val="20"/>
        </w:trPr>
        <w:tc>
          <w:tcPr>
            <w:tcW w:w="3119" w:type="dxa"/>
          </w:tcPr>
          <w:p w14:paraId="04915793" w14:textId="4F601C9F" w:rsidR="002235DE" w:rsidRPr="00EB74A8" w:rsidRDefault="002235DE" w:rsidP="00724369">
            <w:pPr>
              <w:pStyle w:val="Tabletextleftaligned"/>
            </w:pPr>
            <w:r w:rsidRPr="00EB74A8">
              <w:t>Indigenous areas</w:t>
            </w:r>
            <w:r w:rsidR="008C4D27" w:rsidRPr="00EB74A8">
              <w:rPr>
                <w:vertAlign w:val="superscript"/>
              </w:rPr>
              <w:t>3</w:t>
            </w:r>
          </w:p>
        </w:tc>
        <w:tc>
          <w:tcPr>
            <w:tcW w:w="850" w:type="dxa"/>
          </w:tcPr>
          <w:p w14:paraId="56D96696" w14:textId="155F74EE" w:rsidR="002235DE" w:rsidRPr="00EB74A8" w:rsidRDefault="00514298" w:rsidP="00724369">
            <w:pPr>
              <w:pStyle w:val="Tabletextrightaligned"/>
            </w:pPr>
            <w:r w:rsidRPr="00EB74A8">
              <w:t>n/a</w:t>
            </w:r>
          </w:p>
        </w:tc>
        <w:tc>
          <w:tcPr>
            <w:tcW w:w="1758" w:type="dxa"/>
          </w:tcPr>
          <w:p w14:paraId="6D416D91" w14:textId="76600F0A" w:rsidR="002235DE" w:rsidRPr="00EB74A8" w:rsidRDefault="00514298" w:rsidP="00724369">
            <w:pPr>
              <w:pStyle w:val="Tabletextrightaligned"/>
            </w:pPr>
            <w:r w:rsidRPr="00EB74A8">
              <w:t>n/a</w:t>
            </w:r>
          </w:p>
        </w:tc>
        <w:tc>
          <w:tcPr>
            <w:tcW w:w="1304" w:type="dxa"/>
          </w:tcPr>
          <w:p w14:paraId="02155528" w14:textId="10598933" w:rsidR="002235DE" w:rsidRPr="00EB74A8" w:rsidRDefault="00514298" w:rsidP="00724369">
            <w:pPr>
              <w:pStyle w:val="Tabletextrightaligned"/>
            </w:pPr>
            <w:r w:rsidRPr="00EB74A8">
              <w:t>n/a</w:t>
            </w:r>
          </w:p>
        </w:tc>
        <w:tc>
          <w:tcPr>
            <w:tcW w:w="1304" w:type="dxa"/>
          </w:tcPr>
          <w:p w14:paraId="07708E37" w14:textId="2E73D0D1" w:rsidR="002235DE" w:rsidRPr="00EB74A8" w:rsidRDefault="00514298" w:rsidP="00724369">
            <w:pPr>
              <w:pStyle w:val="Tabletextrightaligned"/>
            </w:pPr>
            <w:r w:rsidRPr="00EB74A8">
              <w:t>n/a</w:t>
            </w:r>
          </w:p>
        </w:tc>
        <w:tc>
          <w:tcPr>
            <w:tcW w:w="1304" w:type="dxa"/>
          </w:tcPr>
          <w:p w14:paraId="040C8DAE" w14:textId="3A8BDB1B" w:rsidR="002235DE" w:rsidRPr="00EB74A8" w:rsidRDefault="008C4D27" w:rsidP="00724369">
            <w:pPr>
              <w:pStyle w:val="Tabletextrightaligned"/>
            </w:pPr>
            <w:r w:rsidRPr="00EB74A8">
              <w:t>9</w:t>
            </w:r>
            <w:r w:rsidR="005548A2" w:rsidRPr="00EB74A8">
              <w:t>8</w:t>
            </w:r>
            <w:r w:rsidRPr="00EB74A8">
              <w:t>%</w:t>
            </w:r>
            <w:r w:rsidRPr="00EB74A8">
              <w:rPr>
                <w:vertAlign w:val="superscript"/>
              </w:rPr>
              <w:t>2</w:t>
            </w:r>
          </w:p>
        </w:tc>
        <w:tc>
          <w:tcPr>
            <w:tcW w:w="1417" w:type="dxa"/>
          </w:tcPr>
          <w:p w14:paraId="70A4116F" w14:textId="7FA49DCD" w:rsidR="002235DE" w:rsidRPr="00EB74A8" w:rsidRDefault="008C4D27" w:rsidP="00724369">
            <w:pPr>
              <w:pStyle w:val="Tabletextrightaligned"/>
            </w:pPr>
            <w:r w:rsidRPr="00EB74A8">
              <w:t>9</w:t>
            </w:r>
            <w:r w:rsidR="005E0649" w:rsidRPr="00EB74A8">
              <w:t>7</w:t>
            </w:r>
            <w:r w:rsidRPr="00EB74A8">
              <w:t>%</w:t>
            </w:r>
            <w:r w:rsidRPr="00EB74A8">
              <w:rPr>
                <w:vertAlign w:val="superscript"/>
              </w:rPr>
              <w:t>2</w:t>
            </w:r>
          </w:p>
        </w:tc>
        <w:tc>
          <w:tcPr>
            <w:tcW w:w="1418" w:type="dxa"/>
          </w:tcPr>
          <w:p w14:paraId="613DB9F9" w14:textId="396B114B" w:rsidR="002235DE" w:rsidRPr="00EB74A8" w:rsidRDefault="005E0649" w:rsidP="00724369">
            <w:pPr>
              <w:pStyle w:val="Tabletextrightaligned"/>
            </w:pPr>
            <w:r w:rsidRPr="00EB74A8">
              <w:t>99%</w:t>
            </w:r>
            <w:r w:rsidRPr="00EB74A8">
              <w:rPr>
                <w:vertAlign w:val="superscript"/>
              </w:rPr>
              <w:t>2</w:t>
            </w:r>
          </w:p>
        </w:tc>
        <w:tc>
          <w:tcPr>
            <w:tcW w:w="1418" w:type="dxa"/>
          </w:tcPr>
          <w:p w14:paraId="181478ED" w14:textId="5B834BA7" w:rsidR="002235DE" w:rsidRPr="00EB74A8" w:rsidRDefault="005E0649" w:rsidP="00724369">
            <w:pPr>
              <w:pStyle w:val="Tabletextrightaligned"/>
            </w:pPr>
            <w:r w:rsidRPr="00EB74A8">
              <w:t>98%</w:t>
            </w:r>
            <w:r w:rsidRPr="00EB74A8">
              <w:rPr>
                <w:vertAlign w:val="superscript"/>
              </w:rPr>
              <w:t>2</w:t>
            </w:r>
          </w:p>
        </w:tc>
      </w:tr>
      <w:tr w:rsidR="00C93271" w:rsidRPr="00EB74A8" w14:paraId="5EAAA61B" w14:textId="77777777" w:rsidTr="00582961">
        <w:trPr>
          <w:trHeight w:val="20"/>
        </w:trPr>
        <w:tc>
          <w:tcPr>
            <w:tcW w:w="13892" w:type="dxa"/>
            <w:gridSpan w:val="9"/>
          </w:tcPr>
          <w:p w14:paraId="682E98D9" w14:textId="6468767C" w:rsidR="00C93271" w:rsidRPr="00EB74A8" w:rsidRDefault="00C93271" w:rsidP="00582961">
            <w:pPr>
              <w:pStyle w:val="Tableheadingcentred"/>
            </w:pPr>
            <w:r w:rsidRPr="00EB74A8">
              <w:t>Enhanced infectious syphilis</w:t>
            </w:r>
          </w:p>
        </w:tc>
      </w:tr>
      <w:tr w:rsidR="00C93271" w:rsidRPr="00EB74A8" w14:paraId="1311FAA7" w14:textId="77777777" w:rsidTr="004A5174">
        <w:trPr>
          <w:cnfStyle w:val="000000100000" w:firstRow="0" w:lastRow="0" w:firstColumn="0" w:lastColumn="0" w:oddVBand="0" w:evenVBand="0" w:oddHBand="1" w:evenHBand="0" w:firstRowFirstColumn="0" w:firstRowLastColumn="0" w:lastRowFirstColumn="0" w:lastRowLastColumn="0"/>
          <w:trHeight w:val="20"/>
        </w:trPr>
        <w:tc>
          <w:tcPr>
            <w:tcW w:w="3119" w:type="dxa"/>
          </w:tcPr>
          <w:p w14:paraId="53B33B84" w14:textId="65DA25D9" w:rsidR="00C93271" w:rsidRPr="00EB74A8" w:rsidRDefault="00C93271" w:rsidP="00582961">
            <w:pPr>
              <w:pStyle w:val="Tabletextleftaligned"/>
            </w:pPr>
            <w:r w:rsidRPr="00EB74A8">
              <w:t>Pregnancy status</w:t>
            </w:r>
          </w:p>
        </w:tc>
        <w:tc>
          <w:tcPr>
            <w:tcW w:w="850" w:type="dxa"/>
          </w:tcPr>
          <w:p w14:paraId="1DFF0B66" w14:textId="4EA45D5B" w:rsidR="00C93271" w:rsidRPr="00EB74A8" w:rsidRDefault="00FD35B3" w:rsidP="00582961">
            <w:pPr>
              <w:pStyle w:val="Tabletextrightaligned"/>
            </w:pPr>
            <w:r w:rsidRPr="00EB74A8">
              <w:t>6</w:t>
            </w:r>
            <w:r w:rsidR="009925CA" w:rsidRPr="00EB74A8">
              <w:t>2</w:t>
            </w:r>
            <w:r w:rsidR="00C93271" w:rsidRPr="00EB74A8">
              <w:t>%</w:t>
            </w:r>
            <w:r w:rsidR="0011260E" w:rsidRPr="00EB74A8">
              <w:rPr>
                <w:vertAlign w:val="superscript"/>
              </w:rPr>
              <w:t>4</w:t>
            </w:r>
          </w:p>
        </w:tc>
        <w:tc>
          <w:tcPr>
            <w:tcW w:w="1758" w:type="dxa"/>
          </w:tcPr>
          <w:p w14:paraId="5C6516BA" w14:textId="424BE7B0" w:rsidR="00C93271" w:rsidRPr="00EB74A8" w:rsidRDefault="0011260E" w:rsidP="00582961">
            <w:pPr>
              <w:pStyle w:val="Tabletextrightaligned"/>
            </w:pPr>
            <w:r w:rsidRPr="00EB74A8">
              <w:t>7</w:t>
            </w:r>
            <w:r w:rsidR="00FD35B3" w:rsidRPr="00EB74A8">
              <w:t>3</w:t>
            </w:r>
            <w:r w:rsidR="00C93271" w:rsidRPr="00EB74A8">
              <w:t>%</w:t>
            </w:r>
            <w:r w:rsidRPr="00EB74A8">
              <w:rPr>
                <w:vertAlign w:val="superscript"/>
              </w:rPr>
              <w:t>5</w:t>
            </w:r>
          </w:p>
        </w:tc>
        <w:tc>
          <w:tcPr>
            <w:tcW w:w="1304" w:type="dxa"/>
          </w:tcPr>
          <w:p w14:paraId="2D25D322" w14:textId="3C8206C4" w:rsidR="00C93271" w:rsidRPr="00EB74A8" w:rsidRDefault="00E274FA" w:rsidP="00582961">
            <w:pPr>
              <w:pStyle w:val="Tabletextrightaligned"/>
            </w:pPr>
            <w:r w:rsidRPr="00EB74A8">
              <w:t>7</w:t>
            </w:r>
            <w:r w:rsidR="00FD35B3" w:rsidRPr="00EB74A8">
              <w:t>2</w:t>
            </w:r>
            <w:r w:rsidRPr="00EB74A8">
              <w:t>%</w:t>
            </w:r>
            <w:r w:rsidRPr="00EB74A8">
              <w:rPr>
                <w:vertAlign w:val="superscript"/>
              </w:rPr>
              <w:t>5</w:t>
            </w:r>
          </w:p>
        </w:tc>
        <w:tc>
          <w:tcPr>
            <w:tcW w:w="1304" w:type="dxa"/>
          </w:tcPr>
          <w:p w14:paraId="1F2198F8" w14:textId="44AB0CAC" w:rsidR="00C93271" w:rsidRPr="00EB74A8" w:rsidRDefault="00E274FA" w:rsidP="00582961">
            <w:pPr>
              <w:pStyle w:val="Tabletextrightaligned"/>
            </w:pPr>
            <w:r w:rsidRPr="00EB74A8">
              <w:t>80</w:t>
            </w:r>
            <w:r w:rsidR="00C93271" w:rsidRPr="00EB74A8">
              <w:t>%</w:t>
            </w:r>
            <w:r w:rsidRPr="00EB74A8">
              <w:rPr>
                <w:vertAlign w:val="superscript"/>
              </w:rPr>
              <w:t>5</w:t>
            </w:r>
          </w:p>
        </w:tc>
        <w:tc>
          <w:tcPr>
            <w:tcW w:w="1304" w:type="dxa"/>
          </w:tcPr>
          <w:p w14:paraId="66F61EDC" w14:textId="3651EDE1" w:rsidR="00C93271" w:rsidRPr="00EB74A8" w:rsidRDefault="003709D8" w:rsidP="00582961">
            <w:pPr>
              <w:pStyle w:val="Tabletextrightaligned"/>
            </w:pPr>
            <w:r w:rsidRPr="00EB74A8">
              <w:t>58</w:t>
            </w:r>
            <w:r w:rsidR="00C93271" w:rsidRPr="00EB74A8">
              <w:t>%</w:t>
            </w:r>
            <w:r w:rsidR="00E274FA" w:rsidRPr="00EB74A8">
              <w:rPr>
                <w:vertAlign w:val="superscript"/>
              </w:rPr>
              <w:t>6</w:t>
            </w:r>
          </w:p>
        </w:tc>
        <w:tc>
          <w:tcPr>
            <w:tcW w:w="1417" w:type="dxa"/>
          </w:tcPr>
          <w:p w14:paraId="0B0AC3AE" w14:textId="24977947" w:rsidR="00C93271" w:rsidRPr="00EB74A8" w:rsidRDefault="0072389B" w:rsidP="00582961">
            <w:pPr>
              <w:pStyle w:val="Tabletextrightaligned"/>
            </w:pPr>
            <w:r w:rsidRPr="00EB74A8">
              <w:t>76</w:t>
            </w:r>
            <w:r w:rsidR="00C93271" w:rsidRPr="00EB74A8">
              <w:t>%</w:t>
            </w:r>
            <w:r w:rsidR="00EB5B35" w:rsidRPr="00EB74A8">
              <w:rPr>
                <w:vertAlign w:val="superscript"/>
              </w:rPr>
              <w:t>6</w:t>
            </w:r>
          </w:p>
        </w:tc>
        <w:tc>
          <w:tcPr>
            <w:tcW w:w="1418" w:type="dxa"/>
          </w:tcPr>
          <w:p w14:paraId="370190F3" w14:textId="62146A77" w:rsidR="00C93271" w:rsidRPr="00EB74A8" w:rsidRDefault="0072389B" w:rsidP="00582961">
            <w:pPr>
              <w:pStyle w:val="Tabletextrightaligned"/>
            </w:pPr>
            <w:r w:rsidRPr="00EB74A8">
              <w:t>74%</w:t>
            </w:r>
            <w:r w:rsidR="00EB5B35" w:rsidRPr="00EB74A8">
              <w:rPr>
                <w:vertAlign w:val="superscript"/>
              </w:rPr>
              <w:t>6</w:t>
            </w:r>
          </w:p>
        </w:tc>
        <w:tc>
          <w:tcPr>
            <w:tcW w:w="1418" w:type="dxa"/>
          </w:tcPr>
          <w:p w14:paraId="52229098" w14:textId="0C6D93AA" w:rsidR="00C93271" w:rsidRPr="00EB74A8" w:rsidRDefault="0072389B" w:rsidP="00582961">
            <w:pPr>
              <w:pStyle w:val="Tabletextrightaligned"/>
            </w:pPr>
            <w:r w:rsidRPr="00EB74A8">
              <w:t>66%</w:t>
            </w:r>
            <w:r w:rsidR="004E197F" w:rsidRPr="00EB74A8">
              <w:rPr>
                <w:vertAlign w:val="superscript"/>
              </w:rPr>
              <w:t>5</w:t>
            </w:r>
          </w:p>
        </w:tc>
      </w:tr>
      <w:tr w:rsidR="002235DE" w:rsidRPr="00EB74A8" w14:paraId="52629FEA" w14:textId="77777777" w:rsidTr="004A5174">
        <w:trPr>
          <w:trHeight w:val="20"/>
        </w:trPr>
        <w:tc>
          <w:tcPr>
            <w:tcW w:w="3119" w:type="dxa"/>
          </w:tcPr>
          <w:p w14:paraId="2FF3F227" w14:textId="4A97B755" w:rsidR="002235DE" w:rsidRPr="00EB74A8" w:rsidRDefault="00C93271" w:rsidP="00724369">
            <w:pPr>
              <w:pStyle w:val="Tabletextleftaligned"/>
            </w:pPr>
            <w:r w:rsidRPr="00EB74A8">
              <w:t>Sexual exposure (males)</w:t>
            </w:r>
          </w:p>
        </w:tc>
        <w:tc>
          <w:tcPr>
            <w:tcW w:w="850" w:type="dxa"/>
          </w:tcPr>
          <w:p w14:paraId="3C9D9D6E" w14:textId="06DDA085" w:rsidR="002235DE" w:rsidRPr="00EB74A8" w:rsidRDefault="00193C02" w:rsidP="00724369">
            <w:pPr>
              <w:pStyle w:val="Tabletextrightaligned"/>
            </w:pPr>
            <w:r w:rsidRPr="00EB74A8">
              <w:t>70%</w:t>
            </w:r>
          </w:p>
        </w:tc>
        <w:tc>
          <w:tcPr>
            <w:tcW w:w="1758" w:type="dxa"/>
          </w:tcPr>
          <w:p w14:paraId="05AD67F2" w14:textId="1A956139" w:rsidR="002235DE" w:rsidRPr="00EB74A8" w:rsidRDefault="00193C02" w:rsidP="00724369">
            <w:pPr>
              <w:pStyle w:val="Tabletextrightaligned"/>
            </w:pPr>
            <w:r w:rsidRPr="00EB74A8">
              <w:t>76%</w:t>
            </w:r>
          </w:p>
        </w:tc>
        <w:tc>
          <w:tcPr>
            <w:tcW w:w="1304" w:type="dxa"/>
          </w:tcPr>
          <w:p w14:paraId="6879605D" w14:textId="1F94076B" w:rsidR="002235DE" w:rsidRPr="00EB74A8" w:rsidRDefault="00193C02" w:rsidP="00724369">
            <w:pPr>
              <w:pStyle w:val="Tabletextrightaligned"/>
            </w:pPr>
            <w:r w:rsidRPr="00EB74A8">
              <w:t>6</w:t>
            </w:r>
            <w:r w:rsidR="001434B3" w:rsidRPr="00EB74A8">
              <w:t>5</w:t>
            </w:r>
            <w:r w:rsidRPr="00EB74A8">
              <w:t>%</w:t>
            </w:r>
          </w:p>
        </w:tc>
        <w:tc>
          <w:tcPr>
            <w:tcW w:w="1304" w:type="dxa"/>
          </w:tcPr>
          <w:p w14:paraId="1372CB7F" w14:textId="186B9264" w:rsidR="002235DE" w:rsidRPr="00EB74A8" w:rsidRDefault="00193C02" w:rsidP="00724369">
            <w:pPr>
              <w:pStyle w:val="Tabletextrightaligned"/>
            </w:pPr>
            <w:r w:rsidRPr="00EB74A8">
              <w:t>6</w:t>
            </w:r>
            <w:r w:rsidR="006237B4" w:rsidRPr="00EB74A8">
              <w:t>8</w:t>
            </w:r>
            <w:r w:rsidRPr="00EB74A8">
              <w:t>%</w:t>
            </w:r>
          </w:p>
        </w:tc>
        <w:tc>
          <w:tcPr>
            <w:tcW w:w="1304" w:type="dxa"/>
          </w:tcPr>
          <w:p w14:paraId="35F57658" w14:textId="07F16C00" w:rsidR="002235DE" w:rsidRPr="00EB74A8" w:rsidRDefault="006237B4" w:rsidP="00724369">
            <w:pPr>
              <w:pStyle w:val="Tabletextrightaligned"/>
            </w:pPr>
            <w:r w:rsidRPr="00EB74A8">
              <w:t>70</w:t>
            </w:r>
            <w:r w:rsidR="00193C02" w:rsidRPr="00EB74A8">
              <w:t>%</w:t>
            </w:r>
          </w:p>
        </w:tc>
        <w:tc>
          <w:tcPr>
            <w:tcW w:w="1417" w:type="dxa"/>
          </w:tcPr>
          <w:p w14:paraId="24C9D215" w14:textId="32A6E31F" w:rsidR="002235DE" w:rsidRPr="00EB74A8" w:rsidRDefault="006237B4" w:rsidP="00724369">
            <w:pPr>
              <w:pStyle w:val="Tabletextrightaligned"/>
            </w:pPr>
            <w:r w:rsidRPr="00EB74A8">
              <w:t>79</w:t>
            </w:r>
            <w:r w:rsidR="00193C02" w:rsidRPr="00EB74A8">
              <w:t>%</w:t>
            </w:r>
          </w:p>
        </w:tc>
        <w:tc>
          <w:tcPr>
            <w:tcW w:w="1418" w:type="dxa"/>
          </w:tcPr>
          <w:p w14:paraId="6D8D2760" w14:textId="6656732F" w:rsidR="002235DE" w:rsidRPr="00EB74A8" w:rsidRDefault="00E2744B" w:rsidP="00724369">
            <w:pPr>
              <w:pStyle w:val="Tabletextrightaligned"/>
            </w:pPr>
            <w:r w:rsidRPr="00EB74A8">
              <w:t>78%</w:t>
            </w:r>
          </w:p>
        </w:tc>
        <w:tc>
          <w:tcPr>
            <w:tcW w:w="1418" w:type="dxa"/>
          </w:tcPr>
          <w:p w14:paraId="5B2C6D1C" w14:textId="0C34F2E2" w:rsidR="002235DE" w:rsidRPr="00EB74A8" w:rsidRDefault="00E2744B" w:rsidP="00724369">
            <w:pPr>
              <w:pStyle w:val="Tabletextrightaligned"/>
            </w:pPr>
            <w:r w:rsidRPr="00EB74A8">
              <w:t>79%</w:t>
            </w:r>
          </w:p>
        </w:tc>
      </w:tr>
      <w:tr w:rsidR="00C93271" w:rsidRPr="00EB74A8" w14:paraId="0B7D4779" w14:textId="77777777" w:rsidTr="00582961">
        <w:trPr>
          <w:cnfStyle w:val="000000100000" w:firstRow="0" w:lastRow="0" w:firstColumn="0" w:lastColumn="0" w:oddVBand="0" w:evenVBand="0" w:oddHBand="1" w:evenHBand="0" w:firstRowFirstColumn="0" w:firstRowLastColumn="0" w:lastRowFirstColumn="0" w:lastRowLastColumn="0"/>
          <w:trHeight w:val="20"/>
        </w:trPr>
        <w:tc>
          <w:tcPr>
            <w:tcW w:w="13892" w:type="dxa"/>
            <w:gridSpan w:val="9"/>
          </w:tcPr>
          <w:p w14:paraId="295DB88A" w14:textId="301FF0CF" w:rsidR="00C93271" w:rsidRPr="00EB74A8" w:rsidRDefault="00C93271" w:rsidP="00582961">
            <w:pPr>
              <w:pStyle w:val="Tableheadingcentred"/>
            </w:pPr>
            <w:r w:rsidRPr="00EB74A8">
              <w:t>Enhanced congenital syphilis</w:t>
            </w:r>
          </w:p>
        </w:tc>
      </w:tr>
      <w:tr w:rsidR="00C93271" w:rsidRPr="00EB74A8" w14:paraId="7D6A51F4" w14:textId="77777777" w:rsidTr="004A5174">
        <w:trPr>
          <w:trHeight w:val="20"/>
        </w:trPr>
        <w:tc>
          <w:tcPr>
            <w:tcW w:w="3119" w:type="dxa"/>
          </w:tcPr>
          <w:p w14:paraId="602BAF6B" w14:textId="0927CF19" w:rsidR="00C93271" w:rsidRPr="00EB74A8" w:rsidRDefault="00C93271" w:rsidP="00582961">
            <w:pPr>
              <w:pStyle w:val="Tabletextleftaligned"/>
            </w:pPr>
            <w:r w:rsidRPr="00EB74A8">
              <w:t>Stage of pregnancy</w:t>
            </w:r>
          </w:p>
        </w:tc>
        <w:tc>
          <w:tcPr>
            <w:tcW w:w="850" w:type="dxa"/>
          </w:tcPr>
          <w:p w14:paraId="06F57A22" w14:textId="6CEE76C0" w:rsidR="00C93271" w:rsidRPr="00EB74A8" w:rsidRDefault="00193C02" w:rsidP="00582961">
            <w:pPr>
              <w:pStyle w:val="Tabletextrightaligned"/>
            </w:pPr>
            <w:r w:rsidRPr="00EB74A8">
              <w:t>100</w:t>
            </w:r>
            <w:r w:rsidR="00C93271" w:rsidRPr="00EB74A8">
              <w:t>%</w:t>
            </w:r>
          </w:p>
        </w:tc>
        <w:tc>
          <w:tcPr>
            <w:tcW w:w="1758" w:type="dxa"/>
          </w:tcPr>
          <w:p w14:paraId="125B3129" w14:textId="39529FE2" w:rsidR="00C93271" w:rsidRPr="00EB74A8" w:rsidRDefault="00193C02" w:rsidP="00582961">
            <w:pPr>
              <w:pStyle w:val="Tabletextrightaligned"/>
            </w:pPr>
            <w:r w:rsidRPr="00EB74A8">
              <w:t>100</w:t>
            </w:r>
            <w:r w:rsidR="00C93271" w:rsidRPr="00EB74A8">
              <w:t>%</w:t>
            </w:r>
          </w:p>
        </w:tc>
        <w:tc>
          <w:tcPr>
            <w:tcW w:w="1304" w:type="dxa"/>
          </w:tcPr>
          <w:p w14:paraId="4F79BE52" w14:textId="72F0BB56" w:rsidR="00C93271" w:rsidRPr="00EB74A8" w:rsidRDefault="00193C02" w:rsidP="00582961">
            <w:pPr>
              <w:pStyle w:val="Tabletextrightaligned"/>
            </w:pPr>
            <w:r w:rsidRPr="00EB74A8">
              <w:t>80</w:t>
            </w:r>
            <w:r w:rsidR="00C93271" w:rsidRPr="00EB74A8">
              <w:t>%</w:t>
            </w:r>
          </w:p>
        </w:tc>
        <w:tc>
          <w:tcPr>
            <w:tcW w:w="1304" w:type="dxa"/>
          </w:tcPr>
          <w:p w14:paraId="0C87341F" w14:textId="346FB4B6" w:rsidR="00C93271" w:rsidRPr="00EB74A8" w:rsidRDefault="00193C02" w:rsidP="00582961">
            <w:pPr>
              <w:pStyle w:val="Tabletextrightaligned"/>
            </w:pPr>
            <w:r w:rsidRPr="00EB74A8">
              <w:t>100</w:t>
            </w:r>
            <w:r w:rsidR="00C93271" w:rsidRPr="00EB74A8">
              <w:t>%</w:t>
            </w:r>
          </w:p>
        </w:tc>
        <w:tc>
          <w:tcPr>
            <w:tcW w:w="1304" w:type="dxa"/>
          </w:tcPr>
          <w:p w14:paraId="39E7450E" w14:textId="269A05A5" w:rsidR="00C93271" w:rsidRPr="00EB74A8" w:rsidRDefault="00193C02" w:rsidP="00582961">
            <w:pPr>
              <w:pStyle w:val="Tabletextrightaligned"/>
            </w:pPr>
            <w:r w:rsidRPr="00EB74A8">
              <w:t>100</w:t>
            </w:r>
            <w:r w:rsidR="00C93271" w:rsidRPr="00EB74A8">
              <w:t>%</w:t>
            </w:r>
          </w:p>
        </w:tc>
        <w:tc>
          <w:tcPr>
            <w:tcW w:w="1417" w:type="dxa"/>
          </w:tcPr>
          <w:p w14:paraId="785101F9" w14:textId="392CDEF9" w:rsidR="00C93271" w:rsidRPr="00EB74A8" w:rsidRDefault="00193C02" w:rsidP="00582961">
            <w:pPr>
              <w:pStyle w:val="Tabletextrightaligned"/>
            </w:pPr>
            <w:r w:rsidRPr="00EB74A8">
              <w:t>100</w:t>
            </w:r>
            <w:r w:rsidR="00C93271" w:rsidRPr="00EB74A8">
              <w:t>%</w:t>
            </w:r>
          </w:p>
        </w:tc>
        <w:tc>
          <w:tcPr>
            <w:tcW w:w="1418" w:type="dxa"/>
          </w:tcPr>
          <w:p w14:paraId="56C5B022" w14:textId="401944E1" w:rsidR="00C93271" w:rsidRPr="00EB74A8" w:rsidRDefault="008C308F" w:rsidP="00582961">
            <w:pPr>
              <w:pStyle w:val="Tabletextrightaligned"/>
            </w:pPr>
            <w:r w:rsidRPr="00EB74A8">
              <w:t>100%</w:t>
            </w:r>
          </w:p>
        </w:tc>
        <w:tc>
          <w:tcPr>
            <w:tcW w:w="1418" w:type="dxa"/>
          </w:tcPr>
          <w:p w14:paraId="7902D9CC" w14:textId="113EB7B6" w:rsidR="00C93271" w:rsidRPr="00EB74A8" w:rsidRDefault="008C308F" w:rsidP="00582961">
            <w:pPr>
              <w:pStyle w:val="Tabletextrightaligned"/>
            </w:pPr>
            <w:r w:rsidRPr="00EB74A8">
              <w:t>100%</w:t>
            </w:r>
          </w:p>
        </w:tc>
      </w:tr>
      <w:tr w:rsidR="002235DE" w:rsidRPr="00EB74A8" w14:paraId="7EDF2DA5" w14:textId="77777777" w:rsidTr="004A5174">
        <w:trPr>
          <w:cnfStyle w:val="000000100000" w:firstRow="0" w:lastRow="0" w:firstColumn="0" w:lastColumn="0" w:oddVBand="0" w:evenVBand="0" w:oddHBand="1" w:evenHBand="0" w:firstRowFirstColumn="0" w:firstRowLastColumn="0" w:lastRowFirstColumn="0" w:lastRowLastColumn="0"/>
          <w:trHeight w:val="20"/>
        </w:trPr>
        <w:tc>
          <w:tcPr>
            <w:tcW w:w="3119" w:type="dxa"/>
          </w:tcPr>
          <w:p w14:paraId="2C9DBE8F" w14:textId="588E033D" w:rsidR="002235DE" w:rsidRPr="00EB74A8" w:rsidRDefault="00C93271" w:rsidP="00724369">
            <w:pPr>
              <w:pStyle w:val="Tabletextleftaligned"/>
            </w:pPr>
            <w:r w:rsidRPr="00EB74A8">
              <w:t>Treatment prior to delivery</w:t>
            </w:r>
          </w:p>
        </w:tc>
        <w:tc>
          <w:tcPr>
            <w:tcW w:w="850" w:type="dxa"/>
          </w:tcPr>
          <w:p w14:paraId="3AA432AA" w14:textId="59475143" w:rsidR="002235DE" w:rsidRPr="00EB74A8" w:rsidRDefault="00B259E0" w:rsidP="00724369">
            <w:pPr>
              <w:pStyle w:val="Tabletextrightaligned"/>
            </w:pPr>
            <w:r w:rsidRPr="00EB74A8">
              <w:t>94%</w:t>
            </w:r>
          </w:p>
        </w:tc>
        <w:tc>
          <w:tcPr>
            <w:tcW w:w="1758" w:type="dxa"/>
          </w:tcPr>
          <w:p w14:paraId="48387EDF" w14:textId="4834D28D" w:rsidR="002235DE" w:rsidRPr="00EB74A8" w:rsidRDefault="00B259E0" w:rsidP="00724369">
            <w:pPr>
              <w:pStyle w:val="Tabletextrightaligned"/>
            </w:pPr>
            <w:r w:rsidRPr="00EB74A8">
              <w:t>100%</w:t>
            </w:r>
          </w:p>
        </w:tc>
        <w:tc>
          <w:tcPr>
            <w:tcW w:w="1304" w:type="dxa"/>
          </w:tcPr>
          <w:p w14:paraId="3A68060E" w14:textId="5169AEEA" w:rsidR="002235DE" w:rsidRPr="00EB74A8" w:rsidRDefault="00B259E0" w:rsidP="00724369">
            <w:pPr>
              <w:pStyle w:val="Tabletextrightaligned"/>
            </w:pPr>
            <w:r w:rsidRPr="00EB74A8">
              <w:t>87%</w:t>
            </w:r>
          </w:p>
        </w:tc>
        <w:tc>
          <w:tcPr>
            <w:tcW w:w="1304" w:type="dxa"/>
          </w:tcPr>
          <w:p w14:paraId="43BD2725" w14:textId="6B5779A0" w:rsidR="002235DE" w:rsidRPr="00EB74A8" w:rsidRDefault="00B259E0" w:rsidP="00724369">
            <w:pPr>
              <w:pStyle w:val="Tabletextrightaligned"/>
            </w:pPr>
            <w:r w:rsidRPr="00EB74A8">
              <w:t>85%</w:t>
            </w:r>
          </w:p>
        </w:tc>
        <w:tc>
          <w:tcPr>
            <w:tcW w:w="1304" w:type="dxa"/>
          </w:tcPr>
          <w:p w14:paraId="4A938B09" w14:textId="71F5FFA7" w:rsidR="002235DE" w:rsidRPr="00EB74A8" w:rsidRDefault="00B259E0" w:rsidP="00724369">
            <w:pPr>
              <w:pStyle w:val="Tabletextrightaligned"/>
            </w:pPr>
            <w:r w:rsidRPr="00EB74A8">
              <w:t>80%</w:t>
            </w:r>
          </w:p>
        </w:tc>
        <w:tc>
          <w:tcPr>
            <w:tcW w:w="1417" w:type="dxa"/>
          </w:tcPr>
          <w:p w14:paraId="1949B4E2" w14:textId="426BCBEF" w:rsidR="002235DE" w:rsidRPr="00EB74A8" w:rsidRDefault="00B259E0" w:rsidP="00724369">
            <w:pPr>
              <w:pStyle w:val="Tabletextrightaligned"/>
            </w:pPr>
            <w:r w:rsidRPr="00EB74A8">
              <w:t>100%</w:t>
            </w:r>
          </w:p>
        </w:tc>
        <w:tc>
          <w:tcPr>
            <w:tcW w:w="1418" w:type="dxa"/>
          </w:tcPr>
          <w:p w14:paraId="3BAD090F" w14:textId="47C353E4" w:rsidR="002235DE" w:rsidRPr="00EB74A8" w:rsidRDefault="007526A5" w:rsidP="00724369">
            <w:pPr>
              <w:pStyle w:val="Tabletextrightaligned"/>
            </w:pPr>
            <w:r w:rsidRPr="00EB74A8">
              <w:t>100%</w:t>
            </w:r>
          </w:p>
        </w:tc>
        <w:tc>
          <w:tcPr>
            <w:tcW w:w="1418" w:type="dxa"/>
          </w:tcPr>
          <w:p w14:paraId="78415ECF" w14:textId="133CCE76" w:rsidR="002235DE" w:rsidRPr="00EB74A8" w:rsidRDefault="007526A5" w:rsidP="00724369">
            <w:pPr>
              <w:pStyle w:val="Tabletextrightaligned"/>
            </w:pPr>
            <w:r w:rsidRPr="00EB74A8">
              <w:t>100%</w:t>
            </w:r>
          </w:p>
        </w:tc>
      </w:tr>
      <w:tr w:rsidR="00C93271" w:rsidRPr="00EB74A8" w14:paraId="7D7C865D" w14:textId="77777777" w:rsidTr="004A5174">
        <w:trPr>
          <w:trHeight w:val="20"/>
        </w:trPr>
        <w:tc>
          <w:tcPr>
            <w:tcW w:w="3119" w:type="dxa"/>
          </w:tcPr>
          <w:p w14:paraId="146B83E1" w14:textId="744E7EF2" w:rsidR="00C93271" w:rsidRPr="00EB74A8" w:rsidRDefault="00C93271" w:rsidP="00724369">
            <w:pPr>
              <w:pStyle w:val="Tabletextleftaligned"/>
            </w:pPr>
            <w:r w:rsidRPr="00EB74A8">
              <w:t>Testing history</w:t>
            </w:r>
          </w:p>
        </w:tc>
        <w:tc>
          <w:tcPr>
            <w:tcW w:w="850" w:type="dxa"/>
          </w:tcPr>
          <w:p w14:paraId="7BAF1744" w14:textId="23924844" w:rsidR="00C93271" w:rsidRPr="00EB74A8" w:rsidRDefault="004653CC" w:rsidP="00724369">
            <w:pPr>
              <w:pStyle w:val="Tabletextrightaligned"/>
            </w:pPr>
            <w:r w:rsidRPr="00EB74A8">
              <w:t>100%</w:t>
            </w:r>
          </w:p>
        </w:tc>
        <w:tc>
          <w:tcPr>
            <w:tcW w:w="1758" w:type="dxa"/>
          </w:tcPr>
          <w:p w14:paraId="071C8551" w14:textId="7FA636B4" w:rsidR="00C93271" w:rsidRPr="00EB74A8" w:rsidRDefault="004653CC" w:rsidP="00724369">
            <w:pPr>
              <w:pStyle w:val="Tabletextrightaligned"/>
            </w:pPr>
            <w:r w:rsidRPr="00EB74A8">
              <w:t>100%</w:t>
            </w:r>
          </w:p>
        </w:tc>
        <w:tc>
          <w:tcPr>
            <w:tcW w:w="1304" w:type="dxa"/>
          </w:tcPr>
          <w:p w14:paraId="6C332068" w14:textId="268D9798" w:rsidR="00C93271" w:rsidRPr="00EB74A8" w:rsidRDefault="004653CC" w:rsidP="00724369">
            <w:pPr>
              <w:pStyle w:val="Tabletextrightaligned"/>
            </w:pPr>
            <w:r w:rsidRPr="00EB74A8">
              <w:t>100%</w:t>
            </w:r>
          </w:p>
        </w:tc>
        <w:tc>
          <w:tcPr>
            <w:tcW w:w="1304" w:type="dxa"/>
          </w:tcPr>
          <w:p w14:paraId="006F2787" w14:textId="35EE5B76" w:rsidR="00C93271" w:rsidRPr="00EB74A8" w:rsidRDefault="004653CC" w:rsidP="00724369">
            <w:pPr>
              <w:pStyle w:val="Tabletextrightaligned"/>
            </w:pPr>
            <w:r w:rsidRPr="00EB74A8">
              <w:t>95%</w:t>
            </w:r>
          </w:p>
        </w:tc>
        <w:tc>
          <w:tcPr>
            <w:tcW w:w="1304" w:type="dxa"/>
          </w:tcPr>
          <w:p w14:paraId="434C0F54" w14:textId="253098FF" w:rsidR="00C93271" w:rsidRPr="00EB74A8" w:rsidRDefault="004653CC" w:rsidP="00724369">
            <w:pPr>
              <w:pStyle w:val="Tabletextrightaligned"/>
            </w:pPr>
            <w:r w:rsidRPr="00EB74A8">
              <w:t>90%</w:t>
            </w:r>
          </w:p>
        </w:tc>
        <w:tc>
          <w:tcPr>
            <w:tcW w:w="1417" w:type="dxa"/>
          </w:tcPr>
          <w:p w14:paraId="57F4E694" w14:textId="39287FB1" w:rsidR="00C93271" w:rsidRPr="00EB74A8" w:rsidRDefault="004653CC" w:rsidP="00724369">
            <w:pPr>
              <w:pStyle w:val="Tabletextrightaligned"/>
            </w:pPr>
            <w:r w:rsidRPr="00EB74A8">
              <w:t>67%</w:t>
            </w:r>
          </w:p>
        </w:tc>
        <w:tc>
          <w:tcPr>
            <w:tcW w:w="1418" w:type="dxa"/>
          </w:tcPr>
          <w:p w14:paraId="693E91A2" w14:textId="65F4A9B3" w:rsidR="00C93271" w:rsidRPr="00EB74A8" w:rsidRDefault="00267654" w:rsidP="00724369">
            <w:pPr>
              <w:pStyle w:val="Tabletextrightaligned"/>
            </w:pPr>
            <w:r w:rsidRPr="00EB74A8">
              <w:t>100%</w:t>
            </w:r>
          </w:p>
        </w:tc>
        <w:tc>
          <w:tcPr>
            <w:tcW w:w="1418" w:type="dxa"/>
          </w:tcPr>
          <w:p w14:paraId="2065D3D6" w14:textId="6AC9198B" w:rsidR="00C93271" w:rsidRPr="00EB74A8" w:rsidRDefault="00267654" w:rsidP="00724369">
            <w:pPr>
              <w:pStyle w:val="Tabletextrightaligned"/>
            </w:pPr>
            <w:r w:rsidRPr="00EB74A8">
              <w:t>100%</w:t>
            </w:r>
          </w:p>
        </w:tc>
      </w:tr>
      <w:tr w:rsidR="00C93271" w:rsidRPr="00EB74A8" w14:paraId="4D8ADAD8" w14:textId="77777777" w:rsidTr="004A5174">
        <w:trPr>
          <w:cnfStyle w:val="000000100000" w:firstRow="0" w:lastRow="0" w:firstColumn="0" w:lastColumn="0" w:oddVBand="0" w:evenVBand="0" w:oddHBand="1" w:evenHBand="0" w:firstRowFirstColumn="0" w:firstRowLastColumn="0" w:lastRowFirstColumn="0" w:lastRowLastColumn="0"/>
          <w:trHeight w:val="20"/>
        </w:trPr>
        <w:tc>
          <w:tcPr>
            <w:tcW w:w="3119" w:type="dxa"/>
          </w:tcPr>
          <w:p w14:paraId="100438A4" w14:textId="7A2559BE" w:rsidR="00C93271" w:rsidRPr="00EB74A8" w:rsidRDefault="00C93271" w:rsidP="00724369">
            <w:pPr>
              <w:pStyle w:val="Tabletextleftaligned"/>
            </w:pPr>
            <w:r w:rsidRPr="00EB74A8">
              <w:lastRenderedPageBreak/>
              <w:t>Re-infection (current pregnancy)</w:t>
            </w:r>
          </w:p>
        </w:tc>
        <w:tc>
          <w:tcPr>
            <w:tcW w:w="850" w:type="dxa"/>
          </w:tcPr>
          <w:p w14:paraId="0CFDB323" w14:textId="4B86A041" w:rsidR="00C93271" w:rsidRPr="00EB74A8" w:rsidRDefault="004653CC" w:rsidP="00724369">
            <w:pPr>
              <w:pStyle w:val="Tabletextrightaligned"/>
            </w:pPr>
            <w:r w:rsidRPr="00EB74A8">
              <w:t>88%</w:t>
            </w:r>
          </w:p>
        </w:tc>
        <w:tc>
          <w:tcPr>
            <w:tcW w:w="1758" w:type="dxa"/>
          </w:tcPr>
          <w:p w14:paraId="7BCE0B18" w14:textId="123CD499" w:rsidR="00C93271" w:rsidRPr="00EB74A8" w:rsidRDefault="004653CC" w:rsidP="00724369">
            <w:pPr>
              <w:pStyle w:val="Tabletextrightaligned"/>
            </w:pPr>
            <w:r w:rsidRPr="00EB74A8">
              <w:t>73%</w:t>
            </w:r>
          </w:p>
        </w:tc>
        <w:tc>
          <w:tcPr>
            <w:tcW w:w="1304" w:type="dxa"/>
          </w:tcPr>
          <w:p w14:paraId="2A8C9F91" w14:textId="42B49E64" w:rsidR="00C93271" w:rsidRPr="00EB74A8" w:rsidRDefault="004653CC" w:rsidP="00724369">
            <w:pPr>
              <w:pStyle w:val="Tabletextrightaligned"/>
            </w:pPr>
            <w:r w:rsidRPr="00EB74A8">
              <w:t>100%</w:t>
            </w:r>
          </w:p>
        </w:tc>
        <w:tc>
          <w:tcPr>
            <w:tcW w:w="1304" w:type="dxa"/>
          </w:tcPr>
          <w:p w14:paraId="6FD23D4A" w14:textId="5E7D4AD8" w:rsidR="00C93271" w:rsidRPr="00EB74A8" w:rsidRDefault="004653CC" w:rsidP="00724369">
            <w:pPr>
              <w:pStyle w:val="Tabletextrightaligned"/>
            </w:pPr>
            <w:r w:rsidRPr="00EB74A8">
              <w:t>65%</w:t>
            </w:r>
          </w:p>
        </w:tc>
        <w:tc>
          <w:tcPr>
            <w:tcW w:w="1304" w:type="dxa"/>
          </w:tcPr>
          <w:p w14:paraId="6F8621E3" w14:textId="602788F6" w:rsidR="00C93271" w:rsidRPr="00EB74A8" w:rsidRDefault="004653CC" w:rsidP="00724369">
            <w:pPr>
              <w:pStyle w:val="Tabletextrightaligned"/>
            </w:pPr>
            <w:r w:rsidRPr="00EB74A8">
              <w:t>80%</w:t>
            </w:r>
          </w:p>
        </w:tc>
        <w:tc>
          <w:tcPr>
            <w:tcW w:w="1417" w:type="dxa"/>
          </w:tcPr>
          <w:p w14:paraId="07CEF1C9" w14:textId="44CEBEB0" w:rsidR="00C93271" w:rsidRPr="00EB74A8" w:rsidRDefault="004653CC" w:rsidP="00724369">
            <w:pPr>
              <w:pStyle w:val="Tabletextrightaligned"/>
            </w:pPr>
            <w:r w:rsidRPr="00EB74A8">
              <w:t>67%</w:t>
            </w:r>
          </w:p>
        </w:tc>
        <w:tc>
          <w:tcPr>
            <w:tcW w:w="1418" w:type="dxa"/>
          </w:tcPr>
          <w:p w14:paraId="291E6A49" w14:textId="60FAEE55" w:rsidR="00C93271" w:rsidRPr="00EB74A8" w:rsidRDefault="00CC1D93" w:rsidP="00724369">
            <w:pPr>
              <w:pStyle w:val="Tabletextrightaligned"/>
            </w:pPr>
            <w:r w:rsidRPr="00EB74A8">
              <w:t>83%</w:t>
            </w:r>
          </w:p>
        </w:tc>
        <w:tc>
          <w:tcPr>
            <w:tcW w:w="1418" w:type="dxa"/>
          </w:tcPr>
          <w:p w14:paraId="0EE04A30" w14:textId="37177C14" w:rsidR="00C93271" w:rsidRPr="00EB74A8" w:rsidRDefault="00CC1D93" w:rsidP="00724369">
            <w:pPr>
              <w:pStyle w:val="Tabletextrightaligned"/>
            </w:pPr>
            <w:r w:rsidRPr="00EB74A8">
              <w:t>100%</w:t>
            </w:r>
          </w:p>
        </w:tc>
      </w:tr>
    </w:tbl>
    <w:p w14:paraId="2036D49D" w14:textId="0A27BE0A" w:rsidR="00361FC5" w:rsidRPr="00EB74A8" w:rsidRDefault="00361FC5" w:rsidP="00F34B39">
      <w:pPr>
        <w:rPr>
          <w:rStyle w:val="Notetext"/>
        </w:rPr>
      </w:pPr>
      <w:r w:rsidRPr="00EB74A8">
        <w:rPr>
          <w:rStyle w:val="Notetext"/>
        </w:rPr>
        <w:t>Notes:</w:t>
      </w:r>
    </w:p>
    <w:p w14:paraId="3CCC72DD" w14:textId="4D35B392" w:rsidR="00514298" w:rsidRPr="00EB74A8" w:rsidRDefault="00514298" w:rsidP="00E430EC">
      <w:pPr>
        <w:tabs>
          <w:tab w:val="left" w:pos="426"/>
        </w:tabs>
        <w:spacing w:before="60" w:after="60" w:line="240" w:lineRule="auto"/>
        <w:rPr>
          <w:rStyle w:val="Notetext"/>
        </w:rPr>
      </w:pPr>
      <w:r w:rsidRPr="00EB74A8">
        <w:rPr>
          <w:rStyle w:val="Notetext"/>
        </w:rPr>
        <w:t>1</w:t>
      </w:r>
      <w:r w:rsidRPr="00EB74A8">
        <w:rPr>
          <w:rStyle w:val="Notetext"/>
        </w:rPr>
        <w:tab/>
        <w:t>Where completeness is less than 50%, data has been excluded.</w:t>
      </w:r>
    </w:p>
    <w:p w14:paraId="70E635B9" w14:textId="72190844" w:rsidR="00514298" w:rsidRPr="00EB74A8" w:rsidRDefault="00514298" w:rsidP="00E430EC">
      <w:pPr>
        <w:tabs>
          <w:tab w:val="left" w:pos="426"/>
        </w:tabs>
        <w:spacing w:before="60" w:after="60" w:line="240" w:lineRule="auto"/>
        <w:rPr>
          <w:rStyle w:val="Notetext"/>
        </w:rPr>
      </w:pPr>
      <w:r w:rsidRPr="00EB74A8">
        <w:rPr>
          <w:rStyle w:val="Notetext"/>
        </w:rPr>
        <w:t xml:space="preserve">2 </w:t>
      </w:r>
      <w:r w:rsidRPr="00EB74A8">
        <w:rPr>
          <w:rStyle w:val="Notetext"/>
        </w:rPr>
        <w:tab/>
        <w:t>Q</w:t>
      </w:r>
      <w:r w:rsidR="00EC60C0" w:rsidRPr="00EB74A8">
        <w:rPr>
          <w:rStyle w:val="Notetext"/>
        </w:rPr>
        <w:t>4</w:t>
      </w:r>
      <w:r w:rsidRPr="00EB74A8">
        <w:rPr>
          <w:rStyle w:val="Notetext"/>
        </w:rPr>
        <w:t xml:space="preserve"> 2024 to Q</w:t>
      </w:r>
      <w:r w:rsidR="00EC60C0" w:rsidRPr="00EB74A8">
        <w:rPr>
          <w:rStyle w:val="Notetext"/>
        </w:rPr>
        <w:t>3</w:t>
      </w:r>
      <w:r w:rsidRPr="00EB74A8">
        <w:rPr>
          <w:rStyle w:val="Notetext"/>
        </w:rPr>
        <w:t xml:space="preserve"> 2025</w:t>
      </w:r>
      <w:r w:rsidR="0011260E" w:rsidRPr="00EB74A8">
        <w:rPr>
          <w:rStyle w:val="Notetext"/>
        </w:rPr>
        <w:t>.</w:t>
      </w:r>
    </w:p>
    <w:p w14:paraId="4B0A7351" w14:textId="083442D8" w:rsidR="00E430EC" w:rsidRPr="00EB74A8" w:rsidRDefault="008C4D27" w:rsidP="00E430EC">
      <w:pPr>
        <w:tabs>
          <w:tab w:val="left" w:pos="426"/>
        </w:tabs>
        <w:spacing w:before="60" w:after="60" w:line="240" w:lineRule="auto"/>
        <w:rPr>
          <w:rStyle w:val="Notetext"/>
        </w:rPr>
      </w:pPr>
      <w:r w:rsidRPr="00EB74A8">
        <w:rPr>
          <w:rStyle w:val="Notetext"/>
        </w:rPr>
        <w:t>3</w:t>
      </w:r>
      <w:r w:rsidRPr="00EB74A8">
        <w:rPr>
          <w:rStyle w:val="Notetext"/>
        </w:rPr>
        <w:tab/>
        <w:t>Aboriginal and Torres Strait Islander people</w:t>
      </w:r>
      <w:r w:rsidR="0059535E" w:rsidRPr="00EB74A8">
        <w:rPr>
          <w:rStyle w:val="Notetext"/>
        </w:rPr>
        <w:t>s</w:t>
      </w:r>
      <w:r w:rsidRPr="00EB74A8">
        <w:rPr>
          <w:rStyle w:val="Notetext"/>
        </w:rPr>
        <w:t xml:space="preserve"> only</w:t>
      </w:r>
      <w:r w:rsidR="0011260E" w:rsidRPr="00EB74A8">
        <w:rPr>
          <w:rStyle w:val="Notetext"/>
        </w:rPr>
        <w:t>.</w:t>
      </w:r>
    </w:p>
    <w:p w14:paraId="1E055B25" w14:textId="7A1B47C5" w:rsidR="0011260E" w:rsidRPr="00EB74A8" w:rsidRDefault="00E430EC" w:rsidP="00E430EC">
      <w:pPr>
        <w:tabs>
          <w:tab w:val="left" w:pos="426"/>
        </w:tabs>
        <w:spacing w:before="60" w:after="60" w:line="240" w:lineRule="auto"/>
        <w:rPr>
          <w:rStyle w:val="Notetext"/>
        </w:rPr>
      </w:pPr>
      <w:r w:rsidRPr="00EB74A8">
        <w:rPr>
          <w:rStyle w:val="Notetext"/>
        </w:rPr>
        <w:t>4</w:t>
      </w:r>
      <w:r w:rsidRPr="00EB74A8">
        <w:rPr>
          <w:rStyle w:val="Notetext"/>
        </w:rPr>
        <w:tab/>
        <w:t>Includes 6 jurisdictions.</w:t>
      </w:r>
    </w:p>
    <w:p w14:paraId="3D792204" w14:textId="77777777" w:rsidR="0011260E" w:rsidRPr="00EB74A8" w:rsidRDefault="0011260E" w:rsidP="00E430EC">
      <w:pPr>
        <w:tabs>
          <w:tab w:val="left" w:pos="426"/>
        </w:tabs>
        <w:spacing w:before="60" w:after="60" w:line="240" w:lineRule="auto"/>
        <w:rPr>
          <w:rStyle w:val="Notetext"/>
        </w:rPr>
      </w:pPr>
      <w:r w:rsidRPr="00EB74A8">
        <w:rPr>
          <w:rStyle w:val="Notetext"/>
        </w:rPr>
        <w:t>5</w:t>
      </w:r>
      <w:r w:rsidRPr="00EB74A8">
        <w:rPr>
          <w:rStyle w:val="Notetext"/>
        </w:rPr>
        <w:tab/>
        <w:t>Includes 7 jurisdictions.</w:t>
      </w:r>
    </w:p>
    <w:p w14:paraId="6B1AD8AE" w14:textId="17E076BC" w:rsidR="00E274FA" w:rsidRPr="00EB74A8" w:rsidRDefault="00193C02" w:rsidP="00E274FA">
      <w:pPr>
        <w:tabs>
          <w:tab w:val="left" w:pos="426"/>
        </w:tabs>
        <w:spacing w:before="60" w:after="60" w:line="240" w:lineRule="auto"/>
        <w:rPr>
          <w:rStyle w:val="Notetext"/>
        </w:rPr>
        <w:sectPr w:rsidR="00E274FA" w:rsidRPr="00EB74A8" w:rsidSect="005F0659">
          <w:pgSz w:w="16840" w:h="11900" w:orient="landscape" w:code="9"/>
          <w:pgMar w:top="1134" w:right="1134" w:bottom="1134" w:left="1134" w:header="709" w:footer="425" w:gutter="0"/>
          <w:cols w:space="708"/>
          <w:docGrid w:linePitch="360"/>
        </w:sectPr>
      </w:pPr>
      <w:r w:rsidRPr="00EB74A8">
        <w:rPr>
          <w:rStyle w:val="Notetext"/>
        </w:rPr>
        <w:t>6</w:t>
      </w:r>
      <w:r w:rsidR="00E274FA" w:rsidRPr="00EB74A8">
        <w:rPr>
          <w:rStyle w:val="Notetext"/>
        </w:rPr>
        <w:tab/>
        <w:t xml:space="preserve">Includes </w:t>
      </w:r>
      <w:r w:rsidRPr="00EB74A8">
        <w:rPr>
          <w:rStyle w:val="Notetext"/>
        </w:rPr>
        <w:t>all</w:t>
      </w:r>
      <w:r w:rsidR="00E274FA" w:rsidRPr="00EB74A8">
        <w:rPr>
          <w:rStyle w:val="Notetext"/>
        </w:rPr>
        <w:t xml:space="preserve"> </w:t>
      </w:r>
      <w:r w:rsidRPr="00EB74A8">
        <w:rPr>
          <w:rStyle w:val="Notetext"/>
        </w:rPr>
        <w:t>states and territories.</w:t>
      </w:r>
    </w:p>
    <w:p w14:paraId="051472C4" w14:textId="77777777" w:rsidR="00753321" w:rsidRPr="00EB74A8" w:rsidRDefault="00753321" w:rsidP="00753321">
      <w:pPr>
        <w:pStyle w:val="Heading1"/>
      </w:pPr>
      <w:bookmarkStart w:id="60" w:name="_Toc218512936"/>
      <w:bookmarkStart w:id="61" w:name="_Toc225244441"/>
      <w:r w:rsidRPr="00EB74A8">
        <w:lastRenderedPageBreak/>
        <w:t>References</w:t>
      </w:r>
      <w:bookmarkEnd w:id="60"/>
      <w:bookmarkEnd w:id="61"/>
    </w:p>
    <w:p w14:paraId="5BFAD5D9" w14:textId="77777777" w:rsidR="00901401" w:rsidRPr="00EB74A8" w:rsidRDefault="00753321" w:rsidP="00901401">
      <w:pPr>
        <w:pStyle w:val="EndNoteBibliography"/>
        <w:spacing w:after="0"/>
      </w:pPr>
      <w:r w:rsidRPr="00EB74A8">
        <w:fldChar w:fldCharType="begin"/>
      </w:r>
      <w:r w:rsidRPr="00EB74A8">
        <w:instrText xml:space="preserve"> ADDIN EN.REFLIST </w:instrText>
      </w:r>
      <w:r w:rsidRPr="00EB74A8">
        <w:fldChar w:fldCharType="separate"/>
      </w:r>
      <w:r w:rsidR="00901401" w:rsidRPr="00EB74A8">
        <w:t>1.</w:t>
      </w:r>
      <w:r w:rsidR="00901401" w:rsidRPr="00EB74A8">
        <w:tab/>
        <w:t>Equity Economics. Blueprint for the Future: Evaluation of NACCHO’s Role under the Enhanced Syphilis Response. A Report prepared for the National Aboriginal Community Controlled Health Organisation (NACCHO). 2021.</w:t>
      </w:r>
    </w:p>
    <w:p w14:paraId="49007B30" w14:textId="77777777" w:rsidR="00901401" w:rsidRPr="00EB74A8" w:rsidRDefault="00901401" w:rsidP="00901401">
      <w:pPr>
        <w:pStyle w:val="EndNoteBibliography"/>
        <w:spacing w:after="0"/>
      </w:pPr>
      <w:r w:rsidRPr="00EB74A8">
        <w:t>2.</w:t>
      </w:r>
      <w:r w:rsidRPr="00EB74A8">
        <w:tab/>
        <w:t>National Syphilis Surveillance Quarterly Report (Quarter 4: 1 October - 31 December 2024). 2025.</w:t>
      </w:r>
    </w:p>
    <w:p w14:paraId="6E2241D0" w14:textId="67DC3570" w:rsidR="00901401" w:rsidRPr="00EB74A8" w:rsidRDefault="00901401" w:rsidP="00901401">
      <w:pPr>
        <w:pStyle w:val="EndNoteBibliography"/>
        <w:spacing w:after="0"/>
      </w:pPr>
      <w:r w:rsidRPr="00EB74A8">
        <w:t>3.</w:t>
      </w:r>
      <w:r w:rsidRPr="00EB74A8">
        <w:tab/>
        <w:t xml:space="preserve">NT Health. Public health alert: syphilis - ongoing high transmission: NT Health Centre for Disease Control; 2026 [Available from: </w:t>
      </w:r>
      <w:hyperlink r:id="rId45" w:history="1">
        <w:r w:rsidRPr="00EB74A8">
          <w:rPr>
            <w:rStyle w:val="Hyperlink"/>
          </w:rPr>
          <w:t>https://health.nt.gov.au/__data/assets/pdf_file/0009/1592199/health-alert-syphilis-update-11.02.2026.pdf</w:t>
        </w:r>
      </w:hyperlink>
      <w:r w:rsidRPr="00EB74A8">
        <w:t>.</w:t>
      </w:r>
    </w:p>
    <w:p w14:paraId="48D62BD5" w14:textId="77777777" w:rsidR="00901401" w:rsidRPr="00EB74A8" w:rsidRDefault="00901401" w:rsidP="00901401">
      <w:pPr>
        <w:pStyle w:val="EndNoteBibliography"/>
        <w:spacing w:after="0"/>
      </w:pPr>
      <w:r w:rsidRPr="00EB74A8">
        <w:t>4.</w:t>
      </w:r>
      <w:r w:rsidRPr="00EB74A8">
        <w:tab/>
        <w:t>Australian Institute of Health and Welfare. Aboriginal and Torres Strait Islander Health Performance Framework: summary report. AIHW: Australian Government; 2025.</w:t>
      </w:r>
    </w:p>
    <w:p w14:paraId="56838F0B" w14:textId="44F7110C" w:rsidR="00901401" w:rsidRPr="00EB74A8" w:rsidRDefault="00901401" w:rsidP="00901401">
      <w:pPr>
        <w:pStyle w:val="EndNoteBibliography"/>
        <w:spacing w:after="0"/>
      </w:pPr>
      <w:r w:rsidRPr="00EB74A8">
        <w:t>5.</w:t>
      </w:r>
      <w:r w:rsidRPr="00EB74A8">
        <w:tab/>
        <w:t xml:space="preserve">Australian Statistical Geography Standard (ASGS) Edition 3: Indigenous Structure: Australian Bureau of Statistics; 2021 [Available from: </w:t>
      </w:r>
      <w:hyperlink r:id="rId46" w:history="1">
        <w:r w:rsidRPr="00EB74A8">
          <w:rPr>
            <w:rStyle w:val="Hyperlink"/>
          </w:rPr>
          <w:t>https://www.abs.gov.au/statistics/standards/australian-statistical-geography-standard-asgs-edition-3/jul2021-jun2026/indigenous-structure</w:t>
        </w:r>
      </w:hyperlink>
      <w:r w:rsidRPr="00EB74A8">
        <w:t>.</w:t>
      </w:r>
    </w:p>
    <w:p w14:paraId="6D500F13" w14:textId="77777777" w:rsidR="00901401" w:rsidRPr="00EB74A8" w:rsidRDefault="00901401" w:rsidP="00901401">
      <w:pPr>
        <w:pStyle w:val="EndNoteBibliography"/>
        <w:spacing w:after="0"/>
      </w:pPr>
      <w:r w:rsidRPr="00EB74A8">
        <w:t>6.</w:t>
      </w:r>
      <w:r w:rsidRPr="00EB74A8">
        <w:tab/>
        <w:t>Taouk M, Taiaroa G, Pasricha S, Herman S, Chow E, Azzatto F, et al. Characterisation of Treponema pallidum lineages within the contemporary syphilis outbreak in Australia: a genomic epidemiological analysis. The Lancet Microbe. 2022;3(6):e417 - e26.</w:t>
      </w:r>
    </w:p>
    <w:p w14:paraId="4A195022" w14:textId="77777777" w:rsidR="00901401" w:rsidRPr="00EB74A8" w:rsidRDefault="00901401" w:rsidP="00901401">
      <w:pPr>
        <w:pStyle w:val="EndNoteBibliography"/>
        <w:spacing w:after="0"/>
      </w:pPr>
      <w:r w:rsidRPr="00EB74A8">
        <w:t>7.</w:t>
      </w:r>
      <w:r w:rsidRPr="00EB74A8">
        <w:tab/>
        <w:t>Williamson D, Chow E, Gorrie C, Seemann T, Ingle D, Higgins N, et al. Bridging of Neisseria gonorrhoeae lineages across sexual networks in the HIV pre-exposure prophylaxis era. Nature Communications. 2019;10.</w:t>
      </w:r>
    </w:p>
    <w:p w14:paraId="76079540" w14:textId="610B01BB" w:rsidR="00901401" w:rsidRPr="00EB74A8" w:rsidRDefault="00901401" w:rsidP="00901401">
      <w:pPr>
        <w:pStyle w:val="EndNoteBibliography"/>
        <w:spacing w:after="0"/>
      </w:pPr>
      <w:r w:rsidRPr="00EB74A8">
        <w:t>8.</w:t>
      </w:r>
      <w:r w:rsidRPr="00EB74A8">
        <w:tab/>
        <w:t xml:space="preserve">Syphilis – CDNA National Guidelines for Public Health Units  [Available from: </w:t>
      </w:r>
      <w:hyperlink r:id="rId47" w:history="1">
        <w:r w:rsidRPr="00EB74A8">
          <w:rPr>
            <w:rStyle w:val="Hyperlink"/>
          </w:rPr>
          <w:t>https://www.health.gov.au/resources/publications/syphilis-cdna-national-guidelines-for-public-health-units?language=en</w:t>
        </w:r>
      </w:hyperlink>
      <w:r w:rsidRPr="00EB74A8">
        <w:t>.</w:t>
      </w:r>
    </w:p>
    <w:p w14:paraId="5AA0552C" w14:textId="710CE639" w:rsidR="00901401" w:rsidRPr="00EB74A8" w:rsidRDefault="00901401" w:rsidP="00901401">
      <w:pPr>
        <w:pStyle w:val="EndNoteBibliography"/>
        <w:spacing w:after="0"/>
      </w:pPr>
      <w:r w:rsidRPr="00EB74A8">
        <w:t>9.</w:t>
      </w:r>
      <w:r w:rsidRPr="00EB74A8">
        <w:tab/>
        <w:t xml:space="preserve">Queensland clinical guidelines. Translating evidence into best clinical practice - Syphilis and pregnancy (Qld Health): Queensland Health; 2025 [Available from: </w:t>
      </w:r>
      <w:hyperlink r:id="rId48" w:history="1">
        <w:r w:rsidRPr="00EB74A8">
          <w:rPr>
            <w:rStyle w:val="Hyperlink"/>
          </w:rPr>
          <w:t>https://www.health.qld.gov.au/__data/assets/pdf_file/0035/736883/g-sip.pdf</w:t>
        </w:r>
      </w:hyperlink>
      <w:r w:rsidRPr="00EB74A8">
        <w:t>.</w:t>
      </w:r>
    </w:p>
    <w:p w14:paraId="617525F5" w14:textId="221F4AF4" w:rsidR="00901401" w:rsidRPr="00EB74A8" w:rsidRDefault="00901401" w:rsidP="00901401">
      <w:pPr>
        <w:pStyle w:val="EndNoteBibliography"/>
        <w:spacing w:after="0"/>
      </w:pPr>
      <w:r w:rsidRPr="00EB74A8">
        <w:t>10.</w:t>
      </w:r>
      <w:r w:rsidRPr="00EB74A8">
        <w:tab/>
        <w:t xml:space="preserve">Statewide Maternity Shared Care Guidelines (WA Health): Government of Western Australia North Metropolitan Health Service Women and Newborn Health Service; 2021 [Available from: </w:t>
      </w:r>
      <w:hyperlink r:id="rId49" w:history="1">
        <w:r w:rsidRPr="00EB74A8">
          <w:rPr>
            <w:rStyle w:val="Hyperlink"/>
          </w:rPr>
          <w:t>https://kemh.health.wa.gov.au/~/media/HSPs/NMHS/Hospitals/WNHS/Documents/Clinical-guidelines/Statewide-Maternity-Shared-Care-Guidelines.pdf</w:t>
        </w:r>
      </w:hyperlink>
      <w:r w:rsidRPr="00EB74A8">
        <w:t>.</w:t>
      </w:r>
    </w:p>
    <w:p w14:paraId="4E2D32FE" w14:textId="234FD9B6" w:rsidR="00901401" w:rsidRPr="00EB74A8" w:rsidRDefault="00901401" w:rsidP="00901401">
      <w:pPr>
        <w:pStyle w:val="EndNoteBibliography"/>
        <w:spacing w:after="0"/>
      </w:pPr>
      <w:r w:rsidRPr="00EB74A8">
        <w:t>11.</w:t>
      </w:r>
      <w:r w:rsidRPr="00EB74A8">
        <w:tab/>
        <w:t xml:space="preserve">South Australian Perinatal Practice Guideline. Syphilis in pregnancy and the neonate PPG015 (SA Health) 2025 [Available from: </w:t>
      </w:r>
      <w:hyperlink r:id="rId50" w:history="1">
        <w:r w:rsidRPr="00EB74A8">
          <w:rPr>
            <w:rStyle w:val="Hyperlink"/>
          </w:rPr>
          <w:t>https://www.sahealth.sa.gov.au/wps/wcm/connect/4f3188804eedeac1b604b76a7ac0d6e4/Syphilis+in+pregnancy+and+the+neonate+PPG+v_5_0_.pdf?MOD=AJPERES&amp;CACHEID=ROOTWORKSPACE-4f3188804eedeac1b604b76a7ac0d6e4-ph8fmcZ</w:t>
        </w:r>
      </w:hyperlink>
      <w:r w:rsidRPr="00EB74A8">
        <w:t>.</w:t>
      </w:r>
    </w:p>
    <w:p w14:paraId="1B55EFD1" w14:textId="7CA31F9C" w:rsidR="00901401" w:rsidRPr="00EB74A8" w:rsidRDefault="00901401" w:rsidP="00901401">
      <w:pPr>
        <w:pStyle w:val="EndNoteBibliography"/>
        <w:spacing w:after="0"/>
      </w:pPr>
      <w:r w:rsidRPr="00EB74A8">
        <w:t>12.</w:t>
      </w:r>
      <w:r w:rsidRPr="00EB74A8">
        <w:tab/>
        <w:t xml:space="preserve">Syphilis testing during pregnancy (Safer Care Victoria) 2025 [Available from: </w:t>
      </w:r>
      <w:hyperlink r:id="rId51" w:history="1">
        <w:r w:rsidRPr="00EB74A8">
          <w:rPr>
            <w:rStyle w:val="Hyperlink"/>
          </w:rPr>
          <w:t>https://www.safercare.vic.gov.au/best-practice-improvement/clinical-guidance/maternity/syphilis-testing-during-pregnancy</w:t>
        </w:r>
      </w:hyperlink>
      <w:r w:rsidRPr="00EB74A8">
        <w:t>.</w:t>
      </w:r>
    </w:p>
    <w:p w14:paraId="7D6C1916" w14:textId="66663654" w:rsidR="00901401" w:rsidRPr="00EB74A8" w:rsidRDefault="00901401" w:rsidP="00901401">
      <w:pPr>
        <w:pStyle w:val="EndNoteBibliography"/>
        <w:spacing w:after="0"/>
      </w:pPr>
      <w:r w:rsidRPr="00EB74A8">
        <w:t>13.</w:t>
      </w:r>
      <w:r w:rsidRPr="00EB74A8">
        <w:tab/>
        <w:t xml:space="preserve">Three syphilis tests are now recommended in every pregnancy to prevent congenital syphilis (Tas.  Health) 2025 [Available from: </w:t>
      </w:r>
      <w:hyperlink r:id="rId52" w:history="1">
        <w:r w:rsidRPr="00EB74A8">
          <w:rPr>
            <w:rStyle w:val="Hyperlink"/>
          </w:rPr>
          <w:t>https://www.health.tas.gov.au/news/articles/three-syphilis-tests-are-now-recommended-every-pregnancy-prevent-congenital-syphilis</w:t>
        </w:r>
      </w:hyperlink>
      <w:r w:rsidRPr="00EB74A8">
        <w:t>.</w:t>
      </w:r>
    </w:p>
    <w:p w14:paraId="14DF6396" w14:textId="3D2B9C00" w:rsidR="00901401" w:rsidRPr="00EB74A8" w:rsidRDefault="00901401" w:rsidP="00901401">
      <w:pPr>
        <w:pStyle w:val="EndNoteBibliography"/>
        <w:spacing w:after="0"/>
      </w:pPr>
      <w:r w:rsidRPr="00EB74A8">
        <w:t>14.</w:t>
      </w:r>
      <w:r w:rsidRPr="00EB74A8">
        <w:tab/>
        <w:t xml:space="preserve">Congenital syphilis guidelines for the Northern Territory (NT Health) 2015 [Available from: </w:t>
      </w:r>
      <w:hyperlink r:id="rId53" w:history="1">
        <w:r w:rsidRPr="00EB74A8">
          <w:rPr>
            <w:rStyle w:val="Hyperlink"/>
          </w:rPr>
          <w:t>https://digitallibrary.health.nt.gov.au/nthealthserver/api/core/bitstreams/77f72074-3e47-4697-9b80-63b3f5fd5630/content</w:t>
        </w:r>
      </w:hyperlink>
      <w:r w:rsidRPr="00EB74A8">
        <w:t>.</w:t>
      </w:r>
    </w:p>
    <w:p w14:paraId="2FD89D8B" w14:textId="699FD253" w:rsidR="00901401" w:rsidRPr="00EB74A8" w:rsidRDefault="00901401" w:rsidP="00901401">
      <w:pPr>
        <w:pStyle w:val="EndNoteBibliography"/>
      </w:pPr>
      <w:r w:rsidRPr="00EB74A8">
        <w:lastRenderedPageBreak/>
        <w:t>15.</w:t>
      </w:r>
      <w:r w:rsidRPr="00EB74A8">
        <w:tab/>
        <w:t xml:space="preserve">Public health clinical alert. Syphilis and mpox: Information for ACT clinicians (ACT Health) 2024 [Available from: </w:t>
      </w:r>
      <w:hyperlink r:id="rId54" w:history="1">
        <w:r w:rsidRPr="00EB74A8">
          <w:rPr>
            <w:rStyle w:val="Hyperlink"/>
          </w:rPr>
          <w:t>https://www.act.gov.au/__data/assets/pdf_file/0009/2629926/Mpox-and-syphilis-clinician-alert.pdf</w:t>
        </w:r>
      </w:hyperlink>
      <w:r w:rsidRPr="00EB74A8">
        <w:t>.</w:t>
      </w:r>
    </w:p>
    <w:p w14:paraId="3BD7DD41" w14:textId="600B62C2" w:rsidR="0090477D" w:rsidRPr="00EB74A8" w:rsidRDefault="00753321" w:rsidP="004653CC">
      <w:pPr>
        <w:pStyle w:val="EndNoteBibliography"/>
      </w:pPr>
      <w:r w:rsidRPr="00EB74A8">
        <w:fldChar w:fldCharType="end"/>
      </w:r>
    </w:p>
    <w:p w14:paraId="634FDD61" w14:textId="77777777" w:rsidR="0090477D" w:rsidRPr="00EB74A8" w:rsidRDefault="0090477D">
      <w:pPr>
        <w:spacing w:before="0" w:after="0" w:line="240" w:lineRule="auto"/>
      </w:pPr>
      <w:r w:rsidRPr="00EB74A8">
        <w:br w:type="page"/>
      </w:r>
    </w:p>
    <w:p w14:paraId="09ECB91E" w14:textId="77777777" w:rsidR="00392A4D" w:rsidRPr="00BF1A21" w:rsidRDefault="0090477D" w:rsidP="001C3090">
      <w:r w:rsidRPr="00EB74A8">
        <w:rPr>
          <w:noProof/>
        </w:rPr>
        <w:lastRenderedPageBreak/>
        <w:drawing>
          <wp:anchor distT="0" distB="0" distL="114300" distR="114300" simplePos="0" relativeHeight="251661312" behindDoc="1" locked="1" layoutInCell="1" allowOverlap="1" wp14:anchorId="7096BB45" wp14:editId="752D1395">
            <wp:simplePos x="0" y="0"/>
            <wp:positionH relativeFrom="page">
              <wp:align>center</wp:align>
            </wp:positionH>
            <wp:positionV relativeFrom="page">
              <wp:align>center</wp:align>
            </wp:positionV>
            <wp:extent cx="7534800" cy="1065600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sectPr w:rsidR="00392A4D" w:rsidRPr="00BF1A21" w:rsidSect="005F0659">
      <w:pgSz w:w="11900" w:h="16840" w:code="9"/>
      <w:pgMar w:top="1134" w:right="1134" w:bottom="1134" w:left="113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87EFD" w14:textId="77777777" w:rsidR="00D3457F" w:rsidRDefault="00D3457F" w:rsidP="00BD640A">
      <w:pPr>
        <w:spacing w:before="0" w:after="0" w:line="240" w:lineRule="auto"/>
      </w:pPr>
      <w:r>
        <w:separator/>
      </w:r>
    </w:p>
  </w:endnote>
  <w:endnote w:type="continuationSeparator" w:id="0">
    <w:p w14:paraId="2E7031E4" w14:textId="77777777" w:rsidR="00D3457F" w:rsidRDefault="00D3457F" w:rsidP="00BD64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FF4A" w14:textId="77777777" w:rsidR="00A6092B" w:rsidRDefault="00A6092B">
    <w:pPr>
      <w:pStyle w:val="Footer"/>
    </w:pPr>
    <w:r>
      <w:rPr>
        <w:noProof/>
      </w:rPr>
      <mc:AlternateContent>
        <mc:Choice Requires="wps">
          <w:drawing>
            <wp:anchor distT="0" distB="0" distL="0" distR="0" simplePos="0" relativeHeight="251675648" behindDoc="0" locked="0" layoutInCell="1" allowOverlap="1" wp14:anchorId="1B496429" wp14:editId="69944026">
              <wp:simplePos x="635" y="635"/>
              <wp:positionH relativeFrom="page">
                <wp:align>center</wp:align>
              </wp:positionH>
              <wp:positionV relativeFrom="page">
                <wp:align>bottom</wp:align>
              </wp:positionV>
              <wp:extent cx="622300" cy="480695"/>
              <wp:effectExtent l="0" t="0" r="0" b="0"/>
              <wp:wrapNone/>
              <wp:docPr id="13042290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1E504BB"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96429"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01E504BB"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1C563" w14:textId="77777777" w:rsidR="00121E5A"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69504" behindDoc="1" locked="1" layoutInCell="1" allowOverlap="1" wp14:anchorId="776DE80A" wp14:editId="2473450F">
          <wp:simplePos x="0" y="0"/>
          <wp:positionH relativeFrom="page">
            <wp:align>right</wp:align>
          </wp:positionH>
          <wp:positionV relativeFrom="page">
            <wp:align>bottom</wp:align>
          </wp:positionV>
          <wp:extent cx="10688400" cy="655200"/>
          <wp:effectExtent l="0" t="0" r="0" b="0"/>
          <wp:wrapNone/>
          <wp:docPr id="1119147416" name="Picture 1119147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E4FA" w14:textId="4059F585" w:rsidR="004B339D" w:rsidRPr="00CA11E3" w:rsidRDefault="004B339D" w:rsidP="00121E5A">
    <w:pPr>
      <w:pStyle w:val="Footer"/>
      <w:tabs>
        <w:tab w:val="clear" w:pos="4513"/>
        <w:tab w:val="clear" w:pos="9026"/>
        <w:tab w:val="right" w:pos="13892"/>
      </w:tabs>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C47AD" w14:textId="77777777" w:rsidR="00D3457F" w:rsidRDefault="00D3457F" w:rsidP="00BD640A">
      <w:pPr>
        <w:spacing w:before="0" w:after="0" w:line="240" w:lineRule="auto"/>
      </w:pPr>
      <w:r>
        <w:separator/>
      </w:r>
    </w:p>
  </w:footnote>
  <w:footnote w:type="continuationSeparator" w:id="0">
    <w:p w14:paraId="4B7B17A0" w14:textId="77777777" w:rsidR="00D3457F" w:rsidRDefault="00D3457F" w:rsidP="00BD64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8992" w14:textId="77777777" w:rsidR="00A6092B" w:rsidRDefault="00A6092B">
    <w:pPr>
      <w:pStyle w:val="Header"/>
    </w:pPr>
    <w:r>
      <w:rPr>
        <w:noProof/>
      </w:rPr>
      <mc:AlternateContent>
        <mc:Choice Requires="wps">
          <w:drawing>
            <wp:anchor distT="0" distB="0" distL="0" distR="0" simplePos="0" relativeHeight="251672576" behindDoc="0" locked="0" layoutInCell="1" allowOverlap="1" wp14:anchorId="004690E1" wp14:editId="2E30A57C">
              <wp:simplePos x="635" y="635"/>
              <wp:positionH relativeFrom="page">
                <wp:align>center</wp:align>
              </wp:positionH>
              <wp:positionV relativeFrom="page">
                <wp:align>top</wp:align>
              </wp:positionV>
              <wp:extent cx="622300" cy="480695"/>
              <wp:effectExtent l="0" t="0" r="0" b="1905"/>
              <wp:wrapNone/>
              <wp:docPr id="17358076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2144D45"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690E1"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12144D45" w14:textId="77777777" w:rsidR="00A6092B" w:rsidRPr="00A6092B" w:rsidRDefault="00A6092B" w:rsidP="00A6092B">
                    <w:pPr>
                      <w:spacing w:after="0"/>
                      <w:rPr>
                        <w:rFonts w:ascii="Aptos" w:eastAsia="Aptos" w:hAnsi="Aptos" w:cs="Aptos"/>
                        <w:noProof/>
                        <w:color w:val="FF0000"/>
                      </w:rPr>
                    </w:pPr>
                    <w:r w:rsidRPr="00A6092B">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3553A" w14:textId="1E49EE66" w:rsidR="00B3660E" w:rsidRDefault="00AC3433">
    <w:pPr>
      <w:pStyle w:val="Header"/>
    </w:pPr>
    <w:r>
      <w:rPr>
        <w:noProof/>
        <w:lang w:eastAsia="en-AU"/>
      </w:rPr>
      <w:drawing>
        <wp:anchor distT="0" distB="0" distL="114300" distR="114300" simplePos="0" relativeHeight="251677696" behindDoc="1" locked="1" layoutInCell="1" allowOverlap="1" wp14:anchorId="154B7C93" wp14:editId="1844B469">
          <wp:simplePos x="0" y="0"/>
          <wp:positionH relativeFrom="page">
            <wp:align>right</wp:align>
          </wp:positionH>
          <wp:positionV relativeFrom="page">
            <wp:posOffset>11430</wp:posOffset>
          </wp:positionV>
          <wp:extent cx="7559675" cy="10727690"/>
          <wp:effectExtent l="0" t="0" r="3175" b="0"/>
          <wp:wrapNone/>
          <wp:docPr id="2096209104" name="Picture 2096209104" descr="Australian Centre for Dise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4365" name="Picture 807424365" descr="Australian Centre for Dise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6D4C" w14:textId="77777777" w:rsidR="00CB1437" w:rsidRDefault="00CB1437">
    <w:pPr>
      <w:pStyle w:val="Header"/>
    </w:pPr>
    <w:r>
      <w:rPr>
        <w:noProof/>
        <w:lang w:eastAsia="en-AU"/>
      </w:rPr>
      <w:drawing>
        <wp:anchor distT="0" distB="0" distL="114300" distR="114300" simplePos="0" relativeHeight="251679744" behindDoc="1" locked="1" layoutInCell="1" allowOverlap="1" wp14:anchorId="7A12CC7B" wp14:editId="3E3B7CA6">
          <wp:simplePos x="0" y="0"/>
          <wp:positionH relativeFrom="page">
            <wp:align>right</wp:align>
          </wp:positionH>
          <wp:positionV relativeFrom="page">
            <wp:posOffset>11430</wp:posOffset>
          </wp:positionV>
          <wp:extent cx="7559675" cy="10727690"/>
          <wp:effectExtent l="0" t="0" r="3175" b="0"/>
          <wp:wrapNone/>
          <wp:docPr id="1261850923" name="Picture 1261850923" descr="Australian Centre for Disease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24365" name="Picture 807424365" descr="Australian Centre for Disease Control">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0727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88"/>
    <w:multiLevelType w:val="singleLevel"/>
    <w:tmpl w:val="943069A6"/>
    <w:lvl w:ilvl="0">
      <w:start w:val="1"/>
      <w:numFmt w:val="decimal"/>
      <w:pStyle w:val="ListNumber"/>
      <w:lvlText w:val="%1."/>
      <w:lvlJc w:val="left"/>
      <w:pPr>
        <w:tabs>
          <w:tab w:val="num" w:pos="360"/>
        </w:tabs>
        <w:ind w:left="360" w:hanging="360"/>
      </w:pPr>
    </w:lvl>
  </w:abstractNum>
  <w:abstractNum w:abstractNumId="2" w15:restartNumberingAfterBreak="0">
    <w:nsid w:val="00A42F38"/>
    <w:multiLevelType w:val="hybridMultilevel"/>
    <w:tmpl w:val="BB2A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84E0B"/>
    <w:multiLevelType w:val="hybridMultilevel"/>
    <w:tmpl w:val="97AE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06983"/>
    <w:multiLevelType w:val="hybridMultilevel"/>
    <w:tmpl w:val="55E4A408"/>
    <w:lvl w:ilvl="0" w:tplc="52F28F4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E96E13"/>
    <w:multiLevelType w:val="hybridMultilevel"/>
    <w:tmpl w:val="219A6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0D5D0D"/>
    <w:multiLevelType w:val="hybridMultilevel"/>
    <w:tmpl w:val="CB1446BE"/>
    <w:lvl w:ilvl="0" w:tplc="39F840E0">
      <w:numFmt w:val="bullet"/>
      <w:pStyle w:val="Boxtypelistbullet"/>
      <w:lvlText w:val=""/>
      <w:lvlJc w:val="left"/>
      <w:pPr>
        <w:ind w:left="587" w:hanging="360"/>
      </w:pPr>
      <w:rPr>
        <w:rFonts w:ascii="Symbol" w:eastAsia="Times New Roman" w:hAnsi="Symbo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7"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0B6CE8"/>
    <w:multiLevelType w:val="hybridMultilevel"/>
    <w:tmpl w:val="8B640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5A4FFE"/>
    <w:multiLevelType w:val="hybridMultilevel"/>
    <w:tmpl w:val="9AB813CC"/>
    <w:lvl w:ilvl="0" w:tplc="73C4C7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673388"/>
    <w:multiLevelType w:val="hybridMultilevel"/>
    <w:tmpl w:val="178E0966"/>
    <w:lvl w:ilvl="0" w:tplc="390A7D6C">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3A7730F8"/>
    <w:multiLevelType w:val="hybridMultilevel"/>
    <w:tmpl w:val="BDE487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D83BAF"/>
    <w:multiLevelType w:val="hybridMultilevel"/>
    <w:tmpl w:val="9342DD40"/>
    <w:lvl w:ilvl="0" w:tplc="4DECC438">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69489B"/>
    <w:multiLevelType w:val="hybridMultilevel"/>
    <w:tmpl w:val="6422E57E"/>
    <w:lvl w:ilvl="0" w:tplc="AD88C25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172985"/>
    <w:multiLevelType w:val="hybridMultilevel"/>
    <w:tmpl w:val="65FCD970"/>
    <w:lvl w:ilvl="0" w:tplc="E8FEDF4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EC04C7"/>
    <w:multiLevelType w:val="hybridMultilevel"/>
    <w:tmpl w:val="C52E3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820573"/>
    <w:multiLevelType w:val="hybridMultilevel"/>
    <w:tmpl w:val="3132B3A2"/>
    <w:lvl w:ilvl="0" w:tplc="C142832C">
      <w:start w:val="1"/>
      <w:numFmt w:val="decimal"/>
      <w:pStyle w:val="HeadingTABLE"/>
      <w:lvlText w:val="Table %1."/>
      <w:lvlJc w:val="left"/>
      <w:pPr>
        <w:tabs>
          <w:tab w:val="num" w:pos="1247"/>
        </w:tabs>
        <w:ind w:left="1247"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855CBE"/>
    <w:multiLevelType w:val="hybridMultilevel"/>
    <w:tmpl w:val="8DEE7778"/>
    <w:lvl w:ilvl="0" w:tplc="058C4B00">
      <w:numFmt w:val="bullet"/>
      <w:lvlText w:val="-"/>
      <w:lvlJc w:val="left"/>
      <w:pPr>
        <w:ind w:left="643" w:hanging="360"/>
      </w:pPr>
      <w:rPr>
        <w:rFonts w:ascii="Calibri" w:eastAsia="Times New Roman" w:hAnsi="Calibri" w:cs="Calibri"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1"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7D10CFB"/>
    <w:multiLevelType w:val="hybridMultilevel"/>
    <w:tmpl w:val="338C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227236"/>
    <w:multiLevelType w:val="hybridMultilevel"/>
    <w:tmpl w:val="A6E6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9936A3"/>
    <w:multiLevelType w:val="hybridMultilevel"/>
    <w:tmpl w:val="34CA88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2E2EC8"/>
    <w:multiLevelType w:val="hybridMultilevel"/>
    <w:tmpl w:val="C540D3FE"/>
    <w:lvl w:ilvl="0" w:tplc="5276056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596CE0"/>
    <w:multiLevelType w:val="hybridMultilevel"/>
    <w:tmpl w:val="28665394"/>
    <w:lvl w:ilvl="0" w:tplc="CB16BCE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91716"/>
    <w:multiLevelType w:val="hybridMultilevel"/>
    <w:tmpl w:val="70DAFC76"/>
    <w:lvl w:ilvl="0" w:tplc="C908B35C">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7F745949"/>
    <w:multiLevelType w:val="hybridMultilevel"/>
    <w:tmpl w:val="EF089098"/>
    <w:lvl w:ilvl="0" w:tplc="5276056A">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1813044">
    <w:abstractNumId w:val="14"/>
  </w:num>
  <w:num w:numId="2" w16cid:durableId="1871189198">
    <w:abstractNumId w:val="22"/>
  </w:num>
  <w:num w:numId="3" w16cid:durableId="618923822">
    <w:abstractNumId w:val="10"/>
  </w:num>
  <w:num w:numId="4" w16cid:durableId="1677536720">
    <w:abstractNumId w:val="12"/>
  </w:num>
  <w:num w:numId="5" w16cid:durableId="1601134077">
    <w:abstractNumId w:val="11"/>
  </w:num>
  <w:num w:numId="6" w16cid:durableId="1008754037">
    <w:abstractNumId w:val="3"/>
  </w:num>
  <w:num w:numId="7" w16cid:durableId="2107185229">
    <w:abstractNumId w:val="17"/>
  </w:num>
  <w:num w:numId="8" w16cid:durableId="988829585">
    <w:abstractNumId w:val="25"/>
  </w:num>
  <w:num w:numId="9" w16cid:durableId="561913990">
    <w:abstractNumId w:val="26"/>
  </w:num>
  <w:num w:numId="10" w16cid:durableId="1819804961">
    <w:abstractNumId w:val="18"/>
  </w:num>
  <w:num w:numId="11" w16cid:durableId="1660041357">
    <w:abstractNumId w:val="13"/>
  </w:num>
  <w:num w:numId="12" w16cid:durableId="1821144484">
    <w:abstractNumId w:val="19"/>
  </w:num>
  <w:num w:numId="13" w16cid:durableId="1128666264">
    <w:abstractNumId w:val="15"/>
  </w:num>
  <w:num w:numId="14" w16cid:durableId="585654748">
    <w:abstractNumId w:val="9"/>
  </w:num>
  <w:num w:numId="15" w16cid:durableId="1674411436">
    <w:abstractNumId w:val="8"/>
  </w:num>
  <w:num w:numId="16" w16cid:durableId="1587111512">
    <w:abstractNumId w:val="20"/>
  </w:num>
  <w:num w:numId="17" w16cid:durableId="406080009">
    <w:abstractNumId w:val="28"/>
  </w:num>
  <w:num w:numId="18" w16cid:durableId="1672641317">
    <w:abstractNumId w:val="24"/>
  </w:num>
  <w:num w:numId="19" w16cid:durableId="2826113">
    <w:abstractNumId w:val="29"/>
  </w:num>
  <w:num w:numId="20" w16cid:durableId="972638051">
    <w:abstractNumId w:val="4"/>
  </w:num>
  <w:num w:numId="21" w16cid:durableId="197360763">
    <w:abstractNumId w:val="21"/>
  </w:num>
  <w:num w:numId="22" w16cid:durableId="272398987">
    <w:abstractNumId w:val="2"/>
  </w:num>
  <w:num w:numId="23" w16cid:durableId="1082065217">
    <w:abstractNumId w:val="1"/>
  </w:num>
  <w:num w:numId="24" w16cid:durableId="1198160136">
    <w:abstractNumId w:val="6"/>
  </w:num>
  <w:num w:numId="25" w16cid:durableId="366374500">
    <w:abstractNumId w:val="0"/>
  </w:num>
  <w:num w:numId="26" w16cid:durableId="866990176">
    <w:abstractNumId w:val="23"/>
  </w:num>
  <w:num w:numId="27" w16cid:durableId="1384937867">
    <w:abstractNumId w:val="5"/>
  </w:num>
  <w:num w:numId="28" w16cid:durableId="1864324406">
    <w:abstractNumId w:val="16"/>
  </w:num>
  <w:num w:numId="29" w16cid:durableId="1878157112">
    <w:abstractNumId w:val="16"/>
  </w:num>
  <w:num w:numId="30" w16cid:durableId="368266985">
    <w:abstractNumId w:val="16"/>
  </w:num>
  <w:num w:numId="31" w16cid:durableId="875780103">
    <w:abstractNumId w:val="16"/>
  </w:num>
  <w:num w:numId="32" w16cid:durableId="1939170792">
    <w:abstractNumId w:val="7"/>
  </w:num>
  <w:num w:numId="33" w16cid:durableId="416366386">
    <w:abstractNumId w:val="16"/>
  </w:num>
  <w:num w:numId="34" w16cid:durableId="221984867">
    <w:abstractNumId w:val="8"/>
  </w:num>
  <w:num w:numId="35" w16cid:durableId="196161438">
    <w:abstractNumId w:val="8"/>
  </w:num>
  <w:num w:numId="36" w16cid:durableId="71784190">
    <w:abstractNumId w:val="8"/>
  </w:num>
  <w:num w:numId="37" w16cid:durableId="1634366767">
    <w:abstractNumId w:val="8"/>
  </w:num>
  <w:num w:numId="38" w16cid:durableId="1836142873">
    <w:abstractNumId w:val="8"/>
  </w:num>
  <w:num w:numId="39" w16cid:durableId="1535313695">
    <w:abstractNumId w:val="8"/>
  </w:num>
  <w:num w:numId="40" w16cid:durableId="1758096617">
    <w:abstractNumId w:val="8"/>
  </w:num>
  <w:num w:numId="41" w16cid:durableId="97531768">
    <w:abstractNumId w:val="8"/>
  </w:num>
  <w:num w:numId="42" w16cid:durableId="229459886">
    <w:abstractNumId w:val="30"/>
  </w:num>
  <w:num w:numId="43" w16cid:durableId="1927837216">
    <w:abstractNumId w:val="27"/>
  </w:num>
  <w:num w:numId="44" w16cid:durableId="1676106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95eva9qf5r9ae5pxfv9ssp0fvtpxpdwaee&quot;&gt;Syphilis Report Library&lt;record-ids&gt;&lt;item&gt;1&lt;/item&gt;&lt;item&gt;2&lt;/item&gt;&lt;item&gt;4&lt;/item&gt;&lt;item&gt;5&lt;/item&gt;&lt;item&gt;6&lt;/item&gt;&lt;item&gt;7&lt;/item&gt;&lt;item&gt;8&lt;/item&gt;&lt;item&gt;9&lt;/item&gt;&lt;item&gt;10&lt;/item&gt;&lt;item&gt;11&lt;/item&gt;&lt;item&gt;12&lt;/item&gt;&lt;item&gt;13&lt;/item&gt;&lt;item&gt;14&lt;/item&gt;&lt;item&gt;15&lt;/item&gt;&lt;item&gt;16&lt;/item&gt;&lt;/record-ids&gt;&lt;/item&gt;&lt;/Libraries&gt;"/>
  </w:docVars>
  <w:rsids>
    <w:rsidRoot w:val="009B7AA1"/>
    <w:rsid w:val="00000F03"/>
    <w:rsid w:val="00001F4E"/>
    <w:rsid w:val="00006607"/>
    <w:rsid w:val="0000722B"/>
    <w:rsid w:val="0001143F"/>
    <w:rsid w:val="0001417F"/>
    <w:rsid w:val="00014DDC"/>
    <w:rsid w:val="000209DB"/>
    <w:rsid w:val="00020C82"/>
    <w:rsid w:val="00023CD8"/>
    <w:rsid w:val="000311A5"/>
    <w:rsid w:val="00032C80"/>
    <w:rsid w:val="00033B34"/>
    <w:rsid w:val="000351EB"/>
    <w:rsid w:val="0003648E"/>
    <w:rsid w:val="00041F9C"/>
    <w:rsid w:val="00042AC2"/>
    <w:rsid w:val="000440C0"/>
    <w:rsid w:val="000464BB"/>
    <w:rsid w:val="000521F8"/>
    <w:rsid w:val="0005484D"/>
    <w:rsid w:val="0005524B"/>
    <w:rsid w:val="0005590E"/>
    <w:rsid w:val="000563AD"/>
    <w:rsid w:val="0005643F"/>
    <w:rsid w:val="000574E5"/>
    <w:rsid w:val="00060775"/>
    <w:rsid w:val="000654AE"/>
    <w:rsid w:val="00065E38"/>
    <w:rsid w:val="00066534"/>
    <w:rsid w:val="000701A1"/>
    <w:rsid w:val="000701E7"/>
    <w:rsid w:val="000701F4"/>
    <w:rsid w:val="0007181E"/>
    <w:rsid w:val="00071841"/>
    <w:rsid w:val="00073390"/>
    <w:rsid w:val="000752D5"/>
    <w:rsid w:val="000804EB"/>
    <w:rsid w:val="00080CB9"/>
    <w:rsid w:val="00082803"/>
    <w:rsid w:val="00084D67"/>
    <w:rsid w:val="00085663"/>
    <w:rsid w:val="00085816"/>
    <w:rsid w:val="00094FE2"/>
    <w:rsid w:val="0009635E"/>
    <w:rsid w:val="00097D27"/>
    <w:rsid w:val="000A1EB7"/>
    <w:rsid w:val="000A3014"/>
    <w:rsid w:val="000B1F91"/>
    <w:rsid w:val="000B21B4"/>
    <w:rsid w:val="000B5661"/>
    <w:rsid w:val="000B5D73"/>
    <w:rsid w:val="000C0480"/>
    <w:rsid w:val="000C0E87"/>
    <w:rsid w:val="000C12E7"/>
    <w:rsid w:val="000C13A2"/>
    <w:rsid w:val="000C5179"/>
    <w:rsid w:val="000C7466"/>
    <w:rsid w:val="000C75AA"/>
    <w:rsid w:val="000C77FF"/>
    <w:rsid w:val="000C7806"/>
    <w:rsid w:val="000D328C"/>
    <w:rsid w:val="000D33CB"/>
    <w:rsid w:val="000D55D5"/>
    <w:rsid w:val="000D5D43"/>
    <w:rsid w:val="000D78AF"/>
    <w:rsid w:val="000E1997"/>
    <w:rsid w:val="000E1A68"/>
    <w:rsid w:val="000E1DD4"/>
    <w:rsid w:val="000E1E77"/>
    <w:rsid w:val="000E2541"/>
    <w:rsid w:val="000E56B1"/>
    <w:rsid w:val="000E5B8F"/>
    <w:rsid w:val="000E7E22"/>
    <w:rsid w:val="000F0271"/>
    <w:rsid w:val="000F0541"/>
    <w:rsid w:val="000F1B60"/>
    <w:rsid w:val="00100614"/>
    <w:rsid w:val="00102F29"/>
    <w:rsid w:val="00105936"/>
    <w:rsid w:val="00111000"/>
    <w:rsid w:val="0011260E"/>
    <w:rsid w:val="001130A7"/>
    <w:rsid w:val="001130E4"/>
    <w:rsid w:val="00113AB4"/>
    <w:rsid w:val="001144CF"/>
    <w:rsid w:val="00114DBF"/>
    <w:rsid w:val="0011559F"/>
    <w:rsid w:val="00116619"/>
    <w:rsid w:val="001174B5"/>
    <w:rsid w:val="00120627"/>
    <w:rsid w:val="00121E5A"/>
    <w:rsid w:val="00125A41"/>
    <w:rsid w:val="001264BF"/>
    <w:rsid w:val="00126D4C"/>
    <w:rsid w:val="0013162C"/>
    <w:rsid w:val="001353E4"/>
    <w:rsid w:val="001376B2"/>
    <w:rsid w:val="00141C27"/>
    <w:rsid w:val="00142D64"/>
    <w:rsid w:val="001434B3"/>
    <w:rsid w:val="001451B7"/>
    <w:rsid w:val="0014776C"/>
    <w:rsid w:val="00155EA0"/>
    <w:rsid w:val="0015652F"/>
    <w:rsid w:val="001629AA"/>
    <w:rsid w:val="001644C0"/>
    <w:rsid w:val="00164FCC"/>
    <w:rsid w:val="00165582"/>
    <w:rsid w:val="001663CA"/>
    <w:rsid w:val="00170126"/>
    <w:rsid w:val="00171578"/>
    <w:rsid w:val="00171F79"/>
    <w:rsid w:val="0017241A"/>
    <w:rsid w:val="00173176"/>
    <w:rsid w:val="001736B5"/>
    <w:rsid w:val="00181353"/>
    <w:rsid w:val="00183377"/>
    <w:rsid w:val="00184712"/>
    <w:rsid w:val="00187042"/>
    <w:rsid w:val="00193C02"/>
    <w:rsid w:val="0019530E"/>
    <w:rsid w:val="00195705"/>
    <w:rsid w:val="001959E9"/>
    <w:rsid w:val="0019624E"/>
    <w:rsid w:val="001974EF"/>
    <w:rsid w:val="001A3688"/>
    <w:rsid w:val="001A47EE"/>
    <w:rsid w:val="001A7CD9"/>
    <w:rsid w:val="001B131C"/>
    <w:rsid w:val="001B1BA0"/>
    <w:rsid w:val="001B20D4"/>
    <w:rsid w:val="001B3B5C"/>
    <w:rsid w:val="001B4194"/>
    <w:rsid w:val="001B699C"/>
    <w:rsid w:val="001B6EE9"/>
    <w:rsid w:val="001C3090"/>
    <w:rsid w:val="001C408D"/>
    <w:rsid w:val="001C4EAB"/>
    <w:rsid w:val="001C4F6E"/>
    <w:rsid w:val="001D09EB"/>
    <w:rsid w:val="001D164A"/>
    <w:rsid w:val="001D24DD"/>
    <w:rsid w:val="001D626B"/>
    <w:rsid w:val="001E24CC"/>
    <w:rsid w:val="001E316A"/>
    <w:rsid w:val="001E4165"/>
    <w:rsid w:val="001E45A0"/>
    <w:rsid w:val="001E6E65"/>
    <w:rsid w:val="001E7087"/>
    <w:rsid w:val="001F0DE6"/>
    <w:rsid w:val="001F1484"/>
    <w:rsid w:val="001F2AFF"/>
    <w:rsid w:val="001F37ED"/>
    <w:rsid w:val="001F4AD6"/>
    <w:rsid w:val="002009C0"/>
    <w:rsid w:val="00205D6B"/>
    <w:rsid w:val="00205DEC"/>
    <w:rsid w:val="002069DB"/>
    <w:rsid w:val="00206C3D"/>
    <w:rsid w:val="002163EE"/>
    <w:rsid w:val="0022066C"/>
    <w:rsid w:val="00220D25"/>
    <w:rsid w:val="00221BB6"/>
    <w:rsid w:val="00221D5A"/>
    <w:rsid w:val="00222B9B"/>
    <w:rsid w:val="002235DE"/>
    <w:rsid w:val="0022473D"/>
    <w:rsid w:val="00231B53"/>
    <w:rsid w:val="00232343"/>
    <w:rsid w:val="002329B8"/>
    <w:rsid w:val="00233469"/>
    <w:rsid w:val="00236569"/>
    <w:rsid w:val="0023686C"/>
    <w:rsid w:val="00245ADB"/>
    <w:rsid w:val="00245BA3"/>
    <w:rsid w:val="00247108"/>
    <w:rsid w:val="00247CBA"/>
    <w:rsid w:val="00247E3A"/>
    <w:rsid w:val="00250973"/>
    <w:rsid w:val="002518DE"/>
    <w:rsid w:val="002557BA"/>
    <w:rsid w:val="00255909"/>
    <w:rsid w:val="00260D90"/>
    <w:rsid w:val="002639D7"/>
    <w:rsid w:val="00267654"/>
    <w:rsid w:val="00270821"/>
    <w:rsid w:val="00274AEE"/>
    <w:rsid w:val="00274C3C"/>
    <w:rsid w:val="00275982"/>
    <w:rsid w:val="002759FE"/>
    <w:rsid w:val="00276A25"/>
    <w:rsid w:val="00282C87"/>
    <w:rsid w:val="00285551"/>
    <w:rsid w:val="0028608F"/>
    <w:rsid w:val="00290CCF"/>
    <w:rsid w:val="00297631"/>
    <w:rsid w:val="00297BA1"/>
    <w:rsid w:val="002A4A4F"/>
    <w:rsid w:val="002A5C8F"/>
    <w:rsid w:val="002A5E25"/>
    <w:rsid w:val="002B4811"/>
    <w:rsid w:val="002B4B64"/>
    <w:rsid w:val="002B6884"/>
    <w:rsid w:val="002C48DB"/>
    <w:rsid w:val="002C5CD1"/>
    <w:rsid w:val="002C602F"/>
    <w:rsid w:val="002C6212"/>
    <w:rsid w:val="002C634E"/>
    <w:rsid w:val="002C66EB"/>
    <w:rsid w:val="002D34DB"/>
    <w:rsid w:val="002D3908"/>
    <w:rsid w:val="002E0E33"/>
    <w:rsid w:val="002E0E53"/>
    <w:rsid w:val="002E5AE7"/>
    <w:rsid w:val="002E6926"/>
    <w:rsid w:val="002E6AB1"/>
    <w:rsid w:val="002F3304"/>
    <w:rsid w:val="002F487A"/>
    <w:rsid w:val="002F4BCB"/>
    <w:rsid w:val="002F6127"/>
    <w:rsid w:val="003004C0"/>
    <w:rsid w:val="003009C5"/>
    <w:rsid w:val="003022F7"/>
    <w:rsid w:val="003029A8"/>
    <w:rsid w:val="00305EC2"/>
    <w:rsid w:val="003064DE"/>
    <w:rsid w:val="0030686F"/>
    <w:rsid w:val="003113C8"/>
    <w:rsid w:val="003135CD"/>
    <w:rsid w:val="003140EE"/>
    <w:rsid w:val="00321DB1"/>
    <w:rsid w:val="003242EF"/>
    <w:rsid w:val="003246D2"/>
    <w:rsid w:val="003258E1"/>
    <w:rsid w:val="0032600F"/>
    <w:rsid w:val="00327DFF"/>
    <w:rsid w:val="0033431E"/>
    <w:rsid w:val="003356A0"/>
    <w:rsid w:val="00335A10"/>
    <w:rsid w:val="00335E3E"/>
    <w:rsid w:val="00342ABD"/>
    <w:rsid w:val="00343C52"/>
    <w:rsid w:val="00346C59"/>
    <w:rsid w:val="0034785F"/>
    <w:rsid w:val="00355758"/>
    <w:rsid w:val="00355965"/>
    <w:rsid w:val="00356381"/>
    <w:rsid w:val="00361FC5"/>
    <w:rsid w:val="00362D5B"/>
    <w:rsid w:val="003630EC"/>
    <w:rsid w:val="0036434E"/>
    <w:rsid w:val="003709D8"/>
    <w:rsid w:val="00370B38"/>
    <w:rsid w:val="003739ED"/>
    <w:rsid w:val="00375224"/>
    <w:rsid w:val="003763FA"/>
    <w:rsid w:val="00380182"/>
    <w:rsid w:val="003804BD"/>
    <w:rsid w:val="003805F2"/>
    <w:rsid w:val="00381907"/>
    <w:rsid w:val="003821E8"/>
    <w:rsid w:val="00383020"/>
    <w:rsid w:val="00383626"/>
    <w:rsid w:val="00387742"/>
    <w:rsid w:val="00387A73"/>
    <w:rsid w:val="0039047F"/>
    <w:rsid w:val="00392A4D"/>
    <w:rsid w:val="00394420"/>
    <w:rsid w:val="003A0051"/>
    <w:rsid w:val="003A16B3"/>
    <w:rsid w:val="003A345F"/>
    <w:rsid w:val="003A74DB"/>
    <w:rsid w:val="003B4953"/>
    <w:rsid w:val="003C0698"/>
    <w:rsid w:val="003C6975"/>
    <w:rsid w:val="003D027B"/>
    <w:rsid w:val="003D05D0"/>
    <w:rsid w:val="003D0ABE"/>
    <w:rsid w:val="003D0BD2"/>
    <w:rsid w:val="003D1738"/>
    <w:rsid w:val="003D46DC"/>
    <w:rsid w:val="003D6BC1"/>
    <w:rsid w:val="003E1805"/>
    <w:rsid w:val="003E2698"/>
    <w:rsid w:val="003E49C9"/>
    <w:rsid w:val="003F04D3"/>
    <w:rsid w:val="003F46FD"/>
    <w:rsid w:val="003F4F25"/>
    <w:rsid w:val="003F5923"/>
    <w:rsid w:val="003F5E8C"/>
    <w:rsid w:val="00402E4E"/>
    <w:rsid w:val="00403BA6"/>
    <w:rsid w:val="00404904"/>
    <w:rsid w:val="00406B1C"/>
    <w:rsid w:val="00407ED8"/>
    <w:rsid w:val="00412E82"/>
    <w:rsid w:val="004155CA"/>
    <w:rsid w:val="004165F5"/>
    <w:rsid w:val="004211AE"/>
    <w:rsid w:val="00423BDF"/>
    <w:rsid w:val="00423C74"/>
    <w:rsid w:val="004243CF"/>
    <w:rsid w:val="00424C98"/>
    <w:rsid w:val="00430049"/>
    <w:rsid w:val="00431786"/>
    <w:rsid w:val="0043317B"/>
    <w:rsid w:val="004437D9"/>
    <w:rsid w:val="004505F2"/>
    <w:rsid w:val="004514C2"/>
    <w:rsid w:val="004521BD"/>
    <w:rsid w:val="00453125"/>
    <w:rsid w:val="00454988"/>
    <w:rsid w:val="0045711B"/>
    <w:rsid w:val="00461393"/>
    <w:rsid w:val="00464018"/>
    <w:rsid w:val="00465349"/>
    <w:rsid w:val="004653CC"/>
    <w:rsid w:val="004707FF"/>
    <w:rsid w:val="00473CF8"/>
    <w:rsid w:val="00475325"/>
    <w:rsid w:val="0047616C"/>
    <w:rsid w:val="00477026"/>
    <w:rsid w:val="004776EA"/>
    <w:rsid w:val="0048633C"/>
    <w:rsid w:val="0048718C"/>
    <w:rsid w:val="00487535"/>
    <w:rsid w:val="00492515"/>
    <w:rsid w:val="00494D15"/>
    <w:rsid w:val="004A2868"/>
    <w:rsid w:val="004A2FC7"/>
    <w:rsid w:val="004A5174"/>
    <w:rsid w:val="004A5DCE"/>
    <w:rsid w:val="004A6826"/>
    <w:rsid w:val="004A68A9"/>
    <w:rsid w:val="004B1EF1"/>
    <w:rsid w:val="004B23F5"/>
    <w:rsid w:val="004B339D"/>
    <w:rsid w:val="004B6146"/>
    <w:rsid w:val="004C0206"/>
    <w:rsid w:val="004C2C96"/>
    <w:rsid w:val="004C3B17"/>
    <w:rsid w:val="004C3C31"/>
    <w:rsid w:val="004C7FAB"/>
    <w:rsid w:val="004D045B"/>
    <w:rsid w:val="004D0A12"/>
    <w:rsid w:val="004D1D01"/>
    <w:rsid w:val="004D1DA5"/>
    <w:rsid w:val="004E197F"/>
    <w:rsid w:val="004E3DA8"/>
    <w:rsid w:val="004E5DE4"/>
    <w:rsid w:val="004F0275"/>
    <w:rsid w:val="004F37D2"/>
    <w:rsid w:val="004F3CE6"/>
    <w:rsid w:val="004F6405"/>
    <w:rsid w:val="004F7BCD"/>
    <w:rsid w:val="0050003B"/>
    <w:rsid w:val="00502685"/>
    <w:rsid w:val="005035B6"/>
    <w:rsid w:val="005050CB"/>
    <w:rsid w:val="00506619"/>
    <w:rsid w:val="00506CF9"/>
    <w:rsid w:val="00512087"/>
    <w:rsid w:val="00512894"/>
    <w:rsid w:val="00514298"/>
    <w:rsid w:val="005156B6"/>
    <w:rsid w:val="00517E24"/>
    <w:rsid w:val="00520B71"/>
    <w:rsid w:val="00522170"/>
    <w:rsid w:val="0052703F"/>
    <w:rsid w:val="00527D14"/>
    <w:rsid w:val="00532A7D"/>
    <w:rsid w:val="00532B81"/>
    <w:rsid w:val="00533888"/>
    <w:rsid w:val="00534530"/>
    <w:rsid w:val="00535361"/>
    <w:rsid w:val="0055286C"/>
    <w:rsid w:val="00553830"/>
    <w:rsid w:val="00554215"/>
    <w:rsid w:val="005542E8"/>
    <w:rsid w:val="005548A2"/>
    <w:rsid w:val="005551C0"/>
    <w:rsid w:val="00555F13"/>
    <w:rsid w:val="005625C6"/>
    <w:rsid w:val="005700DC"/>
    <w:rsid w:val="00571D62"/>
    <w:rsid w:val="0057555E"/>
    <w:rsid w:val="005779C0"/>
    <w:rsid w:val="00580ABD"/>
    <w:rsid w:val="00581E67"/>
    <w:rsid w:val="00582A1B"/>
    <w:rsid w:val="00584683"/>
    <w:rsid w:val="00586609"/>
    <w:rsid w:val="00586AA3"/>
    <w:rsid w:val="005920B7"/>
    <w:rsid w:val="00592D06"/>
    <w:rsid w:val="00592F8F"/>
    <w:rsid w:val="00594161"/>
    <w:rsid w:val="0059535E"/>
    <w:rsid w:val="00595C4A"/>
    <w:rsid w:val="005965CA"/>
    <w:rsid w:val="00596D3D"/>
    <w:rsid w:val="005A04AF"/>
    <w:rsid w:val="005A25C7"/>
    <w:rsid w:val="005A2E26"/>
    <w:rsid w:val="005A46E1"/>
    <w:rsid w:val="005A4F5A"/>
    <w:rsid w:val="005B41FF"/>
    <w:rsid w:val="005B6B0A"/>
    <w:rsid w:val="005B74C2"/>
    <w:rsid w:val="005C1EE5"/>
    <w:rsid w:val="005C4F8A"/>
    <w:rsid w:val="005C5DBE"/>
    <w:rsid w:val="005C68E6"/>
    <w:rsid w:val="005D03B5"/>
    <w:rsid w:val="005D4673"/>
    <w:rsid w:val="005D4AB6"/>
    <w:rsid w:val="005D595C"/>
    <w:rsid w:val="005E0649"/>
    <w:rsid w:val="005E14F2"/>
    <w:rsid w:val="005E1835"/>
    <w:rsid w:val="005E2A95"/>
    <w:rsid w:val="005E3530"/>
    <w:rsid w:val="005E5511"/>
    <w:rsid w:val="005E6BBD"/>
    <w:rsid w:val="005F0653"/>
    <w:rsid w:val="005F0659"/>
    <w:rsid w:val="005F174E"/>
    <w:rsid w:val="005F2F12"/>
    <w:rsid w:val="005F34CE"/>
    <w:rsid w:val="005F4634"/>
    <w:rsid w:val="005F5B01"/>
    <w:rsid w:val="005F6222"/>
    <w:rsid w:val="006020BA"/>
    <w:rsid w:val="006024FC"/>
    <w:rsid w:val="0060274F"/>
    <w:rsid w:val="0060282B"/>
    <w:rsid w:val="00603757"/>
    <w:rsid w:val="0060378A"/>
    <w:rsid w:val="006068B0"/>
    <w:rsid w:val="00607735"/>
    <w:rsid w:val="0061019C"/>
    <w:rsid w:val="006104E3"/>
    <w:rsid w:val="006115ED"/>
    <w:rsid w:val="00612021"/>
    <w:rsid w:val="006135A5"/>
    <w:rsid w:val="00616113"/>
    <w:rsid w:val="006220DA"/>
    <w:rsid w:val="006237B4"/>
    <w:rsid w:val="00626054"/>
    <w:rsid w:val="006263FB"/>
    <w:rsid w:val="006329C5"/>
    <w:rsid w:val="0064072A"/>
    <w:rsid w:val="00641254"/>
    <w:rsid w:val="00643108"/>
    <w:rsid w:val="00645FEC"/>
    <w:rsid w:val="006514BD"/>
    <w:rsid w:val="00651B9A"/>
    <w:rsid w:val="006532AD"/>
    <w:rsid w:val="00653325"/>
    <w:rsid w:val="006553BB"/>
    <w:rsid w:val="00657F5C"/>
    <w:rsid w:val="00657FDD"/>
    <w:rsid w:val="0066129E"/>
    <w:rsid w:val="0066141A"/>
    <w:rsid w:val="0066443C"/>
    <w:rsid w:val="006672B6"/>
    <w:rsid w:val="0067087C"/>
    <w:rsid w:val="0067106D"/>
    <w:rsid w:val="0067267A"/>
    <w:rsid w:val="006738DC"/>
    <w:rsid w:val="006741D5"/>
    <w:rsid w:val="0067509D"/>
    <w:rsid w:val="00675611"/>
    <w:rsid w:val="00677FDE"/>
    <w:rsid w:val="00680A6F"/>
    <w:rsid w:val="0068321C"/>
    <w:rsid w:val="00684C01"/>
    <w:rsid w:val="0069052A"/>
    <w:rsid w:val="00692F26"/>
    <w:rsid w:val="006945FC"/>
    <w:rsid w:val="006964E1"/>
    <w:rsid w:val="006A29A9"/>
    <w:rsid w:val="006A4804"/>
    <w:rsid w:val="006A4EB7"/>
    <w:rsid w:val="006B2917"/>
    <w:rsid w:val="006B7720"/>
    <w:rsid w:val="006C3634"/>
    <w:rsid w:val="006C4C29"/>
    <w:rsid w:val="006C4FDE"/>
    <w:rsid w:val="006C7360"/>
    <w:rsid w:val="006D11C2"/>
    <w:rsid w:val="006D1F7A"/>
    <w:rsid w:val="006D2CCE"/>
    <w:rsid w:val="006D4F3C"/>
    <w:rsid w:val="006E514F"/>
    <w:rsid w:val="006F34DF"/>
    <w:rsid w:val="006F63C8"/>
    <w:rsid w:val="00700CE0"/>
    <w:rsid w:val="00701227"/>
    <w:rsid w:val="007055E8"/>
    <w:rsid w:val="00710275"/>
    <w:rsid w:val="0071059F"/>
    <w:rsid w:val="00711180"/>
    <w:rsid w:val="007117D7"/>
    <w:rsid w:val="00714011"/>
    <w:rsid w:val="0071454F"/>
    <w:rsid w:val="00715040"/>
    <w:rsid w:val="00715401"/>
    <w:rsid w:val="007163F2"/>
    <w:rsid w:val="007172FD"/>
    <w:rsid w:val="00717D4A"/>
    <w:rsid w:val="00722CDB"/>
    <w:rsid w:val="0072389B"/>
    <w:rsid w:val="00724369"/>
    <w:rsid w:val="00725965"/>
    <w:rsid w:val="007300F7"/>
    <w:rsid w:val="00737C55"/>
    <w:rsid w:val="00740B24"/>
    <w:rsid w:val="00741F55"/>
    <w:rsid w:val="00745726"/>
    <w:rsid w:val="007477AC"/>
    <w:rsid w:val="007526A5"/>
    <w:rsid w:val="00753253"/>
    <w:rsid w:val="0075331C"/>
    <w:rsid w:val="00753321"/>
    <w:rsid w:val="0075343B"/>
    <w:rsid w:val="00753D4E"/>
    <w:rsid w:val="00754243"/>
    <w:rsid w:val="00757EDF"/>
    <w:rsid w:val="00765AF9"/>
    <w:rsid w:val="00767EC5"/>
    <w:rsid w:val="007766A2"/>
    <w:rsid w:val="00780D17"/>
    <w:rsid w:val="00781D02"/>
    <w:rsid w:val="0078323F"/>
    <w:rsid w:val="0079146E"/>
    <w:rsid w:val="00791D82"/>
    <w:rsid w:val="00793FC9"/>
    <w:rsid w:val="0079591C"/>
    <w:rsid w:val="00795FB7"/>
    <w:rsid w:val="00796871"/>
    <w:rsid w:val="007A29A5"/>
    <w:rsid w:val="007A3F2A"/>
    <w:rsid w:val="007A412A"/>
    <w:rsid w:val="007A5A53"/>
    <w:rsid w:val="007A77F8"/>
    <w:rsid w:val="007A7C8F"/>
    <w:rsid w:val="007B4097"/>
    <w:rsid w:val="007B4BE4"/>
    <w:rsid w:val="007B6485"/>
    <w:rsid w:val="007C0F4A"/>
    <w:rsid w:val="007C1FD9"/>
    <w:rsid w:val="007C7765"/>
    <w:rsid w:val="007D02D4"/>
    <w:rsid w:val="007D0444"/>
    <w:rsid w:val="007D1B9C"/>
    <w:rsid w:val="007D5619"/>
    <w:rsid w:val="007D611E"/>
    <w:rsid w:val="007D6403"/>
    <w:rsid w:val="007E0F77"/>
    <w:rsid w:val="007E2369"/>
    <w:rsid w:val="007E378C"/>
    <w:rsid w:val="007E596F"/>
    <w:rsid w:val="007E69C6"/>
    <w:rsid w:val="007F37CE"/>
    <w:rsid w:val="007F3972"/>
    <w:rsid w:val="007F49B7"/>
    <w:rsid w:val="007F4AF3"/>
    <w:rsid w:val="007F5B84"/>
    <w:rsid w:val="007F72E7"/>
    <w:rsid w:val="007F7B41"/>
    <w:rsid w:val="008004C2"/>
    <w:rsid w:val="00803D48"/>
    <w:rsid w:val="00805B43"/>
    <w:rsid w:val="008100A5"/>
    <w:rsid w:val="00812228"/>
    <w:rsid w:val="008213B7"/>
    <w:rsid w:val="00821A4F"/>
    <w:rsid w:val="008249F2"/>
    <w:rsid w:val="00824E30"/>
    <w:rsid w:val="0083251D"/>
    <w:rsid w:val="0083373E"/>
    <w:rsid w:val="00835BCD"/>
    <w:rsid w:val="00836D30"/>
    <w:rsid w:val="00836E11"/>
    <w:rsid w:val="00837FF6"/>
    <w:rsid w:val="00842DBB"/>
    <w:rsid w:val="008432E6"/>
    <w:rsid w:val="00846AF8"/>
    <w:rsid w:val="008472C2"/>
    <w:rsid w:val="008477C0"/>
    <w:rsid w:val="00852FED"/>
    <w:rsid w:val="0085426C"/>
    <w:rsid w:val="00854630"/>
    <w:rsid w:val="00855085"/>
    <w:rsid w:val="00874698"/>
    <w:rsid w:val="00875155"/>
    <w:rsid w:val="00877728"/>
    <w:rsid w:val="00877CF5"/>
    <w:rsid w:val="0088065A"/>
    <w:rsid w:val="0088365C"/>
    <w:rsid w:val="008862FB"/>
    <w:rsid w:val="008865BD"/>
    <w:rsid w:val="00891BD6"/>
    <w:rsid w:val="00892357"/>
    <w:rsid w:val="008931F5"/>
    <w:rsid w:val="00896694"/>
    <w:rsid w:val="008A1F4E"/>
    <w:rsid w:val="008A25B1"/>
    <w:rsid w:val="008A7229"/>
    <w:rsid w:val="008A7FD4"/>
    <w:rsid w:val="008B138B"/>
    <w:rsid w:val="008B196A"/>
    <w:rsid w:val="008B1F86"/>
    <w:rsid w:val="008B482E"/>
    <w:rsid w:val="008B5747"/>
    <w:rsid w:val="008B5EF3"/>
    <w:rsid w:val="008B71F6"/>
    <w:rsid w:val="008C09E4"/>
    <w:rsid w:val="008C1D2D"/>
    <w:rsid w:val="008C308F"/>
    <w:rsid w:val="008C3DB0"/>
    <w:rsid w:val="008C3F78"/>
    <w:rsid w:val="008C4D27"/>
    <w:rsid w:val="008D073A"/>
    <w:rsid w:val="008D26CE"/>
    <w:rsid w:val="008D61E0"/>
    <w:rsid w:val="008D711B"/>
    <w:rsid w:val="008D7584"/>
    <w:rsid w:val="008E33C0"/>
    <w:rsid w:val="008E35C4"/>
    <w:rsid w:val="008E3DAB"/>
    <w:rsid w:val="008E495B"/>
    <w:rsid w:val="008E5D6D"/>
    <w:rsid w:val="008E64E7"/>
    <w:rsid w:val="008E65E6"/>
    <w:rsid w:val="008E761A"/>
    <w:rsid w:val="008E7C11"/>
    <w:rsid w:val="008F0612"/>
    <w:rsid w:val="008F0E2E"/>
    <w:rsid w:val="008F1EDA"/>
    <w:rsid w:val="008F37CD"/>
    <w:rsid w:val="008F4971"/>
    <w:rsid w:val="008F53B6"/>
    <w:rsid w:val="008F5482"/>
    <w:rsid w:val="008F6272"/>
    <w:rsid w:val="008F6563"/>
    <w:rsid w:val="00901401"/>
    <w:rsid w:val="00902E7B"/>
    <w:rsid w:val="00902F72"/>
    <w:rsid w:val="0090477D"/>
    <w:rsid w:val="00906DC2"/>
    <w:rsid w:val="00911911"/>
    <w:rsid w:val="00914FE8"/>
    <w:rsid w:val="00917946"/>
    <w:rsid w:val="00920400"/>
    <w:rsid w:val="00921403"/>
    <w:rsid w:val="009221B5"/>
    <w:rsid w:val="00922F88"/>
    <w:rsid w:val="009240EE"/>
    <w:rsid w:val="00926BBE"/>
    <w:rsid w:val="00927B8B"/>
    <w:rsid w:val="00935C8A"/>
    <w:rsid w:val="00937E0A"/>
    <w:rsid w:val="0094078C"/>
    <w:rsid w:val="0094155D"/>
    <w:rsid w:val="009424B3"/>
    <w:rsid w:val="0094320F"/>
    <w:rsid w:val="00944944"/>
    <w:rsid w:val="009519BB"/>
    <w:rsid w:val="00954B3B"/>
    <w:rsid w:val="00955135"/>
    <w:rsid w:val="009618FB"/>
    <w:rsid w:val="00962C43"/>
    <w:rsid w:val="00964C88"/>
    <w:rsid w:val="009677A1"/>
    <w:rsid w:val="00967E92"/>
    <w:rsid w:val="009702F2"/>
    <w:rsid w:val="009752F5"/>
    <w:rsid w:val="009763D4"/>
    <w:rsid w:val="00976D1E"/>
    <w:rsid w:val="00977A29"/>
    <w:rsid w:val="0098033E"/>
    <w:rsid w:val="00980F30"/>
    <w:rsid w:val="00982B53"/>
    <w:rsid w:val="00990D59"/>
    <w:rsid w:val="009925CA"/>
    <w:rsid w:val="00992A60"/>
    <w:rsid w:val="00992F6F"/>
    <w:rsid w:val="009A0672"/>
    <w:rsid w:val="009A6A50"/>
    <w:rsid w:val="009B3BF1"/>
    <w:rsid w:val="009B50D0"/>
    <w:rsid w:val="009B7AA1"/>
    <w:rsid w:val="009B7B5A"/>
    <w:rsid w:val="009C033A"/>
    <w:rsid w:val="009C45FF"/>
    <w:rsid w:val="009C5143"/>
    <w:rsid w:val="009C582C"/>
    <w:rsid w:val="009C7811"/>
    <w:rsid w:val="009D025B"/>
    <w:rsid w:val="009D1990"/>
    <w:rsid w:val="009D2175"/>
    <w:rsid w:val="009E06CD"/>
    <w:rsid w:val="009E09CF"/>
    <w:rsid w:val="009E2A9F"/>
    <w:rsid w:val="009E4591"/>
    <w:rsid w:val="009E5803"/>
    <w:rsid w:val="009E7F2F"/>
    <w:rsid w:val="009F0AB8"/>
    <w:rsid w:val="009F24BF"/>
    <w:rsid w:val="009F2739"/>
    <w:rsid w:val="009F5489"/>
    <w:rsid w:val="009F5CC6"/>
    <w:rsid w:val="009F5F3D"/>
    <w:rsid w:val="00A023FE"/>
    <w:rsid w:val="00A035CF"/>
    <w:rsid w:val="00A03C71"/>
    <w:rsid w:val="00A0537B"/>
    <w:rsid w:val="00A072CC"/>
    <w:rsid w:val="00A10426"/>
    <w:rsid w:val="00A11395"/>
    <w:rsid w:val="00A126D8"/>
    <w:rsid w:val="00A15369"/>
    <w:rsid w:val="00A16878"/>
    <w:rsid w:val="00A25884"/>
    <w:rsid w:val="00A2615E"/>
    <w:rsid w:val="00A26492"/>
    <w:rsid w:val="00A2693B"/>
    <w:rsid w:val="00A31B7D"/>
    <w:rsid w:val="00A32490"/>
    <w:rsid w:val="00A44885"/>
    <w:rsid w:val="00A508F3"/>
    <w:rsid w:val="00A51813"/>
    <w:rsid w:val="00A51C81"/>
    <w:rsid w:val="00A53F29"/>
    <w:rsid w:val="00A558F5"/>
    <w:rsid w:val="00A56834"/>
    <w:rsid w:val="00A6092B"/>
    <w:rsid w:val="00A6159E"/>
    <w:rsid w:val="00A65E50"/>
    <w:rsid w:val="00A667A4"/>
    <w:rsid w:val="00A73FB5"/>
    <w:rsid w:val="00A744B0"/>
    <w:rsid w:val="00A75813"/>
    <w:rsid w:val="00A77114"/>
    <w:rsid w:val="00A81A9E"/>
    <w:rsid w:val="00A81BA3"/>
    <w:rsid w:val="00A8294F"/>
    <w:rsid w:val="00A83448"/>
    <w:rsid w:val="00A83BAD"/>
    <w:rsid w:val="00A83F62"/>
    <w:rsid w:val="00A8520F"/>
    <w:rsid w:val="00A86DBC"/>
    <w:rsid w:val="00A9048C"/>
    <w:rsid w:val="00A91C81"/>
    <w:rsid w:val="00A926BE"/>
    <w:rsid w:val="00A9326C"/>
    <w:rsid w:val="00A935A2"/>
    <w:rsid w:val="00A970C7"/>
    <w:rsid w:val="00AA1EEA"/>
    <w:rsid w:val="00AA78E8"/>
    <w:rsid w:val="00AB0B33"/>
    <w:rsid w:val="00AB0FCA"/>
    <w:rsid w:val="00AB1145"/>
    <w:rsid w:val="00AB1146"/>
    <w:rsid w:val="00AB1D43"/>
    <w:rsid w:val="00AB2690"/>
    <w:rsid w:val="00AB2947"/>
    <w:rsid w:val="00AB57A7"/>
    <w:rsid w:val="00AC103E"/>
    <w:rsid w:val="00AC3433"/>
    <w:rsid w:val="00AD0A18"/>
    <w:rsid w:val="00AD192D"/>
    <w:rsid w:val="00AD4542"/>
    <w:rsid w:val="00AD7FD7"/>
    <w:rsid w:val="00AE0AE0"/>
    <w:rsid w:val="00AE326D"/>
    <w:rsid w:val="00AF0E59"/>
    <w:rsid w:val="00AF2DFC"/>
    <w:rsid w:val="00AF4088"/>
    <w:rsid w:val="00AF446E"/>
    <w:rsid w:val="00AF51D0"/>
    <w:rsid w:val="00AF6472"/>
    <w:rsid w:val="00B0246D"/>
    <w:rsid w:val="00B02726"/>
    <w:rsid w:val="00B04215"/>
    <w:rsid w:val="00B06D80"/>
    <w:rsid w:val="00B07C1A"/>
    <w:rsid w:val="00B1021B"/>
    <w:rsid w:val="00B11CC0"/>
    <w:rsid w:val="00B1577B"/>
    <w:rsid w:val="00B21955"/>
    <w:rsid w:val="00B21AD1"/>
    <w:rsid w:val="00B23DE6"/>
    <w:rsid w:val="00B240C6"/>
    <w:rsid w:val="00B259E0"/>
    <w:rsid w:val="00B279AF"/>
    <w:rsid w:val="00B34B05"/>
    <w:rsid w:val="00B3660E"/>
    <w:rsid w:val="00B3695E"/>
    <w:rsid w:val="00B376E7"/>
    <w:rsid w:val="00B479D6"/>
    <w:rsid w:val="00B521F8"/>
    <w:rsid w:val="00B54163"/>
    <w:rsid w:val="00B54CCA"/>
    <w:rsid w:val="00B54DC1"/>
    <w:rsid w:val="00B54EFD"/>
    <w:rsid w:val="00B62D9A"/>
    <w:rsid w:val="00B7156E"/>
    <w:rsid w:val="00B75EC0"/>
    <w:rsid w:val="00B7608A"/>
    <w:rsid w:val="00B77915"/>
    <w:rsid w:val="00B818BB"/>
    <w:rsid w:val="00B8383F"/>
    <w:rsid w:val="00B83C58"/>
    <w:rsid w:val="00B84934"/>
    <w:rsid w:val="00B84989"/>
    <w:rsid w:val="00B90A7A"/>
    <w:rsid w:val="00B9212F"/>
    <w:rsid w:val="00B96289"/>
    <w:rsid w:val="00BA4449"/>
    <w:rsid w:val="00BA5E3C"/>
    <w:rsid w:val="00BB0093"/>
    <w:rsid w:val="00BB0AD1"/>
    <w:rsid w:val="00BB29E3"/>
    <w:rsid w:val="00BC0120"/>
    <w:rsid w:val="00BC019F"/>
    <w:rsid w:val="00BC289C"/>
    <w:rsid w:val="00BC4EF1"/>
    <w:rsid w:val="00BC5195"/>
    <w:rsid w:val="00BC6FC8"/>
    <w:rsid w:val="00BD1946"/>
    <w:rsid w:val="00BD4147"/>
    <w:rsid w:val="00BD5CEA"/>
    <w:rsid w:val="00BD640A"/>
    <w:rsid w:val="00BD6912"/>
    <w:rsid w:val="00BE06DF"/>
    <w:rsid w:val="00BE12DA"/>
    <w:rsid w:val="00BE2C52"/>
    <w:rsid w:val="00BE37E5"/>
    <w:rsid w:val="00BF16A2"/>
    <w:rsid w:val="00BF1812"/>
    <w:rsid w:val="00BF1A21"/>
    <w:rsid w:val="00BF6FCB"/>
    <w:rsid w:val="00C0211F"/>
    <w:rsid w:val="00C073A1"/>
    <w:rsid w:val="00C11745"/>
    <w:rsid w:val="00C12005"/>
    <w:rsid w:val="00C14BF9"/>
    <w:rsid w:val="00C15F9A"/>
    <w:rsid w:val="00C20DB4"/>
    <w:rsid w:val="00C23DF6"/>
    <w:rsid w:val="00C26588"/>
    <w:rsid w:val="00C27815"/>
    <w:rsid w:val="00C31009"/>
    <w:rsid w:val="00C31EBD"/>
    <w:rsid w:val="00C34898"/>
    <w:rsid w:val="00C3527C"/>
    <w:rsid w:val="00C46D71"/>
    <w:rsid w:val="00C52BF8"/>
    <w:rsid w:val="00C52D0F"/>
    <w:rsid w:val="00C5757E"/>
    <w:rsid w:val="00C6092E"/>
    <w:rsid w:val="00C61E0C"/>
    <w:rsid w:val="00C6288C"/>
    <w:rsid w:val="00C659C2"/>
    <w:rsid w:val="00C66FE9"/>
    <w:rsid w:val="00C67DEA"/>
    <w:rsid w:val="00C72F09"/>
    <w:rsid w:val="00C735FA"/>
    <w:rsid w:val="00C777BF"/>
    <w:rsid w:val="00C77B8E"/>
    <w:rsid w:val="00C81D4A"/>
    <w:rsid w:val="00C84C25"/>
    <w:rsid w:val="00C92173"/>
    <w:rsid w:val="00C926C7"/>
    <w:rsid w:val="00C93271"/>
    <w:rsid w:val="00C953BD"/>
    <w:rsid w:val="00C96016"/>
    <w:rsid w:val="00CA11E3"/>
    <w:rsid w:val="00CA13B8"/>
    <w:rsid w:val="00CA2191"/>
    <w:rsid w:val="00CA4304"/>
    <w:rsid w:val="00CA43BC"/>
    <w:rsid w:val="00CA628A"/>
    <w:rsid w:val="00CA764F"/>
    <w:rsid w:val="00CB06B8"/>
    <w:rsid w:val="00CB1437"/>
    <w:rsid w:val="00CB3423"/>
    <w:rsid w:val="00CB3D35"/>
    <w:rsid w:val="00CB61AF"/>
    <w:rsid w:val="00CB785F"/>
    <w:rsid w:val="00CC1D93"/>
    <w:rsid w:val="00CC4731"/>
    <w:rsid w:val="00CC476D"/>
    <w:rsid w:val="00CC533D"/>
    <w:rsid w:val="00CC7C93"/>
    <w:rsid w:val="00CC7CD9"/>
    <w:rsid w:val="00CD0411"/>
    <w:rsid w:val="00CD49E5"/>
    <w:rsid w:val="00CD659F"/>
    <w:rsid w:val="00CD704F"/>
    <w:rsid w:val="00CD737E"/>
    <w:rsid w:val="00CD7568"/>
    <w:rsid w:val="00CD7F37"/>
    <w:rsid w:val="00CE1B85"/>
    <w:rsid w:val="00CE3FDF"/>
    <w:rsid w:val="00CE68FB"/>
    <w:rsid w:val="00CF03EF"/>
    <w:rsid w:val="00CF51AB"/>
    <w:rsid w:val="00CF6B41"/>
    <w:rsid w:val="00CF7242"/>
    <w:rsid w:val="00CF7FD7"/>
    <w:rsid w:val="00D021C4"/>
    <w:rsid w:val="00D06038"/>
    <w:rsid w:val="00D13418"/>
    <w:rsid w:val="00D13E3A"/>
    <w:rsid w:val="00D14EE1"/>
    <w:rsid w:val="00D15E74"/>
    <w:rsid w:val="00D17317"/>
    <w:rsid w:val="00D231D1"/>
    <w:rsid w:val="00D24C2C"/>
    <w:rsid w:val="00D24D2E"/>
    <w:rsid w:val="00D26BA0"/>
    <w:rsid w:val="00D307A8"/>
    <w:rsid w:val="00D321BE"/>
    <w:rsid w:val="00D3457F"/>
    <w:rsid w:val="00D34A93"/>
    <w:rsid w:val="00D356FF"/>
    <w:rsid w:val="00D40D2D"/>
    <w:rsid w:val="00D416FB"/>
    <w:rsid w:val="00D41C42"/>
    <w:rsid w:val="00D41E87"/>
    <w:rsid w:val="00D457A3"/>
    <w:rsid w:val="00D45C7F"/>
    <w:rsid w:val="00D46C20"/>
    <w:rsid w:val="00D47255"/>
    <w:rsid w:val="00D52DF0"/>
    <w:rsid w:val="00D533D3"/>
    <w:rsid w:val="00D53FC6"/>
    <w:rsid w:val="00D54B18"/>
    <w:rsid w:val="00D60C16"/>
    <w:rsid w:val="00D666DF"/>
    <w:rsid w:val="00D67372"/>
    <w:rsid w:val="00D67CA7"/>
    <w:rsid w:val="00D71CFC"/>
    <w:rsid w:val="00D72C6C"/>
    <w:rsid w:val="00D80156"/>
    <w:rsid w:val="00D819A6"/>
    <w:rsid w:val="00D87CA3"/>
    <w:rsid w:val="00D9042C"/>
    <w:rsid w:val="00D920C7"/>
    <w:rsid w:val="00D942B1"/>
    <w:rsid w:val="00D97624"/>
    <w:rsid w:val="00D97BF9"/>
    <w:rsid w:val="00DA075C"/>
    <w:rsid w:val="00DA40D8"/>
    <w:rsid w:val="00DA4AB5"/>
    <w:rsid w:val="00DA5A9B"/>
    <w:rsid w:val="00DA6712"/>
    <w:rsid w:val="00DA6845"/>
    <w:rsid w:val="00DA6C76"/>
    <w:rsid w:val="00DA6C7F"/>
    <w:rsid w:val="00DB006C"/>
    <w:rsid w:val="00DB03F6"/>
    <w:rsid w:val="00DB0917"/>
    <w:rsid w:val="00DB1A4D"/>
    <w:rsid w:val="00DB2E94"/>
    <w:rsid w:val="00DB5601"/>
    <w:rsid w:val="00DC156C"/>
    <w:rsid w:val="00DC23C5"/>
    <w:rsid w:val="00DC3272"/>
    <w:rsid w:val="00DC3F94"/>
    <w:rsid w:val="00DC4173"/>
    <w:rsid w:val="00DC5337"/>
    <w:rsid w:val="00DC6370"/>
    <w:rsid w:val="00DD2F47"/>
    <w:rsid w:val="00DD588F"/>
    <w:rsid w:val="00DD6849"/>
    <w:rsid w:val="00DD7044"/>
    <w:rsid w:val="00DE19BA"/>
    <w:rsid w:val="00DE2EAE"/>
    <w:rsid w:val="00DE3F33"/>
    <w:rsid w:val="00DE4DAC"/>
    <w:rsid w:val="00DE4E05"/>
    <w:rsid w:val="00DE53A3"/>
    <w:rsid w:val="00DE5663"/>
    <w:rsid w:val="00DE5C3B"/>
    <w:rsid w:val="00DE69D6"/>
    <w:rsid w:val="00DE7606"/>
    <w:rsid w:val="00DF3CFE"/>
    <w:rsid w:val="00E01237"/>
    <w:rsid w:val="00E03A96"/>
    <w:rsid w:val="00E04715"/>
    <w:rsid w:val="00E04C4C"/>
    <w:rsid w:val="00E078B5"/>
    <w:rsid w:val="00E12F1E"/>
    <w:rsid w:val="00E16034"/>
    <w:rsid w:val="00E16088"/>
    <w:rsid w:val="00E20861"/>
    <w:rsid w:val="00E20A3A"/>
    <w:rsid w:val="00E20C91"/>
    <w:rsid w:val="00E218A7"/>
    <w:rsid w:val="00E221FB"/>
    <w:rsid w:val="00E22813"/>
    <w:rsid w:val="00E23B7A"/>
    <w:rsid w:val="00E2445D"/>
    <w:rsid w:val="00E24A72"/>
    <w:rsid w:val="00E2744B"/>
    <w:rsid w:val="00E274FA"/>
    <w:rsid w:val="00E33B5C"/>
    <w:rsid w:val="00E3603A"/>
    <w:rsid w:val="00E430EC"/>
    <w:rsid w:val="00E44152"/>
    <w:rsid w:val="00E44C05"/>
    <w:rsid w:val="00E4571C"/>
    <w:rsid w:val="00E4667E"/>
    <w:rsid w:val="00E5118F"/>
    <w:rsid w:val="00E52898"/>
    <w:rsid w:val="00E52ED0"/>
    <w:rsid w:val="00E53550"/>
    <w:rsid w:val="00E54072"/>
    <w:rsid w:val="00E57CE1"/>
    <w:rsid w:val="00E6004F"/>
    <w:rsid w:val="00E60302"/>
    <w:rsid w:val="00E605D6"/>
    <w:rsid w:val="00E61E52"/>
    <w:rsid w:val="00E62893"/>
    <w:rsid w:val="00E646D2"/>
    <w:rsid w:val="00E66781"/>
    <w:rsid w:val="00E67B22"/>
    <w:rsid w:val="00E71022"/>
    <w:rsid w:val="00E74EF4"/>
    <w:rsid w:val="00E76024"/>
    <w:rsid w:val="00E77291"/>
    <w:rsid w:val="00E80BC8"/>
    <w:rsid w:val="00E81D03"/>
    <w:rsid w:val="00E83BA7"/>
    <w:rsid w:val="00E851F8"/>
    <w:rsid w:val="00E906E7"/>
    <w:rsid w:val="00E908C7"/>
    <w:rsid w:val="00E90B41"/>
    <w:rsid w:val="00EA009E"/>
    <w:rsid w:val="00EA28CB"/>
    <w:rsid w:val="00EA34CF"/>
    <w:rsid w:val="00EA3E60"/>
    <w:rsid w:val="00EA5AB6"/>
    <w:rsid w:val="00EA5EEB"/>
    <w:rsid w:val="00EA7C71"/>
    <w:rsid w:val="00EB1B31"/>
    <w:rsid w:val="00EB2C23"/>
    <w:rsid w:val="00EB5B35"/>
    <w:rsid w:val="00EB5F65"/>
    <w:rsid w:val="00EB6CE7"/>
    <w:rsid w:val="00EB74A8"/>
    <w:rsid w:val="00EB7DA9"/>
    <w:rsid w:val="00EC0CF6"/>
    <w:rsid w:val="00EC207F"/>
    <w:rsid w:val="00EC5D02"/>
    <w:rsid w:val="00EC60C0"/>
    <w:rsid w:val="00ED053F"/>
    <w:rsid w:val="00ED09B5"/>
    <w:rsid w:val="00ED126C"/>
    <w:rsid w:val="00ED1614"/>
    <w:rsid w:val="00ED1B4A"/>
    <w:rsid w:val="00ED7E9A"/>
    <w:rsid w:val="00EE037E"/>
    <w:rsid w:val="00EE404D"/>
    <w:rsid w:val="00EF5105"/>
    <w:rsid w:val="00EF6E61"/>
    <w:rsid w:val="00F00652"/>
    <w:rsid w:val="00F04511"/>
    <w:rsid w:val="00F048DD"/>
    <w:rsid w:val="00F233AC"/>
    <w:rsid w:val="00F310DC"/>
    <w:rsid w:val="00F32533"/>
    <w:rsid w:val="00F337B6"/>
    <w:rsid w:val="00F34B39"/>
    <w:rsid w:val="00F34CCB"/>
    <w:rsid w:val="00F352BB"/>
    <w:rsid w:val="00F40769"/>
    <w:rsid w:val="00F41F01"/>
    <w:rsid w:val="00F427C8"/>
    <w:rsid w:val="00F51C90"/>
    <w:rsid w:val="00F56DB3"/>
    <w:rsid w:val="00F57193"/>
    <w:rsid w:val="00F61525"/>
    <w:rsid w:val="00F616A1"/>
    <w:rsid w:val="00F632BF"/>
    <w:rsid w:val="00F6426F"/>
    <w:rsid w:val="00F652E9"/>
    <w:rsid w:val="00F67230"/>
    <w:rsid w:val="00F70AE3"/>
    <w:rsid w:val="00F71357"/>
    <w:rsid w:val="00F71436"/>
    <w:rsid w:val="00F733C7"/>
    <w:rsid w:val="00F73DEA"/>
    <w:rsid w:val="00F76C9A"/>
    <w:rsid w:val="00F77CA3"/>
    <w:rsid w:val="00F82B90"/>
    <w:rsid w:val="00F840D7"/>
    <w:rsid w:val="00F86A29"/>
    <w:rsid w:val="00F94A65"/>
    <w:rsid w:val="00F950FD"/>
    <w:rsid w:val="00F963F5"/>
    <w:rsid w:val="00FA4688"/>
    <w:rsid w:val="00FA54D5"/>
    <w:rsid w:val="00FA5C8F"/>
    <w:rsid w:val="00FB2F5A"/>
    <w:rsid w:val="00FB4C15"/>
    <w:rsid w:val="00FB4D2D"/>
    <w:rsid w:val="00FC05BB"/>
    <w:rsid w:val="00FC0E47"/>
    <w:rsid w:val="00FC24E7"/>
    <w:rsid w:val="00FC25C0"/>
    <w:rsid w:val="00FC6068"/>
    <w:rsid w:val="00FC6B65"/>
    <w:rsid w:val="00FC7248"/>
    <w:rsid w:val="00FD35B3"/>
    <w:rsid w:val="00FD36B6"/>
    <w:rsid w:val="00FD46F4"/>
    <w:rsid w:val="00FE28EB"/>
    <w:rsid w:val="00FE4629"/>
    <w:rsid w:val="00FF0DA4"/>
    <w:rsid w:val="00FF1282"/>
    <w:rsid w:val="00FF2AA1"/>
    <w:rsid w:val="00FF60EE"/>
    <w:rsid w:val="00FF6BD4"/>
    <w:rsid w:val="1A3349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62E4E"/>
  <w15:chartTrackingRefBased/>
  <w15:docId w15:val="{5C226F00-45B4-4ED3-8B26-8674D867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180"/>
    <w:pPr>
      <w:spacing w:before="120" w:after="120" w:line="276" w:lineRule="auto"/>
    </w:pPr>
    <w:rPr>
      <w:rFonts w:ascii="Arial" w:hAnsi="Arial"/>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nhideWhenUsed/>
    <w:qFormat/>
    <w:rsid w:val="00CB3D35"/>
    <w:pPr>
      <w:keepNext/>
      <w:keepLines/>
      <w:outlineLvl w:val="3"/>
    </w:pPr>
    <w:rPr>
      <w:rFonts w:eastAsia="Times New Roman" w:cstheme="majorBidi"/>
      <w:i/>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qFormat/>
    <w:rsid w:val="00BD640A"/>
    <w:pPr>
      <w:spacing w:before="200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rsid w:val="00CB3D35"/>
    <w:rPr>
      <w:rFonts w:ascii="Arial" w:eastAsia="Times New Roman" w:hAnsi="Arial" w:cstheme="majorBidi"/>
      <w:i/>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40A"/>
    <w:rPr>
      <w:rFonts w:ascii="Arial" w:hAnsi="Arial"/>
    </w:rPr>
  </w:style>
  <w:style w:type="paragraph" w:styleId="ListParagraph">
    <w:name w:val="List Paragraph"/>
    <w:aliases w:val="List bullets,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BE12DA"/>
    <w:pPr>
      <w:numPr>
        <w:numId w:val="31"/>
      </w:numPr>
      <w:contextualSpacing/>
    </w:pPr>
  </w:style>
  <w:style w:type="character" w:styleId="PageNumber">
    <w:name w:val="page number"/>
    <w:basedOn w:val="DefaultParagraphFont"/>
    <w:uiPriority w:val="99"/>
    <w:semiHidden/>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paragraph" w:customStyle="1" w:styleId="Copyrightversotext">
    <w:name w:val="Copyright_verso text"/>
    <w:qFormat/>
    <w:rsid w:val="00C14BF9"/>
    <w:pPr>
      <w:spacing w:before="120" w:after="120" w:line="276" w:lineRule="auto"/>
    </w:pPr>
    <w:rPr>
      <w:rFonts w:ascii="Arial" w:eastAsia="Times New Roman" w:hAnsi="Arial" w:cs="Arial"/>
      <w:color w:val="000000"/>
      <w:kern w:val="0"/>
      <w:sz w:val="18"/>
      <w:szCs w:val="18"/>
      <w:lang w:eastAsia="en-GB"/>
      <w14:ligatures w14:val="none"/>
    </w:rPr>
  </w:style>
  <w:style w:type="table" w:styleId="TableGrid">
    <w:name w:val="Table Grid"/>
    <w:basedOn w:val="TableNormal"/>
    <w:uiPriority w:val="39"/>
    <w:rsid w:val="00AD7FD7"/>
    <w:pPr>
      <w:spacing w:before="40" w:after="40"/>
    </w:pPr>
    <w:rPr>
      <w:rFonts w:eastAsia="Times New Roman" w:cs="Times New Roman"/>
      <w:kern w:val="0"/>
      <w:sz w:val="20"/>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character" w:customStyle="1" w:styleId="ListParagraphChar">
    <w:name w:val="List Paragraph Char"/>
    <w:aliases w:val="List bullets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E12DA"/>
    <w:rPr>
      <w:rFonts w:ascii="Arial" w:hAnsi="Arial"/>
    </w:rPr>
  </w:style>
  <w:style w:type="paragraph" w:customStyle="1" w:styleId="HeadingTABLE">
    <w:name w:val="Heading TABLE"/>
    <w:basedOn w:val="Normal"/>
    <w:qFormat/>
    <w:rsid w:val="00BF1A21"/>
    <w:pPr>
      <w:numPr>
        <w:numId w:val="12"/>
      </w:numPr>
      <w:spacing w:before="240"/>
    </w:pPr>
    <w:rPr>
      <w:b/>
      <w:bCs/>
      <w:color w:val="033636" w:themeColor="text2"/>
    </w:rPr>
  </w:style>
  <w:style w:type="paragraph" w:customStyle="1" w:styleId="HeadingFigure">
    <w:name w:val="Heading Figure"/>
    <w:basedOn w:val="Normal"/>
    <w:qFormat/>
    <w:rsid w:val="006135A5"/>
    <w:pPr>
      <w:numPr>
        <w:numId w:val="13"/>
      </w:numPr>
      <w:spacing w:before="240"/>
    </w:pPr>
    <w:rPr>
      <w:b/>
      <w:noProof/>
      <w:color w:val="033636" w:themeColor="text2"/>
    </w:rPr>
  </w:style>
  <w:style w:type="numbering" w:customStyle="1" w:styleId="CurrentList1">
    <w:name w:val="Current List1"/>
    <w:uiPriority w:val="99"/>
    <w:rsid w:val="009752F5"/>
    <w:pPr>
      <w:numPr>
        <w:numId w:val="14"/>
      </w:numPr>
    </w:pPr>
  </w:style>
  <w:style w:type="paragraph" w:customStyle="1" w:styleId="BoxBulletEmerald">
    <w:name w:val="Box Bullet Emerald"/>
    <w:basedOn w:val="ListParagraph"/>
    <w:qFormat/>
    <w:rsid w:val="006135A5"/>
    <w:pPr>
      <w:numPr>
        <w:numId w:val="15"/>
      </w:num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textEmerald">
    <w:name w:val="Box text Emerald"/>
    <w:basedOn w:val="Normal"/>
    <w:link w:val="BoxtextEmeraldChar"/>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link w:val="BoxTextGreenChar"/>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AD4542"/>
    <w:pPr>
      <w:pBdr>
        <w:bottom w:val="single" w:sz="12" w:space="1" w:color="00DCA1" w:themeColor="background2"/>
      </w:pBdr>
      <w:spacing w:before="480" w:after="0"/>
      <w:outlineLvl w:val="9"/>
    </w:pPr>
    <w:rPr>
      <w:rFonts w:asciiTheme="majorHAnsi" w:hAnsiTheme="majorHAnsi" w:cstheme="majorBidi"/>
      <w:kern w:val="0"/>
      <w:sz w:val="36"/>
      <w:szCs w:val="28"/>
      <w:lang w:val="en-US"/>
      <w14:ligatures w14:val="none"/>
    </w:rPr>
  </w:style>
  <w:style w:type="paragraph" w:styleId="TOC1">
    <w:name w:val="toc 1"/>
    <w:basedOn w:val="Normal"/>
    <w:next w:val="Normal"/>
    <w:autoRedefine/>
    <w:uiPriority w:val="39"/>
    <w:unhideWhenUsed/>
    <w:rsid w:val="00F40769"/>
    <w:pPr>
      <w:spacing w:after="0"/>
    </w:pPr>
    <w:rPr>
      <w:rFonts w:asciiTheme="minorHAnsi" w:hAnsiTheme="minorHAnsi" w:cstheme="minorHAnsi"/>
      <w:b/>
      <w:bCs/>
      <w:iCs/>
    </w:rPr>
  </w:style>
  <w:style w:type="paragraph" w:styleId="TOC2">
    <w:name w:val="toc 2"/>
    <w:basedOn w:val="Normal"/>
    <w:next w:val="Normal"/>
    <w:autoRedefine/>
    <w:uiPriority w:val="39"/>
    <w:unhideWhenUsed/>
    <w:rsid w:val="00F40769"/>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40769"/>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rPr>
      <w:color w:val="FFFFFF" w:themeColor="background1"/>
    </w:rPr>
  </w:style>
  <w:style w:type="paragraph" w:customStyle="1" w:styleId="Bullet">
    <w:name w:val="Bullet"/>
    <w:basedOn w:val="Normal"/>
    <w:qFormat/>
    <w:rsid w:val="00AD7FD7"/>
    <w:pPr>
      <w:numPr>
        <w:numId w:val="17"/>
      </w:numPr>
      <w:contextualSpacing/>
    </w:pPr>
    <w:rPr>
      <w:rFonts w:eastAsia="Times New Roman" w:cs="Times New Roman"/>
      <w:kern w:val="0"/>
      <w:sz w:val="20"/>
      <w:szCs w:val="20"/>
      <w:lang w:eastAsia="en-AU"/>
      <w14:ligatures w14:val="none"/>
    </w:rPr>
  </w:style>
  <w:style w:type="paragraph" w:customStyle="1" w:styleId="CDCBullet">
    <w:name w:val="CDC_Bullet"/>
    <w:basedOn w:val="Normal"/>
    <w:rsid w:val="00AD7FD7"/>
    <w:pPr>
      <w:contextualSpacing/>
    </w:pPr>
    <w:rPr>
      <w:rFonts w:eastAsia="Times New Roman" w:cs="Times New Roman"/>
      <w:kern w:val="0"/>
      <w:sz w:val="20"/>
      <w:szCs w:val="20"/>
      <w:lang w:eastAsia="en-AU"/>
      <w14:ligatures w14:val="none"/>
    </w:rPr>
  </w:style>
  <w:style w:type="paragraph" w:customStyle="1" w:styleId="Tabletext-Indented">
    <w:name w:val="Table text-Indented"/>
    <w:basedOn w:val="Normal"/>
    <w:qFormat/>
    <w:rsid w:val="002E0E53"/>
    <w:pPr>
      <w:spacing w:before="0" w:after="0"/>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7D5619"/>
    <w:pPr>
      <w:spacing w:before="60" w:after="60"/>
    </w:pPr>
    <w:rPr>
      <w:rFonts w:ascii="Arial" w:eastAsia="Times New Roman" w:hAnsi="Arial" w:cs="Times New Roman"/>
      <w:color w:val="000000" w:themeColor="text1"/>
      <w:kern w:val="0"/>
      <w:sz w:val="20"/>
      <w:szCs w:val="20"/>
      <w:lang w:eastAsia="en-AU"/>
      <w14:ligatures w14:val="none"/>
    </w:rPr>
  </w:style>
  <w:style w:type="paragraph" w:customStyle="1" w:styleId="Tablelistbullet">
    <w:name w:val="Table list bullet"/>
    <w:basedOn w:val="Tabletextleft"/>
    <w:qFormat/>
    <w:rsid w:val="001C3090"/>
    <w:pPr>
      <w:numPr>
        <w:numId w:val="18"/>
      </w:numPr>
    </w:p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1C3090"/>
    <w:pPr>
      <w:ind w:left="644" w:hanging="360"/>
      <w:contextualSpacing/>
    </w:pPr>
  </w:style>
  <w:style w:type="numbering" w:customStyle="1" w:styleId="CurrentList2">
    <w:name w:val="Current List2"/>
    <w:uiPriority w:val="99"/>
    <w:rsid w:val="001C3090"/>
    <w:pPr>
      <w:numPr>
        <w:numId w:val="21"/>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ListNumber">
    <w:name w:val="List Number"/>
    <w:basedOn w:val="Normal"/>
    <w:rsid w:val="0094078C"/>
    <w:pPr>
      <w:numPr>
        <w:numId w:val="23"/>
      </w:numPr>
      <w:tabs>
        <w:tab w:val="clear" w:pos="360"/>
      </w:tabs>
      <w:contextualSpacing/>
    </w:pPr>
    <w:rPr>
      <w:rFonts w:eastAsia="Times New Roman" w:cs="Times New Roman"/>
      <w:color w:val="000000" w:themeColor="text1"/>
      <w:kern w:val="0"/>
      <w:sz w:val="22"/>
      <w14:ligatures w14:val="none"/>
    </w:rPr>
  </w:style>
  <w:style w:type="paragraph" w:customStyle="1" w:styleId="downarrowgreen">
    <w:name w:val="downarrow (green)"/>
    <w:basedOn w:val="Normal"/>
    <w:link w:val="downarrowgreenChar"/>
    <w:qFormat/>
    <w:rsid w:val="009B7AA1"/>
    <w:pPr>
      <w:keepNext/>
      <w:spacing w:before="40" w:after="40" w:line="240" w:lineRule="auto"/>
      <w:jc w:val="center"/>
    </w:pPr>
    <w:rPr>
      <w:rFonts w:eastAsiaTheme="majorEastAsia" w:cs="Arial"/>
      <w:color w:val="388600"/>
      <w:kern w:val="28"/>
      <w:sz w:val="20"/>
      <w:szCs w:val="22"/>
      <w:lang w:val="en-US"/>
      <w14:ligatures w14:val="none"/>
    </w:rPr>
  </w:style>
  <w:style w:type="character" w:customStyle="1" w:styleId="downarrowgreenChar">
    <w:name w:val="downarrow (green) Char"/>
    <w:basedOn w:val="DefaultParagraphFont"/>
    <w:link w:val="downarrowgreen"/>
    <w:rsid w:val="009B7AA1"/>
    <w:rPr>
      <w:rFonts w:ascii="Arial" w:eastAsiaTheme="majorEastAsia" w:hAnsi="Arial" w:cs="Arial"/>
      <w:color w:val="388600"/>
      <w:kern w:val="28"/>
      <w:sz w:val="20"/>
      <w:szCs w:val="22"/>
      <w:lang w:val="en-US"/>
      <w14:ligatures w14:val="none"/>
    </w:rPr>
  </w:style>
  <w:style w:type="paragraph" w:customStyle="1" w:styleId="rightarroworange">
    <w:name w:val="rightarrow (orange)"/>
    <w:basedOn w:val="Normal"/>
    <w:link w:val="rightarroworangeChar"/>
    <w:qFormat/>
    <w:rsid w:val="009B7AA1"/>
    <w:pPr>
      <w:keepNext/>
      <w:spacing w:before="40" w:after="40" w:line="240" w:lineRule="auto"/>
      <w:jc w:val="center"/>
    </w:pPr>
    <w:rPr>
      <w:rFonts w:eastAsiaTheme="majorEastAsia" w:cs="Arial"/>
      <w:color w:val="A66500"/>
      <w:kern w:val="28"/>
      <w:sz w:val="20"/>
      <w:szCs w:val="22"/>
      <w:lang w:val="en-US"/>
      <w14:ligatures w14:val="none"/>
    </w:rPr>
  </w:style>
  <w:style w:type="character" w:customStyle="1" w:styleId="rightarroworangeChar">
    <w:name w:val="rightarrow (orange) Char"/>
    <w:basedOn w:val="DefaultParagraphFont"/>
    <w:link w:val="rightarroworange"/>
    <w:rsid w:val="009B7AA1"/>
    <w:rPr>
      <w:rFonts w:ascii="Arial" w:eastAsiaTheme="majorEastAsia" w:hAnsi="Arial" w:cs="Arial"/>
      <w:color w:val="A66500"/>
      <w:kern w:val="28"/>
      <w:sz w:val="20"/>
      <w:szCs w:val="22"/>
      <w:lang w:val="en-US"/>
      <w14:ligatures w14:val="none"/>
    </w:rPr>
  </w:style>
  <w:style w:type="paragraph" w:customStyle="1" w:styleId="uparrowred">
    <w:name w:val="uparrow (red)"/>
    <w:basedOn w:val="Normal"/>
    <w:link w:val="uparrowredChar"/>
    <w:qFormat/>
    <w:rsid w:val="009B7AA1"/>
    <w:pPr>
      <w:keepNext/>
      <w:spacing w:before="40" w:after="40" w:line="240" w:lineRule="auto"/>
      <w:jc w:val="center"/>
    </w:pPr>
    <w:rPr>
      <w:rFonts w:eastAsiaTheme="majorEastAsia" w:cs="Arial"/>
      <w:color w:val="ED0000"/>
      <w:kern w:val="28"/>
      <w:sz w:val="20"/>
      <w:szCs w:val="22"/>
      <w:lang w:val="en-US"/>
      <w14:ligatures w14:val="none"/>
    </w:rPr>
  </w:style>
  <w:style w:type="character" w:customStyle="1" w:styleId="uparrowredChar">
    <w:name w:val="uparrow (red) Char"/>
    <w:basedOn w:val="DefaultParagraphFont"/>
    <w:link w:val="uparrowred"/>
    <w:rsid w:val="009B7AA1"/>
    <w:rPr>
      <w:rFonts w:ascii="Arial" w:eastAsiaTheme="majorEastAsia" w:hAnsi="Arial" w:cs="Arial"/>
      <w:color w:val="ED0000"/>
      <w:kern w:val="28"/>
      <w:sz w:val="20"/>
      <w:szCs w:val="22"/>
      <w:lang w:val="en-US"/>
      <w14:ligatures w14:val="none"/>
    </w:rPr>
  </w:style>
  <w:style w:type="character" w:styleId="FootnoteReference">
    <w:name w:val="footnote reference"/>
    <w:basedOn w:val="DefaultParagraphFont"/>
    <w:semiHidden/>
    <w:unhideWhenUsed/>
    <w:rsid w:val="00A11395"/>
    <w:rPr>
      <w:vertAlign w:val="superscript"/>
    </w:rPr>
  </w:style>
  <w:style w:type="paragraph" w:styleId="CommentSubject">
    <w:name w:val="annotation subject"/>
    <w:basedOn w:val="CommentText"/>
    <w:next w:val="CommentText"/>
    <w:link w:val="CommentSubjectChar"/>
    <w:uiPriority w:val="99"/>
    <w:semiHidden/>
    <w:unhideWhenUsed/>
    <w:rsid w:val="002069DB"/>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2069DB"/>
    <w:rPr>
      <w:rFonts w:ascii="Arial" w:hAnsi="Arial" w:cs="Times New Roman"/>
      <w:b/>
      <w:bCs/>
      <w:kern w:val="0"/>
      <w:sz w:val="20"/>
      <w:szCs w:val="20"/>
      <w14:ligatures w14:val="none"/>
    </w:rPr>
  </w:style>
  <w:style w:type="paragraph" w:customStyle="1" w:styleId="Boxheading">
    <w:name w:val="Box heading"/>
    <w:basedOn w:val="Normal"/>
    <w:qFormat/>
    <w:rsid w:val="004F7BCD"/>
    <w:pPr>
      <w:pBdr>
        <w:top w:val="single" w:sz="6" w:space="20" w:color="auto"/>
        <w:left w:val="single" w:sz="6" w:space="10" w:color="auto"/>
        <w:bottom w:val="single" w:sz="6" w:space="10" w:color="auto"/>
        <w:right w:val="single" w:sz="6" w:space="10" w:color="auto"/>
      </w:pBdr>
      <w:shd w:val="clear" w:color="auto" w:fill="D9FFF4"/>
      <w:spacing w:before="240" w:after="60"/>
      <w:ind w:left="227" w:right="227"/>
    </w:pPr>
    <w:rPr>
      <w:rFonts w:eastAsia="Times New Roman" w:cs="Times New Roman"/>
      <w:b/>
      <w:bCs/>
      <w:color w:val="808080" w:themeColor="background1" w:themeShade="80"/>
      <w:kern w:val="0"/>
      <w:sz w:val="22"/>
      <w:szCs w:val="20"/>
      <w:lang w:val="en"/>
      <w14:ligatures w14:val="none"/>
    </w:rPr>
  </w:style>
  <w:style w:type="paragraph" w:customStyle="1" w:styleId="Boxtypelistbullet">
    <w:name w:val="Box type (list bullet)"/>
    <w:basedOn w:val="Normal"/>
    <w:link w:val="BoxtypelistbulletChar"/>
    <w:qFormat/>
    <w:rsid w:val="004F7BCD"/>
    <w:pPr>
      <w:numPr>
        <w:numId w:val="24"/>
      </w:numPr>
      <w:pBdr>
        <w:top w:val="single" w:sz="6" w:space="20" w:color="auto"/>
        <w:left w:val="single" w:sz="6" w:space="10" w:color="auto"/>
        <w:bottom w:val="single" w:sz="6" w:space="10" w:color="auto"/>
        <w:right w:val="single" w:sz="6" w:space="10" w:color="auto"/>
      </w:pBdr>
      <w:shd w:val="clear" w:color="auto" w:fill="D9FFF4"/>
      <w:spacing w:before="0" w:after="60"/>
      <w:ind w:right="227"/>
    </w:pPr>
    <w:rPr>
      <w:rFonts w:eastAsia="Times New Roman" w:cs="Arial"/>
      <w:color w:val="000000" w:themeColor="text1"/>
      <w:kern w:val="0"/>
      <w:sz w:val="22"/>
      <w:lang w:val="en"/>
      <w14:ligatures w14:val="none"/>
    </w:rPr>
  </w:style>
  <w:style w:type="character" w:customStyle="1" w:styleId="BoxtypelistbulletChar">
    <w:name w:val="Box type (list bullet) Char"/>
    <w:basedOn w:val="DefaultParagraphFont"/>
    <w:link w:val="Boxtypelistbullet"/>
    <w:rsid w:val="004F7BCD"/>
    <w:rPr>
      <w:rFonts w:ascii="Arial" w:eastAsia="Times New Roman" w:hAnsi="Arial" w:cs="Arial"/>
      <w:color w:val="000000" w:themeColor="text1"/>
      <w:kern w:val="0"/>
      <w:sz w:val="22"/>
      <w:shd w:val="clear" w:color="auto" w:fill="D9FFF4"/>
      <w:lang w:val="en"/>
      <w14:ligatures w14:val="none"/>
    </w:rPr>
  </w:style>
  <w:style w:type="paragraph" w:customStyle="1" w:styleId="EndNoteBibliography">
    <w:name w:val="EndNote Bibliography"/>
    <w:basedOn w:val="Normal"/>
    <w:link w:val="EndNoteBibliographyChar"/>
    <w:rsid w:val="00753321"/>
    <w:pPr>
      <w:spacing w:line="240" w:lineRule="auto"/>
    </w:pPr>
    <w:rPr>
      <w:rFonts w:eastAsia="Times New Roman" w:cs="Arial"/>
      <w:noProof/>
      <w:color w:val="000000" w:themeColor="text1"/>
      <w:kern w:val="0"/>
      <w:sz w:val="22"/>
      <w:lang w:val="en-US"/>
      <w14:ligatures w14:val="none"/>
    </w:rPr>
  </w:style>
  <w:style w:type="character" w:customStyle="1" w:styleId="EndNoteBibliographyChar">
    <w:name w:val="EndNote Bibliography Char"/>
    <w:basedOn w:val="DefaultParagraphFont"/>
    <w:link w:val="EndNoteBibliography"/>
    <w:rsid w:val="00753321"/>
    <w:rPr>
      <w:rFonts w:ascii="Arial" w:eastAsia="Times New Roman" w:hAnsi="Arial" w:cs="Arial"/>
      <w:noProof/>
      <w:color w:val="000000" w:themeColor="text1"/>
      <w:kern w:val="0"/>
      <w:sz w:val="22"/>
      <w:lang w:val="en-US"/>
      <w14:ligatures w14:val="none"/>
    </w:rPr>
  </w:style>
  <w:style w:type="paragraph" w:styleId="FootnoteText">
    <w:name w:val="footnote text"/>
    <w:link w:val="FootnoteTextChar"/>
    <w:rsid w:val="0094320F"/>
    <w:rPr>
      <w:rFonts w:ascii="Arial" w:eastAsia="Times New Roman" w:hAnsi="Arial" w:cs="Times New Roman"/>
      <w:color w:val="000000" w:themeColor="text1"/>
      <w:kern w:val="0"/>
      <w:sz w:val="20"/>
      <w:szCs w:val="20"/>
      <w14:ligatures w14:val="none"/>
    </w:rPr>
  </w:style>
  <w:style w:type="character" w:customStyle="1" w:styleId="FootnoteTextChar">
    <w:name w:val="Footnote Text Char"/>
    <w:basedOn w:val="DefaultParagraphFont"/>
    <w:link w:val="FootnoteText"/>
    <w:rsid w:val="0094320F"/>
    <w:rPr>
      <w:rFonts w:ascii="Arial" w:eastAsia="Times New Roman" w:hAnsi="Arial" w:cs="Times New Roman"/>
      <w:color w:val="000000" w:themeColor="text1"/>
      <w:kern w:val="0"/>
      <w:sz w:val="20"/>
      <w:szCs w:val="20"/>
      <w14:ligatures w14:val="none"/>
    </w:rPr>
  </w:style>
  <w:style w:type="paragraph" w:styleId="Caption">
    <w:name w:val="caption"/>
    <w:basedOn w:val="Normal"/>
    <w:next w:val="Normal"/>
    <w:autoRedefine/>
    <w:unhideWhenUsed/>
    <w:qFormat/>
    <w:rsid w:val="0094320F"/>
    <w:pPr>
      <w:keepNext/>
    </w:pPr>
    <w:rPr>
      <w:rFonts w:eastAsiaTheme="majorEastAsia" w:cs="Times New Roman"/>
      <w:b/>
      <w:bCs/>
      <w:color w:val="000000" w:themeColor="text1"/>
      <w:kern w:val="0"/>
      <w:sz w:val="22"/>
      <w:szCs w:val="18"/>
      <w14:ligatures w14:val="none"/>
    </w:rPr>
  </w:style>
  <w:style w:type="table" w:styleId="PlainTable1">
    <w:name w:val="Plain Table 1"/>
    <w:basedOn w:val="TableNormal"/>
    <w:uiPriority w:val="41"/>
    <w:rsid w:val="008F53B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Heading4"/>
    <w:qFormat/>
    <w:rsid w:val="00737C55"/>
    <w:pPr>
      <w:keepLines w:val="0"/>
      <w:spacing w:before="240" w:after="60" w:line="240" w:lineRule="auto"/>
    </w:pPr>
    <w:rPr>
      <w:rFonts w:cs="Times New Roman"/>
      <w:b/>
      <w:bCs/>
      <w:i w:val="0"/>
      <w:iCs/>
      <w:color w:val="000000" w:themeColor="text1"/>
      <w:kern w:val="0"/>
      <w:szCs w:val="28"/>
      <w14:ligatures w14:val="none"/>
    </w:rPr>
  </w:style>
  <w:style w:type="paragraph" w:customStyle="1" w:styleId="Figurenote">
    <w:name w:val="Figure note"/>
    <w:basedOn w:val="Normal"/>
    <w:qFormat/>
    <w:rsid w:val="00AA1EEA"/>
    <w:rPr>
      <w:sz w:val="18"/>
      <w:szCs w:val="18"/>
    </w:rPr>
  </w:style>
  <w:style w:type="paragraph" w:customStyle="1" w:styleId="Tabletextleftaligned">
    <w:name w:val="Table text left aligned"/>
    <w:basedOn w:val="Normal"/>
    <w:qFormat/>
    <w:rsid w:val="00060775"/>
    <w:pPr>
      <w:spacing w:before="60" w:after="60" w:line="240" w:lineRule="auto"/>
    </w:pPr>
    <w:rPr>
      <w:rFonts w:eastAsia="Times New Roman" w:cs="Times New Roman"/>
      <w:kern w:val="0"/>
      <w:sz w:val="20"/>
      <w:szCs w:val="20"/>
    </w:rPr>
  </w:style>
  <w:style w:type="paragraph" w:customStyle="1" w:styleId="Tableheadingcentred">
    <w:name w:val="Table heading centred"/>
    <w:basedOn w:val="Normal"/>
    <w:qFormat/>
    <w:rsid w:val="00B521F8"/>
    <w:pPr>
      <w:spacing w:before="60" w:after="60" w:line="240" w:lineRule="auto"/>
      <w:jc w:val="center"/>
    </w:pPr>
    <w:rPr>
      <w:rFonts w:eastAsia="Times New Roman" w:cs="Times New Roman"/>
      <w:b/>
      <w:bCs/>
      <w:kern w:val="0"/>
      <w:sz w:val="20"/>
      <w:szCs w:val="20"/>
    </w:rPr>
  </w:style>
  <w:style w:type="paragraph" w:customStyle="1" w:styleId="Tabletextboldrightaligned">
    <w:name w:val="Table text bold right aligned"/>
    <w:basedOn w:val="Normal"/>
    <w:qFormat/>
    <w:rsid w:val="00B521F8"/>
    <w:pPr>
      <w:spacing w:before="60" w:after="60" w:line="240" w:lineRule="auto"/>
      <w:jc w:val="right"/>
    </w:pPr>
    <w:rPr>
      <w:rFonts w:eastAsia="Times New Roman" w:cs="Times New Roman"/>
      <w:b/>
      <w:bCs/>
      <w:kern w:val="0"/>
      <w:sz w:val="20"/>
      <w:szCs w:val="20"/>
    </w:rPr>
  </w:style>
  <w:style w:type="paragraph" w:customStyle="1" w:styleId="Tableheadrowboldleftaligned">
    <w:name w:val="Table head row bold left aligned"/>
    <w:basedOn w:val="Normal"/>
    <w:qFormat/>
    <w:rsid w:val="00891BD6"/>
    <w:pPr>
      <w:spacing w:before="60" w:after="60" w:line="240" w:lineRule="auto"/>
    </w:pPr>
    <w:rPr>
      <w:rFonts w:eastAsia="Times New Roman" w:cs="Times New Roman"/>
      <w:b/>
      <w:bCs/>
      <w:kern w:val="0"/>
      <w:sz w:val="20"/>
      <w:szCs w:val="20"/>
    </w:rPr>
  </w:style>
  <w:style w:type="paragraph" w:customStyle="1" w:styleId="Tabletextindented">
    <w:name w:val="Table text indented"/>
    <w:basedOn w:val="Normal"/>
    <w:qFormat/>
    <w:rsid w:val="00891BD6"/>
    <w:pPr>
      <w:spacing w:before="60" w:after="60" w:line="240" w:lineRule="auto"/>
      <w:ind w:left="224"/>
    </w:pPr>
    <w:rPr>
      <w:rFonts w:eastAsia="Times New Roman" w:cs="Times New Roman"/>
      <w:kern w:val="0"/>
      <w:sz w:val="20"/>
      <w:szCs w:val="20"/>
    </w:rPr>
  </w:style>
  <w:style w:type="paragraph" w:customStyle="1" w:styleId="Tabletextrightaligned">
    <w:name w:val="Table text right aligned"/>
    <w:basedOn w:val="Normal"/>
    <w:qFormat/>
    <w:rsid w:val="004A2FC7"/>
    <w:pPr>
      <w:spacing w:before="60" w:after="60" w:line="240" w:lineRule="auto"/>
      <w:jc w:val="right"/>
    </w:pPr>
    <w:rPr>
      <w:rFonts w:eastAsia="Times New Roman" w:cs="Times New Roman"/>
      <w:kern w:val="0"/>
      <w:sz w:val="20"/>
      <w:szCs w:val="20"/>
    </w:rPr>
  </w:style>
  <w:style w:type="character" w:customStyle="1" w:styleId="Notetext">
    <w:name w:val="Note text"/>
    <w:basedOn w:val="DefaultParagraphFont"/>
    <w:qFormat/>
    <w:rsid w:val="0011260E"/>
    <w:rPr>
      <w:sz w:val="18"/>
    </w:rPr>
  </w:style>
  <w:style w:type="paragraph" w:customStyle="1" w:styleId="Boxtypelistbullet2">
    <w:name w:val="Box type (list bullet 2)"/>
    <w:basedOn w:val="Normal"/>
    <w:link w:val="Boxtypelistbullet2Char"/>
    <w:qFormat/>
    <w:rsid w:val="00AF4088"/>
    <w:pPr>
      <w:pBdr>
        <w:top w:val="single" w:sz="6" w:space="20" w:color="auto"/>
        <w:left w:val="single" w:sz="6" w:space="10" w:color="auto"/>
        <w:bottom w:val="single" w:sz="6" w:space="10" w:color="auto"/>
        <w:right w:val="single" w:sz="6" w:space="10" w:color="auto"/>
      </w:pBdr>
      <w:shd w:val="clear" w:color="auto" w:fill="D9FFF4"/>
      <w:spacing w:before="0" w:after="60"/>
      <w:ind w:left="227" w:right="227" w:firstLine="360"/>
    </w:pPr>
    <w:rPr>
      <w:rFonts w:eastAsiaTheme="majorEastAsia" w:cs="Arial"/>
      <w:color w:val="000000" w:themeColor="text1"/>
      <w:kern w:val="0"/>
      <w:sz w:val="22"/>
      <w:lang w:val="en"/>
      <w14:ligatures w14:val="none"/>
    </w:rPr>
  </w:style>
  <w:style w:type="character" w:customStyle="1" w:styleId="Boxtypelistbullet2Char">
    <w:name w:val="Box type (list bullet 2) Char"/>
    <w:basedOn w:val="DefaultParagraphFont"/>
    <w:link w:val="Boxtypelistbullet2"/>
    <w:rsid w:val="00AF4088"/>
    <w:rPr>
      <w:rFonts w:ascii="Arial" w:eastAsiaTheme="majorEastAsia" w:hAnsi="Arial" w:cs="Arial"/>
      <w:color w:val="000000" w:themeColor="text1"/>
      <w:kern w:val="0"/>
      <w:sz w:val="22"/>
      <w:shd w:val="clear" w:color="auto" w:fill="D9FFF4"/>
      <w:lang w:val="en"/>
      <w14:ligatures w14:val="none"/>
    </w:rPr>
  </w:style>
  <w:style w:type="paragraph" w:customStyle="1" w:styleId="Boxemerald">
    <w:name w:val="Box emerald"/>
    <w:basedOn w:val="Normal"/>
    <w:qFormat/>
    <w:rsid w:val="00B21AD1"/>
    <w:pPr>
      <w:keepNext/>
      <w:pBdr>
        <w:top w:val="single" w:sz="8" w:space="1" w:color="033636" w:themeColor="text2"/>
        <w:left w:val="single" w:sz="8" w:space="4" w:color="033636" w:themeColor="text2"/>
        <w:bottom w:val="single" w:sz="8" w:space="1" w:color="033636" w:themeColor="text2"/>
        <w:right w:val="single" w:sz="8" w:space="4" w:color="033636" w:themeColor="text2"/>
      </w:pBdr>
    </w:pPr>
    <w:rPr>
      <w:rFonts w:eastAsia="Times New Roman" w:cs="Times New Roman"/>
      <w:szCs w:val="20"/>
    </w:rPr>
  </w:style>
  <w:style w:type="paragraph" w:styleId="ListBullet">
    <w:name w:val="List Bullet"/>
    <w:basedOn w:val="Normal"/>
    <w:qFormat/>
    <w:rsid w:val="00ED1614"/>
    <w:pPr>
      <w:numPr>
        <w:numId w:val="32"/>
      </w:numPr>
      <w:tabs>
        <w:tab w:val="left" w:pos="340"/>
        <w:tab w:val="left" w:pos="680"/>
      </w:tabs>
      <w:spacing w:before="60" w:after="60"/>
      <w:ind w:left="0" w:firstLine="0"/>
    </w:pPr>
    <w:rPr>
      <w:rFonts w:eastAsia="Times New Roman" w:cs="Times New Roman"/>
      <w:color w:val="000000" w:themeColor="text1"/>
      <w:kern w:val="0"/>
      <w:sz w:val="22"/>
      <w14:ligatures w14:val="none"/>
    </w:rPr>
  </w:style>
  <w:style w:type="character" w:customStyle="1" w:styleId="cf01">
    <w:name w:val="cf01"/>
    <w:basedOn w:val="DefaultParagraphFont"/>
    <w:rsid w:val="000574E5"/>
    <w:rPr>
      <w:rFonts w:ascii="Segoe UI" w:hAnsi="Segoe UI" w:cs="Segoe UI" w:hint="default"/>
      <w:sz w:val="18"/>
      <w:szCs w:val="18"/>
    </w:rPr>
  </w:style>
  <w:style w:type="character" w:customStyle="1" w:styleId="cf11">
    <w:name w:val="cf11"/>
    <w:basedOn w:val="DefaultParagraphFont"/>
    <w:rsid w:val="000574E5"/>
    <w:rPr>
      <w:rFonts w:ascii="Segoe UI" w:hAnsi="Segoe UI" w:cs="Segoe UI" w:hint="default"/>
      <w:sz w:val="18"/>
      <w:szCs w:val="18"/>
      <w:shd w:val="clear" w:color="auto" w:fill="FFFF00"/>
    </w:rPr>
  </w:style>
  <w:style w:type="paragraph" w:customStyle="1" w:styleId="EndNoteBibliographyTitle">
    <w:name w:val="EndNote Bibliography Title"/>
    <w:basedOn w:val="Normal"/>
    <w:link w:val="EndNoteBibliographyTitleChar"/>
    <w:rsid w:val="00CE3FDF"/>
    <w:pPr>
      <w:spacing w:after="0"/>
      <w:jc w:val="center"/>
    </w:pPr>
    <w:rPr>
      <w:rFonts w:cs="Arial"/>
      <w:noProof/>
      <w:sz w:val="22"/>
      <w:lang w:val="en-US"/>
    </w:rPr>
  </w:style>
  <w:style w:type="character" w:customStyle="1" w:styleId="EndNoteBibliographyTitleChar">
    <w:name w:val="EndNote Bibliography Title Char"/>
    <w:basedOn w:val="DefaultParagraphFont"/>
    <w:link w:val="EndNoteBibliographyTitle"/>
    <w:rsid w:val="00CE3FDF"/>
    <w:rPr>
      <w:rFonts w:ascii="Arial" w:hAnsi="Arial" w:cs="Arial"/>
      <w:noProof/>
      <w:sz w:val="22"/>
      <w:lang w:val="en-US"/>
    </w:rPr>
  </w:style>
  <w:style w:type="character" w:styleId="FollowedHyperlink">
    <w:name w:val="FollowedHyperlink"/>
    <w:basedOn w:val="DefaultParagraphFont"/>
    <w:uiPriority w:val="99"/>
    <w:semiHidden/>
    <w:unhideWhenUsed/>
    <w:rsid w:val="00F632BF"/>
    <w:rPr>
      <w:color w:val="6D6D70" w:themeColor="followedHyperlink"/>
      <w:u w:val="single"/>
    </w:rPr>
  </w:style>
  <w:style w:type="paragraph" w:customStyle="1" w:styleId="Style2">
    <w:name w:val="Style2"/>
    <w:basedOn w:val="Normal"/>
    <w:link w:val="Style2Char"/>
    <w:qFormat/>
    <w:rsid w:val="00D53FC6"/>
    <w:rPr>
      <w:b/>
      <w:color w:val="006E50" w:themeColor="background2" w:themeShade="80"/>
    </w:rPr>
  </w:style>
  <w:style w:type="character" w:customStyle="1" w:styleId="Style2Char">
    <w:name w:val="Style2 Char"/>
    <w:basedOn w:val="DefaultParagraphFont"/>
    <w:link w:val="Style2"/>
    <w:rsid w:val="00D53FC6"/>
    <w:rPr>
      <w:rFonts w:ascii="Arial" w:hAnsi="Arial"/>
      <w:b/>
      <w:color w:val="006E50" w:themeColor="background2" w:themeShade="80"/>
    </w:rPr>
  </w:style>
  <w:style w:type="paragraph" w:customStyle="1" w:styleId="Style3">
    <w:name w:val="Style3"/>
    <w:basedOn w:val="BoxTextGreen"/>
    <w:link w:val="Style3Char"/>
    <w:qFormat/>
    <w:rsid w:val="006B2917"/>
    <w:rPr>
      <w:i/>
      <w:color w:val="006E50" w:themeColor="background2" w:themeShade="80"/>
    </w:rPr>
  </w:style>
  <w:style w:type="character" w:customStyle="1" w:styleId="BoxtextEmeraldChar">
    <w:name w:val="Box text Emerald Char"/>
    <w:basedOn w:val="DefaultParagraphFont"/>
    <w:link w:val="BoxtextEmerald"/>
    <w:rsid w:val="006B2917"/>
    <w:rPr>
      <w:rFonts w:ascii="Arial" w:hAnsi="Arial"/>
    </w:rPr>
  </w:style>
  <w:style w:type="character" w:customStyle="1" w:styleId="BoxTextGreenChar">
    <w:name w:val="Box Text Green Char"/>
    <w:basedOn w:val="BoxtextEmeraldChar"/>
    <w:link w:val="BoxTextGreen"/>
    <w:rsid w:val="006B2917"/>
    <w:rPr>
      <w:rFonts w:ascii="Arial" w:hAnsi="Arial"/>
    </w:rPr>
  </w:style>
  <w:style w:type="character" w:customStyle="1" w:styleId="Style3Char">
    <w:name w:val="Style3 Char"/>
    <w:basedOn w:val="BoxTextGreenChar"/>
    <w:link w:val="Style3"/>
    <w:rsid w:val="006B2917"/>
    <w:rPr>
      <w:rFonts w:ascii="Arial" w:hAnsi="Arial"/>
      <w:i/>
      <w:color w:val="006E50" w:themeColor="background2" w:themeShade="80"/>
    </w:rPr>
  </w:style>
  <w:style w:type="paragraph" w:styleId="Revision">
    <w:name w:val="Revision"/>
    <w:hidden/>
    <w:uiPriority w:val="99"/>
    <w:semiHidden/>
    <w:rsid w:val="007C1FD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dc.gov.au/resources/publications/national-syphilis-surveillance-and-monitoring-plan-2025"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health.gov.au/resources/publications/syphilis-cdna-national-guidelines-for-public-health-units?language=en" TargetMode="External"/><Relationship Id="rId50" Type="http://schemas.openxmlformats.org/officeDocument/2006/relationships/hyperlink" Target="https://www.sahealth.sa.gov.au/wps/wcm/connect/4f3188804eedeac1b604b76a7ac0d6e4/Syphilis+in+pregnancy+and+the+neonate+PPG+v_5_0_.pdf?MOD=AJPERES&amp;CACHEID=ROOTWORKSPACE-4f3188804eedeac1b604b76a7ac0d6e4-ph8fmcZ" TargetMode="External"/><Relationship Id="rId55" Type="http://schemas.openxmlformats.org/officeDocument/2006/relationships/image" Target="media/image25.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DCComms@cdc.gov.au"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health.nt.gov.au/__data/assets/pdf_file/0009/1592199/health-alert-syphilis-update-11.02.2026.pdf" TargetMode="External"/><Relationship Id="rId53" Type="http://schemas.openxmlformats.org/officeDocument/2006/relationships/hyperlink" Target="https://digitallibrary.health.nt.gov.au/nthealthserver/api/core/bitstreams/77f72074-3e47-4697-9b80-63b3f5fd5630/content" TargetMode="External"/><Relationship Id="rId5" Type="http://schemas.openxmlformats.org/officeDocument/2006/relationships/numbering" Target="numbering.xml"/><Relationship Id="rId19" Type="http://schemas.openxmlformats.org/officeDocument/2006/relationships/hyperlink" Target="https://www.cdc.gov.au/resources/publications/national-syphilis-surveillance-and-monitoring-plan-202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health.gov.au/casedefinitions" TargetMode="External"/><Relationship Id="rId48" Type="http://schemas.openxmlformats.org/officeDocument/2006/relationships/hyperlink" Target="https://www.health.qld.gov.au/__data/assets/pdf_file/0035/736883/g-sip.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afercare.vic.gov.au/best-practice-improvement/clinical-guidance/maternity/syphilis-testing-during-pregnanc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dc.gov.au/resources/publications/national-syphilis-response-plan-2023-2030" TargetMode="Externa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hyperlink" Target="https://www.abs.gov.au/statistics/standards/australian-statistical-geography-standard-asgs-edition-3/jul2021-jun2026/indigenous-structure" TargetMode="External"/><Relationship Id="rId20" Type="http://schemas.openxmlformats.org/officeDocument/2006/relationships/header" Target="header3.xml"/><Relationship Id="rId41" Type="http://schemas.openxmlformats.org/officeDocument/2006/relationships/image" Target="media/image23.png"/><Relationship Id="rId54" Type="http://schemas.openxmlformats.org/officeDocument/2006/relationships/hyperlink" Target="https://www.act.gov.au/__data/assets/pdf_file/0009/2629926/Mpox-and-syphilis-clinician-aler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kemh.health.wa.gov.au/~/media/HSPs/NMHS/Hospitals/WNHS/Documents/Clinical-guidelines/Statewide-Maternity-Shared-Care-Guidelines.pdf"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mailto:syphilis.surveillance@cdc.gov.au" TargetMode="External"/><Relationship Id="rId52" Type="http://schemas.openxmlformats.org/officeDocument/2006/relationships/hyperlink" Target="https://www.health.tas.gov.au/news/articles/three-syphilis-tests-are-now-recommended-every-pregnancy-prevent-congenital-syphili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mel\OneDrive%20-%20Department%20of%20Health\CDC\National%20Syphilis%20Surveillance%20Report%20template.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3205cd-b314-4d80-8999-6842e340f377">
      <Terms xmlns="http://schemas.microsoft.com/office/infopath/2007/PartnerControls"/>
    </lcf76f155ced4ddcb4097134ff3c332f>
    <TaxCatchAll xmlns="08f16a38-faa3-4b9f-b657-06c897b065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12" ma:contentTypeDescription="Create a new document." ma:contentTypeScope="" ma:versionID="ac56965fe59de2dfb352ff29f4564557">
  <xsd:schema xmlns:xsd="http://www.w3.org/2001/XMLSchema" xmlns:xs="http://www.w3.org/2001/XMLSchema" xmlns:p="http://schemas.microsoft.com/office/2006/metadata/properties" xmlns:ns2="593205cd-b314-4d80-8999-6842e340f377" xmlns:ns3="08f16a38-faa3-4b9f-b657-06c897b0653c" targetNamespace="http://schemas.microsoft.com/office/2006/metadata/properties" ma:root="true" ma:fieldsID="33b519ef0ef2c6d836bdfab99e89a922" ns2:_="" ns3:_="">
    <xsd:import namespace="593205cd-b314-4d80-8999-6842e340f377"/>
    <xsd:import namespace="08f16a38-faa3-4b9f-b657-06c897b065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f16a38-faa3-4b9f-b657-06c897b065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46c76c8-acc8-400f-8cb3-e911de633ec9}" ma:internalName="TaxCatchAll" ma:showField="CatchAllData" ma:web="08f16a38-faa3-4b9f-b657-06c897b06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customXml/itemProps2.xml><?xml version="1.0" encoding="utf-8"?>
<ds:datastoreItem xmlns:ds="http://schemas.openxmlformats.org/officeDocument/2006/customXml" ds:itemID="{5DBA868E-2592-455D-816C-475A3962B9A8}">
  <ds:schemaRefs>
    <ds:schemaRef ds:uri="http://www.w3.org/XML/1998/namespace"/>
    <ds:schemaRef ds:uri="http://purl.org/dc/elements/1.1/"/>
    <ds:schemaRef ds:uri="08f16a38-faa3-4b9f-b657-06c897b0653c"/>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593205cd-b314-4d80-8999-6842e340f377"/>
    <ds:schemaRef ds:uri="http://schemas.microsoft.com/office/2006/metadata/properties"/>
  </ds:schemaRefs>
</ds:datastoreItem>
</file>

<file path=customXml/itemProps3.xml><?xml version="1.0" encoding="utf-8"?>
<ds:datastoreItem xmlns:ds="http://schemas.openxmlformats.org/officeDocument/2006/customXml" ds:itemID="{04545105-C9E3-4C9E-B791-FAB6DC933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08f16a38-faa3-4b9f-b657-06c897b06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2177AB-C943-4402-B68A-D71AF46548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National Syphilis Surveillance Report template.dotx</Template>
  <TotalTime>1</TotalTime>
  <Pages>50</Pages>
  <Words>8566</Words>
  <Characters>47704</Characters>
  <Application>Microsoft Office Word</Application>
  <DocSecurity>0</DocSecurity>
  <Lines>1650</Lines>
  <Paragraphs>1121</Paragraphs>
  <ScaleCrop>false</ScaleCrop>
  <HeadingPairs>
    <vt:vector size="2" baseType="variant">
      <vt:variant>
        <vt:lpstr>Title</vt:lpstr>
      </vt:variant>
      <vt:variant>
        <vt:i4>1</vt:i4>
      </vt:variant>
    </vt:vector>
  </HeadingPairs>
  <TitlesOfParts>
    <vt:vector size="1" baseType="lpstr">
      <vt:lpstr>National Syphilis Surveillance Report Q3 2025</vt:lpstr>
    </vt:vector>
  </TitlesOfParts>
  <Company/>
  <LinksUpToDate>false</LinksUpToDate>
  <CharactersWithSpaces>55312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Report Q3 2025</dc:title>
  <dc:subject/>
  <dc:creator>Australian Centre for Disease Control</dc:creator>
  <cp:keywords>syphilis, surveillance</cp:keywords>
  <dc:description/>
  <cp:lastModifiedBy>MCCAY, Meryl</cp:lastModifiedBy>
  <cp:revision>4</cp:revision>
  <dcterms:created xsi:type="dcterms:W3CDTF">2026-03-24T00:33:00Z</dcterms:created>
  <dcterms:modified xsi:type="dcterms:W3CDTF">2026-03-24T00:45:00Z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6ad39508,6776529f,29c82d70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58ce0941,4dbcf4c9,69c0bb6f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2025-12-09T04:45:48Z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07552bcc-6c20-45e9-a346-c1035e32f58a</vt:lpwstr>
  </property>
  <property fmtid="{D5CDD505-2E9C-101B-9397-08002B2CF9AE}" pid="14" name="MSIP_Label_7cd3e8b9-ffed-43a8-b7f4-cc2fa0382d36_ContentBits">
    <vt:lpwstr>3</vt:lpwstr>
  </property>
  <property fmtid="{D5CDD505-2E9C-101B-9397-08002B2CF9AE}" pid="15" name="MSIP_Label_7cd3e8b9-ffed-43a8-b7f4-cc2fa0382d36_Tag">
    <vt:lpwstr>50, 0, 1, 1</vt:lpwstr>
  </property>
</Properties>
</file>