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58BE" w14:textId="77777777" w:rsidR="007D2578" w:rsidRPr="007D2578" w:rsidRDefault="007D2578" w:rsidP="00487B23">
      <w:pPr>
        <w:ind w:left="-284" w:right="-755"/>
        <w:jc w:val="center"/>
        <w:rPr>
          <w:rFonts w:asciiTheme="minorHAnsi" w:hAnsiTheme="minorHAnsi"/>
          <w:b/>
          <w:bCs/>
          <w:sz w:val="12"/>
          <w:szCs w:val="16"/>
        </w:rPr>
      </w:pPr>
    </w:p>
    <w:p w14:paraId="58A1CABF" w14:textId="453A8D45" w:rsidR="000B748C" w:rsidRPr="00F31D65" w:rsidRDefault="00023A3B" w:rsidP="00487B23">
      <w:pPr>
        <w:ind w:left="-284" w:right="-755"/>
        <w:jc w:val="center"/>
        <w:rPr>
          <w:rFonts w:asciiTheme="minorHAnsi" w:hAnsiTheme="minorHAnsi"/>
          <w:b/>
          <w:bCs/>
          <w:sz w:val="28"/>
          <w:szCs w:val="36"/>
        </w:rPr>
      </w:pPr>
      <w:r w:rsidRPr="00F31D65">
        <w:rPr>
          <w:rFonts w:asciiTheme="minorHAnsi" w:hAnsiTheme="minorHAnsi"/>
          <w:b/>
          <w:bCs/>
          <w:sz w:val="28"/>
          <w:szCs w:val="36"/>
        </w:rPr>
        <w:t>Position Description</w:t>
      </w:r>
    </w:p>
    <w:tbl>
      <w:tblPr>
        <w:tblStyle w:val="TableGrid"/>
        <w:tblW w:w="10054" w:type="dxa"/>
        <w:tblInd w:w="-289"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2841"/>
        <w:gridCol w:w="7213"/>
      </w:tblGrid>
      <w:tr w:rsidR="00023A3B" w14:paraId="6F025EDA" w14:textId="77777777" w:rsidTr="053A33E7">
        <w:trPr>
          <w:trHeight w:val="272"/>
        </w:trPr>
        <w:tc>
          <w:tcPr>
            <w:tcW w:w="2841" w:type="dxa"/>
            <w:tcBorders>
              <w:bottom w:val="single" w:sz="4" w:space="0" w:color="auto"/>
            </w:tcBorders>
          </w:tcPr>
          <w:p w14:paraId="24C25F12" w14:textId="66064796" w:rsidR="00023A3B" w:rsidRDefault="00CB05B5" w:rsidP="00C61943">
            <w:pPr>
              <w:rPr>
                <w:rFonts w:asciiTheme="minorHAnsi" w:hAnsiTheme="minorHAnsi"/>
                <w:b/>
                <w:bCs/>
                <w:sz w:val="22"/>
                <w:szCs w:val="28"/>
              </w:rPr>
            </w:pPr>
            <w:r>
              <w:rPr>
                <w:rFonts w:asciiTheme="minorHAnsi" w:hAnsiTheme="minorHAnsi"/>
                <w:b/>
                <w:bCs/>
                <w:sz w:val="22"/>
                <w:szCs w:val="28"/>
              </w:rPr>
              <w:t xml:space="preserve">Position Title </w:t>
            </w:r>
          </w:p>
          <w:p w14:paraId="7E8271E5" w14:textId="6B4D071F" w:rsidR="00023A3B" w:rsidRPr="00023A3B" w:rsidRDefault="00023A3B" w:rsidP="00C61943">
            <w:pPr>
              <w:rPr>
                <w:rFonts w:asciiTheme="minorHAnsi" w:hAnsiTheme="minorHAnsi"/>
                <w:b/>
                <w:bCs/>
                <w:sz w:val="22"/>
                <w:szCs w:val="28"/>
              </w:rPr>
            </w:pPr>
          </w:p>
        </w:tc>
        <w:tc>
          <w:tcPr>
            <w:tcW w:w="7213" w:type="dxa"/>
            <w:tcBorders>
              <w:bottom w:val="single" w:sz="4" w:space="0" w:color="auto"/>
            </w:tcBorders>
          </w:tcPr>
          <w:p w14:paraId="6D584956" w14:textId="6F695FA8" w:rsidR="00023A3B" w:rsidRPr="00023A3B" w:rsidRDefault="00023A3B" w:rsidP="00940F8D">
            <w:pPr>
              <w:spacing w:after="120"/>
              <w:rPr>
                <w:rFonts w:asciiTheme="minorHAnsi" w:hAnsiTheme="minorHAnsi"/>
                <w:sz w:val="22"/>
                <w:szCs w:val="28"/>
              </w:rPr>
            </w:pPr>
            <w:r w:rsidRPr="00023A3B">
              <w:rPr>
                <w:rFonts w:asciiTheme="minorHAnsi" w:hAnsiTheme="minorHAnsi"/>
                <w:sz w:val="22"/>
                <w:szCs w:val="28"/>
              </w:rPr>
              <w:t>Regional Engagement Specialist</w:t>
            </w:r>
            <w:r w:rsidR="002A0B13">
              <w:rPr>
                <w:rFonts w:asciiTheme="minorHAnsi" w:hAnsiTheme="minorHAnsi"/>
                <w:sz w:val="22"/>
                <w:szCs w:val="28"/>
              </w:rPr>
              <w:t xml:space="preserve"> </w:t>
            </w:r>
            <w:r w:rsidR="00E95748">
              <w:rPr>
                <w:rFonts w:asciiTheme="minorHAnsi" w:hAnsiTheme="minorHAnsi"/>
                <w:sz w:val="22"/>
                <w:szCs w:val="28"/>
              </w:rPr>
              <w:t>for the National</w:t>
            </w:r>
            <w:r w:rsidR="00632B88">
              <w:rPr>
                <w:rFonts w:asciiTheme="minorHAnsi" w:hAnsiTheme="minorHAnsi"/>
                <w:sz w:val="22"/>
                <w:szCs w:val="28"/>
              </w:rPr>
              <w:t xml:space="preserve"> Tuberculosis Advisory Committee </w:t>
            </w:r>
            <w:r w:rsidR="000A0BA8">
              <w:rPr>
                <w:rFonts w:asciiTheme="minorHAnsi" w:hAnsiTheme="minorHAnsi"/>
                <w:sz w:val="22"/>
                <w:szCs w:val="28"/>
              </w:rPr>
              <w:t>(NTAC)</w:t>
            </w:r>
          </w:p>
        </w:tc>
      </w:tr>
      <w:tr w:rsidR="004C0634" w14:paraId="42BDF555" w14:textId="77777777" w:rsidTr="053A33E7">
        <w:trPr>
          <w:trHeight w:val="272"/>
        </w:trPr>
        <w:tc>
          <w:tcPr>
            <w:tcW w:w="2841" w:type="dxa"/>
            <w:tcBorders>
              <w:top w:val="single" w:sz="4" w:space="0" w:color="auto"/>
              <w:bottom w:val="single" w:sz="4" w:space="0" w:color="auto"/>
            </w:tcBorders>
          </w:tcPr>
          <w:p w14:paraId="7B1CF7CB" w14:textId="21E3F9F2" w:rsidR="004C0634" w:rsidRPr="00023A3B" w:rsidRDefault="004C0634" w:rsidP="00C61943">
            <w:pPr>
              <w:rPr>
                <w:rFonts w:asciiTheme="minorHAnsi" w:hAnsiTheme="minorHAnsi"/>
                <w:b/>
                <w:bCs/>
                <w:sz w:val="22"/>
                <w:szCs w:val="28"/>
              </w:rPr>
            </w:pPr>
            <w:r>
              <w:rPr>
                <w:rFonts w:asciiTheme="minorHAnsi" w:hAnsiTheme="minorHAnsi"/>
                <w:b/>
                <w:bCs/>
                <w:sz w:val="22"/>
                <w:szCs w:val="28"/>
              </w:rPr>
              <w:t>Role overview</w:t>
            </w:r>
          </w:p>
        </w:tc>
        <w:tc>
          <w:tcPr>
            <w:tcW w:w="7213" w:type="dxa"/>
            <w:tcBorders>
              <w:top w:val="single" w:sz="4" w:space="0" w:color="auto"/>
              <w:bottom w:val="single" w:sz="4" w:space="0" w:color="auto"/>
            </w:tcBorders>
          </w:tcPr>
          <w:p w14:paraId="4E0A468C" w14:textId="30F2E104" w:rsidR="004C0634" w:rsidRPr="00875E23" w:rsidRDefault="004C0634" w:rsidP="00940F8D">
            <w:pPr>
              <w:spacing w:after="120"/>
              <w:rPr>
                <w:rFonts w:asciiTheme="minorHAnsi" w:hAnsiTheme="minorHAnsi"/>
                <w:sz w:val="22"/>
                <w:szCs w:val="28"/>
              </w:rPr>
            </w:pPr>
            <w:r w:rsidRPr="00875E23">
              <w:rPr>
                <w:rFonts w:asciiTheme="minorHAnsi" w:hAnsiTheme="minorHAnsi"/>
                <w:sz w:val="22"/>
                <w:szCs w:val="28"/>
              </w:rPr>
              <w:t>The Regional Engagement</w:t>
            </w:r>
            <w:r w:rsidR="00F62906" w:rsidRPr="00875E23">
              <w:rPr>
                <w:rFonts w:asciiTheme="minorHAnsi" w:hAnsiTheme="minorHAnsi"/>
                <w:sz w:val="22"/>
                <w:szCs w:val="28"/>
              </w:rPr>
              <w:t xml:space="preserve"> Specialist</w:t>
            </w:r>
            <w:r w:rsidR="002D76E0" w:rsidRPr="00875E23">
              <w:rPr>
                <w:rFonts w:asciiTheme="minorHAnsi" w:hAnsiTheme="minorHAnsi"/>
                <w:sz w:val="22"/>
                <w:szCs w:val="28"/>
              </w:rPr>
              <w:t xml:space="preserve"> </w:t>
            </w:r>
            <w:r w:rsidRPr="00875E23">
              <w:rPr>
                <w:rFonts w:asciiTheme="minorHAnsi" w:hAnsiTheme="minorHAnsi"/>
                <w:sz w:val="22"/>
                <w:szCs w:val="28"/>
              </w:rPr>
              <w:t xml:space="preserve">is </w:t>
            </w:r>
            <w:r w:rsidR="00F62906" w:rsidRPr="00875E23">
              <w:rPr>
                <w:rFonts w:asciiTheme="minorHAnsi" w:hAnsiTheme="minorHAnsi"/>
                <w:sz w:val="22"/>
                <w:szCs w:val="28"/>
              </w:rPr>
              <w:t xml:space="preserve">an </w:t>
            </w:r>
            <w:r w:rsidRPr="00875E23">
              <w:rPr>
                <w:rFonts w:asciiTheme="minorHAnsi" w:hAnsiTheme="minorHAnsi"/>
                <w:sz w:val="22"/>
                <w:szCs w:val="28"/>
              </w:rPr>
              <w:t>appointed</w:t>
            </w:r>
            <w:r w:rsidR="009340BC" w:rsidRPr="00875E23">
              <w:rPr>
                <w:rFonts w:asciiTheme="minorHAnsi" w:hAnsiTheme="minorHAnsi"/>
                <w:sz w:val="22"/>
                <w:szCs w:val="28"/>
              </w:rPr>
              <w:t xml:space="preserve"> m</w:t>
            </w:r>
            <w:r w:rsidR="00F62906" w:rsidRPr="00875E23">
              <w:rPr>
                <w:rFonts w:asciiTheme="minorHAnsi" w:hAnsiTheme="minorHAnsi"/>
                <w:sz w:val="22"/>
                <w:szCs w:val="28"/>
              </w:rPr>
              <w:t xml:space="preserve">ember </w:t>
            </w:r>
            <w:r w:rsidR="00FC4DA3" w:rsidRPr="00875E23">
              <w:rPr>
                <w:rFonts w:asciiTheme="minorHAnsi" w:hAnsiTheme="minorHAnsi"/>
                <w:sz w:val="22"/>
                <w:szCs w:val="28"/>
              </w:rPr>
              <w:t>of</w:t>
            </w:r>
            <w:r w:rsidR="002D76E0" w:rsidRPr="00875E23">
              <w:rPr>
                <w:rFonts w:asciiTheme="minorHAnsi" w:hAnsiTheme="minorHAnsi"/>
                <w:sz w:val="22"/>
                <w:szCs w:val="28"/>
              </w:rPr>
              <w:t xml:space="preserve"> the </w:t>
            </w:r>
            <w:r w:rsidRPr="00875E23">
              <w:rPr>
                <w:rFonts w:asciiTheme="minorHAnsi" w:hAnsiTheme="minorHAnsi"/>
                <w:sz w:val="22"/>
                <w:szCs w:val="28"/>
              </w:rPr>
              <w:t>NTAC</w:t>
            </w:r>
            <w:r w:rsidR="009340BC" w:rsidRPr="00875E23">
              <w:rPr>
                <w:rFonts w:asciiTheme="minorHAnsi" w:hAnsiTheme="minorHAnsi"/>
                <w:sz w:val="22"/>
                <w:szCs w:val="28"/>
              </w:rPr>
              <w:t xml:space="preserve">, contributing </w:t>
            </w:r>
            <w:r w:rsidR="002D76E0" w:rsidRPr="00875E23">
              <w:rPr>
                <w:rFonts w:asciiTheme="minorHAnsi" w:hAnsiTheme="minorHAnsi"/>
                <w:sz w:val="22"/>
                <w:szCs w:val="28"/>
              </w:rPr>
              <w:t>expert advice and regional perspectives</w:t>
            </w:r>
            <w:r w:rsidR="009340BC" w:rsidRPr="00875E23">
              <w:rPr>
                <w:rFonts w:asciiTheme="minorHAnsi" w:hAnsiTheme="minorHAnsi"/>
                <w:sz w:val="22"/>
                <w:szCs w:val="28"/>
              </w:rPr>
              <w:t xml:space="preserve"> to support the </w:t>
            </w:r>
            <w:r w:rsidR="002D76E0" w:rsidRPr="00875E23">
              <w:rPr>
                <w:rFonts w:asciiTheme="minorHAnsi" w:hAnsiTheme="minorHAnsi"/>
                <w:sz w:val="22"/>
                <w:szCs w:val="28"/>
              </w:rPr>
              <w:t>committee</w:t>
            </w:r>
            <w:r w:rsidR="009340BC" w:rsidRPr="00875E23">
              <w:rPr>
                <w:rFonts w:asciiTheme="minorHAnsi" w:hAnsiTheme="minorHAnsi"/>
                <w:sz w:val="22"/>
                <w:szCs w:val="28"/>
              </w:rPr>
              <w:t>’s</w:t>
            </w:r>
            <w:r w:rsidR="002D76E0" w:rsidRPr="00875E23">
              <w:rPr>
                <w:rFonts w:asciiTheme="minorHAnsi" w:hAnsiTheme="minorHAnsi"/>
                <w:sz w:val="22"/>
                <w:szCs w:val="28"/>
              </w:rPr>
              <w:t xml:space="preserve"> functions. The member</w:t>
            </w:r>
            <w:r w:rsidR="009340BC" w:rsidRPr="00875E23">
              <w:rPr>
                <w:rFonts w:asciiTheme="minorHAnsi" w:hAnsiTheme="minorHAnsi"/>
                <w:sz w:val="22"/>
                <w:szCs w:val="28"/>
              </w:rPr>
              <w:t xml:space="preserve"> provides insights informed by experiences in </w:t>
            </w:r>
            <w:r w:rsidR="002D76E0" w:rsidRPr="00875E23">
              <w:rPr>
                <w:rFonts w:asciiTheme="minorHAnsi" w:hAnsiTheme="minorHAnsi"/>
                <w:sz w:val="22"/>
                <w:szCs w:val="28"/>
              </w:rPr>
              <w:t>tuberculosis (TB)</w:t>
            </w:r>
            <w:r w:rsidR="009340BC" w:rsidRPr="00875E23">
              <w:rPr>
                <w:rFonts w:asciiTheme="minorHAnsi" w:hAnsiTheme="minorHAnsi"/>
                <w:sz w:val="22"/>
                <w:szCs w:val="28"/>
              </w:rPr>
              <w:t xml:space="preserve"> prevention, control, and</w:t>
            </w:r>
            <w:r w:rsidR="002D76E0" w:rsidRPr="00875E23">
              <w:rPr>
                <w:rFonts w:asciiTheme="minorHAnsi" w:hAnsiTheme="minorHAnsi"/>
                <w:sz w:val="22"/>
                <w:szCs w:val="28"/>
              </w:rPr>
              <w:t xml:space="preserve"> management </w:t>
            </w:r>
            <w:r w:rsidRPr="00875E23">
              <w:rPr>
                <w:rFonts w:asciiTheme="minorHAnsi" w:hAnsiTheme="minorHAnsi"/>
                <w:sz w:val="22"/>
                <w:szCs w:val="28"/>
              </w:rPr>
              <w:t>in the Pacific and Southeast Asia, particular</w:t>
            </w:r>
            <w:r w:rsidR="009340BC" w:rsidRPr="00875E23">
              <w:rPr>
                <w:rFonts w:asciiTheme="minorHAnsi" w:hAnsiTheme="minorHAnsi"/>
                <w:sz w:val="22"/>
                <w:szCs w:val="28"/>
              </w:rPr>
              <w:t>ly</w:t>
            </w:r>
            <w:r w:rsidRPr="00875E23">
              <w:rPr>
                <w:rFonts w:asciiTheme="minorHAnsi" w:hAnsiTheme="minorHAnsi"/>
                <w:sz w:val="22"/>
                <w:szCs w:val="28"/>
              </w:rPr>
              <w:t xml:space="preserve"> </w:t>
            </w:r>
            <w:r w:rsidR="009340BC" w:rsidRPr="00875E23">
              <w:rPr>
                <w:rFonts w:asciiTheme="minorHAnsi" w:hAnsiTheme="minorHAnsi"/>
                <w:sz w:val="22"/>
                <w:szCs w:val="28"/>
              </w:rPr>
              <w:t xml:space="preserve">in </w:t>
            </w:r>
            <w:r w:rsidRPr="00875E23">
              <w:rPr>
                <w:rFonts w:asciiTheme="minorHAnsi" w:hAnsiTheme="minorHAnsi"/>
                <w:sz w:val="22"/>
                <w:szCs w:val="28"/>
              </w:rPr>
              <w:t>high-burden countries and region</w:t>
            </w:r>
            <w:r w:rsidR="009340BC" w:rsidRPr="00875E23">
              <w:rPr>
                <w:rFonts w:asciiTheme="minorHAnsi" w:hAnsiTheme="minorHAnsi"/>
                <w:sz w:val="22"/>
                <w:szCs w:val="28"/>
              </w:rPr>
              <w:t>s</w:t>
            </w:r>
            <w:r w:rsidRPr="00875E23">
              <w:rPr>
                <w:rFonts w:asciiTheme="minorHAnsi" w:hAnsiTheme="minorHAnsi"/>
                <w:sz w:val="22"/>
                <w:szCs w:val="28"/>
              </w:rPr>
              <w:t xml:space="preserve"> relevant to Australia.</w:t>
            </w:r>
            <w:r w:rsidR="009340BC" w:rsidRPr="00875E23">
              <w:rPr>
                <w:rFonts w:asciiTheme="minorHAnsi" w:hAnsiTheme="minorHAnsi"/>
                <w:sz w:val="22"/>
                <w:szCs w:val="28"/>
              </w:rPr>
              <w:t xml:space="preserve"> This contribution supports NTAC’s role in providing evidence-based advice aligned with national efforts to reduce TB morbidity and </w:t>
            </w:r>
            <w:r w:rsidR="002325F9" w:rsidRPr="00875E23">
              <w:rPr>
                <w:rFonts w:asciiTheme="minorHAnsi" w:hAnsiTheme="minorHAnsi"/>
                <w:sz w:val="22"/>
                <w:szCs w:val="28"/>
              </w:rPr>
              <w:t>mortality</w:t>
            </w:r>
            <w:r w:rsidR="009340BC" w:rsidRPr="00875E23">
              <w:rPr>
                <w:rFonts w:asciiTheme="minorHAnsi" w:hAnsiTheme="minorHAnsi"/>
                <w:sz w:val="22"/>
                <w:szCs w:val="28"/>
              </w:rPr>
              <w:t>, including drug-resist</w:t>
            </w:r>
            <w:r w:rsidR="00A36916">
              <w:rPr>
                <w:rFonts w:asciiTheme="minorHAnsi" w:hAnsiTheme="minorHAnsi"/>
                <w:sz w:val="22"/>
                <w:szCs w:val="28"/>
              </w:rPr>
              <w:t xml:space="preserve">ant </w:t>
            </w:r>
            <w:r w:rsidR="009340BC" w:rsidRPr="00875E23">
              <w:rPr>
                <w:rFonts w:asciiTheme="minorHAnsi" w:hAnsiTheme="minorHAnsi"/>
                <w:sz w:val="22"/>
                <w:szCs w:val="28"/>
              </w:rPr>
              <w:t>TB.</w:t>
            </w:r>
            <w:r w:rsidRPr="00875E23">
              <w:rPr>
                <w:rFonts w:asciiTheme="minorHAnsi" w:hAnsiTheme="minorHAnsi"/>
                <w:sz w:val="22"/>
                <w:szCs w:val="28"/>
              </w:rPr>
              <w:t xml:space="preserve"> </w:t>
            </w:r>
          </w:p>
          <w:p w14:paraId="215B32F0" w14:textId="66C18718" w:rsidR="004C0634" w:rsidRPr="00875E23" w:rsidRDefault="004C0634" w:rsidP="00940F8D">
            <w:pPr>
              <w:spacing w:after="120"/>
              <w:rPr>
                <w:rFonts w:asciiTheme="minorHAnsi" w:hAnsiTheme="minorHAnsi"/>
                <w:sz w:val="22"/>
                <w:szCs w:val="28"/>
              </w:rPr>
            </w:pPr>
            <w:r w:rsidRPr="00875E23">
              <w:rPr>
                <w:rFonts w:asciiTheme="minorHAnsi" w:hAnsiTheme="minorHAnsi"/>
                <w:sz w:val="22"/>
                <w:szCs w:val="28"/>
              </w:rPr>
              <w:t>This</w:t>
            </w:r>
            <w:r w:rsidR="002D76E0" w:rsidRPr="00875E23">
              <w:rPr>
                <w:rFonts w:asciiTheme="minorHAnsi" w:hAnsiTheme="minorHAnsi"/>
                <w:sz w:val="22"/>
                <w:szCs w:val="28"/>
              </w:rPr>
              <w:t xml:space="preserve"> is a committee appointment and does not constitute employment. </w:t>
            </w:r>
          </w:p>
        </w:tc>
      </w:tr>
      <w:tr w:rsidR="00FD0A5D" w14:paraId="34E427AA" w14:textId="77777777" w:rsidTr="053A33E7">
        <w:trPr>
          <w:trHeight w:val="272"/>
        </w:trPr>
        <w:tc>
          <w:tcPr>
            <w:tcW w:w="2841" w:type="dxa"/>
            <w:tcBorders>
              <w:top w:val="single" w:sz="4" w:space="0" w:color="auto"/>
              <w:bottom w:val="single" w:sz="4" w:space="0" w:color="auto"/>
            </w:tcBorders>
          </w:tcPr>
          <w:p w14:paraId="59FDDF69" w14:textId="02607590" w:rsidR="00FD0A5D" w:rsidRDefault="00FD0A5D" w:rsidP="00C61943">
            <w:pPr>
              <w:rPr>
                <w:rFonts w:asciiTheme="minorHAnsi" w:hAnsiTheme="minorHAnsi"/>
                <w:b/>
                <w:bCs/>
                <w:sz w:val="22"/>
                <w:szCs w:val="28"/>
              </w:rPr>
            </w:pPr>
            <w:r w:rsidRPr="00023A3B">
              <w:rPr>
                <w:rFonts w:asciiTheme="minorHAnsi" w:hAnsiTheme="minorHAnsi"/>
                <w:b/>
                <w:bCs/>
                <w:sz w:val="22"/>
                <w:szCs w:val="28"/>
              </w:rPr>
              <w:t xml:space="preserve">Term </w:t>
            </w:r>
            <w:r w:rsidR="002D76E0">
              <w:rPr>
                <w:rFonts w:asciiTheme="minorHAnsi" w:hAnsiTheme="minorHAnsi"/>
                <w:b/>
                <w:bCs/>
                <w:sz w:val="22"/>
                <w:szCs w:val="28"/>
              </w:rPr>
              <w:t>of appointment</w:t>
            </w:r>
          </w:p>
          <w:p w14:paraId="7B70AFC2" w14:textId="77777777" w:rsidR="00FD0A5D" w:rsidRDefault="00FD0A5D" w:rsidP="00C61943">
            <w:pPr>
              <w:rPr>
                <w:rFonts w:asciiTheme="minorHAnsi" w:hAnsiTheme="minorHAnsi"/>
                <w:b/>
                <w:bCs/>
                <w:sz w:val="22"/>
                <w:szCs w:val="28"/>
              </w:rPr>
            </w:pPr>
          </w:p>
          <w:p w14:paraId="336BFD86" w14:textId="77777777" w:rsidR="00FD0A5D" w:rsidRDefault="00FD0A5D" w:rsidP="00C61943">
            <w:pPr>
              <w:rPr>
                <w:rFonts w:asciiTheme="minorHAnsi" w:hAnsiTheme="minorHAnsi"/>
                <w:b/>
                <w:bCs/>
                <w:sz w:val="22"/>
                <w:szCs w:val="28"/>
              </w:rPr>
            </w:pPr>
          </w:p>
        </w:tc>
        <w:tc>
          <w:tcPr>
            <w:tcW w:w="7213" w:type="dxa"/>
            <w:tcBorders>
              <w:top w:val="single" w:sz="4" w:space="0" w:color="auto"/>
              <w:bottom w:val="single" w:sz="4" w:space="0" w:color="auto"/>
            </w:tcBorders>
          </w:tcPr>
          <w:p w14:paraId="50E9D02D" w14:textId="7CCEF742" w:rsidR="00FD0A5D" w:rsidRPr="00875E23" w:rsidRDefault="00FC4DA3" w:rsidP="00940F8D">
            <w:pPr>
              <w:spacing w:after="120"/>
              <w:rPr>
                <w:rFonts w:asciiTheme="minorHAnsi" w:hAnsiTheme="minorHAnsi"/>
                <w:sz w:val="22"/>
                <w:szCs w:val="28"/>
              </w:rPr>
            </w:pPr>
            <w:r w:rsidRPr="00875E23">
              <w:rPr>
                <w:rFonts w:asciiTheme="minorHAnsi" w:hAnsiTheme="minorHAnsi"/>
                <w:sz w:val="22"/>
                <w:szCs w:val="28"/>
              </w:rPr>
              <w:t>As an NTAC Member the</w:t>
            </w:r>
            <w:r w:rsidR="00D74D05" w:rsidRPr="00875E23">
              <w:rPr>
                <w:rFonts w:asciiTheme="minorHAnsi" w:hAnsiTheme="minorHAnsi"/>
                <w:sz w:val="22"/>
                <w:szCs w:val="28"/>
              </w:rPr>
              <w:t xml:space="preserve"> appointment is</w:t>
            </w:r>
            <w:r w:rsidR="00952E87" w:rsidRPr="00875E23">
              <w:rPr>
                <w:rFonts w:asciiTheme="minorHAnsi" w:hAnsiTheme="minorHAnsi"/>
                <w:sz w:val="22"/>
                <w:szCs w:val="28"/>
              </w:rPr>
              <w:t xml:space="preserve"> </w:t>
            </w:r>
            <w:r w:rsidR="004C0634" w:rsidRPr="00875E23">
              <w:rPr>
                <w:rFonts w:asciiTheme="minorHAnsi" w:hAnsiTheme="minorHAnsi"/>
                <w:sz w:val="22"/>
                <w:szCs w:val="28"/>
              </w:rPr>
              <w:t>for a three-year term, commencing from the date of sign</w:t>
            </w:r>
            <w:r w:rsidR="002D76E0" w:rsidRPr="00875E23">
              <w:rPr>
                <w:rFonts w:asciiTheme="minorHAnsi" w:hAnsiTheme="minorHAnsi"/>
                <w:sz w:val="22"/>
                <w:szCs w:val="28"/>
              </w:rPr>
              <w:t>ed</w:t>
            </w:r>
            <w:r w:rsidR="004C0634" w:rsidRPr="00875E23">
              <w:rPr>
                <w:rFonts w:asciiTheme="minorHAnsi" w:hAnsiTheme="minorHAnsi"/>
                <w:sz w:val="22"/>
                <w:szCs w:val="28"/>
              </w:rPr>
              <w:t xml:space="preserve"> appointment documentation. </w:t>
            </w:r>
            <w:r w:rsidR="002D76E0" w:rsidRPr="00875E23">
              <w:rPr>
                <w:rFonts w:asciiTheme="minorHAnsi" w:hAnsiTheme="minorHAnsi"/>
                <w:sz w:val="22"/>
                <w:szCs w:val="28"/>
              </w:rPr>
              <w:t>Appointments may be reviewed at the c</w:t>
            </w:r>
            <w:r w:rsidR="004C0634" w:rsidRPr="00875E23">
              <w:rPr>
                <w:rFonts w:asciiTheme="minorHAnsi" w:hAnsiTheme="minorHAnsi"/>
                <w:sz w:val="22"/>
                <w:szCs w:val="28"/>
              </w:rPr>
              <w:t>onclusion of the term</w:t>
            </w:r>
            <w:r w:rsidR="002D76E0" w:rsidRPr="00875E23">
              <w:rPr>
                <w:rFonts w:asciiTheme="minorHAnsi" w:hAnsiTheme="minorHAnsi"/>
                <w:sz w:val="22"/>
                <w:szCs w:val="28"/>
              </w:rPr>
              <w:t xml:space="preserve">, subject to the committee’s ongoing priorities and requirements. </w:t>
            </w:r>
          </w:p>
        </w:tc>
      </w:tr>
      <w:tr w:rsidR="00FD0A5D" w14:paraId="57CCE1E2" w14:textId="77777777" w:rsidTr="053A33E7">
        <w:trPr>
          <w:trHeight w:val="272"/>
        </w:trPr>
        <w:tc>
          <w:tcPr>
            <w:tcW w:w="2841" w:type="dxa"/>
            <w:tcBorders>
              <w:top w:val="single" w:sz="4" w:space="0" w:color="auto"/>
              <w:bottom w:val="single" w:sz="4" w:space="0" w:color="auto"/>
            </w:tcBorders>
          </w:tcPr>
          <w:p w14:paraId="48FAB32C" w14:textId="74528AAD" w:rsidR="00FD0A5D" w:rsidRDefault="00B92BF2" w:rsidP="00C61943">
            <w:pPr>
              <w:rPr>
                <w:rFonts w:asciiTheme="minorHAnsi" w:hAnsiTheme="minorHAnsi"/>
                <w:b/>
                <w:bCs/>
                <w:sz w:val="22"/>
                <w:szCs w:val="28"/>
              </w:rPr>
            </w:pPr>
            <w:r>
              <w:rPr>
                <w:rFonts w:asciiTheme="minorHAnsi" w:hAnsiTheme="minorHAnsi"/>
                <w:b/>
                <w:bCs/>
                <w:sz w:val="22"/>
                <w:szCs w:val="28"/>
              </w:rPr>
              <w:t>E</w:t>
            </w:r>
            <w:r w:rsidR="00FD0A5D">
              <w:rPr>
                <w:rFonts w:asciiTheme="minorHAnsi" w:hAnsiTheme="minorHAnsi"/>
                <w:b/>
                <w:bCs/>
                <w:sz w:val="22"/>
                <w:szCs w:val="28"/>
              </w:rPr>
              <w:t xml:space="preserve">xpertise and </w:t>
            </w:r>
            <w:r>
              <w:rPr>
                <w:rFonts w:asciiTheme="minorHAnsi" w:hAnsiTheme="minorHAnsi"/>
                <w:b/>
                <w:bCs/>
                <w:sz w:val="22"/>
                <w:szCs w:val="28"/>
              </w:rPr>
              <w:t>E</w:t>
            </w:r>
            <w:r w:rsidR="00FD0A5D">
              <w:rPr>
                <w:rFonts w:asciiTheme="minorHAnsi" w:hAnsiTheme="minorHAnsi"/>
                <w:b/>
                <w:bCs/>
                <w:sz w:val="22"/>
                <w:szCs w:val="28"/>
              </w:rPr>
              <w:t xml:space="preserve">xperience </w:t>
            </w:r>
          </w:p>
          <w:p w14:paraId="41C12231" w14:textId="77777777" w:rsidR="00FD0A5D" w:rsidRDefault="00FD0A5D" w:rsidP="00C61943">
            <w:pPr>
              <w:rPr>
                <w:rFonts w:asciiTheme="minorHAnsi" w:hAnsiTheme="minorHAnsi"/>
                <w:b/>
                <w:bCs/>
                <w:sz w:val="22"/>
                <w:szCs w:val="28"/>
              </w:rPr>
            </w:pPr>
          </w:p>
          <w:p w14:paraId="51B87CA1" w14:textId="33C7FC25" w:rsidR="00FD0A5D" w:rsidRPr="00023A3B" w:rsidRDefault="00FD0A5D" w:rsidP="00C61943">
            <w:pPr>
              <w:rPr>
                <w:rFonts w:asciiTheme="minorHAnsi" w:hAnsiTheme="minorHAnsi"/>
                <w:b/>
                <w:bCs/>
                <w:sz w:val="22"/>
                <w:szCs w:val="28"/>
              </w:rPr>
            </w:pPr>
          </w:p>
        </w:tc>
        <w:tc>
          <w:tcPr>
            <w:tcW w:w="7213" w:type="dxa"/>
            <w:tcBorders>
              <w:top w:val="single" w:sz="4" w:space="0" w:color="auto"/>
              <w:bottom w:val="single" w:sz="4" w:space="0" w:color="auto"/>
            </w:tcBorders>
          </w:tcPr>
          <w:p w14:paraId="1F406A4A" w14:textId="7A2660C8" w:rsidR="00FD0A5D" w:rsidRPr="00875E23" w:rsidRDefault="00952E87" w:rsidP="00940F8D">
            <w:pPr>
              <w:spacing w:after="120"/>
              <w:rPr>
                <w:rFonts w:asciiTheme="minorHAnsi" w:hAnsiTheme="minorHAnsi"/>
                <w:sz w:val="22"/>
                <w:szCs w:val="28"/>
              </w:rPr>
            </w:pPr>
            <w:r w:rsidRPr="00875E23">
              <w:rPr>
                <w:rFonts w:asciiTheme="minorHAnsi" w:hAnsiTheme="minorHAnsi"/>
                <w:sz w:val="22"/>
                <w:szCs w:val="28"/>
              </w:rPr>
              <w:t>The Regional Engagement Specialist is</w:t>
            </w:r>
            <w:r w:rsidR="002D76E0" w:rsidRPr="00875E23">
              <w:rPr>
                <w:rFonts w:asciiTheme="minorHAnsi" w:hAnsiTheme="minorHAnsi"/>
                <w:sz w:val="22"/>
                <w:szCs w:val="28"/>
              </w:rPr>
              <w:t xml:space="preserve"> expected to contribute expertise to the committee.</w:t>
            </w:r>
            <w:r w:rsidR="009340BC" w:rsidRPr="00875E23">
              <w:rPr>
                <w:rFonts w:asciiTheme="minorHAnsi" w:hAnsiTheme="minorHAnsi"/>
                <w:sz w:val="22"/>
                <w:szCs w:val="28"/>
              </w:rPr>
              <w:t xml:space="preserve"> E</w:t>
            </w:r>
            <w:r w:rsidR="002D76E0" w:rsidRPr="00875E23">
              <w:rPr>
                <w:rFonts w:asciiTheme="minorHAnsi" w:hAnsiTheme="minorHAnsi"/>
                <w:sz w:val="22"/>
                <w:szCs w:val="28"/>
              </w:rPr>
              <w:t>xperience may include</w:t>
            </w:r>
            <w:r w:rsidR="00B87661" w:rsidRPr="00875E23">
              <w:rPr>
                <w:rFonts w:asciiTheme="minorHAnsi" w:hAnsiTheme="minorHAnsi"/>
                <w:sz w:val="22"/>
                <w:szCs w:val="28"/>
              </w:rPr>
              <w:t xml:space="preserve">: </w:t>
            </w:r>
            <w:r w:rsidR="00FD0A5D" w:rsidRPr="00875E23">
              <w:rPr>
                <w:rFonts w:asciiTheme="minorHAnsi" w:hAnsiTheme="minorHAnsi"/>
                <w:sz w:val="22"/>
                <w:szCs w:val="28"/>
              </w:rPr>
              <w:t xml:space="preserve"> </w:t>
            </w:r>
          </w:p>
          <w:p w14:paraId="2DB01E74" w14:textId="7D87D27E" w:rsidR="00FD0A5D" w:rsidRPr="00875E23" w:rsidRDefault="002D76E0" w:rsidP="00940F8D">
            <w:pPr>
              <w:pStyle w:val="ListParagraph"/>
              <w:numPr>
                <w:ilvl w:val="0"/>
                <w:numId w:val="3"/>
              </w:numPr>
              <w:spacing w:after="120"/>
              <w:contextualSpacing w:val="0"/>
              <w:rPr>
                <w:rFonts w:asciiTheme="minorHAnsi" w:hAnsiTheme="minorHAnsi"/>
                <w:sz w:val="22"/>
                <w:szCs w:val="28"/>
              </w:rPr>
            </w:pPr>
            <w:r w:rsidRPr="00875E23">
              <w:rPr>
                <w:rFonts w:asciiTheme="minorHAnsi" w:hAnsiTheme="minorHAnsi"/>
                <w:sz w:val="22"/>
                <w:szCs w:val="28"/>
              </w:rPr>
              <w:t xml:space="preserve">Technical </w:t>
            </w:r>
            <w:r w:rsidR="006E187E" w:rsidRPr="00875E23">
              <w:rPr>
                <w:rFonts w:asciiTheme="minorHAnsi" w:hAnsiTheme="minorHAnsi"/>
                <w:sz w:val="22"/>
                <w:szCs w:val="28"/>
              </w:rPr>
              <w:t xml:space="preserve">and/or </w:t>
            </w:r>
            <w:r w:rsidR="00382A52" w:rsidRPr="00875E23">
              <w:rPr>
                <w:rFonts w:asciiTheme="minorHAnsi" w:hAnsiTheme="minorHAnsi"/>
                <w:sz w:val="22"/>
                <w:szCs w:val="28"/>
              </w:rPr>
              <w:t xml:space="preserve">clinical </w:t>
            </w:r>
            <w:r w:rsidRPr="00875E23">
              <w:rPr>
                <w:rFonts w:asciiTheme="minorHAnsi" w:hAnsiTheme="minorHAnsi"/>
                <w:sz w:val="22"/>
                <w:szCs w:val="28"/>
              </w:rPr>
              <w:t xml:space="preserve">expertise in TB prevention, control, or management </w:t>
            </w:r>
            <w:r w:rsidR="00382A52" w:rsidRPr="00875E23">
              <w:rPr>
                <w:rFonts w:asciiTheme="minorHAnsi" w:hAnsiTheme="minorHAnsi"/>
                <w:sz w:val="22"/>
                <w:szCs w:val="28"/>
              </w:rPr>
              <w:t>in the Pacific and/or Southeast Asia</w:t>
            </w:r>
            <w:r w:rsidR="00071C38" w:rsidRPr="00875E23">
              <w:rPr>
                <w:rFonts w:asciiTheme="minorHAnsi" w:hAnsiTheme="minorHAnsi"/>
                <w:sz w:val="22"/>
                <w:szCs w:val="28"/>
              </w:rPr>
              <w:t xml:space="preserve"> </w:t>
            </w:r>
            <w:r w:rsidR="00382A52" w:rsidRPr="00875E23">
              <w:rPr>
                <w:rFonts w:asciiTheme="minorHAnsi" w:hAnsiTheme="minorHAnsi"/>
                <w:sz w:val="22"/>
                <w:szCs w:val="28"/>
              </w:rPr>
              <w:t>in relation to</w:t>
            </w:r>
            <w:r w:rsidR="00071C38" w:rsidRPr="00875E23">
              <w:rPr>
                <w:rFonts w:asciiTheme="minorHAnsi" w:hAnsiTheme="minorHAnsi"/>
                <w:sz w:val="22"/>
                <w:szCs w:val="28"/>
              </w:rPr>
              <w:t xml:space="preserve"> </w:t>
            </w:r>
            <w:r w:rsidR="009C29B5" w:rsidRPr="00875E23">
              <w:rPr>
                <w:rFonts w:asciiTheme="minorHAnsi" w:hAnsiTheme="minorHAnsi"/>
                <w:sz w:val="22"/>
                <w:szCs w:val="28"/>
              </w:rPr>
              <w:t>tuberculosis</w:t>
            </w:r>
            <w:r w:rsidR="00071C38" w:rsidRPr="00875E23">
              <w:rPr>
                <w:rFonts w:asciiTheme="minorHAnsi" w:hAnsiTheme="minorHAnsi"/>
                <w:sz w:val="22"/>
                <w:szCs w:val="28"/>
              </w:rPr>
              <w:t xml:space="preserve"> </w:t>
            </w:r>
            <w:r w:rsidR="00347B08" w:rsidRPr="00875E23">
              <w:rPr>
                <w:rFonts w:asciiTheme="minorHAnsi" w:hAnsiTheme="minorHAnsi"/>
                <w:sz w:val="22"/>
                <w:szCs w:val="28"/>
              </w:rPr>
              <w:t xml:space="preserve">(TB) </w:t>
            </w:r>
            <w:r w:rsidR="00071C38" w:rsidRPr="00875E23">
              <w:rPr>
                <w:rFonts w:asciiTheme="minorHAnsi" w:hAnsiTheme="minorHAnsi"/>
                <w:sz w:val="22"/>
                <w:szCs w:val="28"/>
              </w:rPr>
              <w:t xml:space="preserve">burden and </w:t>
            </w:r>
            <w:r w:rsidR="00F44FBC" w:rsidRPr="00875E23">
              <w:rPr>
                <w:rFonts w:asciiTheme="minorHAnsi" w:hAnsiTheme="minorHAnsi"/>
                <w:sz w:val="22"/>
                <w:szCs w:val="28"/>
              </w:rPr>
              <w:t>management</w:t>
            </w:r>
            <w:r w:rsidR="00071C38" w:rsidRPr="00875E23">
              <w:rPr>
                <w:rFonts w:asciiTheme="minorHAnsi" w:hAnsiTheme="minorHAnsi"/>
                <w:sz w:val="22"/>
                <w:szCs w:val="28"/>
              </w:rPr>
              <w:t xml:space="preserve">. </w:t>
            </w:r>
            <w:r w:rsidR="00486997" w:rsidRPr="00875E23">
              <w:rPr>
                <w:rFonts w:asciiTheme="minorHAnsi" w:hAnsiTheme="minorHAnsi"/>
                <w:sz w:val="22"/>
                <w:szCs w:val="28"/>
              </w:rPr>
              <w:t xml:space="preserve"> </w:t>
            </w:r>
          </w:p>
          <w:p w14:paraId="60CD43A0" w14:textId="5EA32F92" w:rsidR="00FD0A5D" w:rsidRPr="00875E23" w:rsidRDefault="00855E4B" w:rsidP="00940F8D">
            <w:pPr>
              <w:pStyle w:val="ListParagraph"/>
              <w:numPr>
                <w:ilvl w:val="0"/>
                <w:numId w:val="2"/>
              </w:numPr>
              <w:spacing w:after="120"/>
              <w:contextualSpacing w:val="0"/>
              <w:rPr>
                <w:rFonts w:asciiTheme="minorHAnsi" w:hAnsiTheme="minorHAnsi"/>
                <w:sz w:val="22"/>
                <w:szCs w:val="28"/>
              </w:rPr>
            </w:pPr>
            <w:r w:rsidRPr="00875E23">
              <w:rPr>
                <w:rFonts w:asciiTheme="minorHAnsi" w:hAnsiTheme="minorHAnsi"/>
                <w:sz w:val="22"/>
                <w:szCs w:val="28"/>
              </w:rPr>
              <w:t>C</w:t>
            </w:r>
            <w:r w:rsidR="002D76E0" w:rsidRPr="00875E23">
              <w:rPr>
                <w:rFonts w:asciiTheme="minorHAnsi" w:hAnsiTheme="minorHAnsi"/>
                <w:sz w:val="22"/>
                <w:szCs w:val="28"/>
              </w:rPr>
              <w:t>ontributing</w:t>
            </w:r>
            <w:r w:rsidR="004C0634" w:rsidRPr="00875E23">
              <w:rPr>
                <w:rFonts w:asciiTheme="minorHAnsi" w:hAnsiTheme="minorHAnsi"/>
                <w:sz w:val="22"/>
                <w:szCs w:val="28"/>
              </w:rPr>
              <w:t xml:space="preserve"> to </w:t>
            </w:r>
            <w:r w:rsidR="001D06F9" w:rsidRPr="00875E23">
              <w:rPr>
                <w:rFonts w:asciiTheme="minorHAnsi" w:hAnsiTheme="minorHAnsi"/>
                <w:sz w:val="22"/>
                <w:szCs w:val="28"/>
              </w:rPr>
              <w:t xml:space="preserve">policy </w:t>
            </w:r>
            <w:r w:rsidR="002D04BE" w:rsidRPr="00875E23">
              <w:rPr>
                <w:rFonts w:asciiTheme="minorHAnsi" w:hAnsiTheme="minorHAnsi"/>
                <w:sz w:val="22"/>
                <w:szCs w:val="28"/>
              </w:rPr>
              <w:t>development and/or r</w:t>
            </w:r>
            <w:r w:rsidR="00B87661" w:rsidRPr="00875E23">
              <w:rPr>
                <w:rFonts w:asciiTheme="minorHAnsi" w:hAnsiTheme="minorHAnsi"/>
                <w:sz w:val="22"/>
                <w:szCs w:val="28"/>
              </w:rPr>
              <w:t>esearch</w:t>
            </w:r>
            <w:r w:rsidR="004C0634" w:rsidRPr="00875E23">
              <w:rPr>
                <w:rFonts w:asciiTheme="minorHAnsi" w:hAnsiTheme="minorHAnsi"/>
                <w:sz w:val="22"/>
                <w:szCs w:val="28"/>
              </w:rPr>
              <w:t xml:space="preserve">, or advisory work </w:t>
            </w:r>
            <w:r w:rsidR="002D04BE" w:rsidRPr="00875E23">
              <w:rPr>
                <w:rFonts w:asciiTheme="minorHAnsi" w:hAnsiTheme="minorHAnsi"/>
                <w:sz w:val="22"/>
                <w:szCs w:val="28"/>
              </w:rPr>
              <w:t xml:space="preserve">relevant to TB management and </w:t>
            </w:r>
            <w:r w:rsidR="004B31FE" w:rsidRPr="00875E23">
              <w:rPr>
                <w:rFonts w:asciiTheme="minorHAnsi" w:hAnsiTheme="minorHAnsi"/>
                <w:sz w:val="22"/>
                <w:szCs w:val="28"/>
              </w:rPr>
              <w:t xml:space="preserve">international </w:t>
            </w:r>
            <w:r w:rsidR="004C0634" w:rsidRPr="00875E23">
              <w:rPr>
                <w:rFonts w:asciiTheme="minorHAnsi" w:hAnsiTheme="minorHAnsi"/>
                <w:sz w:val="22"/>
                <w:szCs w:val="28"/>
              </w:rPr>
              <w:t>health.</w:t>
            </w:r>
          </w:p>
          <w:p w14:paraId="50347DBE" w14:textId="225C68FF" w:rsidR="00BA5B5A" w:rsidRPr="00875E23" w:rsidRDefault="005A17E3" w:rsidP="002D04BE">
            <w:pPr>
              <w:pStyle w:val="ListParagraph"/>
              <w:numPr>
                <w:ilvl w:val="0"/>
                <w:numId w:val="2"/>
              </w:numPr>
              <w:spacing w:after="120"/>
              <w:contextualSpacing w:val="0"/>
              <w:rPr>
                <w:rFonts w:asciiTheme="minorHAnsi" w:hAnsiTheme="minorHAnsi"/>
                <w:sz w:val="22"/>
                <w:szCs w:val="28"/>
              </w:rPr>
            </w:pPr>
            <w:r w:rsidRPr="00875E23">
              <w:rPr>
                <w:rFonts w:asciiTheme="minorHAnsi" w:hAnsiTheme="minorHAnsi"/>
                <w:sz w:val="22"/>
                <w:szCs w:val="28"/>
              </w:rPr>
              <w:t>P</w:t>
            </w:r>
            <w:r w:rsidR="00C04322" w:rsidRPr="00875E23">
              <w:rPr>
                <w:rFonts w:asciiTheme="minorHAnsi" w:hAnsiTheme="minorHAnsi"/>
                <w:sz w:val="22"/>
                <w:szCs w:val="28"/>
              </w:rPr>
              <w:t>articipati</w:t>
            </w:r>
            <w:r w:rsidRPr="00875E23">
              <w:rPr>
                <w:rFonts w:asciiTheme="minorHAnsi" w:hAnsiTheme="minorHAnsi"/>
                <w:sz w:val="22"/>
                <w:szCs w:val="28"/>
              </w:rPr>
              <w:t>on</w:t>
            </w:r>
            <w:r w:rsidR="00C04322" w:rsidRPr="00875E23">
              <w:rPr>
                <w:rFonts w:asciiTheme="minorHAnsi" w:hAnsiTheme="minorHAnsi"/>
                <w:sz w:val="22"/>
                <w:szCs w:val="28"/>
              </w:rPr>
              <w:t xml:space="preserve"> in</w:t>
            </w:r>
            <w:r w:rsidR="002D04BE" w:rsidRPr="00875E23">
              <w:rPr>
                <w:rFonts w:asciiTheme="minorHAnsi" w:hAnsiTheme="minorHAnsi"/>
                <w:sz w:val="22"/>
                <w:szCs w:val="28"/>
              </w:rPr>
              <w:t xml:space="preserve"> Australian Government</w:t>
            </w:r>
            <w:r w:rsidR="00F141C8" w:rsidRPr="00875E23">
              <w:rPr>
                <w:rFonts w:asciiTheme="minorHAnsi" w:hAnsiTheme="minorHAnsi"/>
                <w:sz w:val="22"/>
                <w:szCs w:val="28"/>
              </w:rPr>
              <w:t xml:space="preserve"> and/or WHO</w:t>
            </w:r>
            <w:r w:rsidR="002D04BE" w:rsidRPr="00875E23">
              <w:rPr>
                <w:rFonts w:asciiTheme="minorHAnsi" w:hAnsiTheme="minorHAnsi"/>
                <w:sz w:val="22"/>
                <w:szCs w:val="28"/>
              </w:rPr>
              <w:t xml:space="preserve"> technical and advisory structures/committees. </w:t>
            </w:r>
          </w:p>
          <w:p w14:paraId="2EDD49E1" w14:textId="4CFBCE1A" w:rsidR="00C04322" w:rsidRPr="00875E23" w:rsidRDefault="00C04322" w:rsidP="00C04322">
            <w:pPr>
              <w:pStyle w:val="ListParagraph"/>
              <w:numPr>
                <w:ilvl w:val="0"/>
                <w:numId w:val="2"/>
              </w:numPr>
              <w:spacing w:after="120"/>
              <w:contextualSpacing w:val="0"/>
              <w:rPr>
                <w:rFonts w:asciiTheme="minorHAnsi" w:hAnsiTheme="minorHAnsi"/>
                <w:sz w:val="22"/>
                <w:szCs w:val="28"/>
              </w:rPr>
            </w:pPr>
            <w:r w:rsidRPr="00875E23">
              <w:rPr>
                <w:rFonts w:asciiTheme="minorHAnsi" w:hAnsiTheme="minorHAnsi"/>
                <w:sz w:val="22"/>
                <w:szCs w:val="28"/>
              </w:rPr>
              <w:t xml:space="preserve">Affiliation with relevant </w:t>
            </w:r>
            <w:r w:rsidR="001D06F9" w:rsidRPr="00875E23">
              <w:rPr>
                <w:rFonts w:asciiTheme="minorHAnsi" w:hAnsiTheme="minorHAnsi"/>
                <w:sz w:val="22"/>
                <w:szCs w:val="28"/>
              </w:rPr>
              <w:t xml:space="preserve">professional associations </w:t>
            </w:r>
            <w:r w:rsidRPr="00875E23">
              <w:rPr>
                <w:rFonts w:asciiTheme="minorHAnsi" w:hAnsiTheme="minorHAnsi"/>
                <w:sz w:val="22"/>
                <w:szCs w:val="28"/>
              </w:rPr>
              <w:t xml:space="preserve">and peak bodies, </w:t>
            </w:r>
            <w:r w:rsidR="0054171A" w:rsidRPr="00875E23">
              <w:rPr>
                <w:rFonts w:asciiTheme="minorHAnsi" w:hAnsiTheme="minorHAnsi"/>
                <w:sz w:val="22"/>
                <w:szCs w:val="28"/>
              </w:rPr>
              <w:t>including but not limited to</w:t>
            </w:r>
            <w:r w:rsidRPr="00875E23">
              <w:rPr>
                <w:rFonts w:asciiTheme="minorHAnsi" w:hAnsiTheme="minorHAnsi"/>
                <w:sz w:val="22"/>
                <w:szCs w:val="28"/>
              </w:rPr>
              <w:t xml:space="preserve">: </w:t>
            </w:r>
          </w:p>
          <w:p w14:paraId="7A6816E0" w14:textId="77777777" w:rsidR="00C04322" w:rsidRPr="00875E23" w:rsidRDefault="00C04322" w:rsidP="00C04322">
            <w:pPr>
              <w:pStyle w:val="ListParagraph"/>
              <w:numPr>
                <w:ilvl w:val="1"/>
                <w:numId w:val="2"/>
              </w:numPr>
              <w:spacing w:after="120"/>
              <w:contextualSpacing w:val="0"/>
              <w:rPr>
                <w:rFonts w:asciiTheme="minorHAnsi" w:hAnsiTheme="minorHAnsi"/>
                <w:sz w:val="22"/>
                <w:szCs w:val="28"/>
              </w:rPr>
            </w:pPr>
            <w:r w:rsidRPr="00875E23">
              <w:rPr>
                <w:rFonts w:asciiTheme="minorHAnsi" w:hAnsiTheme="minorHAnsi"/>
                <w:sz w:val="22"/>
                <w:szCs w:val="28"/>
              </w:rPr>
              <w:t>International Union Against Tuberculosis and Lung Disease</w:t>
            </w:r>
          </w:p>
          <w:p w14:paraId="2D921218" w14:textId="0F698675" w:rsidR="00C04322" w:rsidRPr="00875E23" w:rsidRDefault="00C04322" w:rsidP="00693B99">
            <w:pPr>
              <w:pStyle w:val="ListParagraph"/>
              <w:numPr>
                <w:ilvl w:val="1"/>
                <w:numId w:val="2"/>
              </w:numPr>
              <w:spacing w:after="120"/>
              <w:contextualSpacing w:val="0"/>
              <w:rPr>
                <w:rFonts w:asciiTheme="minorHAnsi" w:hAnsiTheme="minorHAnsi"/>
                <w:sz w:val="22"/>
                <w:szCs w:val="28"/>
              </w:rPr>
            </w:pPr>
            <w:r w:rsidRPr="00875E23">
              <w:rPr>
                <w:rFonts w:asciiTheme="minorHAnsi" w:hAnsiTheme="minorHAnsi"/>
                <w:sz w:val="22"/>
                <w:szCs w:val="28"/>
              </w:rPr>
              <w:t>Thoracic Society of Australia and New Zealand</w:t>
            </w:r>
          </w:p>
        </w:tc>
      </w:tr>
      <w:tr w:rsidR="00FD0A5D" w14:paraId="0FE6F35E" w14:textId="77777777" w:rsidTr="053A33E7">
        <w:trPr>
          <w:trHeight w:val="272"/>
        </w:trPr>
        <w:tc>
          <w:tcPr>
            <w:tcW w:w="2841" w:type="dxa"/>
            <w:tcBorders>
              <w:top w:val="single" w:sz="4" w:space="0" w:color="auto"/>
              <w:bottom w:val="single" w:sz="4" w:space="0" w:color="auto"/>
            </w:tcBorders>
          </w:tcPr>
          <w:p w14:paraId="3BC281C7" w14:textId="451CF4D4" w:rsidR="00FD0A5D" w:rsidRPr="00023A3B" w:rsidRDefault="00FD0A5D" w:rsidP="00C61943">
            <w:pPr>
              <w:rPr>
                <w:rFonts w:asciiTheme="minorHAnsi" w:hAnsiTheme="minorHAnsi"/>
                <w:b/>
                <w:bCs/>
                <w:sz w:val="22"/>
                <w:szCs w:val="28"/>
              </w:rPr>
            </w:pPr>
            <w:r w:rsidRPr="00023A3B">
              <w:rPr>
                <w:rFonts w:asciiTheme="minorHAnsi" w:hAnsiTheme="minorHAnsi"/>
                <w:b/>
                <w:bCs/>
                <w:sz w:val="22"/>
                <w:szCs w:val="28"/>
              </w:rPr>
              <w:t>Requirements</w:t>
            </w:r>
            <w:r w:rsidR="000E5D56">
              <w:rPr>
                <w:rFonts w:asciiTheme="minorHAnsi" w:hAnsiTheme="minorHAnsi"/>
                <w:b/>
                <w:bCs/>
                <w:sz w:val="22"/>
                <w:szCs w:val="28"/>
              </w:rPr>
              <w:t xml:space="preserve"> and Contribution</w:t>
            </w:r>
            <w:r w:rsidR="00776A77">
              <w:rPr>
                <w:rFonts w:asciiTheme="minorHAnsi" w:hAnsiTheme="minorHAnsi"/>
                <w:b/>
                <w:bCs/>
                <w:sz w:val="22"/>
                <w:szCs w:val="28"/>
              </w:rPr>
              <w:t>s</w:t>
            </w:r>
          </w:p>
        </w:tc>
        <w:tc>
          <w:tcPr>
            <w:tcW w:w="7213" w:type="dxa"/>
            <w:tcBorders>
              <w:top w:val="single" w:sz="4" w:space="0" w:color="auto"/>
              <w:bottom w:val="single" w:sz="4" w:space="0" w:color="auto"/>
            </w:tcBorders>
          </w:tcPr>
          <w:p w14:paraId="3108E502" w14:textId="76CD4EEF" w:rsidR="004C0634" w:rsidRDefault="00952E87" w:rsidP="00E30959">
            <w:pPr>
              <w:spacing w:after="120"/>
              <w:rPr>
                <w:rFonts w:asciiTheme="minorHAnsi" w:hAnsiTheme="minorHAnsi"/>
                <w:sz w:val="22"/>
                <w:szCs w:val="28"/>
              </w:rPr>
            </w:pPr>
            <w:r>
              <w:rPr>
                <w:rFonts w:asciiTheme="minorHAnsi" w:hAnsiTheme="minorHAnsi"/>
                <w:sz w:val="22"/>
                <w:szCs w:val="28"/>
              </w:rPr>
              <w:t xml:space="preserve">As an NTAC member the Regional Engagement Specialist is </w:t>
            </w:r>
            <w:r w:rsidR="004C0634">
              <w:rPr>
                <w:rFonts w:asciiTheme="minorHAnsi" w:hAnsiTheme="minorHAnsi"/>
                <w:sz w:val="22"/>
                <w:szCs w:val="28"/>
              </w:rPr>
              <w:t xml:space="preserve">expected to: </w:t>
            </w:r>
          </w:p>
          <w:p w14:paraId="12234521" w14:textId="48F270EA" w:rsidR="004C0634" w:rsidRPr="00952E87" w:rsidRDefault="004C0634" w:rsidP="00952E87">
            <w:pPr>
              <w:pStyle w:val="ListParagraph"/>
              <w:numPr>
                <w:ilvl w:val="0"/>
                <w:numId w:val="6"/>
              </w:numPr>
              <w:spacing w:after="120"/>
              <w:rPr>
                <w:rFonts w:asciiTheme="minorHAnsi" w:hAnsiTheme="minorHAnsi"/>
                <w:sz w:val="22"/>
                <w:szCs w:val="28"/>
              </w:rPr>
            </w:pPr>
            <w:r w:rsidRPr="00952E87">
              <w:rPr>
                <w:rFonts w:asciiTheme="minorHAnsi" w:hAnsiTheme="minorHAnsi"/>
                <w:sz w:val="22"/>
                <w:szCs w:val="28"/>
              </w:rPr>
              <w:t xml:space="preserve">Attend </w:t>
            </w:r>
            <w:r w:rsidR="005A17E3">
              <w:rPr>
                <w:rFonts w:asciiTheme="minorHAnsi" w:hAnsiTheme="minorHAnsi"/>
                <w:sz w:val="22"/>
                <w:szCs w:val="28"/>
              </w:rPr>
              <w:t xml:space="preserve">and actively participate in </w:t>
            </w:r>
            <w:r w:rsidRPr="00952E87">
              <w:rPr>
                <w:rFonts w:asciiTheme="minorHAnsi" w:hAnsiTheme="minorHAnsi"/>
                <w:sz w:val="22"/>
                <w:szCs w:val="28"/>
              </w:rPr>
              <w:t>sc</w:t>
            </w:r>
            <w:r w:rsidR="00E30959" w:rsidRPr="00952E87">
              <w:rPr>
                <w:rFonts w:asciiTheme="minorHAnsi" w:hAnsiTheme="minorHAnsi"/>
                <w:sz w:val="22"/>
                <w:szCs w:val="28"/>
              </w:rPr>
              <w:t xml:space="preserve">heduled </w:t>
            </w:r>
            <w:r w:rsidR="00FD0A5D" w:rsidRPr="00952E87">
              <w:rPr>
                <w:rFonts w:asciiTheme="minorHAnsi" w:hAnsiTheme="minorHAnsi"/>
                <w:sz w:val="22"/>
                <w:szCs w:val="28"/>
              </w:rPr>
              <w:t>NTAC meetings</w:t>
            </w:r>
            <w:r w:rsidRPr="00952E87">
              <w:rPr>
                <w:rFonts w:asciiTheme="minorHAnsi" w:hAnsiTheme="minorHAnsi"/>
                <w:sz w:val="22"/>
                <w:szCs w:val="28"/>
              </w:rPr>
              <w:t xml:space="preserve"> and </w:t>
            </w:r>
            <w:r w:rsidR="005A17E3">
              <w:rPr>
                <w:rFonts w:asciiTheme="minorHAnsi" w:hAnsiTheme="minorHAnsi"/>
                <w:sz w:val="22"/>
                <w:szCs w:val="28"/>
              </w:rPr>
              <w:t>related o</w:t>
            </w:r>
            <w:r w:rsidRPr="00952E87">
              <w:rPr>
                <w:rFonts w:asciiTheme="minorHAnsi" w:hAnsiTheme="minorHAnsi"/>
                <w:sz w:val="22"/>
                <w:szCs w:val="28"/>
              </w:rPr>
              <w:t xml:space="preserve">ut-of-session </w:t>
            </w:r>
            <w:r w:rsidR="005A17E3">
              <w:rPr>
                <w:rFonts w:asciiTheme="minorHAnsi" w:hAnsiTheme="minorHAnsi"/>
                <w:sz w:val="22"/>
                <w:szCs w:val="28"/>
              </w:rPr>
              <w:t>activities.</w:t>
            </w:r>
          </w:p>
          <w:p w14:paraId="10D99784" w14:textId="63993396" w:rsidR="004C0634" w:rsidRPr="00952E87" w:rsidRDefault="004C0634" w:rsidP="00952E87">
            <w:pPr>
              <w:pStyle w:val="ListParagraph"/>
              <w:numPr>
                <w:ilvl w:val="0"/>
                <w:numId w:val="6"/>
              </w:numPr>
              <w:spacing w:after="120"/>
              <w:rPr>
                <w:rFonts w:asciiTheme="minorHAnsi" w:hAnsiTheme="minorHAnsi"/>
                <w:sz w:val="22"/>
                <w:szCs w:val="28"/>
              </w:rPr>
            </w:pPr>
            <w:r w:rsidRPr="00952E87">
              <w:rPr>
                <w:rFonts w:asciiTheme="minorHAnsi" w:hAnsiTheme="minorHAnsi"/>
                <w:sz w:val="22"/>
                <w:szCs w:val="28"/>
              </w:rPr>
              <w:t xml:space="preserve">Contribute regional perspectives to inform NTAC’s strategic priorities and </w:t>
            </w:r>
            <w:r w:rsidR="00855E4B" w:rsidRPr="00855E4B">
              <w:rPr>
                <w:rFonts w:asciiTheme="minorHAnsi" w:hAnsiTheme="minorHAnsi"/>
                <w:sz w:val="22"/>
                <w:szCs w:val="28"/>
              </w:rPr>
              <w:t>advice.</w:t>
            </w:r>
          </w:p>
          <w:p w14:paraId="6843912C" w14:textId="0B81F973" w:rsidR="004C0634" w:rsidRPr="00952E87" w:rsidRDefault="004C0634" w:rsidP="00952E87">
            <w:pPr>
              <w:pStyle w:val="ListParagraph"/>
              <w:numPr>
                <w:ilvl w:val="0"/>
                <w:numId w:val="6"/>
              </w:numPr>
              <w:spacing w:after="120"/>
              <w:rPr>
                <w:rFonts w:asciiTheme="minorHAnsi" w:hAnsiTheme="minorHAnsi"/>
                <w:sz w:val="22"/>
                <w:szCs w:val="28"/>
              </w:rPr>
            </w:pPr>
            <w:r w:rsidRPr="00952E87">
              <w:rPr>
                <w:rFonts w:asciiTheme="minorHAnsi" w:hAnsiTheme="minorHAnsi"/>
                <w:sz w:val="22"/>
                <w:szCs w:val="28"/>
              </w:rPr>
              <w:t xml:space="preserve">Support informed decision-making through sharing expertise, evidence, and contextual </w:t>
            </w:r>
            <w:r w:rsidR="00855E4B" w:rsidRPr="00855E4B">
              <w:rPr>
                <w:rFonts w:asciiTheme="minorHAnsi" w:hAnsiTheme="minorHAnsi"/>
                <w:sz w:val="22"/>
                <w:szCs w:val="28"/>
              </w:rPr>
              <w:t>knowledge.</w:t>
            </w:r>
            <w:r w:rsidRPr="00952E87">
              <w:rPr>
                <w:rFonts w:asciiTheme="minorHAnsi" w:hAnsiTheme="minorHAnsi"/>
                <w:sz w:val="22"/>
                <w:szCs w:val="28"/>
              </w:rPr>
              <w:t xml:space="preserve"> </w:t>
            </w:r>
          </w:p>
          <w:p w14:paraId="030D0DD8" w14:textId="7B396B53" w:rsidR="004C0634" w:rsidRDefault="005A17E3" w:rsidP="002D76E0">
            <w:pPr>
              <w:pStyle w:val="ListParagraph"/>
              <w:numPr>
                <w:ilvl w:val="0"/>
                <w:numId w:val="6"/>
              </w:numPr>
              <w:spacing w:after="120"/>
              <w:rPr>
                <w:rFonts w:asciiTheme="minorHAnsi" w:hAnsiTheme="minorHAnsi"/>
                <w:sz w:val="22"/>
                <w:szCs w:val="28"/>
              </w:rPr>
            </w:pPr>
            <w:r>
              <w:rPr>
                <w:rFonts w:asciiTheme="minorHAnsi" w:hAnsiTheme="minorHAnsi"/>
                <w:sz w:val="22"/>
                <w:szCs w:val="28"/>
              </w:rPr>
              <w:t>Support NTAC in</w:t>
            </w:r>
            <w:r w:rsidR="004C0634" w:rsidRPr="00952E87">
              <w:rPr>
                <w:rFonts w:asciiTheme="minorHAnsi" w:hAnsiTheme="minorHAnsi"/>
                <w:sz w:val="22"/>
                <w:szCs w:val="28"/>
              </w:rPr>
              <w:t xml:space="preserve"> identify</w:t>
            </w:r>
            <w:r>
              <w:rPr>
                <w:rFonts w:asciiTheme="minorHAnsi" w:hAnsiTheme="minorHAnsi"/>
                <w:sz w:val="22"/>
                <w:szCs w:val="28"/>
              </w:rPr>
              <w:t>ing</w:t>
            </w:r>
            <w:r w:rsidR="004C0634" w:rsidRPr="00952E87">
              <w:rPr>
                <w:rFonts w:asciiTheme="minorHAnsi" w:hAnsiTheme="minorHAnsi"/>
                <w:sz w:val="22"/>
                <w:szCs w:val="28"/>
              </w:rPr>
              <w:t xml:space="preserve"> </w:t>
            </w:r>
            <w:r w:rsidR="002D76E0" w:rsidRPr="00952E87">
              <w:rPr>
                <w:rFonts w:asciiTheme="minorHAnsi" w:hAnsiTheme="minorHAnsi"/>
                <w:sz w:val="22"/>
                <w:szCs w:val="28"/>
              </w:rPr>
              <w:t xml:space="preserve">opportunities to strengthen Australia’s engagement in regional and global TB responses. </w:t>
            </w:r>
          </w:p>
          <w:p w14:paraId="69BC4276" w14:textId="4F4A0808" w:rsidR="005A17E3" w:rsidRPr="00952E87" w:rsidRDefault="005A17E3" w:rsidP="00952E87">
            <w:pPr>
              <w:pStyle w:val="ListParagraph"/>
              <w:numPr>
                <w:ilvl w:val="0"/>
                <w:numId w:val="6"/>
              </w:numPr>
              <w:spacing w:after="120"/>
              <w:rPr>
                <w:rFonts w:asciiTheme="minorHAnsi" w:hAnsiTheme="minorHAnsi"/>
                <w:sz w:val="22"/>
                <w:szCs w:val="28"/>
              </w:rPr>
            </w:pPr>
            <w:r>
              <w:rPr>
                <w:rFonts w:asciiTheme="minorHAnsi" w:hAnsiTheme="minorHAnsi"/>
                <w:sz w:val="22"/>
                <w:szCs w:val="28"/>
              </w:rPr>
              <w:t xml:space="preserve">Act in accordance with applicable governance requirements, including confidentiality and conflict of interest obligations. </w:t>
            </w:r>
          </w:p>
          <w:p w14:paraId="3933F8E1" w14:textId="77777777" w:rsidR="004C0634" w:rsidRDefault="004C0634" w:rsidP="00E30959">
            <w:pPr>
              <w:spacing w:after="120"/>
              <w:rPr>
                <w:rFonts w:asciiTheme="minorHAnsi" w:hAnsiTheme="minorHAnsi"/>
                <w:sz w:val="22"/>
                <w:szCs w:val="28"/>
              </w:rPr>
            </w:pPr>
          </w:p>
          <w:p w14:paraId="2FF97414" w14:textId="460EC263" w:rsidR="00FD0A5D" w:rsidRPr="003D7668" w:rsidRDefault="00E30959" w:rsidP="002D76E0">
            <w:pPr>
              <w:spacing w:after="120"/>
              <w:rPr>
                <w:rFonts w:asciiTheme="minorHAnsi" w:hAnsiTheme="minorHAnsi"/>
                <w:sz w:val="22"/>
                <w:szCs w:val="28"/>
              </w:rPr>
            </w:pPr>
            <w:r w:rsidRPr="00E30959">
              <w:rPr>
                <w:rFonts w:asciiTheme="minorHAnsi" w:hAnsiTheme="minorHAnsi"/>
                <w:sz w:val="22"/>
                <w:szCs w:val="28"/>
              </w:rPr>
              <w:lastRenderedPageBreak/>
              <w:t>The NTAC</w:t>
            </w:r>
            <w:r w:rsidR="002D76E0">
              <w:rPr>
                <w:rFonts w:asciiTheme="minorHAnsi" w:hAnsiTheme="minorHAnsi"/>
                <w:sz w:val="22"/>
                <w:szCs w:val="28"/>
              </w:rPr>
              <w:t xml:space="preserve"> </w:t>
            </w:r>
            <w:r w:rsidR="00855E4B">
              <w:rPr>
                <w:rFonts w:asciiTheme="minorHAnsi" w:hAnsiTheme="minorHAnsi"/>
                <w:sz w:val="22"/>
                <w:szCs w:val="28"/>
              </w:rPr>
              <w:t>convenes</w:t>
            </w:r>
            <w:r w:rsidR="005A17E3">
              <w:rPr>
                <w:rFonts w:asciiTheme="minorHAnsi" w:hAnsiTheme="minorHAnsi"/>
                <w:sz w:val="22"/>
                <w:szCs w:val="28"/>
              </w:rPr>
              <w:t xml:space="preserve"> </w:t>
            </w:r>
            <w:r w:rsidRPr="00E30959">
              <w:rPr>
                <w:rFonts w:asciiTheme="minorHAnsi" w:hAnsiTheme="minorHAnsi"/>
                <w:sz w:val="22"/>
                <w:szCs w:val="28"/>
              </w:rPr>
              <w:t xml:space="preserve">at least one face to face meeting </w:t>
            </w:r>
            <w:r w:rsidR="002D76E0">
              <w:rPr>
                <w:rFonts w:asciiTheme="minorHAnsi" w:hAnsiTheme="minorHAnsi"/>
                <w:sz w:val="22"/>
                <w:szCs w:val="28"/>
              </w:rPr>
              <w:t>annually (usually in Canberra) and a minimum of two teleconference</w:t>
            </w:r>
            <w:r w:rsidR="00855E4B">
              <w:rPr>
                <w:rFonts w:asciiTheme="minorHAnsi" w:hAnsiTheme="minorHAnsi"/>
                <w:sz w:val="22"/>
                <w:szCs w:val="28"/>
              </w:rPr>
              <w:t>s</w:t>
            </w:r>
            <w:r w:rsidR="002D76E0">
              <w:rPr>
                <w:rFonts w:asciiTheme="minorHAnsi" w:hAnsiTheme="minorHAnsi"/>
                <w:sz w:val="22"/>
                <w:szCs w:val="28"/>
              </w:rPr>
              <w:t xml:space="preserve"> per year</w:t>
            </w:r>
            <w:r w:rsidR="005A17E3">
              <w:rPr>
                <w:rFonts w:asciiTheme="minorHAnsi" w:hAnsiTheme="minorHAnsi"/>
                <w:sz w:val="22"/>
                <w:szCs w:val="28"/>
              </w:rPr>
              <w:t>. Additional meetings may be scheduled</w:t>
            </w:r>
            <w:r w:rsidR="002D76E0">
              <w:rPr>
                <w:rFonts w:asciiTheme="minorHAnsi" w:hAnsiTheme="minorHAnsi"/>
                <w:sz w:val="22"/>
                <w:szCs w:val="28"/>
              </w:rPr>
              <w:t xml:space="preserve"> as required. </w:t>
            </w:r>
          </w:p>
        </w:tc>
      </w:tr>
      <w:tr w:rsidR="002D76E0" w14:paraId="5DFAD232" w14:textId="77777777" w:rsidTr="053A33E7">
        <w:trPr>
          <w:trHeight w:val="272"/>
        </w:trPr>
        <w:tc>
          <w:tcPr>
            <w:tcW w:w="2841" w:type="dxa"/>
            <w:tcBorders>
              <w:top w:val="single" w:sz="4" w:space="0" w:color="auto"/>
              <w:bottom w:val="single" w:sz="4" w:space="0" w:color="auto"/>
            </w:tcBorders>
          </w:tcPr>
          <w:p w14:paraId="3D09F184" w14:textId="394735AF" w:rsidR="002D76E0" w:rsidRPr="00D24D7E" w:rsidRDefault="002D76E0" w:rsidP="00C61943">
            <w:pPr>
              <w:rPr>
                <w:rFonts w:ascii="Aptos" w:hAnsi="Aptos"/>
                <w:b/>
                <w:bCs/>
                <w:sz w:val="22"/>
                <w:szCs w:val="28"/>
              </w:rPr>
            </w:pPr>
            <w:r>
              <w:rPr>
                <w:rFonts w:ascii="Aptos" w:hAnsi="Aptos"/>
                <w:b/>
                <w:bCs/>
                <w:sz w:val="22"/>
                <w:szCs w:val="28"/>
              </w:rPr>
              <w:lastRenderedPageBreak/>
              <w:t>Eligibility</w:t>
            </w:r>
          </w:p>
        </w:tc>
        <w:tc>
          <w:tcPr>
            <w:tcW w:w="7213" w:type="dxa"/>
            <w:tcBorders>
              <w:top w:val="single" w:sz="4" w:space="0" w:color="auto"/>
              <w:bottom w:val="single" w:sz="4" w:space="0" w:color="auto"/>
            </w:tcBorders>
          </w:tcPr>
          <w:p w14:paraId="41831CF6" w14:textId="3014F31B" w:rsidR="002D76E0" w:rsidRPr="003D7668" w:rsidRDefault="009340BC" w:rsidP="00940F8D">
            <w:pPr>
              <w:spacing w:after="120"/>
              <w:rPr>
                <w:rFonts w:ascii="Aptos" w:hAnsi="Aptos"/>
                <w:sz w:val="22"/>
                <w:szCs w:val="28"/>
              </w:rPr>
            </w:pPr>
            <w:r>
              <w:rPr>
                <w:rFonts w:ascii="Aptos" w:hAnsi="Aptos"/>
                <w:sz w:val="22"/>
                <w:szCs w:val="28"/>
              </w:rPr>
              <w:t>The Regional Engagement Specialist</w:t>
            </w:r>
            <w:r w:rsidR="002D76E0">
              <w:rPr>
                <w:rFonts w:ascii="Aptos" w:hAnsi="Aptos"/>
                <w:sz w:val="22"/>
                <w:szCs w:val="28"/>
              </w:rPr>
              <w:t xml:space="preserve"> must be an Australian citizen. Members are not required to reside in Australia.</w:t>
            </w:r>
            <w:r>
              <w:rPr>
                <w:rFonts w:ascii="Aptos" w:hAnsi="Aptos"/>
                <w:sz w:val="22"/>
                <w:szCs w:val="28"/>
              </w:rPr>
              <w:t xml:space="preserve"> Experience living and/or working in the Pacific and/or Southeast Asia, or strong links to these regions would be beneficial to the role. </w:t>
            </w:r>
            <w:r w:rsidR="002D76E0">
              <w:rPr>
                <w:rFonts w:ascii="Aptos" w:hAnsi="Aptos"/>
                <w:sz w:val="22"/>
                <w:szCs w:val="28"/>
              </w:rPr>
              <w:t xml:space="preserve"> </w:t>
            </w:r>
          </w:p>
        </w:tc>
      </w:tr>
      <w:tr w:rsidR="00FD0A5D" w14:paraId="4D7E8B18" w14:textId="77777777" w:rsidTr="053A33E7">
        <w:trPr>
          <w:trHeight w:val="272"/>
        </w:trPr>
        <w:tc>
          <w:tcPr>
            <w:tcW w:w="2841" w:type="dxa"/>
            <w:tcBorders>
              <w:top w:val="single" w:sz="4" w:space="0" w:color="auto"/>
              <w:bottom w:val="single" w:sz="4" w:space="0" w:color="auto"/>
            </w:tcBorders>
          </w:tcPr>
          <w:p w14:paraId="4E0E9364" w14:textId="356DAADD" w:rsidR="00FD0A5D" w:rsidRPr="00D24D7E" w:rsidRDefault="00FD0A5D" w:rsidP="00C61943">
            <w:pPr>
              <w:rPr>
                <w:rFonts w:ascii="Aptos" w:hAnsi="Aptos"/>
                <w:b/>
                <w:bCs/>
                <w:sz w:val="22"/>
                <w:szCs w:val="28"/>
              </w:rPr>
            </w:pPr>
            <w:r w:rsidRPr="00D24D7E">
              <w:rPr>
                <w:rFonts w:ascii="Aptos" w:hAnsi="Aptos"/>
                <w:b/>
                <w:bCs/>
                <w:sz w:val="22"/>
                <w:szCs w:val="28"/>
              </w:rPr>
              <w:t>Remuneration</w:t>
            </w:r>
            <w:r w:rsidR="002D76E0">
              <w:rPr>
                <w:rFonts w:ascii="Aptos" w:hAnsi="Aptos"/>
                <w:b/>
                <w:bCs/>
                <w:sz w:val="22"/>
                <w:szCs w:val="28"/>
              </w:rPr>
              <w:t xml:space="preserve"> and Support </w:t>
            </w:r>
          </w:p>
          <w:p w14:paraId="4F0C0ADF" w14:textId="77777777" w:rsidR="00FD0A5D" w:rsidRPr="00D24D7E" w:rsidRDefault="00FD0A5D" w:rsidP="00C61943">
            <w:pPr>
              <w:rPr>
                <w:rFonts w:ascii="Aptos" w:hAnsi="Aptos"/>
                <w:b/>
                <w:bCs/>
                <w:sz w:val="22"/>
                <w:szCs w:val="28"/>
              </w:rPr>
            </w:pPr>
          </w:p>
          <w:p w14:paraId="41CD77AC" w14:textId="77777777" w:rsidR="00FD0A5D" w:rsidRPr="00D24D7E" w:rsidRDefault="00FD0A5D" w:rsidP="00C61943">
            <w:pPr>
              <w:rPr>
                <w:rFonts w:ascii="Aptos" w:hAnsi="Aptos"/>
                <w:b/>
                <w:bCs/>
                <w:sz w:val="22"/>
                <w:szCs w:val="28"/>
              </w:rPr>
            </w:pPr>
          </w:p>
          <w:p w14:paraId="52008915" w14:textId="2B02DD67" w:rsidR="00FD0A5D" w:rsidRPr="00D24D7E" w:rsidRDefault="00FD0A5D" w:rsidP="00C61943">
            <w:pPr>
              <w:rPr>
                <w:rFonts w:ascii="Aptos" w:hAnsi="Aptos"/>
                <w:b/>
                <w:bCs/>
                <w:sz w:val="22"/>
                <w:szCs w:val="28"/>
              </w:rPr>
            </w:pPr>
          </w:p>
        </w:tc>
        <w:tc>
          <w:tcPr>
            <w:tcW w:w="7213" w:type="dxa"/>
            <w:tcBorders>
              <w:top w:val="single" w:sz="4" w:space="0" w:color="auto"/>
              <w:bottom w:val="single" w:sz="4" w:space="0" w:color="auto"/>
            </w:tcBorders>
          </w:tcPr>
          <w:p w14:paraId="3DD5B2AD" w14:textId="27CCB3FD" w:rsidR="00FD0A5D" w:rsidRPr="003D7668" w:rsidRDefault="002D76E0" w:rsidP="00940F8D">
            <w:pPr>
              <w:spacing w:after="120"/>
              <w:rPr>
                <w:rFonts w:ascii="Aptos" w:hAnsi="Aptos"/>
                <w:sz w:val="22"/>
                <w:szCs w:val="28"/>
              </w:rPr>
            </w:pPr>
            <w:r>
              <w:rPr>
                <w:rFonts w:ascii="Aptos" w:hAnsi="Aptos"/>
                <w:sz w:val="22"/>
                <w:szCs w:val="28"/>
              </w:rPr>
              <w:t>This is an honorary committee appointment. No rem</w:t>
            </w:r>
            <w:r w:rsidR="00FD0A5D" w:rsidRPr="003D7668">
              <w:rPr>
                <w:rFonts w:ascii="Aptos" w:hAnsi="Aptos"/>
                <w:sz w:val="22"/>
                <w:szCs w:val="28"/>
              </w:rPr>
              <w:t>uneration</w:t>
            </w:r>
            <w:r>
              <w:rPr>
                <w:rFonts w:ascii="Aptos" w:hAnsi="Aptos"/>
                <w:sz w:val="22"/>
                <w:szCs w:val="28"/>
              </w:rPr>
              <w:t xml:space="preserve"> is attached to this </w:t>
            </w:r>
            <w:r w:rsidR="00FD0A5D" w:rsidRPr="003D7668">
              <w:rPr>
                <w:rFonts w:ascii="Aptos" w:hAnsi="Aptos"/>
                <w:sz w:val="22"/>
                <w:szCs w:val="28"/>
              </w:rPr>
              <w:t>position</w:t>
            </w:r>
            <w:r w:rsidR="00486997" w:rsidRPr="003D7668">
              <w:rPr>
                <w:rFonts w:ascii="Aptos" w:hAnsi="Aptos"/>
                <w:sz w:val="22"/>
                <w:szCs w:val="28"/>
              </w:rPr>
              <w:t xml:space="preserve"> and </w:t>
            </w:r>
            <w:r w:rsidR="00FD0A5D" w:rsidRPr="003D7668">
              <w:rPr>
                <w:rFonts w:ascii="Aptos" w:hAnsi="Aptos"/>
                <w:sz w:val="22"/>
                <w:szCs w:val="28"/>
              </w:rPr>
              <w:t xml:space="preserve">NTAC members are not eligible for sitting fees. </w:t>
            </w:r>
          </w:p>
          <w:p w14:paraId="7997BEC5" w14:textId="5E7C350D" w:rsidR="00F60A09" w:rsidRPr="003D7668" w:rsidRDefault="002D76E0" w:rsidP="00940F8D">
            <w:pPr>
              <w:spacing w:after="120"/>
              <w:rPr>
                <w:rFonts w:ascii="Aptos" w:hAnsi="Aptos"/>
                <w:sz w:val="22"/>
                <w:szCs w:val="28"/>
              </w:rPr>
            </w:pPr>
            <w:r>
              <w:rPr>
                <w:rFonts w:ascii="Aptos" w:hAnsi="Aptos"/>
                <w:sz w:val="22"/>
                <w:szCs w:val="28"/>
              </w:rPr>
              <w:t>Reasonable travel, accommodation, and incidental expenses associated with attendance at scheduled face-to-face NTAC meeting will be covered by the Australian</w:t>
            </w:r>
            <w:r w:rsidR="00855E4B">
              <w:rPr>
                <w:rFonts w:ascii="Aptos" w:hAnsi="Aptos"/>
                <w:sz w:val="22"/>
                <w:szCs w:val="28"/>
              </w:rPr>
              <w:t xml:space="preserve"> </w:t>
            </w:r>
            <w:r w:rsidR="00283B97" w:rsidRPr="003D7668">
              <w:rPr>
                <w:rFonts w:ascii="Aptos" w:hAnsi="Aptos"/>
                <w:sz w:val="22"/>
                <w:szCs w:val="28"/>
              </w:rPr>
              <w:t>Centre for Disease Control</w:t>
            </w:r>
            <w:r>
              <w:rPr>
                <w:rFonts w:ascii="Aptos" w:hAnsi="Aptos"/>
                <w:sz w:val="22"/>
                <w:szCs w:val="28"/>
              </w:rPr>
              <w:t xml:space="preserve">. </w:t>
            </w:r>
            <w:r w:rsidR="00283B97" w:rsidRPr="003D7668">
              <w:rPr>
                <w:rFonts w:ascii="Aptos" w:hAnsi="Aptos"/>
                <w:sz w:val="22"/>
                <w:szCs w:val="28"/>
              </w:rPr>
              <w:t xml:space="preserve"> </w:t>
            </w:r>
          </w:p>
        </w:tc>
      </w:tr>
      <w:tr w:rsidR="00FD0A5D" w14:paraId="7C645F07" w14:textId="77777777" w:rsidTr="053A33E7">
        <w:trPr>
          <w:trHeight w:val="272"/>
        </w:trPr>
        <w:tc>
          <w:tcPr>
            <w:tcW w:w="2841" w:type="dxa"/>
            <w:tcBorders>
              <w:top w:val="single" w:sz="4" w:space="0" w:color="auto"/>
              <w:bottom w:val="single" w:sz="4" w:space="0" w:color="auto"/>
            </w:tcBorders>
          </w:tcPr>
          <w:p w14:paraId="6A00430A" w14:textId="0D77B2C9" w:rsidR="00FD0A5D" w:rsidRPr="004439EE" w:rsidRDefault="00FD0A5D" w:rsidP="00C61943">
            <w:pPr>
              <w:rPr>
                <w:rFonts w:asciiTheme="minorHAnsi" w:hAnsiTheme="minorHAnsi"/>
                <w:b/>
                <w:bCs/>
                <w:sz w:val="22"/>
                <w:szCs w:val="22"/>
              </w:rPr>
            </w:pPr>
            <w:r w:rsidRPr="004439EE">
              <w:rPr>
                <w:rFonts w:asciiTheme="minorHAnsi" w:hAnsiTheme="minorHAnsi"/>
                <w:b/>
                <w:bCs/>
                <w:sz w:val="22"/>
                <w:szCs w:val="22"/>
              </w:rPr>
              <w:t xml:space="preserve">Contact </w:t>
            </w:r>
            <w:r w:rsidR="004439EE">
              <w:rPr>
                <w:rFonts w:asciiTheme="minorHAnsi" w:hAnsiTheme="minorHAnsi"/>
                <w:b/>
                <w:bCs/>
                <w:sz w:val="22"/>
                <w:szCs w:val="22"/>
              </w:rPr>
              <w:t xml:space="preserve">and </w:t>
            </w:r>
            <w:r w:rsidR="008D375C">
              <w:rPr>
                <w:rFonts w:asciiTheme="minorHAnsi" w:hAnsiTheme="minorHAnsi"/>
                <w:b/>
                <w:bCs/>
                <w:sz w:val="22"/>
                <w:szCs w:val="22"/>
              </w:rPr>
              <w:t>A</w:t>
            </w:r>
            <w:r w:rsidR="004439EE">
              <w:rPr>
                <w:rFonts w:asciiTheme="minorHAnsi" w:hAnsiTheme="minorHAnsi"/>
                <w:b/>
                <w:bCs/>
                <w:sz w:val="22"/>
                <w:szCs w:val="22"/>
              </w:rPr>
              <w:t>pplications</w:t>
            </w:r>
          </w:p>
        </w:tc>
        <w:tc>
          <w:tcPr>
            <w:tcW w:w="7213" w:type="dxa"/>
            <w:tcBorders>
              <w:top w:val="single" w:sz="4" w:space="0" w:color="auto"/>
              <w:bottom w:val="single" w:sz="4" w:space="0" w:color="auto"/>
            </w:tcBorders>
          </w:tcPr>
          <w:p w14:paraId="5DCFBD17" w14:textId="5ABEE92F" w:rsidR="00347B08" w:rsidRDefault="00632B88" w:rsidP="00940F8D">
            <w:pPr>
              <w:spacing w:after="120"/>
              <w:rPr>
                <w:rFonts w:asciiTheme="minorHAnsi" w:hAnsiTheme="minorHAnsi"/>
                <w:sz w:val="22"/>
                <w:szCs w:val="22"/>
              </w:rPr>
            </w:pPr>
            <w:r w:rsidRPr="004439EE">
              <w:rPr>
                <w:rFonts w:asciiTheme="minorHAnsi" w:hAnsiTheme="minorHAnsi"/>
                <w:sz w:val="22"/>
                <w:szCs w:val="22"/>
              </w:rPr>
              <w:t xml:space="preserve">Interested applicants are encouraged </w:t>
            </w:r>
            <w:r w:rsidR="004439EE" w:rsidRPr="004439EE">
              <w:rPr>
                <w:rFonts w:asciiTheme="minorHAnsi" w:hAnsiTheme="minorHAnsi"/>
                <w:sz w:val="22"/>
                <w:szCs w:val="22"/>
              </w:rPr>
              <w:t xml:space="preserve">to contact </w:t>
            </w:r>
            <w:hyperlink r:id="rId11" w:history="1">
              <w:r w:rsidR="009B3567" w:rsidRPr="009B3567">
                <w:rPr>
                  <w:rStyle w:val="Hyperlink"/>
                  <w:rFonts w:asciiTheme="minorHAnsi" w:hAnsiTheme="minorHAnsi"/>
                  <w:sz w:val="22"/>
                  <w:szCs w:val="22"/>
                </w:rPr>
                <w:t>ntac.secretariat@cdc.gov.au</w:t>
              </w:r>
            </w:hyperlink>
            <w:r w:rsidR="004439EE" w:rsidRPr="00F31D65">
              <w:rPr>
                <w:rFonts w:asciiTheme="minorHAnsi" w:hAnsiTheme="minorHAnsi"/>
                <w:sz w:val="22"/>
                <w:szCs w:val="22"/>
              </w:rPr>
              <w:t xml:space="preserve"> with any questions</w:t>
            </w:r>
            <w:r w:rsidR="00A96225">
              <w:rPr>
                <w:rFonts w:asciiTheme="minorHAnsi" w:hAnsiTheme="minorHAnsi"/>
                <w:sz w:val="22"/>
                <w:szCs w:val="22"/>
              </w:rPr>
              <w:t xml:space="preserve"> or to seek further information. </w:t>
            </w:r>
          </w:p>
          <w:p w14:paraId="2718C5AE" w14:textId="1B59680D" w:rsidR="00C61943" w:rsidRPr="004439EE" w:rsidRDefault="4B083C5A" w:rsidP="053A33E7">
            <w:pPr>
              <w:spacing w:after="120"/>
              <w:rPr>
                <w:rFonts w:asciiTheme="minorHAnsi" w:hAnsiTheme="minorHAnsi"/>
                <w:sz w:val="22"/>
                <w:szCs w:val="22"/>
              </w:rPr>
            </w:pPr>
            <w:r w:rsidRPr="053A33E7">
              <w:rPr>
                <w:rFonts w:asciiTheme="minorHAnsi" w:hAnsiTheme="minorHAnsi"/>
                <w:sz w:val="22"/>
                <w:szCs w:val="22"/>
              </w:rPr>
              <w:t xml:space="preserve">To formally apply, please </w:t>
            </w:r>
            <w:r w:rsidRPr="006A63B6">
              <w:rPr>
                <w:rFonts w:asciiTheme="minorHAnsi" w:eastAsiaTheme="minorEastAsia" w:hAnsiTheme="minorHAnsi"/>
                <w:sz w:val="22"/>
                <w:szCs w:val="22"/>
              </w:rPr>
              <w:t>send</w:t>
            </w:r>
            <w:r w:rsidRPr="053A33E7">
              <w:rPr>
                <w:rFonts w:asciiTheme="minorHAnsi" w:hAnsiTheme="minorHAnsi"/>
                <w:sz w:val="22"/>
                <w:szCs w:val="22"/>
              </w:rPr>
              <w:t xml:space="preserve"> a copy of your current curriculum vitae to </w:t>
            </w:r>
            <w:hyperlink r:id="rId12" w:history="1">
              <w:r w:rsidR="006A63B6" w:rsidRPr="006A63B6">
                <w:rPr>
                  <w:rStyle w:val="Hyperlink"/>
                  <w:rFonts w:asciiTheme="minorHAnsi" w:hAnsiTheme="minorHAnsi"/>
                  <w:sz w:val="22"/>
                  <w:szCs w:val="22"/>
                </w:rPr>
                <w:t xml:space="preserve">ntac.secretariat@cdc.gov.au </w:t>
              </w:r>
            </w:hyperlink>
            <w:r w:rsidR="006A63B6">
              <w:t xml:space="preserve"> </w:t>
            </w:r>
            <w:r w:rsidR="006A63B6" w:rsidRPr="006A63B6">
              <w:rPr>
                <w:rFonts w:asciiTheme="minorHAnsi" w:hAnsiTheme="minorHAnsi"/>
                <w:b/>
                <w:bCs/>
                <w:sz w:val="22"/>
                <w:szCs w:val="22"/>
                <w:u w:val="single"/>
              </w:rPr>
              <w:t>by 31 March 2026.</w:t>
            </w:r>
            <w:r w:rsidRPr="053A33E7">
              <w:rPr>
                <w:rFonts w:asciiTheme="minorHAnsi" w:hAnsiTheme="minorHAnsi"/>
                <w:sz w:val="22"/>
                <w:szCs w:val="22"/>
              </w:rPr>
              <w:t xml:space="preserve"> </w:t>
            </w:r>
            <w:r w:rsidR="0895676B" w:rsidRPr="053A33E7">
              <w:rPr>
                <w:rFonts w:asciiTheme="minorHAnsi" w:hAnsiTheme="minorHAnsi"/>
                <w:sz w:val="22"/>
                <w:szCs w:val="22"/>
              </w:rPr>
              <w:t>Applicants</w:t>
            </w:r>
            <w:r w:rsidR="0DBD3B9F" w:rsidRPr="053A33E7">
              <w:rPr>
                <w:rFonts w:asciiTheme="minorHAnsi" w:hAnsiTheme="minorHAnsi"/>
                <w:sz w:val="22"/>
                <w:szCs w:val="22"/>
              </w:rPr>
              <w:t xml:space="preserve"> will be </w:t>
            </w:r>
            <w:r w:rsidR="33D5787F" w:rsidRPr="053A33E7">
              <w:rPr>
                <w:rFonts w:asciiTheme="minorHAnsi" w:hAnsiTheme="minorHAnsi"/>
                <w:sz w:val="22"/>
                <w:szCs w:val="22"/>
              </w:rPr>
              <w:t>considered</w:t>
            </w:r>
            <w:r w:rsidR="27BBD8FA" w:rsidRPr="053A33E7">
              <w:rPr>
                <w:rFonts w:asciiTheme="minorHAnsi" w:hAnsiTheme="minorHAnsi"/>
                <w:sz w:val="22"/>
                <w:szCs w:val="22"/>
              </w:rPr>
              <w:t xml:space="preserve"> and </w:t>
            </w:r>
            <w:r w:rsidR="5FD4E184" w:rsidRPr="053A33E7">
              <w:rPr>
                <w:rFonts w:asciiTheme="minorHAnsi" w:hAnsiTheme="minorHAnsi"/>
                <w:sz w:val="22"/>
                <w:szCs w:val="22"/>
              </w:rPr>
              <w:t>endorsed</w:t>
            </w:r>
            <w:r w:rsidR="33D5787F" w:rsidRPr="053A33E7">
              <w:rPr>
                <w:rFonts w:asciiTheme="minorHAnsi" w:hAnsiTheme="minorHAnsi"/>
                <w:sz w:val="22"/>
                <w:szCs w:val="22"/>
              </w:rPr>
              <w:t xml:space="preserve"> by the </w:t>
            </w:r>
            <w:r w:rsidR="27BBD8FA" w:rsidRPr="053A33E7">
              <w:rPr>
                <w:rFonts w:asciiTheme="minorHAnsi" w:hAnsiTheme="minorHAnsi"/>
                <w:sz w:val="22"/>
                <w:szCs w:val="22"/>
              </w:rPr>
              <w:t xml:space="preserve">current </w:t>
            </w:r>
            <w:r w:rsidR="2DA2D9CE" w:rsidRPr="053A33E7">
              <w:rPr>
                <w:rFonts w:asciiTheme="minorHAnsi" w:hAnsiTheme="minorHAnsi"/>
                <w:sz w:val="22"/>
                <w:szCs w:val="22"/>
              </w:rPr>
              <w:t xml:space="preserve">NTAC </w:t>
            </w:r>
            <w:r w:rsidR="1B732B77" w:rsidRPr="053A33E7">
              <w:rPr>
                <w:rFonts w:asciiTheme="minorHAnsi" w:hAnsiTheme="minorHAnsi"/>
                <w:sz w:val="22"/>
                <w:szCs w:val="22"/>
              </w:rPr>
              <w:t xml:space="preserve">membership. </w:t>
            </w:r>
          </w:p>
        </w:tc>
      </w:tr>
    </w:tbl>
    <w:p w14:paraId="4AEC430E" w14:textId="77777777" w:rsidR="00347B08" w:rsidRDefault="00347B08" w:rsidP="00CB05B5">
      <w:pPr>
        <w:ind w:left="-284"/>
        <w:rPr>
          <w:rFonts w:asciiTheme="minorHAnsi" w:hAnsiTheme="minorHAnsi"/>
          <w:b/>
          <w:bCs/>
          <w:sz w:val="22"/>
          <w:szCs w:val="22"/>
        </w:rPr>
      </w:pPr>
    </w:p>
    <w:p w14:paraId="62E9F3A7" w14:textId="403BA315" w:rsidR="00023A3B" w:rsidRPr="007D66A4" w:rsidRDefault="00CB05B5" w:rsidP="00CB05B5">
      <w:pPr>
        <w:ind w:left="-284"/>
        <w:rPr>
          <w:rFonts w:asciiTheme="minorHAnsi" w:hAnsiTheme="minorHAnsi"/>
          <w:b/>
          <w:bCs/>
          <w:sz w:val="22"/>
          <w:szCs w:val="22"/>
        </w:rPr>
      </w:pPr>
      <w:r w:rsidRPr="007D66A4">
        <w:rPr>
          <w:rFonts w:asciiTheme="minorHAnsi" w:hAnsiTheme="minorHAnsi"/>
          <w:b/>
          <w:bCs/>
          <w:sz w:val="22"/>
          <w:szCs w:val="22"/>
        </w:rPr>
        <w:t xml:space="preserve">About the </w:t>
      </w:r>
      <w:r w:rsidR="005D6C91" w:rsidRPr="007D66A4">
        <w:rPr>
          <w:rFonts w:asciiTheme="minorHAnsi" w:hAnsiTheme="minorHAnsi"/>
          <w:b/>
          <w:bCs/>
          <w:sz w:val="22"/>
          <w:szCs w:val="22"/>
        </w:rPr>
        <w:t>N</w:t>
      </w:r>
      <w:r w:rsidR="00073F06">
        <w:rPr>
          <w:rFonts w:asciiTheme="minorHAnsi" w:hAnsiTheme="minorHAnsi"/>
          <w:b/>
          <w:bCs/>
          <w:sz w:val="22"/>
          <w:szCs w:val="22"/>
        </w:rPr>
        <w:t>ational Tuberculosis Advisory Committee (NTAC)</w:t>
      </w:r>
    </w:p>
    <w:p w14:paraId="646CD8E8" w14:textId="064BFB0D" w:rsidR="00A70C5A" w:rsidRDefault="00487B23" w:rsidP="00A70C5A">
      <w:pPr>
        <w:spacing w:after="120"/>
        <w:ind w:left="-284"/>
        <w:rPr>
          <w:rFonts w:asciiTheme="minorHAnsi" w:hAnsiTheme="minorHAnsi"/>
          <w:sz w:val="22"/>
          <w:szCs w:val="22"/>
        </w:rPr>
      </w:pPr>
      <w:r w:rsidRPr="007D66A4">
        <w:rPr>
          <w:rFonts w:asciiTheme="minorHAnsi" w:hAnsiTheme="minorHAnsi"/>
          <w:sz w:val="22"/>
          <w:szCs w:val="22"/>
        </w:rPr>
        <w:t xml:space="preserve">The </w:t>
      </w:r>
      <w:hyperlink r:id="rId13" w:history="1">
        <w:r w:rsidR="00D93521">
          <w:rPr>
            <w:rStyle w:val="Hyperlink"/>
            <w:rFonts w:asciiTheme="minorHAnsi" w:hAnsiTheme="minorHAnsi" w:cstheme="minorHAnsi"/>
            <w:sz w:val="22"/>
            <w:szCs w:val="22"/>
          </w:rPr>
          <w:t>NTAC</w:t>
        </w:r>
      </w:hyperlink>
      <w:r w:rsidR="00D93521">
        <w:rPr>
          <w:rFonts w:asciiTheme="minorHAnsi" w:hAnsiTheme="minorHAnsi"/>
          <w:sz w:val="22"/>
          <w:szCs w:val="22"/>
        </w:rPr>
        <w:t xml:space="preserve"> </w:t>
      </w:r>
      <w:r w:rsidR="00CB05B5" w:rsidRPr="007D66A4">
        <w:rPr>
          <w:rFonts w:asciiTheme="minorHAnsi" w:hAnsiTheme="minorHAnsi"/>
          <w:sz w:val="22"/>
          <w:szCs w:val="22"/>
        </w:rPr>
        <w:t xml:space="preserve">was established as a sub-committee of the </w:t>
      </w:r>
      <w:hyperlink r:id="rId14" w:history="1">
        <w:r w:rsidR="00CB05B5" w:rsidRPr="007D66A4">
          <w:rPr>
            <w:rStyle w:val="Hyperlink"/>
            <w:rFonts w:asciiTheme="minorHAnsi" w:hAnsiTheme="minorHAnsi"/>
            <w:sz w:val="22"/>
            <w:szCs w:val="22"/>
          </w:rPr>
          <w:t>Communicable Diseases Network Australia (CDNA)</w:t>
        </w:r>
      </w:hyperlink>
      <w:r w:rsidR="002B6753" w:rsidRPr="007D66A4">
        <w:rPr>
          <w:rFonts w:asciiTheme="minorHAnsi" w:hAnsiTheme="minorHAnsi"/>
          <w:sz w:val="22"/>
          <w:szCs w:val="22"/>
        </w:rPr>
        <w:t xml:space="preserve"> </w:t>
      </w:r>
      <w:r w:rsidR="00CB05B5" w:rsidRPr="007D66A4">
        <w:rPr>
          <w:rFonts w:asciiTheme="minorHAnsi" w:hAnsiTheme="minorHAnsi"/>
          <w:sz w:val="22"/>
          <w:szCs w:val="22"/>
        </w:rPr>
        <w:t>to provide strategic, expert advice to states and territories and the Commonwealt</w:t>
      </w:r>
      <w:r w:rsidR="00A70C5A">
        <w:rPr>
          <w:rFonts w:asciiTheme="minorHAnsi" w:hAnsiTheme="minorHAnsi"/>
          <w:sz w:val="22"/>
          <w:szCs w:val="22"/>
        </w:rPr>
        <w:t>h</w:t>
      </w:r>
      <w:r w:rsidR="006474C1">
        <w:rPr>
          <w:rFonts w:asciiTheme="minorHAnsi" w:hAnsiTheme="minorHAnsi"/>
          <w:sz w:val="22"/>
          <w:szCs w:val="22"/>
        </w:rPr>
        <w:t xml:space="preserve"> on TB. </w:t>
      </w:r>
    </w:p>
    <w:p w14:paraId="6026B090" w14:textId="4B891163" w:rsidR="00A70C5A" w:rsidRPr="00A70C5A" w:rsidRDefault="00A70C5A" w:rsidP="00A70C5A">
      <w:pPr>
        <w:spacing w:after="120"/>
        <w:ind w:left="-284"/>
        <w:rPr>
          <w:rFonts w:asciiTheme="minorHAnsi" w:hAnsiTheme="minorHAnsi"/>
          <w:sz w:val="22"/>
          <w:szCs w:val="22"/>
        </w:rPr>
      </w:pPr>
      <w:r w:rsidRPr="00A70C5A">
        <w:rPr>
          <w:rFonts w:asciiTheme="minorHAnsi" w:hAnsiTheme="minorHAnsi"/>
          <w:sz w:val="22"/>
          <w:szCs w:val="22"/>
        </w:rPr>
        <w:t>NTAC’s objectives are to:</w:t>
      </w:r>
    </w:p>
    <w:p w14:paraId="47507BD3" w14:textId="77777777" w:rsidR="00A70C5A" w:rsidRPr="00A70C5A" w:rsidRDefault="00A70C5A" w:rsidP="00A70C5A">
      <w:pPr>
        <w:numPr>
          <w:ilvl w:val="0"/>
          <w:numId w:val="4"/>
        </w:numPr>
        <w:tabs>
          <w:tab w:val="clear" w:pos="360"/>
          <w:tab w:val="num" w:pos="720"/>
        </w:tabs>
        <w:spacing w:after="0" w:line="240" w:lineRule="auto"/>
        <w:contextualSpacing/>
        <w:rPr>
          <w:rFonts w:asciiTheme="minorHAnsi" w:hAnsiTheme="minorHAnsi"/>
          <w:sz w:val="22"/>
          <w:szCs w:val="22"/>
        </w:rPr>
      </w:pPr>
      <w:r w:rsidRPr="00A70C5A">
        <w:rPr>
          <w:rFonts w:asciiTheme="minorHAnsi" w:hAnsiTheme="minorHAnsi"/>
          <w:sz w:val="22"/>
          <w:szCs w:val="22"/>
        </w:rPr>
        <w:t>Define and support the development and maintenance of high-quality surveillance to monitor transmission trends and epidemiological indicators.</w:t>
      </w:r>
    </w:p>
    <w:p w14:paraId="75AB2816" w14:textId="77777777" w:rsidR="00A70C5A" w:rsidRPr="00A70C5A" w:rsidRDefault="00A70C5A" w:rsidP="00A70C5A">
      <w:pPr>
        <w:numPr>
          <w:ilvl w:val="0"/>
          <w:numId w:val="4"/>
        </w:numPr>
        <w:tabs>
          <w:tab w:val="clear" w:pos="360"/>
          <w:tab w:val="num" w:pos="720"/>
        </w:tabs>
        <w:spacing w:before="120" w:after="0" w:line="240" w:lineRule="auto"/>
        <w:ind w:left="357" w:hanging="357"/>
        <w:contextualSpacing/>
        <w:rPr>
          <w:rFonts w:asciiTheme="minorHAnsi" w:hAnsiTheme="minorHAnsi"/>
          <w:sz w:val="22"/>
          <w:szCs w:val="22"/>
        </w:rPr>
      </w:pPr>
      <w:r w:rsidRPr="00A70C5A">
        <w:rPr>
          <w:rFonts w:asciiTheme="minorHAnsi" w:hAnsiTheme="minorHAnsi"/>
          <w:sz w:val="22"/>
          <w:szCs w:val="22"/>
        </w:rPr>
        <w:t>Contribute to strategic advice and planning, with consideration given to priority populations, prevention strategies, effectiveness of treatments and future risks.</w:t>
      </w:r>
    </w:p>
    <w:p w14:paraId="0E4567D3" w14:textId="67D644E9" w:rsidR="006474C1" w:rsidRPr="006474C1" w:rsidRDefault="00A70C5A" w:rsidP="006474C1">
      <w:pPr>
        <w:numPr>
          <w:ilvl w:val="0"/>
          <w:numId w:val="4"/>
        </w:numPr>
        <w:tabs>
          <w:tab w:val="clear" w:pos="360"/>
          <w:tab w:val="num" w:pos="720"/>
        </w:tabs>
        <w:spacing w:after="120"/>
        <w:ind w:left="357" w:hanging="357"/>
        <w:rPr>
          <w:rFonts w:asciiTheme="minorHAnsi" w:hAnsiTheme="minorHAnsi"/>
          <w:sz w:val="22"/>
          <w:szCs w:val="22"/>
        </w:rPr>
      </w:pPr>
      <w:r w:rsidRPr="00A70C5A">
        <w:rPr>
          <w:rFonts w:asciiTheme="minorHAnsi" w:hAnsiTheme="minorHAnsi"/>
          <w:sz w:val="22"/>
          <w:szCs w:val="22"/>
        </w:rPr>
        <w:t>Support the implementation of coordinated national approaches to TB management.</w:t>
      </w:r>
    </w:p>
    <w:p w14:paraId="154569F2" w14:textId="7206E9D4" w:rsidR="006474C1" w:rsidRPr="006474C1" w:rsidRDefault="006474C1" w:rsidP="00940F8D">
      <w:pPr>
        <w:spacing w:after="120"/>
        <w:ind w:left="-284"/>
        <w:rPr>
          <w:rFonts w:asciiTheme="minorHAnsi" w:hAnsiTheme="minorHAnsi"/>
          <w:sz w:val="22"/>
          <w:szCs w:val="22"/>
        </w:rPr>
      </w:pPr>
      <w:r w:rsidRPr="006474C1">
        <w:rPr>
          <w:rFonts w:asciiTheme="minorHAnsi" w:hAnsiTheme="minorHAnsi"/>
          <w:sz w:val="22"/>
          <w:szCs w:val="22"/>
        </w:rPr>
        <w:t>The activities of the NTAC assist in maintaining a high level of knowledge and expertise in Australia regarding TB and ensure continued vigilance and action. The NTAC also provides opportunities for information sharing of TB related activities occurring at the jurisdictional level, including enhanced national surveillance of epidemiological control indices for TB including (but not limited to) disease incidence, drug resistance and treatment outcomes.</w:t>
      </w:r>
    </w:p>
    <w:p w14:paraId="6FC0DE47" w14:textId="69A9B150" w:rsidR="00784256" w:rsidRDefault="00CB05B5" w:rsidP="00073F06">
      <w:pPr>
        <w:pStyle w:val="NoSpacing"/>
        <w:spacing w:after="120"/>
        <w:ind w:left="-284"/>
      </w:pPr>
      <w:r w:rsidRPr="007D66A4">
        <w:rPr>
          <w:rFonts w:asciiTheme="minorHAnsi" w:hAnsiTheme="minorHAnsi" w:cstheme="minorHAnsi"/>
          <w:sz w:val="22"/>
          <w:szCs w:val="22"/>
        </w:rPr>
        <w:t xml:space="preserve">The current membership and terms of reference are attached for your information. Further information regarding the NTAC is available </w:t>
      </w:r>
      <w:r w:rsidR="002B6753" w:rsidRPr="007D66A4">
        <w:rPr>
          <w:rFonts w:asciiTheme="minorHAnsi" w:hAnsiTheme="minorHAnsi" w:cstheme="minorHAnsi"/>
          <w:sz w:val="22"/>
          <w:szCs w:val="22"/>
        </w:rPr>
        <w:t xml:space="preserve">on </w:t>
      </w:r>
      <w:hyperlink r:id="rId15" w:history="1">
        <w:r w:rsidR="002B6753" w:rsidRPr="007D66A4">
          <w:rPr>
            <w:rStyle w:val="Hyperlink"/>
            <w:rFonts w:asciiTheme="minorHAnsi" w:hAnsiTheme="minorHAnsi" w:cstheme="minorHAnsi"/>
            <w:sz w:val="22"/>
            <w:szCs w:val="22"/>
          </w:rPr>
          <w:t xml:space="preserve">the NTAC webpage. </w:t>
        </w:r>
      </w:hyperlink>
    </w:p>
    <w:p w14:paraId="4E339730" w14:textId="439C5EB7" w:rsidR="003D073D" w:rsidRPr="006D2F17" w:rsidRDefault="00FF4E81" w:rsidP="003D073D">
      <w:pPr>
        <w:pStyle w:val="NoSpacing"/>
        <w:spacing w:after="120"/>
        <w:ind w:left="-284"/>
        <w:rPr>
          <w:rFonts w:asciiTheme="minorHAnsi" w:hAnsiTheme="minorHAnsi"/>
          <w:b/>
          <w:bCs/>
          <w:sz w:val="22"/>
          <w:szCs w:val="22"/>
        </w:rPr>
      </w:pPr>
      <w:r w:rsidRPr="006D2F17">
        <w:rPr>
          <w:rFonts w:asciiTheme="minorHAnsi" w:hAnsiTheme="minorHAnsi"/>
          <w:b/>
          <w:bCs/>
          <w:sz w:val="22"/>
          <w:szCs w:val="22"/>
        </w:rPr>
        <w:t xml:space="preserve">Tuberculosis </w:t>
      </w:r>
      <w:r w:rsidR="000F1ACC" w:rsidRPr="006D2F17">
        <w:rPr>
          <w:rFonts w:asciiTheme="minorHAnsi" w:hAnsiTheme="minorHAnsi"/>
          <w:b/>
          <w:bCs/>
          <w:sz w:val="22"/>
          <w:szCs w:val="22"/>
        </w:rPr>
        <w:t xml:space="preserve">situation in Australia </w:t>
      </w:r>
      <w:r w:rsidR="0040144A" w:rsidRPr="006D2F17">
        <w:rPr>
          <w:rFonts w:asciiTheme="minorHAnsi" w:hAnsiTheme="minorHAnsi"/>
          <w:b/>
          <w:bCs/>
          <w:sz w:val="22"/>
          <w:szCs w:val="22"/>
        </w:rPr>
        <w:t>and beyond</w:t>
      </w:r>
    </w:p>
    <w:p w14:paraId="25E92EFD" w14:textId="13E04FD6" w:rsidR="00DA5DEF" w:rsidRDefault="003D073D" w:rsidP="003D073D">
      <w:pPr>
        <w:pStyle w:val="NoSpacing"/>
        <w:spacing w:after="120"/>
        <w:ind w:left="-284"/>
        <w:rPr>
          <w:rFonts w:ascii="Aptos" w:hAnsi="Aptos" w:cstheme="minorHAnsi"/>
          <w:sz w:val="22"/>
          <w:szCs w:val="22"/>
        </w:rPr>
      </w:pPr>
      <w:r w:rsidRPr="006D2F17">
        <w:rPr>
          <w:rFonts w:asciiTheme="minorHAnsi" w:hAnsiTheme="minorHAnsi" w:cstheme="minorHAnsi"/>
          <w:sz w:val="22"/>
          <w:szCs w:val="22"/>
        </w:rPr>
        <w:t>Australia has maintained good TB control since the mid-1980s, sustaining a low annual TB incidence rate of approximately five to six cases per 100,000 population. Despite a rising number of people migrating to Australia</w:t>
      </w:r>
      <w:r w:rsidR="009B3567">
        <w:rPr>
          <w:rFonts w:asciiTheme="minorHAnsi" w:hAnsiTheme="minorHAnsi" w:cstheme="minorHAnsi"/>
          <w:sz w:val="22"/>
          <w:szCs w:val="22"/>
        </w:rPr>
        <w:t>,</w:t>
      </w:r>
      <w:r w:rsidRPr="006D2F17">
        <w:rPr>
          <w:rFonts w:asciiTheme="minorHAnsi" w:hAnsiTheme="minorHAnsi" w:cstheme="minorHAnsi"/>
          <w:sz w:val="22"/>
          <w:szCs w:val="22"/>
        </w:rPr>
        <w:t xml:space="preserve"> TB incidence has continued to be stable. </w:t>
      </w:r>
      <w:r w:rsidR="00DA5DEF" w:rsidRPr="006D2F17">
        <w:rPr>
          <w:rFonts w:asciiTheme="minorHAnsi" w:hAnsiTheme="minorHAnsi" w:cstheme="minorHAnsi"/>
          <w:sz w:val="22"/>
          <w:szCs w:val="22"/>
        </w:rPr>
        <w:t xml:space="preserve">It is recognised that progress towards TB </w:t>
      </w:r>
      <w:r w:rsidR="00DA5DEF" w:rsidRPr="006D2F17">
        <w:rPr>
          <w:rFonts w:ascii="Aptos" w:hAnsi="Aptos"/>
          <w:sz w:val="22"/>
          <w:szCs w:val="22"/>
        </w:rPr>
        <w:t>elimination</w:t>
      </w:r>
      <w:r w:rsidR="00DA5DEF" w:rsidRPr="006D2F17">
        <w:rPr>
          <w:rFonts w:ascii="Aptos" w:hAnsi="Aptos" w:cstheme="minorHAnsi"/>
          <w:sz w:val="22"/>
          <w:szCs w:val="22"/>
        </w:rPr>
        <w:t xml:space="preserve"> in Australia cannot be achieved without significant improvements in regional and global TB epidemiology. </w:t>
      </w:r>
    </w:p>
    <w:p w14:paraId="33A7BE41" w14:textId="77777777" w:rsidR="007D2578" w:rsidRPr="006D2F17" w:rsidRDefault="007D2578" w:rsidP="003D073D">
      <w:pPr>
        <w:pStyle w:val="NoSpacing"/>
        <w:spacing w:after="120"/>
        <w:ind w:left="-284"/>
        <w:rPr>
          <w:rFonts w:asciiTheme="minorHAnsi" w:hAnsiTheme="minorHAnsi" w:cstheme="minorHAnsi"/>
          <w:sz w:val="22"/>
          <w:szCs w:val="22"/>
        </w:rPr>
      </w:pPr>
    </w:p>
    <w:p w14:paraId="37DCBE24" w14:textId="6001D6AD" w:rsidR="00784256" w:rsidRPr="006D2F17" w:rsidRDefault="00784256" w:rsidP="00784256">
      <w:pPr>
        <w:pStyle w:val="NoSpacing"/>
        <w:spacing w:after="120"/>
        <w:ind w:left="-284"/>
        <w:rPr>
          <w:rFonts w:asciiTheme="minorHAnsi" w:eastAsiaTheme="minorHAnsi" w:hAnsiTheme="minorHAnsi"/>
          <w:b/>
          <w:bCs/>
          <w:kern w:val="2"/>
          <w:sz w:val="22"/>
          <w:szCs w:val="22"/>
          <w:lang w:eastAsia="en-US"/>
          <w14:ligatures w14:val="standardContextual"/>
        </w:rPr>
      </w:pPr>
      <w:r w:rsidRPr="006D2F17">
        <w:rPr>
          <w:rFonts w:asciiTheme="minorHAnsi" w:eastAsiaTheme="minorHAnsi" w:hAnsiTheme="minorHAnsi"/>
          <w:b/>
          <w:bCs/>
          <w:kern w:val="2"/>
          <w:sz w:val="22"/>
          <w:szCs w:val="22"/>
          <w:lang w:eastAsia="en-US"/>
          <w14:ligatures w14:val="standardContextual"/>
        </w:rPr>
        <w:lastRenderedPageBreak/>
        <w:t>Conflict of Interest</w:t>
      </w:r>
    </w:p>
    <w:p w14:paraId="28305824" w14:textId="19E8B3CA" w:rsidR="004221F8" w:rsidRDefault="00784256" w:rsidP="00B92F94">
      <w:pPr>
        <w:pStyle w:val="NoSpacing"/>
        <w:spacing w:after="120"/>
        <w:ind w:left="-284"/>
        <w:rPr>
          <w:rFonts w:asciiTheme="minorHAnsi" w:eastAsiaTheme="minorHAnsi" w:hAnsiTheme="minorHAnsi"/>
          <w:kern w:val="2"/>
          <w:sz w:val="22"/>
          <w:szCs w:val="22"/>
          <w:lang w:eastAsia="en-US"/>
          <w14:ligatures w14:val="standardContextual"/>
        </w:rPr>
      </w:pPr>
      <w:r w:rsidRPr="006D2F17">
        <w:rPr>
          <w:rFonts w:asciiTheme="minorHAnsi" w:eastAsiaTheme="minorHAnsi" w:hAnsiTheme="minorHAnsi"/>
          <w:kern w:val="2"/>
          <w:sz w:val="22"/>
          <w:szCs w:val="22"/>
          <w:lang w:eastAsia="en-US"/>
          <w14:ligatures w14:val="standardContextual"/>
        </w:rPr>
        <w:t>NTAC members are required to preserve and maintain the confidentiality of information to which members will access by virtue of their position on the committee, and to undertake certain actions</w:t>
      </w:r>
      <w:r w:rsidR="007C590E" w:rsidRPr="006D2F17">
        <w:rPr>
          <w:rFonts w:asciiTheme="minorHAnsi" w:eastAsiaTheme="minorHAnsi" w:hAnsiTheme="minorHAnsi"/>
          <w:kern w:val="2"/>
          <w:sz w:val="22"/>
          <w:szCs w:val="22"/>
          <w:lang w:eastAsia="en-US"/>
          <w14:ligatures w14:val="standardContextual"/>
        </w:rPr>
        <w:t xml:space="preserve"> in</w:t>
      </w:r>
      <w:r w:rsidRPr="006D2F17">
        <w:rPr>
          <w:rFonts w:asciiTheme="minorHAnsi" w:eastAsiaTheme="minorHAnsi" w:hAnsiTheme="minorHAnsi"/>
          <w:kern w:val="2"/>
          <w:sz w:val="22"/>
          <w:szCs w:val="22"/>
          <w:lang w:eastAsia="en-US"/>
          <w14:ligatures w14:val="standardContextual"/>
        </w:rPr>
        <w:t xml:space="preserve"> relation to any actual or potential conflict of interest. </w:t>
      </w:r>
    </w:p>
    <w:p w14:paraId="660D2E03" w14:textId="77777777" w:rsidR="00B92F94" w:rsidRDefault="00B92F94" w:rsidP="00B92F94">
      <w:pPr>
        <w:pStyle w:val="NoSpacing"/>
        <w:spacing w:after="120"/>
        <w:ind w:left="-284"/>
        <w:rPr>
          <w:rFonts w:asciiTheme="minorHAnsi" w:eastAsiaTheme="minorHAnsi" w:hAnsiTheme="minorHAnsi"/>
          <w:kern w:val="2"/>
          <w:sz w:val="22"/>
          <w:szCs w:val="22"/>
          <w:lang w:eastAsia="en-US"/>
          <w14:ligatures w14:val="standardContextual"/>
        </w:rPr>
      </w:pPr>
    </w:p>
    <w:p w14:paraId="3B4B43EE" w14:textId="77777777" w:rsidR="0053301A" w:rsidRPr="007D66A4" w:rsidRDefault="0053301A" w:rsidP="006A63B6">
      <w:pPr>
        <w:pStyle w:val="NoSpacing"/>
        <w:spacing w:after="120"/>
        <w:rPr>
          <w:rFonts w:asciiTheme="minorHAnsi" w:eastAsiaTheme="minorHAnsi" w:hAnsiTheme="minorHAnsi"/>
          <w:kern w:val="2"/>
          <w:sz w:val="22"/>
          <w:szCs w:val="22"/>
          <w:lang w:eastAsia="en-US"/>
          <w14:ligatures w14:val="standardContextual"/>
        </w:rPr>
      </w:pPr>
    </w:p>
    <w:sectPr w:rsidR="0053301A" w:rsidRPr="007D66A4">
      <w:headerReference w:type="even" r:id="rId16"/>
      <w:headerReference w:type="default" r:id="rId17"/>
      <w:footerReference w:type="even"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F6F0" w14:textId="77777777" w:rsidR="0048160A" w:rsidRDefault="0048160A" w:rsidP="00023A3B">
      <w:pPr>
        <w:spacing w:after="0" w:line="240" w:lineRule="auto"/>
      </w:pPr>
      <w:r>
        <w:separator/>
      </w:r>
    </w:p>
  </w:endnote>
  <w:endnote w:type="continuationSeparator" w:id="0">
    <w:p w14:paraId="052F0E60" w14:textId="77777777" w:rsidR="0048160A" w:rsidRDefault="0048160A" w:rsidP="0002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22A0" w14:textId="71ED0A49" w:rsidR="00023A3B" w:rsidRDefault="00023A3B">
    <w:pPr>
      <w:pStyle w:val="Footer"/>
    </w:pPr>
    <w:r>
      <w:rPr>
        <w:noProof/>
      </w:rPr>
      <mc:AlternateContent>
        <mc:Choice Requires="wps">
          <w:drawing>
            <wp:anchor distT="0" distB="0" distL="0" distR="0" simplePos="0" relativeHeight="251658244" behindDoc="0" locked="0" layoutInCell="1" allowOverlap="1" wp14:anchorId="2DB08B3B" wp14:editId="4927C6BA">
              <wp:simplePos x="635" y="635"/>
              <wp:positionH relativeFrom="page">
                <wp:align>center</wp:align>
              </wp:positionH>
              <wp:positionV relativeFrom="page">
                <wp:align>bottom</wp:align>
              </wp:positionV>
              <wp:extent cx="551815" cy="391160"/>
              <wp:effectExtent l="0" t="0" r="635" b="0"/>
              <wp:wrapNone/>
              <wp:docPr id="697836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C32B6D3" w14:textId="709CB609" w:rsidR="00023A3B" w:rsidRPr="00023A3B" w:rsidRDefault="00023A3B" w:rsidP="00023A3B">
                          <w:pPr>
                            <w:spacing w:after="0"/>
                            <w:rPr>
                              <w:rFonts w:ascii="Calibri" w:eastAsia="Calibri" w:hAnsi="Calibri" w:cs="Calibri"/>
                              <w:noProof/>
                              <w:color w:val="FF0000"/>
                              <w:sz w:val="24"/>
                            </w:rPr>
                          </w:pPr>
                          <w:r w:rsidRPr="00023A3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DB08B3B">
              <v:stroke joinstyle="miter"/>
              <v:path gradientshapeok="t" o:connecttype="rect"/>
            </v:shapetype>
            <v:shape id="Text Box 5" style="position:absolute;margin-left:0;margin-top:0;width:43.45pt;height:30.8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v:textbox style="mso-fit-shape-to-text:t" inset="0,0,0,15pt">
                <w:txbxContent>
                  <w:p w:rsidRPr="00023A3B" w:rsidR="00023A3B" w:rsidP="00023A3B" w:rsidRDefault="00023A3B" w14:paraId="6C32B6D3" w14:textId="709CB609">
                    <w:pPr>
                      <w:spacing w:after="0"/>
                      <w:rPr>
                        <w:rFonts w:ascii="Calibri" w:hAnsi="Calibri" w:eastAsia="Calibri" w:cs="Calibri"/>
                        <w:noProof/>
                        <w:color w:val="FF0000"/>
                        <w:sz w:val="24"/>
                      </w:rPr>
                    </w:pPr>
                    <w:r w:rsidRPr="00023A3B">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3BA2" w14:textId="3C6F82AE" w:rsidR="00023A3B" w:rsidRDefault="00023A3B">
    <w:pPr>
      <w:pStyle w:val="Footer"/>
    </w:pPr>
    <w:r>
      <w:rPr>
        <w:noProof/>
      </w:rPr>
      <mc:AlternateContent>
        <mc:Choice Requires="wps">
          <w:drawing>
            <wp:anchor distT="0" distB="0" distL="0" distR="0" simplePos="0" relativeHeight="251658243" behindDoc="0" locked="0" layoutInCell="1" allowOverlap="1" wp14:anchorId="1CF510B9" wp14:editId="3B586381">
              <wp:simplePos x="635" y="635"/>
              <wp:positionH relativeFrom="page">
                <wp:align>center</wp:align>
              </wp:positionH>
              <wp:positionV relativeFrom="page">
                <wp:align>bottom</wp:align>
              </wp:positionV>
              <wp:extent cx="551815" cy="391160"/>
              <wp:effectExtent l="0" t="0" r="635" b="0"/>
              <wp:wrapNone/>
              <wp:docPr id="11660353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25ACA6E" w14:textId="5014C2DA" w:rsidR="00023A3B" w:rsidRPr="00023A3B" w:rsidRDefault="00023A3B" w:rsidP="00023A3B">
                          <w:pPr>
                            <w:spacing w:after="0"/>
                            <w:rPr>
                              <w:rFonts w:ascii="Calibri" w:eastAsia="Calibri" w:hAnsi="Calibri" w:cs="Calibri"/>
                              <w:noProof/>
                              <w:color w:val="FF0000"/>
                              <w:sz w:val="24"/>
                            </w:rPr>
                          </w:pPr>
                          <w:r w:rsidRPr="00023A3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CF510B9">
              <v:stroke joinstyle="miter"/>
              <v:path gradientshapeok="t" o:connecttype="rect"/>
            </v:shapetype>
            <v:shape id="Text Box 4" style="position:absolute;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v:textbox style="mso-fit-shape-to-text:t" inset="0,0,0,15pt">
                <w:txbxContent>
                  <w:p w:rsidRPr="00023A3B" w:rsidR="00023A3B" w:rsidP="00023A3B" w:rsidRDefault="00023A3B" w14:paraId="625ACA6E" w14:textId="5014C2DA">
                    <w:pPr>
                      <w:spacing w:after="0"/>
                      <w:rPr>
                        <w:rFonts w:ascii="Calibri" w:hAnsi="Calibri" w:eastAsia="Calibri" w:cs="Calibri"/>
                        <w:noProof/>
                        <w:color w:val="FF0000"/>
                        <w:sz w:val="24"/>
                      </w:rPr>
                    </w:pPr>
                    <w:r w:rsidRPr="00023A3B">
                      <w:rPr>
                        <w:rFonts w:ascii="Calibri" w:hAnsi="Calibri" w:eastAsia="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F354" w14:textId="77777777" w:rsidR="0048160A" w:rsidRDefault="0048160A" w:rsidP="00023A3B">
      <w:pPr>
        <w:spacing w:after="0" w:line="240" w:lineRule="auto"/>
      </w:pPr>
      <w:r>
        <w:separator/>
      </w:r>
    </w:p>
  </w:footnote>
  <w:footnote w:type="continuationSeparator" w:id="0">
    <w:p w14:paraId="6122BADA" w14:textId="77777777" w:rsidR="0048160A" w:rsidRDefault="0048160A" w:rsidP="00023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50FA" w14:textId="28888742" w:rsidR="00023A3B" w:rsidRDefault="00023A3B">
    <w:pPr>
      <w:pStyle w:val="Header"/>
    </w:pPr>
    <w:r>
      <w:rPr>
        <w:noProof/>
      </w:rPr>
      <mc:AlternateContent>
        <mc:Choice Requires="wps">
          <w:drawing>
            <wp:anchor distT="0" distB="0" distL="0" distR="0" simplePos="0" relativeHeight="251658242" behindDoc="0" locked="0" layoutInCell="1" allowOverlap="1" wp14:anchorId="18B9C765" wp14:editId="14BD7072">
              <wp:simplePos x="635" y="635"/>
              <wp:positionH relativeFrom="page">
                <wp:align>center</wp:align>
              </wp:positionH>
              <wp:positionV relativeFrom="page">
                <wp:align>top</wp:align>
              </wp:positionV>
              <wp:extent cx="551815" cy="391160"/>
              <wp:effectExtent l="0" t="0" r="635" b="8890"/>
              <wp:wrapNone/>
              <wp:docPr id="6570929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4A7BD5" w14:textId="2C7D5C51" w:rsidR="00023A3B" w:rsidRPr="00023A3B" w:rsidRDefault="00023A3B" w:rsidP="00023A3B">
                          <w:pPr>
                            <w:spacing w:after="0"/>
                            <w:rPr>
                              <w:rFonts w:ascii="Calibri" w:eastAsia="Calibri" w:hAnsi="Calibri" w:cs="Calibri"/>
                              <w:noProof/>
                              <w:color w:val="FF0000"/>
                              <w:sz w:val="24"/>
                            </w:rPr>
                          </w:pPr>
                          <w:r w:rsidRPr="00023A3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8B9C765">
              <v:stroke joinstyle="miter"/>
              <v:path gradientshapeok="t" o:connecttype="rect"/>
            </v:shapetype>
            <v:shape id="Text Box 2"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v:textbox style="mso-fit-shape-to-text:t" inset="0,15pt,0,0">
                <w:txbxContent>
                  <w:p w:rsidRPr="00023A3B" w:rsidR="00023A3B" w:rsidP="00023A3B" w:rsidRDefault="00023A3B" w14:paraId="084A7BD5" w14:textId="2C7D5C51">
                    <w:pPr>
                      <w:spacing w:after="0"/>
                      <w:rPr>
                        <w:rFonts w:ascii="Calibri" w:hAnsi="Calibri" w:eastAsia="Calibri" w:cs="Calibri"/>
                        <w:noProof/>
                        <w:color w:val="FF0000"/>
                        <w:sz w:val="24"/>
                      </w:rPr>
                    </w:pPr>
                    <w:r w:rsidRPr="00023A3B">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11B" w14:textId="0D2ECF7E" w:rsidR="00023A3B" w:rsidRDefault="00CB05B5">
    <w:pPr>
      <w:pStyle w:val="Header"/>
    </w:pPr>
    <w:r>
      <w:rPr>
        <w:b/>
        <w:noProof/>
        <w:color w:val="808080" w:themeColor="background1" w:themeShade="80"/>
        <w:szCs w:val="28"/>
      </w:rPr>
      <w:drawing>
        <wp:anchor distT="0" distB="0" distL="114300" distR="114300" simplePos="0" relativeHeight="251658240" behindDoc="0" locked="0" layoutInCell="1" allowOverlap="1" wp14:anchorId="082B8DCD" wp14:editId="33663D30">
          <wp:simplePos x="0" y="0"/>
          <wp:positionH relativeFrom="margin">
            <wp:align>center</wp:align>
          </wp:positionH>
          <wp:positionV relativeFrom="paragraph">
            <wp:posOffset>-89535</wp:posOffset>
          </wp:positionV>
          <wp:extent cx="1598212" cy="763125"/>
          <wp:effectExtent l="0" t="0" r="2540" b="0"/>
          <wp:wrapNone/>
          <wp:docPr id="2" name="Picture 2" descr="NT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TA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212" cy="763125"/>
                  </a:xfrm>
                  <a:prstGeom prst="rect">
                    <a:avLst/>
                  </a:prstGeom>
                  <a:noFill/>
                </pic:spPr>
              </pic:pic>
            </a:graphicData>
          </a:graphic>
          <wp14:sizeRelH relativeFrom="page">
            <wp14:pctWidth>0</wp14:pctWidth>
          </wp14:sizeRelH>
          <wp14:sizeRelV relativeFrom="page">
            <wp14:pctHeight>0</wp14:pctHeight>
          </wp14:sizeRelV>
        </wp:anchor>
      </w:drawing>
    </w:r>
  </w:p>
  <w:p w14:paraId="5819A743" w14:textId="77777777" w:rsidR="00023A3B" w:rsidRDefault="00023A3B">
    <w:pPr>
      <w:pStyle w:val="Header"/>
    </w:pPr>
  </w:p>
  <w:p w14:paraId="116E9E10" w14:textId="77777777" w:rsidR="00023A3B" w:rsidRDefault="00023A3B">
    <w:pPr>
      <w:pStyle w:val="Header"/>
    </w:pPr>
  </w:p>
  <w:p w14:paraId="030C21D9" w14:textId="6B90AC93" w:rsidR="00023A3B" w:rsidRDefault="00023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DF96" w14:textId="68BA8612" w:rsidR="00023A3B" w:rsidRDefault="00023A3B">
    <w:pPr>
      <w:pStyle w:val="Header"/>
    </w:pPr>
    <w:r>
      <w:rPr>
        <w:noProof/>
      </w:rPr>
      <mc:AlternateContent>
        <mc:Choice Requires="wps">
          <w:drawing>
            <wp:anchor distT="0" distB="0" distL="0" distR="0" simplePos="0" relativeHeight="251658241" behindDoc="0" locked="0" layoutInCell="1" allowOverlap="1" wp14:anchorId="56B64CCF" wp14:editId="12BAD723">
              <wp:simplePos x="635" y="635"/>
              <wp:positionH relativeFrom="page">
                <wp:align>center</wp:align>
              </wp:positionH>
              <wp:positionV relativeFrom="page">
                <wp:align>top</wp:align>
              </wp:positionV>
              <wp:extent cx="551815" cy="391160"/>
              <wp:effectExtent l="0" t="0" r="635" b="8890"/>
              <wp:wrapNone/>
              <wp:docPr id="19215651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A03960" w14:textId="2FC5F3AA" w:rsidR="00023A3B" w:rsidRPr="00023A3B" w:rsidRDefault="00023A3B" w:rsidP="00023A3B">
                          <w:pPr>
                            <w:spacing w:after="0"/>
                            <w:rPr>
                              <w:rFonts w:ascii="Calibri" w:eastAsia="Calibri" w:hAnsi="Calibri" w:cs="Calibri"/>
                              <w:noProof/>
                              <w:color w:val="FF0000"/>
                              <w:sz w:val="24"/>
                            </w:rPr>
                          </w:pPr>
                          <w:r w:rsidRPr="00023A3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6B64CCF">
              <v:stroke joinstyle="miter"/>
              <v:path gradientshapeok="t" o:connecttype="rect"/>
            </v:shapetype>
            <v:shape id="Text Box 1"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v:textbox style="mso-fit-shape-to-text:t" inset="0,15pt,0,0">
                <w:txbxContent>
                  <w:p w:rsidRPr="00023A3B" w:rsidR="00023A3B" w:rsidP="00023A3B" w:rsidRDefault="00023A3B" w14:paraId="3AA03960" w14:textId="2FC5F3AA">
                    <w:pPr>
                      <w:spacing w:after="0"/>
                      <w:rPr>
                        <w:rFonts w:ascii="Calibri" w:hAnsi="Calibri" w:eastAsia="Calibri" w:cs="Calibri"/>
                        <w:noProof/>
                        <w:color w:val="FF0000"/>
                        <w:sz w:val="24"/>
                      </w:rPr>
                    </w:pPr>
                    <w:r w:rsidRPr="00023A3B">
                      <w:rPr>
                        <w:rFonts w:ascii="Calibri" w:hAnsi="Calibri" w:eastAsia="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BED"/>
    <w:multiLevelType w:val="multilevel"/>
    <w:tmpl w:val="12DAAE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171C04"/>
    <w:multiLevelType w:val="hybridMultilevel"/>
    <w:tmpl w:val="153CE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6096F"/>
    <w:multiLevelType w:val="hybridMultilevel"/>
    <w:tmpl w:val="68446DEE"/>
    <w:lvl w:ilvl="0" w:tplc="A8D44FA2">
      <w:numFmt w:val="bullet"/>
      <w:lvlText w:val="-"/>
      <w:lvlJc w:val="left"/>
      <w:pPr>
        <w:ind w:left="720"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1635AF"/>
    <w:multiLevelType w:val="hybridMultilevel"/>
    <w:tmpl w:val="7DA6D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213EEE"/>
    <w:multiLevelType w:val="hybridMultilevel"/>
    <w:tmpl w:val="6AE07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BC4D66"/>
    <w:multiLevelType w:val="hybridMultilevel"/>
    <w:tmpl w:val="92AC6644"/>
    <w:lvl w:ilvl="0" w:tplc="0F36E37C">
      <w:numFmt w:val="bullet"/>
      <w:lvlText w:val="-"/>
      <w:lvlJc w:val="left"/>
      <w:pPr>
        <w:ind w:left="720"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9138813">
    <w:abstractNumId w:val="2"/>
  </w:num>
  <w:num w:numId="2" w16cid:durableId="139230134">
    <w:abstractNumId w:val="3"/>
  </w:num>
  <w:num w:numId="3" w16cid:durableId="966006463">
    <w:abstractNumId w:val="4"/>
  </w:num>
  <w:num w:numId="4" w16cid:durableId="96603608">
    <w:abstractNumId w:val="0"/>
  </w:num>
  <w:num w:numId="5" w16cid:durableId="1734692532">
    <w:abstractNumId w:val="5"/>
  </w:num>
  <w:num w:numId="6" w16cid:durableId="196110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3B"/>
    <w:rsid w:val="000067D6"/>
    <w:rsid w:val="0002053C"/>
    <w:rsid w:val="00023A3B"/>
    <w:rsid w:val="00046171"/>
    <w:rsid w:val="00071C38"/>
    <w:rsid w:val="00073F06"/>
    <w:rsid w:val="000903BF"/>
    <w:rsid w:val="000A0BA8"/>
    <w:rsid w:val="000A54F5"/>
    <w:rsid w:val="000B748C"/>
    <w:rsid w:val="000C000B"/>
    <w:rsid w:val="000C1B36"/>
    <w:rsid w:val="000D0944"/>
    <w:rsid w:val="000D6E1E"/>
    <w:rsid w:val="000E5D56"/>
    <w:rsid w:val="000E6714"/>
    <w:rsid w:val="000F1ACC"/>
    <w:rsid w:val="00104D95"/>
    <w:rsid w:val="00113A25"/>
    <w:rsid w:val="001168A1"/>
    <w:rsid w:val="00136E9D"/>
    <w:rsid w:val="001715E3"/>
    <w:rsid w:val="00174CE6"/>
    <w:rsid w:val="0019396A"/>
    <w:rsid w:val="001B46E7"/>
    <w:rsid w:val="001C5996"/>
    <w:rsid w:val="001D06F9"/>
    <w:rsid w:val="001F09F5"/>
    <w:rsid w:val="002021AC"/>
    <w:rsid w:val="002325F9"/>
    <w:rsid w:val="00242A84"/>
    <w:rsid w:val="00246684"/>
    <w:rsid w:val="00260C63"/>
    <w:rsid w:val="00265AF5"/>
    <w:rsid w:val="00280050"/>
    <w:rsid w:val="00283B97"/>
    <w:rsid w:val="002945B5"/>
    <w:rsid w:val="002A0B13"/>
    <w:rsid w:val="002B6753"/>
    <w:rsid w:val="002D04BE"/>
    <w:rsid w:val="002D44BA"/>
    <w:rsid w:val="002D76E0"/>
    <w:rsid w:val="002E3AF9"/>
    <w:rsid w:val="002E7120"/>
    <w:rsid w:val="00301787"/>
    <w:rsid w:val="00317669"/>
    <w:rsid w:val="0032791B"/>
    <w:rsid w:val="00347B08"/>
    <w:rsid w:val="00361879"/>
    <w:rsid w:val="003636AF"/>
    <w:rsid w:val="00366E8C"/>
    <w:rsid w:val="00371376"/>
    <w:rsid w:val="00382A52"/>
    <w:rsid w:val="00390FB0"/>
    <w:rsid w:val="003A5329"/>
    <w:rsid w:val="003C468D"/>
    <w:rsid w:val="003D073D"/>
    <w:rsid w:val="003D7668"/>
    <w:rsid w:val="003D7EA3"/>
    <w:rsid w:val="003E6554"/>
    <w:rsid w:val="0040144A"/>
    <w:rsid w:val="004221F8"/>
    <w:rsid w:val="00436717"/>
    <w:rsid w:val="004439EE"/>
    <w:rsid w:val="004528A6"/>
    <w:rsid w:val="00466AF2"/>
    <w:rsid w:val="0048160A"/>
    <w:rsid w:val="00486997"/>
    <w:rsid w:val="00487B23"/>
    <w:rsid w:val="00495E23"/>
    <w:rsid w:val="004A76FA"/>
    <w:rsid w:val="004B31FE"/>
    <w:rsid w:val="004C0634"/>
    <w:rsid w:val="004C5C0A"/>
    <w:rsid w:val="004D1C02"/>
    <w:rsid w:val="004D4D7B"/>
    <w:rsid w:val="004E4404"/>
    <w:rsid w:val="004E722B"/>
    <w:rsid w:val="0050496C"/>
    <w:rsid w:val="0053301A"/>
    <w:rsid w:val="0054171A"/>
    <w:rsid w:val="00560D86"/>
    <w:rsid w:val="0057151C"/>
    <w:rsid w:val="00593F0E"/>
    <w:rsid w:val="005A17E3"/>
    <w:rsid w:val="005B3D73"/>
    <w:rsid w:val="005D6C91"/>
    <w:rsid w:val="005F5808"/>
    <w:rsid w:val="00613FC5"/>
    <w:rsid w:val="00616F6C"/>
    <w:rsid w:val="00632B88"/>
    <w:rsid w:val="00642FB4"/>
    <w:rsid w:val="006474C1"/>
    <w:rsid w:val="00671990"/>
    <w:rsid w:val="00680314"/>
    <w:rsid w:val="00693B99"/>
    <w:rsid w:val="006A1F1F"/>
    <w:rsid w:val="006A63B6"/>
    <w:rsid w:val="006A7465"/>
    <w:rsid w:val="006C3A2E"/>
    <w:rsid w:val="006D2F17"/>
    <w:rsid w:val="006E187E"/>
    <w:rsid w:val="006F0726"/>
    <w:rsid w:val="00726F8F"/>
    <w:rsid w:val="0073245C"/>
    <w:rsid w:val="00733F30"/>
    <w:rsid w:val="007344EE"/>
    <w:rsid w:val="00750ECF"/>
    <w:rsid w:val="00752492"/>
    <w:rsid w:val="0075681C"/>
    <w:rsid w:val="00762D30"/>
    <w:rsid w:val="00776A77"/>
    <w:rsid w:val="00784256"/>
    <w:rsid w:val="00786135"/>
    <w:rsid w:val="007C590E"/>
    <w:rsid w:val="007D010D"/>
    <w:rsid w:val="007D07AF"/>
    <w:rsid w:val="007D0F87"/>
    <w:rsid w:val="007D18C3"/>
    <w:rsid w:val="007D2578"/>
    <w:rsid w:val="007D66A4"/>
    <w:rsid w:val="007E0467"/>
    <w:rsid w:val="007F4815"/>
    <w:rsid w:val="0080638B"/>
    <w:rsid w:val="00825E08"/>
    <w:rsid w:val="00855E4B"/>
    <w:rsid w:val="00860328"/>
    <w:rsid w:val="00875E23"/>
    <w:rsid w:val="00896C6E"/>
    <w:rsid w:val="008D256E"/>
    <w:rsid w:val="008D375C"/>
    <w:rsid w:val="008E54C9"/>
    <w:rsid w:val="008F42A7"/>
    <w:rsid w:val="009340BC"/>
    <w:rsid w:val="00936793"/>
    <w:rsid w:val="009368D6"/>
    <w:rsid w:val="00940F8D"/>
    <w:rsid w:val="00952E87"/>
    <w:rsid w:val="00956BAD"/>
    <w:rsid w:val="009652F9"/>
    <w:rsid w:val="009A1DB7"/>
    <w:rsid w:val="009A4351"/>
    <w:rsid w:val="009B3567"/>
    <w:rsid w:val="009B58A7"/>
    <w:rsid w:val="009C29B5"/>
    <w:rsid w:val="009E540B"/>
    <w:rsid w:val="009E6D2B"/>
    <w:rsid w:val="00A36916"/>
    <w:rsid w:val="00A46B48"/>
    <w:rsid w:val="00A70C5A"/>
    <w:rsid w:val="00A76A3C"/>
    <w:rsid w:val="00A85D08"/>
    <w:rsid w:val="00A96225"/>
    <w:rsid w:val="00A96398"/>
    <w:rsid w:val="00AB26F2"/>
    <w:rsid w:val="00AC7FC9"/>
    <w:rsid w:val="00AD4FFE"/>
    <w:rsid w:val="00B15DBF"/>
    <w:rsid w:val="00B87661"/>
    <w:rsid w:val="00B92BF2"/>
    <w:rsid w:val="00B92F94"/>
    <w:rsid w:val="00BA5B5A"/>
    <w:rsid w:val="00BB593F"/>
    <w:rsid w:val="00BB6D02"/>
    <w:rsid w:val="00C04322"/>
    <w:rsid w:val="00C3165B"/>
    <w:rsid w:val="00C61943"/>
    <w:rsid w:val="00C97A86"/>
    <w:rsid w:val="00CB05B5"/>
    <w:rsid w:val="00CB22E0"/>
    <w:rsid w:val="00CC64C6"/>
    <w:rsid w:val="00CD0BC7"/>
    <w:rsid w:val="00CD5CD9"/>
    <w:rsid w:val="00CE1CD0"/>
    <w:rsid w:val="00CE5224"/>
    <w:rsid w:val="00CE58FB"/>
    <w:rsid w:val="00CF1D2F"/>
    <w:rsid w:val="00D14513"/>
    <w:rsid w:val="00D14646"/>
    <w:rsid w:val="00D24D7E"/>
    <w:rsid w:val="00D26703"/>
    <w:rsid w:val="00D41801"/>
    <w:rsid w:val="00D4208D"/>
    <w:rsid w:val="00D664AC"/>
    <w:rsid w:val="00D74D05"/>
    <w:rsid w:val="00D93521"/>
    <w:rsid w:val="00DA5DEF"/>
    <w:rsid w:val="00DB48AD"/>
    <w:rsid w:val="00DB73AF"/>
    <w:rsid w:val="00DC56D7"/>
    <w:rsid w:val="00DD7697"/>
    <w:rsid w:val="00DE04D6"/>
    <w:rsid w:val="00DF56C6"/>
    <w:rsid w:val="00E06222"/>
    <w:rsid w:val="00E06B24"/>
    <w:rsid w:val="00E154D9"/>
    <w:rsid w:val="00E15E4F"/>
    <w:rsid w:val="00E3022D"/>
    <w:rsid w:val="00E30959"/>
    <w:rsid w:val="00E32842"/>
    <w:rsid w:val="00E456B3"/>
    <w:rsid w:val="00E5241D"/>
    <w:rsid w:val="00E5784C"/>
    <w:rsid w:val="00E941DC"/>
    <w:rsid w:val="00E95748"/>
    <w:rsid w:val="00EB7D41"/>
    <w:rsid w:val="00EC3369"/>
    <w:rsid w:val="00EC40CA"/>
    <w:rsid w:val="00ED203F"/>
    <w:rsid w:val="00ED6994"/>
    <w:rsid w:val="00EE2322"/>
    <w:rsid w:val="00F110FC"/>
    <w:rsid w:val="00F141C8"/>
    <w:rsid w:val="00F14D6C"/>
    <w:rsid w:val="00F31D65"/>
    <w:rsid w:val="00F34120"/>
    <w:rsid w:val="00F44FBC"/>
    <w:rsid w:val="00F4684A"/>
    <w:rsid w:val="00F60A09"/>
    <w:rsid w:val="00F62906"/>
    <w:rsid w:val="00F746C0"/>
    <w:rsid w:val="00F83CAC"/>
    <w:rsid w:val="00F84F81"/>
    <w:rsid w:val="00FC4DA3"/>
    <w:rsid w:val="00FC4FA6"/>
    <w:rsid w:val="00FD0A5D"/>
    <w:rsid w:val="00FE4B9A"/>
    <w:rsid w:val="00FF2728"/>
    <w:rsid w:val="00FF4E81"/>
    <w:rsid w:val="01F34A45"/>
    <w:rsid w:val="053A33E7"/>
    <w:rsid w:val="070E6196"/>
    <w:rsid w:val="0895676B"/>
    <w:rsid w:val="0DBD3B9F"/>
    <w:rsid w:val="0F9B647F"/>
    <w:rsid w:val="1B732B77"/>
    <w:rsid w:val="27BBD8FA"/>
    <w:rsid w:val="2DA2D9CE"/>
    <w:rsid w:val="2EA70228"/>
    <w:rsid w:val="33D5787F"/>
    <w:rsid w:val="417AE449"/>
    <w:rsid w:val="4B083C5A"/>
    <w:rsid w:val="52A3A23D"/>
    <w:rsid w:val="57481A78"/>
    <w:rsid w:val="5FD4E1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7691"/>
  <w15:chartTrackingRefBased/>
  <w15:docId w15:val="{FE634947-DA5F-49A1-9896-957F38C2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A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A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3A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3A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3A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3A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3A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A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A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3A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3A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3A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3A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3A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3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A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A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3A3B"/>
    <w:pPr>
      <w:spacing w:before="160"/>
      <w:jc w:val="center"/>
    </w:pPr>
    <w:rPr>
      <w:i/>
      <w:iCs/>
      <w:color w:val="404040" w:themeColor="text1" w:themeTint="BF"/>
    </w:rPr>
  </w:style>
  <w:style w:type="character" w:customStyle="1" w:styleId="QuoteChar">
    <w:name w:val="Quote Char"/>
    <w:basedOn w:val="DefaultParagraphFont"/>
    <w:link w:val="Quote"/>
    <w:uiPriority w:val="29"/>
    <w:rsid w:val="00023A3B"/>
    <w:rPr>
      <w:i/>
      <w:iCs/>
      <w:color w:val="404040" w:themeColor="text1" w:themeTint="BF"/>
    </w:rPr>
  </w:style>
  <w:style w:type="paragraph" w:styleId="ListParagraph">
    <w:name w:val="List Paragraph"/>
    <w:basedOn w:val="Normal"/>
    <w:uiPriority w:val="34"/>
    <w:qFormat/>
    <w:rsid w:val="00023A3B"/>
    <w:pPr>
      <w:ind w:left="720"/>
      <w:contextualSpacing/>
    </w:pPr>
  </w:style>
  <w:style w:type="character" w:styleId="IntenseEmphasis">
    <w:name w:val="Intense Emphasis"/>
    <w:basedOn w:val="DefaultParagraphFont"/>
    <w:uiPriority w:val="21"/>
    <w:qFormat/>
    <w:rsid w:val="00023A3B"/>
    <w:rPr>
      <w:i/>
      <w:iCs/>
      <w:color w:val="0F4761" w:themeColor="accent1" w:themeShade="BF"/>
    </w:rPr>
  </w:style>
  <w:style w:type="paragraph" w:styleId="IntenseQuote">
    <w:name w:val="Intense Quote"/>
    <w:basedOn w:val="Normal"/>
    <w:next w:val="Normal"/>
    <w:link w:val="IntenseQuoteChar"/>
    <w:uiPriority w:val="30"/>
    <w:qFormat/>
    <w:rsid w:val="00023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A3B"/>
    <w:rPr>
      <w:i/>
      <w:iCs/>
      <w:color w:val="0F4761" w:themeColor="accent1" w:themeShade="BF"/>
    </w:rPr>
  </w:style>
  <w:style w:type="character" w:styleId="IntenseReference">
    <w:name w:val="Intense Reference"/>
    <w:basedOn w:val="DefaultParagraphFont"/>
    <w:uiPriority w:val="32"/>
    <w:qFormat/>
    <w:rsid w:val="00023A3B"/>
    <w:rPr>
      <w:b/>
      <w:bCs/>
      <w:smallCaps/>
      <w:color w:val="0F4761" w:themeColor="accent1" w:themeShade="BF"/>
      <w:spacing w:val="5"/>
    </w:rPr>
  </w:style>
  <w:style w:type="paragraph" w:styleId="Header">
    <w:name w:val="header"/>
    <w:basedOn w:val="Normal"/>
    <w:link w:val="HeaderChar"/>
    <w:uiPriority w:val="99"/>
    <w:unhideWhenUsed/>
    <w:rsid w:val="00023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A3B"/>
  </w:style>
  <w:style w:type="paragraph" w:styleId="Footer">
    <w:name w:val="footer"/>
    <w:basedOn w:val="Normal"/>
    <w:link w:val="FooterChar"/>
    <w:uiPriority w:val="99"/>
    <w:unhideWhenUsed/>
    <w:rsid w:val="0002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A3B"/>
  </w:style>
  <w:style w:type="table" w:styleId="TableGrid">
    <w:name w:val="Table Grid"/>
    <w:basedOn w:val="TableNormal"/>
    <w:uiPriority w:val="39"/>
    <w:rsid w:val="0002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3A3B"/>
    <w:pPr>
      <w:spacing w:after="0" w:line="240" w:lineRule="auto"/>
    </w:pPr>
    <w:rPr>
      <w:rFonts w:ascii="Times New Roman" w:eastAsia="Times New Roman" w:hAnsi="Times New Roman"/>
      <w:kern w:val="0"/>
      <w:sz w:val="24"/>
      <w:lang w:eastAsia="en-AU"/>
      <w14:ligatures w14:val="none"/>
    </w:rPr>
  </w:style>
  <w:style w:type="character" w:styleId="Hyperlink">
    <w:name w:val="Hyperlink"/>
    <w:basedOn w:val="DefaultParagraphFont"/>
    <w:uiPriority w:val="99"/>
    <w:unhideWhenUsed/>
    <w:rsid w:val="00023A3B"/>
    <w:rPr>
      <w:color w:val="467886" w:themeColor="hyperlink"/>
      <w:u w:val="single"/>
    </w:rPr>
  </w:style>
  <w:style w:type="character" w:styleId="CommentReference">
    <w:name w:val="annotation reference"/>
    <w:basedOn w:val="DefaultParagraphFont"/>
    <w:uiPriority w:val="99"/>
    <w:semiHidden/>
    <w:unhideWhenUsed/>
    <w:rsid w:val="00CB05B5"/>
    <w:rPr>
      <w:sz w:val="16"/>
      <w:szCs w:val="16"/>
    </w:rPr>
  </w:style>
  <w:style w:type="paragraph" w:styleId="CommentText">
    <w:name w:val="annotation text"/>
    <w:basedOn w:val="Normal"/>
    <w:link w:val="CommentTextChar"/>
    <w:uiPriority w:val="99"/>
    <w:unhideWhenUsed/>
    <w:rsid w:val="00CB05B5"/>
    <w:pPr>
      <w:spacing w:line="240" w:lineRule="auto"/>
    </w:pPr>
    <w:rPr>
      <w:szCs w:val="20"/>
    </w:rPr>
  </w:style>
  <w:style w:type="character" w:customStyle="1" w:styleId="CommentTextChar">
    <w:name w:val="Comment Text Char"/>
    <w:basedOn w:val="DefaultParagraphFont"/>
    <w:link w:val="CommentText"/>
    <w:uiPriority w:val="99"/>
    <w:rsid w:val="00CB05B5"/>
    <w:rPr>
      <w:szCs w:val="20"/>
    </w:rPr>
  </w:style>
  <w:style w:type="paragraph" w:styleId="CommentSubject">
    <w:name w:val="annotation subject"/>
    <w:basedOn w:val="CommentText"/>
    <w:next w:val="CommentText"/>
    <w:link w:val="CommentSubjectChar"/>
    <w:uiPriority w:val="99"/>
    <w:semiHidden/>
    <w:unhideWhenUsed/>
    <w:rsid w:val="00CB05B5"/>
    <w:rPr>
      <w:b/>
      <w:bCs/>
    </w:rPr>
  </w:style>
  <w:style w:type="character" w:customStyle="1" w:styleId="CommentSubjectChar">
    <w:name w:val="Comment Subject Char"/>
    <w:basedOn w:val="CommentTextChar"/>
    <w:link w:val="CommentSubject"/>
    <w:uiPriority w:val="99"/>
    <w:semiHidden/>
    <w:rsid w:val="00CB05B5"/>
    <w:rPr>
      <w:b/>
      <w:bCs/>
      <w:szCs w:val="20"/>
    </w:rPr>
  </w:style>
  <w:style w:type="character" w:styleId="UnresolvedMention">
    <w:name w:val="Unresolved Mention"/>
    <w:basedOn w:val="DefaultParagraphFont"/>
    <w:uiPriority w:val="99"/>
    <w:semiHidden/>
    <w:unhideWhenUsed/>
    <w:rsid w:val="00CB05B5"/>
    <w:rPr>
      <w:color w:val="605E5C"/>
      <w:shd w:val="clear" w:color="auto" w:fill="E1DFDD"/>
    </w:rPr>
  </w:style>
  <w:style w:type="character" w:styleId="FollowedHyperlink">
    <w:name w:val="FollowedHyperlink"/>
    <w:basedOn w:val="DefaultParagraphFont"/>
    <w:uiPriority w:val="99"/>
    <w:semiHidden/>
    <w:unhideWhenUsed/>
    <w:rsid w:val="002B6753"/>
    <w:rPr>
      <w:color w:val="96607D" w:themeColor="followedHyperlink"/>
      <w:u w:val="single"/>
    </w:rPr>
  </w:style>
  <w:style w:type="paragraph" w:styleId="Revision">
    <w:name w:val="Revision"/>
    <w:hidden/>
    <w:uiPriority w:val="99"/>
    <w:semiHidden/>
    <w:rsid w:val="007D010D"/>
    <w:pPr>
      <w:spacing w:after="0" w:line="240" w:lineRule="auto"/>
    </w:pPr>
  </w:style>
  <w:style w:type="paragraph" w:styleId="EndnoteText">
    <w:name w:val="endnote text"/>
    <w:basedOn w:val="Normal"/>
    <w:link w:val="EndnoteTextChar"/>
    <w:uiPriority w:val="99"/>
    <w:semiHidden/>
    <w:unhideWhenUsed/>
    <w:rsid w:val="003D073D"/>
    <w:pPr>
      <w:spacing w:after="0" w:line="240" w:lineRule="auto"/>
    </w:pPr>
    <w:rPr>
      <w:rFonts w:asciiTheme="minorHAnsi" w:hAnsiTheme="minorHAnsi" w:cstheme="minorBidi"/>
      <w:szCs w:val="20"/>
    </w:rPr>
  </w:style>
  <w:style w:type="character" w:customStyle="1" w:styleId="EndnoteTextChar">
    <w:name w:val="Endnote Text Char"/>
    <w:basedOn w:val="DefaultParagraphFont"/>
    <w:link w:val="EndnoteText"/>
    <w:uiPriority w:val="99"/>
    <w:semiHidden/>
    <w:rsid w:val="003D073D"/>
    <w:rPr>
      <w:rFonts w:asciiTheme="minorHAnsi" w:hAnsiTheme="minorHAnsi" w:cstheme="minorBidi"/>
      <w:szCs w:val="20"/>
    </w:rPr>
  </w:style>
  <w:style w:type="character" w:styleId="EndnoteReference">
    <w:name w:val="endnote reference"/>
    <w:basedOn w:val="DefaultParagraphFont"/>
    <w:uiPriority w:val="99"/>
    <w:semiHidden/>
    <w:unhideWhenUsed/>
    <w:rsid w:val="003D07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committees-and-groups/national-tuberculosis-advisory-commit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tac.secretariat@cdc.gov.au%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ac.secretariat@cdc.gov.au" TargetMode="External"/><Relationship Id="rId5" Type="http://schemas.openxmlformats.org/officeDocument/2006/relationships/numbering" Target="numbering.xml"/><Relationship Id="rId15" Type="http://schemas.openxmlformats.org/officeDocument/2006/relationships/hyperlink" Target="https://www.health.gov.au/committees-and-groups/national-tuberculosis-advisory-committe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committees-and-groups/cdn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8F12648CA22E45A353806C15444091" ma:contentTypeVersion="7" ma:contentTypeDescription="Create a new document." ma:contentTypeScope="" ma:versionID="582c592ad1a1ad4119bc0e24b40330de">
  <xsd:schema xmlns:xsd="http://www.w3.org/2001/XMLSchema" xmlns:xs="http://www.w3.org/2001/XMLSchema" xmlns:p="http://schemas.microsoft.com/office/2006/metadata/properties" xmlns:ns2="26c1c43f-a7a5-49ce-b54c-df84f4658738" targetNamespace="http://schemas.microsoft.com/office/2006/metadata/properties" ma:root="true" ma:fieldsID="f5d171e16062f32e85ae1ebf93afe637" ns2:_="">
    <xsd:import namespace="26c1c43f-a7a5-49ce-b54c-df84f46587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1c43f-a7a5-49ce-b54c-df84f465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E5236-57DF-4667-9B3B-D4E7B0D10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1c43f-a7a5-49ce-b54c-df84f4658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1BC59-6119-41A4-84FE-770E531AEEF0}">
  <ds:schemaRefs>
    <ds:schemaRef ds:uri="http://schemas.microsoft.com/sharepoint/v3/contenttype/forms"/>
  </ds:schemaRefs>
</ds:datastoreItem>
</file>

<file path=customXml/itemProps3.xml><?xml version="1.0" encoding="utf-8"?>
<ds:datastoreItem xmlns:ds="http://schemas.openxmlformats.org/officeDocument/2006/customXml" ds:itemID="{306F08BD-502D-474F-97E1-1726A9E7B9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968805-0AC5-4B2B-B924-800B4F03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5133</Characters>
  <Application>Microsoft Office Word</Application>
  <DocSecurity>0</DocSecurity>
  <Lines>116</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Centre for Disease Control</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NTAC regional engagement position description</dc:title>
  <dc:subject>National Tuberculosis Advisory Committee</dc:subject>
  <dc:creator>Australian Centre for Disease Control</dc:creator>
  <cp:keywords>Tuberculosis</cp:keywords>
  <dc:description/>
  <cp:lastModifiedBy>MARTIN, Mel</cp:lastModifiedBy>
  <cp:revision>2</cp:revision>
  <dcterms:created xsi:type="dcterms:W3CDTF">2026-03-04T22:07:00Z</dcterms:created>
  <dcterms:modified xsi:type="dcterms:W3CDTF">2026-03-04T22:13:00Z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7288c20e,272a715a,435a260d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458049a1,299824ec,25052074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2025-10-13T01:07:11Z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f649b61b-cac7-4e12-afe7-5249a4cbe46b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PM_Caveats_Count">
    <vt:lpwstr>0</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HMAC">
    <vt:lpwstr>v=2022.1;a=SHA256;h=0085A3362DDF77CEDAB9FA01C616DCBDA3EEE691D8249B21831B2CB2333FD7C9</vt:lpwstr>
  </property>
  <property fmtid="{D5CDD505-2E9C-101B-9397-08002B2CF9AE}" pid="21" name="PM_Qualifier">
    <vt:lpwstr/>
  </property>
  <property fmtid="{D5CDD505-2E9C-101B-9397-08002B2CF9AE}" pid="22" name="PM_SecurityClassification">
    <vt:lpwstr>OFFICIAL</vt:lpwstr>
  </property>
  <property fmtid="{D5CDD505-2E9C-101B-9397-08002B2CF9AE}" pid="23" name="PM_ProtectiveMarkingValue_Header">
    <vt:lpwstr>OFFICIAL</vt:lpwstr>
  </property>
  <property fmtid="{D5CDD505-2E9C-101B-9397-08002B2CF9AE}" pid="24" name="PM_OriginationTimeStamp">
    <vt:lpwstr>2025-11-16T22:33:34Z</vt:lpwstr>
  </property>
  <property fmtid="{D5CDD505-2E9C-101B-9397-08002B2CF9AE}" pid="25" name="PM_DownTo">
    <vt:lpwstr/>
  </property>
  <property fmtid="{D5CDD505-2E9C-101B-9397-08002B2CF9AE}" pid="26" name="PM_Markers">
    <vt:lpwstr/>
  </property>
  <property fmtid="{D5CDD505-2E9C-101B-9397-08002B2CF9AE}" pid="27" name="PM_DisplayValueSecClassificationWithQualifier">
    <vt:lpwstr>OFFICIAL</vt:lpwstr>
  </property>
  <property fmtid="{D5CDD505-2E9C-101B-9397-08002B2CF9AE}" pid="28" name="PM_Expires">
    <vt:lpwstr/>
  </property>
  <property fmtid="{D5CDD505-2E9C-101B-9397-08002B2CF9AE}" pid="29" name="PM_InsertionValue">
    <vt:lpwstr>OFFICIAL</vt:lpwstr>
  </property>
  <property fmtid="{D5CDD505-2E9C-101B-9397-08002B2CF9AE}" pid="30" name="PM_Originator_Hash_SHA1">
    <vt:lpwstr>FDB3F19D47F5990185F9ADBED06FDD14FD82649D</vt:lpwstr>
  </property>
  <property fmtid="{D5CDD505-2E9C-101B-9397-08002B2CF9AE}" pid="31" name="PM_Originating_FileId">
    <vt:lpwstr>763ABEA4A6F94F86996D73A7B422EC23</vt:lpwstr>
  </property>
  <property fmtid="{D5CDD505-2E9C-101B-9397-08002B2CF9AE}" pid="32" name="PM_ProtectiveMarkingValue_Footer">
    <vt:lpwstr>OFFICIAL</vt:lpwstr>
  </property>
  <property fmtid="{D5CDD505-2E9C-101B-9397-08002B2CF9AE}" pid="33" name="PM_Display">
    <vt:lpwstr>OFFICIAL</vt:lpwstr>
  </property>
  <property fmtid="{D5CDD505-2E9C-101B-9397-08002B2CF9AE}" pid="34" name="PM_OriginatorUserAccountName_SHA256">
    <vt:lpwstr>4AFD19CFAEB7887A5C73FD2D300BF75B50466CC8117C8CCC517875B5BC91B06C</vt:lpwstr>
  </property>
  <property fmtid="{D5CDD505-2E9C-101B-9397-08002B2CF9AE}" pid="35" name="PM_OriginatorDomainName_SHA256">
    <vt:lpwstr>6F3591835F3B2A8A025B00B5BA6418010DA3A17C9C26EA9C049FFD28039489A2</vt:lpwstr>
  </property>
  <property fmtid="{D5CDD505-2E9C-101B-9397-08002B2CF9AE}" pid="36" name="PMUuid">
    <vt:lpwstr>v=2022.2;d=gov.au;g=46DD6D7C-8107-577B-BC6E-F348953B2E44</vt:lpwstr>
  </property>
  <property fmtid="{D5CDD505-2E9C-101B-9397-08002B2CF9AE}" pid="37" name="PM_Hash_Version">
    <vt:lpwstr>2022.1</vt:lpwstr>
  </property>
  <property fmtid="{D5CDD505-2E9C-101B-9397-08002B2CF9AE}" pid="38" name="PM_Hash_Salt_Prev">
    <vt:lpwstr>CC916715E9B8808DC7914E730259268A</vt:lpwstr>
  </property>
  <property fmtid="{D5CDD505-2E9C-101B-9397-08002B2CF9AE}" pid="39" name="PM_Hash_Salt">
    <vt:lpwstr>4067060E8D4CE2FFC8A33EE950DC5441</vt:lpwstr>
  </property>
  <property fmtid="{D5CDD505-2E9C-101B-9397-08002B2CF9AE}" pid="40" name="PM_Hash_SHA1">
    <vt:lpwstr>52368BEDA9AF54C67BC86148D06B438201E2E675</vt:lpwstr>
  </property>
  <property fmtid="{D5CDD505-2E9C-101B-9397-08002B2CF9AE}" pid="41" name="ContentTypeId">
    <vt:lpwstr>0x0101002F8F12648CA22E45A353806C15444091</vt:lpwstr>
  </property>
  <property fmtid="{D5CDD505-2E9C-101B-9397-08002B2CF9AE}" pid="42" name="docLang">
    <vt:lpwstr>en</vt:lpwstr>
  </property>
</Properties>
</file>