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6D81" w14:textId="0E93FE65" w:rsidR="00A363C7" w:rsidRPr="002301A7" w:rsidRDefault="004E5C40" w:rsidP="002301A7">
      <w:pPr>
        <w:pStyle w:val="Title"/>
      </w:pPr>
      <w:proofErr w:type="spellStart"/>
      <w:r w:rsidRPr="002301A7">
        <w:t>Clostridiodes</w:t>
      </w:r>
      <w:proofErr w:type="spellEnd"/>
      <w:r w:rsidR="002D07F9">
        <w:t xml:space="preserve"> </w:t>
      </w:r>
      <w:r w:rsidRPr="002301A7">
        <w:t>difficile</w:t>
      </w:r>
      <w:r w:rsidR="002D07F9">
        <w:t xml:space="preserve"> </w:t>
      </w:r>
      <w:r w:rsidRPr="002301A7">
        <w:t>infection</w:t>
      </w:r>
      <w:r w:rsidR="002D07F9">
        <w:t xml:space="preserve"> </w:t>
      </w:r>
      <w:r w:rsidRPr="002301A7">
        <w:t>(</w:t>
      </w:r>
      <w:r w:rsidRPr="002301A7">
        <w:rPr>
          <w:i/>
          <w:iCs/>
        </w:rPr>
        <w:t>Clostridioides</w:t>
      </w:r>
      <w:r w:rsidR="002D07F9">
        <w:rPr>
          <w:i/>
          <w:iCs/>
        </w:rPr>
        <w:t xml:space="preserve"> </w:t>
      </w:r>
      <w:r w:rsidRPr="002301A7">
        <w:rPr>
          <w:i/>
          <w:iCs/>
        </w:rPr>
        <w:t>difficile</w:t>
      </w:r>
      <w:r w:rsidRPr="002301A7">
        <w:t>)</w:t>
      </w:r>
    </w:p>
    <w:p w14:paraId="04BAABFC" w14:textId="742251E0" w:rsidR="00177AD2" w:rsidRPr="002301A7" w:rsidRDefault="009E0B84" w:rsidP="002301A7">
      <w:pPr>
        <w:pStyle w:val="Subtitle"/>
      </w:pPr>
      <w:r w:rsidRPr="002301A7">
        <w:t>Laboratory</w:t>
      </w:r>
      <w:r w:rsidR="002D07F9">
        <w:t xml:space="preserve"> </w:t>
      </w:r>
      <w:r w:rsidRPr="002301A7">
        <w:t>case</w:t>
      </w:r>
      <w:r w:rsidR="002D07F9">
        <w:t xml:space="preserve"> </w:t>
      </w:r>
      <w:r w:rsidRPr="002301A7">
        <w:t>definition</w:t>
      </w:r>
    </w:p>
    <w:p w14:paraId="086485EB" w14:textId="04FAA046" w:rsidR="009E0B84" w:rsidRPr="004E5C40" w:rsidRDefault="009E0B84" w:rsidP="002301A7">
      <w:pPr>
        <w:pStyle w:val="IntroPara"/>
      </w:pPr>
      <w:r w:rsidRPr="6079CA59">
        <w:t>The</w:t>
      </w:r>
      <w:r w:rsidR="002D07F9">
        <w:t xml:space="preserve"> </w:t>
      </w:r>
      <w:r w:rsidRPr="6079CA59">
        <w:t>Public</w:t>
      </w:r>
      <w:r w:rsidR="002D07F9">
        <w:t xml:space="preserve"> </w:t>
      </w:r>
      <w:r w:rsidRPr="6079CA59">
        <w:t>Health</w:t>
      </w:r>
      <w:r w:rsidR="002D07F9">
        <w:t xml:space="preserve"> </w:t>
      </w:r>
      <w:r w:rsidRPr="6079CA59">
        <w:t>Laboratory</w:t>
      </w:r>
      <w:r w:rsidR="002D07F9">
        <w:t xml:space="preserve"> </w:t>
      </w:r>
      <w:r w:rsidRPr="6079CA59">
        <w:t>Network</w:t>
      </w:r>
      <w:r w:rsidR="002D07F9">
        <w:t xml:space="preserve"> </w:t>
      </w:r>
      <w:r w:rsidR="00CD407A" w:rsidRPr="6079CA59">
        <w:t>(PHLN)</w:t>
      </w:r>
      <w:r w:rsidR="002D07F9">
        <w:t xml:space="preserve"> </w:t>
      </w:r>
      <w:r w:rsidRPr="6079CA59">
        <w:t>ha</w:t>
      </w:r>
      <w:r w:rsidR="003100AE" w:rsidRPr="6079CA59">
        <w:t>s</w:t>
      </w:r>
      <w:r w:rsidR="002D07F9">
        <w:t xml:space="preserve"> </w:t>
      </w:r>
      <w:r w:rsidRPr="6079CA59">
        <w:t>developed</w:t>
      </w:r>
      <w:r w:rsidR="002D07F9">
        <w:t xml:space="preserve"> </w:t>
      </w:r>
      <w:r w:rsidRPr="6079CA59">
        <w:t>standard</w:t>
      </w:r>
      <w:r w:rsidR="002D07F9">
        <w:t xml:space="preserve"> </w:t>
      </w:r>
      <w:r w:rsidRPr="6079CA59">
        <w:t>case</w:t>
      </w:r>
      <w:r w:rsidR="002D07F9">
        <w:t xml:space="preserve"> </w:t>
      </w:r>
      <w:r w:rsidRPr="6079CA59">
        <w:t>definition</w:t>
      </w:r>
      <w:r w:rsidR="003100AE" w:rsidRPr="6079CA59">
        <w:t>s</w:t>
      </w:r>
      <w:r w:rsidR="002D07F9">
        <w:t xml:space="preserve"> </w:t>
      </w:r>
      <w:r w:rsidRPr="6079CA59">
        <w:t>for</w:t>
      </w:r>
      <w:r w:rsidR="002D07F9">
        <w:t xml:space="preserve"> </w:t>
      </w:r>
      <w:r w:rsidRPr="6079CA59">
        <w:t>the</w:t>
      </w:r>
      <w:r w:rsidR="002D07F9">
        <w:t xml:space="preserve"> </w:t>
      </w:r>
      <w:r w:rsidRPr="6079CA59">
        <w:t>diagnosis</w:t>
      </w:r>
      <w:r w:rsidR="002D07F9">
        <w:t xml:space="preserve"> </w:t>
      </w:r>
      <w:r w:rsidRPr="6079CA59">
        <w:t>of</w:t>
      </w:r>
      <w:r w:rsidR="002D07F9">
        <w:t xml:space="preserve"> </w:t>
      </w:r>
      <w:r w:rsidR="00AA26D0" w:rsidRPr="6079CA59">
        <w:t>key</w:t>
      </w:r>
      <w:r w:rsidR="002D07F9">
        <w:t xml:space="preserve"> </w:t>
      </w:r>
      <w:r w:rsidRPr="6079CA59">
        <w:t>diseases</w:t>
      </w:r>
      <w:r w:rsidR="002D07F9">
        <w:t xml:space="preserve"> </w:t>
      </w:r>
      <w:r w:rsidRPr="6079CA59">
        <w:t>in</w:t>
      </w:r>
      <w:r w:rsidR="002D07F9">
        <w:t xml:space="preserve"> </w:t>
      </w:r>
      <w:r w:rsidRPr="6079CA59">
        <w:t>Australia.</w:t>
      </w:r>
      <w:r w:rsidR="002D07F9">
        <w:t xml:space="preserve"> </w:t>
      </w:r>
      <w:r w:rsidRPr="6079CA59">
        <w:t>This</w:t>
      </w:r>
      <w:r w:rsidR="002D07F9">
        <w:t xml:space="preserve"> </w:t>
      </w:r>
      <w:r w:rsidRPr="6079CA59">
        <w:t>document</w:t>
      </w:r>
      <w:r w:rsidR="002D07F9">
        <w:t xml:space="preserve"> </w:t>
      </w:r>
      <w:r w:rsidRPr="6079CA59">
        <w:t>contains</w:t>
      </w:r>
      <w:r w:rsidR="002D07F9">
        <w:t xml:space="preserve"> </w:t>
      </w:r>
      <w:r w:rsidRPr="6079CA59">
        <w:t>the</w:t>
      </w:r>
      <w:r w:rsidR="002D07F9">
        <w:t xml:space="preserve"> </w:t>
      </w:r>
      <w:r w:rsidRPr="6079CA59">
        <w:t>laboratory</w:t>
      </w:r>
      <w:r w:rsidR="002D07F9">
        <w:t xml:space="preserve"> </w:t>
      </w:r>
      <w:r w:rsidRPr="6079CA59">
        <w:t>case</w:t>
      </w:r>
      <w:r w:rsidR="002D07F9">
        <w:t xml:space="preserve"> </w:t>
      </w:r>
      <w:r w:rsidRPr="6079CA59">
        <w:t>definition</w:t>
      </w:r>
      <w:r w:rsidR="002D07F9">
        <w:t xml:space="preserve"> </w:t>
      </w:r>
      <w:r w:rsidRPr="6079CA59">
        <w:t>for</w:t>
      </w:r>
      <w:r w:rsidR="002D07F9">
        <w:t xml:space="preserve"> </w:t>
      </w:r>
      <w:proofErr w:type="spellStart"/>
      <w:r w:rsidR="004E5C40" w:rsidRPr="6079CA59">
        <w:rPr>
          <w:i/>
          <w:iCs/>
        </w:rPr>
        <w:t>clostridiodes</w:t>
      </w:r>
      <w:proofErr w:type="spellEnd"/>
      <w:r w:rsidR="002D07F9">
        <w:rPr>
          <w:i/>
          <w:iCs/>
        </w:rPr>
        <w:t xml:space="preserve"> </w:t>
      </w:r>
      <w:r w:rsidR="004E5C40" w:rsidRPr="6079CA59">
        <w:rPr>
          <w:i/>
          <w:iCs/>
        </w:rPr>
        <w:t>difficile</w:t>
      </w:r>
      <w:r w:rsidR="004E5C40" w:rsidRPr="6079CA59">
        <w:t>.</w:t>
      </w:r>
    </w:p>
    <w:p w14:paraId="13723F51" w14:textId="058CA4BC" w:rsidR="00AA26D0" w:rsidRPr="004E5C40" w:rsidRDefault="00AA26D0" w:rsidP="002301A7">
      <w:pPr>
        <w:tabs>
          <w:tab w:val="left" w:pos="2268"/>
        </w:tabs>
        <w:spacing w:after="120"/>
        <w:rPr>
          <w:b/>
          <w:bCs/>
        </w:rPr>
      </w:pPr>
      <w:r w:rsidRPr="004E5C40">
        <w:rPr>
          <w:b/>
          <w:bCs/>
        </w:rPr>
        <w:t>Version:</w:t>
      </w:r>
      <w:r w:rsidRPr="004E5C40">
        <w:rPr>
          <w:b/>
          <w:bCs/>
        </w:rPr>
        <w:tab/>
      </w:r>
      <w:r w:rsidR="004E5C40" w:rsidRPr="004E5C40">
        <w:t>1</w:t>
      </w:r>
      <w:r w:rsidRPr="004E5C40">
        <w:t>.0</w:t>
      </w:r>
    </w:p>
    <w:p w14:paraId="20F3B786" w14:textId="7F9864DC" w:rsidR="009E0B84" w:rsidRPr="004E5C40" w:rsidRDefault="009E0B84" w:rsidP="002301A7">
      <w:pPr>
        <w:tabs>
          <w:tab w:val="left" w:pos="2268"/>
        </w:tabs>
        <w:spacing w:after="120"/>
      </w:pPr>
      <w:r w:rsidRPr="004E5C40">
        <w:rPr>
          <w:b/>
          <w:bCs/>
        </w:rPr>
        <w:t>Authorisation:</w:t>
      </w:r>
      <w:r w:rsidRPr="004E5C40">
        <w:tab/>
        <w:t>PHLN</w:t>
      </w:r>
    </w:p>
    <w:p w14:paraId="0037BC41" w14:textId="4B880C0F" w:rsidR="004E5C40" w:rsidRPr="004E5C40" w:rsidRDefault="009E0B84" w:rsidP="002D07F9">
      <w:pPr>
        <w:pBdr>
          <w:bottom w:val="single" w:sz="6" w:space="6" w:color="auto"/>
        </w:pBdr>
        <w:tabs>
          <w:tab w:val="left" w:pos="2268"/>
        </w:tabs>
      </w:pPr>
      <w:r w:rsidRPr="004E5C40">
        <w:rPr>
          <w:b/>
          <w:bCs/>
        </w:rPr>
        <w:t>Consensus</w:t>
      </w:r>
      <w:r w:rsidR="002D07F9">
        <w:rPr>
          <w:b/>
          <w:bCs/>
        </w:rPr>
        <w:t xml:space="preserve"> </w:t>
      </w:r>
      <w:r w:rsidRPr="004E5C40">
        <w:rPr>
          <w:b/>
          <w:bCs/>
        </w:rPr>
        <w:t>date:</w:t>
      </w:r>
      <w:r w:rsidRPr="004E5C40">
        <w:tab/>
      </w:r>
      <w:r w:rsidR="004E5C40" w:rsidRPr="004E5C40">
        <w:t>May</w:t>
      </w:r>
      <w:r w:rsidR="002D07F9">
        <w:t xml:space="preserve"> </w:t>
      </w:r>
      <w:r w:rsidR="004E5C40" w:rsidRPr="004E5C40">
        <w:t>2016</w:t>
      </w:r>
    </w:p>
    <w:p w14:paraId="2BB5911F" w14:textId="42E90A79" w:rsidR="004E5C40" w:rsidRPr="002301A7" w:rsidRDefault="004E5C40" w:rsidP="002301A7">
      <w:pPr>
        <w:pStyle w:val="Heading1"/>
      </w:pPr>
      <w:r w:rsidRPr="002301A7">
        <w:t>1</w:t>
      </w:r>
      <w:r w:rsidR="002D07F9">
        <w:t xml:space="preserve"> </w:t>
      </w:r>
      <w:r w:rsidRPr="002301A7">
        <w:t>PHLN</w:t>
      </w:r>
      <w:r w:rsidR="002D07F9">
        <w:t xml:space="preserve"> </w:t>
      </w:r>
      <w:r w:rsidRPr="002301A7">
        <w:t>Summary</w:t>
      </w:r>
      <w:r w:rsidR="002D07F9">
        <w:t xml:space="preserve"> </w:t>
      </w:r>
      <w:r w:rsidRPr="002301A7">
        <w:t>Laboratory</w:t>
      </w:r>
      <w:r w:rsidR="002D07F9">
        <w:t xml:space="preserve"> </w:t>
      </w:r>
      <w:r w:rsidRPr="002301A7">
        <w:t>Definition</w:t>
      </w:r>
    </w:p>
    <w:p w14:paraId="753DACAD" w14:textId="199951D4" w:rsidR="004E5C40" w:rsidRPr="002301A7" w:rsidRDefault="004E5C40" w:rsidP="002301A7">
      <w:pPr>
        <w:pStyle w:val="Heading2"/>
      </w:pPr>
      <w:r w:rsidRPr="002301A7">
        <w:t>1.1</w:t>
      </w:r>
      <w:r w:rsidR="002D07F9">
        <w:t xml:space="preserve"> </w:t>
      </w:r>
      <w:r w:rsidRPr="002301A7">
        <w:t>Condition:</w:t>
      </w:r>
    </w:p>
    <w:p w14:paraId="5A16695A" w14:textId="3718A956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(CDI).</w:t>
      </w:r>
    </w:p>
    <w:p w14:paraId="28D47757" w14:textId="75D652F7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implies:</w:t>
      </w:r>
    </w:p>
    <w:p w14:paraId="79F30FAE" w14:textId="09D8F4FD" w:rsidR="004E5C40" w:rsidRPr="0026245B" w:rsidRDefault="004E5C40" w:rsidP="004E5C40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swab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bowel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</w:p>
    <w:p w14:paraId="5720B531" w14:textId="285950FF" w:rsidR="004E5C40" w:rsidRPr="0026245B" w:rsidRDefault="004E5C40" w:rsidP="004E5C40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relevant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manifestations: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defined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3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24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period)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commonly,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ileus,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megacolon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pseudomembranous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colitis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(identified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endoscopy).</w:t>
      </w:r>
    </w:p>
    <w:p w14:paraId="281021FF" w14:textId="59441E33" w:rsidR="004E5C40" w:rsidRPr="002301A7" w:rsidRDefault="004E5C40" w:rsidP="002301A7">
      <w:pPr>
        <w:pStyle w:val="Heading3"/>
      </w:pPr>
      <w:r w:rsidRPr="002301A7">
        <w:t>1.1.1</w:t>
      </w:r>
      <w:r w:rsidR="002D07F9">
        <w:t xml:space="preserve"> </w:t>
      </w:r>
      <w:r w:rsidRPr="002301A7">
        <w:t>Definitive</w:t>
      </w:r>
      <w:r w:rsidR="002D07F9">
        <w:t xml:space="preserve"> </w:t>
      </w:r>
      <w:r w:rsidRPr="002301A7">
        <w:t>laboratory</w:t>
      </w:r>
      <w:r w:rsidR="002D07F9">
        <w:t xml:space="preserve"> </w:t>
      </w:r>
      <w:r w:rsidRPr="002301A7">
        <w:t>criteria</w:t>
      </w:r>
    </w:p>
    <w:p w14:paraId="0DF50BD5" w14:textId="3B876739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Direct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toxin(s)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(diarrhoeal)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sample.</w:t>
      </w:r>
    </w:p>
    <w:p w14:paraId="0CD395D7" w14:textId="587DB843" w:rsidR="004E5C40" w:rsidRPr="0026245B" w:rsidRDefault="004E5C40" w:rsidP="002301A7">
      <w:pPr>
        <w:pStyle w:val="Heading3"/>
      </w:pPr>
      <w:r w:rsidRPr="0026245B">
        <w:t>1.1.2</w:t>
      </w:r>
      <w:r w:rsidR="002D07F9">
        <w:t xml:space="preserve"> </w:t>
      </w:r>
      <w:r w:rsidRPr="0026245B">
        <w:t>Suggestive</w:t>
      </w:r>
      <w:r w:rsidR="002D07F9">
        <w:t xml:space="preserve"> </w:t>
      </w:r>
      <w:r w:rsidRPr="0026245B">
        <w:t>laboratory</w:t>
      </w:r>
      <w:r w:rsidR="002D07F9">
        <w:t xml:space="preserve"> </w:t>
      </w:r>
      <w:r w:rsidRPr="0026245B">
        <w:t>criteria</w:t>
      </w:r>
    </w:p>
    <w:p w14:paraId="2C281A12" w14:textId="2C4D265F" w:rsidR="004E5C40" w:rsidRPr="0026245B" w:rsidRDefault="004E5C40" w:rsidP="004E5C40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Direct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gene(s)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Pathogenicity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Locus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PaLoc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encodes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tcdA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tcdE</w:t>
      </w:r>
      <w:proofErr w:type="spellEnd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(diarrhoeal)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sample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bowel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tissue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nucleic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amplification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</w:p>
    <w:p w14:paraId="197CEA86" w14:textId="3E56BE8C" w:rsidR="004E5C40" w:rsidRPr="0026245B" w:rsidRDefault="004E5C40" w:rsidP="004E5C40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Isolation,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(diarrhoeal)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sample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bowel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tissue,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EITHER</w:t>
      </w:r>
    </w:p>
    <w:p w14:paraId="683DE32E" w14:textId="28B1A2A5" w:rsidR="004E5C40" w:rsidRPr="0026245B" w:rsidRDefault="004E5C40" w:rsidP="004E5C40">
      <w:pPr>
        <w:numPr>
          <w:ilvl w:val="1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possesses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toxin-related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gene(s)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pathogenicity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locus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PaLoc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transferase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locus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CdtLoc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</w:p>
    <w:p w14:paraId="29414703" w14:textId="0C172AF5" w:rsidR="004E5C40" w:rsidRPr="0026245B" w:rsidRDefault="004E5C40" w:rsidP="004E5C40">
      <w:pPr>
        <w:numPr>
          <w:ilvl w:val="1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produces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vitro.</w:t>
      </w:r>
    </w:p>
    <w:p w14:paraId="484DF5C3" w14:textId="3ED8A9AD" w:rsidR="004E5C40" w:rsidRPr="0026245B" w:rsidRDefault="004E5C40" w:rsidP="00275789">
      <w:pPr>
        <w:pStyle w:val="Heading1"/>
      </w:pPr>
      <w:r w:rsidRPr="0026245B">
        <w:t>2</w:t>
      </w:r>
      <w:r w:rsidR="002D07F9">
        <w:t xml:space="preserve"> </w:t>
      </w:r>
      <w:r w:rsidRPr="0026245B">
        <w:t>Introduction</w:t>
      </w:r>
    </w:p>
    <w:p w14:paraId="71DA121A" w14:textId="6D812754" w:rsidR="004E5C40" w:rsidRPr="0026245B" w:rsidRDefault="004E5C40" w:rsidP="00275789">
      <w:pPr>
        <w:pStyle w:val="Heading2"/>
      </w:pPr>
      <w:r w:rsidRPr="0026245B">
        <w:t>2.1</w:t>
      </w:r>
      <w:r w:rsidR="002D07F9">
        <w:t xml:space="preserve"> </w:t>
      </w:r>
      <w:r w:rsidRPr="0026245B">
        <w:t>The</w:t>
      </w:r>
      <w:r w:rsidR="002D07F9">
        <w:t xml:space="preserve"> </w:t>
      </w:r>
      <w:r w:rsidRPr="0026245B">
        <w:t>organism</w:t>
      </w:r>
      <w:r w:rsidR="002D07F9">
        <w:t xml:space="preserve"> </w:t>
      </w:r>
      <w:r w:rsidRPr="0026245B">
        <w:t>and</w:t>
      </w:r>
      <w:r w:rsidR="002D07F9">
        <w:t xml:space="preserve"> </w:t>
      </w:r>
      <w:r w:rsidRPr="0026245B">
        <w:t>its</w:t>
      </w:r>
      <w:r w:rsidR="002D07F9">
        <w:t xml:space="preserve"> </w:t>
      </w:r>
      <w:r w:rsidRPr="0026245B">
        <w:t>toxins</w:t>
      </w:r>
    </w:p>
    <w:p w14:paraId="55F56E99" w14:textId="1320822C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Gram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spore-forming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bacterium,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shown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pseudomembranous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colitis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condition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(then)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antibiotic,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clindamycin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1978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2016,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reclassified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widely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distributed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environment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flora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humans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exceptions,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limited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gastrointestinal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tract.</w:t>
      </w:r>
    </w:p>
    <w:p w14:paraId="43A0C6DD" w14:textId="27E8F21E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Local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systemic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two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encoded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pathogenicity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locus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PaLoc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absent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non-toxigenic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TcdA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“enterotoxin”,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encoded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tcdA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“cytotoxin”,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encoded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cytotoxic,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100-1000-fold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potent;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TcdA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fluid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accumulation,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cholera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rabbit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ileal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loop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PaLoc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tcdC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tcdR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respectively,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regulators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tcdE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involved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release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minority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(3-12%)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humans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transferase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(CDT),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classic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two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component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binding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CDTb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enzyme/toxic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CDTa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subunits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encoded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cdtA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cdtB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respectively;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locus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CdtLoc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along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regulatory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cdtR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virulence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mechanism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uncertain;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cytotoxic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vitro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believed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enhance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adherence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intestinal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epithelium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511E20E5" w14:textId="5D2A3D9B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Various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majority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TcdA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alone,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contrast,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(RT)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(refer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below)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originate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TcdA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0BE0C843" w14:textId="70CE5BC4" w:rsidR="004E5C40" w:rsidRPr="0026245B" w:rsidRDefault="004E5C40" w:rsidP="00275789">
      <w:pPr>
        <w:pStyle w:val="Heading2"/>
      </w:pPr>
      <w:r w:rsidRPr="0026245B">
        <w:t>2.2</w:t>
      </w:r>
      <w:r w:rsidR="002D07F9">
        <w:t xml:space="preserve"> </w:t>
      </w:r>
      <w:r w:rsidRPr="0026245B">
        <w:t>Infection</w:t>
      </w:r>
      <w:r w:rsidR="002D07F9">
        <w:t xml:space="preserve"> </w:t>
      </w:r>
      <w:r w:rsidRPr="0026245B">
        <w:t>and</w:t>
      </w:r>
      <w:r w:rsidR="002D07F9">
        <w:t xml:space="preserve"> </w:t>
      </w:r>
      <w:r w:rsidRPr="0026245B">
        <w:t>colonisation</w:t>
      </w:r>
    </w:p>
    <w:p w14:paraId="496F685D" w14:textId="49E905E2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Symptoms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range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few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bloody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ulceration,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pseudomembrane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formation,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leukocytosis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systemic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toxicity,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sometimes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further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complicated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life-threatening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megacolon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peritonitis,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emergency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colectomy.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average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attributable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~5%,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widely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according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characteristics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particularly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involved.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Recurrent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i.e.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recurring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improvement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weeks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onset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original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incident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20%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cases,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average,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Recurrence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relapse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original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reinfection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particularly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individuals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ongoing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risk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factors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immunosuppression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continuing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repeated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antibiotic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therapy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52039033" w14:textId="21AED54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Asymptomatic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uncommon,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particularly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young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children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adults,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period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among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residents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long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term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facilities;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persists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weeks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recovery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episode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6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50-60%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healthy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infants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first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life;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likely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establishment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normal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microbiome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delayed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modified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Caesarean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delivery,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exposure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antibiotics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artificial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feeding.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Infants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resistant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apparently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lack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relevant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epithelial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receptors,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rarely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develop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7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6DBFDB40" w14:textId="7F66332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Colonisation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decline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second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life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microbiome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becomes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complex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competence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matures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uncommon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healthy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older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children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(3-5%).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Subsequent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exposure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asymptomatic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individuals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susceptible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immunosuppression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chronic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illness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chemotherapy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disruption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microbiota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antibiotic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therapy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especially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broad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spectrum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agents,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clindamycin,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third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fourth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cephalosporins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fluorquinolones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Gastrointestinal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surgery,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inflammatory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bowel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disease,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suppressive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therapy,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especially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protein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pump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inhibitors,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excessive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laxatives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enemas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risk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studies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6,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8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744B2793" w14:textId="3791AAE6" w:rsidR="004E5C40" w:rsidRPr="0026245B" w:rsidRDefault="004E5C40" w:rsidP="00275789">
      <w:pPr>
        <w:pStyle w:val="Heading2"/>
      </w:pPr>
      <w:r w:rsidRPr="0026245B">
        <w:t>2.3</w:t>
      </w:r>
      <w:r w:rsidR="002D07F9">
        <w:t xml:space="preserve"> </w:t>
      </w:r>
      <w:r w:rsidRPr="0026245B">
        <w:t>Transmission</w:t>
      </w:r>
    </w:p>
    <w:p w14:paraId="023A2007" w14:textId="09EC6BA1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spread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faecal-oral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route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ingestion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resistant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drying,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disinfectants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persist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environment,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particularly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vicinity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individuals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thought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exclusively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healthcare-associated,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spreading,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contaminated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environment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hands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healthcare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workers,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susceptible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subsequently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develop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recognised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least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third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9,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organism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spread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asymptomatic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infants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important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reservoir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10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susceptible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adults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07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sequencing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demonstrated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apparently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(i.e.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onset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&gt;48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admission)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genetically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linked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source,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indicating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sources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diverse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unrecognised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11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apparently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presumably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existing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exposed,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risk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factors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antibiotic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therapy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bowel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surgery.</w:t>
      </w:r>
    </w:p>
    <w:p w14:paraId="0AEB5622" w14:textId="1144AD4A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food-producing,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especially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young,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poultry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point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infrequently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contaminated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vegetables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contaminated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ready-to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contaminated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preparation.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low-level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contamination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resist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periods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cooking.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Food-borne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transmission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probably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source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difficult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individual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cases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13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distribution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(RTs)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prevalent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humans,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overlap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direct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transmission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humans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078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postulated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01540291" w14:textId="50938FC4" w:rsidR="004E5C40" w:rsidRPr="0026245B" w:rsidRDefault="004E5C40" w:rsidP="00275789">
      <w:pPr>
        <w:pStyle w:val="Heading2"/>
      </w:pPr>
      <w:r w:rsidRPr="0026245B">
        <w:t>2.4</w:t>
      </w:r>
      <w:r w:rsidR="002D07F9">
        <w:t xml:space="preserve"> </w:t>
      </w:r>
      <w:r w:rsidRPr="0026245B">
        <w:t>Pathogenesis</w:t>
      </w:r>
    </w:p>
    <w:p w14:paraId="0EF31F3B" w14:textId="06B2069D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ingestion,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survive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environment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stomach,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germinate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exposure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small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intestine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proliferate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favourable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circumstances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disruption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microbiota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penetrates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mucus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layer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adheres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epithelium.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stationary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growth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phase;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cellular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intoxication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disruption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cytoskeleton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tight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junctions,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epithelial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permeability,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fluid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accumulation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intense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systemic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inflammatory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response.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(and,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extent,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together.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germination,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sporulation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biofilm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contribute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virulence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2001C540" w14:textId="6D9137B0" w:rsidR="004E5C40" w:rsidRPr="0026245B" w:rsidRDefault="004E5C40" w:rsidP="00275789">
      <w:pPr>
        <w:pStyle w:val="Heading2"/>
      </w:pPr>
      <w:r w:rsidRPr="0026245B">
        <w:t>2.5</w:t>
      </w:r>
      <w:r w:rsidR="002D07F9">
        <w:t xml:space="preserve"> </w:t>
      </w:r>
      <w:r w:rsidRPr="0026245B">
        <w:t>Evolving</w:t>
      </w:r>
      <w:r w:rsidR="002D07F9">
        <w:t xml:space="preserve"> </w:t>
      </w:r>
      <w:r w:rsidRPr="0026245B">
        <w:t>CDI</w:t>
      </w:r>
      <w:r w:rsidR="002D07F9">
        <w:t xml:space="preserve"> </w:t>
      </w:r>
      <w:r w:rsidRPr="0026245B">
        <w:t>epidemiology</w:t>
      </w:r>
    </w:p>
    <w:p w14:paraId="7EF8E3C2" w14:textId="007F751E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time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regarded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uncommon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mainly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elderly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multiple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co-morbidities.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Outbreaks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uncommon.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2004,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Quebec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15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drew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attention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dramatic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incidence,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younger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(&lt;65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years)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age-groups.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USA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16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countries,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emergence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previously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fluoroquinolone-resistant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16,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17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pulse-filed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electrophoresis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(PFGE)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NAP1,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restriction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endonuclease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analysis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(REA)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ribotyping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toxinotyping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toxinotype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III.</w:t>
      </w:r>
    </w:p>
    <w:p w14:paraId="2D468A5B" w14:textId="45481A4E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referred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characterised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binary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toxin/CDT,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18-bp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deletion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117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(tcdCD117)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tcdC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regulatory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function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TcdC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6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studies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profiles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(mostly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belonging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clades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5)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complication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profiles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18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7527D581" w14:textId="2BE95A03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spread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widespread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outbreaks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occurred,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subsequently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European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countries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19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countries,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major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outbreaks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documented,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predominant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incidence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reached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peak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2006-8,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major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control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programs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implemented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throughout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UK,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sharp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falls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rates.</w:t>
      </w:r>
    </w:p>
    <w:p w14:paraId="1436ADD4" w14:textId="1217C350" w:rsidR="004E5C40" w:rsidRPr="0026245B" w:rsidRDefault="004E5C40" w:rsidP="004E5C40">
      <w:pPr>
        <w:shd w:val="clear" w:color="auto" w:fill="FFFFFF"/>
        <w:spacing w:before="240"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incidence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recognition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virulent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European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countries,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virulent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078,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associated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especially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pigs,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increasingly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recognised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humans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Typically,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younger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age-groups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absence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obvious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risk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factors;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affected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fewer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comorbidities,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lower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40%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progressive,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occur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previously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healthy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young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people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5,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10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10B74A27" w14:textId="4B753FF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little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spread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Australia;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few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individual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imported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hospital-acquired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21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limited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emergence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previously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unknown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virulence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profiles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belonging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clade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244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251.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addition,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multitude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clade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5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Australian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animals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078.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Prospective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surveillance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public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hospital-diagnosed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indicate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incidence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community-acquired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disease,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increasing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23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changes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criteria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probably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contributed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apparent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increase.</w:t>
      </w:r>
    </w:p>
    <w:p w14:paraId="62A46D1E" w14:textId="2A395373" w:rsidR="004E5C40" w:rsidRPr="0026245B" w:rsidRDefault="004E5C40" w:rsidP="00275789">
      <w:pPr>
        <w:pStyle w:val="Heading2"/>
      </w:pPr>
      <w:r w:rsidRPr="0026245B">
        <w:t>2.6</w:t>
      </w:r>
      <w:r w:rsidR="002D07F9">
        <w:t xml:space="preserve"> </w:t>
      </w:r>
      <w:r w:rsidRPr="0026245B">
        <w:t>Diagnosis</w:t>
      </w:r>
    </w:p>
    <w:p w14:paraId="58FB0584" w14:textId="1F6A3D9D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Indications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changed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significantly.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Previously,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toxin(s)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faeces;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slow,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difficult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response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Subsequently,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glutamate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dehydrogenase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(GDH)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“common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antigen”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nucleic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amplification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(NAATs)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commercially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available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widely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analytical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costs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24,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25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Australian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26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reliability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surveillance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data.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approach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improve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validity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surveillance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data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27,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28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310F8F31" w14:textId="36145EE5" w:rsidR="004E5C40" w:rsidRPr="0026245B" w:rsidRDefault="004E5C40" w:rsidP="004E5C40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preformed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faeces: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cellular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cytotoxicity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neutralisation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(CCNA)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regarded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“gold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standard”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75-85%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29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capability,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24-48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rarely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commercial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(&gt;95%)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Early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thought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recognised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unsuitable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minority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Australia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major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Asia,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017,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negative);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designed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B.</w:t>
      </w:r>
    </w:p>
    <w:p w14:paraId="3CF51667" w14:textId="2BAC7BCC" w:rsidR="004E5C40" w:rsidRPr="0026245B" w:rsidRDefault="004E5C40" w:rsidP="004E5C40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b/>
          <w:bCs/>
          <w:sz w:val="20"/>
          <w:szCs w:val="20"/>
          <w:lang w:eastAsia="en-AU"/>
        </w:rPr>
        <w:t>faeces: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alternative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“gold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standard”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potential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necessarily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actual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vivo.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24-48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confirmatory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required.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impractical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routine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antibiotic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susceptibility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supplementary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direct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genes.</w:t>
      </w:r>
    </w:p>
    <w:p w14:paraId="216951D3" w14:textId="3B534EDB" w:rsidR="004E5C40" w:rsidRPr="0026245B" w:rsidRDefault="004E5C40" w:rsidP="004E5C40">
      <w:pPr>
        <w:shd w:val="clear" w:color="auto" w:fill="FFFFFF"/>
        <w:spacing w:before="240"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necessary,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sufficient,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condition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fewer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correlate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findings.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prospective,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multicentre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study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evaluated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measures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routine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blood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length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30-day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30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&gt;6,500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according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results: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(7%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specimens);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(3%);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3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(90%).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Mortality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(16.6%)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(9.7%;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p=0.002)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3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(8.6%;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p=&lt;0.0001)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significantly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3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(p=0.53).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authors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concluded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originated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shedding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probably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potential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sources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cross-infection.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acceptable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predictive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values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correlated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gold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were:</w:t>
      </w:r>
    </w:p>
    <w:p w14:paraId="6074CE69" w14:textId="01363402" w:rsidR="004E5C40" w:rsidRPr="0026245B" w:rsidRDefault="004E5C40" w:rsidP="004E5C40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Techlab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Chek-60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glutamate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dehydrogenase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enzyme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(GeneXpert,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Cepheid):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92%;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98%;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PPV,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81%;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99%;</w:t>
      </w:r>
      <w:proofErr w:type="gramEnd"/>
    </w:p>
    <w:p w14:paraId="7C1F8C46" w14:textId="2EC288B3" w:rsidR="004E5C40" w:rsidRPr="0026245B" w:rsidRDefault="004E5C40" w:rsidP="004E5C40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CCNA: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A/B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Techlab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A/B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enzyme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A/B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82%;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99.5%;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92%;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99%.</w:t>
      </w:r>
    </w:p>
    <w:p w14:paraId="22C9A8B0" w14:textId="7F088E3D" w:rsidR="004E5C40" w:rsidRPr="0026245B" w:rsidRDefault="004E5C40" w:rsidP="004E5C40">
      <w:pPr>
        <w:shd w:val="clear" w:color="auto" w:fill="FFFFFF"/>
        <w:spacing w:before="240"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sequentially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parallel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8,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28,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29,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31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supplemented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least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larger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surveillance.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Multistep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two-step)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algorithms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(i.e.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arbitrated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advocated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preferred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approach.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choice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depend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predictive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values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validation,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workflow.</w:t>
      </w:r>
    </w:p>
    <w:p w14:paraId="2D591EC9" w14:textId="3F03DA48" w:rsidR="004E5C40" w:rsidRPr="0026245B" w:rsidRDefault="004E5C40" w:rsidP="00275789">
      <w:pPr>
        <w:pStyle w:val="Heading2"/>
      </w:pPr>
      <w:r w:rsidRPr="0026245B">
        <w:t>2.7.</w:t>
      </w:r>
      <w:r w:rsidR="002D07F9">
        <w:t xml:space="preserve"> </w:t>
      </w:r>
      <w:r w:rsidRPr="0026245B">
        <w:t>Strain</w:t>
      </w:r>
      <w:r w:rsidR="002D07F9">
        <w:t xml:space="preserve"> </w:t>
      </w:r>
      <w:r w:rsidRPr="0026245B">
        <w:t>typing</w:t>
      </w:r>
      <w:r w:rsidR="002D07F9">
        <w:t xml:space="preserve"> </w:t>
      </w:r>
      <w:r w:rsidRPr="0026245B">
        <w:t>and</w:t>
      </w:r>
      <w:r w:rsidR="002D07F9">
        <w:t xml:space="preserve"> </w:t>
      </w:r>
      <w:r w:rsidRPr="0026245B">
        <w:t>surveillance</w:t>
      </w:r>
    </w:p>
    <w:p w14:paraId="4EFEDD5C" w14:textId="55A5F6E1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ribotyping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commonest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small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number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Australian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toxinotyping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restriction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fragment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length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polymorphism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PaLoc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multilocus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sequence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(MLST);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pulse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field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electrophoresis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restriction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endonuclease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analysis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25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sequencing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(WGS)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emerged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characterization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predominantly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outbreaks.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WGS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amenable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standardization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radically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improved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resolution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enabling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examination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molecular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epidemiology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tracing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pathogen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transmission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events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addition,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genomic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(≤2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allelic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documented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MLST)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recovered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recurrent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suggests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relapse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50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alleles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initial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subsequent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indicate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exogenous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reinfection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33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227EF22F" w14:textId="08CF8FFC" w:rsidR="004E5C40" w:rsidRPr="0026245B" w:rsidRDefault="004E5C40" w:rsidP="00275789">
      <w:pPr>
        <w:pStyle w:val="Heading1"/>
      </w:pPr>
      <w:r w:rsidRPr="0026245B">
        <w:t>3</w:t>
      </w:r>
      <w:r w:rsidR="002D07F9">
        <w:t xml:space="preserve"> </w:t>
      </w:r>
      <w:r w:rsidRPr="0026245B">
        <w:t>Laboratory</w:t>
      </w:r>
      <w:r w:rsidR="002D07F9">
        <w:t xml:space="preserve"> </w:t>
      </w:r>
      <w:r w:rsidRPr="0026245B">
        <w:t>Diagnosis/Tests</w:t>
      </w:r>
    </w:p>
    <w:p w14:paraId="7B1DADCB" w14:textId="3E941E16" w:rsidR="004E5C40" w:rsidRPr="0026245B" w:rsidRDefault="004E5C40" w:rsidP="00275789">
      <w:pPr>
        <w:pStyle w:val="Heading2"/>
      </w:pPr>
      <w:r w:rsidRPr="0026245B">
        <w:t>3.1.</w:t>
      </w:r>
      <w:r w:rsidR="002D07F9">
        <w:t xml:space="preserve"> </w:t>
      </w:r>
      <w:r w:rsidRPr="0026245B">
        <w:t>Testing</w:t>
      </w:r>
      <w:r w:rsidR="002D07F9">
        <w:t xml:space="preserve"> </w:t>
      </w:r>
      <w:r w:rsidRPr="0026245B">
        <w:t>criteria</w:t>
      </w:r>
    </w:p>
    <w:p w14:paraId="3CA131D8" w14:textId="1536DDEA" w:rsidR="004E5C40" w:rsidRPr="0026245B" w:rsidRDefault="004E5C40" w:rsidP="004E5C40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ileus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suspected.</w:t>
      </w:r>
    </w:p>
    <w:p w14:paraId="0F01F0EE" w14:textId="420C3806" w:rsidR="004E5C40" w:rsidRPr="0026245B" w:rsidRDefault="004E5C40" w:rsidP="004E5C40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children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years,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hospitalized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&gt;48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develop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(&gt;3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24-hour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period)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CDI.</w:t>
      </w:r>
    </w:p>
    <w:p w14:paraId="58849C8C" w14:textId="19CB5FB6" w:rsidR="004E5C40" w:rsidRPr="0026245B" w:rsidRDefault="004E5C40" w:rsidP="004E5C40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children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years,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persisted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&gt;48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enteropathogen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CDI.</w:t>
      </w:r>
    </w:p>
    <w:p w14:paraId="727688A3" w14:textId="6E8FB0A3" w:rsidR="004E5C40" w:rsidRPr="0026245B" w:rsidRDefault="004E5C40" w:rsidP="004E5C40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Repeat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episode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weeks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(response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treatment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determined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criteria)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b)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following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strongly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suspected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immunoassay.</w:t>
      </w:r>
    </w:p>
    <w:p w14:paraId="4864D6FE" w14:textId="1D6F9D23" w:rsidR="004E5C40" w:rsidRPr="0026245B" w:rsidRDefault="004E5C40" w:rsidP="004E5C40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children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&lt;2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years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consultation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paediatrician.</w:t>
      </w:r>
    </w:p>
    <w:p w14:paraId="5F9898D3" w14:textId="0EE8F4C5" w:rsidR="004E5C40" w:rsidRPr="0026245B" w:rsidRDefault="004E5C40" w:rsidP="00275789">
      <w:pPr>
        <w:pStyle w:val="Heading2"/>
      </w:pPr>
      <w:r w:rsidRPr="0026245B">
        <w:t>3.2</w:t>
      </w:r>
      <w:r w:rsidR="002D07F9">
        <w:t xml:space="preserve"> </w:t>
      </w:r>
      <w:r w:rsidRPr="0026245B">
        <w:t>Cellular</w:t>
      </w:r>
      <w:r w:rsidR="002D07F9">
        <w:t xml:space="preserve"> </w:t>
      </w:r>
      <w:r w:rsidRPr="0026245B">
        <w:t>cytotoxicity</w:t>
      </w:r>
      <w:r w:rsidR="002D07F9">
        <w:t xml:space="preserve"> </w:t>
      </w:r>
      <w:r w:rsidRPr="0026245B">
        <w:t>neutralisation</w:t>
      </w:r>
      <w:r w:rsidR="002D07F9">
        <w:t xml:space="preserve"> </w:t>
      </w:r>
      <w:r w:rsidRPr="0026245B">
        <w:t>assay</w:t>
      </w:r>
      <w:r w:rsidR="002D07F9">
        <w:t xml:space="preserve"> </w:t>
      </w:r>
      <w:r w:rsidRPr="0026245B">
        <w:t>(CCNA)</w:t>
      </w:r>
      <w:r w:rsidRPr="00275789">
        <w:rPr>
          <w:rFonts w:ascii="Helvetica" w:hAnsi="Helvetica" w:cs="Helvetica"/>
          <w:sz w:val="15"/>
          <w:szCs w:val="15"/>
          <w:vertAlign w:val="superscript"/>
        </w:rPr>
        <w:t>27</w:t>
      </w:r>
    </w:p>
    <w:p w14:paraId="7C2BCC96" w14:textId="1F5BC59D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Cell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monolayers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Vero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Hep2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cells)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filtrate,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neutralising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antibodies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sordellii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antiserum)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examined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cytopathic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(cell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rounding)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absent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monolayers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neutralising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antibody.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rarely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primary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confirmation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vitro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isolates.</w:t>
      </w:r>
    </w:p>
    <w:p w14:paraId="375492F3" w14:textId="1FB7FB64" w:rsidR="004E5C40" w:rsidRPr="0026245B" w:rsidRDefault="004E5C40" w:rsidP="00275789">
      <w:pPr>
        <w:pStyle w:val="Heading3"/>
      </w:pPr>
      <w:r w:rsidRPr="0026245B">
        <w:t>3.2.1.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specimen</w:t>
      </w:r>
    </w:p>
    <w:p w14:paraId="429642E1" w14:textId="23B7FC6E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filtrate.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possible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receipt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4oC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Prolonged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storage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repeated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freezing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thawing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degradation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toxin.</w:t>
      </w:r>
    </w:p>
    <w:p w14:paraId="199079F9" w14:textId="4BE2CD5C" w:rsidR="004E5C40" w:rsidRPr="0026245B" w:rsidRDefault="004E5C40" w:rsidP="00275789">
      <w:pPr>
        <w:pStyle w:val="Heading3"/>
      </w:pPr>
      <w:r w:rsidRPr="0026245B">
        <w:t>3.2.2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sensitivity</w:t>
      </w:r>
    </w:p>
    <w:p w14:paraId="56A3FCD4" w14:textId="3D489A0E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75-85%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29</w:t>
      </w:r>
    </w:p>
    <w:p w14:paraId="6C2733C5" w14:textId="2D2FF087" w:rsidR="004E5C40" w:rsidRPr="0026245B" w:rsidRDefault="004E5C40" w:rsidP="00275789">
      <w:pPr>
        <w:pStyle w:val="Heading3"/>
      </w:pPr>
      <w:r w:rsidRPr="0026245B">
        <w:t>3.2.3.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specificity</w:t>
      </w:r>
    </w:p>
    <w:p w14:paraId="36F9F5D7" w14:textId="116B3C3C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theoretically,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100%.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neither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standardised,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considerable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expertise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Rarely,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culture-negative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likely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indicate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29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2E591AE3" w14:textId="38773F42" w:rsidR="004E5C40" w:rsidRPr="0026245B" w:rsidRDefault="004E5C40" w:rsidP="00275789">
      <w:pPr>
        <w:pStyle w:val="Heading3"/>
      </w:pPr>
      <w:r w:rsidRPr="0026245B">
        <w:t>3.2.4.</w:t>
      </w:r>
      <w:r w:rsidR="002D07F9">
        <w:t xml:space="preserve"> </w:t>
      </w:r>
      <w:r w:rsidRPr="0026245B">
        <w:t>Predictive</w:t>
      </w:r>
      <w:r w:rsidR="002D07F9">
        <w:t xml:space="preserve"> </w:t>
      </w:r>
      <w:r w:rsidRPr="0026245B">
        <w:t>values</w:t>
      </w:r>
    </w:p>
    <w:p w14:paraId="2B6951E1" w14:textId="2596FAC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relevant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symptoms,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(i.e.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neutralisable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cytopathic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regarded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definitive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evidence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does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exclude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degradation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delayed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repeated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freeze-thawing.</w:t>
      </w:r>
    </w:p>
    <w:p w14:paraId="0276EF4C" w14:textId="4CC35CC1" w:rsidR="004E5C40" w:rsidRPr="0026245B" w:rsidRDefault="004E5C40" w:rsidP="00275789">
      <w:pPr>
        <w:pStyle w:val="Heading3"/>
      </w:pPr>
      <w:r w:rsidRPr="0026245B">
        <w:t>3.2.5.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acceptance</w:t>
      </w:r>
      <w:r w:rsidR="002D07F9">
        <w:t xml:space="preserve"> </w:t>
      </w:r>
      <w:r w:rsidRPr="0026245B">
        <w:t>criteria.</w:t>
      </w:r>
    </w:p>
    <w:p w14:paraId="27C6DFD2" w14:textId="281E060A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Cytopathic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(cell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rounding)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filtrate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monolayer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monolayer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antitoxin.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concentration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filtrate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overwhelm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neutralising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capacity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antitoxin.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cytopathic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inhibited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antitoxin,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repeated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dilutions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filtrate.</w:t>
      </w:r>
    </w:p>
    <w:p w14:paraId="13855163" w14:textId="5D0E5A72" w:rsidR="004E5C40" w:rsidRPr="0026245B" w:rsidRDefault="004E5C40" w:rsidP="00A77265">
      <w:pPr>
        <w:pStyle w:val="Heading2"/>
        <w:keepNext/>
      </w:pPr>
      <w:r w:rsidRPr="0026245B">
        <w:lastRenderedPageBreak/>
        <w:t>3.3.</w:t>
      </w:r>
      <w:r w:rsidR="002D07F9">
        <w:t xml:space="preserve"> </w:t>
      </w:r>
      <w:r w:rsidRPr="0026245B">
        <w:rPr>
          <w:i/>
          <w:iCs/>
        </w:rPr>
        <w:t>C.</w:t>
      </w:r>
      <w:r w:rsidR="002D07F9">
        <w:rPr>
          <w:i/>
          <w:iCs/>
        </w:rPr>
        <w:t xml:space="preserve"> </w:t>
      </w:r>
      <w:r w:rsidRPr="0026245B">
        <w:rPr>
          <w:i/>
          <w:iCs/>
        </w:rPr>
        <w:t>difficile</w:t>
      </w:r>
      <w:r w:rsidR="002D07F9">
        <w:t xml:space="preserve"> </w:t>
      </w:r>
      <w:r w:rsidRPr="0026245B">
        <w:t>culture</w:t>
      </w:r>
    </w:p>
    <w:p w14:paraId="7C900220" w14:textId="72DD90C8" w:rsidR="004E5C40" w:rsidRPr="0026245B" w:rsidRDefault="004E5C40" w:rsidP="00A77265">
      <w:pPr>
        <w:pStyle w:val="Heading3"/>
        <w:keepNext/>
      </w:pPr>
      <w:r w:rsidRPr="0026245B">
        <w:t>3.3.1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specimens</w:t>
      </w:r>
    </w:p>
    <w:p w14:paraId="3BAE8A8C" w14:textId="2C8D4CC1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faeces;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swab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(e.g.,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ileus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megacolon)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intestinal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contents.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alcohol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pretreatment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kill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vegetative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organisms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minimise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overgrowth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flora,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whilst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sparing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spores.</w:t>
      </w:r>
    </w:p>
    <w:p w14:paraId="3205FFB1" w14:textId="0EEAC4E1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Alcohol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shock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pretreatment.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Equal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parts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(1mL)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industrial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methylated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spirit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absolute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alcohol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homgenised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vortex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mixer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left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temperature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before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inoculation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35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4334094C" w14:textId="39AFA578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Heat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shock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pretreatment.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80oC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minutes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before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inoculation.</w:t>
      </w:r>
    </w:p>
    <w:p w14:paraId="3E557D6E" w14:textId="1AE7CAAA" w:rsidR="004E5C40" w:rsidRPr="0026245B" w:rsidRDefault="004E5C40" w:rsidP="00275789">
      <w:pPr>
        <w:pStyle w:val="Heading3"/>
      </w:pPr>
      <w:r w:rsidRPr="0026245B">
        <w:t>3.3.2</w:t>
      </w:r>
      <w:r w:rsidR="002D07F9">
        <w:t xml:space="preserve"> </w:t>
      </w:r>
      <w:r w:rsidRPr="0026245B">
        <w:t>Media</w:t>
      </w:r>
    </w:p>
    <w:p w14:paraId="70B9B01D" w14:textId="78DD654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variety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broth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enrichment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direct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plating.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comparisons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contradictory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35,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37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satisfactory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cefoxitin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cycloserine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fructose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(CCFA),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cefoxitin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cycloserine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egg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yolk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(CCEY),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chromogenic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Taurocholate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lysozyme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commercial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enhance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germination;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broth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enrichment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e.g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CCFB)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35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except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chromogenic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prereduced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anaerobic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conditions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before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inoculation.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incubated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anaerobically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35oC.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Growth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characteristic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often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visible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after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incubation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chromogenic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recovery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incubation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72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hours.</w:t>
      </w:r>
    </w:p>
    <w:p w14:paraId="1EA6297F" w14:textId="5811A6A2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Recent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comparison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prereduced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taurocholate-containing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CCFA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(TCCFA)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Infectious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Diseases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Society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America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(IDSA)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Society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Healthcare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Epidemiology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America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(SHEA)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chromogenic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(CDIF,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BioMerieux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)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36,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showed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latter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selective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flora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grown),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alcohol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shock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pretreatment,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TCCFA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prereduction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plates.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chromogenic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available;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expensive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convenient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conventional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TCCFA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48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prereduction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plates).</w:t>
      </w:r>
    </w:p>
    <w:p w14:paraId="6792A269" w14:textId="2C0DFA05" w:rsidR="004E5C40" w:rsidRPr="0026245B" w:rsidRDefault="004E5C40" w:rsidP="00275789">
      <w:pPr>
        <w:pStyle w:val="Heading3"/>
      </w:pPr>
      <w:r w:rsidRPr="0026245B">
        <w:t>3.3.3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sensitivity</w:t>
      </w:r>
    </w:p>
    <w:p w14:paraId="7F6D759A" w14:textId="20A127B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indicated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studies,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considerable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variability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depending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treatment,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broth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enrichment,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media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duration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incubation.</w:t>
      </w:r>
    </w:p>
    <w:p w14:paraId="25457E85" w14:textId="4C745BCE" w:rsidR="004E5C40" w:rsidRPr="0026245B" w:rsidRDefault="004E5C40" w:rsidP="00275789">
      <w:pPr>
        <w:pStyle w:val="Heading3"/>
      </w:pPr>
      <w:r w:rsidRPr="0026245B">
        <w:t>3.3.4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specificity</w:t>
      </w:r>
    </w:p>
    <w:p w14:paraId="76138B9B" w14:textId="078F2847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Isolation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indicates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least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colonisation;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confirmation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potential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presumptive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definitive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CDI.</w:t>
      </w:r>
    </w:p>
    <w:p w14:paraId="66DFAA99" w14:textId="23D47225" w:rsidR="004E5C40" w:rsidRPr="0026245B" w:rsidRDefault="004E5C40" w:rsidP="00275789">
      <w:pPr>
        <w:pStyle w:val="Heading3"/>
      </w:pPr>
      <w:r w:rsidRPr="0026245B">
        <w:t>3.3.5</w:t>
      </w:r>
      <w:r w:rsidR="002D07F9">
        <w:t xml:space="preserve"> </w:t>
      </w:r>
      <w:r w:rsidRPr="0026245B">
        <w:t>Predictive</w:t>
      </w:r>
      <w:r w:rsidR="002D07F9">
        <w:t xml:space="preserve"> </w:t>
      </w:r>
      <w:r w:rsidRPr="0026245B">
        <w:t>values</w:t>
      </w:r>
    </w:p>
    <w:p w14:paraId="2DA0A200" w14:textId="75FAE4AA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does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exclude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appropriate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makes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unlikely).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commonly,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(refer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below).</w:t>
      </w:r>
    </w:p>
    <w:p w14:paraId="06739B7E" w14:textId="4CABA1D1" w:rsidR="004E5C40" w:rsidRPr="0026245B" w:rsidRDefault="004E5C40" w:rsidP="00275789">
      <w:pPr>
        <w:pStyle w:val="Heading3"/>
      </w:pPr>
      <w:r w:rsidRPr="0026245B">
        <w:lastRenderedPageBreak/>
        <w:t>3.3.6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acceptance</w:t>
      </w:r>
      <w:r w:rsidR="002D07F9">
        <w:t xml:space="preserve"> </w:t>
      </w:r>
      <w:r w:rsidRPr="0026245B">
        <w:t>criteria</w:t>
      </w:r>
    </w:p>
    <w:p w14:paraId="1C20DAD0" w14:textId="0D9E1EFF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Isolation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morphology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(irregular,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flat,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‘ground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glass’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appearance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TCCFA)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allows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presumptive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Black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typically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easily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recognized,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small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minority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(notably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023).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subcultured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horse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blood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chartreuse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colony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fluorescence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under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light.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Further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confirmatory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nucleic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B.</w:t>
      </w:r>
    </w:p>
    <w:p w14:paraId="33770D38" w14:textId="2537B125" w:rsidR="004E5C40" w:rsidRPr="0026245B" w:rsidRDefault="004E5C40" w:rsidP="00275789">
      <w:pPr>
        <w:pStyle w:val="Heading3"/>
      </w:pPr>
      <w:r w:rsidRPr="0026245B">
        <w:t>3.3.7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external</w:t>
      </w:r>
      <w:r w:rsidR="002D07F9">
        <w:t xml:space="preserve"> </w:t>
      </w:r>
      <w:r w:rsidRPr="0026245B">
        <w:t>QC</w:t>
      </w:r>
      <w:r w:rsidR="002D07F9">
        <w:t xml:space="preserve"> </w:t>
      </w:r>
      <w:r w:rsidRPr="0026245B">
        <w:t>program</w:t>
      </w:r>
    </w:p>
    <w:p w14:paraId="7942E4E6" w14:textId="06565543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No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QC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program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available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per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se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minority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laboratories.</w:t>
      </w:r>
    </w:p>
    <w:p w14:paraId="1654374E" w14:textId="766E9ECC" w:rsidR="004E5C40" w:rsidRPr="0026245B" w:rsidRDefault="004E5C40" w:rsidP="00275789">
      <w:pPr>
        <w:pStyle w:val="Heading2"/>
      </w:pPr>
      <w:r w:rsidRPr="0026245B">
        <w:t>3.4.</w:t>
      </w:r>
      <w:r w:rsidR="002D07F9">
        <w:t xml:space="preserve"> </w:t>
      </w:r>
      <w:r w:rsidRPr="0026245B">
        <w:t>Immunoassays</w:t>
      </w:r>
      <w:r w:rsidR="002D07F9">
        <w:t xml:space="preserve"> </w:t>
      </w:r>
      <w:r w:rsidRPr="0026245B">
        <w:t>for</w:t>
      </w:r>
      <w:r w:rsidR="002D07F9">
        <w:t xml:space="preserve"> </w:t>
      </w:r>
      <w:r w:rsidRPr="0026245B">
        <w:rPr>
          <w:i/>
          <w:iCs/>
        </w:rPr>
        <w:t>C.</w:t>
      </w:r>
      <w:r w:rsidR="002D07F9">
        <w:rPr>
          <w:i/>
          <w:iCs/>
        </w:rPr>
        <w:t xml:space="preserve"> </w:t>
      </w:r>
      <w:r w:rsidRPr="0026245B">
        <w:rPr>
          <w:i/>
          <w:iCs/>
        </w:rPr>
        <w:t>difficile</w:t>
      </w:r>
      <w:r w:rsidR="002D07F9">
        <w:t xml:space="preserve"> </w:t>
      </w:r>
      <w:r w:rsidRPr="0026245B">
        <w:t>common</w:t>
      </w:r>
      <w:r w:rsidR="002D07F9">
        <w:t xml:space="preserve"> </w:t>
      </w:r>
      <w:r w:rsidRPr="0026245B">
        <w:t>antigen</w:t>
      </w:r>
      <w:r w:rsidR="002D07F9">
        <w:t xml:space="preserve"> </w:t>
      </w:r>
      <w:r w:rsidRPr="0026245B">
        <w:t>-</w:t>
      </w:r>
      <w:r w:rsidR="002D07F9">
        <w:t xml:space="preserve"> </w:t>
      </w:r>
      <w:r w:rsidRPr="0026245B">
        <w:t>glutamate</w:t>
      </w:r>
      <w:r w:rsidR="002D07F9">
        <w:t xml:space="preserve"> </w:t>
      </w:r>
      <w:r w:rsidRPr="0026245B">
        <w:t>dehydrogenase</w:t>
      </w:r>
      <w:r w:rsidR="002D07F9">
        <w:t xml:space="preserve"> </w:t>
      </w:r>
      <w:r w:rsidRPr="0026245B">
        <w:t>(GDH)</w:t>
      </w:r>
    </w:p>
    <w:p w14:paraId="37DA669B" w14:textId="0DF3898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metabolic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enzyme,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encoded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gluD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nontoxigenic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cross-reacts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sordellii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number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enzyme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(EIAs)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immunochromatographic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(ICTs)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commercially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available,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characteristics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inexpensive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screening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supplemented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confirmatory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tests.</w:t>
      </w:r>
    </w:p>
    <w:p w14:paraId="509F15C9" w14:textId="4E6EEF72" w:rsidR="004E5C40" w:rsidRPr="0026245B" w:rsidRDefault="004E5C40" w:rsidP="00275789">
      <w:pPr>
        <w:pStyle w:val="Heading3"/>
      </w:pPr>
      <w:r w:rsidRPr="0026245B">
        <w:t>3.4.1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specimens</w:t>
      </w:r>
    </w:p>
    <w:p w14:paraId="021392D2" w14:textId="5149438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specimen.</w:t>
      </w:r>
    </w:p>
    <w:p w14:paraId="43F42AC0" w14:textId="72B86F0B" w:rsidR="004E5C40" w:rsidRPr="0026245B" w:rsidRDefault="004E5C40" w:rsidP="00275789">
      <w:pPr>
        <w:pStyle w:val="Heading3"/>
      </w:pPr>
      <w:r w:rsidRPr="0026245B">
        <w:t>3.4.2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sensitivity</w:t>
      </w:r>
    </w:p>
    <w:p w14:paraId="0918E4E4" w14:textId="259D7652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considerable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(88-100%),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probably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reflects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methodology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studies,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duration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storage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before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evaluation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reference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(&gt;95%)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1B11C0D8" w14:textId="356DDBE9" w:rsidR="004E5C40" w:rsidRPr="0026245B" w:rsidRDefault="004E5C40" w:rsidP="00275789">
      <w:pPr>
        <w:pStyle w:val="Heading3"/>
      </w:pPr>
      <w:r w:rsidRPr="0026245B">
        <w:t>3.4.3.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specificity</w:t>
      </w:r>
    </w:p>
    <w:p w14:paraId="131FD2EC" w14:textId="74D4C8EC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Specificity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(76-98%),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depending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reference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46EB60E8" w14:textId="070180AD" w:rsidR="004E5C40" w:rsidRPr="0026245B" w:rsidRDefault="004E5C40" w:rsidP="00275789">
      <w:pPr>
        <w:pStyle w:val="Heading3"/>
      </w:pPr>
      <w:r w:rsidRPr="0026245B">
        <w:t>3.4.4.</w:t>
      </w:r>
      <w:r w:rsidR="002D07F9">
        <w:t xml:space="preserve"> </w:t>
      </w:r>
      <w:r w:rsidRPr="0026245B">
        <w:t>Predictive</w:t>
      </w:r>
      <w:r w:rsidR="002D07F9">
        <w:t xml:space="preserve"> </w:t>
      </w:r>
      <w:r w:rsidRPr="0026245B">
        <w:t>values.</w:t>
      </w:r>
    </w:p>
    <w:p w14:paraId="4EF16E76" w14:textId="187759B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(98-99%)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(61-94%)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28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additional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testing.</w:t>
      </w:r>
    </w:p>
    <w:p w14:paraId="1F2777F7" w14:textId="420F850A" w:rsidR="004E5C40" w:rsidRPr="0026245B" w:rsidRDefault="004E5C40" w:rsidP="00275789">
      <w:pPr>
        <w:pStyle w:val="Heading3"/>
      </w:pPr>
      <w:r w:rsidRPr="0026245B">
        <w:t>3.4.5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acceptance</w:t>
      </w:r>
      <w:r w:rsidR="002D07F9">
        <w:t xml:space="preserve"> </w:t>
      </w:r>
      <w:r w:rsidRPr="0026245B">
        <w:t>criteria.</w:t>
      </w:r>
    </w:p>
    <w:p w14:paraId="41AC6FD4" w14:textId="4A22C0BB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interpreted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according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manufacturer’s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instructions.</w:t>
      </w:r>
    </w:p>
    <w:p w14:paraId="0F4AEAE4" w14:textId="5266829A" w:rsidR="004E5C40" w:rsidRPr="0026245B" w:rsidRDefault="004E5C40" w:rsidP="00A77265">
      <w:pPr>
        <w:pStyle w:val="Heading2"/>
        <w:keepNext/>
      </w:pPr>
      <w:r w:rsidRPr="0026245B">
        <w:lastRenderedPageBreak/>
        <w:t>3.5.</w:t>
      </w:r>
      <w:r w:rsidR="002D07F9">
        <w:t xml:space="preserve"> </w:t>
      </w:r>
      <w:r w:rsidRPr="0026245B">
        <w:t>Immunoassays</w:t>
      </w:r>
      <w:r w:rsidR="002D07F9">
        <w:t xml:space="preserve"> </w:t>
      </w:r>
      <w:r w:rsidRPr="0026245B">
        <w:t>for</w:t>
      </w:r>
      <w:r w:rsidR="002D07F9">
        <w:t xml:space="preserve"> </w:t>
      </w:r>
      <w:r w:rsidRPr="0026245B">
        <w:rPr>
          <w:i/>
          <w:iCs/>
        </w:rPr>
        <w:t>C.</w:t>
      </w:r>
      <w:r w:rsidR="002D07F9">
        <w:rPr>
          <w:i/>
          <w:iCs/>
        </w:rPr>
        <w:t xml:space="preserve"> </w:t>
      </w:r>
      <w:r w:rsidRPr="0026245B">
        <w:rPr>
          <w:i/>
          <w:iCs/>
        </w:rPr>
        <w:t>difficile</w:t>
      </w:r>
      <w:r w:rsidR="002D07F9">
        <w:t xml:space="preserve"> </w:t>
      </w:r>
      <w:r w:rsidRPr="0026245B">
        <w:t>toxins</w:t>
      </w:r>
    </w:p>
    <w:p w14:paraId="4821DC42" w14:textId="52EFF52C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polyclonal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monoclonal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antibodies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against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commercial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both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B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recommended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screening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provide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evidence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vivo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vitro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isolates).</w:t>
      </w:r>
    </w:p>
    <w:p w14:paraId="560BA8FE" w14:textId="482F1AB8" w:rsidR="004E5C40" w:rsidRPr="0026245B" w:rsidRDefault="004E5C40" w:rsidP="00275789">
      <w:pPr>
        <w:pStyle w:val="Heading3"/>
      </w:pPr>
      <w:r w:rsidRPr="0026245B">
        <w:t>3.5.1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specimen</w:t>
      </w:r>
    </w:p>
    <w:p w14:paraId="185EEA06" w14:textId="21D4E209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specimens.</w:t>
      </w:r>
    </w:p>
    <w:p w14:paraId="0C44A22D" w14:textId="70E4FECD" w:rsidR="004E5C40" w:rsidRPr="0026245B" w:rsidRDefault="004E5C40" w:rsidP="00275789">
      <w:pPr>
        <w:pStyle w:val="Heading3"/>
      </w:pPr>
      <w:r w:rsidRPr="0026245B">
        <w:t>3.5.2.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sensitivity</w:t>
      </w:r>
    </w:p>
    <w:p w14:paraId="400E6274" w14:textId="0707500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Reported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kits,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reference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(average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values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~75%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~50%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respectively)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24,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30,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31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depending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RT027,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large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amounts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antigenic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02E3C846" w14:textId="272112AB" w:rsidR="004E5C40" w:rsidRPr="0026245B" w:rsidRDefault="004E5C40" w:rsidP="00275789">
      <w:pPr>
        <w:pStyle w:val="Heading3"/>
      </w:pPr>
      <w:r w:rsidRPr="0026245B">
        <w:t>3.5.3.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specificity</w:t>
      </w:r>
    </w:p>
    <w:p w14:paraId="7786C785" w14:textId="63B50AC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Specificities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kits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&gt;90%.</w:t>
      </w:r>
    </w:p>
    <w:p w14:paraId="08A12BF6" w14:textId="57052973" w:rsidR="004E5C40" w:rsidRPr="0026245B" w:rsidRDefault="004E5C40" w:rsidP="00275789">
      <w:pPr>
        <w:pStyle w:val="Heading3"/>
      </w:pPr>
      <w:r w:rsidRPr="0026245B">
        <w:t>3.5.4</w:t>
      </w:r>
      <w:r w:rsidR="002D07F9">
        <w:t xml:space="preserve"> </w:t>
      </w:r>
      <w:r w:rsidRPr="0026245B">
        <w:t>Predictive</w:t>
      </w:r>
      <w:r w:rsidR="002D07F9">
        <w:t xml:space="preserve"> </w:t>
      </w:r>
      <w:r w:rsidRPr="0026245B">
        <w:t>values</w:t>
      </w:r>
    </w:p>
    <w:p w14:paraId="2A20437A" w14:textId="008E3507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PPV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unacceptably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&lt;50%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-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kits,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populations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(fairly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typical)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prevalence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&lt;10%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uncertain.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chart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review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&gt;6,000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showed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toxin-negative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pseudomembranous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colitis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complications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39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32C96142" w14:textId="3C6CF98E" w:rsidR="004E5C40" w:rsidRPr="0026245B" w:rsidRDefault="004E5C40" w:rsidP="00275789">
      <w:pPr>
        <w:pStyle w:val="Heading3"/>
      </w:pPr>
      <w:r w:rsidRPr="0026245B">
        <w:t>3.5.5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acceptance</w:t>
      </w:r>
      <w:r w:rsidR="002D07F9">
        <w:t xml:space="preserve"> </w:t>
      </w:r>
      <w:r w:rsidRPr="0026245B">
        <w:t>criteria</w:t>
      </w:r>
    </w:p>
    <w:p w14:paraId="72A4F4D2" w14:textId="6095DEF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interpreted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according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manufacturer’s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instructions.</w:t>
      </w:r>
    </w:p>
    <w:p w14:paraId="3D50FFF2" w14:textId="728E73B7" w:rsidR="004E5C40" w:rsidRPr="0026245B" w:rsidRDefault="004E5C40" w:rsidP="00275789">
      <w:pPr>
        <w:pStyle w:val="Heading2"/>
      </w:pPr>
      <w:r w:rsidRPr="0026245B">
        <w:t>3.6</w:t>
      </w:r>
      <w:r w:rsidR="002D07F9">
        <w:t xml:space="preserve"> </w:t>
      </w:r>
      <w:r w:rsidRPr="0026245B">
        <w:t>Combined</w:t>
      </w:r>
      <w:r w:rsidR="002D07F9">
        <w:t xml:space="preserve"> </w:t>
      </w:r>
      <w:r w:rsidRPr="0026245B">
        <w:t>GDH</w:t>
      </w:r>
      <w:r w:rsidR="002D07F9">
        <w:t xml:space="preserve"> </w:t>
      </w:r>
      <w:r w:rsidRPr="0026245B">
        <w:t>and</w:t>
      </w:r>
      <w:r w:rsidR="002D07F9">
        <w:t xml:space="preserve"> </w:t>
      </w:r>
      <w:r w:rsidRPr="0026245B">
        <w:t>toxin</w:t>
      </w:r>
      <w:r w:rsidR="002D07F9">
        <w:t xml:space="preserve"> </w:t>
      </w:r>
      <w:r w:rsidRPr="0026245B">
        <w:t>assays</w:t>
      </w:r>
    </w:p>
    <w:p w14:paraId="6777B0DE" w14:textId="577880E1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Combined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available.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convenient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expensive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NAAT.</w:t>
      </w:r>
    </w:p>
    <w:p w14:paraId="75C91933" w14:textId="66E83F0E" w:rsidR="004E5C40" w:rsidRPr="0026245B" w:rsidRDefault="004E5C40" w:rsidP="00275789">
      <w:pPr>
        <w:pStyle w:val="Heading3"/>
      </w:pPr>
      <w:r w:rsidRPr="0026245B">
        <w:t>3.6.1.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sensitivity</w:t>
      </w:r>
      <w:r w:rsidR="002D07F9">
        <w:t xml:space="preserve"> </w:t>
      </w:r>
      <w:r w:rsidRPr="0026245B">
        <w:t>and</w:t>
      </w:r>
      <w:r w:rsidR="002D07F9">
        <w:t xml:space="preserve"> </w:t>
      </w:r>
      <w:r w:rsidRPr="0026245B">
        <w:t>specificity.</w:t>
      </w:r>
    </w:p>
    <w:p w14:paraId="3ED8B097" w14:textId="3986160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component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stand-alone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components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same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limitations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conventional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EIAs.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Nevertheless,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advantage,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similar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ability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vivo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19FB5C76" w14:textId="51F98C97" w:rsidR="004E5C40" w:rsidRPr="0026245B" w:rsidRDefault="004E5C40" w:rsidP="00A77265">
      <w:pPr>
        <w:pStyle w:val="Heading3"/>
        <w:keepNext/>
      </w:pPr>
      <w:r w:rsidRPr="0026245B">
        <w:lastRenderedPageBreak/>
        <w:t>3.6.2</w:t>
      </w:r>
      <w:r w:rsidR="002D07F9">
        <w:t xml:space="preserve"> </w:t>
      </w:r>
      <w:r w:rsidRPr="0026245B">
        <w:t>Predictive</w:t>
      </w:r>
      <w:r w:rsidR="002D07F9">
        <w:t xml:space="preserve"> </w:t>
      </w:r>
      <w:r w:rsidRPr="0026245B">
        <w:t>values.</w:t>
      </w:r>
    </w:p>
    <w:p w14:paraId="5B16D8E8" w14:textId="0E4AA4A8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respectively.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Those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genes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(NAAT).</w:t>
      </w:r>
    </w:p>
    <w:p w14:paraId="168C2569" w14:textId="4F74B654" w:rsidR="004E5C40" w:rsidRPr="0026245B" w:rsidRDefault="004E5C40" w:rsidP="00275789">
      <w:pPr>
        <w:pStyle w:val="Heading2"/>
      </w:pPr>
      <w:r w:rsidRPr="0026245B">
        <w:t>3.7.</w:t>
      </w:r>
      <w:r w:rsidR="002D07F9">
        <w:t xml:space="preserve"> </w:t>
      </w:r>
      <w:r w:rsidRPr="0026245B">
        <w:t>Nucleic</w:t>
      </w:r>
      <w:r w:rsidR="002D07F9">
        <w:t xml:space="preserve"> </w:t>
      </w:r>
      <w:r w:rsidRPr="0026245B">
        <w:t>acid</w:t>
      </w:r>
      <w:r w:rsidR="002D07F9">
        <w:t xml:space="preserve"> </w:t>
      </w:r>
      <w:r w:rsidRPr="0026245B">
        <w:t>amplification</w:t>
      </w:r>
      <w:r w:rsidR="002D07F9">
        <w:t xml:space="preserve"> </w:t>
      </w:r>
      <w:r w:rsidRPr="0026245B">
        <w:t>tests</w:t>
      </w:r>
      <w:r w:rsidR="002D07F9">
        <w:t xml:space="preserve"> </w:t>
      </w:r>
      <w:r w:rsidRPr="0026245B">
        <w:t>(NAAT)</w:t>
      </w:r>
    </w:p>
    <w:p w14:paraId="1983DA8E" w14:textId="586C1072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In-house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PaLoc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tcdA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tcdE</w:t>
      </w:r>
      <w:proofErr w:type="spellEnd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16S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rDNA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conventional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reactions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electrophoresis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first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described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1990s.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Despite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difficulties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extraction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older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sometimes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primer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cross-reaction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Improved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extraction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made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practicable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comparable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current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40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first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commercial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licensed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2009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plethora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(usually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platforms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Nearly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primarily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additional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tcdC</w:t>
      </w:r>
      <w:r w:rsidRPr="0026245B">
        <w:rPr>
          <w:rFonts w:ascii="Helvetica" w:hAnsi="Helvetica" w:cs="Helvetica"/>
          <w:sz w:val="20"/>
          <w:szCs w:val="20"/>
          <w:lang w:eastAsia="en-AU"/>
        </w:rPr>
        <w:t>D117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presumptively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CdtLoc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(binary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toxin);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gyrA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fluoroquinolone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resistance.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conserved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region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tcdA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(present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remnant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tcdA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-negative/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-positive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cdtA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tcdC</w:t>
      </w:r>
      <w:r w:rsidRPr="0026245B">
        <w:rPr>
          <w:rFonts w:ascii="Helvetica" w:hAnsi="Helvetica" w:cs="Helvetica"/>
          <w:sz w:val="20"/>
          <w:szCs w:val="20"/>
          <w:lang w:eastAsia="en-AU"/>
        </w:rPr>
        <w:t>D117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instead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25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included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multiplex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viral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bacterial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26245B">
        <w:rPr>
          <w:rFonts w:ascii="Helvetica" w:hAnsi="Helvetica" w:cs="Helvetica"/>
          <w:sz w:val="20"/>
          <w:szCs w:val="20"/>
          <w:lang w:eastAsia="en-AU"/>
        </w:rPr>
        <w:t>enteropathogens</w:t>
      </w:r>
      <w:proofErr w:type="spellEnd"/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approach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theoretically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attractive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expensive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performance,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quality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routine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yet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established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25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72642FE8" w14:textId="2D8415FA" w:rsidR="004E5C40" w:rsidRPr="0026245B" w:rsidRDefault="004E5C40" w:rsidP="00275789">
      <w:pPr>
        <w:pStyle w:val="Heading3"/>
      </w:pPr>
      <w:r w:rsidRPr="0026245B">
        <w:t>3.7.1</w:t>
      </w:r>
      <w:r w:rsidR="002D07F9">
        <w:t xml:space="preserve"> </w:t>
      </w:r>
      <w:r w:rsidRPr="0026245B">
        <w:t>Test</w:t>
      </w:r>
      <w:r w:rsidR="002D07F9">
        <w:t xml:space="preserve"> </w:t>
      </w:r>
      <w:r w:rsidRPr="0026245B">
        <w:t>sensitivity</w:t>
      </w:r>
      <w:r w:rsidR="002D07F9">
        <w:t xml:space="preserve"> </w:t>
      </w:r>
      <w:r w:rsidRPr="0026245B">
        <w:t>and</w:t>
      </w:r>
      <w:r w:rsidR="002D07F9">
        <w:t xml:space="preserve"> </w:t>
      </w:r>
      <w:r w:rsidRPr="0026245B">
        <w:t>specificity</w:t>
      </w:r>
    </w:p>
    <w:p w14:paraId="088ECB93" w14:textId="6A6F488D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gold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standard,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analytical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(generally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&lt;90%);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fully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automated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(including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extraction)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(1-2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hours)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relatively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expensive,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25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limitations: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some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A-negative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strains(e.g.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RT033,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among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missed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tcdA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41</w:t>
      </w:r>
      <w:r w:rsidRPr="0026245B">
        <w:rPr>
          <w:rFonts w:ascii="Helvetica" w:hAnsi="Helvetica" w:cs="Helvetica"/>
          <w:sz w:val="20"/>
          <w:szCs w:val="20"/>
          <w:lang w:eastAsia="en-AU"/>
        </w:rPr>
        <w:t>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244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recently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emerged,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Australia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22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–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tcdC</w:t>
      </w:r>
      <w:r w:rsidRPr="0026245B">
        <w:rPr>
          <w:rFonts w:ascii="Helvetica" w:hAnsi="Helvetica" w:cs="Helvetica"/>
          <w:sz w:val="20"/>
          <w:szCs w:val="20"/>
          <w:lang w:eastAsia="en-AU"/>
        </w:rPr>
        <w:t>D117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misidentified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targeting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deletion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42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Therefore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important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recognise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depending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geographic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temporal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difference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distribution.</w:t>
      </w:r>
    </w:p>
    <w:p w14:paraId="69247648" w14:textId="48CA9AE6" w:rsidR="004E5C40" w:rsidRPr="0026245B" w:rsidRDefault="004E5C40" w:rsidP="00275789">
      <w:pPr>
        <w:pStyle w:val="Heading3"/>
      </w:pPr>
      <w:r w:rsidRPr="0026245B">
        <w:t>3.7.2</w:t>
      </w:r>
      <w:r w:rsidR="002D07F9">
        <w:t xml:space="preserve"> </w:t>
      </w:r>
      <w:r w:rsidRPr="0026245B">
        <w:t>Predictive</w:t>
      </w:r>
      <w:r w:rsidR="002D07F9">
        <w:t xml:space="preserve"> </w:t>
      </w:r>
      <w:r w:rsidRPr="0026245B">
        <w:t>values</w:t>
      </w:r>
    </w:p>
    <w:p w14:paraId="36DA849E" w14:textId="6E43132B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general</w:t>
      </w:r>
      <w:proofErr w:type="gram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very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However,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even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analytical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optimal,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ideal.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Like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detect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necessarily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vivo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CCNA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over-diagnosis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inappropriate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treatment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8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introduction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resulted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sudden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apparent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rates,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potentially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misleading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context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surveillance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public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quality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performance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data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43,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over-diagnosis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recognised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settings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implications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trials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45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781E80C7" w14:textId="14AE56B3" w:rsidR="004E5C40" w:rsidRPr="0026245B" w:rsidRDefault="004E5C40" w:rsidP="00A77265">
      <w:pPr>
        <w:pStyle w:val="Heading3"/>
        <w:keepNext/>
      </w:pPr>
      <w:r w:rsidRPr="0026245B">
        <w:lastRenderedPageBreak/>
        <w:t>3.7.3</w:t>
      </w:r>
      <w:r w:rsidR="002D07F9">
        <w:t xml:space="preserve"> </w:t>
      </w:r>
      <w:r w:rsidRPr="0026245B">
        <w:t>Cost-effectiveness</w:t>
      </w:r>
    </w:p>
    <w:p w14:paraId="453F5B43" w14:textId="0A5A0E05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convenience,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specificity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adopt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single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despite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compared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review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(sponsored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manufacturers)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concluded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that,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despite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greater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were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cost-effective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their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allows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identification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isolation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(or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carriers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insignificant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diarrhoea)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hence,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reduced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risk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transmission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46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2A9CF4AE" w14:textId="2BFF822C" w:rsidR="004E5C40" w:rsidRPr="0026245B" w:rsidRDefault="004E5C40" w:rsidP="00275789">
      <w:pPr>
        <w:pStyle w:val="Heading3"/>
      </w:pPr>
      <w:r w:rsidRPr="0026245B">
        <w:t>3.7.4</w:t>
      </w:r>
      <w:r w:rsidR="002D07F9">
        <w:t xml:space="preserve"> </w:t>
      </w:r>
      <w:r w:rsidRPr="0026245B">
        <w:t>Suitable</w:t>
      </w:r>
      <w:r w:rsidR="002D07F9">
        <w:t xml:space="preserve"> </w:t>
      </w:r>
      <w:r w:rsidRPr="0026245B">
        <w:t>acceptance</w:t>
      </w:r>
      <w:r w:rsidR="002D07F9">
        <w:t xml:space="preserve"> </w:t>
      </w:r>
      <w:r w:rsidRPr="0026245B">
        <w:t>criteria</w:t>
      </w:r>
    </w:p>
    <w:p w14:paraId="1D6AB7CF" w14:textId="1FD93204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interpreted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according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manufacturer’s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instructions.</w:t>
      </w:r>
    </w:p>
    <w:p w14:paraId="221A2F8E" w14:textId="4C991295" w:rsidR="004E5C40" w:rsidRPr="0026245B" w:rsidRDefault="004E5C40" w:rsidP="00275789">
      <w:pPr>
        <w:pStyle w:val="Heading2"/>
      </w:pPr>
      <w:r w:rsidRPr="0026245B">
        <w:t>3.8</w:t>
      </w:r>
      <w:r w:rsidR="002D07F9">
        <w:t xml:space="preserve"> </w:t>
      </w:r>
      <w:r w:rsidRPr="0026245B">
        <w:t>Testing</w:t>
      </w:r>
      <w:r w:rsidR="002D07F9">
        <w:t xml:space="preserve"> </w:t>
      </w:r>
      <w:r w:rsidRPr="0026245B">
        <w:t>algorithms</w:t>
      </w:r>
    </w:p>
    <w:p w14:paraId="619F2CA1" w14:textId="4E8672E6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Several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practice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guidelines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published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29,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31,</w:t>
      </w:r>
      <w:r w:rsidR="002D07F9">
        <w:rPr>
          <w:rFonts w:ascii="Helvetica" w:hAnsi="Helvetica" w:cs="Helvetica"/>
          <w:sz w:val="15"/>
          <w:szCs w:val="15"/>
          <w:vertAlign w:val="superscript"/>
          <w:lang w:eastAsia="en-AU"/>
        </w:rPr>
        <w:t xml:space="preserve"> 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34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Although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many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chosen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standalone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others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combinations,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simultaneously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sequentially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optimise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predictive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values,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flexibility,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major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times.</w:t>
      </w:r>
    </w:p>
    <w:p w14:paraId="328018B8" w14:textId="17D3F8DB" w:rsidR="004E5C40" w:rsidRPr="0026245B" w:rsidRDefault="004E5C40" w:rsidP="004E5C40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clinically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falsely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contribute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26245B">
        <w:rPr>
          <w:rFonts w:ascii="Helvetica" w:hAnsi="Helvetica" w:cs="Helvetica"/>
          <w:sz w:val="20"/>
          <w:szCs w:val="20"/>
          <w:lang w:eastAsia="en-AU"/>
        </w:rPr>
        <w:t>large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proportions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hospital-onset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proofErr w:type="gramEnd"/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consensus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protocols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between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clinicians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institutional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level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important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optimise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utilisation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resources.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Pre-analytical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screening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shown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important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effective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approach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reduce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burden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inappropriate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unformed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stools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received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laxative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therapy</w:t>
      </w:r>
      <w:r w:rsidRPr="0026245B">
        <w:rPr>
          <w:rFonts w:ascii="Helvetica" w:hAnsi="Helvetica" w:cs="Helvetica"/>
          <w:sz w:val="15"/>
          <w:szCs w:val="15"/>
          <w:vertAlign w:val="superscript"/>
          <w:lang w:eastAsia="en-AU"/>
        </w:rPr>
        <w:t>47</w:t>
      </w:r>
      <w:r w:rsidRPr="0026245B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77412AD3" w14:textId="3D675C5B" w:rsidR="004E5C40" w:rsidRPr="0026245B" w:rsidRDefault="004E5C40" w:rsidP="00275789">
      <w:pPr>
        <w:pStyle w:val="Heading3"/>
      </w:pPr>
      <w:r w:rsidRPr="0026245B">
        <w:t>3.8.1</w:t>
      </w:r>
      <w:r w:rsidR="002D07F9">
        <w:t xml:space="preserve"> </w:t>
      </w:r>
      <w:r w:rsidRPr="0026245B">
        <w:t>Commonly</w:t>
      </w:r>
      <w:r w:rsidR="002D07F9">
        <w:t xml:space="preserve"> </w:t>
      </w:r>
      <w:r w:rsidRPr="0026245B">
        <w:t>used</w:t>
      </w:r>
      <w:r w:rsidR="002D07F9">
        <w:t xml:space="preserve"> </w:t>
      </w:r>
      <w:r w:rsidRPr="0026245B">
        <w:t>CDI</w:t>
      </w:r>
      <w:r w:rsidR="002D07F9">
        <w:t xml:space="preserve"> </w:t>
      </w:r>
      <w:r w:rsidRPr="0026245B">
        <w:t>testing</w:t>
      </w:r>
      <w:r w:rsidR="002D07F9">
        <w:t xml:space="preserve"> </w:t>
      </w:r>
      <w:r w:rsidRPr="0026245B">
        <w:t>algorithm:</w:t>
      </w:r>
    </w:p>
    <w:p w14:paraId="1A14D4A5" w14:textId="64B0786F" w:rsidR="004E5C40" w:rsidRPr="0026245B" w:rsidRDefault="00D40E1C" w:rsidP="004E5C40">
      <w:pPr>
        <w:rPr>
          <w:rFonts w:ascii="Times New Roman" w:hAnsi="Times New Roman"/>
          <w:sz w:val="24"/>
          <w:lang w:eastAsia="en-AU"/>
        </w:rPr>
      </w:pPr>
      <w:r>
        <w:rPr>
          <w:rFonts w:ascii="Times New Roman" w:hAnsi="Times New Roman"/>
          <w:noProof/>
          <w:sz w:val="24"/>
          <w:lang w:eastAsia="en-AU"/>
        </w:rPr>
        <w:drawing>
          <wp:inline distT="0" distB="0" distL="0" distR="0" wp14:anchorId="51835FE8" wp14:editId="51435548">
            <wp:extent cx="5745480" cy="2177206"/>
            <wp:effectExtent l="0" t="0" r="7620" b="0"/>
            <wp:docPr id="1976698497" name="Picture 1" descr="Two side-by-side flowcharts (Panels A and B) showing diagnostic algorithms for Clostridioides difficile infection (CDI).&#10;Panel A shows a two‑step testing approach where GDH EIA or NAAT is used. If the test is negative, no further testing is done and CDI is unlikely. If positive, Step 2 uses a highly specific toxin A/B EIA. A positive toxin test indicates CDI is likely, a negative toxin test leads to clinical assessment for CDI or colonisation, with optional further testing by NAAT or culture.&#10;Panel B shows a two‑step testing approach starting with GDH and toxin A/B EIA together. If both are positive, CDI is likely and no further testing is required. If both are negative, CDI is unlikely. If one test is positive, optional Step 2 testing with NAAT or culture is performed, results then guide clinical assessment or indicate CDI is unlike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98497" name="Picture 1" descr="Two side-by-side flowcharts (Panels A and B) showing diagnostic algorithms for Clostridioides difficile infection (CDI).&#10;Panel A shows a two‑step testing approach where GDH EIA or NAAT is used. If the test is negative, no further testing is done and CDI is unlikely. If positive, Step 2 uses a highly specific toxin A/B EIA. A positive toxin test indicates CDI is likely, a negative toxin test leads to clinical assessment for CDI or colonisation, with optional further testing by NAAT or culture.&#10;Panel B shows a two‑step testing approach starting with GDH and toxin A/B EIA together. If both are positive, CDI is likely and no further testing is required. If both are negative, CDI is unlikely. If one test is positive, optional Step 2 testing with NAAT or culture is performed, results then guide clinical assessment or indicate CDI is unlikel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624" cy="2187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E7850" w14:textId="77777777" w:rsidR="004E5C40" w:rsidRPr="0026245B" w:rsidRDefault="004E5C40" w:rsidP="004E5C40">
      <w:pPr>
        <w:shd w:val="clear" w:color="auto" w:fill="FFFFFF"/>
        <w:spacing w:before="240"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Notes:</w:t>
      </w:r>
    </w:p>
    <w:p w14:paraId="0DCA5BA6" w14:textId="4B469C12" w:rsidR="004E5C40" w:rsidRPr="0026245B" w:rsidRDefault="004E5C40" w:rsidP="004E5C40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combined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single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easily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individual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batching.</w:t>
      </w:r>
    </w:p>
    <w:p w14:paraId="272AA6D4" w14:textId="631FDBCB" w:rsidR="004E5C40" w:rsidRPr="0026245B" w:rsidRDefault="004E5C40" w:rsidP="004E5C40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This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algorithm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allows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most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reported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rapidly,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high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PPV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reduces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number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required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small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proportion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without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loss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sensitivity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significant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increase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turnaround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time.</w:t>
      </w:r>
    </w:p>
    <w:p w14:paraId="2A4EDD59" w14:textId="112BD50C" w:rsidR="004E5C40" w:rsidRPr="0026245B" w:rsidRDefault="004E5C40" w:rsidP="004E5C40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lastRenderedPageBreak/>
        <w:t>Clinical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records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NAAT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immunoassay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negative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reviewed.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These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may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have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CDI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could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shedding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whom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diarrhoea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another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cause.</w:t>
      </w:r>
    </w:p>
    <w:p w14:paraId="3EBEE769" w14:textId="42A31965" w:rsidR="004E5C40" w:rsidRPr="00275789" w:rsidRDefault="004E5C40" w:rsidP="00275789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laboratories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are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performed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allow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and/or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susceptibility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testing,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cultures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be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limited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specimens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which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GDH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26245B">
        <w:rPr>
          <w:rFonts w:ascii="Helvetica" w:hAnsi="Helvetica" w:cs="Helvetica"/>
          <w:sz w:val="20"/>
          <w:szCs w:val="20"/>
          <w:lang w:eastAsia="en-AU"/>
        </w:rPr>
        <w:t>positive.</w:t>
      </w:r>
    </w:p>
    <w:p w14:paraId="261F9475" w14:textId="6BBF3AFF" w:rsidR="004E5C40" w:rsidRPr="004E5C40" w:rsidRDefault="004E5C40" w:rsidP="00275789">
      <w:pPr>
        <w:pStyle w:val="Heading1"/>
        <w:pageBreakBefore/>
      </w:pPr>
      <w:r w:rsidRPr="004E5C40">
        <w:lastRenderedPageBreak/>
        <w:t>4</w:t>
      </w:r>
      <w:r w:rsidR="002D07F9">
        <w:t xml:space="preserve"> </w:t>
      </w:r>
      <w:r w:rsidRPr="004E5C40">
        <w:t>SNOMED_CT</w:t>
      </w:r>
      <w:r w:rsidR="002D07F9">
        <w:t xml:space="preserve"> </w:t>
      </w:r>
      <w:r w:rsidRPr="004E5C40">
        <w:t>Terminology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le display SNOMED-CT terminology"/>
        <w:tblDescription w:val="Table display SNOMED-CT terminology"/>
      </w:tblPr>
      <w:tblGrid>
        <w:gridCol w:w="4530"/>
        <w:gridCol w:w="4530"/>
      </w:tblGrid>
      <w:tr w:rsidR="004E5C40" w:rsidRPr="004E5C40" w14:paraId="0B87F61F" w14:textId="77777777" w:rsidTr="004E5C40">
        <w:tc>
          <w:tcPr>
            <w:tcW w:w="25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F19E8" w14:textId="5080B073" w:rsidR="004E5C40" w:rsidRPr="004E5C40" w:rsidRDefault="004E5C40" w:rsidP="003623CA">
            <w:pPr>
              <w:spacing w:after="300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SNOMED</w:t>
            </w:r>
            <w:r w:rsidR="002D07F9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CT</w:t>
            </w:r>
            <w:r w:rsidR="002D07F9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concept</w:t>
            </w:r>
          </w:p>
        </w:tc>
        <w:tc>
          <w:tcPr>
            <w:tcW w:w="25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E1A51C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Code</w:t>
            </w:r>
          </w:p>
        </w:tc>
      </w:tr>
      <w:tr w:rsidR="004E5C40" w:rsidRPr="004E5C40" w14:paraId="4B8BB214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9B9A8" w14:textId="0B076612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(organism)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545D49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5933001</w:t>
            </w:r>
          </w:p>
        </w:tc>
      </w:tr>
      <w:tr w:rsidR="004E5C40" w:rsidRPr="004E5C40" w14:paraId="5659D96C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B8D25" w14:textId="208938C6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infection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(disorder)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2A327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186431008</w:t>
            </w:r>
          </w:p>
        </w:tc>
      </w:tr>
      <w:tr w:rsidR="004E5C40" w:rsidRPr="004E5C40" w14:paraId="3A9D2E77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6DE4C" w14:textId="4F263FD9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diarrhea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(disorder)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AF030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5891000119102</w:t>
            </w:r>
          </w:p>
        </w:tc>
      </w:tr>
      <w:tr w:rsidR="004E5C40" w:rsidRPr="004E5C40" w14:paraId="4D1A4950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C5A95" w14:textId="773F79A2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colitis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(disorder)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BC751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423590009</w:t>
            </w:r>
          </w:p>
        </w:tc>
      </w:tr>
      <w:tr w:rsidR="004E5C40" w:rsidRPr="004E5C40" w14:paraId="4E5E27C4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7B6892" w14:textId="54708FEB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assay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748BD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72415005</w:t>
            </w:r>
          </w:p>
        </w:tc>
      </w:tr>
      <w:tr w:rsidR="004E5C40" w:rsidRPr="004E5C40" w14:paraId="0491D90D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87162" w14:textId="683687FE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culture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9274A5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122209009</w:t>
            </w:r>
          </w:p>
        </w:tc>
      </w:tr>
      <w:tr w:rsidR="004E5C40" w:rsidRPr="004E5C40" w14:paraId="56CD2C89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08BE8" w14:textId="7E606D36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toxin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assay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4285C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75332002</w:t>
            </w:r>
          </w:p>
        </w:tc>
      </w:tr>
      <w:tr w:rsidR="004E5C40" w:rsidRPr="004E5C40" w14:paraId="5645BF5B" w14:textId="77777777" w:rsidTr="004E5C40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258D1" w14:textId="6596927A" w:rsidR="004E5C40" w:rsidRPr="004E5C40" w:rsidRDefault="004E5C40" w:rsidP="004E5C40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Clostridium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difficile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antigen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assay</w:t>
            </w:r>
            <w:r w:rsidR="002D07F9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</w:t>
            </w: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6039E" w14:textId="77777777" w:rsidR="004E5C40" w:rsidRPr="004E5C40" w:rsidRDefault="004E5C40" w:rsidP="003623CA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C40">
              <w:rPr>
                <w:rFonts w:ascii="Helvetica" w:hAnsi="Helvetica" w:cs="Helvetica"/>
                <w:sz w:val="20"/>
                <w:szCs w:val="20"/>
                <w:lang w:eastAsia="en-AU"/>
              </w:rPr>
              <w:t>118114008</w:t>
            </w:r>
          </w:p>
        </w:tc>
      </w:tr>
    </w:tbl>
    <w:p w14:paraId="4CCAE2AB" w14:textId="4320DB42" w:rsidR="004E5C40" w:rsidRPr="004E5C40" w:rsidRDefault="004E5C40" w:rsidP="004E5C40">
      <w:pPr>
        <w:rPr>
          <w:rFonts w:ascii="Times New Roman" w:hAnsi="Times New Roman"/>
          <w:sz w:val="24"/>
          <w:lang w:eastAsia="en-AU"/>
        </w:rPr>
      </w:pPr>
    </w:p>
    <w:p w14:paraId="048E8F5A" w14:textId="77777777" w:rsidR="004E5C40" w:rsidRPr="003623CA" w:rsidRDefault="004E5C40" w:rsidP="003623CA">
      <w:bookmarkStart w:id="0" w:name="ref"/>
      <w:bookmarkEnd w:id="0"/>
      <w:r w:rsidRPr="003623CA">
        <w:br w:type="page"/>
      </w:r>
    </w:p>
    <w:p w14:paraId="1E66A772" w14:textId="70DB2245" w:rsidR="004E5C40" w:rsidRPr="004E5C40" w:rsidRDefault="004E5C40" w:rsidP="00275789">
      <w:pPr>
        <w:pStyle w:val="Heading1"/>
      </w:pPr>
      <w:r w:rsidRPr="004E5C40">
        <w:lastRenderedPageBreak/>
        <w:t>5</w:t>
      </w:r>
      <w:r w:rsidR="002D07F9">
        <w:t xml:space="preserve"> </w:t>
      </w:r>
      <w:r w:rsidRPr="004E5C40">
        <w:t>References</w:t>
      </w:r>
    </w:p>
    <w:p w14:paraId="6332746A" w14:textId="075BD76A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" w:name="01"/>
      <w:bookmarkEnd w:id="1"/>
      <w:r w:rsidRPr="004E5C40">
        <w:rPr>
          <w:rFonts w:ascii="Helvetica" w:hAnsi="Helvetica" w:cs="Helvetica"/>
          <w:sz w:val="20"/>
          <w:szCs w:val="20"/>
          <w:lang w:eastAsia="en-AU"/>
        </w:rPr>
        <w:t>Bartlett,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J.G.,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Role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antibiotic-associated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pseudomembranous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colitis.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Gastroenterology,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1978.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75</w:t>
      </w:r>
      <w:r w:rsidRPr="004E5C40">
        <w:rPr>
          <w:rFonts w:ascii="Helvetica" w:hAnsi="Helvetica" w:cs="Helvetica"/>
          <w:sz w:val="20"/>
          <w:szCs w:val="20"/>
          <w:lang w:eastAsia="en-AU"/>
        </w:rPr>
        <w:t>(5):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778-82.</w:t>
      </w:r>
    </w:p>
    <w:p w14:paraId="21A8E299" w14:textId="0A795BFB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" w:name="02"/>
      <w:bookmarkEnd w:id="2"/>
      <w:r w:rsidRPr="004E5C40">
        <w:rPr>
          <w:rFonts w:ascii="Helvetica" w:hAnsi="Helvetica" w:cs="Helvetica"/>
          <w:sz w:val="20"/>
          <w:szCs w:val="20"/>
          <w:lang w:eastAsia="en-AU"/>
        </w:rPr>
        <w:t>Burnham,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C.A.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K.C.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Carroll,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ongoing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conundrum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clinicians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laboratories.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Rev,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26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604-30.</w:t>
      </w:r>
    </w:p>
    <w:p w14:paraId="6709C41F" w14:textId="25F69728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" w:name="03"/>
      <w:bookmarkEnd w:id="3"/>
      <w:r w:rsidRPr="004E5C40">
        <w:rPr>
          <w:rFonts w:ascii="Helvetica" w:hAnsi="Helvetica" w:cs="Helvetica"/>
          <w:sz w:val="20"/>
          <w:szCs w:val="20"/>
          <w:lang w:eastAsia="en-AU"/>
        </w:rPr>
        <w:t>Carroll,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K.C.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Bartlett,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Biology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implications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epidemiology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diagnosis.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Annu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65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501-21.</w:t>
      </w:r>
    </w:p>
    <w:p w14:paraId="7CB5D078" w14:textId="108AB44C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" w:name="04"/>
      <w:bookmarkEnd w:id="4"/>
      <w:r w:rsidRPr="004E5C40">
        <w:rPr>
          <w:rFonts w:ascii="Helvetica" w:hAnsi="Helvetica" w:cs="Helvetica"/>
          <w:sz w:val="20"/>
          <w:szCs w:val="20"/>
          <w:lang w:eastAsia="en-AU"/>
        </w:rPr>
        <w:t>Peniche,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A.G.,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T.C.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Savidge,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S.M.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Dann,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Recent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insights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pathogenesis.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Curr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Opin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26</w:t>
      </w:r>
      <w:r w:rsidRPr="004E5C40">
        <w:rPr>
          <w:rFonts w:ascii="Helvetica" w:hAnsi="Helvetica" w:cs="Helvetica"/>
          <w:sz w:val="20"/>
          <w:szCs w:val="20"/>
          <w:lang w:eastAsia="en-AU"/>
        </w:rPr>
        <w:t>(5):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447-53.</w:t>
      </w:r>
    </w:p>
    <w:p w14:paraId="660B8B6B" w14:textId="4874F456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5" w:name="05"/>
      <w:bookmarkEnd w:id="5"/>
      <w:r w:rsidRPr="004E5C40">
        <w:rPr>
          <w:rFonts w:ascii="Helvetica" w:hAnsi="Helvetica" w:cs="Helvetica"/>
          <w:sz w:val="20"/>
          <w:szCs w:val="20"/>
          <w:lang w:eastAsia="en-AU"/>
        </w:rPr>
        <w:t>Leffler,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D.A.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Lamont,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Engl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2015.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372</w:t>
      </w:r>
      <w:r w:rsidRPr="004E5C40">
        <w:rPr>
          <w:rFonts w:ascii="Helvetica" w:hAnsi="Helvetica" w:cs="Helvetica"/>
          <w:sz w:val="20"/>
          <w:szCs w:val="20"/>
          <w:lang w:eastAsia="en-AU"/>
        </w:rPr>
        <w:t>(16):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1539-48.</w:t>
      </w:r>
    </w:p>
    <w:p w14:paraId="63F08393" w14:textId="5B3324F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6" w:name="06"/>
      <w:bookmarkEnd w:id="6"/>
      <w:r w:rsidRPr="004E5C40">
        <w:rPr>
          <w:rFonts w:ascii="Helvetica" w:hAnsi="Helvetica" w:cs="Helvetica"/>
          <w:sz w:val="20"/>
          <w:szCs w:val="20"/>
          <w:lang w:eastAsia="en-AU"/>
        </w:rPr>
        <w:t>Freeman,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changing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epidemiology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Rev,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2010.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23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529-49.</w:t>
      </w:r>
    </w:p>
    <w:p w14:paraId="1CF49A56" w14:textId="0E4ABC66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7" w:name="07"/>
      <w:bookmarkEnd w:id="7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Adlerberth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Toxin-producing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long-term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gut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colonizers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healthy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infants.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Microbiol,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2014.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52</w:t>
      </w:r>
      <w:r w:rsidRPr="004E5C40">
        <w:rPr>
          <w:rFonts w:ascii="Helvetica" w:hAnsi="Helvetica" w:cs="Helvetica"/>
          <w:sz w:val="20"/>
          <w:szCs w:val="20"/>
          <w:lang w:eastAsia="en-AU"/>
        </w:rPr>
        <w:t>(1):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173-9.</w:t>
      </w:r>
    </w:p>
    <w:p w14:paraId="6ED19959" w14:textId="23667B52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8" w:name="08"/>
      <w:bookmarkEnd w:id="8"/>
      <w:r w:rsidRPr="004E5C40">
        <w:rPr>
          <w:rFonts w:ascii="Helvetica" w:hAnsi="Helvetica" w:cs="Helvetica"/>
          <w:sz w:val="20"/>
          <w:szCs w:val="20"/>
          <w:lang w:eastAsia="en-AU"/>
        </w:rPr>
        <w:t>Planche,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M.H.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Wilcox,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pitfalls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North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Am,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2015.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29</w:t>
      </w:r>
      <w:r w:rsidRPr="004E5C40">
        <w:rPr>
          <w:rFonts w:ascii="Helvetica" w:hAnsi="Helvetica" w:cs="Helvetica"/>
          <w:sz w:val="20"/>
          <w:szCs w:val="20"/>
          <w:lang w:eastAsia="en-AU"/>
        </w:rPr>
        <w:t>(1):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63-82.</w:t>
      </w:r>
    </w:p>
    <w:p w14:paraId="79F4EFCD" w14:textId="7CFA0A8A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9" w:name="09"/>
      <w:bookmarkEnd w:id="9"/>
      <w:r w:rsidRPr="004E5C40">
        <w:rPr>
          <w:rFonts w:ascii="Helvetica" w:hAnsi="Helvetica" w:cs="Helvetica"/>
          <w:sz w:val="20"/>
          <w:szCs w:val="20"/>
          <w:lang w:eastAsia="en-AU"/>
        </w:rPr>
        <w:t>Honda,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H.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E.R.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Dubberke,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changing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epidemiology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Curr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Opin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Gastroenterol,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2014.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30</w:t>
      </w:r>
      <w:r w:rsidRPr="004E5C40">
        <w:rPr>
          <w:rFonts w:ascii="Helvetica" w:hAnsi="Helvetica" w:cs="Helvetica"/>
          <w:sz w:val="20"/>
          <w:szCs w:val="20"/>
          <w:lang w:eastAsia="en-AU"/>
        </w:rPr>
        <w:t>(1):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54-62.</w:t>
      </w:r>
    </w:p>
    <w:p w14:paraId="44A09112" w14:textId="630DB4C5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0" w:name="10"/>
      <w:bookmarkEnd w:id="10"/>
      <w:r w:rsidRPr="004E5C40">
        <w:rPr>
          <w:rFonts w:ascii="Helvetica" w:hAnsi="Helvetica" w:cs="Helvetica"/>
          <w:sz w:val="20"/>
          <w:szCs w:val="20"/>
          <w:lang w:eastAsia="en-AU"/>
        </w:rPr>
        <w:t>Wilcox,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M.H.,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case-control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study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community-associated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Antimicrob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Chemother,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2008.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62</w:t>
      </w:r>
      <w:r w:rsidRPr="004E5C40">
        <w:rPr>
          <w:rFonts w:ascii="Helvetica" w:hAnsi="Helvetica" w:cs="Helvetica"/>
          <w:sz w:val="20"/>
          <w:szCs w:val="20"/>
          <w:lang w:eastAsia="en-AU"/>
        </w:rPr>
        <w:t>(2):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388-96.</w:t>
      </w:r>
    </w:p>
    <w:p w14:paraId="5EEA3448" w14:textId="4A76EC18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1" w:name="11"/>
      <w:bookmarkEnd w:id="11"/>
      <w:r w:rsidRPr="004E5C40">
        <w:rPr>
          <w:rFonts w:ascii="Helvetica" w:hAnsi="Helvetica" w:cs="Helvetica"/>
          <w:sz w:val="20"/>
          <w:szCs w:val="20"/>
          <w:lang w:eastAsia="en-AU"/>
        </w:rPr>
        <w:t>Eyre,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D.W.,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Diverse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sources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identified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whole-genome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sequencing.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Engl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369</w:t>
      </w:r>
      <w:r w:rsidRPr="004E5C40">
        <w:rPr>
          <w:rFonts w:ascii="Helvetica" w:hAnsi="Helvetica" w:cs="Helvetica"/>
          <w:sz w:val="20"/>
          <w:szCs w:val="20"/>
          <w:lang w:eastAsia="en-AU"/>
        </w:rPr>
        <w:t>(13):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1195-205.</w:t>
      </w:r>
    </w:p>
    <w:p w14:paraId="59E498B4" w14:textId="3AD98D88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2" w:name="12"/>
      <w:bookmarkEnd w:id="12"/>
      <w:r w:rsidRPr="004E5C40">
        <w:rPr>
          <w:rFonts w:ascii="Helvetica" w:hAnsi="Helvetica" w:cs="Helvetica"/>
          <w:sz w:val="20"/>
          <w:szCs w:val="20"/>
          <w:lang w:eastAsia="en-AU"/>
        </w:rPr>
        <w:t>Rupnik,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Songer,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its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potential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source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foodborne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disease.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Adv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Food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Nutr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2010.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60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53-66.</w:t>
      </w:r>
    </w:p>
    <w:p w14:paraId="31C31678" w14:textId="12AEA5BF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3" w:name="13"/>
      <w:bookmarkEnd w:id="13"/>
      <w:r w:rsidRPr="004E5C40">
        <w:rPr>
          <w:rFonts w:ascii="Helvetica" w:hAnsi="Helvetica" w:cs="Helvetica"/>
          <w:sz w:val="20"/>
          <w:szCs w:val="20"/>
          <w:lang w:eastAsia="en-AU"/>
        </w:rPr>
        <w:t>Hoover,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D.G.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Rodriguez-Palacios,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Transmission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foods.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North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Am,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27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675-85.</w:t>
      </w:r>
    </w:p>
    <w:p w14:paraId="2441D4B5" w14:textId="445E5026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4" w:name="14"/>
      <w:bookmarkEnd w:id="14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Goorhuis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Emergence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due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new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hypervirulent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polymerase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chain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reaction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078.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2008.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47</w:t>
      </w:r>
      <w:r w:rsidRPr="004E5C40">
        <w:rPr>
          <w:rFonts w:ascii="Helvetica" w:hAnsi="Helvetica" w:cs="Helvetica"/>
          <w:sz w:val="20"/>
          <w:szCs w:val="20"/>
          <w:lang w:eastAsia="en-AU"/>
        </w:rPr>
        <w:t>(9):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1162-70.</w:t>
      </w:r>
    </w:p>
    <w:p w14:paraId="0C89F8CD" w14:textId="4DC3830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5" w:name="15"/>
      <w:bookmarkEnd w:id="15"/>
      <w:r w:rsidRPr="004E5C40">
        <w:rPr>
          <w:rFonts w:ascii="Helvetica" w:hAnsi="Helvetica" w:cs="Helvetica"/>
          <w:sz w:val="20"/>
          <w:szCs w:val="20"/>
          <w:lang w:eastAsia="en-AU"/>
        </w:rPr>
        <w:t>Pepin,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difficile-associated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diarrhea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region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Quebec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1991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2003: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changing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pattern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disease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severity.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CMAJ,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2004.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171</w:t>
      </w:r>
      <w:r w:rsidRPr="004E5C40">
        <w:rPr>
          <w:rFonts w:ascii="Helvetica" w:hAnsi="Helvetica" w:cs="Helvetica"/>
          <w:sz w:val="20"/>
          <w:szCs w:val="20"/>
          <w:lang w:eastAsia="en-AU"/>
        </w:rPr>
        <w:t>(5):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466-72.</w:t>
      </w:r>
    </w:p>
    <w:p w14:paraId="241A8A2B" w14:textId="37CEBCD0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6" w:name="16"/>
      <w:bookmarkEnd w:id="16"/>
      <w:r w:rsidRPr="004E5C40">
        <w:rPr>
          <w:rFonts w:ascii="Helvetica" w:hAnsi="Helvetica" w:cs="Helvetica"/>
          <w:sz w:val="20"/>
          <w:szCs w:val="20"/>
          <w:lang w:eastAsia="en-AU"/>
        </w:rPr>
        <w:t>McDonald,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L.C.,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epidemic,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gene-variant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Engl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2005.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353</w:t>
      </w:r>
      <w:r w:rsidRPr="004E5C40">
        <w:rPr>
          <w:rFonts w:ascii="Helvetica" w:hAnsi="Helvetica" w:cs="Helvetica"/>
          <w:sz w:val="20"/>
          <w:szCs w:val="20"/>
          <w:lang w:eastAsia="en-AU"/>
        </w:rPr>
        <w:t>(23):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2433-41.</w:t>
      </w:r>
    </w:p>
    <w:p w14:paraId="29336838" w14:textId="56615E20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7" w:name="17"/>
      <w:bookmarkEnd w:id="17"/>
      <w:r w:rsidRPr="004E5C40">
        <w:rPr>
          <w:rFonts w:ascii="Helvetica" w:hAnsi="Helvetica" w:cs="Helvetica"/>
          <w:sz w:val="20"/>
          <w:szCs w:val="20"/>
          <w:lang w:eastAsia="en-AU"/>
        </w:rPr>
        <w:t>Loo,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V.G.,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Host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pathogen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factors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colonization.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Engl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365</w:t>
      </w:r>
      <w:r w:rsidRPr="004E5C40">
        <w:rPr>
          <w:rFonts w:ascii="Helvetica" w:hAnsi="Helvetica" w:cs="Helvetica"/>
          <w:sz w:val="20"/>
          <w:szCs w:val="20"/>
          <w:lang w:eastAsia="en-AU"/>
        </w:rPr>
        <w:t>(18):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1693-703.</w:t>
      </w:r>
    </w:p>
    <w:p w14:paraId="3431E298" w14:textId="46653FCA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8" w:name="18"/>
      <w:bookmarkEnd w:id="18"/>
      <w:r w:rsidRPr="004E5C40">
        <w:rPr>
          <w:rFonts w:ascii="Helvetica" w:hAnsi="Helvetica" w:cs="Helvetica"/>
          <w:sz w:val="20"/>
          <w:szCs w:val="20"/>
          <w:lang w:eastAsia="en-AU"/>
        </w:rPr>
        <w:t>Gerding,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D.N.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Johnson,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Does</w:t>
      </w:r>
      <w:proofErr w:type="gram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specific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clades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influence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outcome?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56</w:t>
      </w:r>
      <w:r w:rsidRPr="004E5C40">
        <w:rPr>
          <w:rFonts w:ascii="Helvetica" w:hAnsi="Helvetica" w:cs="Helvetica"/>
          <w:sz w:val="20"/>
          <w:szCs w:val="20"/>
          <w:lang w:eastAsia="en-AU"/>
        </w:rPr>
        <w:t>(11):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1601-3.</w:t>
      </w:r>
    </w:p>
    <w:p w14:paraId="78CEA82C" w14:textId="474A106D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19" w:name="19"/>
      <w:bookmarkEnd w:id="19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Kuijper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E.J.,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Emergence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difficile-associated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disease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North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America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Europe.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2006.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12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Suppl</w:t>
      </w:r>
      <w:r w:rsidR="002D07F9">
        <w:rPr>
          <w:rFonts w:ascii="Helvetica" w:hAnsi="Helvetica" w:cs="Helvetica"/>
          <w:b/>
          <w:b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2-18.</w:t>
      </w:r>
    </w:p>
    <w:p w14:paraId="2B16A0B6" w14:textId="3C9FFA4F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0" w:name="20"/>
      <w:bookmarkEnd w:id="20"/>
      <w:r w:rsidRPr="004E5C40">
        <w:rPr>
          <w:rFonts w:ascii="Helvetica" w:hAnsi="Helvetica" w:cs="Helvetica"/>
          <w:sz w:val="20"/>
          <w:szCs w:val="20"/>
          <w:lang w:eastAsia="en-AU"/>
        </w:rPr>
        <w:t>Riley,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T.V.,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First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Australian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isolation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epidemic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027.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Aust,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2009.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190</w:t>
      </w:r>
      <w:r w:rsidRPr="004E5C40">
        <w:rPr>
          <w:rFonts w:ascii="Helvetica" w:hAnsi="Helvetica" w:cs="Helvetica"/>
          <w:sz w:val="20"/>
          <w:szCs w:val="20"/>
          <w:lang w:eastAsia="en-AU"/>
        </w:rPr>
        <w:t>(12):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706-8.</w:t>
      </w:r>
    </w:p>
    <w:p w14:paraId="1E20425B" w14:textId="7E5E69DB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1" w:name="21"/>
      <w:bookmarkEnd w:id="21"/>
      <w:r w:rsidRPr="004E5C40">
        <w:rPr>
          <w:rFonts w:ascii="Helvetica" w:hAnsi="Helvetica" w:cs="Helvetica"/>
          <w:sz w:val="20"/>
          <w:szCs w:val="20"/>
          <w:lang w:eastAsia="en-AU"/>
        </w:rPr>
        <w:t>Richards,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Severe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027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acquired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Melbourne,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Australia.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Aust,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194</w:t>
      </w:r>
      <w:r w:rsidRPr="004E5C40">
        <w:rPr>
          <w:rFonts w:ascii="Helvetica" w:hAnsi="Helvetica" w:cs="Helvetica"/>
          <w:sz w:val="20"/>
          <w:szCs w:val="20"/>
          <w:lang w:eastAsia="en-AU"/>
        </w:rPr>
        <w:t>(7):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369-71.</w:t>
      </w:r>
    </w:p>
    <w:p w14:paraId="569E6789" w14:textId="0A5D9B4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2" w:name="22"/>
      <w:bookmarkEnd w:id="22"/>
      <w:r w:rsidRPr="004E5C40">
        <w:rPr>
          <w:rFonts w:ascii="Helvetica" w:hAnsi="Helvetica" w:cs="Helvetica"/>
          <w:sz w:val="20"/>
          <w:szCs w:val="20"/>
          <w:lang w:eastAsia="en-AU"/>
        </w:rPr>
        <w:t>Eyre,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D.W.,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Emergence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spread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predominantly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community-onset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244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gram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proofErr w:type="gram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Australia,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2010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2012.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Euro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Surveill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2015.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20</w:t>
      </w:r>
      <w:r w:rsidRPr="004E5C40">
        <w:rPr>
          <w:rFonts w:ascii="Helvetica" w:hAnsi="Helvetica" w:cs="Helvetica"/>
          <w:sz w:val="20"/>
          <w:szCs w:val="20"/>
          <w:lang w:eastAsia="en-AU"/>
        </w:rPr>
        <w:t>(10):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21059.</w:t>
      </w:r>
    </w:p>
    <w:p w14:paraId="15F6E1BE" w14:textId="7B4B939C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3" w:name="23"/>
      <w:bookmarkEnd w:id="23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Slimings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Increasing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incidence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Australia,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2011-2012.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Aust,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2014.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200</w:t>
      </w:r>
      <w:r w:rsidRPr="004E5C40">
        <w:rPr>
          <w:rFonts w:ascii="Helvetica" w:hAnsi="Helvetica" w:cs="Helvetica"/>
          <w:sz w:val="20"/>
          <w:szCs w:val="20"/>
          <w:lang w:eastAsia="en-AU"/>
        </w:rPr>
        <w:t>(5):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272-6.</w:t>
      </w:r>
    </w:p>
    <w:p w14:paraId="3B3EE9E0" w14:textId="5CF41F19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4" w:name="24"/>
      <w:bookmarkEnd w:id="24"/>
      <w:r w:rsidRPr="004E5C40">
        <w:rPr>
          <w:rFonts w:ascii="Helvetica" w:hAnsi="Helvetica" w:cs="Helvetica"/>
          <w:sz w:val="20"/>
          <w:szCs w:val="20"/>
          <w:lang w:eastAsia="en-AU"/>
        </w:rPr>
        <w:lastRenderedPageBreak/>
        <w:t>Eastwood,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Comparison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nine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commercially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available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toxin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assays,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real-time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tcdB</w:t>
      </w:r>
      <w:proofErr w:type="spellEnd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glutamate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dehydrogenase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assay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cytotoxin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cytotoxigenic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methods.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Microbiol,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2009.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47</w:t>
      </w:r>
      <w:r w:rsidRPr="004E5C40">
        <w:rPr>
          <w:rFonts w:ascii="Helvetica" w:hAnsi="Helvetica" w:cs="Helvetica"/>
          <w:sz w:val="20"/>
          <w:szCs w:val="20"/>
          <w:lang w:eastAsia="en-AU"/>
        </w:rPr>
        <w:t>(10):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3211-7.</w:t>
      </w:r>
    </w:p>
    <w:p w14:paraId="779F0486" w14:textId="2882D1A1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5" w:name="25"/>
      <w:bookmarkEnd w:id="25"/>
      <w:r w:rsidRPr="004E5C40">
        <w:rPr>
          <w:rFonts w:ascii="Helvetica" w:hAnsi="Helvetica" w:cs="Helvetica"/>
          <w:sz w:val="20"/>
          <w:szCs w:val="20"/>
          <w:lang w:eastAsia="en-AU"/>
        </w:rPr>
        <w:t>Collins,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D.A.,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B.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Elliott,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T.V.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Riley,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Molecular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detecting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typing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Pathology,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2015.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47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211-8.</w:t>
      </w:r>
    </w:p>
    <w:p w14:paraId="2A7D73D4" w14:textId="5098253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6" w:name="26"/>
      <w:bookmarkEnd w:id="26"/>
      <w:r w:rsidRPr="004E5C40">
        <w:rPr>
          <w:rFonts w:ascii="Helvetica" w:hAnsi="Helvetica" w:cs="Helvetica"/>
          <w:sz w:val="20"/>
          <w:szCs w:val="20"/>
          <w:lang w:eastAsia="en-AU"/>
        </w:rPr>
        <w:t>Ferguson,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J.K.,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Australia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New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Zealand: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national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survey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results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Australasian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Society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Infectious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Diseases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recommendations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best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practice.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Pathology,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43</w:t>
      </w:r>
      <w:r w:rsidRPr="004E5C40">
        <w:rPr>
          <w:rFonts w:ascii="Helvetica" w:hAnsi="Helvetica" w:cs="Helvetica"/>
          <w:sz w:val="20"/>
          <w:szCs w:val="20"/>
          <w:lang w:eastAsia="en-AU"/>
        </w:rPr>
        <w:t>(5):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482-7.</w:t>
      </w:r>
    </w:p>
    <w:p w14:paraId="29D15C44" w14:textId="40A7F052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7" w:name="27"/>
      <w:bookmarkEnd w:id="27"/>
      <w:r w:rsidRPr="004E5C40">
        <w:rPr>
          <w:rFonts w:ascii="Helvetica" w:hAnsi="Helvetica" w:cs="Helvetica"/>
          <w:sz w:val="20"/>
          <w:szCs w:val="20"/>
          <w:lang w:eastAsia="en-AU"/>
        </w:rPr>
        <w:t>Planche,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Wilcox,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Reference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one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two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gold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standards?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Pathol,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64</w:t>
      </w:r>
      <w:r w:rsidRPr="004E5C40">
        <w:rPr>
          <w:rFonts w:ascii="Helvetica" w:hAnsi="Helvetica" w:cs="Helvetica"/>
          <w:sz w:val="20"/>
          <w:szCs w:val="20"/>
          <w:lang w:eastAsia="en-AU"/>
        </w:rPr>
        <w:t>(1):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1-5.</w:t>
      </w:r>
    </w:p>
    <w:p w14:paraId="5FCD64C8" w14:textId="548A0F9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8" w:name="28"/>
      <w:bookmarkEnd w:id="28"/>
      <w:r w:rsidRPr="004E5C40">
        <w:rPr>
          <w:rFonts w:ascii="Helvetica" w:hAnsi="Helvetica" w:cs="Helvetica"/>
          <w:sz w:val="20"/>
          <w:szCs w:val="20"/>
          <w:lang w:eastAsia="en-AU"/>
        </w:rPr>
        <w:t>Australian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Commission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Safety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Quality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Health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Care.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Implementation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Guide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Surveillance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Pr="004E5C40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July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2020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(https://www.safetyandquality.gov.au/sites/default/files/2021-03/surveillance_guide_cdi_july_2020_indesign_final_version.pdf)</w:t>
      </w:r>
    </w:p>
    <w:p w14:paraId="65A042D1" w14:textId="4B4152C4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29" w:name="29"/>
      <w:bookmarkEnd w:id="29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Poylin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V,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American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Society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Colon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Rectal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Surgeon.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practice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guidelines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management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Diseases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Colon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&amp;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Rectum,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2021.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64</w:t>
      </w:r>
      <w:r w:rsidRPr="004E5C40">
        <w:rPr>
          <w:rFonts w:ascii="Helvetica" w:hAnsi="Helvetica" w:cs="Helvetica"/>
          <w:sz w:val="20"/>
          <w:szCs w:val="20"/>
          <w:lang w:eastAsia="en-AU"/>
        </w:rPr>
        <w:t>(6):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650-68.</w:t>
      </w:r>
    </w:p>
    <w:p w14:paraId="503036EC" w14:textId="6155ADB6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0" w:name="30"/>
      <w:bookmarkEnd w:id="30"/>
      <w:r w:rsidRPr="004E5C40">
        <w:rPr>
          <w:rFonts w:ascii="Helvetica" w:hAnsi="Helvetica" w:cs="Helvetica"/>
          <w:sz w:val="20"/>
          <w:szCs w:val="20"/>
          <w:lang w:eastAsia="en-AU"/>
        </w:rPr>
        <w:t>Planche,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T.D.,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Differences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outcome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according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method: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prospective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multicentre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validation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study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Lancet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13</w:t>
      </w:r>
      <w:r w:rsidRPr="004E5C40">
        <w:rPr>
          <w:rFonts w:ascii="Helvetica" w:hAnsi="Helvetica" w:cs="Helvetica"/>
          <w:sz w:val="20"/>
          <w:szCs w:val="20"/>
          <w:lang w:eastAsia="en-AU"/>
        </w:rPr>
        <w:t>(11):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936-45.</w:t>
      </w:r>
    </w:p>
    <w:p w14:paraId="64B7E442" w14:textId="20733C8F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1" w:name="31"/>
      <w:bookmarkEnd w:id="31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Crobach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M.J.,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European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Society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Microbiology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Infectious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Diseases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(ESCMID):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update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guidance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document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(CDI).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2016.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22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S63-81.</w:t>
      </w:r>
    </w:p>
    <w:p w14:paraId="7DBCA0B9" w14:textId="0D2F5F7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2" w:name="32"/>
      <w:bookmarkEnd w:id="32"/>
      <w:r w:rsidRPr="004E5C40">
        <w:rPr>
          <w:rFonts w:ascii="Helvetica" w:hAnsi="Helvetica" w:cs="Helvetica"/>
          <w:sz w:val="20"/>
          <w:szCs w:val="20"/>
          <w:lang w:eastAsia="en-AU"/>
        </w:rPr>
        <w:t>McLean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Whole-genome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sequencing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isolates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reveals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molecular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epidemiology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discrepancies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conventional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testing</w:t>
      </w:r>
      <w:r w:rsidRPr="004E5C40">
        <w:rPr>
          <w:rFonts w:ascii="Helvetica" w:hAnsi="Helvetica" w:cs="Helvetica"/>
          <w:sz w:val="20"/>
          <w:szCs w:val="20"/>
          <w:lang w:eastAsia="en-AU"/>
        </w:rPr>
        <w:t>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Hosp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2021.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108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64-71.</w:t>
      </w:r>
    </w:p>
    <w:p w14:paraId="486ED6DD" w14:textId="7983C93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3" w:name="33"/>
      <w:bookmarkEnd w:id="33"/>
      <w:r w:rsidRPr="004E5C40">
        <w:rPr>
          <w:rFonts w:ascii="Helvetica" w:hAnsi="Helvetica" w:cs="Helvetica"/>
          <w:sz w:val="20"/>
          <w:szCs w:val="20"/>
          <w:lang w:eastAsia="en-AU"/>
        </w:rPr>
        <w:t>Cho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whole-genome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sequencing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differentiates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relapse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same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re-infection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new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Diseases,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2021.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72</w:t>
      </w:r>
      <w:r w:rsidRPr="004E5C40">
        <w:rPr>
          <w:rFonts w:ascii="Helvetica" w:hAnsi="Helvetica" w:cs="Helvetica"/>
          <w:sz w:val="20"/>
          <w:szCs w:val="20"/>
          <w:lang w:eastAsia="en-AU"/>
        </w:rPr>
        <w:t>(5):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806-813.34.</w:t>
      </w:r>
    </w:p>
    <w:p w14:paraId="5F35A749" w14:textId="1C16AAB0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4" w:name="34"/>
      <w:bookmarkEnd w:id="34"/>
      <w:r w:rsidRPr="004E5C40">
        <w:rPr>
          <w:rFonts w:ascii="Helvetica" w:hAnsi="Helvetica" w:cs="Helvetica"/>
          <w:sz w:val="20"/>
          <w:szCs w:val="20"/>
          <w:lang w:eastAsia="en-AU"/>
        </w:rPr>
        <w:t>Kelly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American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College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Gastroenterology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Clinical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Guidelines: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Prevention,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diagnosis,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treatment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infections.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 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American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Journal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Gastroenterol,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2021.116(6):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1124-47.</w:t>
      </w:r>
    </w:p>
    <w:p w14:paraId="285F94E8" w14:textId="5B129BEE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5" w:name="35"/>
      <w:bookmarkEnd w:id="35"/>
      <w:r w:rsidRPr="004E5C40">
        <w:rPr>
          <w:rFonts w:ascii="Helvetica" w:hAnsi="Helvetica" w:cs="Helvetica"/>
          <w:sz w:val="20"/>
          <w:szCs w:val="20"/>
          <w:lang w:eastAsia="en-AU"/>
        </w:rPr>
        <w:t>Hink,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C.A.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Burnham,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E.R.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Dubberke,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systematic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evaluation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optimize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culture-based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recovery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specimens.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Anaerobe,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19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39-43.</w:t>
      </w:r>
    </w:p>
    <w:p w14:paraId="75E045A5" w14:textId="641DC99F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6" w:name="36"/>
      <w:bookmarkEnd w:id="36"/>
      <w:r w:rsidRPr="004E5C40">
        <w:rPr>
          <w:rFonts w:ascii="Helvetica" w:hAnsi="Helvetica" w:cs="Helvetica"/>
          <w:sz w:val="20"/>
          <w:szCs w:val="20"/>
          <w:lang w:eastAsia="en-AU"/>
        </w:rPr>
        <w:t>Carson,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K.C.,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Isolation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faecal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specimens--a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comparison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chromID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agar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cycloserine</w:t>
      </w:r>
      <w:proofErr w:type="spellEnd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-cefoxitin-fructose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agar.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Med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62</w:t>
      </w:r>
      <w:r w:rsidRPr="004E5C40">
        <w:rPr>
          <w:rFonts w:ascii="Helvetica" w:hAnsi="Helvetica" w:cs="Helvetica"/>
          <w:sz w:val="20"/>
          <w:szCs w:val="20"/>
          <w:lang w:eastAsia="en-AU"/>
        </w:rPr>
        <w:t>(Pt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9):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1423-7.</w:t>
      </w:r>
    </w:p>
    <w:p w14:paraId="37DCC214" w14:textId="37004387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7" w:name="37"/>
      <w:bookmarkEnd w:id="37"/>
      <w:r w:rsidRPr="004E5C40">
        <w:rPr>
          <w:rFonts w:ascii="Helvetica" w:hAnsi="Helvetica" w:cs="Helvetica"/>
          <w:sz w:val="20"/>
          <w:szCs w:val="20"/>
          <w:lang w:eastAsia="en-AU"/>
        </w:rPr>
        <w:t>Lister,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Comparison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gram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culture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based</w:t>
      </w:r>
      <w:proofErr w:type="gram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isolation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from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samples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research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setting.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Anaerobe,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2014.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28</w:t>
      </w:r>
      <w:r w:rsidRPr="004E5C40">
        <w:rPr>
          <w:rFonts w:ascii="Helvetica" w:hAnsi="Helvetica" w:cs="Helvetica"/>
          <w:sz w:val="20"/>
          <w:szCs w:val="20"/>
          <w:lang w:eastAsia="en-AU"/>
        </w:rPr>
        <w:t>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226-9.</w:t>
      </w:r>
    </w:p>
    <w:p w14:paraId="2B0E4BEA" w14:textId="3C0D3F28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8" w:name="38"/>
      <w:bookmarkEnd w:id="38"/>
      <w:r w:rsidRPr="004E5C40">
        <w:rPr>
          <w:rFonts w:ascii="Helvetica" w:hAnsi="Helvetica" w:cs="Helvetica"/>
          <w:sz w:val="20"/>
          <w:szCs w:val="20"/>
          <w:lang w:eastAsia="en-AU"/>
        </w:rPr>
        <w:t>Eckert,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Evaluation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chromogenic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agar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chromID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Microbiol,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2013.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51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1002-4.</w:t>
      </w:r>
    </w:p>
    <w:p w14:paraId="5E8310E5" w14:textId="047569EF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39" w:name="39"/>
      <w:bookmarkEnd w:id="39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Polage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C.R.,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Outcomes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patients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toxins.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Diagn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Microbiol</w:t>
      </w:r>
      <w:proofErr w:type="spellEnd"/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2012.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74</w:t>
      </w:r>
      <w:r w:rsidRPr="004E5C40">
        <w:rPr>
          <w:rFonts w:ascii="Helvetica" w:hAnsi="Helvetica" w:cs="Helvetica"/>
          <w:sz w:val="20"/>
          <w:szCs w:val="20"/>
          <w:lang w:eastAsia="en-AU"/>
        </w:rPr>
        <w:t>(4):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369-73.</w:t>
      </w:r>
    </w:p>
    <w:p w14:paraId="652C0691" w14:textId="26E1DD80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0" w:name="40"/>
      <w:bookmarkEnd w:id="40"/>
      <w:r w:rsidRPr="004E5C40">
        <w:rPr>
          <w:rFonts w:ascii="Helvetica" w:hAnsi="Helvetica" w:cs="Helvetica"/>
          <w:sz w:val="20"/>
          <w:szCs w:val="20"/>
          <w:lang w:eastAsia="en-AU"/>
        </w:rPr>
        <w:t>Peterson,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L.R.,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Detection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toxigenic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stool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samples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by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real-time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polymerase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chain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reaction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difficile-associated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diarrhea.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2007.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45</w:t>
      </w:r>
      <w:r w:rsidRPr="004E5C40">
        <w:rPr>
          <w:rFonts w:ascii="Helvetica" w:hAnsi="Helvetica" w:cs="Helvetica"/>
          <w:sz w:val="20"/>
          <w:szCs w:val="20"/>
          <w:lang w:eastAsia="en-AU"/>
        </w:rPr>
        <w:t>(9):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1152-60.</w:t>
      </w:r>
    </w:p>
    <w:p w14:paraId="6504DFA9" w14:textId="67FC53D8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1" w:name="41"/>
      <w:bookmarkEnd w:id="41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Androga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G.O.,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Evaluation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Cepheid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Xpert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difficile/Epi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meridian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bioscience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illumigene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C.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assays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detecting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ribotype</w:t>
      </w:r>
      <w:proofErr w:type="spellEnd"/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033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Microbiol,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2015.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53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973-5.</w:t>
      </w:r>
    </w:p>
    <w:p w14:paraId="07054152" w14:textId="1CE601B7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2" w:name="42"/>
      <w:bookmarkEnd w:id="42"/>
      <w:r w:rsidRPr="004E5C40">
        <w:rPr>
          <w:rFonts w:ascii="Helvetica" w:hAnsi="Helvetica" w:cs="Helvetica"/>
          <w:sz w:val="20"/>
          <w:szCs w:val="20"/>
          <w:lang w:eastAsia="en-AU"/>
        </w:rPr>
        <w:lastRenderedPageBreak/>
        <w:t>Kok,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Presumptive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identification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strain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027/NAP1/BI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Cepheid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Xpert: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interpret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with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caution.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Microbiol,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49</w:t>
      </w:r>
      <w:r w:rsidRPr="004E5C40">
        <w:rPr>
          <w:rFonts w:ascii="Helvetica" w:hAnsi="Helvetica" w:cs="Helvetica"/>
          <w:sz w:val="20"/>
          <w:szCs w:val="20"/>
          <w:lang w:eastAsia="en-AU"/>
        </w:rPr>
        <w:t>(10):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3719-21.</w:t>
      </w:r>
    </w:p>
    <w:p w14:paraId="6FA7A1FB" w14:textId="49EEBBD3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3" w:name="43"/>
      <w:bookmarkEnd w:id="43"/>
      <w:r w:rsidRPr="004E5C40">
        <w:rPr>
          <w:rFonts w:ascii="Helvetica" w:hAnsi="Helvetica" w:cs="Helvetica"/>
          <w:sz w:val="20"/>
          <w:szCs w:val="20"/>
          <w:lang w:eastAsia="en-AU"/>
        </w:rPr>
        <w:t>Fong,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K.S.,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Impact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PCR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for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incident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rates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potential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public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reporting: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playing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field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level?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Control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Hosp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Epidemiol,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32</w:t>
      </w:r>
      <w:r w:rsidRPr="004E5C40">
        <w:rPr>
          <w:rFonts w:ascii="Helvetica" w:hAnsi="Helvetica" w:cs="Helvetica"/>
          <w:sz w:val="20"/>
          <w:szCs w:val="20"/>
          <w:lang w:eastAsia="en-AU"/>
        </w:rPr>
        <w:t>(9):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932-3.</w:t>
      </w:r>
    </w:p>
    <w:p w14:paraId="0CFE070F" w14:textId="00FCA407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4" w:name="44"/>
      <w:bookmarkEnd w:id="44"/>
      <w:r w:rsidRPr="004E5C40">
        <w:rPr>
          <w:rFonts w:ascii="Helvetica" w:hAnsi="Helvetica" w:cs="Helvetica"/>
          <w:sz w:val="20"/>
          <w:szCs w:val="20"/>
          <w:lang w:eastAsia="en-AU"/>
        </w:rPr>
        <w:t>Goldenberg,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S.D.,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Public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reporting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improvements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Control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Hosp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Epidemiol,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32</w:t>
      </w:r>
      <w:r w:rsidRPr="004E5C40">
        <w:rPr>
          <w:rFonts w:ascii="Helvetica" w:hAnsi="Helvetica" w:cs="Helvetica"/>
          <w:sz w:val="20"/>
          <w:szCs w:val="20"/>
          <w:lang w:eastAsia="en-AU"/>
        </w:rPr>
        <w:t>(12):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1231-2;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author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reply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1233.</w:t>
      </w:r>
    </w:p>
    <w:p w14:paraId="08617B15" w14:textId="081CF959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5" w:name="45"/>
      <w:bookmarkEnd w:id="45"/>
      <w:r w:rsidRPr="004E5C40">
        <w:rPr>
          <w:rFonts w:ascii="Helvetica" w:hAnsi="Helvetica" w:cs="Helvetica"/>
          <w:sz w:val="20"/>
          <w:szCs w:val="20"/>
          <w:lang w:eastAsia="en-AU"/>
        </w:rPr>
        <w:t>Boly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FJ,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Reske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KA,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Kwon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JH.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role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diagnostic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stewardship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testing: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Challenges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and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opportunities.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Curr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Reports,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2020.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22</w:t>
      </w:r>
      <w:r w:rsidRPr="004E5C40">
        <w:rPr>
          <w:rFonts w:ascii="Helvetica" w:hAnsi="Helvetica" w:cs="Helvetica"/>
          <w:sz w:val="20"/>
          <w:szCs w:val="20"/>
          <w:lang w:eastAsia="en-AU"/>
        </w:rPr>
        <w:t>(3):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7.</w:t>
      </w:r>
    </w:p>
    <w:p w14:paraId="1EBB83B0" w14:textId="3B88E9D0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6" w:name="46"/>
      <w:bookmarkEnd w:id="46"/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Tenover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F.C.,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al.,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Laboratory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diagnosis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Clostridium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infection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can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molecular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amplification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methods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move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us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out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of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uncertainty?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Mol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Diagn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2011.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13</w:t>
      </w:r>
      <w:r w:rsidRPr="004E5C40">
        <w:rPr>
          <w:rFonts w:ascii="Helvetica" w:hAnsi="Helvetica" w:cs="Helvetica"/>
          <w:sz w:val="20"/>
          <w:szCs w:val="20"/>
          <w:lang w:eastAsia="en-AU"/>
        </w:rPr>
        <w:t>(6):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573-82.</w:t>
      </w:r>
    </w:p>
    <w:p w14:paraId="1903764C" w14:textId="71BC575A" w:rsidR="004E5C40" w:rsidRPr="004E5C40" w:rsidRDefault="004E5C40" w:rsidP="004E5C40">
      <w:pPr>
        <w:numPr>
          <w:ilvl w:val="0"/>
          <w:numId w:val="26"/>
        </w:numPr>
        <w:shd w:val="clear" w:color="auto" w:fill="FFFFFF"/>
        <w:spacing w:after="90"/>
        <w:rPr>
          <w:rFonts w:ascii="Helvetica" w:hAnsi="Helvetica" w:cs="Helvetica"/>
          <w:sz w:val="20"/>
          <w:szCs w:val="20"/>
          <w:lang w:eastAsia="en-AU"/>
        </w:rPr>
      </w:pPr>
      <w:bookmarkStart w:id="47" w:name="47"/>
      <w:bookmarkEnd w:id="47"/>
      <w:r w:rsidRPr="004E5C40">
        <w:rPr>
          <w:rFonts w:ascii="Helvetica" w:hAnsi="Helvetica" w:cs="Helvetica"/>
          <w:sz w:val="20"/>
          <w:szCs w:val="20"/>
          <w:lang w:eastAsia="en-AU"/>
        </w:rPr>
        <w:t>Chow,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S-K.,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spellStart"/>
      <w:r w:rsidRPr="004E5C40">
        <w:rPr>
          <w:rFonts w:ascii="Helvetica" w:hAnsi="Helvetica" w:cs="Helvetica"/>
          <w:sz w:val="20"/>
          <w:szCs w:val="20"/>
          <w:lang w:eastAsia="en-AU"/>
        </w:rPr>
        <w:t>Naderpour</w:t>
      </w:r>
      <w:proofErr w:type="spellEnd"/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A.,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Van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Enk,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J.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not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about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assay: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Preanalytical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screening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the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key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to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reducing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Clostridioides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difficile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infection.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J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Clin</w:t>
      </w:r>
      <w:r w:rsidR="002D07F9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i/>
          <w:iCs/>
          <w:sz w:val="20"/>
          <w:szCs w:val="20"/>
          <w:lang w:eastAsia="en-AU"/>
        </w:rPr>
        <w:t>Microbiol</w:t>
      </w:r>
      <w:r w:rsidRPr="004E5C40">
        <w:rPr>
          <w:rFonts w:ascii="Helvetica" w:hAnsi="Helvetica" w:cs="Helvetica"/>
          <w:sz w:val="20"/>
          <w:szCs w:val="20"/>
          <w:lang w:eastAsia="en-AU"/>
        </w:rPr>
        <w:t>,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r w:rsidRPr="004E5C40">
        <w:rPr>
          <w:rFonts w:ascii="Helvetica" w:hAnsi="Helvetica" w:cs="Helvetica"/>
          <w:sz w:val="20"/>
          <w:szCs w:val="20"/>
          <w:lang w:eastAsia="en-AU"/>
        </w:rPr>
        <w:t>2019.</w:t>
      </w:r>
      <w:r w:rsidR="002D07F9">
        <w:rPr>
          <w:rFonts w:ascii="Helvetica" w:hAnsi="Helvetica" w:cs="Helvetica"/>
          <w:sz w:val="20"/>
          <w:szCs w:val="20"/>
          <w:lang w:eastAsia="en-AU"/>
        </w:rPr>
        <w:t xml:space="preserve"> </w:t>
      </w:r>
      <w:proofErr w:type="gramStart"/>
      <w:r w:rsidRPr="004E5C40">
        <w:rPr>
          <w:rFonts w:ascii="Helvetica" w:hAnsi="Helvetica" w:cs="Helvetica"/>
          <w:b/>
          <w:bCs/>
          <w:sz w:val="20"/>
          <w:szCs w:val="20"/>
          <w:lang w:eastAsia="en-AU"/>
        </w:rPr>
        <w:t>57</w:t>
      </w:r>
      <w:r w:rsidRPr="004E5C40">
        <w:rPr>
          <w:rFonts w:ascii="Helvetica" w:hAnsi="Helvetica" w:cs="Helvetica"/>
          <w:sz w:val="20"/>
          <w:szCs w:val="20"/>
          <w:lang w:eastAsia="en-AU"/>
        </w:rPr>
        <w:t>:e</w:t>
      </w:r>
      <w:proofErr w:type="gramEnd"/>
      <w:r w:rsidRPr="004E5C40">
        <w:rPr>
          <w:rFonts w:ascii="Helvetica" w:hAnsi="Helvetica" w:cs="Helvetica"/>
          <w:sz w:val="20"/>
          <w:szCs w:val="20"/>
          <w:lang w:eastAsia="en-AU"/>
        </w:rPr>
        <w:t>01553-18.</w:t>
      </w:r>
    </w:p>
    <w:p w14:paraId="6F8D29B3" w14:textId="77777777" w:rsidR="009E0B84" w:rsidRPr="002D07F9" w:rsidRDefault="009E0B84" w:rsidP="002D07F9"/>
    <w:sectPr w:rsidR="009E0B84" w:rsidRPr="002D07F9" w:rsidSect="00F420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4095" w14:textId="77777777" w:rsidR="000816EA" w:rsidRDefault="000816EA" w:rsidP="006B56BB">
      <w:r>
        <w:separator/>
      </w:r>
    </w:p>
    <w:p w14:paraId="1D435E89" w14:textId="77777777" w:rsidR="000816EA" w:rsidRDefault="000816EA"/>
  </w:endnote>
  <w:endnote w:type="continuationSeparator" w:id="0">
    <w:p w14:paraId="3F54C71E" w14:textId="77777777" w:rsidR="000816EA" w:rsidRDefault="000816EA" w:rsidP="006B56BB">
      <w:r>
        <w:continuationSeparator/>
      </w:r>
    </w:p>
    <w:p w14:paraId="326797AD" w14:textId="77777777" w:rsidR="000816EA" w:rsidRDefault="000816EA"/>
  </w:endnote>
  <w:endnote w:type="continuationNotice" w:id="1">
    <w:p w14:paraId="6DD10CDE" w14:textId="77777777" w:rsidR="000816EA" w:rsidRDefault="00081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3EEF" w14:textId="75CA1945" w:rsidR="00285661" w:rsidRDefault="002856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3854AA" wp14:editId="55F784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7010781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59113" w14:textId="722B74CB" w:rsidR="00285661" w:rsidRPr="00285661" w:rsidRDefault="00285661" w:rsidP="002856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856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854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ED59113" w14:textId="722B74CB" w:rsidR="00285661" w:rsidRPr="00285661" w:rsidRDefault="00285661" w:rsidP="002856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856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CE9C" w14:textId="7475CF8F" w:rsidR="00CD407A" w:rsidRDefault="00285661" w:rsidP="00173AAD">
    <w:pPr>
      <w:pStyle w:val="Footer"/>
      <w:tabs>
        <w:tab w:val="clear" w:pos="4513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2202F7" wp14:editId="3171E730">
              <wp:simplePos x="904875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400268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ADF8F" w14:textId="6B7F47DD" w:rsidR="00285661" w:rsidRPr="00285661" w:rsidRDefault="00285661" w:rsidP="002856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856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02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79ADF8F" w14:textId="6B7F47DD" w:rsidR="00285661" w:rsidRPr="00285661" w:rsidRDefault="00285661" w:rsidP="002856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856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824697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proofErr w:type="spellStart"/>
            <w:r w:rsidR="004E5C40" w:rsidRPr="00173AAD">
              <w:rPr>
                <w:i/>
                <w:iCs/>
              </w:rPr>
              <w:t>Clostridiodes</w:t>
            </w:r>
            <w:proofErr w:type="spellEnd"/>
            <w:r w:rsidR="004E5C40" w:rsidRPr="00173AAD">
              <w:rPr>
                <w:i/>
                <w:iCs/>
              </w:rPr>
              <w:t xml:space="preserve"> difficile</w:t>
            </w:r>
            <w:r w:rsidR="004E5C40" w:rsidRPr="004E5C40">
              <w:t xml:space="preserve"> infection </w:t>
            </w:r>
            <w:r w:rsidR="00076AD6">
              <w:t>– Laboratory case definition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3DD3" w14:textId="13EE1E05" w:rsidR="005E40AE" w:rsidRDefault="00285661" w:rsidP="00173AAD">
    <w:pPr>
      <w:pStyle w:val="Footer"/>
      <w:tabs>
        <w:tab w:val="clear" w:pos="4513"/>
      </w:tabs>
      <w:jc w:val="right"/>
    </w:pPr>
    <w:r w:rsidRPr="00173AAD">
      <w:rPr>
        <w:i/>
        <w:iCs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1AF52B" wp14:editId="46A0FA50">
              <wp:simplePos x="904875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090288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A29B9" w14:textId="594F7499" w:rsidR="00285661" w:rsidRPr="00285661" w:rsidRDefault="00285661" w:rsidP="002856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856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AF5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3EA29B9" w14:textId="594F7499" w:rsidR="00285661" w:rsidRPr="00285661" w:rsidRDefault="00285661" w:rsidP="002856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856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4E5C40" w:rsidRPr="00173AAD">
      <w:rPr>
        <w:i/>
        <w:iCs/>
      </w:rPr>
      <w:t>Clostridiodes</w:t>
    </w:r>
    <w:proofErr w:type="spellEnd"/>
    <w:r w:rsidR="004E5C40" w:rsidRPr="00173AAD">
      <w:rPr>
        <w:i/>
        <w:iCs/>
      </w:rPr>
      <w:t xml:space="preserve"> difficile</w:t>
    </w:r>
    <w:r w:rsidR="004E5C40" w:rsidRPr="004E5C40">
      <w:t xml:space="preserve"> infection </w:t>
    </w:r>
    <w:r w:rsidR="005E40AE">
      <w:t>– Laboratory case definition</w:t>
    </w:r>
    <w:r w:rsidR="005E40AE">
      <w:tab/>
      <w:t xml:space="preserve">Page </w:t>
    </w:r>
    <w:r w:rsidR="005E40AE">
      <w:rPr>
        <w:b/>
        <w:bCs/>
        <w:sz w:val="24"/>
      </w:rPr>
      <w:fldChar w:fldCharType="begin"/>
    </w:r>
    <w:r w:rsidR="005E40AE">
      <w:rPr>
        <w:b/>
        <w:bCs/>
      </w:rPr>
      <w:instrText xml:space="preserve"> PAGE </w:instrText>
    </w:r>
    <w:r w:rsidR="005E40AE">
      <w:rPr>
        <w:b/>
        <w:bCs/>
        <w:sz w:val="24"/>
      </w:rPr>
      <w:fldChar w:fldCharType="separate"/>
    </w:r>
    <w:r w:rsidR="005E40AE">
      <w:rPr>
        <w:b/>
        <w:bCs/>
        <w:sz w:val="24"/>
      </w:rPr>
      <w:t>2</w:t>
    </w:r>
    <w:r w:rsidR="005E40AE">
      <w:rPr>
        <w:b/>
        <w:bCs/>
        <w:sz w:val="24"/>
      </w:rPr>
      <w:fldChar w:fldCharType="end"/>
    </w:r>
    <w:r w:rsidR="005E40AE">
      <w:t xml:space="preserve"> of </w:t>
    </w:r>
    <w:r w:rsidR="005E40AE">
      <w:rPr>
        <w:b/>
        <w:bCs/>
        <w:sz w:val="24"/>
      </w:rPr>
      <w:fldChar w:fldCharType="begin"/>
    </w:r>
    <w:r w:rsidR="005E40AE">
      <w:rPr>
        <w:b/>
        <w:bCs/>
      </w:rPr>
      <w:instrText xml:space="preserve"> NUMPAGES  </w:instrText>
    </w:r>
    <w:r w:rsidR="005E40AE">
      <w:rPr>
        <w:b/>
        <w:bCs/>
        <w:sz w:val="24"/>
      </w:rPr>
      <w:fldChar w:fldCharType="separate"/>
    </w:r>
    <w:r w:rsidR="005E40AE">
      <w:rPr>
        <w:b/>
        <w:bCs/>
        <w:sz w:val="24"/>
      </w:rPr>
      <w:t>2</w:t>
    </w:r>
    <w:r w:rsidR="005E40AE"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B7F5" w14:textId="77777777" w:rsidR="000816EA" w:rsidRDefault="000816EA" w:rsidP="006B56BB">
      <w:r>
        <w:separator/>
      </w:r>
    </w:p>
    <w:p w14:paraId="66E2FBCE" w14:textId="77777777" w:rsidR="000816EA" w:rsidRDefault="000816EA"/>
  </w:footnote>
  <w:footnote w:type="continuationSeparator" w:id="0">
    <w:p w14:paraId="1D22CCDE" w14:textId="77777777" w:rsidR="000816EA" w:rsidRDefault="000816EA" w:rsidP="006B56BB">
      <w:r>
        <w:continuationSeparator/>
      </w:r>
    </w:p>
    <w:p w14:paraId="5B1A2B6D" w14:textId="77777777" w:rsidR="000816EA" w:rsidRDefault="000816EA"/>
  </w:footnote>
  <w:footnote w:type="continuationNotice" w:id="1">
    <w:p w14:paraId="39949DFF" w14:textId="77777777" w:rsidR="000816EA" w:rsidRDefault="00081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A36" w14:textId="6DF512B6" w:rsidR="00285661" w:rsidRDefault="002856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DBC155" wp14:editId="7D54BB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969179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8FE6A" w14:textId="68C4D7EF" w:rsidR="00285661" w:rsidRPr="00285661" w:rsidRDefault="00285661" w:rsidP="002856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856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BC1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C78FE6A" w14:textId="68C4D7EF" w:rsidR="00285661" w:rsidRPr="00285661" w:rsidRDefault="00285661" w:rsidP="002856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856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964C" w14:textId="467944FA" w:rsidR="008E0C77" w:rsidRDefault="00285661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57FCCB" wp14:editId="4B2CC997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466939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7759D" w14:textId="20B7C5EE" w:rsidR="00285661" w:rsidRPr="00285661" w:rsidRDefault="00285661" w:rsidP="002856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856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7FC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0D87759D" w14:textId="20B7C5EE" w:rsidR="00285661" w:rsidRPr="00285661" w:rsidRDefault="00285661" w:rsidP="002856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856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32C8" w14:textId="4EB089EA" w:rsidR="00F42019" w:rsidRDefault="002856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A7B3E4" wp14:editId="521798D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112687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91DDD" w14:textId="3B8B7BA8" w:rsidR="00285661" w:rsidRPr="00285661" w:rsidRDefault="00285661" w:rsidP="0028566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856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7B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1C91DDD" w14:textId="3B8B7BA8" w:rsidR="00285661" w:rsidRPr="00285661" w:rsidRDefault="00285661" w:rsidP="0028566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856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2019">
      <w:rPr>
        <w:noProof/>
      </w:rPr>
      <w:drawing>
        <wp:inline distT="0" distB="0" distL="0" distR="0" wp14:anchorId="5CC1DA33" wp14:editId="13DCC7BF">
          <wp:extent cx="2943580" cy="1200150"/>
          <wp:effectExtent l="0" t="0" r="9525" b="0"/>
          <wp:docPr id="2" name="Picture 2" descr="Public Health Laboratory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blic Health Laboratory Networ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886" cy="122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67F1F"/>
    <w:multiLevelType w:val="multilevel"/>
    <w:tmpl w:val="410CCF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D6FB8"/>
    <w:multiLevelType w:val="multilevel"/>
    <w:tmpl w:val="48E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77B60"/>
    <w:multiLevelType w:val="multilevel"/>
    <w:tmpl w:val="A6C2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955C9"/>
    <w:multiLevelType w:val="multilevel"/>
    <w:tmpl w:val="A926A1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D1C63"/>
    <w:multiLevelType w:val="multilevel"/>
    <w:tmpl w:val="76E6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678EA"/>
    <w:multiLevelType w:val="multilevel"/>
    <w:tmpl w:val="E9DA1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D4366"/>
    <w:multiLevelType w:val="multilevel"/>
    <w:tmpl w:val="CB9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41737152">
    <w:abstractNumId w:val="7"/>
  </w:num>
  <w:num w:numId="2" w16cid:durableId="1069114838">
    <w:abstractNumId w:val="18"/>
  </w:num>
  <w:num w:numId="3" w16cid:durableId="564728799">
    <w:abstractNumId w:val="21"/>
  </w:num>
  <w:num w:numId="4" w16cid:durableId="1641812380">
    <w:abstractNumId w:val="8"/>
  </w:num>
  <w:num w:numId="5" w16cid:durableId="509222941">
    <w:abstractNumId w:val="8"/>
    <w:lvlOverride w:ilvl="0">
      <w:startOverride w:val="1"/>
    </w:lvlOverride>
  </w:num>
  <w:num w:numId="6" w16cid:durableId="875435384">
    <w:abstractNumId w:val="10"/>
  </w:num>
  <w:num w:numId="7" w16cid:durableId="2139955093">
    <w:abstractNumId w:val="17"/>
  </w:num>
  <w:num w:numId="8" w16cid:durableId="1835560379">
    <w:abstractNumId w:val="20"/>
  </w:num>
  <w:num w:numId="9" w16cid:durableId="1706254370">
    <w:abstractNumId w:val="5"/>
  </w:num>
  <w:num w:numId="10" w16cid:durableId="2124105384">
    <w:abstractNumId w:val="4"/>
  </w:num>
  <w:num w:numId="11" w16cid:durableId="1644503714">
    <w:abstractNumId w:val="3"/>
  </w:num>
  <w:num w:numId="12" w16cid:durableId="7489173">
    <w:abstractNumId w:val="2"/>
  </w:num>
  <w:num w:numId="13" w16cid:durableId="146827612">
    <w:abstractNumId w:val="6"/>
  </w:num>
  <w:num w:numId="14" w16cid:durableId="1350914653">
    <w:abstractNumId w:val="1"/>
  </w:num>
  <w:num w:numId="15" w16cid:durableId="240721562">
    <w:abstractNumId w:val="0"/>
  </w:num>
  <w:num w:numId="16" w16cid:durableId="1198003072">
    <w:abstractNumId w:val="24"/>
  </w:num>
  <w:num w:numId="17" w16cid:durableId="1010832466">
    <w:abstractNumId w:val="11"/>
  </w:num>
  <w:num w:numId="18" w16cid:durableId="803622964">
    <w:abstractNumId w:val="13"/>
  </w:num>
  <w:num w:numId="19" w16cid:durableId="793183208">
    <w:abstractNumId w:val="16"/>
  </w:num>
  <w:num w:numId="20" w16cid:durableId="2088110320">
    <w:abstractNumId w:val="9"/>
  </w:num>
  <w:num w:numId="21" w16cid:durableId="1768037012">
    <w:abstractNumId w:val="22"/>
  </w:num>
  <w:num w:numId="22" w16cid:durableId="956179588">
    <w:abstractNumId w:val="15"/>
  </w:num>
  <w:num w:numId="23" w16cid:durableId="1902054681">
    <w:abstractNumId w:val="12"/>
  </w:num>
  <w:num w:numId="24" w16cid:durableId="1654024711">
    <w:abstractNumId w:val="23"/>
  </w:num>
  <w:num w:numId="25" w16cid:durableId="191843813">
    <w:abstractNumId w:val="19"/>
  </w:num>
  <w:num w:numId="26" w16cid:durableId="861625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40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130B"/>
    <w:rsid w:val="00067456"/>
    <w:rsid w:val="00071506"/>
    <w:rsid w:val="0007154F"/>
    <w:rsid w:val="00076AD6"/>
    <w:rsid w:val="000816EA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3AAD"/>
    <w:rsid w:val="0017665C"/>
    <w:rsid w:val="00177AD2"/>
    <w:rsid w:val="001815A8"/>
    <w:rsid w:val="001840FA"/>
    <w:rsid w:val="0018564F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0768B"/>
    <w:rsid w:val="00210B09"/>
    <w:rsid w:val="00210C9E"/>
    <w:rsid w:val="00211840"/>
    <w:rsid w:val="00220E5F"/>
    <w:rsid w:val="002212B5"/>
    <w:rsid w:val="00226668"/>
    <w:rsid w:val="002301A7"/>
    <w:rsid w:val="00233809"/>
    <w:rsid w:val="00240046"/>
    <w:rsid w:val="0024797F"/>
    <w:rsid w:val="0025119E"/>
    <w:rsid w:val="00251269"/>
    <w:rsid w:val="002535C0"/>
    <w:rsid w:val="002579FE"/>
    <w:rsid w:val="0026245B"/>
    <w:rsid w:val="0026311C"/>
    <w:rsid w:val="0026668C"/>
    <w:rsid w:val="00266AC1"/>
    <w:rsid w:val="0027178C"/>
    <w:rsid w:val="002719FA"/>
    <w:rsid w:val="00272668"/>
    <w:rsid w:val="0027330B"/>
    <w:rsid w:val="00275789"/>
    <w:rsid w:val="002803AD"/>
    <w:rsid w:val="00281187"/>
    <w:rsid w:val="00282052"/>
    <w:rsid w:val="0028519E"/>
    <w:rsid w:val="00285661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D07F9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623CA"/>
    <w:rsid w:val="00363749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32E1B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E5C40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40AE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5214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532D5"/>
    <w:rsid w:val="0076672A"/>
    <w:rsid w:val="00775E45"/>
    <w:rsid w:val="00776E74"/>
    <w:rsid w:val="00785169"/>
    <w:rsid w:val="007954AB"/>
    <w:rsid w:val="007A14C5"/>
    <w:rsid w:val="007A4A10"/>
    <w:rsid w:val="007B1760"/>
    <w:rsid w:val="007B194E"/>
    <w:rsid w:val="007C1FDC"/>
    <w:rsid w:val="007C6D9C"/>
    <w:rsid w:val="007C7DDB"/>
    <w:rsid w:val="007D2CC7"/>
    <w:rsid w:val="007D673D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38D2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86D7D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63C7"/>
    <w:rsid w:val="00A4512D"/>
    <w:rsid w:val="00A50244"/>
    <w:rsid w:val="00A627D7"/>
    <w:rsid w:val="00A656C7"/>
    <w:rsid w:val="00A705AF"/>
    <w:rsid w:val="00A72454"/>
    <w:rsid w:val="00A77265"/>
    <w:rsid w:val="00A77696"/>
    <w:rsid w:val="00A80557"/>
    <w:rsid w:val="00A81D33"/>
    <w:rsid w:val="00A8341C"/>
    <w:rsid w:val="00A930AE"/>
    <w:rsid w:val="00A9567F"/>
    <w:rsid w:val="00AA1A95"/>
    <w:rsid w:val="00AA260F"/>
    <w:rsid w:val="00AA26D0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86E28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4DFA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40E1C"/>
    <w:rsid w:val="00D524C8"/>
    <w:rsid w:val="00D70E24"/>
    <w:rsid w:val="00D72B61"/>
    <w:rsid w:val="00D83059"/>
    <w:rsid w:val="00DA3D1D"/>
    <w:rsid w:val="00DB358C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1910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02A8"/>
    <w:rsid w:val="00F21302"/>
    <w:rsid w:val="00F321DE"/>
    <w:rsid w:val="00F33777"/>
    <w:rsid w:val="00F40648"/>
    <w:rsid w:val="00F42019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  <w:rsid w:val="6079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37A91"/>
  <w15:docId w15:val="{CACD876F-08AD-45E2-B560-CDC8E3AF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D07F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301A7"/>
    <w:pPr>
      <w:shd w:val="clear" w:color="auto" w:fill="FFFFFF"/>
      <w:spacing w:after="120"/>
      <w:outlineLvl w:val="0"/>
    </w:pPr>
    <w:rPr>
      <w:rFonts w:ascii="Open Sans" w:hAnsi="Open Sans" w:cs="Open Sans"/>
      <w:sz w:val="36"/>
      <w:szCs w:val="36"/>
      <w:lang w:eastAsia="en-AU"/>
    </w:rPr>
  </w:style>
  <w:style w:type="paragraph" w:styleId="Heading2">
    <w:name w:val="heading 2"/>
    <w:basedOn w:val="Normal"/>
    <w:next w:val="Paragraphtext"/>
    <w:link w:val="Heading2Char"/>
    <w:uiPriority w:val="9"/>
    <w:qFormat/>
    <w:rsid w:val="002301A7"/>
    <w:pPr>
      <w:shd w:val="clear" w:color="auto" w:fill="FFFFFF"/>
      <w:spacing w:before="240" w:after="120"/>
      <w:outlineLvl w:val="1"/>
    </w:pPr>
    <w:rPr>
      <w:rFonts w:ascii="Open Sans" w:hAnsi="Open Sans" w:cs="Open Sans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7265"/>
    <w:pPr>
      <w:shd w:val="clear" w:color="auto" w:fill="FFFFFF"/>
      <w:spacing w:before="120" w:after="120"/>
      <w:outlineLvl w:val="2"/>
    </w:pPr>
    <w:rPr>
      <w:rFonts w:ascii="Open Sans" w:hAnsi="Open Sans" w:cs="Open Sans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2301A7"/>
    <w:pPr>
      <w:numPr>
        <w:ilvl w:val="1"/>
      </w:numPr>
      <w:spacing w:before="120" w:after="60"/>
    </w:pPr>
    <w:rPr>
      <w:rFonts w:ascii="Arial" w:eastAsiaTheme="majorEastAsia" w:hAnsi="Arial" w:cstheme="majorBidi"/>
      <w:iCs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2301A7"/>
    <w:rPr>
      <w:rFonts w:ascii="Arial" w:eastAsiaTheme="majorEastAsia" w:hAnsi="Arial" w:cstheme="majorBidi"/>
      <w:iCs/>
      <w:spacing w:val="15"/>
      <w:sz w:val="40"/>
      <w:szCs w:val="24"/>
      <w:lang w:eastAsia="en-US"/>
    </w:rPr>
  </w:style>
  <w:style w:type="paragraph" w:styleId="Title">
    <w:name w:val="Title"/>
    <w:basedOn w:val="Subtitle"/>
    <w:next w:val="Paragraphtext"/>
    <w:link w:val="TitleChar"/>
    <w:qFormat/>
    <w:rsid w:val="002301A7"/>
    <w:rPr>
      <w:b/>
      <w:iCs w:val="0"/>
      <w:spacing w:val="0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2301A7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A77265"/>
    <w:pPr>
      <w:spacing w:before="480"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2301A7"/>
    <w:rPr>
      <w:rFonts w:ascii="Open Sans" w:hAnsi="Open Sans" w:cs="Open Sans"/>
      <w:sz w:val="27"/>
      <w:szCs w:val="27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A77265"/>
    <w:rPr>
      <w:rFonts w:ascii="Open Sans" w:hAnsi="Open Sans" w:cs="Open Sans"/>
      <w:sz w:val="24"/>
      <w:szCs w:val="2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4E5C40"/>
    <w:rPr>
      <w:rFonts w:ascii="Arial" w:hAnsi="Arial"/>
      <w:b/>
      <w:bCs/>
      <w:i/>
      <w:color w:val="414141"/>
      <w:sz w:val="24"/>
      <w:szCs w:val="28"/>
      <w:lang w:eastAsia="en-US"/>
    </w:rPr>
  </w:style>
  <w:style w:type="paragraph" w:customStyle="1" w:styleId="msonormal0">
    <w:name w:val="msonormal"/>
    <w:basedOn w:val="Normal"/>
    <w:rsid w:val="004E5C4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E5C4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E5C40"/>
    <w:rPr>
      <w:color w:val="800080"/>
      <w:u w:val="single"/>
    </w:rPr>
  </w:style>
  <w:style w:type="paragraph" w:styleId="Index2">
    <w:name w:val="index 2"/>
    <w:basedOn w:val="Normal"/>
    <w:next w:val="Normal"/>
    <w:autoRedefine/>
    <w:unhideWhenUsed/>
    <w:rsid w:val="00275789"/>
    <w:pPr>
      <w:ind w:left="44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2331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951278960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248269313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861238553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48681936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388533259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235435870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941717077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AF8F0-953A-417C-A7DC-E6908BA2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6341</Words>
  <Characters>36842</Characters>
  <Application>Microsoft Office Word</Application>
  <DocSecurity>0</DocSecurity>
  <Lines>566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Clostridiodes difficile infection – Laboratory case definition</vt:lpstr>
    </vt:vector>
  </TitlesOfParts>
  <Company/>
  <LinksUpToDate>false</LinksUpToDate>
  <CharactersWithSpaces>42949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Clostridiodes difficile infection – Laboratory case definition</dc:title>
  <dc:subject>Communicable diseases prevention and control</dc:subject>
  <dc:creator>Public Health Laboratory Network (PHLN)</dc:creator>
  <cp:keywords/>
  <cp:lastModifiedBy>MCCAY, Meryl</cp:lastModifiedBy>
  <cp:revision>3</cp:revision>
  <dcterms:created xsi:type="dcterms:W3CDTF">2026-04-22T05:10:00Z</dcterms:created>
  <dcterms:modified xsi:type="dcterms:W3CDTF">2026-04-23T05:43:00Z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30421-7766-42c6-b167-b4a273574e25_Enabled">
    <vt:lpwstr>true</vt:lpwstr>
  </property>
  <property fmtid="{D5CDD505-2E9C-101B-9397-08002B2CF9AE}" pid="3" name="MSIP_Label_00f30421-7766-42c6-b167-b4a273574e25_SetDate">
    <vt:lpwstr>2026-03-23T22:39:29Z</vt:lpwstr>
  </property>
  <property fmtid="{D5CDD505-2E9C-101B-9397-08002B2CF9AE}" pid="4" name="MSIP_Label_00f30421-7766-42c6-b167-b4a273574e25_Method">
    <vt:lpwstr>Privileged</vt:lpwstr>
  </property>
  <property fmtid="{D5CDD505-2E9C-101B-9397-08002B2CF9AE}" pid="5" name="MSIP_Label_00f30421-7766-42c6-b167-b4a273574e25_Name">
    <vt:lpwstr>UNOFFICIAL</vt:lpwstr>
  </property>
  <property fmtid="{D5CDD505-2E9C-101B-9397-08002B2CF9AE}" pid="6" name="MSIP_Label_00f30421-7766-42c6-b167-b4a273574e25_SiteId">
    <vt:lpwstr>a687a7bf-02db-43df-bcbb-e7a8bda611a2</vt:lpwstr>
  </property>
  <property fmtid="{D5CDD505-2E9C-101B-9397-08002B2CF9AE}" pid="7" name="MSIP_Label_00f30421-7766-42c6-b167-b4a273574e25_ActionId">
    <vt:lpwstr>092c3022-89af-4262-b56f-0bf55054101b</vt:lpwstr>
  </property>
  <property fmtid="{D5CDD505-2E9C-101B-9397-08002B2CF9AE}" pid="8" name="MSIP_Label_00f30421-7766-42c6-b167-b4a273574e25_ContentBits">
    <vt:lpwstr>0</vt:lpwstr>
  </property>
  <property fmtid="{D5CDD505-2E9C-101B-9397-08002B2CF9AE}" pid="9" name="MSIP_Label_00f30421-7766-42c6-b167-b4a273574e25_Tag">
    <vt:lpwstr>10, 0, 1, 1</vt:lpwstr>
  </property>
  <property fmtid="{D5CDD505-2E9C-101B-9397-08002B2CF9AE}" pid="10" name="ClassificationContentMarkingHeaderShapeIds">
    <vt:lpwstr>5a1421bd,23943eb1,4a4f0a2f</vt:lpwstr>
  </property>
  <property fmtid="{D5CDD505-2E9C-101B-9397-08002B2CF9AE}" pid="11" name="ClassificationContentMarkingHeaderFontProps">
    <vt:lpwstr>#ff0000,12,Aptos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421a6fc0,29c99a84,49e94eeb</vt:lpwstr>
  </property>
  <property fmtid="{D5CDD505-2E9C-101B-9397-08002B2CF9AE}" pid="14" name="ClassificationContentMarkingFooterFontProps">
    <vt:lpwstr>#ff0000,12,Aptos</vt:lpwstr>
  </property>
  <property fmtid="{D5CDD505-2E9C-101B-9397-08002B2CF9AE}" pid="15" name="ClassificationContentMarkingFooterText">
    <vt:lpwstr>OFFICIAL</vt:lpwstr>
  </property>
  <property fmtid="{D5CDD505-2E9C-101B-9397-08002B2CF9AE}" pid="16" name="MSIP_Label_7cd3e8b9-ffed-43a8-b7f4-cc2fa0382d36_Enabled">
    <vt:lpwstr>true</vt:lpwstr>
  </property>
  <property fmtid="{D5CDD505-2E9C-101B-9397-08002B2CF9AE}" pid="17" name="MSIP_Label_7cd3e8b9-ffed-43a8-b7f4-cc2fa0382d36_SetDate">
    <vt:lpwstr>2026-03-24T04:15:46Z</vt:lpwstr>
  </property>
  <property fmtid="{D5CDD505-2E9C-101B-9397-08002B2CF9AE}" pid="18" name="MSIP_Label_7cd3e8b9-ffed-43a8-b7f4-cc2fa0382d36_Method">
    <vt:lpwstr>Privileged</vt:lpwstr>
  </property>
  <property fmtid="{D5CDD505-2E9C-101B-9397-08002B2CF9AE}" pid="19" name="MSIP_Label_7cd3e8b9-ffed-43a8-b7f4-cc2fa0382d36_Name">
    <vt:lpwstr>O</vt:lpwstr>
  </property>
  <property fmtid="{D5CDD505-2E9C-101B-9397-08002B2CF9AE}" pid="20" name="MSIP_Label_7cd3e8b9-ffed-43a8-b7f4-cc2fa0382d36_SiteId">
    <vt:lpwstr>34a3929c-73cf-4954-abfe-147dc3517892</vt:lpwstr>
  </property>
  <property fmtid="{D5CDD505-2E9C-101B-9397-08002B2CF9AE}" pid="21" name="MSIP_Label_7cd3e8b9-ffed-43a8-b7f4-cc2fa0382d36_ActionId">
    <vt:lpwstr>a053e664-2bca-49f4-beab-3f8a0e027338</vt:lpwstr>
  </property>
  <property fmtid="{D5CDD505-2E9C-101B-9397-08002B2CF9AE}" pid="22" name="MSIP_Label_7cd3e8b9-ffed-43a8-b7f4-cc2fa0382d36_ContentBits">
    <vt:lpwstr>3</vt:lpwstr>
  </property>
  <property fmtid="{D5CDD505-2E9C-101B-9397-08002B2CF9AE}" pid="23" name="MSIP_Label_7cd3e8b9-ffed-43a8-b7f4-cc2fa0382d36_Tag">
    <vt:lpwstr>10, 0, 1, 1</vt:lpwstr>
  </property>
</Properties>
</file>