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4C7FC9FA" w:rsidR="009F4231" w:rsidRPr="007C6CC8" w:rsidRDefault="00083621" w:rsidP="009F4231">
      <w:pPr>
        <w:pStyle w:val="Subtitle"/>
      </w:pPr>
      <w:r w:rsidRPr="007C6CC8">
        <w:t xml:space="preserve">As </w:t>
      </w:r>
      <w:proofErr w:type="gramStart"/>
      <w:r w:rsidRPr="007C6CC8">
        <w:t>at</w:t>
      </w:r>
      <w:proofErr w:type="gramEnd"/>
      <w:r w:rsidRPr="007C6CC8">
        <w:t xml:space="preserve"> </w:t>
      </w:r>
      <w:r w:rsidR="00412391" w:rsidRPr="007C6CC8">
        <w:t xml:space="preserve">20 April </w:t>
      </w:r>
      <w:r w:rsidRPr="007C6CC8">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7A00C14A" w:rsidR="00CE4787" w:rsidRPr="007C6CC8" w:rsidRDefault="005B19F7" w:rsidP="00023F0B">
      <w:pPr>
        <w:pStyle w:val="Boxheading"/>
      </w:pPr>
      <w:r w:rsidRPr="007C6CC8">
        <w:lastRenderedPageBreak/>
        <w:t xml:space="preserve">Data extracted from NNDSS: </w:t>
      </w:r>
      <w:r w:rsidR="00E86507" w:rsidRPr="007C6CC8">
        <w:t>21</w:t>
      </w:r>
      <w:r w:rsidR="00A71E1E" w:rsidRPr="007C6CC8">
        <w:t xml:space="preserve"> April</w:t>
      </w:r>
      <w:r w:rsidR="00785F78" w:rsidRPr="007C6CC8">
        <w:t xml:space="preserve"> 2026</w:t>
      </w:r>
    </w:p>
    <w:p w14:paraId="19322A87" w14:textId="1D119F31" w:rsidR="00E71E8D" w:rsidRPr="007C6CC8" w:rsidRDefault="00FE78C7" w:rsidP="00023F0B">
      <w:pPr>
        <w:pStyle w:val="Boxheading"/>
      </w:pPr>
      <w:r w:rsidRPr="007C6CC8">
        <w:t xml:space="preserve">Latest diagnosis date: </w:t>
      </w:r>
      <w:r w:rsidR="00412391" w:rsidRPr="007C6CC8">
        <w:t>2</w:t>
      </w:r>
      <w:r w:rsidR="00E86507" w:rsidRPr="007C6CC8">
        <w:t>0</w:t>
      </w:r>
      <w:r w:rsidR="00412391" w:rsidRPr="007C6CC8">
        <w:t xml:space="preserve"> April </w:t>
      </w:r>
      <w:r w:rsidRPr="007C6CC8">
        <w:t>2026</w:t>
      </w:r>
    </w:p>
    <w:p w14:paraId="7BCD8054" w14:textId="5C27C79E" w:rsidR="00785F78" w:rsidRPr="007C6CC8" w:rsidRDefault="00785F78" w:rsidP="00023F0B">
      <w:pPr>
        <w:pStyle w:val="Boxtype"/>
      </w:pPr>
      <w:r w:rsidRPr="007C6CC8">
        <w:t xml:space="preserve">Due to the dynamic nature of the 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(https://www.cdc.gov.au/resources/collections/cdna-surveillance-case-definitions</w:t>
      </w:r>
      <w:r w:rsidRPr="007C6CC8">
        <w:t>).</w:t>
      </w:r>
    </w:p>
    <w:p w14:paraId="4B403D63" w14:textId="77777777" w:rsidR="00117563" w:rsidRPr="007C6CC8" w:rsidRDefault="00117563" w:rsidP="00117563">
      <w:pPr>
        <w:pStyle w:val="Heading1"/>
      </w:pPr>
      <w:r w:rsidRPr="007C6CC8">
        <w:t>Background</w:t>
      </w:r>
    </w:p>
    <w:p w14:paraId="7A7FCCE4" w14:textId="77777777" w:rsidR="00117563" w:rsidRPr="007C6CC8" w:rsidRDefault="00117563" w:rsidP="00117563">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Infection may lead to 2 major different clinical outcomes: respiratory disease or cutaneous (skin) disease.</w:t>
      </w:r>
    </w:p>
    <w:p w14:paraId="13E43414" w14:textId="77777777" w:rsidR="00117563" w:rsidRPr="007C6CC8" w:rsidRDefault="00117563" w:rsidP="00117563">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34AE9073" w14:textId="77777777" w:rsidR="00117563" w:rsidRPr="007C6CC8" w:rsidRDefault="00117563" w:rsidP="00117563">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27E8538F" w14:textId="77777777" w:rsidR="00117563" w:rsidRPr="007C6CC8" w:rsidRDefault="00117563" w:rsidP="00117563">
      <w:pPr>
        <w:pStyle w:val="ListParagraph"/>
        <w:numPr>
          <w:ilvl w:val="0"/>
          <w:numId w:val="30"/>
        </w:numPr>
        <w:ind w:left="993"/>
      </w:pPr>
      <w:r w:rsidRPr="007C6CC8">
        <w:t xml:space="preserve">Between 1999 and 2019, cutaneous and respiratory diphtheria occurred mostly among adults. </w:t>
      </w:r>
    </w:p>
    <w:p w14:paraId="16DA6F3E" w14:textId="77777777" w:rsidR="00117563" w:rsidRPr="007C6CC8" w:rsidRDefault="00117563" w:rsidP="00117563">
      <w:pPr>
        <w:pStyle w:val="ListParagraph"/>
        <w:numPr>
          <w:ilvl w:val="0"/>
          <w:numId w:val="30"/>
        </w:numPr>
        <w:ind w:left="993"/>
      </w:pPr>
      <w:r w:rsidRPr="007C6CC8">
        <w:t xml:space="preserve">During this period there were 2 deaths reported in unvaccinated adults who both acquired their infections in Australia. </w:t>
      </w:r>
    </w:p>
    <w:p w14:paraId="54EA4C47" w14:textId="77777777" w:rsidR="00117563" w:rsidRPr="007C6CC8" w:rsidRDefault="00117563" w:rsidP="00117563">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083543F8" w14:textId="0CAD0F12" w:rsidR="00117563" w:rsidRDefault="00117563" w:rsidP="00117563">
      <w:pPr>
        <w:pStyle w:val="ListParagraph"/>
        <w:numPr>
          <w:ilvl w:val="0"/>
          <w:numId w:val="28"/>
        </w:numPr>
        <w:ind w:left="426"/>
      </w:pPr>
      <w:r w:rsidRPr="007C6CC8">
        <w:t xml:space="preserve">The </w:t>
      </w:r>
      <w:hyperlink r:id="rId14"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7AD31D35" w14:textId="77777777" w:rsidR="00C23C55" w:rsidRPr="007C6CC8" w:rsidRDefault="00C23C55" w:rsidP="00C23C55">
      <w:pPr>
        <w:pStyle w:val="Heading1"/>
      </w:pPr>
      <w:r w:rsidRPr="007C6CC8">
        <w:t>Key summary points</w:t>
      </w:r>
    </w:p>
    <w:p w14:paraId="7E4899A0" w14:textId="77777777" w:rsidR="00C23C55" w:rsidRPr="009726B1" w:rsidRDefault="00C23C55" w:rsidP="00C23C55">
      <w:pPr>
        <w:pStyle w:val="ListParagraph"/>
        <w:numPr>
          <w:ilvl w:val="0"/>
          <w:numId w:val="28"/>
        </w:numPr>
        <w:ind w:left="426"/>
      </w:pPr>
      <w:r w:rsidRPr="009726B1">
        <w:t xml:space="preserve">Diphtheria notifications have been increasing since October 2025, with a marked increase since February 2026 and 20 cases of respiratory diphtheria diagnosed in the past month. </w:t>
      </w:r>
    </w:p>
    <w:p w14:paraId="423A83DD" w14:textId="77777777" w:rsidR="00C23C55" w:rsidRPr="009726B1" w:rsidRDefault="00C23C55" w:rsidP="00C23C55">
      <w:pPr>
        <w:pStyle w:val="ListParagraph"/>
        <w:numPr>
          <w:ilvl w:val="0"/>
          <w:numId w:val="28"/>
        </w:numPr>
        <w:ind w:left="426"/>
      </w:pPr>
      <w:r w:rsidRPr="009726B1">
        <w:t>A total of 92 confirmed cases of diphtheria</w:t>
      </w:r>
      <w:bookmarkStart w:id="0" w:name="_Ref225788766"/>
      <w:r w:rsidRPr="009726B1">
        <w:rPr>
          <w:rStyle w:val="FootnoteReference"/>
        </w:rPr>
        <w:footnoteReference w:id="2"/>
      </w:r>
      <w:bookmarkEnd w:id="0"/>
      <w:r w:rsidRPr="009726B1">
        <w:t xml:space="preserve"> have been notified in Australia in 2026.</w:t>
      </w:r>
    </w:p>
    <w:p w14:paraId="59E18F1F" w14:textId="77777777" w:rsidR="00C23C55" w:rsidRPr="009726B1" w:rsidRDefault="00C23C55" w:rsidP="00C23C55">
      <w:pPr>
        <w:pStyle w:val="ListParagraph"/>
        <w:numPr>
          <w:ilvl w:val="1"/>
          <w:numId w:val="27"/>
        </w:numPr>
        <w:ind w:left="851"/>
      </w:pPr>
      <w:r w:rsidRPr="009726B1">
        <w:t xml:space="preserve">Cases so far in 2026 have exceeded total notifications in any full calendar year since the National Notifiable Diseases Surveillance System (NNDSS) began in </w:t>
      </w:r>
      <w:r w:rsidRPr="009726B1">
        <w:lastRenderedPageBreak/>
        <w:t>1991. Changes in testing practices since the COVID-19 pandemic may have contributed to this increase.</w:t>
      </w:r>
    </w:p>
    <w:p w14:paraId="3D3C904C" w14:textId="77777777" w:rsidR="00C23C55" w:rsidRPr="009726B1" w:rsidRDefault="00C23C55" w:rsidP="00C23C55">
      <w:pPr>
        <w:pStyle w:val="ListParagraph"/>
        <w:numPr>
          <w:ilvl w:val="2"/>
          <w:numId w:val="27"/>
        </w:numPr>
        <w:ind w:left="1134" w:hanging="283"/>
      </w:pPr>
      <w:r w:rsidRPr="009726B1">
        <w:t>For the same periods in 2022 to 2025</w:t>
      </w:r>
      <w:r w:rsidRPr="009726B1">
        <w:rPr>
          <w:rStyle w:val="FootnoteReference"/>
        </w:rPr>
        <w:footnoteReference w:id="3"/>
      </w:r>
      <w:r w:rsidRPr="009726B1">
        <w:t>, an average of 5.8 cases were reported. </w:t>
      </w:r>
    </w:p>
    <w:p w14:paraId="57788CFF" w14:textId="77777777" w:rsidR="00C23C55" w:rsidRPr="009726B1" w:rsidRDefault="00C23C55" w:rsidP="00C23C55">
      <w:pPr>
        <w:pStyle w:val="ListParagraph"/>
        <w:numPr>
          <w:ilvl w:val="2"/>
          <w:numId w:val="27"/>
        </w:numPr>
        <w:ind w:left="1134" w:hanging="283"/>
      </w:pPr>
      <w:r w:rsidRPr="009726B1">
        <w:t>The last peak in annual notifications was in 2022, with 31 cases notified and associated with several clusters in northern Queensland (80.6%; 25/31). </w:t>
      </w:r>
    </w:p>
    <w:p w14:paraId="46C6073A" w14:textId="77777777" w:rsidR="00C23C55" w:rsidRPr="009726B1" w:rsidRDefault="00C23C55" w:rsidP="00C23C55">
      <w:pPr>
        <w:pStyle w:val="ListParagraph"/>
        <w:numPr>
          <w:ilvl w:val="1"/>
          <w:numId w:val="27"/>
        </w:numPr>
        <w:ind w:left="851"/>
      </w:pPr>
      <w:r w:rsidRPr="009726B1">
        <w:t>Most cases in 2026 have been reported in the Northern Territory (62.0%; n=57), followed by Western Australia (34.7%; n=32), with a few cases in Queensland (n=2) and South Australia (n=1).</w:t>
      </w:r>
    </w:p>
    <w:p w14:paraId="361007D3" w14:textId="77777777" w:rsidR="00C23C55" w:rsidRPr="009726B1" w:rsidRDefault="00C23C55" w:rsidP="00C23C55">
      <w:pPr>
        <w:pStyle w:val="ListParagraph"/>
        <w:numPr>
          <w:ilvl w:val="1"/>
          <w:numId w:val="27"/>
        </w:numPr>
        <w:ind w:left="851"/>
      </w:pPr>
      <w:proofErr w:type="gramStart"/>
      <w:r w:rsidRPr="009726B1">
        <w:t>The majority of</w:t>
      </w:r>
      <w:proofErr w:type="gramEnd"/>
      <w:r w:rsidRPr="009726B1">
        <w:t xml:space="preserve"> locally acquired cases are residents in areas classified as ‘outer regional’ or ‘remote and very remote’ (97.8%); with 2 cutaneous cases acquired overseas. </w:t>
      </w:r>
    </w:p>
    <w:p w14:paraId="2008F5A2" w14:textId="77777777" w:rsidR="00C23C55" w:rsidRPr="009726B1" w:rsidRDefault="00C23C55" w:rsidP="00C23C55">
      <w:pPr>
        <w:pStyle w:val="ListParagraph"/>
        <w:numPr>
          <w:ilvl w:val="2"/>
          <w:numId w:val="27"/>
        </w:numPr>
        <w:ind w:left="1134" w:hanging="283"/>
      </w:pPr>
      <w:r w:rsidRPr="009726B1">
        <w:t>Over the past fortnight, cases have been diagnosed in areas that have recently reported other diphtheria infections.</w:t>
      </w:r>
    </w:p>
    <w:p w14:paraId="12C40260" w14:textId="77777777" w:rsidR="00C23C55" w:rsidRPr="009726B1" w:rsidRDefault="00C23C55" w:rsidP="00C23C55">
      <w:pPr>
        <w:pStyle w:val="ListParagraph"/>
        <w:numPr>
          <w:ilvl w:val="1"/>
          <w:numId w:val="27"/>
        </w:numPr>
        <w:ind w:left="851"/>
      </w:pPr>
      <w:r w:rsidRPr="009726B1">
        <w:t xml:space="preserve">Most cases (91.3%) in 2026 have been among Aboriginal and/or Torres Strait Islander people. </w:t>
      </w:r>
    </w:p>
    <w:p w14:paraId="049BCB09" w14:textId="77777777" w:rsidR="00C23C55" w:rsidRPr="009726B1" w:rsidRDefault="00C23C55" w:rsidP="00C23C55">
      <w:pPr>
        <w:pStyle w:val="ListParagraph"/>
        <w:numPr>
          <w:ilvl w:val="0"/>
          <w:numId w:val="28"/>
        </w:numPr>
        <w:ind w:left="426"/>
      </w:pPr>
      <w:r w:rsidRPr="009726B1">
        <w:t>AusTrakka analyses indicate recent cases in Western Australia, the Northern Territory and Queensland are genomically linked. Additionally, a recent analysis suggests that the current cluster shares genomic characteristics of cases from a 2020 to 2023 cluster in Queensland, noting that the findings are not considered definitive epidemiological evidence.</w:t>
      </w:r>
    </w:p>
    <w:p w14:paraId="67C8C78C" w14:textId="77777777" w:rsidR="00C23C55" w:rsidRPr="009726B1" w:rsidRDefault="00C23C55" w:rsidP="00C23C55">
      <w:pPr>
        <w:pStyle w:val="ListParagraph"/>
        <w:numPr>
          <w:ilvl w:val="0"/>
          <w:numId w:val="28"/>
        </w:numPr>
        <w:ind w:left="426"/>
      </w:pPr>
      <w:r w:rsidRPr="009726B1">
        <w:t>Since December 2025, most cases have been cutaneous diphtheria (74.2%), with 25.7% respiratory diphtheria. </w:t>
      </w:r>
    </w:p>
    <w:p w14:paraId="1C9C374E" w14:textId="77777777" w:rsidR="00C23C55" w:rsidRPr="009726B1" w:rsidRDefault="00C23C55" w:rsidP="00C23C55">
      <w:pPr>
        <w:pStyle w:val="ListParagraph"/>
        <w:numPr>
          <w:ilvl w:val="1"/>
          <w:numId w:val="27"/>
        </w:numPr>
        <w:ind w:left="851"/>
      </w:pPr>
      <w:proofErr w:type="gramStart"/>
      <w:r w:rsidRPr="009726B1">
        <w:t>All of</w:t>
      </w:r>
      <w:proofErr w:type="gramEnd"/>
      <w:r w:rsidRPr="009726B1">
        <w:t xml:space="preserve"> the 25 respiratory diphtheria infections since December 2025 have been locally acquired. </w:t>
      </w:r>
    </w:p>
    <w:p w14:paraId="30025EF6" w14:textId="77777777" w:rsidR="00C23C55" w:rsidRPr="009726B1" w:rsidRDefault="00C23C55" w:rsidP="00C23C55">
      <w:pPr>
        <w:pStyle w:val="ListParagraph"/>
        <w:numPr>
          <w:ilvl w:val="0"/>
          <w:numId w:val="28"/>
        </w:numPr>
        <w:ind w:left="426"/>
      </w:pPr>
      <w:r w:rsidRPr="009726B1">
        <w:t>The median age of cases in 2026 is 29.5 years (IQR: 18.8-43.0), with the median age of cutaneous diphtheria cases being higher compared to respiratory diphtheria cases. </w:t>
      </w:r>
    </w:p>
    <w:p w14:paraId="6601E2F9" w14:textId="77777777" w:rsidR="00C23C55" w:rsidRPr="009726B1" w:rsidRDefault="00C23C55" w:rsidP="00C23C55">
      <w:pPr>
        <w:pStyle w:val="ListParagraph"/>
        <w:numPr>
          <w:ilvl w:val="1"/>
          <w:numId w:val="27"/>
        </w:numPr>
        <w:ind w:left="851"/>
      </w:pPr>
      <w:proofErr w:type="gramStart"/>
      <w:r w:rsidRPr="009726B1">
        <w:t>The majority of</w:t>
      </w:r>
      <w:proofErr w:type="gramEnd"/>
      <w:r w:rsidRPr="009726B1">
        <w:t xml:space="preserve"> respiratory diphtheria infections since December 2025 (23/25) have been among those aged less than 30 years. </w:t>
      </w:r>
    </w:p>
    <w:p w14:paraId="716D61F7" w14:textId="77777777" w:rsidR="00C23C55" w:rsidRPr="009726B1" w:rsidRDefault="00C23C55" w:rsidP="00C23C55">
      <w:pPr>
        <w:pStyle w:val="ListParagraph"/>
        <w:numPr>
          <w:ilvl w:val="0"/>
          <w:numId w:val="28"/>
        </w:numPr>
        <w:ind w:left="426"/>
      </w:pPr>
      <w:r w:rsidRPr="009726B1">
        <w:t xml:space="preserve">The vaccination status among diphtheria cases has varied by clinical presentation. Since 2022, a higher proportion of respiratory diphtheria cases (75.0%) had received at least three valid vaccine doses (primary course) compared with cutaneous diphtheria cases (55.1%). </w:t>
      </w:r>
    </w:p>
    <w:p w14:paraId="0C543612" w14:textId="77777777" w:rsidR="00C23C55" w:rsidRPr="009726B1" w:rsidRDefault="00C23C55" w:rsidP="00C23C55">
      <w:pPr>
        <w:pStyle w:val="ListParagraph"/>
        <w:numPr>
          <w:ilvl w:val="1"/>
          <w:numId w:val="27"/>
        </w:numPr>
        <w:ind w:left="851"/>
      </w:pPr>
      <w:r w:rsidRPr="009726B1">
        <w:t>Consistent with the National Immunisation Program and broader Australian Immunisation Handbook recommendations, the number of doses received tended to increase with increasing age. </w:t>
      </w:r>
    </w:p>
    <w:p w14:paraId="15AB1567" w14:textId="77777777" w:rsidR="00C23C55" w:rsidRPr="009726B1" w:rsidRDefault="00C23C55" w:rsidP="00C23C55">
      <w:pPr>
        <w:pStyle w:val="ListParagraph"/>
        <w:numPr>
          <w:ilvl w:val="1"/>
          <w:numId w:val="27"/>
        </w:numPr>
        <w:ind w:left="851"/>
      </w:pPr>
      <w:r w:rsidRPr="009726B1">
        <w:t>Since 2022, the median period (years) since last vaccine dose was lower among cutaneous diphtheria cases (4.4 years) than among respiratory diphtheria cases (8.7 years).</w:t>
      </w:r>
    </w:p>
    <w:p w14:paraId="2E7C694D" w14:textId="77477DCB" w:rsidR="00C23C55" w:rsidRPr="009726B1" w:rsidRDefault="00C23C55" w:rsidP="00C602A5">
      <w:pPr>
        <w:pStyle w:val="ListParagraph"/>
        <w:numPr>
          <w:ilvl w:val="1"/>
          <w:numId w:val="27"/>
        </w:numPr>
        <w:ind w:left="851"/>
      </w:pPr>
      <w:r w:rsidRPr="009726B1">
        <w:t>Vaccination provides strong protection against severe effects of diphtheria toxin, but it does not consistently prevent carriage or transmission.</w:t>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18484A37" w14:textId="058BC2B5" w:rsidR="002A1F3C" w:rsidRPr="009726B1" w:rsidRDefault="004836AC" w:rsidP="008E4538">
      <w:r w:rsidRPr="009726B1">
        <w:t xml:space="preserve">As of </w:t>
      </w:r>
      <w:r w:rsidR="00412391" w:rsidRPr="009726B1">
        <w:t xml:space="preserve">20 April </w:t>
      </w:r>
      <w:r w:rsidRPr="009726B1">
        <w:t xml:space="preserve">2026, a total of </w:t>
      </w:r>
      <w:r w:rsidR="007D64E1" w:rsidRPr="009726B1">
        <w:t xml:space="preserve">92 </w:t>
      </w:r>
      <w:r w:rsidR="00225BDE" w:rsidRPr="009726B1">
        <w:t xml:space="preserve">confirmed </w:t>
      </w:r>
      <w:r w:rsidRPr="009726B1">
        <w:t xml:space="preserve">diphtheria </w:t>
      </w:r>
      <w:r w:rsidR="00741A72" w:rsidRPr="009726B1">
        <w:t xml:space="preserve">infections </w:t>
      </w:r>
      <w:proofErr w:type="gramStart"/>
      <w:r w:rsidRPr="009726B1">
        <w:t>have</w:t>
      </w:r>
      <w:proofErr w:type="gramEnd"/>
      <w:r w:rsidRPr="009726B1">
        <w:t xml:space="preserve"> been notified in Australia in 2026</w:t>
      </w:r>
      <w:r w:rsidR="00225BDE" w:rsidRPr="009726B1">
        <w:t xml:space="preserve"> </w:t>
      </w:r>
      <w:r w:rsidR="00DD6E21" w:rsidRPr="009726B1">
        <w:t>(</w:t>
      </w:r>
      <w:r w:rsidR="00DD6E21" w:rsidRPr="009726B1">
        <w:fldChar w:fldCharType="begin"/>
      </w:r>
      <w:r w:rsidR="00DD6E21" w:rsidRPr="009726B1">
        <w:instrText xml:space="preserve"> REF _Ref226649826 \h </w:instrText>
      </w:r>
      <w:r w:rsidR="00246ED3" w:rsidRPr="009726B1">
        <w:instrText xml:space="preserve"> \* MERGEFORMAT </w:instrText>
      </w:r>
      <w:r w:rsidR="00DD6E21" w:rsidRPr="009726B1">
        <w:fldChar w:fldCharType="separate"/>
      </w:r>
      <w:r w:rsidR="002E1ED3" w:rsidRPr="009726B1">
        <w:t xml:space="preserve">Figure </w:t>
      </w:r>
      <w:r w:rsidR="002E1ED3" w:rsidRPr="009726B1">
        <w:rPr>
          <w:noProof/>
        </w:rPr>
        <w:t>1</w:t>
      </w:r>
      <w:r w:rsidR="00DD6E21" w:rsidRPr="009726B1">
        <w:fldChar w:fldCharType="end"/>
      </w:r>
      <w:r w:rsidR="00DD6E21" w:rsidRPr="009726B1">
        <w:t>)</w:t>
      </w:r>
      <w:r w:rsidR="00517C47" w:rsidRPr="009726B1">
        <w:t xml:space="preserve">. </w:t>
      </w:r>
      <w:r w:rsidR="00BB7E0D" w:rsidRPr="009726B1">
        <w:t>Current c</w:t>
      </w:r>
      <w:r w:rsidR="007303F7" w:rsidRPr="009726B1">
        <w:t>ase</w:t>
      </w:r>
      <w:r w:rsidR="00502694" w:rsidRPr="009726B1">
        <w:t xml:space="preserve"> numbers</w:t>
      </w:r>
      <w:r w:rsidR="007303F7" w:rsidRPr="009726B1">
        <w:t xml:space="preserve"> </w:t>
      </w:r>
      <w:r w:rsidR="00FD1B63" w:rsidRPr="009726B1">
        <w:t xml:space="preserve">are </w:t>
      </w:r>
      <w:r w:rsidR="00E45604" w:rsidRPr="009726B1">
        <w:t>well</w:t>
      </w:r>
      <w:r w:rsidR="007579F7" w:rsidRPr="009726B1">
        <w:t xml:space="preserve"> </w:t>
      </w:r>
      <w:r w:rsidR="00E45604" w:rsidRPr="009726B1">
        <w:t>above</w:t>
      </w:r>
      <w:r w:rsidR="00FD1B63" w:rsidRPr="009726B1">
        <w:t xml:space="preserve"> </w:t>
      </w:r>
      <w:r w:rsidR="009C043B" w:rsidRPr="009726B1">
        <w:t xml:space="preserve">the historical </w:t>
      </w:r>
      <w:r w:rsidR="00875E04" w:rsidRPr="009726B1">
        <w:t>pandemic</w:t>
      </w:r>
      <w:r w:rsidR="002E595D" w:rsidRPr="009726B1">
        <w:t>-</w:t>
      </w:r>
      <w:r w:rsidR="00875E04" w:rsidRPr="009726B1">
        <w:t xml:space="preserve">adjusted </w:t>
      </w:r>
      <w:r w:rsidR="009C043B" w:rsidRPr="009726B1">
        <w:t>5-year monthly mean</w:t>
      </w:r>
      <w:r w:rsidR="00627E8F" w:rsidRPr="009726B1">
        <w:t xml:space="preserve"> (</w:t>
      </w:r>
      <w:r w:rsidR="00627E8F" w:rsidRPr="009726B1">
        <w:fldChar w:fldCharType="begin"/>
      </w:r>
      <w:r w:rsidR="00627E8F" w:rsidRPr="009726B1">
        <w:instrText xml:space="preserve"> REF _Ref222929061 \h </w:instrText>
      </w:r>
      <w:r w:rsidR="008B0BE1" w:rsidRPr="009726B1">
        <w:instrText xml:space="preserve"> \* MERGEFORMAT </w:instrText>
      </w:r>
      <w:r w:rsidR="00627E8F" w:rsidRPr="009726B1">
        <w:fldChar w:fldCharType="separate"/>
      </w:r>
      <w:r w:rsidR="002E1ED3" w:rsidRPr="009726B1">
        <w:t xml:space="preserve">Figure </w:t>
      </w:r>
      <w:r w:rsidR="002E1ED3" w:rsidRPr="009726B1">
        <w:rPr>
          <w:noProof/>
        </w:rPr>
        <w:t>2</w:t>
      </w:r>
      <w:r w:rsidR="00627E8F" w:rsidRPr="009726B1">
        <w:fldChar w:fldCharType="end"/>
      </w:r>
      <w:r w:rsidR="00627E8F" w:rsidRPr="009726B1">
        <w:t>)</w:t>
      </w:r>
      <w:r w:rsidR="004037B1" w:rsidRPr="009726B1">
        <w:t xml:space="preserve"> and</w:t>
      </w:r>
      <w:r w:rsidR="00502694" w:rsidRPr="009726B1">
        <w:t xml:space="preserve"> </w:t>
      </w:r>
      <w:r w:rsidR="004037B1" w:rsidRPr="009726B1">
        <w:t>pre</w:t>
      </w:r>
      <w:r w:rsidR="0050137F" w:rsidRPr="009726B1">
        <w:t>-pandemic levels (</w:t>
      </w:r>
      <w:r w:rsidR="00C663F3" w:rsidRPr="009726B1">
        <w:fldChar w:fldCharType="begin"/>
      </w:r>
      <w:r w:rsidR="00C663F3" w:rsidRPr="009726B1">
        <w:instrText xml:space="preserve"> REF _Ref226649826 \h </w:instrText>
      </w:r>
      <w:r w:rsidR="00246ED3" w:rsidRPr="009726B1">
        <w:instrText xml:space="preserve"> \* MERGEFORMAT </w:instrText>
      </w:r>
      <w:r w:rsidR="00C663F3" w:rsidRPr="009726B1">
        <w:fldChar w:fldCharType="separate"/>
      </w:r>
      <w:r w:rsidR="002E1ED3" w:rsidRPr="009726B1">
        <w:t xml:space="preserve">Figure </w:t>
      </w:r>
      <w:r w:rsidR="002E1ED3" w:rsidRPr="009726B1">
        <w:rPr>
          <w:noProof/>
        </w:rPr>
        <w:t>1</w:t>
      </w:r>
      <w:r w:rsidR="00C663F3" w:rsidRPr="009726B1">
        <w:fldChar w:fldCharType="end"/>
      </w:r>
      <w:r w:rsidR="00C663F3" w:rsidRPr="009726B1">
        <w:t xml:space="preserve"> and </w:t>
      </w:r>
      <w:r w:rsidR="0050137F" w:rsidRPr="009726B1">
        <w:fldChar w:fldCharType="begin"/>
      </w:r>
      <w:r w:rsidR="0050137F" w:rsidRPr="009726B1">
        <w:instrText xml:space="preserve"> REF _Ref222929381 \h </w:instrText>
      </w:r>
      <w:r w:rsidR="008B0BE1" w:rsidRPr="009726B1">
        <w:instrText xml:space="preserve"> \* MERGEFORMAT </w:instrText>
      </w:r>
      <w:r w:rsidR="0050137F" w:rsidRPr="009726B1">
        <w:fldChar w:fldCharType="separate"/>
      </w:r>
      <w:r w:rsidR="002E1ED3" w:rsidRPr="009726B1">
        <w:t xml:space="preserve">Figure </w:t>
      </w:r>
      <w:r w:rsidR="002E1ED3" w:rsidRPr="009726B1">
        <w:rPr>
          <w:noProof/>
        </w:rPr>
        <w:t>3</w:t>
      </w:r>
      <w:r w:rsidR="0050137F" w:rsidRPr="009726B1">
        <w:fldChar w:fldCharType="end"/>
      </w:r>
      <w:r w:rsidR="0050137F" w:rsidRPr="009726B1">
        <w:t>)</w:t>
      </w:r>
      <w:r w:rsidR="008C6DBD" w:rsidRPr="009726B1">
        <w:t xml:space="preserve">. </w:t>
      </w:r>
      <w:r w:rsidR="006F19C1" w:rsidRPr="009726B1">
        <w:t xml:space="preserve">Notifications of diphtheria have been increasing since October 2025, with a marked increase since February 2026. </w:t>
      </w:r>
      <w:r w:rsidR="008C6DBD" w:rsidRPr="009726B1">
        <w:t>T</w:t>
      </w:r>
      <w:r w:rsidR="009C043B" w:rsidRPr="009726B1">
        <w:t xml:space="preserve">he number of cases notified so far in 2026 </w:t>
      </w:r>
      <w:r w:rsidR="000B6537" w:rsidRPr="009726B1">
        <w:t>is</w:t>
      </w:r>
      <w:r w:rsidR="009C043B" w:rsidRPr="009726B1">
        <w:t xml:space="preserve"> </w:t>
      </w:r>
      <w:r w:rsidR="00DB2C4D" w:rsidRPr="009726B1">
        <w:t>18.4</w:t>
      </w:r>
      <w:r w:rsidR="005E3F23" w:rsidRPr="009726B1">
        <w:t xml:space="preserve"> times </w:t>
      </w:r>
      <w:r w:rsidR="00627E8F" w:rsidRPr="009726B1">
        <w:t>the number of cases for the equivalent period</w:t>
      </w:r>
      <w:r w:rsidR="005566B0" w:rsidRPr="009726B1">
        <w:t xml:space="preserve"> in</w:t>
      </w:r>
      <w:r w:rsidR="00627E8F" w:rsidRPr="009726B1">
        <w:t xml:space="preserve"> 2025.</w:t>
      </w:r>
    </w:p>
    <w:p w14:paraId="629F8B54" w14:textId="689BA7EF" w:rsidR="00CD0B92" w:rsidRPr="007C6CC8" w:rsidRDefault="00CD0B92" w:rsidP="00DD6E21">
      <w:pPr>
        <w:pStyle w:val="FigureTitle"/>
      </w:pPr>
      <w:bookmarkStart w:id="1" w:name="_Ref226649826"/>
      <w:r w:rsidRPr="007C6CC8">
        <w:t xml:space="preserve">Figure </w:t>
      </w:r>
      <w:r w:rsidRPr="007C6CC8">
        <w:fldChar w:fldCharType="begin"/>
      </w:r>
      <w:r w:rsidRPr="007C6CC8">
        <w:instrText xml:space="preserve"> SEQ Figure \* ARABIC </w:instrText>
      </w:r>
      <w:r w:rsidRPr="007C6CC8">
        <w:fldChar w:fldCharType="separate"/>
      </w:r>
      <w:r w:rsidR="002E1ED3">
        <w:rPr>
          <w:noProof/>
        </w:rPr>
        <w:t>1</w:t>
      </w:r>
      <w:r w:rsidRPr="007C6CC8">
        <w:fldChar w:fldCharType="end"/>
      </w:r>
      <w:bookmarkEnd w:id="1"/>
      <w:r w:rsidRPr="007C6CC8">
        <w:t xml:space="preserve">: Notifications of diphtheria by confirmation status and year, Australia, </w:t>
      </w:r>
      <w:r w:rsidR="00DD6E21" w:rsidRPr="007C6CC8">
        <w:t>1 January </w:t>
      </w:r>
      <w:r w:rsidR="00DD6E21" w:rsidRPr="00C30FCB">
        <w:t xml:space="preserve">2014 to </w:t>
      </w:r>
      <w:r w:rsidR="00412391" w:rsidRPr="00C30FCB">
        <w:t>20 April</w:t>
      </w:r>
      <w:r w:rsidR="00412391" w:rsidRPr="007C6CC8">
        <w:t xml:space="preserve"> </w:t>
      </w:r>
      <w:r w:rsidR="00DD6E21" w:rsidRPr="007C6CC8">
        <w:t>2026</w:t>
      </w:r>
    </w:p>
    <w:p w14:paraId="21A90749" w14:textId="3F417080" w:rsidR="00DD6E21" w:rsidRPr="007C6CC8" w:rsidRDefault="007D64E1" w:rsidP="00DD6E21">
      <w:pPr>
        <w:jc w:val="center"/>
      </w:pPr>
      <w:r w:rsidRPr="007C6CC8">
        <w:rPr>
          <w:noProof/>
        </w:rPr>
        <w:drawing>
          <wp:inline distT="0" distB="0" distL="0" distR="0" wp14:anchorId="7A91F35D" wp14:editId="01A9D949">
            <wp:extent cx="3276600" cy="1965687"/>
            <wp:effectExtent l="0" t="0" r="0" b="0"/>
            <wp:docPr id="1494708406" name="Picture 1" descr="Bar chart showing count of confirmed and probable notifications by year of diagnosis from 2014 to 2026. Confirmed cases, represented in blue, show a sharp increase from 2022 onwards, peaking at over 90 in 2026, while probable cases, in orange, appear only in 2016 with a small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08406" name="Picture 1" descr="Bar chart showing count of confirmed and probable notifications by year of diagnosis from 2014 to 2026. Confirmed cases, represented in blue, show a sharp increase from 2022 onwards, peaking at over 90 in 2026, while probable cases, in orange, appear only in 2016 with a small cou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0028" cy="1979742"/>
                    </a:xfrm>
                    <a:prstGeom prst="rect">
                      <a:avLst/>
                    </a:prstGeom>
                    <a:noFill/>
                  </pic:spPr>
                </pic:pic>
              </a:graphicData>
            </a:graphic>
          </wp:inline>
        </w:drawing>
      </w:r>
    </w:p>
    <w:p w14:paraId="5B73C7FE" w14:textId="0E30F755" w:rsidR="00CA7983" w:rsidRPr="00C30FCB" w:rsidRDefault="00CA7983" w:rsidP="008E2905">
      <w:pPr>
        <w:pStyle w:val="FigureTitle"/>
      </w:pPr>
      <w:bookmarkStart w:id="2" w:name="_Ref222929061"/>
      <w:r w:rsidRPr="007C6CC8">
        <w:t xml:space="preserve">Figure </w:t>
      </w:r>
      <w:r w:rsidRPr="007C6CC8">
        <w:fldChar w:fldCharType="begin"/>
      </w:r>
      <w:r w:rsidRPr="007C6CC8">
        <w:instrText xml:space="preserve"> SEQ Figure \* ARABIC </w:instrText>
      </w:r>
      <w:r w:rsidRPr="007C6CC8">
        <w:fldChar w:fldCharType="separate"/>
      </w:r>
      <w:r w:rsidR="002E1ED3">
        <w:rPr>
          <w:noProof/>
        </w:rPr>
        <w:t>2</w:t>
      </w:r>
      <w:r w:rsidRPr="007C6CC8">
        <w:fldChar w:fldCharType="end"/>
      </w:r>
      <w:bookmarkEnd w:id="2"/>
      <w:r w:rsidRPr="007C6CC8">
        <w:t xml:space="preserve">: </w:t>
      </w:r>
      <w:r w:rsidR="00171505" w:rsidRPr="007C6CC8">
        <w:t xml:space="preserve">Notifications of </w:t>
      </w:r>
      <w:r w:rsidR="00734484" w:rsidRPr="007C6CC8">
        <w:t>diphtheria</w:t>
      </w:r>
      <w:r w:rsidR="00171505" w:rsidRPr="007C6CC8">
        <w:t xml:space="preserve"> by month</w:t>
      </w:r>
      <w:r w:rsidR="008D5F8B" w:rsidRPr="007C6CC8">
        <w:t xml:space="preserve"> </w:t>
      </w:r>
      <w:r w:rsidR="00171505" w:rsidRPr="007C6CC8">
        <w:t>with 5-year</w:t>
      </w:r>
      <w:r w:rsidR="004243A2" w:rsidRPr="007C6CC8">
        <w:rPr>
          <w:vertAlign w:val="superscript"/>
        </w:rPr>
        <w:t>*</w:t>
      </w:r>
      <w:r w:rsidR="004243A2" w:rsidRPr="007C6CC8">
        <w:t xml:space="preserve"> </w:t>
      </w:r>
      <w:r w:rsidR="00F13D06" w:rsidRPr="007C6CC8">
        <w:t xml:space="preserve">monthly rolling mean, Australia, </w:t>
      </w:r>
      <w:r w:rsidR="006C7071" w:rsidRPr="00C30FCB">
        <w:t>1</w:t>
      </w:r>
      <w:r w:rsidR="0052541E" w:rsidRPr="00C30FCB">
        <w:t> </w:t>
      </w:r>
      <w:r w:rsidR="006C7071" w:rsidRPr="00C30FCB">
        <w:t xml:space="preserve">January 2025 to </w:t>
      </w:r>
      <w:r w:rsidR="00412391" w:rsidRPr="00C30FCB">
        <w:t xml:space="preserve">20 April </w:t>
      </w:r>
      <w:r w:rsidR="006C7071" w:rsidRPr="00C30FCB">
        <w:t>2026</w:t>
      </w:r>
    </w:p>
    <w:p w14:paraId="3D6F3088" w14:textId="047F1977" w:rsidR="00CA7983" w:rsidRPr="007C6CC8" w:rsidRDefault="00A342F9" w:rsidP="00BE3D66">
      <w:pPr>
        <w:spacing w:before="0" w:after="0" w:line="240" w:lineRule="auto"/>
        <w:jc w:val="center"/>
        <w:rPr>
          <w:noProof/>
        </w:rPr>
      </w:pPr>
      <w:r w:rsidRPr="007C6CC8">
        <w:rPr>
          <w:noProof/>
        </w:rPr>
        <w:drawing>
          <wp:inline distT="0" distB="0" distL="0" distR="0" wp14:anchorId="075A4EF9" wp14:editId="2CE781C9">
            <wp:extent cx="3362325" cy="1893223"/>
            <wp:effectExtent l="0" t="0" r="0" b="0"/>
            <wp:docPr id="1916714045" name="Picture 2" descr="Bar chart showing count of notifications by year and month of diagnosis for 2025 and early 2026, with blue bars representing total notifications and a red line indicating 5-year mean. Notable increase in notifications occurs from October 2025, peaking in March 2025 with over 50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14045" name="Picture 2" descr="Bar chart showing count of notifications by year and month of diagnosis for 2025 and early 2026, with blue bars representing total notifications and a red line indicating 5-year mean. Notable increase in notifications occurs from October 2025, peaking in March 2025 with over 50 cas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7986" cy="1907672"/>
                    </a:xfrm>
                    <a:prstGeom prst="rect">
                      <a:avLst/>
                    </a:prstGeom>
                    <a:noFill/>
                  </pic:spPr>
                </pic:pic>
              </a:graphicData>
            </a:graphic>
          </wp:inline>
        </w:drawing>
      </w:r>
    </w:p>
    <w:p w14:paraId="6B283283" w14:textId="298BA2A4" w:rsidR="002F6E76" w:rsidRPr="007C6CC8" w:rsidRDefault="004243A2" w:rsidP="004243A2">
      <w:pPr>
        <w:pStyle w:val="FootnoteText"/>
        <w:rPr>
          <w:i/>
          <w:iCs/>
        </w:rPr>
      </w:pPr>
      <w:r w:rsidRPr="007C6CC8">
        <w:rPr>
          <w:i/>
          <w:iCs/>
        </w:rPr>
        <w:t>*</w:t>
      </w:r>
      <w:r w:rsidR="0063534B" w:rsidRPr="007C6CC8">
        <w:rPr>
          <w:i/>
          <w:iCs/>
        </w:rPr>
        <w:t xml:space="preserve"> </w:t>
      </w:r>
      <w:r w:rsidR="00820662" w:rsidRPr="007C6CC8">
        <w:rPr>
          <w:i/>
          <w:iCs/>
        </w:rPr>
        <w:t xml:space="preserve">2025 rolling monthly mean based on </w:t>
      </w:r>
      <w:r w:rsidR="00720309" w:rsidRPr="007C6CC8">
        <w:rPr>
          <w:i/>
          <w:iCs/>
        </w:rPr>
        <w:t>the mean number of cases in the equivalent months during 2018,</w:t>
      </w:r>
      <w:r w:rsidR="0063534B" w:rsidRPr="007C6CC8">
        <w:rPr>
          <w:i/>
          <w:iCs/>
        </w:rPr>
        <w:t xml:space="preserve"> </w:t>
      </w:r>
      <w:r w:rsidR="00720309" w:rsidRPr="007C6CC8">
        <w:rPr>
          <w:i/>
          <w:iCs/>
        </w:rPr>
        <w:t>2019</w:t>
      </w:r>
      <w:r w:rsidR="00D434D3" w:rsidRPr="007C6CC8">
        <w:rPr>
          <w:i/>
          <w:iCs/>
        </w:rPr>
        <w:t xml:space="preserve"> and</w:t>
      </w:r>
      <w:r w:rsidR="00CB1F66" w:rsidRPr="007C6CC8">
        <w:rPr>
          <w:i/>
          <w:iCs/>
        </w:rPr>
        <w:t xml:space="preserve"> 2022</w:t>
      </w:r>
      <w:r w:rsidR="0063534B" w:rsidRPr="007C6CC8">
        <w:rPr>
          <w:i/>
          <w:iCs/>
        </w:rPr>
        <w:t> to </w:t>
      </w:r>
      <w:r w:rsidR="00CB1F66" w:rsidRPr="007C6CC8">
        <w:rPr>
          <w:i/>
          <w:iCs/>
        </w:rPr>
        <w:t xml:space="preserve">2024. 2026 rolling monthly means are based on the mean number of cases in the equivalent months during </w:t>
      </w:r>
      <w:r w:rsidR="00D434D3" w:rsidRPr="007C6CC8">
        <w:rPr>
          <w:i/>
          <w:iCs/>
        </w:rPr>
        <w:t>2019 and 2022</w:t>
      </w:r>
      <w:r w:rsidR="0063534B" w:rsidRPr="007C6CC8">
        <w:rPr>
          <w:i/>
          <w:iCs/>
        </w:rPr>
        <w:t xml:space="preserve"> to </w:t>
      </w:r>
      <w:r w:rsidR="00D434D3" w:rsidRPr="007C6CC8">
        <w:rPr>
          <w:i/>
          <w:iCs/>
        </w:rPr>
        <w:t>2025.</w:t>
      </w:r>
    </w:p>
    <w:p w14:paraId="7079E206" w14:textId="35E4D5A1" w:rsidR="00CA7983" w:rsidRPr="00C30FCB" w:rsidRDefault="0039376F" w:rsidP="00C30FCB">
      <w:pPr>
        <w:pStyle w:val="FigureTitle"/>
      </w:pPr>
      <w:bookmarkStart w:id="3" w:name="_Ref222929381"/>
      <w:r w:rsidRPr="00C30FCB">
        <w:t xml:space="preserve">Figure </w:t>
      </w:r>
      <w:r w:rsidRPr="00C30FCB">
        <w:fldChar w:fldCharType="begin"/>
      </w:r>
      <w:r w:rsidRPr="00C30FCB">
        <w:instrText xml:space="preserve"> SEQ Figure \* ARABIC </w:instrText>
      </w:r>
      <w:r w:rsidRPr="00C30FCB">
        <w:fldChar w:fldCharType="separate"/>
      </w:r>
      <w:r w:rsidR="002E1ED3" w:rsidRPr="00C30FCB">
        <w:t>3</w:t>
      </w:r>
      <w:r w:rsidRPr="00C30FCB">
        <w:fldChar w:fldCharType="end"/>
      </w:r>
      <w:bookmarkEnd w:id="3"/>
      <w:r w:rsidRPr="00C30FCB">
        <w:t xml:space="preserve">: Notifications </w:t>
      </w:r>
      <w:r w:rsidR="00017CBA" w:rsidRPr="00C30FCB">
        <w:t xml:space="preserve">of </w:t>
      </w:r>
      <w:r w:rsidR="00922A8A" w:rsidRPr="00C30FCB">
        <w:t>diphtheria</w:t>
      </w:r>
      <w:r w:rsidRPr="00C30FCB">
        <w:t xml:space="preserve"> by month, Australia, 1 January 2014 to </w:t>
      </w:r>
      <w:r w:rsidR="00412391" w:rsidRPr="00C30FCB">
        <w:t xml:space="preserve">20 April </w:t>
      </w:r>
      <w:r w:rsidRPr="00C30FCB">
        <w:t>2026</w:t>
      </w:r>
    </w:p>
    <w:p w14:paraId="25051F9C" w14:textId="12B62B09" w:rsidR="0039376F" w:rsidRPr="007C6CC8" w:rsidRDefault="0076554E" w:rsidP="00BE3D66">
      <w:pPr>
        <w:spacing w:before="0" w:after="0" w:line="240" w:lineRule="auto"/>
        <w:jc w:val="center"/>
      </w:pPr>
      <w:r w:rsidRPr="007C6CC8">
        <w:rPr>
          <w:noProof/>
        </w:rPr>
        <w:drawing>
          <wp:inline distT="0" distB="0" distL="0" distR="0" wp14:anchorId="73C9D828" wp14:editId="5CE0BA04">
            <wp:extent cx="3522593" cy="1981200"/>
            <wp:effectExtent l="0" t="0" r="1905" b="0"/>
            <wp:docPr id="1386787891" name="Picture 3" descr="Bar chart showing count of notifications from January 2014 to July 2026, with a generally low and stable trend until a sharp increase starting from mid-2025, peaking above 50 notifications by mid-2026. X-axis represents years and months, Y-axis represents notification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87891" name="Picture 3" descr="Bar chart showing count of notifications from January 2014 to July 2026, with a generally low and stable trend until a sharp increase starting from mid-2025, peaking above 50 notifications by mid-2026. X-axis represents years and months, Y-axis represents notification coun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0809" cy="1991445"/>
                    </a:xfrm>
                    <a:prstGeom prst="rect">
                      <a:avLst/>
                    </a:prstGeom>
                    <a:noFill/>
                  </pic:spPr>
                </pic:pic>
              </a:graphicData>
            </a:graphic>
          </wp:inline>
        </w:drawing>
      </w:r>
    </w:p>
    <w:p w14:paraId="2FAFFC27" w14:textId="77777777" w:rsidR="00E91E03" w:rsidRPr="007C6CC8" w:rsidRDefault="00E91E03" w:rsidP="00E91E03">
      <w:pPr>
        <w:pStyle w:val="Heading2"/>
      </w:pPr>
      <w:r w:rsidRPr="007C6CC8">
        <w:lastRenderedPageBreak/>
        <w:t>Species</w:t>
      </w:r>
    </w:p>
    <w:p w14:paraId="0D692968" w14:textId="31D01B55" w:rsidR="00E91E03" w:rsidRPr="009726B1" w:rsidRDefault="00E91E03" w:rsidP="00E91E03">
      <w:pPr>
        <w:keepLines/>
      </w:pPr>
      <w:r w:rsidRPr="009726B1">
        <w:t xml:space="preserve">Under the national case definition for diphtheria, a confirmed case requires isolation of toxigenic </w:t>
      </w:r>
      <w:r w:rsidRPr="009726B1">
        <w:rPr>
          <w:i/>
          <w:iCs/>
        </w:rPr>
        <w:t>Corynebacterium diphtheriae</w:t>
      </w:r>
      <w:r w:rsidRPr="009726B1">
        <w:t xml:space="preserve"> or toxigenic </w:t>
      </w:r>
      <w:r w:rsidRPr="009726B1">
        <w:rPr>
          <w:i/>
          <w:iCs/>
        </w:rPr>
        <w:t xml:space="preserve">C. </w:t>
      </w:r>
      <w:proofErr w:type="spellStart"/>
      <w:r w:rsidRPr="009726B1">
        <w:rPr>
          <w:i/>
          <w:iCs/>
        </w:rPr>
        <w:t>ulcerans</w:t>
      </w:r>
      <w:proofErr w:type="spellEnd"/>
      <w:r w:rsidRPr="009726B1">
        <w:t xml:space="preserve"> from the upper respiratory tract or skin </w:t>
      </w:r>
      <w:proofErr w:type="spellStart"/>
      <w:r w:rsidRPr="009726B1">
        <w:t>lesion</w:t>
      </w:r>
      <w:r w:rsidRPr="009726B1">
        <w:rPr>
          <w:vertAlign w:val="superscript"/>
        </w:rPr>
        <w:fldChar w:fldCharType="begin"/>
      </w:r>
      <w:r w:rsidRPr="009726B1">
        <w:rPr>
          <w:vertAlign w:val="superscript"/>
        </w:rPr>
        <w:instrText xml:space="preserve"> NOTEREF _Ref225788766 \h  \* MERGEFORMAT </w:instrText>
      </w:r>
      <w:r w:rsidRPr="009726B1">
        <w:rPr>
          <w:vertAlign w:val="superscript"/>
        </w:rPr>
      </w:r>
      <w:r w:rsidRPr="009726B1">
        <w:rPr>
          <w:vertAlign w:val="superscript"/>
        </w:rPr>
        <w:fldChar w:fldCharType="separate"/>
      </w:r>
      <w:r w:rsidR="002E1ED3" w:rsidRPr="009726B1">
        <w:rPr>
          <w:vertAlign w:val="superscript"/>
        </w:rPr>
        <w:t>i</w:t>
      </w:r>
      <w:proofErr w:type="spellEnd"/>
      <w:r w:rsidRPr="009726B1">
        <w:rPr>
          <w:vertAlign w:val="superscript"/>
        </w:rPr>
        <w:fldChar w:fldCharType="end"/>
      </w:r>
      <w:r w:rsidRPr="009726B1">
        <w:t xml:space="preserve">. In 2026, </w:t>
      </w:r>
      <w:r w:rsidR="001C4A16" w:rsidRPr="009726B1">
        <w:t>almost all</w:t>
      </w:r>
      <w:r w:rsidRPr="009726B1">
        <w:t xml:space="preserve"> cases were reported as </w:t>
      </w:r>
      <w:r w:rsidRPr="009726B1">
        <w:rPr>
          <w:i/>
          <w:iCs/>
        </w:rPr>
        <w:t>C.</w:t>
      </w:r>
      <w:r w:rsidRPr="009726B1">
        <w:t> </w:t>
      </w:r>
      <w:r w:rsidRPr="009726B1">
        <w:rPr>
          <w:i/>
          <w:iCs/>
        </w:rPr>
        <w:t>diphtheriae</w:t>
      </w:r>
      <w:r w:rsidR="006513B7" w:rsidRPr="009726B1">
        <w:t xml:space="preserve"> (91/92)</w:t>
      </w:r>
      <w:r w:rsidR="009B5E6F" w:rsidRPr="009726B1">
        <w:t xml:space="preserve">, with one case of </w:t>
      </w:r>
      <w:r w:rsidR="009B5E6F" w:rsidRPr="009726B1">
        <w:rPr>
          <w:i/>
          <w:iCs/>
        </w:rPr>
        <w:t xml:space="preserve">C. </w:t>
      </w:r>
      <w:proofErr w:type="spellStart"/>
      <w:r w:rsidR="009B5E6F" w:rsidRPr="009726B1">
        <w:rPr>
          <w:i/>
          <w:iCs/>
        </w:rPr>
        <w:t>ulcerans</w:t>
      </w:r>
      <w:proofErr w:type="spellEnd"/>
      <w:r w:rsidR="009B5E6F" w:rsidRPr="009726B1">
        <w:rPr>
          <w:i/>
          <w:iCs/>
        </w:rPr>
        <w:t xml:space="preserve"> </w:t>
      </w:r>
      <w:r w:rsidR="00372490" w:rsidRPr="009726B1">
        <w:t>diagnosed</w:t>
      </w:r>
      <w:r w:rsidR="009B5E6F" w:rsidRPr="009726B1">
        <w:t xml:space="preserve"> </w:t>
      </w:r>
      <w:r w:rsidR="00372490" w:rsidRPr="009726B1">
        <w:t>in late March</w:t>
      </w:r>
      <w:r w:rsidR="009B5E6F" w:rsidRPr="009726B1">
        <w:t xml:space="preserve"> this year </w:t>
      </w:r>
      <w:r w:rsidR="00707173" w:rsidRPr="009726B1">
        <w:t xml:space="preserve">and no </w:t>
      </w:r>
      <w:r w:rsidR="009D7575" w:rsidRPr="009726B1">
        <w:t xml:space="preserve">cases of </w:t>
      </w:r>
      <w:r w:rsidR="00707173" w:rsidRPr="009726B1">
        <w:t>unknown species</w:t>
      </w:r>
      <w:r w:rsidR="003D6EBC" w:rsidRPr="009726B1">
        <w:t xml:space="preserve"> reported</w:t>
      </w:r>
      <w:r w:rsidR="00707173" w:rsidRPr="009726B1">
        <w:t xml:space="preserve"> </w:t>
      </w:r>
      <w:r w:rsidRPr="009726B1">
        <w:t>(</w:t>
      </w:r>
      <w:r w:rsidRPr="009726B1">
        <w:fldChar w:fldCharType="begin"/>
      </w:r>
      <w:r w:rsidRPr="009726B1">
        <w:instrText xml:space="preserve"> REF _Ref225790257 \h </w:instrText>
      </w:r>
      <w:r w:rsidR="00246ED3" w:rsidRPr="009726B1">
        <w:instrText xml:space="preserve"> \* MERGEFORMAT </w:instrText>
      </w:r>
      <w:r w:rsidRPr="009726B1">
        <w:fldChar w:fldCharType="separate"/>
      </w:r>
      <w:r w:rsidR="002E1ED3" w:rsidRPr="009726B1">
        <w:t xml:space="preserve">Figure </w:t>
      </w:r>
      <w:r w:rsidR="002E1ED3" w:rsidRPr="009726B1">
        <w:rPr>
          <w:noProof/>
        </w:rPr>
        <w:t>4</w:t>
      </w:r>
      <w:r w:rsidRPr="009726B1">
        <w:fldChar w:fldCharType="end"/>
      </w:r>
      <w:r w:rsidRPr="009726B1">
        <w:t>)</w:t>
      </w:r>
      <w:r w:rsidRPr="009726B1">
        <w:rPr>
          <w:i/>
          <w:iCs/>
        </w:rPr>
        <w:t>.</w:t>
      </w:r>
      <w:r w:rsidRPr="009726B1">
        <w:t xml:space="preserve"> </w:t>
      </w:r>
    </w:p>
    <w:p w14:paraId="6817F682" w14:textId="08AC4244" w:rsidR="00E91E03" w:rsidRPr="00C30FCB" w:rsidRDefault="00E91E03" w:rsidP="00C30FCB">
      <w:pPr>
        <w:pStyle w:val="FigureTitle"/>
      </w:pPr>
      <w:bookmarkStart w:id="4" w:name="_Ref225790257"/>
      <w:r w:rsidRPr="00C30FCB">
        <w:t xml:space="preserve">Figure </w:t>
      </w:r>
      <w:r w:rsidRPr="00C30FCB">
        <w:fldChar w:fldCharType="begin"/>
      </w:r>
      <w:r w:rsidRPr="00C30FCB">
        <w:instrText xml:space="preserve"> SEQ Figure \* ARABIC </w:instrText>
      </w:r>
      <w:r w:rsidRPr="00C30FCB">
        <w:fldChar w:fldCharType="separate"/>
      </w:r>
      <w:r w:rsidR="002E1ED3" w:rsidRPr="00C30FCB">
        <w:t>4</w:t>
      </w:r>
      <w:r w:rsidRPr="00C30FCB">
        <w:fldChar w:fldCharType="end"/>
      </w:r>
      <w:bookmarkEnd w:id="4"/>
      <w:r w:rsidRPr="00C30FCB">
        <w:t xml:space="preserve">: Notifications of confirmed diphtheria by species, Australia, 1 January 2014 to </w:t>
      </w:r>
      <w:r w:rsidR="00412391" w:rsidRPr="00C30FCB">
        <w:t xml:space="preserve">20 April </w:t>
      </w:r>
      <w:r w:rsidRPr="00C30FCB">
        <w:t xml:space="preserve">2026 </w:t>
      </w:r>
    </w:p>
    <w:p w14:paraId="7A58D9E0" w14:textId="58D49579" w:rsidR="00E91E03" w:rsidRPr="007C6CC8" w:rsidRDefault="0089134D" w:rsidP="009B080B">
      <w:pPr>
        <w:spacing w:before="0" w:after="0" w:line="240" w:lineRule="auto"/>
        <w:jc w:val="center"/>
        <w:rPr>
          <w:noProof/>
        </w:rPr>
      </w:pPr>
      <w:r w:rsidRPr="007C6CC8">
        <w:rPr>
          <w:noProof/>
        </w:rPr>
        <w:drawing>
          <wp:inline distT="0" distB="0" distL="0" distR="0" wp14:anchorId="4E2DD67F" wp14:editId="5C0FAADB">
            <wp:extent cx="4145697" cy="2343150"/>
            <wp:effectExtent l="0" t="0" r="7620" b="0"/>
            <wp:docPr id="1121782349" name="Picture 5" descr="Line graph compares count of notifications for Corynebacterium diphtheriae and Corynebacterium ulcerans from 2014 to 2026. Corynebacterium diphtheriae shows a sharp increase after 2023, peaking around 90 in 2026, while Corynebacterium ulcerans remains consistently low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82349" name="Picture 5" descr="Line graph compares count of notifications for Corynebacterium diphtheriae and Corynebacterium ulcerans from 2014 to 2026. Corynebacterium diphtheriae shows a sharp increase after 2023, peaking around 90 in 2026, while Corynebacterium ulcerans remains consistently low through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3391" cy="2347499"/>
                    </a:xfrm>
                    <a:prstGeom prst="rect">
                      <a:avLst/>
                    </a:prstGeom>
                    <a:noFill/>
                  </pic:spPr>
                </pic:pic>
              </a:graphicData>
            </a:graphic>
          </wp:inline>
        </w:drawing>
      </w:r>
    </w:p>
    <w:p w14:paraId="49EF81C8" w14:textId="52D8BD22" w:rsidR="001F7DDC" w:rsidRPr="007C6CC8" w:rsidRDefault="001F7DDC" w:rsidP="001F7DDC">
      <w:pPr>
        <w:pStyle w:val="Heading2"/>
        <w:keepLines/>
      </w:pPr>
      <w:r w:rsidRPr="007C6CC8">
        <w:t>Geographic distribution</w:t>
      </w:r>
    </w:p>
    <w:p w14:paraId="5B4286D6" w14:textId="00321940" w:rsidR="00C10216" w:rsidRPr="009726B1" w:rsidRDefault="001F7DDC">
      <w:r w:rsidRPr="009726B1">
        <w:t xml:space="preserve">Among cases reported in 2026, </w:t>
      </w:r>
      <w:r w:rsidR="00111DA2" w:rsidRPr="009726B1">
        <w:t>62.0%</w:t>
      </w:r>
      <w:r w:rsidRPr="009726B1">
        <w:t xml:space="preserve"> (</w:t>
      </w:r>
      <w:r w:rsidR="009A5E89" w:rsidRPr="009726B1">
        <w:t>57/92</w:t>
      </w:r>
      <w:r w:rsidRPr="009726B1">
        <w:t xml:space="preserve">) were reported in the Northern Territory, </w:t>
      </w:r>
      <w:r w:rsidR="003B5651" w:rsidRPr="009726B1">
        <w:t xml:space="preserve">a </w:t>
      </w:r>
      <w:r w:rsidRPr="009726B1">
        <w:t>third (</w:t>
      </w:r>
      <w:r w:rsidR="009A5E89" w:rsidRPr="009726B1">
        <w:t>34.8</w:t>
      </w:r>
      <w:r w:rsidRPr="009726B1">
        <w:t xml:space="preserve">%; </w:t>
      </w:r>
      <w:r w:rsidR="009A5E89" w:rsidRPr="009726B1">
        <w:t>32</w:t>
      </w:r>
      <w:r w:rsidR="006513B7" w:rsidRPr="009726B1">
        <w:t>/</w:t>
      </w:r>
      <w:r w:rsidR="009A5E89" w:rsidRPr="009726B1">
        <w:t>92</w:t>
      </w:r>
      <w:r w:rsidRPr="009726B1">
        <w:t>) in Western Australia, 2 cases in Queensland</w:t>
      </w:r>
      <w:r w:rsidR="00AC6976" w:rsidRPr="009726B1">
        <w:t>, and 1 case in South Australia</w:t>
      </w:r>
      <w:r w:rsidRPr="009726B1">
        <w:t xml:space="preserve"> (</w:t>
      </w:r>
      <w:r w:rsidRPr="009726B1">
        <w:fldChar w:fldCharType="begin"/>
      </w:r>
      <w:r w:rsidRPr="009726B1">
        <w:instrText xml:space="preserve"> REF _Ref222923399 \h </w:instrText>
      </w:r>
      <w:r w:rsidR="00246ED3" w:rsidRPr="009726B1">
        <w:instrText xml:space="preserve"> \* MERGEFORMAT </w:instrText>
      </w:r>
      <w:r w:rsidRPr="009726B1">
        <w:fldChar w:fldCharType="separate"/>
      </w:r>
      <w:r w:rsidR="002E1ED3" w:rsidRPr="009726B1">
        <w:t xml:space="preserve">Figure </w:t>
      </w:r>
      <w:r w:rsidR="002E1ED3" w:rsidRPr="009726B1">
        <w:rPr>
          <w:noProof/>
        </w:rPr>
        <w:t>5</w:t>
      </w:r>
      <w:r w:rsidRPr="009726B1">
        <w:fldChar w:fldCharType="end"/>
      </w:r>
      <w:r w:rsidRPr="009726B1">
        <w:t xml:space="preserve">). </w:t>
      </w:r>
      <w:r w:rsidR="00993D27" w:rsidRPr="009726B1">
        <w:t>Among locally acquired cases</w:t>
      </w:r>
      <w:r w:rsidR="00E00760" w:rsidRPr="009726B1">
        <w:t>, there has been a notable increase</w:t>
      </w:r>
      <w:r w:rsidR="000971E2" w:rsidRPr="009726B1">
        <w:t xml:space="preserve"> in the proportion of locally acquired cases </w:t>
      </w:r>
      <w:r w:rsidR="008F616E" w:rsidRPr="009726B1">
        <w:t>residing in ‘remote and very remote’ areas</w:t>
      </w:r>
      <w:r w:rsidR="0044348F" w:rsidRPr="009726B1">
        <w:t xml:space="preserve"> since 2021</w:t>
      </w:r>
      <w:r w:rsidR="00FF3B0A" w:rsidRPr="009726B1">
        <w:t xml:space="preserve"> </w:t>
      </w:r>
      <w:r w:rsidR="00E115B6" w:rsidRPr="009726B1">
        <w:t>(</w:t>
      </w:r>
      <w:r w:rsidR="00E115B6" w:rsidRPr="009726B1">
        <w:fldChar w:fldCharType="begin"/>
      </w:r>
      <w:r w:rsidR="00E115B6" w:rsidRPr="009726B1">
        <w:instrText xml:space="preserve"> REF _Ref227172428 \h </w:instrText>
      </w:r>
      <w:r w:rsidR="00246ED3" w:rsidRPr="009726B1">
        <w:instrText xml:space="preserve"> \* MERGEFORMAT </w:instrText>
      </w:r>
      <w:r w:rsidR="00E115B6" w:rsidRPr="009726B1">
        <w:fldChar w:fldCharType="separate"/>
      </w:r>
      <w:r w:rsidR="002E1ED3" w:rsidRPr="009726B1">
        <w:t xml:space="preserve">Figure </w:t>
      </w:r>
      <w:r w:rsidR="002E1ED3" w:rsidRPr="009726B1">
        <w:rPr>
          <w:noProof/>
        </w:rPr>
        <w:t>6</w:t>
      </w:r>
      <w:r w:rsidR="00E115B6" w:rsidRPr="009726B1">
        <w:fldChar w:fldCharType="end"/>
      </w:r>
      <w:r w:rsidR="00E115B6" w:rsidRPr="009726B1">
        <w:t>)</w:t>
      </w:r>
      <w:r w:rsidRPr="009726B1">
        <w:t>.</w:t>
      </w:r>
      <w:r w:rsidR="00FF3B0A" w:rsidRPr="009726B1">
        <w:t xml:space="preserve"> In 2026</w:t>
      </w:r>
      <w:r w:rsidR="003B611F" w:rsidRPr="009726B1">
        <w:t>,</w:t>
      </w:r>
      <w:r w:rsidR="00FF3B0A" w:rsidRPr="009726B1">
        <w:t xml:space="preserve"> </w:t>
      </w:r>
      <w:r w:rsidR="0081594D" w:rsidRPr="009726B1">
        <w:t xml:space="preserve">among locally acquired cases </w:t>
      </w:r>
      <w:r w:rsidR="00FF3B0A" w:rsidRPr="009726B1">
        <w:t>(97.</w:t>
      </w:r>
      <w:r w:rsidR="00B5649E" w:rsidRPr="009726B1">
        <w:t>8</w:t>
      </w:r>
      <w:r w:rsidR="00FF3B0A" w:rsidRPr="009726B1">
        <w:t xml:space="preserve">%; </w:t>
      </w:r>
      <w:r w:rsidR="00B5649E" w:rsidRPr="009726B1">
        <w:t>90</w:t>
      </w:r>
      <w:r w:rsidR="00FF3B0A" w:rsidRPr="009726B1">
        <w:t>/</w:t>
      </w:r>
      <w:r w:rsidR="00B5649E" w:rsidRPr="009726B1">
        <w:t>92</w:t>
      </w:r>
      <w:r w:rsidR="00FF3B0A" w:rsidRPr="009726B1">
        <w:t xml:space="preserve">), </w:t>
      </w:r>
      <w:r w:rsidR="00DE7661" w:rsidRPr="009726B1">
        <w:t>71</w:t>
      </w:r>
      <w:r w:rsidR="00FF3B0A" w:rsidRPr="009726B1">
        <w:t xml:space="preserve">.1% resided in areas classified as ‘remote’ and ‘very remote’, while </w:t>
      </w:r>
      <w:r w:rsidR="00F45419" w:rsidRPr="009726B1">
        <w:t xml:space="preserve">a further </w:t>
      </w:r>
      <w:r w:rsidR="00DE7661" w:rsidRPr="009726B1">
        <w:t>quarter</w:t>
      </w:r>
      <w:r w:rsidR="00FF3B0A" w:rsidRPr="009726B1">
        <w:t xml:space="preserve"> (</w:t>
      </w:r>
      <w:r w:rsidR="00372087" w:rsidRPr="009726B1">
        <w:t>26.7</w:t>
      </w:r>
      <w:r w:rsidR="00FF3B0A" w:rsidRPr="009726B1">
        <w:t>%) resided in ‘outer regional’ areas.</w:t>
      </w:r>
      <w:r w:rsidR="00A15AFE" w:rsidRPr="009726B1">
        <w:t xml:space="preserve"> </w:t>
      </w:r>
      <w:r w:rsidR="00C10216" w:rsidRPr="009726B1">
        <w:t xml:space="preserve">Over the past </w:t>
      </w:r>
      <w:r w:rsidR="00F9517F" w:rsidRPr="009726B1">
        <w:t>week</w:t>
      </w:r>
      <w:r w:rsidR="00C10216" w:rsidRPr="009726B1">
        <w:t xml:space="preserve">, </w:t>
      </w:r>
      <w:r w:rsidR="00304FA2" w:rsidRPr="009726B1">
        <w:t xml:space="preserve">newly </w:t>
      </w:r>
      <w:r w:rsidR="00BE2CB1" w:rsidRPr="009726B1">
        <w:t>notified</w:t>
      </w:r>
      <w:r w:rsidR="00304FA2" w:rsidRPr="009726B1">
        <w:t xml:space="preserve"> </w:t>
      </w:r>
      <w:r w:rsidR="00C10216" w:rsidRPr="009726B1">
        <w:t>c</w:t>
      </w:r>
      <w:r w:rsidR="00A15AFE" w:rsidRPr="009726B1">
        <w:t xml:space="preserve">ases </w:t>
      </w:r>
      <w:r w:rsidR="00C10216" w:rsidRPr="009726B1">
        <w:t xml:space="preserve">have </w:t>
      </w:r>
      <w:r w:rsidR="002B1F85" w:rsidRPr="009726B1">
        <w:t>been</w:t>
      </w:r>
      <w:r w:rsidR="0005709D" w:rsidRPr="009726B1">
        <w:t xml:space="preserve"> identified </w:t>
      </w:r>
      <w:r w:rsidR="00A15AFE" w:rsidRPr="009726B1">
        <w:t xml:space="preserve">in </w:t>
      </w:r>
      <w:r w:rsidR="00DC7EA2" w:rsidRPr="009726B1">
        <w:t xml:space="preserve">areas </w:t>
      </w:r>
      <w:r w:rsidR="00C10216" w:rsidRPr="009726B1">
        <w:t xml:space="preserve">that have </w:t>
      </w:r>
      <w:r w:rsidR="0005709D" w:rsidRPr="009726B1">
        <w:t xml:space="preserve">previously </w:t>
      </w:r>
      <w:r w:rsidR="00C10216" w:rsidRPr="009726B1">
        <w:t>reported diphtheria infections.</w:t>
      </w:r>
    </w:p>
    <w:p w14:paraId="73E6E403" w14:textId="5D2BE78C" w:rsidR="001F7DDC" w:rsidRPr="00C30FCB" w:rsidRDefault="001F7DDC" w:rsidP="001F7DDC">
      <w:pPr>
        <w:pStyle w:val="FigureTitle"/>
        <w:keepNext/>
      </w:pPr>
      <w:bookmarkStart w:id="5" w:name="_Ref222923399"/>
      <w:r w:rsidRPr="007C6CC8">
        <w:t xml:space="preserve">Figure </w:t>
      </w:r>
      <w:r w:rsidRPr="007C6CC8">
        <w:fldChar w:fldCharType="begin"/>
      </w:r>
      <w:r w:rsidRPr="007C6CC8">
        <w:instrText xml:space="preserve"> SEQ Figure \* ARABIC </w:instrText>
      </w:r>
      <w:r w:rsidRPr="007C6CC8">
        <w:fldChar w:fldCharType="separate"/>
      </w:r>
      <w:r w:rsidR="002E1ED3">
        <w:rPr>
          <w:noProof/>
        </w:rPr>
        <w:t>5</w:t>
      </w:r>
      <w:r w:rsidRPr="007C6CC8">
        <w:fldChar w:fldCharType="end"/>
      </w:r>
      <w:bookmarkEnd w:id="5"/>
      <w:r w:rsidRPr="007C6CC8">
        <w:t xml:space="preserve">: Notifications of diphtheria by year and jurisdiction, Australia, 1 January 2014 to </w:t>
      </w:r>
      <w:r w:rsidR="00412391" w:rsidRPr="00C30FCB">
        <w:t xml:space="preserve">20 April </w:t>
      </w:r>
      <w:r w:rsidRPr="00C30FCB">
        <w:t>2026</w:t>
      </w:r>
    </w:p>
    <w:p w14:paraId="7BC63B27" w14:textId="5DF4A9A4" w:rsidR="001F7DDC" w:rsidRPr="007C6CC8" w:rsidRDefault="00EF05F1" w:rsidP="001F7DDC">
      <w:pPr>
        <w:spacing w:before="0" w:after="0" w:line="240" w:lineRule="auto"/>
        <w:jc w:val="center"/>
        <w:rPr>
          <w:noProof/>
        </w:rPr>
      </w:pPr>
      <w:r>
        <w:rPr>
          <w:noProof/>
        </w:rPr>
        <w:drawing>
          <wp:inline distT="0" distB="0" distL="0" distR="0" wp14:anchorId="04433346" wp14:editId="5B429D1E">
            <wp:extent cx="4578350" cy="2737485"/>
            <wp:effectExtent l="0" t="0" r="0" b="5715"/>
            <wp:docPr id="1370779853" name="Picture 1" descr="Bar chart showing count of notifications by year of diagnosis from 2014 to 2026, categorised by Australian states and territories with distinct colours for each region. Notable increase in notifications occurs from 2022 onwards, with NT and WA showing significant spikes in 2025 and 2026,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79853" name="Picture 1" descr="Bar chart showing count of notifications by year of diagnosis from 2014 to 2026, categorised by Australian states and territories with distinct colours for each region. Notable increase in notifications occurs from 2022 onwards, with NT and WA showing significant spikes in 2025 and 2026, respective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350" cy="2737485"/>
                    </a:xfrm>
                    <a:prstGeom prst="rect">
                      <a:avLst/>
                    </a:prstGeom>
                    <a:noFill/>
                  </pic:spPr>
                </pic:pic>
              </a:graphicData>
            </a:graphic>
          </wp:inline>
        </w:drawing>
      </w:r>
    </w:p>
    <w:p w14:paraId="46B0E828" w14:textId="5F212E28" w:rsidR="00F12F2A" w:rsidRPr="00C30FCB" w:rsidRDefault="007A0E9D" w:rsidP="00C30FCB">
      <w:pPr>
        <w:pStyle w:val="FigureTitle"/>
      </w:pPr>
      <w:bookmarkStart w:id="6" w:name="_Ref227172428"/>
      <w:r w:rsidRPr="00C30FCB">
        <w:lastRenderedPageBreak/>
        <w:t xml:space="preserve">Figure </w:t>
      </w:r>
      <w:r w:rsidRPr="00C30FCB">
        <w:fldChar w:fldCharType="begin"/>
      </w:r>
      <w:r w:rsidRPr="00C30FCB">
        <w:instrText xml:space="preserve"> SEQ Figure \* ARABIC </w:instrText>
      </w:r>
      <w:r w:rsidRPr="00C30FCB">
        <w:fldChar w:fldCharType="separate"/>
      </w:r>
      <w:r w:rsidR="002E1ED3" w:rsidRPr="00C30FCB">
        <w:t>6</w:t>
      </w:r>
      <w:r w:rsidRPr="00C30FCB">
        <w:fldChar w:fldCharType="end"/>
      </w:r>
      <w:bookmarkEnd w:id="6"/>
      <w:r w:rsidRPr="00C30FCB">
        <w:t xml:space="preserve">: Notifications of </w:t>
      </w:r>
      <w:r w:rsidR="0086711B" w:rsidRPr="00C30FCB">
        <w:t>locally acquired</w:t>
      </w:r>
      <w:r w:rsidR="001020AD" w:rsidRPr="00C30FCB">
        <w:t>*</w:t>
      </w:r>
      <w:r w:rsidR="0086711B" w:rsidRPr="00C30FCB">
        <w:t xml:space="preserve"> </w:t>
      </w:r>
      <w:r w:rsidRPr="00C30FCB">
        <w:t>diphtheria by year and remoteness area, 1</w:t>
      </w:r>
      <w:r w:rsidR="00CC40D7" w:rsidRPr="00C30FCB">
        <w:t> </w:t>
      </w:r>
      <w:r w:rsidRPr="00C30FCB">
        <w:t>January 202</w:t>
      </w:r>
      <w:r w:rsidR="0086711B" w:rsidRPr="00C30FCB">
        <w:t xml:space="preserve">0 to </w:t>
      </w:r>
      <w:r w:rsidR="00412391" w:rsidRPr="00C30FCB">
        <w:t xml:space="preserve">20 April </w:t>
      </w:r>
      <w:r w:rsidR="0086711B" w:rsidRPr="00C30FCB">
        <w:t>2026</w:t>
      </w:r>
    </w:p>
    <w:p w14:paraId="7FD2AA7E" w14:textId="2CA0D8DE" w:rsidR="001020AD" w:rsidRPr="007C6CC8" w:rsidRDefault="00A837AC" w:rsidP="009B080B">
      <w:pPr>
        <w:spacing w:before="0" w:after="0" w:line="240" w:lineRule="auto"/>
        <w:jc w:val="center"/>
      </w:pPr>
      <w:r w:rsidRPr="007C6CC8">
        <w:rPr>
          <w:noProof/>
        </w:rPr>
        <w:drawing>
          <wp:inline distT="0" distB="0" distL="0" distR="0" wp14:anchorId="07898727" wp14:editId="2441D031">
            <wp:extent cx="3643278" cy="2333625"/>
            <wp:effectExtent l="0" t="0" r="0" b="0"/>
            <wp:docPr id="1510938098" name="Picture 8" descr="Bar chart showing count of notifications by year of diagnosis from 2020 to 2026, categorised by regions of Australia using different colours. Notable increase in notifications occurs in 2026, with very remote Australia contributing the largest portion, followed by remote and outer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38098" name="Picture 8" descr="Bar chart showing count of notifications by year of diagnosis from 2020 to 2026, categorised by regions of Australia using different colours. Notable increase in notifications occurs in 2026, with very remote Australia contributing the largest portion, followed by remote and outer regional are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62406" cy="2345877"/>
                    </a:xfrm>
                    <a:prstGeom prst="rect">
                      <a:avLst/>
                    </a:prstGeom>
                    <a:noFill/>
                  </pic:spPr>
                </pic:pic>
              </a:graphicData>
            </a:graphic>
          </wp:inline>
        </w:drawing>
      </w:r>
    </w:p>
    <w:p w14:paraId="6585F356" w14:textId="7AE1F2FE" w:rsidR="001020AD" w:rsidRPr="007C6CC8" w:rsidRDefault="001020AD" w:rsidP="001020AD">
      <w:pPr>
        <w:pStyle w:val="FootnoteText"/>
        <w:rPr>
          <w:i/>
          <w:iCs/>
        </w:rPr>
      </w:pPr>
      <w:r w:rsidRPr="007C6CC8">
        <w:rPr>
          <w:i/>
          <w:iCs/>
        </w:rPr>
        <w:t>* Excludes cases acquired overseas.</w:t>
      </w:r>
    </w:p>
    <w:p w14:paraId="30BC0113" w14:textId="231062F4" w:rsidR="00E91E03" w:rsidRPr="007C6CC8" w:rsidRDefault="00E91E03" w:rsidP="00E91E03">
      <w:pPr>
        <w:pStyle w:val="Heading2"/>
      </w:pPr>
      <w:r w:rsidRPr="007C6CC8">
        <w:t>Place of acquisition</w:t>
      </w:r>
    </w:p>
    <w:p w14:paraId="3781F1D9" w14:textId="0F5AA07E" w:rsidR="00E91E03" w:rsidRPr="009726B1" w:rsidRDefault="00E91E03" w:rsidP="00E91E03">
      <w:r w:rsidRPr="009726B1">
        <w:t xml:space="preserve">By place of acquisition, between 2014 and 2019, </w:t>
      </w:r>
      <w:proofErr w:type="gramStart"/>
      <w:r w:rsidRPr="009726B1">
        <w:t>the majority of</w:t>
      </w:r>
      <w:proofErr w:type="gramEnd"/>
      <w:r w:rsidRPr="009726B1">
        <w:t xml:space="preserve"> diphtheria cases were acquired overseas (</w:t>
      </w:r>
      <w:r w:rsidRPr="009726B1">
        <w:fldChar w:fldCharType="begin"/>
      </w:r>
      <w:r w:rsidRPr="009726B1">
        <w:instrText xml:space="preserve"> REF _Ref222931757 \h </w:instrText>
      </w:r>
      <w:r w:rsidR="00246ED3" w:rsidRPr="009726B1">
        <w:instrText xml:space="preserve"> \* MERGEFORMAT </w:instrText>
      </w:r>
      <w:r w:rsidRPr="009726B1">
        <w:fldChar w:fldCharType="separate"/>
      </w:r>
      <w:r w:rsidR="002E1ED3" w:rsidRPr="009726B1">
        <w:t xml:space="preserve">Figure </w:t>
      </w:r>
      <w:r w:rsidR="002E1ED3" w:rsidRPr="009726B1">
        <w:rPr>
          <w:noProof/>
        </w:rPr>
        <w:t>7</w:t>
      </w:r>
      <w:r w:rsidRPr="009726B1">
        <w:fldChar w:fldCharType="end"/>
      </w:r>
      <w:r w:rsidRPr="009726B1">
        <w:t xml:space="preserve">), predominantly in the Western Pacific and South-East Asia regions. Since 2020, </w:t>
      </w:r>
      <w:proofErr w:type="gramStart"/>
      <w:r w:rsidRPr="009726B1">
        <w:t>the majority of</w:t>
      </w:r>
      <w:proofErr w:type="gramEnd"/>
      <w:r w:rsidRPr="009726B1">
        <w:t xml:space="preserve"> diphtheria notifications have been locally acquired. So far in 2026, 2 cases (</w:t>
      </w:r>
      <w:r w:rsidR="00ED20B5" w:rsidRPr="009726B1">
        <w:t>2.</w:t>
      </w:r>
      <w:r w:rsidR="00DE2875" w:rsidRPr="009726B1">
        <w:t>2</w:t>
      </w:r>
      <w:r w:rsidRPr="009726B1">
        <w:t>%) are reported to have acquired their infection overseas.</w:t>
      </w:r>
    </w:p>
    <w:p w14:paraId="6F266EF5" w14:textId="5C26D79F" w:rsidR="00900599" w:rsidRPr="00C30FCB" w:rsidRDefault="00900599" w:rsidP="00900599">
      <w:pPr>
        <w:pStyle w:val="FigureTitle"/>
        <w:keepNext/>
        <w:spacing w:before="0"/>
      </w:pPr>
      <w:bookmarkStart w:id="7" w:name="_Ref222931757"/>
      <w:r w:rsidRPr="007C6CC8">
        <w:t xml:space="preserve">Figure </w:t>
      </w:r>
      <w:r w:rsidRPr="007C6CC8">
        <w:fldChar w:fldCharType="begin"/>
      </w:r>
      <w:r w:rsidRPr="007C6CC8">
        <w:instrText xml:space="preserve"> SEQ Figure \* ARABIC </w:instrText>
      </w:r>
      <w:r w:rsidRPr="007C6CC8">
        <w:fldChar w:fldCharType="separate"/>
      </w:r>
      <w:r w:rsidR="002E1ED3">
        <w:rPr>
          <w:noProof/>
        </w:rPr>
        <w:t>7</w:t>
      </w:r>
      <w:r w:rsidRPr="007C6CC8">
        <w:fldChar w:fldCharType="end"/>
      </w:r>
      <w:bookmarkEnd w:id="7"/>
      <w:r w:rsidRPr="007C6CC8">
        <w:t xml:space="preserve">: Notifications of diphtheria by place of acquisition*, Australia, 1 January 2014 to </w:t>
      </w:r>
      <w:r w:rsidR="00412391" w:rsidRPr="00C30FCB">
        <w:t xml:space="preserve">20 April </w:t>
      </w:r>
      <w:r w:rsidRPr="00C30FCB">
        <w:t>2026</w:t>
      </w:r>
    </w:p>
    <w:p w14:paraId="307B9382" w14:textId="004DB3F3" w:rsidR="00900599" w:rsidRPr="007C6CC8" w:rsidRDefault="005271CF" w:rsidP="00900599">
      <w:pPr>
        <w:spacing w:before="0" w:after="0" w:line="240" w:lineRule="auto"/>
        <w:jc w:val="center"/>
        <w:rPr>
          <w:noProof/>
        </w:rPr>
      </w:pPr>
      <w:r w:rsidRPr="007C6CC8">
        <w:rPr>
          <w:noProof/>
        </w:rPr>
        <w:drawing>
          <wp:inline distT="0" distB="0" distL="0" distR="0" wp14:anchorId="182C1A9A" wp14:editId="29E37989">
            <wp:extent cx="3942090" cy="2133600"/>
            <wp:effectExtent l="0" t="0" r="1270" b="0"/>
            <wp:docPr id="441099150" name="Picture 10" descr="Bar chart showing count of notifications by year of diagnosis from 2014 to 2026, categorised into overseas acquired (blue), locally acquired (orange), and unknown (grey). Notifications remain low until 2021, then sharply increase with a notable rise in locally acquired cases peaking in 2026, while overseas acquired and unknown cases remain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99150" name="Picture 10" descr="Bar chart showing count of notifications by year of diagnosis from 2014 to 2026, categorised into overseas acquired (blue), locally acquired (orange), and unknown (grey). Notifications remain low until 2021, then sharply increase with a notable rise in locally acquired cases peaking in 2026, while overseas acquired and unknown cases remain minim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0904" cy="2143783"/>
                    </a:xfrm>
                    <a:prstGeom prst="rect">
                      <a:avLst/>
                    </a:prstGeom>
                    <a:noFill/>
                  </pic:spPr>
                </pic:pic>
              </a:graphicData>
            </a:graphic>
          </wp:inline>
        </w:drawing>
      </w:r>
    </w:p>
    <w:p w14:paraId="3F2108C2" w14:textId="59359370" w:rsidR="00900599" w:rsidRPr="007C6CC8" w:rsidRDefault="00900599" w:rsidP="00266F90">
      <w:pPr>
        <w:pStyle w:val="FootnoteText"/>
      </w:pPr>
      <w:r w:rsidRPr="007C6CC8">
        <w:rPr>
          <w:i/>
          <w:iCs/>
        </w:rPr>
        <w:t xml:space="preserve">* The source of infection for 2026 cases </w:t>
      </w:r>
      <w:proofErr w:type="gramStart"/>
      <w:r w:rsidRPr="007C6CC8">
        <w:rPr>
          <w:i/>
          <w:iCs/>
        </w:rPr>
        <w:t>are</w:t>
      </w:r>
      <w:proofErr w:type="gramEnd"/>
      <w:r w:rsidRPr="007C6CC8">
        <w:rPr>
          <w:i/>
          <w:iCs/>
        </w:rPr>
        <w:t xml:space="preserve"> provisional and subject to change.</w:t>
      </w:r>
    </w:p>
    <w:p w14:paraId="0F27D14D" w14:textId="78551880" w:rsidR="00E91E03" w:rsidRPr="009726B1" w:rsidRDefault="00E91E03" w:rsidP="00E91E03">
      <w:r w:rsidRPr="009726B1">
        <w:t xml:space="preserve">Since 2020, there have been </w:t>
      </w:r>
      <w:r w:rsidR="005E00AA" w:rsidRPr="009726B1">
        <w:t>1</w:t>
      </w:r>
      <w:r w:rsidR="00360420" w:rsidRPr="009726B1">
        <w:t>0</w:t>
      </w:r>
      <w:r w:rsidRPr="009726B1">
        <w:t xml:space="preserve"> diphtheria clusters (with 2 or more cases) reported by jurisdictions, with </w:t>
      </w:r>
      <w:r w:rsidR="00B8321F" w:rsidRPr="009726B1">
        <w:t>5</w:t>
      </w:r>
      <w:r w:rsidRPr="009726B1">
        <w:t xml:space="preserve"> of these clusters reported in 2026</w:t>
      </w:r>
      <w:r w:rsidR="004636EA" w:rsidRPr="009726B1">
        <w:rPr>
          <w:rStyle w:val="FootnoteReference"/>
        </w:rPr>
        <w:footnoteReference w:id="4"/>
      </w:r>
      <w:r w:rsidRPr="009726B1">
        <w:t xml:space="preserve">. The largest clusters occurred in North Queensland with cases involved in these clusters spanning 2020 to 2023. The more recent clusters in 2026 have been in Western Australia and the Northern Territory. </w:t>
      </w:r>
    </w:p>
    <w:p w14:paraId="059524AF" w14:textId="3F042459" w:rsidR="00E91E03" w:rsidRPr="007C6CC8" w:rsidRDefault="006F33C8" w:rsidP="00E91E03">
      <w:r w:rsidRPr="009726B1">
        <w:t>An AusTrakka analysis of recent diphtheria cases, indicates that</w:t>
      </w:r>
      <w:r w:rsidR="00CC40D7" w:rsidRPr="009726B1">
        <w:t>,</w:t>
      </w:r>
      <w:r w:rsidRPr="009726B1">
        <w:t xml:space="preserve"> </w:t>
      </w:r>
      <w:r w:rsidR="00B076A2" w:rsidRPr="009726B1">
        <w:t xml:space="preserve">based on specimens since 2025, </w:t>
      </w:r>
      <w:r w:rsidRPr="009726B1">
        <w:t xml:space="preserve">the recent Western Australia cases in the Kimberley region are genomically linked to cases in the Northern Territory and Queensland </w:t>
      </w:r>
      <w:r w:rsidR="00E91E03" w:rsidRPr="009726B1">
        <w:t>(</w:t>
      </w:r>
      <w:r w:rsidR="00E91E03" w:rsidRPr="009726B1">
        <w:fldChar w:fldCharType="begin"/>
      </w:r>
      <w:r w:rsidR="00E91E03" w:rsidRPr="009726B1">
        <w:instrText xml:space="preserve"> REF _Ref226648538 \h </w:instrText>
      </w:r>
      <w:r w:rsidR="00246ED3" w:rsidRPr="009726B1">
        <w:instrText xml:space="preserve"> \* MERGEFORMAT </w:instrText>
      </w:r>
      <w:r w:rsidR="00E91E03" w:rsidRPr="009726B1">
        <w:fldChar w:fldCharType="separate"/>
      </w:r>
      <w:r w:rsidR="002E1ED3" w:rsidRPr="009726B1">
        <w:t xml:space="preserve">Figure </w:t>
      </w:r>
      <w:r w:rsidR="002E1ED3" w:rsidRPr="009726B1">
        <w:rPr>
          <w:noProof/>
        </w:rPr>
        <w:t>8</w:t>
      </w:r>
      <w:r w:rsidR="00E91E03" w:rsidRPr="009726B1">
        <w:fldChar w:fldCharType="end"/>
      </w:r>
      <w:r w:rsidR="00E91E03" w:rsidRPr="009726B1">
        <w:t>).</w:t>
      </w:r>
      <w:r w:rsidR="00B24794" w:rsidRPr="009726B1">
        <w:t xml:space="preserve"> Additionally, recent analyses suggest that the current cluster appears to have descended from a 2020</w:t>
      </w:r>
      <w:r w:rsidR="00CC40D7" w:rsidRPr="009726B1">
        <w:t> to </w:t>
      </w:r>
      <w:r w:rsidR="00B24794" w:rsidRPr="009726B1">
        <w:t xml:space="preserve">2023 cluster in Queensland. However, noting the small number of available intermediate </w:t>
      </w:r>
      <w:r w:rsidR="00B24794" w:rsidRPr="009726B1">
        <w:lastRenderedPageBreak/>
        <w:t xml:space="preserve">sequences, the findings should be interpreted as evidence of shared genomic characteristics rather than definitive epidemiological evidence of linkage to the earlier </w:t>
      </w:r>
      <w:r w:rsidR="00CC40D7" w:rsidRPr="009726B1">
        <w:t xml:space="preserve">Queensland </w:t>
      </w:r>
      <w:r w:rsidR="00B24794" w:rsidRPr="009726B1">
        <w:t>cluster</w:t>
      </w:r>
      <w:r w:rsidR="00B24794" w:rsidRPr="007C6CC8">
        <w:t>.</w:t>
      </w:r>
    </w:p>
    <w:p w14:paraId="04AF742D" w14:textId="0EF01F63" w:rsidR="00E91E03" w:rsidRPr="007C6CC8" w:rsidRDefault="00E91E03" w:rsidP="00E91E03">
      <w:pPr>
        <w:pStyle w:val="FigureTitle"/>
      </w:pPr>
      <w:bookmarkStart w:id="8" w:name="_Ref226648538"/>
      <w:r w:rsidRPr="007C6CC8">
        <w:t xml:space="preserve">Figure </w:t>
      </w:r>
      <w:r w:rsidRPr="007C6CC8">
        <w:fldChar w:fldCharType="begin"/>
      </w:r>
      <w:r w:rsidRPr="007C6CC8">
        <w:instrText xml:space="preserve"> SEQ Figure \* ARABIC </w:instrText>
      </w:r>
      <w:r w:rsidRPr="007C6CC8">
        <w:fldChar w:fldCharType="separate"/>
      </w:r>
      <w:r w:rsidR="002E1ED3">
        <w:rPr>
          <w:noProof/>
        </w:rPr>
        <w:t>8</w:t>
      </w:r>
      <w:r w:rsidRPr="007C6CC8">
        <w:fldChar w:fldCharType="end"/>
      </w:r>
      <w:bookmarkEnd w:id="8"/>
      <w:r w:rsidRPr="007C6CC8">
        <w:t xml:space="preserve">: AusTrakka* SNP clustering of toxigenic </w:t>
      </w:r>
      <w:r w:rsidRPr="007C6CC8">
        <w:rPr>
          <w:i/>
        </w:rPr>
        <w:t xml:space="preserve">C. diphtheriae </w:t>
      </w:r>
      <w:r w:rsidRPr="007C6CC8">
        <w:t xml:space="preserve">sequences, 12 March 2020 to </w:t>
      </w:r>
      <w:r w:rsidR="00EE2530" w:rsidRPr="007C6CC8">
        <w:t>26</w:t>
      </w:r>
      <w:r w:rsidRPr="007C6CC8">
        <w:t> March 2026</w:t>
      </w:r>
    </w:p>
    <w:p w14:paraId="2FE4C650" w14:textId="57898B30" w:rsidR="00430126" w:rsidRPr="007C6CC8" w:rsidRDefault="009C7224" w:rsidP="00430126">
      <w:r w:rsidRPr="007C6CC8">
        <w:rPr>
          <w:noProof/>
        </w:rPr>
        <w:drawing>
          <wp:inline distT="0" distB="0" distL="0" distR="0" wp14:anchorId="52AD9DD5" wp14:editId="241A5256">
            <wp:extent cx="6120765" cy="1685925"/>
            <wp:effectExtent l="0" t="0" r="0" b="9525"/>
            <wp:docPr id="1416428029" name="Picture 1" descr="Bar chart showing SNP clustering of toxigenic C. diphtheriae sequences between 12 March 2020 and 26 March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28029" name="Picture 1" descr="Bar chart showing SNP clustering of toxigenic C. diphtheriae sequences between 12 March 2020 and 26 March 2026. Notable clusters of cases identified in 2022 and from late 2025."/>
                    <pic:cNvPicPr/>
                  </pic:nvPicPr>
                  <pic:blipFill>
                    <a:blip r:embed="rId22"/>
                    <a:stretch>
                      <a:fillRect/>
                    </a:stretch>
                  </pic:blipFill>
                  <pic:spPr>
                    <a:xfrm>
                      <a:off x="0" y="0"/>
                      <a:ext cx="6120765" cy="1685925"/>
                    </a:xfrm>
                    <a:prstGeom prst="rect">
                      <a:avLst/>
                    </a:prstGeom>
                  </pic:spPr>
                </pic:pic>
              </a:graphicData>
            </a:graphic>
          </wp:inline>
        </w:drawing>
      </w:r>
    </w:p>
    <w:p w14:paraId="5A0895AC" w14:textId="05185491" w:rsidR="00E91E03" w:rsidRPr="007C6CC8" w:rsidRDefault="00E91E03" w:rsidP="00E91E03">
      <w:pPr>
        <w:rPr>
          <w:rStyle w:val="FootnoteTextChar"/>
          <w:color w:val="auto"/>
          <w:sz w:val="20"/>
          <w:szCs w:val="20"/>
        </w:rPr>
      </w:pPr>
      <w:r w:rsidRPr="007C6CC8">
        <w:rPr>
          <w:color w:val="auto"/>
          <w:sz w:val="20"/>
          <w:szCs w:val="20"/>
        </w:rPr>
        <w:t xml:space="preserve">* AusTrakka Genomic Analysis Report ATOI26001 – </w:t>
      </w:r>
      <w:r w:rsidRPr="007C6CC8">
        <w:rPr>
          <w:i/>
          <w:iCs/>
          <w:color w:val="auto"/>
          <w:sz w:val="20"/>
          <w:szCs w:val="20"/>
        </w:rPr>
        <w:t>Corynebacterium diphtheriae</w:t>
      </w:r>
      <w:r w:rsidRPr="007C6CC8">
        <w:rPr>
          <w:color w:val="auto"/>
          <w:sz w:val="20"/>
          <w:szCs w:val="20"/>
        </w:rPr>
        <w:t xml:space="preserve"> (</w:t>
      </w:r>
      <w:r w:rsidR="00EE2530" w:rsidRPr="007C6CC8">
        <w:rPr>
          <w:color w:val="auto"/>
          <w:sz w:val="20"/>
          <w:szCs w:val="20"/>
        </w:rPr>
        <w:t>10 April</w:t>
      </w:r>
      <w:r w:rsidRPr="007C6CC8">
        <w:rPr>
          <w:color w:val="auto"/>
          <w:sz w:val="20"/>
          <w:szCs w:val="20"/>
        </w:rPr>
        <w:t xml:space="preserve"> 2026).</w:t>
      </w:r>
    </w:p>
    <w:p w14:paraId="4CECBE24" w14:textId="39B0BEB9" w:rsidR="005F6CA1" w:rsidRPr="007C6CC8" w:rsidRDefault="00CF7804" w:rsidP="005F6CA1">
      <w:pPr>
        <w:pStyle w:val="Heading2"/>
      </w:pPr>
      <w:r w:rsidRPr="007C6CC8">
        <w:t>Clinical presentation</w:t>
      </w:r>
    </w:p>
    <w:p w14:paraId="7CD7BCF6" w14:textId="621EEEC1" w:rsidR="00AC353F" w:rsidRPr="00DA4B6C"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cutaneous diphtheria</w:t>
      </w:r>
      <w:r w:rsidR="00280F25" w:rsidRPr="00DA4B6C">
        <w:t xml:space="preserve">, with </w:t>
      </w:r>
      <w:r w:rsidR="00CB238C" w:rsidRPr="00DA4B6C">
        <w:t xml:space="preserve">only a small number of </w:t>
      </w:r>
      <w:r w:rsidR="00280F25" w:rsidRPr="00DA4B6C">
        <w:t xml:space="preserve">respiratory diphtheria cases reported </w:t>
      </w:r>
      <w:r w:rsidR="00885ED9" w:rsidRPr="00DA4B6C">
        <w:t xml:space="preserve">annually </w:t>
      </w:r>
      <w:r w:rsidR="00557A0C" w:rsidRPr="00DA4B6C">
        <w:t>across most years</w:t>
      </w:r>
      <w:r w:rsidR="00CB238C" w:rsidRPr="00DA4B6C">
        <w:t xml:space="preserve"> during this </w:t>
      </w:r>
      <w:r w:rsidRPr="00DA4B6C">
        <w:t>period</w:t>
      </w:r>
      <w:r w:rsidR="00AC353F" w:rsidRPr="00DA4B6C">
        <w:t xml:space="preserve"> </w:t>
      </w:r>
      <w:r w:rsidR="00DD14C5" w:rsidRPr="00DA4B6C">
        <w:t>(</w:t>
      </w:r>
      <w:r w:rsidR="00DD14C5" w:rsidRPr="00DA4B6C">
        <w:fldChar w:fldCharType="begin"/>
      </w:r>
      <w:r w:rsidR="00DD14C5" w:rsidRPr="00DA4B6C">
        <w:instrText xml:space="preserve"> REF _Ref223001538 \h  \* MERGEFORMAT </w:instrText>
      </w:r>
      <w:r w:rsidR="00DD14C5" w:rsidRPr="00DA4B6C">
        <w:fldChar w:fldCharType="separate"/>
      </w:r>
      <w:r w:rsidR="002E1ED3" w:rsidRPr="00DA4B6C">
        <w:t>Figure 9</w:t>
      </w:r>
      <w:r w:rsidR="00DD14C5" w:rsidRPr="00DA4B6C">
        <w:fldChar w:fldCharType="end"/>
      </w:r>
      <w:r w:rsidR="00DD14C5" w:rsidRPr="00DA4B6C">
        <w:t>)</w:t>
      </w:r>
      <w:r w:rsidR="00770A75" w:rsidRPr="00DA4B6C">
        <w:t xml:space="preserve">. </w:t>
      </w:r>
      <w:r w:rsidR="00AC353F" w:rsidRPr="00DA4B6C">
        <w:t xml:space="preserve">In 2022, respiratory diphtheria accounted for 19.4% of cases (6 out of 31 notifications), with </w:t>
      </w:r>
      <w:proofErr w:type="gramStart"/>
      <w:r w:rsidR="00AC353F" w:rsidRPr="00DA4B6C">
        <w:t>all of</w:t>
      </w:r>
      <w:proofErr w:type="gramEnd"/>
      <w:r w:rsidR="00AC353F" w:rsidRPr="00DA4B6C">
        <w:t xml:space="preserve"> these cases locally acquired.</w:t>
      </w:r>
    </w:p>
    <w:p w14:paraId="78A4D9EF" w14:textId="61A25D70" w:rsidR="00670343" w:rsidRPr="00DA4B6C" w:rsidRDefault="001E111C" w:rsidP="00AC353F">
      <w:r w:rsidRPr="00DA4B6C">
        <w:t>In 2026, t</w:t>
      </w:r>
      <w:r w:rsidR="00AC353F" w:rsidRPr="00DA4B6C">
        <w:t>he predominant clinical presentation continue</w:t>
      </w:r>
      <w:r w:rsidRPr="00DA4B6C">
        <w:t>d</w:t>
      </w:r>
      <w:r w:rsidR="00AC353F" w:rsidRPr="00DA4B6C">
        <w:t xml:space="preserve"> to be</w:t>
      </w:r>
      <w:r w:rsidRPr="00DA4B6C">
        <w:t xml:space="preserve"> </w:t>
      </w:r>
      <w:r w:rsidR="00AC353F" w:rsidRPr="00DA4B6C">
        <w:t>cutaneous</w:t>
      </w:r>
      <w:r w:rsidRPr="00DA4B6C">
        <w:t xml:space="preserve"> </w:t>
      </w:r>
      <w:r w:rsidR="00AC353F" w:rsidRPr="00DA4B6C">
        <w:t>diphtheria</w:t>
      </w:r>
      <w:r w:rsidRPr="00DA4B6C">
        <w:t xml:space="preserve"> </w:t>
      </w:r>
      <w:r w:rsidR="00AC353F" w:rsidRPr="00DA4B6C">
        <w:t>(7</w:t>
      </w:r>
      <w:r w:rsidR="00081A10" w:rsidRPr="00DA4B6C">
        <w:t>3</w:t>
      </w:r>
      <w:r w:rsidR="00AC353F" w:rsidRPr="00DA4B6C">
        <w:t>.</w:t>
      </w:r>
      <w:r w:rsidR="00081A10" w:rsidRPr="00DA4B6C">
        <w:t>9</w:t>
      </w:r>
      <w:r w:rsidR="00AC353F" w:rsidRPr="00DA4B6C">
        <w:t>%)</w:t>
      </w:r>
      <w:r w:rsidRPr="00DA4B6C">
        <w:t xml:space="preserve">, </w:t>
      </w:r>
      <w:r w:rsidR="00AC353F" w:rsidRPr="00DA4B6C">
        <w:t>with </w:t>
      </w:r>
      <w:r w:rsidR="00067230" w:rsidRPr="00DA4B6C">
        <w:t xml:space="preserve">respiratory diphtheria accounting for </w:t>
      </w:r>
      <w:r w:rsidR="00081A10" w:rsidRPr="00DA4B6C">
        <w:t>26.1</w:t>
      </w:r>
      <w:r w:rsidR="00AC353F" w:rsidRPr="00DA4B6C">
        <w:t>% </w:t>
      </w:r>
      <w:r w:rsidR="00067230" w:rsidRPr="00DA4B6C">
        <w:t xml:space="preserve">of cases </w:t>
      </w:r>
      <w:r w:rsidR="002D0ED8" w:rsidRPr="00DA4B6C">
        <w:t xml:space="preserve">and no </w:t>
      </w:r>
      <w:r w:rsidR="00A34AAD" w:rsidRPr="00DA4B6C">
        <w:t xml:space="preserve">cases </w:t>
      </w:r>
      <w:r w:rsidR="008E09BE" w:rsidRPr="00DA4B6C">
        <w:t xml:space="preserve">reported with an </w:t>
      </w:r>
      <w:r w:rsidR="002D0ED8" w:rsidRPr="00DA4B6C">
        <w:t>unknown</w:t>
      </w:r>
      <w:r w:rsidR="00A34AAD" w:rsidRPr="00DA4B6C">
        <w:t xml:space="preserve"> clinical presentation</w:t>
      </w:r>
      <w:r w:rsidR="00C706C4" w:rsidRPr="00DA4B6C">
        <w:t>.</w:t>
      </w:r>
      <w:r w:rsidR="00AC353F" w:rsidRPr="00DA4B6C">
        <w:t xml:space="preserve"> </w:t>
      </w:r>
      <w:r w:rsidR="00770A75" w:rsidRPr="00DA4B6C">
        <w:t>Th</w:t>
      </w:r>
      <w:r w:rsidR="0024069B" w:rsidRPr="00DA4B6C">
        <w:t xml:space="preserve">e increase and upward </w:t>
      </w:r>
      <w:r w:rsidR="007003E5" w:rsidRPr="00DA4B6C">
        <w:t xml:space="preserve">trend </w:t>
      </w:r>
      <w:r w:rsidR="00770A75" w:rsidRPr="00DA4B6C">
        <w:t>i</w:t>
      </w:r>
      <w:r w:rsidR="0024069B" w:rsidRPr="00DA4B6C">
        <w:t xml:space="preserve">n cutaneous diphtheria cases may be attributable to changes in testing practices, </w:t>
      </w:r>
      <w:r w:rsidR="004F1C6C" w:rsidRPr="00DA4B6C">
        <w:t>including toxigenic testing, particularly of wounds</w:t>
      </w:r>
      <w:r w:rsidR="0074201E" w:rsidRPr="00DA4B6C">
        <w:t>.</w:t>
      </w:r>
    </w:p>
    <w:p w14:paraId="5E5FF07E" w14:textId="5DAC2D6D" w:rsidR="00910E92" w:rsidRPr="00C30FCB" w:rsidRDefault="005F6CA1" w:rsidP="008F471C">
      <w:pPr>
        <w:pStyle w:val="FigureTitle"/>
      </w:pPr>
      <w:bookmarkStart w:id="9" w:name="_Ref223001538"/>
      <w:r w:rsidRPr="007C6CC8">
        <w:t xml:space="preserve">Figure </w:t>
      </w:r>
      <w:r w:rsidRPr="007C6CC8">
        <w:fldChar w:fldCharType="begin"/>
      </w:r>
      <w:r w:rsidRPr="007C6CC8">
        <w:instrText xml:space="preserve"> SEQ Figure \* ARABIC </w:instrText>
      </w:r>
      <w:r w:rsidRPr="007C6CC8">
        <w:fldChar w:fldCharType="separate"/>
      </w:r>
      <w:r w:rsidR="002E1ED3">
        <w:rPr>
          <w:noProof/>
        </w:rPr>
        <w:t>9</w:t>
      </w:r>
      <w:r w:rsidRPr="007C6CC8">
        <w:fldChar w:fldCharType="end"/>
      </w:r>
      <w:bookmarkEnd w:id="9"/>
      <w:r w:rsidRPr="007C6CC8">
        <w:t xml:space="preserve">: Notifications of </w:t>
      </w:r>
      <w:r w:rsidR="00626665" w:rsidRPr="007C6CC8">
        <w:t xml:space="preserve">diphtheria </w:t>
      </w:r>
      <w:r w:rsidRPr="007C6CC8">
        <w:t xml:space="preserve">by </w:t>
      </w:r>
      <w:r w:rsidR="00910E92" w:rsidRPr="007C6CC8">
        <w:t>clinical presentation,</w:t>
      </w:r>
      <w:r w:rsidRPr="007C6CC8">
        <w:t xml:space="preserve"> Australia, </w:t>
      </w:r>
      <w:r w:rsidR="00910E92" w:rsidRPr="007C6CC8">
        <w:t xml:space="preserve">1 January 2014 to </w:t>
      </w:r>
      <w:r w:rsidR="00412391" w:rsidRPr="00C30FCB">
        <w:t xml:space="preserve">20 April </w:t>
      </w:r>
      <w:r w:rsidR="00910E92" w:rsidRPr="00C30FCB">
        <w:t>2026</w:t>
      </w:r>
    </w:p>
    <w:p w14:paraId="6E55BE08" w14:textId="7CDD4A57" w:rsidR="005F6CA1" w:rsidRPr="007C6CC8" w:rsidRDefault="005C2034" w:rsidP="00BE3D66">
      <w:pPr>
        <w:spacing w:before="0" w:after="0" w:line="240" w:lineRule="auto"/>
        <w:jc w:val="center"/>
        <w:rPr>
          <w:noProof/>
        </w:rPr>
      </w:pPr>
      <w:r w:rsidRPr="007C6CC8">
        <w:rPr>
          <w:noProof/>
        </w:rPr>
        <w:drawing>
          <wp:inline distT="0" distB="0" distL="0" distR="0" wp14:anchorId="667393D3" wp14:editId="26A69F7F">
            <wp:extent cx="3829050" cy="2164180"/>
            <wp:effectExtent l="0" t="0" r="0" b="7620"/>
            <wp:docPr id="1418230360" name="Picture 12" descr="Line graph showing count of notifications by year of diagnosis from 2014 to 2026, categorised into Respiratory (orange), Cutaneous (blue), and unknown (grey). Cutaneous notifications rise sharply after 2023, peaking near 70 in 2026, while respiratory cases increase more gradually, reaching about 25 in 2026, with unknown category remaining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30360" name="Picture 12" descr="Line graph showing count of notifications by year of diagnosis from 2014 to 2026, categorised into Respiratory (orange), Cutaneous (blue), and unknown (grey). Cutaneous notifications rise sharply after 2023, peaking near 70 in 2026, while respiratory cases increase more gradually, reaching about 25 in 2026, with unknown category remaining minima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35209" cy="2167661"/>
                    </a:xfrm>
                    <a:prstGeom prst="rect">
                      <a:avLst/>
                    </a:prstGeom>
                    <a:noFill/>
                  </pic:spPr>
                </pic:pic>
              </a:graphicData>
            </a:graphic>
          </wp:inline>
        </w:drawing>
      </w:r>
    </w:p>
    <w:p w14:paraId="27FDED69" w14:textId="5F65A8D0" w:rsidR="00194577" w:rsidRPr="007C6CC8" w:rsidRDefault="00B113BE" w:rsidP="009B080B">
      <w:pPr>
        <w:pStyle w:val="Heading2"/>
        <w:keepNext w:val="0"/>
      </w:pPr>
      <w:r w:rsidRPr="007C6CC8">
        <w:t>Age and sex</w:t>
      </w:r>
    </w:p>
    <w:p w14:paraId="7B07F143" w14:textId="3BD24946" w:rsidR="00983825" w:rsidRPr="00DA4B6C"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predominately been reported among those aged 25 years and over</w:t>
      </w:r>
      <w:r w:rsidR="00EF62C7" w:rsidRPr="00DA4B6C">
        <w:t xml:space="preserve">, with variability in the proportion of cases reported among those </w:t>
      </w:r>
      <w:r w:rsidR="006762FD" w:rsidRPr="00DA4B6C">
        <w:t>in younger age groups since 2017</w:t>
      </w:r>
      <w:r w:rsidR="00D96CA3" w:rsidRPr="00DA4B6C">
        <w:t xml:space="preserve"> (</w:t>
      </w:r>
      <w:r w:rsidR="00112087" w:rsidRPr="00DA4B6C">
        <w:fldChar w:fldCharType="begin"/>
      </w:r>
      <w:r w:rsidR="00112087" w:rsidRPr="00DA4B6C">
        <w:instrText xml:space="preserve"> REF _Ref222930497 \h </w:instrText>
      </w:r>
      <w:r w:rsidR="00246ED3" w:rsidRPr="00DA4B6C">
        <w:instrText xml:space="preserve"> \* MERGEFORMAT </w:instrText>
      </w:r>
      <w:r w:rsidR="00112087" w:rsidRPr="00DA4B6C">
        <w:fldChar w:fldCharType="separate"/>
      </w:r>
      <w:r w:rsidR="002E1ED3" w:rsidRPr="00DA4B6C">
        <w:t xml:space="preserve">Figure </w:t>
      </w:r>
      <w:r w:rsidR="002E1ED3" w:rsidRPr="00DA4B6C">
        <w:rPr>
          <w:noProof/>
        </w:rPr>
        <w:t>10</w:t>
      </w:r>
      <w:r w:rsidR="00112087" w:rsidRPr="00DA4B6C">
        <w:fldChar w:fldCharType="end"/>
      </w:r>
      <w:r w:rsidR="00112087" w:rsidRPr="00DA4B6C">
        <w:t>)</w:t>
      </w:r>
      <w:r w:rsidR="006762FD" w:rsidRPr="00DA4B6C">
        <w:t xml:space="preserve">. </w:t>
      </w:r>
      <w:r w:rsidR="004641B1" w:rsidRPr="00DA4B6C">
        <w:t>The highest notification rates</w:t>
      </w:r>
      <w:r w:rsidR="00D6369A" w:rsidRPr="00DA4B6C">
        <w:t xml:space="preserve"> </w:t>
      </w:r>
      <w:r w:rsidR="00034135" w:rsidRPr="00DA4B6C">
        <w:t xml:space="preserve">and number of </w:t>
      </w:r>
      <w:r w:rsidR="00034135" w:rsidRPr="00DA4B6C">
        <w:lastRenderedPageBreak/>
        <w:t xml:space="preserve">cases </w:t>
      </w:r>
      <w:r w:rsidR="00D6369A" w:rsidRPr="00DA4B6C">
        <w:t xml:space="preserve">so far in 2026 are among those </w:t>
      </w:r>
      <w:r w:rsidR="00CB2528" w:rsidRPr="00DA4B6C">
        <w:t xml:space="preserve">in the </w:t>
      </w:r>
      <w:r w:rsidR="00E6173F" w:rsidRPr="00DA4B6C">
        <w:t xml:space="preserve">25 to 44 years age group, followed by the </w:t>
      </w:r>
      <w:r w:rsidR="00CB2528" w:rsidRPr="00DA4B6C">
        <w:t>15</w:t>
      </w:r>
      <w:r w:rsidR="00BF4E91" w:rsidRPr="00DA4B6C">
        <w:t> to </w:t>
      </w:r>
      <w:r w:rsidR="00CB2528" w:rsidRPr="00DA4B6C">
        <w:t xml:space="preserve">24 years </w:t>
      </w:r>
      <w:r w:rsidR="00E6173F" w:rsidRPr="00DA4B6C">
        <w:t>age group</w:t>
      </w:r>
      <w:r w:rsidR="00CB2528" w:rsidRPr="00DA4B6C">
        <w:t xml:space="preserve"> </w:t>
      </w:r>
      <w:r w:rsidR="00034135" w:rsidRPr="00DA4B6C">
        <w:t>(</w:t>
      </w:r>
      <w:r w:rsidR="00034135" w:rsidRPr="00DA4B6C">
        <w:fldChar w:fldCharType="begin"/>
      </w:r>
      <w:r w:rsidR="00034135" w:rsidRPr="00DA4B6C">
        <w:instrText xml:space="preserve"> REF _Ref225257606 \h </w:instrText>
      </w:r>
      <w:r w:rsidR="00246ED3" w:rsidRPr="00DA4B6C">
        <w:instrText xml:space="preserve"> \* MERGEFORMAT </w:instrText>
      </w:r>
      <w:r w:rsidR="00034135" w:rsidRPr="00DA4B6C">
        <w:fldChar w:fldCharType="separate"/>
      </w:r>
      <w:r w:rsidR="002E1ED3" w:rsidRPr="00DA4B6C">
        <w:t xml:space="preserve">Figure </w:t>
      </w:r>
      <w:r w:rsidR="002E1ED3" w:rsidRPr="00DA4B6C">
        <w:rPr>
          <w:noProof/>
        </w:rPr>
        <w:t>11</w:t>
      </w:r>
      <w:r w:rsidR="00034135" w:rsidRPr="00DA4B6C">
        <w:fldChar w:fldCharType="end"/>
      </w:r>
      <w:r w:rsidR="00034135" w:rsidRPr="00DA4B6C">
        <w:t>)</w:t>
      </w:r>
      <w:r w:rsidR="00ED60F7" w:rsidRPr="00DA4B6C">
        <w:t>.</w:t>
      </w:r>
      <w:r w:rsidR="004E409E" w:rsidRPr="00DA4B6C">
        <w:t xml:space="preserve"> </w:t>
      </w:r>
      <w:r w:rsidR="006C3391" w:rsidRPr="00DA4B6C">
        <w:t>So far in 2026,  b</w:t>
      </w:r>
      <w:r w:rsidR="00027AD9" w:rsidRPr="00DA4B6C">
        <w:t xml:space="preserve">y clinical presentation, </w:t>
      </w:r>
      <w:r w:rsidR="004961E4" w:rsidRPr="00DA4B6C">
        <w:t xml:space="preserve">the median age of </w:t>
      </w:r>
      <w:r w:rsidR="00621948" w:rsidRPr="00DA4B6C">
        <w:t>cut</w:t>
      </w:r>
      <w:r w:rsidR="004961E4" w:rsidRPr="00DA4B6C">
        <w:t>aneous diphtheria cases (</w:t>
      </w:r>
      <w:r w:rsidR="004679A8" w:rsidRPr="00DA4B6C">
        <w:t xml:space="preserve">35 years; IQR 24.8-44.0) </w:t>
      </w:r>
      <w:r w:rsidR="007D4457" w:rsidRPr="00DA4B6C">
        <w:t>has been</w:t>
      </w:r>
      <w:r w:rsidR="004679A8" w:rsidRPr="00DA4B6C">
        <w:t xml:space="preserve"> higher compared to </w:t>
      </w:r>
      <w:r w:rsidR="00027AD9" w:rsidRPr="00DA4B6C">
        <w:t xml:space="preserve">respiratory </w:t>
      </w:r>
      <w:r w:rsidR="00062B2A" w:rsidRPr="00DA4B6C">
        <w:t xml:space="preserve">diphtheria </w:t>
      </w:r>
      <w:r w:rsidR="00027AD9" w:rsidRPr="00DA4B6C">
        <w:t xml:space="preserve">cases </w:t>
      </w:r>
      <w:r w:rsidR="007D4457" w:rsidRPr="00DA4B6C">
        <w:t>(</w:t>
      </w:r>
      <w:r w:rsidR="00DF140C" w:rsidRPr="00DA4B6C">
        <w:t>1</w:t>
      </w:r>
      <w:r w:rsidR="007D4457" w:rsidRPr="00DA4B6C">
        <w:t xml:space="preserve">6 years; IQR 10.5-26.0), with this </w:t>
      </w:r>
      <w:r w:rsidR="00F137E4" w:rsidRPr="00DA4B6C">
        <w:t>pattern</w:t>
      </w:r>
      <w:r w:rsidR="00AF7003" w:rsidRPr="00DA4B6C">
        <w:t xml:space="preserve"> </w:t>
      </w:r>
      <w:r w:rsidR="00946578" w:rsidRPr="00DA4B6C">
        <w:t xml:space="preserve">consistent with previous years </w:t>
      </w:r>
      <w:r w:rsidR="007E1ADE" w:rsidRPr="00DA4B6C">
        <w:t>(</w:t>
      </w:r>
      <w:r w:rsidR="007E1ADE" w:rsidRPr="00DA4B6C">
        <w:fldChar w:fldCharType="begin"/>
      </w:r>
      <w:r w:rsidR="007E1ADE" w:rsidRPr="00DA4B6C">
        <w:instrText xml:space="preserve"> REF _Ref225257606 \h </w:instrText>
      </w:r>
      <w:r w:rsidR="00246ED3" w:rsidRPr="00DA4B6C">
        <w:instrText xml:space="preserve"> \* MERGEFORMAT </w:instrText>
      </w:r>
      <w:r w:rsidR="007E1ADE" w:rsidRPr="00DA4B6C">
        <w:fldChar w:fldCharType="separate"/>
      </w:r>
      <w:r w:rsidR="002E1ED3" w:rsidRPr="00DA4B6C">
        <w:t xml:space="preserve">Figure </w:t>
      </w:r>
      <w:r w:rsidR="002E1ED3" w:rsidRPr="00DA4B6C">
        <w:rPr>
          <w:noProof/>
        </w:rPr>
        <w:t>11</w:t>
      </w:r>
      <w:r w:rsidR="007E1ADE" w:rsidRPr="00DA4B6C">
        <w:fldChar w:fldCharType="end"/>
      </w:r>
      <w:r w:rsidR="007E1ADE" w:rsidRPr="00DA4B6C">
        <w:t>).</w:t>
      </w:r>
      <w:r w:rsidR="00C82E48" w:rsidRPr="00DA4B6C">
        <w:t xml:space="preserve"> </w:t>
      </w:r>
    </w:p>
    <w:p w14:paraId="49C2CFB2" w14:textId="2F693508" w:rsidR="00C02918" w:rsidRPr="00DA4B6C" w:rsidRDefault="00481499" w:rsidP="0074201E">
      <w:r w:rsidRPr="00DA4B6C">
        <w:t>Between 2022</w:t>
      </w:r>
      <w:r w:rsidR="00560832" w:rsidRPr="00DA4B6C">
        <w:t xml:space="preserve"> and </w:t>
      </w:r>
      <w:r w:rsidRPr="00DA4B6C">
        <w:t>2025</w:t>
      </w:r>
      <w:r w:rsidR="008A332B" w:rsidRPr="00DA4B6C">
        <w:t>,</w:t>
      </w:r>
      <w:r w:rsidRPr="00DA4B6C">
        <w:t xml:space="preserve"> the distribution of cases by sex </w:t>
      </w:r>
      <w:r w:rsidR="00B805A0" w:rsidRPr="00DA4B6C">
        <w:t>was</w:t>
      </w:r>
      <w:r w:rsidR="00852041" w:rsidRPr="00DA4B6C">
        <w:t xml:space="preserve"> relatively </w:t>
      </w:r>
      <w:r w:rsidR="009D5E2B" w:rsidRPr="00DA4B6C">
        <w:t>balanced</w:t>
      </w:r>
      <w:r w:rsidR="00E761DE" w:rsidRPr="00DA4B6C">
        <w:t xml:space="preserve"> (52.5% males)</w:t>
      </w:r>
      <w:r w:rsidR="00852041" w:rsidRPr="00DA4B6C">
        <w:t xml:space="preserve">, with </w:t>
      </w:r>
      <w:r w:rsidR="00E761DE" w:rsidRPr="00DA4B6C">
        <w:t>some variability by</w:t>
      </w:r>
      <w:r w:rsidR="00852041" w:rsidRPr="00DA4B6C">
        <w:t xml:space="preserve"> age group</w:t>
      </w:r>
      <w:r w:rsidR="0065263F" w:rsidRPr="00DA4B6C">
        <w:t xml:space="preserve">. This </w:t>
      </w:r>
      <w:r w:rsidR="002C6309" w:rsidRPr="00DA4B6C">
        <w:t xml:space="preserve">pattern has remained broadly </w:t>
      </w:r>
      <w:r w:rsidR="0065263F" w:rsidRPr="00DA4B6C">
        <w:t xml:space="preserve">consistent </w:t>
      </w:r>
      <w:r w:rsidR="00852041" w:rsidRPr="00DA4B6C">
        <w:t>so far in 2026</w:t>
      </w:r>
      <w:r w:rsidR="00C571A7" w:rsidRPr="00DA4B6C">
        <w:t xml:space="preserve">, with </w:t>
      </w:r>
      <w:r w:rsidR="00966CA6" w:rsidRPr="00DA4B6C">
        <w:t>55.4</w:t>
      </w:r>
      <w:r w:rsidR="00C571A7" w:rsidRPr="00DA4B6C">
        <w:t xml:space="preserve">% of cases among </w:t>
      </w:r>
      <w:r w:rsidR="00BE3D66" w:rsidRPr="00DA4B6C">
        <w:t>males</w:t>
      </w:r>
      <w:r w:rsidR="0074201E" w:rsidRPr="00DA4B6C">
        <w:t>.</w:t>
      </w:r>
    </w:p>
    <w:p w14:paraId="63C5A9E0" w14:textId="748EBC03" w:rsidR="00194577" w:rsidRPr="00DA4B6C" w:rsidRDefault="00C83750" w:rsidP="00DA4B6C">
      <w:pPr>
        <w:pStyle w:val="FigureTitle"/>
      </w:pPr>
      <w:bookmarkStart w:id="10" w:name="_Ref222930497"/>
      <w:r w:rsidRPr="00DA4B6C">
        <w:t xml:space="preserve">Figure </w:t>
      </w:r>
      <w:r w:rsidRPr="00DA4B6C">
        <w:fldChar w:fldCharType="begin"/>
      </w:r>
      <w:r w:rsidRPr="00DA4B6C">
        <w:instrText xml:space="preserve"> SEQ Figure \* ARABIC </w:instrText>
      </w:r>
      <w:r w:rsidRPr="00DA4B6C">
        <w:fldChar w:fldCharType="separate"/>
      </w:r>
      <w:r w:rsidR="002E1ED3" w:rsidRPr="00DA4B6C">
        <w:t>10</w:t>
      </w:r>
      <w:r w:rsidRPr="00DA4B6C">
        <w:fldChar w:fldCharType="end"/>
      </w:r>
      <w:bookmarkEnd w:id="10"/>
      <w:r w:rsidRPr="00DA4B6C">
        <w:t xml:space="preserve">: Proportion of </w:t>
      </w:r>
      <w:r w:rsidR="006762FD" w:rsidRPr="00DA4B6C">
        <w:t>diphtheria</w:t>
      </w:r>
      <w:r w:rsidRPr="00DA4B6C">
        <w:t xml:space="preserve"> notifications by </w:t>
      </w:r>
      <w:r w:rsidR="00AD375F" w:rsidRPr="00DA4B6C">
        <w:t xml:space="preserve">age group, Australia, 1 January 2014 to </w:t>
      </w:r>
      <w:r w:rsidR="00412391" w:rsidRPr="00DA4B6C">
        <w:t xml:space="preserve">20 April </w:t>
      </w:r>
      <w:r w:rsidR="00AD375F" w:rsidRPr="00DA4B6C">
        <w:t>2026</w:t>
      </w:r>
    </w:p>
    <w:p w14:paraId="7A45DDF3" w14:textId="303AC1EF" w:rsidR="00ED60F7" w:rsidRPr="007C6CC8" w:rsidRDefault="00966CA6" w:rsidP="00EF1970">
      <w:pPr>
        <w:tabs>
          <w:tab w:val="left" w:pos="2977"/>
        </w:tabs>
        <w:spacing w:before="0" w:after="0" w:line="240" w:lineRule="auto"/>
        <w:jc w:val="center"/>
      </w:pPr>
      <w:r w:rsidRPr="007C6CC8">
        <w:rPr>
          <w:noProof/>
        </w:rPr>
        <w:drawing>
          <wp:inline distT="0" distB="0" distL="0" distR="0" wp14:anchorId="7E77779E" wp14:editId="665C336D">
            <wp:extent cx="3703044" cy="2124075"/>
            <wp:effectExtent l="0" t="0" r="0" b="0"/>
            <wp:docPr id="1211205838" name="Picture 14" descr="Stacked bar chart showing proportion of notifications by age group from 2014 to 2026, with age groups color-coded from under 1 year to 65+ years. The chart highlights shifts in age distribution over time, including a notable increase in notifications for the 25-44 and 45-64 age groups starting around 2020, and a decline in the 65+ group af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05838" name="Picture 14" descr="Stacked bar chart showing proportion of notifications by age group from 2014 to 2026, with age groups color-coded from under 1 year to 65+ years. The chart highlights shifts in age distribution over time, including a notable increase in notifications for the 25-44 and 45-64 age groups starting around 2020, and a decline in the 65+ group after 20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2567" cy="2135273"/>
                    </a:xfrm>
                    <a:prstGeom prst="rect">
                      <a:avLst/>
                    </a:prstGeom>
                    <a:noFill/>
                  </pic:spPr>
                </pic:pic>
              </a:graphicData>
            </a:graphic>
          </wp:inline>
        </w:drawing>
      </w:r>
    </w:p>
    <w:p w14:paraId="493A5135" w14:textId="13439863" w:rsidR="00592716" w:rsidRPr="00DA4B6C" w:rsidRDefault="00592716" w:rsidP="00DA4B6C">
      <w:pPr>
        <w:pStyle w:val="FigureTitle"/>
      </w:pPr>
      <w:bookmarkStart w:id="11" w:name="_Ref225257606"/>
      <w:bookmarkStart w:id="12" w:name="_Ref223000109"/>
      <w:r w:rsidRPr="00DA4B6C">
        <w:t xml:space="preserve">Figure </w:t>
      </w:r>
      <w:r w:rsidRPr="00DA4B6C">
        <w:fldChar w:fldCharType="begin"/>
      </w:r>
      <w:r w:rsidRPr="00DA4B6C">
        <w:instrText xml:space="preserve"> SEQ Figure \* ARABIC </w:instrText>
      </w:r>
      <w:r w:rsidRPr="00DA4B6C">
        <w:fldChar w:fldCharType="separate"/>
      </w:r>
      <w:r w:rsidR="002E1ED3" w:rsidRPr="00DA4B6C">
        <w:t>11</w:t>
      </w:r>
      <w:r w:rsidRPr="00DA4B6C">
        <w:fldChar w:fldCharType="end"/>
      </w:r>
      <w:bookmarkEnd w:id="11"/>
      <w:r w:rsidRPr="00DA4B6C">
        <w:t xml:space="preserve">: </w:t>
      </w:r>
      <w:r w:rsidR="00275C6A" w:rsidRPr="00DA4B6C">
        <w:t xml:space="preserve">Notifications of </w:t>
      </w:r>
      <w:r w:rsidR="00162F7B" w:rsidRPr="00DA4B6C">
        <w:t>diphtheria</w:t>
      </w:r>
      <w:r w:rsidR="00275C6A" w:rsidRPr="00DA4B6C">
        <w:t xml:space="preserve"> by age group and </w:t>
      </w:r>
      <w:r w:rsidR="00162F7B" w:rsidRPr="00DA4B6C">
        <w:t>clinical presentation</w:t>
      </w:r>
      <w:r w:rsidR="00275C6A" w:rsidRPr="00DA4B6C">
        <w:t xml:space="preserve">, Australia, </w:t>
      </w:r>
      <w:r w:rsidR="004970E7" w:rsidRPr="00DA4B6C">
        <w:t>1</w:t>
      </w:r>
      <w:r w:rsidR="00560832" w:rsidRPr="00DA4B6C">
        <w:t> </w:t>
      </w:r>
      <w:r w:rsidR="004970E7" w:rsidRPr="00DA4B6C">
        <w:t xml:space="preserve">January </w:t>
      </w:r>
      <w:r w:rsidR="00275C6A" w:rsidRPr="00DA4B6C">
        <w:t>2022</w:t>
      </w:r>
      <w:r w:rsidR="004970E7" w:rsidRPr="00DA4B6C">
        <w:t xml:space="preserve"> to </w:t>
      </w:r>
      <w:r w:rsidR="00412391" w:rsidRPr="00DA4B6C">
        <w:t xml:space="preserve">20 April </w:t>
      </w:r>
      <w:r w:rsidR="00275C6A" w:rsidRPr="00DA4B6C">
        <w:t>202</w:t>
      </w:r>
      <w:r w:rsidR="004970E7" w:rsidRPr="00DA4B6C">
        <w:t>6</w:t>
      </w:r>
    </w:p>
    <w:p w14:paraId="6F535C35" w14:textId="631425FA" w:rsidR="00275C6A" w:rsidRPr="007C6CC8" w:rsidRDefault="00A84779" w:rsidP="00BE3D66">
      <w:pPr>
        <w:spacing w:before="0" w:after="0" w:line="240" w:lineRule="auto"/>
        <w:jc w:val="center"/>
      </w:pPr>
      <w:r w:rsidRPr="007C6CC8">
        <w:rPr>
          <w:noProof/>
        </w:rPr>
        <w:drawing>
          <wp:inline distT="0" distB="0" distL="0" distR="0" wp14:anchorId="11202E3F" wp14:editId="69D11B6D">
            <wp:extent cx="4190340" cy="2324100"/>
            <wp:effectExtent l="0" t="0" r="1270" b="0"/>
            <wp:docPr id="1901938859" name="Picture 15" descr="Bar chart comparing respiratory and cutaneous notification counts across age groups for 2022-2025 mean and 2026. Cutaneous notifications, shown in blue, peak significantly in 25-44 age group in 2026, while respiratory notifications, in orange, increase steadily with highest counts in 15-24 and 25-44 ag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38859" name="Picture 15" descr="Bar chart comparing respiratory and cutaneous notification counts across age groups for 2022-2025 mean and 2026. Cutaneous notifications, shown in blue, peak significantly in 25-44 age group in 2026, while respiratory notifications, in orange, increase steadily with highest counts in 15-24 and 25-44 age grou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11122" cy="2335626"/>
                    </a:xfrm>
                    <a:prstGeom prst="rect">
                      <a:avLst/>
                    </a:prstGeom>
                    <a:noFill/>
                  </pic:spPr>
                </pic:pic>
              </a:graphicData>
            </a:graphic>
          </wp:inline>
        </w:drawing>
      </w:r>
    </w:p>
    <w:bookmarkEnd w:id="12"/>
    <w:p w14:paraId="7DC5D6CC" w14:textId="6A950971" w:rsidR="00814FF3" w:rsidRPr="007C6CC8" w:rsidRDefault="00814FF3" w:rsidP="009B080B">
      <w:pPr>
        <w:pStyle w:val="Heading2"/>
        <w:keepNext w:val="0"/>
      </w:pPr>
      <w:r w:rsidRPr="007C6CC8">
        <w:t>Indigenous status</w:t>
      </w:r>
    </w:p>
    <w:p w14:paraId="29CE3C9B" w14:textId="7128AD94" w:rsidR="00814FF3" w:rsidRPr="00837A8A" w:rsidRDefault="00814FF3" w:rsidP="009B080B">
      <w:r w:rsidRPr="00837A8A">
        <w:t>Indigenous status completeness for diphtheria has remained consistently high</w:t>
      </w:r>
      <w:r w:rsidR="00B217ED" w:rsidRPr="00837A8A">
        <w:t>,</w:t>
      </w:r>
      <w:r w:rsidRPr="00837A8A">
        <w:t xml:space="preserve"> at over 98.</w:t>
      </w:r>
      <w:r w:rsidR="000477F7" w:rsidRPr="00837A8A">
        <w:t>7</w:t>
      </w:r>
      <w:r w:rsidRPr="00837A8A">
        <w:t>% across 2014</w:t>
      </w:r>
      <w:r w:rsidR="00560832" w:rsidRPr="00837A8A">
        <w:t xml:space="preserve"> to </w:t>
      </w:r>
      <w:r w:rsidRPr="00837A8A">
        <w:t>2026. Between 2014</w:t>
      </w:r>
      <w:r w:rsidR="00560832" w:rsidRPr="00837A8A">
        <w:t xml:space="preserve"> and </w:t>
      </w:r>
      <w:r w:rsidRPr="00837A8A">
        <w:t>2019, the proportion of diphtheria cases among Aboriginal and</w:t>
      </w:r>
      <w:r w:rsidR="00D01973" w:rsidRPr="00837A8A">
        <w:t>/or</w:t>
      </w:r>
      <w:r w:rsidRPr="00837A8A">
        <w:t xml:space="preserve"> Torres Strait Islander people was around 10.5% of cases, noting that there were very few cases reported in 2014</w:t>
      </w:r>
      <w:r w:rsidR="00560832" w:rsidRPr="00837A8A">
        <w:t xml:space="preserve"> and </w:t>
      </w:r>
      <w:r w:rsidRPr="00837A8A">
        <w:t>2015 (n=4) (</w:t>
      </w:r>
      <w:r w:rsidRPr="00837A8A">
        <w:fldChar w:fldCharType="begin"/>
      </w:r>
      <w:r w:rsidRPr="00837A8A">
        <w:instrText xml:space="preserve"> REF _Ref225254123 \h </w:instrText>
      </w:r>
      <w:r w:rsidR="00246ED3" w:rsidRPr="00837A8A">
        <w:instrText xml:space="preserve"> \* MERGEFORMAT </w:instrText>
      </w:r>
      <w:r w:rsidRPr="00837A8A">
        <w:fldChar w:fldCharType="separate"/>
      </w:r>
      <w:r w:rsidR="002E1ED3" w:rsidRPr="00837A8A">
        <w:t xml:space="preserve">Figure </w:t>
      </w:r>
      <w:r w:rsidR="002E1ED3" w:rsidRPr="00837A8A">
        <w:rPr>
          <w:noProof/>
        </w:rPr>
        <w:t>12</w:t>
      </w:r>
      <w:r w:rsidRPr="00837A8A">
        <w:fldChar w:fldCharType="end"/>
      </w:r>
      <w:r w:rsidRPr="00837A8A">
        <w:t xml:space="preserve">). </w:t>
      </w:r>
      <w:r w:rsidR="00540928" w:rsidRPr="00837A8A">
        <w:t>Between</w:t>
      </w:r>
      <w:r w:rsidRPr="00837A8A">
        <w:t xml:space="preserve"> 2020</w:t>
      </w:r>
      <w:r w:rsidR="003158AB" w:rsidRPr="00837A8A">
        <w:t xml:space="preserve"> to </w:t>
      </w:r>
      <w:r w:rsidRPr="00837A8A">
        <w:t xml:space="preserve">2022, which included multiple diphtheria clusters in </w:t>
      </w:r>
      <w:r w:rsidR="009F2EF9" w:rsidRPr="00837A8A">
        <w:t>North</w:t>
      </w:r>
      <w:r w:rsidRPr="00837A8A">
        <w:t xml:space="preserve"> Queensland, the proportion of cases among Aboriginal and</w:t>
      </w:r>
      <w:r w:rsidR="00D01973" w:rsidRPr="00837A8A">
        <w:t>/or</w:t>
      </w:r>
      <w:r w:rsidRPr="00837A8A">
        <w:t xml:space="preserve"> Torres Strait Islander people increased to 64.</w:t>
      </w:r>
      <w:r w:rsidR="005A4D2A" w:rsidRPr="00837A8A">
        <w:t>6</w:t>
      </w:r>
      <w:r w:rsidRPr="00837A8A">
        <w:t xml:space="preserve">%. So far in 2026, </w:t>
      </w:r>
      <w:r w:rsidR="005A4D2A" w:rsidRPr="00837A8A">
        <w:t>91.3</w:t>
      </w:r>
      <w:r w:rsidRPr="00837A8A">
        <w:t>% of cases have been reported among Aboriginal and</w:t>
      </w:r>
      <w:r w:rsidR="00D01973" w:rsidRPr="00837A8A">
        <w:t>/or</w:t>
      </w:r>
      <w:r w:rsidRPr="00837A8A">
        <w:t xml:space="preserve"> Torres Strait Islander people.</w:t>
      </w:r>
    </w:p>
    <w:p w14:paraId="67F7E0BF" w14:textId="485B5C74" w:rsidR="00814FF3" w:rsidRPr="00C30FCB" w:rsidRDefault="00814FF3" w:rsidP="00782547">
      <w:pPr>
        <w:pStyle w:val="FigureTitle"/>
      </w:pPr>
      <w:bookmarkStart w:id="13" w:name="_Ref225254123"/>
      <w:r w:rsidRPr="007C6CC8">
        <w:lastRenderedPageBreak/>
        <w:t xml:space="preserve">Figure </w:t>
      </w:r>
      <w:r w:rsidRPr="007C6CC8">
        <w:fldChar w:fldCharType="begin"/>
      </w:r>
      <w:r w:rsidRPr="007C6CC8">
        <w:instrText xml:space="preserve"> SEQ Figure \* ARABIC </w:instrText>
      </w:r>
      <w:r w:rsidRPr="007C6CC8">
        <w:fldChar w:fldCharType="separate"/>
      </w:r>
      <w:r w:rsidR="002E1ED3">
        <w:rPr>
          <w:noProof/>
        </w:rPr>
        <w:t>12</w:t>
      </w:r>
      <w:r w:rsidRPr="007C6CC8">
        <w:fldChar w:fldCharType="end"/>
      </w:r>
      <w:bookmarkEnd w:id="13"/>
      <w:r w:rsidRPr="007C6CC8">
        <w:t>: Proportion of diphtheria notifications by Indigenous status</w:t>
      </w:r>
      <w:r w:rsidR="00B217ED" w:rsidRPr="007C6CC8">
        <w:t>,</w:t>
      </w:r>
      <w:r w:rsidRPr="007C6CC8">
        <w:t xml:space="preserve"> Australia, </w:t>
      </w:r>
      <w:r w:rsidRPr="00C30FCB">
        <w:t>1</w:t>
      </w:r>
      <w:r w:rsidR="003158AB" w:rsidRPr="00C30FCB">
        <w:t> </w:t>
      </w:r>
      <w:r w:rsidRPr="00C30FCB">
        <w:t>January</w:t>
      </w:r>
      <w:r w:rsidR="003158AB" w:rsidRPr="00C30FCB">
        <w:t> </w:t>
      </w:r>
      <w:r w:rsidRPr="00C30FCB">
        <w:t xml:space="preserve">2014 to </w:t>
      </w:r>
      <w:r w:rsidR="00412391" w:rsidRPr="00C30FCB">
        <w:t xml:space="preserve">20 April </w:t>
      </w:r>
      <w:r w:rsidRPr="00C30FCB">
        <w:t>2026</w:t>
      </w:r>
    </w:p>
    <w:p w14:paraId="2B75E272" w14:textId="03013864" w:rsidR="00814FF3" w:rsidRPr="007C6CC8" w:rsidRDefault="009C65CC" w:rsidP="007D0FE4">
      <w:pPr>
        <w:pStyle w:val="Caption"/>
        <w:spacing w:before="0"/>
        <w:jc w:val="center"/>
      </w:pPr>
      <w:r w:rsidRPr="007C6CC8">
        <w:rPr>
          <w:noProof/>
        </w:rPr>
        <w:drawing>
          <wp:inline distT="0" distB="0" distL="0" distR="0" wp14:anchorId="2796AF5F" wp14:editId="45616E81">
            <wp:extent cx="3762375" cy="2257112"/>
            <wp:effectExtent l="0" t="0" r="0" b="0"/>
            <wp:docPr id="965454420" name="Picture 16" descr="Stacked bar chart showing proportion of notifications by Indigenous, non-Indigenous, and unknown categories from 2014 to 2026. Notable trends include a rise in Indigenous notifications from 2019 onward, peaking around 90%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54420" name="Picture 16" descr="Stacked bar chart showing proportion of notifications by Indigenous, non-Indigenous, and unknown categories from 2014 to 2026. Notable trends include a rise in Indigenous notifications from 2019 onward, peaking around 90% in 20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5257" cy="2264840"/>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7D4CD952" w:rsidR="008B340C" w:rsidRPr="00837A8A"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(28</w:t>
      </w:r>
      <w:r w:rsidR="00856003" w:rsidRPr="00837A8A">
        <w:t>.2</w:t>
      </w:r>
      <w:r w:rsidR="004104A5" w:rsidRPr="00837A8A">
        <w:t>%) of diphtheria</w:t>
      </w:r>
      <w:r w:rsidR="00A73FF7" w:rsidRPr="00837A8A">
        <w:t xml:space="preserve"> noti</w:t>
      </w:r>
      <w:r w:rsidR="000423C9" w:rsidRPr="00837A8A">
        <w:t>fications were</w:t>
      </w:r>
      <w:r w:rsidR="009601AF" w:rsidRPr="00837A8A">
        <w:t xml:space="preserve"> reported as being</w:t>
      </w:r>
      <w:r w:rsidR="000423C9" w:rsidRPr="00837A8A">
        <w:t xml:space="preserve"> hospitalised</w:t>
      </w:r>
      <w:r w:rsidR="009200A2" w:rsidRPr="00837A8A">
        <w:t xml:space="preserve">, with </w:t>
      </w:r>
      <w:r w:rsidR="00402AB9" w:rsidRPr="00837A8A">
        <w:t xml:space="preserve">proportions of cases hospitalised </w:t>
      </w:r>
      <w:r w:rsidR="007B05E3" w:rsidRPr="00837A8A">
        <w:t>higher among those with respiratory diphtheria</w:t>
      </w:r>
      <w:r w:rsidR="006A1855" w:rsidRPr="00837A8A">
        <w:t xml:space="preserve">. </w:t>
      </w:r>
      <w:r w:rsidR="001D681C" w:rsidRPr="00837A8A">
        <w:t>So far in</w:t>
      </w:r>
      <w:r w:rsidR="00A47776" w:rsidRPr="00837A8A">
        <w:t xml:space="preserve"> 2026,</w:t>
      </w:r>
      <w:r w:rsidR="004576E0" w:rsidRPr="00837A8A">
        <w:t xml:space="preserve"> a slightly higher proportion (</w:t>
      </w:r>
      <w:r w:rsidR="00D23693" w:rsidRPr="00837A8A">
        <w:t>3</w:t>
      </w:r>
      <w:r w:rsidR="002E7C08" w:rsidRPr="00837A8A">
        <w:t>2</w:t>
      </w:r>
      <w:r w:rsidR="00D23693" w:rsidRPr="00837A8A">
        <w:t>.</w:t>
      </w:r>
      <w:r w:rsidR="002E7C08" w:rsidRPr="00837A8A">
        <w:t>6</w:t>
      </w:r>
      <w:r w:rsidR="00D23693" w:rsidRPr="00837A8A">
        <w:t>%</w:t>
      </w:r>
      <w:r w:rsidR="004576E0" w:rsidRPr="00837A8A">
        <w:t>)</w:t>
      </w:r>
      <w:r w:rsidR="001E3F99" w:rsidRPr="00837A8A">
        <w:t xml:space="preserve"> of </w:t>
      </w:r>
      <w:r w:rsidR="008137B0" w:rsidRPr="00837A8A">
        <w:t>diphtheria cases have been hospitalised</w:t>
      </w:r>
      <w:r w:rsidR="004D27EA" w:rsidRPr="00837A8A">
        <w:t xml:space="preserve">, with the </w:t>
      </w:r>
      <w:r w:rsidR="005B066E" w:rsidRPr="00837A8A">
        <w:t>proportion</w:t>
      </w:r>
      <w:r w:rsidR="00A63AC4" w:rsidRPr="00837A8A">
        <w:t xml:space="preserve"> of </w:t>
      </w:r>
      <w:r w:rsidR="004D27EA" w:rsidRPr="00837A8A">
        <w:t>cases hospitalised by clinical presentation type being similar</w:t>
      </w:r>
      <w:r w:rsidR="002D2DF5" w:rsidRPr="00837A8A">
        <w:t xml:space="preserve">. This </w:t>
      </w:r>
      <w:r w:rsidR="00E6206A" w:rsidRPr="00837A8A">
        <w:t xml:space="preserve">higher proportion of case hospitalised </w:t>
      </w:r>
      <w:r w:rsidR="002D2DF5" w:rsidRPr="00837A8A">
        <w:t xml:space="preserve">may reflect </w:t>
      </w:r>
      <w:r w:rsidR="000B1944" w:rsidRPr="00837A8A">
        <w:t xml:space="preserve">true differences in disease severity or </w:t>
      </w:r>
      <w:r w:rsidR="00814CC0" w:rsidRPr="00837A8A">
        <w:t xml:space="preserve">differences </w:t>
      </w:r>
      <w:r w:rsidR="00931ED3" w:rsidRPr="00837A8A">
        <w:t xml:space="preserve">in the </w:t>
      </w:r>
      <w:r w:rsidR="00841AE2" w:rsidRPr="00837A8A">
        <w:t xml:space="preserve">public health management of </w:t>
      </w:r>
      <w:r w:rsidR="00B90A27" w:rsidRPr="00837A8A">
        <w:t>infections</w:t>
      </w:r>
      <w:r w:rsidR="00E6206A" w:rsidRPr="00837A8A">
        <w:t>, including by clinical presentation type</w:t>
      </w:r>
      <w:r w:rsidR="00B90A27" w:rsidRPr="00837A8A">
        <w:t>.</w:t>
      </w:r>
    </w:p>
    <w:p w14:paraId="5E0E41CB" w14:textId="59F3C7AE" w:rsidR="00DF0409" w:rsidRPr="007C6CC8" w:rsidRDefault="00540B62" w:rsidP="00DF0409">
      <w:r w:rsidRPr="00837A8A">
        <w:t>The most recent diphtheria associated death was reported in 2018 and involved an unvaccinated adult who had respiratory diphtheria</w:t>
      </w:r>
      <w:r w:rsidRPr="00540B62">
        <w:t>.</w:t>
      </w:r>
    </w:p>
    <w:p w14:paraId="4AC8B8EA" w14:textId="60B8BA75" w:rsidR="0079559E" w:rsidRPr="007C6CC8" w:rsidRDefault="0079559E" w:rsidP="0052158A">
      <w:pPr>
        <w:pStyle w:val="Heading2"/>
      </w:pPr>
      <w:r w:rsidRPr="007C6CC8">
        <w:t>Vaccination status</w:t>
      </w:r>
    </w:p>
    <w:p w14:paraId="1AB5779F" w14:textId="76DDBEB1" w:rsidR="00150DE4" w:rsidRPr="00837A8A" w:rsidRDefault="00150DE4" w:rsidP="008E2BC2">
      <w:r w:rsidRPr="00837A8A">
        <w:t xml:space="preserve">The vaccination status among diphtheria cases has </w:t>
      </w:r>
      <w:r w:rsidR="002178F4" w:rsidRPr="00837A8A">
        <w:t>differed</w:t>
      </w:r>
      <w:r w:rsidRPr="00837A8A">
        <w:t xml:space="preserve"> by clinical presentation</w:t>
      </w:r>
      <w:r w:rsidR="00A72EF3" w:rsidRPr="00837A8A">
        <w:t xml:space="preserve"> type</w:t>
      </w:r>
      <w:r w:rsidR="006C44FB" w:rsidRPr="00837A8A">
        <w:t xml:space="preserve"> (</w:t>
      </w:r>
      <w:r w:rsidR="00CE2D54" w:rsidRPr="00837A8A">
        <w:fldChar w:fldCharType="begin"/>
      </w:r>
      <w:r w:rsidR="00CE2D54" w:rsidRPr="00837A8A">
        <w:instrText xml:space="preserve"> REF _Ref225809015 \h </w:instrText>
      </w:r>
      <w:r w:rsidR="00246ED3" w:rsidRPr="00837A8A">
        <w:instrText xml:space="preserve"> \* MERGEFORMAT </w:instrText>
      </w:r>
      <w:r w:rsidR="00CE2D54" w:rsidRPr="00837A8A">
        <w:fldChar w:fldCharType="separate"/>
      </w:r>
      <w:r w:rsidR="002E1ED3" w:rsidRPr="00837A8A">
        <w:t xml:space="preserve">Figure </w:t>
      </w:r>
      <w:r w:rsidR="002E1ED3" w:rsidRPr="00837A8A">
        <w:rPr>
          <w:noProof/>
        </w:rPr>
        <w:t>13</w:t>
      </w:r>
      <w:r w:rsidR="00CE2D54" w:rsidRPr="00837A8A">
        <w:fldChar w:fldCharType="end"/>
      </w:r>
      <w:r w:rsidR="006C44FB" w:rsidRPr="00837A8A">
        <w:t>)</w:t>
      </w:r>
      <w:r w:rsidR="00DE3251" w:rsidRPr="00837A8A">
        <w:t xml:space="preserve">. Since 2022, </w:t>
      </w:r>
      <w:r w:rsidR="0079192F" w:rsidRPr="00837A8A">
        <w:t>a higher proportion of respiratory diphtheria cases (</w:t>
      </w:r>
      <w:r w:rsidR="00C40748" w:rsidRPr="00837A8A">
        <w:t xml:space="preserve">75.0%) </w:t>
      </w:r>
      <w:r w:rsidR="00B45410" w:rsidRPr="00837A8A">
        <w:t>had</w:t>
      </w:r>
      <w:r w:rsidR="00A73677" w:rsidRPr="00837A8A">
        <w:t xml:space="preserve"> received </w:t>
      </w:r>
      <w:r w:rsidRPr="00837A8A">
        <w:t>3</w:t>
      </w:r>
      <w:r w:rsidR="00B217ED" w:rsidRPr="00837A8A">
        <w:t> </w:t>
      </w:r>
      <w:r w:rsidRPr="00837A8A">
        <w:t xml:space="preserve">or more </w:t>
      </w:r>
      <w:r w:rsidR="00F904F0" w:rsidRPr="00837A8A">
        <w:t xml:space="preserve">valid </w:t>
      </w:r>
      <w:r w:rsidRPr="00837A8A">
        <w:t>doses</w:t>
      </w:r>
      <w:r w:rsidR="00D715CA" w:rsidRPr="00837A8A">
        <w:t>,</w:t>
      </w:r>
      <w:r w:rsidR="00910D6C" w:rsidRPr="00837A8A">
        <w:t xml:space="preserve"> compared </w:t>
      </w:r>
      <w:r w:rsidR="00894BB2" w:rsidRPr="00837A8A">
        <w:t xml:space="preserve">with </w:t>
      </w:r>
      <w:r w:rsidR="00DE06BC" w:rsidRPr="00837A8A">
        <w:t>55.</w:t>
      </w:r>
      <w:r w:rsidR="007C6CC8" w:rsidRPr="00837A8A">
        <w:t>1</w:t>
      </w:r>
      <w:r w:rsidR="00F904F0" w:rsidRPr="00837A8A">
        <w:t xml:space="preserve">% of </w:t>
      </w:r>
      <w:r w:rsidR="00DE06BC" w:rsidRPr="00837A8A">
        <w:t>cutaneous</w:t>
      </w:r>
      <w:r w:rsidR="00910D6C" w:rsidRPr="00837A8A">
        <w:t xml:space="preserve"> diphtheria cases</w:t>
      </w:r>
      <w:r w:rsidRPr="00837A8A">
        <w:t>.</w:t>
      </w:r>
      <w:r w:rsidR="00C82E48" w:rsidRPr="00837A8A">
        <w:t xml:space="preserve"> </w:t>
      </w:r>
    </w:p>
    <w:p w14:paraId="538D1AA7" w14:textId="25263E47" w:rsidR="002523F1" w:rsidRPr="00837A8A" w:rsidRDefault="002523F1" w:rsidP="002523F1">
      <w:r w:rsidRPr="00837A8A">
        <w:t xml:space="preserve">While vaccination provides strong protection against the severe effects of diphtheria toxin, it does not consistently prevent carriage or transmission of </w:t>
      </w:r>
      <w:r w:rsidRPr="00837A8A">
        <w:rPr>
          <w:i/>
          <w:iCs/>
        </w:rPr>
        <w:t>C.</w:t>
      </w:r>
      <w:r w:rsidRPr="00837A8A">
        <w:t> </w:t>
      </w:r>
      <w:r w:rsidRPr="00837A8A">
        <w:rPr>
          <w:i/>
          <w:iCs/>
        </w:rPr>
        <w:t>diphtheriae</w:t>
      </w:r>
      <w:r w:rsidRPr="00837A8A">
        <w:t>, regardless of whether the strain produces toxin or not.</w:t>
      </w:r>
    </w:p>
    <w:p w14:paraId="11D403B3" w14:textId="136B3F48" w:rsidR="00D715CA" w:rsidRPr="00837A8A" w:rsidRDefault="00150DE4" w:rsidP="002B2FBE">
      <w:r w:rsidRPr="00837A8A">
        <w:t xml:space="preserve">Consistent with the </w:t>
      </w:r>
      <w:r w:rsidR="00AA4A63" w:rsidRPr="00837A8A">
        <w:t>N</w:t>
      </w:r>
      <w:r w:rsidRPr="00837A8A">
        <w:t xml:space="preserve">ational </w:t>
      </w:r>
      <w:r w:rsidR="00AA4A63" w:rsidRPr="00837A8A">
        <w:t>I</w:t>
      </w:r>
      <w:r w:rsidRPr="00837A8A">
        <w:t xml:space="preserve">mmunisation </w:t>
      </w:r>
      <w:r w:rsidR="00AA4A63" w:rsidRPr="00837A8A">
        <w:t>P</w:t>
      </w:r>
      <w:r w:rsidRPr="00837A8A">
        <w:t>rogram and broader </w:t>
      </w:r>
      <w:hyperlink r:id="rId27" w:history="1">
        <w:r w:rsidR="006D509C" w:rsidRPr="007C6CC8">
          <w:rPr>
            <w:rStyle w:val="Hyperlink"/>
            <w:color w:val="083E9C" w:themeColor="accent1"/>
          </w:rPr>
          <w:t>Australian Immunisation Handbook</w:t>
        </w:r>
      </w:hyperlink>
      <w:r w:rsidRPr="007C6CC8">
        <w:t xml:space="preserve"> </w:t>
      </w:r>
      <w:r w:rsidRPr="00837A8A">
        <w:t>recommendations, the number of doses received tended to increase with increasing age</w:t>
      </w:r>
      <w:r w:rsidR="0022742F" w:rsidRPr="00837A8A">
        <w:t xml:space="preserve"> (</w:t>
      </w:r>
      <w:r w:rsidR="0022742F" w:rsidRPr="00837A8A">
        <w:fldChar w:fldCharType="begin"/>
      </w:r>
      <w:r w:rsidR="0022742F" w:rsidRPr="00837A8A">
        <w:instrText xml:space="preserve"> REF _Ref225257556 \h </w:instrText>
      </w:r>
      <w:r w:rsidR="00246ED3" w:rsidRPr="00837A8A">
        <w:instrText xml:space="preserve"> \* MERGEFORMAT </w:instrText>
      </w:r>
      <w:r w:rsidR="0022742F" w:rsidRPr="00837A8A">
        <w:fldChar w:fldCharType="separate"/>
      </w:r>
      <w:r w:rsidR="002E1ED3" w:rsidRPr="00837A8A">
        <w:t xml:space="preserve">Figure </w:t>
      </w:r>
      <w:r w:rsidR="002E1ED3" w:rsidRPr="00837A8A">
        <w:rPr>
          <w:noProof/>
        </w:rPr>
        <w:t>14</w:t>
      </w:r>
      <w:r w:rsidR="0022742F" w:rsidRPr="00837A8A">
        <w:fldChar w:fldCharType="end"/>
      </w:r>
      <w:r w:rsidR="0022742F" w:rsidRPr="00837A8A">
        <w:t>)</w:t>
      </w:r>
      <w:r w:rsidRPr="00837A8A">
        <w:t>.</w:t>
      </w:r>
      <w:r w:rsidR="00184BA4" w:rsidRPr="00837A8A">
        <w:t xml:space="preserve"> </w:t>
      </w:r>
      <w:r w:rsidR="000B0FC1" w:rsidRPr="00837A8A">
        <w:t>Since 2022</w:t>
      </w:r>
      <w:r w:rsidR="00D25B56" w:rsidRPr="00837A8A">
        <w:t>, a</w:t>
      </w:r>
      <w:r w:rsidR="0054168B" w:rsidRPr="00837A8A">
        <w:t xml:space="preserve">mong diphtheria cases reported to have received at least 3 vaccine doses, </w:t>
      </w:r>
      <w:r w:rsidR="0096335B" w:rsidRPr="00837A8A">
        <w:t xml:space="preserve">the median number of years since last vaccine dose </w:t>
      </w:r>
      <w:r w:rsidR="00BB4FEF" w:rsidRPr="00837A8A">
        <w:t>has typically been</w:t>
      </w:r>
      <w:r w:rsidR="0096335B" w:rsidRPr="00837A8A">
        <w:t xml:space="preserve"> lower among cutaneous diphtheria cases</w:t>
      </w:r>
      <w:r w:rsidR="0000034D" w:rsidRPr="00837A8A">
        <w:t xml:space="preserve"> (4.4 years)</w:t>
      </w:r>
      <w:r w:rsidR="00184BA4" w:rsidRPr="00837A8A">
        <w:t xml:space="preserve"> </w:t>
      </w:r>
      <w:r w:rsidR="00B217ED" w:rsidRPr="00837A8A">
        <w:t>than among</w:t>
      </w:r>
      <w:r w:rsidR="00351948" w:rsidRPr="00837A8A">
        <w:t xml:space="preserve"> </w:t>
      </w:r>
      <w:r w:rsidR="001F6070" w:rsidRPr="00837A8A">
        <w:t xml:space="preserve">respiratory </w:t>
      </w:r>
      <w:r w:rsidR="00806D90" w:rsidRPr="00837A8A">
        <w:t xml:space="preserve">diphtheria </w:t>
      </w:r>
      <w:r w:rsidR="001F6070" w:rsidRPr="00837A8A">
        <w:t>cases</w:t>
      </w:r>
      <w:r w:rsidR="0000034D" w:rsidRPr="00837A8A">
        <w:t xml:space="preserve"> (</w:t>
      </w:r>
      <w:r w:rsidR="00484FAF" w:rsidRPr="00837A8A">
        <w:t>8.</w:t>
      </w:r>
      <w:r w:rsidR="00ED0F83" w:rsidRPr="00837A8A">
        <w:t>8</w:t>
      </w:r>
      <w:r w:rsidR="0000034D" w:rsidRPr="00837A8A">
        <w:t xml:space="preserve"> years)</w:t>
      </w:r>
      <w:r w:rsidR="001F6070" w:rsidRPr="00837A8A">
        <w:t xml:space="preserve"> (</w:t>
      </w:r>
      <w:r w:rsidR="00374375" w:rsidRPr="00837A8A">
        <w:fldChar w:fldCharType="begin"/>
      </w:r>
      <w:r w:rsidR="00374375" w:rsidRPr="00837A8A">
        <w:instrText xml:space="preserve"> REF _Ref225813828 \h </w:instrText>
      </w:r>
      <w:r w:rsidR="00246ED3" w:rsidRPr="00837A8A">
        <w:instrText xml:space="preserve"> \* MERGEFORMAT </w:instrText>
      </w:r>
      <w:r w:rsidR="00374375" w:rsidRPr="00837A8A">
        <w:fldChar w:fldCharType="separate"/>
      </w:r>
      <w:r w:rsidR="002E1ED3" w:rsidRPr="00837A8A">
        <w:t xml:space="preserve">Figure </w:t>
      </w:r>
      <w:r w:rsidR="002E1ED3" w:rsidRPr="00837A8A">
        <w:rPr>
          <w:noProof/>
        </w:rPr>
        <w:t>15</w:t>
      </w:r>
      <w:r w:rsidR="00374375" w:rsidRPr="00837A8A">
        <w:fldChar w:fldCharType="end"/>
      </w:r>
      <w:r w:rsidR="00374375" w:rsidRPr="00837A8A">
        <w:t>).</w:t>
      </w:r>
      <w:r w:rsidR="001454C6" w:rsidRPr="00837A8A">
        <w:t xml:space="preserve"> </w:t>
      </w:r>
    </w:p>
    <w:p w14:paraId="3959BAB3" w14:textId="619F9A5C" w:rsidR="00B217ED" w:rsidRPr="00837A8A" w:rsidRDefault="001454C6" w:rsidP="006D4A00">
      <w:pPr>
        <w:keepNext/>
      </w:pPr>
      <w:r w:rsidRPr="00837A8A">
        <w:t xml:space="preserve">More broadly, </w:t>
      </w:r>
      <w:r w:rsidR="005C7F80" w:rsidRPr="00837A8A">
        <w:t xml:space="preserve">national </w:t>
      </w:r>
      <w:r w:rsidR="00A1440F" w:rsidRPr="00837A8A">
        <w:t>diphtheria</w:t>
      </w:r>
      <w:r w:rsidR="00B217ED" w:rsidRPr="00837A8A">
        <w:t>–</w:t>
      </w:r>
      <w:r w:rsidR="00A1440F" w:rsidRPr="00837A8A">
        <w:t>tetanus</w:t>
      </w:r>
      <w:r w:rsidR="00B217ED" w:rsidRPr="00837A8A">
        <w:t>–</w:t>
      </w:r>
      <w:r w:rsidR="00A1440F" w:rsidRPr="00837A8A">
        <w:t>pertussis (DTP)</w:t>
      </w:r>
      <w:r w:rsidR="005C7F80" w:rsidRPr="00837A8A">
        <w:t xml:space="preserve"> </w:t>
      </w:r>
      <w:r w:rsidR="00E571B2" w:rsidRPr="00837A8A">
        <w:t>vaccination coverage rates</w:t>
      </w:r>
      <w:r w:rsidR="00B217ED" w:rsidRPr="00837A8A">
        <w:t xml:space="preserve"> as at September 2025</w:t>
      </w:r>
      <w:r w:rsidR="006702BB" w:rsidRPr="00837A8A">
        <w:t>,</w:t>
      </w:r>
      <w:r w:rsidR="00CC1B02" w:rsidRPr="00837A8A">
        <w:t xml:space="preserve"> based on the </w:t>
      </w:r>
      <w:hyperlink r:id="rId28" w:history="1">
        <w:r w:rsidR="00CC1B02" w:rsidRPr="007C6CC8">
          <w:rPr>
            <w:rStyle w:val="Hyperlink"/>
            <w:color w:val="083E9C" w:themeColor="accent1"/>
          </w:rPr>
          <w:t>National Immunisation Program Schedule</w:t>
        </w:r>
      </w:hyperlink>
      <w:r w:rsidR="006702BB" w:rsidRPr="007C6CC8">
        <w:t>,</w:t>
      </w:r>
      <w:r w:rsidR="00E571B2" w:rsidRPr="007C6CC8">
        <w:t xml:space="preserve"> </w:t>
      </w:r>
      <w:r w:rsidR="00B217ED" w:rsidRPr="00837A8A">
        <w:t xml:space="preserve">was: </w:t>
      </w:r>
    </w:p>
    <w:p w14:paraId="5BCA1F3A" w14:textId="18A168B0" w:rsidR="00B217ED" w:rsidRPr="00837A8A" w:rsidRDefault="00B217ED" w:rsidP="007D0FE4">
      <w:pPr>
        <w:pStyle w:val="ListBullet"/>
        <w:keepNext/>
        <w:tabs>
          <w:tab w:val="clear" w:pos="340"/>
          <w:tab w:val="clear" w:pos="680"/>
          <w:tab w:val="left" w:pos="426"/>
        </w:tabs>
        <w:spacing w:line="240" w:lineRule="auto"/>
        <w:ind w:left="357" w:hanging="357"/>
        <w:contextualSpacing/>
      </w:pPr>
      <w:r w:rsidRPr="00837A8A">
        <w:t xml:space="preserve">93.4% (range: 91.9% to 94.8%) </w:t>
      </w:r>
      <w:r w:rsidR="005926B4" w:rsidRPr="00837A8A">
        <w:t>among children aged</w:t>
      </w:r>
      <w:r w:rsidR="00E571B2" w:rsidRPr="00837A8A">
        <w:t xml:space="preserve"> </w:t>
      </w:r>
      <w:r w:rsidR="000D72E5" w:rsidRPr="00837A8A">
        <w:t xml:space="preserve">5 </w:t>
      </w:r>
      <w:r w:rsidR="00ED3A9D" w:rsidRPr="00837A8A">
        <w:t>year</w:t>
      </w:r>
      <w:r w:rsidR="00976C25" w:rsidRPr="00837A8A">
        <w:t>s</w:t>
      </w:r>
      <w:r w:rsidR="00ED3A9D" w:rsidRPr="00837A8A">
        <w:t xml:space="preserve"> </w:t>
      </w:r>
    </w:p>
    <w:p w14:paraId="7A21A010" w14:textId="50BB311C" w:rsidR="00B217ED" w:rsidRPr="00837A8A" w:rsidRDefault="00B217ED" w:rsidP="007D0FE4">
      <w:pPr>
        <w:pStyle w:val="ListBullet"/>
        <w:tabs>
          <w:tab w:val="clear" w:pos="340"/>
          <w:tab w:val="clear" w:pos="680"/>
          <w:tab w:val="left" w:pos="426"/>
        </w:tabs>
        <w:spacing w:line="240" w:lineRule="auto"/>
        <w:contextualSpacing/>
      </w:pPr>
      <w:r w:rsidRPr="00837A8A">
        <w:t>94.7% (range: 92.9% to 96.3%)</w:t>
      </w:r>
      <w:r w:rsidR="00976C25" w:rsidRPr="00837A8A">
        <w:t xml:space="preserve"> among Aboriginal and Torres Strait Islander children</w:t>
      </w:r>
      <w:r w:rsidR="00C56F66" w:rsidRPr="00837A8A">
        <w:t xml:space="preserve"> aged 5 years</w:t>
      </w:r>
      <w:r w:rsidR="006702BB" w:rsidRPr="00837A8A">
        <w:t>.</w:t>
      </w:r>
    </w:p>
    <w:p w14:paraId="338AF5F1" w14:textId="51417FA9" w:rsidR="00922E10" w:rsidRPr="00837A8A" w:rsidRDefault="009E714D" w:rsidP="00B217ED">
      <w:r w:rsidRPr="00837A8A">
        <w:lastRenderedPageBreak/>
        <w:t>However,</w:t>
      </w:r>
      <w:r w:rsidR="001F6322" w:rsidRPr="00837A8A">
        <w:t xml:space="preserve"> ‘fully immunised’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0E8B14F7" w14:textId="004F3C84" w:rsidR="00A8256D" w:rsidRPr="00C30FCB" w:rsidRDefault="002B2FBE" w:rsidP="00C05909">
      <w:pPr>
        <w:pStyle w:val="FigureTitle"/>
      </w:pPr>
      <w:bookmarkStart w:id="14" w:name="_Ref225809015"/>
      <w:bookmarkStart w:id="15" w:name="_Ref225255730"/>
      <w:r w:rsidRPr="007C6CC8">
        <w:t xml:space="preserve">Figure </w:t>
      </w:r>
      <w:r w:rsidRPr="007C6CC8">
        <w:fldChar w:fldCharType="begin"/>
      </w:r>
      <w:r w:rsidRPr="007C6CC8">
        <w:instrText xml:space="preserve"> SEQ Figure \* ARABIC </w:instrText>
      </w:r>
      <w:r w:rsidRPr="007C6CC8">
        <w:fldChar w:fldCharType="separate"/>
      </w:r>
      <w:r w:rsidR="002E1ED3">
        <w:rPr>
          <w:noProof/>
        </w:rPr>
        <w:t>13</w:t>
      </w:r>
      <w:r w:rsidRPr="007C6CC8">
        <w:fldChar w:fldCharType="end"/>
      </w:r>
      <w:bookmarkEnd w:id="14"/>
      <w:r w:rsidRPr="007C6CC8">
        <w:t xml:space="preserve">: </w:t>
      </w:r>
      <w:r w:rsidR="000F0D35" w:rsidRPr="007C6CC8">
        <w:t>Notifications of diphtheria</w:t>
      </w:r>
      <w:r w:rsidR="00B93201" w:rsidRPr="007C6CC8">
        <w:t xml:space="preserve"> by vaccination status</w:t>
      </w:r>
      <w:r w:rsidR="000F0D35" w:rsidRPr="007C6CC8">
        <w:t xml:space="preserve"> and clinical presentation type, </w:t>
      </w:r>
      <w:r w:rsidR="00B93201" w:rsidRPr="00C30FCB">
        <w:t xml:space="preserve">Australia, </w:t>
      </w:r>
      <w:r w:rsidR="005D0DAC" w:rsidRPr="00C30FCB">
        <w:t xml:space="preserve">1 January 2014 to </w:t>
      </w:r>
      <w:r w:rsidR="00412391" w:rsidRPr="00C30FCB">
        <w:t xml:space="preserve">20 April </w:t>
      </w:r>
      <w:r w:rsidR="005D0DAC" w:rsidRPr="00C30FCB">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063"/>
      </w:tblGrid>
      <w:tr w:rsidR="004F4E6D" w:rsidRPr="007C6CC8" w14:paraId="43336590" w14:textId="77777777" w:rsidTr="007110AB">
        <w:tc>
          <w:tcPr>
            <w:tcW w:w="4701" w:type="dxa"/>
            <w:vAlign w:val="bottom"/>
          </w:tcPr>
          <w:p w14:paraId="20AE99E8" w14:textId="0027FCA3" w:rsidR="005D0DAC" w:rsidRPr="007C6CC8" w:rsidRDefault="00C06846"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 xml:space="preserve">(a) </w:t>
            </w:r>
            <w:r w:rsidR="005D0DAC" w:rsidRPr="007C6CC8">
              <w:rPr>
                <w:b/>
                <w:bCs/>
                <w:color w:val="033636" w:themeColor="text1"/>
                <w:sz w:val="22"/>
                <w:szCs w:val="22"/>
              </w:rPr>
              <w:t>Cutaneous diphtheria</w:t>
            </w:r>
          </w:p>
        </w:tc>
        <w:tc>
          <w:tcPr>
            <w:tcW w:w="4938" w:type="dxa"/>
            <w:vAlign w:val="center"/>
          </w:tcPr>
          <w:p w14:paraId="65532EB3" w14:textId="3340E6C2" w:rsidR="005D0DAC" w:rsidRPr="007C6CC8" w:rsidRDefault="00C06846" w:rsidP="007D0FE4">
            <w:pPr>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4F4E6D" w:rsidRPr="007C6CC8" w14:paraId="6EF8DE94" w14:textId="77777777" w:rsidTr="007110AB">
        <w:tc>
          <w:tcPr>
            <w:tcW w:w="4701" w:type="dxa"/>
          </w:tcPr>
          <w:p w14:paraId="2FFCC13B" w14:textId="45BC7C45" w:rsidR="000C29FE" w:rsidRPr="007C6CC8" w:rsidRDefault="004F4E6D" w:rsidP="00C06846">
            <w:pPr>
              <w:rPr>
                <w:noProof/>
              </w:rPr>
            </w:pPr>
            <w:r w:rsidRPr="007C6CC8">
              <w:rPr>
                <w:noProof/>
              </w:rPr>
              <w:drawing>
                <wp:inline distT="0" distB="0" distL="0" distR="0" wp14:anchorId="16C61AC1" wp14:editId="4540C62F">
                  <wp:extent cx="2890520" cy="1792850"/>
                  <wp:effectExtent l="0" t="0" r="5080" b="0"/>
                  <wp:docPr id="1936131215" name="Picture 20" descr="Bar chart showing count of notifications of cutaneous diphtheria by year of diagnosis from 2014 to 2026, categorised by vaccine doses received, with colours representing unknown, 0 to 5 doses. Noticeable increase in notifications starting 2021, peaking in 2026 with majority having 4 or more doses, indicating rising trend in reported cases and vaccination level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31215" name="Picture 20" descr="Bar chart showing count of notifications of cutaneous diphtheria by year of diagnosis from 2014 to 2026, categorised by vaccine doses received, with colours representing unknown, 0 to 5 doses. Noticeable increase in notifications starting 2021, peaking in 2026 with majority having 4 or more doses, indicating rising trend in reported cases and vaccination levels over tim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08278" cy="1803865"/>
                          </a:xfrm>
                          <a:prstGeom prst="rect">
                            <a:avLst/>
                          </a:prstGeom>
                          <a:noFill/>
                        </pic:spPr>
                      </pic:pic>
                    </a:graphicData>
                  </a:graphic>
                </wp:inline>
              </w:drawing>
            </w:r>
          </w:p>
        </w:tc>
        <w:tc>
          <w:tcPr>
            <w:tcW w:w="4938" w:type="dxa"/>
          </w:tcPr>
          <w:p w14:paraId="0E8DBF84" w14:textId="7E9A0DAC" w:rsidR="000C29FE" w:rsidRPr="007C6CC8" w:rsidRDefault="00340CC7" w:rsidP="00C06846">
            <w:pPr>
              <w:rPr>
                <w:b/>
                <w:bCs/>
                <w:noProof/>
              </w:rPr>
            </w:pPr>
            <w:r w:rsidRPr="007C6CC8">
              <w:rPr>
                <w:b/>
                <w:bCs/>
                <w:noProof/>
              </w:rPr>
              <w:drawing>
                <wp:inline distT="0" distB="0" distL="0" distR="0" wp14:anchorId="3F1A1CE2" wp14:editId="0AE22F4B">
                  <wp:extent cx="3220046" cy="1838325"/>
                  <wp:effectExtent l="0" t="0" r="0" b="0"/>
                  <wp:docPr id="660267706" name="Picture 19" descr="Bar chart showing count of respiratory diphtheria notifications by year of diagnosis from 2014 to 2026, categorised by number of doses ranging from unknown to 5 doses with distinct colours. Notable increase in notifications occurs in 2022 and peaks in 2026, with 5 doses category contributing most significantly to the 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67706" name="Picture 19" descr="Bar chart showing count of respiratory diphtheria notifications by year of diagnosis from 2014 to 2026, categorised by number of doses ranging from unknown to 5 doses with distinct colours. Notable increase in notifications occurs in 2022 and peaks in 2026, with 5 doses category contributing most significantly to the ris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0911" cy="1844528"/>
                          </a:xfrm>
                          <a:prstGeom prst="rect">
                            <a:avLst/>
                          </a:prstGeom>
                          <a:noFill/>
                        </pic:spPr>
                      </pic:pic>
                    </a:graphicData>
                  </a:graphic>
                </wp:inline>
              </w:drawing>
            </w:r>
          </w:p>
        </w:tc>
      </w:tr>
    </w:tbl>
    <w:p w14:paraId="1C7B2A64" w14:textId="26B3AA95" w:rsidR="002572DF" w:rsidRPr="00C30FCB" w:rsidRDefault="002572DF" w:rsidP="00F46384">
      <w:pPr>
        <w:pStyle w:val="FigureTitle"/>
      </w:pPr>
      <w:bookmarkStart w:id="16" w:name="_Ref225257556"/>
      <w:r w:rsidRPr="007C6CC8">
        <w:t xml:space="preserve">Figure </w:t>
      </w:r>
      <w:r w:rsidRPr="007C6CC8">
        <w:fldChar w:fldCharType="begin"/>
      </w:r>
      <w:r w:rsidRPr="007C6CC8">
        <w:instrText xml:space="preserve"> SEQ Figure \* ARABIC </w:instrText>
      </w:r>
      <w:r w:rsidRPr="007C6CC8">
        <w:fldChar w:fldCharType="separate"/>
      </w:r>
      <w:r w:rsidR="002E1ED3">
        <w:rPr>
          <w:noProof/>
        </w:rPr>
        <w:t>14</w:t>
      </w:r>
      <w:r w:rsidRPr="007C6CC8">
        <w:fldChar w:fldCharType="end"/>
      </w:r>
      <w:bookmarkEnd w:id="15"/>
      <w:bookmarkEnd w:id="16"/>
      <w:r w:rsidRPr="007C6CC8">
        <w:t>: No</w:t>
      </w:r>
      <w:r w:rsidR="00373D75" w:rsidRPr="007C6CC8">
        <w:t xml:space="preserve">tifications of </w:t>
      </w:r>
      <w:r w:rsidR="00126CDB" w:rsidRPr="007C6CC8">
        <w:t>diphtheria b</w:t>
      </w:r>
      <w:r w:rsidR="00373D75" w:rsidRPr="007C6CC8">
        <w:t>y</w:t>
      </w:r>
      <w:r w:rsidR="00D94B87" w:rsidRPr="007C6CC8">
        <w:t xml:space="preserve"> </w:t>
      </w:r>
      <w:r w:rsidR="00373D75" w:rsidRPr="007C6CC8">
        <w:t>vaccination status</w:t>
      </w:r>
      <w:r w:rsidR="00126CDB" w:rsidRPr="007C6CC8">
        <w:t xml:space="preserve">, clinical presentation type and </w:t>
      </w:r>
      <w:r w:rsidR="00126CDB" w:rsidRPr="00C30FCB">
        <w:t xml:space="preserve">age group, </w:t>
      </w:r>
      <w:r w:rsidR="004C345B" w:rsidRPr="00C30FCB">
        <w:t xml:space="preserve">Australia, </w:t>
      </w:r>
      <w:r w:rsidR="00E17009" w:rsidRPr="00C30FCB">
        <w:t xml:space="preserve">1 January 2022 to </w:t>
      </w:r>
      <w:r w:rsidR="00412391" w:rsidRPr="00C30FCB">
        <w:t xml:space="preserve">20 April </w:t>
      </w:r>
      <w:r w:rsidR="006C25F0" w:rsidRPr="00C30FCB">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5089"/>
      </w:tblGrid>
      <w:tr w:rsidR="00742911" w:rsidRPr="007D0FE4" w14:paraId="183E08EC" w14:textId="77777777" w:rsidTr="000C29FE">
        <w:tc>
          <w:tcPr>
            <w:tcW w:w="4672" w:type="dxa"/>
            <w:vAlign w:val="bottom"/>
          </w:tcPr>
          <w:p w14:paraId="679A94D8"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4967" w:type="dxa"/>
            <w:vAlign w:val="center"/>
          </w:tcPr>
          <w:p w14:paraId="304D157C"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742911" w:rsidRPr="007C6CC8" w14:paraId="255A260A" w14:textId="77777777" w:rsidTr="000C29FE">
        <w:tc>
          <w:tcPr>
            <w:tcW w:w="4672" w:type="dxa"/>
          </w:tcPr>
          <w:p w14:paraId="4F46B0B5" w14:textId="27B738DD" w:rsidR="000C29FE" w:rsidRPr="007C6CC8" w:rsidRDefault="00714BC1" w:rsidP="00B224FF">
            <w:pPr>
              <w:rPr>
                <w:noProof/>
              </w:rPr>
            </w:pPr>
            <w:r w:rsidRPr="007C6CC8">
              <w:rPr>
                <w:noProof/>
              </w:rPr>
              <w:drawing>
                <wp:inline distT="0" distB="0" distL="0" distR="0" wp14:anchorId="001966B8" wp14:editId="16CBD151">
                  <wp:extent cx="2914650" cy="1636898"/>
                  <wp:effectExtent l="0" t="0" r="0" b="1905"/>
                  <wp:docPr id="2017377639" name="Picture 17" descr="Stacked bar chart displays count of cutaneous diphtheria notifications by age group and vaccine doses received, with age groups on x-axis and notification counts on y-axis. Bars use distinct colours for unknown, 0 to 5 doses, showing highest notifications in 25-44 group, primarily with 4 and 5 doses, and lowest in under 1 and 65+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77639" name="Picture 17" descr="Stacked bar chart displays count of cutaneous diphtheria notifications by age group and vaccine doses received, with age groups on x-axis and notification counts on y-axis. Bars use distinct colours for unknown, 0 to 5 doses, showing highest notifications in 25-44 group, primarily with 4 and 5 doses, and lowest in under 1 and 65+ group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35463" cy="1648587"/>
                          </a:xfrm>
                          <a:prstGeom prst="rect">
                            <a:avLst/>
                          </a:prstGeom>
                          <a:noFill/>
                        </pic:spPr>
                      </pic:pic>
                    </a:graphicData>
                  </a:graphic>
                </wp:inline>
              </w:drawing>
            </w:r>
          </w:p>
        </w:tc>
        <w:tc>
          <w:tcPr>
            <w:tcW w:w="4967" w:type="dxa"/>
          </w:tcPr>
          <w:p w14:paraId="65F5E4DF" w14:textId="7611A2AA" w:rsidR="000C29FE" w:rsidRPr="007C6CC8" w:rsidRDefault="000A282A" w:rsidP="00B224FF">
            <w:pPr>
              <w:rPr>
                <w:b/>
                <w:bCs/>
                <w:noProof/>
              </w:rPr>
            </w:pPr>
            <w:r w:rsidRPr="007C6CC8">
              <w:rPr>
                <w:b/>
                <w:bCs/>
                <w:noProof/>
              </w:rPr>
              <w:drawing>
                <wp:inline distT="0" distB="0" distL="0" distR="0" wp14:anchorId="5CD1DE9D" wp14:editId="6C915250">
                  <wp:extent cx="3276600" cy="1704726"/>
                  <wp:effectExtent l="0" t="0" r="0" b="0"/>
                  <wp:docPr id="178664097" name="Picture 18" descr="Stacked bar chart displays count of respiratory diphtheria notifications by age group and vaccine doses, with age groups on x-axis and count on y-axis. Bars use colours to represent unknown, 0 to 5 doses, showing highest notifications in 25-44 and 5-14 age groups, with 3 and 5 doses most frequent in 25-44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4097" name="Picture 18" descr="Stacked bar chart displays count of respiratory diphtheria notifications by age group and vaccine doses, with age groups on x-axis and count on y-axis. Bars use colours to represent unknown, 0 to 5 doses, showing highest notifications in 25-44 and 5-14 age groups, with 3 and 5 doses most frequent in 25-44 grou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08817" cy="1721488"/>
                          </a:xfrm>
                          <a:prstGeom prst="rect">
                            <a:avLst/>
                          </a:prstGeom>
                          <a:noFill/>
                        </pic:spPr>
                      </pic:pic>
                    </a:graphicData>
                  </a:graphic>
                </wp:inline>
              </w:drawing>
            </w:r>
          </w:p>
        </w:tc>
      </w:tr>
    </w:tbl>
    <w:p w14:paraId="2EF47838" w14:textId="01B01502" w:rsidR="00F84441" w:rsidRPr="00C30FCB" w:rsidRDefault="00052FF9" w:rsidP="00D23C4B">
      <w:pPr>
        <w:pStyle w:val="FigureTitle"/>
      </w:pPr>
      <w:bookmarkStart w:id="17" w:name="_Ref225813828"/>
      <w:r w:rsidRPr="007C6CC8">
        <w:t xml:space="preserve">Figure </w:t>
      </w:r>
      <w:r w:rsidRPr="007C6CC8">
        <w:fldChar w:fldCharType="begin"/>
      </w:r>
      <w:r w:rsidRPr="007C6CC8">
        <w:instrText xml:space="preserve"> SEQ Figure \* ARABIC </w:instrText>
      </w:r>
      <w:r w:rsidRPr="007C6CC8">
        <w:fldChar w:fldCharType="separate"/>
      </w:r>
      <w:r w:rsidR="002E1ED3">
        <w:rPr>
          <w:noProof/>
        </w:rPr>
        <w:t>15</w:t>
      </w:r>
      <w:r w:rsidRPr="007C6CC8">
        <w:fldChar w:fldCharType="end"/>
      </w:r>
      <w:bookmarkEnd w:id="17"/>
      <w:r w:rsidRPr="007C6CC8">
        <w:t xml:space="preserve">: </w:t>
      </w:r>
      <w:r w:rsidR="00457F5F" w:rsidRPr="007C6CC8">
        <w:t>Distribution of years since last vaccine dose for notifications of</w:t>
      </w:r>
      <w:r w:rsidRPr="007C6CC8">
        <w:t xml:space="preserve"> diphtheria</w:t>
      </w:r>
      <w:r w:rsidR="00B73537" w:rsidRPr="007C6CC8">
        <w:t xml:space="preserve"> with at </w:t>
      </w:r>
      <w:r w:rsidR="00B73537" w:rsidRPr="00C30FCB">
        <w:t>least 3 doses</w:t>
      </w:r>
      <w:r w:rsidR="00885ABB" w:rsidRPr="00C30FCB">
        <w:t>*</w:t>
      </w:r>
      <w:r w:rsidR="00457F5F" w:rsidRPr="00C30FCB">
        <w:t xml:space="preserve">, by </w:t>
      </w:r>
      <w:r w:rsidR="00FE6EC7" w:rsidRPr="00C30FCB">
        <w:t xml:space="preserve">clinical presentation type, Australia, 1 January 2014 to </w:t>
      </w:r>
      <w:r w:rsidR="00412391" w:rsidRPr="00C30FCB">
        <w:t xml:space="preserve">20 April </w:t>
      </w:r>
      <w:r w:rsidR="00FE6EC7" w:rsidRPr="00C30FCB">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748"/>
      </w:tblGrid>
      <w:tr w:rsidR="00375146" w:rsidRPr="007D0FE4" w14:paraId="6795E532" w14:textId="77777777" w:rsidTr="001D212A">
        <w:tc>
          <w:tcPr>
            <w:tcW w:w="4891"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4748" w:type="dxa"/>
            <w:vAlign w:val="center"/>
          </w:tcPr>
          <w:p w14:paraId="09644ACA" w14:textId="0CC6C08A"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375146" w:rsidRPr="007C6CC8" w14:paraId="207F0E70" w14:textId="77777777" w:rsidTr="001D212A">
        <w:tc>
          <w:tcPr>
            <w:tcW w:w="4891" w:type="dxa"/>
          </w:tcPr>
          <w:p w14:paraId="6C7F2B8B" w14:textId="5D89FCB8" w:rsidR="000C29FE" w:rsidRPr="007C6CC8" w:rsidRDefault="00C669D3" w:rsidP="00B224FF">
            <w:pPr>
              <w:rPr>
                <w:noProof/>
              </w:rPr>
            </w:pPr>
            <w:r w:rsidRPr="007C6CC8">
              <w:rPr>
                <w:noProof/>
              </w:rPr>
              <w:drawing>
                <wp:inline distT="0" distB="0" distL="0" distR="0" wp14:anchorId="31CC7E02" wp14:editId="377C094E">
                  <wp:extent cx="3010535" cy="1875135"/>
                  <wp:effectExtent l="0" t="0" r="0" b="0"/>
                  <wp:docPr id="467595573" name="Picture 21" descr="Box plot displays years since last valid vaccine dose for cutaneous diphtheria cases that had received at least 3 valid vaccine doses and were diagnosed from 2014 to 2026, showing increasing variability and median values over time. Key elements include vertical axis labelled &quot;Years since last dose,&quot; horizontal axis labelled &quot;Year of diagnosis,&quot; and notable outliers in later years indicating wider range of time since last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95573" name="Picture 21" descr="Box plot displays years since last valid vaccine dose for cutaneous diphtheria cases that had received at least 3 valid vaccine doses and were diagnosed from 2014 to 2026, showing increasing variability and median values over time. Key elements include vertical axis labelled &quot;Years since last dose,&quot; horizontal axis labelled &quot;Year of diagnosis,&quot; and notable outliers in later years indicating wider range of time since last dos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18719" cy="1880233"/>
                          </a:xfrm>
                          <a:prstGeom prst="rect">
                            <a:avLst/>
                          </a:prstGeom>
                          <a:noFill/>
                        </pic:spPr>
                      </pic:pic>
                    </a:graphicData>
                  </a:graphic>
                </wp:inline>
              </w:drawing>
            </w:r>
          </w:p>
        </w:tc>
        <w:tc>
          <w:tcPr>
            <w:tcW w:w="4748" w:type="dxa"/>
          </w:tcPr>
          <w:p w14:paraId="65B65F9E" w14:textId="3B048016" w:rsidR="000C29FE" w:rsidRPr="007C6CC8" w:rsidRDefault="00375146" w:rsidP="00B224FF">
            <w:pPr>
              <w:rPr>
                <w:b/>
                <w:bCs/>
                <w:noProof/>
              </w:rPr>
            </w:pPr>
            <w:r w:rsidRPr="007C6CC8">
              <w:rPr>
                <w:b/>
                <w:bCs/>
                <w:noProof/>
              </w:rPr>
              <w:drawing>
                <wp:inline distT="0" distB="0" distL="0" distR="0" wp14:anchorId="668A2C71" wp14:editId="3B59DB8D">
                  <wp:extent cx="2918408" cy="1814830"/>
                  <wp:effectExtent l="0" t="0" r="0" b="0"/>
                  <wp:docPr id="1388525523" name="Picture 22" descr="Box plot displays years since last valid vaccine dose for cutaneous diphtheria cases that had received at least 3 valid vaccine doses and were diagnosed from 2014 to 2026, highlighting increasing median years from around 9 in 2022 to about 15 in 2025, then decreasing to approximately 8 in 2026. Chart includes blue boxes with whiskers representing data spread, with years on x-axis and years since last dose on y-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25523" name="Picture 22" descr="Box plot displays years since last valid vaccine dose for cutaneous diphtheria cases that had received at least 3 valid vaccine doses and were diagnosed from 2014 to 2026, highlighting increasing median years from around 9 in 2022 to about 15 in 2025, then decreasing to approximately 8 in 2026. Chart includes blue boxes with whiskers representing data spread, with years on x-axis and years since last dose on y-axi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35473" cy="1825442"/>
                          </a:xfrm>
                          <a:prstGeom prst="rect">
                            <a:avLst/>
                          </a:prstGeom>
                          <a:noFill/>
                        </pic:spPr>
                      </pic:pic>
                    </a:graphicData>
                  </a:graphic>
                </wp:inline>
              </w:drawing>
            </w:r>
          </w:p>
        </w:tc>
      </w:tr>
    </w:tbl>
    <w:p w14:paraId="6E91D9F7" w14:textId="7DE46C8E" w:rsidR="00BE4CB8" w:rsidRPr="007C6CC8" w:rsidRDefault="0050332C" w:rsidP="00251282">
      <w:pPr>
        <w:pStyle w:val="FootnoteText"/>
        <w:rPr>
          <w:i/>
          <w:iCs/>
          <w:sz w:val="16"/>
        </w:rPr>
      </w:pPr>
      <w:r w:rsidRPr="007C6CC8">
        <w:rPr>
          <w:i/>
          <w:iCs/>
        </w:rPr>
        <w:t>*</w:t>
      </w:r>
      <w:r w:rsidR="00885ABB" w:rsidRPr="007C6CC8">
        <w:rPr>
          <w:i/>
          <w:iCs/>
        </w:rPr>
        <w:t xml:space="preserve"> </w:t>
      </w:r>
      <w:r w:rsidR="006F72A3" w:rsidRPr="007C6CC8">
        <w:rPr>
          <w:i/>
          <w:iCs/>
        </w:rPr>
        <w:t xml:space="preserve">Periods where there were </w:t>
      </w:r>
      <w:r w:rsidR="00FB3B5D" w:rsidRPr="007C6CC8">
        <w:rPr>
          <w:i/>
          <w:iCs/>
        </w:rPr>
        <w:t>less</w:t>
      </w:r>
      <w:r w:rsidR="00F10754" w:rsidRPr="007C6CC8">
        <w:rPr>
          <w:i/>
          <w:iCs/>
        </w:rPr>
        <w:t xml:space="preserve"> </w:t>
      </w:r>
      <w:r w:rsidR="006F72A3" w:rsidRPr="007C6CC8">
        <w:rPr>
          <w:i/>
          <w:iCs/>
        </w:rPr>
        <w:t xml:space="preserve">than </w:t>
      </w:r>
      <w:r w:rsidR="00E251D5" w:rsidRPr="007C6CC8">
        <w:rPr>
          <w:i/>
          <w:iCs/>
        </w:rPr>
        <w:t>2</w:t>
      </w:r>
      <w:r w:rsidR="006F72A3" w:rsidRPr="007C6CC8">
        <w:rPr>
          <w:i/>
          <w:iCs/>
        </w:rPr>
        <w:t xml:space="preserve"> cases </w:t>
      </w:r>
      <w:r w:rsidR="00FB3B5D" w:rsidRPr="007C6CC8">
        <w:rPr>
          <w:i/>
          <w:iCs/>
        </w:rPr>
        <w:t xml:space="preserve">that had received </w:t>
      </w:r>
      <w:r w:rsidR="006F72A3" w:rsidRPr="007C6CC8">
        <w:rPr>
          <w:i/>
          <w:iCs/>
        </w:rPr>
        <w:t>3 or more</w:t>
      </w:r>
      <w:r w:rsidR="00FB3B5D" w:rsidRPr="007C6CC8">
        <w:rPr>
          <w:i/>
          <w:iCs/>
        </w:rPr>
        <w:t xml:space="preserve"> vaccine</w:t>
      </w:r>
      <w:r w:rsidR="006F72A3" w:rsidRPr="007C6CC8">
        <w:rPr>
          <w:i/>
          <w:iCs/>
        </w:rPr>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527437C7" w:rsidR="008F3837" w:rsidRPr="00C30FCB" w:rsidRDefault="005D3E1C" w:rsidP="00C30FCB">
      <w:pPr>
        <w:pStyle w:val="FigureTitle"/>
      </w:pPr>
      <w:r w:rsidRPr="007C6CC8">
        <w:t xml:space="preserve">Table </w:t>
      </w:r>
      <w:r w:rsidRPr="007C6CC8">
        <w:fldChar w:fldCharType="begin"/>
      </w:r>
      <w:r w:rsidRPr="007C6CC8">
        <w:instrText xml:space="preserve"> SEQ Table \* ARABIC </w:instrText>
      </w:r>
      <w:r w:rsidRPr="007C6CC8">
        <w:fldChar w:fldCharType="separate"/>
      </w:r>
      <w:r w:rsidR="002E1ED3">
        <w:rPr>
          <w:noProof/>
        </w:rPr>
        <w:t>1</w:t>
      </w:r>
      <w:r w:rsidRPr="007C6CC8">
        <w:fldChar w:fldCharType="end"/>
      </w:r>
      <w:r w:rsidRPr="007C6CC8">
        <w:t>:</w:t>
      </w:r>
      <w:r w:rsidR="00E435A8" w:rsidRPr="007C6CC8">
        <w:t xml:space="preserve"> </w:t>
      </w:r>
      <w:r w:rsidRPr="007C6CC8">
        <w:t xml:space="preserve">Epidemiological summary of </w:t>
      </w:r>
      <w:r w:rsidR="00396D47" w:rsidRPr="007C6CC8">
        <w:t>diphtheria</w:t>
      </w:r>
      <w:r w:rsidRPr="007C6CC8">
        <w:t xml:space="preserve"> cases in Australia, 1 January 2025 to </w:t>
      </w:r>
      <w:r w:rsidR="00412391" w:rsidRPr="00C30FCB">
        <w:t xml:space="preserve">20 April </w:t>
      </w:r>
      <w:r w:rsidRPr="00C30FCB">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895"/>
        <w:gridCol w:w="1640"/>
        <w:gridCol w:w="1640"/>
        <w:gridCol w:w="1640"/>
        <w:gridCol w:w="1640"/>
        <w:gridCol w:w="1643"/>
      </w:tblGrid>
      <w:tr w:rsidR="00B13640" w:rsidRPr="007C6CC8" w14:paraId="37511DA1" w14:textId="77777777" w:rsidTr="008C57A3">
        <w:trPr>
          <w:trHeight w:val="510"/>
          <w:tblHeader/>
        </w:trPr>
        <w:tc>
          <w:tcPr>
            <w:tcW w:w="938" w:type="pct"/>
            <w:shd w:val="clear" w:color="auto" w:fill="033636" w:themeFill="text1"/>
            <w:vAlign w:val="center"/>
            <w:hideMark/>
          </w:tcPr>
          <w:p w14:paraId="7D5A94C3" w14:textId="77777777" w:rsidR="00D769D6" w:rsidRPr="007C6CC8" w:rsidRDefault="00D769D6" w:rsidP="000F4FE9">
            <w:pPr>
              <w:spacing w:before="0" w:after="0" w:line="240" w:lineRule="auto"/>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4541D3D6" w14:textId="6FE8FA37" w:rsidR="006B1B61" w:rsidRPr="007C6CC8" w:rsidRDefault="00D769D6" w:rsidP="000F4FE9">
            <w:pPr>
              <w:spacing w:before="0" w:after="0" w:line="240" w:lineRule="auto"/>
              <w:jc w:val="center"/>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2026</w:t>
            </w:r>
          </w:p>
          <w:p w14:paraId="170A0031" w14:textId="01B57074" w:rsidR="00D769D6" w:rsidRPr="007C6CC8" w:rsidRDefault="006B1B61" w:rsidP="000F4FE9">
            <w:pPr>
              <w:spacing w:before="0" w:after="0" w:line="240" w:lineRule="auto"/>
              <w:jc w:val="center"/>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YTD*</w:t>
            </w:r>
          </w:p>
        </w:tc>
        <w:tc>
          <w:tcPr>
            <w:tcW w:w="812" w:type="pct"/>
            <w:shd w:val="clear" w:color="auto" w:fill="033636" w:themeFill="text1"/>
            <w:vAlign w:val="center"/>
            <w:hideMark/>
          </w:tcPr>
          <w:p w14:paraId="0E19754B" w14:textId="57D3F548" w:rsidR="006B1B61" w:rsidRPr="007C6CC8" w:rsidRDefault="00D769D6" w:rsidP="000F4FE9">
            <w:pPr>
              <w:spacing w:before="0" w:after="0" w:line="240" w:lineRule="auto"/>
              <w:jc w:val="center"/>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2025</w:t>
            </w:r>
          </w:p>
          <w:p w14:paraId="75B61B4F" w14:textId="28A7BA14" w:rsidR="00D769D6" w:rsidRPr="007C6CC8" w:rsidRDefault="00D769D6" w:rsidP="000F4FE9">
            <w:pPr>
              <w:spacing w:before="0" w:after="0" w:line="240" w:lineRule="auto"/>
              <w:jc w:val="center"/>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YTD</w:t>
            </w:r>
            <w:r w:rsidR="006B1B61" w:rsidRPr="007C6CC8">
              <w:rPr>
                <w:rFonts w:cs="Arial"/>
                <w:b/>
                <w:bCs/>
                <w:color w:val="F0F3F7" w:themeColor="background2" w:themeTint="33"/>
                <w:sz w:val="20"/>
                <w:szCs w:val="20"/>
                <w:lang w:eastAsia="en-AU"/>
              </w:rPr>
              <w:t>*</w:t>
            </w:r>
          </w:p>
        </w:tc>
        <w:tc>
          <w:tcPr>
            <w:tcW w:w="812" w:type="pct"/>
            <w:shd w:val="clear" w:color="auto" w:fill="033636" w:themeFill="text1"/>
            <w:vAlign w:val="center"/>
            <w:hideMark/>
          </w:tcPr>
          <w:p w14:paraId="664298C9" w14:textId="77777777" w:rsidR="00D769D6" w:rsidRPr="007C6CC8" w:rsidRDefault="00D769D6" w:rsidP="000F4FE9">
            <w:pPr>
              <w:spacing w:before="0" w:after="0" w:line="240" w:lineRule="auto"/>
              <w:jc w:val="center"/>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459A63FD" w:rsidR="00D769D6" w:rsidRPr="007C6CC8" w:rsidRDefault="00D769D6" w:rsidP="000F4FE9">
            <w:pPr>
              <w:spacing w:before="0" w:after="0" w:line="240" w:lineRule="auto"/>
              <w:jc w:val="center"/>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2022</w:t>
            </w:r>
            <w:r w:rsidR="00640CA6" w:rsidRPr="007C6CC8">
              <w:rPr>
                <w:rFonts w:cs="Arial"/>
                <w:b/>
                <w:bCs/>
                <w:color w:val="F0F3F7" w:themeColor="background2" w:themeTint="33"/>
                <w:sz w:val="20"/>
                <w:szCs w:val="20"/>
                <w:lang w:eastAsia="en-AU"/>
              </w:rPr>
              <w:t>–</w:t>
            </w:r>
            <w:r w:rsidRPr="007C6CC8">
              <w:rPr>
                <w:rFonts w:cs="Arial"/>
                <w:b/>
                <w:bCs/>
                <w:color w:val="F0F3F7" w:themeColor="background2" w:themeTint="33"/>
                <w:sz w:val="20"/>
                <w:szCs w:val="20"/>
                <w:lang w:eastAsia="en-AU"/>
              </w:rPr>
              <w:t>2025 YTD</w:t>
            </w:r>
            <w:r w:rsidR="006B1B61" w:rsidRPr="007C6CC8">
              <w:rPr>
                <w:rFonts w:cs="Arial"/>
                <w:b/>
                <w:bCs/>
                <w:color w:val="F0F3F7" w:themeColor="background2" w:themeTint="33"/>
                <w:sz w:val="20"/>
                <w:szCs w:val="20"/>
                <w:lang w:eastAsia="en-AU"/>
              </w:rPr>
              <w:t>*</w:t>
            </w:r>
            <w:r w:rsidRPr="007C6CC8">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7C6CC8" w:rsidRDefault="00D769D6" w:rsidP="000F4FE9">
            <w:pPr>
              <w:spacing w:before="0" w:after="0" w:line="240" w:lineRule="auto"/>
              <w:jc w:val="center"/>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2022</w:t>
            </w:r>
            <w:r w:rsidR="00640CA6" w:rsidRPr="007C6CC8">
              <w:rPr>
                <w:rFonts w:cs="Arial"/>
                <w:b/>
                <w:bCs/>
                <w:color w:val="F0F3F7" w:themeColor="background2" w:themeTint="33"/>
                <w:sz w:val="20"/>
                <w:szCs w:val="20"/>
                <w:lang w:eastAsia="en-AU"/>
              </w:rPr>
              <w:t>–</w:t>
            </w:r>
            <w:r w:rsidRPr="007C6CC8">
              <w:rPr>
                <w:rFonts w:cs="Arial"/>
                <w:b/>
                <w:bCs/>
                <w:color w:val="F0F3F7" w:themeColor="background2" w:themeTint="33"/>
                <w:sz w:val="20"/>
                <w:szCs w:val="20"/>
                <w:lang w:eastAsia="en-AU"/>
              </w:rPr>
              <w:t>2025 (mean)</w:t>
            </w:r>
          </w:p>
        </w:tc>
      </w:tr>
      <w:tr w:rsidR="00C30FCB" w:rsidRPr="00C30FCB" w14:paraId="55CB0D58" w14:textId="77777777" w:rsidTr="008C57A3">
        <w:trPr>
          <w:trHeight w:val="290"/>
        </w:trPr>
        <w:tc>
          <w:tcPr>
            <w:tcW w:w="938" w:type="pct"/>
            <w:noWrap/>
            <w:vAlign w:val="center"/>
            <w:hideMark/>
          </w:tcPr>
          <w:p w14:paraId="3DEA77B7" w14:textId="064B48D9"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Total</w:t>
            </w:r>
          </w:p>
        </w:tc>
        <w:tc>
          <w:tcPr>
            <w:tcW w:w="812" w:type="pct"/>
            <w:noWrap/>
            <w:vAlign w:val="center"/>
            <w:hideMark/>
          </w:tcPr>
          <w:p w14:paraId="66FF733B" w14:textId="6EDA1FB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92</w:t>
            </w:r>
          </w:p>
        </w:tc>
        <w:tc>
          <w:tcPr>
            <w:tcW w:w="812" w:type="pct"/>
            <w:noWrap/>
            <w:vAlign w:val="center"/>
            <w:hideMark/>
          </w:tcPr>
          <w:p w14:paraId="70F490C6" w14:textId="1990D2B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w:t>
            </w:r>
          </w:p>
        </w:tc>
        <w:tc>
          <w:tcPr>
            <w:tcW w:w="812" w:type="pct"/>
            <w:noWrap/>
            <w:vAlign w:val="center"/>
            <w:hideMark/>
          </w:tcPr>
          <w:p w14:paraId="7162DCCF" w14:textId="32E2A4E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26</w:t>
            </w:r>
          </w:p>
        </w:tc>
        <w:tc>
          <w:tcPr>
            <w:tcW w:w="812" w:type="pct"/>
            <w:noWrap/>
            <w:vAlign w:val="center"/>
            <w:hideMark/>
          </w:tcPr>
          <w:p w14:paraId="78BDEC27" w14:textId="7EB8B6B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5.8</w:t>
            </w:r>
          </w:p>
        </w:tc>
        <w:tc>
          <w:tcPr>
            <w:tcW w:w="814" w:type="pct"/>
            <w:noWrap/>
            <w:vAlign w:val="center"/>
            <w:hideMark/>
          </w:tcPr>
          <w:p w14:paraId="29199738" w14:textId="3705C741"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19.5</w:t>
            </w:r>
          </w:p>
        </w:tc>
      </w:tr>
      <w:tr w:rsidR="00C30FCB" w:rsidRPr="00C30FCB"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8C57A3" w:rsidRPr="00C30FCB" w:rsidRDefault="008C57A3" w:rsidP="008C57A3">
            <w:pPr>
              <w:spacing w:before="0" w:after="0" w:line="240" w:lineRule="auto"/>
              <w:rPr>
                <w:rFonts w:cs="Arial"/>
                <w:b/>
                <w:bCs/>
                <w:color w:val="033636" w:themeColor="text1"/>
                <w:sz w:val="20"/>
                <w:szCs w:val="20"/>
                <w:lang w:eastAsia="en-AU"/>
              </w:rPr>
            </w:pPr>
            <w:r w:rsidRPr="00C30FCB">
              <w:rPr>
                <w:rFonts w:cs="Arial"/>
                <w:b/>
                <w:bCs/>
                <w:color w:val="033636" w:themeColor="text1"/>
                <w:sz w:val="20"/>
                <w:szCs w:val="20"/>
              </w:rPr>
              <w:t>Confirmation status</w:t>
            </w:r>
          </w:p>
        </w:tc>
      </w:tr>
      <w:tr w:rsidR="00C30FCB" w:rsidRPr="00C30FCB" w14:paraId="2BEFB782" w14:textId="77777777" w:rsidTr="008C57A3">
        <w:trPr>
          <w:trHeight w:val="290"/>
        </w:trPr>
        <w:tc>
          <w:tcPr>
            <w:tcW w:w="938" w:type="pct"/>
            <w:noWrap/>
            <w:vAlign w:val="center"/>
            <w:hideMark/>
          </w:tcPr>
          <w:p w14:paraId="29066EED" w14:textId="2D7C622B"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Confirmed</w:t>
            </w:r>
          </w:p>
        </w:tc>
        <w:tc>
          <w:tcPr>
            <w:tcW w:w="812" w:type="pct"/>
            <w:noWrap/>
            <w:vAlign w:val="center"/>
            <w:hideMark/>
          </w:tcPr>
          <w:p w14:paraId="76DA5582" w14:textId="77C14BF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92 (100%)</w:t>
            </w:r>
          </w:p>
        </w:tc>
        <w:tc>
          <w:tcPr>
            <w:tcW w:w="812" w:type="pct"/>
            <w:noWrap/>
            <w:vAlign w:val="center"/>
            <w:hideMark/>
          </w:tcPr>
          <w:p w14:paraId="310F4D25" w14:textId="268F5FA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 (100%)</w:t>
            </w:r>
          </w:p>
        </w:tc>
        <w:tc>
          <w:tcPr>
            <w:tcW w:w="812" w:type="pct"/>
            <w:noWrap/>
            <w:vAlign w:val="center"/>
            <w:hideMark/>
          </w:tcPr>
          <w:p w14:paraId="330F5417" w14:textId="6DCA483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26 (100%)</w:t>
            </w:r>
          </w:p>
        </w:tc>
        <w:tc>
          <w:tcPr>
            <w:tcW w:w="812" w:type="pct"/>
            <w:noWrap/>
            <w:vAlign w:val="center"/>
            <w:hideMark/>
          </w:tcPr>
          <w:p w14:paraId="6E19D36A" w14:textId="635A75C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5.8 (100%)</w:t>
            </w:r>
          </w:p>
        </w:tc>
        <w:tc>
          <w:tcPr>
            <w:tcW w:w="814" w:type="pct"/>
            <w:noWrap/>
            <w:vAlign w:val="center"/>
            <w:hideMark/>
          </w:tcPr>
          <w:p w14:paraId="6FD07A46" w14:textId="66DFC7B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19.5 (100%)</w:t>
            </w:r>
          </w:p>
        </w:tc>
      </w:tr>
      <w:tr w:rsidR="00C30FCB" w:rsidRPr="00C30FCB" w14:paraId="4A0C729C" w14:textId="77777777" w:rsidTr="008C57A3">
        <w:trPr>
          <w:trHeight w:val="290"/>
        </w:trPr>
        <w:tc>
          <w:tcPr>
            <w:tcW w:w="938" w:type="pct"/>
            <w:noWrap/>
            <w:vAlign w:val="center"/>
            <w:hideMark/>
          </w:tcPr>
          <w:p w14:paraId="265FB53E" w14:textId="0655C80D"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Probable</w:t>
            </w:r>
          </w:p>
        </w:tc>
        <w:tc>
          <w:tcPr>
            <w:tcW w:w="812" w:type="pct"/>
            <w:noWrap/>
            <w:vAlign w:val="center"/>
            <w:hideMark/>
          </w:tcPr>
          <w:p w14:paraId="40B8DC26" w14:textId="2390DAB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0EE2625E" w14:textId="1C15E5F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1DE46B58" w14:textId="7C71169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5EF6D57A" w14:textId="55E48535"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3E68803D" w14:textId="6B549FC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r>
      <w:tr w:rsidR="00C30FCB" w:rsidRPr="00C30FCB"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8C57A3" w:rsidRPr="00C30FCB" w:rsidRDefault="008C57A3" w:rsidP="008C57A3">
            <w:pPr>
              <w:spacing w:before="0" w:after="0" w:line="240" w:lineRule="auto"/>
              <w:rPr>
                <w:rFonts w:cs="Arial"/>
                <w:b/>
                <w:bCs/>
                <w:color w:val="033636" w:themeColor="text1"/>
                <w:sz w:val="20"/>
                <w:szCs w:val="20"/>
                <w:lang w:eastAsia="en-AU"/>
              </w:rPr>
            </w:pPr>
            <w:r w:rsidRPr="00C30FCB">
              <w:rPr>
                <w:rFonts w:cs="Arial"/>
                <w:b/>
                <w:bCs/>
                <w:color w:val="033636" w:themeColor="text1"/>
                <w:sz w:val="20"/>
                <w:szCs w:val="20"/>
              </w:rPr>
              <w:t>Species</w:t>
            </w:r>
          </w:p>
        </w:tc>
      </w:tr>
      <w:tr w:rsidR="00C30FCB" w:rsidRPr="00C30FCB" w14:paraId="6EBB4534" w14:textId="77777777" w:rsidTr="008C57A3">
        <w:trPr>
          <w:trHeight w:val="290"/>
        </w:trPr>
        <w:tc>
          <w:tcPr>
            <w:tcW w:w="938" w:type="pct"/>
            <w:noWrap/>
            <w:vAlign w:val="center"/>
            <w:hideMark/>
          </w:tcPr>
          <w:p w14:paraId="52A04B66" w14:textId="50E270C1" w:rsidR="003311CC" w:rsidRPr="00C30FCB" w:rsidRDefault="003311CC" w:rsidP="000F4FE9">
            <w:pPr>
              <w:spacing w:before="0" w:after="0" w:line="240" w:lineRule="auto"/>
              <w:rPr>
                <w:rFonts w:cs="Arial"/>
                <w:i/>
                <w:iCs/>
                <w:color w:val="033636" w:themeColor="text1"/>
                <w:sz w:val="20"/>
                <w:szCs w:val="20"/>
                <w:lang w:eastAsia="en-AU"/>
              </w:rPr>
            </w:pPr>
            <w:r w:rsidRPr="00C30FCB">
              <w:rPr>
                <w:rFonts w:cs="Arial"/>
                <w:i/>
                <w:iCs/>
                <w:color w:val="033636" w:themeColor="text1"/>
                <w:sz w:val="20"/>
                <w:szCs w:val="20"/>
              </w:rPr>
              <w:t>C. diphtheriae</w:t>
            </w:r>
          </w:p>
        </w:tc>
        <w:tc>
          <w:tcPr>
            <w:tcW w:w="812" w:type="pct"/>
            <w:noWrap/>
            <w:vAlign w:val="center"/>
            <w:hideMark/>
          </w:tcPr>
          <w:p w14:paraId="6A7959B9" w14:textId="6CCACFA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91 (99%)</w:t>
            </w:r>
          </w:p>
        </w:tc>
        <w:tc>
          <w:tcPr>
            <w:tcW w:w="812" w:type="pct"/>
            <w:noWrap/>
            <w:vAlign w:val="center"/>
            <w:hideMark/>
          </w:tcPr>
          <w:p w14:paraId="4C740DF6" w14:textId="31FDC84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 (100%)</w:t>
            </w:r>
          </w:p>
        </w:tc>
        <w:tc>
          <w:tcPr>
            <w:tcW w:w="812" w:type="pct"/>
            <w:noWrap/>
            <w:vAlign w:val="center"/>
            <w:hideMark/>
          </w:tcPr>
          <w:p w14:paraId="1B486498" w14:textId="2C5A7B91"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26 (100%)</w:t>
            </w:r>
          </w:p>
        </w:tc>
        <w:tc>
          <w:tcPr>
            <w:tcW w:w="812" w:type="pct"/>
            <w:noWrap/>
            <w:vAlign w:val="center"/>
            <w:hideMark/>
          </w:tcPr>
          <w:p w14:paraId="4347E6F9" w14:textId="7B4E89F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5.3 (91%)</w:t>
            </w:r>
          </w:p>
        </w:tc>
        <w:tc>
          <w:tcPr>
            <w:tcW w:w="814" w:type="pct"/>
            <w:noWrap/>
            <w:vAlign w:val="center"/>
            <w:hideMark/>
          </w:tcPr>
          <w:p w14:paraId="3874AA6F" w14:textId="719B458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17.0 (87%)</w:t>
            </w:r>
          </w:p>
        </w:tc>
      </w:tr>
      <w:tr w:rsidR="00C30FCB" w:rsidRPr="00C30FCB" w14:paraId="163CBBA0" w14:textId="77777777" w:rsidTr="008C57A3">
        <w:trPr>
          <w:trHeight w:val="290"/>
        </w:trPr>
        <w:tc>
          <w:tcPr>
            <w:tcW w:w="938" w:type="pct"/>
            <w:noWrap/>
            <w:vAlign w:val="center"/>
            <w:hideMark/>
          </w:tcPr>
          <w:p w14:paraId="215AD6C6" w14:textId="16E99670" w:rsidR="003311CC" w:rsidRPr="00C30FCB" w:rsidRDefault="003311CC" w:rsidP="000F4FE9">
            <w:pPr>
              <w:spacing w:before="0" w:after="0" w:line="240" w:lineRule="auto"/>
              <w:rPr>
                <w:rFonts w:cs="Arial"/>
                <w:i/>
                <w:iCs/>
                <w:color w:val="033636" w:themeColor="text1"/>
                <w:sz w:val="20"/>
                <w:szCs w:val="20"/>
                <w:lang w:eastAsia="en-AU"/>
              </w:rPr>
            </w:pPr>
            <w:r w:rsidRPr="00C30FCB">
              <w:rPr>
                <w:rFonts w:cs="Arial"/>
                <w:i/>
                <w:iCs/>
                <w:color w:val="033636" w:themeColor="text1"/>
                <w:sz w:val="20"/>
                <w:szCs w:val="20"/>
              </w:rPr>
              <w:t xml:space="preserve">C. </w:t>
            </w:r>
            <w:proofErr w:type="spellStart"/>
            <w:r w:rsidRPr="00C30FCB">
              <w:rPr>
                <w:rFonts w:cs="Arial"/>
                <w:i/>
                <w:iCs/>
                <w:color w:val="033636" w:themeColor="text1"/>
                <w:sz w:val="20"/>
                <w:szCs w:val="20"/>
              </w:rPr>
              <w:t>ulcerans</w:t>
            </w:r>
            <w:proofErr w:type="spellEnd"/>
          </w:p>
        </w:tc>
        <w:tc>
          <w:tcPr>
            <w:tcW w:w="812" w:type="pct"/>
            <w:noWrap/>
            <w:vAlign w:val="center"/>
            <w:hideMark/>
          </w:tcPr>
          <w:p w14:paraId="34EE3F93" w14:textId="33EDC58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(1%)</w:t>
            </w:r>
          </w:p>
        </w:tc>
        <w:tc>
          <w:tcPr>
            <w:tcW w:w="812" w:type="pct"/>
            <w:noWrap/>
            <w:vAlign w:val="center"/>
            <w:hideMark/>
          </w:tcPr>
          <w:p w14:paraId="3309B57B" w14:textId="44D12F4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168409AD" w14:textId="21E607F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6273EB17" w14:textId="74BBD03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(9%)</w:t>
            </w:r>
          </w:p>
        </w:tc>
        <w:tc>
          <w:tcPr>
            <w:tcW w:w="814" w:type="pct"/>
            <w:noWrap/>
            <w:vAlign w:val="center"/>
            <w:hideMark/>
          </w:tcPr>
          <w:p w14:paraId="140EC8DE" w14:textId="3E7B036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2.5 (13%)</w:t>
            </w:r>
          </w:p>
        </w:tc>
      </w:tr>
      <w:tr w:rsidR="00C30FCB" w:rsidRPr="00C30FCB"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8C57A3" w:rsidRPr="00C30FCB" w:rsidRDefault="008C57A3" w:rsidP="008C57A3">
            <w:pPr>
              <w:spacing w:before="0" w:after="0" w:line="240" w:lineRule="auto"/>
              <w:jc w:val="both"/>
              <w:rPr>
                <w:rFonts w:cs="Arial"/>
                <w:b/>
                <w:bCs/>
                <w:color w:val="033636" w:themeColor="text1"/>
                <w:sz w:val="20"/>
                <w:szCs w:val="20"/>
              </w:rPr>
            </w:pPr>
            <w:r w:rsidRPr="00C30FCB">
              <w:rPr>
                <w:rFonts w:cs="Arial"/>
                <w:b/>
                <w:bCs/>
                <w:color w:val="033636" w:themeColor="text1"/>
                <w:sz w:val="20"/>
                <w:szCs w:val="20"/>
              </w:rPr>
              <w:t>State</w:t>
            </w:r>
          </w:p>
        </w:tc>
      </w:tr>
      <w:tr w:rsidR="00C30FCB" w:rsidRPr="00C30FCB" w14:paraId="7029806E" w14:textId="77777777" w:rsidTr="008C57A3">
        <w:trPr>
          <w:trHeight w:val="290"/>
        </w:trPr>
        <w:tc>
          <w:tcPr>
            <w:tcW w:w="938" w:type="pct"/>
            <w:noWrap/>
            <w:vAlign w:val="center"/>
            <w:hideMark/>
          </w:tcPr>
          <w:p w14:paraId="2989447D" w14:textId="24FE49ED"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ACT</w:t>
            </w:r>
          </w:p>
        </w:tc>
        <w:tc>
          <w:tcPr>
            <w:tcW w:w="812" w:type="pct"/>
            <w:noWrap/>
            <w:vAlign w:val="center"/>
            <w:hideMark/>
          </w:tcPr>
          <w:p w14:paraId="12152D14" w14:textId="655CA28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516F1E8C" w14:textId="4F42689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2EF3C93C" w14:textId="3286451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597BDD9C" w14:textId="46685CE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7FF18934" w14:textId="2C0EF36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r>
      <w:tr w:rsidR="00C30FCB" w:rsidRPr="00C30FCB" w14:paraId="6D75FF2F" w14:textId="77777777" w:rsidTr="008C57A3">
        <w:trPr>
          <w:trHeight w:val="290"/>
        </w:trPr>
        <w:tc>
          <w:tcPr>
            <w:tcW w:w="938" w:type="pct"/>
            <w:noWrap/>
            <w:vAlign w:val="center"/>
            <w:hideMark/>
          </w:tcPr>
          <w:p w14:paraId="0330F593" w14:textId="7FD65D4E"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NSW</w:t>
            </w:r>
          </w:p>
        </w:tc>
        <w:tc>
          <w:tcPr>
            <w:tcW w:w="812" w:type="pct"/>
            <w:noWrap/>
            <w:vAlign w:val="center"/>
            <w:hideMark/>
          </w:tcPr>
          <w:p w14:paraId="0849B464" w14:textId="2079A8B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0E9A0559" w14:textId="42B0500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(20%)</w:t>
            </w:r>
          </w:p>
        </w:tc>
        <w:tc>
          <w:tcPr>
            <w:tcW w:w="812" w:type="pct"/>
            <w:noWrap/>
            <w:vAlign w:val="center"/>
            <w:hideMark/>
          </w:tcPr>
          <w:p w14:paraId="45CBE776" w14:textId="5D4E63A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(8%)</w:t>
            </w:r>
          </w:p>
        </w:tc>
        <w:tc>
          <w:tcPr>
            <w:tcW w:w="812" w:type="pct"/>
            <w:noWrap/>
            <w:vAlign w:val="center"/>
            <w:hideMark/>
          </w:tcPr>
          <w:p w14:paraId="3A7B770B" w14:textId="46D13E7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(9%)</w:t>
            </w:r>
          </w:p>
        </w:tc>
        <w:tc>
          <w:tcPr>
            <w:tcW w:w="814" w:type="pct"/>
            <w:noWrap/>
            <w:vAlign w:val="center"/>
            <w:hideMark/>
          </w:tcPr>
          <w:p w14:paraId="2D92A2A2" w14:textId="5D77C01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2.5 (13%)</w:t>
            </w:r>
          </w:p>
        </w:tc>
      </w:tr>
      <w:tr w:rsidR="00C30FCB" w:rsidRPr="00C30FCB" w14:paraId="16F36A21" w14:textId="77777777" w:rsidTr="008C57A3">
        <w:trPr>
          <w:trHeight w:val="290"/>
        </w:trPr>
        <w:tc>
          <w:tcPr>
            <w:tcW w:w="938" w:type="pct"/>
            <w:noWrap/>
            <w:vAlign w:val="center"/>
            <w:hideMark/>
          </w:tcPr>
          <w:p w14:paraId="62CBA236" w14:textId="6DB63F25"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NT</w:t>
            </w:r>
          </w:p>
        </w:tc>
        <w:tc>
          <w:tcPr>
            <w:tcW w:w="812" w:type="pct"/>
            <w:noWrap/>
            <w:vAlign w:val="center"/>
            <w:hideMark/>
          </w:tcPr>
          <w:p w14:paraId="391AE070" w14:textId="5F0550F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57 (62%)</w:t>
            </w:r>
          </w:p>
        </w:tc>
        <w:tc>
          <w:tcPr>
            <w:tcW w:w="812" w:type="pct"/>
            <w:noWrap/>
            <w:vAlign w:val="center"/>
            <w:hideMark/>
          </w:tcPr>
          <w:p w14:paraId="5720F4F7" w14:textId="1D82C69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26627E20" w14:textId="33AAD9A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 (35%)</w:t>
            </w:r>
          </w:p>
        </w:tc>
        <w:tc>
          <w:tcPr>
            <w:tcW w:w="812" w:type="pct"/>
            <w:noWrap/>
            <w:vAlign w:val="center"/>
            <w:hideMark/>
          </w:tcPr>
          <w:p w14:paraId="2B8D55A9" w14:textId="27A31F5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681C0B89" w14:textId="57D1955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2.5 (13%)</w:t>
            </w:r>
          </w:p>
        </w:tc>
      </w:tr>
      <w:tr w:rsidR="00C30FCB" w:rsidRPr="00C30FCB" w14:paraId="3A0ADB38" w14:textId="77777777" w:rsidTr="008C57A3">
        <w:trPr>
          <w:trHeight w:val="290"/>
        </w:trPr>
        <w:tc>
          <w:tcPr>
            <w:tcW w:w="938" w:type="pct"/>
            <w:noWrap/>
            <w:vAlign w:val="center"/>
            <w:hideMark/>
          </w:tcPr>
          <w:p w14:paraId="133B21EC" w14:textId="7D544167"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QLD</w:t>
            </w:r>
          </w:p>
        </w:tc>
        <w:tc>
          <w:tcPr>
            <w:tcW w:w="812" w:type="pct"/>
            <w:noWrap/>
            <w:vAlign w:val="center"/>
            <w:hideMark/>
          </w:tcPr>
          <w:p w14:paraId="5E911B79" w14:textId="492AC98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(2%)</w:t>
            </w:r>
          </w:p>
        </w:tc>
        <w:tc>
          <w:tcPr>
            <w:tcW w:w="812" w:type="pct"/>
            <w:noWrap/>
            <w:vAlign w:val="center"/>
            <w:hideMark/>
          </w:tcPr>
          <w:p w14:paraId="7FD7C865" w14:textId="4312A83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 (60%)</w:t>
            </w:r>
          </w:p>
        </w:tc>
        <w:tc>
          <w:tcPr>
            <w:tcW w:w="812" w:type="pct"/>
            <w:noWrap/>
            <w:vAlign w:val="center"/>
            <w:hideMark/>
          </w:tcPr>
          <w:p w14:paraId="142FC9EC" w14:textId="5EAAC1E5"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 (35%)</w:t>
            </w:r>
          </w:p>
        </w:tc>
        <w:tc>
          <w:tcPr>
            <w:tcW w:w="812" w:type="pct"/>
            <w:noWrap/>
            <w:vAlign w:val="center"/>
            <w:hideMark/>
          </w:tcPr>
          <w:p w14:paraId="086226B3" w14:textId="60603E3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4.5 (78%)</w:t>
            </w:r>
          </w:p>
        </w:tc>
        <w:tc>
          <w:tcPr>
            <w:tcW w:w="814" w:type="pct"/>
            <w:noWrap/>
            <w:vAlign w:val="center"/>
            <w:hideMark/>
          </w:tcPr>
          <w:p w14:paraId="38734AD7" w14:textId="1A74AA4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11.5 (59%)</w:t>
            </w:r>
          </w:p>
        </w:tc>
      </w:tr>
      <w:tr w:rsidR="00C30FCB" w:rsidRPr="00C30FCB" w14:paraId="76E8F5A1" w14:textId="77777777" w:rsidTr="008C57A3">
        <w:trPr>
          <w:trHeight w:val="290"/>
        </w:trPr>
        <w:tc>
          <w:tcPr>
            <w:tcW w:w="938" w:type="pct"/>
            <w:noWrap/>
            <w:vAlign w:val="center"/>
            <w:hideMark/>
          </w:tcPr>
          <w:p w14:paraId="4D88C743" w14:textId="17E48707"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SA</w:t>
            </w:r>
          </w:p>
        </w:tc>
        <w:tc>
          <w:tcPr>
            <w:tcW w:w="812" w:type="pct"/>
            <w:noWrap/>
            <w:vAlign w:val="center"/>
            <w:hideMark/>
          </w:tcPr>
          <w:p w14:paraId="13513FF7" w14:textId="301D888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(1%)</w:t>
            </w:r>
          </w:p>
        </w:tc>
        <w:tc>
          <w:tcPr>
            <w:tcW w:w="812" w:type="pct"/>
            <w:noWrap/>
            <w:vAlign w:val="center"/>
            <w:hideMark/>
          </w:tcPr>
          <w:p w14:paraId="2F0FAC6A" w14:textId="6A94E95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07563581" w14:textId="53F3369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(8%)</w:t>
            </w:r>
          </w:p>
        </w:tc>
        <w:tc>
          <w:tcPr>
            <w:tcW w:w="812" w:type="pct"/>
            <w:noWrap/>
            <w:vAlign w:val="center"/>
            <w:hideMark/>
          </w:tcPr>
          <w:p w14:paraId="114F44EC" w14:textId="04AB694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2913C7E9" w14:textId="60637FE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(3%)</w:t>
            </w:r>
          </w:p>
        </w:tc>
      </w:tr>
      <w:tr w:rsidR="00C30FCB" w:rsidRPr="00C30FCB" w14:paraId="411BEF04" w14:textId="77777777" w:rsidTr="008C57A3">
        <w:trPr>
          <w:trHeight w:val="290"/>
        </w:trPr>
        <w:tc>
          <w:tcPr>
            <w:tcW w:w="938" w:type="pct"/>
            <w:noWrap/>
            <w:vAlign w:val="center"/>
            <w:hideMark/>
          </w:tcPr>
          <w:p w14:paraId="62242656" w14:textId="0CFF4E09"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TAS</w:t>
            </w:r>
          </w:p>
        </w:tc>
        <w:tc>
          <w:tcPr>
            <w:tcW w:w="812" w:type="pct"/>
            <w:noWrap/>
            <w:vAlign w:val="center"/>
            <w:hideMark/>
          </w:tcPr>
          <w:p w14:paraId="1FDF8D08" w14:textId="69B9B82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5E3232F0" w14:textId="432C1EE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46D90285" w14:textId="682CCC2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0E428049" w14:textId="61D6D6D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28402D70" w14:textId="4D1C915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0.3 (1%)</w:t>
            </w:r>
          </w:p>
        </w:tc>
      </w:tr>
      <w:tr w:rsidR="00C30FCB" w:rsidRPr="00C30FCB" w14:paraId="30B3646B" w14:textId="77777777" w:rsidTr="008C57A3">
        <w:trPr>
          <w:trHeight w:val="290"/>
        </w:trPr>
        <w:tc>
          <w:tcPr>
            <w:tcW w:w="938" w:type="pct"/>
            <w:noWrap/>
            <w:vAlign w:val="center"/>
            <w:hideMark/>
          </w:tcPr>
          <w:p w14:paraId="67AD314F" w14:textId="27E13647"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VIC</w:t>
            </w:r>
          </w:p>
        </w:tc>
        <w:tc>
          <w:tcPr>
            <w:tcW w:w="812" w:type="pct"/>
            <w:noWrap/>
            <w:vAlign w:val="center"/>
            <w:hideMark/>
          </w:tcPr>
          <w:p w14:paraId="7A49A120" w14:textId="4DE727C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75B74B5F" w14:textId="414DB55C"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13D37A5E" w14:textId="168BFC2C"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 (4%)</w:t>
            </w:r>
          </w:p>
        </w:tc>
        <w:tc>
          <w:tcPr>
            <w:tcW w:w="812" w:type="pct"/>
            <w:noWrap/>
            <w:vAlign w:val="center"/>
            <w:hideMark/>
          </w:tcPr>
          <w:p w14:paraId="330A2F8E" w14:textId="5FB615D9"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28CF3866" w14:textId="768E69D3"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0.5 (3%)</w:t>
            </w:r>
          </w:p>
        </w:tc>
      </w:tr>
      <w:tr w:rsidR="00C30FCB" w:rsidRPr="00C30FCB" w14:paraId="6B581FA0" w14:textId="77777777" w:rsidTr="008C57A3">
        <w:trPr>
          <w:trHeight w:val="290"/>
        </w:trPr>
        <w:tc>
          <w:tcPr>
            <w:tcW w:w="938" w:type="pct"/>
            <w:noWrap/>
            <w:vAlign w:val="center"/>
            <w:hideMark/>
          </w:tcPr>
          <w:p w14:paraId="6D201BA9" w14:textId="27D69535"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WA</w:t>
            </w:r>
          </w:p>
        </w:tc>
        <w:tc>
          <w:tcPr>
            <w:tcW w:w="812" w:type="pct"/>
            <w:noWrap/>
            <w:vAlign w:val="center"/>
            <w:hideMark/>
          </w:tcPr>
          <w:p w14:paraId="03D2047B" w14:textId="6370669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32 (35%)</w:t>
            </w:r>
          </w:p>
        </w:tc>
        <w:tc>
          <w:tcPr>
            <w:tcW w:w="812" w:type="pct"/>
            <w:noWrap/>
            <w:vAlign w:val="center"/>
            <w:hideMark/>
          </w:tcPr>
          <w:p w14:paraId="2B028D52" w14:textId="67F3757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(20%)</w:t>
            </w:r>
          </w:p>
        </w:tc>
        <w:tc>
          <w:tcPr>
            <w:tcW w:w="812" w:type="pct"/>
            <w:noWrap/>
            <w:vAlign w:val="center"/>
            <w:hideMark/>
          </w:tcPr>
          <w:p w14:paraId="1BF443D4" w14:textId="14EB63B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 (12%)</w:t>
            </w:r>
          </w:p>
        </w:tc>
        <w:tc>
          <w:tcPr>
            <w:tcW w:w="812" w:type="pct"/>
            <w:noWrap/>
            <w:vAlign w:val="center"/>
            <w:hideMark/>
          </w:tcPr>
          <w:p w14:paraId="04DAE8F9" w14:textId="10241B6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0.8 (13%)</w:t>
            </w:r>
          </w:p>
        </w:tc>
        <w:tc>
          <w:tcPr>
            <w:tcW w:w="814" w:type="pct"/>
            <w:noWrap/>
            <w:vAlign w:val="center"/>
            <w:hideMark/>
          </w:tcPr>
          <w:p w14:paraId="5D283A79" w14:textId="4B0CA36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1.8 (9%)</w:t>
            </w:r>
          </w:p>
        </w:tc>
      </w:tr>
      <w:tr w:rsidR="00C30FCB" w:rsidRPr="00C30FCB"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8C57A3" w:rsidRPr="00C30FCB" w:rsidRDefault="008C57A3" w:rsidP="008C57A3">
            <w:pPr>
              <w:spacing w:before="0" w:after="0" w:line="240" w:lineRule="auto"/>
              <w:jc w:val="both"/>
              <w:rPr>
                <w:rFonts w:cs="Arial"/>
                <w:b/>
                <w:bCs/>
                <w:color w:val="033636" w:themeColor="text1"/>
                <w:sz w:val="20"/>
                <w:szCs w:val="20"/>
              </w:rPr>
            </w:pPr>
            <w:r w:rsidRPr="00C30FCB">
              <w:rPr>
                <w:rFonts w:cs="Arial"/>
                <w:b/>
                <w:bCs/>
                <w:color w:val="033636" w:themeColor="text1"/>
                <w:sz w:val="20"/>
                <w:szCs w:val="20"/>
              </w:rPr>
              <w:t>Remoteness area</w:t>
            </w:r>
          </w:p>
        </w:tc>
      </w:tr>
      <w:tr w:rsidR="00C30FCB" w:rsidRPr="00C30FCB" w14:paraId="5DB1B250" w14:textId="77777777" w:rsidTr="008C57A3">
        <w:trPr>
          <w:trHeight w:val="290"/>
        </w:trPr>
        <w:tc>
          <w:tcPr>
            <w:tcW w:w="938" w:type="pct"/>
            <w:noWrap/>
            <w:vAlign w:val="center"/>
            <w:hideMark/>
          </w:tcPr>
          <w:p w14:paraId="6F9AE457" w14:textId="0AE2F232"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Major cities</w:t>
            </w:r>
          </w:p>
        </w:tc>
        <w:tc>
          <w:tcPr>
            <w:tcW w:w="812" w:type="pct"/>
            <w:noWrap/>
            <w:vAlign w:val="center"/>
            <w:hideMark/>
          </w:tcPr>
          <w:p w14:paraId="2436D03F" w14:textId="155C4E1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(1%)</w:t>
            </w:r>
          </w:p>
        </w:tc>
        <w:tc>
          <w:tcPr>
            <w:tcW w:w="812" w:type="pct"/>
            <w:noWrap/>
            <w:vAlign w:val="center"/>
            <w:hideMark/>
          </w:tcPr>
          <w:p w14:paraId="65DFD76D" w14:textId="1D8D3D41"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(20%)</w:t>
            </w:r>
          </w:p>
        </w:tc>
        <w:tc>
          <w:tcPr>
            <w:tcW w:w="812" w:type="pct"/>
            <w:noWrap/>
            <w:vAlign w:val="center"/>
            <w:hideMark/>
          </w:tcPr>
          <w:p w14:paraId="575868EE" w14:textId="43DFB68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6 (23%)</w:t>
            </w:r>
          </w:p>
        </w:tc>
        <w:tc>
          <w:tcPr>
            <w:tcW w:w="812" w:type="pct"/>
            <w:noWrap/>
            <w:vAlign w:val="center"/>
            <w:hideMark/>
          </w:tcPr>
          <w:p w14:paraId="75BE67B9" w14:textId="3694F53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1.3 (22%)</w:t>
            </w:r>
          </w:p>
        </w:tc>
        <w:tc>
          <w:tcPr>
            <w:tcW w:w="814" w:type="pct"/>
            <w:noWrap/>
            <w:vAlign w:val="center"/>
            <w:hideMark/>
          </w:tcPr>
          <w:p w14:paraId="249E0850" w14:textId="549374A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5.3 (27%)</w:t>
            </w:r>
          </w:p>
        </w:tc>
      </w:tr>
      <w:tr w:rsidR="00C30FCB" w:rsidRPr="00C30FCB" w14:paraId="13A4A447" w14:textId="77777777" w:rsidTr="008C57A3">
        <w:trPr>
          <w:trHeight w:val="290"/>
        </w:trPr>
        <w:tc>
          <w:tcPr>
            <w:tcW w:w="938" w:type="pct"/>
            <w:noWrap/>
            <w:vAlign w:val="center"/>
            <w:hideMark/>
          </w:tcPr>
          <w:p w14:paraId="05128B52" w14:textId="043A369B"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Regional areas</w:t>
            </w:r>
          </w:p>
        </w:tc>
        <w:tc>
          <w:tcPr>
            <w:tcW w:w="812" w:type="pct"/>
            <w:noWrap/>
            <w:vAlign w:val="center"/>
            <w:hideMark/>
          </w:tcPr>
          <w:p w14:paraId="33777D9D" w14:textId="5FDC0801"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25 (27%)</w:t>
            </w:r>
          </w:p>
        </w:tc>
        <w:tc>
          <w:tcPr>
            <w:tcW w:w="812" w:type="pct"/>
            <w:noWrap/>
            <w:vAlign w:val="center"/>
            <w:hideMark/>
          </w:tcPr>
          <w:p w14:paraId="0A1ACC0D" w14:textId="0B86186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(40%)</w:t>
            </w:r>
          </w:p>
        </w:tc>
        <w:tc>
          <w:tcPr>
            <w:tcW w:w="812" w:type="pct"/>
            <w:noWrap/>
            <w:vAlign w:val="center"/>
            <w:hideMark/>
          </w:tcPr>
          <w:p w14:paraId="4112C44C" w14:textId="2052D7A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11 (42%)</w:t>
            </w:r>
          </w:p>
        </w:tc>
        <w:tc>
          <w:tcPr>
            <w:tcW w:w="812" w:type="pct"/>
            <w:noWrap/>
            <w:vAlign w:val="center"/>
            <w:hideMark/>
          </w:tcPr>
          <w:p w14:paraId="08016C95" w14:textId="2C6CAE5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3.3 (57%)</w:t>
            </w:r>
          </w:p>
        </w:tc>
        <w:tc>
          <w:tcPr>
            <w:tcW w:w="814" w:type="pct"/>
            <w:noWrap/>
            <w:vAlign w:val="center"/>
            <w:hideMark/>
          </w:tcPr>
          <w:p w14:paraId="39AF42DB" w14:textId="4AF3C471"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9.5 (49%)</w:t>
            </w:r>
          </w:p>
        </w:tc>
      </w:tr>
      <w:tr w:rsidR="00C30FCB" w:rsidRPr="00C30FCB" w14:paraId="6893F6CC" w14:textId="77777777" w:rsidTr="008C57A3">
        <w:trPr>
          <w:trHeight w:val="290"/>
        </w:trPr>
        <w:tc>
          <w:tcPr>
            <w:tcW w:w="938" w:type="pct"/>
            <w:noWrap/>
            <w:vAlign w:val="center"/>
            <w:hideMark/>
          </w:tcPr>
          <w:p w14:paraId="2E3EEDAB" w14:textId="705EAAC1"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Remote areas</w:t>
            </w:r>
          </w:p>
        </w:tc>
        <w:tc>
          <w:tcPr>
            <w:tcW w:w="812" w:type="pct"/>
            <w:noWrap/>
            <w:vAlign w:val="center"/>
            <w:hideMark/>
          </w:tcPr>
          <w:p w14:paraId="3F30839A" w14:textId="220F5AC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64 (70%)</w:t>
            </w:r>
          </w:p>
        </w:tc>
        <w:tc>
          <w:tcPr>
            <w:tcW w:w="812" w:type="pct"/>
            <w:noWrap/>
            <w:vAlign w:val="center"/>
            <w:hideMark/>
          </w:tcPr>
          <w:p w14:paraId="4335738D" w14:textId="75A5EA5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(40%)</w:t>
            </w:r>
          </w:p>
        </w:tc>
        <w:tc>
          <w:tcPr>
            <w:tcW w:w="812" w:type="pct"/>
            <w:noWrap/>
            <w:vAlign w:val="center"/>
            <w:hideMark/>
          </w:tcPr>
          <w:p w14:paraId="749EC26F" w14:textId="2910CC1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 (35%)</w:t>
            </w:r>
          </w:p>
        </w:tc>
        <w:tc>
          <w:tcPr>
            <w:tcW w:w="812" w:type="pct"/>
            <w:noWrap/>
            <w:vAlign w:val="center"/>
            <w:hideMark/>
          </w:tcPr>
          <w:p w14:paraId="099610D7" w14:textId="1602322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1.3 (22%)</w:t>
            </w:r>
          </w:p>
        </w:tc>
        <w:tc>
          <w:tcPr>
            <w:tcW w:w="814" w:type="pct"/>
            <w:noWrap/>
            <w:vAlign w:val="center"/>
            <w:hideMark/>
          </w:tcPr>
          <w:p w14:paraId="5D10CCF7" w14:textId="06B7559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4.5 (23%)</w:t>
            </w:r>
          </w:p>
        </w:tc>
      </w:tr>
      <w:tr w:rsidR="00C30FCB" w:rsidRPr="00C30FCB" w14:paraId="69D3B63A" w14:textId="77777777" w:rsidTr="008C57A3">
        <w:trPr>
          <w:trHeight w:val="290"/>
        </w:trPr>
        <w:tc>
          <w:tcPr>
            <w:tcW w:w="938" w:type="pct"/>
            <w:noWrap/>
            <w:vAlign w:val="center"/>
            <w:hideMark/>
          </w:tcPr>
          <w:p w14:paraId="0F6FCC80" w14:textId="260CFB97"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Unknown</w:t>
            </w:r>
          </w:p>
        </w:tc>
        <w:tc>
          <w:tcPr>
            <w:tcW w:w="812" w:type="pct"/>
            <w:noWrap/>
            <w:vAlign w:val="center"/>
            <w:hideMark/>
          </w:tcPr>
          <w:p w14:paraId="4F04FC8D" w14:textId="7117D7D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(2%)</w:t>
            </w:r>
          </w:p>
        </w:tc>
        <w:tc>
          <w:tcPr>
            <w:tcW w:w="812" w:type="pct"/>
            <w:noWrap/>
            <w:vAlign w:val="center"/>
            <w:hideMark/>
          </w:tcPr>
          <w:p w14:paraId="0D5993F4" w14:textId="7CFE69D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408DAC3E" w14:textId="689814D1"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16158DA2" w14:textId="5EF9736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53E741CA" w14:textId="0BC5067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0.3 (1%)</w:t>
            </w:r>
          </w:p>
        </w:tc>
      </w:tr>
      <w:tr w:rsidR="00C30FCB" w:rsidRPr="00C30FCB"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8C57A3" w:rsidRPr="00C30FCB" w:rsidRDefault="008C57A3" w:rsidP="008C57A3">
            <w:pPr>
              <w:spacing w:before="0" w:after="0" w:line="240" w:lineRule="auto"/>
              <w:jc w:val="both"/>
              <w:rPr>
                <w:rFonts w:cs="Arial"/>
                <w:b/>
                <w:bCs/>
                <w:color w:val="033636" w:themeColor="text1"/>
                <w:sz w:val="20"/>
                <w:szCs w:val="20"/>
              </w:rPr>
            </w:pPr>
            <w:r w:rsidRPr="00C30FCB">
              <w:rPr>
                <w:rFonts w:cs="Arial"/>
                <w:b/>
                <w:bCs/>
                <w:color w:val="033636" w:themeColor="text1"/>
                <w:sz w:val="20"/>
                <w:szCs w:val="20"/>
              </w:rPr>
              <w:t>Place of acquisition</w:t>
            </w:r>
          </w:p>
        </w:tc>
      </w:tr>
      <w:tr w:rsidR="00C30FCB" w:rsidRPr="00C30FCB" w14:paraId="2CCE8A7A" w14:textId="77777777" w:rsidTr="008C57A3">
        <w:trPr>
          <w:trHeight w:val="290"/>
        </w:trPr>
        <w:tc>
          <w:tcPr>
            <w:tcW w:w="938" w:type="pct"/>
            <w:noWrap/>
            <w:vAlign w:val="center"/>
            <w:hideMark/>
          </w:tcPr>
          <w:p w14:paraId="2533AF5B" w14:textId="20D530B0"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Overseas acquired</w:t>
            </w:r>
          </w:p>
        </w:tc>
        <w:tc>
          <w:tcPr>
            <w:tcW w:w="812" w:type="pct"/>
            <w:noWrap/>
            <w:vAlign w:val="center"/>
            <w:hideMark/>
          </w:tcPr>
          <w:p w14:paraId="4ADAEEA1" w14:textId="41944F7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(2%)</w:t>
            </w:r>
          </w:p>
        </w:tc>
        <w:tc>
          <w:tcPr>
            <w:tcW w:w="812" w:type="pct"/>
            <w:noWrap/>
            <w:vAlign w:val="center"/>
            <w:hideMark/>
          </w:tcPr>
          <w:p w14:paraId="4C0175A6" w14:textId="49BFA64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(40%)</w:t>
            </w:r>
          </w:p>
        </w:tc>
        <w:tc>
          <w:tcPr>
            <w:tcW w:w="812" w:type="pct"/>
            <w:noWrap/>
            <w:vAlign w:val="center"/>
            <w:hideMark/>
          </w:tcPr>
          <w:p w14:paraId="6F0B2F01" w14:textId="31A130B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8 (31%)</w:t>
            </w:r>
          </w:p>
        </w:tc>
        <w:tc>
          <w:tcPr>
            <w:tcW w:w="812" w:type="pct"/>
            <w:noWrap/>
            <w:vAlign w:val="center"/>
            <w:hideMark/>
          </w:tcPr>
          <w:p w14:paraId="1B172111" w14:textId="4AFDC29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1.3 (22%)</w:t>
            </w:r>
          </w:p>
        </w:tc>
        <w:tc>
          <w:tcPr>
            <w:tcW w:w="814" w:type="pct"/>
            <w:noWrap/>
            <w:vAlign w:val="center"/>
            <w:hideMark/>
          </w:tcPr>
          <w:p w14:paraId="615C4BA3" w14:textId="38E7D9E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5.0 (26%)</w:t>
            </w:r>
          </w:p>
        </w:tc>
      </w:tr>
      <w:tr w:rsidR="00C30FCB" w:rsidRPr="00C30FCB" w14:paraId="306C0CAC" w14:textId="77777777" w:rsidTr="008C57A3">
        <w:trPr>
          <w:trHeight w:val="290"/>
        </w:trPr>
        <w:tc>
          <w:tcPr>
            <w:tcW w:w="938" w:type="pct"/>
            <w:noWrap/>
            <w:vAlign w:val="center"/>
            <w:hideMark/>
          </w:tcPr>
          <w:p w14:paraId="0AA33122" w14:textId="579884A0"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Locally acquired</w:t>
            </w:r>
          </w:p>
        </w:tc>
        <w:tc>
          <w:tcPr>
            <w:tcW w:w="812" w:type="pct"/>
            <w:noWrap/>
            <w:vAlign w:val="center"/>
            <w:hideMark/>
          </w:tcPr>
          <w:p w14:paraId="31A08B6B" w14:textId="4C65916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84 (91%)</w:t>
            </w:r>
          </w:p>
        </w:tc>
        <w:tc>
          <w:tcPr>
            <w:tcW w:w="812" w:type="pct"/>
            <w:noWrap/>
            <w:vAlign w:val="center"/>
            <w:hideMark/>
          </w:tcPr>
          <w:p w14:paraId="771145D5" w14:textId="4B4772F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(40%)</w:t>
            </w:r>
          </w:p>
        </w:tc>
        <w:tc>
          <w:tcPr>
            <w:tcW w:w="812" w:type="pct"/>
            <w:noWrap/>
            <w:vAlign w:val="center"/>
            <w:hideMark/>
          </w:tcPr>
          <w:p w14:paraId="6CB104E5" w14:textId="2E7AC9D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17 (65%)</w:t>
            </w:r>
          </w:p>
        </w:tc>
        <w:tc>
          <w:tcPr>
            <w:tcW w:w="812" w:type="pct"/>
            <w:noWrap/>
            <w:vAlign w:val="center"/>
            <w:hideMark/>
          </w:tcPr>
          <w:p w14:paraId="5E15C398" w14:textId="294428C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3.8 (65%)</w:t>
            </w:r>
          </w:p>
        </w:tc>
        <w:tc>
          <w:tcPr>
            <w:tcW w:w="814" w:type="pct"/>
            <w:noWrap/>
            <w:vAlign w:val="center"/>
            <w:hideMark/>
          </w:tcPr>
          <w:p w14:paraId="03FD888C" w14:textId="3344476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12.5 (64%)</w:t>
            </w:r>
          </w:p>
        </w:tc>
      </w:tr>
      <w:tr w:rsidR="00C30FCB" w:rsidRPr="00C30FCB" w14:paraId="50D085CC" w14:textId="77777777" w:rsidTr="008C57A3">
        <w:trPr>
          <w:trHeight w:val="290"/>
        </w:trPr>
        <w:tc>
          <w:tcPr>
            <w:tcW w:w="938" w:type="pct"/>
            <w:noWrap/>
            <w:vAlign w:val="center"/>
            <w:hideMark/>
          </w:tcPr>
          <w:p w14:paraId="3C2EE399" w14:textId="704777DA"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Unknown</w:t>
            </w:r>
          </w:p>
        </w:tc>
        <w:tc>
          <w:tcPr>
            <w:tcW w:w="812" w:type="pct"/>
            <w:noWrap/>
            <w:vAlign w:val="center"/>
            <w:hideMark/>
          </w:tcPr>
          <w:p w14:paraId="6DDE3880" w14:textId="7274D22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6 (7%)</w:t>
            </w:r>
          </w:p>
        </w:tc>
        <w:tc>
          <w:tcPr>
            <w:tcW w:w="812" w:type="pct"/>
            <w:noWrap/>
            <w:vAlign w:val="center"/>
            <w:hideMark/>
          </w:tcPr>
          <w:p w14:paraId="012A7121" w14:textId="3326A02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(20%)</w:t>
            </w:r>
          </w:p>
        </w:tc>
        <w:tc>
          <w:tcPr>
            <w:tcW w:w="812" w:type="pct"/>
            <w:noWrap/>
            <w:vAlign w:val="center"/>
            <w:hideMark/>
          </w:tcPr>
          <w:p w14:paraId="54429E62" w14:textId="2DAA11E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(4%)</w:t>
            </w:r>
          </w:p>
        </w:tc>
        <w:tc>
          <w:tcPr>
            <w:tcW w:w="812" w:type="pct"/>
            <w:noWrap/>
            <w:vAlign w:val="center"/>
            <w:hideMark/>
          </w:tcPr>
          <w:p w14:paraId="1AC2F391" w14:textId="222E953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0.8 (13%)</w:t>
            </w:r>
          </w:p>
        </w:tc>
        <w:tc>
          <w:tcPr>
            <w:tcW w:w="814" w:type="pct"/>
            <w:noWrap/>
            <w:vAlign w:val="center"/>
            <w:hideMark/>
          </w:tcPr>
          <w:p w14:paraId="4406B813" w14:textId="0FBB9A2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2.0 (10%)</w:t>
            </w:r>
          </w:p>
        </w:tc>
      </w:tr>
      <w:tr w:rsidR="00C30FCB" w:rsidRPr="00C30FCB"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1705F2" w:rsidRPr="00C30FCB" w:rsidRDefault="001705F2" w:rsidP="001705F2">
            <w:pPr>
              <w:spacing w:before="0" w:after="0" w:line="240" w:lineRule="auto"/>
              <w:rPr>
                <w:rFonts w:cs="Arial"/>
                <w:b/>
                <w:bCs/>
                <w:color w:val="033636" w:themeColor="text1"/>
                <w:sz w:val="20"/>
                <w:szCs w:val="20"/>
              </w:rPr>
            </w:pPr>
            <w:r w:rsidRPr="00C30FCB">
              <w:rPr>
                <w:rFonts w:cs="Arial"/>
                <w:b/>
                <w:bCs/>
                <w:color w:val="033636" w:themeColor="text1"/>
                <w:sz w:val="20"/>
                <w:szCs w:val="20"/>
              </w:rPr>
              <w:t>Clinical manifestation</w:t>
            </w:r>
          </w:p>
        </w:tc>
      </w:tr>
      <w:tr w:rsidR="00C30FCB" w:rsidRPr="00C30FCB" w14:paraId="534D9573" w14:textId="77777777" w:rsidTr="008C57A3">
        <w:trPr>
          <w:trHeight w:val="290"/>
        </w:trPr>
        <w:tc>
          <w:tcPr>
            <w:tcW w:w="938" w:type="pct"/>
            <w:noWrap/>
            <w:vAlign w:val="center"/>
            <w:hideMark/>
          </w:tcPr>
          <w:p w14:paraId="2C5D1743" w14:textId="6C4A0F09"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Cutaneous</w:t>
            </w:r>
          </w:p>
        </w:tc>
        <w:tc>
          <w:tcPr>
            <w:tcW w:w="812" w:type="pct"/>
            <w:noWrap/>
            <w:vAlign w:val="center"/>
            <w:hideMark/>
          </w:tcPr>
          <w:p w14:paraId="0A522C13" w14:textId="7359DFF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68 (74%)</w:t>
            </w:r>
          </w:p>
        </w:tc>
        <w:tc>
          <w:tcPr>
            <w:tcW w:w="812" w:type="pct"/>
            <w:noWrap/>
            <w:vAlign w:val="center"/>
            <w:hideMark/>
          </w:tcPr>
          <w:p w14:paraId="0D719A5D" w14:textId="614F924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4 (80%)</w:t>
            </w:r>
          </w:p>
        </w:tc>
        <w:tc>
          <w:tcPr>
            <w:tcW w:w="812" w:type="pct"/>
            <w:noWrap/>
            <w:vAlign w:val="center"/>
            <w:hideMark/>
          </w:tcPr>
          <w:p w14:paraId="5A3BA3DF" w14:textId="5CE1C04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24 (92%)</w:t>
            </w:r>
          </w:p>
        </w:tc>
        <w:tc>
          <w:tcPr>
            <w:tcW w:w="812" w:type="pct"/>
            <w:noWrap/>
            <w:vAlign w:val="center"/>
            <w:hideMark/>
          </w:tcPr>
          <w:p w14:paraId="3D0A83CB" w14:textId="43DA087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5.3 (91%)</w:t>
            </w:r>
          </w:p>
        </w:tc>
        <w:tc>
          <w:tcPr>
            <w:tcW w:w="814" w:type="pct"/>
            <w:noWrap/>
            <w:vAlign w:val="center"/>
            <w:hideMark/>
          </w:tcPr>
          <w:p w14:paraId="576EDE28" w14:textId="2422B2B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17.0 (87%)</w:t>
            </w:r>
          </w:p>
        </w:tc>
      </w:tr>
      <w:tr w:rsidR="00C30FCB" w:rsidRPr="00C30FCB" w14:paraId="4EA6E884" w14:textId="77777777" w:rsidTr="008C57A3">
        <w:trPr>
          <w:trHeight w:val="290"/>
        </w:trPr>
        <w:tc>
          <w:tcPr>
            <w:tcW w:w="938" w:type="pct"/>
            <w:noWrap/>
            <w:vAlign w:val="center"/>
            <w:hideMark/>
          </w:tcPr>
          <w:p w14:paraId="626B2C59" w14:textId="56495124"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Respiratory</w:t>
            </w:r>
          </w:p>
        </w:tc>
        <w:tc>
          <w:tcPr>
            <w:tcW w:w="812" w:type="pct"/>
            <w:noWrap/>
            <w:vAlign w:val="center"/>
            <w:hideMark/>
          </w:tcPr>
          <w:p w14:paraId="44914ECA" w14:textId="782DE7D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24 (26%)</w:t>
            </w:r>
          </w:p>
        </w:tc>
        <w:tc>
          <w:tcPr>
            <w:tcW w:w="812" w:type="pct"/>
            <w:noWrap/>
            <w:vAlign w:val="center"/>
            <w:hideMark/>
          </w:tcPr>
          <w:p w14:paraId="158869E9" w14:textId="450D31D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(20%)</w:t>
            </w:r>
          </w:p>
        </w:tc>
        <w:tc>
          <w:tcPr>
            <w:tcW w:w="812" w:type="pct"/>
            <w:noWrap/>
            <w:vAlign w:val="center"/>
            <w:hideMark/>
          </w:tcPr>
          <w:p w14:paraId="2D53D0E9" w14:textId="1E2B990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(8%)</w:t>
            </w:r>
          </w:p>
        </w:tc>
        <w:tc>
          <w:tcPr>
            <w:tcW w:w="812" w:type="pct"/>
            <w:noWrap/>
            <w:vAlign w:val="center"/>
            <w:hideMark/>
          </w:tcPr>
          <w:p w14:paraId="03823624" w14:textId="254EAD4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(9%)</w:t>
            </w:r>
          </w:p>
        </w:tc>
        <w:tc>
          <w:tcPr>
            <w:tcW w:w="814" w:type="pct"/>
            <w:noWrap/>
            <w:vAlign w:val="center"/>
            <w:hideMark/>
          </w:tcPr>
          <w:p w14:paraId="3563BF19" w14:textId="5DA4311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2.0 (10%)</w:t>
            </w:r>
          </w:p>
        </w:tc>
      </w:tr>
      <w:tr w:rsidR="00C30FCB" w:rsidRPr="00C30FCB" w14:paraId="33C6676C" w14:textId="77777777" w:rsidTr="008C57A3">
        <w:trPr>
          <w:trHeight w:val="290"/>
        </w:trPr>
        <w:tc>
          <w:tcPr>
            <w:tcW w:w="938" w:type="pct"/>
            <w:noWrap/>
            <w:vAlign w:val="center"/>
            <w:hideMark/>
          </w:tcPr>
          <w:p w14:paraId="7432DFE6" w14:textId="431B90E9"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Unknown</w:t>
            </w:r>
          </w:p>
        </w:tc>
        <w:tc>
          <w:tcPr>
            <w:tcW w:w="812" w:type="pct"/>
            <w:noWrap/>
            <w:vAlign w:val="center"/>
            <w:hideMark/>
          </w:tcPr>
          <w:p w14:paraId="5EC4737D" w14:textId="0DC79C3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318F62D8" w14:textId="43A498B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64CFC98A" w14:textId="1496415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1273A181" w14:textId="492EC6F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79079AB1" w14:textId="1B966A7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(3%)</w:t>
            </w:r>
          </w:p>
        </w:tc>
      </w:tr>
      <w:tr w:rsidR="00C30FCB" w:rsidRPr="00C30FCB" w14:paraId="2EDFD7C2" w14:textId="77777777" w:rsidTr="008C57A3">
        <w:trPr>
          <w:trHeight w:val="290"/>
        </w:trPr>
        <w:tc>
          <w:tcPr>
            <w:tcW w:w="5000" w:type="pct"/>
            <w:gridSpan w:val="6"/>
            <w:shd w:val="clear" w:color="auto" w:fill="00DCA1" w:themeFill="background1"/>
            <w:noWrap/>
            <w:vAlign w:val="center"/>
          </w:tcPr>
          <w:p w14:paraId="54B495B3" w14:textId="0F5B73C9" w:rsidR="008C57A3" w:rsidRPr="00C30FCB" w:rsidRDefault="008C57A3" w:rsidP="008C57A3">
            <w:pPr>
              <w:spacing w:before="0" w:after="0" w:line="240" w:lineRule="auto"/>
              <w:rPr>
                <w:rFonts w:cs="Arial"/>
                <w:b/>
                <w:bCs/>
                <w:color w:val="033636" w:themeColor="text1"/>
                <w:sz w:val="20"/>
                <w:szCs w:val="20"/>
              </w:rPr>
            </w:pPr>
            <w:r w:rsidRPr="00C30FCB">
              <w:rPr>
                <w:rFonts w:cs="Arial"/>
                <w:b/>
                <w:bCs/>
                <w:color w:val="033636" w:themeColor="text1"/>
                <w:sz w:val="20"/>
                <w:szCs w:val="20"/>
              </w:rPr>
              <w:t>Age (years)</w:t>
            </w:r>
          </w:p>
        </w:tc>
      </w:tr>
      <w:tr w:rsidR="00C30FCB" w:rsidRPr="00C30FCB" w14:paraId="7CCC7CFF" w14:textId="77777777" w:rsidTr="008C57A3">
        <w:trPr>
          <w:trHeight w:val="290"/>
        </w:trPr>
        <w:tc>
          <w:tcPr>
            <w:tcW w:w="938" w:type="pct"/>
            <w:noWrap/>
            <w:vAlign w:val="center"/>
          </w:tcPr>
          <w:p w14:paraId="0A405241" w14:textId="5421D0CE" w:rsidR="003311CC" w:rsidRPr="00C30FCB" w:rsidRDefault="003311CC" w:rsidP="000F4FE9">
            <w:pPr>
              <w:spacing w:before="0" w:after="0" w:line="240" w:lineRule="auto"/>
              <w:rPr>
                <w:rFonts w:cs="Arial"/>
                <w:color w:val="033636" w:themeColor="text1"/>
                <w:sz w:val="20"/>
                <w:szCs w:val="20"/>
              </w:rPr>
            </w:pPr>
            <w:r w:rsidRPr="00C30FCB">
              <w:rPr>
                <w:rFonts w:cs="Arial"/>
                <w:color w:val="033636" w:themeColor="text1"/>
                <w:sz w:val="20"/>
                <w:szCs w:val="20"/>
              </w:rPr>
              <w:t>Median (IQR)</w:t>
            </w:r>
          </w:p>
        </w:tc>
        <w:tc>
          <w:tcPr>
            <w:tcW w:w="812" w:type="pct"/>
            <w:noWrap/>
            <w:vAlign w:val="center"/>
          </w:tcPr>
          <w:p w14:paraId="60A03B3D" w14:textId="30545B8F" w:rsidR="003311CC" w:rsidRPr="00C30FCB" w:rsidRDefault="003311CC" w:rsidP="000F4FE9">
            <w:pPr>
              <w:spacing w:before="0" w:after="0" w:line="240" w:lineRule="auto"/>
              <w:jc w:val="right"/>
              <w:rPr>
                <w:rFonts w:cs="Arial"/>
                <w:color w:val="033636" w:themeColor="text1"/>
                <w:sz w:val="20"/>
                <w:szCs w:val="20"/>
              </w:rPr>
            </w:pPr>
            <w:r w:rsidRPr="00C30FCB">
              <w:rPr>
                <w:rFonts w:cs="Arial"/>
                <w:color w:val="033636" w:themeColor="text1"/>
                <w:sz w:val="20"/>
                <w:szCs w:val="20"/>
              </w:rPr>
              <w:t>29.5 (18.8-43.0)</w:t>
            </w:r>
          </w:p>
        </w:tc>
        <w:tc>
          <w:tcPr>
            <w:tcW w:w="812" w:type="pct"/>
            <w:noWrap/>
            <w:vAlign w:val="center"/>
          </w:tcPr>
          <w:p w14:paraId="7E0D72C4" w14:textId="2F4945EE" w:rsidR="003311CC" w:rsidRPr="00C30FCB" w:rsidRDefault="003311CC" w:rsidP="000F4FE9">
            <w:pPr>
              <w:spacing w:before="0" w:after="0" w:line="240" w:lineRule="auto"/>
              <w:jc w:val="right"/>
              <w:rPr>
                <w:rFonts w:cs="Arial"/>
                <w:color w:val="033636" w:themeColor="text1"/>
                <w:sz w:val="20"/>
                <w:szCs w:val="20"/>
              </w:rPr>
            </w:pPr>
            <w:r w:rsidRPr="00C30FCB">
              <w:rPr>
                <w:rFonts w:cs="Arial"/>
                <w:color w:val="033636" w:themeColor="text1"/>
                <w:sz w:val="20"/>
                <w:szCs w:val="20"/>
              </w:rPr>
              <w:t>14.0 (11.0-15.0)</w:t>
            </w:r>
          </w:p>
        </w:tc>
        <w:tc>
          <w:tcPr>
            <w:tcW w:w="812" w:type="pct"/>
            <w:noWrap/>
            <w:vAlign w:val="center"/>
          </w:tcPr>
          <w:p w14:paraId="64F8C0B6" w14:textId="290C9228" w:rsidR="003311CC" w:rsidRPr="00C30FCB" w:rsidRDefault="003311CC" w:rsidP="000F4FE9">
            <w:pPr>
              <w:spacing w:before="0" w:after="0" w:line="240" w:lineRule="auto"/>
              <w:jc w:val="right"/>
              <w:rPr>
                <w:rFonts w:cs="Arial"/>
                <w:color w:val="033636" w:themeColor="text1"/>
                <w:sz w:val="20"/>
                <w:szCs w:val="20"/>
              </w:rPr>
            </w:pPr>
            <w:r w:rsidRPr="00C30FCB">
              <w:rPr>
                <w:rFonts w:cs="Arial"/>
                <w:color w:val="033636" w:themeColor="text1"/>
                <w:sz w:val="20"/>
                <w:szCs w:val="20"/>
              </w:rPr>
              <w:t>36.5 (19.8-48.5)</w:t>
            </w:r>
          </w:p>
        </w:tc>
        <w:tc>
          <w:tcPr>
            <w:tcW w:w="812" w:type="pct"/>
            <w:noWrap/>
            <w:vAlign w:val="center"/>
          </w:tcPr>
          <w:p w14:paraId="3605FB88" w14:textId="624FC213" w:rsidR="003311CC" w:rsidRPr="00C30FCB" w:rsidRDefault="003311CC" w:rsidP="000F4FE9">
            <w:pPr>
              <w:spacing w:before="0" w:after="0" w:line="240" w:lineRule="auto"/>
              <w:jc w:val="right"/>
              <w:rPr>
                <w:rFonts w:cs="Arial"/>
                <w:color w:val="033636" w:themeColor="text1"/>
                <w:sz w:val="20"/>
                <w:szCs w:val="20"/>
              </w:rPr>
            </w:pPr>
            <w:r w:rsidRPr="00C30FCB">
              <w:rPr>
                <w:rFonts w:cs="Arial"/>
                <w:color w:val="033636" w:themeColor="text1"/>
                <w:sz w:val="20"/>
                <w:szCs w:val="20"/>
              </w:rPr>
              <w:t>23.7 (19.3-34.3)</w:t>
            </w:r>
          </w:p>
        </w:tc>
        <w:tc>
          <w:tcPr>
            <w:tcW w:w="814" w:type="pct"/>
            <w:noWrap/>
            <w:vAlign w:val="center"/>
          </w:tcPr>
          <w:p w14:paraId="1E8F5C16" w14:textId="28D53FED" w:rsidR="003311CC" w:rsidRPr="00C30FCB" w:rsidRDefault="003311CC" w:rsidP="000F4FE9">
            <w:pPr>
              <w:spacing w:before="0" w:after="0" w:line="240" w:lineRule="auto"/>
              <w:jc w:val="right"/>
              <w:rPr>
                <w:rFonts w:cs="Arial"/>
                <w:color w:val="033636" w:themeColor="text1"/>
                <w:sz w:val="20"/>
                <w:szCs w:val="20"/>
              </w:rPr>
            </w:pPr>
            <w:r w:rsidRPr="00C30FCB">
              <w:rPr>
                <w:rFonts w:cs="Arial"/>
                <w:color w:val="033636" w:themeColor="text1"/>
                <w:sz w:val="20"/>
                <w:szCs w:val="20"/>
              </w:rPr>
              <w:t>39.4 (22.8-52.8)</w:t>
            </w:r>
          </w:p>
        </w:tc>
      </w:tr>
      <w:tr w:rsidR="00C30FCB" w:rsidRPr="00C30FCB"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8C57A3" w:rsidRPr="00C30FCB" w:rsidRDefault="008C57A3" w:rsidP="008C57A3">
            <w:pPr>
              <w:spacing w:before="0" w:after="0" w:line="240" w:lineRule="auto"/>
              <w:rPr>
                <w:rFonts w:cs="Arial"/>
                <w:b/>
                <w:bCs/>
                <w:color w:val="033636" w:themeColor="text1"/>
                <w:sz w:val="20"/>
                <w:szCs w:val="20"/>
              </w:rPr>
            </w:pPr>
            <w:r w:rsidRPr="00C30FCB">
              <w:rPr>
                <w:rFonts w:cs="Arial"/>
                <w:b/>
                <w:bCs/>
                <w:color w:val="033636" w:themeColor="text1"/>
                <w:sz w:val="20"/>
                <w:szCs w:val="20"/>
              </w:rPr>
              <w:t>Age group (years)</w:t>
            </w:r>
          </w:p>
        </w:tc>
      </w:tr>
      <w:tr w:rsidR="00C30FCB" w:rsidRPr="00C30FCB" w14:paraId="7D823057" w14:textId="77777777" w:rsidTr="008C57A3">
        <w:trPr>
          <w:trHeight w:val="290"/>
        </w:trPr>
        <w:tc>
          <w:tcPr>
            <w:tcW w:w="938" w:type="pct"/>
            <w:noWrap/>
            <w:vAlign w:val="center"/>
            <w:hideMark/>
          </w:tcPr>
          <w:p w14:paraId="0FB56893" w14:textId="553C7727"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&lt;1</w:t>
            </w:r>
          </w:p>
        </w:tc>
        <w:tc>
          <w:tcPr>
            <w:tcW w:w="812" w:type="pct"/>
            <w:noWrap/>
            <w:vAlign w:val="center"/>
            <w:hideMark/>
          </w:tcPr>
          <w:p w14:paraId="3D798D12" w14:textId="137DD609"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7B25B1D2" w14:textId="656940F3"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7023ADA9" w14:textId="656745B7"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23CA2DA6" w14:textId="4EA282BB"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1E45F985" w14:textId="3FCC514F"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0.0 (0%)</w:t>
            </w:r>
          </w:p>
        </w:tc>
      </w:tr>
      <w:tr w:rsidR="00C30FCB" w:rsidRPr="00C30FCB" w14:paraId="776C4ABD" w14:textId="77777777" w:rsidTr="008C57A3">
        <w:trPr>
          <w:trHeight w:val="290"/>
        </w:trPr>
        <w:tc>
          <w:tcPr>
            <w:tcW w:w="938" w:type="pct"/>
            <w:noWrap/>
            <w:vAlign w:val="center"/>
            <w:hideMark/>
          </w:tcPr>
          <w:p w14:paraId="06856F52" w14:textId="7AF38E7E"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1-4</w:t>
            </w:r>
          </w:p>
        </w:tc>
        <w:tc>
          <w:tcPr>
            <w:tcW w:w="812" w:type="pct"/>
            <w:noWrap/>
            <w:vAlign w:val="center"/>
            <w:hideMark/>
          </w:tcPr>
          <w:p w14:paraId="480C5E0D" w14:textId="7A99D67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 (5%)</w:t>
            </w:r>
          </w:p>
        </w:tc>
        <w:tc>
          <w:tcPr>
            <w:tcW w:w="812" w:type="pct"/>
            <w:noWrap/>
            <w:vAlign w:val="center"/>
            <w:hideMark/>
          </w:tcPr>
          <w:p w14:paraId="1D80FA95" w14:textId="6B226FB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7819E225" w14:textId="4ECCE88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1405923E" w14:textId="0F0420A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(9%)</w:t>
            </w:r>
          </w:p>
        </w:tc>
        <w:tc>
          <w:tcPr>
            <w:tcW w:w="814" w:type="pct"/>
            <w:noWrap/>
            <w:vAlign w:val="center"/>
            <w:hideMark/>
          </w:tcPr>
          <w:p w14:paraId="34C7FE1C" w14:textId="5DF7297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1.3 (6%)</w:t>
            </w:r>
          </w:p>
        </w:tc>
      </w:tr>
      <w:tr w:rsidR="00C30FCB" w:rsidRPr="00C30FCB" w14:paraId="67179204" w14:textId="77777777" w:rsidTr="008C57A3">
        <w:trPr>
          <w:trHeight w:val="290"/>
        </w:trPr>
        <w:tc>
          <w:tcPr>
            <w:tcW w:w="938" w:type="pct"/>
            <w:noWrap/>
            <w:vAlign w:val="center"/>
            <w:hideMark/>
          </w:tcPr>
          <w:p w14:paraId="107C3B4F" w14:textId="7B21B084"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5-14</w:t>
            </w:r>
          </w:p>
        </w:tc>
        <w:tc>
          <w:tcPr>
            <w:tcW w:w="812" w:type="pct"/>
            <w:noWrap/>
            <w:vAlign w:val="center"/>
            <w:hideMark/>
          </w:tcPr>
          <w:p w14:paraId="08FC08EA" w14:textId="2FA72CE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12 (13%)</w:t>
            </w:r>
          </w:p>
        </w:tc>
        <w:tc>
          <w:tcPr>
            <w:tcW w:w="812" w:type="pct"/>
            <w:noWrap/>
            <w:vAlign w:val="center"/>
            <w:hideMark/>
          </w:tcPr>
          <w:p w14:paraId="47EEA9DC" w14:textId="5F0436F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 (60%)</w:t>
            </w:r>
          </w:p>
        </w:tc>
        <w:tc>
          <w:tcPr>
            <w:tcW w:w="812" w:type="pct"/>
            <w:noWrap/>
            <w:vAlign w:val="center"/>
            <w:hideMark/>
          </w:tcPr>
          <w:p w14:paraId="29F7473F" w14:textId="6E6C40C5"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 (12%)</w:t>
            </w:r>
          </w:p>
        </w:tc>
        <w:tc>
          <w:tcPr>
            <w:tcW w:w="812" w:type="pct"/>
            <w:noWrap/>
            <w:vAlign w:val="center"/>
            <w:hideMark/>
          </w:tcPr>
          <w:p w14:paraId="0E750C10" w14:textId="26F50FC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1.3 (22%)</w:t>
            </w:r>
          </w:p>
        </w:tc>
        <w:tc>
          <w:tcPr>
            <w:tcW w:w="814" w:type="pct"/>
            <w:noWrap/>
            <w:vAlign w:val="center"/>
            <w:hideMark/>
          </w:tcPr>
          <w:p w14:paraId="3B5C82ED" w14:textId="6891F8A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2.5 (13%)</w:t>
            </w:r>
          </w:p>
        </w:tc>
      </w:tr>
      <w:tr w:rsidR="00C30FCB" w:rsidRPr="00C30FCB" w14:paraId="54EC5751" w14:textId="77777777" w:rsidTr="008C57A3">
        <w:trPr>
          <w:trHeight w:val="290"/>
        </w:trPr>
        <w:tc>
          <w:tcPr>
            <w:tcW w:w="938" w:type="pct"/>
            <w:noWrap/>
            <w:vAlign w:val="center"/>
            <w:hideMark/>
          </w:tcPr>
          <w:p w14:paraId="0E498E14" w14:textId="19EB8175"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15-24</w:t>
            </w:r>
          </w:p>
        </w:tc>
        <w:tc>
          <w:tcPr>
            <w:tcW w:w="812" w:type="pct"/>
            <w:noWrap/>
            <w:vAlign w:val="center"/>
            <w:hideMark/>
          </w:tcPr>
          <w:p w14:paraId="36DC5AF3" w14:textId="6AF53141"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17 (18%)</w:t>
            </w:r>
          </w:p>
        </w:tc>
        <w:tc>
          <w:tcPr>
            <w:tcW w:w="812" w:type="pct"/>
            <w:noWrap/>
            <w:vAlign w:val="center"/>
            <w:hideMark/>
          </w:tcPr>
          <w:p w14:paraId="3E99F345" w14:textId="6178024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(40%)</w:t>
            </w:r>
          </w:p>
        </w:tc>
        <w:tc>
          <w:tcPr>
            <w:tcW w:w="812" w:type="pct"/>
            <w:noWrap/>
            <w:vAlign w:val="center"/>
            <w:hideMark/>
          </w:tcPr>
          <w:p w14:paraId="3316737C" w14:textId="3E17C8D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7 (27%)</w:t>
            </w:r>
          </w:p>
        </w:tc>
        <w:tc>
          <w:tcPr>
            <w:tcW w:w="812" w:type="pct"/>
            <w:noWrap/>
            <w:vAlign w:val="center"/>
            <w:hideMark/>
          </w:tcPr>
          <w:p w14:paraId="7F593894" w14:textId="39A2976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1.3 (22%)</w:t>
            </w:r>
          </w:p>
        </w:tc>
        <w:tc>
          <w:tcPr>
            <w:tcW w:w="814" w:type="pct"/>
            <w:noWrap/>
            <w:vAlign w:val="center"/>
            <w:hideMark/>
          </w:tcPr>
          <w:p w14:paraId="1CDC927C" w14:textId="42195FB5"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3.8 (19%)</w:t>
            </w:r>
          </w:p>
        </w:tc>
      </w:tr>
      <w:tr w:rsidR="00C30FCB" w:rsidRPr="00C30FCB" w14:paraId="3BB5877A" w14:textId="77777777" w:rsidTr="008C57A3">
        <w:trPr>
          <w:trHeight w:val="290"/>
        </w:trPr>
        <w:tc>
          <w:tcPr>
            <w:tcW w:w="938" w:type="pct"/>
            <w:noWrap/>
            <w:vAlign w:val="center"/>
            <w:hideMark/>
          </w:tcPr>
          <w:p w14:paraId="09DEA814" w14:textId="676BDEE2"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25-44</w:t>
            </w:r>
          </w:p>
        </w:tc>
        <w:tc>
          <w:tcPr>
            <w:tcW w:w="812" w:type="pct"/>
            <w:noWrap/>
            <w:vAlign w:val="center"/>
            <w:hideMark/>
          </w:tcPr>
          <w:p w14:paraId="3DE2BF16" w14:textId="664071D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43 (47%)</w:t>
            </w:r>
          </w:p>
        </w:tc>
        <w:tc>
          <w:tcPr>
            <w:tcW w:w="812" w:type="pct"/>
            <w:noWrap/>
            <w:vAlign w:val="center"/>
            <w:hideMark/>
          </w:tcPr>
          <w:p w14:paraId="3EC99532" w14:textId="2E59658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566D6FB6" w14:textId="200B8855"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7 (27%)</w:t>
            </w:r>
          </w:p>
        </w:tc>
        <w:tc>
          <w:tcPr>
            <w:tcW w:w="812" w:type="pct"/>
            <w:noWrap/>
            <w:vAlign w:val="center"/>
            <w:hideMark/>
          </w:tcPr>
          <w:p w14:paraId="3F637D12" w14:textId="625EDF5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2.0 (35%)</w:t>
            </w:r>
          </w:p>
        </w:tc>
        <w:tc>
          <w:tcPr>
            <w:tcW w:w="814" w:type="pct"/>
            <w:noWrap/>
            <w:vAlign w:val="center"/>
            <w:hideMark/>
          </w:tcPr>
          <w:p w14:paraId="66C20137" w14:textId="6F3B646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5.3 (27%)</w:t>
            </w:r>
          </w:p>
        </w:tc>
      </w:tr>
      <w:tr w:rsidR="00C30FCB" w:rsidRPr="00C30FCB" w14:paraId="4C1EC27C" w14:textId="77777777" w:rsidTr="008C57A3">
        <w:trPr>
          <w:trHeight w:val="290"/>
        </w:trPr>
        <w:tc>
          <w:tcPr>
            <w:tcW w:w="938" w:type="pct"/>
            <w:noWrap/>
            <w:vAlign w:val="center"/>
            <w:hideMark/>
          </w:tcPr>
          <w:p w14:paraId="3E1B2DC2" w14:textId="0A6821B1"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45-64</w:t>
            </w:r>
          </w:p>
        </w:tc>
        <w:tc>
          <w:tcPr>
            <w:tcW w:w="812" w:type="pct"/>
            <w:noWrap/>
            <w:vAlign w:val="center"/>
            <w:hideMark/>
          </w:tcPr>
          <w:p w14:paraId="33B74E88" w14:textId="785DC6A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12 (13%)</w:t>
            </w:r>
          </w:p>
        </w:tc>
        <w:tc>
          <w:tcPr>
            <w:tcW w:w="812" w:type="pct"/>
            <w:noWrap/>
            <w:vAlign w:val="center"/>
            <w:hideMark/>
          </w:tcPr>
          <w:p w14:paraId="1A4C9631" w14:textId="3249E04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072AA707" w14:textId="0BA0F47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 (35%)</w:t>
            </w:r>
          </w:p>
        </w:tc>
        <w:tc>
          <w:tcPr>
            <w:tcW w:w="812" w:type="pct"/>
            <w:noWrap/>
            <w:vAlign w:val="center"/>
            <w:hideMark/>
          </w:tcPr>
          <w:p w14:paraId="0A566720" w14:textId="2FBC9B82"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(9%)</w:t>
            </w:r>
          </w:p>
        </w:tc>
        <w:tc>
          <w:tcPr>
            <w:tcW w:w="814" w:type="pct"/>
            <w:noWrap/>
            <w:vAlign w:val="center"/>
            <w:hideMark/>
          </w:tcPr>
          <w:p w14:paraId="2FBEF737" w14:textId="1C92C42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5.3 (27%)</w:t>
            </w:r>
          </w:p>
        </w:tc>
      </w:tr>
      <w:tr w:rsidR="00C30FCB" w:rsidRPr="00C30FCB" w14:paraId="3B2D0579" w14:textId="77777777" w:rsidTr="008C57A3">
        <w:trPr>
          <w:trHeight w:val="290"/>
        </w:trPr>
        <w:tc>
          <w:tcPr>
            <w:tcW w:w="938" w:type="pct"/>
            <w:noWrap/>
            <w:vAlign w:val="center"/>
            <w:hideMark/>
          </w:tcPr>
          <w:p w14:paraId="5317F027" w14:textId="41ABB8ED"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65+</w:t>
            </w:r>
          </w:p>
        </w:tc>
        <w:tc>
          <w:tcPr>
            <w:tcW w:w="812" w:type="pct"/>
            <w:noWrap/>
            <w:vAlign w:val="center"/>
            <w:hideMark/>
          </w:tcPr>
          <w:p w14:paraId="5864F197" w14:textId="4994FA5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 (3%)</w:t>
            </w:r>
          </w:p>
        </w:tc>
        <w:tc>
          <w:tcPr>
            <w:tcW w:w="812" w:type="pct"/>
            <w:noWrap/>
            <w:vAlign w:val="center"/>
            <w:hideMark/>
          </w:tcPr>
          <w:p w14:paraId="33951D80" w14:textId="1457215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7A9983B3" w14:textId="5511E11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6E5E5FD0" w14:textId="58E79ED3"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0.3 (4%)</w:t>
            </w:r>
          </w:p>
        </w:tc>
        <w:tc>
          <w:tcPr>
            <w:tcW w:w="814" w:type="pct"/>
            <w:noWrap/>
            <w:vAlign w:val="center"/>
            <w:hideMark/>
          </w:tcPr>
          <w:p w14:paraId="358E9D15" w14:textId="457583F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1.5 (8%)</w:t>
            </w:r>
          </w:p>
        </w:tc>
      </w:tr>
      <w:tr w:rsidR="00C30FCB" w:rsidRPr="00C30FCB"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8C57A3" w:rsidRPr="00C30FCB" w:rsidRDefault="008C57A3" w:rsidP="008C57A3">
            <w:pPr>
              <w:spacing w:before="0" w:after="0" w:line="240" w:lineRule="auto"/>
              <w:rPr>
                <w:rFonts w:cs="Arial"/>
                <w:b/>
                <w:bCs/>
                <w:color w:val="033636" w:themeColor="text1"/>
                <w:sz w:val="20"/>
                <w:szCs w:val="20"/>
              </w:rPr>
            </w:pPr>
            <w:r w:rsidRPr="00C30FCB">
              <w:rPr>
                <w:rFonts w:cs="Arial"/>
                <w:b/>
                <w:bCs/>
                <w:color w:val="033636" w:themeColor="text1"/>
                <w:sz w:val="20"/>
                <w:szCs w:val="20"/>
              </w:rPr>
              <w:t>Sex</w:t>
            </w:r>
          </w:p>
        </w:tc>
      </w:tr>
      <w:tr w:rsidR="00C30FCB" w:rsidRPr="00C30FCB" w14:paraId="6DCF44C3" w14:textId="77777777" w:rsidTr="008C57A3">
        <w:trPr>
          <w:trHeight w:val="290"/>
        </w:trPr>
        <w:tc>
          <w:tcPr>
            <w:tcW w:w="938" w:type="pct"/>
            <w:noWrap/>
            <w:vAlign w:val="center"/>
            <w:hideMark/>
          </w:tcPr>
          <w:p w14:paraId="4FB66FFB" w14:textId="75162070"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Male</w:t>
            </w:r>
          </w:p>
        </w:tc>
        <w:tc>
          <w:tcPr>
            <w:tcW w:w="812" w:type="pct"/>
            <w:noWrap/>
            <w:vAlign w:val="center"/>
            <w:hideMark/>
          </w:tcPr>
          <w:p w14:paraId="24F2C441" w14:textId="05CF37A5"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51 (55%)</w:t>
            </w:r>
          </w:p>
        </w:tc>
        <w:tc>
          <w:tcPr>
            <w:tcW w:w="812" w:type="pct"/>
            <w:noWrap/>
            <w:vAlign w:val="center"/>
            <w:hideMark/>
          </w:tcPr>
          <w:p w14:paraId="105FC3D0" w14:textId="1CA9061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2 (40%)</w:t>
            </w:r>
          </w:p>
        </w:tc>
        <w:tc>
          <w:tcPr>
            <w:tcW w:w="812" w:type="pct"/>
            <w:noWrap/>
            <w:vAlign w:val="center"/>
            <w:hideMark/>
          </w:tcPr>
          <w:p w14:paraId="44E7C001" w14:textId="217C8A0B"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15 (58%)</w:t>
            </w:r>
          </w:p>
        </w:tc>
        <w:tc>
          <w:tcPr>
            <w:tcW w:w="812" w:type="pct"/>
            <w:noWrap/>
            <w:vAlign w:val="center"/>
            <w:hideMark/>
          </w:tcPr>
          <w:p w14:paraId="09BDBE1C" w14:textId="447D53E3"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2.5 (43%)</w:t>
            </w:r>
          </w:p>
        </w:tc>
        <w:tc>
          <w:tcPr>
            <w:tcW w:w="814" w:type="pct"/>
            <w:noWrap/>
            <w:vAlign w:val="center"/>
            <w:hideMark/>
          </w:tcPr>
          <w:p w14:paraId="4F32E02F" w14:textId="2844E415"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10.3 (53%)</w:t>
            </w:r>
          </w:p>
        </w:tc>
      </w:tr>
      <w:tr w:rsidR="00C30FCB" w:rsidRPr="00C30FCB" w14:paraId="2F91829A" w14:textId="77777777" w:rsidTr="008C57A3">
        <w:trPr>
          <w:trHeight w:val="290"/>
        </w:trPr>
        <w:tc>
          <w:tcPr>
            <w:tcW w:w="938" w:type="pct"/>
            <w:noWrap/>
            <w:vAlign w:val="center"/>
          </w:tcPr>
          <w:p w14:paraId="05E1DE41" w14:textId="616AEB5B"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Female</w:t>
            </w:r>
          </w:p>
        </w:tc>
        <w:tc>
          <w:tcPr>
            <w:tcW w:w="812" w:type="pct"/>
            <w:noWrap/>
            <w:vAlign w:val="center"/>
          </w:tcPr>
          <w:p w14:paraId="451806D4" w14:textId="27F7A691"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41 (45%)</w:t>
            </w:r>
          </w:p>
        </w:tc>
        <w:tc>
          <w:tcPr>
            <w:tcW w:w="812" w:type="pct"/>
            <w:noWrap/>
            <w:vAlign w:val="center"/>
          </w:tcPr>
          <w:p w14:paraId="45CADB17" w14:textId="282684F5"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3 (60%)</w:t>
            </w:r>
          </w:p>
        </w:tc>
        <w:tc>
          <w:tcPr>
            <w:tcW w:w="812" w:type="pct"/>
            <w:noWrap/>
            <w:vAlign w:val="center"/>
          </w:tcPr>
          <w:p w14:paraId="1243E6A9" w14:textId="45B3CD02"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11 (42%)</w:t>
            </w:r>
          </w:p>
        </w:tc>
        <w:tc>
          <w:tcPr>
            <w:tcW w:w="812" w:type="pct"/>
            <w:noWrap/>
            <w:vAlign w:val="center"/>
          </w:tcPr>
          <w:p w14:paraId="51F4AB0C" w14:textId="4DB093BF"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3.3 (57%)</w:t>
            </w:r>
          </w:p>
        </w:tc>
        <w:tc>
          <w:tcPr>
            <w:tcW w:w="814" w:type="pct"/>
            <w:noWrap/>
            <w:vAlign w:val="center"/>
          </w:tcPr>
          <w:p w14:paraId="3252DA67" w14:textId="2835FA8A"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9.3 (47%)</w:t>
            </w:r>
          </w:p>
        </w:tc>
      </w:tr>
      <w:tr w:rsidR="00C30FCB" w:rsidRPr="00C30FCB" w14:paraId="1CE45CB5" w14:textId="77777777" w:rsidTr="008C57A3">
        <w:trPr>
          <w:trHeight w:val="290"/>
        </w:trPr>
        <w:tc>
          <w:tcPr>
            <w:tcW w:w="5000" w:type="pct"/>
            <w:gridSpan w:val="6"/>
            <w:shd w:val="clear" w:color="auto" w:fill="00DCA1" w:themeFill="background1"/>
            <w:noWrap/>
            <w:vAlign w:val="center"/>
          </w:tcPr>
          <w:p w14:paraId="4A759BBC" w14:textId="24649E39" w:rsidR="008C57A3" w:rsidRPr="00C30FCB" w:rsidRDefault="008C57A3" w:rsidP="00A52432">
            <w:pPr>
              <w:keepNext/>
              <w:spacing w:before="0" w:after="0" w:line="240" w:lineRule="auto"/>
              <w:rPr>
                <w:rFonts w:cs="Arial"/>
                <w:b/>
                <w:bCs/>
                <w:color w:val="033636" w:themeColor="text1"/>
                <w:sz w:val="20"/>
                <w:szCs w:val="20"/>
              </w:rPr>
            </w:pPr>
            <w:r w:rsidRPr="00C30FCB">
              <w:rPr>
                <w:rFonts w:cs="Arial"/>
                <w:b/>
                <w:bCs/>
                <w:color w:val="033636" w:themeColor="text1"/>
                <w:sz w:val="20"/>
                <w:szCs w:val="20"/>
              </w:rPr>
              <w:lastRenderedPageBreak/>
              <w:t>Indigenous status</w:t>
            </w:r>
          </w:p>
        </w:tc>
      </w:tr>
      <w:tr w:rsidR="00C30FCB" w:rsidRPr="00C30FCB" w14:paraId="251911C6" w14:textId="77777777" w:rsidTr="008C57A3">
        <w:trPr>
          <w:trHeight w:val="290"/>
        </w:trPr>
        <w:tc>
          <w:tcPr>
            <w:tcW w:w="938" w:type="pct"/>
            <w:noWrap/>
            <w:vAlign w:val="center"/>
          </w:tcPr>
          <w:p w14:paraId="40E64528" w14:textId="350C5670" w:rsidR="003311CC" w:rsidRPr="00C30FCB" w:rsidRDefault="003311CC" w:rsidP="00A52432">
            <w:pPr>
              <w:keepNext/>
              <w:spacing w:before="0" w:after="0" w:line="240" w:lineRule="auto"/>
              <w:rPr>
                <w:rFonts w:cs="Arial"/>
                <w:b/>
                <w:bCs/>
                <w:color w:val="033636" w:themeColor="text1"/>
                <w:sz w:val="20"/>
                <w:szCs w:val="20"/>
                <w:lang w:eastAsia="en-AU"/>
              </w:rPr>
            </w:pPr>
            <w:r w:rsidRPr="00C30FCB">
              <w:rPr>
                <w:rFonts w:cs="Arial"/>
                <w:color w:val="033636" w:themeColor="text1"/>
                <w:sz w:val="20"/>
                <w:szCs w:val="20"/>
              </w:rPr>
              <w:t>Indigenous</w:t>
            </w:r>
          </w:p>
        </w:tc>
        <w:tc>
          <w:tcPr>
            <w:tcW w:w="812" w:type="pct"/>
            <w:noWrap/>
            <w:vAlign w:val="center"/>
          </w:tcPr>
          <w:p w14:paraId="5CF7E09A" w14:textId="4552816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84 (91%)</w:t>
            </w:r>
          </w:p>
        </w:tc>
        <w:tc>
          <w:tcPr>
            <w:tcW w:w="812" w:type="pct"/>
            <w:noWrap/>
            <w:vAlign w:val="center"/>
          </w:tcPr>
          <w:p w14:paraId="2C706251" w14:textId="43F9F5CB"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3 (60%)</w:t>
            </w:r>
          </w:p>
        </w:tc>
        <w:tc>
          <w:tcPr>
            <w:tcW w:w="812" w:type="pct"/>
            <w:noWrap/>
            <w:vAlign w:val="center"/>
          </w:tcPr>
          <w:p w14:paraId="6E788641" w14:textId="1C1324F5"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13 (50%)</w:t>
            </w:r>
          </w:p>
        </w:tc>
        <w:tc>
          <w:tcPr>
            <w:tcW w:w="812" w:type="pct"/>
            <w:noWrap/>
            <w:vAlign w:val="center"/>
          </w:tcPr>
          <w:p w14:paraId="20C35ABC" w14:textId="5C8C2DC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4.3 (74%)</w:t>
            </w:r>
          </w:p>
        </w:tc>
        <w:tc>
          <w:tcPr>
            <w:tcW w:w="814" w:type="pct"/>
            <w:noWrap/>
            <w:vAlign w:val="center"/>
          </w:tcPr>
          <w:p w14:paraId="017CA02A" w14:textId="1275528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10.3 (53%)</w:t>
            </w:r>
          </w:p>
        </w:tc>
      </w:tr>
      <w:tr w:rsidR="00C30FCB" w:rsidRPr="00C30FCB" w14:paraId="41965550" w14:textId="77777777" w:rsidTr="008C57A3">
        <w:trPr>
          <w:trHeight w:val="290"/>
        </w:trPr>
        <w:tc>
          <w:tcPr>
            <w:tcW w:w="938" w:type="pct"/>
            <w:noWrap/>
            <w:vAlign w:val="center"/>
          </w:tcPr>
          <w:p w14:paraId="1CEE23B1" w14:textId="29EC091A"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Non-Indigenous</w:t>
            </w:r>
          </w:p>
        </w:tc>
        <w:tc>
          <w:tcPr>
            <w:tcW w:w="812" w:type="pct"/>
            <w:noWrap/>
            <w:vAlign w:val="center"/>
          </w:tcPr>
          <w:p w14:paraId="76DBF665" w14:textId="4D65D9E3"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7 (8%)</w:t>
            </w:r>
          </w:p>
        </w:tc>
        <w:tc>
          <w:tcPr>
            <w:tcW w:w="812" w:type="pct"/>
            <w:noWrap/>
            <w:vAlign w:val="center"/>
          </w:tcPr>
          <w:p w14:paraId="6F886A43" w14:textId="4B28E110"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2 (40%)</w:t>
            </w:r>
          </w:p>
        </w:tc>
        <w:tc>
          <w:tcPr>
            <w:tcW w:w="812" w:type="pct"/>
            <w:noWrap/>
            <w:vAlign w:val="center"/>
          </w:tcPr>
          <w:p w14:paraId="5F6189FE" w14:textId="43116669"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13 (50%)</w:t>
            </w:r>
          </w:p>
        </w:tc>
        <w:tc>
          <w:tcPr>
            <w:tcW w:w="812" w:type="pct"/>
            <w:noWrap/>
            <w:vAlign w:val="center"/>
          </w:tcPr>
          <w:p w14:paraId="3BF7C6A4" w14:textId="4C005F5C"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1.5 (26%)</w:t>
            </w:r>
          </w:p>
        </w:tc>
        <w:tc>
          <w:tcPr>
            <w:tcW w:w="814" w:type="pct"/>
            <w:noWrap/>
            <w:vAlign w:val="center"/>
          </w:tcPr>
          <w:p w14:paraId="2B8C549A" w14:textId="3ABCF183"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9.0 (46%)</w:t>
            </w:r>
          </w:p>
        </w:tc>
      </w:tr>
      <w:tr w:rsidR="00C30FCB" w:rsidRPr="00C30FCB" w14:paraId="7413E0DF" w14:textId="77777777" w:rsidTr="008C57A3">
        <w:trPr>
          <w:trHeight w:val="290"/>
        </w:trPr>
        <w:tc>
          <w:tcPr>
            <w:tcW w:w="938" w:type="pct"/>
            <w:noWrap/>
            <w:vAlign w:val="center"/>
          </w:tcPr>
          <w:p w14:paraId="493E57E0" w14:textId="34B42726"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Unknown</w:t>
            </w:r>
          </w:p>
        </w:tc>
        <w:tc>
          <w:tcPr>
            <w:tcW w:w="812" w:type="pct"/>
            <w:noWrap/>
            <w:vAlign w:val="center"/>
          </w:tcPr>
          <w:p w14:paraId="77BE0FE0" w14:textId="2C882C34"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 (1%)</w:t>
            </w:r>
          </w:p>
        </w:tc>
        <w:tc>
          <w:tcPr>
            <w:tcW w:w="812" w:type="pct"/>
            <w:noWrap/>
            <w:vAlign w:val="center"/>
          </w:tcPr>
          <w:p w14:paraId="51740CF8" w14:textId="50763082"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tcPr>
          <w:p w14:paraId="6C226507" w14:textId="02235DC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tcPr>
          <w:p w14:paraId="7E8A9CB3" w14:textId="7A6DB7B2"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0.0 (0%)</w:t>
            </w:r>
          </w:p>
        </w:tc>
        <w:tc>
          <w:tcPr>
            <w:tcW w:w="814" w:type="pct"/>
            <w:noWrap/>
            <w:vAlign w:val="center"/>
          </w:tcPr>
          <w:p w14:paraId="26AA733E" w14:textId="0608D9D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0.3 (1%)</w:t>
            </w:r>
          </w:p>
        </w:tc>
      </w:tr>
      <w:tr w:rsidR="00C30FCB" w:rsidRPr="00C30FCB" w14:paraId="149568D3" w14:textId="77777777" w:rsidTr="008C57A3">
        <w:trPr>
          <w:trHeight w:val="290"/>
        </w:trPr>
        <w:tc>
          <w:tcPr>
            <w:tcW w:w="5000" w:type="pct"/>
            <w:gridSpan w:val="6"/>
            <w:shd w:val="clear" w:color="auto" w:fill="00DCA1" w:themeFill="background1"/>
            <w:noWrap/>
            <w:vAlign w:val="center"/>
          </w:tcPr>
          <w:p w14:paraId="212B48D2" w14:textId="54342F2B" w:rsidR="008C57A3" w:rsidRPr="00C30FCB" w:rsidRDefault="008C57A3" w:rsidP="008C57A3">
            <w:pPr>
              <w:spacing w:before="0" w:after="0" w:line="240" w:lineRule="auto"/>
              <w:rPr>
                <w:rFonts w:cs="Arial"/>
                <w:b/>
                <w:bCs/>
                <w:color w:val="033636" w:themeColor="text1"/>
                <w:sz w:val="20"/>
                <w:szCs w:val="20"/>
              </w:rPr>
            </w:pPr>
            <w:r w:rsidRPr="00C30FCB">
              <w:rPr>
                <w:rFonts w:cs="Arial"/>
                <w:b/>
                <w:bCs/>
                <w:color w:val="033636" w:themeColor="text1"/>
                <w:sz w:val="20"/>
                <w:szCs w:val="20"/>
              </w:rPr>
              <w:t>Severity</w:t>
            </w:r>
          </w:p>
        </w:tc>
      </w:tr>
      <w:tr w:rsidR="00C30FCB" w:rsidRPr="00C30FCB" w14:paraId="0AAB4B38" w14:textId="77777777" w:rsidTr="008C57A3">
        <w:trPr>
          <w:trHeight w:val="290"/>
        </w:trPr>
        <w:tc>
          <w:tcPr>
            <w:tcW w:w="938" w:type="pct"/>
            <w:noWrap/>
            <w:vAlign w:val="center"/>
          </w:tcPr>
          <w:p w14:paraId="1B89B1A8" w14:textId="0EFE5294"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Hospitalised</w:t>
            </w:r>
          </w:p>
        </w:tc>
        <w:tc>
          <w:tcPr>
            <w:tcW w:w="812" w:type="pct"/>
            <w:noWrap/>
            <w:vAlign w:val="center"/>
          </w:tcPr>
          <w:p w14:paraId="0C713407" w14:textId="5929C929"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30 (33%)</w:t>
            </w:r>
          </w:p>
        </w:tc>
        <w:tc>
          <w:tcPr>
            <w:tcW w:w="812" w:type="pct"/>
            <w:noWrap/>
            <w:vAlign w:val="center"/>
          </w:tcPr>
          <w:p w14:paraId="6DE5BAA5" w14:textId="185B2DEA"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 (20%)</w:t>
            </w:r>
          </w:p>
        </w:tc>
        <w:tc>
          <w:tcPr>
            <w:tcW w:w="812" w:type="pct"/>
            <w:noWrap/>
            <w:vAlign w:val="center"/>
          </w:tcPr>
          <w:p w14:paraId="21363E6F" w14:textId="1885CB83"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10 (38%)</w:t>
            </w:r>
          </w:p>
        </w:tc>
        <w:tc>
          <w:tcPr>
            <w:tcW w:w="812" w:type="pct"/>
            <w:noWrap/>
            <w:vAlign w:val="center"/>
          </w:tcPr>
          <w:p w14:paraId="3905F0C8" w14:textId="3ED9278A"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1.5 (26%)</w:t>
            </w:r>
          </w:p>
        </w:tc>
        <w:tc>
          <w:tcPr>
            <w:tcW w:w="814" w:type="pct"/>
            <w:noWrap/>
            <w:vAlign w:val="center"/>
          </w:tcPr>
          <w:p w14:paraId="33F2F4EF" w14:textId="32111F03"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5.5 (28%)</w:t>
            </w:r>
          </w:p>
        </w:tc>
      </w:tr>
      <w:tr w:rsidR="00C30FCB" w:rsidRPr="00C30FCB" w14:paraId="7EE9BC6B" w14:textId="77777777" w:rsidTr="008C57A3">
        <w:trPr>
          <w:trHeight w:val="290"/>
        </w:trPr>
        <w:tc>
          <w:tcPr>
            <w:tcW w:w="938" w:type="pct"/>
            <w:noWrap/>
            <w:vAlign w:val="center"/>
          </w:tcPr>
          <w:p w14:paraId="6AFE4418" w14:textId="3F551A6C"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Died</w:t>
            </w:r>
          </w:p>
        </w:tc>
        <w:tc>
          <w:tcPr>
            <w:tcW w:w="812" w:type="pct"/>
            <w:noWrap/>
            <w:vAlign w:val="center"/>
          </w:tcPr>
          <w:p w14:paraId="3787353F" w14:textId="16A950EC" w:rsidR="003311CC" w:rsidRPr="00C30FCB" w:rsidRDefault="00C30FCB" w:rsidP="000F4FE9">
            <w:pPr>
              <w:spacing w:before="0" w:after="0" w:line="240" w:lineRule="auto"/>
              <w:jc w:val="right"/>
              <w:rPr>
                <w:rFonts w:cs="Arial"/>
                <w:b/>
                <w:bCs/>
                <w:color w:val="033636" w:themeColor="text1"/>
                <w:sz w:val="20"/>
                <w:szCs w:val="20"/>
                <w:lang w:eastAsia="en-AU"/>
              </w:rPr>
            </w:pPr>
            <w:r>
              <w:rPr>
                <w:rFonts w:cs="Arial"/>
                <w:color w:val="033636" w:themeColor="text1"/>
                <w:sz w:val="20"/>
                <w:szCs w:val="20"/>
              </w:rPr>
              <w:t>0</w:t>
            </w:r>
            <w:r w:rsidR="003311CC" w:rsidRPr="00C30FCB">
              <w:rPr>
                <w:rFonts w:cs="Arial"/>
                <w:color w:val="033636" w:themeColor="text1"/>
                <w:sz w:val="20"/>
                <w:szCs w:val="20"/>
              </w:rPr>
              <w:t xml:space="preserve"> (</w:t>
            </w:r>
            <w:r>
              <w:rPr>
                <w:rFonts w:cs="Arial"/>
                <w:color w:val="033636" w:themeColor="text1"/>
                <w:sz w:val="20"/>
                <w:szCs w:val="20"/>
              </w:rPr>
              <w:t>0</w:t>
            </w:r>
            <w:r w:rsidR="003311CC" w:rsidRPr="00C30FCB">
              <w:rPr>
                <w:rFonts w:cs="Arial"/>
                <w:color w:val="033636" w:themeColor="text1"/>
                <w:sz w:val="20"/>
                <w:szCs w:val="20"/>
              </w:rPr>
              <w:t>%)</w:t>
            </w:r>
          </w:p>
        </w:tc>
        <w:tc>
          <w:tcPr>
            <w:tcW w:w="812" w:type="pct"/>
            <w:noWrap/>
            <w:vAlign w:val="center"/>
          </w:tcPr>
          <w:p w14:paraId="59127459" w14:textId="60FBA02B"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tcPr>
          <w:p w14:paraId="34065898" w14:textId="1A6ECE7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 (0%)</w:t>
            </w:r>
          </w:p>
        </w:tc>
        <w:tc>
          <w:tcPr>
            <w:tcW w:w="812" w:type="pct"/>
            <w:noWrap/>
            <w:vAlign w:val="center"/>
          </w:tcPr>
          <w:p w14:paraId="72818606" w14:textId="48EADFAB"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0.0 (0%)</w:t>
            </w:r>
          </w:p>
        </w:tc>
        <w:tc>
          <w:tcPr>
            <w:tcW w:w="814" w:type="pct"/>
            <w:noWrap/>
            <w:vAlign w:val="center"/>
          </w:tcPr>
          <w:p w14:paraId="6DFF86F8" w14:textId="392498E6"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0.0 (0%)</w:t>
            </w:r>
          </w:p>
        </w:tc>
      </w:tr>
      <w:tr w:rsidR="00C30FCB" w:rsidRPr="00C30FCB" w14:paraId="47A639F5" w14:textId="77777777" w:rsidTr="008C57A3">
        <w:trPr>
          <w:trHeight w:val="290"/>
        </w:trPr>
        <w:tc>
          <w:tcPr>
            <w:tcW w:w="5000" w:type="pct"/>
            <w:gridSpan w:val="6"/>
            <w:shd w:val="clear" w:color="auto" w:fill="00DCA1" w:themeFill="background1"/>
            <w:noWrap/>
            <w:vAlign w:val="center"/>
          </w:tcPr>
          <w:p w14:paraId="6B4EC346" w14:textId="5ABEA741" w:rsidR="008C57A3" w:rsidRPr="00C30FCB" w:rsidRDefault="008C57A3" w:rsidP="008C57A3">
            <w:pPr>
              <w:spacing w:before="0" w:after="0" w:line="240" w:lineRule="auto"/>
              <w:rPr>
                <w:rFonts w:cs="Arial"/>
                <w:b/>
                <w:bCs/>
                <w:color w:val="033636" w:themeColor="text1"/>
                <w:sz w:val="20"/>
                <w:szCs w:val="20"/>
              </w:rPr>
            </w:pPr>
            <w:r w:rsidRPr="00C30FCB">
              <w:rPr>
                <w:rFonts w:cs="Arial"/>
                <w:b/>
                <w:bCs/>
                <w:color w:val="033636" w:themeColor="text1"/>
                <w:sz w:val="20"/>
                <w:szCs w:val="20"/>
              </w:rPr>
              <w:t>Vaccination status</w:t>
            </w:r>
          </w:p>
        </w:tc>
      </w:tr>
      <w:tr w:rsidR="00C30FCB" w:rsidRPr="00C30FCB" w14:paraId="5BB155D6" w14:textId="77777777" w:rsidTr="008C57A3">
        <w:trPr>
          <w:trHeight w:val="290"/>
        </w:trPr>
        <w:tc>
          <w:tcPr>
            <w:tcW w:w="938" w:type="pct"/>
            <w:noWrap/>
            <w:vAlign w:val="center"/>
          </w:tcPr>
          <w:p w14:paraId="11C26465" w14:textId="1C0976BC"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0 doses</w:t>
            </w:r>
          </w:p>
        </w:tc>
        <w:tc>
          <w:tcPr>
            <w:tcW w:w="812" w:type="pct"/>
            <w:noWrap/>
            <w:vAlign w:val="center"/>
          </w:tcPr>
          <w:p w14:paraId="699226F1" w14:textId="17E4D5D9"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10 (11%)</w:t>
            </w:r>
          </w:p>
        </w:tc>
        <w:tc>
          <w:tcPr>
            <w:tcW w:w="812" w:type="pct"/>
            <w:noWrap/>
            <w:vAlign w:val="center"/>
          </w:tcPr>
          <w:p w14:paraId="26ECEADB" w14:textId="5293BCE9"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 (20%)</w:t>
            </w:r>
          </w:p>
        </w:tc>
        <w:tc>
          <w:tcPr>
            <w:tcW w:w="812" w:type="pct"/>
            <w:noWrap/>
            <w:vAlign w:val="center"/>
          </w:tcPr>
          <w:p w14:paraId="69FA9E56" w14:textId="3E81950A"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5 (19%)</w:t>
            </w:r>
          </w:p>
        </w:tc>
        <w:tc>
          <w:tcPr>
            <w:tcW w:w="812" w:type="pct"/>
            <w:noWrap/>
            <w:vAlign w:val="center"/>
          </w:tcPr>
          <w:p w14:paraId="4E992DB8" w14:textId="77F180A8"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1.3 (22%)</w:t>
            </w:r>
          </w:p>
        </w:tc>
        <w:tc>
          <w:tcPr>
            <w:tcW w:w="814" w:type="pct"/>
            <w:noWrap/>
            <w:vAlign w:val="center"/>
          </w:tcPr>
          <w:p w14:paraId="657BDBEF" w14:textId="1786AD97" w:rsidR="003311CC" w:rsidRPr="00C30FCB" w:rsidRDefault="003311CC" w:rsidP="000F4FE9">
            <w:pPr>
              <w:spacing w:before="0" w:after="0" w:line="240" w:lineRule="auto"/>
              <w:jc w:val="right"/>
              <w:rPr>
                <w:rFonts w:cs="Arial"/>
                <w:b/>
                <w:bCs/>
                <w:color w:val="033636" w:themeColor="text1"/>
                <w:sz w:val="20"/>
                <w:szCs w:val="20"/>
                <w:lang w:eastAsia="en-AU"/>
              </w:rPr>
            </w:pPr>
            <w:r w:rsidRPr="00C30FCB">
              <w:rPr>
                <w:rFonts w:cs="Arial"/>
                <w:color w:val="033636" w:themeColor="text1"/>
                <w:sz w:val="20"/>
                <w:szCs w:val="20"/>
              </w:rPr>
              <w:t>3.8 (19%)</w:t>
            </w:r>
          </w:p>
        </w:tc>
      </w:tr>
      <w:tr w:rsidR="00C30FCB" w:rsidRPr="00C30FCB" w14:paraId="2B15B0D5" w14:textId="77777777" w:rsidTr="008C57A3">
        <w:trPr>
          <w:trHeight w:val="290"/>
        </w:trPr>
        <w:tc>
          <w:tcPr>
            <w:tcW w:w="938" w:type="pct"/>
            <w:noWrap/>
            <w:vAlign w:val="center"/>
            <w:hideMark/>
          </w:tcPr>
          <w:p w14:paraId="438DD6F0" w14:textId="2DD29394"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1 dose</w:t>
            </w:r>
          </w:p>
        </w:tc>
        <w:tc>
          <w:tcPr>
            <w:tcW w:w="812" w:type="pct"/>
            <w:noWrap/>
            <w:vAlign w:val="center"/>
            <w:hideMark/>
          </w:tcPr>
          <w:p w14:paraId="337B96D2" w14:textId="47A4636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6 (7%)</w:t>
            </w:r>
          </w:p>
        </w:tc>
        <w:tc>
          <w:tcPr>
            <w:tcW w:w="812" w:type="pct"/>
            <w:noWrap/>
            <w:vAlign w:val="center"/>
            <w:hideMark/>
          </w:tcPr>
          <w:p w14:paraId="2755C3C4" w14:textId="2256216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20440900" w14:textId="4EC64AF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9 (35%)</w:t>
            </w:r>
          </w:p>
        </w:tc>
        <w:tc>
          <w:tcPr>
            <w:tcW w:w="812" w:type="pct"/>
            <w:noWrap/>
            <w:vAlign w:val="center"/>
            <w:hideMark/>
          </w:tcPr>
          <w:p w14:paraId="6D1A13D2" w14:textId="5554ED3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(9%)</w:t>
            </w:r>
          </w:p>
        </w:tc>
        <w:tc>
          <w:tcPr>
            <w:tcW w:w="814" w:type="pct"/>
            <w:noWrap/>
            <w:vAlign w:val="center"/>
            <w:hideMark/>
          </w:tcPr>
          <w:p w14:paraId="1C7762CA" w14:textId="49FE048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4.5 (23%)</w:t>
            </w:r>
          </w:p>
        </w:tc>
      </w:tr>
      <w:tr w:rsidR="00C30FCB" w:rsidRPr="00C30FCB" w14:paraId="29DC385C" w14:textId="77777777" w:rsidTr="008C57A3">
        <w:trPr>
          <w:trHeight w:val="290"/>
        </w:trPr>
        <w:tc>
          <w:tcPr>
            <w:tcW w:w="938" w:type="pct"/>
            <w:noWrap/>
            <w:vAlign w:val="center"/>
            <w:hideMark/>
          </w:tcPr>
          <w:p w14:paraId="468F12D2" w14:textId="1B42F633"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2 doses</w:t>
            </w:r>
          </w:p>
        </w:tc>
        <w:tc>
          <w:tcPr>
            <w:tcW w:w="812" w:type="pct"/>
            <w:noWrap/>
            <w:vAlign w:val="center"/>
            <w:hideMark/>
          </w:tcPr>
          <w:p w14:paraId="79D1E86A" w14:textId="5967026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11 (12%)</w:t>
            </w:r>
          </w:p>
        </w:tc>
        <w:tc>
          <w:tcPr>
            <w:tcW w:w="812" w:type="pct"/>
            <w:noWrap/>
            <w:vAlign w:val="center"/>
            <w:hideMark/>
          </w:tcPr>
          <w:p w14:paraId="04CE1A74" w14:textId="3F20F02F"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71D99600" w14:textId="543A8A1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(8%)</w:t>
            </w:r>
          </w:p>
        </w:tc>
        <w:tc>
          <w:tcPr>
            <w:tcW w:w="812" w:type="pct"/>
            <w:noWrap/>
            <w:vAlign w:val="center"/>
            <w:hideMark/>
          </w:tcPr>
          <w:p w14:paraId="435C713D" w14:textId="500B9C9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0.5 (9%)</w:t>
            </w:r>
          </w:p>
        </w:tc>
        <w:tc>
          <w:tcPr>
            <w:tcW w:w="814" w:type="pct"/>
            <w:noWrap/>
            <w:vAlign w:val="center"/>
            <w:hideMark/>
          </w:tcPr>
          <w:p w14:paraId="4C711916" w14:textId="2BB28D46"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1.8 (9%)</w:t>
            </w:r>
          </w:p>
        </w:tc>
      </w:tr>
      <w:tr w:rsidR="00C30FCB" w:rsidRPr="00C30FCB" w14:paraId="1CC25399" w14:textId="77777777" w:rsidTr="008C57A3">
        <w:trPr>
          <w:trHeight w:val="290"/>
        </w:trPr>
        <w:tc>
          <w:tcPr>
            <w:tcW w:w="938" w:type="pct"/>
            <w:noWrap/>
            <w:vAlign w:val="center"/>
            <w:hideMark/>
          </w:tcPr>
          <w:p w14:paraId="006AF353" w14:textId="3CA605AC" w:rsidR="003311CC" w:rsidRPr="00C30FCB" w:rsidRDefault="003311CC" w:rsidP="000F4FE9">
            <w:pPr>
              <w:spacing w:before="0" w:after="0" w:line="240" w:lineRule="auto"/>
              <w:rPr>
                <w:rFonts w:cs="Arial"/>
                <w:b/>
                <w:bCs/>
                <w:color w:val="033636" w:themeColor="text1"/>
                <w:sz w:val="20"/>
                <w:szCs w:val="20"/>
                <w:lang w:eastAsia="en-AU"/>
              </w:rPr>
            </w:pPr>
            <w:r w:rsidRPr="00C30FCB">
              <w:rPr>
                <w:rFonts w:cs="Arial"/>
                <w:color w:val="033636" w:themeColor="text1"/>
                <w:sz w:val="20"/>
                <w:szCs w:val="20"/>
              </w:rPr>
              <w:t>3 doses</w:t>
            </w:r>
          </w:p>
        </w:tc>
        <w:tc>
          <w:tcPr>
            <w:tcW w:w="812" w:type="pct"/>
            <w:noWrap/>
            <w:vAlign w:val="center"/>
            <w:hideMark/>
          </w:tcPr>
          <w:p w14:paraId="220558B9" w14:textId="1D65606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7 (8%)</w:t>
            </w:r>
          </w:p>
        </w:tc>
        <w:tc>
          <w:tcPr>
            <w:tcW w:w="812" w:type="pct"/>
            <w:noWrap/>
            <w:vAlign w:val="center"/>
            <w:hideMark/>
          </w:tcPr>
          <w:p w14:paraId="42297312" w14:textId="429AAEA5"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4B3051EB" w14:textId="5C384791"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17C37466" w14:textId="096238A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0.8 (13%)</w:t>
            </w:r>
          </w:p>
        </w:tc>
        <w:tc>
          <w:tcPr>
            <w:tcW w:w="814" w:type="pct"/>
            <w:noWrap/>
            <w:vAlign w:val="center"/>
            <w:hideMark/>
          </w:tcPr>
          <w:p w14:paraId="4055203B" w14:textId="5E0F518C"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1.5 (8%)</w:t>
            </w:r>
          </w:p>
        </w:tc>
      </w:tr>
      <w:tr w:rsidR="00C30FCB" w:rsidRPr="00C30FCB" w14:paraId="1CDE42B6" w14:textId="77777777" w:rsidTr="008C57A3">
        <w:trPr>
          <w:trHeight w:val="290"/>
        </w:trPr>
        <w:tc>
          <w:tcPr>
            <w:tcW w:w="938" w:type="pct"/>
            <w:noWrap/>
            <w:vAlign w:val="center"/>
            <w:hideMark/>
          </w:tcPr>
          <w:p w14:paraId="660DD817" w14:textId="1463FA34"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4 doses</w:t>
            </w:r>
          </w:p>
        </w:tc>
        <w:tc>
          <w:tcPr>
            <w:tcW w:w="812" w:type="pct"/>
            <w:noWrap/>
            <w:vAlign w:val="center"/>
            <w:hideMark/>
          </w:tcPr>
          <w:p w14:paraId="3C27DD72" w14:textId="52ED87D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23 (25%)</w:t>
            </w:r>
          </w:p>
        </w:tc>
        <w:tc>
          <w:tcPr>
            <w:tcW w:w="812" w:type="pct"/>
            <w:noWrap/>
            <w:vAlign w:val="center"/>
            <w:hideMark/>
          </w:tcPr>
          <w:p w14:paraId="60673840" w14:textId="7605644A"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(40%)</w:t>
            </w:r>
          </w:p>
        </w:tc>
        <w:tc>
          <w:tcPr>
            <w:tcW w:w="812" w:type="pct"/>
            <w:noWrap/>
            <w:vAlign w:val="center"/>
            <w:hideMark/>
          </w:tcPr>
          <w:p w14:paraId="72E5E748" w14:textId="4760FBB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6 (23%)</w:t>
            </w:r>
          </w:p>
        </w:tc>
        <w:tc>
          <w:tcPr>
            <w:tcW w:w="812" w:type="pct"/>
            <w:noWrap/>
            <w:vAlign w:val="center"/>
            <w:hideMark/>
          </w:tcPr>
          <w:p w14:paraId="78E6B4E8" w14:textId="4D1C6E8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0.8 (13%)</w:t>
            </w:r>
          </w:p>
        </w:tc>
        <w:tc>
          <w:tcPr>
            <w:tcW w:w="814" w:type="pct"/>
            <w:noWrap/>
            <w:vAlign w:val="center"/>
            <w:hideMark/>
          </w:tcPr>
          <w:p w14:paraId="45B71CF2" w14:textId="102E0EDE"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2.5 (13%)</w:t>
            </w:r>
          </w:p>
        </w:tc>
      </w:tr>
      <w:tr w:rsidR="00C30FCB" w:rsidRPr="00C30FCB" w14:paraId="1145EAE0" w14:textId="77777777" w:rsidTr="008C57A3">
        <w:trPr>
          <w:trHeight w:val="290"/>
        </w:trPr>
        <w:tc>
          <w:tcPr>
            <w:tcW w:w="938" w:type="pct"/>
            <w:noWrap/>
            <w:vAlign w:val="center"/>
            <w:hideMark/>
          </w:tcPr>
          <w:p w14:paraId="15B20EF2" w14:textId="73AC37F3"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5 doses</w:t>
            </w:r>
          </w:p>
        </w:tc>
        <w:tc>
          <w:tcPr>
            <w:tcW w:w="812" w:type="pct"/>
            <w:noWrap/>
            <w:vAlign w:val="center"/>
            <w:hideMark/>
          </w:tcPr>
          <w:p w14:paraId="6AF410AF" w14:textId="50CC3B0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34 (37%)</w:t>
            </w:r>
          </w:p>
        </w:tc>
        <w:tc>
          <w:tcPr>
            <w:tcW w:w="812" w:type="pct"/>
            <w:noWrap/>
            <w:vAlign w:val="center"/>
            <w:hideMark/>
          </w:tcPr>
          <w:p w14:paraId="30310150" w14:textId="14A689E4"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 (40%)</w:t>
            </w:r>
          </w:p>
        </w:tc>
        <w:tc>
          <w:tcPr>
            <w:tcW w:w="812" w:type="pct"/>
            <w:noWrap/>
            <w:vAlign w:val="center"/>
            <w:hideMark/>
          </w:tcPr>
          <w:p w14:paraId="630C17BA" w14:textId="537ABC2B"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4 (15%)</w:t>
            </w:r>
          </w:p>
        </w:tc>
        <w:tc>
          <w:tcPr>
            <w:tcW w:w="812" w:type="pct"/>
            <w:noWrap/>
            <w:vAlign w:val="center"/>
            <w:hideMark/>
          </w:tcPr>
          <w:p w14:paraId="61F72737" w14:textId="3A9D3957"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2.0 (35%)</w:t>
            </w:r>
          </w:p>
        </w:tc>
        <w:tc>
          <w:tcPr>
            <w:tcW w:w="814" w:type="pct"/>
            <w:noWrap/>
            <w:vAlign w:val="center"/>
            <w:hideMark/>
          </w:tcPr>
          <w:p w14:paraId="61A8515B" w14:textId="6BACB45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4.8 (24%)</w:t>
            </w:r>
          </w:p>
        </w:tc>
      </w:tr>
      <w:tr w:rsidR="00C30FCB" w:rsidRPr="00C30FCB" w14:paraId="70A8FF24" w14:textId="77777777" w:rsidTr="008C57A3">
        <w:trPr>
          <w:trHeight w:val="290"/>
        </w:trPr>
        <w:tc>
          <w:tcPr>
            <w:tcW w:w="938" w:type="pct"/>
            <w:noWrap/>
            <w:vAlign w:val="center"/>
            <w:hideMark/>
          </w:tcPr>
          <w:p w14:paraId="42504C8C" w14:textId="345E46A8" w:rsidR="003311CC" w:rsidRPr="00C30FCB" w:rsidRDefault="003311CC" w:rsidP="000F4FE9">
            <w:pPr>
              <w:spacing w:before="0" w:after="0" w:line="240" w:lineRule="auto"/>
              <w:rPr>
                <w:rFonts w:cs="Arial"/>
                <w:color w:val="033636" w:themeColor="text1"/>
                <w:sz w:val="20"/>
                <w:szCs w:val="20"/>
                <w:lang w:eastAsia="en-AU"/>
              </w:rPr>
            </w:pPr>
            <w:r w:rsidRPr="00C30FCB">
              <w:rPr>
                <w:rFonts w:cs="Arial"/>
                <w:color w:val="033636" w:themeColor="text1"/>
                <w:sz w:val="20"/>
                <w:szCs w:val="20"/>
              </w:rPr>
              <w:t>Unknown</w:t>
            </w:r>
          </w:p>
        </w:tc>
        <w:tc>
          <w:tcPr>
            <w:tcW w:w="812" w:type="pct"/>
            <w:noWrap/>
            <w:vAlign w:val="center"/>
            <w:hideMark/>
          </w:tcPr>
          <w:p w14:paraId="1D95610A" w14:textId="0EA97FC8"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1 (1%)</w:t>
            </w:r>
          </w:p>
        </w:tc>
        <w:tc>
          <w:tcPr>
            <w:tcW w:w="812" w:type="pct"/>
            <w:noWrap/>
            <w:vAlign w:val="center"/>
            <w:hideMark/>
          </w:tcPr>
          <w:p w14:paraId="06B88FBB" w14:textId="374DED60"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716EBD44" w14:textId="460EBFCD"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 (0%)</w:t>
            </w:r>
          </w:p>
        </w:tc>
        <w:tc>
          <w:tcPr>
            <w:tcW w:w="812" w:type="pct"/>
            <w:noWrap/>
            <w:vAlign w:val="center"/>
            <w:hideMark/>
          </w:tcPr>
          <w:p w14:paraId="405FCCB8" w14:textId="54754F29"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0.0 (0%)</w:t>
            </w:r>
          </w:p>
        </w:tc>
        <w:tc>
          <w:tcPr>
            <w:tcW w:w="814" w:type="pct"/>
            <w:noWrap/>
            <w:vAlign w:val="center"/>
            <w:hideMark/>
          </w:tcPr>
          <w:p w14:paraId="363D81CA" w14:textId="1FB864E5" w:rsidR="003311CC" w:rsidRPr="00C30FCB" w:rsidRDefault="003311CC" w:rsidP="000F4FE9">
            <w:pPr>
              <w:spacing w:before="0" w:after="0" w:line="240" w:lineRule="auto"/>
              <w:jc w:val="right"/>
              <w:rPr>
                <w:rFonts w:cs="Arial"/>
                <w:color w:val="033636" w:themeColor="text1"/>
                <w:sz w:val="20"/>
                <w:szCs w:val="20"/>
                <w:lang w:eastAsia="en-AU"/>
              </w:rPr>
            </w:pPr>
            <w:r w:rsidRPr="00C30FCB">
              <w:rPr>
                <w:rFonts w:cs="Arial"/>
                <w:color w:val="033636" w:themeColor="text1"/>
                <w:sz w:val="20"/>
                <w:szCs w:val="20"/>
              </w:rPr>
              <w:t>0.8 (4%)</w:t>
            </w:r>
          </w:p>
        </w:tc>
      </w:tr>
    </w:tbl>
    <w:p w14:paraId="77FA429C" w14:textId="5FC3A525" w:rsidR="005D3E1C" w:rsidRPr="00C30FCB" w:rsidRDefault="006B1B61" w:rsidP="007F0630">
      <w:pPr>
        <w:pStyle w:val="FootnoteText"/>
        <w:spacing w:before="120"/>
        <w:contextualSpacing/>
        <w:rPr>
          <w:i/>
          <w:iCs/>
          <w:color w:val="033636" w:themeColor="text1"/>
        </w:rPr>
      </w:pPr>
      <w:r w:rsidRPr="00C30FCB">
        <w:rPr>
          <w:i/>
          <w:iCs/>
          <w:color w:val="033636" w:themeColor="text1"/>
        </w:rPr>
        <w:t xml:space="preserve">* YTD represents the </w:t>
      </w:r>
      <w:r w:rsidR="00A04A38" w:rsidRPr="00C30FCB">
        <w:rPr>
          <w:i/>
          <w:iCs/>
          <w:color w:val="033636" w:themeColor="text1"/>
        </w:rPr>
        <w:t>year-to-date</w:t>
      </w:r>
      <w:r w:rsidRPr="00C30FCB">
        <w:rPr>
          <w:i/>
          <w:iCs/>
          <w:color w:val="033636" w:themeColor="text1"/>
        </w:rPr>
        <w:t xml:space="preserve"> period of 1 January to </w:t>
      </w:r>
      <w:r w:rsidR="00E40B69" w:rsidRPr="00C30FCB">
        <w:rPr>
          <w:i/>
          <w:iCs/>
          <w:color w:val="033636" w:themeColor="text1"/>
        </w:rPr>
        <w:t>20</w:t>
      </w:r>
      <w:r w:rsidR="004523B8" w:rsidRPr="00C30FCB">
        <w:rPr>
          <w:i/>
          <w:iCs/>
          <w:color w:val="033636" w:themeColor="text1"/>
        </w:rPr>
        <w:t> April</w:t>
      </w:r>
      <w:r w:rsidRPr="00C30FCB">
        <w:rPr>
          <w:i/>
          <w:iCs/>
          <w:color w:val="033636" w:themeColor="text1"/>
        </w:rPr>
        <w:t>.</w:t>
      </w:r>
    </w:p>
    <w:p w14:paraId="264D7A32" w14:textId="79CD0A3D" w:rsidR="00676CC3" w:rsidRPr="00C30FCB" w:rsidRDefault="00676CC3" w:rsidP="007F0630">
      <w:pPr>
        <w:pStyle w:val="FootnoteText"/>
        <w:spacing w:before="120"/>
        <w:contextualSpacing/>
        <w:rPr>
          <w:i/>
          <w:iCs/>
          <w:color w:val="033636" w:themeColor="text1"/>
        </w:rPr>
      </w:pPr>
    </w:p>
    <w:sectPr w:rsidR="00676CC3" w:rsidRPr="00C30FCB" w:rsidSect="00BE3D66">
      <w:headerReference w:type="default" r:id="rId35"/>
      <w:footerReference w:type="default" r:id="rId36"/>
      <w:footnotePr>
        <w:numFmt w:val="lowerRoman"/>
      </w:footnotePr>
      <w:pgSz w:w="11906" w:h="16838"/>
      <w:pgMar w:top="851" w:right="113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8BD2" w14:textId="77777777" w:rsidR="00C55ECF" w:rsidRDefault="00C55ECF" w:rsidP="00934368">
      <w:r>
        <w:separator/>
      </w:r>
    </w:p>
    <w:p w14:paraId="7BA9C357" w14:textId="77777777" w:rsidR="00C55ECF" w:rsidRDefault="00C55ECF" w:rsidP="00934368"/>
  </w:endnote>
  <w:endnote w:type="continuationSeparator" w:id="0">
    <w:p w14:paraId="3792010D" w14:textId="77777777" w:rsidR="00C55ECF" w:rsidRDefault="00C55ECF" w:rsidP="00934368">
      <w:r>
        <w:continuationSeparator/>
      </w:r>
    </w:p>
    <w:p w14:paraId="773F33AD" w14:textId="77777777" w:rsidR="00C55ECF" w:rsidRDefault="00C55ECF" w:rsidP="00934368"/>
  </w:endnote>
  <w:endnote w:type="continuationNotice" w:id="1">
    <w:p w14:paraId="11AD5641" w14:textId="77777777" w:rsidR="00C55ECF" w:rsidRDefault="00C55ECF"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301232EE" w:rsidR="00552CF1" w:rsidRDefault="00DE1D55">
    <w:pPr>
      <w:pStyle w:val="Footer"/>
    </w:pPr>
    <w:r>
      <w:rPr>
        <w:noProof/>
      </w:rPr>
      <mc:AlternateContent>
        <mc:Choice Requires="wps">
          <w:drawing>
            <wp:anchor distT="0" distB="0" distL="0" distR="0" simplePos="0" relativeHeight="251688960" behindDoc="0" locked="0" layoutInCell="1" allowOverlap="1" wp14:anchorId="45389A4B" wp14:editId="1819E557">
              <wp:simplePos x="635" y="635"/>
              <wp:positionH relativeFrom="page">
                <wp:align>center</wp:align>
              </wp:positionH>
              <wp:positionV relativeFrom="page">
                <wp:align>bottom</wp:align>
              </wp:positionV>
              <wp:extent cx="622300" cy="480695"/>
              <wp:effectExtent l="0" t="0" r="6350" b="0"/>
              <wp:wrapNone/>
              <wp:docPr id="11969072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106CF87" w14:textId="4D5424F7"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89A4B"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1106CF87" w14:textId="4D5424F7"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2F2A5BC5" w:rsidR="00552CF1" w:rsidRDefault="00DE1D55">
    <w:pPr>
      <w:pStyle w:val="Footer"/>
    </w:pPr>
    <w:r>
      <w:rPr>
        <w:noProof/>
      </w:rPr>
      <mc:AlternateContent>
        <mc:Choice Requires="wps">
          <w:drawing>
            <wp:anchor distT="0" distB="0" distL="0" distR="0" simplePos="0" relativeHeight="251689984" behindDoc="0" locked="0" layoutInCell="1" allowOverlap="1" wp14:anchorId="070F687D" wp14:editId="6402645B">
              <wp:simplePos x="635" y="635"/>
              <wp:positionH relativeFrom="page">
                <wp:align>center</wp:align>
              </wp:positionH>
              <wp:positionV relativeFrom="page">
                <wp:align>bottom</wp:align>
              </wp:positionV>
              <wp:extent cx="622300" cy="480695"/>
              <wp:effectExtent l="0" t="0" r="6350" b="0"/>
              <wp:wrapNone/>
              <wp:docPr id="90946497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552572B" w14:textId="62E6E3C3"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F687D"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2552572B" w14:textId="62E6E3C3"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9EA3" w14:textId="72A58278" w:rsidR="00DE1D55" w:rsidRDefault="00DE1D55">
    <w:pPr>
      <w:pStyle w:val="Footer"/>
    </w:pPr>
    <w:r>
      <w:rPr>
        <w:noProof/>
      </w:rPr>
      <mc:AlternateContent>
        <mc:Choice Requires="wps">
          <w:drawing>
            <wp:anchor distT="0" distB="0" distL="0" distR="0" simplePos="0" relativeHeight="251687936" behindDoc="0" locked="0" layoutInCell="1" allowOverlap="1" wp14:anchorId="528B3259" wp14:editId="6CEC8FF4">
              <wp:simplePos x="635" y="635"/>
              <wp:positionH relativeFrom="page">
                <wp:align>center</wp:align>
              </wp:positionH>
              <wp:positionV relativeFrom="page">
                <wp:align>bottom</wp:align>
              </wp:positionV>
              <wp:extent cx="622300" cy="480695"/>
              <wp:effectExtent l="0" t="0" r="6350" b="0"/>
              <wp:wrapNone/>
              <wp:docPr id="19436446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A693EF2" w14:textId="72A0A925"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B3259"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7.8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3A693EF2" w14:textId="72A0A925"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4C37C7B2" w:rsidR="00751A23" w:rsidRPr="00730908" w:rsidRDefault="00DE1D55" w:rsidP="00934368">
    <w:pPr>
      <w:pStyle w:val="Footer"/>
      <w:rPr>
        <w:noProof/>
        <w:sz w:val="16"/>
        <w:szCs w:val="20"/>
      </w:rPr>
    </w:pPr>
    <w:r>
      <w:rPr>
        <w:noProof/>
        <w:sz w:val="16"/>
        <w:szCs w:val="20"/>
      </w:rPr>
      <mc:AlternateContent>
        <mc:Choice Requires="wps">
          <w:drawing>
            <wp:anchor distT="0" distB="0" distL="0" distR="0" simplePos="0" relativeHeight="251691008" behindDoc="0" locked="0" layoutInCell="1" allowOverlap="1" wp14:anchorId="12F4CB96" wp14:editId="18F69768">
              <wp:simplePos x="635" y="635"/>
              <wp:positionH relativeFrom="page">
                <wp:align>center</wp:align>
              </wp:positionH>
              <wp:positionV relativeFrom="page">
                <wp:align>bottom</wp:align>
              </wp:positionV>
              <wp:extent cx="622300" cy="480695"/>
              <wp:effectExtent l="0" t="0" r="6350" b="0"/>
              <wp:wrapNone/>
              <wp:docPr id="114825614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33D9ACC" w14:textId="2D685B1A"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4CB96" id="_x0000_t202" coordsize="21600,21600" o:spt="202" path="m,l,21600r21600,l21600,xe">
              <v:stroke joinstyle="miter"/>
              <v:path gradientshapeok="t" o:connecttype="rect"/>
            </v:shapetype>
            <v:shape id="Text Box 8" o:spid="_x0000_s1033" type="#_x0000_t202" alt="OFFICIAL" style="position:absolute;left:0;text-align:left;margin-left:0;margin-top:0;width:49pt;height:37.8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433D9ACC" w14:textId="2D685B1A"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ABD8" w14:textId="77777777" w:rsidR="00C55ECF" w:rsidRDefault="00C55ECF" w:rsidP="00EB4AA2">
      <w:pPr>
        <w:spacing w:before="60" w:after="0" w:line="240" w:lineRule="auto"/>
      </w:pPr>
      <w:r>
        <w:separator/>
      </w:r>
    </w:p>
  </w:footnote>
  <w:footnote w:type="continuationSeparator" w:id="0">
    <w:p w14:paraId="14E6D981" w14:textId="77777777" w:rsidR="00C55ECF" w:rsidRDefault="00C55ECF" w:rsidP="00934368">
      <w:r>
        <w:continuationSeparator/>
      </w:r>
    </w:p>
    <w:p w14:paraId="7732F1B7" w14:textId="77777777" w:rsidR="00C55ECF" w:rsidRDefault="00C55ECF" w:rsidP="00934368"/>
  </w:footnote>
  <w:footnote w:type="continuationNotice" w:id="1">
    <w:p w14:paraId="7BE71397" w14:textId="77777777" w:rsidR="00C55ECF" w:rsidRDefault="00C55ECF" w:rsidP="00934368"/>
  </w:footnote>
  <w:footnote w:id="2">
    <w:p w14:paraId="1DDD9EA7" w14:textId="77777777" w:rsidR="00C23C55" w:rsidRDefault="00C23C55" w:rsidP="00C23C55">
      <w:pPr>
        <w:pStyle w:val="FootnoteText"/>
      </w:pPr>
      <w:r>
        <w:rPr>
          <w:rStyle w:val="FootnoteReference"/>
        </w:rPr>
        <w:footnoteRef/>
      </w:r>
      <w:r>
        <w:t xml:space="preserve"> CDNA diphtheria case definition: </w:t>
      </w:r>
      <w:hyperlink r:id="rId1" w:history="1">
        <w:r w:rsidRPr="00506A05">
          <w:rPr>
            <w:rStyle w:val="Hyperlink"/>
          </w:rPr>
          <w:t>https://www.cdc.gov.au/system/files/2025-09/diphtheria-surveillance-case-definition_0.pdf</w:t>
        </w:r>
      </w:hyperlink>
      <w:r>
        <w:t xml:space="preserve"> </w:t>
      </w:r>
    </w:p>
  </w:footnote>
  <w:footnote w:id="3">
    <w:p w14:paraId="5A1C1EB8" w14:textId="618864AC" w:rsidR="00C23C55" w:rsidRDefault="00C23C55" w:rsidP="00C23C55">
      <w:pPr>
        <w:pStyle w:val="FootnoteText"/>
      </w:pPr>
      <w:r>
        <w:rPr>
          <w:rStyle w:val="FootnoteReference"/>
        </w:rPr>
        <w:footnoteRef/>
      </w:r>
      <w:r>
        <w:t xml:space="preserve"> 1 January to </w:t>
      </w:r>
      <w:r w:rsidR="009726B1">
        <w:t>20</w:t>
      </w:r>
      <w:r>
        <w:t xml:space="preserve"> April</w:t>
      </w:r>
    </w:p>
  </w:footnote>
  <w:footnote w:id="4">
    <w:p w14:paraId="7399CEA6" w14:textId="790F62EF" w:rsidR="004636EA" w:rsidRDefault="004636EA">
      <w:pPr>
        <w:pStyle w:val="FootnoteText"/>
      </w:pPr>
      <w:r>
        <w:rPr>
          <w:rStyle w:val="FootnoteReference"/>
        </w:rPr>
        <w:footnoteRef/>
      </w:r>
      <w:r>
        <w:t xml:space="preserve"> </w:t>
      </w:r>
      <w:r w:rsidR="005612F0">
        <w:t>One</w:t>
      </w:r>
      <w:r w:rsidR="004F3A6F">
        <w:t xml:space="preserve"> cluster</w:t>
      </w:r>
      <w:r w:rsidR="005612F0">
        <w:t xml:space="preserve"> reported</w:t>
      </w:r>
      <w:r w:rsidR="004F3A6F">
        <w:t xml:space="preserve"> in the 14 April 2026 report </w:t>
      </w:r>
      <w:r w:rsidR="00F60333">
        <w:t>has since been</w:t>
      </w:r>
      <w:r w:rsidR="005612F0">
        <w:t xml:space="preserve"> </w:t>
      </w:r>
      <w:r w:rsidR="0070383D">
        <w:t xml:space="preserve">revised to </w:t>
      </w:r>
      <w:r w:rsidR="00F60333">
        <w:t>include only a</w:t>
      </w:r>
      <w:r w:rsidR="0070383D">
        <w:t xml:space="preserve"> single case and no longer meets the </w:t>
      </w:r>
      <w:r w:rsidR="00EA205F">
        <w:t xml:space="preserve">cluster definition of </w:t>
      </w:r>
      <w:r w:rsidR="0070383D">
        <w:t xml:space="preserve">2 or more cases.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63CD512F" w:rsidR="00552CF1" w:rsidRDefault="00DE1D55">
    <w:pPr>
      <w:pStyle w:val="Header"/>
    </w:pPr>
    <w:r>
      <w:rPr>
        <w:noProof/>
      </w:rPr>
      <mc:AlternateContent>
        <mc:Choice Requires="wps">
          <w:drawing>
            <wp:anchor distT="0" distB="0" distL="0" distR="0" simplePos="0" relativeHeight="251684864" behindDoc="0" locked="0" layoutInCell="1" allowOverlap="1" wp14:anchorId="56B053EF" wp14:editId="0995D4C6">
              <wp:simplePos x="635" y="635"/>
              <wp:positionH relativeFrom="page">
                <wp:align>center</wp:align>
              </wp:positionH>
              <wp:positionV relativeFrom="page">
                <wp:align>top</wp:align>
              </wp:positionV>
              <wp:extent cx="622300" cy="480695"/>
              <wp:effectExtent l="0" t="0" r="6350" b="14605"/>
              <wp:wrapNone/>
              <wp:docPr id="20001973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C1CAA5" w14:textId="1C881AA6"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B053E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63C1CAA5" w14:textId="1C881AA6"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13FEBBBE" w:rsidR="00552CF1" w:rsidRDefault="00DE1D55">
    <w:pPr>
      <w:pStyle w:val="Header"/>
    </w:pPr>
    <w:r>
      <w:rPr>
        <w:noProof/>
      </w:rPr>
      <mc:AlternateContent>
        <mc:Choice Requires="wps">
          <w:drawing>
            <wp:anchor distT="0" distB="0" distL="0" distR="0" simplePos="0" relativeHeight="251685888" behindDoc="0" locked="0" layoutInCell="1" allowOverlap="1" wp14:anchorId="2E75113C" wp14:editId="0380550C">
              <wp:simplePos x="635" y="635"/>
              <wp:positionH relativeFrom="page">
                <wp:align>center</wp:align>
              </wp:positionH>
              <wp:positionV relativeFrom="page">
                <wp:align>top</wp:align>
              </wp:positionV>
              <wp:extent cx="622300" cy="480695"/>
              <wp:effectExtent l="0" t="0" r="6350" b="14605"/>
              <wp:wrapNone/>
              <wp:docPr id="8047083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5E5F95A" w14:textId="229BD953"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5113C"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45E5F95A" w14:textId="229BD953"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00D4605E" w:rsidR="00751A23" w:rsidRDefault="00DE1D55" w:rsidP="00934368">
    <w:pPr>
      <w:pStyle w:val="Header"/>
    </w:pPr>
    <w:r>
      <w:rPr>
        <w:noProof/>
        <w:lang w:eastAsia="en-AU"/>
      </w:rPr>
      <mc:AlternateContent>
        <mc:Choice Requires="wps">
          <w:drawing>
            <wp:anchor distT="0" distB="0" distL="0" distR="0" simplePos="0" relativeHeight="251683840" behindDoc="0" locked="0" layoutInCell="1" allowOverlap="1" wp14:anchorId="6E81941E" wp14:editId="7C303E76">
              <wp:simplePos x="635" y="635"/>
              <wp:positionH relativeFrom="page">
                <wp:align>center</wp:align>
              </wp:positionH>
              <wp:positionV relativeFrom="page">
                <wp:align>top</wp:align>
              </wp:positionV>
              <wp:extent cx="622300" cy="480695"/>
              <wp:effectExtent l="0" t="0" r="6350" b="14605"/>
              <wp:wrapNone/>
              <wp:docPr id="9005880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14D307E" w14:textId="694A2D8F"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1941E"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614D307E" w14:textId="694A2D8F"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E04166E">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022A6842" w:rsidR="008E0C77" w:rsidRPr="00B13640" w:rsidRDefault="00DE1D55" w:rsidP="00A810F3">
    <w:pPr>
      <w:pStyle w:val="Headertext"/>
      <w:jc w:val="left"/>
      <w:rPr>
        <w:sz w:val="8"/>
        <w:szCs w:val="12"/>
      </w:rPr>
    </w:pPr>
    <w:r>
      <w:rPr>
        <w:noProof/>
        <w:sz w:val="8"/>
        <w:szCs w:val="12"/>
      </w:rPr>
      <mc:AlternateContent>
        <mc:Choice Requires="wps">
          <w:drawing>
            <wp:anchor distT="0" distB="0" distL="0" distR="0" simplePos="0" relativeHeight="251686912" behindDoc="0" locked="0" layoutInCell="1" allowOverlap="1" wp14:anchorId="2FEE6FF0" wp14:editId="051D970B">
              <wp:simplePos x="635" y="635"/>
              <wp:positionH relativeFrom="page">
                <wp:align>center</wp:align>
              </wp:positionH>
              <wp:positionV relativeFrom="page">
                <wp:align>top</wp:align>
              </wp:positionV>
              <wp:extent cx="622300" cy="480695"/>
              <wp:effectExtent l="0" t="0" r="6350" b="14605"/>
              <wp:wrapNone/>
              <wp:docPr id="60727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48539E7" w14:textId="760B1DC5"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E6FF0"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fill o:detectmouseclick="t"/>
              <v:textbox style="mso-fit-shape-to-text:t" inset="0,15pt,0,0">
                <w:txbxContent>
                  <w:p w14:paraId="348539E7" w14:textId="760B1DC5" w:rsidR="00DE1D55" w:rsidRPr="00DE1D55" w:rsidRDefault="00DE1D55" w:rsidP="00DE1D55">
                    <w:pPr>
                      <w:spacing w:after="0"/>
                      <w:rPr>
                        <w:rFonts w:ascii="Aptos" w:eastAsia="Aptos" w:hAnsi="Aptos" w:cs="Aptos"/>
                        <w:noProof/>
                        <w:color w:val="FF0000"/>
                      </w:rPr>
                    </w:pPr>
                    <w:r w:rsidRPr="00DE1D5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18"/>
  </w:num>
  <w:num w:numId="3" w16cid:durableId="855316002">
    <w:abstractNumId w:val="21"/>
  </w:num>
  <w:num w:numId="4" w16cid:durableId="819270231">
    <w:abstractNumId w:val="8"/>
  </w:num>
  <w:num w:numId="5" w16cid:durableId="624852735">
    <w:abstractNumId w:val="8"/>
    <w:lvlOverride w:ilvl="0">
      <w:startOverride w:val="1"/>
    </w:lvlOverride>
  </w:num>
  <w:num w:numId="6" w16cid:durableId="1471367351">
    <w:abstractNumId w:val="9"/>
  </w:num>
  <w:num w:numId="7" w16cid:durableId="314646392">
    <w:abstractNumId w:val="15"/>
  </w:num>
  <w:num w:numId="8" w16cid:durableId="1499927305">
    <w:abstractNumId w:val="20"/>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23"/>
  </w:num>
  <w:num w:numId="17" w16cid:durableId="613557283">
    <w:abstractNumId w:val="10"/>
  </w:num>
  <w:num w:numId="18" w16cid:durableId="816261399">
    <w:abstractNumId w:val="12"/>
  </w:num>
  <w:num w:numId="19" w16cid:durableId="1097212103">
    <w:abstractNumId w:val="13"/>
  </w:num>
  <w:num w:numId="20" w16cid:durableId="1939170792">
    <w:abstractNumId w:val="10"/>
  </w:num>
  <w:num w:numId="21" w16cid:durableId="28997209">
    <w:abstractNumId w:val="13"/>
  </w:num>
  <w:num w:numId="22" w16cid:durableId="1504319644">
    <w:abstractNumId w:val="23"/>
  </w:num>
  <w:num w:numId="23" w16cid:durableId="1823959635">
    <w:abstractNumId w:val="18"/>
  </w:num>
  <w:num w:numId="24" w16cid:durableId="1449813617">
    <w:abstractNumId w:val="21"/>
  </w:num>
  <w:num w:numId="25" w16cid:durableId="1444181194">
    <w:abstractNumId w:val="8"/>
  </w:num>
  <w:num w:numId="26" w16cid:durableId="605428677">
    <w:abstractNumId w:val="17"/>
  </w:num>
  <w:num w:numId="27" w16cid:durableId="298413749">
    <w:abstractNumId w:val="22"/>
  </w:num>
  <w:num w:numId="28" w16cid:durableId="882135821">
    <w:abstractNumId w:val="19"/>
  </w:num>
  <w:num w:numId="29" w16cid:durableId="568269438">
    <w:abstractNumId w:val="11"/>
  </w:num>
  <w:num w:numId="30" w16cid:durableId="105778951">
    <w:abstractNumId w:val="14"/>
  </w:num>
  <w:num w:numId="31" w16cid:durableId="1729912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1C11"/>
    <w:rsid w:val="00001F41"/>
    <w:rsid w:val="00003743"/>
    <w:rsid w:val="0000428C"/>
    <w:rsid w:val="000047B4"/>
    <w:rsid w:val="00005712"/>
    <w:rsid w:val="00006F13"/>
    <w:rsid w:val="0000741E"/>
    <w:rsid w:val="000078F2"/>
    <w:rsid w:val="00007FD8"/>
    <w:rsid w:val="0001008A"/>
    <w:rsid w:val="000117F8"/>
    <w:rsid w:val="00014DDC"/>
    <w:rsid w:val="000156D1"/>
    <w:rsid w:val="00016114"/>
    <w:rsid w:val="000173CA"/>
    <w:rsid w:val="00017CBA"/>
    <w:rsid w:val="0002023F"/>
    <w:rsid w:val="000203E6"/>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AD9"/>
    <w:rsid w:val="00027F74"/>
    <w:rsid w:val="00030D5B"/>
    <w:rsid w:val="0003265F"/>
    <w:rsid w:val="00033321"/>
    <w:rsid w:val="000338E5"/>
    <w:rsid w:val="00033ECC"/>
    <w:rsid w:val="00034135"/>
    <w:rsid w:val="0003422F"/>
    <w:rsid w:val="00034429"/>
    <w:rsid w:val="000403B6"/>
    <w:rsid w:val="000423C9"/>
    <w:rsid w:val="00043D9C"/>
    <w:rsid w:val="00046FF0"/>
    <w:rsid w:val="000477F7"/>
    <w:rsid w:val="00050176"/>
    <w:rsid w:val="00051DB4"/>
    <w:rsid w:val="000520C9"/>
    <w:rsid w:val="00052348"/>
    <w:rsid w:val="00052FF9"/>
    <w:rsid w:val="00053333"/>
    <w:rsid w:val="000542A9"/>
    <w:rsid w:val="00056EAF"/>
    <w:rsid w:val="0005709D"/>
    <w:rsid w:val="00062B2A"/>
    <w:rsid w:val="00062B65"/>
    <w:rsid w:val="0006406F"/>
    <w:rsid w:val="00065B35"/>
    <w:rsid w:val="00067230"/>
    <w:rsid w:val="00067456"/>
    <w:rsid w:val="00067C02"/>
    <w:rsid w:val="000708C1"/>
    <w:rsid w:val="00071506"/>
    <w:rsid w:val="0007154F"/>
    <w:rsid w:val="00072515"/>
    <w:rsid w:val="00073623"/>
    <w:rsid w:val="00074B0A"/>
    <w:rsid w:val="00075516"/>
    <w:rsid w:val="00077997"/>
    <w:rsid w:val="00077CE5"/>
    <w:rsid w:val="00081A10"/>
    <w:rsid w:val="00081AB1"/>
    <w:rsid w:val="00083621"/>
    <w:rsid w:val="0008412F"/>
    <w:rsid w:val="00086D91"/>
    <w:rsid w:val="00086DC7"/>
    <w:rsid w:val="00087A1D"/>
    <w:rsid w:val="00090316"/>
    <w:rsid w:val="00091758"/>
    <w:rsid w:val="0009186F"/>
    <w:rsid w:val="000936E5"/>
    <w:rsid w:val="00093981"/>
    <w:rsid w:val="00093CD9"/>
    <w:rsid w:val="00093DAE"/>
    <w:rsid w:val="0009417C"/>
    <w:rsid w:val="00095A02"/>
    <w:rsid w:val="00095F82"/>
    <w:rsid w:val="00096E81"/>
    <w:rsid w:val="000970B6"/>
    <w:rsid w:val="000971E2"/>
    <w:rsid w:val="000979C4"/>
    <w:rsid w:val="00097D50"/>
    <w:rsid w:val="000A0867"/>
    <w:rsid w:val="000A0C8B"/>
    <w:rsid w:val="000A1A85"/>
    <w:rsid w:val="000A282A"/>
    <w:rsid w:val="000A642E"/>
    <w:rsid w:val="000A7FD2"/>
    <w:rsid w:val="000B067A"/>
    <w:rsid w:val="000B0FC1"/>
    <w:rsid w:val="000B1540"/>
    <w:rsid w:val="000B1944"/>
    <w:rsid w:val="000B2688"/>
    <w:rsid w:val="000B294D"/>
    <w:rsid w:val="000B33FD"/>
    <w:rsid w:val="000B477A"/>
    <w:rsid w:val="000B4A80"/>
    <w:rsid w:val="000B4ABA"/>
    <w:rsid w:val="000B6537"/>
    <w:rsid w:val="000B7810"/>
    <w:rsid w:val="000C0E01"/>
    <w:rsid w:val="000C1BB3"/>
    <w:rsid w:val="000C1CA5"/>
    <w:rsid w:val="000C274F"/>
    <w:rsid w:val="000C29FE"/>
    <w:rsid w:val="000C4A3F"/>
    <w:rsid w:val="000C4B16"/>
    <w:rsid w:val="000C50C3"/>
    <w:rsid w:val="000C5178"/>
    <w:rsid w:val="000C67BD"/>
    <w:rsid w:val="000C6893"/>
    <w:rsid w:val="000D16EE"/>
    <w:rsid w:val="000D1FA3"/>
    <w:rsid w:val="000D21F6"/>
    <w:rsid w:val="000D2701"/>
    <w:rsid w:val="000D42C3"/>
    <w:rsid w:val="000D4500"/>
    <w:rsid w:val="000D72E5"/>
    <w:rsid w:val="000D7AEA"/>
    <w:rsid w:val="000E01A9"/>
    <w:rsid w:val="000E0EF0"/>
    <w:rsid w:val="000E1404"/>
    <w:rsid w:val="000E2249"/>
    <w:rsid w:val="000E2C66"/>
    <w:rsid w:val="000E3B0A"/>
    <w:rsid w:val="000E6E7D"/>
    <w:rsid w:val="000F02D2"/>
    <w:rsid w:val="000F03D5"/>
    <w:rsid w:val="000F0D35"/>
    <w:rsid w:val="000F123C"/>
    <w:rsid w:val="000F265E"/>
    <w:rsid w:val="000F2FED"/>
    <w:rsid w:val="000F4FE9"/>
    <w:rsid w:val="00100BFA"/>
    <w:rsid w:val="00101152"/>
    <w:rsid w:val="001020AD"/>
    <w:rsid w:val="00102F30"/>
    <w:rsid w:val="00103D87"/>
    <w:rsid w:val="0010616D"/>
    <w:rsid w:val="00110478"/>
    <w:rsid w:val="00111DA2"/>
    <w:rsid w:val="00112087"/>
    <w:rsid w:val="0011711B"/>
    <w:rsid w:val="00117563"/>
    <w:rsid w:val="001178EC"/>
    <w:rsid w:val="00117D0A"/>
    <w:rsid w:val="00117F8A"/>
    <w:rsid w:val="00120914"/>
    <w:rsid w:val="00121B9B"/>
    <w:rsid w:val="00122ADC"/>
    <w:rsid w:val="0012431D"/>
    <w:rsid w:val="00126CDB"/>
    <w:rsid w:val="00127BA2"/>
    <w:rsid w:val="0013025E"/>
    <w:rsid w:val="00130F59"/>
    <w:rsid w:val="00131818"/>
    <w:rsid w:val="00133EC0"/>
    <w:rsid w:val="00133F38"/>
    <w:rsid w:val="00134047"/>
    <w:rsid w:val="00135021"/>
    <w:rsid w:val="0013688B"/>
    <w:rsid w:val="00137BBD"/>
    <w:rsid w:val="001413CF"/>
    <w:rsid w:val="00141A00"/>
    <w:rsid w:val="00141CE5"/>
    <w:rsid w:val="00144908"/>
    <w:rsid w:val="001450FB"/>
    <w:rsid w:val="00145359"/>
    <w:rsid w:val="001454C6"/>
    <w:rsid w:val="00147042"/>
    <w:rsid w:val="00150C3E"/>
    <w:rsid w:val="00150DE4"/>
    <w:rsid w:val="00152A25"/>
    <w:rsid w:val="00152C19"/>
    <w:rsid w:val="00152D17"/>
    <w:rsid w:val="00152DDF"/>
    <w:rsid w:val="0015415D"/>
    <w:rsid w:val="001553C9"/>
    <w:rsid w:val="00155FC3"/>
    <w:rsid w:val="00156C91"/>
    <w:rsid w:val="001571C7"/>
    <w:rsid w:val="00161094"/>
    <w:rsid w:val="00162AE6"/>
    <w:rsid w:val="00162F7B"/>
    <w:rsid w:val="00164BDA"/>
    <w:rsid w:val="00165936"/>
    <w:rsid w:val="001678A6"/>
    <w:rsid w:val="001705F2"/>
    <w:rsid w:val="00171505"/>
    <w:rsid w:val="00171FCD"/>
    <w:rsid w:val="00172A55"/>
    <w:rsid w:val="001730BA"/>
    <w:rsid w:val="001742AD"/>
    <w:rsid w:val="00174543"/>
    <w:rsid w:val="001754BA"/>
    <w:rsid w:val="001758CD"/>
    <w:rsid w:val="00175BE9"/>
    <w:rsid w:val="0017665C"/>
    <w:rsid w:val="0017679F"/>
    <w:rsid w:val="00176EB9"/>
    <w:rsid w:val="00177AD2"/>
    <w:rsid w:val="00177EE4"/>
    <w:rsid w:val="001811FA"/>
    <w:rsid w:val="00181259"/>
    <w:rsid w:val="001815A8"/>
    <w:rsid w:val="00182411"/>
    <w:rsid w:val="001840FA"/>
    <w:rsid w:val="001847D5"/>
    <w:rsid w:val="00184BA4"/>
    <w:rsid w:val="00184C18"/>
    <w:rsid w:val="0018733B"/>
    <w:rsid w:val="00190079"/>
    <w:rsid w:val="001900A6"/>
    <w:rsid w:val="00190402"/>
    <w:rsid w:val="001909B7"/>
    <w:rsid w:val="00191EED"/>
    <w:rsid w:val="00192484"/>
    <w:rsid w:val="00192C3E"/>
    <w:rsid w:val="00192D7D"/>
    <w:rsid w:val="00193329"/>
    <w:rsid w:val="00194577"/>
    <w:rsid w:val="00194A14"/>
    <w:rsid w:val="0019622E"/>
    <w:rsid w:val="00196522"/>
    <w:rsid w:val="001966A7"/>
    <w:rsid w:val="001A2F20"/>
    <w:rsid w:val="001A4627"/>
    <w:rsid w:val="001A4979"/>
    <w:rsid w:val="001A6088"/>
    <w:rsid w:val="001A6531"/>
    <w:rsid w:val="001A6B1F"/>
    <w:rsid w:val="001A74E7"/>
    <w:rsid w:val="001B0629"/>
    <w:rsid w:val="001B13CE"/>
    <w:rsid w:val="001B15D3"/>
    <w:rsid w:val="001B3311"/>
    <w:rsid w:val="001B3347"/>
    <w:rsid w:val="001B3443"/>
    <w:rsid w:val="001B390E"/>
    <w:rsid w:val="001B41AD"/>
    <w:rsid w:val="001B5EBD"/>
    <w:rsid w:val="001B671F"/>
    <w:rsid w:val="001B6B13"/>
    <w:rsid w:val="001C0326"/>
    <w:rsid w:val="001C0B40"/>
    <w:rsid w:val="001C1532"/>
    <w:rsid w:val="001C192F"/>
    <w:rsid w:val="001C1B20"/>
    <w:rsid w:val="001C3C42"/>
    <w:rsid w:val="001C4A16"/>
    <w:rsid w:val="001C5F93"/>
    <w:rsid w:val="001D1256"/>
    <w:rsid w:val="001D212A"/>
    <w:rsid w:val="001D3635"/>
    <w:rsid w:val="001D47DB"/>
    <w:rsid w:val="001D48D9"/>
    <w:rsid w:val="001D4D55"/>
    <w:rsid w:val="001D5EE3"/>
    <w:rsid w:val="001D681C"/>
    <w:rsid w:val="001D7869"/>
    <w:rsid w:val="001D7AD8"/>
    <w:rsid w:val="001D7BB6"/>
    <w:rsid w:val="001E0A6E"/>
    <w:rsid w:val="001E111C"/>
    <w:rsid w:val="001E1D45"/>
    <w:rsid w:val="001E1EB5"/>
    <w:rsid w:val="001E2260"/>
    <w:rsid w:val="001E3756"/>
    <w:rsid w:val="001E3F99"/>
    <w:rsid w:val="001E4F73"/>
    <w:rsid w:val="001E7579"/>
    <w:rsid w:val="001F0D86"/>
    <w:rsid w:val="001F1B6F"/>
    <w:rsid w:val="001F2F78"/>
    <w:rsid w:val="001F38B9"/>
    <w:rsid w:val="001F3D3E"/>
    <w:rsid w:val="001F419B"/>
    <w:rsid w:val="001F48AE"/>
    <w:rsid w:val="001F6070"/>
    <w:rsid w:val="001F6322"/>
    <w:rsid w:val="001F6A1A"/>
    <w:rsid w:val="001F72BB"/>
    <w:rsid w:val="001F7DDC"/>
    <w:rsid w:val="00200C62"/>
    <w:rsid w:val="00202669"/>
    <w:rsid w:val="002026CD"/>
    <w:rsid w:val="00203151"/>
    <w:rsid w:val="002033FC"/>
    <w:rsid w:val="00203811"/>
    <w:rsid w:val="002044A5"/>
    <w:rsid w:val="002044BB"/>
    <w:rsid w:val="0020611D"/>
    <w:rsid w:val="0020641A"/>
    <w:rsid w:val="00206A7A"/>
    <w:rsid w:val="00207263"/>
    <w:rsid w:val="00207A14"/>
    <w:rsid w:val="00210B09"/>
    <w:rsid w:val="00210C9E"/>
    <w:rsid w:val="00211840"/>
    <w:rsid w:val="00211DAA"/>
    <w:rsid w:val="0021304A"/>
    <w:rsid w:val="00213CB1"/>
    <w:rsid w:val="002145F8"/>
    <w:rsid w:val="00215B54"/>
    <w:rsid w:val="002178F4"/>
    <w:rsid w:val="00220395"/>
    <w:rsid w:val="002208D3"/>
    <w:rsid w:val="00220E5F"/>
    <w:rsid w:val="00221034"/>
    <w:rsid w:val="002212B5"/>
    <w:rsid w:val="00224622"/>
    <w:rsid w:val="00225993"/>
    <w:rsid w:val="00225A40"/>
    <w:rsid w:val="00225BDE"/>
    <w:rsid w:val="00226668"/>
    <w:rsid w:val="0022742F"/>
    <w:rsid w:val="002317EC"/>
    <w:rsid w:val="00232B8A"/>
    <w:rsid w:val="00232F13"/>
    <w:rsid w:val="00233809"/>
    <w:rsid w:val="00233A11"/>
    <w:rsid w:val="00234358"/>
    <w:rsid w:val="0023474E"/>
    <w:rsid w:val="00235660"/>
    <w:rsid w:val="002377D1"/>
    <w:rsid w:val="00240046"/>
    <w:rsid w:val="0024027A"/>
    <w:rsid w:val="0024069B"/>
    <w:rsid w:val="00244F00"/>
    <w:rsid w:val="00246193"/>
    <w:rsid w:val="00246ED3"/>
    <w:rsid w:val="0024797F"/>
    <w:rsid w:val="00250437"/>
    <w:rsid w:val="002508D3"/>
    <w:rsid w:val="00250B13"/>
    <w:rsid w:val="0025119E"/>
    <w:rsid w:val="00251269"/>
    <w:rsid w:val="00251282"/>
    <w:rsid w:val="00251BF4"/>
    <w:rsid w:val="00252186"/>
    <w:rsid w:val="002523F1"/>
    <w:rsid w:val="002535C0"/>
    <w:rsid w:val="002572DF"/>
    <w:rsid w:val="002579FE"/>
    <w:rsid w:val="00260CB5"/>
    <w:rsid w:val="0026311C"/>
    <w:rsid w:val="00265E54"/>
    <w:rsid w:val="002665B7"/>
    <w:rsid w:val="0026668C"/>
    <w:rsid w:val="00266AC1"/>
    <w:rsid w:val="00266F90"/>
    <w:rsid w:val="0027006B"/>
    <w:rsid w:val="0027178C"/>
    <w:rsid w:val="002719FA"/>
    <w:rsid w:val="00272110"/>
    <w:rsid w:val="00272668"/>
    <w:rsid w:val="0027330B"/>
    <w:rsid w:val="002745BC"/>
    <w:rsid w:val="00275C6A"/>
    <w:rsid w:val="00277158"/>
    <w:rsid w:val="002803AD"/>
    <w:rsid w:val="00280F25"/>
    <w:rsid w:val="00281F5F"/>
    <w:rsid w:val="00282052"/>
    <w:rsid w:val="00282523"/>
    <w:rsid w:val="00282B39"/>
    <w:rsid w:val="0028347A"/>
    <w:rsid w:val="00284796"/>
    <w:rsid w:val="0028519E"/>
    <w:rsid w:val="002851AF"/>
    <w:rsid w:val="002851CA"/>
    <w:rsid w:val="0028523E"/>
    <w:rsid w:val="002853F0"/>
    <w:rsid w:val="002856A5"/>
    <w:rsid w:val="00286DDD"/>
    <w:rsid w:val="002872ED"/>
    <w:rsid w:val="002905C2"/>
    <w:rsid w:val="00290A9F"/>
    <w:rsid w:val="00291BA8"/>
    <w:rsid w:val="00293151"/>
    <w:rsid w:val="00295AF2"/>
    <w:rsid w:val="00295C91"/>
    <w:rsid w:val="00295D83"/>
    <w:rsid w:val="00296DB8"/>
    <w:rsid w:val="00297056"/>
    <w:rsid w:val="00297151"/>
    <w:rsid w:val="0029752C"/>
    <w:rsid w:val="002A0910"/>
    <w:rsid w:val="002A1F3C"/>
    <w:rsid w:val="002A243C"/>
    <w:rsid w:val="002A2B91"/>
    <w:rsid w:val="002A468F"/>
    <w:rsid w:val="002A59FA"/>
    <w:rsid w:val="002B03B1"/>
    <w:rsid w:val="002B1545"/>
    <w:rsid w:val="002B17D3"/>
    <w:rsid w:val="002B1B90"/>
    <w:rsid w:val="002B1F85"/>
    <w:rsid w:val="002B20E6"/>
    <w:rsid w:val="002B2106"/>
    <w:rsid w:val="002B2FBE"/>
    <w:rsid w:val="002B32D9"/>
    <w:rsid w:val="002B343C"/>
    <w:rsid w:val="002B42A3"/>
    <w:rsid w:val="002B6884"/>
    <w:rsid w:val="002B7520"/>
    <w:rsid w:val="002C00EB"/>
    <w:rsid w:val="002C094A"/>
    <w:rsid w:val="002C0CDD"/>
    <w:rsid w:val="002C22EF"/>
    <w:rsid w:val="002C4816"/>
    <w:rsid w:val="002C4C7C"/>
    <w:rsid w:val="002C5B59"/>
    <w:rsid w:val="002C6309"/>
    <w:rsid w:val="002D0218"/>
    <w:rsid w:val="002D0BF7"/>
    <w:rsid w:val="002D0ED8"/>
    <w:rsid w:val="002D1AA6"/>
    <w:rsid w:val="002D2DF5"/>
    <w:rsid w:val="002D2E71"/>
    <w:rsid w:val="002D59C6"/>
    <w:rsid w:val="002D6311"/>
    <w:rsid w:val="002D668A"/>
    <w:rsid w:val="002D7077"/>
    <w:rsid w:val="002D7303"/>
    <w:rsid w:val="002D775F"/>
    <w:rsid w:val="002D7D41"/>
    <w:rsid w:val="002E02D9"/>
    <w:rsid w:val="002E0B6C"/>
    <w:rsid w:val="002E1A1D"/>
    <w:rsid w:val="002E1ED3"/>
    <w:rsid w:val="002E2847"/>
    <w:rsid w:val="002E3824"/>
    <w:rsid w:val="002E4081"/>
    <w:rsid w:val="002E56D7"/>
    <w:rsid w:val="002E595D"/>
    <w:rsid w:val="002E5B78"/>
    <w:rsid w:val="002E62DC"/>
    <w:rsid w:val="002E7C08"/>
    <w:rsid w:val="002F3AE3"/>
    <w:rsid w:val="002F4A33"/>
    <w:rsid w:val="002F562A"/>
    <w:rsid w:val="002F627C"/>
    <w:rsid w:val="002F6B97"/>
    <w:rsid w:val="002F6E76"/>
    <w:rsid w:val="002F701C"/>
    <w:rsid w:val="003001E2"/>
    <w:rsid w:val="00302AA9"/>
    <w:rsid w:val="0030464B"/>
    <w:rsid w:val="00304FA2"/>
    <w:rsid w:val="003072B5"/>
    <w:rsid w:val="0030786C"/>
    <w:rsid w:val="00310ACA"/>
    <w:rsid w:val="0031106E"/>
    <w:rsid w:val="003110E7"/>
    <w:rsid w:val="00311D55"/>
    <w:rsid w:val="0031540A"/>
    <w:rsid w:val="003158AB"/>
    <w:rsid w:val="00316E51"/>
    <w:rsid w:val="00317413"/>
    <w:rsid w:val="0031766C"/>
    <w:rsid w:val="003209BE"/>
    <w:rsid w:val="00320A75"/>
    <w:rsid w:val="00320F4C"/>
    <w:rsid w:val="003217AB"/>
    <w:rsid w:val="003219BB"/>
    <w:rsid w:val="003233DE"/>
    <w:rsid w:val="00323535"/>
    <w:rsid w:val="00323BFF"/>
    <w:rsid w:val="0032466B"/>
    <w:rsid w:val="00324FBB"/>
    <w:rsid w:val="003251FE"/>
    <w:rsid w:val="00326D5A"/>
    <w:rsid w:val="00326EE1"/>
    <w:rsid w:val="00326F74"/>
    <w:rsid w:val="00327B44"/>
    <w:rsid w:val="003311CC"/>
    <w:rsid w:val="00331660"/>
    <w:rsid w:val="003330A7"/>
    <w:rsid w:val="003330EB"/>
    <w:rsid w:val="003336E2"/>
    <w:rsid w:val="003339CE"/>
    <w:rsid w:val="00334E08"/>
    <w:rsid w:val="00336605"/>
    <w:rsid w:val="00336784"/>
    <w:rsid w:val="00336D7A"/>
    <w:rsid w:val="00337503"/>
    <w:rsid w:val="00337943"/>
    <w:rsid w:val="00340CC7"/>
    <w:rsid w:val="0034122B"/>
    <w:rsid w:val="003415FD"/>
    <w:rsid w:val="003429F0"/>
    <w:rsid w:val="003450CF"/>
    <w:rsid w:val="0035018B"/>
    <w:rsid w:val="003503E6"/>
    <w:rsid w:val="0035097A"/>
    <w:rsid w:val="00351948"/>
    <w:rsid w:val="00353610"/>
    <w:rsid w:val="003537C9"/>
    <w:rsid w:val="00353F4F"/>
    <w:rsid w:val="003540A4"/>
    <w:rsid w:val="00355FF1"/>
    <w:rsid w:val="00356E25"/>
    <w:rsid w:val="00357587"/>
    <w:rsid w:val="0036030A"/>
    <w:rsid w:val="00360420"/>
    <w:rsid w:val="00360D1E"/>
    <w:rsid w:val="00360E4E"/>
    <w:rsid w:val="00365CE2"/>
    <w:rsid w:val="003662F5"/>
    <w:rsid w:val="003670A1"/>
    <w:rsid w:val="00367772"/>
    <w:rsid w:val="00370AAA"/>
    <w:rsid w:val="00370CD4"/>
    <w:rsid w:val="00372087"/>
    <w:rsid w:val="00372490"/>
    <w:rsid w:val="00373D75"/>
    <w:rsid w:val="00374375"/>
    <w:rsid w:val="00375146"/>
    <w:rsid w:val="00375A11"/>
    <w:rsid w:val="00375F77"/>
    <w:rsid w:val="00377A78"/>
    <w:rsid w:val="0038101B"/>
    <w:rsid w:val="00381BBE"/>
    <w:rsid w:val="00382903"/>
    <w:rsid w:val="0038292D"/>
    <w:rsid w:val="003829F2"/>
    <w:rsid w:val="003846FF"/>
    <w:rsid w:val="003851E8"/>
    <w:rsid w:val="00385AD4"/>
    <w:rsid w:val="00385F8E"/>
    <w:rsid w:val="003863AE"/>
    <w:rsid w:val="00387924"/>
    <w:rsid w:val="003907D6"/>
    <w:rsid w:val="00391387"/>
    <w:rsid w:val="0039263D"/>
    <w:rsid w:val="003931F4"/>
    <w:rsid w:val="0039376F"/>
    <w:rsid w:val="0039384D"/>
    <w:rsid w:val="00393B97"/>
    <w:rsid w:val="00395C23"/>
    <w:rsid w:val="00395E27"/>
    <w:rsid w:val="003963FE"/>
    <w:rsid w:val="00396D47"/>
    <w:rsid w:val="003A2E4F"/>
    <w:rsid w:val="003A33B5"/>
    <w:rsid w:val="003A4438"/>
    <w:rsid w:val="003A5013"/>
    <w:rsid w:val="003A5078"/>
    <w:rsid w:val="003A62DD"/>
    <w:rsid w:val="003A775A"/>
    <w:rsid w:val="003B0DAB"/>
    <w:rsid w:val="003B0DC3"/>
    <w:rsid w:val="003B16E2"/>
    <w:rsid w:val="003B213A"/>
    <w:rsid w:val="003B43AD"/>
    <w:rsid w:val="003B466D"/>
    <w:rsid w:val="003B55C4"/>
    <w:rsid w:val="003B5651"/>
    <w:rsid w:val="003B611F"/>
    <w:rsid w:val="003B68AC"/>
    <w:rsid w:val="003C0859"/>
    <w:rsid w:val="003C0A17"/>
    <w:rsid w:val="003C0FEC"/>
    <w:rsid w:val="003C15B8"/>
    <w:rsid w:val="003C2AC8"/>
    <w:rsid w:val="003C3D84"/>
    <w:rsid w:val="003C46A6"/>
    <w:rsid w:val="003C6DF8"/>
    <w:rsid w:val="003D1634"/>
    <w:rsid w:val="003D16C1"/>
    <w:rsid w:val="003D17F9"/>
    <w:rsid w:val="003D1D04"/>
    <w:rsid w:val="003D2D88"/>
    <w:rsid w:val="003D41EA"/>
    <w:rsid w:val="003D46A1"/>
    <w:rsid w:val="003D4850"/>
    <w:rsid w:val="003D535A"/>
    <w:rsid w:val="003D6EBC"/>
    <w:rsid w:val="003E1426"/>
    <w:rsid w:val="003E18C7"/>
    <w:rsid w:val="003E1BA9"/>
    <w:rsid w:val="003E35CB"/>
    <w:rsid w:val="003E4E37"/>
    <w:rsid w:val="003E5030"/>
    <w:rsid w:val="003E5265"/>
    <w:rsid w:val="003E6482"/>
    <w:rsid w:val="003E6E93"/>
    <w:rsid w:val="003E74DB"/>
    <w:rsid w:val="003F0079"/>
    <w:rsid w:val="003F02AC"/>
    <w:rsid w:val="003F0844"/>
    <w:rsid w:val="003F0955"/>
    <w:rsid w:val="003F24E1"/>
    <w:rsid w:val="003F536A"/>
    <w:rsid w:val="003F6FE1"/>
    <w:rsid w:val="003F747E"/>
    <w:rsid w:val="00400DFF"/>
    <w:rsid w:val="00400F00"/>
    <w:rsid w:val="00402AB9"/>
    <w:rsid w:val="00402EE1"/>
    <w:rsid w:val="004037B1"/>
    <w:rsid w:val="00404F8B"/>
    <w:rsid w:val="00405256"/>
    <w:rsid w:val="00405F53"/>
    <w:rsid w:val="00410031"/>
    <w:rsid w:val="004104A5"/>
    <w:rsid w:val="00410D74"/>
    <w:rsid w:val="004115A2"/>
    <w:rsid w:val="00412391"/>
    <w:rsid w:val="00413841"/>
    <w:rsid w:val="00415C81"/>
    <w:rsid w:val="00416731"/>
    <w:rsid w:val="004167A7"/>
    <w:rsid w:val="00420FF5"/>
    <w:rsid w:val="00422FB8"/>
    <w:rsid w:val="004236BE"/>
    <w:rsid w:val="00423813"/>
    <w:rsid w:val="004243A2"/>
    <w:rsid w:val="00424866"/>
    <w:rsid w:val="00424A3F"/>
    <w:rsid w:val="0042610D"/>
    <w:rsid w:val="00427699"/>
    <w:rsid w:val="00430126"/>
    <w:rsid w:val="0043080A"/>
    <w:rsid w:val="00432378"/>
    <w:rsid w:val="00436B4A"/>
    <w:rsid w:val="004370CB"/>
    <w:rsid w:val="00437156"/>
    <w:rsid w:val="00437C48"/>
    <w:rsid w:val="0044017F"/>
    <w:rsid w:val="0044046B"/>
    <w:rsid w:val="00440B02"/>
    <w:rsid w:val="00440D65"/>
    <w:rsid w:val="00441766"/>
    <w:rsid w:val="00441FEF"/>
    <w:rsid w:val="0044348F"/>
    <w:rsid w:val="004435E6"/>
    <w:rsid w:val="00443FB8"/>
    <w:rsid w:val="00444905"/>
    <w:rsid w:val="00444FB9"/>
    <w:rsid w:val="00447E31"/>
    <w:rsid w:val="00450C3B"/>
    <w:rsid w:val="00451781"/>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631"/>
    <w:rsid w:val="00464B79"/>
    <w:rsid w:val="00465801"/>
    <w:rsid w:val="004679A8"/>
    <w:rsid w:val="00467BBF"/>
    <w:rsid w:val="004732E7"/>
    <w:rsid w:val="00473A87"/>
    <w:rsid w:val="00474558"/>
    <w:rsid w:val="004749A3"/>
    <w:rsid w:val="004751C3"/>
    <w:rsid w:val="00477936"/>
    <w:rsid w:val="00481499"/>
    <w:rsid w:val="0048351A"/>
    <w:rsid w:val="004836AC"/>
    <w:rsid w:val="0048497D"/>
    <w:rsid w:val="00484FAF"/>
    <w:rsid w:val="00485461"/>
    <w:rsid w:val="004857E2"/>
    <w:rsid w:val="00485BC5"/>
    <w:rsid w:val="004867E2"/>
    <w:rsid w:val="00486D77"/>
    <w:rsid w:val="00490A57"/>
    <w:rsid w:val="004929A9"/>
    <w:rsid w:val="00492B31"/>
    <w:rsid w:val="004935A7"/>
    <w:rsid w:val="00494E0E"/>
    <w:rsid w:val="004959B0"/>
    <w:rsid w:val="004961E4"/>
    <w:rsid w:val="004970E7"/>
    <w:rsid w:val="004A06B4"/>
    <w:rsid w:val="004A0ECD"/>
    <w:rsid w:val="004A1138"/>
    <w:rsid w:val="004A1C4C"/>
    <w:rsid w:val="004A1FBA"/>
    <w:rsid w:val="004A3C40"/>
    <w:rsid w:val="004A6CE0"/>
    <w:rsid w:val="004A7011"/>
    <w:rsid w:val="004B081B"/>
    <w:rsid w:val="004B0FB4"/>
    <w:rsid w:val="004B3324"/>
    <w:rsid w:val="004B5E73"/>
    <w:rsid w:val="004C17A3"/>
    <w:rsid w:val="004C2FEC"/>
    <w:rsid w:val="004C345B"/>
    <w:rsid w:val="004C36AB"/>
    <w:rsid w:val="004C48D8"/>
    <w:rsid w:val="004C4B87"/>
    <w:rsid w:val="004C54C6"/>
    <w:rsid w:val="004C5E5E"/>
    <w:rsid w:val="004C619A"/>
    <w:rsid w:val="004C6BC8"/>
    <w:rsid w:val="004C6BCF"/>
    <w:rsid w:val="004D094E"/>
    <w:rsid w:val="004D0CF0"/>
    <w:rsid w:val="004D20EB"/>
    <w:rsid w:val="004D27EA"/>
    <w:rsid w:val="004D38A6"/>
    <w:rsid w:val="004D5096"/>
    <w:rsid w:val="004D58BF"/>
    <w:rsid w:val="004D6E9D"/>
    <w:rsid w:val="004E0484"/>
    <w:rsid w:val="004E0930"/>
    <w:rsid w:val="004E1179"/>
    <w:rsid w:val="004E135D"/>
    <w:rsid w:val="004E2560"/>
    <w:rsid w:val="004E409E"/>
    <w:rsid w:val="004E4335"/>
    <w:rsid w:val="004E5ACF"/>
    <w:rsid w:val="004E78A3"/>
    <w:rsid w:val="004F0EAF"/>
    <w:rsid w:val="004F0FA6"/>
    <w:rsid w:val="004F13EE"/>
    <w:rsid w:val="004F16B8"/>
    <w:rsid w:val="004F1C6C"/>
    <w:rsid w:val="004F2022"/>
    <w:rsid w:val="004F3A6F"/>
    <w:rsid w:val="004F3F4B"/>
    <w:rsid w:val="004F4E6D"/>
    <w:rsid w:val="004F5B9D"/>
    <w:rsid w:val="004F7C05"/>
    <w:rsid w:val="005004C8"/>
    <w:rsid w:val="0050137F"/>
    <w:rsid w:val="00501517"/>
    <w:rsid w:val="0050184A"/>
    <w:rsid w:val="00501C94"/>
    <w:rsid w:val="00501CEF"/>
    <w:rsid w:val="00502694"/>
    <w:rsid w:val="00502E9B"/>
    <w:rsid w:val="0050332C"/>
    <w:rsid w:val="00506432"/>
    <w:rsid w:val="005068F6"/>
    <w:rsid w:val="00506EDC"/>
    <w:rsid w:val="005075DD"/>
    <w:rsid w:val="00510748"/>
    <w:rsid w:val="00510E1D"/>
    <w:rsid w:val="0051242B"/>
    <w:rsid w:val="0051296F"/>
    <w:rsid w:val="005129AB"/>
    <w:rsid w:val="0051419D"/>
    <w:rsid w:val="005149C4"/>
    <w:rsid w:val="00515072"/>
    <w:rsid w:val="00515E9B"/>
    <w:rsid w:val="00516EFC"/>
    <w:rsid w:val="00517C47"/>
    <w:rsid w:val="0052051D"/>
    <w:rsid w:val="0052158A"/>
    <w:rsid w:val="0052541E"/>
    <w:rsid w:val="005260FE"/>
    <w:rsid w:val="005271CF"/>
    <w:rsid w:val="00527570"/>
    <w:rsid w:val="005276EC"/>
    <w:rsid w:val="00530D93"/>
    <w:rsid w:val="00533200"/>
    <w:rsid w:val="0053345E"/>
    <w:rsid w:val="0053357C"/>
    <w:rsid w:val="005343A6"/>
    <w:rsid w:val="00535CE1"/>
    <w:rsid w:val="00540110"/>
    <w:rsid w:val="0054084A"/>
    <w:rsid w:val="00540928"/>
    <w:rsid w:val="00540B62"/>
    <w:rsid w:val="0054168B"/>
    <w:rsid w:val="00544284"/>
    <w:rsid w:val="005447FC"/>
    <w:rsid w:val="005457CF"/>
    <w:rsid w:val="00545EE6"/>
    <w:rsid w:val="005466AA"/>
    <w:rsid w:val="00552CF1"/>
    <w:rsid w:val="0055336F"/>
    <w:rsid w:val="00553490"/>
    <w:rsid w:val="005537FD"/>
    <w:rsid w:val="00553A2B"/>
    <w:rsid w:val="005550E7"/>
    <w:rsid w:val="005560BA"/>
    <w:rsid w:val="00556205"/>
    <w:rsid w:val="005564FB"/>
    <w:rsid w:val="005566B0"/>
    <w:rsid w:val="005572C7"/>
    <w:rsid w:val="00557A0C"/>
    <w:rsid w:val="00560832"/>
    <w:rsid w:val="00560C03"/>
    <w:rsid w:val="005612F0"/>
    <w:rsid w:val="00563403"/>
    <w:rsid w:val="00563D23"/>
    <w:rsid w:val="00563D8B"/>
    <w:rsid w:val="005640DB"/>
    <w:rsid w:val="00564382"/>
    <w:rsid w:val="0056460A"/>
    <w:rsid w:val="0056506E"/>
    <w:rsid w:val="005650ED"/>
    <w:rsid w:val="005651B5"/>
    <w:rsid w:val="0056733F"/>
    <w:rsid w:val="00570E8B"/>
    <w:rsid w:val="00572B14"/>
    <w:rsid w:val="005737CE"/>
    <w:rsid w:val="00574E11"/>
    <w:rsid w:val="00574F40"/>
    <w:rsid w:val="00575754"/>
    <w:rsid w:val="00575AED"/>
    <w:rsid w:val="00576288"/>
    <w:rsid w:val="00584739"/>
    <w:rsid w:val="00584F17"/>
    <w:rsid w:val="00585C6F"/>
    <w:rsid w:val="00586308"/>
    <w:rsid w:val="00586DE2"/>
    <w:rsid w:val="0058732A"/>
    <w:rsid w:val="00591365"/>
    <w:rsid w:val="00591E20"/>
    <w:rsid w:val="005921AD"/>
    <w:rsid w:val="005926B4"/>
    <w:rsid w:val="00592716"/>
    <w:rsid w:val="00594181"/>
    <w:rsid w:val="00595408"/>
    <w:rsid w:val="00595E84"/>
    <w:rsid w:val="00596072"/>
    <w:rsid w:val="0059618E"/>
    <w:rsid w:val="00596BC8"/>
    <w:rsid w:val="00597D79"/>
    <w:rsid w:val="00597DA9"/>
    <w:rsid w:val="005A0389"/>
    <w:rsid w:val="005A0C59"/>
    <w:rsid w:val="005A0CE0"/>
    <w:rsid w:val="005A1D12"/>
    <w:rsid w:val="005A2F9A"/>
    <w:rsid w:val="005A3087"/>
    <w:rsid w:val="005A42A8"/>
    <w:rsid w:val="005A48EB"/>
    <w:rsid w:val="005A4D2A"/>
    <w:rsid w:val="005A5060"/>
    <w:rsid w:val="005A60AF"/>
    <w:rsid w:val="005A6CFB"/>
    <w:rsid w:val="005A79A7"/>
    <w:rsid w:val="005B066E"/>
    <w:rsid w:val="005B19F7"/>
    <w:rsid w:val="005B5966"/>
    <w:rsid w:val="005B73C6"/>
    <w:rsid w:val="005C0DCF"/>
    <w:rsid w:val="005C2034"/>
    <w:rsid w:val="005C4F40"/>
    <w:rsid w:val="005C539A"/>
    <w:rsid w:val="005C5AEB"/>
    <w:rsid w:val="005C68B4"/>
    <w:rsid w:val="005C7F80"/>
    <w:rsid w:val="005D0DAC"/>
    <w:rsid w:val="005D10E8"/>
    <w:rsid w:val="005D3839"/>
    <w:rsid w:val="005D3E1C"/>
    <w:rsid w:val="005D57A6"/>
    <w:rsid w:val="005D641D"/>
    <w:rsid w:val="005D789E"/>
    <w:rsid w:val="005E00AA"/>
    <w:rsid w:val="005E030D"/>
    <w:rsid w:val="005E0A3F"/>
    <w:rsid w:val="005E3F23"/>
    <w:rsid w:val="005E4DD4"/>
    <w:rsid w:val="005E51DA"/>
    <w:rsid w:val="005E6883"/>
    <w:rsid w:val="005E772F"/>
    <w:rsid w:val="005E7F10"/>
    <w:rsid w:val="005F0782"/>
    <w:rsid w:val="005F1E6F"/>
    <w:rsid w:val="005F2669"/>
    <w:rsid w:val="005F4ECA"/>
    <w:rsid w:val="005F6651"/>
    <w:rsid w:val="005F6CA1"/>
    <w:rsid w:val="005F7F1B"/>
    <w:rsid w:val="00600A3E"/>
    <w:rsid w:val="00601C11"/>
    <w:rsid w:val="00602B6E"/>
    <w:rsid w:val="006034BB"/>
    <w:rsid w:val="006041BE"/>
    <w:rsid w:val="006043C7"/>
    <w:rsid w:val="00604691"/>
    <w:rsid w:val="006061C7"/>
    <w:rsid w:val="0061034F"/>
    <w:rsid w:val="0061120B"/>
    <w:rsid w:val="0061129D"/>
    <w:rsid w:val="00615424"/>
    <w:rsid w:val="00616397"/>
    <w:rsid w:val="0061794B"/>
    <w:rsid w:val="006206A7"/>
    <w:rsid w:val="00621948"/>
    <w:rsid w:val="00621E50"/>
    <w:rsid w:val="00621E55"/>
    <w:rsid w:val="006245E9"/>
    <w:rsid w:val="00624B52"/>
    <w:rsid w:val="00624E2D"/>
    <w:rsid w:val="00625B85"/>
    <w:rsid w:val="00626665"/>
    <w:rsid w:val="00627E8F"/>
    <w:rsid w:val="00631DF4"/>
    <w:rsid w:val="0063305B"/>
    <w:rsid w:val="00634175"/>
    <w:rsid w:val="0063534B"/>
    <w:rsid w:val="00635C8B"/>
    <w:rsid w:val="00636B66"/>
    <w:rsid w:val="006408AC"/>
    <w:rsid w:val="006408CF"/>
    <w:rsid w:val="00640CA6"/>
    <w:rsid w:val="00642516"/>
    <w:rsid w:val="006438B2"/>
    <w:rsid w:val="00643D83"/>
    <w:rsid w:val="0064422C"/>
    <w:rsid w:val="00647193"/>
    <w:rsid w:val="006511B6"/>
    <w:rsid w:val="006511E5"/>
    <w:rsid w:val="006513B7"/>
    <w:rsid w:val="0065263F"/>
    <w:rsid w:val="00652742"/>
    <w:rsid w:val="00653BC3"/>
    <w:rsid w:val="006543EF"/>
    <w:rsid w:val="00655222"/>
    <w:rsid w:val="00655CC0"/>
    <w:rsid w:val="00656045"/>
    <w:rsid w:val="0065763F"/>
    <w:rsid w:val="00657FF8"/>
    <w:rsid w:val="0066098D"/>
    <w:rsid w:val="00661327"/>
    <w:rsid w:val="0066154B"/>
    <w:rsid w:val="00661B0D"/>
    <w:rsid w:val="00661F21"/>
    <w:rsid w:val="00661FA6"/>
    <w:rsid w:val="0066314E"/>
    <w:rsid w:val="006647CE"/>
    <w:rsid w:val="00664F0F"/>
    <w:rsid w:val="006656E6"/>
    <w:rsid w:val="006674EF"/>
    <w:rsid w:val="006678D2"/>
    <w:rsid w:val="006702BB"/>
    <w:rsid w:val="00670343"/>
    <w:rsid w:val="00670D99"/>
    <w:rsid w:val="00670E2B"/>
    <w:rsid w:val="00672743"/>
    <w:rsid w:val="00672986"/>
    <w:rsid w:val="006734BB"/>
    <w:rsid w:val="00673911"/>
    <w:rsid w:val="006758B3"/>
    <w:rsid w:val="006758DD"/>
    <w:rsid w:val="006762FD"/>
    <w:rsid w:val="00676300"/>
    <w:rsid w:val="006765D6"/>
    <w:rsid w:val="00676CC3"/>
    <w:rsid w:val="00676E7A"/>
    <w:rsid w:val="0067771E"/>
    <w:rsid w:val="0068079D"/>
    <w:rsid w:val="00681A34"/>
    <w:rsid w:val="006821EB"/>
    <w:rsid w:val="0068274D"/>
    <w:rsid w:val="00683D20"/>
    <w:rsid w:val="00686B10"/>
    <w:rsid w:val="00687321"/>
    <w:rsid w:val="0069043B"/>
    <w:rsid w:val="0069097D"/>
    <w:rsid w:val="00690CDF"/>
    <w:rsid w:val="0069277E"/>
    <w:rsid w:val="00692E2C"/>
    <w:rsid w:val="00694229"/>
    <w:rsid w:val="00695082"/>
    <w:rsid w:val="006A1855"/>
    <w:rsid w:val="006A1EBC"/>
    <w:rsid w:val="006A231D"/>
    <w:rsid w:val="006A3431"/>
    <w:rsid w:val="006A5034"/>
    <w:rsid w:val="006A5500"/>
    <w:rsid w:val="006A5895"/>
    <w:rsid w:val="006A7C6D"/>
    <w:rsid w:val="006B0B0A"/>
    <w:rsid w:val="006B1B61"/>
    <w:rsid w:val="006B2286"/>
    <w:rsid w:val="006B2B4D"/>
    <w:rsid w:val="006B32B5"/>
    <w:rsid w:val="006B56AF"/>
    <w:rsid w:val="006B56BB"/>
    <w:rsid w:val="006B5E71"/>
    <w:rsid w:val="006B7309"/>
    <w:rsid w:val="006C0698"/>
    <w:rsid w:val="006C2031"/>
    <w:rsid w:val="006C25F0"/>
    <w:rsid w:val="006C3391"/>
    <w:rsid w:val="006C44FB"/>
    <w:rsid w:val="006C4983"/>
    <w:rsid w:val="006C6DEA"/>
    <w:rsid w:val="006C7071"/>
    <w:rsid w:val="006C77A8"/>
    <w:rsid w:val="006C7F49"/>
    <w:rsid w:val="006D07C5"/>
    <w:rsid w:val="006D0C20"/>
    <w:rsid w:val="006D1EC5"/>
    <w:rsid w:val="006D4098"/>
    <w:rsid w:val="006D4A00"/>
    <w:rsid w:val="006D4ABE"/>
    <w:rsid w:val="006D509C"/>
    <w:rsid w:val="006D5831"/>
    <w:rsid w:val="006D5F8B"/>
    <w:rsid w:val="006D6B08"/>
    <w:rsid w:val="006D7681"/>
    <w:rsid w:val="006D7B2E"/>
    <w:rsid w:val="006E02EA"/>
    <w:rsid w:val="006E06D4"/>
    <w:rsid w:val="006E0968"/>
    <w:rsid w:val="006E1641"/>
    <w:rsid w:val="006E2825"/>
    <w:rsid w:val="006E2AF6"/>
    <w:rsid w:val="006E34E6"/>
    <w:rsid w:val="006E4A5D"/>
    <w:rsid w:val="006E4F7C"/>
    <w:rsid w:val="006E6291"/>
    <w:rsid w:val="006E7E1F"/>
    <w:rsid w:val="006E7E81"/>
    <w:rsid w:val="006F19C1"/>
    <w:rsid w:val="006F1E3C"/>
    <w:rsid w:val="006F33C8"/>
    <w:rsid w:val="006F72A3"/>
    <w:rsid w:val="0070018A"/>
    <w:rsid w:val="007003E5"/>
    <w:rsid w:val="00700545"/>
    <w:rsid w:val="00701275"/>
    <w:rsid w:val="00701828"/>
    <w:rsid w:val="00702F0A"/>
    <w:rsid w:val="00702F3B"/>
    <w:rsid w:val="007030F7"/>
    <w:rsid w:val="007036D5"/>
    <w:rsid w:val="0070383D"/>
    <w:rsid w:val="00707173"/>
    <w:rsid w:val="00707F56"/>
    <w:rsid w:val="007110AB"/>
    <w:rsid w:val="00713558"/>
    <w:rsid w:val="00714BC1"/>
    <w:rsid w:val="007158B0"/>
    <w:rsid w:val="007162D4"/>
    <w:rsid w:val="007166E9"/>
    <w:rsid w:val="00717AA0"/>
    <w:rsid w:val="00720309"/>
    <w:rsid w:val="0072089D"/>
    <w:rsid w:val="00720D08"/>
    <w:rsid w:val="00721CF9"/>
    <w:rsid w:val="00721F54"/>
    <w:rsid w:val="00722D4B"/>
    <w:rsid w:val="007239D2"/>
    <w:rsid w:val="0072445F"/>
    <w:rsid w:val="007263B9"/>
    <w:rsid w:val="007303F7"/>
    <w:rsid w:val="00730908"/>
    <w:rsid w:val="00730C7F"/>
    <w:rsid w:val="007313CC"/>
    <w:rsid w:val="007334F8"/>
    <w:rsid w:val="007336D0"/>
    <w:rsid w:val="007339CD"/>
    <w:rsid w:val="00734484"/>
    <w:rsid w:val="00734699"/>
    <w:rsid w:val="00734B69"/>
    <w:rsid w:val="007359D8"/>
    <w:rsid w:val="007362D4"/>
    <w:rsid w:val="0073698F"/>
    <w:rsid w:val="00736D55"/>
    <w:rsid w:val="0074063A"/>
    <w:rsid w:val="00741A72"/>
    <w:rsid w:val="00741C7E"/>
    <w:rsid w:val="00741CAC"/>
    <w:rsid w:val="0074201E"/>
    <w:rsid w:val="00742911"/>
    <w:rsid w:val="00743425"/>
    <w:rsid w:val="00744A64"/>
    <w:rsid w:val="00745EB4"/>
    <w:rsid w:val="00746107"/>
    <w:rsid w:val="0074649A"/>
    <w:rsid w:val="00746954"/>
    <w:rsid w:val="00750A84"/>
    <w:rsid w:val="00751A23"/>
    <w:rsid w:val="007530FB"/>
    <w:rsid w:val="00754BDD"/>
    <w:rsid w:val="00757013"/>
    <w:rsid w:val="00757939"/>
    <w:rsid w:val="007579F7"/>
    <w:rsid w:val="007606CF"/>
    <w:rsid w:val="00760EF2"/>
    <w:rsid w:val="00761B4C"/>
    <w:rsid w:val="00762374"/>
    <w:rsid w:val="007628D1"/>
    <w:rsid w:val="00763650"/>
    <w:rsid w:val="00763ADD"/>
    <w:rsid w:val="00763D1E"/>
    <w:rsid w:val="0076554E"/>
    <w:rsid w:val="0076672A"/>
    <w:rsid w:val="00766CA5"/>
    <w:rsid w:val="00766E1A"/>
    <w:rsid w:val="00770750"/>
    <w:rsid w:val="00770A75"/>
    <w:rsid w:val="00771A83"/>
    <w:rsid w:val="00772A7F"/>
    <w:rsid w:val="007741C4"/>
    <w:rsid w:val="0077485F"/>
    <w:rsid w:val="00775E45"/>
    <w:rsid w:val="00776E74"/>
    <w:rsid w:val="00781738"/>
    <w:rsid w:val="00782547"/>
    <w:rsid w:val="0078255E"/>
    <w:rsid w:val="00784F63"/>
    <w:rsid w:val="00785169"/>
    <w:rsid w:val="00785673"/>
    <w:rsid w:val="00785F78"/>
    <w:rsid w:val="007872E4"/>
    <w:rsid w:val="0079192F"/>
    <w:rsid w:val="00791A5B"/>
    <w:rsid w:val="00792946"/>
    <w:rsid w:val="00794C2A"/>
    <w:rsid w:val="00794D7F"/>
    <w:rsid w:val="007954AB"/>
    <w:rsid w:val="0079559E"/>
    <w:rsid w:val="00795F45"/>
    <w:rsid w:val="00796557"/>
    <w:rsid w:val="007A0E9D"/>
    <w:rsid w:val="007A1109"/>
    <w:rsid w:val="007A1360"/>
    <w:rsid w:val="007A14C5"/>
    <w:rsid w:val="007A196A"/>
    <w:rsid w:val="007A3E38"/>
    <w:rsid w:val="007A3F4D"/>
    <w:rsid w:val="007A4A10"/>
    <w:rsid w:val="007A4A1E"/>
    <w:rsid w:val="007A5A9B"/>
    <w:rsid w:val="007A5FC2"/>
    <w:rsid w:val="007B057C"/>
    <w:rsid w:val="007B05E3"/>
    <w:rsid w:val="007B1760"/>
    <w:rsid w:val="007B1A45"/>
    <w:rsid w:val="007B2289"/>
    <w:rsid w:val="007B3D03"/>
    <w:rsid w:val="007B48CE"/>
    <w:rsid w:val="007B595C"/>
    <w:rsid w:val="007B6240"/>
    <w:rsid w:val="007C0253"/>
    <w:rsid w:val="007C45A5"/>
    <w:rsid w:val="007C4E13"/>
    <w:rsid w:val="007C53EE"/>
    <w:rsid w:val="007C6CC8"/>
    <w:rsid w:val="007C6D9C"/>
    <w:rsid w:val="007C7DDB"/>
    <w:rsid w:val="007D0FE4"/>
    <w:rsid w:val="007D2ABC"/>
    <w:rsid w:val="007D2CC7"/>
    <w:rsid w:val="007D2FAC"/>
    <w:rsid w:val="007D368B"/>
    <w:rsid w:val="007D4457"/>
    <w:rsid w:val="007D4870"/>
    <w:rsid w:val="007D64E1"/>
    <w:rsid w:val="007D673D"/>
    <w:rsid w:val="007D7029"/>
    <w:rsid w:val="007D72CF"/>
    <w:rsid w:val="007E0077"/>
    <w:rsid w:val="007E0F45"/>
    <w:rsid w:val="007E1ADE"/>
    <w:rsid w:val="007E2A42"/>
    <w:rsid w:val="007E35C0"/>
    <w:rsid w:val="007E4027"/>
    <w:rsid w:val="007E56A5"/>
    <w:rsid w:val="007E7DC7"/>
    <w:rsid w:val="007F0630"/>
    <w:rsid w:val="007F097E"/>
    <w:rsid w:val="007F189D"/>
    <w:rsid w:val="007F2220"/>
    <w:rsid w:val="007F4B3E"/>
    <w:rsid w:val="007F4CE1"/>
    <w:rsid w:val="007F55F7"/>
    <w:rsid w:val="007F588A"/>
    <w:rsid w:val="007F5B78"/>
    <w:rsid w:val="007F6967"/>
    <w:rsid w:val="008035DB"/>
    <w:rsid w:val="008039BA"/>
    <w:rsid w:val="0080692B"/>
    <w:rsid w:val="00806D90"/>
    <w:rsid w:val="00806EDF"/>
    <w:rsid w:val="00806FD1"/>
    <w:rsid w:val="008100F2"/>
    <w:rsid w:val="00810243"/>
    <w:rsid w:val="008127AF"/>
    <w:rsid w:val="00812B46"/>
    <w:rsid w:val="00812C00"/>
    <w:rsid w:val="00812DDB"/>
    <w:rsid w:val="008137B0"/>
    <w:rsid w:val="008148ED"/>
    <w:rsid w:val="00814CC0"/>
    <w:rsid w:val="00814DE8"/>
    <w:rsid w:val="00814FF3"/>
    <w:rsid w:val="00815700"/>
    <w:rsid w:val="0081587B"/>
    <w:rsid w:val="0081594D"/>
    <w:rsid w:val="00817B70"/>
    <w:rsid w:val="00820662"/>
    <w:rsid w:val="00821BDD"/>
    <w:rsid w:val="00823BFC"/>
    <w:rsid w:val="00824668"/>
    <w:rsid w:val="00824737"/>
    <w:rsid w:val="00824FF2"/>
    <w:rsid w:val="00825E3C"/>
    <w:rsid w:val="008264EB"/>
    <w:rsid w:val="00826B8F"/>
    <w:rsid w:val="00827EBF"/>
    <w:rsid w:val="00831E8A"/>
    <w:rsid w:val="00831E8E"/>
    <w:rsid w:val="008349EF"/>
    <w:rsid w:val="00835C76"/>
    <w:rsid w:val="008375B6"/>
    <w:rsid w:val="00837A56"/>
    <w:rsid w:val="00837A8A"/>
    <w:rsid w:val="008406A2"/>
    <w:rsid w:val="00840977"/>
    <w:rsid w:val="00841AE2"/>
    <w:rsid w:val="00842F03"/>
    <w:rsid w:val="00843049"/>
    <w:rsid w:val="00843BA0"/>
    <w:rsid w:val="00844F96"/>
    <w:rsid w:val="00845297"/>
    <w:rsid w:val="00845D77"/>
    <w:rsid w:val="00847939"/>
    <w:rsid w:val="0085031C"/>
    <w:rsid w:val="00850CF4"/>
    <w:rsid w:val="00851641"/>
    <w:rsid w:val="00852041"/>
    <w:rsid w:val="0085209B"/>
    <w:rsid w:val="00852308"/>
    <w:rsid w:val="0085395F"/>
    <w:rsid w:val="00856003"/>
    <w:rsid w:val="00856B66"/>
    <w:rsid w:val="00856E2B"/>
    <w:rsid w:val="00857C88"/>
    <w:rsid w:val="00860031"/>
    <w:rsid w:val="00861058"/>
    <w:rsid w:val="00861A5F"/>
    <w:rsid w:val="00862464"/>
    <w:rsid w:val="008629DE"/>
    <w:rsid w:val="00862E17"/>
    <w:rsid w:val="00862F4B"/>
    <w:rsid w:val="008644AD"/>
    <w:rsid w:val="00865735"/>
    <w:rsid w:val="00865DDB"/>
    <w:rsid w:val="0086711B"/>
    <w:rsid w:val="00867538"/>
    <w:rsid w:val="008738FA"/>
    <w:rsid w:val="00873AE0"/>
    <w:rsid w:val="00873D90"/>
    <w:rsid w:val="00873FC8"/>
    <w:rsid w:val="008740D7"/>
    <w:rsid w:val="00875215"/>
    <w:rsid w:val="008759BA"/>
    <w:rsid w:val="00875E04"/>
    <w:rsid w:val="00876927"/>
    <w:rsid w:val="008772C9"/>
    <w:rsid w:val="00877763"/>
    <w:rsid w:val="008802B4"/>
    <w:rsid w:val="0088068A"/>
    <w:rsid w:val="0088469C"/>
    <w:rsid w:val="00884C63"/>
    <w:rsid w:val="00885908"/>
    <w:rsid w:val="00885ABB"/>
    <w:rsid w:val="00885B97"/>
    <w:rsid w:val="00885ED9"/>
    <w:rsid w:val="008864B7"/>
    <w:rsid w:val="008876AD"/>
    <w:rsid w:val="00887F60"/>
    <w:rsid w:val="0089134D"/>
    <w:rsid w:val="0089194D"/>
    <w:rsid w:val="00891AB9"/>
    <w:rsid w:val="00893D80"/>
    <w:rsid w:val="00894A41"/>
    <w:rsid w:val="00894BB2"/>
    <w:rsid w:val="0089677E"/>
    <w:rsid w:val="00896AE0"/>
    <w:rsid w:val="00896E8C"/>
    <w:rsid w:val="008A0589"/>
    <w:rsid w:val="008A332B"/>
    <w:rsid w:val="008A591E"/>
    <w:rsid w:val="008A690D"/>
    <w:rsid w:val="008A7438"/>
    <w:rsid w:val="008A7AAE"/>
    <w:rsid w:val="008B0BE1"/>
    <w:rsid w:val="008B1334"/>
    <w:rsid w:val="008B340C"/>
    <w:rsid w:val="008B39FD"/>
    <w:rsid w:val="008B42D8"/>
    <w:rsid w:val="008B4A2E"/>
    <w:rsid w:val="008B6BDE"/>
    <w:rsid w:val="008B73BE"/>
    <w:rsid w:val="008C0278"/>
    <w:rsid w:val="008C0DDB"/>
    <w:rsid w:val="008C2221"/>
    <w:rsid w:val="008C24E9"/>
    <w:rsid w:val="008C26BB"/>
    <w:rsid w:val="008C3583"/>
    <w:rsid w:val="008C57A3"/>
    <w:rsid w:val="008C6DBD"/>
    <w:rsid w:val="008D0533"/>
    <w:rsid w:val="008D2078"/>
    <w:rsid w:val="008D21D5"/>
    <w:rsid w:val="008D28CF"/>
    <w:rsid w:val="008D3AD7"/>
    <w:rsid w:val="008D42CB"/>
    <w:rsid w:val="008D48C9"/>
    <w:rsid w:val="008D57D5"/>
    <w:rsid w:val="008D5B79"/>
    <w:rsid w:val="008D5F8B"/>
    <w:rsid w:val="008D6381"/>
    <w:rsid w:val="008D7559"/>
    <w:rsid w:val="008E09BE"/>
    <w:rsid w:val="008E0C77"/>
    <w:rsid w:val="008E2905"/>
    <w:rsid w:val="008E2B15"/>
    <w:rsid w:val="008E2BC2"/>
    <w:rsid w:val="008E4538"/>
    <w:rsid w:val="008E625F"/>
    <w:rsid w:val="008E6785"/>
    <w:rsid w:val="008E6BD3"/>
    <w:rsid w:val="008E6E8B"/>
    <w:rsid w:val="008F264D"/>
    <w:rsid w:val="008F3714"/>
    <w:rsid w:val="008F3837"/>
    <w:rsid w:val="008F471C"/>
    <w:rsid w:val="008F4C15"/>
    <w:rsid w:val="008F571E"/>
    <w:rsid w:val="008F616E"/>
    <w:rsid w:val="008F7786"/>
    <w:rsid w:val="00900599"/>
    <w:rsid w:val="00900BB7"/>
    <w:rsid w:val="00900D07"/>
    <w:rsid w:val="009025DE"/>
    <w:rsid w:val="00902CB2"/>
    <w:rsid w:val="00902D62"/>
    <w:rsid w:val="00903B11"/>
    <w:rsid w:val="00903B49"/>
    <w:rsid w:val="00903D11"/>
    <w:rsid w:val="0090514B"/>
    <w:rsid w:val="009068CE"/>
    <w:rsid w:val="009074E1"/>
    <w:rsid w:val="0091053E"/>
    <w:rsid w:val="00910D6C"/>
    <w:rsid w:val="00910E92"/>
    <w:rsid w:val="00910F44"/>
    <w:rsid w:val="009112F7"/>
    <w:rsid w:val="00911836"/>
    <w:rsid w:val="009122AF"/>
    <w:rsid w:val="009127BC"/>
    <w:rsid w:val="00912D54"/>
    <w:rsid w:val="00912DA0"/>
    <w:rsid w:val="0091389F"/>
    <w:rsid w:val="00916533"/>
    <w:rsid w:val="00920007"/>
    <w:rsid w:val="009200A2"/>
    <w:rsid w:val="00920855"/>
    <w:rsid w:val="009208F7"/>
    <w:rsid w:val="00922517"/>
    <w:rsid w:val="00922722"/>
    <w:rsid w:val="00922A8A"/>
    <w:rsid w:val="00922E10"/>
    <w:rsid w:val="009261E6"/>
    <w:rsid w:val="009268E1"/>
    <w:rsid w:val="00926EB9"/>
    <w:rsid w:val="00927238"/>
    <w:rsid w:val="00930D32"/>
    <w:rsid w:val="00931ED3"/>
    <w:rsid w:val="0093324E"/>
    <w:rsid w:val="00934368"/>
    <w:rsid w:val="00934B0E"/>
    <w:rsid w:val="00935629"/>
    <w:rsid w:val="00935B96"/>
    <w:rsid w:val="0094161C"/>
    <w:rsid w:val="00941880"/>
    <w:rsid w:val="00941D6B"/>
    <w:rsid w:val="0094267D"/>
    <w:rsid w:val="00942F3E"/>
    <w:rsid w:val="00944686"/>
    <w:rsid w:val="0094522A"/>
    <w:rsid w:val="00945E7F"/>
    <w:rsid w:val="00946578"/>
    <w:rsid w:val="00950B1A"/>
    <w:rsid w:val="0095181F"/>
    <w:rsid w:val="00953169"/>
    <w:rsid w:val="00954A30"/>
    <w:rsid w:val="009555D2"/>
    <w:rsid w:val="009557C1"/>
    <w:rsid w:val="00955A96"/>
    <w:rsid w:val="009601AF"/>
    <w:rsid w:val="00960D6E"/>
    <w:rsid w:val="00961298"/>
    <w:rsid w:val="00961BDA"/>
    <w:rsid w:val="0096335B"/>
    <w:rsid w:val="00966CA6"/>
    <w:rsid w:val="009672CE"/>
    <w:rsid w:val="00967B5E"/>
    <w:rsid w:val="00971E45"/>
    <w:rsid w:val="009726B1"/>
    <w:rsid w:val="00972BC1"/>
    <w:rsid w:val="00974B59"/>
    <w:rsid w:val="00975C2F"/>
    <w:rsid w:val="00976C25"/>
    <w:rsid w:val="009808D1"/>
    <w:rsid w:val="0098125B"/>
    <w:rsid w:val="0098176E"/>
    <w:rsid w:val="009820E4"/>
    <w:rsid w:val="0098340B"/>
    <w:rsid w:val="00983825"/>
    <w:rsid w:val="00983C2E"/>
    <w:rsid w:val="00983CFA"/>
    <w:rsid w:val="00984613"/>
    <w:rsid w:val="00985163"/>
    <w:rsid w:val="0098546A"/>
    <w:rsid w:val="0098572B"/>
    <w:rsid w:val="00986830"/>
    <w:rsid w:val="00987398"/>
    <w:rsid w:val="009924C3"/>
    <w:rsid w:val="00993102"/>
    <w:rsid w:val="00993D27"/>
    <w:rsid w:val="00995136"/>
    <w:rsid w:val="00996CA2"/>
    <w:rsid w:val="009A0E46"/>
    <w:rsid w:val="009A13BA"/>
    <w:rsid w:val="009A157A"/>
    <w:rsid w:val="009A169B"/>
    <w:rsid w:val="009A2074"/>
    <w:rsid w:val="009A3854"/>
    <w:rsid w:val="009A3E32"/>
    <w:rsid w:val="009A57AA"/>
    <w:rsid w:val="009A5E89"/>
    <w:rsid w:val="009A7CAB"/>
    <w:rsid w:val="009B0115"/>
    <w:rsid w:val="009B080B"/>
    <w:rsid w:val="009B1F82"/>
    <w:rsid w:val="009B23F4"/>
    <w:rsid w:val="009B5078"/>
    <w:rsid w:val="009B50C1"/>
    <w:rsid w:val="009B5E6F"/>
    <w:rsid w:val="009B66D8"/>
    <w:rsid w:val="009C0311"/>
    <w:rsid w:val="009C043B"/>
    <w:rsid w:val="009C19D7"/>
    <w:rsid w:val="009C19E1"/>
    <w:rsid w:val="009C2DAF"/>
    <w:rsid w:val="009C31A6"/>
    <w:rsid w:val="009C462F"/>
    <w:rsid w:val="009C4A39"/>
    <w:rsid w:val="009C4E2F"/>
    <w:rsid w:val="009C574F"/>
    <w:rsid w:val="009C65CC"/>
    <w:rsid w:val="009C6F10"/>
    <w:rsid w:val="009C7224"/>
    <w:rsid w:val="009D148F"/>
    <w:rsid w:val="009D242F"/>
    <w:rsid w:val="009D3D70"/>
    <w:rsid w:val="009D42BF"/>
    <w:rsid w:val="009D5119"/>
    <w:rsid w:val="009D5BC5"/>
    <w:rsid w:val="009D5E2B"/>
    <w:rsid w:val="009D6B19"/>
    <w:rsid w:val="009D7575"/>
    <w:rsid w:val="009E2956"/>
    <w:rsid w:val="009E3E83"/>
    <w:rsid w:val="009E4555"/>
    <w:rsid w:val="009E6F7E"/>
    <w:rsid w:val="009E714D"/>
    <w:rsid w:val="009E7A57"/>
    <w:rsid w:val="009F035F"/>
    <w:rsid w:val="009F04C7"/>
    <w:rsid w:val="009F1AA7"/>
    <w:rsid w:val="009F1EC3"/>
    <w:rsid w:val="009F2EF9"/>
    <w:rsid w:val="009F4231"/>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10248"/>
    <w:rsid w:val="00A108DC"/>
    <w:rsid w:val="00A10B8B"/>
    <w:rsid w:val="00A10D3B"/>
    <w:rsid w:val="00A1440F"/>
    <w:rsid w:val="00A15ADC"/>
    <w:rsid w:val="00A15AFE"/>
    <w:rsid w:val="00A15BDA"/>
    <w:rsid w:val="00A16E36"/>
    <w:rsid w:val="00A208E5"/>
    <w:rsid w:val="00A21B25"/>
    <w:rsid w:val="00A229BE"/>
    <w:rsid w:val="00A24109"/>
    <w:rsid w:val="00A24198"/>
    <w:rsid w:val="00A24961"/>
    <w:rsid w:val="00A24B10"/>
    <w:rsid w:val="00A27A7C"/>
    <w:rsid w:val="00A30E9B"/>
    <w:rsid w:val="00A317EE"/>
    <w:rsid w:val="00A331F4"/>
    <w:rsid w:val="00A333EE"/>
    <w:rsid w:val="00A3405B"/>
    <w:rsid w:val="00A342F9"/>
    <w:rsid w:val="00A34AAD"/>
    <w:rsid w:val="00A3630F"/>
    <w:rsid w:val="00A36AB6"/>
    <w:rsid w:val="00A37829"/>
    <w:rsid w:val="00A42A2F"/>
    <w:rsid w:val="00A42C2E"/>
    <w:rsid w:val="00A43AE1"/>
    <w:rsid w:val="00A43F7E"/>
    <w:rsid w:val="00A44E66"/>
    <w:rsid w:val="00A44FF6"/>
    <w:rsid w:val="00A4512D"/>
    <w:rsid w:val="00A46370"/>
    <w:rsid w:val="00A4686D"/>
    <w:rsid w:val="00A46F36"/>
    <w:rsid w:val="00A47776"/>
    <w:rsid w:val="00A478B3"/>
    <w:rsid w:val="00A47C69"/>
    <w:rsid w:val="00A50244"/>
    <w:rsid w:val="00A52432"/>
    <w:rsid w:val="00A52BA4"/>
    <w:rsid w:val="00A53F00"/>
    <w:rsid w:val="00A551EC"/>
    <w:rsid w:val="00A5673F"/>
    <w:rsid w:val="00A56F17"/>
    <w:rsid w:val="00A57543"/>
    <w:rsid w:val="00A5779B"/>
    <w:rsid w:val="00A57B31"/>
    <w:rsid w:val="00A6204D"/>
    <w:rsid w:val="00A627D7"/>
    <w:rsid w:val="00A63AC4"/>
    <w:rsid w:val="00A656C7"/>
    <w:rsid w:val="00A67428"/>
    <w:rsid w:val="00A6749F"/>
    <w:rsid w:val="00A705AF"/>
    <w:rsid w:val="00A707B0"/>
    <w:rsid w:val="00A7101F"/>
    <w:rsid w:val="00A71A20"/>
    <w:rsid w:val="00A71E1E"/>
    <w:rsid w:val="00A72454"/>
    <w:rsid w:val="00A72EF3"/>
    <w:rsid w:val="00A73677"/>
    <w:rsid w:val="00A73FF7"/>
    <w:rsid w:val="00A74345"/>
    <w:rsid w:val="00A76259"/>
    <w:rsid w:val="00A77696"/>
    <w:rsid w:val="00A80557"/>
    <w:rsid w:val="00A810F3"/>
    <w:rsid w:val="00A817F6"/>
    <w:rsid w:val="00A81D33"/>
    <w:rsid w:val="00A82171"/>
    <w:rsid w:val="00A8256D"/>
    <w:rsid w:val="00A82AF2"/>
    <w:rsid w:val="00A83561"/>
    <w:rsid w:val="00A837AC"/>
    <w:rsid w:val="00A84779"/>
    <w:rsid w:val="00A8677F"/>
    <w:rsid w:val="00A87A80"/>
    <w:rsid w:val="00A900D8"/>
    <w:rsid w:val="00A903CC"/>
    <w:rsid w:val="00A9089B"/>
    <w:rsid w:val="00A91A98"/>
    <w:rsid w:val="00A91E03"/>
    <w:rsid w:val="00A921C2"/>
    <w:rsid w:val="00A93008"/>
    <w:rsid w:val="00A930AE"/>
    <w:rsid w:val="00A937C5"/>
    <w:rsid w:val="00A9464C"/>
    <w:rsid w:val="00A9621C"/>
    <w:rsid w:val="00AA1A95"/>
    <w:rsid w:val="00AA260F"/>
    <w:rsid w:val="00AA2E2C"/>
    <w:rsid w:val="00AA4A63"/>
    <w:rsid w:val="00AA6842"/>
    <w:rsid w:val="00AA7874"/>
    <w:rsid w:val="00AB19BC"/>
    <w:rsid w:val="00AB1EE7"/>
    <w:rsid w:val="00AB3CD8"/>
    <w:rsid w:val="00AB45EC"/>
    <w:rsid w:val="00AB4B37"/>
    <w:rsid w:val="00AB5762"/>
    <w:rsid w:val="00AB5B65"/>
    <w:rsid w:val="00AB5B82"/>
    <w:rsid w:val="00AB5DE5"/>
    <w:rsid w:val="00AB6D4D"/>
    <w:rsid w:val="00AB7301"/>
    <w:rsid w:val="00AC040D"/>
    <w:rsid w:val="00AC05DB"/>
    <w:rsid w:val="00AC2679"/>
    <w:rsid w:val="00AC2987"/>
    <w:rsid w:val="00AC2A9E"/>
    <w:rsid w:val="00AC2E04"/>
    <w:rsid w:val="00AC353F"/>
    <w:rsid w:val="00AC38D2"/>
    <w:rsid w:val="00AC3A4D"/>
    <w:rsid w:val="00AC3FC0"/>
    <w:rsid w:val="00AC4BE4"/>
    <w:rsid w:val="00AC6976"/>
    <w:rsid w:val="00AC6BF9"/>
    <w:rsid w:val="00AC7127"/>
    <w:rsid w:val="00AC7C4A"/>
    <w:rsid w:val="00AD05E6"/>
    <w:rsid w:val="00AD0D3F"/>
    <w:rsid w:val="00AD1C5A"/>
    <w:rsid w:val="00AD23B7"/>
    <w:rsid w:val="00AD375F"/>
    <w:rsid w:val="00AD4DF0"/>
    <w:rsid w:val="00AD6738"/>
    <w:rsid w:val="00AD6A48"/>
    <w:rsid w:val="00AD6EB6"/>
    <w:rsid w:val="00AE1D7D"/>
    <w:rsid w:val="00AE2342"/>
    <w:rsid w:val="00AE2A8B"/>
    <w:rsid w:val="00AE3F64"/>
    <w:rsid w:val="00AE558B"/>
    <w:rsid w:val="00AE78B0"/>
    <w:rsid w:val="00AF1131"/>
    <w:rsid w:val="00AF251C"/>
    <w:rsid w:val="00AF5E52"/>
    <w:rsid w:val="00AF6E6E"/>
    <w:rsid w:val="00AF6EBC"/>
    <w:rsid w:val="00AF7003"/>
    <w:rsid w:val="00AF7028"/>
    <w:rsid w:val="00AF7386"/>
    <w:rsid w:val="00AF76B1"/>
    <w:rsid w:val="00AF7934"/>
    <w:rsid w:val="00AF7B47"/>
    <w:rsid w:val="00B00474"/>
    <w:rsid w:val="00B00B81"/>
    <w:rsid w:val="00B01087"/>
    <w:rsid w:val="00B015D1"/>
    <w:rsid w:val="00B02B86"/>
    <w:rsid w:val="00B04580"/>
    <w:rsid w:val="00B04B09"/>
    <w:rsid w:val="00B05346"/>
    <w:rsid w:val="00B05FEC"/>
    <w:rsid w:val="00B06741"/>
    <w:rsid w:val="00B076A2"/>
    <w:rsid w:val="00B113BE"/>
    <w:rsid w:val="00B12866"/>
    <w:rsid w:val="00B13640"/>
    <w:rsid w:val="00B15135"/>
    <w:rsid w:val="00B16A51"/>
    <w:rsid w:val="00B217ED"/>
    <w:rsid w:val="00B22D7B"/>
    <w:rsid w:val="00B24794"/>
    <w:rsid w:val="00B25440"/>
    <w:rsid w:val="00B259DD"/>
    <w:rsid w:val="00B27ECF"/>
    <w:rsid w:val="00B30C0A"/>
    <w:rsid w:val="00B30ED6"/>
    <w:rsid w:val="00B32222"/>
    <w:rsid w:val="00B33CAA"/>
    <w:rsid w:val="00B33D57"/>
    <w:rsid w:val="00B342CE"/>
    <w:rsid w:val="00B34D10"/>
    <w:rsid w:val="00B34E29"/>
    <w:rsid w:val="00B35878"/>
    <w:rsid w:val="00B3618D"/>
    <w:rsid w:val="00B36233"/>
    <w:rsid w:val="00B370FF"/>
    <w:rsid w:val="00B407EE"/>
    <w:rsid w:val="00B413A8"/>
    <w:rsid w:val="00B42851"/>
    <w:rsid w:val="00B4312A"/>
    <w:rsid w:val="00B45410"/>
    <w:rsid w:val="00B45AC7"/>
    <w:rsid w:val="00B45CFA"/>
    <w:rsid w:val="00B45DBE"/>
    <w:rsid w:val="00B46614"/>
    <w:rsid w:val="00B4715E"/>
    <w:rsid w:val="00B47AB2"/>
    <w:rsid w:val="00B5159A"/>
    <w:rsid w:val="00B526B3"/>
    <w:rsid w:val="00B5287C"/>
    <w:rsid w:val="00B5301A"/>
    <w:rsid w:val="00B5306A"/>
    <w:rsid w:val="00B5372F"/>
    <w:rsid w:val="00B558A7"/>
    <w:rsid w:val="00B55CBD"/>
    <w:rsid w:val="00B5649E"/>
    <w:rsid w:val="00B56935"/>
    <w:rsid w:val="00B56A8D"/>
    <w:rsid w:val="00B57934"/>
    <w:rsid w:val="00B61129"/>
    <w:rsid w:val="00B614D3"/>
    <w:rsid w:val="00B64C91"/>
    <w:rsid w:val="00B6625F"/>
    <w:rsid w:val="00B67247"/>
    <w:rsid w:val="00B67E7F"/>
    <w:rsid w:val="00B7046A"/>
    <w:rsid w:val="00B73537"/>
    <w:rsid w:val="00B7379A"/>
    <w:rsid w:val="00B74AB6"/>
    <w:rsid w:val="00B75A04"/>
    <w:rsid w:val="00B802FA"/>
    <w:rsid w:val="00B805A0"/>
    <w:rsid w:val="00B8321F"/>
    <w:rsid w:val="00B839B2"/>
    <w:rsid w:val="00B84257"/>
    <w:rsid w:val="00B86338"/>
    <w:rsid w:val="00B86635"/>
    <w:rsid w:val="00B87359"/>
    <w:rsid w:val="00B90155"/>
    <w:rsid w:val="00B908AD"/>
    <w:rsid w:val="00B90A27"/>
    <w:rsid w:val="00B91378"/>
    <w:rsid w:val="00B9209D"/>
    <w:rsid w:val="00B92B1F"/>
    <w:rsid w:val="00B93201"/>
    <w:rsid w:val="00B93AC0"/>
    <w:rsid w:val="00B93D1E"/>
    <w:rsid w:val="00B94252"/>
    <w:rsid w:val="00B9715A"/>
    <w:rsid w:val="00BA0330"/>
    <w:rsid w:val="00BA0D73"/>
    <w:rsid w:val="00BA14BE"/>
    <w:rsid w:val="00BA22A8"/>
    <w:rsid w:val="00BA2732"/>
    <w:rsid w:val="00BA293D"/>
    <w:rsid w:val="00BA49BC"/>
    <w:rsid w:val="00BA56B7"/>
    <w:rsid w:val="00BA59BC"/>
    <w:rsid w:val="00BA5EE5"/>
    <w:rsid w:val="00BA6E92"/>
    <w:rsid w:val="00BA7555"/>
    <w:rsid w:val="00BA7A1E"/>
    <w:rsid w:val="00BA7CA9"/>
    <w:rsid w:val="00BB07D4"/>
    <w:rsid w:val="00BB0DCC"/>
    <w:rsid w:val="00BB15A9"/>
    <w:rsid w:val="00BB2F6C"/>
    <w:rsid w:val="00BB3875"/>
    <w:rsid w:val="00BB4FEF"/>
    <w:rsid w:val="00BB5860"/>
    <w:rsid w:val="00BB6AAD"/>
    <w:rsid w:val="00BB7E0D"/>
    <w:rsid w:val="00BC18A5"/>
    <w:rsid w:val="00BC4A19"/>
    <w:rsid w:val="00BC4BED"/>
    <w:rsid w:val="00BC4E6D"/>
    <w:rsid w:val="00BC4FBD"/>
    <w:rsid w:val="00BC4FF3"/>
    <w:rsid w:val="00BC55F7"/>
    <w:rsid w:val="00BD0617"/>
    <w:rsid w:val="00BD207F"/>
    <w:rsid w:val="00BD2E9B"/>
    <w:rsid w:val="00BD3951"/>
    <w:rsid w:val="00BD40AC"/>
    <w:rsid w:val="00BD4253"/>
    <w:rsid w:val="00BD64C0"/>
    <w:rsid w:val="00BD6821"/>
    <w:rsid w:val="00BD6AF7"/>
    <w:rsid w:val="00BD6EA1"/>
    <w:rsid w:val="00BE03E3"/>
    <w:rsid w:val="00BE25D2"/>
    <w:rsid w:val="00BE2CB1"/>
    <w:rsid w:val="00BE39B9"/>
    <w:rsid w:val="00BE3D66"/>
    <w:rsid w:val="00BE4CB8"/>
    <w:rsid w:val="00BE7C8F"/>
    <w:rsid w:val="00BE7D58"/>
    <w:rsid w:val="00BF1E57"/>
    <w:rsid w:val="00BF249A"/>
    <w:rsid w:val="00BF3832"/>
    <w:rsid w:val="00BF479A"/>
    <w:rsid w:val="00BF4E91"/>
    <w:rsid w:val="00BF5E58"/>
    <w:rsid w:val="00BF7AD7"/>
    <w:rsid w:val="00C00930"/>
    <w:rsid w:val="00C00DED"/>
    <w:rsid w:val="00C02164"/>
    <w:rsid w:val="00C02918"/>
    <w:rsid w:val="00C04B40"/>
    <w:rsid w:val="00C05909"/>
    <w:rsid w:val="00C060AD"/>
    <w:rsid w:val="00C0670D"/>
    <w:rsid w:val="00C06846"/>
    <w:rsid w:val="00C10216"/>
    <w:rsid w:val="00C10491"/>
    <w:rsid w:val="00C1109A"/>
    <w:rsid w:val="00C113BF"/>
    <w:rsid w:val="00C1469B"/>
    <w:rsid w:val="00C159B0"/>
    <w:rsid w:val="00C17720"/>
    <w:rsid w:val="00C2176E"/>
    <w:rsid w:val="00C222BD"/>
    <w:rsid w:val="00C2335B"/>
    <w:rsid w:val="00C23430"/>
    <w:rsid w:val="00C23C55"/>
    <w:rsid w:val="00C25BDD"/>
    <w:rsid w:val="00C27CAF"/>
    <w:rsid w:val="00C27D67"/>
    <w:rsid w:val="00C27E9B"/>
    <w:rsid w:val="00C30FCB"/>
    <w:rsid w:val="00C341EB"/>
    <w:rsid w:val="00C363A8"/>
    <w:rsid w:val="00C40150"/>
    <w:rsid w:val="00C40748"/>
    <w:rsid w:val="00C41738"/>
    <w:rsid w:val="00C43724"/>
    <w:rsid w:val="00C44889"/>
    <w:rsid w:val="00C45745"/>
    <w:rsid w:val="00C4631F"/>
    <w:rsid w:val="00C4750E"/>
    <w:rsid w:val="00C47D38"/>
    <w:rsid w:val="00C5081C"/>
    <w:rsid w:val="00C50E16"/>
    <w:rsid w:val="00C51DAA"/>
    <w:rsid w:val="00C521AA"/>
    <w:rsid w:val="00C52D69"/>
    <w:rsid w:val="00C52E5B"/>
    <w:rsid w:val="00C55258"/>
    <w:rsid w:val="00C55ECF"/>
    <w:rsid w:val="00C56F66"/>
    <w:rsid w:val="00C571A7"/>
    <w:rsid w:val="00C57556"/>
    <w:rsid w:val="00C579FE"/>
    <w:rsid w:val="00C602A5"/>
    <w:rsid w:val="00C605EC"/>
    <w:rsid w:val="00C62E61"/>
    <w:rsid w:val="00C663F3"/>
    <w:rsid w:val="00C669D3"/>
    <w:rsid w:val="00C706C4"/>
    <w:rsid w:val="00C72B32"/>
    <w:rsid w:val="00C73D3D"/>
    <w:rsid w:val="00C76C81"/>
    <w:rsid w:val="00C77031"/>
    <w:rsid w:val="00C77152"/>
    <w:rsid w:val="00C82739"/>
    <w:rsid w:val="00C82E48"/>
    <w:rsid w:val="00C82EEB"/>
    <w:rsid w:val="00C83750"/>
    <w:rsid w:val="00C84732"/>
    <w:rsid w:val="00C84A00"/>
    <w:rsid w:val="00C8531C"/>
    <w:rsid w:val="00C90BFD"/>
    <w:rsid w:val="00C93567"/>
    <w:rsid w:val="00C93669"/>
    <w:rsid w:val="00C95293"/>
    <w:rsid w:val="00C95501"/>
    <w:rsid w:val="00C962A5"/>
    <w:rsid w:val="00C96E32"/>
    <w:rsid w:val="00C971DC"/>
    <w:rsid w:val="00CA16B7"/>
    <w:rsid w:val="00CA3182"/>
    <w:rsid w:val="00CA44E8"/>
    <w:rsid w:val="00CA4A66"/>
    <w:rsid w:val="00CA4BE3"/>
    <w:rsid w:val="00CA5D8A"/>
    <w:rsid w:val="00CA62AE"/>
    <w:rsid w:val="00CA6E41"/>
    <w:rsid w:val="00CA6FB1"/>
    <w:rsid w:val="00CA7983"/>
    <w:rsid w:val="00CB1089"/>
    <w:rsid w:val="00CB1F66"/>
    <w:rsid w:val="00CB238C"/>
    <w:rsid w:val="00CB2528"/>
    <w:rsid w:val="00CB289B"/>
    <w:rsid w:val="00CB2ED9"/>
    <w:rsid w:val="00CB458B"/>
    <w:rsid w:val="00CB5B1A"/>
    <w:rsid w:val="00CB65D7"/>
    <w:rsid w:val="00CC0105"/>
    <w:rsid w:val="00CC1B02"/>
    <w:rsid w:val="00CC1E76"/>
    <w:rsid w:val="00CC220B"/>
    <w:rsid w:val="00CC40D7"/>
    <w:rsid w:val="00CC5C43"/>
    <w:rsid w:val="00CD02AE"/>
    <w:rsid w:val="00CD0B92"/>
    <w:rsid w:val="00CD10F9"/>
    <w:rsid w:val="00CD2A4F"/>
    <w:rsid w:val="00CD37FB"/>
    <w:rsid w:val="00CD453E"/>
    <w:rsid w:val="00CD5271"/>
    <w:rsid w:val="00CD59B5"/>
    <w:rsid w:val="00CD5EAE"/>
    <w:rsid w:val="00CD6DC5"/>
    <w:rsid w:val="00CE03CA"/>
    <w:rsid w:val="00CE0598"/>
    <w:rsid w:val="00CE1C89"/>
    <w:rsid w:val="00CE1D4B"/>
    <w:rsid w:val="00CE2128"/>
    <w:rsid w:val="00CE22F1"/>
    <w:rsid w:val="00CE2D54"/>
    <w:rsid w:val="00CE4787"/>
    <w:rsid w:val="00CE50F2"/>
    <w:rsid w:val="00CE517B"/>
    <w:rsid w:val="00CE5AB7"/>
    <w:rsid w:val="00CE6502"/>
    <w:rsid w:val="00CE71EF"/>
    <w:rsid w:val="00CE76A9"/>
    <w:rsid w:val="00CE79A7"/>
    <w:rsid w:val="00CF0EF9"/>
    <w:rsid w:val="00CF20CE"/>
    <w:rsid w:val="00CF2F9E"/>
    <w:rsid w:val="00CF54C7"/>
    <w:rsid w:val="00CF7804"/>
    <w:rsid w:val="00CF7D3C"/>
    <w:rsid w:val="00D01973"/>
    <w:rsid w:val="00D026DA"/>
    <w:rsid w:val="00D03933"/>
    <w:rsid w:val="00D049C8"/>
    <w:rsid w:val="00D04E2C"/>
    <w:rsid w:val="00D054A9"/>
    <w:rsid w:val="00D05703"/>
    <w:rsid w:val="00D060C9"/>
    <w:rsid w:val="00D100B2"/>
    <w:rsid w:val="00D11529"/>
    <w:rsid w:val="00D1337C"/>
    <w:rsid w:val="00D13FD1"/>
    <w:rsid w:val="00D147EB"/>
    <w:rsid w:val="00D1507B"/>
    <w:rsid w:val="00D153A0"/>
    <w:rsid w:val="00D16E2A"/>
    <w:rsid w:val="00D20FCD"/>
    <w:rsid w:val="00D23693"/>
    <w:rsid w:val="00D23C4B"/>
    <w:rsid w:val="00D244F3"/>
    <w:rsid w:val="00D25B56"/>
    <w:rsid w:val="00D267FA"/>
    <w:rsid w:val="00D3288D"/>
    <w:rsid w:val="00D329A9"/>
    <w:rsid w:val="00D34667"/>
    <w:rsid w:val="00D3522F"/>
    <w:rsid w:val="00D360B2"/>
    <w:rsid w:val="00D364F5"/>
    <w:rsid w:val="00D377CC"/>
    <w:rsid w:val="00D401E1"/>
    <w:rsid w:val="00D403FC"/>
    <w:rsid w:val="00D408B4"/>
    <w:rsid w:val="00D42246"/>
    <w:rsid w:val="00D423B1"/>
    <w:rsid w:val="00D434D3"/>
    <w:rsid w:val="00D43C7B"/>
    <w:rsid w:val="00D44E5F"/>
    <w:rsid w:val="00D44EC2"/>
    <w:rsid w:val="00D44F74"/>
    <w:rsid w:val="00D453E8"/>
    <w:rsid w:val="00D45D94"/>
    <w:rsid w:val="00D467FF"/>
    <w:rsid w:val="00D50041"/>
    <w:rsid w:val="00D50D96"/>
    <w:rsid w:val="00D5105E"/>
    <w:rsid w:val="00D524C8"/>
    <w:rsid w:val="00D52565"/>
    <w:rsid w:val="00D534A8"/>
    <w:rsid w:val="00D56041"/>
    <w:rsid w:val="00D60B0D"/>
    <w:rsid w:val="00D60E25"/>
    <w:rsid w:val="00D62F6C"/>
    <w:rsid w:val="00D6369A"/>
    <w:rsid w:val="00D6475F"/>
    <w:rsid w:val="00D64AFE"/>
    <w:rsid w:val="00D657F2"/>
    <w:rsid w:val="00D70E24"/>
    <w:rsid w:val="00D715CA"/>
    <w:rsid w:val="00D7278C"/>
    <w:rsid w:val="00D72B61"/>
    <w:rsid w:val="00D73072"/>
    <w:rsid w:val="00D73293"/>
    <w:rsid w:val="00D74AE1"/>
    <w:rsid w:val="00D76626"/>
    <w:rsid w:val="00D76767"/>
    <w:rsid w:val="00D769D6"/>
    <w:rsid w:val="00D7753A"/>
    <w:rsid w:val="00D817F8"/>
    <w:rsid w:val="00D823DF"/>
    <w:rsid w:val="00D83429"/>
    <w:rsid w:val="00D8442F"/>
    <w:rsid w:val="00D84DCF"/>
    <w:rsid w:val="00D859B8"/>
    <w:rsid w:val="00D870C2"/>
    <w:rsid w:val="00D870CC"/>
    <w:rsid w:val="00D928EF"/>
    <w:rsid w:val="00D92F48"/>
    <w:rsid w:val="00D9358A"/>
    <w:rsid w:val="00D94B87"/>
    <w:rsid w:val="00D951DA"/>
    <w:rsid w:val="00D96CA3"/>
    <w:rsid w:val="00D97C74"/>
    <w:rsid w:val="00D97F11"/>
    <w:rsid w:val="00DA3D1D"/>
    <w:rsid w:val="00DA3F85"/>
    <w:rsid w:val="00DA4662"/>
    <w:rsid w:val="00DA4B6C"/>
    <w:rsid w:val="00DA4BDC"/>
    <w:rsid w:val="00DA78C4"/>
    <w:rsid w:val="00DB0138"/>
    <w:rsid w:val="00DB150B"/>
    <w:rsid w:val="00DB1DEC"/>
    <w:rsid w:val="00DB24EB"/>
    <w:rsid w:val="00DB2C4D"/>
    <w:rsid w:val="00DB2DFD"/>
    <w:rsid w:val="00DB3442"/>
    <w:rsid w:val="00DB4593"/>
    <w:rsid w:val="00DB5C93"/>
    <w:rsid w:val="00DB6286"/>
    <w:rsid w:val="00DB645F"/>
    <w:rsid w:val="00DB76E9"/>
    <w:rsid w:val="00DC0A67"/>
    <w:rsid w:val="00DC1D5E"/>
    <w:rsid w:val="00DC2313"/>
    <w:rsid w:val="00DC2508"/>
    <w:rsid w:val="00DC2BB1"/>
    <w:rsid w:val="00DC3614"/>
    <w:rsid w:val="00DC5220"/>
    <w:rsid w:val="00DC7910"/>
    <w:rsid w:val="00DC7EA2"/>
    <w:rsid w:val="00DC7F42"/>
    <w:rsid w:val="00DD00F0"/>
    <w:rsid w:val="00DD04B3"/>
    <w:rsid w:val="00DD14C5"/>
    <w:rsid w:val="00DD2061"/>
    <w:rsid w:val="00DD6E21"/>
    <w:rsid w:val="00DD7DAB"/>
    <w:rsid w:val="00DD7E2A"/>
    <w:rsid w:val="00DE06BC"/>
    <w:rsid w:val="00DE199A"/>
    <w:rsid w:val="00DE1D55"/>
    <w:rsid w:val="00DE2875"/>
    <w:rsid w:val="00DE2EB6"/>
    <w:rsid w:val="00DE3251"/>
    <w:rsid w:val="00DE3355"/>
    <w:rsid w:val="00DE6064"/>
    <w:rsid w:val="00DE6847"/>
    <w:rsid w:val="00DE7661"/>
    <w:rsid w:val="00DF0344"/>
    <w:rsid w:val="00DF0409"/>
    <w:rsid w:val="00DF11D1"/>
    <w:rsid w:val="00DF140C"/>
    <w:rsid w:val="00DF1AEC"/>
    <w:rsid w:val="00DF20F9"/>
    <w:rsid w:val="00DF212C"/>
    <w:rsid w:val="00DF3914"/>
    <w:rsid w:val="00DF39F2"/>
    <w:rsid w:val="00DF486F"/>
    <w:rsid w:val="00DF4BA5"/>
    <w:rsid w:val="00DF5B5B"/>
    <w:rsid w:val="00DF7619"/>
    <w:rsid w:val="00DF7AE7"/>
    <w:rsid w:val="00DF7C5F"/>
    <w:rsid w:val="00E00760"/>
    <w:rsid w:val="00E01F22"/>
    <w:rsid w:val="00E02BEF"/>
    <w:rsid w:val="00E042D8"/>
    <w:rsid w:val="00E04CF7"/>
    <w:rsid w:val="00E07EE7"/>
    <w:rsid w:val="00E1103B"/>
    <w:rsid w:val="00E115B6"/>
    <w:rsid w:val="00E11629"/>
    <w:rsid w:val="00E13391"/>
    <w:rsid w:val="00E17009"/>
    <w:rsid w:val="00E17B44"/>
    <w:rsid w:val="00E20D35"/>
    <w:rsid w:val="00E21663"/>
    <w:rsid w:val="00E251D5"/>
    <w:rsid w:val="00E2657C"/>
    <w:rsid w:val="00E26B06"/>
    <w:rsid w:val="00E270AA"/>
    <w:rsid w:val="00E2772D"/>
    <w:rsid w:val="00E27FEA"/>
    <w:rsid w:val="00E303D9"/>
    <w:rsid w:val="00E310FE"/>
    <w:rsid w:val="00E31F3A"/>
    <w:rsid w:val="00E31FDE"/>
    <w:rsid w:val="00E327AB"/>
    <w:rsid w:val="00E32FD3"/>
    <w:rsid w:val="00E36677"/>
    <w:rsid w:val="00E4086F"/>
    <w:rsid w:val="00E40B69"/>
    <w:rsid w:val="00E40FE7"/>
    <w:rsid w:val="00E41B88"/>
    <w:rsid w:val="00E42968"/>
    <w:rsid w:val="00E435A8"/>
    <w:rsid w:val="00E43B3C"/>
    <w:rsid w:val="00E44660"/>
    <w:rsid w:val="00E449A2"/>
    <w:rsid w:val="00E45604"/>
    <w:rsid w:val="00E46497"/>
    <w:rsid w:val="00E468FF"/>
    <w:rsid w:val="00E47D21"/>
    <w:rsid w:val="00E50188"/>
    <w:rsid w:val="00E5096B"/>
    <w:rsid w:val="00E515CB"/>
    <w:rsid w:val="00E52260"/>
    <w:rsid w:val="00E54B13"/>
    <w:rsid w:val="00E57176"/>
    <w:rsid w:val="00E571B2"/>
    <w:rsid w:val="00E6173F"/>
    <w:rsid w:val="00E6206A"/>
    <w:rsid w:val="00E639B6"/>
    <w:rsid w:val="00E6434B"/>
    <w:rsid w:val="00E6463D"/>
    <w:rsid w:val="00E65356"/>
    <w:rsid w:val="00E66AE7"/>
    <w:rsid w:val="00E67814"/>
    <w:rsid w:val="00E71E8D"/>
    <w:rsid w:val="00E72E9B"/>
    <w:rsid w:val="00E73C32"/>
    <w:rsid w:val="00E761DE"/>
    <w:rsid w:val="00E76EDD"/>
    <w:rsid w:val="00E809C7"/>
    <w:rsid w:val="00E8250E"/>
    <w:rsid w:val="00E835E0"/>
    <w:rsid w:val="00E83A40"/>
    <w:rsid w:val="00E849DA"/>
    <w:rsid w:val="00E84E08"/>
    <w:rsid w:val="00E863A2"/>
    <w:rsid w:val="00E86507"/>
    <w:rsid w:val="00E86A68"/>
    <w:rsid w:val="00E86B23"/>
    <w:rsid w:val="00E86DAE"/>
    <w:rsid w:val="00E8703B"/>
    <w:rsid w:val="00E871D4"/>
    <w:rsid w:val="00E879EC"/>
    <w:rsid w:val="00E90127"/>
    <w:rsid w:val="00E906D1"/>
    <w:rsid w:val="00E91E03"/>
    <w:rsid w:val="00E91EF1"/>
    <w:rsid w:val="00E930ED"/>
    <w:rsid w:val="00E9346C"/>
    <w:rsid w:val="00E93CD2"/>
    <w:rsid w:val="00E9462E"/>
    <w:rsid w:val="00E94909"/>
    <w:rsid w:val="00E94ED9"/>
    <w:rsid w:val="00E9507B"/>
    <w:rsid w:val="00E96AB1"/>
    <w:rsid w:val="00EA205F"/>
    <w:rsid w:val="00EA30B2"/>
    <w:rsid w:val="00EA3A96"/>
    <w:rsid w:val="00EA470E"/>
    <w:rsid w:val="00EA47A7"/>
    <w:rsid w:val="00EA57EB"/>
    <w:rsid w:val="00EB18AC"/>
    <w:rsid w:val="00EB3226"/>
    <w:rsid w:val="00EB3491"/>
    <w:rsid w:val="00EB3BB9"/>
    <w:rsid w:val="00EB407A"/>
    <w:rsid w:val="00EB4AA2"/>
    <w:rsid w:val="00EB5800"/>
    <w:rsid w:val="00EC213A"/>
    <w:rsid w:val="00EC550B"/>
    <w:rsid w:val="00EC5EE4"/>
    <w:rsid w:val="00EC6603"/>
    <w:rsid w:val="00EC7744"/>
    <w:rsid w:val="00ED0401"/>
    <w:rsid w:val="00ED0DAD"/>
    <w:rsid w:val="00ED0F46"/>
    <w:rsid w:val="00ED0F83"/>
    <w:rsid w:val="00ED134E"/>
    <w:rsid w:val="00ED20B5"/>
    <w:rsid w:val="00ED2373"/>
    <w:rsid w:val="00ED332A"/>
    <w:rsid w:val="00ED3A9D"/>
    <w:rsid w:val="00ED59A3"/>
    <w:rsid w:val="00ED60F7"/>
    <w:rsid w:val="00ED7962"/>
    <w:rsid w:val="00EE1087"/>
    <w:rsid w:val="00EE2530"/>
    <w:rsid w:val="00EE3205"/>
    <w:rsid w:val="00EE34DB"/>
    <w:rsid w:val="00EE3E8A"/>
    <w:rsid w:val="00EE408F"/>
    <w:rsid w:val="00EE4841"/>
    <w:rsid w:val="00EE738D"/>
    <w:rsid w:val="00EE79E9"/>
    <w:rsid w:val="00EF05F1"/>
    <w:rsid w:val="00EF1970"/>
    <w:rsid w:val="00EF2D13"/>
    <w:rsid w:val="00EF4040"/>
    <w:rsid w:val="00EF62C7"/>
    <w:rsid w:val="00EF6ECA"/>
    <w:rsid w:val="00EF7DD8"/>
    <w:rsid w:val="00F0010E"/>
    <w:rsid w:val="00F0188F"/>
    <w:rsid w:val="00F024E1"/>
    <w:rsid w:val="00F0315E"/>
    <w:rsid w:val="00F049F6"/>
    <w:rsid w:val="00F04C42"/>
    <w:rsid w:val="00F0595D"/>
    <w:rsid w:val="00F05962"/>
    <w:rsid w:val="00F06C10"/>
    <w:rsid w:val="00F07A37"/>
    <w:rsid w:val="00F10754"/>
    <w:rsid w:val="00F1096F"/>
    <w:rsid w:val="00F11D9A"/>
    <w:rsid w:val="00F12589"/>
    <w:rsid w:val="00F12595"/>
    <w:rsid w:val="00F12F2A"/>
    <w:rsid w:val="00F1308F"/>
    <w:rsid w:val="00F134D9"/>
    <w:rsid w:val="00F137E4"/>
    <w:rsid w:val="00F13903"/>
    <w:rsid w:val="00F13D06"/>
    <w:rsid w:val="00F1403D"/>
    <w:rsid w:val="00F1463F"/>
    <w:rsid w:val="00F21302"/>
    <w:rsid w:val="00F23E8A"/>
    <w:rsid w:val="00F25CE5"/>
    <w:rsid w:val="00F3017E"/>
    <w:rsid w:val="00F302D1"/>
    <w:rsid w:val="00F321BC"/>
    <w:rsid w:val="00F321DE"/>
    <w:rsid w:val="00F33084"/>
    <w:rsid w:val="00F33777"/>
    <w:rsid w:val="00F34AD9"/>
    <w:rsid w:val="00F34D5E"/>
    <w:rsid w:val="00F40534"/>
    <w:rsid w:val="00F40648"/>
    <w:rsid w:val="00F4423F"/>
    <w:rsid w:val="00F44813"/>
    <w:rsid w:val="00F45419"/>
    <w:rsid w:val="00F46384"/>
    <w:rsid w:val="00F46E7A"/>
    <w:rsid w:val="00F47DA2"/>
    <w:rsid w:val="00F50171"/>
    <w:rsid w:val="00F513E3"/>
    <w:rsid w:val="00F519FC"/>
    <w:rsid w:val="00F53CA0"/>
    <w:rsid w:val="00F546D3"/>
    <w:rsid w:val="00F54F1A"/>
    <w:rsid w:val="00F565CF"/>
    <w:rsid w:val="00F56E2A"/>
    <w:rsid w:val="00F57B4C"/>
    <w:rsid w:val="00F57CC0"/>
    <w:rsid w:val="00F60313"/>
    <w:rsid w:val="00F60333"/>
    <w:rsid w:val="00F6239D"/>
    <w:rsid w:val="00F64F33"/>
    <w:rsid w:val="00F6501D"/>
    <w:rsid w:val="00F6529A"/>
    <w:rsid w:val="00F65431"/>
    <w:rsid w:val="00F66425"/>
    <w:rsid w:val="00F670A3"/>
    <w:rsid w:val="00F7065C"/>
    <w:rsid w:val="00F715D2"/>
    <w:rsid w:val="00F7174E"/>
    <w:rsid w:val="00F7274F"/>
    <w:rsid w:val="00F73050"/>
    <w:rsid w:val="00F752E1"/>
    <w:rsid w:val="00F763E2"/>
    <w:rsid w:val="00F76EAE"/>
    <w:rsid w:val="00F76FA8"/>
    <w:rsid w:val="00F824AB"/>
    <w:rsid w:val="00F84441"/>
    <w:rsid w:val="00F86FAC"/>
    <w:rsid w:val="00F904F0"/>
    <w:rsid w:val="00F90835"/>
    <w:rsid w:val="00F92E37"/>
    <w:rsid w:val="00F93F08"/>
    <w:rsid w:val="00F94C91"/>
    <w:rsid w:val="00F94CED"/>
    <w:rsid w:val="00F94F5F"/>
    <w:rsid w:val="00F9517F"/>
    <w:rsid w:val="00F962E7"/>
    <w:rsid w:val="00F96966"/>
    <w:rsid w:val="00FA1216"/>
    <w:rsid w:val="00FA2CEE"/>
    <w:rsid w:val="00FA318C"/>
    <w:rsid w:val="00FA34A8"/>
    <w:rsid w:val="00FA355E"/>
    <w:rsid w:val="00FA4831"/>
    <w:rsid w:val="00FA4C5D"/>
    <w:rsid w:val="00FA638A"/>
    <w:rsid w:val="00FB09CC"/>
    <w:rsid w:val="00FB0B49"/>
    <w:rsid w:val="00FB13FB"/>
    <w:rsid w:val="00FB2E34"/>
    <w:rsid w:val="00FB39A0"/>
    <w:rsid w:val="00FB3B5D"/>
    <w:rsid w:val="00FB3E4C"/>
    <w:rsid w:val="00FB67C1"/>
    <w:rsid w:val="00FB6F92"/>
    <w:rsid w:val="00FB7324"/>
    <w:rsid w:val="00FC026E"/>
    <w:rsid w:val="00FC2755"/>
    <w:rsid w:val="00FC3DF6"/>
    <w:rsid w:val="00FC4C9F"/>
    <w:rsid w:val="00FC5124"/>
    <w:rsid w:val="00FC5CCB"/>
    <w:rsid w:val="00FC6963"/>
    <w:rsid w:val="00FC75A8"/>
    <w:rsid w:val="00FD0A6A"/>
    <w:rsid w:val="00FD11E5"/>
    <w:rsid w:val="00FD1627"/>
    <w:rsid w:val="00FD1B63"/>
    <w:rsid w:val="00FD4731"/>
    <w:rsid w:val="00FD56C1"/>
    <w:rsid w:val="00FD5D9E"/>
    <w:rsid w:val="00FD780D"/>
    <w:rsid w:val="00FE014A"/>
    <w:rsid w:val="00FE2795"/>
    <w:rsid w:val="00FE2997"/>
    <w:rsid w:val="00FE2A91"/>
    <w:rsid w:val="00FE3218"/>
    <w:rsid w:val="00FE3A49"/>
    <w:rsid w:val="00FE3A80"/>
    <w:rsid w:val="00FE3AED"/>
    <w:rsid w:val="00FE608B"/>
    <w:rsid w:val="00FE6EC7"/>
    <w:rsid w:val="00FE7320"/>
    <w:rsid w:val="00FE78C7"/>
    <w:rsid w:val="00FF0AB0"/>
    <w:rsid w:val="00FF28AC"/>
    <w:rsid w:val="00FF3875"/>
    <w:rsid w:val="00FF3B0A"/>
    <w:rsid w:val="00FF44C1"/>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15:docId w15:val="{E1D4D8F6-38A8-4D65-9391-CCFD0886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281F5F"/>
    <w:pPr>
      <w:keepNext/>
      <w:spacing w:before="24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CE1C89"/>
    <w:pPr>
      <w:spacing w:before="120" w:after="120" w:line="240" w:lineRule="auto"/>
    </w:pPr>
    <w:rPr>
      <w:rFonts w:cs="Times New Roman"/>
      <w:b/>
      <w:bCs/>
      <w:szCs w:val="20"/>
    </w:rPr>
  </w:style>
  <w:style w:type="paragraph" w:customStyle="1" w:styleId="Boxtype">
    <w:name w:val="Box type"/>
    <w:next w:val="Normal"/>
    <w:qFormat/>
    <w:rsid w:val="007628D1"/>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semiHidden/>
    <w:unhideWhenUsed/>
    <w:rsid w:val="00353610"/>
    <w:rPr>
      <w:sz w:val="16"/>
      <w:szCs w:val="16"/>
    </w:rPr>
  </w:style>
  <w:style w:type="paragraph" w:styleId="CommentText">
    <w:name w:val="annotation text"/>
    <w:basedOn w:val="Normal"/>
    <w:link w:val="CommentTextChar"/>
    <w:unhideWhenUsed/>
    <w:rsid w:val="00353610"/>
    <w:pPr>
      <w:spacing w:line="240" w:lineRule="auto"/>
    </w:pPr>
    <w:rPr>
      <w:sz w:val="20"/>
      <w:szCs w:val="20"/>
    </w:rPr>
  </w:style>
  <w:style w:type="character" w:customStyle="1" w:styleId="CommentTextChar">
    <w:name w:val="Comment Text Char"/>
    <w:basedOn w:val="DefaultParagraphFont"/>
    <w:link w:val="CommentText"/>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www.health.gov.au/topics/immunisation/when-to-get-vaccinated/national-immunisation-program-schedule"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munisationhandbook.health.gov.au/contents/vaccine-preventable-diseases/diphtheria" TargetMode="External"/><Relationship Id="rId22" Type="http://schemas.openxmlformats.org/officeDocument/2006/relationships/image" Target="media/image9.png"/><Relationship Id="rId27" Type="http://schemas.openxmlformats.org/officeDocument/2006/relationships/hyperlink" Target="https://immunisationhandbook.health.gov.au/contents/vaccine-preventable-diseases/diphtheria" TargetMode="External"/><Relationship Id="rId30" Type="http://schemas.openxmlformats.org/officeDocument/2006/relationships/image" Target="media/image15.png"/><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D458-E1BE-4492-8B75-8214EAB0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3129</Words>
  <Characters>16401</Characters>
  <Application>Microsoft Office Word</Application>
  <DocSecurity>0</DocSecurity>
  <Lines>656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20 April 2026</dc:title>
  <dc:subject>Communicable diseases</dc:subject>
  <dc:creator>Australian Centre for Disease Control</dc:creator>
  <cp:keywords>Diphtheria</cp:keywords>
  <dcterms:created xsi:type="dcterms:W3CDTF">2026-04-24T01:44:00Z</dcterms:created>
  <dcterms:modified xsi:type="dcterms:W3CDTF">2026-04-24T01:49:00Z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35ade231,773896bb,2ff6dfcc,5ca9d9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73d9a9e0,47575adf,3635558f,4470ff94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2026-04-24T00:41:57Z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057f9cd0-c4f0-46bf-80c2-b7fb5129f228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