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B0ED2" w14:textId="1BAE354F" w:rsidR="00B72290" w:rsidRPr="00645F27" w:rsidRDefault="00452B45" w:rsidP="00645F27">
      <w:pPr>
        <w:pStyle w:val="Title"/>
      </w:pPr>
      <w:r w:rsidRPr="00645F27">
        <w:t xml:space="preserve">Monitoring, </w:t>
      </w:r>
      <w:r w:rsidR="001835C8" w:rsidRPr="00645F27">
        <w:t xml:space="preserve">evaluation </w:t>
      </w:r>
      <w:r w:rsidRPr="00645F27">
        <w:t xml:space="preserve">and </w:t>
      </w:r>
      <w:r w:rsidR="001835C8" w:rsidRPr="00645F27">
        <w:t xml:space="preserve">learning </w:t>
      </w:r>
      <w:r w:rsidR="00444E00" w:rsidRPr="00645F27">
        <w:t>framework</w:t>
      </w:r>
      <w:r w:rsidR="001835C8" w:rsidRPr="00645F27">
        <w:t xml:space="preserve"> </w:t>
      </w:r>
      <w:r w:rsidRPr="00645F27">
        <w:t>for the National Immunisation Strategy for Australia 2025–2030</w:t>
      </w:r>
    </w:p>
    <w:p w14:paraId="510FB739" w14:textId="33E6FFFF" w:rsidR="00B72290" w:rsidRPr="00645F27" w:rsidRDefault="0017029B" w:rsidP="00645F27">
      <w:pPr>
        <w:pStyle w:val="Subtitle"/>
        <w:spacing w:before="720"/>
        <w:rPr>
          <w:b/>
          <w:bCs/>
        </w:rPr>
      </w:pPr>
      <w:r w:rsidRPr="00645F27">
        <w:rPr>
          <w:b/>
          <w:bCs/>
        </w:rPr>
        <w:t>April 2026</w:t>
      </w:r>
    </w:p>
    <w:p w14:paraId="1C418D63" w14:textId="77777777" w:rsidR="00CB0F69" w:rsidRPr="00CB0F69" w:rsidRDefault="00CB0F69" w:rsidP="00CB0F69"/>
    <w:p w14:paraId="51CBF8E8" w14:textId="77777777" w:rsidR="009F4231" w:rsidRPr="009F4231" w:rsidRDefault="009F4231" w:rsidP="009F4231">
      <w:pPr>
        <w:sectPr w:rsidR="009F4231" w:rsidRPr="009F4231" w:rsidSect="00D45D94">
          <w:headerReference w:type="even" r:id="rId11"/>
          <w:headerReference w:type="default" r:id="rId12"/>
          <w:footerReference w:type="even" r:id="rId13"/>
          <w:footerReference w:type="default" r:id="rId14"/>
          <w:headerReference w:type="first" r:id="rId15"/>
          <w:type w:val="continuous"/>
          <w:pgSz w:w="11906" w:h="16838"/>
          <w:pgMar w:top="1701" w:right="1418" w:bottom="1418" w:left="1418" w:header="850" w:footer="709" w:gutter="0"/>
          <w:cols w:space="708"/>
          <w:titlePg/>
          <w:docGrid w:linePitch="360"/>
        </w:sectPr>
      </w:pPr>
    </w:p>
    <w:p w14:paraId="70B648B8" w14:textId="77777777" w:rsidR="007E02AC" w:rsidRDefault="007E02AC" w:rsidP="001F38BC">
      <w:pPr>
        <w:pStyle w:val="Heading1"/>
      </w:pPr>
      <w:bookmarkStart w:id="0" w:name="_Toc220578932"/>
      <w:bookmarkStart w:id="1" w:name="_Toc227319854"/>
      <w:r>
        <w:lastRenderedPageBreak/>
        <w:t>Acknowledgment of Country</w:t>
      </w:r>
      <w:bookmarkEnd w:id="0"/>
      <w:bookmarkEnd w:id="1"/>
    </w:p>
    <w:p w14:paraId="1C10B521" w14:textId="79C05CDA" w:rsidR="007E02AC" w:rsidRDefault="007E02AC" w:rsidP="007E02AC">
      <w:r w:rsidRPr="002A3AB9">
        <w:t>The Australian Centre for Disease Control acknowledges and honours Aboriginal and Torres Strait Islander peoples – the Traditional Owners and Custodians of the lands and waters on which we live and work. We pay our respect</w:t>
      </w:r>
      <w:r w:rsidR="00485A21">
        <w:t>s</w:t>
      </w:r>
      <w:r w:rsidRPr="002A3AB9">
        <w:t xml:space="preserve"> to Elders past and present and extend that respect to all Aboriginal and Torres Strait Islander peoples across this country. We recognise their ongoing connection to Country, culture and community, and we commit to working in genuine partnership towards improving health outcomes for all</w:t>
      </w:r>
      <w:r>
        <w:t>.</w:t>
      </w:r>
    </w:p>
    <w:p w14:paraId="63FDFC5A" w14:textId="1A151EDE" w:rsidR="001A74F7" w:rsidRDefault="001A74F7" w:rsidP="001F38BC">
      <w:pPr>
        <w:pStyle w:val="Heading1"/>
      </w:pPr>
      <w:bookmarkStart w:id="2" w:name="_Toc220578933"/>
      <w:bookmarkStart w:id="3" w:name="_Toc227319855"/>
      <w:r>
        <w:t xml:space="preserve">Development of the </w:t>
      </w:r>
      <w:bookmarkEnd w:id="2"/>
      <w:r w:rsidR="00444E00">
        <w:t>framework</w:t>
      </w:r>
      <w:bookmarkEnd w:id="3"/>
    </w:p>
    <w:p w14:paraId="71A4441A" w14:textId="3B31B62D" w:rsidR="006F02F1" w:rsidRDefault="006F02F1" w:rsidP="006F02F1">
      <w:r>
        <w:t xml:space="preserve">This </w:t>
      </w:r>
      <w:r w:rsidR="00444E00">
        <w:t>framework</w:t>
      </w:r>
      <w:r w:rsidR="00485A21">
        <w:t xml:space="preserve"> </w:t>
      </w:r>
      <w:r>
        <w:t xml:space="preserve">was developed by the Australian CDC with expert advice and oversight from the National Immunisation Strategy Implementation Plan Strategic Reference Group, support from the National Centre for Immunisation Research and Surveillance and input from </w:t>
      </w:r>
      <w:r w:rsidR="00952B44">
        <w:t>s</w:t>
      </w:r>
      <w:r>
        <w:t xml:space="preserve">tates and </w:t>
      </w:r>
      <w:r w:rsidR="00952B44">
        <w:t>t</w:t>
      </w:r>
      <w:r>
        <w:t xml:space="preserve">erritories through the Jurisdictional Immunisation Coordinators Advisory Group. </w:t>
      </w:r>
      <w:r w:rsidR="00115D54" w:rsidRPr="00115D54">
        <w:t xml:space="preserve">The </w:t>
      </w:r>
      <w:r w:rsidR="00444E00">
        <w:t>framework</w:t>
      </w:r>
      <w:r w:rsidR="00172C81" w:rsidRPr="00115D54">
        <w:t xml:space="preserve"> </w:t>
      </w:r>
      <w:r w:rsidR="00115D54" w:rsidRPr="00115D54">
        <w:t>is endorsed by the Australian Health Protection Committee</w:t>
      </w:r>
      <w:r w:rsidR="00115D54">
        <w:t>.</w:t>
      </w:r>
    </w:p>
    <w:p w14:paraId="66713540" w14:textId="79E3D0B2" w:rsidR="003203C0" w:rsidRDefault="003203C0">
      <w:pPr>
        <w:spacing w:before="0" w:after="0" w:line="240" w:lineRule="auto"/>
      </w:pPr>
      <w:r>
        <w:br w:type="page"/>
      </w:r>
    </w:p>
    <w:sdt>
      <w:sdtPr>
        <w:rPr>
          <w:rFonts w:ascii="Arial" w:eastAsia="Times New Roman" w:hAnsi="Arial" w:cs="Times New Roman"/>
          <w:b w:val="0"/>
          <w:color w:val="000000" w:themeColor="text2"/>
          <w:sz w:val="22"/>
          <w:szCs w:val="24"/>
          <w:lang w:val="en-GB" w:eastAsia="en-US"/>
        </w:rPr>
        <w:id w:val="-1570879841"/>
        <w:docPartObj>
          <w:docPartGallery w:val="Table of Contents"/>
          <w:docPartUnique/>
        </w:docPartObj>
      </w:sdtPr>
      <w:sdtEndPr>
        <w:rPr>
          <w:rFonts w:ascii="Segoe UI" w:hAnsi="Segoe UI"/>
          <w:bCs/>
        </w:rPr>
      </w:sdtEndPr>
      <w:sdtContent>
        <w:p w14:paraId="5009B3F9" w14:textId="404811B2" w:rsidR="0002772F" w:rsidRDefault="0002772F">
          <w:pPr>
            <w:pStyle w:val="TOCHeading"/>
          </w:pPr>
          <w:r w:rsidRPr="0017029B">
            <w:rPr>
              <w:lang w:val="en-GB"/>
            </w:rPr>
            <w:t>Contents</w:t>
          </w:r>
        </w:p>
        <w:p w14:paraId="1943354B" w14:textId="0143BA17" w:rsidR="003C7F56" w:rsidRDefault="0002772F">
          <w:pPr>
            <w:pStyle w:val="TOC1"/>
            <w:tabs>
              <w:tab w:val="right" w:leader="dot" w:pos="9016"/>
            </w:tabs>
            <w:rPr>
              <w:noProof/>
              <w:kern w:val="2"/>
              <w:lang w:val="en-AU" w:eastAsia="en-AU"/>
              <w14:ligatures w14:val="standardContextual"/>
            </w:rPr>
          </w:pPr>
          <w:r>
            <w:fldChar w:fldCharType="begin"/>
          </w:r>
          <w:r>
            <w:instrText xml:space="preserve"> TOC \o "1-3" \h \z \u </w:instrText>
          </w:r>
          <w:r>
            <w:fldChar w:fldCharType="separate"/>
          </w:r>
          <w:hyperlink w:anchor="_Toc227319856" w:history="1">
            <w:r w:rsidR="003C7F56" w:rsidRPr="006C67CD">
              <w:rPr>
                <w:rStyle w:val="Hyperlink"/>
                <w:noProof/>
              </w:rPr>
              <w:t>Abbreviations</w:t>
            </w:r>
            <w:r w:rsidR="003C7F56">
              <w:rPr>
                <w:noProof/>
                <w:webHidden/>
              </w:rPr>
              <w:tab/>
            </w:r>
            <w:r w:rsidR="003C7F56">
              <w:rPr>
                <w:noProof/>
                <w:webHidden/>
              </w:rPr>
              <w:fldChar w:fldCharType="begin"/>
            </w:r>
            <w:r w:rsidR="003C7F56">
              <w:rPr>
                <w:noProof/>
                <w:webHidden/>
              </w:rPr>
              <w:instrText xml:space="preserve"> PAGEREF _Toc227319856 \h </w:instrText>
            </w:r>
            <w:r w:rsidR="003C7F56">
              <w:rPr>
                <w:noProof/>
                <w:webHidden/>
              </w:rPr>
            </w:r>
            <w:r w:rsidR="003C7F56">
              <w:rPr>
                <w:noProof/>
                <w:webHidden/>
              </w:rPr>
              <w:fldChar w:fldCharType="separate"/>
            </w:r>
            <w:r w:rsidR="00773ED1">
              <w:rPr>
                <w:noProof/>
                <w:webHidden/>
              </w:rPr>
              <w:t>4</w:t>
            </w:r>
            <w:r w:rsidR="003C7F56">
              <w:rPr>
                <w:noProof/>
                <w:webHidden/>
              </w:rPr>
              <w:fldChar w:fldCharType="end"/>
            </w:r>
          </w:hyperlink>
        </w:p>
        <w:p w14:paraId="4260335F" w14:textId="1E46C758" w:rsidR="003C7F56" w:rsidRDefault="003C7F56">
          <w:pPr>
            <w:pStyle w:val="TOC1"/>
            <w:tabs>
              <w:tab w:val="right" w:leader="dot" w:pos="9016"/>
            </w:tabs>
            <w:rPr>
              <w:noProof/>
              <w:kern w:val="2"/>
              <w:lang w:val="en-AU" w:eastAsia="en-AU"/>
              <w14:ligatures w14:val="standardContextual"/>
            </w:rPr>
          </w:pPr>
          <w:hyperlink w:anchor="_Toc227319857" w:history="1">
            <w:r w:rsidRPr="006C67CD">
              <w:rPr>
                <w:rStyle w:val="Hyperlink"/>
                <w:noProof/>
              </w:rPr>
              <w:t>Introduction</w:t>
            </w:r>
            <w:r>
              <w:rPr>
                <w:noProof/>
                <w:webHidden/>
              </w:rPr>
              <w:tab/>
            </w:r>
            <w:r>
              <w:rPr>
                <w:noProof/>
                <w:webHidden/>
              </w:rPr>
              <w:fldChar w:fldCharType="begin"/>
            </w:r>
            <w:r>
              <w:rPr>
                <w:noProof/>
                <w:webHidden/>
              </w:rPr>
              <w:instrText xml:space="preserve"> PAGEREF _Toc227319857 \h </w:instrText>
            </w:r>
            <w:r>
              <w:rPr>
                <w:noProof/>
                <w:webHidden/>
              </w:rPr>
            </w:r>
            <w:r>
              <w:rPr>
                <w:noProof/>
                <w:webHidden/>
              </w:rPr>
              <w:fldChar w:fldCharType="separate"/>
            </w:r>
            <w:r w:rsidR="00773ED1">
              <w:rPr>
                <w:noProof/>
                <w:webHidden/>
              </w:rPr>
              <w:t>5</w:t>
            </w:r>
            <w:r>
              <w:rPr>
                <w:noProof/>
                <w:webHidden/>
              </w:rPr>
              <w:fldChar w:fldCharType="end"/>
            </w:r>
          </w:hyperlink>
        </w:p>
        <w:p w14:paraId="7F9F9508" w14:textId="1C5A3D49" w:rsidR="003C7F56" w:rsidRDefault="003C7F56">
          <w:pPr>
            <w:pStyle w:val="TOC2"/>
            <w:tabs>
              <w:tab w:val="right" w:leader="dot" w:pos="9016"/>
            </w:tabs>
            <w:rPr>
              <w:noProof/>
              <w:kern w:val="2"/>
              <w:lang w:val="en-AU" w:eastAsia="en-AU"/>
              <w14:ligatures w14:val="standardContextual"/>
            </w:rPr>
          </w:pPr>
          <w:hyperlink w:anchor="_Toc227319858" w:history="1">
            <w:r w:rsidRPr="006C67CD">
              <w:rPr>
                <w:rStyle w:val="Hyperlink"/>
                <w:noProof/>
              </w:rPr>
              <w:t>Purpose and scope</w:t>
            </w:r>
            <w:r>
              <w:rPr>
                <w:noProof/>
                <w:webHidden/>
              </w:rPr>
              <w:tab/>
            </w:r>
            <w:r>
              <w:rPr>
                <w:noProof/>
                <w:webHidden/>
              </w:rPr>
              <w:fldChar w:fldCharType="begin"/>
            </w:r>
            <w:r>
              <w:rPr>
                <w:noProof/>
                <w:webHidden/>
              </w:rPr>
              <w:instrText xml:space="preserve"> PAGEREF _Toc227319858 \h </w:instrText>
            </w:r>
            <w:r>
              <w:rPr>
                <w:noProof/>
                <w:webHidden/>
              </w:rPr>
            </w:r>
            <w:r>
              <w:rPr>
                <w:noProof/>
                <w:webHidden/>
              </w:rPr>
              <w:fldChar w:fldCharType="separate"/>
            </w:r>
            <w:r w:rsidR="00773ED1">
              <w:rPr>
                <w:noProof/>
                <w:webHidden/>
              </w:rPr>
              <w:t>5</w:t>
            </w:r>
            <w:r>
              <w:rPr>
                <w:noProof/>
                <w:webHidden/>
              </w:rPr>
              <w:fldChar w:fldCharType="end"/>
            </w:r>
          </w:hyperlink>
        </w:p>
        <w:p w14:paraId="282545B9" w14:textId="4CEDCEFB" w:rsidR="003C7F56" w:rsidRDefault="003C7F56">
          <w:pPr>
            <w:pStyle w:val="TOC2"/>
            <w:tabs>
              <w:tab w:val="right" w:leader="dot" w:pos="9016"/>
            </w:tabs>
            <w:rPr>
              <w:noProof/>
              <w:kern w:val="2"/>
              <w:lang w:val="en-AU" w:eastAsia="en-AU"/>
              <w14:ligatures w14:val="standardContextual"/>
            </w:rPr>
          </w:pPr>
          <w:hyperlink w:anchor="_Toc227319859" w:history="1">
            <w:r w:rsidRPr="006C67CD">
              <w:rPr>
                <w:rStyle w:val="Hyperlink"/>
                <w:noProof/>
              </w:rPr>
              <w:t>Key evaluation questions</w:t>
            </w:r>
            <w:r>
              <w:rPr>
                <w:noProof/>
                <w:webHidden/>
              </w:rPr>
              <w:tab/>
            </w:r>
            <w:r>
              <w:rPr>
                <w:noProof/>
                <w:webHidden/>
              </w:rPr>
              <w:fldChar w:fldCharType="begin"/>
            </w:r>
            <w:r>
              <w:rPr>
                <w:noProof/>
                <w:webHidden/>
              </w:rPr>
              <w:instrText xml:space="preserve"> PAGEREF _Toc227319859 \h </w:instrText>
            </w:r>
            <w:r>
              <w:rPr>
                <w:noProof/>
                <w:webHidden/>
              </w:rPr>
            </w:r>
            <w:r>
              <w:rPr>
                <w:noProof/>
                <w:webHidden/>
              </w:rPr>
              <w:fldChar w:fldCharType="separate"/>
            </w:r>
            <w:r w:rsidR="00773ED1">
              <w:rPr>
                <w:noProof/>
                <w:webHidden/>
              </w:rPr>
              <w:t>6</w:t>
            </w:r>
            <w:r>
              <w:rPr>
                <w:noProof/>
                <w:webHidden/>
              </w:rPr>
              <w:fldChar w:fldCharType="end"/>
            </w:r>
          </w:hyperlink>
        </w:p>
        <w:p w14:paraId="38F0A0C0" w14:textId="5A2A50E1" w:rsidR="003C7F56" w:rsidRDefault="003C7F56">
          <w:pPr>
            <w:pStyle w:val="TOC2"/>
            <w:tabs>
              <w:tab w:val="right" w:leader="dot" w:pos="9016"/>
            </w:tabs>
            <w:rPr>
              <w:noProof/>
              <w:kern w:val="2"/>
              <w:lang w:val="en-AU" w:eastAsia="en-AU"/>
              <w14:ligatures w14:val="standardContextual"/>
            </w:rPr>
          </w:pPr>
          <w:hyperlink w:anchor="_Toc227319860" w:history="1">
            <w:r w:rsidRPr="006C67CD">
              <w:rPr>
                <w:rStyle w:val="Hyperlink"/>
                <w:noProof/>
              </w:rPr>
              <w:t>Background</w:t>
            </w:r>
            <w:r>
              <w:rPr>
                <w:noProof/>
                <w:webHidden/>
              </w:rPr>
              <w:tab/>
            </w:r>
            <w:r>
              <w:rPr>
                <w:noProof/>
                <w:webHidden/>
              </w:rPr>
              <w:fldChar w:fldCharType="begin"/>
            </w:r>
            <w:r>
              <w:rPr>
                <w:noProof/>
                <w:webHidden/>
              </w:rPr>
              <w:instrText xml:space="preserve"> PAGEREF _Toc227319860 \h </w:instrText>
            </w:r>
            <w:r>
              <w:rPr>
                <w:noProof/>
                <w:webHidden/>
              </w:rPr>
            </w:r>
            <w:r>
              <w:rPr>
                <w:noProof/>
                <w:webHidden/>
              </w:rPr>
              <w:fldChar w:fldCharType="separate"/>
            </w:r>
            <w:r w:rsidR="00773ED1">
              <w:rPr>
                <w:noProof/>
                <w:webHidden/>
              </w:rPr>
              <w:t>7</w:t>
            </w:r>
            <w:r>
              <w:rPr>
                <w:noProof/>
                <w:webHidden/>
              </w:rPr>
              <w:fldChar w:fldCharType="end"/>
            </w:r>
          </w:hyperlink>
        </w:p>
        <w:p w14:paraId="0253B7BA" w14:textId="246DBA3B" w:rsidR="003C7F56" w:rsidRDefault="003C7F56">
          <w:pPr>
            <w:pStyle w:val="TOC2"/>
            <w:tabs>
              <w:tab w:val="right" w:leader="dot" w:pos="9016"/>
            </w:tabs>
            <w:rPr>
              <w:noProof/>
              <w:kern w:val="2"/>
              <w:lang w:val="en-AU" w:eastAsia="en-AU"/>
              <w14:ligatures w14:val="standardContextual"/>
            </w:rPr>
          </w:pPr>
          <w:hyperlink w:anchor="_Toc227319861" w:history="1">
            <w:r w:rsidRPr="006C67CD">
              <w:rPr>
                <w:rStyle w:val="Hyperlink"/>
                <w:noProof/>
              </w:rPr>
              <w:t>Guiding principles</w:t>
            </w:r>
            <w:r>
              <w:rPr>
                <w:noProof/>
                <w:webHidden/>
              </w:rPr>
              <w:tab/>
            </w:r>
            <w:r>
              <w:rPr>
                <w:noProof/>
                <w:webHidden/>
              </w:rPr>
              <w:fldChar w:fldCharType="begin"/>
            </w:r>
            <w:r>
              <w:rPr>
                <w:noProof/>
                <w:webHidden/>
              </w:rPr>
              <w:instrText xml:space="preserve"> PAGEREF _Toc227319861 \h </w:instrText>
            </w:r>
            <w:r>
              <w:rPr>
                <w:noProof/>
                <w:webHidden/>
              </w:rPr>
            </w:r>
            <w:r>
              <w:rPr>
                <w:noProof/>
                <w:webHidden/>
              </w:rPr>
              <w:fldChar w:fldCharType="separate"/>
            </w:r>
            <w:r w:rsidR="00773ED1">
              <w:rPr>
                <w:noProof/>
                <w:webHidden/>
              </w:rPr>
              <w:t>7</w:t>
            </w:r>
            <w:r>
              <w:rPr>
                <w:noProof/>
                <w:webHidden/>
              </w:rPr>
              <w:fldChar w:fldCharType="end"/>
            </w:r>
          </w:hyperlink>
        </w:p>
        <w:p w14:paraId="60BC031B" w14:textId="208E31E4" w:rsidR="003C7F56" w:rsidRDefault="003C7F56">
          <w:pPr>
            <w:pStyle w:val="TOC1"/>
            <w:tabs>
              <w:tab w:val="right" w:leader="dot" w:pos="9016"/>
            </w:tabs>
            <w:rPr>
              <w:noProof/>
              <w:kern w:val="2"/>
              <w:lang w:val="en-AU" w:eastAsia="en-AU"/>
              <w14:ligatures w14:val="standardContextual"/>
            </w:rPr>
          </w:pPr>
          <w:hyperlink w:anchor="_Toc227319862" w:history="1">
            <w:r w:rsidRPr="006C67CD">
              <w:rPr>
                <w:rStyle w:val="Hyperlink"/>
                <w:noProof/>
              </w:rPr>
              <w:t>Governance of the framework</w:t>
            </w:r>
            <w:r>
              <w:rPr>
                <w:noProof/>
                <w:webHidden/>
              </w:rPr>
              <w:tab/>
            </w:r>
            <w:r>
              <w:rPr>
                <w:noProof/>
                <w:webHidden/>
              </w:rPr>
              <w:fldChar w:fldCharType="begin"/>
            </w:r>
            <w:r>
              <w:rPr>
                <w:noProof/>
                <w:webHidden/>
              </w:rPr>
              <w:instrText xml:space="preserve"> PAGEREF _Toc227319862 \h </w:instrText>
            </w:r>
            <w:r>
              <w:rPr>
                <w:noProof/>
                <w:webHidden/>
              </w:rPr>
            </w:r>
            <w:r>
              <w:rPr>
                <w:noProof/>
                <w:webHidden/>
              </w:rPr>
              <w:fldChar w:fldCharType="separate"/>
            </w:r>
            <w:r w:rsidR="00773ED1">
              <w:rPr>
                <w:noProof/>
                <w:webHidden/>
              </w:rPr>
              <w:t>9</w:t>
            </w:r>
            <w:r>
              <w:rPr>
                <w:noProof/>
                <w:webHidden/>
              </w:rPr>
              <w:fldChar w:fldCharType="end"/>
            </w:r>
          </w:hyperlink>
        </w:p>
        <w:p w14:paraId="27D006EB" w14:textId="0A1CC41C" w:rsidR="003C7F56" w:rsidRDefault="003C7F56">
          <w:pPr>
            <w:pStyle w:val="TOC1"/>
            <w:tabs>
              <w:tab w:val="right" w:leader="dot" w:pos="9016"/>
            </w:tabs>
            <w:rPr>
              <w:noProof/>
              <w:kern w:val="2"/>
              <w:lang w:val="en-AU" w:eastAsia="en-AU"/>
              <w14:ligatures w14:val="standardContextual"/>
            </w:rPr>
          </w:pPr>
          <w:hyperlink w:anchor="_Toc227319863" w:history="1">
            <w:r w:rsidRPr="006C67CD">
              <w:rPr>
                <w:rStyle w:val="Hyperlink"/>
                <w:noProof/>
              </w:rPr>
              <w:t>Monitoring and evaluation activities</w:t>
            </w:r>
            <w:r>
              <w:rPr>
                <w:noProof/>
                <w:webHidden/>
              </w:rPr>
              <w:tab/>
            </w:r>
            <w:r>
              <w:rPr>
                <w:noProof/>
                <w:webHidden/>
              </w:rPr>
              <w:fldChar w:fldCharType="begin"/>
            </w:r>
            <w:r>
              <w:rPr>
                <w:noProof/>
                <w:webHidden/>
              </w:rPr>
              <w:instrText xml:space="preserve"> PAGEREF _Toc227319863 \h </w:instrText>
            </w:r>
            <w:r>
              <w:rPr>
                <w:noProof/>
                <w:webHidden/>
              </w:rPr>
            </w:r>
            <w:r>
              <w:rPr>
                <w:noProof/>
                <w:webHidden/>
              </w:rPr>
              <w:fldChar w:fldCharType="separate"/>
            </w:r>
            <w:r w:rsidR="00773ED1">
              <w:rPr>
                <w:noProof/>
                <w:webHidden/>
              </w:rPr>
              <w:t>10</w:t>
            </w:r>
            <w:r>
              <w:rPr>
                <w:noProof/>
                <w:webHidden/>
              </w:rPr>
              <w:fldChar w:fldCharType="end"/>
            </w:r>
          </w:hyperlink>
        </w:p>
        <w:p w14:paraId="72A62342" w14:textId="1AEFD5BF" w:rsidR="003C7F56" w:rsidRDefault="003C7F56">
          <w:pPr>
            <w:pStyle w:val="TOC1"/>
            <w:tabs>
              <w:tab w:val="right" w:leader="dot" w:pos="9016"/>
            </w:tabs>
            <w:rPr>
              <w:noProof/>
              <w:kern w:val="2"/>
              <w:lang w:val="en-AU" w:eastAsia="en-AU"/>
              <w14:ligatures w14:val="standardContextual"/>
            </w:rPr>
          </w:pPr>
          <w:hyperlink w:anchor="_Toc227319864" w:history="1">
            <w:r w:rsidRPr="006C67CD">
              <w:rPr>
                <w:rStyle w:val="Hyperlink"/>
                <w:noProof/>
              </w:rPr>
              <w:t>Key evaluation question rationale</w:t>
            </w:r>
            <w:r>
              <w:rPr>
                <w:noProof/>
                <w:webHidden/>
              </w:rPr>
              <w:tab/>
            </w:r>
            <w:r>
              <w:rPr>
                <w:noProof/>
                <w:webHidden/>
              </w:rPr>
              <w:fldChar w:fldCharType="begin"/>
            </w:r>
            <w:r>
              <w:rPr>
                <w:noProof/>
                <w:webHidden/>
              </w:rPr>
              <w:instrText xml:space="preserve"> PAGEREF _Toc227319864 \h </w:instrText>
            </w:r>
            <w:r>
              <w:rPr>
                <w:noProof/>
                <w:webHidden/>
              </w:rPr>
            </w:r>
            <w:r>
              <w:rPr>
                <w:noProof/>
                <w:webHidden/>
              </w:rPr>
              <w:fldChar w:fldCharType="separate"/>
            </w:r>
            <w:r w:rsidR="00773ED1">
              <w:rPr>
                <w:noProof/>
                <w:webHidden/>
              </w:rPr>
              <w:t>15</w:t>
            </w:r>
            <w:r>
              <w:rPr>
                <w:noProof/>
                <w:webHidden/>
              </w:rPr>
              <w:fldChar w:fldCharType="end"/>
            </w:r>
          </w:hyperlink>
        </w:p>
        <w:p w14:paraId="6AA39C86" w14:textId="3BA1E2AD" w:rsidR="003C7F56" w:rsidRDefault="003C7F56">
          <w:pPr>
            <w:pStyle w:val="TOC1"/>
            <w:tabs>
              <w:tab w:val="right" w:leader="dot" w:pos="9016"/>
            </w:tabs>
            <w:rPr>
              <w:noProof/>
              <w:kern w:val="2"/>
              <w:lang w:val="en-AU" w:eastAsia="en-AU"/>
              <w14:ligatures w14:val="standardContextual"/>
            </w:rPr>
          </w:pPr>
          <w:hyperlink w:anchor="_Toc227319865" w:history="1">
            <w:r w:rsidRPr="006C67CD">
              <w:rPr>
                <w:rStyle w:val="Hyperlink"/>
                <w:noProof/>
              </w:rPr>
              <w:t>Reporting and learning</w:t>
            </w:r>
            <w:r>
              <w:rPr>
                <w:noProof/>
                <w:webHidden/>
              </w:rPr>
              <w:tab/>
            </w:r>
            <w:r>
              <w:rPr>
                <w:noProof/>
                <w:webHidden/>
              </w:rPr>
              <w:fldChar w:fldCharType="begin"/>
            </w:r>
            <w:r>
              <w:rPr>
                <w:noProof/>
                <w:webHidden/>
              </w:rPr>
              <w:instrText xml:space="preserve"> PAGEREF _Toc227319865 \h </w:instrText>
            </w:r>
            <w:r>
              <w:rPr>
                <w:noProof/>
                <w:webHidden/>
              </w:rPr>
            </w:r>
            <w:r>
              <w:rPr>
                <w:noProof/>
                <w:webHidden/>
              </w:rPr>
              <w:fldChar w:fldCharType="separate"/>
            </w:r>
            <w:r w:rsidR="00773ED1">
              <w:rPr>
                <w:noProof/>
                <w:webHidden/>
              </w:rPr>
              <w:t>17</w:t>
            </w:r>
            <w:r>
              <w:rPr>
                <w:noProof/>
                <w:webHidden/>
              </w:rPr>
              <w:fldChar w:fldCharType="end"/>
            </w:r>
          </w:hyperlink>
        </w:p>
        <w:p w14:paraId="21B8C322" w14:textId="5CDF9896" w:rsidR="003C7F56" w:rsidRDefault="003C7F56">
          <w:pPr>
            <w:pStyle w:val="TOC2"/>
            <w:tabs>
              <w:tab w:val="right" w:leader="dot" w:pos="9016"/>
            </w:tabs>
            <w:rPr>
              <w:noProof/>
              <w:kern w:val="2"/>
              <w:lang w:val="en-AU" w:eastAsia="en-AU"/>
              <w14:ligatures w14:val="standardContextual"/>
            </w:rPr>
          </w:pPr>
          <w:hyperlink w:anchor="_Toc227319866" w:history="1">
            <w:r w:rsidRPr="006C67CD">
              <w:rPr>
                <w:rStyle w:val="Hyperlink"/>
                <w:noProof/>
              </w:rPr>
              <w:t>Monitoring and evaluation reports</w:t>
            </w:r>
            <w:r>
              <w:rPr>
                <w:noProof/>
                <w:webHidden/>
              </w:rPr>
              <w:tab/>
            </w:r>
            <w:r>
              <w:rPr>
                <w:noProof/>
                <w:webHidden/>
              </w:rPr>
              <w:fldChar w:fldCharType="begin"/>
            </w:r>
            <w:r>
              <w:rPr>
                <w:noProof/>
                <w:webHidden/>
              </w:rPr>
              <w:instrText xml:space="preserve"> PAGEREF _Toc227319866 \h </w:instrText>
            </w:r>
            <w:r>
              <w:rPr>
                <w:noProof/>
                <w:webHidden/>
              </w:rPr>
            </w:r>
            <w:r>
              <w:rPr>
                <w:noProof/>
                <w:webHidden/>
              </w:rPr>
              <w:fldChar w:fldCharType="separate"/>
            </w:r>
            <w:r w:rsidR="00773ED1">
              <w:rPr>
                <w:noProof/>
                <w:webHidden/>
              </w:rPr>
              <w:t>17</w:t>
            </w:r>
            <w:r>
              <w:rPr>
                <w:noProof/>
                <w:webHidden/>
              </w:rPr>
              <w:fldChar w:fldCharType="end"/>
            </w:r>
          </w:hyperlink>
        </w:p>
        <w:p w14:paraId="4822ABE5" w14:textId="2EA50828" w:rsidR="003C7F56" w:rsidRDefault="003C7F56">
          <w:pPr>
            <w:pStyle w:val="TOC2"/>
            <w:tabs>
              <w:tab w:val="right" w:leader="dot" w:pos="9016"/>
            </w:tabs>
            <w:rPr>
              <w:noProof/>
              <w:kern w:val="2"/>
              <w:lang w:val="en-AU" w:eastAsia="en-AU"/>
              <w14:ligatures w14:val="standardContextual"/>
            </w:rPr>
          </w:pPr>
          <w:hyperlink w:anchor="_Toc227319867" w:history="1">
            <w:r w:rsidRPr="006C67CD">
              <w:rPr>
                <w:rStyle w:val="Hyperlink"/>
                <w:noProof/>
              </w:rPr>
              <w:t>Validation of data and results</w:t>
            </w:r>
            <w:r>
              <w:rPr>
                <w:noProof/>
                <w:webHidden/>
              </w:rPr>
              <w:tab/>
            </w:r>
            <w:r>
              <w:rPr>
                <w:noProof/>
                <w:webHidden/>
              </w:rPr>
              <w:fldChar w:fldCharType="begin"/>
            </w:r>
            <w:r>
              <w:rPr>
                <w:noProof/>
                <w:webHidden/>
              </w:rPr>
              <w:instrText xml:space="preserve"> PAGEREF _Toc227319867 \h </w:instrText>
            </w:r>
            <w:r>
              <w:rPr>
                <w:noProof/>
                <w:webHidden/>
              </w:rPr>
            </w:r>
            <w:r>
              <w:rPr>
                <w:noProof/>
                <w:webHidden/>
              </w:rPr>
              <w:fldChar w:fldCharType="separate"/>
            </w:r>
            <w:r w:rsidR="00773ED1">
              <w:rPr>
                <w:noProof/>
                <w:webHidden/>
              </w:rPr>
              <w:t>18</w:t>
            </w:r>
            <w:r>
              <w:rPr>
                <w:noProof/>
                <w:webHidden/>
              </w:rPr>
              <w:fldChar w:fldCharType="end"/>
            </w:r>
          </w:hyperlink>
        </w:p>
        <w:p w14:paraId="75294109" w14:textId="234FE2C4" w:rsidR="003C7F56" w:rsidRDefault="003C7F56">
          <w:pPr>
            <w:pStyle w:val="TOC2"/>
            <w:tabs>
              <w:tab w:val="right" w:leader="dot" w:pos="9016"/>
            </w:tabs>
            <w:rPr>
              <w:noProof/>
              <w:kern w:val="2"/>
              <w:lang w:val="en-AU" w:eastAsia="en-AU"/>
              <w14:ligatures w14:val="standardContextual"/>
            </w:rPr>
          </w:pPr>
          <w:hyperlink w:anchor="_Toc227319868" w:history="1">
            <w:r w:rsidRPr="006C67CD">
              <w:rPr>
                <w:rStyle w:val="Hyperlink"/>
                <w:noProof/>
              </w:rPr>
              <w:t>Sharing of findings</w:t>
            </w:r>
            <w:r>
              <w:rPr>
                <w:noProof/>
                <w:webHidden/>
              </w:rPr>
              <w:tab/>
            </w:r>
            <w:r>
              <w:rPr>
                <w:noProof/>
                <w:webHidden/>
              </w:rPr>
              <w:fldChar w:fldCharType="begin"/>
            </w:r>
            <w:r>
              <w:rPr>
                <w:noProof/>
                <w:webHidden/>
              </w:rPr>
              <w:instrText xml:space="preserve"> PAGEREF _Toc227319868 \h </w:instrText>
            </w:r>
            <w:r>
              <w:rPr>
                <w:noProof/>
                <w:webHidden/>
              </w:rPr>
            </w:r>
            <w:r>
              <w:rPr>
                <w:noProof/>
                <w:webHidden/>
              </w:rPr>
              <w:fldChar w:fldCharType="separate"/>
            </w:r>
            <w:r w:rsidR="00773ED1">
              <w:rPr>
                <w:noProof/>
                <w:webHidden/>
              </w:rPr>
              <w:t>18</w:t>
            </w:r>
            <w:r>
              <w:rPr>
                <w:noProof/>
                <w:webHidden/>
              </w:rPr>
              <w:fldChar w:fldCharType="end"/>
            </w:r>
          </w:hyperlink>
        </w:p>
        <w:p w14:paraId="4AB0F619" w14:textId="58FC676C" w:rsidR="003C7F56" w:rsidRDefault="003C7F56">
          <w:pPr>
            <w:pStyle w:val="TOC1"/>
            <w:tabs>
              <w:tab w:val="right" w:leader="dot" w:pos="9016"/>
            </w:tabs>
            <w:rPr>
              <w:noProof/>
              <w:kern w:val="2"/>
              <w:lang w:val="en-AU" w:eastAsia="en-AU"/>
              <w14:ligatures w14:val="standardContextual"/>
            </w:rPr>
          </w:pPr>
          <w:hyperlink w:anchor="_Toc227319869" w:history="1">
            <w:r w:rsidRPr="006C67CD">
              <w:rPr>
                <w:rStyle w:val="Hyperlink"/>
                <w:noProof/>
              </w:rPr>
              <w:t>Review of the framework and evaluation data matrix</w:t>
            </w:r>
            <w:r>
              <w:rPr>
                <w:noProof/>
                <w:webHidden/>
              </w:rPr>
              <w:tab/>
            </w:r>
            <w:r>
              <w:rPr>
                <w:noProof/>
                <w:webHidden/>
              </w:rPr>
              <w:fldChar w:fldCharType="begin"/>
            </w:r>
            <w:r>
              <w:rPr>
                <w:noProof/>
                <w:webHidden/>
              </w:rPr>
              <w:instrText xml:space="preserve"> PAGEREF _Toc227319869 \h </w:instrText>
            </w:r>
            <w:r>
              <w:rPr>
                <w:noProof/>
                <w:webHidden/>
              </w:rPr>
            </w:r>
            <w:r>
              <w:rPr>
                <w:noProof/>
                <w:webHidden/>
              </w:rPr>
              <w:fldChar w:fldCharType="separate"/>
            </w:r>
            <w:r w:rsidR="00773ED1">
              <w:rPr>
                <w:noProof/>
                <w:webHidden/>
              </w:rPr>
              <w:t>18</w:t>
            </w:r>
            <w:r>
              <w:rPr>
                <w:noProof/>
                <w:webHidden/>
              </w:rPr>
              <w:fldChar w:fldCharType="end"/>
            </w:r>
          </w:hyperlink>
        </w:p>
        <w:p w14:paraId="01DDF26E" w14:textId="5353D4C3" w:rsidR="003C7F56" w:rsidRDefault="003C7F56">
          <w:pPr>
            <w:pStyle w:val="TOC1"/>
            <w:tabs>
              <w:tab w:val="right" w:leader="dot" w:pos="9016"/>
            </w:tabs>
            <w:rPr>
              <w:noProof/>
              <w:kern w:val="2"/>
              <w:lang w:val="en-AU" w:eastAsia="en-AU"/>
              <w14:ligatures w14:val="standardContextual"/>
            </w:rPr>
          </w:pPr>
          <w:hyperlink w:anchor="_Toc227319870" w:history="1">
            <w:r w:rsidRPr="006C67CD">
              <w:rPr>
                <w:rStyle w:val="Hyperlink"/>
                <w:noProof/>
              </w:rPr>
              <w:t>References</w:t>
            </w:r>
            <w:r>
              <w:rPr>
                <w:noProof/>
                <w:webHidden/>
              </w:rPr>
              <w:tab/>
            </w:r>
            <w:r>
              <w:rPr>
                <w:noProof/>
                <w:webHidden/>
              </w:rPr>
              <w:fldChar w:fldCharType="begin"/>
            </w:r>
            <w:r>
              <w:rPr>
                <w:noProof/>
                <w:webHidden/>
              </w:rPr>
              <w:instrText xml:space="preserve"> PAGEREF _Toc227319870 \h </w:instrText>
            </w:r>
            <w:r>
              <w:rPr>
                <w:noProof/>
                <w:webHidden/>
              </w:rPr>
            </w:r>
            <w:r>
              <w:rPr>
                <w:noProof/>
                <w:webHidden/>
              </w:rPr>
              <w:fldChar w:fldCharType="separate"/>
            </w:r>
            <w:r w:rsidR="00773ED1">
              <w:rPr>
                <w:noProof/>
                <w:webHidden/>
              </w:rPr>
              <w:t>19</w:t>
            </w:r>
            <w:r>
              <w:rPr>
                <w:noProof/>
                <w:webHidden/>
              </w:rPr>
              <w:fldChar w:fldCharType="end"/>
            </w:r>
          </w:hyperlink>
        </w:p>
        <w:p w14:paraId="3AAA152B" w14:textId="7CF57B0B" w:rsidR="003C7F56" w:rsidRDefault="003C7F56">
          <w:pPr>
            <w:pStyle w:val="TOC1"/>
            <w:tabs>
              <w:tab w:val="right" w:leader="dot" w:pos="9016"/>
            </w:tabs>
            <w:rPr>
              <w:noProof/>
              <w:kern w:val="2"/>
              <w:lang w:val="en-AU" w:eastAsia="en-AU"/>
              <w14:ligatures w14:val="standardContextual"/>
            </w:rPr>
          </w:pPr>
          <w:hyperlink w:anchor="_Toc227319871" w:history="1">
            <w:r w:rsidRPr="006C67CD">
              <w:rPr>
                <w:rStyle w:val="Hyperlink"/>
                <w:noProof/>
              </w:rPr>
              <w:t>Appendices</w:t>
            </w:r>
            <w:r>
              <w:rPr>
                <w:noProof/>
                <w:webHidden/>
              </w:rPr>
              <w:tab/>
            </w:r>
            <w:r>
              <w:rPr>
                <w:noProof/>
                <w:webHidden/>
              </w:rPr>
              <w:fldChar w:fldCharType="begin"/>
            </w:r>
            <w:r>
              <w:rPr>
                <w:noProof/>
                <w:webHidden/>
              </w:rPr>
              <w:instrText xml:space="preserve"> PAGEREF _Toc227319871 \h </w:instrText>
            </w:r>
            <w:r>
              <w:rPr>
                <w:noProof/>
                <w:webHidden/>
              </w:rPr>
            </w:r>
            <w:r>
              <w:rPr>
                <w:noProof/>
                <w:webHidden/>
              </w:rPr>
              <w:fldChar w:fldCharType="separate"/>
            </w:r>
            <w:r w:rsidR="00773ED1">
              <w:rPr>
                <w:noProof/>
                <w:webHidden/>
              </w:rPr>
              <w:t>21</w:t>
            </w:r>
            <w:r>
              <w:rPr>
                <w:noProof/>
                <w:webHidden/>
              </w:rPr>
              <w:fldChar w:fldCharType="end"/>
            </w:r>
          </w:hyperlink>
        </w:p>
        <w:p w14:paraId="29FAD6BC" w14:textId="42C5B7E9" w:rsidR="003C7F56" w:rsidRDefault="003C7F56">
          <w:pPr>
            <w:pStyle w:val="TOC2"/>
            <w:tabs>
              <w:tab w:val="right" w:leader="dot" w:pos="9016"/>
            </w:tabs>
            <w:rPr>
              <w:noProof/>
              <w:kern w:val="2"/>
              <w:lang w:val="en-AU" w:eastAsia="en-AU"/>
              <w14:ligatures w14:val="standardContextual"/>
            </w:rPr>
          </w:pPr>
          <w:hyperlink w:anchor="_Toc227319872" w:history="1">
            <w:r w:rsidRPr="006C67CD">
              <w:rPr>
                <w:rStyle w:val="Hyperlink"/>
                <w:noProof/>
              </w:rPr>
              <w:t>Appendix 1: Key terms</w:t>
            </w:r>
            <w:r>
              <w:rPr>
                <w:noProof/>
                <w:webHidden/>
              </w:rPr>
              <w:tab/>
            </w:r>
            <w:r>
              <w:rPr>
                <w:noProof/>
                <w:webHidden/>
              </w:rPr>
              <w:fldChar w:fldCharType="begin"/>
            </w:r>
            <w:r>
              <w:rPr>
                <w:noProof/>
                <w:webHidden/>
              </w:rPr>
              <w:instrText xml:space="preserve"> PAGEREF _Toc227319872 \h </w:instrText>
            </w:r>
            <w:r>
              <w:rPr>
                <w:noProof/>
                <w:webHidden/>
              </w:rPr>
            </w:r>
            <w:r>
              <w:rPr>
                <w:noProof/>
                <w:webHidden/>
              </w:rPr>
              <w:fldChar w:fldCharType="separate"/>
            </w:r>
            <w:r w:rsidR="00773ED1">
              <w:rPr>
                <w:noProof/>
                <w:webHidden/>
              </w:rPr>
              <w:t>21</w:t>
            </w:r>
            <w:r>
              <w:rPr>
                <w:noProof/>
                <w:webHidden/>
              </w:rPr>
              <w:fldChar w:fldCharType="end"/>
            </w:r>
          </w:hyperlink>
        </w:p>
        <w:p w14:paraId="170CB90D" w14:textId="7C3EDAA4" w:rsidR="003C7F56" w:rsidRDefault="003C7F56">
          <w:pPr>
            <w:pStyle w:val="TOC2"/>
            <w:tabs>
              <w:tab w:val="right" w:leader="dot" w:pos="9016"/>
            </w:tabs>
            <w:rPr>
              <w:noProof/>
              <w:kern w:val="2"/>
              <w:lang w:val="en-AU" w:eastAsia="en-AU"/>
              <w14:ligatures w14:val="standardContextual"/>
            </w:rPr>
          </w:pPr>
          <w:hyperlink w:anchor="_Toc227319873" w:history="1">
            <w:r w:rsidRPr="006C67CD">
              <w:rPr>
                <w:rStyle w:val="Hyperlink"/>
                <w:noProof/>
              </w:rPr>
              <w:t>Appendix 2: NIS 2025–2030 on a page</w:t>
            </w:r>
            <w:r>
              <w:rPr>
                <w:noProof/>
                <w:webHidden/>
              </w:rPr>
              <w:tab/>
            </w:r>
            <w:r>
              <w:rPr>
                <w:noProof/>
                <w:webHidden/>
              </w:rPr>
              <w:fldChar w:fldCharType="begin"/>
            </w:r>
            <w:r>
              <w:rPr>
                <w:noProof/>
                <w:webHidden/>
              </w:rPr>
              <w:instrText xml:space="preserve"> PAGEREF _Toc227319873 \h </w:instrText>
            </w:r>
            <w:r>
              <w:rPr>
                <w:noProof/>
                <w:webHidden/>
              </w:rPr>
            </w:r>
            <w:r>
              <w:rPr>
                <w:noProof/>
                <w:webHidden/>
              </w:rPr>
              <w:fldChar w:fldCharType="separate"/>
            </w:r>
            <w:r w:rsidR="00773ED1">
              <w:rPr>
                <w:noProof/>
                <w:webHidden/>
              </w:rPr>
              <w:t>22</w:t>
            </w:r>
            <w:r>
              <w:rPr>
                <w:noProof/>
                <w:webHidden/>
              </w:rPr>
              <w:fldChar w:fldCharType="end"/>
            </w:r>
          </w:hyperlink>
        </w:p>
        <w:p w14:paraId="701031B3" w14:textId="738BA593" w:rsidR="005914CD" w:rsidRPr="005914CD" w:rsidRDefault="0002772F" w:rsidP="005914CD">
          <w:r>
            <w:rPr>
              <w:b/>
              <w:bCs/>
              <w:lang w:val="en-GB"/>
            </w:rPr>
            <w:fldChar w:fldCharType="end"/>
          </w:r>
        </w:p>
      </w:sdtContent>
    </w:sdt>
    <w:p w14:paraId="5385638D" w14:textId="4FEE5AD7" w:rsidR="00DF463B" w:rsidRPr="00865A09" w:rsidRDefault="00C05415" w:rsidP="00865A09">
      <w:pPr>
        <w:spacing w:before="0" w:after="0" w:line="240" w:lineRule="auto"/>
      </w:pPr>
      <w:r>
        <w:br w:type="page"/>
      </w:r>
    </w:p>
    <w:p w14:paraId="72450073" w14:textId="77777777" w:rsidR="00150E61" w:rsidRPr="00A9485A" w:rsidRDefault="00150E61" w:rsidP="00A9485A">
      <w:pPr>
        <w:pStyle w:val="Heading1"/>
      </w:pPr>
      <w:bookmarkStart w:id="4" w:name="_Toc220577849"/>
      <w:bookmarkStart w:id="5" w:name="_Toc220578934"/>
      <w:bookmarkStart w:id="6" w:name="_Toc227319856"/>
      <w:r w:rsidRPr="00A9485A">
        <w:lastRenderedPageBreak/>
        <w:t>Abbreviations</w:t>
      </w:r>
      <w:bookmarkEnd w:id="4"/>
      <w:bookmarkEnd w:id="5"/>
      <w:bookmarkEnd w:id="6"/>
    </w:p>
    <w:tbl>
      <w:tblPr>
        <w:tblStyle w:val="GridTable4-Accent1"/>
        <w:tblW w:w="4769" w:type="pct"/>
        <w:tblLook w:val="06A0" w:firstRow="1" w:lastRow="0" w:firstColumn="1" w:lastColumn="0" w:noHBand="1" w:noVBand="1"/>
      </w:tblPr>
      <w:tblGrid>
        <w:gridCol w:w="1837"/>
        <w:gridCol w:w="6762"/>
      </w:tblGrid>
      <w:tr w:rsidR="007E2F25" w14:paraId="0EE830D6" w14:textId="77777777" w:rsidTr="00952B4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68" w:type="pct"/>
            <w:shd w:val="clear" w:color="auto" w:fill="E2E8EF" w:themeFill="background2" w:themeFillTint="66"/>
          </w:tcPr>
          <w:p w14:paraId="1233663E" w14:textId="77777777" w:rsidR="007E2F25" w:rsidRDefault="007E2F25" w:rsidP="008E4469">
            <w:r>
              <w:t>Abbreviation</w:t>
            </w:r>
          </w:p>
        </w:tc>
        <w:tc>
          <w:tcPr>
            <w:tcW w:w="3932" w:type="pct"/>
            <w:shd w:val="clear" w:color="auto" w:fill="E2E8EF" w:themeFill="background2" w:themeFillTint="66"/>
          </w:tcPr>
          <w:p w14:paraId="58E61CB5" w14:textId="77777777" w:rsidR="007E2F25" w:rsidRDefault="007E2F25" w:rsidP="008E4469">
            <w:pPr>
              <w:cnfStyle w:val="100000000000" w:firstRow="1" w:lastRow="0" w:firstColumn="0" w:lastColumn="0" w:oddVBand="0" w:evenVBand="0" w:oddHBand="0" w:evenHBand="0" w:firstRowFirstColumn="0" w:firstRowLastColumn="0" w:lastRowFirstColumn="0" w:lastRowLastColumn="0"/>
            </w:pPr>
            <w:r>
              <w:t>Meaning</w:t>
            </w:r>
          </w:p>
        </w:tc>
      </w:tr>
      <w:tr w:rsidR="007E2F25" w14:paraId="0913B610"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7CA6367D" w14:textId="77777777" w:rsidR="007E2F25" w:rsidRPr="00CB5018" w:rsidRDefault="007E2F25" w:rsidP="008E4469">
            <w:pPr>
              <w:rPr>
                <w:sz w:val="20"/>
                <w:szCs w:val="20"/>
              </w:rPr>
            </w:pPr>
            <w:r w:rsidRPr="00CB5018">
              <w:rPr>
                <w:b w:val="0"/>
                <w:bCs w:val="0"/>
                <w:sz w:val="20"/>
                <w:szCs w:val="20"/>
              </w:rPr>
              <w:t>ACR COD URF</w:t>
            </w:r>
          </w:p>
        </w:tc>
        <w:tc>
          <w:tcPr>
            <w:tcW w:w="3932" w:type="pct"/>
          </w:tcPr>
          <w:p w14:paraId="0F8554D2"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rFonts w:eastAsia="Arial" w:cs="Arial"/>
                <w:sz w:val="20"/>
                <w:szCs w:val="20"/>
                <w:lang w:val="en-AU"/>
              </w:rPr>
            </w:pPr>
            <w:r w:rsidRPr="00CB5018">
              <w:rPr>
                <w:sz w:val="20"/>
                <w:szCs w:val="20"/>
                <w:lang w:val="en-AU"/>
              </w:rPr>
              <w:t>Australian Coordinating Registry Cause of Death Unit Record File</w:t>
            </w:r>
          </w:p>
        </w:tc>
      </w:tr>
      <w:tr w:rsidR="007E2F25" w14:paraId="08771B77"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543C3903" w14:textId="77777777" w:rsidR="007E2F25" w:rsidRPr="00CB5018" w:rsidRDefault="007E2F25" w:rsidP="008E4469">
            <w:pPr>
              <w:rPr>
                <w:sz w:val="20"/>
                <w:szCs w:val="20"/>
              </w:rPr>
            </w:pPr>
            <w:r w:rsidRPr="00CB5018">
              <w:rPr>
                <w:b w:val="0"/>
                <w:bCs w:val="0"/>
                <w:sz w:val="20"/>
                <w:szCs w:val="20"/>
              </w:rPr>
              <w:t>AHPC</w:t>
            </w:r>
          </w:p>
        </w:tc>
        <w:tc>
          <w:tcPr>
            <w:tcW w:w="3932" w:type="pct"/>
          </w:tcPr>
          <w:p w14:paraId="25640095"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Health Protection Committee</w:t>
            </w:r>
          </w:p>
        </w:tc>
      </w:tr>
      <w:tr w:rsidR="007E2F25" w14:paraId="71317F5C"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5C6554B5" w14:textId="77777777" w:rsidR="007E2F25" w:rsidRPr="00CB5018" w:rsidRDefault="007E2F25" w:rsidP="008E4469">
            <w:pPr>
              <w:rPr>
                <w:sz w:val="20"/>
                <w:szCs w:val="20"/>
              </w:rPr>
            </w:pPr>
            <w:r w:rsidRPr="00CB5018">
              <w:rPr>
                <w:b w:val="0"/>
                <w:bCs w:val="0"/>
                <w:sz w:val="20"/>
                <w:szCs w:val="20"/>
              </w:rPr>
              <w:t>AIHW</w:t>
            </w:r>
          </w:p>
        </w:tc>
        <w:tc>
          <w:tcPr>
            <w:tcW w:w="3932" w:type="pct"/>
          </w:tcPr>
          <w:p w14:paraId="366F919A"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Institute of Health and Welfare</w:t>
            </w:r>
          </w:p>
        </w:tc>
      </w:tr>
      <w:tr w:rsidR="007E2F25" w14:paraId="15A29F51"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12EFD207" w14:textId="77777777" w:rsidR="007E2F25" w:rsidRPr="00CB5018" w:rsidRDefault="007E2F25" w:rsidP="008E4469">
            <w:pPr>
              <w:rPr>
                <w:sz w:val="20"/>
                <w:szCs w:val="20"/>
              </w:rPr>
            </w:pPr>
            <w:r w:rsidRPr="00CB5018">
              <w:rPr>
                <w:b w:val="0"/>
                <w:bCs w:val="0"/>
                <w:sz w:val="20"/>
                <w:szCs w:val="20"/>
              </w:rPr>
              <w:t>AIR</w:t>
            </w:r>
          </w:p>
        </w:tc>
        <w:tc>
          <w:tcPr>
            <w:tcW w:w="3932" w:type="pct"/>
          </w:tcPr>
          <w:p w14:paraId="155915B6"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Immunisation Register</w:t>
            </w:r>
          </w:p>
        </w:tc>
      </w:tr>
      <w:tr w:rsidR="007E2F25" w14:paraId="2630BD58"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1AC6A2BF" w14:textId="77777777" w:rsidR="007E2F25" w:rsidRPr="00CB5018" w:rsidRDefault="007E2F25" w:rsidP="008E4469">
            <w:pPr>
              <w:rPr>
                <w:sz w:val="20"/>
                <w:szCs w:val="20"/>
              </w:rPr>
            </w:pPr>
            <w:r w:rsidRPr="00CB5018">
              <w:rPr>
                <w:b w:val="0"/>
                <w:bCs w:val="0"/>
                <w:sz w:val="20"/>
                <w:szCs w:val="20"/>
              </w:rPr>
              <w:t>ATAGI</w:t>
            </w:r>
          </w:p>
        </w:tc>
        <w:tc>
          <w:tcPr>
            <w:tcW w:w="3932" w:type="pct"/>
          </w:tcPr>
          <w:p w14:paraId="515E3554"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Technical Advisory Group on Immunisation</w:t>
            </w:r>
          </w:p>
        </w:tc>
      </w:tr>
      <w:tr w:rsidR="007E2F25" w14:paraId="2162EAD3"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36DCAD0A" w14:textId="77777777" w:rsidR="007E2F25" w:rsidRPr="00CB5018" w:rsidRDefault="007E2F25" w:rsidP="008E4469">
            <w:pPr>
              <w:rPr>
                <w:b w:val="0"/>
                <w:bCs w:val="0"/>
                <w:sz w:val="20"/>
                <w:szCs w:val="20"/>
              </w:rPr>
            </w:pPr>
            <w:r w:rsidRPr="00CB5018">
              <w:rPr>
                <w:b w:val="0"/>
                <w:bCs w:val="0"/>
                <w:sz w:val="20"/>
                <w:szCs w:val="20"/>
              </w:rPr>
              <w:t>CDC</w:t>
            </w:r>
          </w:p>
        </w:tc>
        <w:tc>
          <w:tcPr>
            <w:tcW w:w="3932" w:type="pct"/>
          </w:tcPr>
          <w:p w14:paraId="4AE72AD4"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Centre for Disease Control</w:t>
            </w:r>
          </w:p>
        </w:tc>
      </w:tr>
      <w:tr w:rsidR="007E2F25" w14:paraId="0BED6300"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AD75207" w14:textId="77777777" w:rsidR="007E2F25" w:rsidRPr="00CB5018" w:rsidRDefault="007E2F25" w:rsidP="008E4469">
            <w:pPr>
              <w:rPr>
                <w:b w:val="0"/>
                <w:bCs w:val="0"/>
                <w:sz w:val="20"/>
                <w:szCs w:val="20"/>
              </w:rPr>
            </w:pPr>
            <w:r w:rsidRPr="00CB5018">
              <w:rPr>
                <w:b w:val="0"/>
                <w:bCs w:val="0"/>
                <w:sz w:val="20"/>
                <w:szCs w:val="20"/>
              </w:rPr>
              <w:t>EVS</w:t>
            </w:r>
          </w:p>
        </w:tc>
        <w:tc>
          <w:tcPr>
            <w:tcW w:w="3932" w:type="pct"/>
          </w:tcPr>
          <w:p w14:paraId="6172CB48"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Essential Vaccines Schedule</w:t>
            </w:r>
          </w:p>
        </w:tc>
      </w:tr>
      <w:tr w:rsidR="007E2F25" w14:paraId="13546295"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2CFBA24F" w14:textId="77777777" w:rsidR="007E2F25" w:rsidRPr="00CB5018" w:rsidRDefault="007E2F25" w:rsidP="008E4469">
            <w:pPr>
              <w:rPr>
                <w:sz w:val="20"/>
                <w:szCs w:val="20"/>
              </w:rPr>
            </w:pPr>
            <w:r w:rsidRPr="00CB5018">
              <w:rPr>
                <w:b w:val="0"/>
                <w:bCs w:val="0"/>
                <w:sz w:val="20"/>
                <w:szCs w:val="20"/>
              </w:rPr>
              <w:t>HCEF</w:t>
            </w:r>
          </w:p>
        </w:tc>
        <w:tc>
          <w:tcPr>
            <w:tcW w:w="3932" w:type="pct"/>
          </w:tcPr>
          <w:p w14:paraId="4C8E8A17"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Health Chief Executives Forum</w:t>
            </w:r>
          </w:p>
        </w:tc>
      </w:tr>
      <w:tr w:rsidR="007E2F25" w14:paraId="58EBE326"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2756B9E2" w14:textId="77777777" w:rsidR="007E2F25" w:rsidRPr="00CB5018" w:rsidRDefault="007E2F25" w:rsidP="008E4469">
            <w:pPr>
              <w:rPr>
                <w:sz w:val="20"/>
                <w:szCs w:val="20"/>
              </w:rPr>
            </w:pPr>
            <w:r w:rsidRPr="00CB5018">
              <w:rPr>
                <w:b w:val="0"/>
                <w:bCs w:val="0"/>
                <w:sz w:val="20"/>
                <w:szCs w:val="20"/>
              </w:rPr>
              <w:t>HMM</w:t>
            </w:r>
          </w:p>
        </w:tc>
        <w:tc>
          <w:tcPr>
            <w:tcW w:w="3932" w:type="pct"/>
          </w:tcPr>
          <w:p w14:paraId="4525DF14"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Health Ministers Meeting</w:t>
            </w:r>
          </w:p>
        </w:tc>
      </w:tr>
      <w:tr w:rsidR="00D94D96" w14:paraId="2F7CF17A"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274173DB" w14:textId="53595EC3" w:rsidR="00D94D96" w:rsidRPr="00D94D96" w:rsidRDefault="00D94D96" w:rsidP="008E4469">
            <w:pPr>
              <w:rPr>
                <w:b w:val="0"/>
                <w:bCs w:val="0"/>
                <w:sz w:val="20"/>
                <w:szCs w:val="20"/>
              </w:rPr>
            </w:pPr>
            <w:r w:rsidRPr="00D94D96">
              <w:rPr>
                <w:b w:val="0"/>
                <w:bCs w:val="0"/>
                <w:sz w:val="20"/>
                <w:szCs w:val="20"/>
              </w:rPr>
              <w:t>JICAG</w:t>
            </w:r>
          </w:p>
        </w:tc>
        <w:tc>
          <w:tcPr>
            <w:tcW w:w="3932" w:type="pct"/>
          </w:tcPr>
          <w:p w14:paraId="1506587A" w14:textId="4A118C13" w:rsidR="00D94D96" w:rsidRPr="00CB5018" w:rsidRDefault="00D94D96" w:rsidP="008E446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Jurisdictional Immunisation Coordinators Advisory Group</w:t>
            </w:r>
          </w:p>
        </w:tc>
      </w:tr>
      <w:tr w:rsidR="007E2F25" w14:paraId="3B041343"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C75FD52" w14:textId="77777777" w:rsidR="007E2F25" w:rsidRPr="00CB5018" w:rsidRDefault="007E2F25" w:rsidP="008E4469">
            <w:pPr>
              <w:rPr>
                <w:sz w:val="20"/>
                <w:szCs w:val="20"/>
              </w:rPr>
            </w:pPr>
            <w:r w:rsidRPr="00CB5018">
              <w:rPr>
                <w:b w:val="0"/>
                <w:bCs w:val="0"/>
                <w:sz w:val="20"/>
                <w:szCs w:val="20"/>
              </w:rPr>
              <w:t>NCIRS</w:t>
            </w:r>
          </w:p>
        </w:tc>
        <w:tc>
          <w:tcPr>
            <w:tcW w:w="3932" w:type="pct"/>
          </w:tcPr>
          <w:p w14:paraId="05842ECD"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 xml:space="preserve">National Centre for Immunisation Research and Surveillance  </w:t>
            </w:r>
          </w:p>
        </w:tc>
      </w:tr>
      <w:tr w:rsidR="007E2F25" w14:paraId="10A3559B"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2663D24D" w14:textId="77777777" w:rsidR="007E2F25" w:rsidRPr="00CB5018" w:rsidRDefault="007E2F25" w:rsidP="008E4469">
            <w:pPr>
              <w:rPr>
                <w:sz w:val="20"/>
                <w:szCs w:val="20"/>
              </w:rPr>
            </w:pPr>
            <w:r w:rsidRPr="00CB5018">
              <w:rPr>
                <w:b w:val="0"/>
                <w:bCs w:val="0"/>
                <w:sz w:val="20"/>
                <w:szCs w:val="20"/>
              </w:rPr>
              <w:t>NGO</w:t>
            </w:r>
          </w:p>
        </w:tc>
        <w:tc>
          <w:tcPr>
            <w:tcW w:w="3932" w:type="pct"/>
          </w:tcPr>
          <w:p w14:paraId="5E878918"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Non-government organisation</w:t>
            </w:r>
          </w:p>
        </w:tc>
      </w:tr>
      <w:tr w:rsidR="007E2F25" w14:paraId="562BAAB4"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517E6C2" w14:textId="77777777" w:rsidR="007E2F25" w:rsidRPr="00CB5018" w:rsidRDefault="007E2F25" w:rsidP="008E4469">
            <w:pPr>
              <w:rPr>
                <w:sz w:val="20"/>
                <w:szCs w:val="20"/>
              </w:rPr>
            </w:pPr>
            <w:r w:rsidRPr="00CB5018">
              <w:rPr>
                <w:b w:val="0"/>
                <w:bCs w:val="0"/>
                <w:sz w:val="20"/>
                <w:szCs w:val="20"/>
              </w:rPr>
              <w:t>NHMD</w:t>
            </w:r>
          </w:p>
        </w:tc>
        <w:tc>
          <w:tcPr>
            <w:tcW w:w="3932" w:type="pct"/>
          </w:tcPr>
          <w:p w14:paraId="60FC9D4E"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Hospital Morbidity Database</w:t>
            </w:r>
          </w:p>
        </w:tc>
      </w:tr>
      <w:tr w:rsidR="007E2F25" w14:paraId="05B3A327"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4408E69" w14:textId="77777777" w:rsidR="007E2F25" w:rsidRPr="00CB5018" w:rsidRDefault="007E2F25" w:rsidP="008E4469">
            <w:pPr>
              <w:rPr>
                <w:sz w:val="20"/>
                <w:szCs w:val="20"/>
              </w:rPr>
            </w:pPr>
            <w:r w:rsidRPr="00CB5018">
              <w:rPr>
                <w:b w:val="0"/>
                <w:bCs w:val="0"/>
                <w:sz w:val="20"/>
                <w:szCs w:val="20"/>
              </w:rPr>
              <w:t>NIAA</w:t>
            </w:r>
          </w:p>
        </w:tc>
        <w:tc>
          <w:tcPr>
            <w:tcW w:w="3932" w:type="pct"/>
          </w:tcPr>
          <w:p w14:paraId="1BA435E0"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Indigenous Australians Agency</w:t>
            </w:r>
          </w:p>
        </w:tc>
      </w:tr>
      <w:tr w:rsidR="007E2F25" w14:paraId="477DA824"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5786BB4D" w14:textId="77777777" w:rsidR="007E2F25" w:rsidRPr="00CB5018" w:rsidRDefault="007E2F25" w:rsidP="008E4469">
            <w:pPr>
              <w:rPr>
                <w:b w:val="0"/>
                <w:bCs w:val="0"/>
                <w:sz w:val="20"/>
                <w:szCs w:val="20"/>
              </w:rPr>
            </w:pPr>
            <w:r w:rsidRPr="00CB5018">
              <w:rPr>
                <w:b w:val="0"/>
                <w:bCs w:val="0"/>
                <w:sz w:val="20"/>
                <w:szCs w:val="20"/>
              </w:rPr>
              <w:t>NID</w:t>
            </w:r>
          </w:p>
        </w:tc>
        <w:tc>
          <w:tcPr>
            <w:tcW w:w="3932" w:type="pct"/>
          </w:tcPr>
          <w:p w14:paraId="66CC5249"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Immunisation Division</w:t>
            </w:r>
          </w:p>
        </w:tc>
      </w:tr>
      <w:tr w:rsidR="007E2F25" w14:paraId="560FB6ED"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3AA83CF4" w14:textId="77777777" w:rsidR="007E2F25" w:rsidRPr="00CB5018" w:rsidRDefault="007E2F25" w:rsidP="008E4469">
            <w:pPr>
              <w:rPr>
                <w:sz w:val="20"/>
                <w:szCs w:val="20"/>
              </w:rPr>
            </w:pPr>
            <w:r w:rsidRPr="00CB5018">
              <w:rPr>
                <w:b w:val="0"/>
                <w:bCs w:val="0"/>
                <w:sz w:val="20"/>
                <w:szCs w:val="20"/>
              </w:rPr>
              <w:t>NIP</w:t>
            </w:r>
          </w:p>
        </w:tc>
        <w:tc>
          <w:tcPr>
            <w:tcW w:w="3932" w:type="pct"/>
          </w:tcPr>
          <w:p w14:paraId="6337283E"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Immunisation Program</w:t>
            </w:r>
          </w:p>
        </w:tc>
      </w:tr>
      <w:tr w:rsidR="007E2F25" w14:paraId="00D36E03"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33E98B39" w14:textId="77777777" w:rsidR="007E2F25" w:rsidRPr="00CB5018" w:rsidRDefault="007E2F25" w:rsidP="008E4469">
            <w:pPr>
              <w:rPr>
                <w:sz w:val="20"/>
                <w:szCs w:val="20"/>
              </w:rPr>
            </w:pPr>
            <w:r w:rsidRPr="00CB5018">
              <w:rPr>
                <w:b w:val="0"/>
                <w:bCs w:val="0"/>
                <w:sz w:val="20"/>
                <w:szCs w:val="20"/>
              </w:rPr>
              <w:t>NIS</w:t>
            </w:r>
          </w:p>
        </w:tc>
        <w:tc>
          <w:tcPr>
            <w:tcW w:w="3932" w:type="pct"/>
          </w:tcPr>
          <w:p w14:paraId="218EDD7B"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Immunisation Strategy</w:t>
            </w:r>
          </w:p>
        </w:tc>
      </w:tr>
      <w:tr w:rsidR="007E2F25" w14:paraId="42254E92"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4A3010A7" w14:textId="77777777" w:rsidR="007E2F25" w:rsidRPr="00CB5018" w:rsidRDefault="007E2F25" w:rsidP="008E4469">
            <w:pPr>
              <w:rPr>
                <w:b w:val="0"/>
                <w:bCs w:val="0"/>
                <w:sz w:val="20"/>
                <w:szCs w:val="20"/>
              </w:rPr>
            </w:pPr>
            <w:r w:rsidRPr="00CB5018">
              <w:rPr>
                <w:b w:val="0"/>
                <w:sz w:val="20"/>
                <w:szCs w:val="20"/>
              </w:rPr>
              <w:t>NIS IP</w:t>
            </w:r>
          </w:p>
        </w:tc>
        <w:tc>
          <w:tcPr>
            <w:tcW w:w="3932" w:type="pct"/>
          </w:tcPr>
          <w:p w14:paraId="30FBACEA"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Immunisation Strategy Implementation Plan</w:t>
            </w:r>
          </w:p>
        </w:tc>
      </w:tr>
      <w:tr w:rsidR="007E2F25" w14:paraId="1D874425"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2C440E68" w14:textId="77777777" w:rsidR="007E2F25" w:rsidRPr="00CB5018" w:rsidRDefault="007E2F25" w:rsidP="008E4469">
            <w:pPr>
              <w:rPr>
                <w:b w:val="0"/>
                <w:bCs w:val="0"/>
                <w:sz w:val="20"/>
                <w:szCs w:val="20"/>
              </w:rPr>
            </w:pPr>
            <w:r w:rsidRPr="00CB5018">
              <w:rPr>
                <w:b w:val="0"/>
                <w:bCs w:val="0"/>
                <w:sz w:val="20"/>
                <w:szCs w:val="20"/>
              </w:rPr>
              <w:t>NMD</w:t>
            </w:r>
          </w:p>
        </w:tc>
        <w:tc>
          <w:tcPr>
            <w:tcW w:w="3932" w:type="pct"/>
          </w:tcPr>
          <w:p w14:paraId="49E97DAD"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Mortality Database</w:t>
            </w:r>
          </w:p>
        </w:tc>
      </w:tr>
      <w:tr w:rsidR="007E2F25" w14:paraId="19843165"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94E014D" w14:textId="77777777" w:rsidR="007E2F25" w:rsidRPr="00CB5018" w:rsidRDefault="007E2F25" w:rsidP="008E4469">
            <w:pPr>
              <w:rPr>
                <w:sz w:val="20"/>
                <w:szCs w:val="20"/>
              </w:rPr>
            </w:pPr>
            <w:r w:rsidRPr="00CB5018">
              <w:rPr>
                <w:b w:val="0"/>
                <w:bCs w:val="0"/>
                <w:sz w:val="20"/>
                <w:szCs w:val="20"/>
              </w:rPr>
              <w:t>NNDSS</w:t>
            </w:r>
          </w:p>
        </w:tc>
        <w:tc>
          <w:tcPr>
            <w:tcW w:w="3932" w:type="pct"/>
          </w:tcPr>
          <w:p w14:paraId="7094DA36"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National Notifiable Diseases Surveillance System</w:t>
            </w:r>
          </w:p>
        </w:tc>
      </w:tr>
      <w:tr w:rsidR="007E2F25" w14:paraId="1A9D047E"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7F67B931" w14:textId="77777777" w:rsidR="007E2F25" w:rsidRPr="00CB5018" w:rsidRDefault="007E2F25" w:rsidP="008E4469">
            <w:pPr>
              <w:rPr>
                <w:sz w:val="20"/>
                <w:szCs w:val="20"/>
              </w:rPr>
            </w:pPr>
            <w:r w:rsidRPr="00CB5018">
              <w:rPr>
                <w:b w:val="0"/>
                <w:bCs w:val="0"/>
                <w:sz w:val="20"/>
                <w:szCs w:val="20"/>
              </w:rPr>
              <w:t>PBAC</w:t>
            </w:r>
          </w:p>
        </w:tc>
        <w:tc>
          <w:tcPr>
            <w:tcW w:w="3932" w:type="pct"/>
          </w:tcPr>
          <w:p w14:paraId="49389445"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Pharmaceutical Benefits Advisory Committee</w:t>
            </w:r>
          </w:p>
        </w:tc>
      </w:tr>
      <w:tr w:rsidR="007E2F25" w14:paraId="63CC6E4E"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14C21F0E" w14:textId="77777777" w:rsidR="007E2F25" w:rsidRPr="00CB5018" w:rsidRDefault="007E2F25" w:rsidP="008E4469">
            <w:pPr>
              <w:rPr>
                <w:b w:val="0"/>
                <w:bCs w:val="0"/>
                <w:sz w:val="20"/>
                <w:szCs w:val="20"/>
              </w:rPr>
            </w:pPr>
            <w:r w:rsidRPr="00CB5018">
              <w:rPr>
                <w:b w:val="0"/>
                <w:bCs w:val="0"/>
                <w:sz w:val="20"/>
                <w:szCs w:val="20"/>
              </w:rPr>
              <w:t>PLIDA</w:t>
            </w:r>
          </w:p>
        </w:tc>
        <w:tc>
          <w:tcPr>
            <w:tcW w:w="3932" w:type="pct"/>
          </w:tcPr>
          <w:p w14:paraId="762E2849"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Person Level Integrated Data Asset</w:t>
            </w:r>
          </w:p>
        </w:tc>
      </w:tr>
      <w:tr w:rsidR="007E2F25" w14:paraId="69879307"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34B094DB" w14:textId="77777777" w:rsidR="007E2F25" w:rsidRPr="00CB5018" w:rsidRDefault="007E2F25" w:rsidP="008E4469">
            <w:pPr>
              <w:rPr>
                <w:sz w:val="20"/>
                <w:szCs w:val="20"/>
              </w:rPr>
            </w:pPr>
            <w:r w:rsidRPr="00CB5018">
              <w:rPr>
                <w:b w:val="0"/>
                <w:bCs w:val="0"/>
                <w:sz w:val="20"/>
                <w:szCs w:val="20"/>
              </w:rPr>
              <w:lastRenderedPageBreak/>
              <w:t>SA</w:t>
            </w:r>
          </w:p>
        </w:tc>
        <w:tc>
          <w:tcPr>
            <w:tcW w:w="3932" w:type="pct"/>
          </w:tcPr>
          <w:p w14:paraId="754B6C53"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(Australian Bureau of Statistics) Statistical Area level</w:t>
            </w:r>
          </w:p>
        </w:tc>
      </w:tr>
      <w:tr w:rsidR="007E2F25" w14:paraId="4B0036BC" w14:textId="77777777" w:rsidTr="003603CC">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11205C85" w14:textId="77777777" w:rsidR="007E2F25" w:rsidRPr="00CB5018" w:rsidRDefault="007E2F25" w:rsidP="008E4469">
            <w:pPr>
              <w:rPr>
                <w:b w:val="0"/>
                <w:bCs w:val="0"/>
                <w:sz w:val="20"/>
                <w:szCs w:val="20"/>
              </w:rPr>
            </w:pPr>
            <w:r w:rsidRPr="00CB5018">
              <w:rPr>
                <w:b w:val="0"/>
                <w:bCs w:val="0"/>
                <w:sz w:val="20"/>
                <w:szCs w:val="20"/>
              </w:rPr>
              <w:t>SRG</w:t>
            </w:r>
          </w:p>
        </w:tc>
        <w:tc>
          <w:tcPr>
            <w:tcW w:w="3932" w:type="pct"/>
          </w:tcPr>
          <w:p w14:paraId="218A2027"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Strategic Reference Group</w:t>
            </w:r>
          </w:p>
        </w:tc>
      </w:tr>
      <w:tr w:rsidR="007E2F25" w14:paraId="0C645BD6" w14:textId="77777777" w:rsidTr="003F6CCB">
        <w:trPr>
          <w:trHeight w:val="300"/>
        </w:trPr>
        <w:tc>
          <w:tcPr>
            <w:cnfStyle w:val="001000000000" w:firstRow="0" w:lastRow="0" w:firstColumn="1" w:lastColumn="0" w:oddVBand="0" w:evenVBand="0" w:oddHBand="0" w:evenHBand="0" w:firstRowFirstColumn="0" w:firstRowLastColumn="0" w:lastRowFirstColumn="0" w:lastRowLastColumn="0"/>
            <w:tcW w:w="1068" w:type="pct"/>
          </w:tcPr>
          <w:p w14:paraId="62409779" w14:textId="77777777" w:rsidR="007E2F25" w:rsidRPr="00CB5018" w:rsidRDefault="007E2F25" w:rsidP="008E4469">
            <w:pPr>
              <w:rPr>
                <w:sz w:val="20"/>
                <w:szCs w:val="20"/>
              </w:rPr>
            </w:pPr>
            <w:r w:rsidRPr="00CB5018">
              <w:rPr>
                <w:b w:val="0"/>
                <w:bCs w:val="0"/>
                <w:sz w:val="20"/>
                <w:szCs w:val="20"/>
              </w:rPr>
              <w:t>VPD</w:t>
            </w:r>
          </w:p>
        </w:tc>
        <w:tc>
          <w:tcPr>
            <w:tcW w:w="3932" w:type="pct"/>
          </w:tcPr>
          <w:p w14:paraId="62FFDA3E" w14:textId="77777777" w:rsidR="007E2F25" w:rsidRPr="00CB5018" w:rsidRDefault="007E2F25" w:rsidP="008E4469">
            <w:pPr>
              <w:cnfStyle w:val="000000000000" w:firstRow="0" w:lastRow="0" w:firstColumn="0" w:lastColumn="0" w:oddVBand="0" w:evenVBand="0" w:oddHBand="0" w:evenHBand="0" w:firstRowFirstColumn="0" w:firstRowLastColumn="0" w:lastRowFirstColumn="0" w:lastRowLastColumn="0"/>
              <w:rPr>
                <w:sz w:val="20"/>
                <w:szCs w:val="20"/>
              </w:rPr>
            </w:pPr>
            <w:r w:rsidRPr="00CB5018">
              <w:rPr>
                <w:sz w:val="20"/>
                <w:szCs w:val="20"/>
              </w:rPr>
              <w:t>Vaccine-preventable disease(s)</w:t>
            </w:r>
          </w:p>
        </w:tc>
      </w:tr>
    </w:tbl>
    <w:p w14:paraId="7A8E954D" w14:textId="77777777" w:rsidR="004B2895" w:rsidRDefault="004B2895" w:rsidP="004B2895">
      <w:pPr>
        <w:pStyle w:val="Heading1"/>
      </w:pPr>
      <w:bookmarkStart w:id="7" w:name="_Toc220577850"/>
      <w:bookmarkStart w:id="8" w:name="_Toc220578935"/>
      <w:bookmarkStart w:id="9" w:name="_Toc227319857"/>
      <w:r>
        <w:t>Introduction</w:t>
      </w:r>
      <w:bookmarkEnd w:id="7"/>
      <w:bookmarkEnd w:id="8"/>
      <w:bookmarkEnd w:id="9"/>
    </w:p>
    <w:p w14:paraId="01DE43E1" w14:textId="754D6F36" w:rsidR="00750006" w:rsidRDefault="00750006" w:rsidP="00B17D75">
      <w:pPr>
        <w:pStyle w:val="Heading2"/>
      </w:pPr>
      <w:bookmarkStart w:id="10" w:name="_Toc220578936"/>
      <w:bookmarkStart w:id="11" w:name="_Toc227319858"/>
      <w:r>
        <w:t xml:space="preserve">Purpose and </w:t>
      </w:r>
      <w:bookmarkEnd w:id="10"/>
      <w:r w:rsidR="00F10B27">
        <w:t>scope</w:t>
      </w:r>
      <w:bookmarkEnd w:id="11"/>
    </w:p>
    <w:p w14:paraId="0A0840D1" w14:textId="140E4959" w:rsidR="00B326C6" w:rsidRDefault="00B326C6" w:rsidP="00B326C6">
      <w:r>
        <w:t xml:space="preserve">The purpose of this monitoring, evaluation and learning </w:t>
      </w:r>
      <w:r w:rsidR="00444E00">
        <w:t>framework</w:t>
      </w:r>
      <w:r>
        <w:t xml:space="preserve"> (hereafter, ‘the </w:t>
      </w:r>
      <w:r w:rsidR="00444E00">
        <w:t>framework</w:t>
      </w:r>
      <w:r w:rsidR="00F10B27">
        <w:t>’</w:t>
      </w:r>
      <w:r>
        <w:t xml:space="preserve">) is to provide high level guidance for how </w:t>
      </w:r>
      <w:r w:rsidRPr="00B17D75">
        <w:rPr>
          <w:rStyle w:val="Hyperlink"/>
        </w:rPr>
        <w:t>the</w:t>
      </w:r>
      <w:r w:rsidR="008467A8" w:rsidRPr="00B17D75">
        <w:rPr>
          <w:rStyle w:val="Hyperlink"/>
        </w:rPr>
        <w:t xml:space="preserve"> </w:t>
      </w:r>
      <w:hyperlink r:id="rId16">
        <w:r w:rsidR="008467A8" w:rsidRPr="00B17D75">
          <w:rPr>
            <w:rStyle w:val="Hyperlink"/>
            <w:rFonts w:eastAsia="MS Mincho"/>
          </w:rPr>
          <w:t>National Immunisation Strategy for Australia 2025–2030</w:t>
        </w:r>
      </w:hyperlink>
      <w:r w:rsidR="008467A8">
        <w:t xml:space="preserve"> </w:t>
      </w:r>
      <w:r>
        <w:t>(NIS 2025–2030)</w:t>
      </w:r>
      <w:r>
        <w:rPr>
          <w:vertAlign w:val="superscript"/>
        </w:rPr>
        <w:t>2</w:t>
      </w:r>
      <w:r>
        <w:t xml:space="preserve"> will be monitored and evaluated and the learnings shared.</w:t>
      </w:r>
    </w:p>
    <w:p w14:paraId="79AB5103" w14:textId="7AAB2DF0" w:rsidR="00B326C6" w:rsidRDefault="00B326C6" w:rsidP="00B326C6">
      <w:r>
        <w:t xml:space="preserve">Five key evaluation questions </w:t>
      </w:r>
      <w:r w:rsidRPr="00132897">
        <w:t xml:space="preserve">across </w:t>
      </w:r>
      <w:r w:rsidR="00F1688D" w:rsidRPr="00132897">
        <w:t xml:space="preserve">2 </w:t>
      </w:r>
      <w:r w:rsidRPr="00132897">
        <w:t>evaluation domains</w:t>
      </w:r>
      <w:r w:rsidRPr="00132897" w:rsidDel="0048287C">
        <w:t xml:space="preserve"> </w:t>
      </w:r>
      <w:r w:rsidR="00F10B27" w:rsidRPr="00132897">
        <w:t xml:space="preserve">– </w:t>
      </w:r>
      <w:r w:rsidRPr="00132897">
        <w:t>implementation and effectiveness</w:t>
      </w:r>
      <w:r w:rsidRPr="00132897">
        <w:rPr>
          <w:b/>
          <w:bCs/>
        </w:rPr>
        <w:t xml:space="preserve"> </w:t>
      </w:r>
      <w:r w:rsidR="00F10B27" w:rsidRPr="00132897">
        <w:rPr>
          <w:b/>
          <w:bCs/>
        </w:rPr>
        <w:t>–</w:t>
      </w:r>
      <w:r w:rsidR="00F10B27">
        <w:rPr>
          <w:b/>
          <w:bCs/>
        </w:rPr>
        <w:t xml:space="preserve"> </w:t>
      </w:r>
      <w:r>
        <w:t xml:space="preserve">define the </w:t>
      </w:r>
      <w:r w:rsidR="00444E00">
        <w:t>framework</w:t>
      </w:r>
      <w:r w:rsidR="00F1688D">
        <w:t xml:space="preserve">’s </w:t>
      </w:r>
      <w:r>
        <w:t>scope and associated monitoring and evaluation activities.</w:t>
      </w:r>
    </w:p>
    <w:p w14:paraId="3C4FDE0B" w14:textId="76461BF3" w:rsidR="00B326C6" w:rsidRDefault="00B326C6" w:rsidP="00B326C6">
      <w:r>
        <w:t xml:space="preserve">The </w:t>
      </w:r>
      <w:r w:rsidR="00444E00">
        <w:t>framework</w:t>
      </w:r>
      <w:r w:rsidR="00F1688D">
        <w:t xml:space="preserve"> </w:t>
      </w:r>
      <w:r>
        <w:t xml:space="preserve">focuses on monitoring public health outcomes and progress against the ambitious priority areas defined in the NIS 2025–2030 </w:t>
      </w:r>
      <w:r w:rsidR="00314BBD" w:rsidRPr="00CD091B">
        <w:rPr>
          <w:rStyle w:val="Hyperlink"/>
        </w:rPr>
        <w:t>(</w:t>
      </w:r>
      <w:hyperlink w:anchor="_Figure_1._National" w:history="1">
        <w:r w:rsidR="00314BBD" w:rsidRPr="00CD091B">
          <w:rPr>
            <w:rStyle w:val="Hyperlink"/>
            <w:rFonts w:eastAsia="MS Mincho"/>
          </w:rPr>
          <w:t>Figure 1</w:t>
        </w:r>
      </w:hyperlink>
      <w:r>
        <w:t xml:space="preserve">). Key evaluation questions to assess effectiveness centre around Priority Areas 1 and 2, with an emphasis on improving immunisation coverage through equitable access, building trust and confidence in immunisation, and the </w:t>
      </w:r>
      <w:r w:rsidR="00BE4748">
        <w:t xml:space="preserve">strategy’s </w:t>
      </w:r>
      <w:r>
        <w:t>overarching mission of reducing the impact of vaccine-preventable diseases (VPDs). Progress against Priority Areas 3 to 6 will be broadly assessed through the implementation domain.</w:t>
      </w:r>
    </w:p>
    <w:p w14:paraId="5F0632DF" w14:textId="11C3C11E" w:rsidR="00B326C6" w:rsidRDefault="00B326C6" w:rsidP="00B326C6">
      <w:r>
        <w:t xml:space="preserve">The </w:t>
      </w:r>
      <w:r w:rsidR="00444E00">
        <w:t>framework</w:t>
      </w:r>
      <w:r w:rsidR="00BE4748">
        <w:t xml:space="preserve"> </w:t>
      </w:r>
      <w:r>
        <w:t>is intended to enable flexibility and adaptiveness through regular reviews of indicators, targets and data sources, and adopting a learning approach. Review of the evaluation domains and questions may also occur to ensure ongoing relevance of monitoring and evaluation activities and to inform development of future strategies.</w:t>
      </w:r>
    </w:p>
    <w:p w14:paraId="2622398B" w14:textId="77777777" w:rsidR="00046D18" w:rsidRPr="00A57F00" w:rsidRDefault="00046D18" w:rsidP="00A57F00">
      <w:bookmarkStart w:id="12" w:name="_Toc220578937"/>
      <w:r w:rsidRPr="00A57F00">
        <w:br w:type="page"/>
      </w:r>
    </w:p>
    <w:p w14:paraId="4470962B" w14:textId="32955673" w:rsidR="00E341B6" w:rsidRDefault="00E341B6" w:rsidP="00B17D75">
      <w:pPr>
        <w:pStyle w:val="Heading2"/>
      </w:pPr>
      <w:bookmarkStart w:id="13" w:name="_Toc227319859"/>
      <w:r w:rsidRPr="00F25E62">
        <w:lastRenderedPageBreak/>
        <w:t xml:space="preserve">Key </w:t>
      </w:r>
      <w:r w:rsidR="008B15BB">
        <w:t>e</w:t>
      </w:r>
      <w:r w:rsidRPr="00F25E62">
        <w:t xml:space="preserve">valuation </w:t>
      </w:r>
      <w:r w:rsidR="008B15BB">
        <w:t>q</w:t>
      </w:r>
      <w:r w:rsidRPr="00F25E62">
        <w:t>uestions</w:t>
      </w:r>
      <w:bookmarkEnd w:id="12"/>
      <w:bookmarkEnd w:id="13"/>
    </w:p>
    <w:p w14:paraId="08ECAD31" w14:textId="77777777" w:rsidR="00B46536" w:rsidRDefault="00B46536" w:rsidP="00B46536">
      <w:pPr>
        <w:rPr>
          <w:i/>
          <w:iCs/>
        </w:rPr>
      </w:pPr>
      <w:r>
        <w:rPr>
          <w:i/>
          <w:iCs/>
        </w:rPr>
        <w:t>Implementation domain</w:t>
      </w:r>
    </w:p>
    <w:p w14:paraId="46B91438" w14:textId="42588E49" w:rsidR="00AC20B7" w:rsidRDefault="00AC20B7" w:rsidP="00D93FF2">
      <w:pPr>
        <w:pStyle w:val="ListParagraph"/>
        <w:numPr>
          <w:ilvl w:val="0"/>
          <w:numId w:val="7"/>
        </w:numPr>
        <w:spacing w:before="0" w:after="160" w:line="279" w:lineRule="auto"/>
      </w:pPr>
      <w:r w:rsidRPr="00E64B8A">
        <w:t>To what extent have jurisdictional</w:t>
      </w:r>
      <w:r w:rsidR="000146AF">
        <w:rPr>
          <w:rStyle w:val="FootnoteReference"/>
        </w:rPr>
        <w:footnoteReference w:id="2"/>
      </w:r>
      <w:r w:rsidRPr="00E64B8A">
        <w:t xml:space="preserve"> action plans been developed and implemented?</w:t>
      </w:r>
    </w:p>
    <w:p w14:paraId="1627CAD5" w14:textId="77777777" w:rsidR="00DC754D" w:rsidRPr="002C2C90" w:rsidRDefault="00DC754D" w:rsidP="00DC754D">
      <w:pPr>
        <w:rPr>
          <w:i/>
          <w:iCs/>
        </w:rPr>
      </w:pPr>
      <w:r>
        <w:rPr>
          <w:i/>
          <w:iCs/>
        </w:rPr>
        <w:t>Effectiveness domain</w:t>
      </w:r>
    </w:p>
    <w:p w14:paraId="0F9D0BDF" w14:textId="77777777" w:rsidR="00DC754D" w:rsidRPr="00E64B8A" w:rsidRDefault="00DC754D" w:rsidP="00D93FF2">
      <w:pPr>
        <w:pStyle w:val="ListParagraph"/>
        <w:numPr>
          <w:ilvl w:val="0"/>
          <w:numId w:val="7"/>
        </w:numPr>
        <w:spacing w:before="0" w:after="160" w:line="279" w:lineRule="auto"/>
      </w:pPr>
      <w:r w:rsidRPr="00E64B8A">
        <w:t xml:space="preserve">Are immunisation coverage rates improving across all age groups and priority populations?  </w:t>
      </w:r>
    </w:p>
    <w:p w14:paraId="16DD3039" w14:textId="0FD6CFC4" w:rsidR="00DC754D" w:rsidRDefault="00DC754D" w:rsidP="00D93FF2">
      <w:pPr>
        <w:pStyle w:val="ListParagraph"/>
        <w:numPr>
          <w:ilvl w:val="0"/>
          <w:numId w:val="7"/>
        </w:numPr>
        <w:spacing w:before="0" w:after="160" w:line="279" w:lineRule="auto"/>
      </w:pPr>
      <w:r>
        <w:t xml:space="preserve">Is access to vaccines more equitable for Aboriginal and Torres Strait Islander People </w:t>
      </w:r>
      <w:r w:rsidR="00C1672D">
        <w:t>and other priority populations?</w:t>
      </w:r>
    </w:p>
    <w:p w14:paraId="3E8FB5C0" w14:textId="77777777" w:rsidR="00DC754D" w:rsidRDefault="00DC754D" w:rsidP="00D93FF2">
      <w:pPr>
        <w:pStyle w:val="ListParagraph"/>
        <w:numPr>
          <w:ilvl w:val="0"/>
          <w:numId w:val="7"/>
        </w:numPr>
        <w:spacing w:before="0" w:after="160" w:line="279" w:lineRule="auto"/>
      </w:pPr>
      <w:r>
        <w:t>Has consumer trust and confidence in vaccines improved?</w:t>
      </w:r>
    </w:p>
    <w:p w14:paraId="5DCEBB23" w14:textId="44DA3FB4" w:rsidR="009F314C" w:rsidRPr="00DF2CE3" w:rsidRDefault="00C1672D" w:rsidP="00DF2CE3">
      <w:pPr>
        <w:pStyle w:val="ListParagraph"/>
        <w:numPr>
          <w:ilvl w:val="0"/>
          <w:numId w:val="7"/>
        </w:numPr>
      </w:pPr>
      <w:r>
        <w:t>A</w:t>
      </w:r>
      <w:r w:rsidR="00516209" w:rsidRPr="00DC754D">
        <w:t>re the incidence and prevalence of VPDs declining</w:t>
      </w:r>
      <w:r>
        <w:t>?</w:t>
      </w:r>
    </w:p>
    <w:p w14:paraId="5917ECEA" w14:textId="22BF7680" w:rsidR="005D53E4" w:rsidRDefault="005D53E4">
      <w:pPr>
        <w:spacing w:before="0" w:after="0" w:line="240" w:lineRule="auto"/>
      </w:pPr>
      <w:r>
        <w:br w:type="page"/>
      </w:r>
    </w:p>
    <w:p w14:paraId="4F6E528C" w14:textId="77777777" w:rsidR="005D53E4" w:rsidRPr="00DC754D" w:rsidRDefault="005D53E4" w:rsidP="005D53E4">
      <w:pPr>
        <w:ind w:left="360"/>
      </w:pPr>
    </w:p>
    <w:p w14:paraId="48AE3868" w14:textId="19E0282D" w:rsidR="00E341B6" w:rsidRPr="00926F78" w:rsidRDefault="007D1CA9" w:rsidP="00B17D75">
      <w:pPr>
        <w:pStyle w:val="Heading2"/>
      </w:pPr>
      <w:bookmarkStart w:id="14" w:name="_Background"/>
      <w:bookmarkStart w:id="15" w:name="_Toc220578938"/>
      <w:bookmarkStart w:id="16" w:name="_Toc227319860"/>
      <w:bookmarkEnd w:id="14"/>
      <w:r w:rsidRPr="00926F78">
        <w:t>Background</w:t>
      </w:r>
      <w:bookmarkEnd w:id="15"/>
      <w:bookmarkEnd w:id="16"/>
    </w:p>
    <w:p w14:paraId="4FD47F09" w14:textId="70D90655" w:rsidR="009C6F9F" w:rsidRDefault="009C6F9F" w:rsidP="009C6F9F">
      <w:r>
        <w:t xml:space="preserve">The NIS 2025–2030, released by the Interim Australian Centre for Disease Control in </w:t>
      </w:r>
      <w:r w:rsidR="00C04322">
        <w:t xml:space="preserve">May </w:t>
      </w:r>
      <w:r>
        <w:t xml:space="preserve">2025, provides a strategic pathway to increase and sustain immunisation uptake in Australia over the next </w:t>
      </w:r>
      <w:r w:rsidR="00240340">
        <w:t xml:space="preserve">5 </w:t>
      </w:r>
      <w:r>
        <w:t>years.</w:t>
      </w:r>
      <w:r>
        <w:rPr>
          <w:vertAlign w:val="superscript"/>
        </w:rPr>
        <w:t>2</w:t>
      </w:r>
      <w:r>
        <w:t xml:space="preserve"> With a vision for a healthier Australia through immunisation, the NIS 2025–2030 sets a mission to reduce the impact of VPDs in Australia through high uptake of safe, effective and equitable immunisation across the lifespan of the Australian population. The NIS 2025–2030 outlines </w:t>
      </w:r>
      <w:r w:rsidR="00240340">
        <w:t xml:space="preserve">6 </w:t>
      </w:r>
      <w:r>
        <w:t>priority areas, each with strategic goals, towards which immunisation policy and program efforts will be directed (</w:t>
      </w:r>
      <w:hyperlink w:anchor="_Figure_1._National" w:history="1">
        <w:r w:rsidRPr="00CF37D0">
          <w:rPr>
            <w:rStyle w:val="Hyperlink"/>
            <w:color w:val="004F88"/>
          </w:rPr>
          <w:t>Figure 1</w:t>
        </w:r>
      </w:hyperlink>
      <w:r w:rsidRPr="00CF37D0">
        <w:rPr>
          <w:color w:val="004F88"/>
        </w:rPr>
        <w:t xml:space="preserve">, </w:t>
      </w:r>
      <w:hyperlink w:anchor="_Appendix_2:_NIS" w:history="1">
        <w:r w:rsidRPr="00CF37D0">
          <w:rPr>
            <w:rStyle w:val="Hyperlink"/>
            <w:color w:val="004F88"/>
          </w:rPr>
          <w:t>Appendix 2</w:t>
        </w:r>
      </w:hyperlink>
      <w:r>
        <w:t>).</w:t>
      </w:r>
    </w:p>
    <w:p w14:paraId="18B5D37C" w14:textId="22A2698E" w:rsidR="003102CF" w:rsidRPr="00A9485A" w:rsidRDefault="003102CF" w:rsidP="00A9485A">
      <w:pPr>
        <w:pStyle w:val="FigureTitle"/>
        <w:rPr>
          <w:rStyle w:val="Strong"/>
          <w:b/>
          <w:bCs/>
        </w:rPr>
      </w:pPr>
      <w:bookmarkStart w:id="17" w:name="_Figure_1._National"/>
      <w:bookmarkStart w:id="18" w:name="_Ref218683532"/>
      <w:bookmarkEnd w:id="17"/>
      <w:r w:rsidRPr="00A9485A">
        <w:rPr>
          <w:rStyle w:val="Strong"/>
          <w:b/>
          <w:bCs/>
        </w:rPr>
        <w:t xml:space="preserve">Figure 1. National Immunisation Strategy for Australia 2025–2030 </w:t>
      </w:r>
      <w:r w:rsidR="00DF2CE3">
        <w:rPr>
          <w:rStyle w:val="Strong"/>
          <w:b/>
          <w:bCs/>
        </w:rPr>
        <w:t>–</w:t>
      </w:r>
      <w:r w:rsidR="00084716">
        <w:rPr>
          <w:rStyle w:val="Strong"/>
          <w:b/>
          <w:bCs/>
        </w:rPr>
        <w:t xml:space="preserve"> </w:t>
      </w:r>
      <w:r w:rsidRPr="00A9485A">
        <w:rPr>
          <w:rStyle w:val="Strong"/>
          <w:b/>
          <w:bCs/>
        </w:rPr>
        <w:t>Vision, Mission and Priority Areas</w:t>
      </w:r>
      <w:bookmarkEnd w:id="18"/>
    </w:p>
    <w:p w14:paraId="7210BDBC" w14:textId="4211385B" w:rsidR="00154DDA" w:rsidRDefault="00F50DBB" w:rsidP="001E6340">
      <w:pPr>
        <w:rPr>
          <w:b/>
          <w:bCs/>
        </w:rPr>
      </w:pPr>
      <w:bookmarkStart w:id="19" w:name="_Toc220578939"/>
      <w:r>
        <w:rPr>
          <w:noProof/>
        </w:rPr>
        <w:drawing>
          <wp:inline distT="0" distB="0" distL="0" distR="0" wp14:anchorId="43AC9415" wp14:editId="689A2671">
            <wp:extent cx="5724525" cy="3629025"/>
            <wp:effectExtent l="0" t="0" r="0" b="0"/>
            <wp:docPr id="1341957604" name="drawing" descr="A diagram of a health care system, noting the vision, mission and 6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7604" name="drawing" descr="A diagram of a health care system, noting the vision, mission and 6 priority areas."/>
                    <pic:cNvPicPr/>
                  </pic:nvPicPr>
                  <pic:blipFill>
                    <a:blip r:embed="rId17">
                      <a:extLst>
                        <a:ext uri="{28A0092B-C50C-407E-A947-70E740481C1C}">
                          <a14:useLocalDpi xmlns:a14="http://schemas.microsoft.com/office/drawing/2010/main"/>
                        </a:ext>
                      </a:extLst>
                    </a:blip>
                    <a:stretch>
                      <a:fillRect/>
                    </a:stretch>
                  </pic:blipFill>
                  <pic:spPr>
                    <a:xfrm>
                      <a:off x="0" y="0"/>
                      <a:ext cx="5724525" cy="3629025"/>
                    </a:xfrm>
                    <a:prstGeom prst="rect">
                      <a:avLst/>
                    </a:prstGeom>
                  </pic:spPr>
                </pic:pic>
              </a:graphicData>
            </a:graphic>
          </wp:inline>
        </w:drawing>
      </w:r>
      <w:bookmarkStart w:id="20" w:name="_Toc220577851"/>
      <w:bookmarkStart w:id="21" w:name="_Toc220578940"/>
      <w:bookmarkEnd w:id="19"/>
    </w:p>
    <w:p w14:paraId="06B8DB7A" w14:textId="5EFCA168" w:rsidR="001E6340" w:rsidRPr="001E6340" w:rsidRDefault="001E6340" w:rsidP="00B17D75">
      <w:pPr>
        <w:pStyle w:val="Heading2"/>
      </w:pPr>
      <w:bookmarkStart w:id="22" w:name="_Toc227319861"/>
      <w:r w:rsidRPr="001E6340">
        <w:t xml:space="preserve">Guiding </w:t>
      </w:r>
      <w:r w:rsidR="008B15BB">
        <w:t>p</w:t>
      </w:r>
      <w:r w:rsidRPr="001E6340">
        <w:t>rinciples</w:t>
      </w:r>
      <w:bookmarkEnd w:id="22"/>
    </w:p>
    <w:bookmarkEnd w:id="20"/>
    <w:bookmarkEnd w:id="21"/>
    <w:p w14:paraId="084F934F" w14:textId="79B890B8" w:rsidR="00D02948" w:rsidRDefault="00D02948" w:rsidP="00D02948">
      <w:r>
        <w:t xml:space="preserve">Seven guiding principles underpin the development, governance and implementation of the </w:t>
      </w:r>
      <w:r w:rsidR="00444E00">
        <w:t>framework</w:t>
      </w:r>
      <w:r w:rsidR="00F85584">
        <w:t xml:space="preserve"> </w:t>
      </w:r>
      <w:r>
        <w:t>(</w:t>
      </w:r>
      <w:hyperlink w:anchor="_Figure_2._Guiding" w:history="1">
        <w:r w:rsidRPr="003C7225">
          <w:rPr>
            <w:rStyle w:val="Hyperlink"/>
          </w:rPr>
          <w:t>Figure 2</w:t>
        </w:r>
      </w:hyperlink>
      <w:r>
        <w:t xml:space="preserve">). These principles ensure that the </w:t>
      </w:r>
      <w:r w:rsidR="00F85584">
        <w:t>f</w:t>
      </w:r>
      <w:r>
        <w:t>ramework is closely aligned with the NIS 2025–2030’s strategic priorities.</w:t>
      </w:r>
    </w:p>
    <w:p w14:paraId="31430C20" w14:textId="7434E30A" w:rsidR="00087353" w:rsidRDefault="00087353">
      <w:pPr>
        <w:spacing w:before="0" w:after="0" w:line="240" w:lineRule="auto"/>
      </w:pPr>
      <w:r>
        <w:br w:type="page"/>
      </w:r>
    </w:p>
    <w:p w14:paraId="76B61782" w14:textId="3894DEED" w:rsidR="00B90F0F" w:rsidRPr="00746317" w:rsidRDefault="00B90F0F" w:rsidP="00A9485A">
      <w:pPr>
        <w:pStyle w:val="FigureTitle"/>
        <w:rPr>
          <w:rStyle w:val="Strong"/>
          <w:b/>
          <w:bCs/>
        </w:rPr>
      </w:pPr>
      <w:bookmarkStart w:id="23" w:name="_Figure_2._Guiding"/>
      <w:bookmarkEnd w:id="23"/>
      <w:r w:rsidRPr="00746317">
        <w:rPr>
          <w:rStyle w:val="Strong"/>
          <w:b/>
          <w:bCs/>
        </w:rPr>
        <w:lastRenderedPageBreak/>
        <w:t xml:space="preserve">Figure 2. Guiding principles for </w:t>
      </w:r>
      <w:r w:rsidR="0087405B">
        <w:rPr>
          <w:rStyle w:val="Strong"/>
          <w:b/>
          <w:bCs/>
        </w:rPr>
        <w:t>this framework</w:t>
      </w:r>
    </w:p>
    <w:p w14:paraId="5AA4A296" w14:textId="78FE3C31" w:rsidR="00765245" w:rsidRPr="00765245" w:rsidRDefault="00765245" w:rsidP="00765245">
      <w:r>
        <w:rPr>
          <w:noProof/>
        </w:rPr>
        <w:drawing>
          <wp:inline distT="0" distB="0" distL="0" distR="0" wp14:anchorId="4C580CA0" wp14:editId="375A8FE3">
            <wp:extent cx="5759450" cy="3833513"/>
            <wp:effectExtent l="0" t="0" r="0" b="0"/>
            <wp:docPr id="530676801" name="drawing" descr="A diagram displaying guiding principles for the Monitoring, Evaluation and Learning Framework for the National Immunisation Strategy for Australia 202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6801" name="drawing" descr="A diagram displaying guiding principles for the Monitoring, Evaluation and Learning Framework for the National Immunisation Strategy for Australia 2025–2030"/>
                    <pic:cNvPicPr/>
                  </pic:nvPicPr>
                  <pic:blipFill>
                    <a:blip r:embed="rId18">
                      <a:extLst>
                        <a:ext uri="{28A0092B-C50C-407E-A947-70E740481C1C}">
                          <a14:useLocalDpi xmlns:a14="http://schemas.microsoft.com/office/drawing/2010/main"/>
                        </a:ext>
                      </a:extLst>
                    </a:blip>
                    <a:stretch>
                      <a:fillRect/>
                    </a:stretch>
                  </pic:blipFill>
                  <pic:spPr>
                    <a:xfrm>
                      <a:off x="0" y="0"/>
                      <a:ext cx="5759450" cy="3833513"/>
                    </a:xfrm>
                    <a:prstGeom prst="rect">
                      <a:avLst/>
                    </a:prstGeom>
                  </pic:spPr>
                </pic:pic>
              </a:graphicData>
            </a:graphic>
          </wp:inline>
        </w:drawing>
      </w:r>
    </w:p>
    <w:p w14:paraId="4EA506FB" w14:textId="284EC0BF" w:rsidR="000339CF" w:rsidRDefault="000339CF" w:rsidP="000339CF">
      <w:pPr>
        <w:rPr>
          <w:u w:val="single"/>
        </w:rPr>
      </w:pPr>
      <w:r w:rsidRPr="000339CF">
        <w:rPr>
          <w:u w:val="single"/>
        </w:rPr>
        <w:t xml:space="preserve">Summary of the </w:t>
      </w:r>
      <w:r w:rsidR="0087405B">
        <w:rPr>
          <w:u w:val="single"/>
        </w:rPr>
        <w:t>f</w:t>
      </w:r>
      <w:r w:rsidR="0087405B" w:rsidRPr="000339CF">
        <w:rPr>
          <w:u w:val="single"/>
        </w:rPr>
        <w:t xml:space="preserve">ramework’s </w:t>
      </w:r>
      <w:r w:rsidR="0087405B">
        <w:rPr>
          <w:u w:val="single"/>
        </w:rPr>
        <w:t>7</w:t>
      </w:r>
      <w:r w:rsidR="0087405B" w:rsidRPr="000339CF">
        <w:rPr>
          <w:u w:val="single"/>
        </w:rPr>
        <w:t xml:space="preserve"> </w:t>
      </w:r>
      <w:r w:rsidR="0087405B">
        <w:rPr>
          <w:u w:val="single"/>
        </w:rPr>
        <w:t>g</w:t>
      </w:r>
      <w:r w:rsidR="0087405B" w:rsidRPr="000339CF">
        <w:rPr>
          <w:u w:val="single"/>
        </w:rPr>
        <w:t xml:space="preserve">uiding </w:t>
      </w:r>
      <w:r w:rsidR="0087405B">
        <w:rPr>
          <w:u w:val="single"/>
        </w:rPr>
        <w:t>p</w:t>
      </w:r>
      <w:r w:rsidR="0087405B" w:rsidRPr="000339CF">
        <w:rPr>
          <w:u w:val="single"/>
        </w:rPr>
        <w:t>rinciples</w:t>
      </w:r>
      <w:r>
        <w:rPr>
          <w:u w:val="single"/>
        </w:rPr>
        <w:t>:</w:t>
      </w:r>
    </w:p>
    <w:p w14:paraId="56B6B3C4" w14:textId="661E9742" w:rsidR="00CB4CD4" w:rsidRPr="00F10CF0" w:rsidRDefault="00CB4CD4" w:rsidP="00D93FF2">
      <w:pPr>
        <w:numPr>
          <w:ilvl w:val="0"/>
          <w:numId w:val="8"/>
        </w:numPr>
        <w:spacing w:before="0" w:after="160" w:line="279" w:lineRule="auto"/>
      </w:pPr>
      <w:r w:rsidRPr="00F10CF0">
        <w:rPr>
          <w:b/>
          <w:bCs/>
        </w:rPr>
        <w:t xml:space="preserve">Strategic </w:t>
      </w:r>
      <w:r w:rsidR="0087405B">
        <w:rPr>
          <w:b/>
          <w:bCs/>
        </w:rPr>
        <w:t>a</w:t>
      </w:r>
      <w:r w:rsidR="0087405B" w:rsidRPr="00F10CF0">
        <w:rPr>
          <w:b/>
          <w:bCs/>
        </w:rPr>
        <w:t>lignment</w:t>
      </w:r>
      <w:r w:rsidRPr="00F10CF0">
        <w:rPr>
          <w:b/>
          <w:bCs/>
        </w:rPr>
        <w:t>:</w:t>
      </w:r>
      <w:r w:rsidRPr="00F10CF0">
        <w:t xml:space="preserve"> Alignment to strategic goals and indicators mapped to desired outcomes.</w:t>
      </w:r>
    </w:p>
    <w:p w14:paraId="3A1B4C7B" w14:textId="3E9DABEC" w:rsidR="00CB4CD4" w:rsidRPr="00F10CF0" w:rsidRDefault="00CB4CD4" w:rsidP="00D93FF2">
      <w:pPr>
        <w:numPr>
          <w:ilvl w:val="0"/>
          <w:numId w:val="8"/>
        </w:numPr>
        <w:spacing w:before="0" w:after="160" w:line="279" w:lineRule="auto"/>
      </w:pPr>
      <w:r w:rsidRPr="00F10CF0">
        <w:rPr>
          <w:b/>
          <w:bCs/>
        </w:rPr>
        <w:t xml:space="preserve">Equity and </w:t>
      </w:r>
      <w:r w:rsidR="009B3726">
        <w:rPr>
          <w:b/>
          <w:bCs/>
        </w:rPr>
        <w:t>i</w:t>
      </w:r>
      <w:r w:rsidRPr="00F10CF0">
        <w:rPr>
          <w:b/>
          <w:bCs/>
        </w:rPr>
        <w:t>nclusion</w:t>
      </w:r>
      <w:r w:rsidRPr="00F10CF0">
        <w:t>: Equity embedded as a core principle.</w:t>
      </w:r>
    </w:p>
    <w:p w14:paraId="4451E233" w14:textId="41D95A9F" w:rsidR="00CB4CD4" w:rsidRPr="00F10CF0" w:rsidRDefault="00CB4CD4" w:rsidP="00D93FF2">
      <w:pPr>
        <w:numPr>
          <w:ilvl w:val="0"/>
          <w:numId w:val="8"/>
        </w:numPr>
        <w:spacing w:before="0" w:after="160" w:line="279" w:lineRule="auto"/>
      </w:pPr>
      <w:r w:rsidRPr="00F10CF0">
        <w:rPr>
          <w:b/>
          <w:bCs/>
        </w:rPr>
        <w:t xml:space="preserve">Transparency and </w:t>
      </w:r>
      <w:r w:rsidR="0087405B">
        <w:rPr>
          <w:b/>
          <w:bCs/>
        </w:rPr>
        <w:t>a</w:t>
      </w:r>
      <w:r w:rsidR="0087405B" w:rsidRPr="00F10CF0">
        <w:rPr>
          <w:b/>
          <w:bCs/>
        </w:rPr>
        <w:t>ccountability</w:t>
      </w:r>
      <w:r w:rsidRPr="00F10CF0">
        <w:rPr>
          <w:b/>
          <w:bCs/>
        </w:rPr>
        <w:t>:</w:t>
      </w:r>
      <w:r w:rsidRPr="00F10CF0">
        <w:t xml:space="preserve"> Clear reporting mechanisms and open access to evaluation findings.</w:t>
      </w:r>
    </w:p>
    <w:p w14:paraId="145F9E5D" w14:textId="37EB6363" w:rsidR="00CB4CD4" w:rsidRPr="00F10CF0" w:rsidRDefault="00CB4CD4" w:rsidP="00D93FF2">
      <w:pPr>
        <w:numPr>
          <w:ilvl w:val="0"/>
          <w:numId w:val="8"/>
        </w:numPr>
        <w:spacing w:before="0" w:after="160" w:line="279" w:lineRule="auto"/>
      </w:pPr>
      <w:r w:rsidRPr="00F10CF0">
        <w:rPr>
          <w:b/>
          <w:bCs/>
        </w:rPr>
        <w:t xml:space="preserve">Collaborative </w:t>
      </w:r>
      <w:r w:rsidR="0087405B">
        <w:rPr>
          <w:b/>
          <w:bCs/>
        </w:rPr>
        <w:t>g</w:t>
      </w:r>
      <w:r w:rsidR="0087405B" w:rsidRPr="00F10CF0">
        <w:rPr>
          <w:b/>
          <w:bCs/>
        </w:rPr>
        <w:t>overnance</w:t>
      </w:r>
      <w:r w:rsidRPr="00F10CF0">
        <w:t xml:space="preserve">: Shared ownership of </w:t>
      </w:r>
      <w:r w:rsidR="00F11495">
        <w:t>f</w:t>
      </w:r>
      <w:r>
        <w:t>ramework</w:t>
      </w:r>
      <w:r w:rsidRPr="00F10CF0">
        <w:t xml:space="preserve"> across jurisdictions and sectors.</w:t>
      </w:r>
    </w:p>
    <w:p w14:paraId="334B157A" w14:textId="70452B96" w:rsidR="00CB4CD4" w:rsidRPr="00F10CF0" w:rsidRDefault="00CB4CD4" w:rsidP="00D93FF2">
      <w:pPr>
        <w:numPr>
          <w:ilvl w:val="0"/>
          <w:numId w:val="8"/>
        </w:numPr>
        <w:spacing w:before="0" w:after="160" w:line="279" w:lineRule="auto"/>
      </w:pPr>
      <w:r w:rsidRPr="00F10CF0">
        <w:rPr>
          <w:b/>
          <w:bCs/>
        </w:rPr>
        <w:t>Evidence-</w:t>
      </w:r>
      <w:r w:rsidR="0087405B">
        <w:rPr>
          <w:b/>
          <w:bCs/>
        </w:rPr>
        <w:t>i</w:t>
      </w:r>
      <w:r w:rsidR="0087405B" w:rsidRPr="00F10CF0">
        <w:rPr>
          <w:b/>
          <w:bCs/>
        </w:rPr>
        <w:t xml:space="preserve">nformed </w:t>
      </w:r>
      <w:r w:rsidR="0087405B">
        <w:rPr>
          <w:b/>
          <w:bCs/>
        </w:rPr>
        <w:t>d</w:t>
      </w:r>
      <w:r w:rsidR="0087405B" w:rsidRPr="00F10CF0">
        <w:rPr>
          <w:b/>
          <w:bCs/>
        </w:rPr>
        <w:t xml:space="preserve">ecision </w:t>
      </w:r>
      <w:r w:rsidR="0087405B">
        <w:rPr>
          <w:b/>
          <w:bCs/>
        </w:rPr>
        <w:t>m</w:t>
      </w:r>
      <w:r w:rsidR="0087405B" w:rsidRPr="00F10CF0">
        <w:rPr>
          <w:b/>
          <w:bCs/>
        </w:rPr>
        <w:t>aking</w:t>
      </w:r>
      <w:r w:rsidRPr="00F10CF0">
        <w:t xml:space="preserve">: Analysis and interpretation </w:t>
      </w:r>
      <w:r>
        <w:t>c</w:t>
      </w:r>
      <w:r w:rsidRPr="00F10CF0">
        <w:t>apacity built and integrated into policy cycles.</w:t>
      </w:r>
    </w:p>
    <w:p w14:paraId="6283ABEE" w14:textId="28A60F48" w:rsidR="00CB4CD4" w:rsidRPr="00F10CF0" w:rsidRDefault="00CB4CD4" w:rsidP="00D93FF2">
      <w:pPr>
        <w:numPr>
          <w:ilvl w:val="0"/>
          <w:numId w:val="8"/>
        </w:numPr>
        <w:spacing w:before="0" w:after="160" w:line="279" w:lineRule="auto"/>
      </w:pPr>
      <w:r w:rsidRPr="00F10CF0">
        <w:rPr>
          <w:b/>
          <w:bCs/>
        </w:rPr>
        <w:t xml:space="preserve">Adaptability and </w:t>
      </w:r>
      <w:r w:rsidR="0087405B">
        <w:rPr>
          <w:b/>
          <w:bCs/>
        </w:rPr>
        <w:t>c</w:t>
      </w:r>
      <w:r w:rsidR="0087405B" w:rsidRPr="00F10CF0">
        <w:rPr>
          <w:b/>
          <w:bCs/>
        </w:rPr>
        <w:t xml:space="preserve">ontinuous </w:t>
      </w:r>
      <w:r w:rsidR="0087405B">
        <w:rPr>
          <w:b/>
          <w:bCs/>
        </w:rPr>
        <w:t>i</w:t>
      </w:r>
      <w:r w:rsidR="0087405B" w:rsidRPr="00F10CF0">
        <w:rPr>
          <w:b/>
          <w:bCs/>
        </w:rPr>
        <w:t>mprovement</w:t>
      </w:r>
      <w:r w:rsidRPr="00F10CF0">
        <w:t>: Flexibility to accommodate changing priorities, technologies and public health challenges.</w:t>
      </w:r>
    </w:p>
    <w:p w14:paraId="7067B5A8" w14:textId="05A50551" w:rsidR="00CB4CD4" w:rsidRPr="00F10CF0" w:rsidRDefault="00CB4CD4" w:rsidP="00D93FF2">
      <w:pPr>
        <w:numPr>
          <w:ilvl w:val="0"/>
          <w:numId w:val="8"/>
        </w:numPr>
        <w:spacing w:before="0" w:after="160" w:line="279" w:lineRule="auto"/>
      </w:pPr>
      <w:r w:rsidRPr="00F10CF0">
        <w:rPr>
          <w:b/>
          <w:bCs/>
        </w:rPr>
        <w:t xml:space="preserve">Efficiency and </w:t>
      </w:r>
      <w:r w:rsidR="0087405B">
        <w:rPr>
          <w:b/>
          <w:bCs/>
        </w:rPr>
        <w:t>s</w:t>
      </w:r>
      <w:r w:rsidR="0087405B" w:rsidRPr="00F10CF0">
        <w:rPr>
          <w:b/>
          <w:bCs/>
        </w:rPr>
        <w:t>ustainability</w:t>
      </w:r>
      <w:r w:rsidRPr="00F10CF0">
        <w:t>: Data collection processes streamlined and existing system</w:t>
      </w:r>
      <w:r>
        <w:t>s</w:t>
      </w:r>
      <w:r w:rsidRPr="00F10CF0">
        <w:t xml:space="preserve"> and partnership</w:t>
      </w:r>
      <w:r>
        <w:t>s</w:t>
      </w:r>
      <w:r w:rsidRPr="00F10CF0">
        <w:t xml:space="preserve"> leveraged.</w:t>
      </w:r>
    </w:p>
    <w:p w14:paraId="392B0F57" w14:textId="52930433" w:rsidR="003E5609" w:rsidRDefault="003E5609" w:rsidP="00305985">
      <w:pPr>
        <w:pStyle w:val="Heading1"/>
      </w:pPr>
      <w:bookmarkStart w:id="24" w:name="_Toc220578941"/>
      <w:bookmarkStart w:id="25" w:name="_Toc227319862"/>
      <w:r>
        <w:lastRenderedPageBreak/>
        <w:t xml:space="preserve">Governance of the </w:t>
      </w:r>
      <w:r w:rsidR="00F11495">
        <w:t>f</w:t>
      </w:r>
      <w:r>
        <w:t>ramework</w:t>
      </w:r>
      <w:bookmarkEnd w:id="24"/>
      <w:bookmarkEnd w:id="25"/>
    </w:p>
    <w:p w14:paraId="10946E97" w14:textId="68930BE7" w:rsidR="00A4550F" w:rsidRDefault="00A4550F" w:rsidP="00A4550F">
      <w:r>
        <w:t xml:space="preserve">The Australian Centre for Disease Control (CDC) holds primary responsibility for the implementation and maintenance of the </w:t>
      </w:r>
      <w:r w:rsidR="005B645A">
        <w:t>f</w:t>
      </w:r>
      <w:r>
        <w:t xml:space="preserve">ramework. The CDC will ensure the collation of learnings and communication of findings generated by </w:t>
      </w:r>
      <w:r w:rsidR="005B645A">
        <w:t>f</w:t>
      </w:r>
      <w:r>
        <w:t>ramework activities to inform ongoing implementation of the NIS 2025–2030 and broader immunisation policy.</w:t>
      </w:r>
    </w:p>
    <w:p w14:paraId="20C53FE5" w14:textId="77777777" w:rsidR="00DF2CE3" w:rsidRDefault="00A4550F" w:rsidP="00A4550F">
      <w:pPr>
        <w:rPr>
          <w:rFonts w:cs="Segoe UI"/>
        </w:rPr>
      </w:pPr>
      <w:r w:rsidRPr="2F2CD80D">
        <w:rPr>
          <w:rFonts w:cs="Segoe UI"/>
        </w:rPr>
        <w:t xml:space="preserve">Strong governance and advisory mechanisms </w:t>
      </w:r>
      <w:r>
        <w:t>(</w:t>
      </w:r>
      <w:hyperlink w:anchor="_Figure_3:_Governance" w:history="1">
        <w:r w:rsidRPr="00CE7715">
          <w:rPr>
            <w:rStyle w:val="Hyperlink"/>
            <w:color w:val="007BB8"/>
          </w:rPr>
          <w:t>Figure 3</w:t>
        </w:r>
      </w:hyperlink>
      <w:r>
        <w:t>) c</w:t>
      </w:r>
      <w:r w:rsidRPr="2F2CD80D">
        <w:rPr>
          <w:rFonts w:cs="Segoe UI"/>
        </w:rPr>
        <w:t xml:space="preserve">losely aligned to </w:t>
      </w:r>
      <w:r>
        <w:rPr>
          <w:rFonts w:cs="Segoe UI"/>
        </w:rPr>
        <w:t>National Immunisation Strategy Implementation Plan (NIS IP)</w:t>
      </w:r>
      <w:r w:rsidRPr="2F2CD80D">
        <w:rPr>
          <w:rFonts w:cs="Segoe UI"/>
        </w:rPr>
        <w:t xml:space="preserve"> governance structures will bring stakeholders together to guide implementation and review of the </w:t>
      </w:r>
      <w:r w:rsidR="005B645A">
        <w:rPr>
          <w:rFonts w:cs="Segoe UI"/>
        </w:rPr>
        <w:t>f</w:t>
      </w:r>
      <w:r w:rsidRPr="2F2CD80D">
        <w:rPr>
          <w:rFonts w:cs="Segoe UI"/>
        </w:rPr>
        <w:t xml:space="preserve">ramework, </w:t>
      </w:r>
      <w:r>
        <w:rPr>
          <w:rFonts w:cs="Segoe UI"/>
        </w:rPr>
        <w:t>and</w:t>
      </w:r>
      <w:r w:rsidRPr="2F2CD80D">
        <w:rPr>
          <w:rFonts w:cs="Segoe UI"/>
        </w:rPr>
        <w:t xml:space="preserve"> oversight of activities and related reports</w:t>
      </w:r>
      <w:r w:rsidR="00DF2CE3">
        <w:rPr>
          <w:rFonts w:cs="Segoe UI"/>
        </w:rPr>
        <w:t>.</w:t>
      </w:r>
    </w:p>
    <w:p w14:paraId="3A77CD29" w14:textId="26C9A4D5" w:rsidR="0071397D" w:rsidRPr="00C20037" w:rsidRDefault="0071397D" w:rsidP="00A9485A">
      <w:pPr>
        <w:pStyle w:val="FigureTitle"/>
      </w:pPr>
      <w:bookmarkStart w:id="26" w:name="_Figure_3:_Governance"/>
      <w:bookmarkEnd w:id="26"/>
      <w:r w:rsidRPr="00C20037">
        <w:t xml:space="preserve">Figure 3: Governance of the </w:t>
      </w:r>
      <w:r w:rsidR="00F11495">
        <w:t>m</w:t>
      </w:r>
      <w:r w:rsidRPr="00C20037">
        <w:t xml:space="preserve">onitoring, </w:t>
      </w:r>
      <w:r w:rsidR="005B645A">
        <w:t>e</w:t>
      </w:r>
      <w:r w:rsidRPr="00C20037">
        <w:t xml:space="preserve">valuation and </w:t>
      </w:r>
      <w:r w:rsidR="005B645A">
        <w:t>l</w:t>
      </w:r>
      <w:r w:rsidRPr="00C20037">
        <w:t xml:space="preserve">earning </w:t>
      </w:r>
      <w:r w:rsidR="005B645A">
        <w:t>f</w:t>
      </w:r>
      <w:r w:rsidRPr="00C20037">
        <w:t xml:space="preserve">ramework for the National Immunisation Strategy for Australia 2025–2030  </w:t>
      </w:r>
    </w:p>
    <w:p w14:paraId="5E5B1FAB" w14:textId="68DAD53C" w:rsidR="004A4155" w:rsidRPr="004A4155" w:rsidRDefault="004A4155" w:rsidP="004A4155">
      <w:r>
        <w:rPr>
          <w:noProof/>
        </w:rPr>
        <w:drawing>
          <wp:inline distT="0" distB="0" distL="0" distR="0" wp14:anchorId="2E335124" wp14:editId="2D377697">
            <wp:extent cx="5344795" cy="5029200"/>
            <wp:effectExtent l="0" t="0" r="8255" b="0"/>
            <wp:docPr id="933373814" name="Picture 1" descr="A group of rectangular boxes with text displaying the Governance of the Monitoring, Evaluation and Learning Framework for the National Immunisation Strategy for Australia 202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73814" name="Picture 1" descr="A group of rectangular boxes with text displaying the Governance of the Monitoring, Evaluation and Learning Framework for the National Immunisation Strategy for Australia 2025–20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5143" cy="5029527"/>
                    </a:xfrm>
                    <a:prstGeom prst="rect">
                      <a:avLst/>
                    </a:prstGeom>
                  </pic:spPr>
                </pic:pic>
              </a:graphicData>
            </a:graphic>
          </wp:inline>
        </w:drawing>
      </w:r>
    </w:p>
    <w:p w14:paraId="537622CC" w14:textId="77777777" w:rsidR="00DF2CE3" w:rsidRDefault="00702ED6" w:rsidP="00702ED6">
      <w:pPr>
        <w:rPr>
          <w:rFonts w:cs="Arial"/>
          <w:sz w:val="16"/>
          <w:szCs w:val="16"/>
        </w:rPr>
      </w:pPr>
      <w:r w:rsidRPr="00702ED6">
        <w:rPr>
          <w:rFonts w:cs="Arial"/>
          <w:b/>
          <w:bCs/>
          <w:sz w:val="16"/>
          <w:szCs w:val="16"/>
        </w:rPr>
        <w:t>Abbreviations:</w:t>
      </w:r>
      <w:r w:rsidRPr="00702ED6">
        <w:rPr>
          <w:rFonts w:cs="Arial"/>
          <w:sz w:val="16"/>
          <w:szCs w:val="16"/>
        </w:rPr>
        <w:t> AHPC - Australian Health Protection Committee; CDC – Australian Centre for Disease Control; DHDA – Department of Health, Disability and Ageing; M&amp;E – Monitoring and Evaluation; NIS – National Immunisation Strategy; NIS IP – National Immunisation Strategy Implementation Plan</w:t>
      </w:r>
      <w:r w:rsidR="00DF2CE3">
        <w:rPr>
          <w:rFonts w:cs="Arial"/>
          <w:sz w:val="16"/>
          <w:szCs w:val="16"/>
        </w:rPr>
        <w:t>.</w:t>
      </w:r>
    </w:p>
    <w:p w14:paraId="0AFB52B3" w14:textId="77777777" w:rsidR="00DF2CE3" w:rsidRDefault="00B40AFC" w:rsidP="00B40AFC">
      <w:r>
        <w:rPr>
          <w:rFonts w:cs="Segoe UI"/>
        </w:rPr>
        <w:lastRenderedPageBreak/>
        <w:t xml:space="preserve">The NIS IP Strategic Reference Group (SRG) will maintain strategic oversight of monitoring and evaluation activities. </w:t>
      </w:r>
      <w:r>
        <w:t>A Monitoring and Evaluation (</w:t>
      </w:r>
      <w:r w:rsidR="00826312">
        <w:t>‘</w:t>
      </w:r>
      <w:r>
        <w:t>M&amp;</w:t>
      </w:r>
      <w:proofErr w:type="gramStart"/>
      <w:r>
        <w:t>E</w:t>
      </w:r>
      <w:r w:rsidR="00826312">
        <w:t>‘</w:t>
      </w:r>
      <w:proofErr w:type="gramEnd"/>
      <w:r w:rsidR="00826312">
        <w:t xml:space="preserve">) </w:t>
      </w:r>
      <w:r>
        <w:t>Working Group with external representatives will provide technical and operational input, including review and monitoring and evaluation results</w:t>
      </w:r>
      <w:r w:rsidR="00DF2CE3">
        <w:t>.</w:t>
      </w:r>
    </w:p>
    <w:p w14:paraId="304B6A61" w14:textId="77777777" w:rsidR="00DF2CE3" w:rsidRDefault="00B40AFC" w:rsidP="00B40AFC">
      <w:r>
        <w:t xml:space="preserve">Implementation of the </w:t>
      </w:r>
      <w:r w:rsidR="005B645A">
        <w:t>f</w:t>
      </w:r>
      <w:r>
        <w:t xml:space="preserve">ramework will be guided by a strong commitment to ethics, equity and cultural governance throughout. Activities conducted under the </w:t>
      </w:r>
      <w:r w:rsidR="005B645A">
        <w:t>f</w:t>
      </w:r>
      <w:r>
        <w:t xml:space="preserve">ramework will align with established ethical guidelines, including the National Health and Medical Research Council’s </w:t>
      </w:r>
      <w:r w:rsidRPr="007B74FA">
        <w:t>National Statement on Ethical Conduct in Human Research 2023</w:t>
      </w:r>
      <w:r w:rsidRPr="007B74FA">
        <w:rPr>
          <w:vertAlign w:val="superscript"/>
        </w:rPr>
        <w:t>3</w:t>
      </w:r>
      <w:r w:rsidRPr="007B74FA">
        <w:t xml:space="preserve"> and FAIR (Findable, Accessible, Interoperable, Reusable)</w:t>
      </w:r>
      <w:r w:rsidRPr="007B74FA">
        <w:rPr>
          <w:vertAlign w:val="superscript"/>
        </w:rPr>
        <w:t xml:space="preserve">4 </w:t>
      </w:r>
      <w:r w:rsidRPr="007B74FA">
        <w:t>principles for research data</w:t>
      </w:r>
      <w:r w:rsidR="00DF2CE3">
        <w:t>.</w:t>
      </w:r>
    </w:p>
    <w:p w14:paraId="10AF9905" w14:textId="66A0578B" w:rsidR="00B40AFC" w:rsidRDefault="00B40AFC" w:rsidP="00B40AFC">
      <w:pPr>
        <w:rPr>
          <w:vertAlign w:val="superscript"/>
        </w:rPr>
      </w:pPr>
      <w:r w:rsidRPr="007B74FA">
        <w:t>In accordance with the National Agreement on Closing the Gap Priority Reforms,</w:t>
      </w:r>
      <w:r w:rsidRPr="007B74FA">
        <w:rPr>
          <w:vertAlign w:val="superscript"/>
        </w:rPr>
        <w:t>5</w:t>
      </w:r>
      <w:r w:rsidRPr="007B74FA">
        <w:t xml:space="preserve"> implementation of the </w:t>
      </w:r>
      <w:r w:rsidR="005B645A">
        <w:t>f</w:t>
      </w:r>
      <w:r w:rsidRPr="007B74FA">
        <w:t>ramework should support genuine partnership with Aboriginal and Torres Strait Islander communities and organisations, and shared access to locally relevant data. Data sovereignty principles should be upheld in line with the National Indigenous Australians Agency Framework for Governance of Indigenous Data,</w:t>
      </w:r>
      <w:r w:rsidRPr="007B74FA">
        <w:rPr>
          <w:vertAlign w:val="superscript"/>
        </w:rPr>
        <w:t>6</w:t>
      </w:r>
      <w:r w:rsidRPr="007B74FA">
        <w:t xml:space="preserve"> CARE (Collective Benefit, Authority to Control, Responsibility, Ethics)</w:t>
      </w:r>
      <w:r w:rsidRPr="007B74FA">
        <w:rPr>
          <w:vertAlign w:val="superscript"/>
        </w:rPr>
        <w:t>7</w:t>
      </w:r>
      <w:r w:rsidRPr="007B74FA">
        <w:t xml:space="preserve"> principles and the </w:t>
      </w:r>
      <w:proofErr w:type="spellStart"/>
      <w:r w:rsidRPr="007B74FA">
        <w:t>Maiam</w:t>
      </w:r>
      <w:proofErr w:type="spellEnd"/>
      <w:r w:rsidRPr="007B74FA">
        <w:t xml:space="preserve"> </w:t>
      </w:r>
      <w:proofErr w:type="spellStart"/>
      <w:r w:rsidRPr="007B74FA">
        <w:t>nayri</w:t>
      </w:r>
      <w:proofErr w:type="spellEnd"/>
      <w:r w:rsidRPr="007B74FA">
        <w:t xml:space="preserve"> </w:t>
      </w:r>
      <w:proofErr w:type="spellStart"/>
      <w:r w:rsidRPr="007B74FA">
        <w:t>Wingara</w:t>
      </w:r>
      <w:proofErr w:type="spellEnd"/>
      <w:r w:rsidRPr="007B74FA">
        <w:t xml:space="preserve"> Indigenous Data Sovereignty Principles.</w:t>
      </w:r>
      <w:r w:rsidRPr="007B74FA">
        <w:rPr>
          <w:vertAlign w:val="superscript"/>
        </w:rPr>
        <w:t>8</w:t>
      </w:r>
    </w:p>
    <w:p w14:paraId="680232BC" w14:textId="0C65121D" w:rsidR="00D22533" w:rsidRDefault="00D22533" w:rsidP="00305985">
      <w:pPr>
        <w:pStyle w:val="Heading1"/>
      </w:pPr>
      <w:bookmarkStart w:id="27" w:name="_Toc220578942"/>
      <w:bookmarkStart w:id="28" w:name="_Toc227319863"/>
      <w:r>
        <w:t xml:space="preserve">Monitoring and </w:t>
      </w:r>
      <w:r w:rsidR="008B15BB">
        <w:t>e</w:t>
      </w:r>
      <w:r>
        <w:t xml:space="preserve">valuation </w:t>
      </w:r>
      <w:r w:rsidR="008B15BB">
        <w:t>a</w:t>
      </w:r>
      <w:r>
        <w:t>ctivities</w:t>
      </w:r>
      <w:bookmarkEnd w:id="27"/>
      <w:bookmarkEnd w:id="28"/>
    </w:p>
    <w:p w14:paraId="05387375" w14:textId="73583B4F" w:rsidR="00C821EF" w:rsidRDefault="00C821EF" w:rsidP="00C821EF">
      <w:r>
        <w:t xml:space="preserve">This </w:t>
      </w:r>
      <w:r w:rsidR="005B645A">
        <w:t>f</w:t>
      </w:r>
      <w:r>
        <w:t>ramework is underpinned by the program logic for the NIS 2025–2030 (</w:t>
      </w:r>
      <w:hyperlink w:anchor="_Figure_4._Program" w:history="1">
        <w:r w:rsidRPr="00333A68">
          <w:rPr>
            <w:rStyle w:val="Hyperlink"/>
          </w:rPr>
          <w:t>Figure 4</w:t>
        </w:r>
      </w:hyperlink>
      <w:r>
        <w:t>) and evaluation data matrix (</w:t>
      </w:r>
      <w:hyperlink w:anchor="_Figure_5._Evaluation" w:history="1">
        <w:r w:rsidRPr="00E145BE">
          <w:rPr>
            <w:rStyle w:val="Hyperlink"/>
          </w:rPr>
          <w:t>Figure 5</w:t>
        </w:r>
      </w:hyperlink>
      <w:r>
        <w:t>)</w:t>
      </w:r>
      <w:r w:rsidR="00952B44">
        <w:t xml:space="preserve"> - </w:t>
      </w:r>
      <w:r>
        <w:t xml:space="preserve">together they provide the structure for what elements of the </w:t>
      </w:r>
      <w:r w:rsidR="005B645A">
        <w:t>s</w:t>
      </w:r>
      <w:r>
        <w:t>trategy will be monitored and evaluated, and how.</w:t>
      </w:r>
    </w:p>
    <w:p w14:paraId="61B20F1E" w14:textId="10F1C049" w:rsidR="00C821EF" w:rsidRDefault="00C821EF" w:rsidP="00C821EF">
      <w:r>
        <w:t xml:space="preserve">The evaluation data matrix outlines the priority national indicators, aspirational targets, data sources and reporting frequencies, mapped to the </w:t>
      </w:r>
      <w:r w:rsidR="005B645A">
        <w:t>f</w:t>
      </w:r>
      <w:r>
        <w:t xml:space="preserve">ramework’s key evaluation questions. Regular monitoring and reporting against the </w:t>
      </w:r>
      <w:r w:rsidR="005B645A">
        <w:t>f</w:t>
      </w:r>
      <w:r>
        <w:t>ramework indicators will enable assessment of progress towards the intended outcomes of the NIS 2025–2030.</w:t>
      </w:r>
    </w:p>
    <w:p w14:paraId="1E85EDB9" w14:textId="256A75AE" w:rsidR="00E000B1" w:rsidRDefault="00C821EF" w:rsidP="00C821EF">
      <w:r>
        <w:t>This initial evaluation data matrix (</w:t>
      </w:r>
      <w:hyperlink w:anchor="_Figure_5._Evaluation" w:history="1">
        <w:r w:rsidRPr="00E145BE">
          <w:rPr>
            <w:rStyle w:val="Hyperlink"/>
          </w:rPr>
          <w:t>Figure 5</w:t>
        </w:r>
      </w:hyperlink>
      <w:r>
        <w:t xml:space="preserve">) mostly comprises a consolidation of established indicators, targets and reporting mechanisms. It is planned to review the evaluation data matrix over time to account for </w:t>
      </w:r>
      <w:r w:rsidR="005B645A">
        <w:t>f</w:t>
      </w:r>
      <w:r>
        <w:t xml:space="preserve">ramework learnings, stakeholder consultation and as new data sources emerge (refer to </w:t>
      </w:r>
      <w:hyperlink w:anchor="_Review_of_the" w:history="1">
        <w:r w:rsidRPr="00952B44">
          <w:rPr>
            <w:rStyle w:val="Heading5Char"/>
            <w:rFonts w:ascii="Segoe UI" w:hAnsi="Segoe UI" w:cs="Segoe UI"/>
            <w:color w:val="auto"/>
            <w:sz w:val="22"/>
            <w:szCs w:val="22"/>
            <w:u w:val="single"/>
          </w:rPr>
          <w:fldChar w:fldCharType="begin"/>
        </w:r>
        <w:r w:rsidRPr="00952B44">
          <w:rPr>
            <w:rStyle w:val="Heading5Char"/>
            <w:rFonts w:ascii="Segoe UI" w:hAnsi="Segoe UI" w:cs="Segoe UI"/>
            <w:color w:val="auto"/>
            <w:sz w:val="22"/>
            <w:szCs w:val="22"/>
            <w:u w:val="single"/>
          </w:rPr>
          <w:instrText xml:space="preserve"> REF _Ref218499090 \h </w:instrText>
        </w:r>
        <w:r w:rsidRPr="00952B44">
          <w:rPr>
            <w:rStyle w:val="Heading5Char"/>
            <w:rFonts w:ascii="Segoe UI" w:hAnsi="Segoe UI" w:cs="Segoe UI"/>
            <w:color w:val="auto"/>
            <w:sz w:val="22"/>
            <w:szCs w:val="22"/>
          </w:rPr>
          <w:instrText xml:space="preserve"> \* MERGEFORMAT </w:instrText>
        </w:r>
        <w:r w:rsidRPr="00952B44">
          <w:rPr>
            <w:rStyle w:val="Heading5Char"/>
            <w:rFonts w:ascii="Segoe UI" w:hAnsi="Segoe UI" w:cs="Segoe UI"/>
            <w:color w:val="auto"/>
            <w:sz w:val="22"/>
            <w:szCs w:val="22"/>
            <w:u w:val="single"/>
          </w:rPr>
        </w:r>
        <w:r w:rsidRPr="00952B44">
          <w:rPr>
            <w:rStyle w:val="Heading5Char"/>
            <w:rFonts w:ascii="Segoe UI" w:hAnsi="Segoe UI" w:cs="Segoe UI"/>
            <w:color w:val="auto"/>
            <w:sz w:val="22"/>
            <w:szCs w:val="22"/>
            <w:u w:val="single"/>
          </w:rPr>
          <w:fldChar w:fldCharType="separate"/>
        </w:r>
        <w:r w:rsidR="00C27B93" w:rsidRPr="00952B44">
          <w:rPr>
            <w:rStyle w:val="Heading5Char"/>
            <w:rFonts w:ascii="Segoe UI" w:hAnsi="Segoe UI" w:cs="Segoe UI"/>
            <w:color w:val="auto"/>
            <w:sz w:val="22"/>
            <w:szCs w:val="22"/>
            <w:u w:val="single"/>
          </w:rPr>
          <w:t>Review of the Framework and Evaluation Data Matrix</w:t>
        </w:r>
        <w:r w:rsidRPr="00952B44">
          <w:rPr>
            <w:rStyle w:val="Heading5Char"/>
            <w:rFonts w:ascii="Segoe UI" w:hAnsi="Segoe UI" w:cs="Segoe UI"/>
            <w:color w:val="auto"/>
            <w:sz w:val="22"/>
            <w:szCs w:val="22"/>
            <w:u w:val="single"/>
          </w:rPr>
          <w:fldChar w:fldCharType="end"/>
        </w:r>
      </w:hyperlink>
      <w:r w:rsidRPr="005B645A">
        <w:rPr>
          <w:rFonts w:cs="Segoe UI"/>
          <w:szCs w:val="22"/>
        </w:rPr>
        <w:t>)</w:t>
      </w:r>
      <w:r>
        <w:t>.</w:t>
      </w:r>
    </w:p>
    <w:p w14:paraId="06FAD3E9" w14:textId="7B343FF1" w:rsidR="00C821EF" w:rsidRDefault="00C821EF" w:rsidP="00C821EF">
      <w:r>
        <w:t xml:space="preserve"> </w:t>
      </w:r>
    </w:p>
    <w:p w14:paraId="1F721BF0" w14:textId="77777777" w:rsidR="00E000B1" w:rsidRDefault="00E000B1" w:rsidP="00E000B1">
      <w:pPr>
        <w:pStyle w:val="Heading1"/>
        <w:sectPr w:rsidR="00E000B1" w:rsidSect="00E000B1">
          <w:headerReference w:type="even" r:id="rId20"/>
          <w:headerReference w:type="default" r:id="rId21"/>
          <w:footerReference w:type="even" r:id="rId22"/>
          <w:footerReference w:type="default" r:id="rId23"/>
          <w:headerReference w:type="first" r:id="rId24"/>
          <w:footerReference w:type="first" r:id="rId25"/>
          <w:footnotePr>
            <w:numFmt w:val="lowerLetter"/>
          </w:footnotePr>
          <w:pgSz w:w="11906" w:h="16838"/>
          <w:pgMar w:top="1440" w:right="1440" w:bottom="1440" w:left="1440" w:header="720" w:footer="720" w:gutter="0"/>
          <w:cols w:space="720"/>
          <w:titlePg/>
          <w:docGrid w:linePitch="360"/>
        </w:sectPr>
      </w:pPr>
    </w:p>
    <w:p w14:paraId="55E6EF7F" w14:textId="5348EA7F" w:rsidR="00F461B6" w:rsidRPr="00F461B6" w:rsidRDefault="00D83535" w:rsidP="00F461B6">
      <w:pPr>
        <w:pStyle w:val="FigureTitle"/>
      </w:pPr>
      <w:bookmarkStart w:id="29" w:name="_Figure_4._Program"/>
      <w:bookmarkEnd w:id="29"/>
      <w:r w:rsidRPr="00176116">
        <w:rPr>
          <w:rStyle w:val="Heading5Char"/>
          <w:bCs/>
          <w:color w:val="auto"/>
          <w:sz w:val="18"/>
          <w:szCs w:val="18"/>
        </w:rPr>
        <w:lastRenderedPageBreak/>
        <w:t>Figure 4. Program logic model for implementation of the National Immunisation Strategy for Australia 2025–2030</w:t>
      </w:r>
      <w:r w:rsidR="00F461B6" w:rsidRPr="00F461B6">
        <w:rPr>
          <w:noProof/>
        </w:rPr>
        <w:drawing>
          <wp:inline distT="0" distB="0" distL="0" distR="0" wp14:anchorId="45151C2E" wp14:editId="00C4F259">
            <wp:extent cx="8005771" cy="5242316"/>
            <wp:effectExtent l="0" t="0" r="0" b="0"/>
            <wp:docPr id="156176697" name="Picture 1" descr="A group of rectangular boxes with text displaying the Program logic model for implementation of the National Immunisation Strategy for Australia 2025–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6697" name="Picture 1" descr="A group of rectangular boxes with text displaying the Program logic model for implementation of the National Immunisation Strategy for Australia 2025–20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13284" cy="5247235"/>
                    </a:xfrm>
                    <a:prstGeom prst="rect">
                      <a:avLst/>
                    </a:prstGeom>
                    <a:noFill/>
                    <a:ln>
                      <a:noFill/>
                    </a:ln>
                  </pic:spPr>
                </pic:pic>
              </a:graphicData>
            </a:graphic>
          </wp:inline>
        </w:drawing>
      </w:r>
    </w:p>
    <w:p w14:paraId="46D99053" w14:textId="3E73A747" w:rsidR="005748FB" w:rsidRDefault="005748FB" w:rsidP="005748FB">
      <w:pPr>
        <w:rPr>
          <w:sz w:val="16"/>
          <w:szCs w:val="16"/>
        </w:rPr>
      </w:pPr>
      <w:r>
        <w:rPr>
          <w:b/>
          <w:bCs/>
          <w:sz w:val="16"/>
          <w:szCs w:val="16"/>
        </w:rPr>
        <w:lastRenderedPageBreak/>
        <w:t xml:space="preserve">Abbreviations: </w:t>
      </w:r>
      <w:r>
        <w:rPr>
          <w:sz w:val="16"/>
          <w:szCs w:val="16"/>
        </w:rPr>
        <w:t xml:space="preserve"> AHPC – Australian Health Protection Committee; AIR – Australian Immunisation Register; ATAGI – Australian Technical Advisory Group on Immunisation; HCEF – Health Chief Executives Forum; HMM – Health Ministers Meeting; </w:t>
      </w:r>
      <w:r w:rsidR="00F461B6">
        <w:rPr>
          <w:sz w:val="16"/>
          <w:szCs w:val="16"/>
        </w:rPr>
        <w:t xml:space="preserve">JICAG – </w:t>
      </w:r>
      <w:r w:rsidR="00F461B6" w:rsidRPr="00F461B6">
        <w:rPr>
          <w:sz w:val="16"/>
          <w:szCs w:val="16"/>
        </w:rPr>
        <w:t>Jurisdictional Immunisation Coordinators Advisory Group</w:t>
      </w:r>
      <w:r w:rsidR="00F461B6">
        <w:rPr>
          <w:sz w:val="16"/>
          <w:szCs w:val="16"/>
        </w:rPr>
        <w:t xml:space="preserve">; </w:t>
      </w:r>
      <w:r>
        <w:rPr>
          <w:sz w:val="16"/>
          <w:szCs w:val="16"/>
        </w:rPr>
        <w:t xml:space="preserve">NGO – Non-government organisation; NIP – National Immunisation Program; NIS – National Immunisation Strategy; NIS IP – National Immunisation Strategy Implementation Plan; PBAC – </w:t>
      </w:r>
      <w:r w:rsidRPr="007E13D6">
        <w:rPr>
          <w:sz w:val="16"/>
          <w:szCs w:val="16"/>
        </w:rPr>
        <w:t>Pharmaceutical Benefits Advisory Committee</w:t>
      </w:r>
      <w:r>
        <w:rPr>
          <w:sz w:val="16"/>
          <w:szCs w:val="16"/>
        </w:rPr>
        <w:t>; VPD – Vaccine-preventable diseases.</w:t>
      </w:r>
    </w:p>
    <w:p w14:paraId="7F9695CE" w14:textId="7E122456" w:rsidR="00EC7662" w:rsidRDefault="00EC7662" w:rsidP="00A9485A">
      <w:pPr>
        <w:pStyle w:val="FigureTitle"/>
      </w:pPr>
      <w:bookmarkStart w:id="30" w:name="_Figure_5._Evaluation"/>
      <w:bookmarkEnd w:id="30"/>
      <w:r w:rsidRPr="00315C6C">
        <w:t>Figure 5. Evaluation data matrix for</w:t>
      </w:r>
      <w:r>
        <w:t xml:space="preserve"> </w:t>
      </w:r>
      <w:r w:rsidRPr="005446D9">
        <w:t>National Immunisation Strategy 2025–2030</w:t>
      </w:r>
      <w:r>
        <w:t xml:space="preserve"> </w:t>
      </w:r>
      <w:r w:rsidR="009B3726">
        <w:t>m</w:t>
      </w:r>
      <w:r w:rsidRPr="00EB2C51">
        <w:t xml:space="preserve">onitoring, </w:t>
      </w:r>
      <w:r w:rsidR="005B645A">
        <w:t>e</w:t>
      </w:r>
      <w:r w:rsidRPr="00EB2C51">
        <w:t xml:space="preserve">valuation and </w:t>
      </w:r>
      <w:r w:rsidR="005B645A">
        <w:t>l</w:t>
      </w:r>
      <w:r w:rsidRPr="00EB2C51">
        <w:t xml:space="preserve">earning </w:t>
      </w:r>
      <w:r w:rsidR="00F11495">
        <w:t>f</w:t>
      </w:r>
      <w:r w:rsidRPr="00EB2C51">
        <w:t>ramework</w:t>
      </w:r>
    </w:p>
    <w:tbl>
      <w:tblPr>
        <w:tblStyle w:val="GridTable4-Accent1"/>
        <w:tblW w:w="5283" w:type="pct"/>
        <w:tblLayout w:type="fixed"/>
        <w:tblLook w:val="06A0" w:firstRow="1" w:lastRow="0" w:firstColumn="1" w:lastColumn="0" w:noHBand="1" w:noVBand="1"/>
      </w:tblPr>
      <w:tblGrid>
        <w:gridCol w:w="1556"/>
        <w:gridCol w:w="1821"/>
        <w:gridCol w:w="1978"/>
        <w:gridCol w:w="3148"/>
        <w:gridCol w:w="1981"/>
        <w:gridCol w:w="4253"/>
      </w:tblGrid>
      <w:tr w:rsidR="001C0B2F" w:rsidRPr="00CB3D80" w14:paraId="7E25D308" w14:textId="77777777" w:rsidTr="00144E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28" w:type="pct"/>
          </w:tcPr>
          <w:p w14:paraId="2240CA9F" w14:textId="1908E2B1" w:rsidR="008748E3" w:rsidRPr="00CB3D80" w:rsidRDefault="008748E3" w:rsidP="00B37CC3">
            <w:pPr>
              <w:rPr>
                <w:rFonts w:eastAsia="Arial" w:cs="Arial"/>
                <w:color w:val="FFFFFF"/>
                <w:sz w:val="16"/>
                <w:szCs w:val="16"/>
              </w:rPr>
            </w:pPr>
            <w:r w:rsidRPr="00CB3D80">
              <w:rPr>
                <w:rFonts w:ascii="Aptos" w:eastAsia="Arial" w:hAnsi="Aptos" w:cs="Arial"/>
                <w:color w:val="FFFFFF"/>
                <w:sz w:val="16"/>
                <w:szCs w:val="16"/>
              </w:rPr>
              <w:t xml:space="preserve">Evaluation </w:t>
            </w:r>
            <w:r w:rsidR="004B5B15">
              <w:rPr>
                <w:rFonts w:ascii="Aptos" w:eastAsia="Arial" w:hAnsi="Aptos" w:cs="Arial"/>
                <w:color w:val="FFFFFF"/>
                <w:sz w:val="16"/>
                <w:szCs w:val="16"/>
              </w:rPr>
              <w:t>q</w:t>
            </w:r>
            <w:r w:rsidR="004B5B15" w:rsidRPr="00CB3D80">
              <w:rPr>
                <w:rFonts w:ascii="Aptos" w:eastAsia="Arial" w:hAnsi="Aptos" w:cs="Arial"/>
                <w:color w:val="FFFFFF"/>
                <w:sz w:val="16"/>
                <w:szCs w:val="16"/>
              </w:rPr>
              <w:t>uestions</w:t>
            </w:r>
          </w:p>
        </w:tc>
        <w:tc>
          <w:tcPr>
            <w:tcW w:w="618" w:type="pct"/>
          </w:tcPr>
          <w:p w14:paraId="2AAA0CD4" w14:textId="77777777" w:rsidR="008748E3" w:rsidRPr="00CB3D80" w:rsidRDefault="008748E3" w:rsidP="00B37CC3">
            <w:pPr>
              <w:cnfStyle w:val="100000000000" w:firstRow="1" w:lastRow="0" w:firstColumn="0" w:lastColumn="0" w:oddVBand="0" w:evenVBand="0" w:oddHBand="0" w:evenHBand="0" w:firstRowFirstColumn="0" w:firstRowLastColumn="0" w:lastRowFirstColumn="0" w:lastRowLastColumn="0"/>
              <w:rPr>
                <w:rFonts w:eastAsia="Arial" w:cs="Arial"/>
                <w:color w:val="FFFFFF"/>
                <w:sz w:val="16"/>
                <w:szCs w:val="16"/>
              </w:rPr>
            </w:pPr>
            <w:r w:rsidRPr="00CB3D80">
              <w:rPr>
                <w:rFonts w:ascii="Aptos" w:eastAsia="Arial" w:hAnsi="Aptos" w:cs="Arial"/>
                <w:color w:val="FFFFFF"/>
                <w:sz w:val="16"/>
                <w:szCs w:val="16"/>
              </w:rPr>
              <w:t>Indicators</w:t>
            </w:r>
          </w:p>
        </w:tc>
        <w:tc>
          <w:tcPr>
            <w:tcW w:w="671" w:type="pct"/>
          </w:tcPr>
          <w:p w14:paraId="58BAFD67" w14:textId="04ED6610" w:rsidR="008748E3" w:rsidRPr="00CB3D80" w:rsidRDefault="008748E3" w:rsidP="00B37CC3">
            <w:pPr>
              <w:cnfStyle w:val="100000000000" w:firstRow="1" w:lastRow="0" w:firstColumn="0" w:lastColumn="0" w:oddVBand="0" w:evenVBand="0" w:oddHBand="0" w:evenHBand="0" w:firstRowFirstColumn="0" w:firstRowLastColumn="0" w:lastRowFirstColumn="0" w:lastRowLastColumn="0"/>
              <w:rPr>
                <w:rFonts w:eastAsia="Arial" w:cs="Arial"/>
                <w:color w:val="FFFFFF"/>
                <w:sz w:val="16"/>
                <w:szCs w:val="16"/>
              </w:rPr>
            </w:pPr>
            <w:r>
              <w:rPr>
                <w:rFonts w:ascii="Aptos" w:eastAsia="Arial" w:hAnsi="Aptos" w:cs="Arial"/>
                <w:color w:val="FFFFFF"/>
                <w:sz w:val="16"/>
                <w:szCs w:val="16"/>
              </w:rPr>
              <w:t xml:space="preserve">Aspirational </w:t>
            </w:r>
            <w:r w:rsidR="004B5B15">
              <w:rPr>
                <w:rFonts w:ascii="Aptos" w:eastAsia="Arial" w:hAnsi="Aptos" w:cs="Arial"/>
                <w:color w:val="FFFFFF"/>
                <w:sz w:val="16"/>
                <w:szCs w:val="16"/>
              </w:rPr>
              <w:t>t</w:t>
            </w:r>
            <w:r w:rsidRPr="00CB3D80">
              <w:rPr>
                <w:rFonts w:ascii="Aptos" w:eastAsia="Arial" w:hAnsi="Aptos" w:cs="Arial"/>
                <w:color w:val="FFFFFF"/>
                <w:sz w:val="16"/>
                <w:szCs w:val="16"/>
              </w:rPr>
              <w:t>argets</w:t>
            </w:r>
          </w:p>
        </w:tc>
        <w:tc>
          <w:tcPr>
            <w:tcW w:w="1068" w:type="pct"/>
          </w:tcPr>
          <w:p w14:paraId="189830D6" w14:textId="77777777" w:rsidR="008748E3" w:rsidRPr="00CB3D80" w:rsidRDefault="008748E3" w:rsidP="00B37CC3">
            <w:pPr>
              <w:cnfStyle w:val="100000000000" w:firstRow="1" w:lastRow="0" w:firstColumn="0" w:lastColumn="0" w:oddVBand="0" w:evenVBand="0" w:oddHBand="0" w:evenHBand="0" w:firstRowFirstColumn="0" w:firstRowLastColumn="0" w:lastRowFirstColumn="0" w:lastRowLastColumn="0"/>
              <w:rPr>
                <w:rFonts w:eastAsia="Arial" w:cs="Arial"/>
                <w:color w:val="FFFFFF"/>
                <w:sz w:val="16"/>
                <w:szCs w:val="16"/>
              </w:rPr>
            </w:pPr>
            <w:r w:rsidRPr="00CB3D80">
              <w:rPr>
                <w:rFonts w:eastAsia="Arial" w:cs="Arial"/>
                <w:color w:val="FFFFFF"/>
                <w:sz w:val="16"/>
                <w:szCs w:val="16"/>
              </w:rPr>
              <w:t>Indicative d</w:t>
            </w:r>
            <w:r w:rsidRPr="00CB3D80">
              <w:rPr>
                <w:rFonts w:ascii="Aptos" w:eastAsia="Arial" w:hAnsi="Aptos" w:cs="Arial"/>
                <w:color w:val="FFFFFF"/>
                <w:sz w:val="16"/>
                <w:szCs w:val="16"/>
              </w:rPr>
              <w:t xml:space="preserve">ata </w:t>
            </w:r>
            <w:r>
              <w:rPr>
                <w:rFonts w:ascii="Aptos" w:eastAsia="Arial" w:hAnsi="Aptos" w:cs="Arial"/>
                <w:color w:val="FFFFFF"/>
                <w:sz w:val="16"/>
                <w:szCs w:val="16"/>
              </w:rPr>
              <w:t>s</w:t>
            </w:r>
            <w:r w:rsidRPr="00CB3D80">
              <w:rPr>
                <w:rFonts w:ascii="Aptos" w:eastAsia="Arial" w:hAnsi="Aptos" w:cs="Arial"/>
                <w:color w:val="FFFFFF"/>
                <w:sz w:val="16"/>
                <w:szCs w:val="16"/>
              </w:rPr>
              <w:t>ources</w:t>
            </w:r>
          </w:p>
        </w:tc>
        <w:tc>
          <w:tcPr>
            <w:tcW w:w="672" w:type="pct"/>
          </w:tcPr>
          <w:p w14:paraId="2196421C" w14:textId="6A9B2C71" w:rsidR="008748E3" w:rsidRPr="00CB3D80" w:rsidRDefault="008748E3" w:rsidP="00B37CC3">
            <w:pPr>
              <w:cnfStyle w:val="100000000000" w:firstRow="1" w:lastRow="0" w:firstColumn="0" w:lastColumn="0" w:oddVBand="0" w:evenVBand="0" w:oddHBand="0" w:evenHBand="0" w:firstRowFirstColumn="0" w:firstRowLastColumn="0" w:lastRowFirstColumn="0" w:lastRowLastColumn="0"/>
              <w:rPr>
                <w:rFonts w:eastAsia="Arial" w:cs="Arial"/>
                <w:color w:val="FFFFFF"/>
                <w:sz w:val="16"/>
                <w:szCs w:val="16"/>
              </w:rPr>
            </w:pPr>
            <w:r w:rsidRPr="00185D01">
              <w:rPr>
                <w:rFonts w:eastAsia="Arial" w:cs="Arial"/>
                <w:color w:val="FFFFFF"/>
                <w:sz w:val="16"/>
                <w:szCs w:val="16"/>
              </w:rPr>
              <w:t xml:space="preserve">Minimum </w:t>
            </w:r>
            <w:r w:rsidR="004B5B15">
              <w:rPr>
                <w:rFonts w:eastAsia="Arial" w:cs="Arial"/>
                <w:color w:val="FFFFFF"/>
                <w:sz w:val="16"/>
                <w:szCs w:val="16"/>
              </w:rPr>
              <w:t>r</w:t>
            </w:r>
            <w:r w:rsidR="004B5B15" w:rsidRPr="00185D01">
              <w:rPr>
                <w:rFonts w:eastAsia="Arial" w:cs="Arial"/>
                <w:color w:val="FFFFFF"/>
                <w:sz w:val="16"/>
                <w:szCs w:val="16"/>
              </w:rPr>
              <w:t xml:space="preserve">eporting </w:t>
            </w:r>
            <w:r w:rsidR="004B5B15">
              <w:rPr>
                <w:rFonts w:eastAsia="Arial" w:cs="Arial"/>
                <w:color w:val="FFFFFF"/>
                <w:sz w:val="16"/>
                <w:szCs w:val="16"/>
              </w:rPr>
              <w:t>f</w:t>
            </w:r>
            <w:r w:rsidRPr="00185D01">
              <w:rPr>
                <w:rFonts w:eastAsia="Arial" w:cs="Arial"/>
                <w:color w:val="FFFFFF"/>
                <w:sz w:val="16"/>
                <w:szCs w:val="16"/>
              </w:rPr>
              <w:t>requency</w:t>
            </w:r>
          </w:p>
        </w:tc>
        <w:tc>
          <w:tcPr>
            <w:tcW w:w="1443" w:type="pct"/>
          </w:tcPr>
          <w:p w14:paraId="1C72E0C6" w14:textId="77777777" w:rsidR="008748E3" w:rsidRPr="00CB3D80" w:rsidRDefault="008748E3" w:rsidP="00B37CC3">
            <w:pPr>
              <w:cnfStyle w:val="100000000000" w:firstRow="1" w:lastRow="0" w:firstColumn="0" w:lastColumn="0" w:oddVBand="0" w:evenVBand="0" w:oddHBand="0" w:evenHBand="0" w:firstRowFirstColumn="0" w:firstRowLastColumn="0" w:lastRowFirstColumn="0" w:lastRowLastColumn="0"/>
              <w:rPr>
                <w:rFonts w:eastAsia="Arial" w:cs="Arial"/>
                <w:color w:val="FFFFFF"/>
                <w:sz w:val="16"/>
                <w:szCs w:val="16"/>
              </w:rPr>
            </w:pPr>
            <w:r w:rsidRPr="00CB3D80">
              <w:rPr>
                <w:rFonts w:ascii="Aptos" w:eastAsia="Arial" w:hAnsi="Aptos" w:cs="Arial"/>
                <w:color w:val="FFFFFF"/>
                <w:sz w:val="16"/>
                <w:szCs w:val="16"/>
              </w:rPr>
              <w:t>Responsib</w:t>
            </w:r>
            <w:r>
              <w:rPr>
                <w:rFonts w:ascii="Aptos" w:eastAsia="Arial" w:hAnsi="Aptos" w:cs="Arial"/>
                <w:color w:val="FFFFFF"/>
                <w:sz w:val="16"/>
                <w:szCs w:val="16"/>
              </w:rPr>
              <w:t>le</w:t>
            </w:r>
            <w:r w:rsidRPr="00CB3D80">
              <w:rPr>
                <w:rFonts w:ascii="Aptos" w:eastAsia="Arial" w:hAnsi="Aptos" w:cs="Arial"/>
                <w:color w:val="FFFFFF"/>
                <w:sz w:val="16"/>
                <w:szCs w:val="16"/>
              </w:rPr>
              <w:t xml:space="preserve"> for data collation </w:t>
            </w:r>
            <w:r>
              <w:rPr>
                <w:rFonts w:ascii="Aptos" w:eastAsia="Arial" w:hAnsi="Aptos" w:cs="Arial"/>
                <w:color w:val="FFFFFF"/>
                <w:sz w:val="16"/>
                <w:szCs w:val="16"/>
              </w:rPr>
              <w:t>and</w:t>
            </w:r>
            <w:r w:rsidRPr="00CB3D80">
              <w:rPr>
                <w:rFonts w:ascii="Aptos" w:eastAsia="Arial" w:hAnsi="Aptos" w:cs="Arial"/>
                <w:color w:val="FFFFFF"/>
                <w:sz w:val="16"/>
                <w:szCs w:val="16"/>
              </w:rPr>
              <w:t xml:space="preserve"> reporting </w:t>
            </w:r>
          </w:p>
        </w:tc>
      </w:tr>
      <w:tr w:rsidR="001C0B2F" w:rsidRPr="00CB3D80" w14:paraId="0616E655" w14:textId="77777777" w:rsidTr="00144E32">
        <w:trPr>
          <w:trHeight w:val="818"/>
        </w:trPr>
        <w:tc>
          <w:tcPr>
            <w:cnfStyle w:val="001000000000" w:firstRow="0" w:lastRow="0" w:firstColumn="1" w:lastColumn="0" w:oddVBand="0" w:evenVBand="0" w:oddHBand="0" w:evenHBand="0" w:firstRowFirstColumn="0" w:firstRowLastColumn="0" w:lastRowFirstColumn="0" w:lastRowLastColumn="0"/>
            <w:tcW w:w="528" w:type="pct"/>
            <w:vMerge w:val="restart"/>
            <w:shd w:val="clear" w:color="auto" w:fill="FFF5D5" w:themeFill="accent4" w:themeFillTint="33"/>
          </w:tcPr>
          <w:p w14:paraId="0C1DE893" w14:textId="77777777" w:rsidR="008748E3" w:rsidRPr="00CB3D80" w:rsidRDefault="008748E3" w:rsidP="00B37CC3">
            <w:pPr>
              <w:rPr>
                <w:rFonts w:eastAsia="Arial" w:cs="Arial"/>
                <w:sz w:val="16"/>
                <w:szCs w:val="16"/>
              </w:rPr>
            </w:pPr>
            <w:r w:rsidRPr="00CB3D80">
              <w:rPr>
                <w:rFonts w:eastAsia="Arial" w:cs="Arial"/>
                <w:sz w:val="16"/>
                <w:szCs w:val="16"/>
              </w:rPr>
              <w:t xml:space="preserve">1. To what extent have </w:t>
            </w:r>
            <w:proofErr w:type="spellStart"/>
            <w:r w:rsidRPr="5CA34937">
              <w:rPr>
                <w:rFonts w:eastAsia="Arial" w:cs="Arial"/>
                <w:sz w:val="16"/>
                <w:szCs w:val="16"/>
              </w:rPr>
              <w:t>jurisdictional</w:t>
            </w:r>
            <w:r w:rsidRPr="5CA34937">
              <w:rPr>
                <w:rFonts w:eastAsia="Arial" w:cs="Arial"/>
                <w:sz w:val="16"/>
                <w:szCs w:val="16"/>
                <w:vertAlign w:val="superscript"/>
              </w:rPr>
              <w:t>a</w:t>
            </w:r>
            <w:proofErr w:type="spellEnd"/>
            <w:r w:rsidRPr="00CB3D80">
              <w:rPr>
                <w:rFonts w:eastAsia="Arial" w:cs="Arial"/>
                <w:sz w:val="16"/>
                <w:szCs w:val="16"/>
              </w:rPr>
              <w:t xml:space="preserve"> action plans been</w:t>
            </w:r>
            <w:r>
              <w:rPr>
                <w:rFonts w:eastAsia="Arial" w:cs="Arial"/>
                <w:sz w:val="16"/>
                <w:szCs w:val="16"/>
              </w:rPr>
              <w:t xml:space="preserve"> </w:t>
            </w:r>
            <w:r w:rsidRPr="00CB3D80">
              <w:rPr>
                <w:rFonts w:eastAsia="Arial" w:cs="Arial"/>
                <w:sz w:val="16"/>
                <w:szCs w:val="16"/>
              </w:rPr>
              <w:t>developed and implemented?</w:t>
            </w:r>
          </w:p>
        </w:tc>
        <w:tc>
          <w:tcPr>
            <w:tcW w:w="618" w:type="pct"/>
          </w:tcPr>
          <w:p w14:paraId="726FFCE2"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1.1 </w:t>
            </w:r>
            <w:r>
              <w:rPr>
                <w:rFonts w:eastAsia="Arial" w:cs="Arial"/>
                <w:sz w:val="16"/>
                <w:szCs w:val="16"/>
              </w:rPr>
              <w:t>Number</w:t>
            </w:r>
            <w:r w:rsidRPr="00CB3D80">
              <w:rPr>
                <w:rFonts w:eastAsia="Arial" w:cs="Arial"/>
                <w:sz w:val="16"/>
                <w:szCs w:val="16"/>
              </w:rPr>
              <w:t xml:space="preserve"> (%) of jurisdictions</w:t>
            </w:r>
            <w:r>
              <w:rPr>
                <w:rStyle w:val="FootnoteReference"/>
                <w:rFonts w:eastAsia="Arial" w:cs="Arial"/>
                <w:sz w:val="16"/>
                <w:szCs w:val="16"/>
              </w:rPr>
              <w:footnoteReference w:id="3"/>
            </w:r>
            <w:r w:rsidRPr="00CB3D80">
              <w:rPr>
                <w:rFonts w:eastAsia="Arial" w:cs="Arial"/>
                <w:sz w:val="16"/>
                <w:szCs w:val="16"/>
              </w:rPr>
              <w:t xml:space="preserve"> with an action plan available with alignment to the National Immunisation Strategy (NIS) priorities</w:t>
            </w:r>
          </w:p>
        </w:tc>
        <w:tc>
          <w:tcPr>
            <w:tcW w:w="671" w:type="pct"/>
          </w:tcPr>
          <w:p w14:paraId="4D454DC1"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100% jurisdictions have an annual action plan that is aligned to NIS priorities</w:t>
            </w:r>
          </w:p>
        </w:tc>
        <w:tc>
          <w:tcPr>
            <w:tcW w:w="1068" w:type="pct"/>
            <w:vMerge w:val="restart"/>
          </w:tcPr>
          <w:p w14:paraId="783CC183" w14:textId="1E92026C" w:rsidR="008748E3"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Essential Vaccines Schedule: performance reports</w:t>
            </w:r>
          </w:p>
          <w:p w14:paraId="0DC35304" w14:textId="6273A4A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Pr>
                <w:rFonts w:eastAsia="Arial" w:cs="Arial"/>
                <w:sz w:val="16"/>
                <w:szCs w:val="16"/>
              </w:rPr>
              <w:t>Commonwealth Action Plan</w:t>
            </w:r>
          </w:p>
          <w:p w14:paraId="43AFBEEE" w14:textId="77777777" w:rsidR="00DF2CE3"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CB3D80">
              <w:rPr>
                <w:rFonts w:eastAsia="Arial" w:cs="Arial"/>
                <w:sz w:val="16"/>
                <w:szCs w:val="16"/>
              </w:rPr>
              <w:t>Examples:</w:t>
            </w:r>
          </w:p>
          <w:p w14:paraId="19547641" w14:textId="21F80A4C"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27">
              <w:r w:rsidRPr="00CB3D80">
                <w:rPr>
                  <w:rFonts w:eastAsia="Arial" w:cs="Arial"/>
                  <w:color w:val="467886"/>
                  <w:sz w:val="16"/>
                  <w:szCs w:val="16"/>
                  <w:u w:val="single"/>
                </w:rPr>
                <w:t>Essential vaccines: performance report 2023–24</w:t>
              </w:r>
            </w:hyperlink>
          </w:p>
        </w:tc>
        <w:tc>
          <w:tcPr>
            <w:tcW w:w="672" w:type="pct"/>
            <w:vMerge w:val="restart"/>
          </w:tcPr>
          <w:p w14:paraId="58495F1F"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CB3D80">
              <w:rPr>
                <w:rFonts w:eastAsia="Arial" w:cs="Arial"/>
                <w:sz w:val="16"/>
                <w:szCs w:val="16"/>
              </w:rPr>
              <w:t>Annual</w:t>
            </w:r>
          </w:p>
        </w:tc>
        <w:tc>
          <w:tcPr>
            <w:tcW w:w="1443" w:type="pct"/>
            <w:vMerge w:val="restart"/>
          </w:tcPr>
          <w:p w14:paraId="6ACD2588" w14:textId="5903E270"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Centre for Disease Control (CDC) – Technical Support Partner</w:t>
            </w:r>
          </w:p>
          <w:p w14:paraId="53D42A97" w14:textId="0512D914"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National Immunisation Division (NID)</w:t>
            </w:r>
          </w:p>
          <w:p w14:paraId="0D72BF0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Australian Institute for Health and Welfare (AIHW)</w:t>
            </w:r>
          </w:p>
        </w:tc>
      </w:tr>
      <w:tr w:rsidR="001C0B2F" w:rsidRPr="00CB3D80" w14:paraId="0BFC70B0" w14:textId="77777777" w:rsidTr="00144E32">
        <w:trPr>
          <w:trHeight w:val="719"/>
        </w:trPr>
        <w:tc>
          <w:tcPr>
            <w:cnfStyle w:val="001000000000" w:firstRow="0" w:lastRow="0" w:firstColumn="1" w:lastColumn="0" w:oddVBand="0" w:evenVBand="0" w:oddHBand="0" w:evenHBand="0" w:firstRowFirstColumn="0" w:firstRowLastColumn="0" w:lastRowFirstColumn="0" w:lastRowLastColumn="0"/>
            <w:tcW w:w="528" w:type="pct"/>
            <w:vMerge/>
          </w:tcPr>
          <w:p w14:paraId="378EF13E" w14:textId="77777777" w:rsidR="008748E3" w:rsidRPr="00CB3D80" w:rsidRDefault="008748E3" w:rsidP="00B37CC3">
            <w:pPr>
              <w:rPr>
                <w:rFonts w:eastAsia="Times New Roman" w:cs="Arial"/>
                <w:sz w:val="16"/>
                <w:szCs w:val="16"/>
              </w:rPr>
            </w:pPr>
          </w:p>
        </w:tc>
        <w:tc>
          <w:tcPr>
            <w:tcW w:w="618" w:type="pct"/>
          </w:tcPr>
          <w:p w14:paraId="01C9B15E" w14:textId="77777777" w:rsidR="008748E3" w:rsidRPr="002634BE"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vertAlign w:val="superscript"/>
              </w:rPr>
            </w:pPr>
            <w:r w:rsidRPr="7477ED33">
              <w:rPr>
                <w:rFonts w:eastAsia="Arial" w:cs="Arial"/>
                <w:sz w:val="16"/>
                <w:szCs w:val="16"/>
              </w:rPr>
              <w:t xml:space="preserve">1.2 Progress against activities in action plans per </w:t>
            </w:r>
            <w:proofErr w:type="spellStart"/>
            <w:r w:rsidRPr="7477ED33">
              <w:rPr>
                <w:rFonts w:eastAsia="Arial" w:cs="Arial"/>
                <w:sz w:val="16"/>
                <w:szCs w:val="16"/>
              </w:rPr>
              <w:t>jurisdiction</w:t>
            </w:r>
            <w:r>
              <w:rPr>
                <w:rFonts w:eastAsia="Arial" w:cs="Arial"/>
                <w:sz w:val="16"/>
                <w:szCs w:val="16"/>
                <w:vertAlign w:val="superscript"/>
              </w:rPr>
              <w:t>a</w:t>
            </w:r>
            <w:proofErr w:type="spellEnd"/>
          </w:p>
        </w:tc>
        <w:tc>
          <w:tcPr>
            <w:tcW w:w="671" w:type="pct"/>
          </w:tcPr>
          <w:p w14:paraId="31A60E7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Pr>
                <w:rFonts w:eastAsia="Arial" w:cs="Arial"/>
                <w:sz w:val="16"/>
                <w:szCs w:val="16"/>
              </w:rPr>
              <w:t>Quantitative and q</w:t>
            </w:r>
            <w:r w:rsidRPr="00CB3D80">
              <w:rPr>
                <w:rFonts w:eastAsia="Arial" w:cs="Arial"/>
                <w:sz w:val="16"/>
                <w:szCs w:val="16"/>
              </w:rPr>
              <w:t>ualitative analysis of extent of completion of action plans (progress trend)</w:t>
            </w:r>
          </w:p>
        </w:tc>
        <w:tc>
          <w:tcPr>
            <w:tcW w:w="1068" w:type="pct"/>
            <w:vMerge/>
          </w:tcPr>
          <w:p w14:paraId="4A8577E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7D55716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51ECFEE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07297B5C" w14:textId="77777777" w:rsidTr="00144E32">
        <w:trPr>
          <w:trHeight w:val="678"/>
        </w:trPr>
        <w:tc>
          <w:tcPr>
            <w:cnfStyle w:val="001000000000" w:firstRow="0" w:lastRow="0" w:firstColumn="1" w:lastColumn="0" w:oddVBand="0" w:evenVBand="0" w:oddHBand="0" w:evenHBand="0" w:firstRowFirstColumn="0" w:firstRowLastColumn="0" w:lastRowFirstColumn="0" w:lastRowLastColumn="0"/>
            <w:tcW w:w="528" w:type="pct"/>
            <w:vMerge w:val="restart"/>
            <w:shd w:val="clear" w:color="auto" w:fill="FFF5D5" w:themeFill="accent4" w:themeFillTint="33"/>
          </w:tcPr>
          <w:p w14:paraId="6E7BD851" w14:textId="77777777" w:rsidR="008748E3" w:rsidRPr="00CB3D80" w:rsidRDefault="008748E3" w:rsidP="00B37CC3">
            <w:pPr>
              <w:rPr>
                <w:rFonts w:eastAsia="Arial" w:cs="Arial"/>
                <w:sz w:val="16"/>
                <w:szCs w:val="16"/>
              </w:rPr>
            </w:pPr>
            <w:r w:rsidRPr="00CB3D80">
              <w:rPr>
                <w:rFonts w:eastAsia="Arial" w:cs="Arial"/>
                <w:sz w:val="16"/>
                <w:szCs w:val="16"/>
              </w:rPr>
              <w:t xml:space="preserve">2. Are immunisation coverage rates improving across all age groups </w:t>
            </w:r>
            <w:r w:rsidRPr="00CB3D80">
              <w:rPr>
                <w:rFonts w:eastAsia="Arial" w:cs="Arial"/>
                <w:sz w:val="16"/>
                <w:szCs w:val="16"/>
              </w:rPr>
              <w:lastRenderedPageBreak/>
              <w:t>and priority populations</w:t>
            </w:r>
            <w:r w:rsidRPr="00CB3D80">
              <w:rPr>
                <w:rFonts w:eastAsia="Arial" w:cs="Arial"/>
                <w:sz w:val="16"/>
                <w:szCs w:val="16"/>
                <w:vertAlign w:val="superscript"/>
              </w:rPr>
              <w:footnoteReference w:id="4"/>
            </w:r>
            <w:r w:rsidRPr="00CB3D80">
              <w:rPr>
                <w:rFonts w:eastAsia="Arial" w:cs="Arial"/>
                <w:sz w:val="16"/>
                <w:szCs w:val="16"/>
              </w:rPr>
              <w:t>?</w:t>
            </w:r>
          </w:p>
        </w:tc>
        <w:tc>
          <w:tcPr>
            <w:tcW w:w="618" w:type="pct"/>
          </w:tcPr>
          <w:p w14:paraId="2026871A"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lastRenderedPageBreak/>
              <w:t>2.1 % of 1-, 2- and 5-year-olds assessed as fully immunised using current coverage rules (including trend)</w:t>
            </w:r>
          </w:p>
        </w:tc>
        <w:tc>
          <w:tcPr>
            <w:tcW w:w="671" w:type="pct"/>
          </w:tcPr>
          <w:p w14:paraId="0119A4AD"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95% </w:t>
            </w:r>
            <w:r w:rsidRPr="00CB3D80" w:rsidDel="00B021B1">
              <w:rPr>
                <w:rFonts w:eastAsia="Arial" w:cs="Arial"/>
                <w:sz w:val="16"/>
                <w:szCs w:val="16"/>
              </w:rPr>
              <w:t xml:space="preserve">childhood </w:t>
            </w:r>
            <w:r w:rsidRPr="00CB3D80" w:rsidDel="00D702CE">
              <w:rPr>
                <w:rFonts w:eastAsia="Arial" w:cs="Arial"/>
                <w:sz w:val="16"/>
                <w:szCs w:val="16"/>
              </w:rPr>
              <w:t xml:space="preserve">immunisation </w:t>
            </w:r>
            <w:r w:rsidRPr="00CB3D80">
              <w:rPr>
                <w:rFonts w:eastAsia="Arial" w:cs="Arial"/>
                <w:sz w:val="16"/>
                <w:szCs w:val="16"/>
              </w:rPr>
              <w:t>coverage for children aged 1, 2, 5 years</w:t>
            </w:r>
          </w:p>
        </w:tc>
        <w:tc>
          <w:tcPr>
            <w:tcW w:w="1068" w:type="pct"/>
            <w:vMerge w:val="restart"/>
          </w:tcPr>
          <w:p w14:paraId="58CFA014" w14:textId="483C8894"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Australian Immunisation Register (AIR)</w:t>
            </w:r>
          </w:p>
          <w:p w14:paraId="303CFCB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Examples</w:t>
            </w:r>
            <w:r>
              <w:rPr>
                <w:rFonts w:eastAsia="Arial" w:cs="Arial"/>
                <w:sz w:val="16"/>
                <w:szCs w:val="16"/>
              </w:rPr>
              <w:t>:</w:t>
            </w:r>
            <w:r w:rsidRPr="00CB3D80">
              <w:rPr>
                <w:rFonts w:eastAsia="Arial" w:cs="Arial"/>
                <w:sz w:val="16"/>
                <w:szCs w:val="16"/>
              </w:rPr>
              <w:t xml:space="preserve"> </w:t>
            </w:r>
          </w:p>
          <w:p w14:paraId="48F5ECD3" w14:textId="67401E93"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color w:val="373737"/>
                <w:sz w:val="16"/>
                <w:szCs w:val="16"/>
              </w:rPr>
            </w:pPr>
            <w:hyperlink r:id="rId28">
              <w:r w:rsidRPr="00CB3D80">
                <w:rPr>
                  <w:rFonts w:eastAsia="Arial" w:cs="Arial"/>
                  <w:color w:val="467886"/>
                  <w:sz w:val="16"/>
                  <w:szCs w:val="16"/>
                  <w:u w:val="single"/>
                  <w:lang w:val="en-AU"/>
                </w:rPr>
                <w:t xml:space="preserve">Immunisation data </w:t>
              </w:r>
              <w:r w:rsidR="00FC2EFD">
                <w:rPr>
                  <w:rFonts w:eastAsia="Arial" w:cs="Arial"/>
                  <w:color w:val="467886"/>
                  <w:sz w:val="16"/>
                  <w:szCs w:val="16"/>
                  <w:u w:val="single"/>
                  <w:lang w:val="en-AU"/>
                </w:rPr>
                <w:t>–</w:t>
              </w:r>
              <w:r w:rsidRPr="00CB3D80">
                <w:rPr>
                  <w:rFonts w:eastAsia="Arial" w:cs="Arial"/>
                  <w:color w:val="467886"/>
                  <w:sz w:val="16"/>
                  <w:szCs w:val="16"/>
                  <w:u w:val="single"/>
                  <w:lang w:val="en-AU"/>
                </w:rPr>
                <w:t xml:space="preserve"> Department of Health, Disability and Ageing</w:t>
              </w:r>
            </w:hyperlink>
          </w:p>
          <w:p w14:paraId="1D8B3ADD"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color w:val="373737"/>
                <w:sz w:val="16"/>
                <w:szCs w:val="16"/>
              </w:rPr>
            </w:pPr>
            <w:hyperlink r:id="rId29">
              <w:r w:rsidRPr="00CB3D80">
                <w:rPr>
                  <w:rFonts w:eastAsia="Arial" w:cs="Arial"/>
                  <w:color w:val="467886"/>
                  <w:sz w:val="16"/>
                  <w:szCs w:val="16"/>
                  <w:u w:val="single"/>
                  <w:lang w:val="en-AU"/>
                </w:rPr>
                <w:t>Immunisation coverage data and reports - NCIRS</w:t>
              </w:r>
            </w:hyperlink>
          </w:p>
          <w:p w14:paraId="6F18534B" w14:textId="21E1D0E9"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color w:val="373737"/>
                <w:sz w:val="16"/>
                <w:szCs w:val="16"/>
              </w:rPr>
            </w:pPr>
            <w:hyperlink r:id="rId30">
              <w:r w:rsidRPr="00CB3D80">
                <w:rPr>
                  <w:rFonts w:eastAsia="Arial" w:cs="Arial"/>
                  <w:color w:val="467886"/>
                  <w:sz w:val="16"/>
                  <w:szCs w:val="16"/>
                  <w:u w:val="single"/>
                  <w:lang w:val="en-AU"/>
                </w:rPr>
                <w:t>Immunisation coverage data, surveys and reports - Department of Health, Disability and Ageing</w:t>
              </w:r>
            </w:hyperlink>
          </w:p>
          <w:p w14:paraId="53A543D5" w14:textId="0EF01E74" w:rsidR="008748E3" w:rsidRPr="00CB3D80" w:rsidRDefault="008748E3" w:rsidP="00FC2EFD">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1">
              <w:r w:rsidRPr="00CB3D80">
                <w:rPr>
                  <w:rFonts w:eastAsia="Arial" w:cs="Arial"/>
                  <w:color w:val="467886"/>
                  <w:sz w:val="16"/>
                  <w:szCs w:val="16"/>
                  <w:u w:val="single"/>
                  <w:lang w:val="en-AU"/>
                </w:rPr>
                <w:t>Australia’s Health Performance Framework - AIHW</w:t>
              </w:r>
            </w:hyperlink>
          </w:p>
        </w:tc>
        <w:tc>
          <w:tcPr>
            <w:tcW w:w="672" w:type="pct"/>
            <w:vMerge w:val="restart"/>
          </w:tcPr>
          <w:p w14:paraId="44C8346F" w14:textId="079778D9" w:rsidR="008748E3" w:rsidRPr="00CB3D80" w:rsidRDefault="008748E3" w:rsidP="00DF2CE3">
            <w:pPr>
              <w:cnfStyle w:val="000000000000" w:firstRow="0" w:lastRow="0" w:firstColumn="0" w:lastColumn="0" w:oddVBand="0" w:evenVBand="0" w:oddHBand="0" w:evenHBand="0" w:firstRowFirstColumn="0" w:firstRowLastColumn="0" w:lastRowFirstColumn="0" w:lastRowLastColumn="0"/>
              <w:rPr>
                <w:rFonts w:eastAsia="Arial" w:cs="Arial"/>
                <w:color w:val="373737"/>
                <w:sz w:val="16"/>
                <w:szCs w:val="16"/>
              </w:rPr>
            </w:pPr>
            <w:r w:rsidRPr="7477ED33">
              <w:rPr>
                <w:rFonts w:eastAsia="Arial" w:cs="Arial"/>
                <w:sz w:val="16"/>
                <w:szCs w:val="16"/>
              </w:rPr>
              <w:lastRenderedPageBreak/>
              <w:t>Annual</w:t>
            </w:r>
          </w:p>
        </w:tc>
        <w:tc>
          <w:tcPr>
            <w:tcW w:w="1443" w:type="pct"/>
            <w:vMerge w:val="restart"/>
          </w:tcPr>
          <w:p w14:paraId="6ED4B34D" w14:textId="3F1E8771"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NID</w:t>
            </w:r>
          </w:p>
          <w:p w14:paraId="3B722C3A" w14:textId="32ACBF7E"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Department of Health, Disability and Ageing – Technical Support Partner</w:t>
            </w:r>
          </w:p>
          <w:p w14:paraId="6E211B84" w14:textId="283B1180"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CDC – Technical Support Partner</w:t>
            </w:r>
          </w:p>
        </w:tc>
      </w:tr>
      <w:tr w:rsidR="001C0B2F" w:rsidRPr="00CB3D80" w14:paraId="1D03A497" w14:textId="77777777" w:rsidTr="00144E32">
        <w:trPr>
          <w:trHeight w:val="809"/>
        </w:trPr>
        <w:tc>
          <w:tcPr>
            <w:cnfStyle w:val="001000000000" w:firstRow="0" w:lastRow="0" w:firstColumn="1" w:lastColumn="0" w:oddVBand="0" w:evenVBand="0" w:oddHBand="0" w:evenHBand="0" w:firstRowFirstColumn="0" w:firstRowLastColumn="0" w:lastRowFirstColumn="0" w:lastRowLastColumn="0"/>
            <w:tcW w:w="528" w:type="pct"/>
            <w:vMerge/>
          </w:tcPr>
          <w:p w14:paraId="5D6E3B2E" w14:textId="77777777" w:rsidR="008748E3" w:rsidRPr="00CB3D80" w:rsidRDefault="008748E3" w:rsidP="00B37CC3">
            <w:pPr>
              <w:rPr>
                <w:rFonts w:eastAsia="Times New Roman" w:cs="Arial"/>
                <w:sz w:val="16"/>
                <w:szCs w:val="16"/>
              </w:rPr>
            </w:pPr>
          </w:p>
        </w:tc>
        <w:tc>
          <w:tcPr>
            <w:tcW w:w="618" w:type="pct"/>
          </w:tcPr>
          <w:p w14:paraId="68E14DD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 xml:space="preserve">2.2 % of 1-, 2- and 5-year-old Aboriginal and Torres Strait </w:t>
            </w:r>
            <w:r w:rsidRPr="7477ED33">
              <w:rPr>
                <w:rFonts w:eastAsia="Arial" w:cs="Arial"/>
                <w:sz w:val="16"/>
                <w:szCs w:val="16"/>
              </w:rPr>
              <w:lastRenderedPageBreak/>
              <w:t>Islander children assessed as fully immunised using current coverage rules (including trend)</w:t>
            </w:r>
          </w:p>
        </w:tc>
        <w:tc>
          <w:tcPr>
            <w:tcW w:w="671" w:type="pct"/>
          </w:tcPr>
          <w:p w14:paraId="2674342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lastRenderedPageBreak/>
              <w:t xml:space="preserve">95% childhood immunisation coverage for Aboriginal and </w:t>
            </w:r>
            <w:r w:rsidRPr="00CB3D80">
              <w:rPr>
                <w:rFonts w:eastAsia="Arial" w:cs="Arial"/>
                <w:sz w:val="16"/>
                <w:szCs w:val="16"/>
              </w:rPr>
              <w:lastRenderedPageBreak/>
              <w:t>Torres Strait Islander children aged 1, 2, 5 years</w:t>
            </w:r>
          </w:p>
          <w:p w14:paraId="5301B07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p>
        </w:tc>
        <w:tc>
          <w:tcPr>
            <w:tcW w:w="1068" w:type="pct"/>
            <w:vMerge/>
          </w:tcPr>
          <w:p w14:paraId="02DB4EC0"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3268D1D9"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7A47513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2944E80E" w14:textId="77777777" w:rsidTr="00144E32">
        <w:trPr>
          <w:trHeight w:val="702"/>
        </w:trPr>
        <w:tc>
          <w:tcPr>
            <w:cnfStyle w:val="001000000000" w:firstRow="0" w:lastRow="0" w:firstColumn="1" w:lastColumn="0" w:oddVBand="0" w:evenVBand="0" w:oddHBand="0" w:evenHBand="0" w:firstRowFirstColumn="0" w:firstRowLastColumn="0" w:lastRowFirstColumn="0" w:lastRowLastColumn="0"/>
            <w:tcW w:w="528" w:type="pct"/>
            <w:vMerge/>
          </w:tcPr>
          <w:p w14:paraId="2FCE0734" w14:textId="77777777" w:rsidR="008748E3" w:rsidRPr="00CB3D80" w:rsidRDefault="008748E3" w:rsidP="00B37CC3">
            <w:pPr>
              <w:rPr>
                <w:rFonts w:eastAsia="Times New Roman" w:cs="Arial"/>
                <w:sz w:val="16"/>
                <w:szCs w:val="16"/>
              </w:rPr>
            </w:pPr>
          </w:p>
        </w:tc>
        <w:tc>
          <w:tcPr>
            <w:tcW w:w="618" w:type="pct"/>
          </w:tcPr>
          <w:p w14:paraId="0DF7214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2.3 % of adults 65 years or older who have received annual influenza vaccination in the past year (including trend)</w:t>
            </w:r>
          </w:p>
        </w:tc>
        <w:tc>
          <w:tcPr>
            <w:tcW w:w="671" w:type="pct"/>
          </w:tcPr>
          <w:p w14:paraId="5CC42390"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Year-on-year increase</w:t>
            </w:r>
          </w:p>
        </w:tc>
        <w:tc>
          <w:tcPr>
            <w:tcW w:w="1068" w:type="pct"/>
            <w:vMerge/>
          </w:tcPr>
          <w:p w14:paraId="6B9540CC"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57E3CB1E"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58F42539"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189BCC49" w14:textId="77777777" w:rsidTr="00144E32">
        <w:trPr>
          <w:trHeight w:val="700"/>
        </w:trPr>
        <w:tc>
          <w:tcPr>
            <w:cnfStyle w:val="001000000000" w:firstRow="0" w:lastRow="0" w:firstColumn="1" w:lastColumn="0" w:oddVBand="0" w:evenVBand="0" w:oddHBand="0" w:evenHBand="0" w:firstRowFirstColumn="0" w:firstRowLastColumn="0" w:lastRowFirstColumn="0" w:lastRowLastColumn="0"/>
            <w:tcW w:w="528" w:type="pct"/>
            <w:vMerge/>
          </w:tcPr>
          <w:p w14:paraId="53872D96" w14:textId="77777777" w:rsidR="008748E3" w:rsidRPr="00CB3D80" w:rsidRDefault="008748E3" w:rsidP="00B37CC3">
            <w:pPr>
              <w:rPr>
                <w:rFonts w:eastAsia="Times New Roman" w:cs="Arial"/>
                <w:sz w:val="16"/>
                <w:szCs w:val="16"/>
              </w:rPr>
            </w:pPr>
          </w:p>
        </w:tc>
        <w:tc>
          <w:tcPr>
            <w:tcW w:w="618" w:type="pct"/>
          </w:tcPr>
          <w:p w14:paraId="03ECBEC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2.4 % of adolescents who have received at least one dose of HPV vaccine by 15 years of age (including trend)</w:t>
            </w:r>
          </w:p>
        </w:tc>
        <w:tc>
          <w:tcPr>
            <w:tcW w:w="671" w:type="pct"/>
          </w:tcPr>
          <w:p w14:paraId="2C60296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90% HPV immunisation coverage by 15 years of age for all adolescents by 2030</w:t>
            </w:r>
          </w:p>
        </w:tc>
        <w:tc>
          <w:tcPr>
            <w:tcW w:w="1068" w:type="pct"/>
            <w:vMerge/>
          </w:tcPr>
          <w:p w14:paraId="0021C62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2ABB0582"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63CF0911"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3DAB5A98" w14:textId="77777777" w:rsidTr="00144E32">
        <w:trPr>
          <w:trHeight w:val="809"/>
        </w:trPr>
        <w:tc>
          <w:tcPr>
            <w:cnfStyle w:val="001000000000" w:firstRow="0" w:lastRow="0" w:firstColumn="1" w:lastColumn="0" w:oddVBand="0" w:evenVBand="0" w:oddHBand="0" w:evenHBand="0" w:firstRowFirstColumn="0" w:firstRowLastColumn="0" w:lastRowFirstColumn="0" w:lastRowLastColumn="0"/>
            <w:tcW w:w="528" w:type="pct"/>
            <w:vMerge/>
          </w:tcPr>
          <w:p w14:paraId="2BF8D0B5" w14:textId="77777777" w:rsidR="008748E3" w:rsidRPr="00CB3D80" w:rsidRDefault="008748E3" w:rsidP="00B37CC3">
            <w:pPr>
              <w:rPr>
                <w:rFonts w:eastAsia="Times New Roman" w:cs="Arial"/>
                <w:sz w:val="16"/>
                <w:szCs w:val="16"/>
              </w:rPr>
            </w:pPr>
          </w:p>
        </w:tc>
        <w:tc>
          <w:tcPr>
            <w:tcW w:w="618" w:type="pct"/>
          </w:tcPr>
          <w:p w14:paraId="036B6E79"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7477ED33">
              <w:rPr>
                <w:rFonts w:eastAsia="Arial" w:cs="Arial"/>
                <w:sz w:val="16"/>
                <w:szCs w:val="16"/>
              </w:rPr>
              <w:t>2.5 % of Aboriginal and Torres Strait Islander adolescents who have received at least one dose of HPV vaccine by 15 years of age (including trend)</w:t>
            </w:r>
          </w:p>
        </w:tc>
        <w:tc>
          <w:tcPr>
            <w:tcW w:w="671" w:type="pct"/>
          </w:tcPr>
          <w:p w14:paraId="4B79CCB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90% HPV immunisation coverage by 15 years of age for all Aboriginal and Torres Strait Islander adolescents by 2030</w:t>
            </w:r>
          </w:p>
        </w:tc>
        <w:tc>
          <w:tcPr>
            <w:tcW w:w="1068" w:type="pct"/>
            <w:vMerge/>
          </w:tcPr>
          <w:p w14:paraId="1AAF10CD"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4924422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0F0B403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28DCB8B7" w14:textId="77777777" w:rsidTr="00144E32">
        <w:trPr>
          <w:trHeight w:val="841"/>
        </w:trPr>
        <w:tc>
          <w:tcPr>
            <w:cnfStyle w:val="001000000000" w:firstRow="0" w:lastRow="0" w:firstColumn="1" w:lastColumn="0" w:oddVBand="0" w:evenVBand="0" w:oddHBand="0" w:evenHBand="0" w:firstRowFirstColumn="0" w:firstRowLastColumn="0" w:lastRowFirstColumn="0" w:lastRowLastColumn="0"/>
            <w:tcW w:w="528" w:type="pct"/>
            <w:vMerge w:val="restart"/>
            <w:shd w:val="clear" w:color="auto" w:fill="FFF5D5" w:themeFill="accent4" w:themeFillTint="33"/>
          </w:tcPr>
          <w:p w14:paraId="71BF402C" w14:textId="77777777" w:rsidR="008748E3" w:rsidRPr="00CB3D80" w:rsidRDefault="008748E3" w:rsidP="00B37CC3">
            <w:pPr>
              <w:rPr>
                <w:rFonts w:eastAsia="Arial" w:cs="Arial"/>
                <w:sz w:val="16"/>
                <w:szCs w:val="16"/>
              </w:rPr>
            </w:pPr>
            <w:r w:rsidRPr="00CB3D80">
              <w:rPr>
                <w:rFonts w:eastAsia="Arial" w:cs="Arial"/>
                <w:sz w:val="16"/>
                <w:szCs w:val="16"/>
              </w:rPr>
              <w:lastRenderedPageBreak/>
              <w:t>3. Is access to vaccines more equitable for Aboriginal and Torres Strait Islander people and other priority populations?</w:t>
            </w:r>
          </w:p>
        </w:tc>
        <w:tc>
          <w:tcPr>
            <w:tcW w:w="618" w:type="pct"/>
          </w:tcPr>
          <w:p w14:paraId="510DD8B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3.1 </w:t>
            </w:r>
            <w:r>
              <w:rPr>
                <w:rFonts w:eastAsia="Arial" w:cs="Arial"/>
                <w:sz w:val="16"/>
                <w:szCs w:val="16"/>
              </w:rPr>
              <w:t>Trends in coverage</w:t>
            </w:r>
            <w:r>
              <w:rPr>
                <w:rStyle w:val="FootnoteReference"/>
                <w:rFonts w:eastAsia="Arial" w:cs="Arial"/>
                <w:sz w:val="16"/>
                <w:szCs w:val="16"/>
              </w:rPr>
              <w:footnoteReference w:id="5"/>
            </w:r>
            <w:r>
              <w:rPr>
                <w:rFonts w:eastAsia="Arial" w:cs="Arial"/>
                <w:sz w:val="16"/>
                <w:szCs w:val="16"/>
              </w:rPr>
              <w:t xml:space="preserve"> </w:t>
            </w:r>
            <w:r w:rsidRPr="00CB3D80">
              <w:rPr>
                <w:rFonts w:eastAsia="Arial" w:cs="Arial"/>
                <w:sz w:val="16"/>
                <w:szCs w:val="16"/>
              </w:rPr>
              <w:t>in Aboriginal and Torres Strait Islander children aged 1-, 2- and 5-years assessed as fully immunised using current coverage rules</w:t>
            </w:r>
          </w:p>
        </w:tc>
        <w:tc>
          <w:tcPr>
            <w:tcW w:w="671" w:type="pct"/>
          </w:tcPr>
          <w:p w14:paraId="1B3F9A5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Year-on-year increase </w:t>
            </w:r>
          </w:p>
        </w:tc>
        <w:tc>
          <w:tcPr>
            <w:tcW w:w="1068" w:type="pct"/>
            <w:vMerge w:val="restart"/>
          </w:tcPr>
          <w:p w14:paraId="1F8AF9BE" w14:textId="640551A1"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AIR</w:t>
            </w:r>
          </w:p>
          <w:p w14:paraId="319BA1F3"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Examples:</w:t>
            </w:r>
          </w:p>
          <w:p w14:paraId="436855B8" w14:textId="3B197950" w:rsidR="008748E3" w:rsidRPr="00FC2EFD"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color w:val="373737"/>
                <w:sz w:val="16"/>
                <w:szCs w:val="16"/>
              </w:rPr>
            </w:pPr>
            <w:hyperlink r:id="rId32">
              <w:r w:rsidRPr="00CB3D80">
                <w:rPr>
                  <w:rFonts w:eastAsia="Arial" w:cs="Arial"/>
                  <w:color w:val="467886"/>
                  <w:sz w:val="16"/>
                  <w:szCs w:val="16"/>
                  <w:u w:val="single"/>
                  <w:lang w:val="en-AU"/>
                </w:rPr>
                <w:t>Australia’s Health Performance Framework - AIHW</w:t>
              </w:r>
            </w:hyperlink>
          </w:p>
          <w:p w14:paraId="14AD4452"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3">
              <w:r w:rsidRPr="00CB3D80">
                <w:rPr>
                  <w:rFonts w:eastAsia="Arial" w:cs="Arial"/>
                  <w:color w:val="467886"/>
                  <w:sz w:val="16"/>
                  <w:szCs w:val="16"/>
                  <w:u w:val="single"/>
                </w:rPr>
                <w:t>Aboriginal and Torres Strait Islander Health Performance Framework - NIAA, AIHW</w:t>
              </w:r>
            </w:hyperlink>
          </w:p>
        </w:tc>
        <w:tc>
          <w:tcPr>
            <w:tcW w:w="672" w:type="pct"/>
            <w:vMerge w:val="restart"/>
          </w:tcPr>
          <w:p w14:paraId="413A4EAC" w14:textId="5B4FB426"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Annual</w:t>
            </w:r>
          </w:p>
        </w:tc>
        <w:tc>
          <w:tcPr>
            <w:tcW w:w="1443" w:type="pct"/>
            <w:vMerge w:val="restart"/>
          </w:tcPr>
          <w:p w14:paraId="74E8FA71"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CDC – Technical Support Partner</w:t>
            </w:r>
          </w:p>
        </w:tc>
      </w:tr>
      <w:tr w:rsidR="001C0B2F" w:rsidRPr="00CB3D80" w14:paraId="64397E46" w14:textId="77777777" w:rsidTr="00144E32">
        <w:trPr>
          <w:trHeight w:val="300"/>
        </w:trPr>
        <w:tc>
          <w:tcPr>
            <w:cnfStyle w:val="001000000000" w:firstRow="0" w:lastRow="0" w:firstColumn="1" w:lastColumn="0" w:oddVBand="0" w:evenVBand="0" w:oddHBand="0" w:evenHBand="0" w:firstRowFirstColumn="0" w:firstRowLastColumn="0" w:lastRowFirstColumn="0" w:lastRowLastColumn="0"/>
            <w:tcW w:w="528" w:type="pct"/>
            <w:vMerge/>
          </w:tcPr>
          <w:p w14:paraId="36A6FB1B" w14:textId="77777777" w:rsidR="008748E3" w:rsidRPr="00CB3D80" w:rsidRDefault="008748E3" w:rsidP="00B37CC3">
            <w:pPr>
              <w:rPr>
                <w:rFonts w:eastAsia="Times New Roman" w:cs="Arial"/>
                <w:sz w:val="16"/>
                <w:szCs w:val="16"/>
              </w:rPr>
            </w:pPr>
          </w:p>
        </w:tc>
        <w:tc>
          <w:tcPr>
            <w:tcW w:w="618" w:type="pct"/>
          </w:tcPr>
          <w:p w14:paraId="3EFBFE3F"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3.2 </w:t>
            </w:r>
            <w:r>
              <w:rPr>
                <w:rFonts w:eastAsia="Arial" w:cs="Arial"/>
                <w:sz w:val="16"/>
                <w:szCs w:val="16"/>
              </w:rPr>
              <w:t xml:space="preserve">Trends in coverage </w:t>
            </w:r>
            <w:r w:rsidRPr="00CB3D80">
              <w:rPr>
                <w:rFonts w:eastAsia="Arial" w:cs="Arial"/>
                <w:sz w:val="16"/>
                <w:szCs w:val="16"/>
              </w:rPr>
              <w:t>in Aboriginal and Torres Strait Islander adolescents who have received at least one dose of HPV vaccine by 15 years of age</w:t>
            </w:r>
          </w:p>
        </w:tc>
        <w:tc>
          <w:tcPr>
            <w:tcW w:w="671" w:type="pct"/>
          </w:tcPr>
          <w:p w14:paraId="3E9BA3E7" w14:textId="2CCCFA1F" w:rsidR="008748E3" w:rsidRPr="00CB3D80" w:rsidRDefault="008748E3" w:rsidP="00FC2EFD">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Year-on-year increase </w:t>
            </w:r>
          </w:p>
        </w:tc>
        <w:tc>
          <w:tcPr>
            <w:tcW w:w="1068" w:type="pct"/>
            <w:vMerge/>
          </w:tcPr>
          <w:p w14:paraId="73EBA63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325468E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6B48D5A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0DEFFF12" w14:textId="77777777" w:rsidTr="00144E32">
        <w:trPr>
          <w:trHeight w:val="300"/>
        </w:trPr>
        <w:tc>
          <w:tcPr>
            <w:cnfStyle w:val="001000000000" w:firstRow="0" w:lastRow="0" w:firstColumn="1" w:lastColumn="0" w:oddVBand="0" w:evenVBand="0" w:oddHBand="0" w:evenHBand="0" w:firstRowFirstColumn="0" w:firstRowLastColumn="0" w:lastRowFirstColumn="0" w:lastRowLastColumn="0"/>
            <w:tcW w:w="528" w:type="pct"/>
            <w:vMerge/>
          </w:tcPr>
          <w:p w14:paraId="0CAE212B" w14:textId="77777777" w:rsidR="008748E3" w:rsidRPr="00CB3D80" w:rsidRDefault="008748E3" w:rsidP="00B37CC3">
            <w:pPr>
              <w:rPr>
                <w:rFonts w:eastAsia="Times New Roman" w:cs="Arial"/>
                <w:sz w:val="16"/>
                <w:szCs w:val="16"/>
              </w:rPr>
            </w:pPr>
          </w:p>
        </w:tc>
        <w:tc>
          <w:tcPr>
            <w:tcW w:w="618" w:type="pct"/>
          </w:tcPr>
          <w:p w14:paraId="0F3B2B0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3.3 </w:t>
            </w:r>
            <w:r>
              <w:rPr>
                <w:rFonts w:eastAsia="Arial" w:cs="Arial"/>
                <w:sz w:val="16"/>
                <w:szCs w:val="16"/>
              </w:rPr>
              <w:t xml:space="preserve">Trends in coverage </w:t>
            </w:r>
            <w:r w:rsidRPr="00CB3D80">
              <w:rPr>
                <w:rFonts w:eastAsia="Arial" w:cs="Arial"/>
                <w:sz w:val="16"/>
                <w:szCs w:val="16"/>
              </w:rPr>
              <w:t>in Aboriginal and Torres Strait Islander adults aged 18 years or older who have received annual influenza vaccine in the past year</w:t>
            </w:r>
          </w:p>
        </w:tc>
        <w:tc>
          <w:tcPr>
            <w:tcW w:w="671" w:type="pct"/>
          </w:tcPr>
          <w:p w14:paraId="23D1007E" w14:textId="0BEB7C1E" w:rsidR="008748E3" w:rsidRPr="00CB3D80" w:rsidRDefault="008748E3" w:rsidP="00FC2EFD">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Year-on-year increase</w:t>
            </w:r>
          </w:p>
        </w:tc>
        <w:tc>
          <w:tcPr>
            <w:tcW w:w="1068" w:type="pct"/>
            <w:vMerge/>
          </w:tcPr>
          <w:p w14:paraId="240CB63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16B7510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11ABFC0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57E06C02" w14:textId="77777777" w:rsidTr="00144E32">
        <w:trPr>
          <w:trHeight w:val="638"/>
        </w:trPr>
        <w:tc>
          <w:tcPr>
            <w:cnfStyle w:val="001000000000" w:firstRow="0" w:lastRow="0" w:firstColumn="1" w:lastColumn="0" w:oddVBand="0" w:evenVBand="0" w:oddHBand="0" w:evenHBand="0" w:firstRowFirstColumn="0" w:firstRowLastColumn="0" w:lastRowFirstColumn="0" w:lastRowLastColumn="0"/>
            <w:tcW w:w="528" w:type="pct"/>
            <w:vMerge/>
          </w:tcPr>
          <w:p w14:paraId="4B19124E" w14:textId="77777777" w:rsidR="008748E3" w:rsidRPr="00CB3D80" w:rsidRDefault="008748E3" w:rsidP="00B37CC3">
            <w:pPr>
              <w:rPr>
                <w:rFonts w:eastAsia="Times New Roman" w:cs="Arial"/>
                <w:sz w:val="16"/>
                <w:szCs w:val="16"/>
              </w:rPr>
            </w:pPr>
          </w:p>
        </w:tc>
        <w:tc>
          <w:tcPr>
            <w:tcW w:w="618" w:type="pct"/>
          </w:tcPr>
          <w:p w14:paraId="1BE0201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3.4 </w:t>
            </w:r>
            <w:r>
              <w:rPr>
                <w:rFonts w:eastAsia="Arial" w:cs="Arial"/>
                <w:sz w:val="16"/>
                <w:szCs w:val="16"/>
              </w:rPr>
              <w:t xml:space="preserve">Trends in coverage </w:t>
            </w:r>
            <w:r w:rsidRPr="00CB3D80">
              <w:rPr>
                <w:rFonts w:eastAsia="Arial" w:cs="Arial"/>
                <w:sz w:val="16"/>
                <w:szCs w:val="16"/>
              </w:rPr>
              <w:t>in fully vaccinated coverage for children aged 1-, 2- and 5-</w:t>
            </w:r>
            <w:r w:rsidRPr="00CB3D80">
              <w:rPr>
                <w:rFonts w:eastAsia="Arial" w:cs="Arial"/>
                <w:sz w:val="16"/>
                <w:szCs w:val="16"/>
              </w:rPr>
              <w:lastRenderedPageBreak/>
              <w:t>years by geographical area (e.g. SA-3)</w:t>
            </w:r>
          </w:p>
        </w:tc>
        <w:tc>
          <w:tcPr>
            <w:tcW w:w="671" w:type="pct"/>
          </w:tcPr>
          <w:p w14:paraId="003BDF7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lastRenderedPageBreak/>
              <w:t xml:space="preserve">Year-on-year increase in geographical areas experiencing the lowest </w:t>
            </w:r>
            <w:r w:rsidRPr="00CB3D80">
              <w:rPr>
                <w:rFonts w:eastAsia="Arial" w:cs="Arial"/>
                <w:sz w:val="16"/>
                <w:szCs w:val="16"/>
              </w:rPr>
              <w:lastRenderedPageBreak/>
              <w:t>coverage prior to NIS implementation</w:t>
            </w:r>
          </w:p>
        </w:tc>
        <w:tc>
          <w:tcPr>
            <w:tcW w:w="1068" w:type="pct"/>
            <w:vMerge/>
          </w:tcPr>
          <w:p w14:paraId="13F861D3"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672" w:type="pct"/>
            <w:vMerge/>
          </w:tcPr>
          <w:p w14:paraId="3ACD98B9"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7C68B47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200C97EB" w14:textId="77777777" w:rsidTr="00144E32">
        <w:trPr>
          <w:trHeight w:val="722"/>
        </w:trPr>
        <w:tc>
          <w:tcPr>
            <w:cnfStyle w:val="001000000000" w:firstRow="0" w:lastRow="0" w:firstColumn="1" w:lastColumn="0" w:oddVBand="0" w:evenVBand="0" w:oddHBand="0" w:evenHBand="0" w:firstRowFirstColumn="0" w:firstRowLastColumn="0" w:lastRowFirstColumn="0" w:lastRowLastColumn="0"/>
            <w:tcW w:w="528" w:type="pct"/>
            <w:vMerge/>
          </w:tcPr>
          <w:p w14:paraId="579C71DA" w14:textId="77777777" w:rsidR="008748E3" w:rsidRPr="00CB3D80" w:rsidRDefault="008748E3" w:rsidP="00B37CC3">
            <w:pPr>
              <w:rPr>
                <w:rFonts w:eastAsia="Times New Roman" w:cs="Arial"/>
                <w:sz w:val="16"/>
                <w:szCs w:val="16"/>
              </w:rPr>
            </w:pPr>
          </w:p>
        </w:tc>
        <w:tc>
          <w:tcPr>
            <w:tcW w:w="618" w:type="pct"/>
          </w:tcPr>
          <w:p w14:paraId="27C88BF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3.5 </w:t>
            </w:r>
            <w:r>
              <w:rPr>
                <w:rFonts w:eastAsia="Arial" w:cs="Arial"/>
                <w:sz w:val="16"/>
                <w:szCs w:val="16"/>
              </w:rPr>
              <w:t xml:space="preserve">Number </w:t>
            </w:r>
            <w:r w:rsidRPr="00CB3D80">
              <w:rPr>
                <w:rFonts w:eastAsia="Arial" w:cs="Arial"/>
                <w:sz w:val="16"/>
                <w:szCs w:val="16"/>
              </w:rPr>
              <w:t>(%) of surveyed group reporting vaccination access barriers, by type of access barrier</w:t>
            </w:r>
          </w:p>
        </w:tc>
        <w:tc>
          <w:tcPr>
            <w:tcW w:w="671" w:type="pct"/>
          </w:tcPr>
          <w:p w14:paraId="53AE5F6A"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Reduced reported barriers (annual trend)</w:t>
            </w:r>
          </w:p>
        </w:tc>
        <w:tc>
          <w:tcPr>
            <w:tcW w:w="1068" w:type="pct"/>
          </w:tcPr>
          <w:p w14:paraId="638F59C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Regular surveys (e.g. </w:t>
            </w:r>
            <w:r>
              <w:rPr>
                <w:rFonts w:eastAsia="Arial" w:cs="Arial"/>
                <w:sz w:val="16"/>
                <w:szCs w:val="16"/>
              </w:rPr>
              <w:t xml:space="preserve">National </w:t>
            </w:r>
            <w:r w:rsidRPr="00CB3D80">
              <w:rPr>
                <w:rFonts w:eastAsia="Arial" w:cs="Arial"/>
                <w:sz w:val="16"/>
                <w:szCs w:val="16"/>
              </w:rPr>
              <w:t>Vaccination Insights project) using validated tools</w:t>
            </w:r>
          </w:p>
        </w:tc>
        <w:tc>
          <w:tcPr>
            <w:tcW w:w="672" w:type="pct"/>
          </w:tcPr>
          <w:p w14:paraId="0D74BD5B"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Annual</w:t>
            </w:r>
          </w:p>
        </w:tc>
        <w:tc>
          <w:tcPr>
            <w:tcW w:w="1443" w:type="pct"/>
          </w:tcPr>
          <w:p w14:paraId="52910228"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Department of Health, Disability and Ageing </w:t>
            </w:r>
            <w:r>
              <w:rPr>
                <w:rFonts w:eastAsia="Arial" w:cs="Arial"/>
                <w:sz w:val="16"/>
                <w:szCs w:val="16"/>
              </w:rPr>
              <w:t>-</w:t>
            </w:r>
            <w:r w:rsidRPr="00CB3D80">
              <w:rPr>
                <w:rFonts w:eastAsia="Arial" w:cs="Arial"/>
                <w:sz w:val="16"/>
                <w:szCs w:val="16"/>
              </w:rPr>
              <w:t>Technical Support Partner</w:t>
            </w:r>
          </w:p>
        </w:tc>
      </w:tr>
      <w:tr w:rsidR="001C0B2F" w:rsidRPr="00CB3D80" w14:paraId="44B29371" w14:textId="77777777" w:rsidTr="00144E32">
        <w:trPr>
          <w:trHeight w:val="1347"/>
        </w:trPr>
        <w:tc>
          <w:tcPr>
            <w:cnfStyle w:val="001000000000" w:firstRow="0" w:lastRow="0" w:firstColumn="1" w:lastColumn="0" w:oddVBand="0" w:evenVBand="0" w:oddHBand="0" w:evenHBand="0" w:firstRowFirstColumn="0" w:firstRowLastColumn="0" w:lastRowFirstColumn="0" w:lastRowLastColumn="0"/>
            <w:tcW w:w="528" w:type="pct"/>
            <w:shd w:val="clear" w:color="auto" w:fill="FFF5D5" w:themeFill="accent4" w:themeFillTint="33"/>
          </w:tcPr>
          <w:p w14:paraId="1E2CCE9E" w14:textId="77777777" w:rsidR="008748E3" w:rsidRPr="00CB3D80" w:rsidRDefault="008748E3" w:rsidP="00B37CC3">
            <w:pPr>
              <w:rPr>
                <w:rFonts w:eastAsia="Arial" w:cs="Arial"/>
                <w:sz w:val="16"/>
                <w:szCs w:val="16"/>
              </w:rPr>
            </w:pPr>
            <w:r w:rsidRPr="00CB3D80">
              <w:rPr>
                <w:rFonts w:eastAsia="Arial" w:cs="Arial"/>
                <w:sz w:val="16"/>
                <w:szCs w:val="16"/>
              </w:rPr>
              <w:t>4. Has consumer trust and confidence in vaccines improved?</w:t>
            </w:r>
          </w:p>
        </w:tc>
        <w:tc>
          <w:tcPr>
            <w:tcW w:w="618" w:type="pct"/>
          </w:tcPr>
          <w:p w14:paraId="37FF3860"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4.1 </w:t>
            </w:r>
            <w:r>
              <w:rPr>
                <w:rFonts w:eastAsia="Arial" w:cs="Arial"/>
                <w:sz w:val="16"/>
                <w:szCs w:val="16"/>
              </w:rPr>
              <w:t>Number</w:t>
            </w:r>
            <w:r w:rsidRPr="00CB3D80">
              <w:rPr>
                <w:rFonts w:eastAsia="Arial" w:cs="Arial"/>
                <w:sz w:val="16"/>
                <w:szCs w:val="16"/>
              </w:rPr>
              <w:t xml:space="preserve"> (%) of Australian public (surveyed group) that reports increased trust and acceptance in vaccines </w:t>
            </w:r>
          </w:p>
          <w:p w14:paraId="55227E7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p>
        </w:tc>
        <w:tc>
          <w:tcPr>
            <w:tcW w:w="671" w:type="pct"/>
          </w:tcPr>
          <w:p w14:paraId="275A4890"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Increased reported trust and acceptance in vaccines (annual trend)</w:t>
            </w:r>
          </w:p>
        </w:tc>
        <w:tc>
          <w:tcPr>
            <w:tcW w:w="1068" w:type="pct"/>
          </w:tcPr>
          <w:p w14:paraId="4D9E9208" w14:textId="728C147F" w:rsidR="008748E3"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Regular surveys through </w:t>
            </w:r>
            <w:r>
              <w:rPr>
                <w:rFonts w:eastAsia="Arial" w:cs="Arial"/>
                <w:sz w:val="16"/>
                <w:szCs w:val="16"/>
              </w:rPr>
              <w:t xml:space="preserve">National </w:t>
            </w:r>
            <w:r w:rsidRPr="00CB3D80">
              <w:rPr>
                <w:rFonts w:eastAsia="Arial" w:cs="Arial"/>
                <w:sz w:val="16"/>
                <w:szCs w:val="16"/>
              </w:rPr>
              <w:t>Vaccination Insights</w:t>
            </w:r>
            <w:r w:rsidR="00F646BC">
              <w:rPr>
                <w:rFonts w:eastAsia="Arial" w:cs="Arial"/>
                <w:sz w:val="16"/>
                <w:szCs w:val="16"/>
              </w:rPr>
              <w:t>.</w:t>
            </w:r>
          </w:p>
          <w:p w14:paraId="2F780C6C" w14:textId="4892DF2D" w:rsidR="00F646BC" w:rsidRPr="00CB3D80" w:rsidRDefault="00F646BC"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Pr>
                <w:rFonts w:eastAsia="Arial" w:cs="Arial"/>
                <w:sz w:val="16"/>
                <w:szCs w:val="16"/>
              </w:rPr>
              <w:t>Synthesis of available literature and evidence for baseline data.</w:t>
            </w:r>
          </w:p>
          <w:p w14:paraId="57550EF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Examples</w:t>
            </w:r>
            <w:r>
              <w:rPr>
                <w:rFonts w:eastAsia="Arial" w:cs="Arial"/>
                <w:sz w:val="16"/>
                <w:szCs w:val="16"/>
              </w:rPr>
              <w:t>:</w:t>
            </w:r>
          </w:p>
          <w:p w14:paraId="752B7C81"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4">
              <w:r>
                <w:rPr>
                  <w:rFonts w:eastAsia="Arial" w:cs="Arial"/>
                  <w:color w:val="467886"/>
                  <w:sz w:val="16"/>
                  <w:szCs w:val="16"/>
                  <w:u w:val="single"/>
                  <w:lang w:val="en-US"/>
                </w:rPr>
                <w:t>Childhood vaccination insights</w:t>
              </w:r>
            </w:hyperlink>
            <w:r w:rsidRPr="00CB3D80">
              <w:rPr>
                <w:rFonts w:eastAsia="Arial" w:cs="Arial"/>
                <w:color w:val="000000"/>
                <w:sz w:val="16"/>
                <w:szCs w:val="16"/>
                <w:lang w:val="en-US"/>
              </w:rPr>
              <w:t> </w:t>
            </w:r>
          </w:p>
          <w:p w14:paraId="2054673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5">
              <w:r>
                <w:rPr>
                  <w:rFonts w:eastAsia="Arial" w:cs="Arial"/>
                  <w:color w:val="467886"/>
                  <w:sz w:val="16"/>
                  <w:szCs w:val="16"/>
                  <w:u w:val="single"/>
                </w:rPr>
                <w:t>Adult vaccination insights</w:t>
              </w:r>
            </w:hyperlink>
          </w:p>
        </w:tc>
        <w:tc>
          <w:tcPr>
            <w:tcW w:w="672" w:type="pct"/>
          </w:tcPr>
          <w:p w14:paraId="2D638373" w14:textId="1BBEF79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Pr>
                <w:rFonts w:eastAsia="Arial" w:cs="Arial"/>
                <w:sz w:val="16"/>
                <w:szCs w:val="16"/>
              </w:rPr>
              <w:t>Annual</w:t>
            </w:r>
          </w:p>
        </w:tc>
        <w:tc>
          <w:tcPr>
            <w:tcW w:w="1443" w:type="pct"/>
          </w:tcPr>
          <w:p w14:paraId="5DB6B109"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Department of Health, Disability and Ageing – Technical Support Partner</w:t>
            </w:r>
          </w:p>
        </w:tc>
      </w:tr>
      <w:tr w:rsidR="001C0B2F" w:rsidRPr="00CB3D80" w14:paraId="3597CF84" w14:textId="77777777" w:rsidTr="00144E32">
        <w:trPr>
          <w:trHeight w:val="1007"/>
        </w:trPr>
        <w:tc>
          <w:tcPr>
            <w:cnfStyle w:val="001000000000" w:firstRow="0" w:lastRow="0" w:firstColumn="1" w:lastColumn="0" w:oddVBand="0" w:evenVBand="0" w:oddHBand="0" w:evenHBand="0" w:firstRowFirstColumn="0" w:firstRowLastColumn="0" w:lastRowFirstColumn="0" w:lastRowLastColumn="0"/>
            <w:tcW w:w="528" w:type="pct"/>
            <w:vMerge w:val="restart"/>
            <w:shd w:val="clear" w:color="auto" w:fill="FFF5D5" w:themeFill="accent4" w:themeFillTint="33"/>
          </w:tcPr>
          <w:p w14:paraId="11CF227B" w14:textId="77777777" w:rsidR="008748E3" w:rsidRPr="00CB3D80" w:rsidRDefault="008748E3" w:rsidP="00B37CC3">
            <w:pPr>
              <w:rPr>
                <w:rFonts w:eastAsia="Arial" w:cs="Arial"/>
                <w:sz w:val="16"/>
                <w:szCs w:val="16"/>
              </w:rPr>
            </w:pPr>
            <w:r w:rsidRPr="00CB3D80">
              <w:rPr>
                <w:rFonts w:eastAsia="Arial" w:cs="Arial"/>
                <w:sz w:val="16"/>
                <w:szCs w:val="16"/>
              </w:rPr>
              <w:t>5. Are the incidence and prevalence of vaccine-preventable diseases declining?</w:t>
            </w:r>
          </w:p>
        </w:tc>
        <w:tc>
          <w:tcPr>
            <w:tcW w:w="618" w:type="pct"/>
          </w:tcPr>
          <w:p w14:paraId="526A86A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5.1 </w:t>
            </w:r>
            <w:r>
              <w:rPr>
                <w:rFonts w:eastAsia="Arial" w:cs="Arial"/>
                <w:sz w:val="16"/>
                <w:szCs w:val="16"/>
              </w:rPr>
              <w:t>Number</w:t>
            </w:r>
            <w:r w:rsidRPr="00CB3D80">
              <w:rPr>
                <w:rFonts w:eastAsia="Arial" w:cs="Arial"/>
                <w:sz w:val="16"/>
                <w:szCs w:val="16"/>
              </w:rPr>
              <w:t>, rates and trends of case notifications in overall and/or specified populations (including priority populations) for selected VPDs</w:t>
            </w:r>
            <w:r w:rsidRPr="00CB3D80">
              <w:rPr>
                <w:rFonts w:eastAsia="Arial" w:cs="Arial"/>
                <w:sz w:val="16"/>
                <w:szCs w:val="16"/>
                <w:vertAlign w:val="superscript"/>
              </w:rPr>
              <w:footnoteReference w:id="6"/>
            </w:r>
          </w:p>
        </w:tc>
        <w:tc>
          <w:tcPr>
            <w:tcW w:w="671" w:type="pct"/>
          </w:tcPr>
          <w:p w14:paraId="5BBC7076"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No target</w:t>
            </w:r>
          </w:p>
        </w:tc>
        <w:tc>
          <w:tcPr>
            <w:tcW w:w="1068" w:type="pct"/>
          </w:tcPr>
          <w:p w14:paraId="673336C2"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National notifiable diseases surveillance system (NNDSS)</w:t>
            </w:r>
          </w:p>
          <w:p w14:paraId="32C88CCA"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Example:</w:t>
            </w:r>
          </w:p>
          <w:p w14:paraId="52CDF2D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6">
              <w:r w:rsidRPr="00CB3D80">
                <w:rPr>
                  <w:rFonts w:eastAsia="Arial" w:cs="Arial"/>
                  <w:color w:val="467886"/>
                  <w:sz w:val="16"/>
                  <w:szCs w:val="16"/>
                  <w:u w:val="single"/>
                </w:rPr>
                <w:t>NNDSS - Department of Health, Disability and Ageing</w:t>
              </w:r>
            </w:hyperlink>
          </w:p>
        </w:tc>
        <w:tc>
          <w:tcPr>
            <w:tcW w:w="672" w:type="pct"/>
            <w:vMerge w:val="restart"/>
          </w:tcPr>
          <w:p w14:paraId="2B0F9501" w14:textId="082D10E9"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Annual</w:t>
            </w:r>
          </w:p>
        </w:tc>
        <w:tc>
          <w:tcPr>
            <w:tcW w:w="1443" w:type="pct"/>
            <w:vMerge w:val="restart"/>
          </w:tcPr>
          <w:p w14:paraId="578C1F40" w14:textId="43EE5ED6"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CDC – Technical Support Partner</w:t>
            </w:r>
          </w:p>
        </w:tc>
      </w:tr>
      <w:tr w:rsidR="001C0B2F" w:rsidRPr="00CB3D80" w14:paraId="1D9A41E9" w14:textId="77777777" w:rsidTr="00144E32">
        <w:trPr>
          <w:trHeight w:val="767"/>
        </w:trPr>
        <w:tc>
          <w:tcPr>
            <w:cnfStyle w:val="001000000000" w:firstRow="0" w:lastRow="0" w:firstColumn="1" w:lastColumn="0" w:oddVBand="0" w:evenVBand="0" w:oddHBand="0" w:evenHBand="0" w:firstRowFirstColumn="0" w:firstRowLastColumn="0" w:lastRowFirstColumn="0" w:lastRowLastColumn="0"/>
            <w:tcW w:w="528" w:type="pct"/>
            <w:vMerge/>
          </w:tcPr>
          <w:p w14:paraId="1C00B8B2" w14:textId="77777777" w:rsidR="008748E3" w:rsidRPr="00CB3D80" w:rsidRDefault="008748E3" w:rsidP="00B37CC3">
            <w:pPr>
              <w:rPr>
                <w:rFonts w:eastAsia="Times New Roman" w:cs="Arial"/>
                <w:sz w:val="16"/>
                <w:szCs w:val="16"/>
              </w:rPr>
            </w:pPr>
          </w:p>
        </w:tc>
        <w:tc>
          <w:tcPr>
            <w:tcW w:w="618" w:type="pct"/>
          </w:tcPr>
          <w:p w14:paraId="62BA51EA"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5.2 </w:t>
            </w:r>
            <w:r>
              <w:rPr>
                <w:rFonts w:eastAsia="Arial" w:cs="Arial"/>
                <w:sz w:val="16"/>
                <w:szCs w:val="16"/>
              </w:rPr>
              <w:t>Number</w:t>
            </w:r>
            <w:r w:rsidRPr="00CB3D80">
              <w:rPr>
                <w:rFonts w:eastAsia="Arial" w:cs="Arial"/>
                <w:sz w:val="16"/>
                <w:szCs w:val="16"/>
              </w:rPr>
              <w:t xml:space="preserve">, rates and trends of hospitalisations in </w:t>
            </w:r>
            <w:r w:rsidRPr="00CB3D80">
              <w:rPr>
                <w:rFonts w:eastAsia="Arial" w:cs="Arial"/>
                <w:sz w:val="16"/>
                <w:szCs w:val="16"/>
              </w:rPr>
              <w:lastRenderedPageBreak/>
              <w:t>overall and/or specified populations (including priority populations) for selected VPDs</w:t>
            </w:r>
          </w:p>
        </w:tc>
        <w:tc>
          <w:tcPr>
            <w:tcW w:w="671" w:type="pct"/>
          </w:tcPr>
          <w:p w14:paraId="20E5624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CB3D80">
              <w:rPr>
                <w:rFonts w:eastAsia="Times New Roman" w:cs="Arial"/>
                <w:sz w:val="16"/>
                <w:szCs w:val="16"/>
              </w:rPr>
              <w:lastRenderedPageBreak/>
              <w:t>No target</w:t>
            </w:r>
          </w:p>
        </w:tc>
        <w:tc>
          <w:tcPr>
            <w:tcW w:w="1068" w:type="pct"/>
          </w:tcPr>
          <w:p w14:paraId="1AF77F88" w14:textId="77777777" w:rsidR="008748E3"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National Hospital Morbidity Database (NHMD)</w:t>
            </w:r>
          </w:p>
          <w:p w14:paraId="23E43A0F" w14:textId="77777777" w:rsidR="008748E3"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Pr>
                <w:rFonts w:eastAsia="Arial" w:cs="Arial"/>
                <w:sz w:val="16"/>
                <w:szCs w:val="16"/>
              </w:rPr>
              <w:lastRenderedPageBreak/>
              <w:t>Example:</w:t>
            </w:r>
          </w:p>
          <w:p w14:paraId="0594070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hyperlink r:id="rId37" w:history="1">
              <w:r w:rsidRPr="009319D6">
                <w:rPr>
                  <w:rStyle w:val="Hyperlink"/>
                  <w:rFonts w:eastAsia="Times New Roman" w:cs="Arial"/>
                  <w:sz w:val="16"/>
                  <w:szCs w:val="16"/>
                </w:rPr>
                <w:t>Vaccine-preventable diseases in Australia - AIHW</w:t>
              </w:r>
            </w:hyperlink>
          </w:p>
        </w:tc>
        <w:tc>
          <w:tcPr>
            <w:tcW w:w="672" w:type="pct"/>
            <w:vMerge/>
          </w:tcPr>
          <w:p w14:paraId="1ADE462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5C35F8E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485C0337" w14:textId="77777777" w:rsidTr="00144E32">
        <w:trPr>
          <w:trHeight w:val="300"/>
        </w:trPr>
        <w:tc>
          <w:tcPr>
            <w:cnfStyle w:val="001000000000" w:firstRow="0" w:lastRow="0" w:firstColumn="1" w:lastColumn="0" w:oddVBand="0" w:evenVBand="0" w:oddHBand="0" w:evenHBand="0" w:firstRowFirstColumn="0" w:firstRowLastColumn="0" w:lastRowFirstColumn="0" w:lastRowLastColumn="0"/>
            <w:tcW w:w="528" w:type="pct"/>
            <w:vMerge/>
          </w:tcPr>
          <w:p w14:paraId="41DF3D85" w14:textId="77777777" w:rsidR="008748E3" w:rsidRPr="00CB3D80" w:rsidRDefault="008748E3" w:rsidP="00B37CC3">
            <w:pPr>
              <w:rPr>
                <w:rFonts w:eastAsia="Times New Roman" w:cs="Arial"/>
                <w:sz w:val="16"/>
                <w:szCs w:val="16"/>
              </w:rPr>
            </w:pPr>
          </w:p>
        </w:tc>
        <w:tc>
          <w:tcPr>
            <w:tcW w:w="618" w:type="pct"/>
          </w:tcPr>
          <w:p w14:paraId="2C47E1CC"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 xml:space="preserve">5.3 </w:t>
            </w:r>
            <w:r>
              <w:rPr>
                <w:rFonts w:eastAsia="Arial" w:cs="Arial"/>
                <w:sz w:val="16"/>
                <w:szCs w:val="16"/>
              </w:rPr>
              <w:t>Number</w:t>
            </w:r>
            <w:r w:rsidRPr="00CB3D80">
              <w:rPr>
                <w:rFonts w:eastAsia="Arial" w:cs="Arial"/>
                <w:sz w:val="16"/>
                <w:szCs w:val="16"/>
              </w:rPr>
              <w:t>, rates and trends of deaths in overall and/or specified populations (including priority populations) related to selected VPDs</w:t>
            </w:r>
          </w:p>
        </w:tc>
        <w:tc>
          <w:tcPr>
            <w:tcW w:w="671" w:type="pct"/>
          </w:tcPr>
          <w:p w14:paraId="5CAE17B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CB3D80">
              <w:rPr>
                <w:rFonts w:eastAsia="Times New Roman" w:cs="Arial"/>
                <w:sz w:val="16"/>
                <w:szCs w:val="16"/>
              </w:rPr>
              <w:t>No target</w:t>
            </w:r>
          </w:p>
        </w:tc>
        <w:tc>
          <w:tcPr>
            <w:tcW w:w="1068" w:type="pct"/>
          </w:tcPr>
          <w:p w14:paraId="1DD0A1B2"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National Mortality Database (NMD) or Australian Coordinating Registry (ACR COD URF)</w:t>
            </w:r>
          </w:p>
        </w:tc>
        <w:tc>
          <w:tcPr>
            <w:tcW w:w="672" w:type="pct"/>
            <w:vMerge/>
          </w:tcPr>
          <w:p w14:paraId="67D7F7D0"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c>
          <w:tcPr>
            <w:tcW w:w="1443" w:type="pct"/>
            <w:vMerge/>
          </w:tcPr>
          <w:p w14:paraId="634AD1B5"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p>
        </w:tc>
      </w:tr>
      <w:tr w:rsidR="001C0B2F" w:rsidRPr="00CB3D80" w14:paraId="48710A3E" w14:textId="77777777" w:rsidTr="00144E32">
        <w:trPr>
          <w:trHeight w:val="300"/>
        </w:trPr>
        <w:tc>
          <w:tcPr>
            <w:cnfStyle w:val="001000000000" w:firstRow="0" w:lastRow="0" w:firstColumn="1" w:lastColumn="0" w:oddVBand="0" w:evenVBand="0" w:oddHBand="0" w:evenHBand="0" w:firstRowFirstColumn="0" w:firstRowLastColumn="0" w:lastRowFirstColumn="0" w:lastRowLastColumn="0"/>
            <w:tcW w:w="528" w:type="pct"/>
            <w:vMerge/>
          </w:tcPr>
          <w:p w14:paraId="0CF4357E" w14:textId="77777777" w:rsidR="008748E3" w:rsidRPr="00CB3D80" w:rsidRDefault="008748E3" w:rsidP="00B37CC3">
            <w:pPr>
              <w:rPr>
                <w:rFonts w:eastAsia="Times New Roman" w:cs="Arial"/>
                <w:sz w:val="16"/>
                <w:szCs w:val="16"/>
              </w:rPr>
            </w:pPr>
          </w:p>
        </w:tc>
        <w:tc>
          <w:tcPr>
            <w:tcW w:w="618" w:type="pct"/>
          </w:tcPr>
          <w:p w14:paraId="0FB4D474"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5.4 Achievement of endorsed elimination targets for measles, rubella and polio</w:t>
            </w:r>
          </w:p>
        </w:tc>
        <w:tc>
          <w:tcPr>
            <w:tcW w:w="671" w:type="pct"/>
          </w:tcPr>
          <w:p w14:paraId="27472A0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Maintained elimination status for measles, rubella and polio</w:t>
            </w:r>
          </w:p>
        </w:tc>
        <w:tc>
          <w:tcPr>
            <w:tcW w:w="1068" w:type="pct"/>
          </w:tcPr>
          <w:p w14:paraId="702417BF"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NNDSS + other relevant sources</w:t>
            </w:r>
          </w:p>
        </w:tc>
        <w:tc>
          <w:tcPr>
            <w:tcW w:w="672" w:type="pct"/>
          </w:tcPr>
          <w:p w14:paraId="33AFE5FC"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Annual</w:t>
            </w:r>
          </w:p>
        </w:tc>
        <w:tc>
          <w:tcPr>
            <w:tcW w:w="1443" w:type="pct"/>
          </w:tcPr>
          <w:p w14:paraId="7E16C817" w14:textId="77777777"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CDC</w:t>
            </w:r>
          </w:p>
          <w:p w14:paraId="67DDF0F0" w14:textId="2AB90751" w:rsidR="008748E3" w:rsidRPr="00CB3D80" w:rsidRDefault="008748E3" w:rsidP="00B37CC3">
            <w:pPr>
              <w:cnfStyle w:val="000000000000" w:firstRow="0" w:lastRow="0" w:firstColumn="0" w:lastColumn="0" w:oddVBand="0" w:evenVBand="0" w:oddHBand="0" w:evenHBand="0" w:firstRowFirstColumn="0" w:firstRowLastColumn="0" w:lastRowFirstColumn="0" w:lastRowLastColumn="0"/>
              <w:rPr>
                <w:rFonts w:eastAsia="Arial" w:cs="Arial"/>
                <w:sz w:val="16"/>
                <w:szCs w:val="16"/>
              </w:rPr>
            </w:pPr>
            <w:r w:rsidRPr="00CB3D80">
              <w:rPr>
                <w:rFonts w:eastAsia="Arial" w:cs="Arial"/>
                <w:sz w:val="16"/>
                <w:szCs w:val="16"/>
              </w:rPr>
              <w:t>AIHW</w:t>
            </w:r>
          </w:p>
        </w:tc>
      </w:tr>
    </w:tbl>
    <w:p w14:paraId="21A3B4EB" w14:textId="594CA412" w:rsidR="0064631D" w:rsidRPr="00504734" w:rsidRDefault="0064631D" w:rsidP="0064631D">
      <w:pPr>
        <w:rPr>
          <w:sz w:val="16"/>
          <w:szCs w:val="16"/>
        </w:rPr>
        <w:sectPr w:rsidR="0064631D" w:rsidRPr="00504734" w:rsidSect="0064631D">
          <w:headerReference w:type="even" r:id="rId38"/>
          <w:headerReference w:type="default" r:id="rId39"/>
          <w:footerReference w:type="default" r:id="rId40"/>
          <w:headerReference w:type="first" r:id="rId41"/>
          <w:footerReference w:type="first" r:id="rId42"/>
          <w:footnotePr>
            <w:numFmt w:val="lowerLetter"/>
            <w:numRestart w:val="eachSect"/>
          </w:footnotePr>
          <w:pgSz w:w="16838" w:h="11906" w:orient="landscape"/>
          <w:pgMar w:top="1440" w:right="1440" w:bottom="1440" w:left="1440" w:header="720" w:footer="720" w:gutter="0"/>
          <w:cols w:space="720"/>
          <w:titlePg/>
          <w:docGrid w:linePitch="360"/>
        </w:sectPr>
      </w:pPr>
      <w:bookmarkStart w:id="31" w:name="_Toc220578943"/>
      <w:r w:rsidRPr="0064631D">
        <w:rPr>
          <w:b/>
          <w:bCs/>
          <w:sz w:val="12"/>
          <w:szCs w:val="12"/>
        </w:rPr>
        <w:t>Abbreviations:</w:t>
      </w:r>
      <w:r w:rsidRPr="0064631D">
        <w:rPr>
          <w:sz w:val="12"/>
          <w:szCs w:val="12"/>
        </w:rPr>
        <w:t xml:space="preserve"> ACR COD URF – Australian Coordinating Registry Cause of Death Unit Record File; AIHW – Australian Institute for Health and Welfare; AIR – Australian Immunisation Register; CDC – Centre for Disease Control; HPV – Human papillomavirus; NCIRS – National Centre for Immunisation Surveillance and Research; NHMD – National Hospital Morbidity Database; NIAA -</w:t>
      </w:r>
      <w:r>
        <w:rPr>
          <w:sz w:val="16"/>
          <w:szCs w:val="16"/>
        </w:rPr>
        <w:t xml:space="preserve"> </w:t>
      </w:r>
      <w:r w:rsidRPr="0064631D">
        <w:rPr>
          <w:sz w:val="12"/>
          <w:szCs w:val="12"/>
        </w:rPr>
        <w:t>National Indigenous Australians Agency; NIS – National Immunisation Strategy; NMD – National Mortality Database; NNDSS – National Notifiable Disease Surveillance System; SA – Statistical Area level; VPD – Vaccine-preventable diseases</w:t>
      </w:r>
      <w:r>
        <w:rPr>
          <w:sz w:val="16"/>
          <w:szCs w:val="16"/>
        </w:rPr>
        <w:t>.</w:t>
      </w:r>
      <w:r w:rsidR="005F2DC5">
        <w:rPr>
          <w:rStyle w:val="FootnoteReference"/>
          <w:sz w:val="16"/>
          <w:szCs w:val="16"/>
        </w:rPr>
        <w:footnoteReference w:id="7"/>
      </w:r>
    </w:p>
    <w:p w14:paraId="4C5E0643" w14:textId="4FA94BFC" w:rsidR="00520A61" w:rsidRDefault="00520A61" w:rsidP="00144E32">
      <w:pPr>
        <w:pStyle w:val="Heading1"/>
      </w:pPr>
      <w:bookmarkStart w:id="32" w:name="_Toc227319864"/>
      <w:r>
        <w:lastRenderedPageBreak/>
        <w:t xml:space="preserve">Key </w:t>
      </w:r>
      <w:r w:rsidR="008B15BB">
        <w:t>e</w:t>
      </w:r>
      <w:r>
        <w:t xml:space="preserve">valuation </w:t>
      </w:r>
      <w:r w:rsidR="008B15BB">
        <w:t>q</w:t>
      </w:r>
      <w:r>
        <w:t xml:space="preserve">uestion </w:t>
      </w:r>
      <w:r w:rsidR="008B15BB">
        <w:t>r</w:t>
      </w:r>
      <w:r>
        <w:t>ationale</w:t>
      </w:r>
      <w:bookmarkEnd w:id="31"/>
      <w:bookmarkEnd w:id="32"/>
    </w:p>
    <w:p w14:paraId="506D5873" w14:textId="5E04C7F6" w:rsidR="00AB0B20" w:rsidRDefault="00AB0B20" w:rsidP="00AB0B20">
      <w:r w:rsidRPr="00767CAD">
        <w:t xml:space="preserve">The rationales for, and high-level approaches to, monitoring and evaluation for each of the </w:t>
      </w:r>
      <w:r w:rsidR="009B3726">
        <w:t>5</w:t>
      </w:r>
      <w:r w:rsidR="009B3726" w:rsidRPr="00767CAD">
        <w:t xml:space="preserve"> </w:t>
      </w:r>
      <w:r w:rsidRPr="00767CAD">
        <w:t>key evaluation questions are described below.</w:t>
      </w:r>
    </w:p>
    <w:p w14:paraId="007D2AF8" w14:textId="772CF452" w:rsidR="00042A81" w:rsidRPr="00042A81" w:rsidRDefault="00042A81" w:rsidP="00CD091B">
      <w:pPr>
        <w:pStyle w:val="ListNumber"/>
      </w:pPr>
      <w:r w:rsidRPr="00042A81">
        <w:t>To what extent have jurisdictional action plans been developed and implemented?</w:t>
      </w:r>
    </w:p>
    <w:p w14:paraId="23650471" w14:textId="14433708" w:rsidR="00AB0B20" w:rsidRPr="000232E6" w:rsidRDefault="00042A81" w:rsidP="00AB0B20">
      <w:r w:rsidRPr="000232E6">
        <w:t>T</w:t>
      </w:r>
      <w:r w:rsidR="00AB0B20" w:rsidRPr="000232E6">
        <w:t>his question seeks to assess progress against NIS 2025</w:t>
      </w:r>
      <w:r w:rsidR="00AB0B20">
        <w:t>–</w:t>
      </w:r>
      <w:r w:rsidR="00AB0B20" w:rsidRPr="000232E6">
        <w:t xml:space="preserve">2030 implementation by monitoring progress against Commonwealth and </w:t>
      </w:r>
      <w:r w:rsidR="005B645A">
        <w:t>s</w:t>
      </w:r>
      <w:r w:rsidR="00AB0B20" w:rsidRPr="000232E6">
        <w:t xml:space="preserve">tate and </w:t>
      </w:r>
      <w:r w:rsidR="005B645A">
        <w:t>t</w:t>
      </w:r>
      <w:r w:rsidR="00AB0B20" w:rsidRPr="000232E6">
        <w:t>erritory action plans at a high level, including alignment with the NIS 2025</w:t>
      </w:r>
      <w:r w:rsidR="00AB0B20">
        <w:t>–</w:t>
      </w:r>
      <w:r w:rsidR="00AB0B20" w:rsidRPr="000232E6">
        <w:t xml:space="preserve">2030 priority areas. States and territories are key stakeholders and essential delivery partners for activities under the </w:t>
      </w:r>
      <w:r w:rsidR="005B645A">
        <w:t>s</w:t>
      </w:r>
      <w:r w:rsidR="00AB0B20" w:rsidRPr="000232E6">
        <w:t>trategy and its priority areas. Implementation of the NIS 2025</w:t>
      </w:r>
      <w:r w:rsidR="00AB0B20">
        <w:t>–20</w:t>
      </w:r>
      <w:r w:rsidR="00AB0B20" w:rsidRPr="000232E6">
        <w:t xml:space="preserve">30 will be measured at a </w:t>
      </w:r>
      <w:r w:rsidR="005B645A">
        <w:t>s</w:t>
      </w:r>
      <w:r w:rsidR="00AB0B20" w:rsidRPr="000232E6">
        <w:t xml:space="preserve">tate and </w:t>
      </w:r>
      <w:r w:rsidR="005B645A">
        <w:t>t</w:t>
      </w:r>
      <w:r w:rsidR="00AB0B20" w:rsidRPr="000232E6">
        <w:t>erritory level by leveraging existing processes under the Essential Vaccines Schedule of the Federation Funding Agreement – Health 2025</w:t>
      </w:r>
      <w:r w:rsidR="00AB0B20">
        <w:t>–</w:t>
      </w:r>
      <w:r w:rsidR="00AB0B20" w:rsidRPr="000232E6">
        <w:t>2028 (EVS)</w:t>
      </w:r>
      <w:r w:rsidR="00527740">
        <w:t>.</w:t>
      </w:r>
      <w:r w:rsidR="00AB0B20" w:rsidRPr="00527740">
        <w:rPr>
          <w:vertAlign w:val="superscript"/>
        </w:rPr>
        <w:t>9</w:t>
      </w:r>
      <w:r w:rsidR="00AB0B20" w:rsidRPr="000232E6">
        <w:t xml:space="preserve"> </w:t>
      </w:r>
    </w:p>
    <w:p w14:paraId="4EDAC8DA" w14:textId="77777777" w:rsidR="00922AC8" w:rsidRPr="000232E6" w:rsidRDefault="00AB0B20" w:rsidP="00922AC8">
      <w:r w:rsidRPr="000232E6">
        <w:t>Assessment of this question will focus on completion and progress against actions and activities described in government action plans only. This question does not seek to assess health or system level outcomes for each of the actions or activities.</w:t>
      </w:r>
      <w:bookmarkStart w:id="33" w:name="_Toc220578945"/>
    </w:p>
    <w:p w14:paraId="382628D5" w14:textId="4F0A8A70" w:rsidR="00AB0B20" w:rsidRPr="00CD091B" w:rsidRDefault="00AB0B20" w:rsidP="00CD091B">
      <w:pPr>
        <w:pStyle w:val="ListNumber"/>
        <w:rPr>
          <w:rFonts w:eastAsia="Aptos"/>
        </w:rPr>
      </w:pPr>
      <w:r w:rsidRPr="00CD091B">
        <w:t>Are immunisation coverage rates improving across all age groups and priority populations?</w:t>
      </w:r>
      <w:bookmarkEnd w:id="33"/>
    </w:p>
    <w:p w14:paraId="2AF9473A" w14:textId="77777777" w:rsidR="00AB0B20" w:rsidRDefault="00AB0B20" w:rsidP="00AB0B20">
      <w:r>
        <w:t>High immunisation coverage is crucial in its mission of reducing the impact of VPDs.  Using established indicators for childhood ‘fully vaccinated’ coverage and adolescent HPV vaccine coverage enable assessment of progress against pre-strategy baselines. The 95% targets for fully vaccinated coverage at 1, 2 and 5 years of age reflect longstanding national targets aimed at achieving and maintaining high levels of community protection against key VPDs. The 90% HPV vaccine coverage target by 2030 set by the National Strategy for the Elimination of Cervical Cancer in Australia,</w:t>
      </w:r>
      <w:r>
        <w:rPr>
          <w:vertAlign w:val="superscript"/>
        </w:rPr>
        <w:t>10</w:t>
      </w:r>
      <w:r>
        <w:t xml:space="preserve"> builds upon the World Health Organization’s Global Strategy targets.</w:t>
      </w:r>
      <w:r>
        <w:rPr>
          <w:vertAlign w:val="superscript"/>
        </w:rPr>
        <w:t>11</w:t>
      </w:r>
    </w:p>
    <w:p w14:paraId="328C092E" w14:textId="77777777" w:rsidR="00DF2CE3" w:rsidRDefault="00AB0B20" w:rsidP="00AB0B20">
      <w:r>
        <w:t xml:space="preserve">Australian Immunisation Register (AIR) data enable timely monitoring of coverage by age group, Aboriginal and Torres Strait Islander status, geographic locations and socio-economic status. However, the AIR lacks detailed data required to assess coverage for many priority populations. </w:t>
      </w:r>
      <w:r w:rsidRPr="00620FA5">
        <w:t>Linked data assets, such as the Person Level Integrated Data Asset (PLIDA)</w:t>
      </w:r>
      <w:r>
        <w:rPr>
          <w:vertAlign w:val="superscript"/>
        </w:rPr>
        <w:t>12</w:t>
      </w:r>
      <w:r w:rsidRPr="00620FA5">
        <w:t xml:space="preserve"> and </w:t>
      </w:r>
      <w:r>
        <w:t xml:space="preserve">the </w:t>
      </w:r>
      <w:r w:rsidRPr="00620FA5">
        <w:t>National Health Data Hub</w:t>
      </w:r>
      <w:r>
        <w:rPr>
          <w:vertAlign w:val="superscript"/>
        </w:rPr>
        <w:t>13</w:t>
      </w:r>
      <w:r>
        <w:t xml:space="preserve"> can be used to measure coverage in some populations, such as people with clinical risk factors for severe disease</w:t>
      </w:r>
      <w:r w:rsidR="00D02AB3">
        <w:t>, or from culturally and linguistically diverse backgrounds</w:t>
      </w:r>
      <w:r>
        <w:t xml:space="preserve">. As these data systems evolve, additional indicators should be </w:t>
      </w:r>
      <w:r w:rsidR="00D02AB3">
        <w:t xml:space="preserve">developed </w:t>
      </w:r>
      <w:r>
        <w:t>to strengthen monitoring and evaluation of equitable coverage</w:t>
      </w:r>
      <w:r w:rsidR="00DF2CE3">
        <w:t>.</w:t>
      </w:r>
    </w:p>
    <w:p w14:paraId="09204370" w14:textId="583CE0E1" w:rsidR="00A3381A" w:rsidRPr="00A3381A" w:rsidRDefault="00A3381A" w:rsidP="00CD091B">
      <w:pPr>
        <w:pStyle w:val="ListNumber"/>
      </w:pPr>
      <w:r w:rsidRPr="00A3381A">
        <w:lastRenderedPageBreak/>
        <w:t>Is access to vaccines more equitable for Aboriginal and Torres Strait Islander People and other priority populations?</w:t>
      </w:r>
    </w:p>
    <w:p w14:paraId="74AA93E5" w14:textId="77777777" w:rsidR="00AB0B20" w:rsidRDefault="00AB0B20" w:rsidP="00AB0B20">
      <w:bookmarkStart w:id="34" w:name="_Hlk222153198"/>
      <w:r>
        <w:t xml:space="preserve">Improving equitable access to immunisation is central to the vision of the NIS 2025–2030, </w:t>
      </w:r>
      <w:bookmarkEnd w:id="34"/>
      <w:r>
        <w:t xml:space="preserve">however measuring access at a national level is challenging. Immunisation coverage trend indicators will therefore serve as proxy measures for improved access, noting limitations in monitoring coverage among many priority populations. </w:t>
      </w:r>
      <w:bookmarkStart w:id="35" w:name="_Hlk222153386"/>
      <w:r>
        <w:t>Aspirational equity targets focus on achieving year-on-year improvements for geographic areas with the lowest childhood immunisation coverage and for Aboriginal and Torres</w:t>
      </w:r>
      <w:bookmarkEnd w:id="35"/>
      <w:r>
        <w:t xml:space="preserve"> Strait Islander People. Additional coverage trend indicators and equity targets for other priority populations should also be considered.</w:t>
      </w:r>
    </w:p>
    <w:p w14:paraId="4EF8A955" w14:textId="77777777" w:rsidR="00AB0B20" w:rsidRDefault="00AB0B20" w:rsidP="00AB0B20">
      <w:r>
        <w:t>Existing research, such as the National Vaccination Insights project, provide valuable information on access barriers experienced, as reported among a sample of the general population. Studies could be expanded or methods adapted to explore access barriers experienced by priority groups.</w:t>
      </w:r>
    </w:p>
    <w:p w14:paraId="3D8E2A8B" w14:textId="517959BB" w:rsidR="00861784" w:rsidRPr="00861784" w:rsidRDefault="00861784" w:rsidP="00CD091B">
      <w:pPr>
        <w:pStyle w:val="ListNumber"/>
      </w:pPr>
      <w:r w:rsidRPr="00D43FE9">
        <w:t>Has consumer trust and confidence in vaccines improved</w:t>
      </w:r>
      <w:r w:rsidRPr="00861784">
        <w:t>?</w:t>
      </w:r>
    </w:p>
    <w:p w14:paraId="2DF89899" w14:textId="77777777" w:rsidR="00AB0B20" w:rsidRDefault="00AB0B20" w:rsidP="00AB0B20">
      <w:r>
        <w:t>Regular surveys and/or interviews using validated tools can provide useful insights into</w:t>
      </w:r>
      <w:r w:rsidRPr="00B90D07">
        <w:t xml:space="preserve"> </w:t>
      </w:r>
      <w:r>
        <w:t>behavioural and social drivers for vaccination.</w:t>
      </w:r>
      <w:r w:rsidDel="002626C4">
        <w:t xml:space="preserve"> </w:t>
      </w:r>
      <w:r>
        <w:t>The National Vaccination Insight project conducts nationally representative surveys to understand acceptance of vaccines within select groups,</w:t>
      </w:r>
      <w:r w:rsidRPr="003F0B5C">
        <w:t xml:space="preserve"> </w:t>
      </w:r>
      <w:r w:rsidRPr="00BA67E4">
        <w:t xml:space="preserve">which </w:t>
      </w:r>
      <w:r>
        <w:t xml:space="preserve">is </w:t>
      </w:r>
      <w:r w:rsidRPr="00BA67E4">
        <w:t>shaped by community trust and confidence</w:t>
      </w:r>
      <w:r>
        <w:t>.</w:t>
      </w:r>
      <w:r>
        <w:rPr>
          <w:vertAlign w:val="superscript"/>
        </w:rPr>
        <w:t>14</w:t>
      </w:r>
      <w:r w:rsidRPr="5431A6DB">
        <w:rPr>
          <w:vertAlign w:val="superscript"/>
        </w:rPr>
        <w:t>,</w:t>
      </w:r>
      <w:r>
        <w:rPr>
          <w:vertAlign w:val="superscript"/>
        </w:rPr>
        <w:t>15</w:t>
      </w:r>
      <w:r>
        <w:t xml:space="preserve"> Adaptation or development of approaches to understand acceptance among priority populations is required and should be underpinned by co-design and active participation from community and organisations representing these populations.</w:t>
      </w:r>
    </w:p>
    <w:p w14:paraId="56E2E18A" w14:textId="033A5D81" w:rsidR="00D43FE9" w:rsidRPr="0094194E" w:rsidRDefault="0094194E" w:rsidP="00CD091B">
      <w:pPr>
        <w:pStyle w:val="ListNumber"/>
      </w:pPr>
      <w:r w:rsidRPr="0094194E">
        <w:t>Are the incidence and prevalence of vaccine-preventable diseases declining?</w:t>
      </w:r>
    </w:p>
    <w:p w14:paraId="291FC9A3" w14:textId="77777777" w:rsidR="00DF2CE3" w:rsidRDefault="00AB0B20" w:rsidP="00AB0B20">
      <w:r>
        <w:t>Reducing the impact of VPDs is the core mission of the NIS 2025–2030. Measuring the impact of VPDs will occur through analyses of established national administrative data. The selected VPDs should be determined in line with CDC and</w:t>
      </w:r>
      <w:r w:rsidRPr="00CD505E">
        <w:t xml:space="preserve"> </w:t>
      </w:r>
      <w:r>
        <w:t xml:space="preserve">Department of Health, Disability and Ageing priorities. </w:t>
      </w:r>
      <w:r w:rsidRPr="00BA67E4">
        <w:t>Regular</w:t>
      </w:r>
      <w:r>
        <w:t xml:space="preserve"> analyses and triangulation of the most recently available data across notification, hospitalisation and mortality datasets will provide a broad picture of the impact of VPDs across Australia</w:t>
      </w:r>
      <w:r w:rsidR="00DF2CE3">
        <w:t>.</w:t>
      </w:r>
    </w:p>
    <w:p w14:paraId="7EE583A8" w14:textId="414903B3" w:rsidR="00AB0B20" w:rsidRDefault="00AB0B20" w:rsidP="00AB0B20">
      <w:pPr>
        <w:pStyle w:val="ListParagraph"/>
        <w:ind w:left="0"/>
      </w:pPr>
      <w:r>
        <w:rPr>
          <w:lang w:val="en-US"/>
        </w:rPr>
        <w:t>N</w:t>
      </w:r>
      <w:r w:rsidRPr="009E1F44">
        <w:rPr>
          <w:lang w:val="en-US"/>
        </w:rPr>
        <w:t xml:space="preserve">o targets are proposed for </w:t>
      </w:r>
      <w:r>
        <w:rPr>
          <w:lang w:val="en-US"/>
        </w:rPr>
        <w:t xml:space="preserve">disease </w:t>
      </w:r>
      <w:r w:rsidRPr="009E1F44">
        <w:rPr>
          <w:lang w:val="en-US"/>
        </w:rPr>
        <w:t xml:space="preserve">indicators, as trends may be impacted by factors such as changes in sensitivity of diagnostics, implementation of other public health measures, and consumer health-seeking </w:t>
      </w:r>
      <w:proofErr w:type="spellStart"/>
      <w:r w:rsidRPr="009E1F44">
        <w:rPr>
          <w:lang w:val="en-US"/>
        </w:rPr>
        <w:t>behaviour</w:t>
      </w:r>
      <w:proofErr w:type="spellEnd"/>
      <w:r w:rsidRPr="009E1F44">
        <w:rPr>
          <w:lang w:val="en-US"/>
        </w:rPr>
        <w:t>.</w:t>
      </w:r>
    </w:p>
    <w:p w14:paraId="373015C3" w14:textId="77777777" w:rsidR="00DF2CE3" w:rsidRDefault="00AB0B20" w:rsidP="00AB0B20">
      <w:r>
        <w:lastRenderedPageBreak/>
        <w:t>Where possible, monitoring and evaluation should focus on population groups relevant to the specific VPD. Further investment is required in establishing timely mechanisms (e.g. linked data) to measure the impact of VPDs among all priority populations</w:t>
      </w:r>
      <w:r w:rsidR="00DF2CE3">
        <w:t>.</w:t>
      </w:r>
    </w:p>
    <w:p w14:paraId="71AFD902" w14:textId="4387435D" w:rsidR="00AB0B20" w:rsidRDefault="00AB0B20" w:rsidP="00AB0B20">
      <w:pPr>
        <w:rPr>
          <w:vertAlign w:val="superscript"/>
        </w:rPr>
      </w:pPr>
      <w:r>
        <w:t xml:space="preserve">While Australia has achieved elimination of measles, rubella and polio, global resurgences mean ongoing efforts are required to maintain their elimination. Monitoring and evaluation of Australia’s elimination status under the </w:t>
      </w:r>
      <w:r w:rsidR="00714E81">
        <w:t>f</w:t>
      </w:r>
      <w:r>
        <w:t>ramework should align with National Verification Committee practices and relevant national plans and guidelines.</w:t>
      </w:r>
      <w:r>
        <w:rPr>
          <w:vertAlign w:val="superscript"/>
        </w:rPr>
        <w:t>16–18</w:t>
      </w:r>
    </w:p>
    <w:p w14:paraId="1A819E76" w14:textId="7DC40BE0" w:rsidR="00AE4ABF" w:rsidRDefault="00AE4ABF" w:rsidP="002208F3">
      <w:pPr>
        <w:pStyle w:val="Heading1"/>
      </w:pPr>
      <w:bookmarkStart w:id="36" w:name="_Toc227319865"/>
      <w:r w:rsidRPr="006802F7">
        <w:t xml:space="preserve">Reporting and </w:t>
      </w:r>
      <w:r w:rsidR="008B15BB">
        <w:t>l</w:t>
      </w:r>
      <w:r w:rsidRPr="006802F7">
        <w:t>earning</w:t>
      </w:r>
      <w:bookmarkEnd w:id="36"/>
    </w:p>
    <w:p w14:paraId="2A133039" w14:textId="04CCC8F0" w:rsidR="008E2536" w:rsidRPr="008E2536" w:rsidRDefault="008E2536" w:rsidP="009658F5">
      <w:pPr>
        <w:pStyle w:val="Heading2"/>
      </w:pPr>
      <w:bookmarkStart w:id="37" w:name="_Toc227319866"/>
      <w:r>
        <w:t xml:space="preserve">Monitoring and </w:t>
      </w:r>
      <w:r w:rsidR="008B15BB">
        <w:t>e</w:t>
      </w:r>
      <w:r>
        <w:t xml:space="preserve">valuation </w:t>
      </w:r>
      <w:r w:rsidR="008B15BB">
        <w:t>r</w:t>
      </w:r>
      <w:r>
        <w:t>eports</w:t>
      </w:r>
      <w:bookmarkEnd w:id="37"/>
    </w:p>
    <w:p w14:paraId="3432505B" w14:textId="77777777" w:rsidR="00DF2CE3" w:rsidRDefault="00AB0B20" w:rsidP="00AB0B20">
      <w:r>
        <w:t>Monitoring of each indicator will occur as outlined in the evaluation data matrix (</w:t>
      </w:r>
      <w:hyperlink w:anchor="_Figure_5._Evaluation" w:history="1">
        <w:r w:rsidRPr="7477ED33">
          <w:rPr>
            <w:rStyle w:val="Hyperlink"/>
          </w:rPr>
          <w:t>Figure 5</w:t>
        </w:r>
      </w:hyperlink>
      <w:r>
        <w:t xml:space="preserve">). To support timely learning and action, there will be </w:t>
      </w:r>
      <w:r w:rsidR="00714E81">
        <w:t>6</w:t>
      </w:r>
      <w:r>
        <w:t>-monthly checkpoints of available monitoring data, and annual monitoring reports summarising all available monitoring results will be produced</w:t>
      </w:r>
      <w:r w:rsidR="00DF2CE3">
        <w:t>.</w:t>
      </w:r>
    </w:p>
    <w:p w14:paraId="601F13AB" w14:textId="4ABF9E8C" w:rsidR="00AB0B20" w:rsidRDefault="00AB0B20" w:rsidP="00AB0B20">
      <w:r>
        <w:t xml:space="preserve">Annual monitoring reports will be produced by October of each year to align with development of annual Commonwealth Action Plans to ensure timely learning and translation of results into action. It is also expected that annual results inform the development of </w:t>
      </w:r>
      <w:r w:rsidR="00714E81">
        <w:t>s</w:t>
      </w:r>
      <w:r>
        <w:t xml:space="preserve">tate and </w:t>
      </w:r>
      <w:r w:rsidR="00714E81">
        <w:t>t</w:t>
      </w:r>
      <w:r>
        <w:t>erritory action plans.</w:t>
      </w:r>
    </w:p>
    <w:p w14:paraId="234265AF" w14:textId="0400E947" w:rsidR="00AB0B20" w:rsidRDefault="00AB0B20" w:rsidP="00AB0B20">
      <w:r>
        <w:t>Comprehensive evaluations will be undertaken at the midpoint and in the final year of the NIS 2025–2030 (</w:t>
      </w:r>
      <w:hyperlink w:anchor="_Figure_6:_Timeline" w:history="1">
        <w:r w:rsidRPr="007A1CB2">
          <w:rPr>
            <w:rStyle w:val="Hyperlink"/>
          </w:rPr>
          <w:t>Figure 6</w:t>
        </w:r>
      </w:hyperlink>
      <w:r>
        <w:t>).</w:t>
      </w:r>
    </w:p>
    <w:p w14:paraId="4B456DE2" w14:textId="438AF9BC" w:rsidR="00F51D8C" w:rsidRDefault="00AB0B20" w:rsidP="00FC2EFD">
      <w:pPr>
        <w:pStyle w:val="FigureTitle"/>
      </w:pPr>
      <w:bookmarkStart w:id="38" w:name="_Figure_6:_Timeline"/>
      <w:bookmarkEnd w:id="38"/>
      <w:r w:rsidRPr="00D860C3">
        <w:t xml:space="preserve">Figure 6: Timeline of </w:t>
      </w:r>
      <w:r w:rsidR="00F11495">
        <w:t>m</w:t>
      </w:r>
      <w:r w:rsidRPr="00D860C3">
        <w:t xml:space="preserve">onitoring, </w:t>
      </w:r>
      <w:r w:rsidR="00714E81">
        <w:t>e</w:t>
      </w:r>
      <w:r w:rsidRPr="00D860C3">
        <w:t xml:space="preserve">valuation and </w:t>
      </w:r>
      <w:r w:rsidR="00714E81">
        <w:t>l</w:t>
      </w:r>
      <w:r w:rsidRPr="00D860C3">
        <w:t xml:space="preserve">earning </w:t>
      </w:r>
      <w:r w:rsidR="00714E81">
        <w:t>f</w:t>
      </w:r>
      <w:r w:rsidRPr="00D860C3">
        <w:t>ramework for the National Immunisation Strategy for Australia 2025–2030 activities and reports</w:t>
      </w:r>
    </w:p>
    <w:p w14:paraId="24C30D2E" w14:textId="22C3C410" w:rsidR="00AB0B20" w:rsidRDefault="00AB0B20" w:rsidP="00AB0B20">
      <w:r w:rsidRPr="002164DF">
        <w:rPr>
          <w:noProof/>
        </w:rPr>
        <w:drawing>
          <wp:inline distT="0" distB="0" distL="0" distR="0" wp14:anchorId="1C3BD882" wp14:editId="47319125">
            <wp:extent cx="5731510" cy="1550031"/>
            <wp:effectExtent l="0" t="0" r="2540" b="0"/>
            <wp:docPr id="380863610" name="Picture 1" descr="A diagram of the timeline of the Monitoring, Evaluation and Learning Framework for the National Immunisation Strategy for Australia 2025-2030 activities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63610" name="Picture 1" descr="A diagram of the timeline of the Monitoring, Evaluation and Learning Framework for the National Immunisation Strategy for Australia 2025-2030 activities and repor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550031"/>
                    </a:xfrm>
                    <a:prstGeom prst="rect">
                      <a:avLst/>
                    </a:prstGeom>
                  </pic:spPr>
                </pic:pic>
              </a:graphicData>
            </a:graphic>
          </wp:inline>
        </w:drawing>
      </w:r>
    </w:p>
    <w:p w14:paraId="2FADE7FB" w14:textId="77777777" w:rsidR="00046D18" w:rsidRPr="00FC2EFD" w:rsidRDefault="00046D18" w:rsidP="00FC2EFD">
      <w:r w:rsidRPr="00FC2EFD">
        <w:br w:type="page"/>
      </w:r>
    </w:p>
    <w:p w14:paraId="347A3F7C" w14:textId="0A065314" w:rsidR="00F51D8C" w:rsidRPr="00F51D8C" w:rsidRDefault="00F51D8C" w:rsidP="004F270A">
      <w:pPr>
        <w:pStyle w:val="Heading2"/>
      </w:pPr>
      <w:bookmarkStart w:id="39" w:name="_Toc227319867"/>
      <w:r w:rsidRPr="00F51D8C">
        <w:lastRenderedPageBreak/>
        <w:t xml:space="preserve">Validation of </w:t>
      </w:r>
      <w:r w:rsidR="008B15BB">
        <w:t>d</w:t>
      </w:r>
      <w:r w:rsidRPr="00F51D8C">
        <w:t xml:space="preserve">ata and </w:t>
      </w:r>
      <w:r w:rsidR="008B15BB">
        <w:t>r</w:t>
      </w:r>
      <w:r w:rsidRPr="00F51D8C">
        <w:t>esults</w:t>
      </w:r>
      <w:bookmarkEnd w:id="39"/>
    </w:p>
    <w:p w14:paraId="6F62D7DA" w14:textId="244A79AE" w:rsidR="00AB0B20" w:rsidRDefault="00AB0B20" w:rsidP="00AB0B20">
      <w:r w:rsidRPr="00DD7B42">
        <w:t xml:space="preserve">Early commencement of monitoring and timely evaluation of activities aligned with the NIS 2025–2030 are crucial for measuring progress and supporting learning throughout implementation of the </w:t>
      </w:r>
      <w:r w:rsidR="00714E81">
        <w:t>s</w:t>
      </w:r>
      <w:r w:rsidRPr="00DD7B42">
        <w:t xml:space="preserve">trategy. The CDC will work with its </w:t>
      </w:r>
      <w:r>
        <w:t>t</w:t>
      </w:r>
      <w:r w:rsidRPr="00DD7B42">
        <w:t xml:space="preserve">echnical </w:t>
      </w:r>
      <w:r>
        <w:t>s</w:t>
      </w:r>
      <w:r w:rsidRPr="00DD7B42">
        <w:t xml:space="preserve">upport </w:t>
      </w:r>
      <w:r>
        <w:t>p</w:t>
      </w:r>
      <w:r w:rsidRPr="00DD7B42">
        <w:t xml:space="preserve">artners and </w:t>
      </w:r>
      <w:r>
        <w:t xml:space="preserve">key stakeholders, including </w:t>
      </w:r>
      <w:r w:rsidRPr="00DD7B42">
        <w:t>jurisdictions</w:t>
      </w:r>
      <w:r>
        <w:t xml:space="preserve"> and priority population representatives,</w:t>
      </w:r>
      <w:r w:rsidRPr="00DD7B42">
        <w:t xml:space="preserve"> through </w:t>
      </w:r>
      <w:r>
        <w:t xml:space="preserve">the M&amp;E </w:t>
      </w:r>
      <w:r w:rsidR="00714E81">
        <w:t>w</w:t>
      </w:r>
      <w:r>
        <w:t xml:space="preserve">orking </w:t>
      </w:r>
      <w:r w:rsidR="00714E81">
        <w:t>g</w:t>
      </w:r>
      <w:r>
        <w:t xml:space="preserve">roup </w:t>
      </w:r>
      <w:r w:rsidRPr="00DD7B42">
        <w:t xml:space="preserve">to ensure visibility, quality and consistency of data collection, reporting and validation. </w:t>
      </w:r>
      <w:r>
        <w:t>Formal</w:t>
      </w:r>
      <w:r w:rsidRPr="00DD7B42">
        <w:t xml:space="preserve"> governance structure</w:t>
      </w:r>
      <w:r>
        <w:t>s (</w:t>
      </w:r>
      <w:hyperlink w:anchor="_Figure_3:_Governance" w:history="1">
        <w:r w:rsidRPr="00FD00E3">
          <w:rPr>
            <w:rStyle w:val="Hyperlink"/>
          </w:rPr>
          <w:t>Figure 3</w:t>
        </w:r>
      </w:hyperlink>
      <w:r>
        <w:t>), including cultural governance processes,</w:t>
      </w:r>
      <w:r w:rsidRPr="00DD7B42">
        <w:t xml:space="preserve"> will </w:t>
      </w:r>
      <w:r>
        <w:t>ensure</w:t>
      </w:r>
      <w:r w:rsidRPr="00DD7B42">
        <w:t xml:space="preserve"> appropriate </w:t>
      </w:r>
      <w:r>
        <w:t xml:space="preserve">scrutiny </w:t>
      </w:r>
      <w:r w:rsidRPr="00DD7B42">
        <w:t xml:space="preserve">of </w:t>
      </w:r>
      <w:r>
        <w:t xml:space="preserve">results </w:t>
      </w:r>
      <w:r w:rsidRPr="00DD7B42">
        <w:t xml:space="preserve">prior to </w:t>
      </w:r>
      <w:r>
        <w:t>publishing</w:t>
      </w:r>
      <w:r w:rsidRPr="00DD7B42">
        <w:t>.</w:t>
      </w:r>
    </w:p>
    <w:p w14:paraId="23607B02" w14:textId="4C5B0E66" w:rsidR="004F270A" w:rsidRDefault="004F270A" w:rsidP="003138CA">
      <w:pPr>
        <w:pStyle w:val="Heading2"/>
      </w:pPr>
      <w:bookmarkStart w:id="40" w:name="_Toc227319868"/>
      <w:r>
        <w:t xml:space="preserve">Sharing of </w:t>
      </w:r>
      <w:r w:rsidR="008B15BB">
        <w:t>f</w:t>
      </w:r>
      <w:r>
        <w:t>indings</w:t>
      </w:r>
      <w:bookmarkEnd w:id="40"/>
    </w:p>
    <w:p w14:paraId="2EA554D2" w14:textId="77777777" w:rsidR="00DF2CE3" w:rsidRDefault="00AB0B20" w:rsidP="00AB0B20">
      <w:r>
        <w:t>Annual monitoring reports will be made publicly available. Summary results from monitoring activities and evaluations will be shared with jurisdictions and other stakeholders to inform action plans and related activities. Findings and recommendations will be shared with key stakeholders and summaries will be made publicly available, where appropriate. Dissemination may include published reports, stakeholder forums and targeted briefings to support transparency, accountability and evidence-informed decision-making</w:t>
      </w:r>
      <w:r w:rsidR="00DF2CE3">
        <w:t>.</w:t>
      </w:r>
    </w:p>
    <w:p w14:paraId="6699791F" w14:textId="09417154" w:rsidR="00AB0B20" w:rsidRPr="0033595E" w:rsidRDefault="00AB0B20" w:rsidP="002541DD">
      <w:pPr>
        <w:pStyle w:val="Heading1"/>
      </w:pPr>
      <w:bookmarkStart w:id="41" w:name="_Review_of_the"/>
      <w:bookmarkStart w:id="42" w:name="_Ref218499090"/>
      <w:bookmarkStart w:id="43" w:name="_Toc220577852"/>
      <w:bookmarkStart w:id="44" w:name="_Toc220578951"/>
      <w:bookmarkStart w:id="45" w:name="_Toc227319869"/>
      <w:bookmarkEnd w:id="41"/>
      <w:r w:rsidRPr="0033595E">
        <w:t xml:space="preserve">Review of the </w:t>
      </w:r>
      <w:r w:rsidR="00714E81">
        <w:t>f</w:t>
      </w:r>
      <w:r w:rsidRPr="0033595E">
        <w:t xml:space="preserve">ramework and </w:t>
      </w:r>
      <w:r w:rsidR="008B15BB">
        <w:t>e</w:t>
      </w:r>
      <w:r w:rsidRPr="0033595E">
        <w:t xml:space="preserve">valuation </w:t>
      </w:r>
      <w:r w:rsidR="008B15BB">
        <w:t>d</w:t>
      </w:r>
      <w:r w:rsidRPr="0033595E">
        <w:t xml:space="preserve">ata </w:t>
      </w:r>
      <w:r w:rsidR="008B15BB">
        <w:t>m</w:t>
      </w:r>
      <w:r w:rsidRPr="0033595E">
        <w:t>atrix</w:t>
      </w:r>
      <w:bookmarkEnd w:id="42"/>
      <w:bookmarkEnd w:id="43"/>
      <w:bookmarkEnd w:id="44"/>
      <w:bookmarkEnd w:id="45"/>
    </w:p>
    <w:p w14:paraId="66676179" w14:textId="77777777" w:rsidR="00DF2CE3" w:rsidRDefault="00AB0B20" w:rsidP="00AB0B20">
      <w:r>
        <w:t xml:space="preserve">To enable flexibility and adaptiveness, regular reviews of the evaluation data matrix will occur throughout the lifespan of the </w:t>
      </w:r>
      <w:r w:rsidR="00F11495">
        <w:t>f</w:t>
      </w:r>
      <w:r>
        <w:t>ramework. Updates to the matrix will be informed by</w:t>
      </w:r>
      <w:r w:rsidRPr="00003A40">
        <w:t xml:space="preserve"> insights generated</w:t>
      </w:r>
      <w:r>
        <w:t xml:space="preserve"> through monitoring and evaluation activities, and as data systems, analytic capabilities and mechanisms for data sharing evolve. Incorporation of additional indicators and targets may also be considered in consultation with stakeholders, including jurisdictions, and subject to relevant governance and endorsement processes</w:t>
      </w:r>
      <w:r w:rsidR="00DF2CE3">
        <w:t>.</w:t>
      </w:r>
    </w:p>
    <w:p w14:paraId="2E45CDAB" w14:textId="17B3C3B3" w:rsidR="00AB0B20" w:rsidRPr="00003A40" w:rsidRDefault="00AB0B20" w:rsidP="00AB0B20">
      <w:pPr>
        <w:sectPr w:rsidR="00AB0B20" w:rsidRPr="00003A40" w:rsidSect="00BC0DB5">
          <w:headerReference w:type="even" r:id="rId44"/>
          <w:headerReference w:type="default" r:id="rId45"/>
          <w:footerReference w:type="even" r:id="rId46"/>
          <w:footerReference w:type="default" r:id="rId47"/>
          <w:headerReference w:type="first" r:id="rId48"/>
          <w:footerReference w:type="first" r:id="rId49"/>
          <w:footnotePr>
            <w:numFmt w:val="lowerLetter"/>
            <w:numRestart w:val="eachPage"/>
          </w:footnotePr>
          <w:pgSz w:w="11906" w:h="16838"/>
          <w:pgMar w:top="1440" w:right="1440" w:bottom="1440" w:left="1440" w:header="720" w:footer="720" w:gutter="0"/>
          <w:pgNumType w:start="15"/>
          <w:cols w:space="720"/>
          <w:titlePg/>
          <w:docGrid w:linePitch="360"/>
        </w:sectPr>
      </w:pPr>
      <w:r>
        <w:t xml:space="preserve">Review of the </w:t>
      </w:r>
      <w:r w:rsidR="00F11495">
        <w:t>f</w:t>
      </w:r>
      <w:r>
        <w:t xml:space="preserve">ramework’s scope and approach may also occur to ensure its ongoing relevance and to inform development of future </w:t>
      </w:r>
      <w:r w:rsidR="00444E00">
        <w:t>framework</w:t>
      </w:r>
      <w:r>
        <w:t>s and strategies.</w:t>
      </w:r>
    </w:p>
    <w:p w14:paraId="46EFEBEB" w14:textId="77777777" w:rsidR="00AB0B20" w:rsidRPr="0033595E" w:rsidRDefault="00AB0B20" w:rsidP="002541DD">
      <w:pPr>
        <w:pStyle w:val="Heading1"/>
      </w:pPr>
      <w:bookmarkStart w:id="46" w:name="_Toc220577853"/>
      <w:bookmarkStart w:id="47" w:name="_Toc220578952"/>
      <w:bookmarkStart w:id="48" w:name="_Toc227319870"/>
      <w:r w:rsidRPr="0033595E">
        <w:lastRenderedPageBreak/>
        <w:t>References</w:t>
      </w:r>
      <w:bookmarkEnd w:id="46"/>
      <w:bookmarkEnd w:id="47"/>
      <w:bookmarkEnd w:id="48"/>
    </w:p>
    <w:p w14:paraId="7D3A6531" w14:textId="214964BB" w:rsidR="00AB0B20" w:rsidRDefault="00AB0B20" w:rsidP="00D93FF2">
      <w:pPr>
        <w:pStyle w:val="ListParagraph"/>
        <w:numPr>
          <w:ilvl w:val="0"/>
          <w:numId w:val="10"/>
        </w:numPr>
        <w:spacing w:before="0" w:after="160" w:line="279" w:lineRule="auto"/>
      </w:pPr>
      <w:r w:rsidRPr="00AD267E">
        <w:t>Australian Government Department of Health, Disability and Ageing.</w:t>
      </w:r>
      <w:r w:rsidRPr="00792F1E">
        <w:t xml:space="preserve"> </w:t>
      </w:r>
      <w:r w:rsidRPr="00CE1CBE">
        <w:t>Australian Health Protection Committee</w:t>
      </w:r>
      <w:r w:rsidRPr="00792F1E">
        <w:t xml:space="preserve">. </w:t>
      </w:r>
      <w:r w:rsidRPr="00AD267E">
        <w:t xml:space="preserve">Canberra: Australian Government; 2024 Available from: </w:t>
      </w:r>
      <w:hyperlink r:id="rId50" w:history="1">
        <w:r w:rsidRPr="00AD267E">
          <w:rPr>
            <w:rStyle w:val="Hyperlink"/>
          </w:rPr>
          <w:t>https://www.health.gov.au/committees-and-groups/australian-health-protection-committee-ahpc</w:t>
        </w:r>
      </w:hyperlink>
      <w:r w:rsidR="00FC2EFD">
        <w:t>.</w:t>
      </w:r>
    </w:p>
    <w:p w14:paraId="44490C4D" w14:textId="17AA1727" w:rsidR="00AB0B20" w:rsidRDefault="00AB0B20" w:rsidP="00D93FF2">
      <w:pPr>
        <w:pStyle w:val="ListParagraph"/>
        <w:numPr>
          <w:ilvl w:val="0"/>
          <w:numId w:val="10"/>
        </w:numPr>
        <w:spacing w:before="0" w:after="160" w:line="279" w:lineRule="auto"/>
      </w:pPr>
      <w:r>
        <w:t>Australian Centre for Disease Control</w:t>
      </w:r>
      <w:r w:rsidRPr="003D2C83">
        <w:t xml:space="preserve">. </w:t>
      </w:r>
      <w:r w:rsidRPr="008B15BB">
        <w:rPr>
          <w:i/>
          <w:iCs/>
        </w:rPr>
        <w:t>National Immunisation Strategy for Australia 2025–2030</w:t>
      </w:r>
      <w:r w:rsidRPr="003D2C83">
        <w:t>. Canberra: Australian Government</w:t>
      </w:r>
      <w:r>
        <w:t xml:space="preserve"> Department of Health, Disability and Ageing</w:t>
      </w:r>
      <w:r w:rsidRPr="003D2C83">
        <w:t>;</w:t>
      </w:r>
      <w:r>
        <w:t xml:space="preserve"> 2025. Available from: </w:t>
      </w:r>
      <w:hyperlink r:id="rId51" w:history="1">
        <w:r w:rsidR="00FC2EFD" w:rsidRPr="001D59CE">
          <w:rPr>
            <w:rStyle w:val="Hyperlink"/>
          </w:rPr>
          <w:t>https://www.cdc.gov.au/resources/publications/national-immunisation-strategy-australia-2025-2030</w:t>
        </w:r>
      </w:hyperlink>
      <w:r w:rsidR="00FC2EFD">
        <w:t>.</w:t>
      </w:r>
    </w:p>
    <w:p w14:paraId="4169B76C" w14:textId="47CD495B" w:rsidR="00AB0B20" w:rsidRDefault="00AB0B20" w:rsidP="00D93FF2">
      <w:pPr>
        <w:pStyle w:val="ListParagraph"/>
        <w:numPr>
          <w:ilvl w:val="0"/>
          <w:numId w:val="10"/>
        </w:numPr>
        <w:spacing w:before="0" w:after="160" w:line="279" w:lineRule="auto"/>
      </w:pPr>
      <w:r>
        <w:t xml:space="preserve">National Health and Medical Research Council, Australian Research Council and Universities Australia (2023). </w:t>
      </w:r>
      <w:r w:rsidRPr="008B15BB">
        <w:rPr>
          <w:i/>
          <w:iCs/>
        </w:rPr>
        <w:t>National Statement on Ethical Conduct in Human Research</w:t>
      </w:r>
      <w:r>
        <w:t>. Canberra: National Health and Medical Research Council.</w:t>
      </w:r>
      <w:r w:rsidR="00B25DB9">
        <w:t xml:space="preserve"> Available </w:t>
      </w:r>
      <w:r w:rsidR="00637391">
        <w:t>from:</w:t>
      </w:r>
      <w:r w:rsidR="00B25DB9">
        <w:t xml:space="preserve"> </w:t>
      </w:r>
      <w:hyperlink r:id="rId52" w:history="1">
        <w:r w:rsidR="00B25DB9" w:rsidRPr="00844CB8">
          <w:rPr>
            <w:rStyle w:val="Hyperlink"/>
          </w:rPr>
          <w:t>https://www.nhmrc.gov.au/about-us/publications/national-statement-ethical-conduct-human-research-2025</w:t>
        </w:r>
      </w:hyperlink>
      <w:r w:rsidR="00B25DB9">
        <w:t>.</w:t>
      </w:r>
    </w:p>
    <w:p w14:paraId="0FAE6EB9" w14:textId="7346F600" w:rsidR="00AB0B20" w:rsidRDefault="00AB0B20" w:rsidP="00D93FF2">
      <w:pPr>
        <w:pStyle w:val="ListParagraph"/>
        <w:numPr>
          <w:ilvl w:val="0"/>
          <w:numId w:val="10"/>
        </w:numPr>
        <w:spacing w:before="0" w:after="160" w:line="279" w:lineRule="auto"/>
      </w:pPr>
      <w:r w:rsidRPr="000C26EE">
        <w:t xml:space="preserve">GO FAIR. </w:t>
      </w:r>
      <w:r w:rsidRPr="008B15BB">
        <w:rPr>
          <w:i/>
          <w:iCs/>
        </w:rPr>
        <w:t>FAIR principles</w:t>
      </w:r>
      <w:r w:rsidRPr="000C26EE">
        <w:t>.</w:t>
      </w:r>
      <w:r>
        <w:t xml:space="preserve"> 2018.</w:t>
      </w:r>
      <w:r w:rsidRPr="004C6078">
        <w:t xml:space="preserve"> </w:t>
      </w:r>
      <w:r>
        <w:t>Available from:</w:t>
      </w:r>
      <w:r w:rsidRPr="000C26EE">
        <w:t xml:space="preserve"> </w:t>
      </w:r>
      <w:hyperlink r:id="rId53" w:history="1">
        <w:r w:rsidRPr="0075142E">
          <w:rPr>
            <w:rStyle w:val="Hyperlink"/>
          </w:rPr>
          <w:t>https://www.go-fair.org/fair-principles/</w:t>
        </w:r>
      </w:hyperlink>
      <w:r w:rsidR="00FC2EFD">
        <w:t>.</w:t>
      </w:r>
    </w:p>
    <w:p w14:paraId="31DA636F" w14:textId="04585F1B" w:rsidR="00AB0B20" w:rsidRDefault="00AB0B20" w:rsidP="00D93FF2">
      <w:pPr>
        <w:pStyle w:val="ListParagraph"/>
        <w:numPr>
          <w:ilvl w:val="0"/>
          <w:numId w:val="10"/>
        </w:numPr>
        <w:spacing w:before="0" w:after="160" w:line="279" w:lineRule="auto"/>
      </w:pPr>
      <w:r>
        <w:t xml:space="preserve">Australian Government </w:t>
      </w:r>
      <w:r w:rsidRPr="00D67BCD">
        <w:t>Department of the Prime Minister and Cabinet</w:t>
      </w:r>
      <w:r>
        <w:t xml:space="preserve">. </w:t>
      </w:r>
      <w:r w:rsidRPr="004C6078">
        <w:t xml:space="preserve">Closing the gap. </w:t>
      </w:r>
      <w:r w:rsidRPr="008B15BB">
        <w:rPr>
          <w:i/>
          <w:iCs/>
        </w:rPr>
        <w:t>National Agreement on Closing the Gap: Priority Reforms, 2020</w:t>
      </w:r>
      <w:r>
        <w:t xml:space="preserve">. Available from: </w:t>
      </w:r>
      <w:hyperlink r:id="rId54" w:history="1">
        <w:r w:rsidRPr="0075142E">
          <w:rPr>
            <w:rStyle w:val="Hyperlink"/>
          </w:rPr>
          <w:t>https://www.closingthegap.gov.au/national-agreement/priority-reforms</w:t>
        </w:r>
      </w:hyperlink>
      <w:r w:rsidR="00FC2EFD">
        <w:t>.</w:t>
      </w:r>
    </w:p>
    <w:p w14:paraId="222563F4" w14:textId="4D454116" w:rsidR="00AB0B20" w:rsidRDefault="00AB0B20" w:rsidP="00D93FF2">
      <w:pPr>
        <w:pStyle w:val="ListParagraph"/>
        <w:numPr>
          <w:ilvl w:val="0"/>
          <w:numId w:val="10"/>
        </w:numPr>
        <w:spacing w:before="0" w:after="160" w:line="279" w:lineRule="auto"/>
      </w:pPr>
      <w:r>
        <w:t>Commonwealth of Australia,</w:t>
      </w:r>
      <w:r w:rsidRPr="002C25F5">
        <w:t xml:space="preserve"> </w:t>
      </w:r>
      <w:r w:rsidRPr="008B15BB">
        <w:rPr>
          <w:i/>
          <w:iCs/>
        </w:rPr>
        <w:t>Framework for Governance of Indigenous Data 2024</w:t>
      </w:r>
      <w:r>
        <w:t xml:space="preserve">. The National Indigenous Australians Agency. Available from: </w:t>
      </w:r>
      <w:hyperlink r:id="rId55" w:history="1">
        <w:r w:rsidR="00637391" w:rsidRPr="00844CB8">
          <w:rPr>
            <w:rStyle w:val="Hyperlink"/>
          </w:rPr>
          <w:t>https://www.niaa.gov.au/resource-centre/framework-governance-indigenous-data</w:t>
        </w:r>
      </w:hyperlink>
      <w:r w:rsidR="00FC2EFD">
        <w:t>.</w:t>
      </w:r>
    </w:p>
    <w:p w14:paraId="0F785E30" w14:textId="2035DEF1" w:rsidR="00AB0B20" w:rsidRDefault="00AB0B20" w:rsidP="00D93FF2">
      <w:pPr>
        <w:pStyle w:val="ListParagraph"/>
        <w:numPr>
          <w:ilvl w:val="0"/>
          <w:numId w:val="10"/>
        </w:numPr>
        <w:spacing w:before="0" w:after="160" w:line="279" w:lineRule="auto"/>
      </w:pPr>
      <w:r w:rsidRPr="00B3346C">
        <w:t xml:space="preserve">Global Indigenous Data Alliance. </w:t>
      </w:r>
      <w:r w:rsidRPr="008B15BB">
        <w:rPr>
          <w:i/>
          <w:iCs/>
        </w:rPr>
        <w:t>CARE principles for indigenous data governance</w:t>
      </w:r>
      <w:r w:rsidRPr="00B3346C">
        <w:t xml:space="preserve">. </w:t>
      </w:r>
      <w:r>
        <w:t xml:space="preserve">Available from: </w:t>
      </w:r>
      <w:hyperlink r:id="rId56" w:history="1">
        <w:r w:rsidRPr="0075142E">
          <w:rPr>
            <w:rStyle w:val="Hyperlink"/>
          </w:rPr>
          <w:t>https://www.gida-global.org/care</w:t>
        </w:r>
      </w:hyperlink>
      <w:r w:rsidR="00FC2EFD">
        <w:t>.</w:t>
      </w:r>
    </w:p>
    <w:p w14:paraId="17C2030C" w14:textId="4DB68BDB" w:rsidR="00AB0B20" w:rsidRDefault="00AB0B20" w:rsidP="00D93FF2">
      <w:pPr>
        <w:pStyle w:val="ListParagraph"/>
        <w:numPr>
          <w:ilvl w:val="0"/>
          <w:numId w:val="10"/>
        </w:numPr>
        <w:spacing w:before="0" w:after="160" w:line="279" w:lineRule="auto"/>
      </w:pPr>
      <w:proofErr w:type="spellStart"/>
      <w:r w:rsidRPr="0063359D">
        <w:t>Maiam</w:t>
      </w:r>
      <w:proofErr w:type="spellEnd"/>
      <w:r w:rsidRPr="0063359D">
        <w:t xml:space="preserve"> </w:t>
      </w:r>
      <w:proofErr w:type="spellStart"/>
      <w:r w:rsidRPr="0063359D">
        <w:t>nayri</w:t>
      </w:r>
      <w:proofErr w:type="spellEnd"/>
      <w:r w:rsidRPr="0063359D">
        <w:t xml:space="preserve"> </w:t>
      </w:r>
      <w:proofErr w:type="spellStart"/>
      <w:r w:rsidRPr="0063359D">
        <w:t>Wingara</w:t>
      </w:r>
      <w:proofErr w:type="spellEnd"/>
      <w:r w:rsidRPr="0063359D">
        <w:t xml:space="preserve">. (2018). </w:t>
      </w:r>
      <w:r w:rsidRPr="008B15BB">
        <w:rPr>
          <w:i/>
          <w:iCs/>
        </w:rPr>
        <w:t>Indigenous Data Sovereignty Communique Indigenous Data Sovereignty Summit 20th June 2018</w:t>
      </w:r>
      <w:r w:rsidRPr="008B15BB">
        <w:t>, Canberra, ACT</w:t>
      </w:r>
      <w:r w:rsidRPr="0063359D">
        <w:t>.</w:t>
      </w:r>
      <w:r>
        <w:t xml:space="preserve"> Available from: </w:t>
      </w:r>
      <w:hyperlink r:id="rId57" w:history="1">
        <w:r w:rsidR="00637391" w:rsidRPr="00844CB8">
          <w:rPr>
            <w:rStyle w:val="Hyperlink"/>
          </w:rPr>
          <w:t>https://www.maiamnayriwingara.org/mnw-principles</w:t>
        </w:r>
      </w:hyperlink>
      <w:r w:rsidR="00FC2EFD">
        <w:t>.</w:t>
      </w:r>
    </w:p>
    <w:p w14:paraId="08FBB243" w14:textId="6B5F1F2E" w:rsidR="00AB0B20" w:rsidRDefault="00AB0B20" w:rsidP="00D93FF2">
      <w:pPr>
        <w:pStyle w:val="ListParagraph"/>
        <w:numPr>
          <w:ilvl w:val="0"/>
          <w:numId w:val="10"/>
        </w:numPr>
        <w:spacing w:before="0" w:after="160" w:line="279" w:lineRule="auto"/>
      </w:pPr>
      <w:r w:rsidRPr="00CA39D5">
        <w:t>Federal Financial Relations</w:t>
      </w:r>
      <w:r>
        <w:t>.</w:t>
      </w:r>
      <w:r w:rsidRPr="006F61EC">
        <w:t xml:space="preserve"> </w:t>
      </w:r>
      <w:r w:rsidRPr="008B15BB">
        <w:rPr>
          <w:i/>
          <w:iCs/>
        </w:rPr>
        <w:t>Essential Vaccines Canberra: Australian Government</w:t>
      </w:r>
      <w:r>
        <w:t xml:space="preserve"> Department of Treasury. Available from: </w:t>
      </w:r>
      <w:hyperlink r:id="rId58" w:history="1">
        <w:r w:rsidRPr="0075142E">
          <w:rPr>
            <w:rStyle w:val="Hyperlink"/>
          </w:rPr>
          <w:t>https://federalfinancialrelations.gov.au/agreements/essential-vaccines</w:t>
        </w:r>
      </w:hyperlink>
      <w:r w:rsidR="00FC2EFD">
        <w:t>.</w:t>
      </w:r>
    </w:p>
    <w:p w14:paraId="3AF27215" w14:textId="3B3C0CDD" w:rsidR="00AB0B20" w:rsidRDefault="00AB0B20" w:rsidP="00D93FF2">
      <w:pPr>
        <w:pStyle w:val="ListParagraph"/>
        <w:numPr>
          <w:ilvl w:val="0"/>
          <w:numId w:val="10"/>
        </w:numPr>
        <w:spacing w:before="0" w:after="160" w:line="279" w:lineRule="auto"/>
      </w:pPr>
      <w:r>
        <w:t xml:space="preserve">Australian Centre for the Prevention of Cervical Cancer. </w:t>
      </w:r>
      <w:r w:rsidRPr="008B15BB">
        <w:rPr>
          <w:i/>
          <w:iCs/>
        </w:rPr>
        <w:t>National Strategy for the Elimination of Cervical Cancer in Australia, 2023</w:t>
      </w:r>
      <w:r>
        <w:t xml:space="preserve">. Available from: </w:t>
      </w:r>
      <w:hyperlink r:id="rId59" w:history="1">
        <w:r w:rsidR="00637391" w:rsidRPr="00844CB8">
          <w:rPr>
            <w:rStyle w:val="Hyperlink"/>
          </w:rPr>
          <w:t>https://acpcc.org.au/our-impact/elimination-strategy/</w:t>
        </w:r>
      </w:hyperlink>
      <w:r w:rsidR="00FC2EFD">
        <w:t>.</w:t>
      </w:r>
    </w:p>
    <w:p w14:paraId="29D8205E" w14:textId="77777777" w:rsidR="00DF2CE3" w:rsidRDefault="00AB0B20" w:rsidP="00D93FF2">
      <w:pPr>
        <w:pStyle w:val="ListParagraph"/>
        <w:numPr>
          <w:ilvl w:val="0"/>
          <w:numId w:val="10"/>
        </w:numPr>
        <w:spacing w:before="0" w:after="160" w:line="279" w:lineRule="auto"/>
      </w:pPr>
      <w:r w:rsidRPr="008B15BB">
        <w:rPr>
          <w:i/>
          <w:iCs/>
        </w:rPr>
        <w:t>Global strategy to accelerate the elimination of cervical cancer as a public health problem</w:t>
      </w:r>
      <w:r w:rsidRPr="00BB7C8E">
        <w:t>. Geneva: World Health Organization; 2020. Licence: CC BY-NC-SA 3.0 IGO</w:t>
      </w:r>
      <w:r w:rsidR="00DF2CE3">
        <w:t>.</w:t>
      </w:r>
    </w:p>
    <w:p w14:paraId="226B07FF" w14:textId="19D812D1" w:rsidR="00AB0B20" w:rsidRDefault="00AB0B20" w:rsidP="00D93FF2">
      <w:pPr>
        <w:pStyle w:val="ListParagraph"/>
        <w:numPr>
          <w:ilvl w:val="0"/>
          <w:numId w:val="10"/>
        </w:numPr>
        <w:spacing w:before="0" w:after="160" w:line="279" w:lineRule="auto"/>
      </w:pPr>
      <w:r w:rsidRPr="00D72E8D">
        <w:t>Australian Bureau of Statistics</w:t>
      </w:r>
      <w:r>
        <w:t xml:space="preserve">. </w:t>
      </w:r>
      <w:r w:rsidRPr="008B15BB">
        <w:rPr>
          <w:i/>
          <w:iCs/>
        </w:rPr>
        <w:t>Person-level Integrated Data Asset</w:t>
      </w:r>
      <w:r>
        <w:t xml:space="preserve">. Canberra: ABS 2024.  Available from: </w:t>
      </w:r>
      <w:hyperlink r:id="rId60" w:history="1">
        <w:r w:rsidRPr="00C52533">
          <w:rPr>
            <w:rStyle w:val="Hyperlink"/>
          </w:rPr>
          <w:t>https://www.abs.gov.au/about/data-services/data-integration/integrated-data/person-level-integrated-data-asset-plida</w:t>
        </w:r>
      </w:hyperlink>
      <w:r w:rsidR="00FC2EFD">
        <w:t>.</w:t>
      </w:r>
    </w:p>
    <w:p w14:paraId="7F1E7676" w14:textId="4088F6EF" w:rsidR="00AB0B20" w:rsidRDefault="00AB0B20" w:rsidP="00D93FF2">
      <w:pPr>
        <w:pStyle w:val="ListParagraph"/>
        <w:numPr>
          <w:ilvl w:val="0"/>
          <w:numId w:val="10"/>
        </w:numPr>
        <w:spacing w:before="0" w:after="160" w:line="279" w:lineRule="auto"/>
      </w:pPr>
      <w:r>
        <w:lastRenderedPageBreak/>
        <w:t xml:space="preserve">Australian Institute of Health and Welfare. </w:t>
      </w:r>
      <w:r w:rsidRPr="008B15BB">
        <w:rPr>
          <w:i/>
          <w:iCs/>
        </w:rPr>
        <w:t>National Health Data Hub</w:t>
      </w:r>
      <w:r w:rsidRPr="00367187">
        <w:t>.</w:t>
      </w:r>
      <w:r>
        <w:t xml:space="preserve"> Canberra: AIHW 2024. Available from: </w:t>
      </w:r>
      <w:hyperlink r:id="rId61" w:history="1">
        <w:r w:rsidRPr="005F1455">
          <w:rPr>
            <w:rStyle w:val="Hyperlink"/>
          </w:rPr>
          <w:t>https://www.aihw.gov.au/reports-data/nhdh</w:t>
        </w:r>
      </w:hyperlink>
      <w:r>
        <w:t xml:space="preserve"> </w:t>
      </w:r>
      <w:r w:rsidRPr="003108C6">
        <w:t>DOI: 10.25816/xdvs-6944</w:t>
      </w:r>
      <w:r w:rsidR="00FC2EFD">
        <w:t>.</w:t>
      </w:r>
    </w:p>
    <w:p w14:paraId="4EB37FE2" w14:textId="0A3C9C28" w:rsidR="00AB0B20" w:rsidRDefault="00AB0B20" w:rsidP="00D93FF2">
      <w:pPr>
        <w:pStyle w:val="ListParagraph"/>
        <w:numPr>
          <w:ilvl w:val="0"/>
          <w:numId w:val="10"/>
        </w:numPr>
        <w:spacing w:before="0" w:after="160" w:line="279" w:lineRule="auto"/>
      </w:pPr>
      <w:r w:rsidRPr="004D29BE">
        <w:t xml:space="preserve">Kaufman J, Tuckerman J, Bonner C et al. </w:t>
      </w:r>
      <w:r w:rsidRPr="008B15BB">
        <w:rPr>
          <w:i/>
          <w:iCs/>
        </w:rPr>
        <w:t>Development and validation of the Vaccine Barriers Assessment Tool for identifying drivers of under-vaccination in children under five years in Australia</w:t>
      </w:r>
      <w:r w:rsidRPr="004D29BE">
        <w:t>. Human Vaccines &amp; Immunotherapeutics 2024</w:t>
      </w:r>
      <w:r>
        <w:t xml:space="preserve">. </w:t>
      </w:r>
      <w:proofErr w:type="spellStart"/>
      <w:r w:rsidRPr="00DF0316">
        <w:t>doi</w:t>
      </w:r>
      <w:proofErr w:type="spellEnd"/>
      <w:r w:rsidRPr="00DF0316">
        <w:t>: 10.1080/21645515.2024.2359623</w:t>
      </w:r>
      <w:r w:rsidR="00FC2EFD">
        <w:t>.</w:t>
      </w:r>
    </w:p>
    <w:p w14:paraId="39432292" w14:textId="77777777" w:rsidR="00DF2CE3" w:rsidRDefault="00AB0B20" w:rsidP="00D93FF2">
      <w:pPr>
        <w:pStyle w:val="ListParagraph"/>
        <w:numPr>
          <w:ilvl w:val="0"/>
          <w:numId w:val="10"/>
        </w:numPr>
        <w:spacing w:before="0" w:after="160" w:line="279" w:lineRule="auto"/>
      </w:pPr>
      <w:r>
        <w:t xml:space="preserve"> </w:t>
      </w:r>
      <w:r w:rsidRPr="00521990">
        <w:t xml:space="preserve">World Health Organization (WHO). </w:t>
      </w:r>
      <w:r w:rsidRPr="008B15BB">
        <w:rPr>
          <w:i/>
          <w:iCs/>
        </w:rPr>
        <w:t>Behavioural and social drivers of vaccination: tools and practical guidance for achieving high uptake</w:t>
      </w:r>
      <w:r w:rsidRPr="00521990">
        <w:t>. Geneva: WHO; 2022</w:t>
      </w:r>
      <w:r w:rsidR="00DF2CE3">
        <w:t>.</w:t>
      </w:r>
    </w:p>
    <w:p w14:paraId="79FCAD1E" w14:textId="62069B6B" w:rsidR="00AB0B20" w:rsidRDefault="00AB0B20" w:rsidP="00D93FF2">
      <w:pPr>
        <w:pStyle w:val="ListParagraph"/>
        <w:numPr>
          <w:ilvl w:val="0"/>
          <w:numId w:val="10"/>
        </w:numPr>
        <w:spacing w:before="0" w:after="160" w:line="279" w:lineRule="auto"/>
      </w:pPr>
      <w:r>
        <w:t xml:space="preserve">Australian Centre for Disease Control. </w:t>
      </w:r>
      <w:r w:rsidRPr="008B15BB">
        <w:rPr>
          <w:i/>
          <w:iCs/>
        </w:rPr>
        <w:t>Measles: CDNA National Guidelines for Public Health Units</w:t>
      </w:r>
      <w:r w:rsidRPr="005B4D0C">
        <w:t>. Canberra: 20</w:t>
      </w:r>
      <w:r>
        <w:t>25</w:t>
      </w:r>
      <w:r w:rsidRPr="005B4D0C">
        <w:t xml:space="preserve">. Available from: </w:t>
      </w:r>
      <w:hyperlink r:id="rId62" w:anchor="p" w:history="1">
        <w:r w:rsidR="00E26035" w:rsidRPr="005F1455">
          <w:rPr>
            <w:rStyle w:val="Hyperlink"/>
          </w:rPr>
          <w:t>https://www.cdc.gov.au/resources/collections/cdna-series-national-guidelines-songs#p</w:t>
        </w:r>
      </w:hyperlink>
      <w:r w:rsidR="00FC2EFD">
        <w:t>.</w:t>
      </w:r>
    </w:p>
    <w:p w14:paraId="710BB4B9" w14:textId="3B71DD8C" w:rsidR="00E26035" w:rsidRDefault="00AB0B20" w:rsidP="00E26035">
      <w:pPr>
        <w:pStyle w:val="ListParagraph"/>
        <w:numPr>
          <w:ilvl w:val="0"/>
          <w:numId w:val="10"/>
        </w:numPr>
        <w:spacing w:before="0" w:after="160" w:line="279" w:lineRule="auto"/>
      </w:pPr>
      <w:r>
        <w:t xml:space="preserve">Australian Centre for Disease Control. </w:t>
      </w:r>
      <w:r w:rsidRPr="008A0019">
        <w:t xml:space="preserve">Communicable Diseases Network Australia. </w:t>
      </w:r>
      <w:r w:rsidRPr="008B15BB">
        <w:rPr>
          <w:i/>
          <w:iCs/>
        </w:rPr>
        <w:t>Rubella: CDNA National Guidelines for Public Health Units</w:t>
      </w:r>
      <w:r>
        <w:t xml:space="preserve">. </w:t>
      </w:r>
      <w:r w:rsidRPr="008A0019">
        <w:t>Canberra: 20</w:t>
      </w:r>
      <w:r>
        <w:t>2</w:t>
      </w:r>
      <w:r w:rsidR="00E26035">
        <w:t>5</w:t>
      </w:r>
      <w:r w:rsidRPr="008A0019">
        <w:t xml:space="preserve">. Available from: </w:t>
      </w:r>
      <w:hyperlink r:id="rId63" w:anchor="p" w:history="1">
        <w:r w:rsidR="005F1455" w:rsidRPr="005F1455">
          <w:rPr>
            <w:rStyle w:val="Hyperlink"/>
          </w:rPr>
          <w:t>https://www.cdc.gov.au/resources/collections/cdna-series-national-guidelines-songs#p</w:t>
        </w:r>
      </w:hyperlink>
      <w:r w:rsidR="00FC2EFD">
        <w:t>.</w:t>
      </w:r>
    </w:p>
    <w:p w14:paraId="27BA6351" w14:textId="1A4D1CA7" w:rsidR="00E26035" w:rsidRDefault="00E26035" w:rsidP="00E26035">
      <w:pPr>
        <w:pStyle w:val="ListParagraph"/>
        <w:numPr>
          <w:ilvl w:val="0"/>
          <w:numId w:val="10"/>
        </w:numPr>
        <w:spacing w:before="0" w:after="160" w:line="279" w:lineRule="auto"/>
      </w:pPr>
      <w:r>
        <w:t xml:space="preserve">Australian Centre for Disease Control. </w:t>
      </w:r>
      <w:r w:rsidRPr="008B15BB">
        <w:rPr>
          <w:i/>
          <w:iCs/>
        </w:rPr>
        <w:t>Polio Detection, Investigation and Response Plan for Australia</w:t>
      </w:r>
      <w:r>
        <w:t xml:space="preserve">. Canbera:2024. Available from; Available from: </w:t>
      </w:r>
      <w:hyperlink r:id="rId64" w:history="1">
        <w:r w:rsidRPr="00844CB8">
          <w:rPr>
            <w:rStyle w:val="Hyperlink"/>
          </w:rPr>
          <w:t>https://www.cdc.gov.au/newsroom/news-and-articles/poliovirus-detection-outbreak-response-plan-now-available</w:t>
        </w:r>
      </w:hyperlink>
      <w:r w:rsidR="00FC2EFD">
        <w:t>.</w:t>
      </w:r>
    </w:p>
    <w:p w14:paraId="49C07E73" w14:textId="36AE942B" w:rsidR="00AB0B20" w:rsidRPr="00FC2EFD" w:rsidRDefault="00AB0B20" w:rsidP="00FC2EFD">
      <w:pPr>
        <w:rPr>
          <w:rFonts w:eastAsiaTheme="majorEastAsia"/>
        </w:rPr>
      </w:pPr>
      <w:r w:rsidRPr="00FC2EFD">
        <w:br w:type="page"/>
      </w:r>
    </w:p>
    <w:p w14:paraId="78BFE08F" w14:textId="77777777" w:rsidR="00AB0B20" w:rsidRDefault="00AB0B20" w:rsidP="002541DD">
      <w:pPr>
        <w:pStyle w:val="Heading1"/>
      </w:pPr>
      <w:bookmarkStart w:id="49" w:name="_Toc220577854"/>
      <w:bookmarkStart w:id="50" w:name="_Toc220578953"/>
      <w:bookmarkStart w:id="51" w:name="_Toc227319871"/>
      <w:r>
        <w:lastRenderedPageBreak/>
        <w:t>Appendices</w:t>
      </w:r>
      <w:bookmarkEnd w:id="49"/>
      <w:bookmarkEnd w:id="50"/>
      <w:bookmarkEnd w:id="51"/>
    </w:p>
    <w:p w14:paraId="7416C588" w14:textId="6276FD8D" w:rsidR="00AB0B20" w:rsidRPr="002541DD" w:rsidRDefault="00AB0B20" w:rsidP="002541DD">
      <w:pPr>
        <w:pStyle w:val="Heading2"/>
      </w:pPr>
      <w:bookmarkStart w:id="52" w:name="_Toc220578954"/>
      <w:bookmarkStart w:id="53" w:name="_Toc227319872"/>
      <w:r w:rsidRPr="002541DD">
        <w:t xml:space="preserve">Appendix 1: Key </w:t>
      </w:r>
      <w:r w:rsidR="008B15BB">
        <w:t>t</w:t>
      </w:r>
      <w:r w:rsidRPr="002541DD">
        <w:t>erms</w:t>
      </w:r>
      <w:bookmarkEnd w:id="52"/>
      <w:bookmarkEnd w:id="53"/>
    </w:p>
    <w:p w14:paraId="28A4EEB7" w14:textId="77777777" w:rsidR="00AB0B20" w:rsidRDefault="00AB0B20" w:rsidP="00D93FF2">
      <w:pPr>
        <w:pStyle w:val="ListParagraph"/>
        <w:numPr>
          <w:ilvl w:val="0"/>
          <w:numId w:val="9"/>
        </w:numPr>
        <w:spacing w:before="0" w:after="160" w:line="279" w:lineRule="auto"/>
      </w:pPr>
      <w:r>
        <w:t>Monitoring: the regular collection, analysis and use of information to enable timely and active assessment of the NIS 2025–2030 against key indicators.</w:t>
      </w:r>
    </w:p>
    <w:p w14:paraId="0334C209" w14:textId="77777777" w:rsidR="00DF2CE3" w:rsidRDefault="00AB0B20" w:rsidP="00D93FF2">
      <w:pPr>
        <w:pStyle w:val="ListParagraph"/>
        <w:numPr>
          <w:ilvl w:val="0"/>
          <w:numId w:val="9"/>
        </w:numPr>
        <w:spacing w:before="0" w:after="160" w:line="279" w:lineRule="auto"/>
      </w:pPr>
      <w:r>
        <w:t>Evaluation/s: discrete, systematic assessment of changes brought about by activities under the NIS 2025–2030 and the progress towards overarching goals. May draw upon monitoring and other data sources and should include comparison with baseline data and/or against targets or anticipated outcomes and should also consider reasons why progress has or has not been achieved</w:t>
      </w:r>
      <w:r w:rsidR="00DF2CE3">
        <w:t>.</w:t>
      </w:r>
    </w:p>
    <w:p w14:paraId="2E8D92EA" w14:textId="5F921B78" w:rsidR="00AB0B20" w:rsidRDefault="00AB0B20" w:rsidP="00D93FF2">
      <w:pPr>
        <w:pStyle w:val="ListParagraph"/>
        <w:numPr>
          <w:ilvl w:val="0"/>
          <w:numId w:val="9"/>
        </w:numPr>
        <w:spacing w:before="0" w:after="160" w:line="279" w:lineRule="auto"/>
      </w:pPr>
      <w:r>
        <w:t>Learning: Monitoring and evaluation findings should facilitate learnings and generate actions to improve implementation of activities under the NIS 2025–30 and inform future policies and strategies.</w:t>
      </w:r>
    </w:p>
    <w:p w14:paraId="0849F7FF" w14:textId="77777777" w:rsidR="00AB0B20" w:rsidRDefault="00AB0B20" w:rsidP="00D93FF2">
      <w:pPr>
        <w:pStyle w:val="ListParagraph"/>
        <w:numPr>
          <w:ilvl w:val="0"/>
          <w:numId w:val="9"/>
        </w:numPr>
        <w:spacing w:before="0" w:after="160" w:line="279" w:lineRule="auto"/>
      </w:pPr>
      <w:r>
        <w:t>Indicator: a specific, measurable variable used to track progress towards a particular outcome.</w:t>
      </w:r>
    </w:p>
    <w:p w14:paraId="18BBB513" w14:textId="77777777" w:rsidR="00AB0B20" w:rsidRDefault="00AB0B20" w:rsidP="00D93FF2">
      <w:pPr>
        <w:pStyle w:val="ListParagraph"/>
        <w:numPr>
          <w:ilvl w:val="0"/>
          <w:numId w:val="9"/>
        </w:numPr>
        <w:spacing w:before="0" w:after="160" w:line="279" w:lineRule="auto"/>
      </w:pPr>
      <w:r>
        <w:t>Target: the desired value of an indicator intended to be achieved.</w:t>
      </w:r>
    </w:p>
    <w:p w14:paraId="741E5FA8" w14:textId="77777777" w:rsidR="00AB0B20" w:rsidRDefault="00AB0B20" w:rsidP="00D93FF2">
      <w:pPr>
        <w:pStyle w:val="ListParagraph"/>
        <w:numPr>
          <w:ilvl w:val="0"/>
          <w:numId w:val="9"/>
        </w:numPr>
        <w:spacing w:before="0" w:after="160" w:line="279" w:lineRule="auto"/>
      </w:pPr>
      <w:r>
        <w:t xml:space="preserve">Priority populations: people at greater risk of acquiring or experiencing severe outcomes related to VPDs, due to health conditions or systemic inequities (see page 12 of the </w:t>
      </w:r>
      <w:hyperlink r:id="rId65" w:history="1">
        <w:r w:rsidRPr="00596151">
          <w:rPr>
            <w:rStyle w:val="Hyperlink"/>
          </w:rPr>
          <w:t>NIS 2025-2030</w:t>
        </w:r>
      </w:hyperlink>
      <w:r>
        <w:t>).</w:t>
      </w:r>
      <w:r>
        <w:rPr>
          <w:vertAlign w:val="superscript"/>
        </w:rPr>
        <w:t>2</w:t>
      </w:r>
    </w:p>
    <w:p w14:paraId="0FD3A302" w14:textId="293FA7AC" w:rsidR="00AC08CA" w:rsidRDefault="00AC08CA">
      <w:pPr>
        <w:spacing w:before="0" w:after="0" w:line="240" w:lineRule="auto"/>
      </w:pPr>
    </w:p>
    <w:p w14:paraId="5D703A84" w14:textId="77777777" w:rsidR="00F86BB1" w:rsidRDefault="00F86BB1" w:rsidP="00F86BB1">
      <w:pPr>
        <w:pStyle w:val="Heading2"/>
        <w:tabs>
          <w:tab w:val="center" w:pos="7683"/>
          <w:tab w:val="right" w:pos="15366"/>
        </w:tabs>
        <w:sectPr w:rsidR="00F86BB1" w:rsidSect="00000250">
          <w:pgSz w:w="11906" w:h="16838"/>
          <w:pgMar w:top="1440" w:right="1440" w:bottom="1440" w:left="1440" w:header="720" w:footer="720" w:gutter="0"/>
          <w:cols w:space="720"/>
          <w:titlePg/>
          <w:docGrid w:linePitch="360"/>
        </w:sectPr>
      </w:pPr>
    </w:p>
    <w:p w14:paraId="5CC93C55" w14:textId="133D1D93" w:rsidR="004C753C" w:rsidRPr="004C753C" w:rsidRDefault="004C753C" w:rsidP="00472C9D">
      <w:pPr>
        <w:pStyle w:val="Heading2"/>
        <w:spacing w:before="0" w:after="0"/>
        <w:rPr>
          <w:i/>
        </w:rPr>
      </w:pPr>
      <w:bookmarkStart w:id="54" w:name="_Appendix_2:_NIS"/>
      <w:bookmarkStart w:id="55" w:name="_Toc227319873"/>
      <w:bookmarkEnd w:id="54"/>
      <w:r w:rsidRPr="004C753C">
        <w:lastRenderedPageBreak/>
        <w:t xml:space="preserve">Appendix 2: NIS 2025–2030 on a </w:t>
      </w:r>
      <w:r w:rsidR="008B15BB">
        <w:t>p</w:t>
      </w:r>
      <w:r w:rsidRPr="004C753C">
        <w:t>age</w:t>
      </w:r>
      <w:bookmarkEnd w:id="55"/>
    </w:p>
    <w:p w14:paraId="2F1C6A49" w14:textId="77777777" w:rsidR="004C753C" w:rsidRDefault="004C753C" w:rsidP="00472C9D">
      <w:pPr>
        <w:spacing w:before="0" w:after="0" w:line="240" w:lineRule="auto"/>
        <w:rPr>
          <w:rFonts w:ascii="Aptos" w:eastAsia="Aptos" w:hAnsi="Aptos" w:cs="Aptos"/>
          <w:color w:val="033636" w:themeColor="text1"/>
          <w:sz w:val="12"/>
          <w:szCs w:val="12"/>
        </w:rPr>
      </w:pPr>
    </w:p>
    <w:tbl>
      <w:tblPr>
        <w:tblW w:w="138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90"/>
        <w:gridCol w:w="12400"/>
      </w:tblGrid>
      <w:tr w:rsidR="004C753C" w:rsidRPr="009E36DB" w14:paraId="399E8DD3" w14:textId="77777777" w:rsidTr="00B37CC3">
        <w:trPr>
          <w:trHeight w:val="309"/>
        </w:trPr>
        <w:tc>
          <w:tcPr>
            <w:tcW w:w="1490" w:type="dxa"/>
            <w:shd w:val="clear" w:color="auto" w:fill="033636"/>
            <w:tcMar>
              <w:left w:w="105" w:type="dxa"/>
              <w:right w:w="105" w:type="dxa"/>
            </w:tcMar>
          </w:tcPr>
          <w:p w14:paraId="70265173" w14:textId="77777777" w:rsidR="004C753C" w:rsidRPr="00561A58" w:rsidRDefault="004C753C" w:rsidP="00472C9D">
            <w:pPr>
              <w:spacing w:before="0" w:after="0" w:line="240" w:lineRule="auto"/>
              <w:jc w:val="center"/>
              <w:rPr>
                <w:rFonts w:eastAsia="Aptos" w:cs="Arial"/>
                <w:sz w:val="20"/>
                <w:szCs w:val="20"/>
              </w:rPr>
            </w:pPr>
            <w:r w:rsidRPr="00561A58">
              <w:rPr>
                <w:rFonts w:eastAsia="Aptos" w:cs="Arial"/>
                <w:b/>
                <w:bCs/>
                <w:color w:val="00DCA1" w:themeColor="background1"/>
                <w:sz w:val="20"/>
                <w:szCs w:val="20"/>
              </w:rPr>
              <w:t>Vision</w:t>
            </w:r>
          </w:p>
        </w:tc>
        <w:tc>
          <w:tcPr>
            <w:tcW w:w="12400" w:type="dxa"/>
            <w:shd w:val="clear" w:color="auto" w:fill="033636"/>
            <w:tcMar>
              <w:left w:w="105" w:type="dxa"/>
              <w:right w:w="105" w:type="dxa"/>
            </w:tcMar>
          </w:tcPr>
          <w:p w14:paraId="090FAE4E" w14:textId="77777777" w:rsidR="004C753C" w:rsidRPr="00561A58" w:rsidRDefault="004C753C" w:rsidP="00472C9D">
            <w:pPr>
              <w:tabs>
                <w:tab w:val="right" w:pos="13344"/>
              </w:tabs>
              <w:spacing w:before="0" w:after="0" w:line="240" w:lineRule="auto"/>
              <w:rPr>
                <w:rFonts w:cs="Arial"/>
                <w:sz w:val="18"/>
                <w:szCs w:val="18"/>
              </w:rPr>
            </w:pPr>
            <w:r w:rsidRPr="00561A58">
              <w:rPr>
                <w:rFonts w:eastAsia="Aptos" w:cs="Arial"/>
                <w:b/>
                <w:bCs/>
                <w:color w:val="00DCA1" w:themeColor="background1"/>
                <w:sz w:val="18"/>
                <w:szCs w:val="18"/>
              </w:rPr>
              <w:t>A healthier Australia through immunisation</w:t>
            </w:r>
          </w:p>
        </w:tc>
      </w:tr>
      <w:tr w:rsidR="004C753C" w:rsidRPr="009E36DB" w14:paraId="552E9C38" w14:textId="77777777" w:rsidTr="00B37CC3">
        <w:trPr>
          <w:trHeight w:val="387"/>
        </w:trPr>
        <w:tc>
          <w:tcPr>
            <w:tcW w:w="1490" w:type="dxa"/>
            <w:shd w:val="clear" w:color="auto" w:fill="00DCA1"/>
            <w:tcMar>
              <w:left w:w="105" w:type="dxa"/>
              <w:right w:w="105" w:type="dxa"/>
            </w:tcMar>
          </w:tcPr>
          <w:p w14:paraId="12B3A6EE" w14:textId="77777777" w:rsidR="004C753C" w:rsidRPr="00561A58" w:rsidRDefault="004C753C" w:rsidP="00B37CC3">
            <w:pPr>
              <w:spacing w:line="240" w:lineRule="auto"/>
              <w:jc w:val="center"/>
              <w:rPr>
                <w:rFonts w:eastAsia="Aptos" w:cs="Arial"/>
                <w:sz w:val="20"/>
                <w:szCs w:val="20"/>
              </w:rPr>
            </w:pPr>
            <w:r w:rsidRPr="00561A58">
              <w:rPr>
                <w:rFonts w:eastAsia="Aptos" w:cs="Arial"/>
                <w:b/>
                <w:bCs/>
                <w:sz w:val="20"/>
                <w:szCs w:val="20"/>
              </w:rPr>
              <w:t>Mission</w:t>
            </w:r>
          </w:p>
        </w:tc>
        <w:tc>
          <w:tcPr>
            <w:tcW w:w="12400" w:type="dxa"/>
            <w:shd w:val="clear" w:color="auto" w:fill="00DCA1"/>
            <w:tcMar>
              <w:left w:w="105" w:type="dxa"/>
              <w:right w:w="105" w:type="dxa"/>
            </w:tcMar>
          </w:tcPr>
          <w:p w14:paraId="1117B2AF" w14:textId="77777777" w:rsidR="004C753C" w:rsidRPr="00561A58" w:rsidRDefault="004C753C" w:rsidP="00B37CC3">
            <w:pPr>
              <w:spacing w:line="240" w:lineRule="auto"/>
              <w:rPr>
                <w:rFonts w:eastAsia="Aptos" w:cs="Arial"/>
                <w:sz w:val="18"/>
                <w:szCs w:val="18"/>
              </w:rPr>
            </w:pPr>
            <w:r w:rsidRPr="00561A58">
              <w:rPr>
                <w:rFonts w:eastAsia="Aptos" w:cs="Arial"/>
                <w:b/>
                <w:bCs/>
                <w:sz w:val="18"/>
                <w:szCs w:val="18"/>
              </w:rPr>
              <w:t>To reduce the impact of vaccine-preventable diseases through high uptake of safe, effective and equitable immunisation across the lifespan</w:t>
            </w:r>
          </w:p>
        </w:tc>
      </w:tr>
    </w:tbl>
    <w:p w14:paraId="782BF678" w14:textId="77777777" w:rsidR="004C753C" w:rsidRPr="009E36DB" w:rsidRDefault="004C753C" w:rsidP="004C753C">
      <w:pPr>
        <w:tabs>
          <w:tab w:val="left" w:pos="8500"/>
        </w:tabs>
        <w:spacing w:after="0"/>
        <w:jc w:val="center"/>
        <w:rPr>
          <w:rFonts w:eastAsia="Aptos" w:cs="Arial"/>
          <w:color w:val="033636" w:themeColor="text1"/>
          <w:sz w:val="12"/>
          <w:szCs w:val="12"/>
        </w:rPr>
      </w:pPr>
      <w:r w:rsidRPr="009E36DB">
        <w:rPr>
          <w:rFonts w:eastAsia="Aptos" w:cs="Arial"/>
          <w:b/>
          <w:bCs/>
          <w:color w:val="033636" w:themeColor="text1"/>
          <w:sz w:val="12"/>
          <w:szCs w:val="12"/>
        </w:rPr>
        <w:t>Priority Areas and Strategic Goals</w:t>
      </w:r>
    </w:p>
    <w:tbl>
      <w:tblPr>
        <w:tblStyle w:val="TableGrid"/>
        <w:tblW w:w="13865" w:type="dxa"/>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20" w:firstRow="1" w:lastRow="0" w:firstColumn="0" w:lastColumn="0" w:noHBand="0" w:noVBand="0"/>
      </w:tblPr>
      <w:tblGrid>
        <w:gridCol w:w="2710"/>
        <w:gridCol w:w="2278"/>
        <w:gridCol w:w="2255"/>
        <w:gridCol w:w="2050"/>
        <w:gridCol w:w="2499"/>
        <w:gridCol w:w="2073"/>
      </w:tblGrid>
      <w:tr w:rsidR="004C753C" w:rsidRPr="009E36DB" w14:paraId="08263178" w14:textId="77777777" w:rsidTr="00952B44">
        <w:trPr>
          <w:trHeight w:val="409"/>
          <w:tblHeader/>
        </w:trPr>
        <w:tc>
          <w:tcPr>
            <w:tcW w:w="2710" w:type="dxa"/>
            <w:shd w:val="clear" w:color="auto" w:fill="CCCCFF"/>
            <w:tcMar>
              <w:top w:w="45" w:type="dxa"/>
              <w:left w:w="45" w:type="dxa"/>
              <w:bottom w:w="45" w:type="dxa"/>
              <w:right w:w="45" w:type="dxa"/>
            </w:tcMar>
            <w:vAlign w:val="center"/>
          </w:tcPr>
          <w:p w14:paraId="499B4989" w14:textId="77777777" w:rsidR="004C753C" w:rsidRPr="009E36DB" w:rsidRDefault="004C753C" w:rsidP="00B37CC3">
            <w:pPr>
              <w:jc w:val="center"/>
              <w:rPr>
                <w:rFonts w:eastAsia="Aptos" w:cs="Arial"/>
                <w:sz w:val="12"/>
                <w:szCs w:val="12"/>
              </w:rPr>
            </w:pPr>
            <w:r w:rsidRPr="009E36DB">
              <w:rPr>
                <w:rFonts w:eastAsia="Aptos" w:cs="Arial"/>
                <w:b/>
                <w:sz w:val="12"/>
                <w:szCs w:val="12"/>
              </w:rPr>
              <w:t>1. Improve access to immunisation, with a focus on equity for Aboriginal and Torres Strait Islander people and other priority populations</w:t>
            </w:r>
          </w:p>
        </w:tc>
        <w:tc>
          <w:tcPr>
            <w:tcW w:w="2278" w:type="dxa"/>
            <w:shd w:val="clear" w:color="auto" w:fill="CCCCFF"/>
            <w:tcMar>
              <w:top w:w="45" w:type="dxa"/>
              <w:left w:w="45" w:type="dxa"/>
              <w:bottom w:w="45" w:type="dxa"/>
              <w:right w:w="45" w:type="dxa"/>
            </w:tcMar>
            <w:vAlign w:val="center"/>
          </w:tcPr>
          <w:p w14:paraId="6560F4FE" w14:textId="77777777" w:rsidR="004C753C" w:rsidRPr="009E36DB" w:rsidRDefault="004C753C" w:rsidP="00B37CC3">
            <w:pPr>
              <w:jc w:val="center"/>
              <w:rPr>
                <w:rFonts w:eastAsia="Aptos" w:cs="Arial"/>
                <w:sz w:val="12"/>
                <w:szCs w:val="12"/>
              </w:rPr>
            </w:pPr>
            <w:r w:rsidRPr="009E36DB">
              <w:rPr>
                <w:rFonts w:eastAsia="Aptos" w:cs="Arial"/>
                <w:b/>
                <w:sz w:val="12"/>
                <w:szCs w:val="12"/>
              </w:rPr>
              <w:t>2. Build trust, understanding and acceptance of immunisation in communities</w:t>
            </w:r>
          </w:p>
        </w:tc>
        <w:tc>
          <w:tcPr>
            <w:tcW w:w="2255" w:type="dxa"/>
            <w:shd w:val="clear" w:color="auto" w:fill="CCCCFF"/>
            <w:tcMar>
              <w:top w:w="45" w:type="dxa"/>
              <w:left w:w="45" w:type="dxa"/>
              <w:bottom w:w="45" w:type="dxa"/>
              <w:right w:w="45" w:type="dxa"/>
            </w:tcMar>
            <w:vAlign w:val="center"/>
          </w:tcPr>
          <w:p w14:paraId="53A3A783" w14:textId="77777777" w:rsidR="004C753C" w:rsidRPr="009E36DB" w:rsidRDefault="004C753C" w:rsidP="00B37CC3">
            <w:pPr>
              <w:jc w:val="center"/>
              <w:rPr>
                <w:rFonts w:eastAsia="Aptos" w:cs="Arial"/>
                <w:sz w:val="12"/>
                <w:szCs w:val="12"/>
              </w:rPr>
            </w:pPr>
            <w:r w:rsidRPr="009E36DB">
              <w:rPr>
                <w:rFonts w:eastAsia="Aptos" w:cs="Arial"/>
                <w:b/>
                <w:sz w:val="12"/>
                <w:szCs w:val="12"/>
              </w:rPr>
              <w:t>3. Use data more effectively to target immunisation strategies and monitor performance</w:t>
            </w:r>
          </w:p>
        </w:tc>
        <w:tc>
          <w:tcPr>
            <w:tcW w:w="2050" w:type="dxa"/>
            <w:shd w:val="clear" w:color="auto" w:fill="CCCCFF"/>
            <w:tcMar>
              <w:top w:w="45" w:type="dxa"/>
              <w:left w:w="45" w:type="dxa"/>
              <w:bottom w:w="45" w:type="dxa"/>
              <w:right w:w="45" w:type="dxa"/>
            </w:tcMar>
            <w:vAlign w:val="center"/>
          </w:tcPr>
          <w:p w14:paraId="485E345E" w14:textId="77777777" w:rsidR="004C753C" w:rsidRPr="009E36DB" w:rsidRDefault="004C753C" w:rsidP="00B37CC3">
            <w:pPr>
              <w:jc w:val="center"/>
              <w:rPr>
                <w:rFonts w:eastAsia="Aptos" w:cs="Arial"/>
                <w:sz w:val="12"/>
                <w:szCs w:val="12"/>
              </w:rPr>
            </w:pPr>
            <w:r w:rsidRPr="009E36DB">
              <w:rPr>
                <w:rFonts w:eastAsia="Aptos" w:cs="Arial"/>
                <w:b/>
                <w:sz w:val="12"/>
                <w:szCs w:val="12"/>
              </w:rPr>
              <w:t>4. Strengthen the immunisation workforce</w:t>
            </w:r>
          </w:p>
        </w:tc>
        <w:tc>
          <w:tcPr>
            <w:tcW w:w="2499" w:type="dxa"/>
            <w:shd w:val="clear" w:color="auto" w:fill="CCCCFF"/>
            <w:tcMar>
              <w:top w:w="45" w:type="dxa"/>
              <w:left w:w="45" w:type="dxa"/>
              <w:bottom w:w="45" w:type="dxa"/>
              <w:right w:w="45" w:type="dxa"/>
            </w:tcMar>
            <w:vAlign w:val="center"/>
          </w:tcPr>
          <w:p w14:paraId="610BC394" w14:textId="77777777" w:rsidR="004C753C" w:rsidRPr="009E36DB" w:rsidRDefault="004C753C" w:rsidP="00B37CC3">
            <w:pPr>
              <w:jc w:val="center"/>
              <w:rPr>
                <w:rFonts w:eastAsia="Aptos" w:cs="Arial"/>
                <w:sz w:val="12"/>
                <w:szCs w:val="12"/>
              </w:rPr>
            </w:pPr>
            <w:r w:rsidRPr="009E36DB">
              <w:rPr>
                <w:rFonts w:eastAsia="Aptos" w:cs="Arial"/>
                <w:b/>
                <w:sz w:val="12"/>
                <w:szCs w:val="12"/>
              </w:rPr>
              <w:t>5. Harness new technologies to respond to the evolving communicable disease and vaccine landscape</w:t>
            </w:r>
          </w:p>
        </w:tc>
        <w:tc>
          <w:tcPr>
            <w:tcW w:w="2073" w:type="dxa"/>
            <w:shd w:val="clear" w:color="auto" w:fill="CCCCFF"/>
            <w:tcMar>
              <w:top w:w="45" w:type="dxa"/>
              <w:left w:w="45" w:type="dxa"/>
              <w:bottom w:w="45" w:type="dxa"/>
              <w:right w:w="45" w:type="dxa"/>
            </w:tcMar>
            <w:vAlign w:val="center"/>
          </w:tcPr>
          <w:p w14:paraId="1B5ADEE8" w14:textId="77777777" w:rsidR="004C753C" w:rsidRPr="009E36DB" w:rsidRDefault="004C753C" w:rsidP="00B37CC3">
            <w:pPr>
              <w:jc w:val="center"/>
              <w:rPr>
                <w:rFonts w:eastAsia="Aptos" w:cs="Arial"/>
                <w:sz w:val="12"/>
                <w:szCs w:val="12"/>
              </w:rPr>
            </w:pPr>
            <w:r w:rsidRPr="009E36DB">
              <w:rPr>
                <w:rFonts w:eastAsia="Aptos" w:cs="Arial"/>
                <w:b/>
                <w:sz w:val="12"/>
                <w:szCs w:val="12"/>
              </w:rPr>
              <w:t>6. Implement sustainable reform in vaccine program governance, program delivery and accountability</w:t>
            </w:r>
          </w:p>
        </w:tc>
      </w:tr>
      <w:tr w:rsidR="004C753C" w:rsidRPr="009E36DB" w14:paraId="585A2318" w14:textId="77777777" w:rsidTr="00AE57A4">
        <w:trPr>
          <w:trHeight w:val="1227"/>
        </w:trPr>
        <w:tc>
          <w:tcPr>
            <w:tcW w:w="2710" w:type="dxa"/>
            <w:tcMar>
              <w:top w:w="45" w:type="dxa"/>
              <w:left w:w="45" w:type="dxa"/>
              <w:bottom w:w="45" w:type="dxa"/>
              <w:right w:w="45" w:type="dxa"/>
            </w:tcMar>
            <w:vAlign w:val="center"/>
          </w:tcPr>
          <w:p w14:paraId="3C446B23" w14:textId="77777777" w:rsidR="004C753C" w:rsidRPr="009E36DB" w:rsidRDefault="004C753C" w:rsidP="00B37CC3">
            <w:pPr>
              <w:jc w:val="center"/>
              <w:rPr>
                <w:rFonts w:eastAsia="Aptos" w:cs="Arial"/>
                <w:sz w:val="12"/>
                <w:szCs w:val="12"/>
              </w:rPr>
            </w:pPr>
            <w:r w:rsidRPr="009E36DB">
              <w:rPr>
                <w:rFonts w:eastAsia="Aptos" w:cs="Arial"/>
                <w:sz w:val="12"/>
                <w:szCs w:val="12"/>
              </w:rPr>
              <w:t>Partner with communities to understand barriers to access and co-design strategies to improve vaccine access.</w:t>
            </w:r>
          </w:p>
        </w:tc>
        <w:tc>
          <w:tcPr>
            <w:tcW w:w="2278" w:type="dxa"/>
            <w:tcMar>
              <w:top w:w="45" w:type="dxa"/>
              <w:left w:w="45" w:type="dxa"/>
              <w:bottom w:w="45" w:type="dxa"/>
              <w:right w:w="45" w:type="dxa"/>
            </w:tcMar>
            <w:vAlign w:val="center"/>
          </w:tcPr>
          <w:p w14:paraId="27CEED71" w14:textId="77777777" w:rsidR="004C753C" w:rsidRPr="009E36DB" w:rsidRDefault="004C753C" w:rsidP="00B37CC3">
            <w:pPr>
              <w:jc w:val="center"/>
              <w:rPr>
                <w:rFonts w:eastAsia="Aptos" w:cs="Arial"/>
                <w:sz w:val="12"/>
                <w:szCs w:val="12"/>
              </w:rPr>
            </w:pPr>
            <w:r w:rsidRPr="009E36DB">
              <w:rPr>
                <w:rFonts w:eastAsia="Aptos" w:cs="Arial"/>
                <w:sz w:val="12"/>
                <w:szCs w:val="12"/>
              </w:rPr>
              <w:t>Engage with communities to build trust and understanding in the value of immunisation, and to combat misinformation.</w:t>
            </w:r>
          </w:p>
        </w:tc>
        <w:tc>
          <w:tcPr>
            <w:tcW w:w="2255" w:type="dxa"/>
            <w:tcMar>
              <w:top w:w="45" w:type="dxa"/>
              <w:left w:w="45" w:type="dxa"/>
              <w:bottom w:w="45" w:type="dxa"/>
              <w:right w:w="45" w:type="dxa"/>
            </w:tcMar>
            <w:vAlign w:val="center"/>
          </w:tcPr>
          <w:p w14:paraId="4877C5B7" w14:textId="77777777" w:rsidR="004C753C" w:rsidRPr="009E36DB" w:rsidRDefault="004C753C" w:rsidP="00B37CC3">
            <w:pPr>
              <w:jc w:val="center"/>
              <w:rPr>
                <w:rFonts w:eastAsia="Aptos" w:cs="Arial"/>
                <w:sz w:val="12"/>
                <w:szCs w:val="12"/>
              </w:rPr>
            </w:pPr>
            <w:r w:rsidRPr="009E36DB">
              <w:rPr>
                <w:rFonts w:eastAsia="Aptos" w:cs="Arial"/>
                <w:sz w:val="12"/>
                <w:szCs w:val="12"/>
              </w:rPr>
              <w:t>Improve the completeness, timeliness and transparency of Australian Immunisation Register (AIR) data, ensuring optimal quality and utility for all stakeholders.</w:t>
            </w:r>
          </w:p>
        </w:tc>
        <w:tc>
          <w:tcPr>
            <w:tcW w:w="2050" w:type="dxa"/>
            <w:tcMar>
              <w:top w:w="45" w:type="dxa"/>
              <w:left w:w="45" w:type="dxa"/>
              <w:bottom w:w="45" w:type="dxa"/>
              <w:right w:w="45" w:type="dxa"/>
            </w:tcMar>
            <w:vAlign w:val="center"/>
          </w:tcPr>
          <w:p w14:paraId="35E8EA21" w14:textId="77777777" w:rsidR="004C753C" w:rsidRPr="009E36DB" w:rsidRDefault="004C753C" w:rsidP="00B37CC3">
            <w:pPr>
              <w:jc w:val="center"/>
              <w:rPr>
                <w:rFonts w:eastAsia="Aptos" w:cs="Arial"/>
                <w:sz w:val="12"/>
                <w:szCs w:val="12"/>
              </w:rPr>
            </w:pPr>
            <w:r w:rsidRPr="009E36DB">
              <w:rPr>
                <w:rFonts w:eastAsia="Aptos" w:cs="Arial"/>
                <w:sz w:val="12"/>
                <w:szCs w:val="12"/>
              </w:rPr>
              <w:t>Embed immunisation in preventive healthcare across the lifespan.</w:t>
            </w:r>
          </w:p>
        </w:tc>
        <w:tc>
          <w:tcPr>
            <w:tcW w:w="2499" w:type="dxa"/>
            <w:tcMar>
              <w:top w:w="45" w:type="dxa"/>
              <w:left w:w="45" w:type="dxa"/>
              <w:bottom w:w="45" w:type="dxa"/>
              <w:right w:w="45" w:type="dxa"/>
            </w:tcMar>
            <w:vAlign w:val="center"/>
          </w:tcPr>
          <w:p w14:paraId="436AB600" w14:textId="77777777" w:rsidR="004C753C" w:rsidRPr="009E36DB" w:rsidRDefault="004C753C" w:rsidP="00B37CC3">
            <w:pPr>
              <w:jc w:val="center"/>
              <w:rPr>
                <w:rFonts w:eastAsia="Aptos" w:cs="Arial"/>
                <w:sz w:val="12"/>
                <w:szCs w:val="12"/>
              </w:rPr>
            </w:pPr>
            <w:r w:rsidRPr="009E36DB">
              <w:rPr>
                <w:rFonts w:eastAsia="Aptos" w:cs="Arial"/>
                <w:sz w:val="12"/>
                <w:szCs w:val="12"/>
              </w:rPr>
              <w:t>Strengthen government immunisation program preparedness for new vaccine rollouts, including by leveraging new technologies.</w:t>
            </w:r>
          </w:p>
        </w:tc>
        <w:tc>
          <w:tcPr>
            <w:tcW w:w="2073" w:type="dxa"/>
            <w:tcMar>
              <w:top w:w="45" w:type="dxa"/>
              <w:left w:w="45" w:type="dxa"/>
              <w:bottom w:w="45" w:type="dxa"/>
              <w:right w:w="45" w:type="dxa"/>
            </w:tcMar>
            <w:vAlign w:val="center"/>
          </w:tcPr>
          <w:p w14:paraId="6FD4F8CF" w14:textId="77777777" w:rsidR="004C753C" w:rsidRPr="009E36DB" w:rsidRDefault="004C753C" w:rsidP="00B37CC3">
            <w:pPr>
              <w:jc w:val="center"/>
              <w:rPr>
                <w:rFonts w:eastAsia="Aptos" w:cs="Arial"/>
                <w:sz w:val="12"/>
                <w:szCs w:val="12"/>
              </w:rPr>
            </w:pPr>
            <w:r w:rsidRPr="009E36DB">
              <w:rPr>
                <w:rFonts w:eastAsia="Aptos" w:cs="Arial"/>
                <w:sz w:val="12"/>
                <w:szCs w:val="12"/>
              </w:rPr>
              <w:t>Strengthen collaborative ways of working between the Australian Government and state and territory governments to deliver vaccines under the NIP and emergency programs.</w:t>
            </w:r>
          </w:p>
        </w:tc>
      </w:tr>
      <w:tr w:rsidR="004C753C" w:rsidRPr="009E36DB" w14:paraId="50363042" w14:textId="77777777" w:rsidTr="00AE57A4">
        <w:trPr>
          <w:trHeight w:val="409"/>
        </w:trPr>
        <w:tc>
          <w:tcPr>
            <w:tcW w:w="2710" w:type="dxa"/>
            <w:tcMar>
              <w:top w:w="45" w:type="dxa"/>
              <w:left w:w="45" w:type="dxa"/>
              <w:bottom w:w="45" w:type="dxa"/>
              <w:right w:w="45" w:type="dxa"/>
            </w:tcMar>
            <w:vAlign w:val="center"/>
          </w:tcPr>
          <w:p w14:paraId="15014057" w14:textId="77777777" w:rsidR="004C753C" w:rsidRPr="009E36DB" w:rsidRDefault="004C753C" w:rsidP="00B37CC3">
            <w:pPr>
              <w:jc w:val="center"/>
              <w:rPr>
                <w:rFonts w:eastAsia="Aptos" w:cs="Arial"/>
                <w:sz w:val="12"/>
                <w:szCs w:val="12"/>
              </w:rPr>
            </w:pPr>
            <w:r w:rsidRPr="009E36DB">
              <w:rPr>
                <w:rFonts w:eastAsia="Aptos" w:cs="Arial"/>
                <w:sz w:val="12"/>
                <w:szCs w:val="12"/>
              </w:rPr>
              <w:t>Use innovative service delivery models to increase equitable access to immunisation across the lifespan.</w:t>
            </w:r>
          </w:p>
        </w:tc>
        <w:tc>
          <w:tcPr>
            <w:tcW w:w="2278" w:type="dxa"/>
            <w:tcMar>
              <w:top w:w="45" w:type="dxa"/>
              <w:left w:w="45" w:type="dxa"/>
              <w:bottom w:w="45" w:type="dxa"/>
              <w:right w:w="45" w:type="dxa"/>
            </w:tcMar>
            <w:vAlign w:val="center"/>
          </w:tcPr>
          <w:p w14:paraId="6C0DFD4E" w14:textId="77777777" w:rsidR="004C753C" w:rsidRPr="009E36DB" w:rsidRDefault="004C753C" w:rsidP="00B37CC3">
            <w:pPr>
              <w:jc w:val="center"/>
              <w:rPr>
                <w:rFonts w:eastAsia="Aptos" w:cs="Arial"/>
                <w:sz w:val="12"/>
                <w:szCs w:val="12"/>
              </w:rPr>
            </w:pPr>
            <w:r w:rsidRPr="009E36DB">
              <w:rPr>
                <w:rFonts w:eastAsia="Aptos" w:cs="Arial"/>
                <w:sz w:val="12"/>
                <w:szCs w:val="12"/>
              </w:rPr>
              <w:t>Strengthen community partnerships for design, delivery and evaluation of tailored immunisation strategies.</w:t>
            </w:r>
          </w:p>
        </w:tc>
        <w:tc>
          <w:tcPr>
            <w:tcW w:w="2255" w:type="dxa"/>
            <w:tcMar>
              <w:top w:w="45" w:type="dxa"/>
              <w:left w:w="45" w:type="dxa"/>
              <w:bottom w:w="45" w:type="dxa"/>
              <w:right w:w="45" w:type="dxa"/>
            </w:tcMar>
            <w:vAlign w:val="center"/>
          </w:tcPr>
          <w:p w14:paraId="6FBB7FE9" w14:textId="77777777" w:rsidR="004C753C" w:rsidRPr="009E36DB" w:rsidRDefault="004C753C" w:rsidP="00B37CC3">
            <w:pPr>
              <w:jc w:val="center"/>
              <w:rPr>
                <w:rFonts w:eastAsia="Aptos" w:cs="Arial"/>
                <w:sz w:val="12"/>
                <w:szCs w:val="12"/>
              </w:rPr>
            </w:pPr>
            <w:r w:rsidRPr="009E36DB">
              <w:rPr>
                <w:rFonts w:eastAsia="Aptos" w:cs="Arial"/>
                <w:sz w:val="12"/>
                <w:szCs w:val="12"/>
              </w:rPr>
              <w:t>Work towards creation of a whole of life, interactive, real- time dashboard of coverage data for all Australian Government-funded vaccines.</w:t>
            </w:r>
          </w:p>
        </w:tc>
        <w:tc>
          <w:tcPr>
            <w:tcW w:w="2050" w:type="dxa"/>
            <w:tcMar>
              <w:top w:w="45" w:type="dxa"/>
              <w:left w:w="45" w:type="dxa"/>
              <w:bottom w:w="45" w:type="dxa"/>
              <w:right w:w="45" w:type="dxa"/>
            </w:tcMar>
            <w:vAlign w:val="center"/>
          </w:tcPr>
          <w:p w14:paraId="0727011D" w14:textId="77777777" w:rsidR="004C753C" w:rsidRPr="009E36DB" w:rsidRDefault="004C753C" w:rsidP="00B37CC3">
            <w:pPr>
              <w:jc w:val="center"/>
              <w:rPr>
                <w:rFonts w:eastAsia="Aptos" w:cs="Arial"/>
                <w:sz w:val="12"/>
                <w:szCs w:val="12"/>
              </w:rPr>
            </w:pPr>
            <w:r w:rsidRPr="009E36DB">
              <w:rPr>
                <w:rFonts w:eastAsia="Aptos" w:cs="Arial"/>
                <w:sz w:val="12"/>
                <w:szCs w:val="12"/>
              </w:rPr>
              <w:t>Enable immunisation providers to safely work to their full scope of practice and harmonise relevant workforce policies, training, and accreditation across all states and territories.</w:t>
            </w:r>
          </w:p>
        </w:tc>
        <w:tc>
          <w:tcPr>
            <w:tcW w:w="2499" w:type="dxa"/>
            <w:tcMar>
              <w:top w:w="45" w:type="dxa"/>
              <w:left w:w="45" w:type="dxa"/>
              <w:bottom w:w="45" w:type="dxa"/>
              <w:right w:w="45" w:type="dxa"/>
            </w:tcMar>
            <w:vAlign w:val="center"/>
          </w:tcPr>
          <w:p w14:paraId="7E626590" w14:textId="77777777" w:rsidR="004C753C" w:rsidRPr="009E36DB" w:rsidRDefault="004C753C" w:rsidP="00B37CC3">
            <w:pPr>
              <w:jc w:val="center"/>
              <w:rPr>
                <w:rFonts w:eastAsia="Aptos" w:cs="Arial"/>
                <w:sz w:val="12"/>
                <w:szCs w:val="12"/>
              </w:rPr>
            </w:pPr>
            <w:r w:rsidRPr="009E36DB">
              <w:rPr>
                <w:rFonts w:eastAsia="Aptos" w:cs="Arial"/>
                <w:sz w:val="12"/>
                <w:szCs w:val="12"/>
              </w:rPr>
              <w:t>Systematise horizon scanning for emerging and newly vaccine-preventable diseases and the vaccine pipeline.</w:t>
            </w:r>
          </w:p>
        </w:tc>
        <w:tc>
          <w:tcPr>
            <w:tcW w:w="2073" w:type="dxa"/>
            <w:tcMar>
              <w:top w:w="45" w:type="dxa"/>
              <w:left w:w="45" w:type="dxa"/>
              <w:bottom w:w="45" w:type="dxa"/>
              <w:right w:w="45" w:type="dxa"/>
            </w:tcMar>
            <w:vAlign w:val="center"/>
          </w:tcPr>
          <w:p w14:paraId="1FDF2FB7" w14:textId="77777777" w:rsidR="004C753C" w:rsidRPr="009E36DB" w:rsidRDefault="004C753C" w:rsidP="00B37CC3">
            <w:pPr>
              <w:jc w:val="center"/>
              <w:rPr>
                <w:rFonts w:eastAsia="Aptos" w:cs="Arial"/>
                <w:sz w:val="12"/>
                <w:szCs w:val="12"/>
              </w:rPr>
            </w:pPr>
            <w:r w:rsidRPr="009E36DB">
              <w:rPr>
                <w:rFonts w:eastAsia="Aptos" w:cs="Arial"/>
                <w:sz w:val="12"/>
                <w:szCs w:val="12"/>
              </w:rPr>
              <w:t>Support policies that improve confidence in vaccine safety and accountability, such as exploring the feasibility of a no-fault vaccine compensation scheme.</w:t>
            </w:r>
          </w:p>
        </w:tc>
      </w:tr>
      <w:tr w:rsidR="004C753C" w:rsidRPr="009E36DB" w14:paraId="5167A545" w14:textId="77777777" w:rsidTr="00AE57A4">
        <w:trPr>
          <w:trHeight w:val="409"/>
        </w:trPr>
        <w:tc>
          <w:tcPr>
            <w:tcW w:w="2710" w:type="dxa"/>
            <w:tcMar>
              <w:top w:w="45" w:type="dxa"/>
              <w:left w:w="45" w:type="dxa"/>
              <w:bottom w:w="45" w:type="dxa"/>
              <w:right w:w="45" w:type="dxa"/>
            </w:tcMar>
            <w:vAlign w:val="center"/>
          </w:tcPr>
          <w:p w14:paraId="49E63755" w14:textId="77777777" w:rsidR="004C753C" w:rsidRPr="009E36DB" w:rsidRDefault="004C753C" w:rsidP="00B37CC3">
            <w:pPr>
              <w:jc w:val="center"/>
              <w:rPr>
                <w:rFonts w:eastAsia="Aptos" w:cs="Arial"/>
                <w:sz w:val="12"/>
                <w:szCs w:val="12"/>
              </w:rPr>
            </w:pPr>
            <w:r w:rsidRPr="009E36DB">
              <w:rPr>
                <w:rFonts w:eastAsia="Aptos" w:cs="Arial"/>
                <w:sz w:val="12"/>
                <w:szCs w:val="12"/>
              </w:rPr>
              <w:t>Ensure vaccine access and uptake to reach agreed national targets and maintain elimination status of measles, rubella and polio.</w:t>
            </w:r>
          </w:p>
        </w:tc>
        <w:tc>
          <w:tcPr>
            <w:tcW w:w="2278" w:type="dxa"/>
            <w:tcMar>
              <w:top w:w="45" w:type="dxa"/>
              <w:left w:w="45" w:type="dxa"/>
              <w:bottom w:w="45" w:type="dxa"/>
              <w:right w:w="45" w:type="dxa"/>
            </w:tcMar>
            <w:vAlign w:val="center"/>
          </w:tcPr>
          <w:p w14:paraId="1FE58C2D" w14:textId="77777777" w:rsidR="004C753C" w:rsidRPr="009E36DB" w:rsidRDefault="004C753C" w:rsidP="00B37CC3">
            <w:pPr>
              <w:jc w:val="center"/>
              <w:rPr>
                <w:rFonts w:eastAsia="Aptos" w:cs="Arial"/>
                <w:sz w:val="12"/>
                <w:szCs w:val="12"/>
              </w:rPr>
            </w:pPr>
            <w:r w:rsidRPr="009E36DB">
              <w:rPr>
                <w:rFonts w:eastAsia="Aptos" w:cs="Arial"/>
                <w:sz w:val="12"/>
                <w:szCs w:val="12"/>
              </w:rPr>
              <w:t>Track community sentiment, including for priority groups.</w:t>
            </w:r>
          </w:p>
        </w:tc>
        <w:tc>
          <w:tcPr>
            <w:tcW w:w="2255" w:type="dxa"/>
            <w:tcMar>
              <w:top w:w="45" w:type="dxa"/>
              <w:left w:w="45" w:type="dxa"/>
              <w:bottom w:w="45" w:type="dxa"/>
              <w:right w:w="45" w:type="dxa"/>
            </w:tcMar>
            <w:vAlign w:val="center"/>
          </w:tcPr>
          <w:p w14:paraId="443F5B16" w14:textId="77777777" w:rsidR="004C753C" w:rsidRPr="009E36DB" w:rsidRDefault="004C753C" w:rsidP="00B37CC3">
            <w:pPr>
              <w:jc w:val="center"/>
              <w:rPr>
                <w:rFonts w:eastAsia="Aptos" w:cs="Arial"/>
                <w:sz w:val="12"/>
                <w:szCs w:val="12"/>
              </w:rPr>
            </w:pPr>
            <w:r w:rsidRPr="009E36DB">
              <w:rPr>
                <w:rFonts w:eastAsia="Aptos" w:cs="Arial"/>
                <w:sz w:val="12"/>
                <w:szCs w:val="12"/>
              </w:rPr>
              <w:t>Expand data linkage capacity, analysis and reporting for better monitoring of vaccine program coverage, effectiveness, safety and impact.</w:t>
            </w:r>
          </w:p>
        </w:tc>
        <w:tc>
          <w:tcPr>
            <w:tcW w:w="2050" w:type="dxa"/>
            <w:tcMar>
              <w:top w:w="45" w:type="dxa"/>
              <w:left w:w="45" w:type="dxa"/>
              <w:bottom w:w="45" w:type="dxa"/>
              <w:right w:w="45" w:type="dxa"/>
            </w:tcMar>
            <w:vAlign w:val="center"/>
          </w:tcPr>
          <w:p w14:paraId="4D96326F" w14:textId="77777777" w:rsidR="004C753C" w:rsidRPr="009E36DB" w:rsidRDefault="004C753C" w:rsidP="00B37CC3">
            <w:pPr>
              <w:jc w:val="center"/>
              <w:rPr>
                <w:rFonts w:eastAsia="Aptos" w:cs="Arial"/>
                <w:sz w:val="12"/>
                <w:szCs w:val="12"/>
              </w:rPr>
            </w:pPr>
            <w:r w:rsidRPr="009E36DB">
              <w:rPr>
                <w:rFonts w:eastAsia="Aptos" w:cs="Arial"/>
                <w:sz w:val="12"/>
                <w:szCs w:val="12"/>
              </w:rPr>
              <w:t>Support Aboriginal and Torres Strait Islander health workforce development to contribute to immunisation.</w:t>
            </w:r>
          </w:p>
        </w:tc>
        <w:tc>
          <w:tcPr>
            <w:tcW w:w="2499" w:type="dxa"/>
            <w:tcMar>
              <w:top w:w="45" w:type="dxa"/>
              <w:left w:w="45" w:type="dxa"/>
              <w:bottom w:w="45" w:type="dxa"/>
              <w:right w:w="45" w:type="dxa"/>
            </w:tcMar>
            <w:vAlign w:val="center"/>
          </w:tcPr>
          <w:p w14:paraId="1619A531" w14:textId="77777777" w:rsidR="004C753C" w:rsidRPr="009E36DB" w:rsidRDefault="004C753C" w:rsidP="00B37CC3">
            <w:pPr>
              <w:jc w:val="center"/>
              <w:rPr>
                <w:rFonts w:eastAsia="Aptos" w:cs="Arial"/>
                <w:sz w:val="12"/>
                <w:szCs w:val="12"/>
              </w:rPr>
            </w:pPr>
            <w:r w:rsidRPr="009E36DB">
              <w:rPr>
                <w:rFonts w:eastAsia="Aptos" w:cs="Arial"/>
                <w:sz w:val="12"/>
                <w:szCs w:val="12"/>
              </w:rPr>
              <w:t>Champion vaccine research and development, and support pathways to commercialisation for Australian researchers and biotechnology industries.</w:t>
            </w:r>
          </w:p>
        </w:tc>
        <w:tc>
          <w:tcPr>
            <w:tcW w:w="2073" w:type="dxa"/>
            <w:tcMar>
              <w:top w:w="45" w:type="dxa"/>
              <w:left w:w="45" w:type="dxa"/>
              <w:bottom w:w="45" w:type="dxa"/>
              <w:right w:w="45" w:type="dxa"/>
            </w:tcMar>
            <w:vAlign w:val="center"/>
          </w:tcPr>
          <w:p w14:paraId="70E30C9C" w14:textId="77777777" w:rsidR="004C753C" w:rsidRPr="009E36DB" w:rsidRDefault="004C753C" w:rsidP="00B37CC3">
            <w:pPr>
              <w:jc w:val="center"/>
              <w:rPr>
                <w:rFonts w:eastAsia="Aptos" w:cs="Arial"/>
                <w:sz w:val="12"/>
                <w:szCs w:val="12"/>
              </w:rPr>
            </w:pPr>
            <w:r w:rsidRPr="009E36DB">
              <w:rPr>
                <w:rFonts w:eastAsia="Aptos" w:cs="Arial"/>
                <w:sz w:val="12"/>
                <w:szCs w:val="12"/>
              </w:rPr>
              <w:t>Standardise monitoring and evaluation of national and state and territory vaccine programs to improve outcomes.</w:t>
            </w:r>
          </w:p>
        </w:tc>
      </w:tr>
      <w:tr w:rsidR="004C753C" w:rsidRPr="009E36DB" w14:paraId="01BE5536" w14:textId="77777777" w:rsidTr="00AE57A4">
        <w:trPr>
          <w:trHeight w:val="409"/>
        </w:trPr>
        <w:tc>
          <w:tcPr>
            <w:tcW w:w="2710" w:type="dxa"/>
            <w:tcMar>
              <w:top w:w="45" w:type="dxa"/>
              <w:left w:w="45" w:type="dxa"/>
              <w:bottom w:w="45" w:type="dxa"/>
              <w:right w:w="45" w:type="dxa"/>
            </w:tcMar>
            <w:vAlign w:val="center"/>
          </w:tcPr>
          <w:p w14:paraId="103C37CA" w14:textId="77777777" w:rsidR="004C753C" w:rsidRPr="009E36DB" w:rsidRDefault="004C753C" w:rsidP="00B37CC3">
            <w:pPr>
              <w:jc w:val="center"/>
              <w:rPr>
                <w:rFonts w:eastAsia="Aptos" w:cs="Arial"/>
                <w:sz w:val="12"/>
                <w:szCs w:val="12"/>
              </w:rPr>
            </w:pPr>
            <w:r w:rsidRPr="009E36DB">
              <w:rPr>
                <w:rFonts w:eastAsia="Aptos" w:cs="Arial"/>
                <w:sz w:val="12"/>
                <w:szCs w:val="12"/>
              </w:rPr>
              <w:t>Consider additional evidence- informed targets.</w:t>
            </w:r>
          </w:p>
        </w:tc>
        <w:tc>
          <w:tcPr>
            <w:tcW w:w="2278" w:type="dxa"/>
            <w:tcMar>
              <w:top w:w="45" w:type="dxa"/>
              <w:left w:w="45" w:type="dxa"/>
              <w:bottom w:w="45" w:type="dxa"/>
              <w:right w:w="45" w:type="dxa"/>
            </w:tcMar>
            <w:vAlign w:val="center"/>
          </w:tcPr>
          <w:p w14:paraId="7134ED30" w14:textId="77777777" w:rsidR="004C753C" w:rsidRPr="009E36DB" w:rsidRDefault="004C753C" w:rsidP="00B37CC3">
            <w:pPr>
              <w:jc w:val="center"/>
              <w:rPr>
                <w:rFonts w:eastAsia="Aptos" w:cs="Arial"/>
                <w:sz w:val="12"/>
                <w:szCs w:val="12"/>
              </w:rPr>
            </w:pPr>
            <w:r w:rsidRPr="009E36DB">
              <w:rPr>
                <w:rFonts w:eastAsia="Aptos" w:cs="Arial"/>
                <w:sz w:val="12"/>
                <w:szCs w:val="12"/>
              </w:rPr>
              <w:t>Strengthen knowledge, confidence, and skills of immunisation providers to support informed vaccination choices.</w:t>
            </w:r>
          </w:p>
        </w:tc>
        <w:tc>
          <w:tcPr>
            <w:tcW w:w="2255" w:type="dxa"/>
            <w:tcMar>
              <w:top w:w="45" w:type="dxa"/>
              <w:left w:w="45" w:type="dxa"/>
              <w:bottom w:w="45" w:type="dxa"/>
              <w:right w:w="45" w:type="dxa"/>
            </w:tcMar>
            <w:vAlign w:val="center"/>
          </w:tcPr>
          <w:p w14:paraId="167C3C1B" w14:textId="77777777" w:rsidR="004C753C" w:rsidRPr="009E36DB" w:rsidRDefault="004C753C" w:rsidP="00B37CC3">
            <w:pPr>
              <w:jc w:val="center"/>
              <w:rPr>
                <w:rFonts w:eastAsia="Aptos" w:cs="Arial"/>
                <w:sz w:val="12"/>
                <w:szCs w:val="12"/>
              </w:rPr>
            </w:pPr>
            <w:r w:rsidRPr="009E36DB">
              <w:rPr>
                <w:rFonts w:eastAsia="Aptos" w:cs="Arial"/>
                <w:sz w:val="12"/>
                <w:szCs w:val="12"/>
              </w:rPr>
              <w:t>Integrate and report timely surveillance data on diseases, vaccine coverage, safety, and social and behavioural insights.</w:t>
            </w:r>
          </w:p>
        </w:tc>
        <w:tc>
          <w:tcPr>
            <w:tcW w:w="2050" w:type="dxa"/>
            <w:tcMar>
              <w:top w:w="45" w:type="dxa"/>
              <w:left w:w="45" w:type="dxa"/>
              <w:bottom w:w="45" w:type="dxa"/>
              <w:right w:w="45" w:type="dxa"/>
            </w:tcMar>
            <w:vAlign w:val="center"/>
          </w:tcPr>
          <w:p w14:paraId="371AA06A" w14:textId="77777777" w:rsidR="004C753C" w:rsidRPr="009E36DB" w:rsidRDefault="004C753C" w:rsidP="00B37CC3">
            <w:pPr>
              <w:jc w:val="center"/>
              <w:rPr>
                <w:rFonts w:eastAsia="Aptos" w:cs="Arial"/>
                <w:sz w:val="12"/>
                <w:szCs w:val="12"/>
              </w:rPr>
            </w:pPr>
            <w:r w:rsidRPr="009E36DB">
              <w:rPr>
                <w:rFonts w:eastAsia="Aptos" w:cs="Arial"/>
                <w:sz w:val="12"/>
                <w:szCs w:val="12"/>
              </w:rPr>
              <w:t>Strengthen preparedness for immunisation workforce surge capacity in future health emergencies.</w:t>
            </w:r>
          </w:p>
        </w:tc>
        <w:tc>
          <w:tcPr>
            <w:tcW w:w="2499" w:type="dxa"/>
            <w:tcMar>
              <w:top w:w="45" w:type="dxa"/>
              <w:left w:w="45" w:type="dxa"/>
              <w:bottom w:w="45" w:type="dxa"/>
              <w:right w:w="45" w:type="dxa"/>
            </w:tcMar>
            <w:vAlign w:val="center"/>
          </w:tcPr>
          <w:p w14:paraId="1388DCB9" w14:textId="77777777" w:rsidR="004C753C" w:rsidRPr="009E36DB" w:rsidRDefault="004C753C" w:rsidP="00B37CC3">
            <w:pPr>
              <w:jc w:val="center"/>
              <w:rPr>
                <w:rFonts w:eastAsia="Aptos" w:cs="Arial"/>
                <w:sz w:val="12"/>
                <w:szCs w:val="12"/>
              </w:rPr>
            </w:pPr>
            <w:r w:rsidRPr="009E36DB">
              <w:rPr>
                <w:rFonts w:eastAsia="Aptos" w:cs="Arial"/>
                <w:sz w:val="12"/>
                <w:szCs w:val="12"/>
              </w:rPr>
              <w:t>Maintain onshore vaccine manufacturing capacity for increased resilience against pandemics and supply chain threats.</w:t>
            </w:r>
          </w:p>
        </w:tc>
        <w:tc>
          <w:tcPr>
            <w:tcW w:w="2073" w:type="dxa"/>
            <w:tcMar>
              <w:top w:w="45" w:type="dxa"/>
              <w:left w:w="45" w:type="dxa"/>
              <w:bottom w:w="45" w:type="dxa"/>
              <w:right w:w="45" w:type="dxa"/>
            </w:tcMar>
            <w:vAlign w:val="center"/>
          </w:tcPr>
          <w:p w14:paraId="0488735C" w14:textId="77777777" w:rsidR="004C753C" w:rsidRPr="009E36DB" w:rsidRDefault="004C753C" w:rsidP="00B37CC3">
            <w:pPr>
              <w:jc w:val="center"/>
              <w:rPr>
                <w:rFonts w:eastAsia="Aptos" w:cs="Arial"/>
                <w:sz w:val="12"/>
                <w:szCs w:val="12"/>
              </w:rPr>
            </w:pPr>
            <w:r w:rsidRPr="009E36DB">
              <w:rPr>
                <w:rFonts w:eastAsia="Aptos" w:cs="Arial"/>
                <w:sz w:val="12"/>
                <w:szCs w:val="12"/>
              </w:rPr>
              <w:t>Strengthen Australia’s contribution to supporting regional and global immunisation efforts.</w:t>
            </w:r>
          </w:p>
        </w:tc>
      </w:tr>
      <w:tr w:rsidR="004C753C" w:rsidRPr="009E36DB" w14:paraId="3327E029" w14:textId="77777777" w:rsidTr="00AE57A4">
        <w:trPr>
          <w:trHeight w:val="1335"/>
        </w:trPr>
        <w:tc>
          <w:tcPr>
            <w:tcW w:w="2710" w:type="dxa"/>
            <w:tcMar>
              <w:top w:w="45" w:type="dxa"/>
              <w:left w:w="45" w:type="dxa"/>
              <w:bottom w:w="45" w:type="dxa"/>
              <w:right w:w="45" w:type="dxa"/>
            </w:tcMar>
            <w:vAlign w:val="center"/>
          </w:tcPr>
          <w:p w14:paraId="7DD7A259" w14:textId="77777777" w:rsidR="004C753C" w:rsidRPr="009E36DB" w:rsidRDefault="004C753C" w:rsidP="00B37CC3">
            <w:pPr>
              <w:jc w:val="center"/>
              <w:rPr>
                <w:rFonts w:eastAsia="Aptos" w:cs="Arial"/>
                <w:sz w:val="12"/>
                <w:szCs w:val="12"/>
              </w:rPr>
            </w:pPr>
          </w:p>
        </w:tc>
        <w:tc>
          <w:tcPr>
            <w:tcW w:w="2278" w:type="dxa"/>
            <w:tcMar>
              <w:top w:w="45" w:type="dxa"/>
              <w:left w:w="45" w:type="dxa"/>
              <w:bottom w:w="45" w:type="dxa"/>
              <w:right w:w="45" w:type="dxa"/>
            </w:tcMar>
            <w:vAlign w:val="center"/>
          </w:tcPr>
          <w:p w14:paraId="547C3734" w14:textId="77777777" w:rsidR="004C753C" w:rsidRPr="009E36DB" w:rsidRDefault="004C753C" w:rsidP="00B37CC3">
            <w:pPr>
              <w:jc w:val="center"/>
              <w:rPr>
                <w:rFonts w:eastAsia="Aptos" w:cs="Arial"/>
                <w:sz w:val="12"/>
                <w:szCs w:val="12"/>
              </w:rPr>
            </w:pPr>
          </w:p>
        </w:tc>
        <w:tc>
          <w:tcPr>
            <w:tcW w:w="2255" w:type="dxa"/>
            <w:tcMar>
              <w:top w:w="45" w:type="dxa"/>
              <w:left w:w="45" w:type="dxa"/>
              <w:bottom w:w="45" w:type="dxa"/>
              <w:right w:w="45" w:type="dxa"/>
            </w:tcMar>
            <w:vAlign w:val="center"/>
          </w:tcPr>
          <w:p w14:paraId="3C5EB503" w14:textId="77777777" w:rsidR="004C753C" w:rsidRPr="009E36DB" w:rsidRDefault="004C753C" w:rsidP="00B37CC3">
            <w:pPr>
              <w:jc w:val="center"/>
              <w:rPr>
                <w:rFonts w:eastAsia="Aptos" w:cs="Arial"/>
                <w:sz w:val="12"/>
                <w:szCs w:val="12"/>
              </w:rPr>
            </w:pPr>
            <w:r w:rsidRPr="009E36DB">
              <w:rPr>
                <w:rFonts w:eastAsia="Aptos" w:cs="Arial"/>
                <w:sz w:val="12"/>
                <w:szCs w:val="12"/>
              </w:rPr>
              <w:t>Strengthen vaccine safety surveillance, including for new vaccines, to improve detection of rare or delayed onset adverse events.</w:t>
            </w:r>
          </w:p>
        </w:tc>
        <w:tc>
          <w:tcPr>
            <w:tcW w:w="2050" w:type="dxa"/>
            <w:tcMar>
              <w:top w:w="45" w:type="dxa"/>
              <w:left w:w="45" w:type="dxa"/>
              <w:bottom w:w="45" w:type="dxa"/>
              <w:right w:w="45" w:type="dxa"/>
            </w:tcMar>
            <w:vAlign w:val="center"/>
          </w:tcPr>
          <w:p w14:paraId="1852F5E1" w14:textId="77777777" w:rsidR="004C753C" w:rsidRPr="009E36DB" w:rsidRDefault="004C753C" w:rsidP="00B37CC3">
            <w:pPr>
              <w:jc w:val="center"/>
              <w:rPr>
                <w:rFonts w:eastAsia="Aptos" w:cs="Arial"/>
                <w:sz w:val="12"/>
                <w:szCs w:val="12"/>
              </w:rPr>
            </w:pPr>
            <w:r w:rsidRPr="009E36DB">
              <w:rPr>
                <w:rFonts w:eastAsia="Aptos" w:cs="Arial"/>
                <w:sz w:val="12"/>
                <w:szCs w:val="12"/>
              </w:rPr>
              <w:t>Build expertise across the immunisation and vaccine- preventable disease workforce in all areas, including data analytics, disease surveillance and communications.</w:t>
            </w:r>
          </w:p>
        </w:tc>
        <w:tc>
          <w:tcPr>
            <w:tcW w:w="2499" w:type="dxa"/>
            <w:tcMar>
              <w:top w:w="45" w:type="dxa"/>
              <w:left w:w="45" w:type="dxa"/>
              <w:bottom w:w="45" w:type="dxa"/>
              <w:right w:w="45" w:type="dxa"/>
            </w:tcMar>
            <w:vAlign w:val="center"/>
          </w:tcPr>
          <w:p w14:paraId="41AF7EA6" w14:textId="77777777" w:rsidR="004C753C" w:rsidRPr="009E36DB" w:rsidRDefault="004C753C" w:rsidP="00B37CC3">
            <w:pPr>
              <w:jc w:val="center"/>
              <w:rPr>
                <w:rFonts w:eastAsia="Aptos" w:cs="Arial"/>
                <w:sz w:val="12"/>
                <w:szCs w:val="12"/>
              </w:rPr>
            </w:pPr>
          </w:p>
        </w:tc>
        <w:tc>
          <w:tcPr>
            <w:tcW w:w="2073" w:type="dxa"/>
            <w:tcMar>
              <w:top w:w="45" w:type="dxa"/>
              <w:left w:w="45" w:type="dxa"/>
              <w:bottom w:w="45" w:type="dxa"/>
              <w:right w:w="45" w:type="dxa"/>
            </w:tcMar>
            <w:vAlign w:val="center"/>
          </w:tcPr>
          <w:p w14:paraId="049A6BD8" w14:textId="77777777" w:rsidR="004C753C" w:rsidRPr="009E36DB" w:rsidRDefault="004C753C" w:rsidP="00B37CC3">
            <w:pPr>
              <w:jc w:val="center"/>
              <w:rPr>
                <w:rFonts w:eastAsia="Aptos" w:cs="Arial"/>
                <w:sz w:val="12"/>
                <w:szCs w:val="12"/>
              </w:rPr>
            </w:pPr>
          </w:p>
        </w:tc>
      </w:tr>
    </w:tbl>
    <w:p w14:paraId="63A9DB68" w14:textId="28788575" w:rsidR="00673FDA" w:rsidRPr="00561A58" w:rsidRDefault="00673FDA" w:rsidP="00561A58">
      <w:pPr>
        <w:rPr>
          <w:rFonts w:cs="Arial"/>
          <w:b/>
          <w:bCs/>
          <w:color w:val="033636" w:themeColor="text1"/>
          <w:sz w:val="2"/>
          <w:szCs w:val="2"/>
        </w:rPr>
      </w:pPr>
    </w:p>
    <w:sectPr w:rsidR="00673FDA" w:rsidRPr="00561A58" w:rsidSect="00F86BB1">
      <w:headerReference w:type="even" r:id="rId66"/>
      <w:headerReference w:type="default" r:id="rId67"/>
      <w:footerReference w:type="default" r:id="rId68"/>
      <w:headerReference w:type="first" r:id="rId69"/>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822AC" w14:textId="77777777" w:rsidR="007A370E" w:rsidRDefault="007A370E" w:rsidP="00934368">
      <w:r>
        <w:separator/>
      </w:r>
    </w:p>
    <w:p w14:paraId="1A16E725" w14:textId="77777777" w:rsidR="007A370E" w:rsidRDefault="007A370E" w:rsidP="00934368"/>
  </w:endnote>
  <w:endnote w:type="continuationSeparator" w:id="0">
    <w:p w14:paraId="65317B08" w14:textId="77777777" w:rsidR="007A370E" w:rsidRDefault="007A370E" w:rsidP="00934368">
      <w:r>
        <w:continuationSeparator/>
      </w:r>
    </w:p>
    <w:p w14:paraId="3649C364" w14:textId="77777777" w:rsidR="007A370E" w:rsidRDefault="007A370E" w:rsidP="00934368"/>
  </w:endnote>
  <w:endnote w:type="continuationNotice" w:id="1">
    <w:p w14:paraId="23E429B0" w14:textId="77777777" w:rsidR="007A370E" w:rsidRDefault="007A370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9629" w14:textId="77777777" w:rsidR="006D40E5" w:rsidRDefault="006D40E5">
    <w:pPr>
      <w:pStyle w:val="Footer"/>
    </w:pPr>
    <w:r>
      <w:rPr>
        <w:noProof/>
      </w:rPr>
      <mc:AlternateContent>
        <mc:Choice Requires="wps">
          <w:drawing>
            <wp:anchor distT="0" distB="0" distL="0" distR="0" simplePos="0" relativeHeight="251657216" behindDoc="0" locked="0" layoutInCell="1" allowOverlap="1" wp14:anchorId="221989D6" wp14:editId="5BB74A2E">
              <wp:simplePos x="635" y="635"/>
              <wp:positionH relativeFrom="page">
                <wp:align>center</wp:align>
              </wp:positionH>
              <wp:positionV relativeFrom="page">
                <wp:align>bottom</wp:align>
              </wp:positionV>
              <wp:extent cx="622300" cy="480695"/>
              <wp:effectExtent l="0" t="0" r="0" b="0"/>
              <wp:wrapNone/>
              <wp:docPr id="17421616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A480F9"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989D6" id="_x0000_t202" coordsize="21600,21600" o:spt="202" path="m,l,21600r21600,l21600,xe">
              <v:stroke joinstyle="miter"/>
              <v:path gradientshapeok="t" o:connecttype="rect"/>
            </v:shapetype>
            <v:shape id="Text Box 6" o:spid="_x0000_s1028" type="#_x0000_t202" alt="OFFICIAL" style="position:absolute;left:0;text-align:left;margin-left:0;margin-top:0;width:49pt;height:37.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71A480F9"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5384846"/>
      <w:docPartObj>
        <w:docPartGallery w:val="Page Numbers (Bottom of Page)"/>
        <w:docPartUnique/>
      </w:docPartObj>
    </w:sdtPr>
    <w:sdtContent>
      <w:p w14:paraId="685B43BC" w14:textId="4ADABFCD" w:rsidR="003623D1" w:rsidRDefault="006A1C95" w:rsidP="00FB6BB5">
        <w:pPr>
          <w:pStyle w:val="Footer"/>
          <w:jc w:val="left"/>
        </w:pPr>
        <w:r w:rsidRPr="006A1C95">
          <w:t>Monitoring</w:t>
        </w:r>
        <w:r w:rsidR="00F11495">
          <w:t>,</w:t>
        </w:r>
        <w:r w:rsidRPr="006A1C95">
          <w:t xml:space="preserve"> </w:t>
        </w:r>
        <w:r w:rsidR="00714E81">
          <w:t>evaluation and learning</w:t>
        </w:r>
        <w:r w:rsidR="00F11495">
          <w:t xml:space="preserve"> f</w:t>
        </w:r>
        <w:r w:rsidRPr="006A1C95">
          <w:t>ramework for the National Immunisation Strategy for Australia 2025-2030</w:t>
        </w:r>
        <w:r w:rsidR="00B66C61">
          <w:tab/>
        </w:r>
        <w:r w:rsidR="003623D1">
          <w:fldChar w:fldCharType="begin"/>
        </w:r>
        <w:r w:rsidR="003623D1">
          <w:instrText>PAGE   \* MERGEFORMAT</w:instrText>
        </w:r>
        <w:r w:rsidR="003623D1">
          <w:fldChar w:fldCharType="separate"/>
        </w:r>
        <w:r w:rsidR="003623D1">
          <w:rPr>
            <w:lang w:val="en-GB"/>
          </w:rPr>
          <w:t>2</w:t>
        </w:r>
        <w:r w:rsidR="003623D1">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186E" w14:textId="0E508B87" w:rsidR="00132897" w:rsidRDefault="00132897">
    <w:pPr>
      <w:pStyle w:val="Footer"/>
    </w:pPr>
    <w:r w:rsidRPr="00132897">
      <w:t>Monitoring evaluation and learning framework for the National Immunisation Strategy for Australia 2025-2030</w:t>
    </w:r>
    <w:r>
      <w:t xml:space="preserve">                                                                     </w:t>
    </w:r>
    <w:sdt>
      <w:sdtPr>
        <w:id w:val="1243615645"/>
        <w:docPartObj>
          <w:docPartGallery w:val="Page Numbers (Bottom of Page)"/>
          <w:docPartUnique/>
        </w:docPartObj>
      </w:sdtPr>
      <w:sdtContent>
        <w:r>
          <w:fldChar w:fldCharType="begin"/>
        </w:r>
        <w:r>
          <w:instrText>PAGE   \* MERGEFORMAT</w:instrText>
        </w:r>
        <w:r>
          <w:fldChar w:fldCharType="separate"/>
        </w:r>
        <w:r>
          <w:rPr>
            <w:lang w:val="en-GB"/>
          </w:rPr>
          <w:t>2</w:t>
        </w:r>
        <w:r>
          <w:fldChar w:fldCharType="end"/>
        </w:r>
      </w:sdtContent>
    </w:sdt>
  </w:p>
  <w:p w14:paraId="02A03684" w14:textId="63889F8F" w:rsidR="00751A23" w:rsidRPr="00751A23" w:rsidRDefault="00751A23" w:rsidP="00132897">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C796" w14:textId="77777777" w:rsidR="006D40E5" w:rsidRDefault="006D40E5">
    <w:pPr>
      <w:pStyle w:val="Footer"/>
    </w:pPr>
    <w:r>
      <w:rPr>
        <w:noProof/>
      </w:rPr>
      <mc:AlternateContent>
        <mc:Choice Requires="wps">
          <w:drawing>
            <wp:anchor distT="0" distB="0" distL="0" distR="0" simplePos="0" relativeHeight="251659264" behindDoc="0" locked="0" layoutInCell="1" allowOverlap="1" wp14:anchorId="78D3807A" wp14:editId="21A5AB1E">
              <wp:simplePos x="635" y="635"/>
              <wp:positionH relativeFrom="page">
                <wp:align>center</wp:align>
              </wp:positionH>
              <wp:positionV relativeFrom="page">
                <wp:align>bottom</wp:align>
              </wp:positionV>
              <wp:extent cx="622300" cy="480695"/>
              <wp:effectExtent l="0" t="0" r="0" b="0"/>
              <wp:wrapNone/>
              <wp:docPr id="115213182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0B957EF"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3807A" id="_x0000_t202" coordsize="21600,21600" o:spt="202" path="m,l,21600r21600,l21600,xe">
              <v:stroke joinstyle="miter"/>
              <v:path gradientshapeok="t" o:connecttype="rect"/>
            </v:shapetype>
            <v:shape id="Text Box 7" o:spid="_x0000_s1029" type="#_x0000_t202" alt="OFFICIAL" style="position:absolute;left:0;text-align:left;margin-left:0;margin-top:0;width:49pt;height:37.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20B957EF"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E559D" w14:textId="77777777" w:rsidR="00E000B1" w:rsidRDefault="00E000B1">
    <w:pPr>
      <w:pStyle w:val="Footer"/>
    </w:pPr>
    <w:r>
      <w:rPr>
        <w:noProof/>
      </w:rPr>
      <mc:AlternateContent>
        <mc:Choice Requires="wps">
          <w:drawing>
            <wp:anchor distT="0" distB="0" distL="0" distR="0" simplePos="0" relativeHeight="251653632" behindDoc="0" locked="0" layoutInCell="1" allowOverlap="1" wp14:anchorId="1FA2E0F4" wp14:editId="7978A8BC">
              <wp:simplePos x="635" y="635"/>
              <wp:positionH relativeFrom="page">
                <wp:align>center</wp:align>
              </wp:positionH>
              <wp:positionV relativeFrom="page">
                <wp:align>bottom</wp:align>
              </wp:positionV>
              <wp:extent cx="622300" cy="407035"/>
              <wp:effectExtent l="0" t="0" r="6350" b="0"/>
              <wp:wrapNone/>
              <wp:docPr id="17049465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3C2DE5B0"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2E0F4" id="_x0000_t202" coordsize="21600,21600" o:spt="202" path="m,l,21600r21600,l21600,xe">
              <v:stroke joinstyle="miter"/>
              <v:path gradientshapeok="t" o:connecttype="rect"/>
            </v:shapetype>
            <v:shape id="Text Box 5" o:spid="_x0000_s1031" type="#_x0000_t202" alt="OFFICIAL" style="position:absolute;left:0;text-align:left;margin-left:0;margin-top:0;width:49pt;height:32.05pt;z-index:2516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" filled="f" stroked="f">
              <v:textbox style="mso-fit-shape-to-text:t" inset="0,0,0,15pt">
                <w:txbxContent>
                  <w:p w14:paraId="3C2DE5B0"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4EF44" w14:textId="22617E08" w:rsidR="00CE60C0" w:rsidRPr="00F87B1A" w:rsidRDefault="00000000" w:rsidP="00B72290">
    <w:pPr>
      <w:pStyle w:val="Footer"/>
      <w:jc w:val="left"/>
      <w:rPr>
        <w:rFonts w:ascii="Segoe UI" w:hAnsi="Segoe UI" w:cs="Segoe UI"/>
      </w:rPr>
    </w:pPr>
    <w:sdt>
      <w:sdtPr>
        <w:rPr>
          <w:rFonts w:ascii="Segoe UI" w:hAnsi="Segoe UI" w:cs="Segoe UI"/>
        </w:rPr>
        <w:id w:val="-1418854219"/>
        <w:docPartObj>
          <w:docPartGallery w:val="Page Numbers (Bottom of Page)"/>
          <w:docPartUnique/>
        </w:docPartObj>
      </w:sdtPr>
      <w:sdtEndPr>
        <w:rPr>
          <w:noProof/>
        </w:rPr>
      </w:sdtEndPr>
      <w:sdtContent>
        <w:r w:rsidR="00CE60C0" w:rsidRPr="00F87B1A">
          <w:rPr>
            <w:rFonts w:ascii="Segoe UI" w:hAnsi="Segoe UI" w:cs="Segoe UI"/>
          </w:rPr>
          <w:tab/>
        </w:r>
      </w:sdtContent>
    </w:sdt>
  </w:p>
  <w:p w14:paraId="26289D09" w14:textId="5E73B860" w:rsidR="00E000B1" w:rsidRDefault="00E000B1" w:rsidP="00B72290">
    <w:pPr>
      <w:pStyle w:val="Footer"/>
      <w:jc w:val="left"/>
    </w:pPr>
    <w:r w:rsidRPr="00040157">
      <w:rPr>
        <w:rFonts w:ascii="Segoe UI" w:hAnsi="Segoe UI" w:cs="Segoe UI"/>
        <w:noProof/>
        <w:sz w:val="18"/>
        <w:szCs w:val="18"/>
      </w:rPr>
      <mc:AlternateContent>
        <mc:Choice Requires="wps">
          <w:drawing>
            <wp:anchor distT="0" distB="0" distL="0" distR="0" simplePos="0" relativeHeight="251643392" behindDoc="0" locked="0" layoutInCell="1" allowOverlap="1" wp14:anchorId="1EAEFA52" wp14:editId="72E17B94">
              <wp:simplePos x="915035" y="10049510"/>
              <wp:positionH relativeFrom="page">
                <wp:align>center</wp:align>
              </wp:positionH>
              <wp:positionV relativeFrom="page">
                <wp:align>bottom</wp:align>
              </wp:positionV>
              <wp:extent cx="622300" cy="407035"/>
              <wp:effectExtent l="0" t="0" r="6350" b="0"/>
              <wp:wrapNone/>
              <wp:docPr id="9176768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0692538F" w14:textId="77777777" w:rsidR="00E000B1" w:rsidRPr="00F87B1A" w:rsidRDefault="00E000B1" w:rsidP="00607528">
                          <w:pPr>
                            <w:spacing w:after="0"/>
                            <w:rPr>
                              <w:rFonts w:eastAsia="Aptos" w:cs="Segoe UI"/>
                              <w:noProof/>
                              <w:color w:val="FF0000"/>
                            </w:rPr>
                          </w:pPr>
                          <w:r w:rsidRPr="00F87B1A">
                            <w:rPr>
                              <w:rFonts w:eastAsia="Aptos" w:cs="Segoe U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AEFA52" id="_x0000_t202" coordsize="21600,21600" o:spt="202" path="m,l,21600r21600,l21600,xe">
              <v:stroke joinstyle="miter"/>
              <v:path gradientshapeok="t" o:connecttype="rect"/>
            </v:shapetype>
            <v:shape id="_x0000_s1032" type="#_x0000_t202" alt="OFFICIAL" style="position:absolute;margin-left:0;margin-top:0;width:49pt;height:32.05pt;z-index:2516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" filled="f" stroked="f">
              <v:textbox style="mso-fit-shape-to-text:t" inset="0,0,0,15pt">
                <w:txbxContent>
                  <w:p w14:paraId="0692538F" w14:textId="77777777" w:rsidR="00E000B1" w:rsidRPr="00F87B1A" w:rsidRDefault="00E000B1" w:rsidP="00607528">
                    <w:pPr>
                      <w:spacing w:after="0"/>
                      <w:rPr>
                        <w:rFonts w:eastAsia="Aptos" w:cs="Segoe UI"/>
                        <w:noProof/>
                        <w:color w:val="FF0000"/>
                      </w:rPr>
                    </w:pPr>
                    <w:r w:rsidRPr="00F87B1A">
                      <w:rPr>
                        <w:rFonts w:eastAsia="Aptos" w:cs="Segoe UI"/>
                        <w:noProof/>
                        <w:color w:val="FF0000"/>
                      </w:rPr>
                      <w:t>OFFICIAL</w:t>
                    </w:r>
                  </w:p>
                </w:txbxContent>
              </v:textbox>
              <w10:wrap anchorx="page" anchory="page"/>
            </v:shape>
          </w:pict>
        </mc:Fallback>
      </mc:AlternateContent>
    </w:r>
    <w:r w:rsidR="0017029B" w:rsidRPr="00040157">
      <w:rPr>
        <w:sz w:val="18"/>
        <w:szCs w:val="18"/>
      </w:rPr>
      <w:t>Monitoring</w:t>
    </w:r>
    <w:r w:rsidR="00F11495">
      <w:rPr>
        <w:sz w:val="18"/>
        <w:szCs w:val="18"/>
      </w:rPr>
      <w:t>,</w:t>
    </w:r>
    <w:r w:rsidR="0017029B" w:rsidRPr="00040157">
      <w:rPr>
        <w:sz w:val="18"/>
        <w:szCs w:val="18"/>
      </w:rPr>
      <w:t xml:space="preserve"> </w:t>
    </w:r>
    <w:r w:rsidR="005B645A">
      <w:rPr>
        <w:sz w:val="18"/>
        <w:szCs w:val="18"/>
      </w:rPr>
      <w:t>e</w:t>
    </w:r>
    <w:r w:rsidR="005B645A" w:rsidRPr="00040157">
      <w:rPr>
        <w:sz w:val="18"/>
        <w:szCs w:val="18"/>
      </w:rPr>
      <w:t xml:space="preserve">valuation </w:t>
    </w:r>
    <w:r w:rsidR="0017029B" w:rsidRPr="00040157">
      <w:rPr>
        <w:sz w:val="18"/>
        <w:szCs w:val="18"/>
      </w:rPr>
      <w:t xml:space="preserve">and </w:t>
    </w:r>
    <w:r w:rsidR="005B645A">
      <w:rPr>
        <w:sz w:val="18"/>
        <w:szCs w:val="18"/>
      </w:rPr>
      <w:t>l</w:t>
    </w:r>
    <w:r w:rsidR="005B645A" w:rsidRPr="00040157">
      <w:rPr>
        <w:sz w:val="18"/>
        <w:szCs w:val="18"/>
      </w:rPr>
      <w:t xml:space="preserve">earning </w:t>
    </w:r>
    <w:r w:rsidR="00F11495">
      <w:rPr>
        <w:sz w:val="18"/>
        <w:szCs w:val="18"/>
      </w:rPr>
      <w:t>f</w:t>
    </w:r>
    <w:r w:rsidR="0017029B" w:rsidRPr="00040157">
      <w:rPr>
        <w:sz w:val="18"/>
        <w:szCs w:val="18"/>
      </w:rPr>
      <w:t>ramework for the National Immunisation Strategy for Australia 2025</w:t>
    </w:r>
    <w:r w:rsidR="00EF2401">
      <w:rPr>
        <w:sz w:val="18"/>
        <w:szCs w:val="18"/>
      </w:rPr>
      <w:t>–</w:t>
    </w:r>
    <w:r w:rsidR="0017029B" w:rsidRPr="00040157">
      <w:rPr>
        <w:sz w:val="18"/>
        <w:szCs w:val="18"/>
      </w:rPr>
      <w:t>2030</w:t>
    </w:r>
    <w:r>
      <w:tab/>
    </w:r>
    <w:r>
      <w:fldChar w:fldCharType="begin"/>
    </w:r>
    <w:r>
      <w:instrText>PAGE</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668683"/>
      <w:docPartObj>
        <w:docPartGallery w:val="Page Numbers (Bottom of Page)"/>
        <w:docPartUnique/>
      </w:docPartObj>
    </w:sdtPr>
    <w:sdtContent>
      <w:p w14:paraId="29D4B434" w14:textId="08503174" w:rsidR="00365623" w:rsidRPr="00751A23" w:rsidRDefault="00365623" w:rsidP="00365623">
        <w:pPr>
          <w:pStyle w:val="Footer"/>
        </w:pPr>
      </w:p>
      <w:p w14:paraId="593ABC02" w14:textId="69887909" w:rsidR="00EB4B06" w:rsidRDefault="00000000">
        <w:pPr>
          <w:pStyle w:val="Footer"/>
        </w:pPr>
      </w:p>
    </w:sdtContent>
  </w:sdt>
  <w:p w14:paraId="6A02B99B" w14:textId="23F71704" w:rsidR="00E000B1" w:rsidRDefault="00E000B1" w:rsidP="002C70D3">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AC01" w14:textId="71FB7ACE" w:rsidR="0064631D" w:rsidRDefault="006A1C95" w:rsidP="00D43FCB">
    <w:pPr>
      <w:pStyle w:val="Footer"/>
      <w:jc w:val="left"/>
    </w:pPr>
    <w:r w:rsidRPr="006A1C95">
      <w:t>Monitoring</w:t>
    </w:r>
    <w:r w:rsidR="00F11495">
      <w:t>,</w:t>
    </w:r>
    <w:r w:rsidRPr="006A1C95">
      <w:t xml:space="preserve"> </w:t>
    </w:r>
    <w:r w:rsidR="005B645A">
      <w:t>evaluation and learning</w:t>
    </w:r>
    <w:r w:rsidRPr="006A1C95">
      <w:t xml:space="preserve"> </w:t>
    </w:r>
    <w:r w:rsidR="005B645A">
      <w:t>f</w:t>
    </w:r>
    <w:r w:rsidRPr="006A1C95">
      <w:t>ramework for the National Immunisation Strategy for Australia 2025-2030</w:t>
    </w:r>
    <w:r w:rsidR="0064631D">
      <w:rPr>
        <w:noProof/>
      </w:rPr>
      <mc:AlternateContent>
        <mc:Choice Requires="wps">
          <w:drawing>
            <wp:anchor distT="0" distB="0" distL="0" distR="0" simplePos="0" relativeHeight="251675136" behindDoc="0" locked="0" layoutInCell="1" allowOverlap="1" wp14:anchorId="450B518B" wp14:editId="5E44163D">
              <wp:simplePos x="635" y="635"/>
              <wp:positionH relativeFrom="page">
                <wp:align>center</wp:align>
              </wp:positionH>
              <wp:positionV relativeFrom="page">
                <wp:align>bottom</wp:align>
              </wp:positionV>
              <wp:extent cx="622300" cy="407035"/>
              <wp:effectExtent l="0" t="0" r="6350" b="0"/>
              <wp:wrapNone/>
              <wp:docPr id="6107517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0674801E" w14:textId="77777777" w:rsidR="0064631D" w:rsidRPr="00607528" w:rsidRDefault="0064631D"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B518B" id="_x0000_t202" coordsize="21600,21600" o:spt="202" path="m,l,21600r21600,l21600,xe">
              <v:stroke joinstyle="miter"/>
              <v:path gradientshapeok="t" o:connecttype="rect"/>
            </v:shapetype>
            <v:shape id="Text Box 8" o:spid="_x0000_s1034" type="#_x0000_t202" alt="OFFICIAL" style="position:absolute;margin-left:0;margin-top:0;width:49pt;height:32.0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" filled="f" stroked="f">
              <v:textbox style="mso-fit-shape-to-text:t" inset="0,0,0,15pt">
                <w:txbxContent>
                  <w:p w14:paraId="0674801E" w14:textId="77777777" w:rsidR="0064631D" w:rsidRPr="00607528" w:rsidRDefault="0064631D"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r w:rsidR="00D43FCB">
      <w:t xml:space="preserve">                                                                                                                           </w:t>
    </w:r>
    <w:r w:rsidR="0064631D">
      <w:tab/>
    </w:r>
    <w:r w:rsidR="00D43FCB">
      <w:t xml:space="preserve"> </w:t>
    </w:r>
    <w:r w:rsidR="0064631D">
      <w:fldChar w:fldCharType="begin"/>
    </w:r>
    <w:r w:rsidR="0064631D">
      <w:instrText>PAGE</w:instrText>
    </w:r>
    <w:r w:rsidR="0064631D">
      <w:fldChar w:fldCharType="separate"/>
    </w:r>
    <w:r w:rsidR="0064631D">
      <w:rPr>
        <w:noProof/>
      </w:rPr>
      <w:t>2</w:t>
    </w:r>
    <w:r w:rsidR="0064631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E4B0" w14:textId="57A316AA" w:rsidR="0064631D" w:rsidRDefault="0064631D" w:rsidP="00793D84">
    <w:pPr>
      <w:pStyle w:val="Footer"/>
      <w:jc w:val="left"/>
    </w:pPr>
    <w:r>
      <w:rPr>
        <w:noProof/>
      </w:rPr>
      <mc:AlternateContent>
        <mc:Choice Requires="wps">
          <w:drawing>
            <wp:anchor distT="0" distB="0" distL="0" distR="0" simplePos="0" relativeHeight="251661824" behindDoc="0" locked="0" layoutInCell="1" allowOverlap="1" wp14:anchorId="4426D958" wp14:editId="216CDE10">
              <wp:simplePos x="635" y="635"/>
              <wp:positionH relativeFrom="page">
                <wp:align>center</wp:align>
              </wp:positionH>
              <wp:positionV relativeFrom="page">
                <wp:align>bottom</wp:align>
              </wp:positionV>
              <wp:extent cx="622300" cy="407035"/>
              <wp:effectExtent l="0" t="0" r="6350" b="0"/>
              <wp:wrapNone/>
              <wp:docPr id="45452479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1279A692" w14:textId="77777777" w:rsidR="0064631D" w:rsidRPr="00607528" w:rsidRDefault="0064631D"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26D958" id="_x0000_t202" coordsize="21600,21600" o:spt="202" path="m,l,21600r21600,l21600,xe">
              <v:stroke joinstyle="miter"/>
              <v:path gradientshapeok="t" o:connecttype="rect"/>
            </v:shapetype>
            <v:shape id="_x0000_s1035" type="#_x0000_t202" alt="OFFICIAL" style="position:absolute;margin-left:0;margin-top:0;width:49pt;height:32.0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" filled="f" stroked="f">
              <v:textbox style="mso-fit-shape-to-text:t" inset="0,0,0,15pt">
                <w:txbxContent>
                  <w:p w14:paraId="1279A692" w14:textId="77777777" w:rsidR="0064631D" w:rsidRPr="00607528" w:rsidRDefault="0064631D"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r w:rsidR="006A1C95" w:rsidRPr="006A1C95">
      <w:t>Monitoring</w:t>
    </w:r>
    <w:r w:rsidR="005B645A">
      <w:t xml:space="preserve"> evaluation and learning</w:t>
    </w:r>
    <w:r w:rsidR="006A1C95" w:rsidRPr="006A1C95">
      <w:t xml:space="preserve"> Framework for the National Immunisation Strategy for Australia 2025-2030</w:t>
    </w:r>
    <w:r w:rsidR="006A1C95">
      <w:t xml:space="preserve">                                       </w:t>
    </w:r>
    <w:r w:rsidR="00793D84">
      <w:t xml:space="preserve"> 10</w:t>
    </w:r>
    <w:r w:rsidR="00F05BF0">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7993A" w14:textId="77777777" w:rsidR="00AB0B20" w:rsidRDefault="00AB0B20">
    <w:pPr>
      <w:pStyle w:val="Footer"/>
    </w:pPr>
    <w:r>
      <w:rPr>
        <w:noProof/>
      </w:rPr>
      <mc:AlternateContent>
        <mc:Choice Requires="wps">
          <w:drawing>
            <wp:anchor distT="0" distB="0" distL="0" distR="0" simplePos="0" relativeHeight="251644416" behindDoc="0" locked="0" layoutInCell="1" allowOverlap="1" wp14:anchorId="509162B2" wp14:editId="3F1444CB">
              <wp:simplePos x="635" y="635"/>
              <wp:positionH relativeFrom="page">
                <wp:align>center</wp:align>
              </wp:positionH>
              <wp:positionV relativeFrom="page">
                <wp:align>bottom</wp:align>
              </wp:positionV>
              <wp:extent cx="622300" cy="407035"/>
              <wp:effectExtent l="0" t="0" r="6350" b="0"/>
              <wp:wrapNone/>
              <wp:docPr id="4510535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67B4E023"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162B2" id="_x0000_t202" coordsize="21600,21600" o:spt="202" path="m,l,21600r21600,l21600,xe">
              <v:stroke joinstyle="miter"/>
              <v:path gradientshapeok="t" o:connecttype="rect"/>
            </v:shapetype>
            <v:shape id="_x0000_s1037" type="#_x0000_t202" alt="OFFICIAL" style="position:absolute;left:0;text-align:left;margin-left:0;margin-top:0;width:49pt;height:32.05pt;z-index:25164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" filled="f" stroked="f">
              <v:textbox style="mso-fit-shape-to-text:t" inset="0,0,0,15pt">
                <w:txbxContent>
                  <w:p w14:paraId="67B4E023"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F9CD" w14:textId="47D1B615" w:rsidR="005F121B" w:rsidRDefault="006A1C95" w:rsidP="00B66C61">
    <w:pPr>
      <w:pStyle w:val="Footer"/>
      <w:jc w:val="left"/>
    </w:pPr>
    <w:r w:rsidRPr="006A1C95">
      <w:t xml:space="preserve">Monitoring </w:t>
    </w:r>
    <w:r w:rsidR="00F11495">
      <w:t>evaluation and learning f</w:t>
    </w:r>
    <w:r w:rsidRPr="006A1C95">
      <w:t>ramework for the National Immunisation Strategy for Australia 2025-2030</w:t>
    </w:r>
    <w:r w:rsidR="00B66C61">
      <w:tab/>
    </w:r>
    <w:sdt>
      <w:sdtPr>
        <w:id w:val="-836923491"/>
        <w:docPartObj>
          <w:docPartGallery w:val="Page Numbers (Bottom of Page)"/>
          <w:docPartUnique/>
        </w:docPartObj>
      </w:sdtPr>
      <w:sdtContent>
        <w:r w:rsidR="005F121B">
          <w:fldChar w:fldCharType="begin"/>
        </w:r>
        <w:r w:rsidR="005F121B">
          <w:instrText>PAGE   \* MERGEFORMAT</w:instrText>
        </w:r>
        <w:r w:rsidR="005F121B">
          <w:fldChar w:fldCharType="separate"/>
        </w:r>
        <w:r w:rsidR="005F121B">
          <w:rPr>
            <w:lang w:val="en-GB"/>
          </w:rPr>
          <w:t>2</w:t>
        </w:r>
        <w:r w:rsidR="005F121B">
          <w:fldChar w:fldCharType="end"/>
        </w:r>
      </w:sdtContent>
    </w:sdt>
  </w:p>
  <w:p w14:paraId="60A15153" w14:textId="4E4FEF9B" w:rsidR="00AB0B20" w:rsidRDefault="00AB0B20" w:rsidP="006C746E">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05173" w14:textId="77777777" w:rsidR="007A370E" w:rsidRPr="00E517B5" w:rsidRDefault="007A370E" w:rsidP="00E517B5">
      <w:pPr>
        <w:pStyle w:val="Footer"/>
        <w:jc w:val="left"/>
      </w:pPr>
    </w:p>
  </w:footnote>
  <w:footnote w:type="continuationSeparator" w:id="0">
    <w:p w14:paraId="68416959" w14:textId="77777777" w:rsidR="007A370E" w:rsidRDefault="007A370E" w:rsidP="00934368">
      <w:r>
        <w:continuationSeparator/>
      </w:r>
    </w:p>
    <w:p w14:paraId="30736296" w14:textId="77777777" w:rsidR="007A370E" w:rsidRDefault="007A370E" w:rsidP="00934368"/>
  </w:footnote>
  <w:footnote w:type="continuationNotice" w:id="1">
    <w:p w14:paraId="0953F2DA" w14:textId="77777777" w:rsidR="007A370E" w:rsidRDefault="007A370E" w:rsidP="00934368"/>
  </w:footnote>
  <w:footnote w:id="2">
    <w:p w14:paraId="5A577124" w14:textId="37505041" w:rsidR="000146AF" w:rsidRDefault="000146AF">
      <w:pPr>
        <w:pStyle w:val="FootnoteText"/>
      </w:pPr>
      <w:r>
        <w:rPr>
          <w:rStyle w:val="FootnoteReference"/>
        </w:rPr>
        <w:footnoteRef/>
      </w:r>
      <w:r>
        <w:t xml:space="preserve"> </w:t>
      </w:r>
      <w:r w:rsidR="0012693F" w:rsidRPr="00326484">
        <w:rPr>
          <w:sz w:val="16"/>
          <w:szCs w:val="16"/>
        </w:rPr>
        <w:t xml:space="preserve">Jurisdictions refers to Commonwealth and all </w:t>
      </w:r>
      <w:r w:rsidR="00BE4748">
        <w:rPr>
          <w:sz w:val="16"/>
          <w:szCs w:val="16"/>
        </w:rPr>
        <w:t>s</w:t>
      </w:r>
      <w:r w:rsidR="00BE4748" w:rsidRPr="00326484">
        <w:rPr>
          <w:sz w:val="16"/>
          <w:szCs w:val="16"/>
        </w:rPr>
        <w:t>tate</w:t>
      </w:r>
      <w:r w:rsidR="00BE4748">
        <w:rPr>
          <w:sz w:val="16"/>
          <w:szCs w:val="16"/>
        </w:rPr>
        <w:t>s</w:t>
      </w:r>
      <w:r w:rsidR="00BE4748" w:rsidRPr="00326484">
        <w:rPr>
          <w:sz w:val="16"/>
          <w:szCs w:val="16"/>
        </w:rPr>
        <w:t xml:space="preserve"> </w:t>
      </w:r>
      <w:r w:rsidR="0012693F" w:rsidRPr="00326484">
        <w:rPr>
          <w:sz w:val="16"/>
          <w:szCs w:val="16"/>
        </w:rPr>
        <w:t xml:space="preserve">and </w:t>
      </w:r>
      <w:r w:rsidR="00BE4748">
        <w:rPr>
          <w:sz w:val="16"/>
          <w:szCs w:val="16"/>
        </w:rPr>
        <w:t>t</w:t>
      </w:r>
      <w:r w:rsidR="00BE4748" w:rsidRPr="00326484">
        <w:rPr>
          <w:sz w:val="16"/>
          <w:szCs w:val="16"/>
        </w:rPr>
        <w:t>erritories</w:t>
      </w:r>
    </w:p>
  </w:footnote>
  <w:footnote w:id="3">
    <w:p w14:paraId="33A2CB4F" w14:textId="3283455A" w:rsidR="008748E3" w:rsidRDefault="008748E3" w:rsidP="008748E3">
      <w:pPr>
        <w:pStyle w:val="FootnoteText"/>
        <w:rPr>
          <w:sz w:val="16"/>
          <w:szCs w:val="16"/>
        </w:rPr>
      </w:pPr>
      <w:r>
        <w:rPr>
          <w:rStyle w:val="FootnoteReference"/>
        </w:rPr>
        <w:footnoteRef/>
      </w:r>
      <w:r>
        <w:t xml:space="preserve"> </w:t>
      </w:r>
      <w:r>
        <w:rPr>
          <w:sz w:val="16"/>
          <w:szCs w:val="16"/>
        </w:rPr>
        <w:t xml:space="preserve">Jurisdictions include Commonwealth and all </w:t>
      </w:r>
      <w:r w:rsidR="00826312">
        <w:rPr>
          <w:sz w:val="16"/>
          <w:szCs w:val="16"/>
        </w:rPr>
        <w:t xml:space="preserve">states </w:t>
      </w:r>
      <w:r>
        <w:rPr>
          <w:sz w:val="16"/>
          <w:szCs w:val="16"/>
        </w:rPr>
        <w:t xml:space="preserve">and </w:t>
      </w:r>
      <w:r w:rsidR="00826312">
        <w:rPr>
          <w:sz w:val="16"/>
          <w:szCs w:val="16"/>
        </w:rPr>
        <w:t>territories</w:t>
      </w:r>
      <w:r>
        <w:rPr>
          <w:sz w:val="16"/>
          <w:szCs w:val="16"/>
        </w:rPr>
        <w:t>.</w:t>
      </w:r>
    </w:p>
    <w:p w14:paraId="67824BD0" w14:textId="77777777" w:rsidR="00F93438" w:rsidRDefault="00F93438" w:rsidP="008748E3">
      <w:pPr>
        <w:pStyle w:val="FootnoteText"/>
        <w:rPr>
          <w:sz w:val="16"/>
          <w:szCs w:val="16"/>
        </w:rPr>
      </w:pPr>
    </w:p>
    <w:p w14:paraId="6A9B169E" w14:textId="77777777" w:rsidR="00FA659C" w:rsidRPr="002634BE" w:rsidRDefault="00FA659C" w:rsidP="008748E3">
      <w:pPr>
        <w:pStyle w:val="FootnoteText"/>
        <w:rPr>
          <w:sz w:val="16"/>
          <w:szCs w:val="16"/>
          <w:lang w:val="en-US"/>
        </w:rPr>
      </w:pPr>
    </w:p>
  </w:footnote>
  <w:footnote w:id="4">
    <w:p w14:paraId="075E66ED" w14:textId="77777777" w:rsidR="008748E3" w:rsidRPr="00B7676B" w:rsidRDefault="008748E3" w:rsidP="008748E3">
      <w:pPr>
        <w:pStyle w:val="FootnoteText"/>
        <w:rPr>
          <w:sz w:val="16"/>
          <w:szCs w:val="16"/>
        </w:rPr>
      </w:pPr>
      <w:r>
        <w:rPr>
          <w:rStyle w:val="FootnoteReference"/>
        </w:rPr>
        <w:footnoteRef/>
      </w:r>
      <w:r>
        <w:t xml:space="preserve"> </w:t>
      </w:r>
      <w:r w:rsidRPr="00B7676B">
        <w:rPr>
          <w:sz w:val="16"/>
          <w:szCs w:val="16"/>
        </w:rPr>
        <w:t>Additional measures for other priority populations will be considered for future iterations of the Evaluation</w:t>
      </w:r>
      <w:r>
        <w:rPr>
          <w:sz w:val="16"/>
          <w:szCs w:val="16"/>
        </w:rPr>
        <w:t xml:space="preserve"> Data</w:t>
      </w:r>
      <w:r w:rsidRPr="00B7676B">
        <w:rPr>
          <w:sz w:val="16"/>
          <w:szCs w:val="16"/>
        </w:rPr>
        <w:t xml:space="preserve"> Matrix</w:t>
      </w:r>
      <w:r>
        <w:rPr>
          <w:sz w:val="16"/>
          <w:szCs w:val="16"/>
        </w:rPr>
        <w:t>,</w:t>
      </w:r>
      <w:r w:rsidRPr="00B7676B">
        <w:rPr>
          <w:sz w:val="16"/>
          <w:szCs w:val="16"/>
        </w:rPr>
        <w:t xml:space="preserve"> subject to</w:t>
      </w:r>
      <w:r>
        <w:rPr>
          <w:sz w:val="16"/>
          <w:szCs w:val="16"/>
        </w:rPr>
        <w:t xml:space="preserve"> data</w:t>
      </w:r>
      <w:r w:rsidRPr="00B7676B">
        <w:rPr>
          <w:sz w:val="16"/>
          <w:szCs w:val="16"/>
        </w:rPr>
        <w:t xml:space="preserve"> availability</w:t>
      </w:r>
      <w:r w:rsidRPr="00E940A4">
        <w:rPr>
          <w:sz w:val="16"/>
          <w:szCs w:val="16"/>
        </w:rPr>
        <w:t xml:space="preserve"> </w:t>
      </w:r>
      <w:r>
        <w:rPr>
          <w:sz w:val="16"/>
          <w:szCs w:val="16"/>
        </w:rPr>
        <w:t>relevant to</w:t>
      </w:r>
      <w:r w:rsidRPr="00B7676B">
        <w:rPr>
          <w:sz w:val="16"/>
          <w:szCs w:val="16"/>
        </w:rPr>
        <w:t xml:space="preserve"> priority populations in the NIS 2025-30.</w:t>
      </w:r>
    </w:p>
  </w:footnote>
  <w:footnote w:id="5">
    <w:p w14:paraId="4B9F41AD" w14:textId="77777777" w:rsidR="008748E3" w:rsidRPr="00315C6C" w:rsidRDefault="008748E3" w:rsidP="008748E3">
      <w:pPr>
        <w:pStyle w:val="FootnoteText"/>
        <w:rPr>
          <w:sz w:val="16"/>
          <w:szCs w:val="16"/>
          <w:lang w:val="en-US"/>
        </w:rPr>
      </w:pPr>
      <w:r>
        <w:rPr>
          <w:rStyle w:val="FootnoteReference"/>
        </w:rPr>
        <w:footnoteRef/>
      </w:r>
      <w:r>
        <w:t xml:space="preserve"> </w:t>
      </w:r>
      <w:r>
        <w:rPr>
          <w:sz w:val="16"/>
          <w:szCs w:val="16"/>
        </w:rPr>
        <w:t>Measured using year-on-year percentage point change in coverage.</w:t>
      </w:r>
    </w:p>
  </w:footnote>
  <w:footnote w:id="6">
    <w:p w14:paraId="37A770CD" w14:textId="10278F05" w:rsidR="008748E3" w:rsidRPr="00B7676B" w:rsidRDefault="00CE2094" w:rsidP="008748E3">
      <w:pPr>
        <w:pStyle w:val="FootnoteText"/>
        <w:rPr>
          <w:sz w:val="16"/>
          <w:szCs w:val="16"/>
        </w:rPr>
      </w:pPr>
      <w:r>
        <w:rPr>
          <w:rStyle w:val="FootnoteReference"/>
        </w:rPr>
        <w:footnoteRef/>
      </w:r>
      <w:r w:rsidR="00A75100">
        <w:rPr>
          <w:sz w:val="16"/>
          <w:szCs w:val="16"/>
        </w:rPr>
        <w:t>To be determined.</w:t>
      </w:r>
    </w:p>
  </w:footnote>
  <w:footnote w:id="7">
    <w:p w14:paraId="6C3F32BC" w14:textId="0F14372E" w:rsidR="005F2DC5" w:rsidRDefault="005F2D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1BA9C" w14:textId="427F6042" w:rsidR="006D40E5" w:rsidRDefault="006D40E5">
    <w:pPr>
      <w:pStyle w:val="Header"/>
    </w:pPr>
    <w:r>
      <w:rPr>
        <w:noProof/>
      </w:rPr>
      <mc:AlternateContent>
        <mc:Choice Requires="wps">
          <w:drawing>
            <wp:anchor distT="0" distB="0" distL="0" distR="0" simplePos="0" relativeHeight="251652096" behindDoc="0" locked="0" layoutInCell="1" allowOverlap="1" wp14:anchorId="1E15F435" wp14:editId="489A2A3D">
              <wp:simplePos x="635" y="635"/>
              <wp:positionH relativeFrom="page">
                <wp:align>center</wp:align>
              </wp:positionH>
              <wp:positionV relativeFrom="page">
                <wp:align>top</wp:align>
              </wp:positionV>
              <wp:extent cx="622300" cy="480695"/>
              <wp:effectExtent l="0" t="0" r="0" b="1905"/>
              <wp:wrapNone/>
              <wp:docPr id="1302321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27C05B6"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5F435"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527C05B6"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B3962" w14:textId="1656A1E3" w:rsidR="00AB0B20" w:rsidRDefault="00AB0B20">
    <w:pPr>
      <w:pStyle w:val="Header"/>
    </w:pPr>
    <w:r>
      <w:rPr>
        <w:noProof/>
      </w:rPr>
      <mc:AlternateContent>
        <mc:Choice Requires="wps">
          <w:drawing>
            <wp:anchor distT="0" distB="0" distL="0" distR="0" simplePos="0" relativeHeight="251646464" behindDoc="0" locked="0" layoutInCell="1" allowOverlap="1" wp14:anchorId="0F8ACC6B" wp14:editId="5DCDD6A3">
              <wp:simplePos x="635" y="635"/>
              <wp:positionH relativeFrom="page">
                <wp:align>center</wp:align>
              </wp:positionH>
              <wp:positionV relativeFrom="page">
                <wp:align>top</wp:align>
              </wp:positionV>
              <wp:extent cx="622300" cy="407035"/>
              <wp:effectExtent l="0" t="0" r="6350" b="12065"/>
              <wp:wrapNone/>
              <wp:docPr id="19853635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40AD9BB5"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CC6B" id="_x0000_t202" coordsize="21600,21600" o:spt="202" path="m,l,21600r21600,l21600,xe">
              <v:stroke joinstyle="miter"/>
              <v:path gradientshapeok="t" o:connecttype="rect"/>
            </v:shapetype>
            <v:shape id="_x0000_s1036" type="#_x0000_t202" alt="OFFICIAL" style="position:absolute;margin-left:0;margin-top:0;width:49pt;height:32.05pt;z-index:25164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" filled="f" stroked="f">
              <v:textbox style="mso-fit-shape-to-text:t" inset="0,15pt,0,0">
                <w:txbxContent>
                  <w:p w14:paraId="40AD9BB5"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B2A1" w14:textId="148D414F" w:rsidR="00AB0B20" w:rsidRDefault="00AB0B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19A8" w14:textId="34DCD14F" w:rsidR="00AB0B20" w:rsidRDefault="00AB0B20">
    <w:pPr>
      <w:pStyle w:val="Header"/>
    </w:pPr>
    <w:r>
      <w:rPr>
        <w:noProof/>
      </w:rPr>
      <mc:AlternateContent>
        <mc:Choice Requires="wps">
          <w:drawing>
            <wp:anchor distT="0" distB="0" distL="0" distR="0" simplePos="0" relativeHeight="251645440" behindDoc="0" locked="0" layoutInCell="1" allowOverlap="1" wp14:anchorId="2E9AC72D" wp14:editId="1D0ED9FF">
              <wp:simplePos x="914400" y="461913"/>
              <wp:positionH relativeFrom="page">
                <wp:align>center</wp:align>
              </wp:positionH>
              <wp:positionV relativeFrom="page">
                <wp:align>top</wp:align>
              </wp:positionV>
              <wp:extent cx="622300" cy="407035"/>
              <wp:effectExtent l="0" t="0" r="6350" b="12065"/>
              <wp:wrapNone/>
              <wp:docPr id="76920283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224C60AA"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AC72D" id="_x0000_t202" coordsize="21600,21600" o:spt="202" path="m,l,21600r21600,l21600,xe">
              <v:stroke joinstyle="miter"/>
              <v:path gradientshapeok="t" o:connecttype="rect"/>
            </v:shapetype>
            <v:shape id="_x0000_s1038" type="#_x0000_t202" alt="OFFICIAL" style="position:absolute;margin-left:0;margin-top:0;width:49pt;height:32.05pt;z-index:25164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" filled="f" stroked="f">
              <v:textbox style="mso-fit-shape-to-text:t" inset="0,15pt,0,0">
                <w:txbxContent>
                  <w:p w14:paraId="224C60AA" w14:textId="77777777" w:rsidR="00AB0B20" w:rsidRPr="00607528" w:rsidRDefault="00AB0B20"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B76F" w14:textId="6DAE1F2E" w:rsidR="004E59A8" w:rsidRDefault="004E59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0DA4" w14:textId="4BEF196A" w:rsidR="008E0C77" w:rsidRPr="00561A58" w:rsidRDefault="008E0C77" w:rsidP="00561A5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96D8" w14:textId="2C344E57" w:rsidR="004E59A8" w:rsidRDefault="004E5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CB52" w14:textId="2B9C9E57" w:rsidR="006D40E5" w:rsidRDefault="006D40E5">
    <w:pPr>
      <w:pStyle w:val="Header"/>
    </w:pPr>
    <w:r>
      <w:rPr>
        <w:noProof/>
      </w:rPr>
      <mc:AlternateContent>
        <mc:Choice Requires="wps">
          <w:drawing>
            <wp:anchor distT="0" distB="0" distL="0" distR="0" simplePos="0" relativeHeight="251654144" behindDoc="0" locked="0" layoutInCell="1" allowOverlap="1" wp14:anchorId="64BCA472" wp14:editId="5DB6F293">
              <wp:simplePos x="635" y="635"/>
              <wp:positionH relativeFrom="page">
                <wp:align>center</wp:align>
              </wp:positionH>
              <wp:positionV relativeFrom="page">
                <wp:align>top</wp:align>
              </wp:positionV>
              <wp:extent cx="622300" cy="480695"/>
              <wp:effectExtent l="0" t="0" r="0" b="1905"/>
              <wp:wrapNone/>
              <wp:docPr id="28749620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E8733E"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CA472" id="_x0000_t202" coordsize="21600,21600" o:spt="202" path="m,l,21600r21600,l21600,xe">
              <v:stroke joinstyle="miter"/>
              <v:path gradientshapeok="t" o:connecttype="rect"/>
            </v:shapetype>
            <v:shape id="Text Box 3" o:spid="_x0000_s1027" type="#_x0000_t202" alt="OFFICIAL" style="position:absolute;margin-left:0;margin-top:0;width:49pt;height:37.8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BE8733E" w14:textId="77777777" w:rsidR="006D40E5" w:rsidRPr="006D40E5" w:rsidRDefault="006D40E5" w:rsidP="006D40E5">
                    <w:pPr>
                      <w:spacing w:after="0"/>
                      <w:rPr>
                        <w:rFonts w:ascii="Aptos" w:eastAsia="Aptos" w:hAnsi="Aptos" w:cs="Aptos"/>
                        <w:noProof/>
                        <w:color w:val="FF0000"/>
                        <w:sz w:val="24"/>
                      </w:rPr>
                    </w:pPr>
                    <w:r w:rsidRPr="006D40E5">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4546" w14:textId="77777777" w:rsidR="00544DB5" w:rsidRDefault="00544DB5" w:rsidP="00934368">
    <w:pPr>
      <w:pStyle w:val="Header"/>
      <w:rPr>
        <w:noProof/>
        <w:lang w:eastAsia="en-AU"/>
      </w:rPr>
    </w:pPr>
  </w:p>
  <w:p w14:paraId="2D93CCD7" w14:textId="5715CC7A" w:rsidR="00751A23" w:rsidRDefault="00751A23" w:rsidP="00934368">
    <w:pPr>
      <w:pStyle w:val="Header"/>
    </w:pPr>
    <w:r>
      <w:rPr>
        <w:noProof/>
        <w:lang w:eastAsia="en-AU"/>
      </w:rPr>
      <w:drawing>
        <wp:anchor distT="0" distB="0" distL="114300" distR="114300" simplePos="0" relativeHeight="251650048" behindDoc="1" locked="1" layoutInCell="1" allowOverlap="1" wp14:anchorId="1A81B3AD" wp14:editId="621AD92E">
          <wp:simplePos x="0" y="0"/>
          <wp:positionH relativeFrom="page">
            <wp:posOffset>-2540</wp:posOffset>
          </wp:positionH>
          <wp:positionV relativeFrom="page">
            <wp:posOffset>0</wp:posOffset>
          </wp:positionV>
          <wp:extent cx="7560000" cy="10728225"/>
          <wp:effectExtent l="0" t="0" r="0" b="3810"/>
          <wp:wrapNone/>
          <wp:docPr id="930075303" name="Picture 930075303" descr="Australian Centre for Dies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entre for Dies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728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5D94" w14:textId="0C2BA836" w:rsidR="00E000B1" w:rsidRDefault="00E000B1">
    <w:pPr>
      <w:pStyle w:val="Header"/>
    </w:pPr>
    <w:r>
      <w:rPr>
        <w:noProof/>
      </w:rPr>
      <mc:AlternateContent>
        <mc:Choice Requires="wps">
          <w:drawing>
            <wp:anchor distT="0" distB="0" distL="0" distR="0" simplePos="0" relativeHeight="251650560" behindDoc="0" locked="0" layoutInCell="1" allowOverlap="1" wp14:anchorId="30738404" wp14:editId="4F4ED121">
              <wp:simplePos x="635" y="635"/>
              <wp:positionH relativeFrom="page">
                <wp:align>center</wp:align>
              </wp:positionH>
              <wp:positionV relativeFrom="page">
                <wp:align>top</wp:align>
              </wp:positionV>
              <wp:extent cx="622300" cy="407035"/>
              <wp:effectExtent l="0" t="0" r="6350" b="12065"/>
              <wp:wrapNone/>
              <wp:docPr id="12007752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77A68F8A"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38404" id="_x0000_t202" coordsize="21600,21600" o:spt="202" path="m,l,21600r21600,l21600,xe">
              <v:stroke joinstyle="miter"/>
              <v:path gradientshapeok="t" o:connecttype="rect"/>
            </v:shapetype>
            <v:shape id="_x0000_s1030" type="#_x0000_t202" alt="OFFICIAL" style="position:absolute;margin-left:0;margin-top:0;width:49pt;height:32.05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" filled="f" stroked="f">
              <v:textbox style="mso-fit-shape-to-text:t" inset="0,15pt,0,0">
                <w:txbxContent>
                  <w:p w14:paraId="77A68F8A"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6FA8" w14:textId="01E0CA1B" w:rsidR="004E59A8" w:rsidRDefault="004E59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4FC9" w14:textId="32734BB2" w:rsidR="00E000B1" w:rsidRDefault="00E000B1">
    <w:pPr>
      <w:pStyle w:val="Header"/>
    </w:pPr>
    <w:r>
      <w:rPr>
        <w:noProof/>
      </w:rPr>
      <mc:AlternateContent>
        <mc:Choice Requires="wps">
          <w:drawing>
            <wp:anchor distT="0" distB="0" distL="0" distR="0" simplePos="0" relativeHeight="251665920" behindDoc="0" locked="0" layoutInCell="1" allowOverlap="1" wp14:anchorId="4D99B5BA" wp14:editId="24EE364D">
              <wp:simplePos x="914400" y="461913"/>
              <wp:positionH relativeFrom="page">
                <wp:align>center</wp:align>
              </wp:positionH>
              <wp:positionV relativeFrom="page">
                <wp:align>top</wp:align>
              </wp:positionV>
              <wp:extent cx="622300" cy="407035"/>
              <wp:effectExtent l="0" t="0" r="6350" b="12065"/>
              <wp:wrapNone/>
              <wp:docPr id="17204060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7035"/>
                      </a:xfrm>
                      <a:prstGeom prst="rect">
                        <a:avLst/>
                      </a:prstGeom>
                      <a:noFill/>
                      <a:ln>
                        <a:noFill/>
                      </a:ln>
                    </wps:spPr>
                    <wps:txbx>
                      <w:txbxContent>
                        <w:p w14:paraId="78A6C797"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99B5BA" id="_x0000_t202" coordsize="21600,21600" o:spt="202" path="m,l,21600r21600,l21600,xe">
              <v:stroke joinstyle="miter"/>
              <v:path gradientshapeok="t" o:connecttype="rect"/>
            </v:shapetype>
            <v:shape id="Text Box 1" o:spid="_x0000_s1033" type="#_x0000_t202" alt="OFFICIAL" style="position:absolute;margin-left:0;margin-top:0;width:49pt;height:32.0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" filled="f" stroked="f">
              <v:textbox style="mso-fit-shape-to-text:t" inset="0,15pt,0,0">
                <w:txbxContent>
                  <w:p w14:paraId="78A6C797" w14:textId="77777777" w:rsidR="00E000B1" w:rsidRPr="00607528" w:rsidRDefault="00E000B1" w:rsidP="00607528">
                    <w:pPr>
                      <w:spacing w:after="0"/>
                      <w:rPr>
                        <w:rFonts w:ascii="Aptos" w:eastAsia="Aptos" w:hAnsi="Aptos" w:cs="Aptos"/>
                        <w:noProof/>
                        <w:color w:val="FF0000"/>
                      </w:rPr>
                    </w:pPr>
                    <w:r w:rsidRPr="00607528">
                      <w:rPr>
                        <w:rFonts w:ascii="Aptos" w:eastAsia="Aptos" w:hAnsi="Aptos" w:cs="Aptos"/>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06361" w14:textId="77777777" w:rsidR="0064631D" w:rsidRDefault="00646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004B" w14:textId="77777777" w:rsidR="0064631D" w:rsidRDefault="00646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0CB5" w14:textId="77777777" w:rsidR="0064631D" w:rsidRDefault="00646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C8E0F08"/>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C75C1"/>
    <w:multiLevelType w:val="hybridMultilevel"/>
    <w:tmpl w:val="D7E899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1366899"/>
    <w:multiLevelType w:val="hybridMultilevel"/>
    <w:tmpl w:val="54409F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971C4"/>
    <w:multiLevelType w:val="hybridMultilevel"/>
    <w:tmpl w:val="FE6ACD7A"/>
    <w:lvl w:ilvl="0" w:tplc="71BEF692">
      <w:start w:val="1"/>
      <w:numFmt w:val="bullet"/>
      <w:lvlText w:val=""/>
      <w:lvlJc w:val="left"/>
      <w:pPr>
        <w:ind w:left="720" w:hanging="360"/>
      </w:pPr>
      <w:rPr>
        <w:rFonts w:ascii="Symbol" w:hAnsi="Symbol" w:hint="default"/>
      </w:rPr>
    </w:lvl>
    <w:lvl w:ilvl="1" w:tplc="DFB84C02">
      <w:start w:val="1"/>
      <w:numFmt w:val="bullet"/>
      <w:lvlText w:val="o"/>
      <w:lvlJc w:val="left"/>
      <w:pPr>
        <w:ind w:left="1440" w:hanging="360"/>
      </w:pPr>
      <w:rPr>
        <w:rFonts w:ascii="Courier New" w:hAnsi="Courier New" w:hint="default"/>
      </w:rPr>
    </w:lvl>
    <w:lvl w:ilvl="2" w:tplc="41ACC4DA">
      <w:start w:val="1"/>
      <w:numFmt w:val="bullet"/>
      <w:lvlText w:val=""/>
      <w:lvlJc w:val="left"/>
      <w:pPr>
        <w:ind w:left="2160" w:hanging="360"/>
      </w:pPr>
      <w:rPr>
        <w:rFonts w:ascii="Wingdings" w:hAnsi="Wingdings" w:hint="default"/>
      </w:rPr>
    </w:lvl>
    <w:lvl w:ilvl="3" w:tplc="84900534">
      <w:start w:val="1"/>
      <w:numFmt w:val="bullet"/>
      <w:lvlText w:val=""/>
      <w:lvlJc w:val="left"/>
      <w:pPr>
        <w:ind w:left="2880" w:hanging="360"/>
      </w:pPr>
      <w:rPr>
        <w:rFonts w:ascii="Symbol" w:hAnsi="Symbol" w:hint="default"/>
      </w:rPr>
    </w:lvl>
    <w:lvl w:ilvl="4" w:tplc="16A8A9FA">
      <w:start w:val="1"/>
      <w:numFmt w:val="bullet"/>
      <w:lvlText w:val="o"/>
      <w:lvlJc w:val="left"/>
      <w:pPr>
        <w:ind w:left="3600" w:hanging="360"/>
      </w:pPr>
      <w:rPr>
        <w:rFonts w:ascii="Courier New" w:hAnsi="Courier New" w:hint="default"/>
      </w:rPr>
    </w:lvl>
    <w:lvl w:ilvl="5" w:tplc="81423B90">
      <w:start w:val="1"/>
      <w:numFmt w:val="bullet"/>
      <w:lvlText w:val=""/>
      <w:lvlJc w:val="left"/>
      <w:pPr>
        <w:ind w:left="4320" w:hanging="360"/>
      </w:pPr>
      <w:rPr>
        <w:rFonts w:ascii="Wingdings" w:hAnsi="Wingdings" w:hint="default"/>
      </w:rPr>
    </w:lvl>
    <w:lvl w:ilvl="6" w:tplc="93D24F3E">
      <w:start w:val="1"/>
      <w:numFmt w:val="bullet"/>
      <w:lvlText w:val=""/>
      <w:lvlJc w:val="left"/>
      <w:pPr>
        <w:ind w:left="5040" w:hanging="360"/>
      </w:pPr>
      <w:rPr>
        <w:rFonts w:ascii="Symbol" w:hAnsi="Symbol" w:hint="default"/>
      </w:rPr>
    </w:lvl>
    <w:lvl w:ilvl="7" w:tplc="7DEE9222">
      <w:start w:val="1"/>
      <w:numFmt w:val="bullet"/>
      <w:lvlText w:val="o"/>
      <w:lvlJc w:val="left"/>
      <w:pPr>
        <w:ind w:left="5760" w:hanging="360"/>
      </w:pPr>
      <w:rPr>
        <w:rFonts w:ascii="Courier New" w:hAnsi="Courier New" w:hint="default"/>
      </w:rPr>
    </w:lvl>
    <w:lvl w:ilvl="8" w:tplc="8B6086F6">
      <w:start w:val="1"/>
      <w:numFmt w:val="bullet"/>
      <w:lvlText w:val=""/>
      <w:lvlJc w:val="left"/>
      <w:pPr>
        <w:ind w:left="6480" w:hanging="360"/>
      </w:pPr>
      <w:rPr>
        <w:rFonts w:ascii="Wingdings" w:hAnsi="Wingdings" w:hint="default"/>
      </w:rPr>
    </w:lvl>
  </w:abstractNum>
  <w:abstractNum w:abstractNumId="6"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41E386A"/>
    <w:multiLevelType w:val="hybridMultilevel"/>
    <w:tmpl w:val="523AF22A"/>
    <w:lvl w:ilvl="0" w:tplc="E1C023D4">
      <w:start w:val="1"/>
      <w:numFmt w:val="decimal"/>
      <w:lvlText w:val="%1."/>
      <w:lvlJc w:val="left"/>
      <w:pPr>
        <w:ind w:left="502" w:hanging="360"/>
      </w:pPr>
      <w:rPr>
        <w:rFonts w:hint="default"/>
        <w:b w:val="0"/>
        <w:bCs w:val="0"/>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8135F45"/>
    <w:multiLevelType w:val="hybridMultilevel"/>
    <w:tmpl w:val="A182645C"/>
    <w:lvl w:ilvl="0" w:tplc="34E2305A">
      <w:start w:val="1"/>
      <w:numFmt w:val="decimal"/>
      <w:lvlText w:val="%1."/>
      <w:lvlJc w:val="left"/>
      <w:pPr>
        <w:ind w:left="360" w:hanging="360"/>
      </w:pPr>
      <w:rPr>
        <w:rFonts w:ascii="Arial" w:hAnsi="Arial" w:cs="Arial" w:hint="default"/>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4"/>
  </w:num>
  <w:num w:numId="2" w16cid:durableId="28997209">
    <w:abstractNumId w:val="6"/>
  </w:num>
  <w:num w:numId="3" w16cid:durableId="1504319644">
    <w:abstractNumId w:val="11"/>
  </w:num>
  <w:num w:numId="4" w16cid:durableId="1823959635">
    <w:abstractNumId w:val="7"/>
  </w:num>
  <w:num w:numId="5" w16cid:durableId="1449813617">
    <w:abstractNumId w:val="10"/>
  </w:num>
  <w:num w:numId="6" w16cid:durableId="1444181194">
    <w:abstractNumId w:val="1"/>
  </w:num>
  <w:num w:numId="7" w16cid:durableId="621036272">
    <w:abstractNumId w:val="3"/>
  </w:num>
  <w:num w:numId="8" w16cid:durableId="494415989">
    <w:abstractNumId w:val="2"/>
  </w:num>
  <w:num w:numId="9" w16cid:durableId="65734572">
    <w:abstractNumId w:val="5"/>
  </w:num>
  <w:num w:numId="10" w16cid:durableId="331639694">
    <w:abstractNumId w:val="8"/>
  </w:num>
  <w:num w:numId="11" w16cid:durableId="2085909967">
    <w:abstractNumId w:val="9"/>
  </w:num>
  <w:num w:numId="12" w16cid:durableId="7290106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7"/>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35"/>
    <w:rsid w:val="00000250"/>
    <w:rsid w:val="00001F41"/>
    <w:rsid w:val="0000206A"/>
    <w:rsid w:val="00003743"/>
    <w:rsid w:val="000047B4"/>
    <w:rsid w:val="00005712"/>
    <w:rsid w:val="00007FD8"/>
    <w:rsid w:val="000117F8"/>
    <w:rsid w:val="000146AF"/>
    <w:rsid w:val="00014DDC"/>
    <w:rsid w:val="00016D2F"/>
    <w:rsid w:val="000232E6"/>
    <w:rsid w:val="00026139"/>
    <w:rsid w:val="00027071"/>
    <w:rsid w:val="00027601"/>
    <w:rsid w:val="0002772F"/>
    <w:rsid w:val="000302B4"/>
    <w:rsid w:val="00033321"/>
    <w:rsid w:val="000338E5"/>
    <w:rsid w:val="000339CF"/>
    <w:rsid w:val="00033ECC"/>
    <w:rsid w:val="0003422F"/>
    <w:rsid w:val="00040157"/>
    <w:rsid w:val="0004146D"/>
    <w:rsid w:val="00042A81"/>
    <w:rsid w:val="00044C07"/>
    <w:rsid w:val="00046324"/>
    <w:rsid w:val="00046D18"/>
    <w:rsid w:val="00046FF0"/>
    <w:rsid w:val="00050176"/>
    <w:rsid w:val="00052EFB"/>
    <w:rsid w:val="00062B65"/>
    <w:rsid w:val="00067456"/>
    <w:rsid w:val="00071506"/>
    <w:rsid w:val="0007154F"/>
    <w:rsid w:val="00073016"/>
    <w:rsid w:val="000747FE"/>
    <w:rsid w:val="0008031F"/>
    <w:rsid w:val="00080720"/>
    <w:rsid w:val="00081AB1"/>
    <w:rsid w:val="00081BDA"/>
    <w:rsid w:val="00084716"/>
    <w:rsid w:val="000849E2"/>
    <w:rsid w:val="00086D73"/>
    <w:rsid w:val="00087353"/>
    <w:rsid w:val="00090316"/>
    <w:rsid w:val="000905F5"/>
    <w:rsid w:val="00091691"/>
    <w:rsid w:val="00093165"/>
    <w:rsid w:val="00093981"/>
    <w:rsid w:val="00093CD9"/>
    <w:rsid w:val="00095A02"/>
    <w:rsid w:val="000977C1"/>
    <w:rsid w:val="000B067A"/>
    <w:rsid w:val="000B1540"/>
    <w:rsid w:val="000B33FD"/>
    <w:rsid w:val="000B42E3"/>
    <w:rsid w:val="000B4ABA"/>
    <w:rsid w:val="000C01B8"/>
    <w:rsid w:val="000C212B"/>
    <w:rsid w:val="000C2250"/>
    <w:rsid w:val="000C4B16"/>
    <w:rsid w:val="000C50C3"/>
    <w:rsid w:val="000C59B1"/>
    <w:rsid w:val="000D21F6"/>
    <w:rsid w:val="000D42C3"/>
    <w:rsid w:val="000D4500"/>
    <w:rsid w:val="000D7AEA"/>
    <w:rsid w:val="000E01A9"/>
    <w:rsid w:val="000E2C66"/>
    <w:rsid w:val="000E4BB6"/>
    <w:rsid w:val="000E6E7D"/>
    <w:rsid w:val="000F123C"/>
    <w:rsid w:val="000F26E8"/>
    <w:rsid w:val="000F2FED"/>
    <w:rsid w:val="00101DD0"/>
    <w:rsid w:val="00103688"/>
    <w:rsid w:val="0010616D"/>
    <w:rsid w:val="00110478"/>
    <w:rsid w:val="00112692"/>
    <w:rsid w:val="001143EC"/>
    <w:rsid w:val="00115302"/>
    <w:rsid w:val="00115D54"/>
    <w:rsid w:val="0011711B"/>
    <w:rsid w:val="00117F8A"/>
    <w:rsid w:val="001208B1"/>
    <w:rsid w:val="00121B9B"/>
    <w:rsid w:val="00122ADC"/>
    <w:rsid w:val="001237A7"/>
    <w:rsid w:val="00124ECC"/>
    <w:rsid w:val="0012693F"/>
    <w:rsid w:val="00130F59"/>
    <w:rsid w:val="00132897"/>
    <w:rsid w:val="0013320B"/>
    <w:rsid w:val="00133EC0"/>
    <w:rsid w:val="00141CE5"/>
    <w:rsid w:val="00142A4C"/>
    <w:rsid w:val="00144908"/>
    <w:rsid w:val="00144E32"/>
    <w:rsid w:val="00145170"/>
    <w:rsid w:val="00150E61"/>
    <w:rsid w:val="00150F29"/>
    <w:rsid w:val="00153EE6"/>
    <w:rsid w:val="00154DDA"/>
    <w:rsid w:val="001571C7"/>
    <w:rsid w:val="00157735"/>
    <w:rsid w:val="00161094"/>
    <w:rsid w:val="00162C43"/>
    <w:rsid w:val="001665B6"/>
    <w:rsid w:val="0017029B"/>
    <w:rsid w:val="00172A55"/>
    <w:rsid w:val="00172C81"/>
    <w:rsid w:val="00172E09"/>
    <w:rsid w:val="0017509F"/>
    <w:rsid w:val="001758CD"/>
    <w:rsid w:val="00176116"/>
    <w:rsid w:val="0017665C"/>
    <w:rsid w:val="00177AD2"/>
    <w:rsid w:val="00180825"/>
    <w:rsid w:val="001815A8"/>
    <w:rsid w:val="001835C8"/>
    <w:rsid w:val="00183DC5"/>
    <w:rsid w:val="001840FA"/>
    <w:rsid w:val="00185D01"/>
    <w:rsid w:val="00190079"/>
    <w:rsid w:val="001947FB"/>
    <w:rsid w:val="0019622E"/>
    <w:rsid w:val="001966A7"/>
    <w:rsid w:val="001A2AEE"/>
    <w:rsid w:val="001A4627"/>
    <w:rsid w:val="001A4979"/>
    <w:rsid w:val="001A74F7"/>
    <w:rsid w:val="001B15D3"/>
    <w:rsid w:val="001B2C21"/>
    <w:rsid w:val="001B3443"/>
    <w:rsid w:val="001C0326"/>
    <w:rsid w:val="001C0430"/>
    <w:rsid w:val="001C0B2F"/>
    <w:rsid w:val="001C192F"/>
    <w:rsid w:val="001C1B0C"/>
    <w:rsid w:val="001C2C98"/>
    <w:rsid w:val="001C314E"/>
    <w:rsid w:val="001C3C42"/>
    <w:rsid w:val="001D5284"/>
    <w:rsid w:val="001D65EC"/>
    <w:rsid w:val="001D7869"/>
    <w:rsid w:val="001E484B"/>
    <w:rsid w:val="001E6340"/>
    <w:rsid w:val="001F2F78"/>
    <w:rsid w:val="001F38BC"/>
    <w:rsid w:val="00200293"/>
    <w:rsid w:val="002026CD"/>
    <w:rsid w:val="002033FC"/>
    <w:rsid w:val="00203D60"/>
    <w:rsid w:val="002044BB"/>
    <w:rsid w:val="002062FE"/>
    <w:rsid w:val="00210B09"/>
    <w:rsid w:val="00210BF7"/>
    <w:rsid w:val="00210C9E"/>
    <w:rsid w:val="00211840"/>
    <w:rsid w:val="00211990"/>
    <w:rsid w:val="002208F3"/>
    <w:rsid w:val="00220E5F"/>
    <w:rsid w:val="002212B5"/>
    <w:rsid w:val="00226668"/>
    <w:rsid w:val="00226D38"/>
    <w:rsid w:val="00233809"/>
    <w:rsid w:val="002367C8"/>
    <w:rsid w:val="00240046"/>
    <w:rsid w:val="00240340"/>
    <w:rsid w:val="00241536"/>
    <w:rsid w:val="00244C4C"/>
    <w:rsid w:val="00245906"/>
    <w:rsid w:val="0024668B"/>
    <w:rsid w:val="0024797F"/>
    <w:rsid w:val="00250437"/>
    <w:rsid w:val="0025119E"/>
    <w:rsid w:val="00251269"/>
    <w:rsid w:val="002535C0"/>
    <w:rsid w:val="002541DD"/>
    <w:rsid w:val="00255A35"/>
    <w:rsid w:val="002579FE"/>
    <w:rsid w:val="0026311C"/>
    <w:rsid w:val="0026611E"/>
    <w:rsid w:val="0026668C"/>
    <w:rsid w:val="00266AC1"/>
    <w:rsid w:val="0027178C"/>
    <w:rsid w:val="002719FA"/>
    <w:rsid w:val="00272668"/>
    <w:rsid w:val="0027330B"/>
    <w:rsid w:val="00274D7E"/>
    <w:rsid w:val="002803AD"/>
    <w:rsid w:val="00281F5F"/>
    <w:rsid w:val="00282052"/>
    <w:rsid w:val="0028519E"/>
    <w:rsid w:val="002856A5"/>
    <w:rsid w:val="002872ED"/>
    <w:rsid w:val="002905C2"/>
    <w:rsid w:val="00292CD0"/>
    <w:rsid w:val="00294257"/>
    <w:rsid w:val="002950AA"/>
    <w:rsid w:val="00295AF2"/>
    <w:rsid w:val="00295C91"/>
    <w:rsid w:val="00297151"/>
    <w:rsid w:val="002A03E8"/>
    <w:rsid w:val="002A0910"/>
    <w:rsid w:val="002A1735"/>
    <w:rsid w:val="002A605C"/>
    <w:rsid w:val="002B08DB"/>
    <w:rsid w:val="002B20E6"/>
    <w:rsid w:val="002B3A99"/>
    <w:rsid w:val="002B42A3"/>
    <w:rsid w:val="002B6884"/>
    <w:rsid w:val="002C0CDD"/>
    <w:rsid w:val="002C70D3"/>
    <w:rsid w:val="002D536A"/>
    <w:rsid w:val="002E00AA"/>
    <w:rsid w:val="002E1A1D"/>
    <w:rsid w:val="002E4081"/>
    <w:rsid w:val="002E5B78"/>
    <w:rsid w:val="002F3868"/>
    <w:rsid w:val="002F3AE3"/>
    <w:rsid w:val="002F3D2F"/>
    <w:rsid w:val="002F7BDB"/>
    <w:rsid w:val="003029D0"/>
    <w:rsid w:val="0030464B"/>
    <w:rsid w:val="00305985"/>
    <w:rsid w:val="00306E5F"/>
    <w:rsid w:val="0030786C"/>
    <w:rsid w:val="003102CF"/>
    <w:rsid w:val="003138CA"/>
    <w:rsid w:val="00314BBD"/>
    <w:rsid w:val="00320027"/>
    <w:rsid w:val="003203C0"/>
    <w:rsid w:val="00321A5C"/>
    <w:rsid w:val="003233DE"/>
    <w:rsid w:val="0032466B"/>
    <w:rsid w:val="00327B44"/>
    <w:rsid w:val="00332115"/>
    <w:rsid w:val="003330EB"/>
    <w:rsid w:val="003339CE"/>
    <w:rsid w:val="0033595E"/>
    <w:rsid w:val="00336605"/>
    <w:rsid w:val="0034018D"/>
    <w:rsid w:val="003415FD"/>
    <w:rsid w:val="003429F0"/>
    <w:rsid w:val="00344AE6"/>
    <w:rsid w:val="0035097A"/>
    <w:rsid w:val="00352EE5"/>
    <w:rsid w:val="003540A4"/>
    <w:rsid w:val="003603CC"/>
    <w:rsid w:val="00360E4E"/>
    <w:rsid w:val="003623D1"/>
    <w:rsid w:val="00364539"/>
    <w:rsid w:val="00365623"/>
    <w:rsid w:val="00370AAA"/>
    <w:rsid w:val="00372AFB"/>
    <w:rsid w:val="00375F77"/>
    <w:rsid w:val="00377A78"/>
    <w:rsid w:val="00381BBE"/>
    <w:rsid w:val="00382903"/>
    <w:rsid w:val="00384533"/>
    <w:rsid w:val="003846FF"/>
    <w:rsid w:val="00385AD4"/>
    <w:rsid w:val="00387924"/>
    <w:rsid w:val="0039318F"/>
    <w:rsid w:val="0039384D"/>
    <w:rsid w:val="00393B97"/>
    <w:rsid w:val="00395C23"/>
    <w:rsid w:val="003973C9"/>
    <w:rsid w:val="003A2E4F"/>
    <w:rsid w:val="003A4438"/>
    <w:rsid w:val="003A5013"/>
    <w:rsid w:val="003A5078"/>
    <w:rsid w:val="003A5414"/>
    <w:rsid w:val="003A584D"/>
    <w:rsid w:val="003A62DD"/>
    <w:rsid w:val="003A775A"/>
    <w:rsid w:val="003B0DAB"/>
    <w:rsid w:val="003B213A"/>
    <w:rsid w:val="003B43AD"/>
    <w:rsid w:val="003C0E94"/>
    <w:rsid w:val="003C0FEC"/>
    <w:rsid w:val="003C15B8"/>
    <w:rsid w:val="003C2AC8"/>
    <w:rsid w:val="003C306A"/>
    <w:rsid w:val="003C46A6"/>
    <w:rsid w:val="003C6D1B"/>
    <w:rsid w:val="003C7F56"/>
    <w:rsid w:val="003D17F9"/>
    <w:rsid w:val="003D2D88"/>
    <w:rsid w:val="003D41EA"/>
    <w:rsid w:val="003D4850"/>
    <w:rsid w:val="003D535A"/>
    <w:rsid w:val="003E5265"/>
    <w:rsid w:val="003E5609"/>
    <w:rsid w:val="003E6290"/>
    <w:rsid w:val="003F0955"/>
    <w:rsid w:val="003F23B3"/>
    <w:rsid w:val="003F2BA6"/>
    <w:rsid w:val="003F6CCB"/>
    <w:rsid w:val="003F6FE1"/>
    <w:rsid w:val="00400F00"/>
    <w:rsid w:val="00404F8B"/>
    <w:rsid w:val="00405256"/>
    <w:rsid w:val="00410031"/>
    <w:rsid w:val="004115A2"/>
    <w:rsid w:val="00415C81"/>
    <w:rsid w:val="00416731"/>
    <w:rsid w:val="0042317F"/>
    <w:rsid w:val="004265E8"/>
    <w:rsid w:val="00430DE3"/>
    <w:rsid w:val="00432378"/>
    <w:rsid w:val="00434194"/>
    <w:rsid w:val="0043617C"/>
    <w:rsid w:val="004361DE"/>
    <w:rsid w:val="00440D65"/>
    <w:rsid w:val="0044150B"/>
    <w:rsid w:val="00443179"/>
    <w:rsid w:val="004435E6"/>
    <w:rsid w:val="00444E00"/>
    <w:rsid w:val="00447E31"/>
    <w:rsid w:val="00452B45"/>
    <w:rsid w:val="00453923"/>
    <w:rsid w:val="00454B9B"/>
    <w:rsid w:val="00457858"/>
    <w:rsid w:val="00460B0B"/>
    <w:rsid w:val="00461023"/>
    <w:rsid w:val="0046207F"/>
    <w:rsid w:val="00462FAC"/>
    <w:rsid w:val="00464631"/>
    <w:rsid w:val="00464B79"/>
    <w:rsid w:val="00467BBF"/>
    <w:rsid w:val="0047066B"/>
    <w:rsid w:val="00471295"/>
    <w:rsid w:val="00472C9D"/>
    <w:rsid w:val="00475290"/>
    <w:rsid w:val="004806EC"/>
    <w:rsid w:val="00481021"/>
    <w:rsid w:val="00485262"/>
    <w:rsid w:val="00485698"/>
    <w:rsid w:val="00485A21"/>
    <w:rsid w:val="00485D44"/>
    <w:rsid w:val="004867E2"/>
    <w:rsid w:val="004874E5"/>
    <w:rsid w:val="00487E64"/>
    <w:rsid w:val="004929A9"/>
    <w:rsid w:val="00496058"/>
    <w:rsid w:val="00496E05"/>
    <w:rsid w:val="00497030"/>
    <w:rsid w:val="004A08D7"/>
    <w:rsid w:val="004A0EFB"/>
    <w:rsid w:val="004A2A14"/>
    <w:rsid w:val="004A30B9"/>
    <w:rsid w:val="004A395E"/>
    <w:rsid w:val="004A4155"/>
    <w:rsid w:val="004A62E2"/>
    <w:rsid w:val="004B1EB6"/>
    <w:rsid w:val="004B2895"/>
    <w:rsid w:val="004B5B15"/>
    <w:rsid w:val="004B6FF1"/>
    <w:rsid w:val="004C1B03"/>
    <w:rsid w:val="004C2FEC"/>
    <w:rsid w:val="004C5B9E"/>
    <w:rsid w:val="004C6BCF"/>
    <w:rsid w:val="004C753C"/>
    <w:rsid w:val="004D3822"/>
    <w:rsid w:val="004D58BF"/>
    <w:rsid w:val="004D5E76"/>
    <w:rsid w:val="004D674D"/>
    <w:rsid w:val="004E4335"/>
    <w:rsid w:val="004E59A8"/>
    <w:rsid w:val="004E5ACF"/>
    <w:rsid w:val="004F09A8"/>
    <w:rsid w:val="004F0D32"/>
    <w:rsid w:val="004F13EE"/>
    <w:rsid w:val="004F2022"/>
    <w:rsid w:val="004F2241"/>
    <w:rsid w:val="004F270A"/>
    <w:rsid w:val="004F7C05"/>
    <w:rsid w:val="004F7D63"/>
    <w:rsid w:val="00501C94"/>
    <w:rsid w:val="00502BB6"/>
    <w:rsid w:val="00503433"/>
    <w:rsid w:val="005044BA"/>
    <w:rsid w:val="00506432"/>
    <w:rsid w:val="0051242B"/>
    <w:rsid w:val="00512961"/>
    <w:rsid w:val="005148C7"/>
    <w:rsid w:val="00515817"/>
    <w:rsid w:val="00516209"/>
    <w:rsid w:val="0052051D"/>
    <w:rsid w:val="00520A61"/>
    <w:rsid w:val="00527740"/>
    <w:rsid w:val="0053099F"/>
    <w:rsid w:val="00530C18"/>
    <w:rsid w:val="00532DB4"/>
    <w:rsid w:val="0053344E"/>
    <w:rsid w:val="00533F04"/>
    <w:rsid w:val="005368C9"/>
    <w:rsid w:val="00536C54"/>
    <w:rsid w:val="00544BB3"/>
    <w:rsid w:val="00544DB5"/>
    <w:rsid w:val="00545EE6"/>
    <w:rsid w:val="00546CFE"/>
    <w:rsid w:val="00554733"/>
    <w:rsid w:val="005550E7"/>
    <w:rsid w:val="005564FB"/>
    <w:rsid w:val="005572C7"/>
    <w:rsid w:val="005611F9"/>
    <w:rsid w:val="00561A58"/>
    <w:rsid w:val="005650ED"/>
    <w:rsid w:val="005748FB"/>
    <w:rsid w:val="00575754"/>
    <w:rsid w:val="005914CD"/>
    <w:rsid w:val="00591E20"/>
    <w:rsid w:val="0059436D"/>
    <w:rsid w:val="00595218"/>
    <w:rsid w:val="00595408"/>
    <w:rsid w:val="00595E84"/>
    <w:rsid w:val="0059750F"/>
    <w:rsid w:val="00597D79"/>
    <w:rsid w:val="005A0C59"/>
    <w:rsid w:val="005A48EB"/>
    <w:rsid w:val="005A6CFB"/>
    <w:rsid w:val="005B5FB7"/>
    <w:rsid w:val="005B645A"/>
    <w:rsid w:val="005C049D"/>
    <w:rsid w:val="005C1DE0"/>
    <w:rsid w:val="005C36A6"/>
    <w:rsid w:val="005C5AEB"/>
    <w:rsid w:val="005D53E4"/>
    <w:rsid w:val="005E0A3F"/>
    <w:rsid w:val="005E6883"/>
    <w:rsid w:val="005E772F"/>
    <w:rsid w:val="005F121B"/>
    <w:rsid w:val="005F1455"/>
    <w:rsid w:val="005F2DC5"/>
    <w:rsid w:val="005F4ECA"/>
    <w:rsid w:val="005F6E81"/>
    <w:rsid w:val="005F7EE0"/>
    <w:rsid w:val="006041BE"/>
    <w:rsid w:val="006043C7"/>
    <w:rsid w:val="00605552"/>
    <w:rsid w:val="00615DD7"/>
    <w:rsid w:val="00624B52"/>
    <w:rsid w:val="006316B1"/>
    <w:rsid w:val="00631DF4"/>
    <w:rsid w:val="00634175"/>
    <w:rsid w:val="006369A8"/>
    <w:rsid w:val="00637391"/>
    <w:rsid w:val="006408AC"/>
    <w:rsid w:val="00643DEA"/>
    <w:rsid w:val="00645F27"/>
    <w:rsid w:val="0064631D"/>
    <w:rsid w:val="006511B6"/>
    <w:rsid w:val="0065230C"/>
    <w:rsid w:val="00652742"/>
    <w:rsid w:val="0065438A"/>
    <w:rsid w:val="00657FF8"/>
    <w:rsid w:val="00666C3E"/>
    <w:rsid w:val="00667014"/>
    <w:rsid w:val="00670D99"/>
    <w:rsid w:val="00670E2B"/>
    <w:rsid w:val="0067132B"/>
    <w:rsid w:val="00672743"/>
    <w:rsid w:val="006734BB"/>
    <w:rsid w:val="00673FDA"/>
    <w:rsid w:val="006802F7"/>
    <w:rsid w:val="00681A34"/>
    <w:rsid w:val="006821EB"/>
    <w:rsid w:val="00691896"/>
    <w:rsid w:val="006A1C95"/>
    <w:rsid w:val="006B2286"/>
    <w:rsid w:val="006B3FE0"/>
    <w:rsid w:val="006B482A"/>
    <w:rsid w:val="006B52AB"/>
    <w:rsid w:val="006B56BB"/>
    <w:rsid w:val="006C746E"/>
    <w:rsid w:val="006C77A8"/>
    <w:rsid w:val="006D4098"/>
    <w:rsid w:val="006D40E5"/>
    <w:rsid w:val="006D49D7"/>
    <w:rsid w:val="006D7681"/>
    <w:rsid w:val="006D7B2E"/>
    <w:rsid w:val="006E02EA"/>
    <w:rsid w:val="006E0968"/>
    <w:rsid w:val="006E2AF6"/>
    <w:rsid w:val="006F02F1"/>
    <w:rsid w:val="006F1E3C"/>
    <w:rsid w:val="00701275"/>
    <w:rsid w:val="00702ED6"/>
    <w:rsid w:val="00707F56"/>
    <w:rsid w:val="00713558"/>
    <w:rsid w:val="0071397D"/>
    <w:rsid w:val="00714E81"/>
    <w:rsid w:val="00720D08"/>
    <w:rsid w:val="00724F26"/>
    <w:rsid w:val="007263B9"/>
    <w:rsid w:val="007334F8"/>
    <w:rsid w:val="007339CD"/>
    <w:rsid w:val="007359D8"/>
    <w:rsid w:val="007362D4"/>
    <w:rsid w:val="00746317"/>
    <w:rsid w:val="00750006"/>
    <w:rsid w:val="00751A23"/>
    <w:rsid w:val="007543AB"/>
    <w:rsid w:val="00754E6D"/>
    <w:rsid w:val="00765245"/>
    <w:rsid w:val="0076672A"/>
    <w:rsid w:val="00767FBD"/>
    <w:rsid w:val="007727AB"/>
    <w:rsid w:val="00772F12"/>
    <w:rsid w:val="00773ED1"/>
    <w:rsid w:val="00775E45"/>
    <w:rsid w:val="00776E74"/>
    <w:rsid w:val="00780301"/>
    <w:rsid w:val="00783047"/>
    <w:rsid w:val="00785169"/>
    <w:rsid w:val="00793D84"/>
    <w:rsid w:val="0079472D"/>
    <w:rsid w:val="007954AB"/>
    <w:rsid w:val="00795D4B"/>
    <w:rsid w:val="007A14C5"/>
    <w:rsid w:val="007A370E"/>
    <w:rsid w:val="007A3E38"/>
    <w:rsid w:val="007A41C9"/>
    <w:rsid w:val="007A4A10"/>
    <w:rsid w:val="007B1760"/>
    <w:rsid w:val="007B3D03"/>
    <w:rsid w:val="007B6BAA"/>
    <w:rsid w:val="007B74FA"/>
    <w:rsid w:val="007C6889"/>
    <w:rsid w:val="007C6D9C"/>
    <w:rsid w:val="007C7DDB"/>
    <w:rsid w:val="007D1CA9"/>
    <w:rsid w:val="007D2CC7"/>
    <w:rsid w:val="007D53DB"/>
    <w:rsid w:val="007D665A"/>
    <w:rsid w:val="007D673D"/>
    <w:rsid w:val="007E02AC"/>
    <w:rsid w:val="007E2F25"/>
    <w:rsid w:val="007E675B"/>
    <w:rsid w:val="007F2220"/>
    <w:rsid w:val="007F3BD8"/>
    <w:rsid w:val="007F44BF"/>
    <w:rsid w:val="007F4B3E"/>
    <w:rsid w:val="007F588A"/>
    <w:rsid w:val="008027D2"/>
    <w:rsid w:val="008037CA"/>
    <w:rsid w:val="008100F2"/>
    <w:rsid w:val="008127AF"/>
    <w:rsid w:val="00812B46"/>
    <w:rsid w:val="00815700"/>
    <w:rsid w:val="00817B70"/>
    <w:rsid w:val="00826312"/>
    <w:rsid w:val="008264EB"/>
    <w:rsid w:val="00826B8F"/>
    <w:rsid w:val="00831E8A"/>
    <w:rsid w:val="00835C76"/>
    <w:rsid w:val="00843049"/>
    <w:rsid w:val="008467A8"/>
    <w:rsid w:val="0085209B"/>
    <w:rsid w:val="008549C4"/>
    <w:rsid w:val="00856B66"/>
    <w:rsid w:val="00861784"/>
    <w:rsid w:val="00861A5F"/>
    <w:rsid w:val="00863BA9"/>
    <w:rsid w:val="008644AD"/>
    <w:rsid w:val="00865735"/>
    <w:rsid w:val="00865A09"/>
    <w:rsid w:val="00865DDB"/>
    <w:rsid w:val="00867538"/>
    <w:rsid w:val="008710B9"/>
    <w:rsid w:val="00873D90"/>
    <w:rsid w:val="00873FC8"/>
    <w:rsid w:val="0087405B"/>
    <w:rsid w:val="008748E3"/>
    <w:rsid w:val="00882DA0"/>
    <w:rsid w:val="0088469C"/>
    <w:rsid w:val="00884C63"/>
    <w:rsid w:val="0088555D"/>
    <w:rsid w:val="00885908"/>
    <w:rsid w:val="0088616C"/>
    <w:rsid w:val="008864B7"/>
    <w:rsid w:val="0089677E"/>
    <w:rsid w:val="00896E8C"/>
    <w:rsid w:val="008A5068"/>
    <w:rsid w:val="008A7438"/>
    <w:rsid w:val="008A7AFC"/>
    <w:rsid w:val="008B1334"/>
    <w:rsid w:val="008B15BB"/>
    <w:rsid w:val="008C0278"/>
    <w:rsid w:val="008C0EB1"/>
    <w:rsid w:val="008C24E9"/>
    <w:rsid w:val="008D0533"/>
    <w:rsid w:val="008D4003"/>
    <w:rsid w:val="008D42CB"/>
    <w:rsid w:val="008D48C9"/>
    <w:rsid w:val="008D5B79"/>
    <w:rsid w:val="008D6381"/>
    <w:rsid w:val="008E0C77"/>
    <w:rsid w:val="008E2536"/>
    <w:rsid w:val="008E625F"/>
    <w:rsid w:val="008F249D"/>
    <w:rsid w:val="008F264D"/>
    <w:rsid w:val="009074E1"/>
    <w:rsid w:val="009112F7"/>
    <w:rsid w:val="009122AF"/>
    <w:rsid w:val="009127BC"/>
    <w:rsid w:val="00912D54"/>
    <w:rsid w:val="0091389F"/>
    <w:rsid w:val="009208F7"/>
    <w:rsid w:val="00922517"/>
    <w:rsid w:val="00922722"/>
    <w:rsid w:val="00922AC8"/>
    <w:rsid w:val="00923BBC"/>
    <w:rsid w:val="009261E6"/>
    <w:rsid w:val="009268E1"/>
    <w:rsid w:val="00926F78"/>
    <w:rsid w:val="00934368"/>
    <w:rsid w:val="0093521D"/>
    <w:rsid w:val="0094194E"/>
    <w:rsid w:val="00945E7F"/>
    <w:rsid w:val="0095013E"/>
    <w:rsid w:val="00952B44"/>
    <w:rsid w:val="009557C1"/>
    <w:rsid w:val="00960D6E"/>
    <w:rsid w:val="00962D13"/>
    <w:rsid w:val="009658F5"/>
    <w:rsid w:val="00972BC1"/>
    <w:rsid w:val="00974B59"/>
    <w:rsid w:val="009769B6"/>
    <w:rsid w:val="00980FAB"/>
    <w:rsid w:val="00982CD1"/>
    <w:rsid w:val="0098340B"/>
    <w:rsid w:val="00986830"/>
    <w:rsid w:val="009924C3"/>
    <w:rsid w:val="00993102"/>
    <w:rsid w:val="009B14D2"/>
    <w:rsid w:val="009B3726"/>
    <w:rsid w:val="009B45DF"/>
    <w:rsid w:val="009B7B8E"/>
    <w:rsid w:val="009C4A39"/>
    <w:rsid w:val="009C6F10"/>
    <w:rsid w:val="009C6F9F"/>
    <w:rsid w:val="009D0BE1"/>
    <w:rsid w:val="009D148F"/>
    <w:rsid w:val="009D3D70"/>
    <w:rsid w:val="009D41D1"/>
    <w:rsid w:val="009D5119"/>
    <w:rsid w:val="009E2607"/>
    <w:rsid w:val="009E36DB"/>
    <w:rsid w:val="009E394F"/>
    <w:rsid w:val="009E483C"/>
    <w:rsid w:val="009E6F7E"/>
    <w:rsid w:val="009E7A57"/>
    <w:rsid w:val="009F0E0B"/>
    <w:rsid w:val="009F1A53"/>
    <w:rsid w:val="009F314C"/>
    <w:rsid w:val="009F4231"/>
    <w:rsid w:val="009F4F6A"/>
    <w:rsid w:val="00A04084"/>
    <w:rsid w:val="00A074E2"/>
    <w:rsid w:val="00A16E36"/>
    <w:rsid w:val="00A16EE1"/>
    <w:rsid w:val="00A22E88"/>
    <w:rsid w:val="00A24961"/>
    <w:rsid w:val="00A24B10"/>
    <w:rsid w:val="00A30E9B"/>
    <w:rsid w:val="00A3114B"/>
    <w:rsid w:val="00A33041"/>
    <w:rsid w:val="00A3381A"/>
    <w:rsid w:val="00A44E66"/>
    <w:rsid w:val="00A4512D"/>
    <w:rsid w:val="00A4550F"/>
    <w:rsid w:val="00A458C4"/>
    <w:rsid w:val="00A46D0F"/>
    <w:rsid w:val="00A50244"/>
    <w:rsid w:val="00A56F17"/>
    <w:rsid w:val="00A57F00"/>
    <w:rsid w:val="00A6087D"/>
    <w:rsid w:val="00A627D7"/>
    <w:rsid w:val="00A656C7"/>
    <w:rsid w:val="00A705AF"/>
    <w:rsid w:val="00A72454"/>
    <w:rsid w:val="00A74345"/>
    <w:rsid w:val="00A75100"/>
    <w:rsid w:val="00A76259"/>
    <w:rsid w:val="00A77696"/>
    <w:rsid w:val="00A80557"/>
    <w:rsid w:val="00A81D33"/>
    <w:rsid w:val="00A930AE"/>
    <w:rsid w:val="00A9485A"/>
    <w:rsid w:val="00AA00B9"/>
    <w:rsid w:val="00AA16CB"/>
    <w:rsid w:val="00AA1A95"/>
    <w:rsid w:val="00AA260F"/>
    <w:rsid w:val="00AA7A45"/>
    <w:rsid w:val="00AB0577"/>
    <w:rsid w:val="00AB0A54"/>
    <w:rsid w:val="00AB0B20"/>
    <w:rsid w:val="00AB1EE7"/>
    <w:rsid w:val="00AB4B37"/>
    <w:rsid w:val="00AB5762"/>
    <w:rsid w:val="00AC08CA"/>
    <w:rsid w:val="00AC0FB1"/>
    <w:rsid w:val="00AC10C3"/>
    <w:rsid w:val="00AC20B7"/>
    <w:rsid w:val="00AC2679"/>
    <w:rsid w:val="00AC4BE4"/>
    <w:rsid w:val="00AC585E"/>
    <w:rsid w:val="00AC6BF9"/>
    <w:rsid w:val="00AD05E6"/>
    <w:rsid w:val="00AD0D3F"/>
    <w:rsid w:val="00AD1C5A"/>
    <w:rsid w:val="00AD3835"/>
    <w:rsid w:val="00AD3A68"/>
    <w:rsid w:val="00AD3ABB"/>
    <w:rsid w:val="00AE1D7D"/>
    <w:rsid w:val="00AE2A8B"/>
    <w:rsid w:val="00AE3F64"/>
    <w:rsid w:val="00AE4ABF"/>
    <w:rsid w:val="00AE5198"/>
    <w:rsid w:val="00AE57A4"/>
    <w:rsid w:val="00AF2245"/>
    <w:rsid w:val="00AF7386"/>
    <w:rsid w:val="00AF7588"/>
    <w:rsid w:val="00AF7934"/>
    <w:rsid w:val="00B00B81"/>
    <w:rsid w:val="00B0204B"/>
    <w:rsid w:val="00B04580"/>
    <w:rsid w:val="00B04B09"/>
    <w:rsid w:val="00B07F6B"/>
    <w:rsid w:val="00B15ED6"/>
    <w:rsid w:val="00B16A51"/>
    <w:rsid w:val="00B17D75"/>
    <w:rsid w:val="00B25440"/>
    <w:rsid w:val="00B25DB9"/>
    <w:rsid w:val="00B32222"/>
    <w:rsid w:val="00B326C6"/>
    <w:rsid w:val="00B332C0"/>
    <w:rsid w:val="00B3496C"/>
    <w:rsid w:val="00B3618D"/>
    <w:rsid w:val="00B36233"/>
    <w:rsid w:val="00B40AFC"/>
    <w:rsid w:val="00B42851"/>
    <w:rsid w:val="00B43032"/>
    <w:rsid w:val="00B45AC7"/>
    <w:rsid w:val="00B4648F"/>
    <w:rsid w:val="00B46536"/>
    <w:rsid w:val="00B46669"/>
    <w:rsid w:val="00B47219"/>
    <w:rsid w:val="00B502DF"/>
    <w:rsid w:val="00B5372F"/>
    <w:rsid w:val="00B61129"/>
    <w:rsid w:val="00B66C61"/>
    <w:rsid w:val="00B67E7F"/>
    <w:rsid w:val="00B72290"/>
    <w:rsid w:val="00B7317E"/>
    <w:rsid w:val="00B75A04"/>
    <w:rsid w:val="00B839B2"/>
    <w:rsid w:val="00B84225"/>
    <w:rsid w:val="00B857F1"/>
    <w:rsid w:val="00B87ADE"/>
    <w:rsid w:val="00B87D8B"/>
    <w:rsid w:val="00B90F0F"/>
    <w:rsid w:val="00B9209D"/>
    <w:rsid w:val="00B93AC0"/>
    <w:rsid w:val="00B93BE8"/>
    <w:rsid w:val="00B94252"/>
    <w:rsid w:val="00B9715A"/>
    <w:rsid w:val="00BA14BE"/>
    <w:rsid w:val="00BA2732"/>
    <w:rsid w:val="00BA293D"/>
    <w:rsid w:val="00BA49BC"/>
    <w:rsid w:val="00BA56B7"/>
    <w:rsid w:val="00BA7A1E"/>
    <w:rsid w:val="00BA7CA9"/>
    <w:rsid w:val="00BB2F6C"/>
    <w:rsid w:val="00BB3118"/>
    <w:rsid w:val="00BB3875"/>
    <w:rsid w:val="00BB4FD0"/>
    <w:rsid w:val="00BB5860"/>
    <w:rsid w:val="00BB6AAD"/>
    <w:rsid w:val="00BC0DB5"/>
    <w:rsid w:val="00BC18A5"/>
    <w:rsid w:val="00BC2719"/>
    <w:rsid w:val="00BC4A19"/>
    <w:rsid w:val="00BC4E6D"/>
    <w:rsid w:val="00BD0617"/>
    <w:rsid w:val="00BD0A2A"/>
    <w:rsid w:val="00BD2E9B"/>
    <w:rsid w:val="00BE4748"/>
    <w:rsid w:val="00BF3BD9"/>
    <w:rsid w:val="00BF7AD7"/>
    <w:rsid w:val="00C00930"/>
    <w:rsid w:val="00C04322"/>
    <w:rsid w:val="00C05415"/>
    <w:rsid w:val="00C060AD"/>
    <w:rsid w:val="00C0642D"/>
    <w:rsid w:val="00C0670D"/>
    <w:rsid w:val="00C113BF"/>
    <w:rsid w:val="00C152A5"/>
    <w:rsid w:val="00C1672D"/>
    <w:rsid w:val="00C17A16"/>
    <w:rsid w:val="00C20037"/>
    <w:rsid w:val="00C2176E"/>
    <w:rsid w:val="00C23430"/>
    <w:rsid w:val="00C27B93"/>
    <w:rsid w:val="00C27D67"/>
    <w:rsid w:val="00C32BF1"/>
    <w:rsid w:val="00C44F5A"/>
    <w:rsid w:val="00C451ED"/>
    <w:rsid w:val="00C46285"/>
    <w:rsid w:val="00C4631F"/>
    <w:rsid w:val="00C46398"/>
    <w:rsid w:val="00C46FAE"/>
    <w:rsid w:val="00C50C33"/>
    <w:rsid w:val="00C50E16"/>
    <w:rsid w:val="00C55258"/>
    <w:rsid w:val="00C63C5D"/>
    <w:rsid w:val="00C64E96"/>
    <w:rsid w:val="00C821EF"/>
    <w:rsid w:val="00C82EEB"/>
    <w:rsid w:val="00C928AA"/>
    <w:rsid w:val="00C93CB4"/>
    <w:rsid w:val="00C971DC"/>
    <w:rsid w:val="00C97784"/>
    <w:rsid w:val="00CA16B7"/>
    <w:rsid w:val="00CA17E2"/>
    <w:rsid w:val="00CA4BE3"/>
    <w:rsid w:val="00CA62AE"/>
    <w:rsid w:val="00CB0F69"/>
    <w:rsid w:val="00CB0F7A"/>
    <w:rsid w:val="00CB4CD4"/>
    <w:rsid w:val="00CB5018"/>
    <w:rsid w:val="00CB5B1A"/>
    <w:rsid w:val="00CB629B"/>
    <w:rsid w:val="00CB7818"/>
    <w:rsid w:val="00CC073F"/>
    <w:rsid w:val="00CC2173"/>
    <w:rsid w:val="00CC220B"/>
    <w:rsid w:val="00CC3467"/>
    <w:rsid w:val="00CC5C43"/>
    <w:rsid w:val="00CD02AE"/>
    <w:rsid w:val="00CD091B"/>
    <w:rsid w:val="00CD2A4F"/>
    <w:rsid w:val="00CD7B3A"/>
    <w:rsid w:val="00CE03CA"/>
    <w:rsid w:val="00CE2094"/>
    <w:rsid w:val="00CE22F1"/>
    <w:rsid w:val="00CE50F2"/>
    <w:rsid w:val="00CE60C0"/>
    <w:rsid w:val="00CE6502"/>
    <w:rsid w:val="00CE7715"/>
    <w:rsid w:val="00CF1E78"/>
    <w:rsid w:val="00CF37D0"/>
    <w:rsid w:val="00CF4059"/>
    <w:rsid w:val="00CF5BC2"/>
    <w:rsid w:val="00CF7D3C"/>
    <w:rsid w:val="00D02948"/>
    <w:rsid w:val="00D02AB3"/>
    <w:rsid w:val="00D03933"/>
    <w:rsid w:val="00D04E2D"/>
    <w:rsid w:val="00D147EB"/>
    <w:rsid w:val="00D15A39"/>
    <w:rsid w:val="00D22533"/>
    <w:rsid w:val="00D23535"/>
    <w:rsid w:val="00D31029"/>
    <w:rsid w:val="00D34667"/>
    <w:rsid w:val="00D401E1"/>
    <w:rsid w:val="00D408B4"/>
    <w:rsid w:val="00D423B1"/>
    <w:rsid w:val="00D43FCB"/>
    <w:rsid w:val="00D43FE9"/>
    <w:rsid w:val="00D45D94"/>
    <w:rsid w:val="00D524C8"/>
    <w:rsid w:val="00D54EC7"/>
    <w:rsid w:val="00D60E25"/>
    <w:rsid w:val="00D670E8"/>
    <w:rsid w:val="00D70E24"/>
    <w:rsid w:val="00D72B61"/>
    <w:rsid w:val="00D7355E"/>
    <w:rsid w:val="00D76F2A"/>
    <w:rsid w:val="00D81952"/>
    <w:rsid w:val="00D823CD"/>
    <w:rsid w:val="00D83535"/>
    <w:rsid w:val="00D860C3"/>
    <w:rsid w:val="00D873AD"/>
    <w:rsid w:val="00D90A0E"/>
    <w:rsid w:val="00D93FF2"/>
    <w:rsid w:val="00D94D96"/>
    <w:rsid w:val="00D962D3"/>
    <w:rsid w:val="00DA1542"/>
    <w:rsid w:val="00DA3D1D"/>
    <w:rsid w:val="00DA3F85"/>
    <w:rsid w:val="00DB0138"/>
    <w:rsid w:val="00DB6286"/>
    <w:rsid w:val="00DB645F"/>
    <w:rsid w:val="00DB76E9"/>
    <w:rsid w:val="00DC0A67"/>
    <w:rsid w:val="00DC1D5E"/>
    <w:rsid w:val="00DC2313"/>
    <w:rsid w:val="00DC5220"/>
    <w:rsid w:val="00DC714A"/>
    <w:rsid w:val="00DC754D"/>
    <w:rsid w:val="00DC7910"/>
    <w:rsid w:val="00DD2061"/>
    <w:rsid w:val="00DD7DAB"/>
    <w:rsid w:val="00DE0FE2"/>
    <w:rsid w:val="00DE15C0"/>
    <w:rsid w:val="00DE3355"/>
    <w:rsid w:val="00DF19FD"/>
    <w:rsid w:val="00DF2CE3"/>
    <w:rsid w:val="00DF463B"/>
    <w:rsid w:val="00DF486F"/>
    <w:rsid w:val="00DF5B5B"/>
    <w:rsid w:val="00DF7619"/>
    <w:rsid w:val="00E000B1"/>
    <w:rsid w:val="00E042D8"/>
    <w:rsid w:val="00E058B6"/>
    <w:rsid w:val="00E07EE7"/>
    <w:rsid w:val="00E1103B"/>
    <w:rsid w:val="00E17B44"/>
    <w:rsid w:val="00E22BD1"/>
    <w:rsid w:val="00E26035"/>
    <w:rsid w:val="00E27FEA"/>
    <w:rsid w:val="00E32E77"/>
    <w:rsid w:val="00E341B6"/>
    <w:rsid w:val="00E4086F"/>
    <w:rsid w:val="00E42E3E"/>
    <w:rsid w:val="00E43B3C"/>
    <w:rsid w:val="00E50188"/>
    <w:rsid w:val="00E515CB"/>
    <w:rsid w:val="00E517B5"/>
    <w:rsid w:val="00E52260"/>
    <w:rsid w:val="00E621C4"/>
    <w:rsid w:val="00E639B6"/>
    <w:rsid w:val="00E6434B"/>
    <w:rsid w:val="00E6463D"/>
    <w:rsid w:val="00E64789"/>
    <w:rsid w:val="00E70EDE"/>
    <w:rsid w:val="00E72E9B"/>
    <w:rsid w:val="00E74F9A"/>
    <w:rsid w:val="00E849DA"/>
    <w:rsid w:val="00E92FFA"/>
    <w:rsid w:val="00E9462E"/>
    <w:rsid w:val="00E94B33"/>
    <w:rsid w:val="00EA470E"/>
    <w:rsid w:val="00EA47A7"/>
    <w:rsid w:val="00EA57EB"/>
    <w:rsid w:val="00EA7D2F"/>
    <w:rsid w:val="00EB259D"/>
    <w:rsid w:val="00EB3226"/>
    <w:rsid w:val="00EB4B06"/>
    <w:rsid w:val="00EC04CA"/>
    <w:rsid w:val="00EC1E13"/>
    <w:rsid w:val="00EC213A"/>
    <w:rsid w:val="00EC6603"/>
    <w:rsid w:val="00EC7662"/>
    <w:rsid w:val="00EC7744"/>
    <w:rsid w:val="00ED0DAD"/>
    <w:rsid w:val="00ED0F46"/>
    <w:rsid w:val="00ED2373"/>
    <w:rsid w:val="00EE3E8A"/>
    <w:rsid w:val="00EE4803"/>
    <w:rsid w:val="00EF183B"/>
    <w:rsid w:val="00EF22BB"/>
    <w:rsid w:val="00EF2401"/>
    <w:rsid w:val="00EF2C43"/>
    <w:rsid w:val="00EF6ECA"/>
    <w:rsid w:val="00EF73F7"/>
    <w:rsid w:val="00EF753F"/>
    <w:rsid w:val="00EF7F79"/>
    <w:rsid w:val="00F024E1"/>
    <w:rsid w:val="00F049F6"/>
    <w:rsid w:val="00F05BF0"/>
    <w:rsid w:val="00F06C10"/>
    <w:rsid w:val="00F1096F"/>
    <w:rsid w:val="00F10B27"/>
    <w:rsid w:val="00F11495"/>
    <w:rsid w:val="00F12589"/>
    <w:rsid w:val="00F12595"/>
    <w:rsid w:val="00F134D9"/>
    <w:rsid w:val="00F1403D"/>
    <w:rsid w:val="00F1463F"/>
    <w:rsid w:val="00F1688D"/>
    <w:rsid w:val="00F21302"/>
    <w:rsid w:val="00F321DE"/>
    <w:rsid w:val="00F3298C"/>
    <w:rsid w:val="00F33777"/>
    <w:rsid w:val="00F36B83"/>
    <w:rsid w:val="00F40648"/>
    <w:rsid w:val="00F40BC2"/>
    <w:rsid w:val="00F45DAC"/>
    <w:rsid w:val="00F461B6"/>
    <w:rsid w:val="00F47DA2"/>
    <w:rsid w:val="00F50DBB"/>
    <w:rsid w:val="00F519FC"/>
    <w:rsid w:val="00F51D8C"/>
    <w:rsid w:val="00F6239D"/>
    <w:rsid w:val="00F646BC"/>
    <w:rsid w:val="00F65930"/>
    <w:rsid w:val="00F66518"/>
    <w:rsid w:val="00F66ACD"/>
    <w:rsid w:val="00F715D2"/>
    <w:rsid w:val="00F7274F"/>
    <w:rsid w:val="00F76FA8"/>
    <w:rsid w:val="00F85584"/>
    <w:rsid w:val="00F86BB1"/>
    <w:rsid w:val="00F87B1A"/>
    <w:rsid w:val="00F917D5"/>
    <w:rsid w:val="00F93438"/>
    <w:rsid w:val="00F93F08"/>
    <w:rsid w:val="00F94CED"/>
    <w:rsid w:val="00F96738"/>
    <w:rsid w:val="00FA2CEE"/>
    <w:rsid w:val="00FA318C"/>
    <w:rsid w:val="00FA536F"/>
    <w:rsid w:val="00FA659C"/>
    <w:rsid w:val="00FB09CC"/>
    <w:rsid w:val="00FB144E"/>
    <w:rsid w:val="00FB6BB5"/>
    <w:rsid w:val="00FB6F92"/>
    <w:rsid w:val="00FC026E"/>
    <w:rsid w:val="00FC0998"/>
    <w:rsid w:val="00FC13B9"/>
    <w:rsid w:val="00FC23EA"/>
    <w:rsid w:val="00FC2EFD"/>
    <w:rsid w:val="00FC5124"/>
    <w:rsid w:val="00FD4731"/>
    <w:rsid w:val="00FD4DA5"/>
    <w:rsid w:val="00FF0AB0"/>
    <w:rsid w:val="00FF28AC"/>
    <w:rsid w:val="00FF44C1"/>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F164A"/>
  <w15:docId w15:val="{2172E7E1-C197-44A1-8ABD-8A1D77D4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17D75"/>
    <w:pPr>
      <w:spacing w:before="120" w:after="120" w:line="288" w:lineRule="auto"/>
    </w:pPr>
    <w:rPr>
      <w:rFonts w:ascii="Segoe UI" w:hAnsi="Segoe UI"/>
      <w:color w:val="000000" w:themeColor="text2"/>
      <w:sz w:val="22"/>
      <w:szCs w:val="24"/>
      <w:lang w:eastAsia="en-US"/>
    </w:rPr>
  </w:style>
  <w:style w:type="paragraph" w:styleId="Heading1">
    <w:name w:val="heading 1"/>
    <w:next w:val="Normal"/>
    <w:link w:val="Heading1Char"/>
    <w:uiPriority w:val="9"/>
    <w:qFormat/>
    <w:rsid w:val="00144E32"/>
    <w:pPr>
      <w:keepNext/>
      <w:spacing w:before="240" w:after="60"/>
      <w:outlineLvl w:val="0"/>
    </w:pPr>
    <w:rPr>
      <w:rFonts w:ascii="Segoe UI" w:hAnsi="Segoe UI" w:cs="Arial"/>
      <w:b/>
      <w:bCs/>
      <w:color w:val="025F5D"/>
      <w:kern w:val="28"/>
      <w:sz w:val="44"/>
      <w:szCs w:val="36"/>
      <w:lang w:eastAsia="en-US"/>
    </w:rPr>
  </w:style>
  <w:style w:type="paragraph" w:styleId="Heading2">
    <w:name w:val="heading 2"/>
    <w:basedOn w:val="Heading1"/>
    <w:next w:val="Normal"/>
    <w:link w:val="Heading2Char"/>
    <w:uiPriority w:val="9"/>
    <w:qFormat/>
    <w:rsid w:val="00144E32"/>
    <w:pPr>
      <w:outlineLvl w:val="1"/>
    </w:pPr>
    <w:rPr>
      <w:bCs w:val="0"/>
      <w:iCs/>
      <w:sz w:val="36"/>
      <w:szCs w:val="28"/>
    </w:rPr>
  </w:style>
  <w:style w:type="paragraph" w:styleId="Heading3">
    <w:name w:val="heading 3"/>
    <w:next w:val="Normal"/>
    <w:link w:val="Heading3Char"/>
    <w:uiPriority w:val="9"/>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link w:val="Heading4Char"/>
    <w:uiPriority w:val="9"/>
    <w:qFormat/>
    <w:rsid w:val="00281F5F"/>
    <w:pPr>
      <w:keepNext/>
      <w:spacing w:before="240" w:after="60"/>
      <w:outlineLvl w:val="3"/>
    </w:pPr>
    <w:rPr>
      <w:rFonts w:ascii="Arial" w:hAnsi="Arial"/>
      <w:b/>
      <w:bCs/>
      <w:i/>
      <w:color w:val="033636" w:themeColor="text1"/>
      <w:sz w:val="28"/>
      <w:szCs w:val="28"/>
      <w:lang w:eastAsia="en-US"/>
    </w:rPr>
  </w:style>
  <w:style w:type="paragraph" w:styleId="Heading5">
    <w:name w:val="heading 5"/>
    <w:next w:val="Normal"/>
    <w:link w:val="Heading5Char"/>
    <w:uiPriority w:val="9"/>
    <w:qFormat/>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uiPriority w:val="9"/>
    <w:qFormat/>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Normal"/>
    <w:next w:val="Normal"/>
    <w:link w:val="Heading8Char"/>
    <w:uiPriority w:val="9"/>
    <w:unhideWhenUsed/>
    <w:qFormat/>
    <w:rsid w:val="004C753C"/>
    <w:pPr>
      <w:keepNext/>
      <w:keepLines/>
      <w:spacing w:before="0" w:after="0" w:line="279" w:lineRule="auto"/>
      <w:outlineLvl w:val="7"/>
    </w:pPr>
    <w:rPr>
      <w:rFonts w:asciiTheme="minorHAnsi" w:eastAsiaTheme="majorEastAsia" w:hAnsiTheme="minorHAnsi" w:cstheme="majorBidi"/>
      <w:i/>
      <w:iCs/>
      <w:color w:val="067777" w:themeColor="text1" w:themeTint="D8"/>
      <w:sz w:val="24"/>
      <w:lang w:val="en-GB" w:eastAsia="ja-JP"/>
    </w:rPr>
  </w:style>
  <w:style w:type="paragraph" w:styleId="Heading9">
    <w:name w:val="heading 9"/>
    <w:basedOn w:val="Normal"/>
    <w:next w:val="Normal"/>
    <w:link w:val="Heading9Char"/>
    <w:uiPriority w:val="9"/>
    <w:unhideWhenUsed/>
    <w:qFormat/>
    <w:rsid w:val="004C753C"/>
    <w:pPr>
      <w:keepNext/>
      <w:keepLines/>
      <w:spacing w:before="0" w:after="0" w:line="279" w:lineRule="auto"/>
      <w:outlineLvl w:val="8"/>
    </w:pPr>
    <w:rPr>
      <w:rFonts w:asciiTheme="minorHAnsi" w:eastAsiaTheme="majorEastAsia" w:hAnsiTheme="minorHAnsi" w:cstheme="majorBidi"/>
      <w:color w:val="067777" w:themeColor="text1" w:themeTint="D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uiPriority w:val="11"/>
    <w:qFormat/>
    <w:rsid w:val="00645F27"/>
    <w:pPr>
      <w:numPr>
        <w:ilvl w:val="1"/>
      </w:numPr>
      <w:spacing w:before="120" w:after="60"/>
    </w:pPr>
    <w:rPr>
      <w:rFonts w:ascii="Segoe UI Semibold" w:eastAsiaTheme="majorEastAsia" w:hAnsi="Segoe UI Semibold" w:cstheme="majorBidi"/>
      <w:iCs/>
      <w:color w:val="FFFFFF"/>
      <w:spacing w:val="15"/>
      <w:sz w:val="40"/>
      <w:szCs w:val="24"/>
      <w:lang w:eastAsia="en-US"/>
    </w:rPr>
  </w:style>
  <w:style w:type="character" w:customStyle="1" w:styleId="SubtitleChar">
    <w:name w:val="Subtitle Char"/>
    <w:basedOn w:val="DefaultParagraphFont"/>
    <w:link w:val="Subtitle"/>
    <w:uiPriority w:val="11"/>
    <w:rsid w:val="00645F27"/>
    <w:rPr>
      <w:rFonts w:ascii="Segoe UI Semibold" w:eastAsiaTheme="majorEastAsia" w:hAnsi="Segoe UI Semibold" w:cstheme="majorBidi"/>
      <w:iCs/>
      <w:color w:val="FFFFFF"/>
      <w:spacing w:val="15"/>
      <w:sz w:val="40"/>
      <w:szCs w:val="24"/>
      <w:lang w:eastAsia="en-US"/>
    </w:rPr>
  </w:style>
  <w:style w:type="paragraph" w:styleId="Title">
    <w:name w:val="Title"/>
    <w:next w:val="Normal"/>
    <w:link w:val="TitleChar"/>
    <w:autoRedefine/>
    <w:uiPriority w:val="10"/>
    <w:qFormat/>
    <w:rsid w:val="00645F27"/>
    <w:pPr>
      <w:spacing w:before="3120" w:after="120"/>
      <w:contextualSpacing/>
    </w:pPr>
    <w:rPr>
      <w:rFonts w:ascii="Segoe UI" w:eastAsiaTheme="majorEastAsia" w:hAnsi="Segoe UI" w:cstheme="majorBidi"/>
      <w:b/>
      <w:color w:val="FFFFFF"/>
      <w:kern w:val="28"/>
      <w:sz w:val="48"/>
      <w:szCs w:val="52"/>
      <w:lang w:eastAsia="en-US"/>
    </w:rPr>
  </w:style>
  <w:style w:type="character" w:customStyle="1" w:styleId="TitleChar">
    <w:name w:val="Title Char"/>
    <w:basedOn w:val="DefaultParagraphFont"/>
    <w:link w:val="Title"/>
    <w:uiPriority w:val="10"/>
    <w:rsid w:val="00645F27"/>
    <w:rPr>
      <w:rFonts w:ascii="Segoe UI" w:eastAsiaTheme="majorEastAsia" w:hAnsi="Segoe UI" w:cstheme="majorBidi"/>
      <w:b/>
      <w:color w:val="FFFFFF"/>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qFormat/>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qFormat/>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qFormat/>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basedOn w:val="Normal"/>
    <w:next w:val="Normal"/>
    <w:qFormat/>
    <w:rsid w:val="00A9485A"/>
    <w:rPr>
      <w:rFonts w:ascii="Segoe UI Semibold" w:hAnsi="Segoe UI Semibold" w:cs="Arial"/>
      <w:b/>
      <w:bCs/>
      <w:iCs/>
      <w:szCs w:val="22"/>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17D75"/>
    <w:rPr>
      <w:rFonts w:ascii="Segoe UI" w:hAnsi="Segoe UI"/>
      <w:color w:val="02646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6D49D7"/>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00000" w:themeColor="text2"/>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styleId="CommentText">
    <w:name w:val="annotation text"/>
    <w:basedOn w:val="Normal"/>
    <w:link w:val="CommentTextChar"/>
    <w:uiPriority w:val="99"/>
    <w:unhideWhenUsed/>
    <w:rsid w:val="007E02AC"/>
    <w:pPr>
      <w:spacing w:before="0" w:after="160" w:line="240" w:lineRule="auto"/>
    </w:pPr>
    <w:rPr>
      <w:rFonts w:asciiTheme="minorHAnsi" w:eastAsiaTheme="minorEastAsia" w:hAnsiTheme="minorHAnsi" w:cstheme="minorBidi"/>
      <w:color w:val="auto"/>
      <w:sz w:val="20"/>
      <w:szCs w:val="20"/>
      <w:lang w:val="en-GB" w:eastAsia="ja-JP"/>
    </w:rPr>
  </w:style>
  <w:style w:type="character" w:customStyle="1" w:styleId="CommentTextChar">
    <w:name w:val="Comment Text Char"/>
    <w:basedOn w:val="DefaultParagraphFont"/>
    <w:link w:val="CommentText"/>
    <w:uiPriority w:val="99"/>
    <w:rsid w:val="007E02AC"/>
    <w:rPr>
      <w:rFonts w:asciiTheme="minorHAnsi" w:eastAsiaTheme="minorEastAsia" w:hAnsiTheme="minorHAnsi" w:cstheme="minorBidi"/>
      <w:lang w:val="en-GB" w:eastAsia="ja-JP"/>
    </w:rPr>
  </w:style>
  <w:style w:type="character" w:styleId="CommentReference">
    <w:name w:val="annotation reference"/>
    <w:basedOn w:val="DefaultParagraphFont"/>
    <w:uiPriority w:val="99"/>
    <w:semiHidden/>
    <w:unhideWhenUsed/>
    <w:rsid w:val="007E02AC"/>
    <w:rPr>
      <w:sz w:val="16"/>
      <w:szCs w:val="16"/>
    </w:rPr>
  </w:style>
  <w:style w:type="paragraph" w:styleId="TOC2">
    <w:name w:val="toc 2"/>
    <w:basedOn w:val="Normal"/>
    <w:next w:val="Normal"/>
    <w:uiPriority w:val="39"/>
    <w:unhideWhenUsed/>
    <w:rsid w:val="00DF463B"/>
    <w:pPr>
      <w:spacing w:before="0" w:after="100" w:line="279" w:lineRule="auto"/>
      <w:ind w:left="220"/>
    </w:pPr>
    <w:rPr>
      <w:rFonts w:asciiTheme="minorHAnsi" w:eastAsiaTheme="minorEastAsia" w:hAnsiTheme="minorHAnsi" w:cstheme="minorBidi"/>
      <w:color w:val="auto"/>
      <w:sz w:val="24"/>
      <w:lang w:val="en-GB" w:eastAsia="ja-JP"/>
    </w:rPr>
  </w:style>
  <w:style w:type="paragraph" w:styleId="TOC1">
    <w:name w:val="toc 1"/>
    <w:basedOn w:val="Normal"/>
    <w:next w:val="Normal"/>
    <w:autoRedefine/>
    <w:uiPriority w:val="39"/>
    <w:unhideWhenUsed/>
    <w:rsid w:val="00DF463B"/>
    <w:pPr>
      <w:spacing w:before="0" w:after="100" w:line="279" w:lineRule="auto"/>
    </w:pPr>
    <w:rPr>
      <w:rFonts w:asciiTheme="minorHAnsi" w:eastAsiaTheme="minorEastAsia" w:hAnsiTheme="minorHAnsi" w:cstheme="minorBidi"/>
      <w:color w:val="auto"/>
      <w:sz w:val="24"/>
      <w:lang w:val="en-GB" w:eastAsia="ja-JP"/>
    </w:rPr>
  </w:style>
  <w:style w:type="table" w:styleId="GridTable4-Accent1">
    <w:name w:val="Grid Table 4 Accent 1"/>
    <w:basedOn w:val="TableNormal"/>
    <w:uiPriority w:val="49"/>
    <w:rsid w:val="007E2F25"/>
    <w:rPr>
      <w:rFonts w:asciiTheme="minorHAnsi" w:eastAsiaTheme="minorEastAsia" w:hAnsiTheme="minorHAnsi" w:cstheme="minorBidi"/>
      <w:sz w:val="24"/>
      <w:szCs w:val="24"/>
      <w:lang w:val="en-GB" w:eastAsia="ja-JP"/>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00DCA1"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character" w:styleId="FootnoteReference">
    <w:name w:val="footnote reference"/>
    <w:basedOn w:val="DefaultParagraphFont"/>
    <w:uiPriority w:val="99"/>
    <w:semiHidden/>
    <w:unhideWhenUsed/>
    <w:rsid w:val="00145170"/>
    <w:rPr>
      <w:vertAlign w:val="superscript"/>
    </w:rPr>
  </w:style>
  <w:style w:type="paragraph" w:styleId="EndnoteText">
    <w:name w:val="endnote text"/>
    <w:basedOn w:val="Normal"/>
    <w:link w:val="EndnoteTextChar"/>
    <w:semiHidden/>
    <w:unhideWhenUsed/>
    <w:rsid w:val="00145170"/>
    <w:pPr>
      <w:spacing w:before="0" w:after="0" w:line="240" w:lineRule="auto"/>
    </w:pPr>
    <w:rPr>
      <w:sz w:val="20"/>
      <w:szCs w:val="20"/>
    </w:rPr>
  </w:style>
  <w:style w:type="character" w:customStyle="1" w:styleId="EndnoteTextChar">
    <w:name w:val="Endnote Text Char"/>
    <w:basedOn w:val="DefaultParagraphFont"/>
    <w:link w:val="EndnoteText"/>
    <w:semiHidden/>
    <w:rsid w:val="00145170"/>
    <w:rPr>
      <w:rFonts w:ascii="Arial" w:hAnsi="Arial"/>
      <w:color w:val="000000" w:themeColor="text2"/>
      <w:lang w:eastAsia="en-US"/>
    </w:rPr>
  </w:style>
  <w:style w:type="character" w:styleId="EndnoteReference">
    <w:name w:val="endnote reference"/>
    <w:basedOn w:val="DefaultParagraphFont"/>
    <w:semiHidden/>
    <w:unhideWhenUsed/>
    <w:rsid w:val="00145170"/>
    <w:rPr>
      <w:vertAlign w:val="superscript"/>
    </w:rPr>
  </w:style>
  <w:style w:type="character" w:customStyle="1" w:styleId="Heading5Char">
    <w:name w:val="Heading 5 Char"/>
    <w:basedOn w:val="DefaultParagraphFont"/>
    <w:link w:val="Heading5"/>
    <w:uiPriority w:val="9"/>
    <w:rsid w:val="00C821EF"/>
    <w:rPr>
      <w:rFonts w:ascii="Arial" w:hAnsi="Arial"/>
      <w:b/>
      <w:bCs/>
      <w:iCs/>
      <w:color w:val="C55500" w:themeColor="accent2"/>
      <w:sz w:val="24"/>
      <w:szCs w:val="26"/>
      <w:lang w:eastAsia="en-US"/>
    </w:rPr>
  </w:style>
  <w:style w:type="character" w:customStyle="1" w:styleId="Heading8Char">
    <w:name w:val="Heading 8 Char"/>
    <w:basedOn w:val="DefaultParagraphFont"/>
    <w:link w:val="Heading8"/>
    <w:uiPriority w:val="9"/>
    <w:rsid w:val="004C753C"/>
    <w:rPr>
      <w:rFonts w:asciiTheme="minorHAnsi" w:eastAsiaTheme="majorEastAsia" w:hAnsiTheme="minorHAnsi" w:cstheme="majorBidi"/>
      <w:i/>
      <w:iCs/>
      <w:color w:val="067777" w:themeColor="text1" w:themeTint="D8"/>
      <w:sz w:val="24"/>
      <w:szCs w:val="24"/>
      <w:lang w:val="en-GB" w:eastAsia="ja-JP"/>
    </w:rPr>
  </w:style>
  <w:style w:type="character" w:customStyle="1" w:styleId="Heading9Char">
    <w:name w:val="Heading 9 Char"/>
    <w:basedOn w:val="DefaultParagraphFont"/>
    <w:link w:val="Heading9"/>
    <w:uiPriority w:val="9"/>
    <w:rsid w:val="004C753C"/>
    <w:rPr>
      <w:rFonts w:asciiTheme="minorHAnsi" w:eastAsiaTheme="majorEastAsia" w:hAnsiTheme="minorHAnsi" w:cstheme="majorBidi"/>
      <w:color w:val="067777" w:themeColor="text1" w:themeTint="D8"/>
      <w:sz w:val="24"/>
      <w:szCs w:val="24"/>
      <w:lang w:val="en-GB" w:eastAsia="ja-JP"/>
    </w:rPr>
  </w:style>
  <w:style w:type="character" w:customStyle="1" w:styleId="Heading1Char">
    <w:name w:val="Heading 1 Char"/>
    <w:basedOn w:val="DefaultParagraphFont"/>
    <w:link w:val="Heading1"/>
    <w:uiPriority w:val="9"/>
    <w:rsid w:val="00144E32"/>
    <w:rPr>
      <w:rFonts w:ascii="Segoe UI" w:hAnsi="Segoe UI" w:cs="Arial"/>
      <w:b/>
      <w:bCs/>
      <w:color w:val="025F5D"/>
      <w:kern w:val="28"/>
      <w:sz w:val="44"/>
      <w:szCs w:val="36"/>
      <w:lang w:eastAsia="en-US"/>
    </w:rPr>
  </w:style>
  <w:style w:type="character" w:customStyle="1" w:styleId="Heading2Char">
    <w:name w:val="Heading 2 Char"/>
    <w:basedOn w:val="DefaultParagraphFont"/>
    <w:link w:val="Heading2"/>
    <w:uiPriority w:val="9"/>
    <w:rsid w:val="00144E32"/>
    <w:rPr>
      <w:rFonts w:ascii="Segoe UI" w:hAnsi="Segoe UI" w:cs="Arial"/>
      <w:b/>
      <w:iCs/>
      <w:color w:val="025F5D"/>
      <w:kern w:val="28"/>
      <w:sz w:val="36"/>
      <w:szCs w:val="28"/>
      <w:lang w:eastAsia="en-US"/>
    </w:rPr>
  </w:style>
  <w:style w:type="character" w:customStyle="1" w:styleId="Heading3Char">
    <w:name w:val="Heading 3 Char"/>
    <w:basedOn w:val="DefaultParagraphFont"/>
    <w:link w:val="Heading3"/>
    <w:uiPriority w:val="9"/>
    <w:rsid w:val="004C753C"/>
    <w:rPr>
      <w:rFonts w:ascii="Arial" w:hAnsi="Arial" w:cs="Arial"/>
      <w:b/>
      <w:bCs/>
      <w:color w:val="033636" w:themeColor="text1"/>
      <w:sz w:val="32"/>
      <w:szCs w:val="26"/>
      <w:lang w:eastAsia="en-US"/>
    </w:rPr>
  </w:style>
  <w:style w:type="character" w:customStyle="1" w:styleId="Heading4Char">
    <w:name w:val="Heading 4 Char"/>
    <w:basedOn w:val="DefaultParagraphFont"/>
    <w:link w:val="Heading4"/>
    <w:uiPriority w:val="9"/>
    <w:rsid w:val="004C753C"/>
    <w:rPr>
      <w:rFonts w:ascii="Arial" w:hAnsi="Arial"/>
      <w:b/>
      <w:bCs/>
      <w:i/>
      <w:color w:val="033636" w:themeColor="text1"/>
      <w:sz w:val="28"/>
      <w:szCs w:val="28"/>
      <w:lang w:eastAsia="en-US"/>
    </w:rPr>
  </w:style>
  <w:style w:type="character" w:customStyle="1" w:styleId="Heading6Char">
    <w:name w:val="Heading 6 Char"/>
    <w:basedOn w:val="DefaultParagraphFont"/>
    <w:link w:val="Heading6"/>
    <w:uiPriority w:val="9"/>
    <w:rsid w:val="004C753C"/>
    <w:rPr>
      <w:rFonts w:ascii="Arial" w:hAnsi="Arial"/>
      <w:b/>
      <w:bCs/>
      <w:sz w:val="22"/>
      <w:szCs w:val="22"/>
      <w:lang w:eastAsia="en-US"/>
    </w:rPr>
  </w:style>
  <w:style w:type="paragraph" w:customStyle="1" w:styleId="DMzIconDescriptor">
    <w:name w:val="DM:zIconDescriptor"/>
    <w:basedOn w:val="Normal"/>
    <w:link w:val="DMzIconDescriptorChar"/>
    <w:uiPriority w:val="1"/>
    <w:qFormat/>
    <w:rsid w:val="004C753C"/>
    <w:pPr>
      <w:spacing w:before="0" w:after="160" w:line="279" w:lineRule="auto"/>
      <w:ind w:left="29"/>
      <w:jc w:val="both"/>
    </w:pPr>
    <w:rPr>
      <w:rFonts w:asciiTheme="minorHAnsi" w:eastAsiaTheme="minorEastAsia" w:hAnsiTheme="minorHAnsi" w:cstheme="minorBidi"/>
      <w:color w:val="373737"/>
      <w:sz w:val="16"/>
      <w:szCs w:val="16"/>
      <w:lang w:val="en-GB" w:eastAsia="ja-JP"/>
    </w:rPr>
  </w:style>
  <w:style w:type="character" w:customStyle="1" w:styleId="DMzIconDescriptorChar">
    <w:name w:val="DM:zIconDescriptor Char"/>
    <w:basedOn w:val="DefaultParagraphFont"/>
    <w:link w:val="DMzIconDescriptor"/>
    <w:uiPriority w:val="1"/>
    <w:rsid w:val="004C753C"/>
    <w:rPr>
      <w:rFonts w:asciiTheme="minorHAnsi" w:eastAsiaTheme="minorEastAsia" w:hAnsiTheme="minorHAnsi" w:cstheme="minorBidi"/>
      <w:color w:val="373737"/>
      <w:sz w:val="16"/>
      <w:szCs w:val="16"/>
      <w:lang w:val="en-GB" w:eastAsia="ja-JP"/>
    </w:rPr>
  </w:style>
  <w:style w:type="paragraph" w:styleId="CommentSubject">
    <w:name w:val="annotation subject"/>
    <w:basedOn w:val="CommentText"/>
    <w:next w:val="CommentText"/>
    <w:link w:val="CommentSubjectChar"/>
    <w:uiPriority w:val="99"/>
    <w:semiHidden/>
    <w:unhideWhenUsed/>
    <w:rsid w:val="004C753C"/>
    <w:rPr>
      <w:b/>
      <w:bCs/>
    </w:rPr>
  </w:style>
  <w:style w:type="character" w:customStyle="1" w:styleId="CommentSubjectChar">
    <w:name w:val="Comment Subject Char"/>
    <w:basedOn w:val="CommentTextChar"/>
    <w:link w:val="CommentSubject"/>
    <w:uiPriority w:val="99"/>
    <w:semiHidden/>
    <w:rsid w:val="004C753C"/>
    <w:rPr>
      <w:rFonts w:asciiTheme="minorHAnsi" w:eastAsiaTheme="minorEastAsia" w:hAnsiTheme="minorHAnsi" w:cstheme="minorBidi"/>
      <w:b/>
      <w:bCs/>
      <w:lang w:val="en-GB" w:eastAsia="ja-JP"/>
    </w:rPr>
  </w:style>
  <w:style w:type="character" w:styleId="UnresolvedMention">
    <w:name w:val="Unresolved Mention"/>
    <w:basedOn w:val="DefaultParagraphFont"/>
    <w:uiPriority w:val="99"/>
    <w:semiHidden/>
    <w:unhideWhenUsed/>
    <w:rsid w:val="004C753C"/>
    <w:rPr>
      <w:color w:val="605E5C"/>
      <w:shd w:val="clear" w:color="auto" w:fill="E1DFDD"/>
    </w:rPr>
  </w:style>
  <w:style w:type="character" w:styleId="Mention">
    <w:name w:val="Mention"/>
    <w:basedOn w:val="DefaultParagraphFont"/>
    <w:uiPriority w:val="99"/>
    <w:unhideWhenUsed/>
    <w:rsid w:val="004C753C"/>
    <w:rPr>
      <w:color w:val="2B579A"/>
      <w:shd w:val="clear" w:color="auto" w:fill="E1DFDD"/>
    </w:rPr>
  </w:style>
  <w:style w:type="paragraph" w:styleId="TOC3">
    <w:name w:val="toc 3"/>
    <w:basedOn w:val="Normal"/>
    <w:next w:val="Normal"/>
    <w:uiPriority w:val="39"/>
    <w:unhideWhenUsed/>
    <w:rsid w:val="004C753C"/>
    <w:pPr>
      <w:spacing w:before="0" w:after="100" w:line="279" w:lineRule="auto"/>
      <w:ind w:left="440"/>
    </w:pPr>
    <w:rPr>
      <w:rFonts w:asciiTheme="minorHAnsi" w:eastAsiaTheme="minorEastAsia" w:hAnsiTheme="minorHAnsi" w:cstheme="minorBidi"/>
      <w:color w:val="auto"/>
      <w:sz w:val="24"/>
      <w:lang w:val="en-GB" w:eastAsia="ja-JP"/>
    </w:rPr>
  </w:style>
  <w:style w:type="paragraph" w:styleId="Revision">
    <w:name w:val="Revision"/>
    <w:hidden/>
    <w:uiPriority w:val="99"/>
    <w:semiHidden/>
    <w:rsid w:val="004C753C"/>
    <w:rPr>
      <w:rFonts w:asciiTheme="minorHAnsi" w:eastAsiaTheme="minorEastAsia" w:hAnsiTheme="minorHAnsi" w:cstheme="minorBidi"/>
      <w:sz w:val="24"/>
      <w:szCs w:val="24"/>
      <w:lang w:val="en-GB" w:eastAsia="ja-JP"/>
    </w:rPr>
  </w:style>
  <w:style w:type="character" w:styleId="FollowedHyperlink">
    <w:name w:val="FollowedHyperlink"/>
    <w:basedOn w:val="DefaultParagraphFont"/>
    <w:uiPriority w:val="99"/>
    <w:semiHidden/>
    <w:unhideWhenUsed/>
    <w:rsid w:val="004C753C"/>
    <w:rPr>
      <w:color w:val="0070C0" w:themeColor="followedHyperlink"/>
      <w:u w:val="single"/>
    </w:rPr>
  </w:style>
  <w:style w:type="paragraph" w:styleId="TOCHeading">
    <w:name w:val="TOC Heading"/>
    <w:basedOn w:val="Heading1"/>
    <w:next w:val="Normal"/>
    <w:uiPriority w:val="39"/>
    <w:unhideWhenUsed/>
    <w:qFormat/>
    <w:rsid w:val="00A9485A"/>
    <w:pPr>
      <w:keepLines/>
      <w:spacing w:after="0" w:line="259" w:lineRule="auto"/>
      <w:outlineLvl w:val="9"/>
    </w:pPr>
    <w:rPr>
      <w:rFonts w:eastAsiaTheme="majorEastAsia" w:cstheme="majorBidi"/>
      <w:bCs w:val="0"/>
      <w:kern w:val="0"/>
      <w:sz w:val="36"/>
      <w:szCs w:val="32"/>
      <w:lang w:eastAsia="en-AU"/>
    </w:rPr>
  </w:style>
  <w:style w:type="paragraph" w:styleId="ListNumber">
    <w:name w:val="List Number"/>
    <w:basedOn w:val="Normal"/>
    <w:rsid w:val="00144E32"/>
    <w:pPr>
      <w:numPr>
        <w:numId w:val="12"/>
      </w:numPr>
      <w:contextualSpacing/>
    </w:pPr>
    <w:rPr>
      <w:b/>
      <w:color w:val="025F5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5.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hyperlink" Target="https://www.cdc.gov.au/resources/collections/cdna-series-national-guidelines-songs" TargetMode="External"/><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dc.gov.au/resources/publications/national-immunisation-strategy-australia-2025-2030" TargetMode="External"/><Relationship Id="rId29" Type="http://schemas.openxmlformats.org/officeDocument/2006/relationships/hyperlink" Target="https://ncirs.org.au/health-professionals/immunisation-coverage-data-and-reports" TargetMode="Externa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yperlink" Target="https://www.aihw.gov.au/reports-data/ahpf/australias-health-performance-framework" TargetMode="External"/><Relationship Id="rId37" Type="http://schemas.openxmlformats.org/officeDocument/2006/relationships/hyperlink" Target="https://www.aihw.gov.au/reports/immunisation/vaccine-preventable-diseases/contents/about" TargetMode="External"/><Relationship Id="rId40" Type="http://schemas.openxmlformats.org/officeDocument/2006/relationships/footer" Target="footer6.xml"/><Relationship Id="rId45" Type="http://schemas.openxmlformats.org/officeDocument/2006/relationships/header" Target="header11.xml"/><Relationship Id="rId53" Type="http://schemas.openxmlformats.org/officeDocument/2006/relationships/hyperlink" Target="https://www.go-fair.org/fair-principles/" TargetMode="External"/><Relationship Id="rId58" Type="http://schemas.openxmlformats.org/officeDocument/2006/relationships/hyperlink" Target="https://federalfinancialrelations.gov.au/agreements/essential-vaccines" TargetMode="External"/><Relationship Id="rId66" Type="http://schemas.openxmlformats.org/officeDocument/2006/relationships/header" Target="header13.xml"/><Relationship Id="rId5" Type="http://schemas.openxmlformats.org/officeDocument/2006/relationships/numbering" Target="numbering.xml"/><Relationship Id="rId61" Type="http://schemas.openxmlformats.org/officeDocument/2006/relationships/hyperlink" Target="https://www.aihw.gov.au/reports-data/nhdh" TargetMode="Externa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yperlink" Target="https://www.aihw.gov.au/reports/immunisation/essential-vaccines-performance-report-2023-24/summary" TargetMode="External"/><Relationship Id="rId30" Type="http://schemas.openxmlformats.org/officeDocument/2006/relationships/hyperlink" Target="https://www.health.gov.au/topics/immunisation/immunisation-data/childhood-immunisation-coverage/immunisation-coverage-data-surveys-and-reports" TargetMode="External"/><Relationship Id="rId35" Type="http://schemas.openxmlformats.org/officeDocument/2006/relationships/hyperlink" Target="https://ncirs.org.au/national-vaccination-insights-project/adult-vaccination-insights" TargetMode="External"/><Relationship Id="rId43" Type="http://schemas.openxmlformats.org/officeDocument/2006/relationships/image" Target="media/image6.png"/><Relationship Id="rId48" Type="http://schemas.openxmlformats.org/officeDocument/2006/relationships/header" Target="header12.xml"/><Relationship Id="rId56" Type="http://schemas.openxmlformats.org/officeDocument/2006/relationships/hyperlink" Target="https://www.gida-global.org/care" TargetMode="External"/><Relationship Id="rId64" Type="http://schemas.openxmlformats.org/officeDocument/2006/relationships/hyperlink" Target="https://www.cdc.gov.au/newsroom/news-and-articles/poliovirus-detection-outbreak-response-plan-now-available" TargetMode="External"/><Relationship Id="rId69"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yperlink" Target="https://www.cdc.gov.au/resources/publications/national-immunisation-strategy-australia-2025-2030"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footer" Target="footer5.xml"/><Relationship Id="rId33" Type="http://schemas.openxmlformats.org/officeDocument/2006/relationships/hyperlink" Target="https://www.indigenoushpf.gov.au/report-overview/overview/summary-report" TargetMode="External"/><Relationship Id="rId38" Type="http://schemas.openxmlformats.org/officeDocument/2006/relationships/header" Target="header7.xml"/><Relationship Id="rId46" Type="http://schemas.openxmlformats.org/officeDocument/2006/relationships/footer" Target="footer8.xml"/><Relationship Id="rId59" Type="http://schemas.openxmlformats.org/officeDocument/2006/relationships/hyperlink" Target="https://acpcc.org.au/our-impact/elimination-strategy/" TargetMode="External"/><Relationship Id="rId67"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hyperlink" Target="https://www.closingthegap.gov.au/national-agreement/priority-reforms" TargetMode="External"/><Relationship Id="rId62" Type="http://schemas.openxmlformats.org/officeDocument/2006/relationships/hyperlink" Target="https://www.cdc.gov.au/resources/collections/cdna-series-national-guidelines-song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health.gov.au/topics/immunisation/immunisation-data" TargetMode="External"/><Relationship Id="rId36" Type="http://schemas.openxmlformats.org/officeDocument/2006/relationships/hyperlink" Target="https://www.health.gov.au/our-work/nndss" TargetMode="External"/><Relationship Id="rId49" Type="http://schemas.openxmlformats.org/officeDocument/2006/relationships/footer" Target="footer10.xml"/><Relationship Id="rId57" Type="http://schemas.openxmlformats.org/officeDocument/2006/relationships/hyperlink" Target="https://www.maiamnayriwingara.org/mnw-principles" TargetMode="External"/><Relationship Id="rId10" Type="http://schemas.openxmlformats.org/officeDocument/2006/relationships/endnotes" Target="endnotes.xml"/><Relationship Id="rId31" Type="http://schemas.openxmlformats.org/officeDocument/2006/relationships/hyperlink" Target="https://www.aihw.gov.au/reports-data/ahpf/australias-health-performance-framework" TargetMode="External"/><Relationship Id="rId44" Type="http://schemas.openxmlformats.org/officeDocument/2006/relationships/header" Target="header10.xml"/><Relationship Id="rId52" Type="http://schemas.openxmlformats.org/officeDocument/2006/relationships/hyperlink" Target="https://www.nhmrc.gov.au/about-us/publications/national-statement-ethical-conduct-human-research-2025" TargetMode="External"/><Relationship Id="rId60" Type="http://schemas.openxmlformats.org/officeDocument/2006/relationships/hyperlink" Target="https://www.abs.gov.au/about/data-services/data-integration/integrated-data/person-level-integrated-data-asset-plida" TargetMode="External"/><Relationship Id="rId65" Type="http://schemas.openxmlformats.org/officeDocument/2006/relationships/hyperlink" Target="chrome-extension://efaidnbmnnnibpcajpcglclefindmkaj/https:/www.health.gov.au/sites/default/files/2025-06/national-immunisation-strategy-for-australia-2025-2030_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g"/><Relationship Id="rId39" Type="http://schemas.openxmlformats.org/officeDocument/2006/relationships/header" Target="header8.xml"/><Relationship Id="rId34" Type="http://schemas.openxmlformats.org/officeDocument/2006/relationships/hyperlink" Target="https://ncirs.org.au/childhood-vaccination-insights/childhood-vaccination-barriers-australia-key-findings-summary" TargetMode="External"/><Relationship Id="rId50" Type="http://schemas.openxmlformats.org/officeDocument/2006/relationships/hyperlink" Target="https://www.health.gov.au/committees-and-groups/australian-health-protection-committee-ahpc?utm_source=chatgpt.com" TargetMode="External"/><Relationship Id="rId55" Type="http://schemas.openxmlformats.org/officeDocument/2006/relationships/hyperlink" Target="https://www.niaa.gov.au/resource-centre/framework-governance-indigenous-d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KDI\AppData\Local\Microsoft\Windows\INetCache\Content.Outlook\MB5ABMK1\AustCDC%20Short%20report%20template%20-%20Option%203.dotx" TargetMode="External"/></Relationships>
</file>

<file path=word/theme/theme1.xml><?xml version="1.0" encoding="utf-8"?>
<a:theme xmlns:a="http://schemas.openxmlformats.org/drawingml/2006/main" name="CDC">
  <a:themeElements>
    <a:clrScheme name="Custom 5">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D2357505BEEC4A8EA58EEBB5BF621D" ma:contentTypeVersion="0" ma:contentTypeDescription="Create a new document." ma:contentTypeScope="" ma:versionID="12cbbdef7bfb1e599f7ea843f783d4fa">
  <xsd:schema xmlns:xsd="http://www.w3.org/2001/XMLSchema" xmlns:xs="http://www.w3.org/2001/XMLSchema" xmlns:p="http://schemas.microsoft.com/office/2006/metadata/properties" targetNamespace="http://schemas.microsoft.com/office/2006/metadata/properties" ma:root="true" ma:fieldsID="b84c390a07b92f3072bc78982b6f0c3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C0E7C7-9A21-4938-8C14-FB056684E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AustCDC Short report template - Option 3.dotx</Template>
  <TotalTime>94</TotalTime>
  <Pages>25</Pages>
  <Words>5111</Words>
  <Characters>33278</Characters>
  <Application>Microsoft Office Word</Application>
  <DocSecurity>0</DocSecurity>
  <Lines>978</Lines>
  <Paragraphs>404</Paragraphs>
  <ScaleCrop>false</ScaleCrop>
  <HeadingPairs>
    <vt:vector size="2" baseType="variant">
      <vt:variant>
        <vt:lpstr>Title</vt:lpstr>
      </vt:variant>
      <vt:variant>
        <vt:i4>1</vt:i4>
      </vt:variant>
    </vt:vector>
  </HeadingPairs>
  <TitlesOfParts>
    <vt:vector size="1" baseType="lpstr">
      <vt:lpstr>Monitoring, evaluation and learning framework for the National Immunisation Strategy for Australia 2025–2030</vt:lpstr>
    </vt:vector>
  </TitlesOfParts>
  <Company/>
  <LinksUpToDate>false</LinksUpToDate>
  <CharactersWithSpaces>37985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evaluation and learning framework for the National Immunisation Strategy for Australia 2025–2030</dc:title>
  <dc:subject>Communicable diseases prevention and control</dc:subject>
  <dc:creator>Australian Centre for Disease Control</dc:creator>
  <cp:keywords>AHPC; NIS</cp:keywords>
  <cp:lastModifiedBy>MCCAY, Meryl</cp:lastModifiedBy>
  <cp:revision>7</cp:revision>
  <cp:lastPrinted>2022-06-22T22:44:00Z</cp:lastPrinted>
  <dcterms:created xsi:type="dcterms:W3CDTF">2026-04-17T04:56:00Z</dcterms:created>
  <dcterms:modified xsi:type="dcterms:W3CDTF">2026-04-20T06:08:00Z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dc20653,4d9fd9d3,1122d80b,703e95e2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15c10983,67d74723,44ac22f3,596f591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2025-12-09T04:45:20Z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38409456-34d3-4d0e-9ae7-e70fb74ed0d6</vt:lpwstr>
  </property>
  <property fmtid="{D5CDD505-2E9C-101B-9397-08002B2CF9AE}" pid="14" name="MSIP_Label_7cd3e8b9-ffed-43a8-b7f4-cc2fa0382d36_ContentBits">
    <vt:lpwstr>3</vt:lpwstr>
  </property>
  <property fmtid="{D5CDD505-2E9C-101B-9397-08002B2CF9AE}" pid="15" name="MSIP_Label_7cd3e8b9-ffed-43a8-b7f4-cc2fa0382d36_Tag">
    <vt:lpwstr>50, 0, 1, 1</vt:lpwstr>
  </property>
</Properties>
</file>