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079" w14:textId="0852D445" w:rsidR="00A402FA" w:rsidRDefault="005A69E1" w:rsidP="00401D00">
      <w:pPr>
        <w:pStyle w:val="Subtitle"/>
        <w:rPr>
          <w:rFonts w:ascii="Segoe UI" w:eastAsiaTheme="majorEastAsia" w:hAnsi="Segoe UI" w:cs="Segoe UI"/>
          <w:b/>
          <w:color w:val="025F5D"/>
          <w:sz w:val="40"/>
          <w:szCs w:val="72"/>
        </w:rPr>
      </w:pPr>
      <w:bookmarkStart w:id="0" w:name="_Toc501634887"/>
      <w:r>
        <w:rPr>
          <w:rFonts w:ascii="Segoe UI" w:eastAsiaTheme="majorEastAsia" w:hAnsi="Segoe UI" w:cs="Segoe UI"/>
          <w:b/>
          <w:color w:val="025F5D"/>
          <w:sz w:val="40"/>
          <w:szCs w:val="72"/>
        </w:rPr>
        <w:t>Radio s</w:t>
      </w:r>
      <w:r w:rsidR="00E37614" w:rsidRPr="00E37614">
        <w:rPr>
          <w:rFonts w:ascii="Segoe UI" w:eastAsiaTheme="majorEastAsia" w:hAnsi="Segoe UI" w:cs="Segoe UI"/>
          <w:b/>
          <w:color w:val="025F5D"/>
          <w:sz w:val="40"/>
          <w:szCs w:val="72"/>
        </w:rPr>
        <w:t>cript 5 – Mums and bubs</w:t>
      </w:r>
    </w:p>
    <w:p w14:paraId="101816D7" w14:textId="4CBAB3B6" w:rsidR="00401D00" w:rsidRDefault="00401D00" w:rsidP="00401D00">
      <w:pPr>
        <w:pStyle w:val="Subtitle"/>
      </w:pPr>
      <w:r>
        <w:t>20 May 2026</w:t>
      </w:r>
    </w:p>
    <w:bookmarkEnd w:id="0"/>
    <w:p w14:paraId="27EC986E" w14:textId="77777777" w:rsidR="00E37614" w:rsidRPr="00186057" w:rsidRDefault="00E37614" w:rsidP="00E37614">
      <w:r w:rsidRPr="00186057">
        <w:t>A bub's first vaccinations protect against diphtheria, whooping cough, tetanus and more. They start at six weeks. Free. Safe.</w:t>
      </w:r>
    </w:p>
    <w:p w14:paraId="3AA07B38" w14:textId="77777777" w:rsidR="00E37614" w:rsidRPr="00186057" w:rsidRDefault="00E37614" w:rsidP="00E37614">
      <w:r w:rsidRPr="196A61E1">
        <w:t>With diphtheria spreading in some of our communities, keeping your bub's vaccinations up to date matters more than ever.</w:t>
      </w:r>
    </w:p>
    <w:p w14:paraId="39A3E338" w14:textId="77777777" w:rsidR="00E37614" w:rsidRPr="00186057" w:rsidRDefault="00E37614" w:rsidP="00E37614">
      <w:r w:rsidRPr="00186057">
        <w:t>If you're a new mum, an aunty, or carrying a precious one, come and yarn with the team at [ACCHO name]. We'll walk through it together.</w:t>
      </w:r>
    </w:p>
    <w:p w14:paraId="7AB6AB2D" w14:textId="5BBE7729" w:rsidR="00401D00" w:rsidRPr="00E37614" w:rsidRDefault="00E37614" w:rsidP="00E37614">
      <w:r w:rsidRPr="00186057">
        <w:t>[ACCHO name]. [Phone]. Strong start, strong life.</w:t>
      </w:r>
    </w:p>
    <w:sectPr w:rsidR="00401D00" w:rsidRPr="00E37614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6B10" w14:textId="77777777" w:rsidR="004759BD" w:rsidRDefault="004759BD" w:rsidP="001D0AFC">
      <w:r>
        <w:separator/>
      </w:r>
    </w:p>
    <w:p w14:paraId="6C483594" w14:textId="77777777" w:rsidR="004759BD" w:rsidRDefault="004759BD"/>
    <w:p w14:paraId="293C56C5" w14:textId="77777777" w:rsidR="004759BD" w:rsidRDefault="004759BD"/>
  </w:endnote>
  <w:endnote w:type="continuationSeparator" w:id="0">
    <w:p w14:paraId="54652AE8" w14:textId="77777777" w:rsidR="004759BD" w:rsidRDefault="004759BD" w:rsidP="001D0AFC">
      <w:r>
        <w:continuationSeparator/>
      </w:r>
    </w:p>
    <w:p w14:paraId="482BF4F3" w14:textId="77777777" w:rsidR="004759BD" w:rsidRDefault="004759BD"/>
    <w:p w14:paraId="5960F2FB" w14:textId="77777777" w:rsidR="004759BD" w:rsidRDefault="00475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A8AC" w14:textId="77777777" w:rsidR="004759BD" w:rsidRDefault="004759BD" w:rsidP="001D0AFC">
      <w:r>
        <w:separator/>
      </w:r>
    </w:p>
  </w:footnote>
  <w:footnote w:type="continuationSeparator" w:id="0">
    <w:p w14:paraId="616A8929" w14:textId="77777777" w:rsidR="004759BD" w:rsidRDefault="004759BD" w:rsidP="001D0AFC">
      <w:r>
        <w:continuationSeparator/>
      </w:r>
    </w:p>
  </w:footnote>
  <w:footnote w:type="continuationNotice" w:id="1">
    <w:p w14:paraId="1F26029B" w14:textId="77777777" w:rsidR="004759BD" w:rsidRDefault="004759B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2738B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759BD"/>
    <w:rsid w:val="004868FC"/>
    <w:rsid w:val="00497959"/>
    <w:rsid w:val="004A0ED4"/>
    <w:rsid w:val="004A58E5"/>
    <w:rsid w:val="004A6A7C"/>
    <w:rsid w:val="004C5F58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65F15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A69E1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3EEE"/>
    <w:rsid w:val="006F4B5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2FA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4770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328F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315FC"/>
    <w:rsid w:val="00E352A5"/>
    <w:rsid w:val="00E36844"/>
    <w:rsid w:val="00E36B78"/>
    <w:rsid w:val="00E37614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2AEE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4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1</TotalTime>
  <Pages>1</Pages>
  <Words>84</Words>
  <Characters>392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1: General or community strength</vt:lpstr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1: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4</cp:revision>
  <cp:lastPrinted>2019-10-15T22:38:00Z</cp:lastPrinted>
  <dcterms:created xsi:type="dcterms:W3CDTF">2026-05-20T01:53:00Z</dcterms:created>
  <dcterms:modified xsi:type="dcterms:W3CDTF">2026-05-20T01:57:00Z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