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14CE1328" w14:textId="77777777" w:rsidTr="00800DEB">
        <w:tc>
          <w:tcPr>
            <w:tcW w:w="2547" w:type="dxa"/>
          </w:tcPr>
          <w:p w14:paraId="56931B51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769A9FC" wp14:editId="5BAB224E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48BC78B" w14:textId="3C5040AB" w:rsidR="00800DEB" w:rsidRDefault="00A249C5" w:rsidP="00800DEB">
            <w:pPr>
              <w:pStyle w:val="Title"/>
            </w:pPr>
            <w:r w:rsidRPr="00A249C5">
              <w:t>Syphilis (less than 2 years duration)</w:t>
            </w:r>
          </w:p>
          <w:p w14:paraId="61730685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40C19C27" w14:textId="738592C7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A249C5">
        <w:t>s</w:t>
      </w:r>
      <w:r w:rsidR="00A249C5" w:rsidRPr="00A249C5">
        <w:t>yphilis (less than 2 years duration)</w:t>
      </w:r>
      <w:r w:rsidR="00A249C5">
        <w:t>,</w:t>
      </w:r>
      <w:r w:rsidR="00A249C5" w:rsidRPr="00A249C5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860"/>
        <w:gridCol w:w="1306"/>
        <w:gridCol w:w="1881"/>
      </w:tblGrid>
      <w:tr w:rsidR="00800DEB" w:rsidRPr="00872414" w14:paraId="5F170DED" w14:textId="77777777" w:rsidTr="00A24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06DF7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65D788D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18A9F12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A955CD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65E48CEA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7E1FEE" w14:textId="50773D64" w:rsidR="00800DEB" w:rsidRPr="00A249C5" w:rsidRDefault="00A249C5" w:rsidP="00A249C5">
            <w:pPr>
              <w:pStyle w:val="TableText"/>
            </w:pPr>
            <w:r w:rsidRPr="00A249C5">
              <w:t>1.2</w:t>
            </w:r>
          </w:p>
        </w:tc>
        <w:tc>
          <w:tcPr>
            <w:tcW w:w="0" w:type="auto"/>
          </w:tcPr>
          <w:p w14:paraId="1BFDB86E" w14:textId="77777777" w:rsidR="00A249C5" w:rsidRDefault="00A249C5" w:rsidP="00A249C5">
            <w:pPr>
              <w:pStyle w:val="NormalWeb"/>
              <w:shd w:val="clear" w:color="auto" w:fill="FFFFFF"/>
              <w:spacing w:before="24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Change name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from‘</w:t>
            </w:r>
            <w:proofErr w:type="gram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Syphilis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– less than 2 years duration (infectious - primary, secondary and early latent)’ to ‘</w:t>
            </w: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Infectious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Syphilis – less than two years duration (includes primary, secondary and early latent)’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br/>
              <w:t>Include new case definition for </w:t>
            </w: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infectious syphilis, probable case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6F990928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Reporting</w:t>
            </w:r>
          </w:p>
          <w:p w14:paraId="5D014262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Both confirmed and probable cases should be notified.</w:t>
            </w:r>
          </w:p>
          <w:p w14:paraId="145C9760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Laboratory definitive evidence</w:t>
            </w:r>
          </w:p>
          <w:p w14:paraId="0B9BB758" w14:textId="7AF36488" w:rsidR="00800DEB" w:rsidRP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Move details regarding treponemal tests to notes section.</w:t>
            </w:r>
          </w:p>
        </w:tc>
        <w:tc>
          <w:tcPr>
            <w:tcW w:w="0" w:type="auto"/>
          </w:tcPr>
          <w:p w14:paraId="6C962000" w14:textId="77777777" w:rsidR="00A249C5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D56230" w14:textId="3409873E" w:rsidR="00800DEB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9C5">
              <w:t>May 2014</w:t>
            </w:r>
            <w:r w:rsidRPr="00A249C5">
              <w:tab/>
            </w:r>
          </w:p>
        </w:tc>
        <w:tc>
          <w:tcPr>
            <w:tcW w:w="0" w:type="auto"/>
          </w:tcPr>
          <w:p w14:paraId="02518FBC" w14:textId="77777777" w:rsidR="00A249C5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24C69E" w14:textId="20589B7B" w:rsidR="00800DEB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9C5">
              <w:t>1 July 2015</w:t>
            </w:r>
          </w:p>
        </w:tc>
      </w:tr>
      <w:tr w:rsidR="00800DEB" w:rsidRPr="00872414" w14:paraId="02A5E0EB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ECDF8" w14:textId="5604ADCE" w:rsidR="00800DEB" w:rsidRPr="00872414" w:rsidRDefault="00A249C5" w:rsidP="00A249C5">
            <w:pPr>
              <w:pStyle w:val="TableText"/>
            </w:pPr>
            <w:r>
              <w:t>1.1</w:t>
            </w:r>
          </w:p>
        </w:tc>
        <w:tc>
          <w:tcPr>
            <w:tcW w:w="0" w:type="auto"/>
          </w:tcPr>
          <w:p w14:paraId="412816D4" w14:textId="77777777" w:rsidR="00A249C5" w:rsidRDefault="00A249C5" w:rsidP="00A249C5">
            <w:pPr>
              <w:pStyle w:val="NormalWeb"/>
              <w:shd w:val="clear" w:color="auto" w:fill="FFFFFF"/>
              <w:spacing w:before="240" w:beforeAutospacing="0" w:after="240" w:afterAutospacing="0"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Lab Definitive evidence: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 Point 1: “… and the latest result is confirmed by either a reactive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non specific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treponemal test or a different specific treponemal test result.” Added.</w:t>
            </w:r>
          </w:p>
          <w:p w14:paraId="3A00AA91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lastRenderedPageBreak/>
              <w:t>Lab Suggestive Evidence: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Point 1: “microscopy” added to the “direct fluorescent antibody [microscopy]”</w:t>
            </w:r>
          </w:p>
          <w:p w14:paraId="469C5790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Significant rework of the remainder of this section including addition of:</w:t>
            </w:r>
          </w:p>
          <w:p w14:paraId="49305838" w14:textId="500F3888" w:rsidR="00800DEB" w:rsidRP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“A reactive specific treponemal test (e.g. IgG enzyme immunoassay,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haemagglutination assay,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particle agglutination,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immobilisation assay, or fluorescent treponemal antibody absorption), confirmed either by a different specific test or a non-specific treponemal test; OR A reactive non-specific treponemal test (e.g. Venereal Diseases Research Laboratory, Rapid Plasma Reagin) confirmed by a specific treponemal test (e.g. IgG enzyme immunoassay,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haemagglutination assay,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particle agglutination,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immobilisation assay, or fluorescent treponemal antibody absorption).”</w:t>
            </w:r>
          </w:p>
        </w:tc>
        <w:tc>
          <w:tcPr>
            <w:tcW w:w="0" w:type="auto"/>
          </w:tcPr>
          <w:p w14:paraId="5EB52DDD" w14:textId="5FEEDD9C" w:rsidR="00800DEB" w:rsidRPr="00872414" w:rsidRDefault="00A249C5" w:rsidP="00A249C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9C5">
              <w:lastRenderedPageBreak/>
              <w:t>CDWG O-O-S January 2010</w:t>
            </w:r>
            <w:r w:rsidRPr="00A249C5">
              <w:tab/>
            </w:r>
          </w:p>
        </w:tc>
        <w:tc>
          <w:tcPr>
            <w:tcW w:w="0" w:type="auto"/>
          </w:tcPr>
          <w:p w14:paraId="67AD6919" w14:textId="64363A5C" w:rsidR="00800DEB" w:rsidRPr="00872414" w:rsidRDefault="00A249C5" w:rsidP="00A249C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9C5">
              <w:t>1 January 2011</w:t>
            </w:r>
          </w:p>
        </w:tc>
      </w:tr>
      <w:tr w:rsidR="00A249C5" w:rsidRPr="00872414" w14:paraId="63FD78B6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5C6FD6" w14:textId="7D1629F7" w:rsidR="00A249C5" w:rsidRPr="00872414" w:rsidRDefault="00A249C5" w:rsidP="00A249C5">
            <w:pPr>
              <w:pStyle w:val="TableText"/>
            </w:pPr>
            <w:r>
              <w:t>1.0</w:t>
            </w:r>
          </w:p>
        </w:tc>
        <w:tc>
          <w:tcPr>
            <w:tcW w:w="0" w:type="auto"/>
          </w:tcPr>
          <w:p w14:paraId="773B60BF" w14:textId="6ACCCC4A" w:rsidR="00A249C5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hd w:val="clear" w:color="auto" w:fill="FFFFFF"/>
              </w:rPr>
              <w:t>Initial case definition</w:t>
            </w:r>
          </w:p>
        </w:tc>
        <w:tc>
          <w:tcPr>
            <w:tcW w:w="0" w:type="auto"/>
          </w:tcPr>
          <w:p w14:paraId="3BFB70D4" w14:textId="0DD365DE" w:rsidR="00A249C5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0" w:type="auto"/>
          </w:tcPr>
          <w:p w14:paraId="38244F28" w14:textId="379FAF9F" w:rsidR="00A249C5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2004</w:t>
            </w:r>
          </w:p>
        </w:tc>
      </w:tr>
    </w:tbl>
    <w:p w14:paraId="4634085F" w14:textId="77777777" w:rsidR="00A249C5" w:rsidRPr="00A249C5" w:rsidRDefault="00A249C5" w:rsidP="00A249C5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A249C5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55320851" w14:textId="77777777" w:rsidR="00A249C5" w:rsidRPr="00A249C5" w:rsidRDefault="00A249C5" w:rsidP="00A249C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7B75E32A" w14:textId="77777777" w:rsidR="00A249C5" w:rsidRPr="00A249C5" w:rsidRDefault="00A249C5" w:rsidP="00A249C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249C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7498B6FE" w14:textId="77777777" w:rsidR="00A249C5" w:rsidRPr="00A249C5" w:rsidRDefault="00A249C5" w:rsidP="00A249C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either:</w:t>
      </w:r>
    </w:p>
    <w:p w14:paraId="21B12E7A" w14:textId="77777777" w:rsidR="00A249C5" w:rsidRPr="00A249C5" w:rsidRDefault="00A249C5" w:rsidP="00A249C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Laboratory definitive evidence</w:t>
      </w:r>
    </w:p>
    <w:p w14:paraId="2550D012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84AFC89" w14:textId="77777777" w:rsidR="00A249C5" w:rsidRPr="00A249C5" w:rsidRDefault="00A249C5" w:rsidP="00A249C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Laboratory suggestive evidence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clinical evidence.</w:t>
      </w:r>
    </w:p>
    <w:p w14:paraId="5FC6DDDF" w14:textId="77777777" w:rsidR="00A249C5" w:rsidRPr="00A249C5" w:rsidRDefault="00A249C5" w:rsidP="00A249C5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A249C5">
        <w:rPr>
          <w:rFonts w:ascii="Open Sans" w:hAnsi="Open Sans" w:cs="Open Sans"/>
          <w:color w:val="000000"/>
          <w:sz w:val="24"/>
          <w:lang w:eastAsia="en-AU"/>
        </w:rPr>
        <w:t>Laboratory definitive evidence</w:t>
      </w:r>
    </w:p>
    <w:p w14:paraId="6B3AA680" w14:textId="77777777" w:rsidR="00A249C5" w:rsidRPr="00A249C5" w:rsidRDefault="00A249C5" w:rsidP="00A249C5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Seroconversion in past two years: treponemal specific </w:t>
      </w:r>
      <w:proofErr w:type="spell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testa</w:t>
      </w:r>
      <w:proofErr w:type="spell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reactive when previous treponemal specific test non-reactive within past two years and the latest result is confirmed by either a reactive non-treponemal </w:t>
      </w:r>
      <w:proofErr w:type="spell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testb</w:t>
      </w:r>
      <w:proofErr w:type="spell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or a different reactive treponemal specific test</w:t>
      </w:r>
    </w:p>
    <w:p w14:paraId="44126B52" w14:textId="77777777" w:rsidR="00A249C5" w:rsidRPr="00A249C5" w:rsidRDefault="00A249C5" w:rsidP="00A249C5">
      <w:pPr>
        <w:keepNext/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OR</w:t>
      </w:r>
    </w:p>
    <w:p w14:paraId="11ABF525" w14:textId="77777777" w:rsidR="00A249C5" w:rsidRPr="00A249C5" w:rsidRDefault="00A249C5" w:rsidP="00A249C5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fourfold or greater rise in non-treponemal antibody titre compared with the titre within past two years, and a reactive treponemal specific test</w:t>
      </w:r>
    </w:p>
    <w:p w14:paraId="0CE84371" w14:textId="77777777" w:rsidR="00A249C5" w:rsidRPr="00A249C5" w:rsidRDefault="00A249C5" w:rsidP="00A249C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</w:p>
    <w:p w14:paraId="457005F7" w14:textId="77777777" w:rsidR="00A249C5" w:rsidRPr="00A249C5" w:rsidRDefault="00A249C5" w:rsidP="00A249C5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Demonstration of </w:t>
      </w:r>
      <w:r w:rsidRPr="00A249C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Treponema pallidum 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by darkfield microscopy (not oral lesions), direct fluorescent antibody microscopy (direct antigen test), equivalent microscopic methods (</w:t>
      </w:r>
      <w:proofErr w:type="spell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eg</w:t>
      </w:r>
      <w:proofErr w:type="spell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silver stains), or DNA methods (</w:t>
      </w:r>
      <w:proofErr w:type="spell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eg</w:t>
      </w:r>
      <w:proofErr w:type="spell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nucleic acid testing)</w:t>
      </w:r>
    </w:p>
    <w:p w14:paraId="75A1AC3E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659CCB8" w14:textId="77777777" w:rsidR="00A249C5" w:rsidRPr="00A249C5" w:rsidRDefault="00A249C5" w:rsidP="00A249C5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reactive treponemal specific test confirmed by either a reactive non-treponemal test or a different reactive treponemal specific test</w:t>
      </w:r>
    </w:p>
    <w:p w14:paraId="4E0F94F8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29CE759" w14:textId="5924B32F" w:rsidR="00A249C5" w:rsidRPr="00A249C5" w:rsidRDefault="00A249C5" w:rsidP="00A249C5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reactive non- treponemal test confirmed by a treponemal specific test</w:t>
      </w:r>
      <w:hyperlink r:id="rId12" w:anchor="top" w:history="1"/>
    </w:p>
    <w:p w14:paraId="78640045" w14:textId="77777777" w:rsidR="00A249C5" w:rsidRPr="00A249C5" w:rsidRDefault="00A249C5" w:rsidP="00A249C5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A249C5">
        <w:rPr>
          <w:rFonts w:ascii="Open Sans" w:hAnsi="Open Sans" w:cs="Open Sans"/>
          <w:color w:val="000000"/>
          <w:sz w:val="24"/>
          <w:lang w:eastAsia="en-AU"/>
        </w:rPr>
        <w:t>Clinical evidence</w:t>
      </w:r>
    </w:p>
    <w:p w14:paraId="2F6B4716" w14:textId="77777777" w:rsidR="00A249C5" w:rsidRPr="00A249C5" w:rsidRDefault="00A249C5" w:rsidP="00A249C5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Presence of a primary chancre (or ulcer)</w:t>
      </w:r>
    </w:p>
    <w:p w14:paraId="4192DFBF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A9E8A8A" w14:textId="77777777" w:rsidR="00A249C5" w:rsidRPr="00A249C5" w:rsidRDefault="00A249C5" w:rsidP="00A249C5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Clinical signs of secondary syphilis.</w:t>
      </w:r>
    </w:p>
    <w:p w14:paraId="6F35960A" w14:textId="77777777" w:rsidR="00A249C5" w:rsidRPr="00A249C5" w:rsidRDefault="00A249C5" w:rsidP="00A249C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249C5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75C9E987" w14:textId="77777777" w:rsidR="00A249C5" w:rsidRPr="00A249C5" w:rsidRDefault="00A249C5" w:rsidP="00A249C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 that case does not meet the criteria for a confirmed case AND</w:t>
      </w:r>
    </w:p>
    <w:p w14:paraId="5E10CF76" w14:textId="77777777" w:rsidR="00A249C5" w:rsidRPr="00A249C5" w:rsidRDefault="00A249C5" w:rsidP="00A249C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Either:</w:t>
      </w:r>
    </w:p>
    <w:p w14:paraId="45F3BF9A" w14:textId="77777777" w:rsidR="00A249C5" w:rsidRPr="00A249C5" w:rsidRDefault="00A249C5" w:rsidP="00A249C5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In a person with no known previous reactive serology: no history of adequate treatment of syphilis, or endemic treponemal disease, and</w:t>
      </w:r>
    </w:p>
    <w:p w14:paraId="330A59B4" w14:textId="77777777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Contact with an infectious case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laboratory suggestive evidence.</w:t>
      </w:r>
    </w:p>
    <w:p w14:paraId="2F20114E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C4498AD" w14:textId="77777777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Laboratory suggestive evidence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 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RPR ≥16.</w:t>
      </w:r>
    </w:p>
    <w:p w14:paraId="6EA21FA7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CA53EC8" w14:textId="77777777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Positive syphilis IgM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 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laboratory suggestive evidence.</w:t>
      </w:r>
    </w:p>
    <w:p w14:paraId="4A6654E6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2D3D804" w14:textId="6A20BD8E" w:rsidR="00A249C5" w:rsidRPr="00733E1A" w:rsidRDefault="00A249C5" w:rsidP="00733E1A">
      <w:pPr>
        <w:pStyle w:val="ListParagraph"/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33E1A">
        <w:rPr>
          <w:rFonts w:ascii="Helvetica" w:hAnsi="Helvetica" w:cs="Helvetica"/>
          <w:color w:val="222222"/>
          <w:sz w:val="20"/>
          <w:szCs w:val="20"/>
          <w:lang w:eastAsia="en-AU"/>
        </w:rPr>
        <w:t>In a person with previous reactive serology: a fourfold or greater rise in non-treponemal antibody titre when the previous serology was done more than two years ago.</w:t>
      </w:r>
    </w:p>
    <w:p w14:paraId="2412F0D7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05AE245A" w14:textId="53BF86F1" w:rsidR="00A249C5" w:rsidRPr="00733E1A" w:rsidRDefault="00A249C5" w:rsidP="00733E1A">
      <w:pPr>
        <w:pStyle w:val="ListParagraph"/>
        <w:numPr>
          <w:ilvl w:val="1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33E1A">
        <w:rPr>
          <w:rFonts w:ascii="Helvetica" w:hAnsi="Helvetica" w:cs="Helvetica"/>
          <w:color w:val="222222"/>
          <w:sz w:val="20"/>
          <w:szCs w:val="20"/>
          <w:lang w:eastAsia="en-AU"/>
        </w:rPr>
        <w:t>Contact with an infectious case</w:t>
      </w:r>
    </w:p>
    <w:p w14:paraId="04B545AC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1CFD53C" w14:textId="25ABACB8" w:rsidR="00A249C5" w:rsidRPr="00733E1A" w:rsidRDefault="00A249C5" w:rsidP="00733E1A">
      <w:pPr>
        <w:pStyle w:val="ListParagraph"/>
        <w:numPr>
          <w:ilvl w:val="1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33E1A">
        <w:rPr>
          <w:rFonts w:ascii="Helvetica" w:hAnsi="Helvetica" w:cs="Helvetica"/>
          <w:color w:val="222222"/>
          <w:sz w:val="20"/>
          <w:szCs w:val="20"/>
          <w:lang w:eastAsia="en-AU"/>
        </w:rPr>
        <w:t>Positive syphilis IgM</w:t>
      </w:r>
      <w:hyperlink r:id="rId13" w:anchor="top" w:history="1"/>
    </w:p>
    <w:p w14:paraId="0D343485" w14:textId="77777777" w:rsidR="00A249C5" w:rsidRPr="00A249C5" w:rsidRDefault="00A249C5" w:rsidP="00A249C5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A249C5">
        <w:rPr>
          <w:rFonts w:ascii="Open Sans" w:hAnsi="Open Sans" w:cs="Open Sans"/>
          <w:color w:val="000000"/>
          <w:sz w:val="36"/>
          <w:szCs w:val="36"/>
          <w:lang w:eastAsia="en-AU"/>
        </w:rPr>
        <w:lastRenderedPageBreak/>
        <w:t>Notes</w:t>
      </w:r>
    </w:p>
    <w:p w14:paraId="26CF7E00" w14:textId="77777777" w:rsidR="00A249C5" w:rsidRPr="00A249C5" w:rsidRDefault="00A249C5" w:rsidP="00A249C5">
      <w:pPr>
        <w:numPr>
          <w:ilvl w:val="0"/>
          <w:numId w:val="26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Treponemal specific tests </w:t>
      </w:r>
      <w:proofErr w:type="gram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are:</w:t>
      </w:r>
      <w:proofErr w:type="gram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IgG immunoassay, </w:t>
      </w:r>
      <w:r w:rsidRPr="00A249C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Treponema pallidum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haemagglutination assay, </w:t>
      </w:r>
      <w:r w:rsidRPr="00A249C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Treponema pallidum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particle agglutination assay, Fluorescent Treponemal Antibody Absorption, 19S-IgM antibody test, or IgM immunoassay</w:t>
      </w:r>
    </w:p>
    <w:p w14:paraId="7D84B6E7" w14:textId="7D98534E" w:rsidR="009E0B84" w:rsidRPr="00A249C5" w:rsidRDefault="00A249C5" w:rsidP="00A249C5">
      <w:pPr>
        <w:numPr>
          <w:ilvl w:val="0"/>
          <w:numId w:val="26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Non-treponemal tests </w:t>
      </w:r>
      <w:proofErr w:type="gram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are;</w:t>
      </w:r>
      <w:proofErr w:type="gram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Rapid Plasma Reagin (RPR), Venereal Disease Research Laboratory (VDRL)</w:t>
      </w:r>
    </w:p>
    <w:sectPr w:rsidR="009E0B84" w:rsidRPr="00A249C5" w:rsidSect="000226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EB82" w14:textId="77777777" w:rsidR="00752AD1" w:rsidRDefault="00752AD1" w:rsidP="006B56BB">
      <w:r>
        <w:separator/>
      </w:r>
    </w:p>
    <w:p w14:paraId="7B5CBDE1" w14:textId="77777777" w:rsidR="00752AD1" w:rsidRDefault="00752AD1"/>
  </w:endnote>
  <w:endnote w:type="continuationSeparator" w:id="0">
    <w:p w14:paraId="3E45AAF9" w14:textId="77777777" w:rsidR="00752AD1" w:rsidRDefault="00752AD1" w:rsidP="006B56BB">
      <w:r>
        <w:continuationSeparator/>
      </w:r>
    </w:p>
    <w:p w14:paraId="11BCF25E" w14:textId="77777777" w:rsidR="00752AD1" w:rsidRDefault="00752AD1"/>
  </w:endnote>
  <w:endnote w:type="continuationNotice" w:id="1">
    <w:p w14:paraId="6A99B1B0" w14:textId="77777777" w:rsidR="00752AD1" w:rsidRDefault="00752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526D" w14:textId="579312AB" w:rsidR="00733E1A" w:rsidRDefault="00733E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40016A" wp14:editId="5C62A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8881301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4D895" w14:textId="7E95C9DB" w:rsidR="00733E1A" w:rsidRPr="00733E1A" w:rsidRDefault="00733E1A" w:rsidP="00733E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E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001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7624D895" w14:textId="7E95C9DB" w:rsidR="00733E1A" w:rsidRPr="00733E1A" w:rsidRDefault="00733E1A" w:rsidP="00733E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E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D33B" w14:textId="306F788E" w:rsidR="00CD407A" w:rsidRDefault="00733E1A" w:rsidP="00A249C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70AF03" wp14:editId="17CD3BD9">
              <wp:simplePos x="904875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698225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5768B" w14:textId="48C19B78" w:rsidR="00733E1A" w:rsidRPr="00733E1A" w:rsidRDefault="00733E1A" w:rsidP="00733E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E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0AF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AA5768B" w14:textId="48C19B78" w:rsidR="00733E1A" w:rsidRPr="00733E1A" w:rsidRDefault="00733E1A" w:rsidP="00733E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E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824697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249C5" w:rsidRPr="00A249C5">
              <w:t xml:space="preserve">Syphilis (less than 2 years duration)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B767" w14:textId="0A1D6779" w:rsidR="00733E1A" w:rsidRDefault="00733E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175125" wp14:editId="61103D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53573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F12FC" w14:textId="36B82DAE" w:rsidR="00733E1A" w:rsidRPr="00733E1A" w:rsidRDefault="00733E1A" w:rsidP="00733E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E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751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68EF12FC" w14:textId="36B82DAE" w:rsidR="00733E1A" w:rsidRPr="00733E1A" w:rsidRDefault="00733E1A" w:rsidP="00733E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E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CFD2" w14:textId="77777777" w:rsidR="00752AD1" w:rsidRDefault="00752AD1" w:rsidP="006B56BB">
      <w:r>
        <w:separator/>
      </w:r>
    </w:p>
    <w:p w14:paraId="6D48856D" w14:textId="77777777" w:rsidR="00752AD1" w:rsidRDefault="00752AD1"/>
  </w:footnote>
  <w:footnote w:type="continuationSeparator" w:id="0">
    <w:p w14:paraId="5FC7187F" w14:textId="77777777" w:rsidR="00752AD1" w:rsidRDefault="00752AD1" w:rsidP="006B56BB">
      <w:r>
        <w:continuationSeparator/>
      </w:r>
    </w:p>
    <w:p w14:paraId="74039DCB" w14:textId="77777777" w:rsidR="00752AD1" w:rsidRDefault="00752AD1"/>
  </w:footnote>
  <w:footnote w:type="continuationNotice" w:id="1">
    <w:p w14:paraId="50E31CA9" w14:textId="77777777" w:rsidR="00752AD1" w:rsidRDefault="00752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C107" w14:textId="7CDFA0C3" w:rsidR="00733E1A" w:rsidRDefault="00733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751B3" wp14:editId="5D1AEA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111537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346D5" w14:textId="07E14BB9" w:rsidR="00733E1A" w:rsidRPr="00733E1A" w:rsidRDefault="00733E1A" w:rsidP="00733E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E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751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9A346D5" w14:textId="07E14BB9" w:rsidR="00733E1A" w:rsidRPr="00733E1A" w:rsidRDefault="00733E1A" w:rsidP="00733E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E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6796" w14:textId="37C4F3C0" w:rsidR="00733E1A" w:rsidRDefault="00733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C7D50F" wp14:editId="3887289D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095369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E651B" w14:textId="51A974A1" w:rsidR="00733E1A" w:rsidRPr="00733E1A" w:rsidRDefault="00733E1A" w:rsidP="00733E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E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7D5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21EE651B" w14:textId="51A974A1" w:rsidR="00733E1A" w:rsidRPr="00733E1A" w:rsidRDefault="00733E1A" w:rsidP="00733E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E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899A" w14:textId="5C1EC60C" w:rsidR="00733E1A" w:rsidRDefault="00733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09972" wp14:editId="59E516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021537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EE6CA" w14:textId="09E8B52B" w:rsidR="00733E1A" w:rsidRPr="00733E1A" w:rsidRDefault="00733E1A" w:rsidP="00733E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E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99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CFEE6CA" w14:textId="09E8B52B" w:rsidR="00733E1A" w:rsidRPr="00733E1A" w:rsidRDefault="00733E1A" w:rsidP="00733E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E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59E7C2C"/>
    <w:multiLevelType w:val="multilevel"/>
    <w:tmpl w:val="FA74CF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463054C2"/>
    <w:multiLevelType w:val="multilevel"/>
    <w:tmpl w:val="9AE8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9B2F6F"/>
    <w:multiLevelType w:val="multilevel"/>
    <w:tmpl w:val="F34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794749"/>
    <w:multiLevelType w:val="multilevel"/>
    <w:tmpl w:val="1BD8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E694A"/>
    <w:multiLevelType w:val="multilevel"/>
    <w:tmpl w:val="E2A68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35EEB"/>
    <w:multiLevelType w:val="multilevel"/>
    <w:tmpl w:val="4DA8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E44803"/>
    <w:multiLevelType w:val="multilevel"/>
    <w:tmpl w:val="B15A3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77247">
    <w:abstractNumId w:val="7"/>
  </w:num>
  <w:num w:numId="2" w16cid:durableId="769350853">
    <w:abstractNumId w:val="16"/>
  </w:num>
  <w:num w:numId="3" w16cid:durableId="332338290">
    <w:abstractNumId w:val="20"/>
  </w:num>
  <w:num w:numId="4" w16cid:durableId="2016833626">
    <w:abstractNumId w:val="8"/>
  </w:num>
  <w:num w:numId="5" w16cid:durableId="956568146">
    <w:abstractNumId w:val="8"/>
    <w:lvlOverride w:ilvl="0">
      <w:startOverride w:val="1"/>
    </w:lvlOverride>
  </w:num>
  <w:num w:numId="6" w16cid:durableId="981420435">
    <w:abstractNumId w:val="9"/>
  </w:num>
  <w:num w:numId="7" w16cid:durableId="287664112">
    <w:abstractNumId w:val="13"/>
  </w:num>
  <w:num w:numId="8" w16cid:durableId="582034827">
    <w:abstractNumId w:val="19"/>
  </w:num>
  <w:num w:numId="9" w16cid:durableId="389502452">
    <w:abstractNumId w:val="5"/>
  </w:num>
  <w:num w:numId="10" w16cid:durableId="888960997">
    <w:abstractNumId w:val="4"/>
  </w:num>
  <w:num w:numId="11" w16cid:durableId="1228418166">
    <w:abstractNumId w:val="3"/>
  </w:num>
  <w:num w:numId="12" w16cid:durableId="1999141588">
    <w:abstractNumId w:val="2"/>
  </w:num>
  <w:num w:numId="13" w16cid:durableId="1873877272">
    <w:abstractNumId w:val="6"/>
  </w:num>
  <w:num w:numId="14" w16cid:durableId="426120601">
    <w:abstractNumId w:val="1"/>
  </w:num>
  <w:num w:numId="15" w16cid:durableId="1497067102">
    <w:abstractNumId w:val="0"/>
  </w:num>
  <w:num w:numId="16" w16cid:durableId="1070035258">
    <w:abstractNumId w:val="23"/>
  </w:num>
  <w:num w:numId="17" w16cid:durableId="361520246">
    <w:abstractNumId w:val="10"/>
  </w:num>
  <w:num w:numId="18" w16cid:durableId="1445998923">
    <w:abstractNumId w:val="11"/>
  </w:num>
  <w:num w:numId="19" w16cid:durableId="376781425">
    <w:abstractNumId w:val="12"/>
  </w:num>
  <w:num w:numId="20" w16cid:durableId="2040618210">
    <w:abstractNumId w:val="15"/>
  </w:num>
  <w:num w:numId="21" w16cid:durableId="247544647">
    <w:abstractNumId w:val="22"/>
  </w:num>
  <w:num w:numId="22" w16cid:durableId="1146971090">
    <w:abstractNumId w:val="17"/>
  </w:num>
  <w:num w:numId="23" w16cid:durableId="316105571">
    <w:abstractNumId w:val="18"/>
  </w:num>
  <w:num w:numId="24" w16cid:durableId="1548490327">
    <w:abstractNumId w:val="21"/>
  </w:num>
  <w:num w:numId="25" w16cid:durableId="1477600290">
    <w:abstractNumId w:val="14"/>
  </w:num>
  <w:num w:numId="26" w16cid:durableId="3384605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C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1B97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14B"/>
    <w:rsid w:val="003F0955"/>
    <w:rsid w:val="003F5F4D"/>
    <w:rsid w:val="003F646F"/>
    <w:rsid w:val="00400F00"/>
    <w:rsid w:val="00404F8B"/>
    <w:rsid w:val="00405256"/>
    <w:rsid w:val="00410031"/>
    <w:rsid w:val="00415C81"/>
    <w:rsid w:val="00431346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3E1A"/>
    <w:rsid w:val="007359D8"/>
    <w:rsid w:val="007362D4"/>
    <w:rsid w:val="00752AD1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40E2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9C5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6AFF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0083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AC544"/>
  <w15:docId w15:val="{DD72F593-CA5A-419B-832D-A9B5DBE8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A249C5"/>
    <w:pPr>
      <w:spacing w:before="60" w:after="60"/>
    </w:pPr>
    <w:rPr>
      <w:rFonts w:ascii="Arial" w:hAnsi="Arial"/>
      <w:color w:val="000000" w:themeColor="text1"/>
      <w:szCs w:val="22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NormalWeb">
    <w:name w:val="Normal (Web)"/>
    <w:basedOn w:val="Normal"/>
    <w:uiPriority w:val="99"/>
    <w:unhideWhenUsed/>
    <w:rsid w:val="00A249C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249C5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249C5"/>
    <w:rPr>
      <w:rFonts w:ascii="Arial" w:hAnsi="Arial" w:cs="Arial"/>
      <w:bCs/>
      <w:color w:val="358189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249C5"/>
    <w:rPr>
      <w:rFonts w:ascii="Arial" w:hAnsi="Arial"/>
      <w:b/>
      <w:bCs/>
      <w:i/>
      <w:color w:val="41414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45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1995150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339687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264191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035018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077300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722025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23353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6597237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9353305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health.gov.au/internet/main/publishing.nsf/Content/cda-surveil-nndss-casedefs-cd_syphl2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1.health.gov.au/internet/main/publishing.nsf/Content/cda-surveil-nndss-casedefs-cd_syphl2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EE3EC-718E-4858-86DD-279D1F81E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600</Words>
  <Characters>3680</Characters>
  <Application>Microsoft Office Word</Application>
  <DocSecurity>0</DocSecurity>
  <Lines>120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Syphilis (less than 2 years duration) – Surveillance case definition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(less than 2 years duration) – Surveillance case definition</dc:title>
  <dc:subject>Communicable diseases prevention and control</dc:subject>
  <dc:creator>Communicable Diseases Network Australia</dc:creator>
  <cp:keywords/>
  <cp:revision>5</cp:revision>
  <dcterms:created xsi:type="dcterms:W3CDTF">2022-06-08T02:27:00Z</dcterms:created>
  <dcterms:modified xsi:type="dcterms:W3CDTF">2026-05-13T02:28:00Z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0x010100BA217076F0871349BCBE5A6EC7EEC4B3</vt:lpwstr>
  </property>
  <property fmtid="{D5CDD505-2E9C-101B-9397-08002B2CF9AE}" pid="3" name="ClassificationContentMarkingHeaderShapeIds">
    <vt:lpwstr>41b18824,60084162,127328e4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21b82a9,3af016d3,697d5981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2026-05-13T00:33:03Z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c3b4b634-ca62-4cf2-9f45-0e57c02af137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