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s="Times New Roman (Body CS)"/>
          <w:bCs w:val="0"/>
          <w:spacing w:val="0"/>
          <w:kern w:val="2"/>
          <w:sz w:val="40"/>
          <w:szCs w:val="22"/>
        </w:rPr>
        <w:id w:val="-1859646906"/>
        <w:docPartObj>
          <w:docPartGallery w:val="Cover Pages"/>
          <w:docPartUnique/>
        </w:docPartObj>
      </w:sdtPr>
      <w:sdtContent>
        <w:p w14:paraId="408D4AB2" w14:textId="063BCACF" w:rsidR="00E33E09" w:rsidRPr="0009330C" w:rsidRDefault="00E33E09" w:rsidP="0009330C">
          <w:pPr>
            <w:pStyle w:val="Title"/>
          </w:pPr>
          <w:r w:rsidRPr="0009330C">
            <w:t xml:space="preserve">Human Papillomavirus (HPV) Surveillance and Monitoring Plan </w:t>
          </w:r>
        </w:p>
        <w:p w14:paraId="07777086" w14:textId="77777777" w:rsidR="0047616C" w:rsidRPr="0009330C" w:rsidRDefault="00E33E09" w:rsidP="0009330C">
          <w:pPr>
            <w:pStyle w:val="Title"/>
          </w:pPr>
          <w:r w:rsidRPr="0009330C">
            <w:t>2023</w:t>
          </w:r>
        </w:p>
        <w:p w14:paraId="0C2480B3" w14:textId="69D15BD1" w:rsidR="0047616C" w:rsidRPr="0047404C" w:rsidRDefault="00E33E09" w:rsidP="0047404C">
          <w:pPr>
            <w:pStyle w:val="Subtitle"/>
          </w:pPr>
          <w:r w:rsidRPr="0047404C">
            <w:t>Prepared in consultation with the HPV Surveillance Working Group of the Communicable Diseases Network Australia (CDNA)</w:t>
          </w:r>
        </w:p>
      </w:sdtContent>
    </w:sdt>
    <w:p w14:paraId="6F6A1975" w14:textId="77777777" w:rsidR="00BD640A" w:rsidRPr="00BF19BE" w:rsidRDefault="0047616C" w:rsidP="00BF19BE">
      <w:r>
        <w:br w:type="page"/>
      </w:r>
    </w:p>
    <w:p w14:paraId="545F93D1" w14:textId="77777777" w:rsidR="00C14BF9" w:rsidRPr="00CA76F2" w:rsidRDefault="00C14BF9" w:rsidP="006C5BF4">
      <w:pPr>
        <w:pStyle w:val="Copyrighttext"/>
      </w:pPr>
      <w:r w:rsidRPr="00CA76F2">
        <w:lastRenderedPageBreak/>
        <w:t>© Commonwealth of Australia as represented by the Australian Centre for Disease Control</w:t>
      </w:r>
    </w:p>
    <w:p w14:paraId="71B68B92" w14:textId="77777777" w:rsidR="00C14BF9" w:rsidRPr="00CA76F2" w:rsidRDefault="00C14BF9" w:rsidP="006C5BF4">
      <w:pPr>
        <w:pStyle w:val="Copyrighttext"/>
      </w:pPr>
      <w:r w:rsidRPr="00CA76F2">
        <w:t>Title:</w:t>
      </w:r>
      <w:r w:rsidR="00E33E09" w:rsidRPr="00CA76F2">
        <w:t xml:space="preserve"> Human Papillomavirus (HPV) Surveillance and Monitoring Plan 2023</w:t>
      </w:r>
    </w:p>
    <w:p w14:paraId="0315474B" w14:textId="77777777" w:rsidR="00C14BF9" w:rsidRPr="006C5BF4" w:rsidRDefault="00C14BF9" w:rsidP="006C5BF4">
      <w:pPr>
        <w:pStyle w:val="Copyrighttext"/>
        <w:rPr>
          <w:b/>
          <w:bCs/>
        </w:rPr>
      </w:pPr>
      <w:r w:rsidRPr="006C5BF4">
        <w:rPr>
          <w:b/>
          <w:bCs/>
        </w:rPr>
        <w:t>Creative Commons Licence</w:t>
      </w:r>
    </w:p>
    <w:p w14:paraId="625CC769" w14:textId="11AE014F" w:rsidR="00C14BF9" w:rsidRPr="00CA76F2" w:rsidRDefault="00C14BF9" w:rsidP="006C5BF4">
      <w:pPr>
        <w:pStyle w:val="Copyrighttext"/>
      </w:pPr>
      <w:r w:rsidRPr="00CA76F2">
        <w:t xml:space="preserve">This publication is licensed under the Creative Commons Attribution 4.0 International Public License available from </w:t>
      </w:r>
      <w:hyperlink r:id="rId8" w:history="1">
        <w:r w:rsidR="000B11A8" w:rsidRPr="00242F1E">
          <w:rPr>
            <w:rStyle w:val="Hyperlink"/>
          </w:rPr>
          <w:t>https://creativecommons.org/licenses/by/4.0/legalcode</w:t>
        </w:r>
      </w:hyperlink>
      <w:r w:rsidRPr="00CA76F2">
        <w:t>. You must read and understand the Licence before using any material from this publication.</w:t>
      </w:r>
    </w:p>
    <w:p w14:paraId="1C5AE5B5" w14:textId="77777777" w:rsidR="00C14BF9" w:rsidRPr="006C5BF4" w:rsidRDefault="00C14BF9" w:rsidP="006C5BF4">
      <w:pPr>
        <w:pStyle w:val="Copyrighttext"/>
        <w:rPr>
          <w:b/>
          <w:bCs/>
        </w:rPr>
      </w:pPr>
      <w:r w:rsidRPr="006C5BF4">
        <w:rPr>
          <w:b/>
          <w:bCs/>
        </w:rPr>
        <w:t>Restrictions</w:t>
      </w:r>
    </w:p>
    <w:p w14:paraId="662B2412" w14:textId="04444A4F" w:rsidR="00C14BF9" w:rsidRPr="00CA76F2" w:rsidRDefault="00C14BF9" w:rsidP="006C5BF4">
      <w:pPr>
        <w:pStyle w:val="Copyrighttext"/>
      </w:pPr>
      <w:r w:rsidRPr="00CA76F2">
        <w:t xml:space="preserve">The </w:t>
      </w:r>
      <w:r w:rsidR="006C5BF4">
        <w:t>l</w:t>
      </w:r>
      <w:r w:rsidRPr="00CA76F2">
        <w:t>icence may not give you all the permissions necessary for your intended use. For example, other rights (such as publicity, privacy and moral rights) may limit how you use the material found in this publication.</w:t>
      </w:r>
    </w:p>
    <w:p w14:paraId="2013C625" w14:textId="11FEC8EB" w:rsidR="00C14BF9" w:rsidRPr="00CA76F2" w:rsidRDefault="00C14BF9" w:rsidP="006C5BF4">
      <w:pPr>
        <w:pStyle w:val="Copyrighttext"/>
      </w:pPr>
      <w:r w:rsidRPr="00CA76F2">
        <w:t xml:space="preserve">The </w:t>
      </w:r>
      <w:r w:rsidR="006C5BF4">
        <w:t>l</w:t>
      </w:r>
      <w:r w:rsidRPr="00CA76F2">
        <w:t>icence does not cover, and there is no permission given for, use of any of the following material found in this publication:</w:t>
      </w:r>
    </w:p>
    <w:p w14:paraId="31A539BB" w14:textId="77777777" w:rsidR="00C14BF9" w:rsidRPr="00C14BF9" w:rsidRDefault="00C14BF9" w:rsidP="006C5BF4">
      <w:pPr>
        <w:pStyle w:val="Copyrightbulletlist"/>
      </w:pPr>
      <w:r w:rsidRPr="00C14BF9">
        <w:t>the Commonwealth Coat of Arms. (</w:t>
      </w:r>
      <w:proofErr w:type="gramStart"/>
      <w:r w:rsidRPr="00C14BF9">
        <w:t>by</w:t>
      </w:r>
      <w:proofErr w:type="gramEnd"/>
      <w:r w:rsidRPr="00C14BF9">
        <w:t xml:space="preserve"> way of information, the terms under which the Coat of Arms may be used can be found on the Department of Prime Minister and Cabinet website</w:t>
      </w:r>
    </w:p>
    <w:p w14:paraId="2AA48EEE" w14:textId="5B74FC61" w:rsidR="00C14BF9" w:rsidRPr="00C14BF9" w:rsidRDefault="00C14BF9" w:rsidP="006C5BF4">
      <w:pPr>
        <w:pStyle w:val="Copyrightbulletlist"/>
      </w:pPr>
      <w:r w:rsidRPr="00C14BF9">
        <w:t>any logos and trademarks</w:t>
      </w:r>
    </w:p>
    <w:p w14:paraId="060C0BB1" w14:textId="3202F66C" w:rsidR="00C14BF9" w:rsidRPr="00C14BF9" w:rsidRDefault="00C14BF9" w:rsidP="006C5BF4">
      <w:pPr>
        <w:pStyle w:val="Copyrightbulletlist"/>
      </w:pPr>
      <w:r w:rsidRPr="00C14BF9">
        <w:t>any photographs and images</w:t>
      </w:r>
    </w:p>
    <w:p w14:paraId="172946DE" w14:textId="36B45744" w:rsidR="00C14BF9" w:rsidRPr="00C14BF9" w:rsidRDefault="00C14BF9" w:rsidP="006C5BF4">
      <w:pPr>
        <w:pStyle w:val="Copyrightbulletlist"/>
      </w:pPr>
      <w:r w:rsidRPr="00C14BF9">
        <w:t>any signatures</w:t>
      </w:r>
    </w:p>
    <w:p w14:paraId="259063A7" w14:textId="499EF036" w:rsidR="00C14BF9" w:rsidRPr="00C14BF9" w:rsidRDefault="00C14BF9" w:rsidP="006C5BF4">
      <w:pPr>
        <w:pStyle w:val="Copyrightbulletlist"/>
      </w:pPr>
      <w:r w:rsidRPr="00C14BF9">
        <w:t xml:space="preserve">any material belonging to third parties. The </w:t>
      </w:r>
      <w:r w:rsidR="000B11A8" w:rsidRPr="00C14BF9">
        <w:t>third-party</w:t>
      </w:r>
      <w:r w:rsidRPr="00C14BF9">
        <w:t xml:space="preserve"> elements must be included here or have a footnote reference throughout the document showing where they are</w:t>
      </w:r>
      <w:r w:rsidR="000B11A8">
        <w:t>.</w:t>
      </w:r>
    </w:p>
    <w:p w14:paraId="2F4BCF91" w14:textId="77777777" w:rsidR="00C14BF9" w:rsidRPr="006C5BF4" w:rsidRDefault="00C14BF9" w:rsidP="006C5BF4">
      <w:pPr>
        <w:pStyle w:val="Copyrighttext"/>
        <w:rPr>
          <w:b/>
          <w:bCs/>
        </w:rPr>
      </w:pPr>
      <w:r w:rsidRPr="006C5BF4">
        <w:rPr>
          <w:b/>
          <w:bCs/>
        </w:rPr>
        <w:t>Attribution</w:t>
      </w:r>
    </w:p>
    <w:p w14:paraId="0A66B59C" w14:textId="1CCCAA98" w:rsidR="00C14BF9" w:rsidRPr="00CD10C1" w:rsidRDefault="00C14BF9" w:rsidP="006C5BF4">
      <w:pPr>
        <w:pStyle w:val="Copyrighttext"/>
      </w:pPr>
      <w:r w:rsidRPr="00CD10C1">
        <w:t xml:space="preserve">Without limiting your obligations under the </w:t>
      </w:r>
      <w:r w:rsidR="000B11A8">
        <w:t>l</w:t>
      </w:r>
      <w:r w:rsidRPr="00CD10C1">
        <w:t xml:space="preserve">icence, the Department of Health and Aged Care requests that you attribute this publication in your work. Any reasonable form of words may be used </w:t>
      </w:r>
      <w:proofErr w:type="gramStart"/>
      <w:r w:rsidRPr="00CD10C1">
        <w:t>provided that</w:t>
      </w:r>
      <w:proofErr w:type="gramEnd"/>
      <w:r w:rsidRPr="00CD10C1">
        <w:t xml:space="preserve"> you:</w:t>
      </w:r>
    </w:p>
    <w:p w14:paraId="2151E389" w14:textId="3F8490DD" w:rsidR="00C14BF9" w:rsidRPr="00CD10C1" w:rsidRDefault="00C14BF9" w:rsidP="006C5BF4">
      <w:pPr>
        <w:pStyle w:val="Copyrightbulletlist"/>
      </w:pPr>
      <w:r w:rsidRPr="00CD10C1">
        <w:t xml:space="preserve">include a reference to this publication and </w:t>
      </w:r>
      <w:proofErr w:type="gramStart"/>
      <w:r w:rsidRPr="00CD10C1">
        <w:t>where</w:t>
      </w:r>
      <w:proofErr w:type="gramEnd"/>
      <w:r w:rsidRPr="00CD10C1">
        <w:t>, practicable, the relevant page numbers</w:t>
      </w:r>
    </w:p>
    <w:p w14:paraId="5D92CBA5" w14:textId="5BB63ADC" w:rsidR="00C14BF9" w:rsidRPr="00CD10C1" w:rsidRDefault="00C14BF9" w:rsidP="006C5BF4">
      <w:pPr>
        <w:pStyle w:val="Copyrightbulletlist"/>
      </w:pPr>
      <w:r w:rsidRPr="00CD10C1">
        <w:t>make it clear that you have permission to use the material under the Creative Commons Attribution 4.0 International Public License</w:t>
      </w:r>
    </w:p>
    <w:p w14:paraId="639B60B7" w14:textId="78FCFC2F" w:rsidR="00C14BF9" w:rsidRPr="00CD10C1" w:rsidRDefault="00C14BF9" w:rsidP="006C5BF4">
      <w:pPr>
        <w:pStyle w:val="Copyrightbulletlist"/>
      </w:pPr>
      <w:r w:rsidRPr="00CD10C1">
        <w:t xml:space="preserve">make it clear </w:t>
      </w:r>
      <w:proofErr w:type="gramStart"/>
      <w:r w:rsidRPr="00CD10C1">
        <w:t>whether or not</w:t>
      </w:r>
      <w:proofErr w:type="gramEnd"/>
      <w:r w:rsidRPr="00CD10C1">
        <w:t xml:space="preserve"> you have changed the material used from this publication</w:t>
      </w:r>
    </w:p>
    <w:p w14:paraId="5ADA3C46" w14:textId="1A813809" w:rsidR="00C14BF9" w:rsidRPr="00CD10C1" w:rsidRDefault="00C14BF9" w:rsidP="006C5BF4">
      <w:pPr>
        <w:pStyle w:val="Copyrightbulletlist"/>
      </w:pPr>
      <w:r w:rsidRPr="00CD10C1">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w:t>
      </w:r>
    </w:p>
    <w:p w14:paraId="01472393" w14:textId="77777777" w:rsidR="00C14BF9" w:rsidRPr="00C14BF9" w:rsidRDefault="00C14BF9" w:rsidP="006C5BF4">
      <w:pPr>
        <w:pStyle w:val="Copyrightbulletlist"/>
      </w:pPr>
      <w:r w:rsidRPr="00CD10C1">
        <w:t>do not suggest that the Australian Centre for Disease</w:t>
      </w:r>
      <w:r w:rsidRPr="00C14BF9">
        <w:t xml:space="preserve"> Control endorses you or your use of the material.</w:t>
      </w:r>
    </w:p>
    <w:p w14:paraId="212C5F39" w14:textId="77777777" w:rsidR="00C14BF9" w:rsidRPr="006C5BF4" w:rsidRDefault="00C14BF9" w:rsidP="006C5BF4">
      <w:pPr>
        <w:pStyle w:val="Copyrighttext"/>
        <w:rPr>
          <w:b/>
          <w:bCs/>
        </w:rPr>
      </w:pPr>
      <w:r w:rsidRPr="006C5BF4">
        <w:rPr>
          <w:b/>
          <w:bCs/>
        </w:rPr>
        <w:t>Enquiries</w:t>
      </w:r>
    </w:p>
    <w:p w14:paraId="3E4DD69D" w14:textId="796F9D7D" w:rsidR="00C14BF9" w:rsidRPr="00CA76F2" w:rsidRDefault="00C14BF9" w:rsidP="006C5BF4">
      <w:pPr>
        <w:pStyle w:val="Copyrighttext"/>
      </w:pPr>
      <w:r w:rsidRPr="00CA76F2">
        <w:t xml:space="preserve">Enquiries regarding any other use of this publication should be addressed to the </w:t>
      </w:r>
      <w:r w:rsidR="00A078FA">
        <w:t>Director</w:t>
      </w:r>
      <w:r w:rsidRPr="00CA76F2">
        <w:t>, Communication</w:t>
      </w:r>
      <w:r w:rsidR="00A078FA">
        <w:t>s and Public Information</w:t>
      </w:r>
      <w:r w:rsidRPr="00CA76F2">
        <w:t xml:space="preserve"> </w:t>
      </w:r>
      <w:r w:rsidR="00A078FA">
        <w:t>Section</w:t>
      </w:r>
      <w:r w:rsidRPr="00CA76F2">
        <w:t xml:space="preserve">, Australian Centre for Disease Control, GPO Box 9848, Canberra ACT 2601, or via e-mail to </w:t>
      </w:r>
      <w:hyperlink r:id="rId9" w:history="1">
        <w:r w:rsidR="009C441B">
          <w:rPr>
            <w:rStyle w:val="Hyperlink"/>
          </w:rPr>
          <w:t>comms@cdc.gov.au</w:t>
        </w:r>
      </w:hyperlink>
      <w:r w:rsidR="00A078FA">
        <w:t>.</w:t>
      </w:r>
    </w:p>
    <w:p w14:paraId="4B2F2043" w14:textId="77777777" w:rsidR="00C14BF9" w:rsidRPr="00CD10C1" w:rsidRDefault="00C14BF9" w:rsidP="00CD10C1">
      <w:r>
        <w:br w:type="page"/>
      </w:r>
    </w:p>
    <w:sdt>
      <w:sdtPr>
        <w:rPr>
          <w:rFonts w:ascii="Arial" w:eastAsiaTheme="minorHAnsi" w:hAnsi="Arial" w:cstheme="minorBidi"/>
          <w:b w:val="0"/>
          <w:bCs/>
          <w:color w:val="auto"/>
          <w:kern w:val="2"/>
          <w:sz w:val="20"/>
          <w:szCs w:val="24"/>
          <w:lang w:val="en-AU"/>
          <w14:ligatures w14:val="standardContextual"/>
        </w:rPr>
        <w:id w:val="97608791"/>
        <w:docPartObj>
          <w:docPartGallery w:val="Table of Contents"/>
          <w:docPartUnique/>
        </w:docPartObj>
      </w:sdtPr>
      <w:sdtEndPr>
        <w:rPr>
          <w:rFonts w:ascii="Segoe UI" w:hAnsi="Segoe UI"/>
          <w:bCs w:val="0"/>
          <w:sz w:val="24"/>
        </w:rPr>
      </w:sdtEndPr>
      <w:sdtContent>
        <w:p w14:paraId="7CD1DBF8" w14:textId="6B965FDE" w:rsidR="009B35E5" w:rsidRDefault="009B35E5" w:rsidP="0005594B">
          <w:pPr>
            <w:pStyle w:val="TOCHeading"/>
          </w:pPr>
          <w:r>
            <w:t>Contents</w:t>
          </w:r>
        </w:p>
        <w:p w14:paraId="2CADCE44" w14:textId="6C889C50" w:rsidR="00A761AA" w:rsidRPr="001A42B8" w:rsidRDefault="001E7759">
          <w:pPr>
            <w:pStyle w:val="TOC1"/>
            <w:tabs>
              <w:tab w:val="right" w:leader="dot" w:pos="9480"/>
            </w:tabs>
            <w:rPr>
              <w:lang w:eastAsia="en-AU"/>
            </w:rPr>
          </w:pPr>
          <w:r w:rsidRPr="001A42B8">
            <w:fldChar w:fldCharType="begin"/>
          </w:r>
          <w:r w:rsidRPr="001A42B8">
            <w:instrText xml:space="preserve"> TOC \o "1-2" \h \z \u </w:instrText>
          </w:r>
          <w:r w:rsidRPr="001A42B8">
            <w:fldChar w:fldCharType="separate"/>
          </w:r>
          <w:hyperlink w:anchor="_Toc232507524" w:history="1">
            <w:r w:rsidR="00A761AA" w:rsidRPr="001A42B8">
              <w:t>Background</w:t>
            </w:r>
            <w:r w:rsidR="00A761AA" w:rsidRPr="001A42B8">
              <w:rPr>
                <w:webHidden/>
              </w:rPr>
              <w:tab/>
            </w:r>
            <w:r w:rsidR="00A761AA" w:rsidRPr="001A42B8">
              <w:rPr>
                <w:webHidden/>
              </w:rPr>
              <w:fldChar w:fldCharType="begin"/>
            </w:r>
            <w:r w:rsidR="00A761AA" w:rsidRPr="001A42B8">
              <w:rPr>
                <w:webHidden/>
              </w:rPr>
              <w:instrText xml:space="preserve"> PAGEREF _Toc232507524 \h </w:instrText>
            </w:r>
            <w:r w:rsidR="00A761AA" w:rsidRPr="001A42B8">
              <w:rPr>
                <w:webHidden/>
              </w:rPr>
            </w:r>
            <w:r w:rsidR="00A761AA" w:rsidRPr="001A42B8">
              <w:rPr>
                <w:webHidden/>
              </w:rPr>
              <w:fldChar w:fldCharType="separate"/>
            </w:r>
            <w:r w:rsidR="006347B6" w:rsidRPr="001A42B8">
              <w:rPr>
                <w:webHidden/>
              </w:rPr>
              <w:t>5</w:t>
            </w:r>
            <w:r w:rsidR="00A761AA" w:rsidRPr="001A42B8">
              <w:rPr>
                <w:webHidden/>
              </w:rPr>
              <w:fldChar w:fldCharType="end"/>
            </w:r>
          </w:hyperlink>
        </w:p>
        <w:p w14:paraId="22CED288" w14:textId="1A30E09D" w:rsidR="00A761AA" w:rsidRPr="001A42B8" w:rsidRDefault="00A761AA">
          <w:pPr>
            <w:pStyle w:val="TOC1"/>
            <w:tabs>
              <w:tab w:val="right" w:leader="dot" w:pos="9480"/>
            </w:tabs>
            <w:rPr>
              <w:lang w:eastAsia="en-AU"/>
            </w:rPr>
          </w:pPr>
          <w:hyperlink w:anchor="_Toc232507525" w:history="1">
            <w:r w:rsidRPr="001A42B8">
              <w:t>Purpose and overview of this document</w:t>
            </w:r>
            <w:r w:rsidRPr="001A42B8">
              <w:rPr>
                <w:webHidden/>
              </w:rPr>
              <w:tab/>
            </w:r>
            <w:r w:rsidRPr="001A42B8">
              <w:rPr>
                <w:webHidden/>
              </w:rPr>
              <w:fldChar w:fldCharType="begin"/>
            </w:r>
            <w:r w:rsidRPr="001A42B8">
              <w:rPr>
                <w:webHidden/>
              </w:rPr>
              <w:instrText xml:space="preserve"> PAGEREF _Toc232507525 \h </w:instrText>
            </w:r>
            <w:r w:rsidRPr="001A42B8">
              <w:rPr>
                <w:webHidden/>
              </w:rPr>
            </w:r>
            <w:r w:rsidRPr="001A42B8">
              <w:rPr>
                <w:webHidden/>
              </w:rPr>
              <w:fldChar w:fldCharType="separate"/>
            </w:r>
            <w:r w:rsidR="006347B6" w:rsidRPr="001A42B8">
              <w:rPr>
                <w:webHidden/>
              </w:rPr>
              <w:t>7</w:t>
            </w:r>
            <w:r w:rsidRPr="001A42B8">
              <w:rPr>
                <w:webHidden/>
              </w:rPr>
              <w:fldChar w:fldCharType="end"/>
            </w:r>
          </w:hyperlink>
        </w:p>
        <w:p w14:paraId="736F7E59" w14:textId="21629A33" w:rsidR="00A761AA" w:rsidRPr="001A42B8" w:rsidRDefault="00A761AA">
          <w:pPr>
            <w:pStyle w:val="TOC1"/>
            <w:tabs>
              <w:tab w:val="right" w:leader="dot" w:pos="9480"/>
            </w:tabs>
            <w:rPr>
              <w:lang w:eastAsia="en-AU"/>
            </w:rPr>
          </w:pPr>
          <w:hyperlink w:anchor="_Toc232507526" w:history="1">
            <w:r w:rsidRPr="001A42B8">
              <w:t>Specific populations</w:t>
            </w:r>
            <w:r w:rsidRPr="001A42B8">
              <w:rPr>
                <w:webHidden/>
              </w:rPr>
              <w:tab/>
            </w:r>
            <w:r w:rsidRPr="001A42B8">
              <w:rPr>
                <w:webHidden/>
              </w:rPr>
              <w:fldChar w:fldCharType="begin"/>
            </w:r>
            <w:r w:rsidRPr="001A42B8">
              <w:rPr>
                <w:webHidden/>
              </w:rPr>
              <w:instrText xml:space="preserve"> PAGEREF _Toc232507526 \h </w:instrText>
            </w:r>
            <w:r w:rsidRPr="001A42B8">
              <w:rPr>
                <w:webHidden/>
              </w:rPr>
            </w:r>
            <w:r w:rsidRPr="001A42B8">
              <w:rPr>
                <w:webHidden/>
              </w:rPr>
              <w:fldChar w:fldCharType="separate"/>
            </w:r>
            <w:r w:rsidR="006347B6" w:rsidRPr="001A42B8">
              <w:rPr>
                <w:webHidden/>
              </w:rPr>
              <w:t>9</w:t>
            </w:r>
            <w:r w:rsidRPr="001A42B8">
              <w:rPr>
                <w:webHidden/>
              </w:rPr>
              <w:fldChar w:fldCharType="end"/>
            </w:r>
          </w:hyperlink>
        </w:p>
        <w:p w14:paraId="174F1F76" w14:textId="5FDCEBAE" w:rsidR="00A761AA" w:rsidRPr="001A42B8" w:rsidRDefault="00A761AA">
          <w:pPr>
            <w:pStyle w:val="TOC1"/>
            <w:tabs>
              <w:tab w:val="right" w:leader="dot" w:pos="9480"/>
            </w:tabs>
            <w:rPr>
              <w:lang w:eastAsia="en-AU"/>
            </w:rPr>
          </w:pPr>
          <w:hyperlink w:anchor="_Toc232507527" w:history="1">
            <w:r w:rsidRPr="001A42B8">
              <w:t>Data gaps</w:t>
            </w:r>
            <w:r w:rsidRPr="001A42B8">
              <w:rPr>
                <w:webHidden/>
              </w:rPr>
              <w:tab/>
            </w:r>
            <w:r w:rsidRPr="001A42B8">
              <w:rPr>
                <w:webHidden/>
              </w:rPr>
              <w:fldChar w:fldCharType="begin"/>
            </w:r>
            <w:r w:rsidRPr="001A42B8">
              <w:rPr>
                <w:webHidden/>
              </w:rPr>
              <w:instrText xml:space="preserve"> PAGEREF _Toc232507527 \h </w:instrText>
            </w:r>
            <w:r w:rsidRPr="001A42B8">
              <w:rPr>
                <w:webHidden/>
              </w:rPr>
            </w:r>
            <w:r w:rsidRPr="001A42B8">
              <w:rPr>
                <w:webHidden/>
              </w:rPr>
              <w:fldChar w:fldCharType="separate"/>
            </w:r>
            <w:r w:rsidR="006347B6" w:rsidRPr="001A42B8">
              <w:rPr>
                <w:webHidden/>
              </w:rPr>
              <w:t>10</w:t>
            </w:r>
            <w:r w:rsidRPr="001A42B8">
              <w:rPr>
                <w:webHidden/>
              </w:rPr>
              <w:fldChar w:fldCharType="end"/>
            </w:r>
          </w:hyperlink>
        </w:p>
        <w:p w14:paraId="5176A08C" w14:textId="72B33C20" w:rsidR="00A761AA" w:rsidRPr="001A42B8" w:rsidRDefault="00A761AA">
          <w:pPr>
            <w:pStyle w:val="TOC1"/>
            <w:tabs>
              <w:tab w:val="right" w:leader="dot" w:pos="9480"/>
            </w:tabs>
            <w:rPr>
              <w:lang w:eastAsia="en-AU"/>
            </w:rPr>
          </w:pPr>
          <w:hyperlink w:anchor="_Toc232507528" w:history="1">
            <w:r w:rsidRPr="001A42B8">
              <w:t>Reporting</w:t>
            </w:r>
            <w:r w:rsidRPr="001A42B8">
              <w:rPr>
                <w:webHidden/>
              </w:rPr>
              <w:tab/>
            </w:r>
            <w:r w:rsidRPr="001A42B8">
              <w:rPr>
                <w:webHidden/>
              </w:rPr>
              <w:fldChar w:fldCharType="begin"/>
            </w:r>
            <w:r w:rsidRPr="001A42B8">
              <w:rPr>
                <w:webHidden/>
              </w:rPr>
              <w:instrText xml:space="preserve"> PAGEREF _Toc232507528 \h </w:instrText>
            </w:r>
            <w:r w:rsidRPr="001A42B8">
              <w:rPr>
                <w:webHidden/>
              </w:rPr>
            </w:r>
            <w:r w:rsidRPr="001A42B8">
              <w:rPr>
                <w:webHidden/>
              </w:rPr>
              <w:fldChar w:fldCharType="separate"/>
            </w:r>
            <w:r w:rsidR="006347B6" w:rsidRPr="001A42B8">
              <w:rPr>
                <w:webHidden/>
              </w:rPr>
              <w:t>11</w:t>
            </w:r>
            <w:r w:rsidRPr="001A42B8">
              <w:rPr>
                <w:webHidden/>
              </w:rPr>
              <w:fldChar w:fldCharType="end"/>
            </w:r>
          </w:hyperlink>
        </w:p>
        <w:p w14:paraId="4EF9FAEB" w14:textId="379836B2" w:rsidR="00A761AA" w:rsidRPr="001A42B8" w:rsidRDefault="00A761AA">
          <w:pPr>
            <w:pStyle w:val="TOC1"/>
            <w:tabs>
              <w:tab w:val="right" w:leader="dot" w:pos="9480"/>
            </w:tabs>
            <w:rPr>
              <w:lang w:eastAsia="en-AU"/>
            </w:rPr>
          </w:pPr>
          <w:hyperlink w:anchor="_Toc232507529" w:history="1">
            <w:r w:rsidRPr="001A42B8">
              <w:t>Governance and implementation</w:t>
            </w:r>
            <w:r w:rsidRPr="001A42B8">
              <w:rPr>
                <w:webHidden/>
              </w:rPr>
              <w:tab/>
            </w:r>
            <w:r w:rsidRPr="001A42B8">
              <w:rPr>
                <w:webHidden/>
              </w:rPr>
              <w:fldChar w:fldCharType="begin"/>
            </w:r>
            <w:r w:rsidRPr="001A42B8">
              <w:rPr>
                <w:webHidden/>
              </w:rPr>
              <w:instrText xml:space="preserve"> PAGEREF _Toc232507529 \h </w:instrText>
            </w:r>
            <w:r w:rsidRPr="001A42B8">
              <w:rPr>
                <w:webHidden/>
              </w:rPr>
            </w:r>
            <w:r w:rsidRPr="001A42B8">
              <w:rPr>
                <w:webHidden/>
              </w:rPr>
              <w:fldChar w:fldCharType="separate"/>
            </w:r>
            <w:r w:rsidR="006347B6" w:rsidRPr="001A42B8">
              <w:rPr>
                <w:webHidden/>
              </w:rPr>
              <w:t>12</w:t>
            </w:r>
            <w:r w:rsidRPr="001A42B8">
              <w:rPr>
                <w:webHidden/>
              </w:rPr>
              <w:fldChar w:fldCharType="end"/>
            </w:r>
          </w:hyperlink>
        </w:p>
        <w:p w14:paraId="671BDDF7" w14:textId="268F5CBC" w:rsidR="00A761AA" w:rsidRPr="001A42B8" w:rsidRDefault="00A761AA">
          <w:pPr>
            <w:pStyle w:val="TOC1"/>
            <w:tabs>
              <w:tab w:val="right" w:leader="dot" w:pos="9480"/>
            </w:tabs>
            <w:rPr>
              <w:lang w:eastAsia="en-AU"/>
            </w:rPr>
          </w:pPr>
          <w:hyperlink w:anchor="_Toc232507530" w:history="1">
            <w:r w:rsidRPr="001A42B8">
              <w:t>Additional resources</w:t>
            </w:r>
            <w:r w:rsidRPr="001A42B8">
              <w:rPr>
                <w:webHidden/>
              </w:rPr>
              <w:tab/>
            </w:r>
            <w:r w:rsidRPr="001A42B8">
              <w:rPr>
                <w:webHidden/>
              </w:rPr>
              <w:fldChar w:fldCharType="begin"/>
            </w:r>
            <w:r w:rsidRPr="001A42B8">
              <w:rPr>
                <w:webHidden/>
              </w:rPr>
              <w:instrText xml:space="preserve"> PAGEREF _Toc232507530 \h </w:instrText>
            </w:r>
            <w:r w:rsidRPr="001A42B8">
              <w:rPr>
                <w:webHidden/>
              </w:rPr>
            </w:r>
            <w:r w:rsidRPr="001A42B8">
              <w:rPr>
                <w:webHidden/>
              </w:rPr>
              <w:fldChar w:fldCharType="separate"/>
            </w:r>
            <w:r w:rsidR="006347B6" w:rsidRPr="001A42B8">
              <w:rPr>
                <w:webHidden/>
              </w:rPr>
              <w:t>12</w:t>
            </w:r>
            <w:r w:rsidRPr="001A42B8">
              <w:rPr>
                <w:webHidden/>
              </w:rPr>
              <w:fldChar w:fldCharType="end"/>
            </w:r>
          </w:hyperlink>
        </w:p>
        <w:p w14:paraId="331F2958" w14:textId="504766AC" w:rsidR="00A761AA" w:rsidRPr="001A42B8" w:rsidRDefault="00A761AA">
          <w:pPr>
            <w:pStyle w:val="TOC1"/>
            <w:tabs>
              <w:tab w:val="right" w:leader="dot" w:pos="9480"/>
            </w:tabs>
            <w:rPr>
              <w:lang w:eastAsia="en-AU"/>
            </w:rPr>
          </w:pPr>
          <w:hyperlink w:anchor="_Toc232507531" w:history="1">
            <w:r w:rsidRPr="001A42B8">
              <w:t>HPV surveillance objectives and indicators</w:t>
            </w:r>
            <w:r w:rsidRPr="001A42B8">
              <w:rPr>
                <w:webHidden/>
              </w:rPr>
              <w:tab/>
            </w:r>
            <w:r w:rsidRPr="001A42B8">
              <w:rPr>
                <w:webHidden/>
              </w:rPr>
              <w:fldChar w:fldCharType="begin"/>
            </w:r>
            <w:r w:rsidRPr="001A42B8">
              <w:rPr>
                <w:webHidden/>
              </w:rPr>
              <w:instrText xml:space="preserve"> PAGEREF _Toc232507531 \h </w:instrText>
            </w:r>
            <w:r w:rsidRPr="001A42B8">
              <w:rPr>
                <w:webHidden/>
              </w:rPr>
            </w:r>
            <w:r w:rsidRPr="001A42B8">
              <w:rPr>
                <w:webHidden/>
              </w:rPr>
              <w:fldChar w:fldCharType="separate"/>
            </w:r>
            <w:r w:rsidR="006347B6" w:rsidRPr="001A42B8">
              <w:rPr>
                <w:webHidden/>
              </w:rPr>
              <w:t>13</w:t>
            </w:r>
            <w:r w:rsidRPr="001A42B8">
              <w:rPr>
                <w:webHidden/>
              </w:rPr>
              <w:fldChar w:fldCharType="end"/>
            </w:r>
          </w:hyperlink>
        </w:p>
        <w:p w14:paraId="4D81DBED" w14:textId="0D5B0B06" w:rsidR="00A761AA" w:rsidRPr="001A42B8" w:rsidRDefault="00A761AA">
          <w:pPr>
            <w:pStyle w:val="TOC1"/>
            <w:tabs>
              <w:tab w:val="right" w:leader="dot" w:pos="9480"/>
            </w:tabs>
            <w:rPr>
              <w:lang w:eastAsia="en-AU"/>
            </w:rPr>
          </w:pPr>
          <w:hyperlink w:anchor="_Toc232507532" w:history="1">
            <w:r w:rsidRPr="001A42B8">
              <w:t>Abbreviations</w:t>
            </w:r>
            <w:r w:rsidRPr="001A42B8">
              <w:rPr>
                <w:webHidden/>
              </w:rPr>
              <w:tab/>
            </w:r>
            <w:r w:rsidRPr="001A42B8">
              <w:rPr>
                <w:webHidden/>
              </w:rPr>
              <w:fldChar w:fldCharType="begin"/>
            </w:r>
            <w:r w:rsidRPr="001A42B8">
              <w:rPr>
                <w:webHidden/>
              </w:rPr>
              <w:instrText xml:space="preserve"> PAGEREF _Toc232507532 \h </w:instrText>
            </w:r>
            <w:r w:rsidRPr="001A42B8">
              <w:rPr>
                <w:webHidden/>
              </w:rPr>
            </w:r>
            <w:r w:rsidRPr="001A42B8">
              <w:rPr>
                <w:webHidden/>
              </w:rPr>
              <w:fldChar w:fldCharType="separate"/>
            </w:r>
            <w:r w:rsidR="006347B6" w:rsidRPr="001A42B8">
              <w:rPr>
                <w:webHidden/>
              </w:rPr>
              <w:t>21</w:t>
            </w:r>
            <w:r w:rsidRPr="001A42B8">
              <w:rPr>
                <w:webHidden/>
              </w:rPr>
              <w:fldChar w:fldCharType="end"/>
            </w:r>
          </w:hyperlink>
        </w:p>
        <w:p w14:paraId="09DEED77" w14:textId="5E6F7F4B" w:rsidR="00A761AA" w:rsidRPr="001A42B8" w:rsidRDefault="00A761AA">
          <w:pPr>
            <w:pStyle w:val="TOC1"/>
            <w:tabs>
              <w:tab w:val="right" w:leader="dot" w:pos="9480"/>
            </w:tabs>
            <w:rPr>
              <w:lang w:eastAsia="en-AU"/>
            </w:rPr>
          </w:pPr>
          <w:hyperlink w:anchor="_Toc232507533" w:history="1">
            <w:r w:rsidRPr="001A42B8">
              <w:t>Surveillance objectives</w:t>
            </w:r>
            <w:r w:rsidRPr="001A42B8">
              <w:rPr>
                <w:webHidden/>
              </w:rPr>
              <w:tab/>
            </w:r>
            <w:r w:rsidRPr="001A42B8">
              <w:rPr>
                <w:webHidden/>
              </w:rPr>
              <w:fldChar w:fldCharType="begin"/>
            </w:r>
            <w:r w:rsidRPr="001A42B8">
              <w:rPr>
                <w:webHidden/>
              </w:rPr>
              <w:instrText xml:space="preserve"> PAGEREF _Toc232507533 \h </w:instrText>
            </w:r>
            <w:r w:rsidRPr="001A42B8">
              <w:rPr>
                <w:webHidden/>
              </w:rPr>
            </w:r>
            <w:r w:rsidRPr="001A42B8">
              <w:rPr>
                <w:webHidden/>
              </w:rPr>
              <w:fldChar w:fldCharType="separate"/>
            </w:r>
            <w:r w:rsidR="006347B6" w:rsidRPr="001A42B8">
              <w:rPr>
                <w:webHidden/>
              </w:rPr>
              <w:t>22</w:t>
            </w:r>
            <w:r w:rsidRPr="001A42B8">
              <w:rPr>
                <w:webHidden/>
              </w:rPr>
              <w:fldChar w:fldCharType="end"/>
            </w:r>
          </w:hyperlink>
        </w:p>
        <w:p w14:paraId="4848A3F4" w14:textId="40AD0B74" w:rsidR="00A761AA" w:rsidRPr="001A42B8" w:rsidRDefault="00A761AA">
          <w:pPr>
            <w:pStyle w:val="TOC1"/>
            <w:tabs>
              <w:tab w:val="left" w:pos="480"/>
              <w:tab w:val="right" w:leader="dot" w:pos="9480"/>
            </w:tabs>
            <w:rPr>
              <w:lang w:eastAsia="en-AU"/>
            </w:rPr>
          </w:pPr>
          <w:hyperlink w:anchor="_Toc232507534" w:history="1">
            <w:r w:rsidRPr="001A42B8">
              <w:t>1.</w:t>
            </w:r>
            <w:r w:rsidRPr="001A42B8">
              <w:rPr>
                <w:lang w:eastAsia="en-AU"/>
              </w:rPr>
              <w:tab/>
            </w:r>
            <w:r w:rsidRPr="001A42B8">
              <w:t>Program monitoring</w:t>
            </w:r>
            <w:r w:rsidRPr="001A42B8">
              <w:rPr>
                <w:webHidden/>
              </w:rPr>
              <w:tab/>
            </w:r>
            <w:r w:rsidRPr="001A42B8">
              <w:rPr>
                <w:webHidden/>
              </w:rPr>
              <w:fldChar w:fldCharType="begin"/>
            </w:r>
            <w:r w:rsidRPr="001A42B8">
              <w:rPr>
                <w:webHidden/>
              </w:rPr>
              <w:instrText xml:space="preserve"> PAGEREF _Toc232507534 \h </w:instrText>
            </w:r>
            <w:r w:rsidRPr="001A42B8">
              <w:rPr>
                <w:webHidden/>
              </w:rPr>
            </w:r>
            <w:r w:rsidRPr="001A42B8">
              <w:rPr>
                <w:webHidden/>
              </w:rPr>
              <w:fldChar w:fldCharType="separate"/>
            </w:r>
            <w:r w:rsidR="006347B6" w:rsidRPr="001A42B8">
              <w:rPr>
                <w:webHidden/>
              </w:rPr>
              <w:t>23</w:t>
            </w:r>
            <w:r w:rsidRPr="001A42B8">
              <w:rPr>
                <w:webHidden/>
              </w:rPr>
              <w:fldChar w:fldCharType="end"/>
            </w:r>
          </w:hyperlink>
        </w:p>
        <w:p w14:paraId="25C6AA8C" w14:textId="2F6E068C" w:rsidR="00A761AA" w:rsidRPr="001A42B8" w:rsidRDefault="00A761AA">
          <w:pPr>
            <w:pStyle w:val="TOC2"/>
            <w:tabs>
              <w:tab w:val="left" w:pos="960"/>
              <w:tab w:val="right" w:leader="dot" w:pos="9480"/>
            </w:tabs>
            <w:rPr>
              <w:lang w:eastAsia="en-AU"/>
            </w:rPr>
          </w:pPr>
          <w:hyperlink w:anchor="_Toc232507535" w:history="1">
            <w:r w:rsidRPr="001A42B8">
              <w:t>1.1.</w:t>
            </w:r>
            <w:r w:rsidRPr="001A42B8">
              <w:rPr>
                <w:lang w:eastAsia="en-AU"/>
              </w:rPr>
              <w:tab/>
            </w:r>
            <w:r w:rsidRPr="001A42B8">
              <w:t>Monitor HPV vaccination coverage</w:t>
            </w:r>
            <w:r w:rsidRPr="001A42B8">
              <w:rPr>
                <w:webHidden/>
              </w:rPr>
              <w:tab/>
            </w:r>
            <w:r w:rsidRPr="001A42B8">
              <w:rPr>
                <w:webHidden/>
              </w:rPr>
              <w:fldChar w:fldCharType="begin"/>
            </w:r>
            <w:r w:rsidRPr="001A42B8">
              <w:rPr>
                <w:webHidden/>
              </w:rPr>
              <w:instrText xml:space="preserve"> PAGEREF _Toc232507535 \h </w:instrText>
            </w:r>
            <w:r w:rsidRPr="001A42B8">
              <w:rPr>
                <w:webHidden/>
              </w:rPr>
            </w:r>
            <w:r w:rsidRPr="001A42B8">
              <w:rPr>
                <w:webHidden/>
              </w:rPr>
              <w:fldChar w:fldCharType="separate"/>
            </w:r>
            <w:r w:rsidR="006347B6" w:rsidRPr="001A42B8">
              <w:rPr>
                <w:webHidden/>
              </w:rPr>
              <w:t>23</w:t>
            </w:r>
            <w:r w:rsidRPr="001A42B8">
              <w:rPr>
                <w:webHidden/>
              </w:rPr>
              <w:fldChar w:fldCharType="end"/>
            </w:r>
          </w:hyperlink>
        </w:p>
        <w:p w14:paraId="51898DB5" w14:textId="6C16B194" w:rsidR="00A761AA" w:rsidRPr="001A42B8" w:rsidRDefault="00A761AA">
          <w:pPr>
            <w:pStyle w:val="TOC2"/>
            <w:tabs>
              <w:tab w:val="left" w:pos="960"/>
              <w:tab w:val="right" w:leader="dot" w:pos="9480"/>
            </w:tabs>
            <w:rPr>
              <w:lang w:eastAsia="en-AU"/>
            </w:rPr>
          </w:pPr>
          <w:hyperlink w:anchor="_Toc232507536" w:history="1">
            <w:r w:rsidRPr="001A42B8">
              <w:t>1.2.</w:t>
            </w:r>
            <w:r w:rsidRPr="001A42B8">
              <w:rPr>
                <w:lang w:eastAsia="en-AU"/>
              </w:rPr>
              <w:tab/>
            </w:r>
            <w:r w:rsidRPr="001A42B8">
              <w:t>Monitor coverage of cervical screening</w:t>
            </w:r>
            <w:r w:rsidRPr="001A42B8">
              <w:rPr>
                <w:webHidden/>
              </w:rPr>
              <w:tab/>
            </w:r>
            <w:r w:rsidRPr="001A42B8">
              <w:rPr>
                <w:webHidden/>
              </w:rPr>
              <w:fldChar w:fldCharType="begin"/>
            </w:r>
            <w:r w:rsidRPr="001A42B8">
              <w:rPr>
                <w:webHidden/>
              </w:rPr>
              <w:instrText xml:space="preserve"> PAGEREF _Toc232507536 \h </w:instrText>
            </w:r>
            <w:r w:rsidRPr="001A42B8">
              <w:rPr>
                <w:webHidden/>
              </w:rPr>
            </w:r>
            <w:r w:rsidRPr="001A42B8">
              <w:rPr>
                <w:webHidden/>
              </w:rPr>
              <w:fldChar w:fldCharType="separate"/>
            </w:r>
            <w:r w:rsidR="006347B6" w:rsidRPr="001A42B8">
              <w:rPr>
                <w:webHidden/>
              </w:rPr>
              <w:t>26</w:t>
            </w:r>
            <w:r w:rsidRPr="001A42B8">
              <w:rPr>
                <w:webHidden/>
              </w:rPr>
              <w:fldChar w:fldCharType="end"/>
            </w:r>
          </w:hyperlink>
        </w:p>
        <w:p w14:paraId="250E3238" w14:textId="5B426391" w:rsidR="00A761AA" w:rsidRPr="001A42B8" w:rsidRDefault="00A761AA">
          <w:pPr>
            <w:pStyle w:val="TOC1"/>
            <w:tabs>
              <w:tab w:val="left" w:pos="480"/>
              <w:tab w:val="right" w:leader="dot" w:pos="9480"/>
            </w:tabs>
            <w:rPr>
              <w:lang w:eastAsia="en-AU"/>
            </w:rPr>
          </w:pPr>
          <w:hyperlink w:anchor="_Toc232507537" w:history="1">
            <w:r w:rsidRPr="001A42B8">
              <w:t>2.</w:t>
            </w:r>
            <w:r w:rsidRPr="001A42B8">
              <w:rPr>
                <w:lang w:eastAsia="en-AU"/>
              </w:rPr>
              <w:tab/>
            </w:r>
            <w:r w:rsidRPr="001A42B8">
              <w:t>Infection monitoring</w:t>
            </w:r>
            <w:r w:rsidRPr="001A42B8">
              <w:rPr>
                <w:webHidden/>
              </w:rPr>
              <w:tab/>
            </w:r>
            <w:r w:rsidRPr="001A42B8">
              <w:rPr>
                <w:webHidden/>
              </w:rPr>
              <w:fldChar w:fldCharType="begin"/>
            </w:r>
            <w:r w:rsidRPr="001A42B8">
              <w:rPr>
                <w:webHidden/>
              </w:rPr>
              <w:instrText xml:space="preserve"> PAGEREF _Toc232507537 \h </w:instrText>
            </w:r>
            <w:r w:rsidRPr="001A42B8">
              <w:rPr>
                <w:webHidden/>
              </w:rPr>
            </w:r>
            <w:r w:rsidRPr="001A42B8">
              <w:rPr>
                <w:webHidden/>
              </w:rPr>
              <w:fldChar w:fldCharType="separate"/>
            </w:r>
            <w:r w:rsidR="006347B6" w:rsidRPr="001A42B8">
              <w:rPr>
                <w:webHidden/>
              </w:rPr>
              <w:t>29</w:t>
            </w:r>
            <w:r w:rsidRPr="001A42B8">
              <w:rPr>
                <w:webHidden/>
              </w:rPr>
              <w:fldChar w:fldCharType="end"/>
            </w:r>
          </w:hyperlink>
        </w:p>
        <w:p w14:paraId="2CA9638A" w14:textId="211E2A46" w:rsidR="00A761AA" w:rsidRPr="001A42B8" w:rsidRDefault="00A761AA">
          <w:pPr>
            <w:pStyle w:val="TOC2"/>
            <w:tabs>
              <w:tab w:val="left" w:pos="960"/>
              <w:tab w:val="right" w:leader="dot" w:pos="9480"/>
            </w:tabs>
            <w:rPr>
              <w:lang w:eastAsia="en-AU"/>
            </w:rPr>
          </w:pPr>
          <w:hyperlink w:anchor="_Toc232507538" w:history="1">
            <w:r w:rsidRPr="001A42B8">
              <w:t>2.1.</w:t>
            </w:r>
            <w:r w:rsidRPr="001A42B8">
              <w:rPr>
                <w:lang w:eastAsia="en-AU"/>
              </w:rPr>
              <w:tab/>
            </w:r>
            <w:r w:rsidRPr="001A42B8">
              <w:t>Monitor the prevalence of HPV genotypes</w:t>
            </w:r>
            <w:r w:rsidRPr="001A42B8">
              <w:rPr>
                <w:webHidden/>
              </w:rPr>
              <w:tab/>
            </w:r>
            <w:r w:rsidRPr="001A42B8">
              <w:rPr>
                <w:webHidden/>
              </w:rPr>
              <w:fldChar w:fldCharType="begin"/>
            </w:r>
            <w:r w:rsidRPr="001A42B8">
              <w:rPr>
                <w:webHidden/>
              </w:rPr>
              <w:instrText xml:space="preserve"> PAGEREF _Toc232507538 \h </w:instrText>
            </w:r>
            <w:r w:rsidRPr="001A42B8">
              <w:rPr>
                <w:webHidden/>
              </w:rPr>
            </w:r>
            <w:r w:rsidRPr="001A42B8">
              <w:rPr>
                <w:webHidden/>
              </w:rPr>
              <w:fldChar w:fldCharType="separate"/>
            </w:r>
            <w:r w:rsidR="006347B6" w:rsidRPr="001A42B8">
              <w:rPr>
                <w:webHidden/>
              </w:rPr>
              <w:t>29</w:t>
            </w:r>
            <w:r w:rsidRPr="001A42B8">
              <w:rPr>
                <w:webHidden/>
              </w:rPr>
              <w:fldChar w:fldCharType="end"/>
            </w:r>
          </w:hyperlink>
        </w:p>
        <w:p w14:paraId="795C6CC3" w14:textId="7FCBDBAF" w:rsidR="00A761AA" w:rsidRPr="001A42B8" w:rsidRDefault="00A761AA">
          <w:pPr>
            <w:pStyle w:val="TOC1"/>
            <w:tabs>
              <w:tab w:val="left" w:pos="480"/>
              <w:tab w:val="right" w:leader="dot" w:pos="9480"/>
            </w:tabs>
            <w:rPr>
              <w:lang w:eastAsia="en-AU"/>
            </w:rPr>
          </w:pPr>
          <w:hyperlink w:anchor="_Toc232507539" w:history="1">
            <w:r w:rsidRPr="001A42B8">
              <w:t>3.</w:t>
            </w:r>
            <w:r w:rsidRPr="001A42B8">
              <w:rPr>
                <w:lang w:eastAsia="en-AU"/>
              </w:rPr>
              <w:tab/>
            </w:r>
            <w:r w:rsidRPr="001A42B8">
              <w:t>Non-cancer disease endpoints</w:t>
            </w:r>
            <w:r w:rsidRPr="001A42B8">
              <w:rPr>
                <w:webHidden/>
              </w:rPr>
              <w:tab/>
            </w:r>
            <w:r w:rsidRPr="001A42B8">
              <w:rPr>
                <w:webHidden/>
              </w:rPr>
              <w:fldChar w:fldCharType="begin"/>
            </w:r>
            <w:r w:rsidRPr="001A42B8">
              <w:rPr>
                <w:webHidden/>
              </w:rPr>
              <w:instrText xml:space="preserve"> PAGEREF _Toc232507539 \h </w:instrText>
            </w:r>
            <w:r w:rsidRPr="001A42B8">
              <w:rPr>
                <w:webHidden/>
              </w:rPr>
            </w:r>
            <w:r w:rsidRPr="001A42B8">
              <w:rPr>
                <w:webHidden/>
              </w:rPr>
              <w:fldChar w:fldCharType="separate"/>
            </w:r>
            <w:r w:rsidR="006347B6" w:rsidRPr="001A42B8">
              <w:rPr>
                <w:webHidden/>
              </w:rPr>
              <w:t>33</w:t>
            </w:r>
            <w:r w:rsidRPr="001A42B8">
              <w:rPr>
                <w:webHidden/>
              </w:rPr>
              <w:fldChar w:fldCharType="end"/>
            </w:r>
          </w:hyperlink>
        </w:p>
        <w:p w14:paraId="69C5678E" w14:textId="046B10FA" w:rsidR="00A761AA" w:rsidRPr="001A42B8" w:rsidRDefault="00A761AA">
          <w:pPr>
            <w:pStyle w:val="TOC2"/>
            <w:tabs>
              <w:tab w:val="left" w:pos="960"/>
              <w:tab w:val="right" w:leader="dot" w:pos="9480"/>
            </w:tabs>
            <w:rPr>
              <w:lang w:eastAsia="en-AU"/>
            </w:rPr>
          </w:pPr>
          <w:hyperlink w:anchor="_Toc232507540" w:history="1">
            <w:r w:rsidRPr="001A42B8">
              <w:t>3.1.</w:t>
            </w:r>
            <w:r w:rsidRPr="001A42B8">
              <w:rPr>
                <w:lang w:eastAsia="en-AU"/>
              </w:rPr>
              <w:tab/>
            </w:r>
            <w:r w:rsidRPr="001A42B8">
              <w:t>Monitor the incidence of genital warts</w:t>
            </w:r>
            <w:r w:rsidRPr="001A42B8">
              <w:rPr>
                <w:webHidden/>
              </w:rPr>
              <w:tab/>
            </w:r>
            <w:r w:rsidRPr="001A42B8">
              <w:rPr>
                <w:webHidden/>
              </w:rPr>
              <w:fldChar w:fldCharType="begin"/>
            </w:r>
            <w:r w:rsidRPr="001A42B8">
              <w:rPr>
                <w:webHidden/>
              </w:rPr>
              <w:instrText xml:space="preserve"> PAGEREF _Toc232507540 \h </w:instrText>
            </w:r>
            <w:r w:rsidRPr="001A42B8">
              <w:rPr>
                <w:webHidden/>
              </w:rPr>
            </w:r>
            <w:r w:rsidRPr="001A42B8">
              <w:rPr>
                <w:webHidden/>
              </w:rPr>
              <w:fldChar w:fldCharType="separate"/>
            </w:r>
            <w:r w:rsidR="006347B6" w:rsidRPr="001A42B8">
              <w:rPr>
                <w:webHidden/>
              </w:rPr>
              <w:t>33</w:t>
            </w:r>
            <w:r w:rsidRPr="001A42B8">
              <w:rPr>
                <w:webHidden/>
              </w:rPr>
              <w:fldChar w:fldCharType="end"/>
            </w:r>
          </w:hyperlink>
        </w:p>
        <w:p w14:paraId="55229005" w14:textId="613C297A" w:rsidR="00A761AA" w:rsidRPr="001A42B8" w:rsidRDefault="00A761AA">
          <w:pPr>
            <w:pStyle w:val="TOC2"/>
            <w:tabs>
              <w:tab w:val="left" w:pos="960"/>
              <w:tab w:val="right" w:leader="dot" w:pos="9480"/>
            </w:tabs>
            <w:rPr>
              <w:lang w:eastAsia="en-AU"/>
            </w:rPr>
          </w:pPr>
          <w:hyperlink w:anchor="_Toc232507541" w:history="1">
            <w:r w:rsidRPr="001A42B8">
              <w:t>3.2.</w:t>
            </w:r>
            <w:r w:rsidRPr="001A42B8">
              <w:rPr>
                <w:lang w:eastAsia="en-AU"/>
              </w:rPr>
              <w:tab/>
            </w:r>
            <w:r w:rsidRPr="001A42B8">
              <w:t>Monitor the incidence of recurrent respiratory papillomatosis</w:t>
            </w:r>
            <w:r w:rsidRPr="001A42B8">
              <w:rPr>
                <w:webHidden/>
              </w:rPr>
              <w:tab/>
            </w:r>
            <w:r w:rsidRPr="001A42B8">
              <w:rPr>
                <w:webHidden/>
              </w:rPr>
              <w:fldChar w:fldCharType="begin"/>
            </w:r>
            <w:r w:rsidRPr="001A42B8">
              <w:rPr>
                <w:webHidden/>
              </w:rPr>
              <w:instrText xml:space="preserve"> PAGEREF _Toc232507541 \h </w:instrText>
            </w:r>
            <w:r w:rsidRPr="001A42B8">
              <w:rPr>
                <w:webHidden/>
              </w:rPr>
            </w:r>
            <w:r w:rsidRPr="001A42B8">
              <w:rPr>
                <w:webHidden/>
              </w:rPr>
              <w:fldChar w:fldCharType="separate"/>
            </w:r>
            <w:r w:rsidR="006347B6" w:rsidRPr="001A42B8">
              <w:rPr>
                <w:webHidden/>
              </w:rPr>
              <w:t>35</w:t>
            </w:r>
            <w:r w:rsidRPr="001A42B8">
              <w:rPr>
                <w:webHidden/>
              </w:rPr>
              <w:fldChar w:fldCharType="end"/>
            </w:r>
          </w:hyperlink>
        </w:p>
        <w:p w14:paraId="29FBFD10" w14:textId="729E2BA2" w:rsidR="00A761AA" w:rsidRPr="001A42B8" w:rsidRDefault="00A761AA">
          <w:pPr>
            <w:pStyle w:val="TOC2"/>
            <w:tabs>
              <w:tab w:val="left" w:pos="960"/>
              <w:tab w:val="right" w:leader="dot" w:pos="9480"/>
            </w:tabs>
            <w:rPr>
              <w:lang w:eastAsia="en-AU"/>
            </w:rPr>
          </w:pPr>
          <w:hyperlink w:anchor="_Toc232507542" w:history="1">
            <w:r w:rsidRPr="001A42B8">
              <w:t>3.3.</w:t>
            </w:r>
            <w:r w:rsidRPr="001A42B8">
              <w:rPr>
                <w:lang w:eastAsia="en-AU"/>
              </w:rPr>
              <w:tab/>
            </w:r>
            <w:r w:rsidRPr="001A42B8">
              <w:t>Monitor the prevalence of screen-detected cervical abnormalities</w:t>
            </w:r>
            <w:r w:rsidRPr="001A42B8">
              <w:rPr>
                <w:webHidden/>
              </w:rPr>
              <w:tab/>
            </w:r>
            <w:r w:rsidRPr="001A42B8">
              <w:rPr>
                <w:webHidden/>
              </w:rPr>
              <w:fldChar w:fldCharType="begin"/>
            </w:r>
            <w:r w:rsidRPr="001A42B8">
              <w:rPr>
                <w:webHidden/>
              </w:rPr>
              <w:instrText xml:space="preserve"> PAGEREF _Toc232507542 \h </w:instrText>
            </w:r>
            <w:r w:rsidRPr="001A42B8">
              <w:rPr>
                <w:webHidden/>
              </w:rPr>
            </w:r>
            <w:r w:rsidRPr="001A42B8">
              <w:rPr>
                <w:webHidden/>
              </w:rPr>
              <w:fldChar w:fldCharType="separate"/>
            </w:r>
            <w:r w:rsidR="006347B6" w:rsidRPr="001A42B8">
              <w:rPr>
                <w:webHidden/>
              </w:rPr>
              <w:t>40</w:t>
            </w:r>
            <w:r w:rsidRPr="001A42B8">
              <w:rPr>
                <w:webHidden/>
              </w:rPr>
              <w:fldChar w:fldCharType="end"/>
            </w:r>
          </w:hyperlink>
        </w:p>
        <w:p w14:paraId="43282235" w14:textId="5A2F0C1A" w:rsidR="00A761AA" w:rsidRPr="001A42B8" w:rsidRDefault="00A761AA">
          <w:pPr>
            <w:pStyle w:val="TOC2"/>
            <w:tabs>
              <w:tab w:val="left" w:pos="960"/>
              <w:tab w:val="right" w:leader="dot" w:pos="9480"/>
            </w:tabs>
            <w:rPr>
              <w:lang w:eastAsia="en-AU"/>
            </w:rPr>
          </w:pPr>
          <w:hyperlink w:anchor="_Toc232507543" w:history="1">
            <w:r w:rsidRPr="001A42B8">
              <w:t>3.4.</w:t>
            </w:r>
            <w:r w:rsidRPr="001A42B8">
              <w:rPr>
                <w:lang w:eastAsia="en-AU"/>
              </w:rPr>
              <w:tab/>
            </w:r>
            <w:r w:rsidRPr="001A42B8">
              <w:t>Monitor the distribution of HPV genotypes detected in high-grade cervical lesions</w:t>
            </w:r>
            <w:r w:rsidRPr="001A42B8">
              <w:rPr>
                <w:webHidden/>
              </w:rPr>
              <w:tab/>
            </w:r>
            <w:r w:rsidRPr="001A42B8">
              <w:rPr>
                <w:webHidden/>
              </w:rPr>
              <w:fldChar w:fldCharType="begin"/>
            </w:r>
            <w:r w:rsidRPr="001A42B8">
              <w:rPr>
                <w:webHidden/>
              </w:rPr>
              <w:instrText xml:space="preserve"> PAGEREF _Toc232507543 \h </w:instrText>
            </w:r>
            <w:r w:rsidRPr="001A42B8">
              <w:rPr>
                <w:webHidden/>
              </w:rPr>
            </w:r>
            <w:r w:rsidRPr="001A42B8">
              <w:rPr>
                <w:webHidden/>
              </w:rPr>
              <w:fldChar w:fldCharType="separate"/>
            </w:r>
            <w:r w:rsidR="006347B6" w:rsidRPr="001A42B8">
              <w:rPr>
                <w:webHidden/>
              </w:rPr>
              <w:t>42</w:t>
            </w:r>
            <w:r w:rsidRPr="001A42B8">
              <w:rPr>
                <w:webHidden/>
              </w:rPr>
              <w:fldChar w:fldCharType="end"/>
            </w:r>
          </w:hyperlink>
        </w:p>
        <w:p w14:paraId="75B52B75" w14:textId="6F7281BA" w:rsidR="00A761AA" w:rsidRPr="001A42B8" w:rsidRDefault="00A761AA">
          <w:pPr>
            <w:pStyle w:val="TOC1"/>
            <w:tabs>
              <w:tab w:val="left" w:pos="480"/>
              <w:tab w:val="right" w:leader="dot" w:pos="9480"/>
            </w:tabs>
            <w:rPr>
              <w:lang w:eastAsia="en-AU"/>
            </w:rPr>
          </w:pPr>
          <w:hyperlink w:anchor="_Toc232507544" w:history="1">
            <w:r w:rsidRPr="001A42B8">
              <w:t>4.</w:t>
            </w:r>
            <w:r w:rsidRPr="001A42B8">
              <w:rPr>
                <w:lang w:eastAsia="en-AU"/>
              </w:rPr>
              <w:tab/>
            </w:r>
            <w:r w:rsidRPr="001A42B8">
              <w:t>Cancer endpoints</w:t>
            </w:r>
            <w:r w:rsidRPr="001A42B8">
              <w:rPr>
                <w:webHidden/>
              </w:rPr>
              <w:tab/>
            </w:r>
            <w:r w:rsidRPr="001A42B8">
              <w:rPr>
                <w:webHidden/>
              </w:rPr>
              <w:fldChar w:fldCharType="begin"/>
            </w:r>
            <w:r w:rsidRPr="001A42B8">
              <w:rPr>
                <w:webHidden/>
              </w:rPr>
              <w:instrText xml:space="preserve"> PAGEREF _Toc232507544 \h </w:instrText>
            </w:r>
            <w:r w:rsidRPr="001A42B8">
              <w:rPr>
                <w:webHidden/>
              </w:rPr>
            </w:r>
            <w:r w:rsidRPr="001A42B8">
              <w:rPr>
                <w:webHidden/>
              </w:rPr>
              <w:fldChar w:fldCharType="separate"/>
            </w:r>
            <w:r w:rsidR="006347B6" w:rsidRPr="001A42B8">
              <w:rPr>
                <w:webHidden/>
              </w:rPr>
              <w:t>44</w:t>
            </w:r>
            <w:r w:rsidRPr="001A42B8">
              <w:rPr>
                <w:webHidden/>
              </w:rPr>
              <w:fldChar w:fldCharType="end"/>
            </w:r>
          </w:hyperlink>
        </w:p>
        <w:p w14:paraId="42513066" w14:textId="50C0C671" w:rsidR="00A761AA" w:rsidRPr="001A42B8" w:rsidRDefault="00A761AA">
          <w:pPr>
            <w:pStyle w:val="TOC2"/>
            <w:tabs>
              <w:tab w:val="left" w:pos="960"/>
              <w:tab w:val="right" w:leader="dot" w:pos="9480"/>
            </w:tabs>
            <w:rPr>
              <w:lang w:eastAsia="en-AU"/>
            </w:rPr>
          </w:pPr>
          <w:hyperlink w:anchor="_Toc232507545" w:history="1">
            <w:r w:rsidRPr="001A42B8">
              <w:t>4.1.</w:t>
            </w:r>
            <w:r w:rsidRPr="001A42B8">
              <w:rPr>
                <w:lang w:eastAsia="en-AU"/>
              </w:rPr>
              <w:tab/>
            </w:r>
            <w:r w:rsidRPr="001A42B8">
              <w:t>Monitor cervical cancer incidence and mortality</w:t>
            </w:r>
            <w:r w:rsidRPr="001A42B8">
              <w:rPr>
                <w:webHidden/>
              </w:rPr>
              <w:tab/>
            </w:r>
            <w:r w:rsidRPr="001A42B8">
              <w:rPr>
                <w:webHidden/>
              </w:rPr>
              <w:fldChar w:fldCharType="begin"/>
            </w:r>
            <w:r w:rsidRPr="001A42B8">
              <w:rPr>
                <w:webHidden/>
              </w:rPr>
              <w:instrText xml:space="preserve"> PAGEREF _Toc232507545 \h </w:instrText>
            </w:r>
            <w:r w:rsidRPr="001A42B8">
              <w:rPr>
                <w:webHidden/>
              </w:rPr>
            </w:r>
            <w:r w:rsidRPr="001A42B8">
              <w:rPr>
                <w:webHidden/>
              </w:rPr>
              <w:fldChar w:fldCharType="separate"/>
            </w:r>
            <w:r w:rsidR="006347B6" w:rsidRPr="001A42B8">
              <w:rPr>
                <w:webHidden/>
              </w:rPr>
              <w:t>44</w:t>
            </w:r>
            <w:r w:rsidRPr="001A42B8">
              <w:rPr>
                <w:webHidden/>
              </w:rPr>
              <w:fldChar w:fldCharType="end"/>
            </w:r>
          </w:hyperlink>
        </w:p>
        <w:p w14:paraId="3FBA8D80" w14:textId="53E6BE40" w:rsidR="00A761AA" w:rsidRPr="001A42B8" w:rsidRDefault="00A761AA">
          <w:pPr>
            <w:pStyle w:val="TOC2"/>
            <w:tabs>
              <w:tab w:val="left" w:pos="960"/>
              <w:tab w:val="right" w:leader="dot" w:pos="9480"/>
            </w:tabs>
            <w:rPr>
              <w:lang w:eastAsia="en-AU"/>
            </w:rPr>
          </w:pPr>
          <w:hyperlink w:anchor="_Toc232507546" w:history="1">
            <w:r w:rsidRPr="001A42B8">
              <w:t>4.2.</w:t>
            </w:r>
            <w:r w:rsidRPr="001A42B8">
              <w:rPr>
                <w:lang w:eastAsia="en-AU"/>
              </w:rPr>
              <w:tab/>
            </w:r>
            <w:r w:rsidRPr="001A42B8">
              <w:t>Monitor anogenital and oropharyngeal cancer incidence and mortality</w:t>
            </w:r>
            <w:r w:rsidRPr="001A42B8">
              <w:rPr>
                <w:webHidden/>
              </w:rPr>
              <w:tab/>
            </w:r>
            <w:r w:rsidRPr="001A42B8">
              <w:rPr>
                <w:webHidden/>
              </w:rPr>
              <w:fldChar w:fldCharType="begin"/>
            </w:r>
            <w:r w:rsidRPr="001A42B8">
              <w:rPr>
                <w:webHidden/>
              </w:rPr>
              <w:instrText xml:space="preserve"> PAGEREF _Toc232507546 \h </w:instrText>
            </w:r>
            <w:r w:rsidRPr="001A42B8">
              <w:rPr>
                <w:webHidden/>
              </w:rPr>
            </w:r>
            <w:r w:rsidRPr="001A42B8">
              <w:rPr>
                <w:webHidden/>
              </w:rPr>
              <w:fldChar w:fldCharType="separate"/>
            </w:r>
            <w:r w:rsidR="006347B6" w:rsidRPr="001A42B8">
              <w:rPr>
                <w:webHidden/>
              </w:rPr>
              <w:t>48</w:t>
            </w:r>
            <w:r w:rsidRPr="001A42B8">
              <w:rPr>
                <w:webHidden/>
              </w:rPr>
              <w:fldChar w:fldCharType="end"/>
            </w:r>
          </w:hyperlink>
        </w:p>
        <w:p w14:paraId="72D3362C" w14:textId="4406D82C" w:rsidR="00A761AA" w:rsidRPr="001A42B8" w:rsidRDefault="00A761AA">
          <w:pPr>
            <w:pStyle w:val="TOC2"/>
            <w:tabs>
              <w:tab w:val="left" w:pos="960"/>
              <w:tab w:val="right" w:leader="dot" w:pos="9480"/>
            </w:tabs>
            <w:rPr>
              <w:lang w:eastAsia="en-AU"/>
            </w:rPr>
          </w:pPr>
          <w:hyperlink w:anchor="_Toc232507547" w:history="1">
            <w:r w:rsidRPr="001A42B8">
              <w:t>4.3.</w:t>
            </w:r>
            <w:r w:rsidRPr="001A42B8">
              <w:rPr>
                <w:lang w:eastAsia="en-AU"/>
              </w:rPr>
              <w:tab/>
            </w:r>
            <w:r w:rsidRPr="001A42B8">
              <w:t>Monitor the distribution of HPV genotypes detected in cervical cancers</w:t>
            </w:r>
            <w:r w:rsidRPr="001A42B8">
              <w:rPr>
                <w:webHidden/>
              </w:rPr>
              <w:tab/>
            </w:r>
            <w:r w:rsidRPr="001A42B8">
              <w:rPr>
                <w:webHidden/>
              </w:rPr>
              <w:fldChar w:fldCharType="begin"/>
            </w:r>
            <w:r w:rsidRPr="001A42B8">
              <w:rPr>
                <w:webHidden/>
              </w:rPr>
              <w:instrText xml:space="preserve"> PAGEREF _Toc232507547 \h </w:instrText>
            </w:r>
            <w:r w:rsidRPr="001A42B8">
              <w:rPr>
                <w:webHidden/>
              </w:rPr>
            </w:r>
            <w:r w:rsidRPr="001A42B8">
              <w:rPr>
                <w:webHidden/>
              </w:rPr>
              <w:fldChar w:fldCharType="separate"/>
            </w:r>
            <w:r w:rsidR="006347B6" w:rsidRPr="001A42B8">
              <w:rPr>
                <w:webHidden/>
              </w:rPr>
              <w:t>52</w:t>
            </w:r>
            <w:r w:rsidRPr="001A42B8">
              <w:rPr>
                <w:webHidden/>
              </w:rPr>
              <w:fldChar w:fldCharType="end"/>
            </w:r>
          </w:hyperlink>
        </w:p>
        <w:p w14:paraId="2BD22B8C" w14:textId="748C21CB" w:rsidR="00A761AA" w:rsidRPr="001A42B8" w:rsidRDefault="00A761AA">
          <w:pPr>
            <w:pStyle w:val="TOC2"/>
            <w:tabs>
              <w:tab w:val="left" w:pos="960"/>
              <w:tab w:val="right" w:leader="dot" w:pos="9480"/>
            </w:tabs>
            <w:rPr>
              <w:lang w:eastAsia="en-AU"/>
            </w:rPr>
          </w:pPr>
          <w:hyperlink w:anchor="_Toc232507548" w:history="1">
            <w:r w:rsidRPr="001A42B8">
              <w:t>4.4.</w:t>
            </w:r>
            <w:r w:rsidRPr="001A42B8">
              <w:rPr>
                <w:lang w:eastAsia="en-AU"/>
              </w:rPr>
              <w:tab/>
            </w:r>
            <w:r w:rsidRPr="001A42B8">
              <w:t>Monitor the distribution of HPV genotypes detected in anogenital and oropharyngeal cancers</w:t>
            </w:r>
            <w:r w:rsidRPr="001A42B8">
              <w:rPr>
                <w:webHidden/>
              </w:rPr>
              <w:tab/>
            </w:r>
            <w:r w:rsidRPr="001A42B8">
              <w:rPr>
                <w:webHidden/>
              </w:rPr>
              <w:fldChar w:fldCharType="begin"/>
            </w:r>
            <w:r w:rsidRPr="001A42B8">
              <w:rPr>
                <w:webHidden/>
              </w:rPr>
              <w:instrText xml:space="preserve"> PAGEREF _Toc232507548 \h </w:instrText>
            </w:r>
            <w:r w:rsidRPr="001A42B8">
              <w:rPr>
                <w:webHidden/>
              </w:rPr>
            </w:r>
            <w:r w:rsidRPr="001A42B8">
              <w:rPr>
                <w:webHidden/>
              </w:rPr>
              <w:fldChar w:fldCharType="separate"/>
            </w:r>
            <w:r w:rsidR="006347B6" w:rsidRPr="001A42B8">
              <w:rPr>
                <w:webHidden/>
              </w:rPr>
              <w:t>53</w:t>
            </w:r>
            <w:r w:rsidRPr="001A42B8">
              <w:rPr>
                <w:webHidden/>
              </w:rPr>
              <w:fldChar w:fldCharType="end"/>
            </w:r>
          </w:hyperlink>
        </w:p>
        <w:p w14:paraId="38DD738D" w14:textId="7FE5F356" w:rsidR="00A761AA" w:rsidRPr="001A42B8" w:rsidRDefault="00A761AA">
          <w:pPr>
            <w:pStyle w:val="TOC1"/>
            <w:tabs>
              <w:tab w:val="right" w:leader="dot" w:pos="9480"/>
            </w:tabs>
            <w:rPr>
              <w:lang w:eastAsia="en-AU"/>
            </w:rPr>
          </w:pPr>
          <w:hyperlink w:anchor="_Toc232507549" w:history="1">
            <w:r w:rsidRPr="001A42B8">
              <w:t>Appendix A – Cervical Screening Pathway</w:t>
            </w:r>
            <w:r w:rsidRPr="001A42B8">
              <w:rPr>
                <w:webHidden/>
              </w:rPr>
              <w:tab/>
            </w:r>
            <w:r w:rsidRPr="001A42B8">
              <w:rPr>
                <w:webHidden/>
              </w:rPr>
              <w:fldChar w:fldCharType="begin"/>
            </w:r>
            <w:r w:rsidRPr="001A42B8">
              <w:rPr>
                <w:webHidden/>
              </w:rPr>
              <w:instrText xml:space="preserve"> PAGEREF _Toc232507549 \h </w:instrText>
            </w:r>
            <w:r w:rsidRPr="001A42B8">
              <w:rPr>
                <w:webHidden/>
              </w:rPr>
            </w:r>
            <w:r w:rsidRPr="001A42B8">
              <w:rPr>
                <w:webHidden/>
              </w:rPr>
              <w:fldChar w:fldCharType="separate"/>
            </w:r>
            <w:r w:rsidR="006347B6" w:rsidRPr="001A42B8">
              <w:rPr>
                <w:webHidden/>
              </w:rPr>
              <w:t>55</w:t>
            </w:r>
            <w:r w:rsidRPr="001A42B8">
              <w:rPr>
                <w:webHidden/>
              </w:rPr>
              <w:fldChar w:fldCharType="end"/>
            </w:r>
          </w:hyperlink>
        </w:p>
        <w:p w14:paraId="22A6ABF6" w14:textId="46D9D85E" w:rsidR="00A761AA" w:rsidRPr="001A42B8" w:rsidRDefault="00A761AA">
          <w:pPr>
            <w:pStyle w:val="TOC1"/>
            <w:tabs>
              <w:tab w:val="right" w:leader="dot" w:pos="9480"/>
            </w:tabs>
            <w:rPr>
              <w:lang w:eastAsia="en-AU"/>
            </w:rPr>
          </w:pPr>
          <w:hyperlink w:anchor="_Toc232507550" w:history="1">
            <w:r w:rsidRPr="001A42B8">
              <w:t>Appendix B – Summary of objectives and indicators</w:t>
            </w:r>
            <w:r w:rsidRPr="001A42B8">
              <w:rPr>
                <w:webHidden/>
              </w:rPr>
              <w:tab/>
            </w:r>
            <w:r w:rsidRPr="001A42B8">
              <w:rPr>
                <w:webHidden/>
              </w:rPr>
              <w:fldChar w:fldCharType="begin"/>
            </w:r>
            <w:r w:rsidRPr="001A42B8">
              <w:rPr>
                <w:webHidden/>
              </w:rPr>
              <w:instrText xml:space="preserve"> PAGEREF _Toc232507550 \h </w:instrText>
            </w:r>
            <w:r w:rsidRPr="001A42B8">
              <w:rPr>
                <w:webHidden/>
              </w:rPr>
            </w:r>
            <w:r w:rsidRPr="001A42B8">
              <w:rPr>
                <w:webHidden/>
              </w:rPr>
              <w:fldChar w:fldCharType="separate"/>
            </w:r>
            <w:r w:rsidR="006347B6" w:rsidRPr="001A42B8">
              <w:rPr>
                <w:webHidden/>
              </w:rPr>
              <w:t>56</w:t>
            </w:r>
            <w:r w:rsidRPr="001A42B8">
              <w:rPr>
                <w:webHidden/>
              </w:rPr>
              <w:fldChar w:fldCharType="end"/>
            </w:r>
          </w:hyperlink>
        </w:p>
        <w:p w14:paraId="6F1FB7A2" w14:textId="10824BE3" w:rsidR="00A761AA" w:rsidRPr="001A42B8" w:rsidRDefault="00A761AA">
          <w:pPr>
            <w:pStyle w:val="TOC1"/>
            <w:tabs>
              <w:tab w:val="right" w:leader="dot" w:pos="9480"/>
            </w:tabs>
            <w:rPr>
              <w:lang w:eastAsia="en-AU"/>
            </w:rPr>
          </w:pPr>
          <w:hyperlink w:anchor="_Toc232507551" w:history="1">
            <w:r w:rsidRPr="001A42B8">
              <w:t>Appendix C – Data gaps</w:t>
            </w:r>
            <w:r w:rsidRPr="001A42B8">
              <w:rPr>
                <w:webHidden/>
              </w:rPr>
              <w:tab/>
            </w:r>
            <w:r w:rsidRPr="001A42B8">
              <w:rPr>
                <w:webHidden/>
              </w:rPr>
              <w:fldChar w:fldCharType="begin"/>
            </w:r>
            <w:r w:rsidRPr="001A42B8">
              <w:rPr>
                <w:webHidden/>
              </w:rPr>
              <w:instrText xml:space="preserve"> PAGEREF _Toc232507551 \h </w:instrText>
            </w:r>
            <w:r w:rsidRPr="001A42B8">
              <w:rPr>
                <w:webHidden/>
              </w:rPr>
            </w:r>
            <w:r w:rsidRPr="001A42B8">
              <w:rPr>
                <w:webHidden/>
              </w:rPr>
              <w:fldChar w:fldCharType="separate"/>
            </w:r>
            <w:r w:rsidR="006347B6" w:rsidRPr="001A42B8">
              <w:rPr>
                <w:webHidden/>
              </w:rPr>
              <w:t>60</w:t>
            </w:r>
            <w:r w:rsidRPr="001A42B8">
              <w:rPr>
                <w:webHidden/>
              </w:rPr>
              <w:fldChar w:fldCharType="end"/>
            </w:r>
          </w:hyperlink>
        </w:p>
        <w:p w14:paraId="2ED4B5B1" w14:textId="0941133B" w:rsidR="00A761AA" w:rsidRPr="001A42B8" w:rsidRDefault="00A761AA">
          <w:pPr>
            <w:pStyle w:val="TOC1"/>
            <w:tabs>
              <w:tab w:val="right" w:leader="dot" w:pos="9480"/>
            </w:tabs>
            <w:rPr>
              <w:lang w:eastAsia="en-AU"/>
            </w:rPr>
          </w:pPr>
          <w:hyperlink w:anchor="_Toc232507552" w:history="1">
            <w:r w:rsidRPr="001A42B8">
              <w:t>Appendix D – Membership</w:t>
            </w:r>
            <w:r w:rsidRPr="001A42B8">
              <w:rPr>
                <w:webHidden/>
              </w:rPr>
              <w:tab/>
            </w:r>
            <w:r w:rsidRPr="001A42B8">
              <w:rPr>
                <w:webHidden/>
              </w:rPr>
              <w:fldChar w:fldCharType="begin"/>
            </w:r>
            <w:r w:rsidRPr="001A42B8">
              <w:rPr>
                <w:webHidden/>
              </w:rPr>
              <w:instrText xml:space="preserve"> PAGEREF _Toc232507552 \h </w:instrText>
            </w:r>
            <w:r w:rsidRPr="001A42B8">
              <w:rPr>
                <w:webHidden/>
              </w:rPr>
            </w:r>
            <w:r w:rsidRPr="001A42B8">
              <w:rPr>
                <w:webHidden/>
              </w:rPr>
              <w:fldChar w:fldCharType="separate"/>
            </w:r>
            <w:r w:rsidR="006347B6" w:rsidRPr="001A42B8">
              <w:rPr>
                <w:webHidden/>
              </w:rPr>
              <w:t>62</w:t>
            </w:r>
            <w:r w:rsidRPr="001A42B8">
              <w:rPr>
                <w:webHidden/>
              </w:rPr>
              <w:fldChar w:fldCharType="end"/>
            </w:r>
          </w:hyperlink>
        </w:p>
        <w:p w14:paraId="314B1A3F" w14:textId="22E82EF0" w:rsidR="00A761AA" w:rsidRPr="001A42B8" w:rsidRDefault="00A761AA">
          <w:pPr>
            <w:pStyle w:val="TOC1"/>
            <w:tabs>
              <w:tab w:val="right" w:leader="dot" w:pos="9480"/>
            </w:tabs>
            <w:rPr>
              <w:lang w:eastAsia="en-AU"/>
            </w:rPr>
          </w:pPr>
          <w:hyperlink w:anchor="_Toc232507553" w:history="1">
            <w:r w:rsidRPr="001A42B8">
              <w:t>References</w:t>
            </w:r>
            <w:r w:rsidRPr="001A42B8">
              <w:rPr>
                <w:webHidden/>
              </w:rPr>
              <w:tab/>
            </w:r>
            <w:r w:rsidRPr="001A42B8">
              <w:rPr>
                <w:webHidden/>
              </w:rPr>
              <w:fldChar w:fldCharType="begin"/>
            </w:r>
            <w:r w:rsidRPr="001A42B8">
              <w:rPr>
                <w:webHidden/>
              </w:rPr>
              <w:instrText xml:space="preserve"> PAGEREF _Toc232507553 \h </w:instrText>
            </w:r>
            <w:r w:rsidRPr="001A42B8">
              <w:rPr>
                <w:webHidden/>
              </w:rPr>
            </w:r>
            <w:r w:rsidRPr="001A42B8">
              <w:rPr>
                <w:webHidden/>
              </w:rPr>
              <w:fldChar w:fldCharType="separate"/>
            </w:r>
            <w:r w:rsidR="006347B6" w:rsidRPr="001A42B8">
              <w:rPr>
                <w:webHidden/>
              </w:rPr>
              <w:t>64</w:t>
            </w:r>
            <w:r w:rsidRPr="001A42B8">
              <w:rPr>
                <w:webHidden/>
              </w:rPr>
              <w:fldChar w:fldCharType="end"/>
            </w:r>
          </w:hyperlink>
        </w:p>
        <w:p w14:paraId="19F0B062" w14:textId="293ABFA6" w:rsidR="009B35E5" w:rsidRPr="00EC4F7A" w:rsidRDefault="001E7759" w:rsidP="00EC4F7A">
          <w:r w:rsidRPr="001A42B8">
            <w:fldChar w:fldCharType="end"/>
          </w:r>
        </w:p>
      </w:sdtContent>
    </w:sdt>
    <w:p w14:paraId="3A013A08" w14:textId="77777777" w:rsidR="00F40769" w:rsidRPr="00192F08" w:rsidRDefault="00F40769" w:rsidP="00192F08">
      <w:r w:rsidRPr="00192F08">
        <w:br w:type="page"/>
      </w:r>
    </w:p>
    <w:p w14:paraId="5C1C2929" w14:textId="77777777" w:rsidR="000D78AF" w:rsidRPr="00FE1213" w:rsidRDefault="00E33E09" w:rsidP="00FE1213">
      <w:pPr>
        <w:pStyle w:val="Heading1"/>
      </w:pPr>
      <w:bookmarkStart w:id="0" w:name="_Toc232507524"/>
      <w:r w:rsidRPr="00FE1213">
        <w:lastRenderedPageBreak/>
        <w:t>Background</w:t>
      </w:r>
      <w:bookmarkEnd w:id="0"/>
    </w:p>
    <w:p w14:paraId="3F63E515" w14:textId="77777777" w:rsidR="00E33E09" w:rsidRPr="00C36354" w:rsidRDefault="00E33E09" w:rsidP="000D78AF">
      <w:pPr>
        <w:rPr>
          <w:szCs w:val="20"/>
        </w:rPr>
      </w:pPr>
      <w:r w:rsidRPr="00C36354">
        <w:rPr>
          <w:szCs w:val="20"/>
        </w:rPr>
        <w:t>Australia was the first country to implement a fully funded comprehensive national population based human papillomavirus (HPV) vaccination program. The aims of the program are to prevent HPV infection and HPV-related diseases. Persistent infection with an oncogenic HPV type can cause cervical cancer, anal cancer, other anogenital cancers and a subset of head and neck cancers. HPV vaccination, under the National Immunisation Program (NIP) was introduced in 2007. Between 2007 and 2009, all females aged 12–26 years were offered vaccination against HPV using a three-dose course of the quadrivalent HPV vaccine (Gardasil®). Delivery occurred through schools and a community-based program. The routine program of vaccination for 12–13-year-old females delivered in schools commenced in 2007 (Patel et al. 2018).</w:t>
      </w:r>
    </w:p>
    <w:p w14:paraId="765832A3" w14:textId="51737339" w:rsidR="00E33E09" w:rsidRPr="00C36354" w:rsidRDefault="00E33E09" w:rsidP="00E33E09">
      <w:pPr>
        <w:rPr>
          <w:szCs w:val="20"/>
        </w:rPr>
      </w:pPr>
      <w:r w:rsidRPr="00C36354">
        <w:rPr>
          <w:szCs w:val="20"/>
        </w:rPr>
        <w:t xml:space="preserve">From 2013, the program was extended to include 12–13-year-old males through school-based programs with a 2-year catch up vaccination program for males aged 14–15 years. In January 2018, further changes were made to the program, in which a 2-dose course of the nonavalent HPV vaccine (Gardasil®9) replaced the quadrivalent program. The nonavalent HPV vaccine protects against the four HPV types targeted by the quadrivalent vaccine (types 6, 11, 16, 18) as well as HPV 31, 33, 45, 52 and 58. On 6 February 2023, the 2-dose HPV vaccine schedule was replaced with a single dose schedule using the same Gardasil®9 vaccine. Currently a single dose of the Gardasil®9 is funded under the NIP for adolescents aged 12 to 13 years. Adolescents who missed the HPV vaccination at 12 to 13 years of age can catch up for free until age 25 years. Current recommendations for HPV vaccination can be found in the HPV section of the </w:t>
      </w:r>
      <w:hyperlink r:id="rId10" w:history="1">
        <w:r w:rsidRPr="00C36354">
          <w:rPr>
            <w:rStyle w:val="Hyperlink"/>
            <w:szCs w:val="20"/>
          </w:rPr>
          <w:t>Australian Immunisation Handbook</w:t>
        </w:r>
      </w:hyperlink>
      <w:r w:rsidRPr="00C36354">
        <w:rPr>
          <w:szCs w:val="20"/>
        </w:rPr>
        <w:t>.</w:t>
      </w:r>
    </w:p>
    <w:p w14:paraId="5C5D31FF" w14:textId="269C8F8C" w:rsidR="00E33E09" w:rsidRPr="00C36354" w:rsidRDefault="00E33E09" w:rsidP="00E33E09">
      <w:pPr>
        <w:rPr>
          <w:szCs w:val="20"/>
        </w:rPr>
      </w:pPr>
      <w:r w:rsidRPr="00C36354">
        <w:rPr>
          <w:szCs w:val="20"/>
        </w:rPr>
        <w:t xml:space="preserve">There are approximately 200 known different types of HPV of which approximately 40 infect mucosal sites, such as the anogenital tract and oropharynx, The International Agency for Research on Cancer classifies 12 HPV types as definitely carcinogenic (types 16, 18, 31, 33, 35, 39, 45, 51, 52, 56, 58, 59) and 1 further type (type 68) as probably carcinogenic and an addition 1 type (type 66) as possibly carcinogenic (IARC Working Group 2012). As the HPV vaccine does not protect against all oncogenic HPV types, vaccinated and unvaccinated women and people with a cervix need to continue to participate in routine cervical screening (DoHAC 2021). Australia’s secondary prevention program for cervical cancer, the National Cervical Screening Program (NCSP) which was established in 1991, is aimed at reducing morbidity and mortality from cervical cancer. The NCSP achieves this through organised population-based screening to detect and, where necessary, treat precancerous cervical abnormalities in asymptomatic women and </w:t>
      </w:r>
      <w:r w:rsidRPr="00C36354">
        <w:rPr>
          <w:szCs w:val="20"/>
        </w:rPr>
        <w:lastRenderedPageBreak/>
        <w:t>people with a cervix. The NCSP is supported by the NCSP Clinical Guidelines which provide recommendations for the management of screen-detected abnormalities, screening in specific populations and investigation of abnormal vaginal bleeding (Cancer Council Australia 2022).</w:t>
      </w:r>
    </w:p>
    <w:p w14:paraId="7E53E3B1" w14:textId="2E15B173" w:rsidR="00E33E09" w:rsidRPr="00C36354" w:rsidRDefault="00E33E09" w:rsidP="00E33E09">
      <w:pPr>
        <w:rPr>
          <w:szCs w:val="20"/>
        </w:rPr>
      </w:pPr>
      <w:r w:rsidRPr="00C36354">
        <w:rPr>
          <w:szCs w:val="20"/>
        </w:rPr>
        <w:t>From 1991 to 2017, the NCSP provided organised cervical screening through regular Pap testing (Papanicolaou cervical cytology) every 2 years, targeting people aged 20 to 69 years. In December 2017, the five-yearly Cervical Screening Test (CST) replaced the two-yearly Pap test in the NCSP, and the target age group was amended to people aged 25–74 years. In contrast to the Pap test, which was only able to detect cell changes in the cervix, the CST detects oncogenic HPV through molecular detection of DNA at levels predictive of the presence of precancerous cervical lesions (DoHAC 2021). HPV based screening is more sensitive and more objective than cytology-based screening and is expected to protect up to 30% more people (Lew JB et al. 2017). The CST incorporates partial genotyping, differentiating infection with HPV types 16 and 18 which are the most oncogenic HPV types and the most common causes of cervical cancer. If HPV is detected, reflex liquid-based cytology is performed on the sample to detect cervical cell changes. For those with HPV types other than 16 or 18, the cytology test supports risk allocation (intermediate or higher risk) to the participants and determines the next steps to be undertaken at the conclusion of the screening episode (Cancer Council Australia 2022). All those with HPV 16 or 18 infection detected are deemed to be at higher risk and referred for further assessment regardless of their cytology findings. More information on the Cervical Screening Pathway can be found a</w:t>
      </w:r>
      <w:r w:rsidRPr="00B527D9">
        <w:rPr>
          <w:szCs w:val="20"/>
        </w:rPr>
        <w:t xml:space="preserve">t </w:t>
      </w:r>
      <w:hyperlink w:anchor="_Appendix_A_–" w:history="1">
        <w:r w:rsidRPr="00B527D9">
          <w:rPr>
            <w:rStyle w:val="Hyperlink"/>
            <w:szCs w:val="20"/>
          </w:rPr>
          <w:t>Appendix A</w:t>
        </w:r>
      </w:hyperlink>
      <w:r w:rsidRPr="00C36354">
        <w:rPr>
          <w:szCs w:val="20"/>
        </w:rPr>
        <w:t>. Another change is the collection of cervical screening data by the National Cancer Screening Register (NCSR) which provides a single electronic record for each Australian taking part in the NCSP replacing the previous eight jurisdictional screening registers from 2017/18. Driving ongoing improvements in data quality and completeness is a key NCSP priority to achieve more effective and meaningful program monitoring, reporting and evaluation (AIHW 2022). The NCSP is currently exploring opportunities to link NCSR data with broader population datasets including national data collections through the Australian Bureau of Statistics and vaccination records in the Australian Immunisation Register. This will provide further context to NCSR data and enable better monitoring of the program and ability to better identify and understand where it requires improvements and adaptations to better meet the needs of priority populations and groups, as well as evaluate the impact of key interventions more comprehensively, such as vaccination.</w:t>
      </w:r>
    </w:p>
    <w:p w14:paraId="510AD8AA" w14:textId="0EE84390" w:rsidR="00E33E09" w:rsidRPr="00880E58" w:rsidRDefault="00E33E09" w:rsidP="00E33E09">
      <w:pPr>
        <w:rPr>
          <w:rFonts w:eastAsia="Arial" w:cs="Arial"/>
          <w:szCs w:val="20"/>
        </w:rPr>
      </w:pPr>
      <w:r w:rsidRPr="00C36354">
        <w:rPr>
          <w:rFonts w:eastAsia="Arial" w:cs="Arial"/>
          <w:szCs w:val="20"/>
        </w:rPr>
        <w:t xml:space="preserve">From 1 July 2022, anyone eligible for a CST under the NCSP has the choice of HPV testing through self-collection of a vaginal sample. Self-collection aims to increase participation in the NCSP by removing barriers to traditional screening faced by many people, </w:t>
      </w:r>
      <w:r w:rsidRPr="00C36354">
        <w:rPr>
          <w:rFonts w:eastAsia="Arial" w:cs="Arial"/>
          <w:szCs w:val="20"/>
        </w:rPr>
        <w:lastRenderedPageBreak/>
        <w:t xml:space="preserve">including physical, cultural and psychosocial barriers. This is of particular importance for Aboriginal and Torres Strait Islander people, culturally and linguistically diverse people, people with disability, people who have experienced sexual violence and trauma, and gender and sexually diverse people. Self-collection of a vaginal sample as a screening choice is also a key strategy in supporting Australia’s commitment to achieving equitable cervical cancer elimination by 2035 (DoHAC 2023).  </w:t>
      </w:r>
    </w:p>
    <w:p w14:paraId="2826BFC3" w14:textId="77777777" w:rsidR="00E33E09" w:rsidRPr="00C36354" w:rsidRDefault="00E33E09" w:rsidP="00E33E09">
      <w:pPr>
        <w:rPr>
          <w:szCs w:val="20"/>
        </w:rPr>
      </w:pPr>
      <w:r w:rsidRPr="00C36354">
        <w:rPr>
          <w:rFonts w:eastAsia="Arial" w:cs="Arial"/>
          <w:szCs w:val="20"/>
        </w:rPr>
        <w:t xml:space="preserve">Australia has aligned its goal of achieving elimination of cervical cancer as a public health problem with the World Health Organization’s (WHO) 2030 goals of 90% vaccination of females, 70% of women screened by age 35 and again by age 45 with a high precision assay, and 90% of people requiring treatment receive it (WHO 2020). By 2035, Australia will achieve the following targets beyond the WHO goals: </w:t>
      </w:r>
    </w:p>
    <w:p w14:paraId="719752AF" w14:textId="77777777" w:rsidR="00E33E09" w:rsidRPr="00C36354" w:rsidRDefault="00E33E09" w:rsidP="00721C74">
      <w:pPr>
        <w:pStyle w:val="ListNumber"/>
      </w:pPr>
      <w:r w:rsidRPr="00C36354">
        <w:t>extending the 90% HPV vaccination target to include males as well as females</w:t>
      </w:r>
    </w:p>
    <w:p w14:paraId="554C0247" w14:textId="77777777" w:rsidR="00E33E09" w:rsidRPr="00C36354" w:rsidRDefault="00E33E09" w:rsidP="00721C74">
      <w:pPr>
        <w:pStyle w:val="ListNumber"/>
      </w:pPr>
      <w:r w:rsidRPr="00C36354">
        <w:t>extending the 70% screening target to 5-yearly participation for eligible 25- to 74-year-olds, rather than twice in a lifetime; and</w:t>
      </w:r>
    </w:p>
    <w:p w14:paraId="60003DA0" w14:textId="77777777" w:rsidR="00E33E09" w:rsidRPr="00C36354" w:rsidRDefault="00E33E09" w:rsidP="00721C74">
      <w:pPr>
        <w:pStyle w:val="ListNumber"/>
      </w:pPr>
      <w:r w:rsidRPr="00C36354">
        <w:t>lifting the target for treatment of cervical precancer and cancer to 95% receive optimal care, as a commitment to achieving elimination as equitably as possible, leaving no-one behind (DoHAC 2023).</w:t>
      </w:r>
    </w:p>
    <w:p w14:paraId="5C03F1FC" w14:textId="77777777" w:rsidR="00276C06" w:rsidRDefault="00276C06" w:rsidP="002C2638">
      <w:pPr>
        <w:pStyle w:val="Heading1"/>
        <w:rPr>
          <w:rFonts w:eastAsia="Arial"/>
        </w:rPr>
      </w:pPr>
      <w:bookmarkStart w:id="1" w:name="_Toc232507525"/>
      <w:r>
        <w:rPr>
          <w:rFonts w:eastAsia="Arial"/>
        </w:rPr>
        <w:t>Purpose and overview of this document</w:t>
      </w:r>
      <w:bookmarkEnd w:id="1"/>
    </w:p>
    <w:p w14:paraId="1E67357B" w14:textId="40793859" w:rsidR="00276C06" w:rsidRPr="00C36354" w:rsidRDefault="00276C06" w:rsidP="00276C06">
      <w:pPr>
        <w:rPr>
          <w:szCs w:val="20"/>
        </w:rPr>
      </w:pPr>
      <w:r w:rsidRPr="00C36354">
        <w:rPr>
          <w:szCs w:val="20"/>
        </w:rPr>
        <w:t xml:space="preserve">The HPV Surveillance Plan (the Plan) outlines key HPV surveillance objectives and indicators focused on monitoring circulating HPV types and HPV related diseases in the context of HPV vaccination under the NIP. The Plan presents an overarching summary of HPV surveillance in Australia and incorporates selected indicators and data sources from existing national programs. The Plan is intended to be a complementary resource to existing and issue specific reporting outlined in other documents and reports </w:t>
      </w:r>
      <w:r w:rsidRPr="00B527D9">
        <w:rPr>
          <w:szCs w:val="20"/>
        </w:rPr>
        <w:t>(</w:t>
      </w:r>
      <w:hyperlink w:anchor="_Additional_Resources" w:history="1">
        <w:r w:rsidRPr="00B527D9">
          <w:rPr>
            <w:rStyle w:val="Hyperlink"/>
            <w:szCs w:val="20"/>
          </w:rPr>
          <w:t>see Additional Resources</w:t>
        </w:r>
      </w:hyperlink>
      <w:r w:rsidRPr="00B527D9">
        <w:rPr>
          <w:szCs w:val="20"/>
        </w:rPr>
        <w:t>).</w:t>
      </w:r>
    </w:p>
    <w:p w14:paraId="787B61F5" w14:textId="77777777" w:rsidR="00276C06" w:rsidRPr="00C36354" w:rsidRDefault="00276C06" w:rsidP="00276C06">
      <w:pPr>
        <w:rPr>
          <w:szCs w:val="20"/>
        </w:rPr>
      </w:pPr>
      <w:r w:rsidRPr="00C36354">
        <w:rPr>
          <w:szCs w:val="20"/>
        </w:rPr>
        <w:t>This document updates the 2013 HPV Surveillance Plan to include surveillance findings as at the end 2023 and reflect changes to HPV prevention programs, including:</w:t>
      </w:r>
    </w:p>
    <w:p w14:paraId="3069EFA3" w14:textId="77777777" w:rsidR="00276C06" w:rsidRPr="00CA76F2" w:rsidRDefault="00276C06" w:rsidP="00CA76F2">
      <w:pPr>
        <w:pStyle w:val="ListBullet"/>
      </w:pPr>
      <w:r w:rsidRPr="00C36354">
        <w:t xml:space="preserve">the </w:t>
      </w:r>
      <w:r w:rsidRPr="00CA76F2">
        <w:t>replacement of the three-dose schedule of the quadrivalent vaccine by the single dose schedule of the nonavalent vaccine through the National Immunisation Program from early 2023</w:t>
      </w:r>
    </w:p>
    <w:p w14:paraId="6B1B0EF6" w14:textId="77777777" w:rsidR="00276C06" w:rsidRPr="00CA76F2" w:rsidRDefault="00276C06" w:rsidP="00CA76F2">
      <w:pPr>
        <w:pStyle w:val="ListBullet"/>
      </w:pPr>
      <w:r w:rsidRPr="00CA76F2">
        <w:t xml:space="preserve">changes to the National Cervical Screening Program, including the Cervical Screening Test, and introduction of the choice of self-collection of a vaginal sample for all eligible participants </w:t>
      </w:r>
    </w:p>
    <w:p w14:paraId="0819EFE7" w14:textId="77777777" w:rsidR="00276C06" w:rsidRPr="00CA76F2" w:rsidRDefault="00276C06" w:rsidP="00CA76F2">
      <w:pPr>
        <w:pStyle w:val="ListBullet"/>
      </w:pPr>
      <w:r w:rsidRPr="00CA76F2">
        <w:lastRenderedPageBreak/>
        <w:t>Australia’s commitment to eliminate cervical cancer as a public health issue by 2035</w:t>
      </w:r>
    </w:p>
    <w:p w14:paraId="66152032" w14:textId="77777777" w:rsidR="00276C06" w:rsidRPr="00CA76F2" w:rsidRDefault="00276C06" w:rsidP="00CA76F2">
      <w:pPr>
        <w:pStyle w:val="ListBullet"/>
      </w:pPr>
      <w:r w:rsidRPr="00CA76F2">
        <w:t>inclusion of gender-neutral programs and language; and</w:t>
      </w:r>
    </w:p>
    <w:p w14:paraId="53810F9B" w14:textId="77777777" w:rsidR="00276C06" w:rsidRPr="00CA76F2" w:rsidRDefault="00276C06" w:rsidP="00CA76F2">
      <w:pPr>
        <w:pStyle w:val="ListBullet"/>
      </w:pPr>
      <w:r w:rsidRPr="00CA76F2">
        <w:t>incorporating the greater understanding of association of HPV with a range of oropharyngeal and anogenital cancers.</w:t>
      </w:r>
    </w:p>
    <w:p w14:paraId="1940874D" w14:textId="77777777" w:rsidR="00276C06" w:rsidRPr="00C36354" w:rsidRDefault="00276C06" w:rsidP="00276C06">
      <w:pPr>
        <w:rPr>
          <w:szCs w:val="20"/>
        </w:rPr>
      </w:pPr>
      <w:r w:rsidRPr="00C36354">
        <w:rPr>
          <w:szCs w:val="20"/>
        </w:rPr>
        <w:t xml:space="preserve">Table 1 outlines the surveillance objectives from the 2013 Plan and the </w:t>
      </w:r>
      <w:proofErr w:type="gramStart"/>
      <w:r w:rsidRPr="00C36354">
        <w:rPr>
          <w:szCs w:val="20"/>
        </w:rPr>
        <w:t>current status</w:t>
      </w:r>
      <w:proofErr w:type="gramEnd"/>
      <w:r w:rsidRPr="00C36354">
        <w:rPr>
          <w:szCs w:val="20"/>
        </w:rPr>
        <w:t xml:space="preserve"> of these as at the end of 2022. In addition, the table notes the surveillance objectives from the 2013 Plan that are included in this current iteration of the Plan. The surveillance objectives and indicators outlined in this document aim to complement and where appropriate, align with existing national strategies and monitoring approaches related to HPV, including the:</w:t>
      </w:r>
    </w:p>
    <w:p w14:paraId="5B934E37" w14:textId="77777777" w:rsidR="00276C06" w:rsidRPr="00C36354" w:rsidRDefault="00276C06" w:rsidP="00FE1213">
      <w:pPr>
        <w:pStyle w:val="ListBullet"/>
      </w:pPr>
      <w:r w:rsidRPr="00C36354">
        <w:t>National Bloodborne Viruses and Sexually Transmissible Infections Strategies and associated monitoring plan</w:t>
      </w:r>
    </w:p>
    <w:p w14:paraId="3D2C8B7E" w14:textId="77777777" w:rsidR="00276C06" w:rsidRPr="00C36354" w:rsidRDefault="00276C06" w:rsidP="00FE1213">
      <w:pPr>
        <w:pStyle w:val="ListBullet"/>
      </w:pPr>
      <w:r w:rsidRPr="00C36354">
        <w:t>Cervical Cancer Elimination Progress Report</w:t>
      </w:r>
    </w:p>
    <w:p w14:paraId="70F02FBF" w14:textId="77777777" w:rsidR="00276C06" w:rsidRPr="00C36354" w:rsidRDefault="00276C06" w:rsidP="00FE1213">
      <w:pPr>
        <w:pStyle w:val="ListBullet"/>
      </w:pPr>
      <w:r w:rsidRPr="00C36354">
        <w:t>National Strategy for the Elimination of Cervical Cancer in Australia</w:t>
      </w:r>
    </w:p>
    <w:p w14:paraId="49649D76" w14:textId="77777777" w:rsidR="00276C06" w:rsidRPr="00C36354" w:rsidRDefault="00276C06" w:rsidP="00FE1213">
      <w:pPr>
        <w:pStyle w:val="ListBullet"/>
      </w:pPr>
      <w:r w:rsidRPr="00C36354">
        <w:t>National Immunisation Strategy for Australia</w:t>
      </w:r>
    </w:p>
    <w:p w14:paraId="33F98113" w14:textId="77777777" w:rsidR="00276C06" w:rsidRPr="00C36354" w:rsidRDefault="00276C06" w:rsidP="00FE1213">
      <w:pPr>
        <w:pStyle w:val="ListBullet"/>
      </w:pPr>
      <w:r w:rsidRPr="00C36354">
        <w:t>National Preventative Health Strategy 2021-2030</w:t>
      </w:r>
    </w:p>
    <w:p w14:paraId="05D97B24" w14:textId="77777777" w:rsidR="00276C06" w:rsidRPr="00C36354" w:rsidRDefault="00276C06" w:rsidP="00FE1213">
      <w:pPr>
        <w:pStyle w:val="ListBullet"/>
      </w:pPr>
      <w:r w:rsidRPr="00C36354">
        <w:t>The Australian Cancer Plan</w:t>
      </w:r>
    </w:p>
    <w:p w14:paraId="0355C144" w14:textId="77777777" w:rsidR="00276C06" w:rsidRPr="00C36354" w:rsidRDefault="00276C06" w:rsidP="00FE1213">
      <w:pPr>
        <w:pStyle w:val="ListBullet"/>
      </w:pPr>
      <w:r w:rsidRPr="00C36354">
        <w:t>National Aboriginal and Torres Strait Islander Health Plan</w:t>
      </w:r>
    </w:p>
    <w:p w14:paraId="0BE3EF20" w14:textId="77777777" w:rsidR="00276C06" w:rsidRPr="00C36354" w:rsidRDefault="00276C06" w:rsidP="00FE1213">
      <w:pPr>
        <w:pStyle w:val="ListBullet"/>
      </w:pPr>
      <w:r w:rsidRPr="00C36354">
        <w:t>The National Agreement on Closing the Gap</w:t>
      </w:r>
    </w:p>
    <w:p w14:paraId="4259528D" w14:textId="77777777" w:rsidR="00276C06" w:rsidRPr="00C36354" w:rsidRDefault="00276C06" w:rsidP="00FE1213">
      <w:pPr>
        <w:pStyle w:val="ListBullet"/>
      </w:pPr>
      <w:r w:rsidRPr="00C36354">
        <w:t>Australian Cancer Plan</w:t>
      </w:r>
    </w:p>
    <w:p w14:paraId="389FB0A2" w14:textId="77777777" w:rsidR="00276C06" w:rsidRPr="00C36354" w:rsidRDefault="00276C06" w:rsidP="00276C06">
      <w:pPr>
        <w:rPr>
          <w:szCs w:val="20"/>
        </w:rPr>
      </w:pPr>
      <w:r w:rsidRPr="00C36354">
        <w:rPr>
          <w:szCs w:val="20"/>
        </w:rPr>
        <w:t xml:space="preserve">The Plan is divided into four sub-sections, which groups together the surveillance objectives. Under each objective, the rationale for surveillance, data considerations and how the objective will be measured (i.e. indicators) are described. Each objective includes at least 1 indicator which references relevant data sources for reporting available at the time of writing. </w:t>
      </w:r>
    </w:p>
    <w:p w14:paraId="61480766" w14:textId="77777777" w:rsidR="00276C06" w:rsidRPr="00C36354" w:rsidRDefault="00276C06" w:rsidP="00276C06">
      <w:pPr>
        <w:rPr>
          <w:szCs w:val="20"/>
        </w:rPr>
      </w:pPr>
      <w:r w:rsidRPr="00C36354">
        <w:rPr>
          <w:szCs w:val="20"/>
        </w:rPr>
        <w:t>In addition to population-level data, indicators that focus on priority populations, including Aboriginal and Torres Strait Islander people and where data are available culturally and linguistically diverse populations, will be presented throughout the Plan. Along with routine national data collections, the Plan aims to utilise data from sentinel and research-based data collections, including the Genital Warts Surveillance Network (GWSN) and the National HPV Monitoring Program (IMPACT).  Each data source will include a footnote indicating whether it is a national routine data collection or is through sentinel and research-based data collections.</w:t>
      </w:r>
    </w:p>
    <w:p w14:paraId="2350B803" w14:textId="7F8FB4EC" w:rsidR="00276C06" w:rsidRPr="00C36354" w:rsidRDefault="00276C06" w:rsidP="00276C06">
      <w:pPr>
        <w:rPr>
          <w:szCs w:val="20"/>
        </w:rPr>
      </w:pPr>
      <w:r w:rsidRPr="00C36354">
        <w:rPr>
          <w:szCs w:val="20"/>
        </w:rPr>
        <w:t xml:space="preserve">A consolidated table of objectives and related indicators detailing the data custodian and data availability is at </w:t>
      </w:r>
      <w:hyperlink w:anchor="_Appendix_A_–" w:history="1">
        <w:r w:rsidRPr="002A48D3">
          <w:rPr>
            <w:rStyle w:val="Hyperlink"/>
            <w:szCs w:val="20"/>
          </w:rPr>
          <w:t>Appendix B</w:t>
        </w:r>
      </w:hyperlink>
      <w:r w:rsidRPr="002A48D3">
        <w:rPr>
          <w:szCs w:val="20"/>
        </w:rPr>
        <w:t>.</w:t>
      </w:r>
    </w:p>
    <w:p w14:paraId="7E8BFDE9" w14:textId="6C64AFD8" w:rsidR="00276C06" w:rsidRPr="004A4919" w:rsidRDefault="00276C06" w:rsidP="00276C06">
      <w:pPr>
        <w:rPr>
          <w:szCs w:val="20"/>
        </w:rPr>
      </w:pPr>
      <w:r w:rsidRPr="00C36354">
        <w:rPr>
          <w:szCs w:val="20"/>
        </w:rPr>
        <w:lastRenderedPageBreak/>
        <w:t>It is important to note that the programs mentioned in the Plan were operational at the time of writing.  Inclusion of programs in the Plan does not denote funding from the Australian Government Department of Health and Aged Care.</w:t>
      </w:r>
    </w:p>
    <w:p w14:paraId="5B98D472" w14:textId="77777777" w:rsidR="00276C06" w:rsidRDefault="00276C06" w:rsidP="002C2638">
      <w:pPr>
        <w:pStyle w:val="Heading1"/>
        <w:rPr>
          <w:rFonts w:eastAsia="Arial"/>
        </w:rPr>
      </w:pPr>
      <w:bookmarkStart w:id="2" w:name="_Toc232507526"/>
      <w:r>
        <w:rPr>
          <w:rFonts w:eastAsia="Arial"/>
        </w:rPr>
        <w:t>Specific populations</w:t>
      </w:r>
      <w:bookmarkEnd w:id="2"/>
    </w:p>
    <w:p w14:paraId="111AFC8C" w14:textId="735D14A1" w:rsidR="00276C06" w:rsidRPr="00192F08" w:rsidRDefault="00276C06" w:rsidP="00192F08">
      <w:r w:rsidRPr="00192F08">
        <w:t>The Plan recognises the need to continue to enhance our understanding of HPV-related disease burden on specific populations, including Aboriginal and Torres Strait Islander people, people from culturally and linguistically diverse backgrounds, people who identify as LGBTIQA+</w:t>
      </w:r>
      <w:r w:rsidR="005355AC">
        <w:rPr>
          <w:rFonts w:ascii="ZWAdobeF" w:hAnsi="ZWAdobeF" w:cs="ZWAdobeF"/>
          <w:sz w:val="2"/>
          <w:szCs w:val="2"/>
        </w:rPr>
        <w:t>0F</w:t>
      </w:r>
      <w:r w:rsidRPr="00A74B5B">
        <w:rPr>
          <w:rStyle w:val="SuperscriptChar"/>
        </w:rPr>
        <w:footnoteReference w:id="1"/>
      </w:r>
      <w:r w:rsidRPr="00192F08">
        <w:t>, people with  disability, people living in rural and remote areas and people at a higher medical risk from HPV infection (including those living with HIV and immunocompromised people such as transplant recipients and those on immunosuppressive medications for autoimmune diseases). These priority groups are consistent with the National Strategy for the Elimination of Cervical Cancer and are a priority for HPV surveillance overall as they may be at higher risk of HPV-related cancer and poorer health outcomes as a result.</w:t>
      </w:r>
    </w:p>
    <w:p w14:paraId="5357463F" w14:textId="77777777" w:rsidR="00276C06" w:rsidRPr="00192F08" w:rsidRDefault="00276C06" w:rsidP="00192F08">
      <w:r w:rsidRPr="00192F08">
        <w:t>These priority groups will be represented in reports against the Plan where data are available, with a view to improve representativeness in the long-term in HPV surveillance data.</w:t>
      </w:r>
    </w:p>
    <w:p w14:paraId="562ED25A" w14:textId="77777777" w:rsidR="00276C06" w:rsidRPr="00192F08" w:rsidRDefault="00276C06" w:rsidP="00192F08">
      <w:r w:rsidRPr="00192F08">
        <w:t>Type specific HPV infection prevalence data are currently not able to be routinely collected for heterosexual men, for inclusion in ongoing surveillance. This is because suitable specimens are not routinely collected for other clinical purposes. At present dedicated intermittent clinical studies are suggested for monitoring HPV prevalence in this group, noting that monitoring of HPV prevalence amongst females will provide indicative monitoring of likely prevalence amongst their male sexual partners.</w:t>
      </w:r>
    </w:p>
    <w:p w14:paraId="45BC5F85" w14:textId="7B27ED6F" w:rsidR="009B3D75" w:rsidRPr="00192F08" w:rsidRDefault="00276C06" w:rsidP="00192F08">
      <w:r w:rsidRPr="00192F08">
        <w:t>Considerations for Aboriginal and Torres Strait Islander people have been incorporated into the Plan to ensure relevant data collection (including the output of point of care testing for remote communities), analysis and reporting are carried out, and that these data are reviewed, reported, and interpreted with an appropriate cultural lens and following principles of Indigenous data governance.</w:t>
      </w:r>
    </w:p>
    <w:p w14:paraId="66A94C94" w14:textId="77777777" w:rsidR="009B3D75" w:rsidRDefault="009B3D75" w:rsidP="002C2638">
      <w:pPr>
        <w:pStyle w:val="Heading1"/>
        <w:rPr>
          <w:rFonts w:eastAsia="Arial"/>
        </w:rPr>
      </w:pPr>
      <w:bookmarkStart w:id="3" w:name="_Toc232507527"/>
      <w:r>
        <w:rPr>
          <w:rFonts w:eastAsia="Arial"/>
        </w:rPr>
        <w:lastRenderedPageBreak/>
        <w:t>Data gaps</w:t>
      </w:r>
      <w:bookmarkEnd w:id="3"/>
    </w:p>
    <w:p w14:paraId="07EBACC0" w14:textId="77777777" w:rsidR="009B3D75" w:rsidRPr="00C36354" w:rsidRDefault="009B3D75" w:rsidP="00192F08">
      <w:r w:rsidRPr="00C36354">
        <w:t xml:space="preserve">Data sources presented in the Plan reflect data readily available through established surveillance projects and data collection through national programs, such as the NIP. Limitations with the current data sources include issues related to data completeness and representativeness of all priority populations. It is acknowledged that there may be HPV surveillance activities underway, with outputs not yet available for routine reporting purposes. One such example is the considerable work being undertaken in relation to linked data sources through the Person Level Integrated Data Asset (PLIDA) (formerly known as Multi-Agency Data Integration Project (MADIP)), including linkage with the Australian Immunisation Register (AIR). It is expected that research projects related to AIR-PLIDA will enable improved reporting for priority populations and completeness of existing national data sets. While data are not readily available at the time of writing, it is anticipated that indicators will be included in future iterations of the Plan to capture these data as they become available. </w:t>
      </w:r>
    </w:p>
    <w:p w14:paraId="774EF333" w14:textId="77777777" w:rsidR="009B3D75" w:rsidRPr="00C36354" w:rsidRDefault="009B3D75" w:rsidP="009B3D75">
      <w:pPr>
        <w:rPr>
          <w:rFonts w:cs="Arial"/>
          <w:szCs w:val="20"/>
        </w:rPr>
      </w:pPr>
      <w:r w:rsidRPr="00C36354">
        <w:rPr>
          <w:rFonts w:cs="Arial"/>
          <w:szCs w:val="20"/>
        </w:rPr>
        <w:t>Additional gaps in current surveillance include:</w:t>
      </w:r>
    </w:p>
    <w:p w14:paraId="2AD4E73C" w14:textId="77777777" w:rsidR="009B3D75" w:rsidRPr="00C36354" w:rsidRDefault="009B3D75" w:rsidP="005A4C76">
      <w:pPr>
        <w:pStyle w:val="ListBullet"/>
      </w:pPr>
      <w:r w:rsidRPr="00C36354">
        <w:t>no routine screening coverage data available for HPV infection at anatomical sites other than the cervix (through the NCSP);</w:t>
      </w:r>
    </w:p>
    <w:p w14:paraId="44B7BE71" w14:textId="77777777" w:rsidR="009B3D75" w:rsidRPr="00C36354" w:rsidRDefault="009B3D75" w:rsidP="005A4C76">
      <w:pPr>
        <w:pStyle w:val="ListBullet"/>
      </w:pPr>
      <w:r w:rsidRPr="00C36354">
        <w:t>HPV type status is not routinely tested or in cancer specimens or reported to the eight State and Territory cancer registries for HPV-related cancers;</w:t>
      </w:r>
    </w:p>
    <w:p w14:paraId="5811C021" w14:textId="77777777" w:rsidR="009B3D75" w:rsidRPr="00C36354" w:rsidRDefault="009B3D75" w:rsidP="005A4C76">
      <w:pPr>
        <w:pStyle w:val="ListBullet"/>
      </w:pPr>
      <w:r w:rsidRPr="00C36354">
        <w:t>HPV vaccination status is not currently recorded or linked into cancer data held in the jurisdictional cancer registries or the Australian Cancer Database (ACD);</w:t>
      </w:r>
    </w:p>
    <w:p w14:paraId="3C048BFA" w14:textId="77777777" w:rsidR="009B3D75" w:rsidRPr="00C36354" w:rsidRDefault="009B3D75" w:rsidP="005A4C76">
      <w:pPr>
        <w:pStyle w:val="ListBullet"/>
      </w:pPr>
      <w:r w:rsidRPr="00C36354">
        <w:t>no current data linkage between AIR and the NSCR; however, it is expected that this will occur in the future as indicated in the</w:t>
      </w:r>
      <w:r w:rsidRPr="00CA76F2">
        <w:rPr>
          <w:rStyle w:val="Emphasis"/>
        </w:rPr>
        <w:t xml:space="preserve"> National Cancer Screening Act 2016 (Australian Government 2016)</w:t>
      </w:r>
      <w:r w:rsidRPr="00C36354">
        <w:t>;</w:t>
      </w:r>
    </w:p>
    <w:p w14:paraId="157AD56F" w14:textId="77777777" w:rsidR="009B3D75" w:rsidRPr="00C36354" w:rsidRDefault="009B3D75" w:rsidP="005A4C76">
      <w:pPr>
        <w:pStyle w:val="ListBullet"/>
      </w:pPr>
      <w:r w:rsidRPr="00C36354">
        <w:t>no current data linkage between the ACD and PLIDA; however, this has been noted as a strategic priority in the National Strategy for the Elimination of Cervical Cancer (DoHAC 2023);</w:t>
      </w:r>
    </w:p>
    <w:p w14:paraId="245AAE1C" w14:textId="77777777" w:rsidR="009B3D75" w:rsidRPr="00C36354" w:rsidRDefault="009B3D75" w:rsidP="005A4C76">
      <w:pPr>
        <w:pStyle w:val="ListBullet"/>
      </w:pPr>
      <w:r w:rsidRPr="00C36354">
        <w:t>specific HPV individual genotype data are not available for cervical cancer specimens or other anatomical sites (as noted above). Not all screening HPV tests which may precede a diagnosis of cervical cancer test for or record an individual’s HPV genotype.</w:t>
      </w:r>
    </w:p>
    <w:p w14:paraId="460E7184" w14:textId="637BDE19" w:rsidR="009B3D75" w:rsidRPr="00192F08" w:rsidRDefault="009B3D75" w:rsidP="009B3D75">
      <w:pPr>
        <w:rPr>
          <w:rFonts w:cs="Arial"/>
          <w:szCs w:val="20"/>
        </w:rPr>
      </w:pPr>
      <w:r w:rsidRPr="00C36354">
        <w:rPr>
          <w:rFonts w:cs="Arial"/>
          <w:szCs w:val="20"/>
        </w:rPr>
        <w:t xml:space="preserve">Further information on data gaps </w:t>
      </w:r>
      <w:r w:rsidR="005A4C76">
        <w:rPr>
          <w:rFonts w:cs="Arial"/>
          <w:szCs w:val="20"/>
        </w:rPr>
        <w:t>is</w:t>
      </w:r>
      <w:r w:rsidRPr="00C36354">
        <w:rPr>
          <w:rFonts w:cs="Arial"/>
          <w:szCs w:val="20"/>
        </w:rPr>
        <w:t xml:space="preserve"> provided at </w:t>
      </w:r>
      <w:hyperlink w:anchor="_Appendix_C_–" w:history="1">
        <w:r w:rsidRPr="002A48D3">
          <w:rPr>
            <w:rStyle w:val="Hyperlink"/>
            <w:rFonts w:cs="Arial"/>
            <w:szCs w:val="20"/>
          </w:rPr>
          <w:t>Appendix C</w:t>
        </w:r>
      </w:hyperlink>
      <w:r w:rsidRPr="002A48D3">
        <w:rPr>
          <w:rFonts w:cs="Arial"/>
          <w:szCs w:val="20"/>
        </w:rPr>
        <w:t>.</w:t>
      </w:r>
      <w:bookmarkStart w:id="4" w:name="_Reporting"/>
      <w:bookmarkEnd w:id="4"/>
    </w:p>
    <w:p w14:paraId="33259E16" w14:textId="77777777" w:rsidR="009B3D75" w:rsidRDefault="009B3D75" w:rsidP="002C2638">
      <w:pPr>
        <w:pStyle w:val="Heading1"/>
      </w:pPr>
      <w:bookmarkStart w:id="5" w:name="_Toc232507528"/>
      <w:r>
        <w:lastRenderedPageBreak/>
        <w:t>Reporting</w:t>
      </w:r>
      <w:bookmarkEnd w:id="5"/>
    </w:p>
    <w:p w14:paraId="21956BA5" w14:textId="2A0DD52B" w:rsidR="004A4919" w:rsidRDefault="009B3D75" w:rsidP="00192F08">
      <w:r w:rsidRPr="00192F08">
        <w:t>All measures will be disaggregated, where appropriate, by the following parameters: age, sex, state and territory, remoteness area of residence, socioeconomic status, Indigenous status, gender (male female, non-binary and people who are intersex), sexual orientation/identity (including people who identify as lesbian, gay, bisexual, transgender, queer or asexual), culturally and linguistically diverse status, disability status, people who are immunocompromised and vaccination status.</w:t>
      </w:r>
    </w:p>
    <w:p w14:paraId="341BD02B" w14:textId="1C6C75A8" w:rsidR="00B34802" w:rsidRPr="00805C86" w:rsidRDefault="004A4919" w:rsidP="00805C86">
      <w:r w:rsidRPr="00805C86">
        <w:br w:type="page"/>
      </w:r>
    </w:p>
    <w:p w14:paraId="7C4F6058" w14:textId="77777777" w:rsidR="009B3D75" w:rsidRPr="009B3D75" w:rsidRDefault="009B3D75" w:rsidP="002C2638">
      <w:pPr>
        <w:pStyle w:val="Heading1"/>
      </w:pPr>
      <w:bookmarkStart w:id="6" w:name="_Toc232507529"/>
      <w:r>
        <w:lastRenderedPageBreak/>
        <w:t>Governance and implementation</w:t>
      </w:r>
      <w:bookmarkEnd w:id="6"/>
    </w:p>
    <w:p w14:paraId="0C301425" w14:textId="21AB6C26" w:rsidR="009B3D75" w:rsidRPr="00C36354" w:rsidRDefault="009B3D75" w:rsidP="009B3D75">
      <w:pPr>
        <w:rPr>
          <w:rFonts w:cs="Arial"/>
          <w:szCs w:val="20"/>
        </w:rPr>
      </w:pPr>
      <w:r w:rsidRPr="00C36354">
        <w:rPr>
          <w:rFonts w:cs="Arial"/>
          <w:szCs w:val="20"/>
        </w:rPr>
        <w:t xml:space="preserve">The Plan was developed through the HPV Surveillance Working Group a sub-group of the Communicable Diseases Network Australia (CDNA). The Working Group is comprised of experts in disease surveillance, vaccine research, immunisation programs, virology, and cancer screening, working across government and non-government organisations. The membership of the Working Group is provided at </w:t>
      </w:r>
      <w:hyperlink w:anchor="_Appendix_D_–" w:history="1">
        <w:r w:rsidRPr="002A48D3">
          <w:rPr>
            <w:rStyle w:val="Hyperlink"/>
            <w:rFonts w:cs="Arial"/>
            <w:szCs w:val="20"/>
          </w:rPr>
          <w:t>Appendix D</w:t>
        </w:r>
      </w:hyperlink>
      <w:r w:rsidRPr="00C36354">
        <w:rPr>
          <w:rFonts w:cs="Arial"/>
          <w:szCs w:val="20"/>
        </w:rPr>
        <w:t>.</w:t>
      </w:r>
    </w:p>
    <w:p w14:paraId="2B8192CE" w14:textId="15744C79" w:rsidR="009B3D75" w:rsidRPr="00C36354" w:rsidRDefault="009B3D75" w:rsidP="009B3D75">
      <w:pPr>
        <w:rPr>
          <w:rFonts w:cs="Arial"/>
          <w:szCs w:val="20"/>
        </w:rPr>
      </w:pPr>
      <w:r w:rsidRPr="00C36354">
        <w:rPr>
          <w:rFonts w:cs="Arial"/>
          <w:szCs w:val="20"/>
        </w:rPr>
        <w:t xml:space="preserve">The 2023 Plan was endorsed by CDNA on 26 January 2024 and noted by CDNAs parent committee the Australian Health Protection Principal Committee (AHPPC) on </w:t>
      </w:r>
      <w:r w:rsidR="0034618E">
        <w:rPr>
          <w:rFonts w:cs="Arial"/>
          <w:szCs w:val="20"/>
        </w:rPr>
        <w:t>5 April 2024.</w:t>
      </w:r>
      <w:r w:rsidRPr="00C36354">
        <w:rPr>
          <w:rFonts w:cs="Arial"/>
          <w:szCs w:val="20"/>
        </w:rPr>
        <w:t xml:space="preserve">  </w:t>
      </w:r>
    </w:p>
    <w:p w14:paraId="32D08735" w14:textId="4C5FA005" w:rsidR="00B34802" w:rsidRPr="009B3D75" w:rsidRDefault="009B3D75" w:rsidP="009B3D75">
      <w:r w:rsidRPr="00C36354">
        <w:rPr>
          <w:rFonts w:cs="Arial"/>
          <w:szCs w:val="20"/>
        </w:rPr>
        <w:t>The Plan will be reviewed to ensure currency and alignment with relevant national policy and strategies, which will be led by the Australian Government Department of Health and Aged Care in consultation with the HPV Surveillance Working Group.</w:t>
      </w:r>
    </w:p>
    <w:p w14:paraId="04DFCD2E" w14:textId="1B24D06C" w:rsidR="009B3D75" w:rsidRDefault="009B3D75" w:rsidP="002C2638">
      <w:pPr>
        <w:pStyle w:val="Heading1"/>
      </w:pPr>
      <w:bookmarkStart w:id="7" w:name="_Additional_Resources"/>
      <w:bookmarkStart w:id="8" w:name="_Toc232507530"/>
      <w:bookmarkEnd w:id="7"/>
      <w:r>
        <w:t xml:space="preserve">Additional </w:t>
      </w:r>
      <w:r w:rsidR="005A4C76">
        <w:t>r</w:t>
      </w:r>
      <w:r>
        <w:t>esources</w:t>
      </w:r>
      <w:bookmarkEnd w:id="8"/>
    </w:p>
    <w:p w14:paraId="18CF17C8" w14:textId="77777777" w:rsidR="009B3D75" w:rsidRPr="00192F08" w:rsidRDefault="009B3D75" w:rsidP="00192F08">
      <w:r w:rsidRPr="00192F08">
        <w:t>The below resources provide further information and methodologies</w:t>
      </w:r>
    </w:p>
    <w:p w14:paraId="5BD024BA" w14:textId="77777777" w:rsidR="009B3D75" w:rsidRPr="00CA76F2" w:rsidRDefault="009B3D75" w:rsidP="004A4919">
      <w:pPr>
        <w:pStyle w:val="ListBullet"/>
        <w:contextualSpacing w:val="0"/>
        <w:rPr>
          <w:rStyle w:val="Hyperlink"/>
        </w:rPr>
      </w:pPr>
      <w:hyperlink r:id="rId11" w:anchor=":~:text=By%20implementing%20this%20strategy%2C%20Australian,of%20cervical%20cancer%20by%202035." w:history="1">
        <w:r w:rsidRPr="00CA76F2">
          <w:rPr>
            <w:rStyle w:val="Hyperlink"/>
          </w:rPr>
          <w:t>National Strategy for the Elimination of Cervical Cancer in Australia</w:t>
        </w:r>
      </w:hyperlink>
    </w:p>
    <w:p w14:paraId="5B1DE1F0" w14:textId="77777777" w:rsidR="009B3D75" w:rsidRPr="00C36354" w:rsidRDefault="009B3D75" w:rsidP="004A4919">
      <w:pPr>
        <w:pStyle w:val="ListBullet"/>
        <w:contextualSpacing w:val="0"/>
        <w:rPr>
          <w:rStyle w:val="Hyperlink"/>
          <w:rFonts w:eastAsia="Arial" w:cs="Arial"/>
          <w:szCs w:val="20"/>
        </w:rPr>
      </w:pPr>
      <w:hyperlink r:id="rId12" w:history="1">
        <w:r w:rsidRPr="00C36354">
          <w:rPr>
            <w:rStyle w:val="Hyperlink"/>
            <w:rFonts w:eastAsia="Arial" w:cs="Arial"/>
            <w:szCs w:val="20"/>
          </w:rPr>
          <w:t>Human papillomavirus (HPV) immunisation data</w:t>
        </w:r>
      </w:hyperlink>
    </w:p>
    <w:p w14:paraId="2471A362" w14:textId="77777777" w:rsidR="009B3D75" w:rsidRPr="00C36354" w:rsidRDefault="009B3D75" w:rsidP="004A4919">
      <w:pPr>
        <w:pStyle w:val="ListBullet"/>
        <w:contextualSpacing w:val="0"/>
        <w:rPr>
          <w:rStyle w:val="Hyperlink"/>
          <w:rFonts w:eastAsia="Arial" w:cs="Arial"/>
          <w:szCs w:val="20"/>
        </w:rPr>
      </w:pPr>
      <w:hyperlink r:id="rId13" w:history="1">
        <w:r w:rsidRPr="00C36354">
          <w:rPr>
            <w:rStyle w:val="Hyperlink"/>
            <w:rFonts w:eastAsia="Arial" w:cs="Arial"/>
            <w:szCs w:val="20"/>
          </w:rPr>
          <w:t>National Cervical Screening Program monitoring report 2022</w:t>
        </w:r>
      </w:hyperlink>
    </w:p>
    <w:p w14:paraId="3695AF5C" w14:textId="77777777" w:rsidR="009B3D75" w:rsidRPr="00CA76F2" w:rsidRDefault="009B3D75" w:rsidP="004A4919">
      <w:pPr>
        <w:pStyle w:val="ListBullet"/>
        <w:contextualSpacing w:val="0"/>
      </w:pPr>
      <w:hyperlink r:id="rId14" w:history="1">
        <w:r w:rsidRPr="00C36354">
          <w:rPr>
            <w:rStyle w:val="Hyperlink"/>
            <w:rFonts w:eastAsia="Arial" w:cs="Arial"/>
            <w:szCs w:val="20"/>
          </w:rPr>
          <w:t>Cervical Cancer Elimination Progress Report</w:t>
        </w:r>
      </w:hyperlink>
    </w:p>
    <w:p w14:paraId="27751E36" w14:textId="77777777" w:rsidR="009B3D75" w:rsidRPr="00C36354" w:rsidRDefault="009B3D75" w:rsidP="004A4919">
      <w:pPr>
        <w:pStyle w:val="ListBullet"/>
        <w:contextualSpacing w:val="0"/>
        <w:rPr>
          <w:rStyle w:val="Hyperlink"/>
          <w:rFonts w:eastAsia="Arial" w:cs="Arial"/>
          <w:szCs w:val="20"/>
        </w:rPr>
      </w:pPr>
      <w:hyperlink r:id="rId15" w:history="1">
        <w:r w:rsidRPr="00C36354">
          <w:rPr>
            <w:rStyle w:val="Hyperlink"/>
            <w:rFonts w:eastAsia="Arial" w:cs="Arial"/>
            <w:szCs w:val="20"/>
          </w:rPr>
          <w:t>Australian Immunisation Register</w:t>
        </w:r>
      </w:hyperlink>
    </w:p>
    <w:p w14:paraId="5314C386" w14:textId="61A97AF0" w:rsidR="009B3D75" w:rsidRPr="00CA76F2" w:rsidRDefault="009B3D75" w:rsidP="004A4919">
      <w:pPr>
        <w:pStyle w:val="ListBullet"/>
        <w:contextualSpacing w:val="0"/>
      </w:pPr>
      <w:hyperlink r:id="rId16" w:history="1">
        <w:r w:rsidRPr="00C36354">
          <w:rPr>
            <w:rStyle w:val="Hyperlink"/>
            <w:rFonts w:eastAsia="Arial" w:cs="Arial"/>
            <w:szCs w:val="20"/>
          </w:rPr>
          <w:t xml:space="preserve">Immunisation coverage data and reports </w:t>
        </w:r>
        <w:r w:rsidR="005A4C76" w:rsidRPr="005A4C76">
          <w:rPr>
            <w:rStyle w:val="Hyperlink"/>
            <w:rFonts w:eastAsia="Arial" w:cs="Arial"/>
            <w:szCs w:val="20"/>
          </w:rPr>
          <w:t>–</w:t>
        </w:r>
        <w:r w:rsidRPr="00C36354">
          <w:rPr>
            <w:rStyle w:val="Hyperlink"/>
            <w:rFonts w:eastAsia="Arial" w:cs="Arial"/>
            <w:szCs w:val="20"/>
          </w:rPr>
          <w:t xml:space="preserve"> NCIRS</w:t>
        </w:r>
      </w:hyperlink>
    </w:p>
    <w:p w14:paraId="5E9DD793" w14:textId="77777777" w:rsidR="009B3D75" w:rsidRPr="00CA76F2" w:rsidRDefault="009B3D75" w:rsidP="004A4919">
      <w:pPr>
        <w:pStyle w:val="ListBullet"/>
        <w:contextualSpacing w:val="0"/>
      </w:pPr>
      <w:hyperlink r:id="rId17" w:anchor="outcomes" w:history="1">
        <w:r w:rsidRPr="00C36354">
          <w:rPr>
            <w:rStyle w:val="Hyperlink"/>
            <w:rFonts w:eastAsia="Arial" w:cs="Arial"/>
            <w:szCs w:val="20"/>
          </w:rPr>
          <w:t>National HPV Monitoring Program (IMPACT)</w:t>
        </w:r>
      </w:hyperlink>
    </w:p>
    <w:p w14:paraId="686411D2" w14:textId="77777777" w:rsidR="009B3D75" w:rsidRPr="00CA76F2" w:rsidRDefault="009B3D75" w:rsidP="004A4919">
      <w:pPr>
        <w:pStyle w:val="ListBullet"/>
        <w:contextualSpacing w:val="0"/>
      </w:pPr>
      <w:hyperlink r:id="rId18" w:history="1">
        <w:r w:rsidRPr="00C36354">
          <w:rPr>
            <w:rStyle w:val="Hyperlink"/>
            <w:rFonts w:eastAsia="Arial" w:cs="Arial"/>
            <w:szCs w:val="20"/>
          </w:rPr>
          <w:t>Genital Warts Surveillance Network Report</w:t>
        </w:r>
      </w:hyperlink>
    </w:p>
    <w:p w14:paraId="620C82F3" w14:textId="78C927F9" w:rsidR="009B3D75" w:rsidRPr="00C36354" w:rsidRDefault="009B3D75" w:rsidP="004A4919">
      <w:pPr>
        <w:pStyle w:val="ListBullet"/>
        <w:contextualSpacing w:val="0"/>
        <w:rPr>
          <w:rStyle w:val="Hyperlink"/>
          <w:rFonts w:eastAsia="Arial" w:cs="Arial"/>
          <w:szCs w:val="20"/>
        </w:rPr>
      </w:pPr>
      <w:hyperlink r:id="rId19" w:history="1">
        <w:r w:rsidRPr="00C36354">
          <w:rPr>
            <w:rStyle w:val="Hyperlink"/>
            <w:rFonts w:eastAsia="Arial" w:cs="Arial"/>
            <w:szCs w:val="20"/>
          </w:rPr>
          <w:t>Juvenile onset Recurrent Respiratory Papillomatosis (</w:t>
        </w:r>
        <w:proofErr w:type="spellStart"/>
        <w:r w:rsidRPr="00C36354">
          <w:rPr>
            <w:rStyle w:val="Hyperlink"/>
            <w:rFonts w:eastAsia="Arial" w:cs="Arial"/>
            <w:szCs w:val="20"/>
          </w:rPr>
          <w:t>JoRRP</w:t>
        </w:r>
        <w:proofErr w:type="spellEnd"/>
        <w:r w:rsidRPr="00C36354">
          <w:rPr>
            <w:rStyle w:val="Hyperlink"/>
            <w:rFonts w:eastAsia="Arial" w:cs="Arial"/>
            <w:szCs w:val="20"/>
          </w:rPr>
          <w:t xml:space="preserve">) </w:t>
        </w:r>
        <w:r w:rsidR="005A4C76" w:rsidRPr="005A4C76">
          <w:rPr>
            <w:rStyle w:val="Hyperlink"/>
            <w:rFonts w:eastAsia="Arial" w:cs="Arial"/>
            <w:szCs w:val="20"/>
          </w:rPr>
          <w:t>–</w:t>
        </w:r>
        <w:r w:rsidRPr="00C36354">
          <w:rPr>
            <w:rStyle w:val="Hyperlink"/>
            <w:rFonts w:eastAsia="Arial" w:cs="Arial"/>
            <w:szCs w:val="20"/>
          </w:rPr>
          <w:t xml:space="preserve"> APSU</w:t>
        </w:r>
      </w:hyperlink>
    </w:p>
    <w:p w14:paraId="15088011" w14:textId="127699DC" w:rsidR="009B3D75" w:rsidRPr="00C36354" w:rsidRDefault="009B3D75" w:rsidP="004A4919">
      <w:pPr>
        <w:pStyle w:val="ListBullet"/>
        <w:contextualSpacing w:val="0"/>
        <w:rPr>
          <w:rStyle w:val="Hyperlink"/>
          <w:rFonts w:eastAsia="Arial" w:cs="Arial"/>
          <w:szCs w:val="20"/>
        </w:rPr>
      </w:pPr>
      <w:hyperlink r:id="rId20" w:history="1">
        <w:r w:rsidRPr="00C36354">
          <w:rPr>
            <w:rStyle w:val="Hyperlink"/>
            <w:rFonts w:eastAsia="Arial" w:cs="Arial"/>
            <w:szCs w:val="20"/>
          </w:rPr>
          <w:t xml:space="preserve">Cancer data in Australia </w:t>
        </w:r>
        <w:r w:rsidR="005A4C76" w:rsidRPr="005A4C76">
          <w:rPr>
            <w:rStyle w:val="Hyperlink"/>
            <w:rFonts w:eastAsia="Arial" w:cs="Arial"/>
            <w:szCs w:val="20"/>
          </w:rPr>
          <w:t>–</w:t>
        </w:r>
        <w:r w:rsidRPr="00C36354">
          <w:rPr>
            <w:rStyle w:val="Hyperlink"/>
            <w:rFonts w:eastAsia="Arial" w:cs="Arial"/>
            <w:szCs w:val="20"/>
          </w:rPr>
          <w:t xml:space="preserve"> AIHW</w:t>
        </w:r>
      </w:hyperlink>
    </w:p>
    <w:p w14:paraId="0225D336" w14:textId="77777777" w:rsidR="009B3D75" w:rsidRPr="00C36354" w:rsidRDefault="009B3D75" w:rsidP="004A4919">
      <w:pPr>
        <w:pStyle w:val="ListBullet"/>
        <w:contextualSpacing w:val="0"/>
        <w:rPr>
          <w:rStyle w:val="Hyperlink"/>
          <w:rFonts w:eastAsia="Arial" w:cs="Arial"/>
          <w:szCs w:val="20"/>
        </w:rPr>
      </w:pPr>
      <w:hyperlink r:id="rId21" w:history="1">
        <w:r w:rsidRPr="00C36354">
          <w:rPr>
            <w:rStyle w:val="Hyperlink"/>
            <w:rFonts w:eastAsia="Arial" w:cs="Arial"/>
            <w:szCs w:val="20"/>
          </w:rPr>
          <w:t>National Cervical Screening Program Quality Framework</w:t>
        </w:r>
      </w:hyperlink>
    </w:p>
    <w:p w14:paraId="00247997" w14:textId="6D307033" w:rsidR="009B3D75" w:rsidRPr="00C36354" w:rsidRDefault="009B3D75" w:rsidP="004A4919">
      <w:pPr>
        <w:pStyle w:val="ListBullet"/>
        <w:contextualSpacing w:val="0"/>
        <w:rPr>
          <w:rStyle w:val="Hyperlink"/>
          <w:rFonts w:eastAsia="Arial" w:cs="Arial"/>
          <w:szCs w:val="20"/>
        </w:rPr>
      </w:pPr>
      <w:hyperlink r:id="rId22" w:history="1">
        <w:r w:rsidRPr="00C36354">
          <w:rPr>
            <w:rStyle w:val="Hyperlink"/>
            <w:rFonts w:eastAsia="Arial" w:cs="Arial"/>
            <w:szCs w:val="20"/>
          </w:rPr>
          <w:t xml:space="preserve">Standards for Statistics on Cultural and Language Diversity </w:t>
        </w:r>
        <w:r w:rsidR="005A4C76">
          <w:rPr>
            <w:rStyle w:val="Hyperlink"/>
            <w:rFonts w:eastAsia="Arial" w:cs="Arial"/>
            <w:szCs w:val="20"/>
          </w:rPr>
          <w:t>–</w:t>
        </w:r>
        <w:r w:rsidRPr="00C36354">
          <w:rPr>
            <w:rStyle w:val="Hyperlink"/>
            <w:rFonts w:eastAsia="Arial" w:cs="Arial"/>
            <w:szCs w:val="20"/>
          </w:rPr>
          <w:t xml:space="preserve"> ABS</w:t>
        </w:r>
      </w:hyperlink>
    </w:p>
    <w:p w14:paraId="470FCC05" w14:textId="77777777" w:rsidR="00DB006C" w:rsidRPr="00192F08" w:rsidRDefault="00DB006C" w:rsidP="00192F08">
      <w:r>
        <w:br w:type="page"/>
      </w:r>
    </w:p>
    <w:p w14:paraId="4412B7E7" w14:textId="77777777" w:rsidR="00332EC6" w:rsidRDefault="00332EC6" w:rsidP="00C36354">
      <w:pPr>
        <w:pStyle w:val="Heading2"/>
        <w:sectPr w:rsidR="00332EC6" w:rsidSect="00544494">
          <w:headerReference w:type="even" r:id="rId23"/>
          <w:footerReference w:type="even" r:id="rId24"/>
          <w:footerReference w:type="default" r:id="rId25"/>
          <w:headerReference w:type="first" r:id="rId26"/>
          <w:footerReference w:type="first" r:id="rId27"/>
          <w:pgSz w:w="11900" w:h="16840" w:code="9"/>
          <w:pgMar w:top="1474" w:right="936" w:bottom="1474" w:left="1474" w:header="709" w:footer="425" w:gutter="0"/>
          <w:cols w:space="708"/>
          <w:titlePg/>
          <w:docGrid w:linePitch="360"/>
        </w:sectPr>
      </w:pPr>
    </w:p>
    <w:p w14:paraId="1D25FBD3" w14:textId="77777777" w:rsidR="00BF1A21" w:rsidRPr="00192F08" w:rsidRDefault="00B357B1" w:rsidP="002C2638">
      <w:pPr>
        <w:pStyle w:val="Heading1"/>
      </w:pPr>
      <w:bookmarkStart w:id="9" w:name="_Toc232507531"/>
      <w:r>
        <w:lastRenderedPageBreak/>
        <w:t>HPV surveillance objectives and indicators</w:t>
      </w:r>
      <w:bookmarkEnd w:id="9"/>
    </w:p>
    <w:p w14:paraId="553A9E80" w14:textId="77777777" w:rsidR="00B357B1" w:rsidRPr="00C36354" w:rsidRDefault="00B357B1" w:rsidP="00B357B1">
      <w:pPr>
        <w:rPr>
          <w:rFonts w:cs="Arial"/>
          <w:szCs w:val="20"/>
        </w:rPr>
      </w:pPr>
      <w:r w:rsidRPr="00C36354">
        <w:rPr>
          <w:szCs w:val="20"/>
        </w:rPr>
        <w:t xml:space="preserve">Table 1 outlines the </w:t>
      </w:r>
      <w:r w:rsidRPr="00C36354">
        <w:rPr>
          <w:rFonts w:cs="Arial"/>
          <w:szCs w:val="20"/>
        </w:rPr>
        <w:t xml:space="preserve">surveillance objectives from the 2013 HPV Surveillance Plan and the </w:t>
      </w:r>
      <w:proofErr w:type="gramStart"/>
      <w:r w:rsidRPr="00C36354">
        <w:rPr>
          <w:rFonts w:cs="Arial"/>
          <w:szCs w:val="20"/>
        </w:rPr>
        <w:t>current status</w:t>
      </w:r>
      <w:proofErr w:type="gramEnd"/>
      <w:r w:rsidRPr="00C36354">
        <w:rPr>
          <w:rFonts w:cs="Arial"/>
          <w:szCs w:val="20"/>
        </w:rPr>
        <w:t xml:space="preserve"> as at the end of 2022. In addition, the table notes the surveillance objectives from the 2013 Plan that will be included in this current 2023 Plan.</w:t>
      </w:r>
    </w:p>
    <w:p w14:paraId="44DF6DF7" w14:textId="39876E9A" w:rsidR="00B357B1" w:rsidRPr="005B452C" w:rsidRDefault="004A4919" w:rsidP="005B452C">
      <w:pPr>
        <w:pStyle w:val="Caption"/>
      </w:pPr>
      <w:r>
        <w:t xml:space="preserve">Table </w:t>
      </w:r>
      <w:fldSimple w:instr=" SEQ Table \* ARABIC ">
        <w:r>
          <w:rPr>
            <w:noProof/>
          </w:rPr>
          <w:t>1</w:t>
        </w:r>
      </w:fldSimple>
      <w:r>
        <w:tab/>
      </w:r>
      <w:r w:rsidR="00B357B1">
        <w:t>2013 HPV Surveillance Plan</w:t>
      </w:r>
    </w:p>
    <w:tbl>
      <w:tblPr>
        <w:tblStyle w:val="TableGrid"/>
        <w:tblW w:w="5000" w:type="pct"/>
        <w:tblLook w:val="04A0" w:firstRow="1" w:lastRow="0" w:firstColumn="1" w:lastColumn="0" w:noHBand="0" w:noVBand="1"/>
      </w:tblPr>
      <w:tblGrid>
        <w:gridCol w:w="1133"/>
        <w:gridCol w:w="2273"/>
        <w:gridCol w:w="6821"/>
        <w:gridCol w:w="3665"/>
      </w:tblGrid>
      <w:tr w:rsidR="000C3584" w:rsidRPr="000C3584" w14:paraId="615FB104" w14:textId="77777777" w:rsidTr="0086146C">
        <w:trPr>
          <w:cnfStyle w:val="100000000000" w:firstRow="1" w:lastRow="0" w:firstColumn="0" w:lastColumn="0" w:oddVBand="0" w:evenVBand="0" w:oddHBand="0" w:evenHBand="0" w:firstRowFirstColumn="0" w:firstRowLastColumn="0" w:lastRowFirstColumn="0" w:lastRowLastColumn="0"/>
          <w:cantSplit/>
          <w:trHeight w:val="521"/>
          <w:tblHeader/>
        </w:trPr>
        <w:tc>
          <w:tcPr>
            <w:tcW w:w="408" w:type="pct"/>
            <w:vAlign w:val="top"/>
          </w:tcPr>
          <w:p w14:paraId="4A8A71EC" w14:textId="77777777" w:rsidR="00B357B1" w:rsidRPr="000C3584" w:rsidRDefault="00B357B1" w:rsidP="005A4C76">
            <w:pPr>
              <w:pStyle w:val="Tableheaderrowblack"/>
            </w:pPr>
            <w:r w:rsidRPr="000C3584">
              <w:t>Section</w:t>
            </w:r>
          </w:p>
        </w:tc>
        <w:tc>
          <w:tcPr>
            <w:tcW w:w="818" w:type="pct"/>
            <w:vAlign w:val="top"/>
          </w:tcPr>
          <w:p w14:paraId="3C4158BB" w14:textId="77777777" w:rsidR="00B357B1" w:rsidRPr="000C3584" w:rsidRDefault="00B357B1" w:rsidP="005A4C76">
            <w:pPr>
              <w:pStyle w:val="Tableheaderrowblack"/>
            </w:pPr>
            <w:r w:rsidRPr="000C3584">
              <w:t>Surveillance Objective</w:t>
            </w:r>
          </w:p>
        </w:tc>
        <w:tc>
          <w:tcPr>
            <w:tcW w:w="2455" w:type="pct"/>
            <w:vAlign w:val="top"/>
          </w:tcPr>
          <w:p w14:paraId="31F5CA49" w14:textId="77777777" w:rsidR="00B357B1" w:rsidRPr="000C3584" w:rsidRDefault="00B357B1" w:rsidP="005A4C76">
            <w:pPr>
              <w:pStyle w:val="Tableheaderrowblack"/>
            </w:pPr>
            <w:proofErr w:type="gramStart"/>
            <w:r w:rsidRPr="000C3584">
              <w:t>Current status</w:t>
            </w:r>
            <w:proofErr w:type="gramEnd"/>
            <w:r w:rsidRPr="000C3584">
              <w:t xml:space="preserve"> (as at end of 2022)</w:t>
            </w:r>
          </w:p>
        </w:tc>
        <w:tc>
          <w:tcPr>
            <w:tcW w:w="1320" w:type="pct"/>
            <w:vAlign w:val="top"/>
          </w:tcPr>
          <w:p w14:paraId="3D5E2FE1" w14:textId="77777777" w:rsidR="00B357B1" w:rsidRPr="000C3584" w:rsidRDefault="00B357B1" w:rsidP="005A4C76">
            <w:pPr>
              <w:pStyle w:val="Tableheaderrowblack"/>
            </w:pPr>
            <w:r w:rsidRPr="000C3584">
              <w:t>Revised HPV Surveillance Plan 2023 (objective)</w:t>
            </w:r>
          </w:p>
        </w:tc>
      </w:tr>
      <w:tr w:rsidR="00332EC6" w:rsidRPr="000D78AF" w14:paraId="4DBF27F1" w14:textId="77777777" w:rsidTr="0086146C">
        <w:trPr>
          <w:cnfStyle w:val="000000100000" w:firstRow="0" w:lastRow="0" w:firstColumn="0" w:lastColumn="0" w:oddVBand="0" w:evenVBand="0" w:oddHBand="1" w:evenHBand="0" w:firstRowFirstColumn="0" w:firstRowLastColumn="0" w:lastRowFirstColumn="0" w:lastRowLastColumn="0"/>
          <w:cantSplit/>
          <w:trHeight w:val="43"/>
        </w:trPr>
        <w:tc>
          <w:tcPr>
            <w:tcW w:w="408" w:type="pct"/>
            <w:vAlign w:val="top"/>
          </w:tcPr>
          <w:p w14:paraId="2F16BDF9" w14:textId="77777777" w:rsidR="00B357B1" w:rsidRPr="000D78AF" w:rsidRDefault="00B357B1" w:rsidP="00FA11C2">
            <w:pPr>
              <w:pStyle w:val="Tabletext"/>
            </w:pPr>
            <w:r>
              <w:t>Program monitoring</w:t>
            </w:r>
          </w:p>
        </w:tc>
        <w:tc>
          <w:tcPr>
            <w:tcW w:w="818" w:type="pct"/>
            <w:vAlign w:val="top"/>
          </w:tcPr>
          <w:p w14:paraId="1682B2EE" w14:textId="77777777" w:rsidR="00B357B1" w:rsidRPr="000D78AF" w:rsidRDefault="00B357B1" w:rsidP="00FA11C2">
            <w:pPr>
              <w:pStyle w:val="Tabletext"/>
            </w:pPr>
            <w:r>
              <w:t>Monitor vaccine safety</w:t>
            </w:r>
          </w:p>
        </w:tc>
        <w:tc>
          <w:tcPr>
            <w:tcW w:w="2455" w:type="pct"/>
            <w:vAlign w:val="top"/>
          </w:tcPr>
          <w:p w14:paraId="236CDEC8" w14:textId="4A35E0DB" w:rsidR="007C5A8E" w:rsidRPr="006347B6" w:rsidRDefault="00B357B1" w:rsidP="006347B6">
            <w:pPr>
              <w:pStyle w:val="Tabletext"/>
              <w:rPr>
                <w:rFonts w:cs="Arial"/>
              </w:rPr>
            </w:pPr>
            <w:r w:rsidRPr="76177005">
              <w:rPr>
                <w:rFonts w:cs="Arial"/>
              </w:rPr>
              <w:t xml:space="preserve">An overall high level of safety has been reported for HPV vaccines since their inclusion in the </w:t>
            </w:r>
            <w:r>
              <w:rPr>
                <w:rFonts w:cs="Arial"/>
              </w:rPr>
              <w:t>NIP</w:t>
            </w:r>
            <w:r w:rsidRPr="76177005">
              <w:rPr>
                <w:rFonts w:cs="Arial"/>
              </w:rPr>
              <w:t xml:space="preserve"> schedule. From 2007 to 20</w:t>
            </w:r>
            <w:r>
              <w:rPr>
                <w:rFonts w:cs="Arial"/>
              </w:rPr>
              <w:t>20</w:t>
            </w:r>
            <w:r w:rsidRPr="76177005">
              <w:rPr>
                <w:rFonts w:cs="Arial"/>
              </w:rPr>
              <w:t>, rates of adverse events following HPV vaccine administration in Australia were consistent with international data (NC</w:t>
            </w:r>
            <w:r>
              <w:rPr>
                <w:rFonts w:cs="Arial"/>
              </w:rPr>
              <w:t>IR</w:t>
            </w:r>
            <w:r w:rsidRPr="76177005">
              <w:rPr>
                <w:rFonts w:cs="Arial"/>
              </w:rPr>
              <w:t>S 2021; TGA 2010</w:t>
            </w:r>
            <w:r>
              <w:rPr>
                <w:rFonts w:cs="Arial"/>
              </w:rPr>
              <w:t>, Dey et al. 2022</w:t>
            </w:r>
            <w:r w:rsidRPr="76177005">
              <w:rPr>
                <w:rFonts w:cs="Arial"/>
              </w:rPr>
              <w:t>)</w:t>
            </w:r>
            <w:r>
              <w:rPr>
                <w:rFonts w:cs="Arial"/>
              </w:rPr>
              <w:t>.</w:t>
            </w:r>
            <w:r w:rsidRPr="76177005">
              <w:rPr>
                <w:rFonts w:cs="Arial"/>
              </w:rPr>
              <w:t xml:space="preserve"> Over 500 million HPV vaccine doses have been given globally.</w:t>
            </w:r>
          </w:p>
        </w:tc>
        <w:tc>
          <w:tcPr>
            <w:tcW w:w="1320" w:type="pct"/>
            <w:vAlign w:val="top"/>
          </w:tcPr>
          <w:p w14:paraId="025008CE" w14:textId="77777777" w:rsidR="00412F8F" w:rsidRDefault="00B357B1" w:rsidP="00FA11C2">
            <w:pPr>
              <w:pStyle w:val="Tabletext"/>
            </w:pPr>
            <w:r w:rsidRPr="005B452C">
              <w:rPr>
                <w:rStyle w:val="Strong"/>
              </w:rPr>
              <w:t>Objective excluded</w:t>
            </w:r>
            <w:r w:rsidRPr="00CD10C1">
              <w:t>.</w:t>
            </w:r>
          </w:p>
          <w:p w14:paraId="22AB647E" w14:textId="3F06C8BE" w:rsidR="00B357B1" w:rsidRPr="00B357B1" w:rsidRDefault="00B357B1" w:rsidP="00FA11C2">
            <w:pPr>
              <w:pStyle w:val="Tabletext"/>
              <w:rPr>
                <w:rFonts w:cs="Arial"/>
              </w:rPr>
            </w:pPr>
            <w:r w:rsidRPr="00544854">
              <w:rPr>
                <w:rFonts w:cs="Arial"/>
              </w:rPr>
              <w:t>This is regularly reported through other mechanisms</w:t>
            </w:r>
            <w:r>
              <w:rPr>
                <w:rFonts w:cs="Arial"/>
              </w:rPr>
              <w:t>.</w:t>
            </w:r>
          </w:p>
          <w:p w14:paraId="243AF457" w14:textId="77777777" w:rsidR="00B357B1" w:rsidRPr="00026993" w:rsidRDefault="00B357B1" w:rsidP="00FA11C2">
            <w:pPr>
              <w:pStyle w:val="Tabletext"/>
              <w:rPr>
                <w:rFonts w:cs="Arial"/>
              </w:rPr>
            </w:pPr>
            <w:r w:rsidRPr="76177005">
              <w:rPr>
                <w:rFonts w:cs="Arial"/>
              </w:rPr>
              <w:t xml:space="preserve">Monitoring of vaccine adverse events continues through the Therapeutic Goods Administration </w:t>
            </w:r>
            <w:hyperlink r:id="rId28" w:history="1">
              <w:r w:rsidRPr="00960868">
                <w:rPr>
                  <w:rStyle w:val="Hyperlink"/>
                  <w:rFonts w:cs="Arial"/>
                </w:rPr>
                <w:t>Safety monitoring: Medicines</w:t>
              </w:r>
            </w:hyperlink>
          </w:p>
          <w:p w14:paraId="04BC7AC9" w14:textId="77777777" w:rsidR="00B357B1" w:rsidRPr="000D78AF" w:rsidRDefault="00B357B1" w:rsidP="00FA11C2">
            <w:pPr>
              <w:pStyle w:val="Tabletext"/>
            </w:pPr>
            <w:r w:rsidRPr="76177005">
              <w:rPr>
                <w:rFonts w:cs="Arial"/>
              </w:rPr>
              <w:t xml:space="preserve">Active surveillance is routinely undertaken and publicly reported through </w:t>
            </w:r>
            <w:hyperlink r:id="rId29" w:history="1">
              <w:proofErr w:type="spellStart"/>
              <w:r w:rsidRPr="009A1F31">
                <w:rPr>
                  <w:rStyle w:val="Hyperlink"/>
                  <w:rFonts w:cs="Arial"/>
                </w:rPr>
                <w:t>AusVaxSafety</w:t>
              </w:r>
              <w:proofErr w:type="spellEnd"/>
            </w:hyperlink>
            <w:r>
              <w:rPr>
                <w:rFonts w:cs="Arial"/>
              </w:rPr>
              <w:t>.</w:t>
            </w:r>
          </w:p>
        </w:tc>
      </w:tr>
      <w:tr w:rsidR="000C111F" w:rsidRPr="000D78AF" w14:paraId="4A326F49" w14:textId="77777777" w:rsidTr="0086146C">
        <w:trPr>
          <w:cantSplit/>
          <w:trHeight w:val="43"/>
        </w:trPr>
        <w:tc>
          <w:tcPr>
            <w:tcW w:w="408" w:type="pct"/>
            <w:vAlign w:val="top"/>
          </w:tcPr>
          <w:p w14:paraId="396C27DC" w14:textId="77777777" w:rsidR="000C111F" w:rsidRPr="000D78AF" w:rsidRDefault="000C111F" w:rsidP="00FA11C2">
            <w:pPr>
              <w:pStyle w:val="Tabletext"/>
            </w:pPr>
            <w:r>
              <w:rPr>
                <w:rFonts w:cs="Arial"/>
              </w:rPr>
              <w:t>Program monitoring</w:t>
            </w:r>
          </w:p>
        </w:tc>
        <w:tc>
          <w:tcPr>
            <w:tcW w:w="818" w:type="pct"/>
            <w:vAlign w:val="top"/>
          </w:tcPr>
          <w:p w14:paraId="0541FE90" w14:textId="77777777" w:rsidR="000C111F" w:rsidRPr="000D78AF" w:rsidRDefault="000C111F" w:rsidP="00FA11C2">
            <w:pPr>
              <w:pStyle w:val="Tabletext"/>
            </w:pPr>
            <w:r w:rsidRPr="36CD525F">
              <w:rPr>
                <w:rFonts w:cs="Arial"/>
              </w:rPr>
              <w:t xml:space="preserve">Assess age-specific HPV vaccination coverage achieved in the ongoing 12–13-year-old program and the catch-up programs </w:t>
            </w:r>
          </w:p>
        </w:tc>
        <w:tc>
          <w:tcPr>
            <w:tcW w:w="2455" w:type="pct"/>
            <w:vAlign w:val="top"/>
          </w:tcPr>
          <w:p w14:paraId="4FCF9368" w14:textId="035C6BDC" w:rsidR="007C5A8E" w:rsidRPr="006347B6" w:rsidRDefault="000C111F" w:rsidP="006347B6">
            <w:pPr>
              <w:pStyle w:val="Tabletext"/>
              <w:rPr>
                <w:rFonts w:cs="Arial"/>
              </w:rPr>
            </w:pPr>
            <w:r w:rsidRPr="00323EE3">
              <w:rPr>
                <w:rFonts w:cs="Arial"/>
              </w:rPr>
              <w:t xml:space="preserve">Single dose HPV vaccination coverage among males </w:t>
            </w:r>
            <w:r>
              <w:rPr>
                <w:rFonts w:cs="Arial"/>
              </w:rPr>
              <w:t xml:space="preserve">at 15 years of age </w:t>
            </w:r>
            <w:r w:rsidRPr="00323EE3">
              <w:rPr>
                <w:rFonts w:cs="Arial"/>
              </w:rPr>
              <w:t>in Australia in 2021 and 2022 was 84.4% and 83.1%, respectively. Coverage in females</w:t>
            </w:r>
            <w:r>
              <w:rPr>
                <w:rFonts w:cs="Arial"/>
              </w:rPr>
              <w:t xml:space="preserve"> at 15 years of age</w:t>
            </w:r>
            <w:r w:rsidRPr="00323EE3">
              <w:rPr>
                <w:rFonts w:cs="Arial"/>
              </w:rPr>
              <w:t xml:space="preserve"> is even higher in 2021 and 2022 was 86.2% and 85.3%, respectively (NCIRS 2023).</w:t>
            </w:r>
          </w:p>
        </w:tc>
        <w:tc>
          <w:tcPr>
            <w:tcW w:w="1320" w:type="pct"/>
            <w:vAlign w:val="top"/>
          </w:tcPr>
          <w:p w14:paraId="6956E65A" w14:textId="77777777" w:rsidR="000C111F" w:rsidRPr="008C4020" w:rsidRDefault="000C111F" w:rsidP="00FA11C2">
            <w:pPr>
              <w:pStyle w:val="Tabletext"/>
            </w:pPr>
            <w:r w:rsidRPr="005B452C">
              <w:rPr>
                <w:rStyle w:val="Strong"/>
              </w:rPr>
              <w:t>Revised objective included</w:t>
            </w:r>
            <w:r w:rsidRPr="008C4020">
              <w:t>.</w:t>
            </w:r>
          </w:p>
          <w:p w14:paraId="45D00846" w14:textId="77777777" w:rsidR="000C111F" w:rsidRPr="000C111F" w:rsidRDefault="000C111F" w:rsidP="00FA11C2">
            <w:pPr>
              <w:pStyle w:val="Tabletext"/>
            </w:pPr>
            <w:r w:rsidRPr="000C111F">
              <w:t>(revised) Monitor HPV vaccination coverage</w:t>
            </w:r>
          </w:p>
          <w:p w14:paraId="58DA4FC0" w14:textId="0AFDFCF3" w:rsidR="000C111F" w:rsidRPr="000D78AF" w:rsidRDefault="000C111F" w:rsidP="00FA11C2">
            <w:pPr>
              <w:pStyle w:val="Tabletext"/>
            </w:pPr>
            <w:r>
              <w:rPr>
                <w:rFonts w:cs="Arial"/>
              </w:rPr>
              <w:t xml:space="preserve">See </w:t>
            </w:r>
            <w:hyperlink w:anchor="_Monitor_HPV_vaccination" w:history="1">
              <w:r w:rsidRPr="00D15279">
                <w:rPr>
                  <w:rStyle w:val="Hyperlink"/>
                  <w:rFonts w:cs="Arial"/>
                </w:rPr>
                <w:t>section 1.1</w:t>
              </w:r>
            </w:hyperlink>
            <w:r w:rsidRPr="00D15279">
              <w:rPr>
                <w:rFonts w:cs="Arial"/>
              </w:rPr>
              <w:t>.</w:t>
            </w:r>
          </w:p>
        </w:tc>
      </w:tr>
      <w:tr w:rsidR="00A7651D" w:rsidRPr="000D78AF" w14:paraId="2E564426" w14:textId="77777777" w:rsidTr="0086146C">
        <w:trPr>
          <w:cnfStyle w:val="000000100000" w:firstRow="0" w:lastRow="0" w:firstColumn="0" w:lastColumn="0" w:oddVBand="0" w:evenVBand="0" w:oddHBand="1" w:evenHBand="0" w:firstRowFirstColumn="0" w:firstRowLastColumn="0" w:lastRowFirstColumn="0" w:lastRowLastColumn="0"/>
          <w:cantSplit/>
          <w:trHeight w:val="43"/>
        </w:trPr>
        <w:tc>
          <w:tcPr>
            <w:tcW w:w="408" w:type="pct"/>
            <w:vAlign w:val="top"/>
          </w:tcPr>
          <w:p w14:paraId="0BE42B00" w14:textId="77777777" w:rsidR="000C111F" w:rsidRPr="000D78AF" w:rsidRDefault="000C111F" w:rsidP="00FA11C2">
            <w:pPr>
              <w:pStyle w:val="Tabletext"/>
            </w:pPr>
            <w:r>
              <w:rPr>
                <w:rFonts w:cs="Arial"/>
              </w:rPr>
              <w:lastRenderedPageBreak/>
              <w:t>Program monitoring</w:t>
            </w:r>
          </w:p>
        </w:tc>
        <w:tc>
          <w:tcPr>
            <w:tcW w:w="818" w:type="pct"/>
            <w:vAlign w:val="top"/>
          </w:tcPr>
          <w:p w14:paraId="4B524C8E" w14:textId="77777777" w:rsidR="000C111F" w:rsidRPr="000D78AF" w:rsidRDefault="000C111F" w:rsidP="00FA11C2">
            <w:pPr>
              <w:pStyle w:val="Tabletext"/>
            </w:pPr>
            <w:r w:rsidRPr="00D070E3">
              <w:rPr>
                <w:rFonts w:cs="Arial"/>
              </w:rPr>
              <w:t xml:space="preserve">Monitor the uptake of cervical screening in the eligible population </w:t>
            </w:r>
          </w:p>
        </w:tc>
        <w:tc>
          <w:tcPr>
            <w:tcW w:w="2455" w:type="pct"/>
            <w:vAlign w:val="top"/>
          </w:tcPr>
          <w:p w14:paraId="2F4FCE36" w14:textId="77777777" w:rsidR="000C111F" w:rsidRPr="000D78AF" w:rsidRDefault="000C111F" w:rsidP="00FA11C2">
            <w:pPr>
              <w:pStyle w:val="Tabletext"/>
            </w:pPr>
            <w:r w:rsidRPr="4EED8B0A">
              <w:rPr>
                <w:rFonts w:eastAsia="Arial" w:cs="Arial"/>
              </w:rPr>
              <w:t>Prior to the introduction of the renewed NCSP in 2017, 56% of eligible people aged 20–69 years participated in the program. From 2018–2022, 7</w:t>
            </w:r>
            <w:r>
              <w:rPr>
                <w:rFonts w:eastAsia="Arial" w:cs="Arial"/>
              </w:rPr>
              <w:t>7</w:t>
            </w:r>
            <w:r w:rsidRPr="4EED8B0A">
              <w:rPr>
                <w:rFonts w:eastAsia="Arial" w:cs="Arial"/>
              </w:rPr>
              <w:t xml:space="preserve">% of the eligible people population aged 25–74 years had </w:t>
            </w:r>
            <w:proofErr w:type="gramStart"/>
            <w:r w:rsidRPr="4EED8B0A">
              <w:rPr>
                <w:rFonts w:eastAsia="Arial" w:cs="Arial"/>
              </w:rPr>
              <w:t>a</w:t>
            </w:r>
            <w:proofErr w:type="gramEnd"/>
            <w:r w:rsidRPr="4EED8B0A">
              <w:rPr>
                <w:rFonts w:eastAsia="Arial" w:cs="Arial"/>
              </w:rPr>
              <w:t xml:space="preserve"> HPV or LBC test for any reason (AIHW 202</w:t>
            </w:r>
            <w:r>
              <w:rPr>
                <w:rFonts w:eastAsia="Arial" w:cs="Arial"/>
              </w:rPr>
              <w:t>3</w:t>
            </w:r>
            <w:r w:rsidRPr="4EED8B0A">
              <w:rPr>
                <w:rFonts w:eastAsia="Arial" w:cs="Arial"/>
              </w:rPr>
              <w:t>).</w:t>
            </w:r>
          </w:p>
        </w:tc>
        <w:tc>
          <w:tcPr>
            <w:tcW w:w="1320" w:type="pct"/>
            <w:vAlign w:val="top"/>
          </w:tcPr>
          <w:p w14:paraId="23A6B34D" w14:textId="77777777" w:rsidR="000C111F" w:rsidRPr="00CD10C1" w:rsidRDefault="000C111F" w:rsidP="00FA11C2">
            <w:pPr>
              <w:pStyle w:val="Tabletext"/>
            </w:pPr>
            <w:r w:rsidRPr="005B452C">
              <w:rPr>
                <w:rStyle w:val="Strong"/>
              </w:rPr>
              <w:t>Objective included</w:t>
            </w:r>
            <w:r w:rsidRPr="00CD10C1">
              <w:t>.</w:t>
            </w:r>
          </w:p>
          <w:p w14:paraId="4D3967F7" w14:textId="0F191FA5" w:rsidR="000C111F" w:rsidRPr="000D78AF" w:rsidRDefault="000C111F" w:rsidP="00FA11C2">
            <w:pPr>
              <w:pStyle w:val="Tabletext"/>
            </w:pPr>
            <w:r>
              <w:rPr>
                <w:rFonts w:cs="Arial"/>
              </w:rPr>
              <w:t xml:space="preserve">See </w:t>
            </w:r>
            <w:hyperlink w:anchor="_1.2._Monitor_coverage" w:history="1">
              <w:r w:rsidRPr="00D15279">
                <w:rPr>
                  <w:rStyle w:val="Hyperlink"/>
                  <w:rFonts w:cs="Arial"/>
                </w:rPr>
                <w:t>section 1.2</w:t>
              </w:r>
            </w:hyperlink>
            <w:r w:rsidRPr="00D15279">
              <w:rPr>
                <w:rFonts w:cs="Arial"/>
              </w:rPr>
              <w:t>.</w:t>
            </w:r>
          </w:p>
        </w:tc>
      </w:tr>
      <w:tr w:rsidR="00332EC6" w:rsidRPr="000D78AF" w14:paraId="698EDF47" w14:textId="77777777" w:rsidTr="0086146C">
        <w:trPr>
          <w:cantSplit/>
          <w:trHeight w:val="43"/>
        </w:trPr>
        <w:tc>
          <w:tcPr>
            <w:tcW w:w="408" w:type="pct"/>
            <w:vAlign w:val="top"/>
          </w:tcPr>
          <w:p w14:paraId="3E814257" w14:textId="77777777" w:rsidR="000C111F" w:rsidRPr="000D78AF" w:rsidRDefault="000C111F" w:rsidP="00FA11C2">
            <w:pPr>
              <w:pStyle w:val="Tabletext"/>
            </w:pPr>
            <w:r>
              <w:rPr>
                <w:rFonts w:cs="Arial"/>
              </w:rPr>
              <w:t>Program monitoring</w:t>
            </w:r>
          </w:p>
        </w:tc>
        <w:tc>
          <w:tcPr>
            <w:tcW w:w="818" w:type="pct"/>
            <w:vAlign w:val="top"/>
          </w:tcPr>
          <w:p w14:paraId="7FDAE9F4" w14:textId="77777777" w:rsidR="000C111F" w:rsidRPr="000D78AF" w:rsidRDefault="000C111F" w:rsidP="00FA11C2">
            <w:pPr>
              <w:pStyle w:val="Tabletext"/>
            </w:pPr>
            <w:r w:rsidRPr="600930D2">
              <w:rPr>
                <w:rFonts w:cs="Arial"/>
              </w:rPr>
              <w:t xml:space="preserve">Monitor knowledge, attitudes and beliefs about HPV, HPV vaccination and cervical screening </w:t>
            </w:r>
          </w:p>
        </w:tc>
        <w:tc>
          <w:tcPr>
            <w:tcW w:w="2455" w:type="pct"/>
            <w:vAlign w:val="top"/>
          </w:tcPr>
          <w:p w14:paraId="0C4E3A7E" w14:textId="77777777" w:rsidR="000C111F" w:rsidRPr="000D78AF" w:rsidRDefault="000C111F" w:rsidP="00FA11C2">
            <w:pPr>
              <w:pStyle w:val="Tabletext"/>
            </w:pPr>
            <w:r>
              <w:rPr>
                <w:rFonts w:cs="Arial"/>
              </w:rPr>
              <w:t>K</w:t>
            </w:r>
            <w:r w:rsidRPr="00D070E3">
              <w:rPr>
                <w:rFonts w:cs="Arial"/>
              </w:rPr>
              <w:t>nowledge, attitudes and beliefs about HPV, HPV vaccination and cervical cytology screening have not been routinely monitored in Australia</w:t>
            </w:r>
            <w:r>
              <w:rPr>
                <w:rFonts w:cs="Arial"/>
              </w:rPr>
              <w:t xml:space="preserve">. </w:t>
            </w:r>
          </w:p>
        </w:tc>
        <w:tc>
          <w:tcPr>
            <w:tcW w:w="1320" w:type="pct"/>
            <w:vAlign w:val="top"/>
          </w:tcPr>
          <w:p w14:paraId="3026A933" w14:textId="77777777" w:rsidR="000C111F" w:rsidRPr="008C4020" w:rsidRDefault="000C111F" w:rsidP="00FA11C2">
            <w:pPr>
              <w:pStyle w:val="Tabletext"/>
            </w:pPr>
            <w:r w:rsidRPr="005B452C">
              <w:rPr>
                <w:rStyle w:val="Strong"/>
              </w:rPr>
              <w:t>Objective excluded</w:t>
            </w:r>
            <w:r w:rsidRPr="008C4020">
              <w:t>.</w:t>
            </w:r>
          </w:p>
          <w:p w14:paraId="5635D08F" w14:textId="77777777" w:rsidR="000C111F" w:rsidRPr="000D78AF" w:rsidRDefault="000C111F" w:rsidP="00FA11C2">
            <w:pPr>
              <w:pStyle w:val="Tabletext"/>
            </w:pPr>
            <w:r w:rsidRPr="00CD10C1">
              <w:t>The monitoring of k</w:t>
            </w:r>
            <w:r w:rsidRPr="002A7ED8">
              <w:rPr>
                <w:rFonts w:cs="Arial"/>
              </w:rPr>
              <w:t xml:space="preserve">nowledge, attitudes and beliefs has been excluded in this version </w:t>
            </w:r>
            <w:r>
              <w:rPr>
                <w:rFonts w:cs="Arial"/>
              </w:rPr>
              <w:t xml:space="preserve">of the Plan </w:t>
            </w:r>
            <w:r w:rsidRPr="002A7ED8">
              <w:rPr>
                <w:rFonts w:cs="Arial"/>
              </w:rPr>
              <w:t xml:space="preserve">as it is outside the </w:t>
            </w:r>
            <w:r>
              <w:rPr>
                <w:rFonts w:cs="Arial"/>
              </w:rPr>
              <w:t xml:space="preserve">usual </w:t>
            </w:r>
            <w:r w:rsidRPr="002A7ED8">
              <w:rPr>
                <w:rFonts w:cs="Arial"/>
              </w:rPr>
              <w:t>scope of a disease surveillance</w:t>
            </w:r>
            <w:r>
              <w:rPr>
                <w:rFonts w:cs="Arial"/>
              </w:rPr>
              <w:t xml:space="preserve"> plan</w:t>
            </w:r>
            <w:r w:rsidRPr="002A7ED8">
              <w:rPr>
                <w:rFonts w:cs="Arial"/>
              </w:rPr>
              <w:t xml:space="preserve">. </w:t>
            </w:r>
            <w:r>
              <w:rPr>
                <w:rFonts w:cs="Arial"/>
              </w:rPr>
              <w:t>Mechanisms for u</w:t>
            </w:r>
            <w:r w:rsidRPr="002A7ED8">
              <w:rPr>
                <w:rFonts w:cs="Arial"/>
              </w:rPr>
              <w:t>nderstanding barriers and strategies to improve vaccination uptake and cervical screening are outlined in the respective Strategy and Program Framework</w:t>
            </w:r>
            <w:r>
              <w:rPr>
                <w:rFonts w:cs="Arial"/>
              </w:rPr>
              <w:t>s</w:t>
            </w:r>
            <w:r w:rsidRPr="002A7ED8">
              <w:rPr>
                <w:rFonts w:cs="Arial"/>
              </w:rPr>
              <w:t xml:space="preserve"> (DoHAC 2017, DoHAC 2018)</w:t>
            </w:r>
          </w:p>
        </w:tc>
      </w:tr>
      <w:tr w:rsidR="00A7651D" w:rsidRPr="000D78AF" w14:paraId="02324484" w14:textId="77777777" w:rsidTr="0086146C">
        <w:trPr>
          <w:cnfStyle w:val="000000100000" w:firstRow="0" w:lastRow="0" w:firstColumn="0" w:lastColumn="0" w:oddVBand="0" w:evenVBand="0" w:oddHBand="1" w:evenHBand="0" w:firstRowFirstColumn="0" w:firstRowLastColumn="0" w:lastRowFirstColumn="0" w:lastRowLastColumn="0"/>
          <w:cantSplit/>
          <w:trHeight w:val="43"/>
        </w:trPr>
        <w:tc>
          <w:tcPr>
            <w:tcW w:w="408" w:type="pct"/>
            <w:vAlign w:val="top"/>
          </w:tcPr>
          <w:p w14:paraId="2918A520" w14:textId="77777777" w:rsidR="000C111F" w:rsidRPr="000D78AF" w:rsidRDefault="000C111F" w:rsidP="00FA11C2">
            <w:pPr>
              <w:pStyle w:val="Tabletext"/>
            </w:pPr>
            <w:r w:rsidRPr="00D070E3">
              <w:rPr>
                <w:rFonts w:cs="Arial"/>
              </w:rPr>
              <w:lastRenderedPageBreak/>
              <w:t>Infection monitoring</w:t>
            </w:r>
          </w:p>
        </w:tc>
        <w:tc>
          <w:tcPr>
            <w:tcW w:w="818" w:type="pct"/>
            <w:vAlign w:val="top"/>
          </w:tcPr>
          <w:p w14:paraId="1BDA96D3" w14:textId="3093C6E6" w:rsidR="000C111F" w:rsidRPr="00D070E3" w:rsidRDefault="000C111F" w:rsidP="00FA11C2">
            <w:pPr>
              <w:pStyle w:val="Tabletext"/>
              <w:rPr>
                <w:rFonts w:cs="Arial"/>
              </w:rPr>
            </w:pPr>
            <w:r w:rsidRPr="3B2FDA41">
              <w:rPr>
                <w:rFonts w:cs="Arial"/>
              </w:rPr>
              <w:t xml:space="preserve">Monitor the prevalence of HPV genotypes in the general female population </w:t>
            </w:r>
          </w:p>
          <w:p w14:paraId="32274A6B" w14:textId="30423AE6" w:rsidR="000C111F" w:rsidRPr="00192F08" w:rsidRDefault="000C111F" w:rsidP="00FA11C2">
            <w:pPr>
              <w:pStyle w:val="Tabletext"/>
              <w:rPr>
                <w:rFonts w:cs="Arial"/>
              </w:rPr>
            </w:pPr>
            <w:r w:rsidRPr="0057009B">
              <w:rPr>
                <w:rFonts w:cs="Arial"/>
              </w:rPr>
              <w:t>Monitor the prevalence of HPV genotypes in the general male population</w:t>
            </w:r>
          </w:p>
        </w:tc>
        <w:tc>
          <w:tcPr>
            <w:tcW w:w="2455" w:type="pct"/>
            <w:vAlign w:val="top"/>
          </w:tcPr>
          <w:p w14:paraId="285EC34A" w14:textId="3F5B947B" w:rsidR="000C111F" w:rsidRPr="00CD10C1" w:rsidRDefault="000C111F" w:rsidP="00FA11C2">
            <w:pPr>
              <w:pStyle w:val="Tabletext"/>
            </w:pPr>
            <w:r w:rsidRPr="00CD10C1">
              <w:t>Females</w:t>
            </w:r>
            <w:r w:rsidRPr="00CD10C1">
              <w:br/>
              <w:t>Among young females, the population prevalence of HPV, particularly 4vHPV types, has declined since the introduction of HPV vaccination in Australia.</w:t>
            </w:r>
            <w:r w:rsidRPr="00192F08">
              <w:t xml:space="preserve"> </w:t>
            </w:r>
            <w:r w:rsidRPr="00E5044A">
              <w:rPr>
                <w:rFonts w:cs="Arial"/>
              </w:rPr>
              <w:t xml:space="preserve"> Prevalence of cervical HPV types targeted by the quadrivalent vaccine declined by 93% for </w:t>
            </w:r>
            <w:r>
              <w:rPr>
                <w:rFonts w:cs="Arial"/>
              </w:rPr>
              <w:t>females</w:t>
            </w:r>
            <w:r w:rsidRPr="00E5044A">
              <w:rPr>
                <w:rFonts w:cs="Arial"/>
              </w:rPr>
              <w:t xml:space="preserve"> aged 18–24</w:t>
            </w:r>
            <w:r>
              <w:rPr>
                <w:rFonts w:cs="Arial"/>
              </w:rPr>
              <w:t xml:space="preserve"> years</w:t>
            </w:r>
            <w:r w:rsidRPr="00E5044A">
              <w:rPr>
                <w:rFonts w:cs="Arial"/>
              </w:rPr>
              <w:t xml:space="preserve"> and 90% for </w:t>
            </w:r>
            <w:r>
              <w:rPr>
                <w:rFonts w:cs="Arial"/>
              </w:rPr>
              <w:t>females</w:t>
            </w:r>
            <w:r w:rsidRPr="00E5044A">
              <w:rPr>
                <w:rFonts w:cs="Arial"/>
              </w:rPr>
              <w:t xml:space="preserve"> aged 25–35 </w:t>
            </w:r>
            <w:r>
              <w:rPr>
                <w:rFonts w:cs="Arial"/>
              </w:rPr>
              <w:t xml:space="preserve">years </w:t>
            </w:r>
            <w:r w:rsidRPr="00E5044A">
              <w:rPr>
                <w:rFonts w:cs="Arial"/>
              </w:rPr>
              <w:t>from 2007 to 2015 (Machalek et al. 2018).</w:t>
            </w:r>
          </w:p>
          <w:p w14:paraId="220781DA" w14:textId="77DA5F1F" w:rsidR="000C111F" w:rsidRPr="00192F08" w:rsidRDefault="000C111F" w:rsidP="00FA11C2">
            <w:pPr>
              <w:pStyle w:val="Tabletext"/>
              <w:rPr>
                <w:rFonts w:cs="Arial"/>
              </w:rPr>
            </w:pPr>
            <w:r w:rsidRPr="00E5044A">
              <w:rPr>
                <w:rFonts w:cs="Arial"/>
              </w:rPr>
              <w:t>Of primary screening tests performed in 202</w:t>
            </w:r>
            <w:r>
              <w:rPr>
                <w:rFonts w:cs="Arial"/>
              </w:rPr>
              <w:t>2</w:t>
            </w:r>
            <w:r w:rsidRPr="00E5044A">
              <w:rPr>
                <w:rFonts w:cs="Arial"/>
              </w:rPr>
              <w:t xml:space="preserve"> in participants aged 25–74 years, </w:t>
            </w:r>
            <w:r>
              <w:rPr>
                <w:rFonts w:cs="Arial"/>
              </w:rPr>
              <w:t>1.9</w:t>
            </w:r>
            <w:r w:rsidRPr="00E5044A">
              <w:rPr>
                <w:rFonts w:cs="Arial"/>
              </w:rPr>
              <w:t>% were positive for oncogenic HPV types 16 or 18 and 8.</w:t>
            </w:r>
            <w:r>
              <w:rPr>
                <w:rFonts w:cs="Arial"/>
              </w:rPr>
              <w:t>4</w:t>
            </w:r>
            <w:r w:rsidRPr="00E5044A">
              <w:rPr>
                <w:rFonts w:cs="Arial"/>
              </w:rPr>
              <w:t>% were positive for oncogenic HPV types other than 16 or 18 (AIHW 202</w:t>
            </w:r>
            <w:r>
              <w:rPr>
                <w:rFonts w:cs="Arial"/>
              </w:rPr>
              <w:t>3</w:t>
            </w:r>
            <w:r w:rsidRPr="002A7ED8">
              <w:rPr>
                <w:rFonts w:cs="Arial"/>
              </w:rPr>
              <w:t>). Low and stable positivity of oncogenic HPV types 16 and 18 reflects the impact of the vaccine on prevalence. In contrast, screening HPV test positivity for oncogenic HPV types other than 16 or 18 varied considerably, depending on whether participants were of an age at which HPV vaccination was offered or not offered (AIHW 202</w:t>
            </w:r>
            <w:r>
              <w:rPr>
                <w:rFonts w:cs="Arial"/>
              </w:rPr>
              <w:t>3</w:t>
            </w:r>
            <w:r w:rsidRPr="002A7ED8">
              <w:rPr>
                <w:rFonts w:cs="Arial"/>
              </w:rPr>
              <w:t xml:space="preserve">). </w:t>
            </w:r>
          </w:p>
          <w:p w14:paraId="150D4F4E" w14:textId="77777777" w:rsidR="000C111F" w:rsidRPr="000C111F" w:rsidRDefault="000C111F" w:rsidP="00FA11C2">
            <w:pPr>
              <w:pStyle w:val="Tabletext"/>
              <w:rPr>
                <w:rFonts w:cs="Arial"/>
                <w:i/>
                <w:iCs/>
              </w:rPr>
            </w:pPr>
            <w:r w:rsidRPr="0014344E">
              <w:rPr>
                <w:rStyle w:val="Emphasis"/>
              </w:rPr>
              <w:t>Males</w:t>
            </w:r>
            <w:r w:rsidRPr="0014344E">
              <w:rPr>
                <w:rStyle w:val="Emphasis"/>
              </w:rPr>
              <w:br/>
            </w:r>
            <w:r w:rsidRPr="002A7ED8">
              <w:rPr>
                <w:rFonts w:cs="Arial"/>
              </w:rPr>
              <w:t>HPV prevalence studies among males</w:t>
            </w:r>
            <w:r>
              <w:rPr>
                <w:rFonts w:cs="Arial"/>
              </w:rPr>
              <w:t xml:space="preserve"> undertaken</w:t>
            </w:r>
            <w:r w:rsidRPr="002A7ED8">
              <w:rPr>
                <w:rFonts w:cs="Arial"/>
              </w:rPr>
              <w:t xml:space="preserve"> on a smaller scale than females, have reported</w:t>
            </w:r>
            <w:r>
              <w:rPr>
                <w:rFonts w:cs="Arial"/>
              </w:rPr>
              <w:t xml:space="preserve"> reductions among</w:t>
            </w:r>
            <w:r w:rsidRPr="002A7ED8">
              <w:rPr>
                <w:rFonts w:cs="Arial"/>
              </w:rPr>
              <w:t xml:space="preserve"> in heterosexual men and men who have sex with men (MSM). As a result of herd protection, reductions in 4vHPV types have been reported in heterosexual males since the introduction of the female-only vaccination program in 2007 (Chow et al. 2017). Prevalence in this group has remained low, following the introduction of male vaccination in 2012 (Machalek et al. 2017). Among young MSM, reductions in 4vHPV type prevalence in the anus, penis and oral cavity have been reported post-vaccination as compared with the period prior to 2012, declining by 76%, 52% and 90% respectively (Chow et al, 2021).</w:t>
            </w:r>
          </w:p>
        </w:tc>
        <w:tc>
          <w:tcPr>
            <w:tcW w:w="1320" w:type="pct"/>
            <w:vAlign w:val="top"/>
          </w:tcPr>
          <w:p w14:paraId="3AA82546" w14:textId="77777777" w:rsidR="000C111F" w:rsidRPr="008C4020" w:rsidRDefault="000C111F" w:rsidP="00FA11C2">
            <w:pPr>
              <w:pStyle w:val="Tabletext"/>
            </w:pPr>
            <w:r w:rsidRPr="005B452C">
              <w:rPr>
                <w:rStyle w:val="Strong"/>
              </w:rPr>
              <w:t>Revised objective included</w:t>
            </w:r>
            <w:r w:rsidRPr="008C4020">
              <w:t>.</w:t>
            </w:r>
          </w:p>
          <w:p w14:paraId="34EBDB16" w14:textId="1A8A784E" w:rsidR="000C111F" w:rsidRPr="00434E09" w:rsidRDefault="000C111F" w:rsidP="00FA11C2">
            <w:pPr>
              <w:pStyle w:val="Tabletext"/>
            </w:pPr>
            <w:r w:rsidRPr="000C111F">
              <w:t>(revised) Monitor the prevalence of HPV genotypes</w:t>
            </w:r>
          </w:p>
          <w:p w14:paraId="65FEFCB9" w14:textId="56AF48CB" w:rsidR="000C111F" w:rsidRPr="001E7759" w:rsidRDefault="000C111F" w:rsidP="00FA11C2">
            <w:pPr>
              <w:pStyle w:val="Tabletext"/>
              <w:rPr>
                <w:rFonts w:cs="Arial"/>
              </w:rPr>
            </w:pPr>
            <w:r w:rsidRPr="00C82DA2">
              <w:rPr>
                <w:rFonts w:cs="Arial"/>
              </w:rPr>
              <w:t xml:space="preserve">See </w:t>
            </w:r>
            <w:hyperlink w:anchor="_Monitor_the_prevalence" w:history="1">
              <w:r w:rsidRPr="00D15279">
                <w:rPr>
                  <w:rStyle w:val="Hyperlink"/>
                  <w:rFonts w:cs="Arial"/>
                </w:rPr>
                <w:t>section 2.1</w:t>
              </w:r>
            </w:hyperlink>
            <w:r w:rsidRPr="00D15279">
              <w:rPr>
                <w:rFonts w:cs="Arial"/>
              </w:rPr>
              <w:t>.</w:t>
            </w:r>
          </w:p>
        </w:tc>
      </w:tr>
      <w:tr w:rsidR="00332EC6" w:rsidRPr="000D78AF" w14:paraId="0D1A8F61" w14:textId="77777777" w:rsidTr="0086146C">
        <w:trPr>
          <w:cantSplit/>
          <w:trHeight w:val="43"/>
        </w:trPr>
        <w:tc>
          <w:tcPr>
            <w:tcW w:w="408" w:type="pct"/>
            <w:vAlign w:val="top"/>
          </w:tcPr>
          <w:p w14:paraId="5D7B205E" w14:textId="77777777" w:rsidR="000C111F" w:rsidRPr="000D78AF" w:rsidRDefault="000C111F" w:rsidP="00FA11C2">
            <w:pPr>
              <w:pStyle w:val="Tabletext"/>
            </w:pPr>
            <w:r w:rsidRPr="00D070E3">
              <w:rPr>
                <w:rFonts w:cs="Arial"/>
              </w:rPr>
              <w:lastRenderedPageBreak/>
              <w:t>Non-cancerous disease endpoints</w:t>
            </w:r>
          </w:p>
        </w:tc>
        <w:tc>
          <w:tcPr>
            <w:tcW w:w="818" w:type="pct"/>
            <w:vAlign w:val="top"/>
          </w:tcPr>
          <w:p w14:paraId="57959AA1" w14:textId="77777777" w:rsidR="000C111F" w:rsidRPr="000D78AF" w:rsidRDefault="000C111F" w:rsidP="00FA11C2">
            <w:pPr>
              <w:pStyle w:val="Tabletext"/>
            </w:pPr>
            <w:r w:rsidRPr="00D070E3">
              <w:rPr>
                <w:rFonts w:cs="Arial"/>
              </w:rPr>
              <w:t xml:space="preserve">Monitor the </w:t>
            </w:r>
            <w:r>
              <w:rPr>
                <w:rFonts w:cs="Arial"/>
              </w:rPr>
              <w:t>prevalence</w:t>
            </w:r>
            <w:r w:rsidRPr="00D070E3">
              <w:rPr>
                <w:rFonts w:cs="Arial"/>
              </w:rPr>
              <w:t xml:space="preserve"> of genital warts</w:t>
            </w:r>
          </w:p>
        </w:tc>
        <w:tc>
          <w:tcPr>
            <w:tcW w:w="2455" w:type="pct"/>
            <w:vAlign w:val="top"/>
          </w:tcPr>
          <w:p w14:paraId="2159F339" w14:textId="77777777" w:rsidR="000C111F" w:rsidRPr="000C111F" w:rsidRDefault="000C111F" w:rsidP="00FA11C2">
            <w:pPr>
              <w:pStyle w:val="Tabletext"/>
              <w:rPr>
                <w:rFonts w:cs="Arial"/>
              </w:rPr>
            </w:pPr>
            <w:r w:rsidRPr="3B2FDA41">
              <w:rPr>
                <w:rFonts w:eastAsia="Arial" w:cs="Arial"/>
              </w:rPr>
              <w:t>Diagnoses of genital warts ha</w:t>
            </w:r>
            <w:r>
              <w:rPr>
                <w:rFonts w:eastAsia="Arial" w:cs="Arial"/>
              </w:rPr>
              <w:t>ve</w:t>
            </w:r>
            <w:r w:rsidRPr="3B2FDA41">
              <w:rPr>
                <w:rFonts w:eastAsia="Arial" w:cs="Arial"/>
              </w:rPr>
              <w:t xml:space="preserve"> declined in all age groups and have declined significantly among the cohorts eligible for HPV vaccination.</w:t>
            </w:r>
          </w:p>
          <w:p w14:paraId="12D4984B" w14:textId="77777777" w:rsidR="000C111F" w:rsidRPr="00D070E3" w:rsidRDefault="000C111F" w:rsidP="00FA11C2">
            <w:pPr>
              <w:pStyle w:val="Tabletext"/>
            </w:pPr>
            <w:r w:rsidRPr="064956C4">
              <w:rPr>
                <w:rFonts w:eastAsia="Arial" w:cs="Arial"/>
              </w:rPr>
              <w:t xml:space="preserve">Through sentinel surveillance conducted at sexual health clinics, among Australian-born, non-Indigenous </w:t>
            </w:r>
            <w:r>
              <w:rPr>
                <w:rFonts w:eastAsia="Arial" w:cs="Arial"/>
              </w:rPr>
              <w:t>females</w:t>
            </w:r>
            <w:r w:rsidRPr="064956C4">
              <w:rPr>
                <w:rFonts w:eastAsia="Arial" w:cs="Arial"/>
              </w:rPr>
              <w:t xml:space="preserve"> aged 21 years and younger, diagnoses</w:t>
            </w:r>
            <w:r>
              <w:rPr>
                <w:rFonts w:eastAsia="Arial" w:cs="Arial"/>
              </w:rPr>
              <w:t xml:space="preserve"> of genital warts</w:t>
            </w:r>
            <w:r w:rsidRPr="064956C4">
              <w:rPr>
                <w:rFonts w:eastAsia="Arial" w:cs="Arial"/>
              </w:rPr>
              <w:t xml:space="preserve"> decreased from 13.0% in 2006 to 0.7% in 2021, and among </w:t>
            </w:r>
            <w:r w:rsidRPr="00AA5434">
              <w:rPr>
                <w:rFonts w:eastAsia="Arial" w:cs="Arial"/>
              </w:rPr>
              <w:t>Australian-born, non-Indigenous heterosexual men, diagnoses decreased from 9.8% in 2006 to &lt;0.1%</w:t>
            </w:r>
            <w:r w:rsidRPr="064956C4">
              <w:rPr>
                <w:rFonts w:eastAsia="Arial" w:cs="Arial"/>
              </w:rPr>
              <w:t xml:space="preserve"> in 2021.</w:t>
            </w:r>
          </w:p>
          <w:p w14:paraId="00E32CC6" w14:textId="77777777" w:rsidR="000C111F" w:rsidRPr="00D070E3" w:rsidRDefault="000C111F" w:rsidP="00FA11C2">
            <w:pPr>
              <w:pStyle w:val="Tabletext"/>
            </w:pPr>
            <w:r w:rsidRPr="600930D2">
              <w:rPr>
                <w:rFonts w:eastAsia="Arial" w:cs="Arial"/>
              </w:rPr>
              <w:t>Among Australian-born, non-Indigenous gay and bisexual men aged 21 years and younger, diagnoses decreased since the introduction of the male vaccin</w:t>
            </w:r>
            <w:r>
              <w:rPr>
                <w:rFonts w:eastAsia="Arial" w:cs="Arial"/>
              </w:rPr>
              <w:t>ation</w:t>
            </w:r>
            <w:r w:rsidRPr="600930D2">
              <w:rPr>
                <w:rFonts w:eastAsia="Arial" w:cs="Arial"/>
              </w:rPr>
              <w:t xml:space="preserve"> in 2013, from 6.3% to 1.5% in 2021 for gay men and 6.9% to 2.0% for bisexual men over the same time-period.  </w:t>
            </w:r>
          </w:p>
          <w:p w14:paraId="26394BE6" w14:textId="77777777" w:rsidR="000C111F" w:rsidRPr="000D78AF" w:rsidRDefault="000C111F" w:rsidP="00FA11C2">
            <w:pPr>
              <w:pStyle w:val="Tabletext"/>
            </w:pPr>
            <w:r w:rsidRPr="600930D2">
              <w:rPr>
                <w:rFonts w:eastAsia="Arial" w:cs="Arial"/>
              </w:rPr>
              <w:t xml:space="preserve">The proportion of Aboriginal and Torres Strait Islander </w:t>
            </w:r>
            <w:r>
              <w:rPr>
                <w:rFonts w:eastAsia="Arial" w:cs="Arial"/>
              </w:rPr>
              <w:t>females</w:t>
            </w:r>
            <w:r w:rsidRPr="600930D2">
              <w:rPr>
                <w:rFonts w:eastAsia="Arial" w:cs="Arial"/>
              </w:rPr>
              <w:t xml:space="preserve"> and males aged 21 years and younger presenting with genital warts at their first visit to sexual health clinics has declined from 5.0% to 0.0% and 5.4% to </w:t>
            </w:r>
            <w:r>
              <w:rPr>
                <w:rFonts w:eastAsia="Arial" w:cs="Arial"/>
              </w:rPr>
              <w:t>&lt;</w:t>
            </w:r>
            <w:r w:rsidRPr="600930D2">
              <w:rPr>
                <w:rFonts w:eastAsia="Arial" w:cs="Arial"/>
              </w:rPr>
              <w:t>0.</w:t>
            </w:r>
            <w:r>
              <w:rPr>
                <w:rFonts w:eastAsia="Arial" w:cs="Arial"/>
              </w:rPr>
              <w:t>1</w:t>
            </w:r>
            <w:r w:rsidRPr="600930D2">
              <w:rPr>
                <w:rFonts w:eastAsia="Arial" w:cs="Arial"/>
              </w:rPr>
              <w:t>%, respectively, between 2006 and 2021 (Kirby Institute 2022).</w:t>
            </w:r>
          </w:p>
        </w:tc>
        <w:tc>
          <w:tcPr>
            <w:tcW w:w="1320" w:type="pct"/>
            <w:vAlign w:val="top"/>
          </w:tcPr>
          <w:p w14:paraId="410185AA" w14:textId="4D360A0C" w:rsidR="000C111F" w:rsidRPr="008C4020" w:rsidRDefault="000C111F" w:rsidP="00FA11C2">
            <w:pPr>
              <w:pStyle w:val="Tabletext"/>
            </w:pPr>
            <w:r w:rsidRPr="005B452C">
              <w:rPr>
                <w:rStyle w:val="Strong"/>
              </w:rPr>
              <w:t>Objective included</w:t>
            </w:r>
            <w:r w:rsidRPr="008C4020">
              <w:t>.</w:t>
            </w:r>
          </w:p>
          <w:p w14:paraId="7271A6D8" w14:textId="781EB531" w:rsidR="000C111F" w:rsidRPr="000D78AF" w:rsidRDefault="000C111F" w:rsidP="00FA11C2">
            <w:pPr>
              <w:pStyle w:val="Tabletext"/>
            </w:pPr>
            <w:r>
              <w:rPr>
                <w:rFonts w:cs="Arial"/>
              </w:rPr>
              <w:t xml:space="preserve">See </w:t>
            </w:r>
            <w:hyperlink w:anchor="_Monitor_the_incidence" w:history="1">
              <w:r w:rsidRPr="00D15279">
                <w:rPr>
                  <w:rStyle w:val="Hyperlink"/>
                  <w:rFonts w:cs="Arial"/>
                </w:rPr>
                <w:t>section 3.1</w:t>
              </w:r>
              <w:r w:rsidR="00D15279" w:rsidRPr="00D15279">
                <w:rPr>
                  <w:rStyle w:val="Hyperlink"/>
                  <w:rFonts w:cs="Arial"/>
                </w:rPr>
                <w:t>.</w:t>
              </w:r>
            </w:hyperlink>
          </w:p>
        </w:tc>
      </w:tr>
      <w:tr w:rsidR="00A7651D" w:rsidRPr="000D78AF" w14:paraId="61A5C6FA" w14:textId="77777777" w:rsidTr="0086146C">
        <w:trPr>
          <w:cnfStyle w:val="000000100000" w:firstRow="0" w:lastRow="0" w:firstColumn="0" w:lastColumn="0" w:oddVBand="0" w:evenVBand="0" w:oddHBand="1" w:evenHBand="0" w:firstRowFirstColumn="0" w:firstRowLastColumn="0" w:lastRowFirstColumn="0" w:lastRowLastColumn="0"/>
          <w:cantSplit/>
          <w:trHeight w:val="43"/>
        </w:trPr>
        <w:tc>
          <w:tcPr>
            <w:tcW w:w="408" w:type="pct"/>
            <w:vAlign w:val="top"/>
          </w:tcPr>
          <w:p w14:paraId="4EFB26B9" w14:textId="77777777" w:rsidR="000C111F" w:rsidRPr="000D78AF" w:rsidRDefault="000C111F" w:rsidP="00FA11C2">
            <w:pPr>
              <w:pStyle w:val="Tabletext"/>
            </w:pPr>
            <w:r>
              <w:rPr>
                <w:rFonts w:cs="Arial"/>
              </w:rPr>
              <w:t>Non-cancerous disease endpoints</w:t>
            </w:r>
          </w:p>
        </w:tc>
        <w:tc>
          <w:tcPr>
            <w:tcW w:w="818" w:type="pct"/>
            <w:vAlign w:val="top"/>
          </w:tcPr>
          <w:p w14:paraId="140960AD" w14:textId="77777777" w:rsidR="000C111F" w:rsidRPr="000D78AF" w:rsidRDefault="000C111F" w:rsidP="00FA11C2">
            <w:pPr>
              <w:pStyle w:val="Tabletext"/>
            </w:pPr>
            <w:r w:rsidRPr="00D070E3">
              <w:rPr>
                <w:rFonts w:cs="Arial"/>
              </w:rPr>
              <w:t xml:space="preserve">Monitor the incidence of recurrent respiratory papillomatosis (RRP) </w:t>
            </w:r>
          </w:p>
        </w:tc>
        <w:tc>
          <w:tcPr>
            <w:tcW w:w="2455" w:type="pct"/>
            <w:vAlign w:val="top"/>
          </w:tcPr>
          <w:p w14:paraId="46CE7BAE" w14:textId="77777777" w:rsidR="000C111F" w:rsidRDefault="000C111F" w:rsidP="00FA11C2">
            <w:pPr>
              <w:pStyle w:val="Tabletext"/>
              <w:rPr>
                <w:rFonts w:cs="Arial"/>
              </w:rPr>
            </w:pPr>
            <w:r w:rsidRPr="4EED8B0A">
              <w:rPr>
                <w:rFonts w:cs="Arial"/>
              </w:rPr>
              <w:t>The incidence of</w:t>
            </w:r>
            <w:r>
              <w:rPr>
                <w:rFonts w:cs="Arial"/>
              </w:rPr>
              <w:t xml:space="preserve"> juvenile-onset recurrent respiratory papillomatosis</w:t>
            </w:r>
            <w:r w:rsidRPr="4EED8B0A">
              <w:rPr>
                <w:rFonts w:cs="Arial"/>
              </w:rPr>
              <w:t xml:space="preserve"> </w:t>
            </w:r>
            <w:r>
              <w:rPr>
                <w:rFonts w:cs="Arial"/>
              </w:rPr>
              <w:t>(</w:t>
            </w:r>
            <w:r w:rsidRPr="4EED8B0A">
              <w:rPr>
                <w:rFonts w:cs="Arial"/>
              </w:rPr>
              <w:t>JoRRP</w:t>
            </w:r>
            <w:r>
              <w:rPr>
                <w:rFonts w:cs="Arial"/>
              </w:rPr>
              <w:t>)</w:t>
            </w:r>
            <w:r w:rsidRPr="4EED8B0A">
              <w:rPr>
                <w:rFonts w:cs="Arial"/>
              </w:rPr>
              <w:t xml:space="preserve"> has decreased since the introduction of HPV vaccination onto the NIP schedule in 2007. In 2022, there was one case of this condition identified through national surveillance (Teutsch et al. 2023).</w:t>
            </w:r>
          </w:p>
          <w:p w14:paraId="7A6B89D7" w14:textId="77777777" w:rsidR="000C111F" w:rsidRPr="000C111F" w:rsidRDefault="000C111F" w:rsidP="00FA11C2">
            <w:pPr>
              <w:pStyle w:val="Tabletext"/>
              <w:rPr>
                <w:rFonts w:cs="Arial"/>
              </w:rPr>
            </w:pPr>
            <w:r>
              <w:rPr>
                <w:rFonts w:cs="Arial"/>
              </w:rPr>
              <w:t>Routine surveillance for JoRRP is conducted through the APSU. There is currently no surveillance of adult-onset RRP.</w:t>
            </w:r>
          </w:p>
        </w:tc>
        <w:tc>
          <w:tcPr>
            <w:tcW w:w="1320" w:type="pct"/>
            <w:vAlign w:val="top"/>
          </w:tcPr>
          <w:p w14:paraId="686428B9" w14:textId="2D2C53AA" w:rsidR="000C111F" w:rsidRPr="008C4020" w:rsidRDefault="000C111F" w:rsidP="00FA11C2">
            <w:pPr>
              <w:pStyle w:val="Tabletext"/>
            </w:pPr>
            <w:r w:rsidRPr="005B452C">
              <w:rPr>
                <w:rStyle w:val="Strong"/>
              </w:rPr>
              <w:t>Objective included</w:t>
            </w:r>
            <w:r w:rsidRPr="008C4020">
              <w:t>.</w:t>
            </w:r>
          </w:p>
          <w:p w14:paraId="41B1EB89" w14:textId="375C18E3" w:rsidR="000C111F" w:rsidRPr="00192F08" w:rsidRDefault="000C111F" w:rsidP="00FA11C2">
            <w:pPr>
              <w:pStyle w:val="Tabletext"/>
              <w:rPr>
                <w:rFonts w:cs="Arial"/>
              </w:rPr>
            </w:pPr>
            <w:r w:rsidRPr="00E130C4">
              <w:rPr>
                <w:rFonts w:cs="Arial"/>
              </w:rPr>
              <w:t xml:space="preserve">See </w:t>
            </w:r>
            <w:hyperlink w:anchor="_3.2_Monitor_the" w:history="1">
              <w:r w:rsidRPr="00D15279">
                <w:rPr>
                  <w:rStyle w:val="Hyperlink"/>
                  <w:rFonts w:cs="Arial"/>
                </w:rPr>
                <w:t>section 3.2</w:t>
              </w:r>
            </w:hyperlink>
            <w:r w:rsidRPr="00D15279">
              <w:rPr>
                <w:rFonts w:cs="Arial"/>
              </w:rPr>
              <w:t>.</w:t>
            </w:r>
          </w:p>
        </w:tc>
      </w:tr>
      <w:tr w:rsidR="00332EC6" w:rsidRPr="000D78AF" w14:paraId="241FEC58" w14:textId="77777777" w:rsidTr="0086146C">
        <w:trPr>
          <w:cantSplit/>
          <w:trHeight w:val="43"/>
        </w:trPr>
        <w:tc>
          <w:tcPr>
            <w:tcW w:w="408" w:type="pct"/>
            <w:vAlign w:val="top"/>
          </w:tcPr>
          <w:p w14:paraId="2FCF475A" w14:textId="77777777" w:rsidR="000C111F" w:rsidRPr="000D78AF" w:rsidRDefault="000C111F" w:rsidP="00FA11C2">
            <w:pPr>
              <w:pStyle w:val="Tabletext"/>
            </w:pPr>
            <w:r>
              <w:rPr>
                <w:rFonts w:cs="Arial"/>
              </w:rPr>
              <w:lastRenderedPageBreak/>
              <w:t>Non-cancerous disease endpoints</w:t>
            </w:r>
          </w:p>
        </w:tc>
        <w:tc>
          <w:tcPr>
            <w:tcW w:w="818" w:type="pct"/>
            <w:vAlign w:val="top"/>
          </w:tcPr>
          <w:p w14:paraId="3DF11C11" w14:textId="77777777" w:rsidR="000C111F" w:rsidRPr="000D78AF" w:rsidRDefault="000C111F" w:rsidP="00FA11C2">
            <w:pPr>
              <w:pStyle w:val="Tabletext"/>
            </w:pPr>
            <w:bookmarkStart w:id="10" w:name="_Hlk100051774"/>
            <w:r w:rsidRPr="6B5AEBB7">
              <w:rPr>
                <w:rFonts w:cs="Arial"/>
              </w:rPr>
              <w:t xml:space="preserve">Monitor the prevalence of screen-detected cervical abnormalities </w:t>
            </w:r>
            <w:bookmarkEnd w:id="10"/>
          </w:p>
        </w:tc>
        <w:tc>
          <w:tcPr>
            <w:tcW w:w="2455" w:type="pct"/>
            <w:vAlign w:val="top"/>
          </w:tcPr>
          <w:p w14:paraId="65CE7FE1" w14:textId="07FDFB0F" w:rsidR="000C111F" w:rsidRPr="000C111F" w:rsidRDefault="000C111F" w:rsidP="00FA11C2">
            <w:pPr>
              <w:pStyle w:val="Tabletext"/>
              <w:rPr>
                <w:rFonts w:eastAsia="Arial" w:cs="Arial"/>
              </w:rPr>
            </w:pPr>
            <w:r w:rsidRPr="002A7ED8">
              <w:rPr>
                <w:rFonts w:eastAsia="Arial" w:cs="Arial"/>
              </w:rPr>
              <w:t xml:space="preserve">Detection of high-grade abnormalities provides an opportunity for treatment before cancer can develop. The NCSP aims to detect </w:t>
            </w:r>
            <w:r>
              <w:rPr>
                <w:rFonts w:eastAsia="Arial" w:cs="Arial"/>
              </w:rPr>
              <w:t xml:space="preserve">and treat </w:t>
            </w:r>
            <w:r w:rsidRPr="002A7ED8">
              <w:rPr>
                <w:rFonts w:eastAsia="Arial" w:cs="Arial"/>
              </w:rPr>
              <w:t xml:space="preserve">high-grade </w:t>
            </w:r>
            <w:proofErr w:type="gramStart"/>
            <w:r>
              <w:rPr>
                <w:rFonts w:eastAsia="Arial" w:cs="Arial"/>
              </w:rPr>
              <w:t>in order</w:t>
            </w:r>
            <w:r w:rsidRPr="002A7ED8">
              <w:rPr>
                <w:rFonts w:eastAsia="Arial" w:cs="Arial"/>
              </w:rPr>
              <w:t xml:space="preserve"> to</w:t>
            </w:r>
            <w:proofErr w:type="gramEnd"/>
            <w:r w:rsidRPr="002A7ED8">
              <w:rPr>
                <w:rFonts w:eastAsia="Arial" w:cs="Arial"/>
              </w:rPr>
              <w:t xml:space="preserve"> reduce the incidence of cervical cancer.</w:t>
            </w:r>
          </w:p>
          <w:p w14:paraId="3E0CD46C" w14:textId="4DE19D0F" w:rsidR="000C111F" w:rsidRPr="002A7ED8" w:rsidRDefault="000C111F" w:rsidP="00FA11C2">
            <w:pPr>
              <w:pStyle w:val="Tabletext"/>
            </w:pPr>
            <w:r w:rsidRPr="002A7ED8">
              <w:rPr>
                <w:rFonts w:eastAsia="Arial" w:cs="Arial"/>
              </w:rPr>
              <w:t xml:space="preserve">Prior to the introduction of the renewed </w:t>
            </w:r>
            <w:r>
              <w:rPr>
                <w:rFonts w:eastAsia="Arial" w:cs="Arial"/>
              </w:rPr>
              <w:t>NCSP</w:t>
            </w:r>
            <w:r w:rsidRPr="002A7ED8">
              <w:rPr>
                <w:rFonts w:eastAsia="Arial" w:cs="Arial"/>
              </w:rPr>
              <w:t xml:space="preserve"> in 2017, detection of high-grade abnormalities in participants aged 25–29 years declined from 20.3 </w:t>
            </w:r>
            <w:r w:rsidRPr="002A7ED8">
              <w:rPr>
                <w:rFonts w:cs="Arial"/>
              </w:rPr>
              <w:t xml:space="preserve">per 1,000 participants screened </w:t>
            </w:r>
            <w:r w:rsidRPr="002A7ED8">
              <w:rPr>
                <w:rFonts w:eastAsia="Arial" w:cs="Arial"/>
              </w:rPr>
              <w:t>in 2013 to 15.9 in 2016. There were also modest declines for participants aged 30–34 years from 14.1 in 2014, to 13.5 in 2015 and to 12.6 in 2016.</w:t>
            </w:r>
          </w:p>
          <w:p w14:paraId="0D3E0C7A" w14:textId="77777777" w:rsidR="000C111F" w:rsidRDefault="000C111F" w:rsidP="00FA11C2">
            <w:pPr>
              <w:pStyle w:val="Tabletext"/>
              <w:rPr>
                <w:rFonts w:eastAsia="Arial" w:cs="Arial"/>
              </w:rPr>
            </w:pPr>
            <w:r w:rsidRPr="002A7ED8">
              <w:rPr>
                <w:rFonts w:eastAsia="Arial" w:cs="Arial"/>
              </w:rPr>
              <w:t>In 202</w:t>
            </w:r>
            <w:r>
              <w:rPr>
                <w:rFonts w:eastAsia="Arial" w:cs="Arial"/>
              </w:rPr>
              <w:t>2</w:t>
            </w:r>
            <w:r w:rsidRPr="002A7ED8">
              <w:rPr>
                <w:rFonts w:eastAsia="Arial" w:cs="Arial"/>
              </w:rPr>
              <w:t xml:space="preserve">, </w:t>
            </w:r>
            <w:r>
              <w:rPr>
                <w:rFonts w:eastAsia="Arial" w:cs="Arial"/>
              </w:rPr>
              <w:t>14.2</w:t>
            </w:r>
            <w:r w:rsidRPr="002A7ED8">
              <w:rPr>
                <w:rFonts w:eastAsia="Arial" w:cs="Arial"/>
              </w:rPr>
              <w:t xml:space="preserve"> participants with a high-grade abnormality were detected per 1,000 participants screened in the target age group (25–74 years). The high-grade abnormality detection rate was highest for participants aged 30–34 years (</w:t>
            </w:r>
            <w:r>
              <w:rPr>
                <w:rFonts w:eastAsia="Arial" w:cs="Arial"/>
              </w:rPr>
              <w:t>22.4</w:t>
            </w:r>
            <w:r w:rsidRPr="002A7ED8">
              <w:rPr>
                <w:rFonts w:eastAsia="Arial" w:cs="Arial"/>
              </w:rPr>
              <w:t xml:space="preserve"> per 1,000) (AIHW 202</w:t>
            </w:r>
            <w:r>
              <w:rPr>
                <w:rFonts w:eastAsia="Arial" w:cs="Arial"/>
              </w:rPr>
              <w:t>3</w:t>
            </w:r>
            <w:r w:rsidRPr="002A7ED8">
              <w:rPr>
                <w:rFonts w:eastAsia="Arial" w:cs="Arial"/>
              </w:rPr>
              <w:t>).</w:t>
            </w:r>
          </w:p>
          <w:p w14:paraId="2071649C" w14:textId="77777777" w:rsidR="000C111F" w:rsidRPr="000D78AF" w:rsidRDefault="000C111F" w:rsidP="00FA11C2">
            <w:pPr>
              <w:pStyle w:val="Tabletext"/>
            </w:pPr>
            <w:r>
              <w:rPr>
                <w:rFonts w:eastAsia="Arial" w:cs="Arial"/>
              </w:rPr>
              <w:t>On 1 December 2017, Australia moved to a new NCSP which uses primary HPV nucleic acid testing (NAT) followed by reflex liquid-based cytology, this has resulted in higher rates of detection due to the increased sensitivity of HPV-based screening (Hawkes 2018, AIHW 2022).</w:t>
            </w:r>
          </w:p>
        </w:tc>
        <w:tc>
          <w:tcPr>
            <w:tcW w:w="1320" w:type="pct"/>
            <w:vAlign w:val="top"/>
          </w:tcPr>
          <w:p w14:paraId="22E0D35A" w14:textId="18926A6A" w:rsidR="000C111F" w:rsidRPr="008C4020" w:rsidRDefault="000C111F" w:rsidP="00FA11C2">
            <w:pPr>
              <w:pStyle w:val="Tabletext"/>
            </w:pPr>
            <w:r w:rsidRPr="005B452C">
              <w:rPr>
                <w:rStyle w:val="Strong"/>
              </w:rPr>
              <w:t>Objective included</w:t>
            </w:r>
            <w:r w:rsidRPr="008C4020">
              <w:t>.</w:t>
            </w:r>
          </w:p>
          <w:p w14:paraId="2618E542" w14:textId="7C686B0E" w:rsidR="000C111F" w:rsidRPr="000D78AF" w:rsidRDefault="000C111F" w:rsidP="00FA11C2">
            <w:pPr>
              <w:pStyle w:val="Tabletext"/>
            </w:pPr>
            <w:r>
              <w:rPr>
                <w:lang w:eastAsia="en-US"/>
              </w:rPr>
              <w:t xml:space="preserve">See </w:t>
            </w:r>
            <w:hyperlink w:anchor="_Monitor_the_prevalence_1" w:history="1">
              <w:r w:rsidRPr="00D15279">
                <w:rPr>
                  <w:rStyle w:val="Hyperlink"/>
                  <w:lang w:eastAsia="en-US"/>
                </w:rPr>
                <w:t>section 3.3</w:t>
              </w:r>
            </w:hyperlink>
            <w:r w:rsidRPr="00D15279">
              <w:rPr>
                <w:lang w:eastAsia="en-US"/>
              </w:rPr>
              <w:t>.</w:t>
            </w:r>
          </w:p>
        </w:tc>
      </w:tr>
      <w:tr w:rsidR="000C111F" w:rsidRPr="000D78AF" w14:paraId="5FBED8F5" w14:textId="77777777" w:rsidTr="0086146C">
        <w:trPr>
          <w:cnfStyle w:val="000000100000" w:firstRow="0" w:lastRow="0" w:firstColumn="0" w:lastColumn="0" w:oddVBand="0" w:evenVBand="0" w:oddHBand="1" w:evenHBand="0" w:firstRowFirstColumn="0" w:firstRowLastColumn="0" w:lastRowFirstColumn="0" w:lastRowLastColumn="0"/>
          <w:cantSplit/>
          <w:trHeight w:val="43"/>
        </w:trPr>
        <w:tc>
          <w:tcPr>
            <w:tcW w:w="408" w:type="pct"/>
            <w:vAlign w:val="top"/>
          </w:tcPr>
          <w:p w14:paraId="77BABDDD" w14:textId="77777777" w:rsidR="000C111F" w:rsidRDefault="000C111F" w:rsidP="00FA11C2">
            <w:pPr>
              <w:pStyle w:val="Tabletext"/>
              <w:rPr>
                <w:rFonts w:cs="Arial"/>
              </w:rPr>
            </w:pPr>
            <w:r>
              <w:rPr>
                <w:rFonts w:cs="Arial"/>
              </w:rPr>
              <w:t>Non-cancerous disease endpoints</w:t>
            </w:r>
          </w:p>
        </w:tc>
        <w:tc>
          <w:tcPr>
            <w:tcW w:w="818" w:type="pct"/>
            <w:vAlign w:val="top"/>
          </w:tcPr>
          <w:p w14:paraId="5212B594" w14:textId="77777777" w:rsidR="000C111F" w:rsidRPr="6B5AEBB7" w:rsidRDefault="000C111F" w:rsidP="00FA11C2">
            <w:pPr>
              <w:pStyle w:val="Tabletext"/>
              <w:rPr>
                <w:rFonts w:cs="Arial"/>
              </w:rPr>
            </w:pPr>
            <w:r w:rsidRPr="3B2FDA41">
              <w:rPr>
                <w:rFonts w:cs="Arial"/>
              </w:rPr>
              <w:t>Monitor the distribution of HPV genotypes detected in high-grade cervical lesions</w:t>
            </w:r>
          </w:p>
        </w:tc>
        <w:tc>
          <w:tcPr>
            <w:tcW w:w="2455" w:type="pct"/>
            <w:vAlign w:val="top"/>
          </w:tcPr>
          <w:p w14:paraId="32CCD6FE" w14:textId="77777777" w:rsidR="000C111F" w:rsidRPr="002A7ED8" w:rsidRDefault="000C111F" w:rsidP="00FA11C2">
            <w:pPr>
              <w:pStyle w:val="Tabletext"/>
              <w:rPr>
                <w:rFonts w:eastAsia="Arial" w:cs="Arial"/>
              </w:rPr>
            </w:pPr>
            <w:r w:rsidRPr="4EED8B0A">
              <w:rPr>
                <w:rFonts w:cs="Arial"/>
              </w:rPr>
              <w:t>The National Cancer Screening Register (NCSR) records HPV result for screening HPV tests and histopathology results for those who go on to biopsy. This means that screening HPV result can be reported for those diagnosed with high grade lesions, although most assays do not report to the individual genotype level. There will be a high but imperfect correlation between the screening HPV test type and the HPV causing the lesion/s, currently there is no routine or ongoing analysis of these data nor ongoing surveillance using HPV typing of high-grade lesions (Callegari E et al. 2014, Cornall et al. 202</w:t>
            </w:r>
            <w:r>
              <w:rPr>
                <w:rFonts w:cs="Arial"/>
              </w:rPr>
              <w:t>0</w:t>
            </w:r>
            <w:r w:rsidRPr="4EED8B0A">
              <w:rPr>
                <w:rFonts w:cs="Arial"/>
              </w:rPr>
              <w:t>)</w:t>
            </w:r>
            <w:r>
              <w:rPr>
                <w:rFonts w:cs="Arial"/>
              </w:rPr>
              <w:t>.</w:t>
            </w:r>
          </w:p>
        </w:tc>
        <w:tc>
          <w:tcPr>
            <w:tcW w:w="1320" w:type="pct"/>
            <w:vAlign w:val="top"/>
          </w:tcPr>
          <w:p w14:paraId="502CE894" w14:textId="7E7F08B9" w:rsidR="000C111F" w:rsidRPr="00CD10C1" w:rsidRDefault="000C111F" w:rsidP="00FA11C2">
            <w:pPr>
              <w:pStyle w:val="Tabletext"/>
            </w:pPr>
            <w:r w:rsidRPr="005B452C">
              <w:rPr>
                <w:rStyle w:val="Strong"/>
              </w:rPr>
              <w:t>Objective included</w:t>
            </w:r>
            <w:r w:rsidRPr="00CD10C1">
              <w:t>.</w:t>
            </w:r>
          </w:p>
          <w:p w14:paraId="65E365A2" w14:textId="1B2D87E7" w:rsidR="000C111F" w:rsidRPr="0014344E" w:rsidRDefault="000C111F" w:rsidP="00FA11C2">
            <w:pPr>
              <w:pStyle w:val="Tabletext"/>
            </w:pPr>
            <w:r w:rsidRPr="0014344E">
              <w:t xml:space="preserve">See </w:t>
            </w:r>
            <w:hyperlink w:anchor="_3.4._Monitor_the" w:history="1">
              <w:r w:rsidRPr="0014344E">
                <w:rPr>
                  <w:rStyle w:val="Hyperlink"/>
                </w:rPr>
                <w:t>section 3.4</w:t>
              </w:r>
            </w:hyperlink>
            <w:r w:rsidRPr="0014344E">
              <w:t>.</w:t>
            </w:r>
          </w:p>
        </w:tc>
      </w:tr>
      <w:tr w:rsidR="000C111F" w:rsidRPr="000D78AF" w14:paraId="257F0908" w14:textId="77777777" w:rsidTr="0086146C">
        <w:trPr>
          <w:cantSplit/>
          <w:trHeight w:val="2635"/>
        </w:trPr>
        <w:tc>
          <w:tcPr>
            <w:tcW w:w="408" w:type="pct"/>
            <w:vAlign w:val="top"/>
          </w:tcPr>
          <w:p w14:paraId="3796186E" w14:textId="77777777" w:rsidR="000C111F" w:rsidRDefault="000C111F" w:rsidP="00FA11C2">
            <w:pPr>
              <w:pStyle w:val="Tabletext"/>
              <w:rPr>
                <w:rFonts w:cs="Arial"/>
              </w:rPr>
            </w:pPr>
            <w:r w:rsidRPr="00D070E3">
              <w:rPr>
                <w:rFonts w:cs="Arial"/>
              </w:rPr>
              <w:lastRenderedPageBreak/>
              <w:t>Cancer endpoints</w:t>
            </w:r>
          </w:p>
        </w:tc>
        <w:tc>
          <w:tcPr>
            <w:tcW w:w="818" w:type="pct"/>
            <w:vAlign w:val="top"/>
          </w:tcPr>
          <w:p w14:paraId="1433FD3E" w14:textId="77777777" w:rsidR="000C111F" w:rsidRPr="6B5AEBB7" w:rsidRDefault="000C111F" w:rsidP="00FA11C2">
            <w:pPr>
              <w:pStyle w:val="Tabletext"/>
              <w:rPr>
                <w:rFonts w:cs="Arial"/>
              </w:rPr>
            </w:pPr>
            <w:r w:rsidRPr="6B5AEBB7">
              <w:rPr>
                <w:rFonts w:cs="Arial"/>
              </w:rPr>
              <w:t xml:space="preserve">Monitor cervical cancer incidence and mortality </w:t>
            </w:r>
          </w:p>
        </w:tc>
        <w:tc>
          <w:tcPr>
            <w:tcW w:w="2455" w:type="pct"/>
            <w:vAlign w:val="top"/>
          </w:tcPr>
          <w:p w14:paraId="2986FFBA" w14:textId="77777777" w:rsidR="000C111F" w:rsidRPr="000C111F" w:rsidRDefault="000C111F" w:rsidP="00FA11C2">
            <w:pPr>
              <w:pStyle w:val="Tabletext"/>
              <w:rPr>
                <w:rFonts w:cs="Arial"/>
              </w:rPr>
            </w:pPr>
            <w:r w:rsidRPr="064956C4">
              <w:rPr>
                <w:rFonts w:eastAsia="Arial" w:cs="Arial"/>
              </w:rPr>
              <w:t>With the introduction of organised population-based</w:t>
            </w:r>
            <w:r>
              <w:t xml:space="preserve"> </w:t>
            </w:r>
            <w:r w:rsidRPr="064956C4">
              <w:rPr>
                <w:rFonts w:eastAsia="Arial" w:cs="Arial"/>
              </w:rPr>
              <w:t>cervical screening through the NCSP in 1991, the incidence of cervical cancer decreased from 20.2 new cases per 100,000 people aged 25–74 years in 1990 to 9.9 new cases per 100,000 people in 2002.  Incidence has since remained steady at 10</w:t>
            </w:r>
            <w:r w:rsidRPr="00CD10C1">
              <w:rPr>
                <w:rFonts w:eastAsia="Arial"/>
              </w:rPr>
              <w:t>–</w:t>
            </w:r>
            <w:r w:rsidRPr="064956C4">
              <w:rPr>
                <w:rFonts w:eastAsia="Arial" w:cs="Arial"/>
              </w:rPr>
              <w:t>11 cases per 100,000 from 2002 to 201</w:t>
            </w:r>
            <w:r>
              <w:rPr>
                <w:rFonts w:eastAsia="Arial" w:cs="Arial"/>
              </w:rPr>
              <w:t>9</w:t>
            </w:r>
            <w:r w:rsidRPr="064956C4">
              <w:rPr>
                <w:rFonts w:eastAsia="Arial" w:cs="Arial"/>
              </w:rPr>
              <w:t xml:space="preserve"> (AIHW 202</w:t>
            </w:r>
            <w:r>
              <w:rPr>
                <w:rFonts w:eastAsia="Arial" w:cs="Arial"/>
              </w:rPr>
              <w:t>3</w:t>
            </w:r>
            <w:r w:rsidRPr="064956C4">
              <w:rPr>
                <w:rFonts w:eastAsia="Arial" w:cs="Arial"/>
              </w:rPr>
              <w:t>).</w:t>
            </w:r>
          </w:p>
          <w:p w14:paraId="3B0D51FF" w14:textId="77777777" w:rsidR="000C111F" w:rsidRDefault="000C111F" w:rsidP="00FA11C2">
            <w:pPr>
              <w:pStyle w:val="Tabletext"/>
              <w:rPr>
                <w:rFonts w:eastAsia="Arial" w:cs="Arial"/>
              </w:rPr>
            </w:pPr>
            <w:r w:rsidRPr="3B2FDA41">
              <w:rPr>
                <w:rFonts w:eastAsia="Arial" w:cs="Arial"/>
              </w:rPr>
              <w:t>Cervical cancer mortality in Australia has followed a similar trend.  Cervical cancer mortality decreased from 5.6 deaths per 100,000 people aged 25–74 years in 1990 to 2.4 deaths per 100,000 people in 2002 and has since remained</w:t>
            </w:r>
            <w:r w:rsidR="00A7651D">
              <w:rPr>
                <w:rFonts w:eastAsia="Arial" w:cs="Arial"/>
              </w:rPr>
              <w:t xml:space="preserve"> </w:t>
            </w:r>
            <w:r w:rsidRPr="3B2FDA41">
              <w:rPr>
                <w:rFonts w:eastAsia="Arial" w:cs="Arial"/>
              </w:rPr>
              <w:t>steady between 2.0 and 2.5 deaths per 100,000 from 2002 to 202</w:t>
            </w:r>
            <w:r>
              <w:rPr>
                <w:rFonts w:eastAsia="Arial" w:cs="Arial"/>
              </w:rPr>
              <w:t>1</w:t>
            </w:r>
            <w:r w:rsidRPr="3B2FDA41">
              <w:rPr>
                <w:rFonts w:eastAsia="Arial" w:cs="Arial"/>
              </w:rPr>
              <w:t xml:space="preserve"> (AIHW 202</w:t>
            </w:r>
            <w:r>
              <w:rPr>
                <w:rFonts w:eastAsia="Arial" w:cs="Arial"/>
              </w:rPr>
              <w:t>3</w:t>
            </w:r>
            <w:r w:rsidRPr="3B2FDA41">
              <w:rPr>
                <w:rFonts w:eastAsia="Arial" w:cs="Arial"/>
              </w:rPr>
              <w:t>).</w:t>
            </w:r>
          </w:p>
          <w:p w14:paraId="090F6BCC" w14:textId="77777777" w:rsidR="000C111F" w:rsidRDefault="000C111F" w:rsidP="00FA11C2">
            <w:pPr>
              <w:pStyle w:val="Tabletext"/>
              <w:rPr>
                <w:rFonts w:eastAsia="Arial" w:cs="Arial"/>
              </w:rPr>
            </w:pPr>
            <w:r>
              <w:rPr>
                <w:rFonts w:eastAsia="Arial" w:cs="Arial"/>
              </w:rPr>
              <w:t xml:space="preserve">Aboriginal and Torres Strait Islander women are disproportionately represented in these data. Over the 5 years </w:t>
            </w:r>
            <w:r w:rsidRPr="00B52B20">
              <w:rPr>
                <w:rFonts w:eastAsia="Arial" w:cs="Arial"/>
              </w:rPr>
              <w:t>2014–2018</w:t>
            </w:r>
            <w:r>
              <w:rPr>
                <w:rFonts w:eastAsia="Arial" w:cs="Arial"/>
              </w:rPr>
              <w:t>, the age-standardised incidence and mortality rates were 2.0 and 3.8 times the rate of non-Indigenous Australians, respectively (AIHW 2022).</w:t>
            </w:r>
          </w:p>
          <w:p w14:paraId="2FA72184" w14:textId="77777777" w:rsidR="000C111F" w:rsidRPr="002A7ED8" w:rsidRDefault="000C111F" w:rsidP="00FA11C2">
            <w:pPr>
              <w:pStyle w:val="Tabletext"/>
              <w:rPr>
                <w:rFonts w:eastAsia="Arial" w:cs="Arial"/>
              </w:rPr>
            </w:pPr>
            <w:r w:rsidRPr="4EED8B0A">
              <w:rPr>
                <w:rFonts w:eastAsia="Arial" w:cs="Arial"/>
              </w:rPr>
              <w:t>The</w:t>
            </w:r>
            <w:r>
              <w:rPr>
                <w:rFonts w:eastAsia="Arial" w:cs="Arial"/>
              </w:rPr>
              <w:t>re is a lack of</w:t>
            </w:r>
            <w:r w:rsidRPr="4EED8B0A">
              <w:rPr>
                <w:rFonts w:eastAsia="Arial" w:cs="Arial"/>
              </w:rPr>
              <w:t xml:space="preserve"> timeliness </w:t>
            </w:r>
            <w:r>
              <w:rPr>
                <w:rFonts w:eastAsia="Arial" w:cs="Arial"/>
              </w:rPr>
              <w:t xml:space="preserve">in the </w:t>
            </w:r>
            <w:r w:rsidRPr="4EED8B0A">
              <w:rPr>
                <w:rFonts w:eastAsia="Arial" w:cs="Arial"/>
              </w:rPr>
              <w:t xml:space="preserve">Australian Cancer Database (ACD) </w:t>
            </w:r>
            <w:r>
              <w:rPr>
                <w:rFonts w:eastAsia="Arial" w:cs="Arial"/>
              </w:rPr>
              <w:t xml:space="preserve">with </w:t>
            </w:r>
            <w:r w:rsidRPr="4EED8B0A">
              <w:rPr>
                <w:rFonts w:eastAsia="Arial" w:cs="Arial"/>
              </w:rPr>
              <w:t xml:space="preserve">data currently </w:t>
            </w:r>
            <w:r>
              <w:rPr>
                <w:rFonts w:eastAsia="Arial" w:cs="Arial"/>
              </w:rPr>
              <w:t>lagged by</w:t>
            </w:r>
            <w:r w:rsidRPr="4EED8B0A">
              <w:rPr>
                <w:rFonts w:eastAsia="Arial" w:cs="Arial"/>
              </w:rPr>
              <w:t xml:space="preserve"> 5-year</w:t>
            </w:r>
            <w:r>
              <w:rPr>
                <w:rFonts w:eastAsia="Arial" w:cs="Arial"/>
              </w:rPr>
              <w:t>s</w:t>
            </w:r>
            <w:r w:rsidRPr="4EED8B0A">
              <w:rPr>
                <w:rFonts w:eastAsia="Arial" w:cs="Arial"/>
              </w:rPr>
              <w:t>, with modelled estimates provided in the remaining years.</w:t>
            </w:r>
          </w:p>
        </w:tc>
        <w:tc>
          <w:tcPr>
            <w:tcW w:w="1320" w:type="pct"/>
            <w:vAlign w:val="top"/>
          </w:tcPr>
          <w:p w14:paraId="36B60F22" w14:textId="6A7E9412" w:rsidR="000C111F" w:rsidRPr="008C4020" w:rsidRDefault="000C111F" w:rsidP="00FA11C2">
            <w:pPr>
              <w:pStyle w:val="Tabletext"/>
            </w:pPr>
            <w:r w:rsidRPr="005B452C">
              <w:rPr>
                <w:rStyle w:val="Strong"/>
              </w:rPr>
              <w:t>Objective included</w:t>
            </w:r>
            <w:r w:rsidRPr="008C4020">
              <w:t>.</w:t>
            </w:r>
          </w:p>
          <w:p w14:paraId="016F4A38" w14:textId="6AAC6AF0" w:rsidR="000C111F" w:rsidRPr="0014344E" w:rsidRDefault="000C111F" w:rsidP="00FA11C2">
            <w:pPr>
              <w:pStyle w:val="Tabletext"/>
            </w:pPr>
            <w:r w:rsidRPr="0014344E">
              <w:t xml:space="preserve">See </w:t>
            </w:r>
            <w:hyperlink w:anchor="_4.1._Monitor_cervical" w:history="1">
              <w:r w:rsidRPr="0014344E">
                <w:rPr>
                  <w:rStyle w:val="Hyperlink"/>
                </w:rPr>
                <w:t>section 4.1</w:t>
              </w:r>
            </w:hyperlink>
            <w:r w:rsidRPr="0014344E">
              <w:t>.</w:t>
            </w:r>
          </w:p>
        </w:tc>
      </w:tr>
      <w:tr w:rsidR="000C111F" w:rsidRPr="000D78AF" w14:paraId="5AC3B8C7" w14:textId="77777777" w:rsidTr="0086146C">
        <w:trPr>
          <w:cnfStyle w:val="000000100000" w:firstRow="0" w:lastRow="0" w:firstColumn="0" w:lastColumn="0" w:oddVBand="0" w:evenVBand="0" w:oddHBand="1" w:evenHBand="0" w:firstRowFirstColumn="0" w:firstRowLastColumn="0" w:lastRowFirstColumn="0" w:lastRowLastColumn="0"/>
          <w:cantSplit/>
          <w:trHeight w:val="43"/>
        </w:trPr>
        <w:tc>
          <w:tcPr>
            <w:tcW w:w="408" w:type="pct"/>
            <w:vAlign w:val="top"/>
          </w:tcPr>
          <w:p w14:paraId="158A44B6" w14:textId="77777777" w:rsidR="000C111F" w:rsidRDefault="000C111F" w:rsidP="00FA11C2">
            <w:pPr>
              <w:pStyle w:val="Tabletext"/>
              <w:rPr>
                <w:rFonts w:cs="Arial"/>
              </w:rPr>
            </w:pPr>
            <w:r>
              <w:rPr>
                <w:rFonts w:cs="Arial"/>
              </w:rPr>
              <w:lastRenderedPageBreak/>
              <w:t>Cancer endpoints</w:t>
            </w:r>
          </w:p>
        </w:tc>
        <w:tc>
          <w:tcPr>
            <w:tcW w:w="818" w:type="pct"/>
            <w:vAlign w:val="top"/>
          </w:tcPr>
          <w:p w14:paraId="747AC00F" w14:textId="77777777" w:rsidR="000C111F" w:rsidRPr="6B5AEBB7" w:rsidRDefault="000C111F" w:rsidP="00FA11C2">
            <w:pPr>
              <w:pStyle w:val="Tabletext"/>
              <w:rPr>
                <w:rFonts w:cs="Arial"/>
              </w:rPr>
            </w:pPr>
            <w:r w:rsidRPr="00D070E3">
              <w:rPr>
                <w:rFonts w:cs="Arial"/>
              </w:rPr>
              <w:t>Monitor anogenital and oropharyngeal cancer incidence and mortality</w:t>
            </w:r>
          </w:p>
        </w:tc>
        <w:tc>
          <w:tcPr>
            <w:tcW w:w="2455" w:type="pct"/>
            <w:vAlign w:val="top"/>
          </w:tcPr>
          <w:p w14:paraId="24270204" w14:textId="77777777" w:rsidR="000C111F" w:rsidRDefault="000C111F" w:rsidP="00FA11C2">
            <w:pPr>
              <w:pStyle w:val="Tabletext"/>
              <w:rPr>
                <w:rFonts w:cs="Arial"/>
              </w:rPr>
            </w:pPr>
            <w:r w:rsidRPr="3B2FDA41">
              <w:rPr>
                <w:rFonts w:cs="Arial"/>
              </w:rPr>
              <w:t>In contrast with trends in cervical cancer rates, anal cancer incidence increased in Australia between 1982 and 2005 for both m</w:t>
            </w:r>
            <w:r>
              <w:rPr>
                <w:rFonts w:cs="Arial"/>
              </w:rPr>
              <w:t>ales</w:t>
            </w:r>
            <w:r w:rsidRPr="3B2FDA41">
              <w:rPr>
                <w:rFonts w:cs="Arial"/>
              </w:rPr>
              <w:t xml:space="preserve"> and </w:t>
            </w:r>
            <w:r>
              <w:rPr>
                <w:rFonts w:cs="Arial"/>
              </w:rPr>
              <w:t>females</w:t>
            </w:r>
            <w:r w:rsidRPr="3B2FDA41">
              <w:rPr>
                <w:rFonts w:cs="Arial"/>
              </w:rPr>
              <w:t xml:space="preserve"> (from 0.6 to 1.5 per 100,000 per year and from 1.0 to 1.7 per 100,000 per year, respectively). However, age-standardised incidence rates </w:t>
            </w:r>
            <w:r>
              <w:rPr>
                <w:rFonts w:cs="Arial"/>
              </w:rPr>
              <w:t>have plateaued between 2015 and</w:t>
            </w:r>
            <w:r w:rsidRPr="3B2FDA41">
              <w:rPr>
                <w:rFonts w:cs="Arial"/>
              </w:rPr>
              <w:t xml:space="preserve"> 20</w:t>
            </w:r>
            <w:r>
              <w:rPr>
                <w:rFonts w:cs="Arial"/>
              </w:rPr>
              <w:t>19</w:t>
            </w:r>
            <w:r w:rsidRPr="3B2FDA41">
              <w:rPr>
                <w:rFonts w:cs="Arial"/>
              </w:rPr>
              <w:t xml:space="preserve">, </w:t>
            </w:r>
            <w:r>
              <w:rPr>
                <w:rFonts w:cs="Arial"/>
              </w:rPr>
              <w:t xml:space="preserve">which rates still low in 2019 </w:t>
            </w:r>
            <w:r w:rsidRPr="3B2FDA41">
              <w:rPr>
                <w:rFonts w:cs="Arial"/>
              </w:rPr>
              <w:t>at 1.</w:t>
            </w:r>
            <w:r>
              <w:rPr>
                <w:rFonts w:cs="Arial"/>
              </w:rPr>
              <w:t>4</w:t>
            </w:r>
            <w:r w:rsidRPr="3B2FDA41">
              <w:rPr>
                <w:rFonts w:cs="Arial"/>
              </w:rPr>
              <w:t xml:space="preserve"> for m</w:t>
            </w:r>
            <w:r>
              <w:rPr>
                <w:rFonts w:cs="Arial"/>
              </w:rPr>
              <w:t>ales</w:t>
            </w:r>
            <w:r w:rsidRPr="3B2FDA41">
              <w:rPr>
                <w:rFonts w:cs="Arial"/>
              </w:rPr>
              <w:t xml:space="preserve"> and </w:t>
            </w:r>
            <w:r>
              <w:rPr>
                <w:rFonts w:cs="Arial"/>
              </w:rPr>
              <w:t xml:space="preserve">2.1 </w:t>
            </w:r>
            <w:r w:rsidRPr="3B2FDA41">
              <w:rPr>
                <w:rFonts w:cs="Arial"/>
              </w:rPr>
              <w:t xml:space="preserve">for </w:t>
            </w:r>
            <w:r>
              <w:rPr>
                <w:rFonts w:cs="Arial"/>
              </w:rPr>
              <w:t>females (AIHW 2022).</w:t>
            </w:r>
            <w:r w:rsidRPr="3B2FDA41">
              <w:rPr>
                <w:rFonts w:cs="Arial"/>
              </w:rPr>
              <w:t xml:space="preserve">  </w:t>
            </w:r>
          </w:p>
          <w:p w14:paraId="07850762" w14:textId="77777777" w:rsidR="000C111F" w:rsidRPr="00D070E3" w:rsidRDefault="000C111F" w:rsidP="00FA11C2">
            <w:pPr>
              <w:pStyle w:val="Tabletext"/>
              <w:rPr>
                <w:rFonts w:cs="Arial"/>
              </w:rPr>
            </w:pPr>
            <w:r w:rsidRPr="002A7ED8">
              <w:rPr>
                <w:rFonts w:cs="Arial"/>
              </w:rPr>
              <w:t xml:space="preserve">Certain population groups are known to have higher than average anal cancer risk, namely persons living with HIV, men who have sex with men, </w:t>
            </w:r>
            <w:r>
              <w:rPr>
                <w:rFonts w:cs="Arial"/>
              </w:rPr>
              <w:t>females</w:t>
            </w:r>
            <w:r w:rsidRPr="002A7ED8">
              <w:rPr>
                <w:rFonts w:cs="Arial"/>
              </w:rPr>
              <w:t xml:space="preserve"> diagnosed with HPV-related gynaecological precancerous lesions or cancer, solid organ transplant recipients (SOTRs) and patients with autoimmune diseases (Clifford GM et al. 2021)</w:t>
            </w:r>
          </w:p>
          <w:p w14:paraId="1578E95C" w14:textId="77777777" w:rsidR="000C111F" w:rsidRPr="000C111F" w:rsidRDefault="000C111F" w:rsidP="00FA11C2">
            <w:pPr>
              <w:pStyle w:val="Tabletext"/>
              <w:rPr>
                <w:rFonts w:cs="Arial"/>
              </w:rPr>
            </w:pPr>
            <w:r w:rsidRPr="600930D2">
              <w:rPr>
                <w:rFonts w:cs="Arial"/>
              </w:rPr>
              <w:t xml:space="preserve">Cancers of the penis, </w:t>
            </w:r>
            <w:r>
              <w:rPr>
                <w:rFonts w:cs="Arial"/>
              </w:rPr>
              <w:t xml:space="preserve">anus, </w:t>
            </w:r>
            <w:r w:rsidRPr="600930D2">
              <w:rPr>
                <w:rFonts w:cs="Arial"/>
              </w:rPr>
              <w:t xml:space="preserve">vagina and vulva are rare in Australia and have varying proportions attributable to HPV (50%, </w:t>
            </w:r>
            <w:r>
              <w:rPr>
                <w:rFonts w:cs="Arial"/>
              </w:rPr>
              <w:t xml:space="preserve">85%, </w:t>
            </w:r>
            <w:r w:rsidRPr="600930D2">
              <w:rPr>
                <w:rFonts w:cs="Arial"/>
              </w:rPr>
              <w:t>70% and 40%, respectively), with their progression from HPV infection to cancer being less well understood than that for cervical cancer (</w:t>
            </w:r>
            <w:r>
              <w:rPr>
                <w:rFonts w:cs="Arial"/>
              </w:rPr>
              <w:t>Grulich</w:t>
            </w:r>
            <w:r w:rsidRPr="600930D2">
              <w:rPr>
                <w:rFonts w:cs="Arial"/>
              </w:rPr>
              <w:t xml:space="preserve"> et al. 201</w:t>
            </w:r>
            <w:r>
              <w:rPr>
                <w:rFonts w:cs="Arial"/>
              </w:rPr>
              <w:t>0</w:t>
            </w:r>
            <w:r w:rsidRPr="600930D2">
              <w:rPr>
                <w:rFonts w:cs="Arial"/>
              </w:rPr>
              <w:t>; AIHW 2021).</w:t>
            </w:r>
          </w:p>
        </w:tc>
        <w:tc>
          <w:tcPr>
            <w:tcW w:w="1320" w:type="pct"/>
            <w:vAlign w:val="top"/>
          </w:tcPr>
          <w:p w14:paraId="5B242F77" w14:textId="150361EA" w:rsidR="000C111F" w:rsidRPr="008C4020" w:rsidRDefault="000C111F" w:rsidP="00FA11C2">
            <w:pPr>
              <w:pStyle w:val="Tabletext"/>
            </w:pPr>
            <w:r w:rsidRPr="005B452C">
              <w:rPr>
                <w:rStyle w:val="Strong"/>
              </w:rPr>
              <w:t>Objective included</w:t>
            </w:r>
            <w:r w:rsidRPr="008C4020">
              <w:t>.</w:t>
            </w:r>
          </w:p>
          <w:p w14:paraId="163DC538" w14:textId="7C6D889E" w:rsidR="000C111F" w:rsidRPr="0014344E" w:rsidRDefault="000C111F" w:rsidP="00FA11C2">
            <w:pPr>
              <w:pStyle w:val="Tabletext"/>
            </w:pPr>
            <w:r w:rsidRPr="0014344E">
              <w:t xml:space="preserve">See </w:t>
            </w:r>
            <w:hyperlink w:anchor="_4.2._Monitor_anogenital" w:history="1">
              <w:r w:rsidRPr="0014344E">
                <w:rPr>
                  <w:rStyle w:val="Hyperlink"/>
                </w:rPr>
                <w:t>section 4.2</w:t>
              </w:r>
            </w:hyperlink>
            <w:r w:rsidRPr="0014344E">
              <w:t>.</w:t>
            </w:r>
          </w:p>
        </w:tc>
      </w:tr>
      <w:tr w:rsidR="000C111F" w:rsidRPr="000D78AF" w14:paraId="2C20B541" w14:textId="77777777" w:rsidTr="000A1D6E">
        <w:trPr>
          <w:cantSplit/>
          <w:trHeight w:val="43"/>
        </w:trPr>
        <w:tc>
          <w:tcPr>
            <w:tcW w:w="408" w:type="pct"/>
            <w:tcBorders>
              <w:bottom w:val="single" w:sz="6" w:space="0" w:color="00DCA1" w:themeColor="background2"/>
            </w:tcBorders>
            <w:vAlign w:val="top"/>
          </w:tcPr>
          <w:p w14:paraId="2194966B" w14:textId="77777777" w:rsidR="000C111F" w:rsidRDefault="000C111F" w:rsidP="00FA11C2">
            <w:pPr>
              <w:pStyle w:val="Tabletext"/>
              <w:rPr>
                <w:rFonts w:cs="Arial"/>
              </w:rPr>
            </w:pPr>
            <w:r>
              <w:rPr>
                <w:rFonts w:cs="Arial"/>
              </w:rPr>
              <w:t>Cancer endpoints</w:t>
            </w:r>
          </w:p>
        </w:tc>
        <w:tc>
          <w:tcPr>
            <w:tcW w:w="818" w:type="pct"/>
            <w:tcBorders>
              <w:bottom w:val="single" w:sz="6" w:space="0" w:color="00DCA1" w:themeColor="background2"/>
            </w:tcBorders>
            <w:vAlign w:val="top"/>
          </w:tcPr>
          <w:p w14:paraId="5C5B3E77" w14:textId="77777777" w:rsidR="000C111F" w:rsidRPr="6B5AEBB7" w:rsidRDefault="000C111F" w:rsidP="00FA11C2">
            <w:pPr>
              <w:pStyle w:val="Tabletext"/>
              <w:rPr>
                <w:rFonts w:cs="Arial"/>
              </w:rPr>
            </w:pPr>
            <w:r w:rsidRPr="00D070E3">
              <w:rPr>
                <w:rFonts w:cs="Arial"/>
              </w:rPr>
              <w:t xml:space="preserve">Monitor the distribution of HPV genotypes detected in cervical cancers </w:t>
            </w:r>
          </w:p>
        </w:tc>
        <w:tc>
          <w:tcPr>
            <w:tcW w:w="2455" w:type="pct"/>
            <w:tcBorders>
              <w:bottom w:val="single" w:sz="6" w:space="0" w:color="00DCA1" w:themeColor="background2"/>
            </w:tcBorders>
            <w:vAlign w:val="top"/>
          </w:tcPr>
          <w:p w14:paraId="337852E4" w14:textId="77777777" w:rsidR="000C111F" w:rsidRPr="00A7651D" w:rsidRDefault="000C111F" w:rsidP="00FA11C2">
            <w:pPr>
              <w:pStyle w:val="Tabletext"/>
              <w:rPr>
                <w:rFonts w:cs="Arial"/>
              </w:rPr>
            </w:pPr>
            <w:r w:rsidRPr="00D070E3">
              <w:rPr>
                <w:rFonts w:cs="Arial"/>
              </w:rPr>
              <w:t>Prior to Australia’s HPV vaccination program, cervical cancers in Australia, compared to international data, had slightly higher proportions of HPV 16/18 and slightly lower rates of HPV31/33/45/52/58 detected. This was likely due to Australia’s cervical screening program increasing the proportion of adenocarcinomas</w:t>
            </w:r>
            <w:r>
              <w:rPr>
                <w:rFonts w:cs="Arial"/>
              </w:rPr>
              <w:t xml:space="preserve"> detected</w:t>
            </w:r>
            <w:r w:rsidRPr="00D070E3">
              <w:rPr>
                <w:rFonts w:cs="Arial"/>
              </w:rPr>
              <w:t xml:space="preserve">, in which HPV 16/18 are more predominant, due to prevention of squamous cancers (Brotherton et al. 2017). </w:t>
            </w:r>
          </w:p>
        </w:tc>
        <w:tc>
          <w:tcPr>
            <w:tcW w:w="1320" w:type="pct"/>
            <w:tcBorders>
              <w:bottom w:val="single" w:sz="6" w:space="0" w:color="00DCA1" w:themeColor="background2"/>
            </w:tcBorders>
            <w:vAlign w:val="top"/>
          </w:tcPr>
          <w:p w14:paraId="624B227D" w14:textId="10CE1AB8" w:rsidR="000C111F" w:rsidRPr="008C4020" w:rsidRDefault="000C111F" w:rsidP="00FA11C2">
            <w:pPr>
              <w:pStyle w:val="Tabletext"/>
            </w:pPr>
            <w:r w:rsidRPr="005B452C">
              <w:rPr>
                <w:rStyle w:val="Strong"/>
              </w:rPr>
              <w:t>Objective included</w:t>
            </w:r>
            <w:r w:rsidRPr="008C4020">
              <w:t>.</w:t>
            </w:r>
          </w:p>
          <w:p w14:paraId="777705A6" w14:textId="1BBE8BA1" w:rsidR="000C111F" w:rsidRPr="0014344E" w:rsidRDefault="000C111F" w:rsidP="00FA11C2">
            <w:pPr>
              <w:pStyle w:val="Tabletext"/>
            </w:pPr>
            <w:r w:rsidRPr="0014344E">
              <w:t xml:space="preserve">See </w:t>
            </w:r>
            <w:hyperlink w:anchor="_4.3._Monitor_the_1" w:history="1">
              <w:r w:rsidRPr="0014344E">
                <w:rPr>
                  <w:rStyle w:val="Hyperlink"/>
                </w:rPr>
                <w:t>section 4.3</w:t>
              </w:r>
            </w:hyperlink>
            <w:r w:rsidRPr="0014344E">
              <w:t>.</w:t>
            </w:r>
          </w:p>
        </w:tc>
      </w:tr>
      <w:tr w:rsidR="000C111F" w:rsidRPr="000D78AF" w14:paraId="468A6161" w14:textId="77777777" w:rsidTr="000A1D6E">
        <w:trPr>
          <w:cnfStyle w:val="000000100000" w:firstRow="0" w:lastRow="0" w:firstColumn="0" w:lastColumn="0" w:oddVBand="0" w:evenVBand="0" w:oddHBand="1" w:evenHBand="0" w:firstRowFirstColumn="0" w:firstRowLastColumn="0" w:lastRowFirstColumn="0" w:lastRowLastColumn="0"/>
          <w:cantSplit/>
          <w:trHeight w:val="43"/>
        </w:trPr>
        <w:tc>
          <w:tcPr>
            <w:tcW w:w="408" w:type="pct"/>
            <w:tcBorders>
              <w:top w:val="single" w:sz="6" w:space="0" w:color="00DCA1" w:themeColor="background2"/>
            </w:tcBorders>
            <w:vAlign w:val="top"/>
          </w:tcPr>
          <w:p w14:paraId="7DD65381" w14:textId="77777777" w:rsidR="000C111F" w:rsidRDefault="000C111F" w:rsidP="00FA11C2">
            <w:pPr>
              <w:pStyle w:val="Tabletext"/>
              <w:rPr>
                <w:rFonts w:cs="Arial"/>
              </w:rPr>
            </w:pPr>
            <w:r>
              <w:rPr>
                <w:rFonts w:cs="Arial"/>
              </w:rPr>
              <w:lastRenderedPageBreak/>
              <w:t>Cancer endpoints</w:t>
            </w:r>
          </w:p>
        </w:tc>
        <w:tc>
          <w:tcPr>
            <w:tcW w:w="818" w:type="pct"/>
            <w:tcBorders>
              <w:top w:val="single" w:sz="6" w:space="0" w:color="00DCA1" w:themeColor="background2"/>
            </w:tcBorders>
            <w:vAlign w:val="top"/>
          </w:tcPr>
          <w:p w14:paraId="224E745A" w14:textId="77777777" w:rsidR="000C111F" w:rsidRPr="00D070E3" w:rsidRDefault="000C111F" w:rsidP="00FA11C2">
            <w:pPr>
              <w:pStyle w:val="Tabletext"/>
              <w:rPr>
                <w:rFonts w:cs="Arial"/>
              </w:rPr>
            </w:pPr>
            <w:r w:rsidRPr="00D070E3">
              <w:rPr>
                <w:rFonts w:cs="Arial"/>
              </w:rPr>
              <w:t xml:space="preserve">Monitor the distribution of HPV genotypes detected in anogenital and oropharyngeal cancers </w:t>
            </w:r>
          </w:p>
        </w:tc>
        <w:tc>
          <w:tcPr>
            <w:tcW w:w="2455" w:type="pct"/>
            <w:tcBorders>
              <w:top w:val="single" w:sz="6" w:space="0" w:color="00DCA1" w:themeColor="background2"/>
            </w:tcBorders>
            <w:vAlign w:val="top"/>
          </w:tcPr>
          <w:p w14:paraId="36D2572B" w14:textId="77777777" w:rsidR="000C111F" w:rsidRPr="00D070E3" w:rsidRDefault="000C111F" w:rsidP="00FA11C2">
            <w:pPr>
              <w:pStyle w:val="Tabletext"/>
              <w:rPr>
                <w:rFonts w:cs="Arial"/>
              </w:rPr>
            </w:pPr>
            <w:r w:rsidRPr="36CD525F">
              <w:rPr>
                <w:rFonts w:cs="Arial"/>
              </w:rPr>
              <w:t xml:space="preserve">The distribution of HPV genotypes detected in anogenital, and oropharyngeal cancers has not been routinely analysed in Australia.  </w:t>
            </w:r>
            <w:r w:rsidRPr="00CD10C1">
              <w:t xml:space="preserve">A retrospective Australian study testing 112 anal cancer specimens obtained between 1999 and 2009 reported that 90% were caused by 4vHPV types, with HPV 16 being </w:t>
            </w:r>
            <w:proofErr w:type="gramStart"/>
            <w:r w:rsidRPr="00CD10C1">
              <w:t>most commonly detected</w:t>
            </w:r>
            <w:proofErr w:type="gramEnd"/>
            <w:r w:rsidRPr="00CD10C1">
              <w:t xml:space="preserve"> (75%). 9vHPV types were detected in 96% of the samples, implying that nearly all HPV-associated anal cancer cases may be potentially preventable with 9vHPV vaccine (Patel et al. 2018).</w:t>
            </w:r>
          </w:p>
        </w:tc>
        <w:tc>
          <w:tcPr>
            <w:tcW w:w="1320" w:type="pct"/>
            <w:tcBorders>
              <w:top w:val="single" w:sz="6" w:space="0" w:color="00DCA1" w:themeColor="background2"/>
            </w:tcBorders>
            <w:vAlign w:val="top"/>
          </w:tcPr>
          <w:p w14:paraId="0CF1AB0D" w14:textId="4DE3AFED" w:rsidR="000C111F" w:rsidRPr="008C4020" w:rsidRDefault="000C111F" w:rsidP="00FA11C2">
            <w:pPr>
              <w:pStyle w:val="Tabletext"/>
            </w:pPr>
            <w:r w:rsidRPr="005B452C">
              <w:rPr>
                <w:rStyle w:val="Strong"/>
              </w:rPr>
              <w:t>Objective included</w:t>
            </w:r>
            <w:r w:rsidRPr="008C4020">
              <w:t>.</w:t>
            </w:r>
          </w:p>
          <w:p w14:paraId="2E3BC892" w14:textId="0AEB3657" w:rsidR="000C111F" w:rsidRPr="00AD039E" w:rsidRDefault="000C111F" w:rsidP="00FA11C2">
            <w:pPr>
              <w:pStyle w:val="Tabletext"/>
              <w:rPr>
                <w:rFonts w:cs="Arial"/>
                <w:b/>
                <w:bCs/>
              </w:rPr>
            </w:pPr>
            <w:r>
              <w:rPr>
                <w:rFonts w:cs="Arial"/>
              </w:rPr>
              <w:t xml:space="preserve">See </w:t>
            </w:r>
            <w:hyperlink w:anchor="_4.4._Monitor_the" w:history="1">
              <w:r w:rsidRPr="00D15279">
                <w:rPr>
                  <w:rStyle w:val="Hyperlink"/>
                  <w:rFonts w:cs="Arial"/>
                </w:rPr>
                <w:t>section 4.4</w:t>
              </w:r>
            </w:hyperlink>
            <w:r w:rsidRPr="00D15279">
              <w:rPr>
                <w:rFonts w:cs="Arial"/>
              </w:rPr>
              <w:t>.</w:t>
            </w:r>
          </w:p>
        </w:tc>
      </w:tr>
    </w:tbl>
    <w:p w14:paraId="45C6A5FF" w14:textId="77777777" w:rsidR="00121E5A" w:rsidRPr="00192F08" w:rsidRDefault="00121E5A" w:rsidP="00192F08"/>
    <w:p w14:paraId="70DB06B8" w14:textId="77777777" w:rsidR="00121E5A" w:rsidRDefault="00121E5A" w:rsidP="001C3090">
      <w:pPr>
        <w:sectPr w:rsidR="00121E5A" w:rsidSect="005B452C">
          <w:footerReference w:type="default" r:id="rId30"/>
          <w:pgSz w:w="16840" w:h="11900" w:orient="landscape" w:code="9"/>
          <w:pgMar w:top="1474" w:right="1474" w:bottom="936" w:left="1474" w:header="709" w:footer="425" w:gutter="0"/>
          <w:cols w:space="708"/>
          <w:docGrid w:linePitch="360"/>
        </w:sectPr>
      </w:pPr>
    </w:p>
    <w:p w14:paraId="1D9DADF1" w14:textId="77777777" w:rsidR="0090477D" w:rsidRDefault="00B34802" w:rsidP="002C2638">
      <w:pPr>
        <w:pStyle w:val="Heading1"/>
      </w:pPr>
      <w:bookmarkStart w:id="11" w:name="_Toc232507532"/>
      <w:r>
        <w:lastRenderedPageBreak/>
        <w:t>Abbreviations</w:t>
      </w:r>
      <w:bookmarkEnd w:id="11"/>
    </w:p>
    <w:tbl>
      <w:tblPr>
        <w:tblStyle w:val="TableGrid"/>
        <w:tblW w:w="5000" w:type="pct"/>
        <w:tblLook w:val="04A0" w:firstRow="1" w:lastRow="0" w:firstColumn="1" w:lastColumn="0" w:noHBand="0" w:noVBand="1"/>
      </w:tblPr>
      <w:tblGrid>
        <w:gridCol w:w="1407"/>
        <w:gridCol w:w="8352"/>
      </w:tblGrid>
      <w:tr w:rsidR="006C3FA9" w:rsidRPr="000A1D6E" w14:paraId="79B6EFC7" w14:textId="77777777" w:rsidTr="007C5A8E">
        <w:trPr>
          <w:cnfStyle w:val="100000000000" w:firstRow="1" w:lastRow="0" w:firstColumn="0" w:lastColumn="0" w:oddVBand="0" w:evenVBand="0" w:oddHBand="0" w:evenHBand="0" w:firstRowFirstColumn="0" w:firstRowLastColumn="0" w:lastRowFirstColumn="0" w:lastRowLastColumn="0"/>
        </w:trPr>
        <w:tc>
          <w:tcPr>
            <w:tcW w:w="721" w:type="pct"/>
            <w:vAlign w:val="top"/>
          </w:tcPr>
          <w:p w14:paraId="56F0B8E5" w14:textId="77777777" w:rsidR="006C3FA9" w:rsidRPr="000A1D6E" w:rsidRDefault="006C3FA9" w:rsidP="007C5A8E">
            <w:pPr>
              <w:pStyle w:val="Tableheaderrowblack"/>
            </w:pPr>
            <w:r w:rsidRPr="000A1D6E">
              <w:t>ABS</w:t>
            </w:r>
          </w:p>
        </w:tc>
        <w:tc>
          <w:tcPr>
            <w:tcW w:w="4279" w:type="pct"/>
            <w:vAlign w:val="top"/>
          </w:tcPr>
          <w:p w14:paraId="244D27A0" w14:textId="77777777" w:rsidR="006C3FA9" w:rsidRPr="000A1D6E" w:rsidRDefault="006C3FA9" w:rsidP="007C5A8E">
            <w:pPr>
              <w:pStyle w:val="Tableheaderrowblack"/>
            </w:pPr>
            <w:r w:rsidRPr="000A1D6E">
              <w:t>Australian Bureau of Statistics</w:t>
            </w:r>
          </w:p>
        </w:tc>
      </w:tr>
      <w:tr w:rsidR="006C3FA9" w:rsidRPr="000A1D6E" w14:paraId="3BCC0F04"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7A199216" w14:textId="77777777" w:rsidR="006C3FA9" w:rsidRPr="000A1D6E" w:rsidRDefault="006C3FA9" w:rsidP="007C5A8E">
            <w:pPr>
              <w:pStyle w:val="Tabletext"/>
            </w:pPr>
            <w:r w:rsidRPr="000A1D6E">
              <w:t>ACD</w:t>
            </w:r>
          </w:p>
        </w:tc>
        <w:tc>
          <w:tcPr>
            <w:tcW w:w="4279" w:type="pct"/>
            <w:vAlign w:val="top"/>
          </w:tcPr>
          <w:p w14:paraId="47736A6F" w14:textId="77777777" w:rsidR="006C3FA9" w:rsidRPr="000A1D6E" w:rsidRDefault="006C3FA9" w:rsidP="007C5A8E">
            <w:pPr>
              <w:pStyle w:val="Tabletext"/>
            </w:pPr>
            <w:r w:rsidRPr="000A1D6E">
              <w:t>Australian Cancer Database</w:t>
            </w:r>
          </w:p>
        </w:tc>
      </w:tr>
      <w:tr w:rsidR="006C3FA9" w:rsidRPr="000A1D6E" w14:paraId="4E200302" w14:textId="77777777" w:rsidTr="007C5A8E">
        <w:tc>
          <w:tcPr>
            <w:tcW w:w="721" w:type="pct"/>
            <w:vAlign w:val="top"/>
          </w:tcPr>
          <w:p w14:paraId="1E68D104" w14:textId="77777777" w:rsidR="006C3FA9" w:rsidRPr="000A1D6E" w:rsidRDefault="006C3FA9" w:rsidP="007C5A8E">
            <w:pPr>
              <w:pStyle w:val="Tabletext"/>
            </w:pPr>
            <w:r w:rsidRPr="000A1D6E">
              <w:t>AIHW</w:t>
            </w:r>
          </w:p>
        </w:tc>
        <w:tc>
          <w:tcPr>
            <w:tcW w:w="4279" w:type="pct"/>
            <w:vAlign w:val="top"/>
          </w:tcPr>
          <w:p w14:paraId="0D4C597C" w14:textId="77777777" w:rsidR="006C3FA9" w:rsidRPr="000A1D6E" w:rsidRDefault="006C3FA9" w:rsidP="007C5A8E">
            <w:pPr>
              <w:pStyle w:val="Tabletext"/>
            </w:pPr>
            <w:r w:rsidRPr="000A1D6E">
              <w:t>Australian Institute of Health and Welfare</w:t>
            </w:r>
          </w:p>
        </w:tc>
      </w:tr>
      <w:tr w:rsidR="006C3FA9" w:rsidRPr="000A1D6E" w14:paraId="1BAFC717"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3D2049B4" w14:textId="77777777" w:rsidR="006C3FA9" w:rsidRPr="000A1D6E" w:rsidRDefault="006C3FA9" w:rsidP="007C5A8E">
            <w:pPr>
              <w:pStyle w:val="Tabletext"/>
            </w:pPr>
            <w:r w:rsidRPr="000A1D6E">
              <w:t>AIR</w:t>
            </w:r>
          </w:p>
        </w:tc>
        <w:tc>
          <w:tcPr>
            <w:tcW w:w="4279" w:type="pct"/>
            <w:vAlign w:val="top"/>
          </w:tcPr>
          <w:p w14:paraId="58B57847" w14:textId="77777777" w:rsidR="006C3FA9" w:rsidRPr="000A1D6E" w:rsidRDefault="006C3FA9" w:rsidP="007C5A8E">
            <w:pPr>
              <w:pStyle w:val="Tabletext"/>
            </w:pPr>
            <w:r w:rsidRPr="000A1D6E">
              <w:t>Australian Immunisation Register</w:t>
            </w:r>
          </w:p>
        </w:tc>
      </w:tr>
      <w:tr w:rsidR="006C3FA9" w:rsidRPr="000A1D6E" w14:paraId="0EE461C9" w14:textId="77777777" w:rsidTr="007C5A8E">
        <w:tc>
          <w:tcPr>
            <w:tcW w:w="721" w:type="pct"/>
            <w:vAlign w:val="top"/>
          </w:tcPr>
          <w:p w14:paraId="4175746E" w14:textId="77777777" w:rsidR="006C3FA9" w:rsidRPr="000A1D6E" w:rsidRDefault="006C3FA9" w:rsidP="007C5A8E">
            <w:pPr>
              <w:pStyle w:val="Tabletext"/>
            </w:pPr>
            <w:r w:rsidRPr="000A1D6E">
              <w:t>APSU</w:t>
            </w:r>
          </w:p>
        </w:tc>
        <w:tc>
          <w:tcPr>
            <w:tcW w:w="4279" w:type="pct"/>
            <w:vAlign w:val="top"/>
          </w:tcPr>
          <w:p w14:paraId="777CE17D" w14:textId="77777777" w:rsidR="006C3FA9" w:rsidRPr="000A1D6E" w:rsidRDefault="006C3FA9" w:rsidP="007C5A8E">
            <w:pPr>
              <w:pStyle w:val="Tabletext"/>
            </w:pPr>
            <w:r w:rsidRPr="000A1D6E">
              <w:t>Australian Paediatric Surveillance Unit</w:t>
            </w:r>
          </w:p>
        </w:tc>
      </w:tr>
      <w:tr w:rsidR="006C3FA9" w:rsidRPr="000A1D6E" w14:paraId="0C80A086"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6A880454" w14:textId="77777777" w:rsidR="006C3FA9" w:rsidRPr="000A1D6E" w:rsidRDefault="006C3FA9" w:rsidP="007C5A8E">
            <w:pPr>
              <w:pStyle w:val="Tabletext"/>
            </w:pPr>
            <w:r w:rsidRPr="000A1D6E">
              <w:t>CDNA</w:t>
            </w:r>
          </w:p>
        </w:tc>
        <w:tc>
          <w:tcPr>
            <w:tcW w:w="4279" w:type="pct"/>
            <w:vAlign w:val="top"/>
          </w:tcPr>
          <w:p w14:paraId="053312DF" w14:textId="77777777" w:rsidR="006C3FA9" w:rsidRPr="000A1D6E" w:rsidRDefault="006C3FA9" w:rsidP="007C5A8E">
            <w:pPr>
              <w:pStyle w:val="Tabletext"/>
            </w:pPr>
            <w:r w:rsidRPr="000A1D6E">
              <w:t>Communicable Diseases Network Australia</w:t>
            </w:r>
          </w:p>
        </w:tc>
      </w:tr>
      <w:tr w:rsidR="006C3FA9" w:rsidRPr="000A1D6E" w14:paraId="2D38CD37" w14:textId="77777777" w:rsidTr="007C5A8E">
        <w:tc>
          <w:tcPr>
            <w:tcW w:w="721" w:type="pct"/>
            <w:vAlign w:val="top"/>
          </w:tcPr>
          <w:p w14:paraId="3D9AE4A2" w14:textId="77777777" w:rsidR="006C3FA9" w:rsidRPr="000A1D6E" w:rsidRDefault="006C3FA9" w:rsidP="007C5A8E">
            <w:pPr>
              <w:pStyle w:val="Tabletext"/>
            </w:pPr>
            <w:r w:rsidRPr="000A1D6E">
              <w:t>CIN</w:t>
            </w:r>
          </w:p>
        </w:tc>
        <w:tc>
          <w:tcPr>
            <w:tcW w:w="4279" w:type="pct"/>
            <w:vAlign w:val="top"/>
          </w:tcPr>
          <w:p w14:paraId="2D884B01" w14:textId="77777777" w:rsidR="006C3FA9" w:rsidRPr="000A1D6E" w:rsidRDefault="006C3FA9" w:rsidP="007C5A8E">
            <w:pPr>
              <w:pStyle w:val="Tabletext"/>
            </w:pPr>
            <w:r w:rsidRPr="000A1D6E">
              <w:t>Cervical intraepithelial neoplasia</w:t>
            </w:r>
          </w:p>
        </w:tc>
      </w:tr>
      <w:tr w:rsidR="006C3FA9" w:rsidRPr="000A1D6E" w14:paraId="2905B0E9"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77258D4B" w14:textId="77777777" w:rsidR="006C3FA9" w:rsidRPr="000A1D6E" w:rsidRDefault="006C3FA9" w:rsidP="007C5A8E">
            <w:pPr>
              <w:pStyle w:val="Tabletext"/>
            </w:pPr>
            <w:r w:rsidRPr="000A1D6E">
              <w:t>CST</w:t>
            </w:r>
          </w:p>
        </w:tc>
        <w:tc>
          <w:tcPr>
            <w:tcW w:w="4279" w:type="pct"/>
            <w:vAlign w:val="top"/>
          </w:tcPr>
          <w:p w14:paraId="1D23461F" w14:textId="77777777" w:rsidR="006C3FA9" w:rsidRPr="000A1D6E" w:rsidRDefault="006C3FA9" w:rsidP="007C5A8E">
            <w:pPr>
              <w:pStyle w:val="Tabletext"/>
            </w:pPr>
            <w:r w:rsidRPr="000A1D6E">
              <w:t>Cervical Screening Test</w:t>
            </w:r>
          </w:p>
        </w:tc>
      </w:tr>
      <w:tr w:rsidR="006C3FA9" w:rsidRPr="000A1D6E" w14:paraId="7E907F0B" w14:textId="77777777" w:rsidTr="007C5A8E">
        <w:tc>
          <w:tcPr>
            <w:tcW w:w="721" w:type="pct"/>
            <w:vAlign w:val="top"/>
          </w:tcPr>
          <w:p w14:paraId="5A60AD24" w14:textId="77777777" w:rsidR="006C3FA9" w:rsidRPr="000A1D6E" w:rsidRDefault="006C3FA9" w:rsidP="007C5A8E">
            <w:pPr>
              <w:pStyle w:val="Tabletext"/>
            </w:pPr>
            <w:proofErr w:type="spellStart"/>
            <w:r w:rsidRPr="000A1D6E">
              <w:t>DoHAC</w:t>
            </w:r>
            <w:proofErr w:type="spellEnd"/>
          </w:p>
        </w:tc>
        <w:tc>
          <w:tcPr>
            <w:tcW w:w="4279" w:type="pct"/>
            <w:vAlign w:val="top"/>
          </w:tcPr>
          <w:p w14:paraId="760EEE26" w14:textId="77777777" w:rsidR="006C3FA9" w:rsidRPr="000A1D6E" w:rsidRDefault="006C3FA9" w:rsidP="007C5A8E">
            <w:pPr>
              <w:pStyle w:val="Tabletext"/>
            </w:pPr>
            <w:r w:rsidRPr="000A1D6E">
              <w:t>Department of Health and Aged Care</w:t>
            </w:r>
          </w:p>
        </w:tc>
      </w:tr>
      <w:tr w:rsidR="006C3FA9" w:rsidRPr="000A1D6E" w14:paraId="060D7C57"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0866B918" w14:textId="77777777" w:rsidR="006C3FA9" w:rsidRPr="000A1D6E" w:rsidRDefault="006C3FA9" w:rsidP="007C5A8E">
            <w:pPr>
              <w:pStyle w:val="Tabletext"/>
            </w:pPr>
            <w:r w:rsidRPr="000A1D6E">
              <w:t>GWSN</w:t>
            </w:r>
          </w:p>
        </w:tc>
        <w:tc>
          <w:tcPr>
            <w:tcW w:w="4279" w:type="pct"/>
            <w:vAlign w:val="top"/>
          </w:tcPr>
          <w:p w14:paraId="4150A600" w14:textId="77777777" w:rsidR="006C3FA9" w:rsidRPr="000A1D6E" w:rsidRDefault="006C3FA9" w:rsidP="007C5A8E">
            <w:pPr>
              <w:pStyle w:val="Tabletext"/>
            </w:pPr>
            <w:r w:rsidRPr="000A1D6E">
              <w:t>Genital Warts Surveillance Network</w:t>
            </w:r>
          </w:p>
        </w:tc>
      </w:tr>
      <w:tr w:rsidR="006C3FA9" w:rsidRPr="000A1D6E" w14:paraId="24127583" w14:textId="77777777" w:rsidTr="007C5A8E">
        <w:tc>
          <w:tcPr>
            <w:tcW w:w="721" w:type="pct"/>
            <w:vAlign w:val="top"/>
          </w:tcPr>
          <w:p w14:paraId="4E67BD04" w14:textId="77777777" w:rsidR="006C3FA9" w:rsidRPr="000A1D6E" w:rsidRDefault="006C3FA9" w:rsidP="007C5A8E">
            <w:pPr>
              <w:pStyle w:val="Tabletext"/>
            </w:pPr>
            <w:r w:rsidRPr="000A1D6E">
              <w:t>HPV</w:t>
            </w:r>
          </w:p>
        </w:tc>
        <w:tc>
          <w:tcPr>
            <w:tcW w:w="4279" w:type="pct"/>
            <w:vAlign w:val="top"/>
          </w:tcPr>
          <w:p w14:paraId="189D205E" w14:textId="77777777" w:rsidR="006C3FA9" w:rsidRPr="000A1D6E" w:rsidRDefault="006C3FA9" w:rsidP="007C5A8E">
            <w:pPr>
              <w:pStyle w:val="Tabletext"/>
            </w:pPr>
            <w:r w:rsidRPr="000A1D6E">
              <w:t>Human papillomavirus</w:t>
            </w:r>
          </w:p>
        </w:tc>
      </w:tr>
      <w:tr w:rsidR="006C3FA9" w:rsidRPr="000A1D6E" w14:paraId="59D966AD"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7332E26D" w14:textId="77777777" w:rsidR="006C3FA9" w:rsidRPr="000A1D6E" w:rsidRDefault="006C3FA9" w:rsidP="007C5A8E">
            <w:pPr>
              <w:pStyle w:val="Tabletext"/>
            </w:pPr>
            <w:r w:rsidRPr="000A1D6E">
              <w:t>HSIL</w:t>
            </w:r>
          </w:p>
        </w:tc>
        <w:tc>
          <w:tcPr>
            <w:tcW w:w="4279" w:type="pct"/>
            <w:vAlign w:val="top"/>
          </w:tcPr>
          <w:p w14:paraId="299E4343" w14:textId="77777777" w:rsidR="006C3FA9" w:rsidRPr="000A1D6E" w:rsidRDefault="006C3FA9" w:rsidP="007C5A8E">
            <w:pPr>
              <w:pStyle w:val="Tabletext"/>
            </w:pPr>
            <w:r w:rsidRPr="000A1D6E">
              <w:t>High grade squamous intraepithelial lesions</w:t>
            </w:r>
          </w:p>
        </w:tc>
      </w:tr>
      <w:tr w:rsidR="006C3FA9" w:rsidRPr="000A1D6E" w14:paraId="29AE78F3" w14:textId="77777777" w:rsidTr="007C5A8E">
        <w:tc>
          <w:tcPr>
            <w:tcW w:w="721" w:type="pct"/>
            <w:vAlign w:val="top"/>
          </w:tcPr>
          <w:p w14:paraId="0444D717" w14:textId="77777777" w:rsidR="006C3FA9" w:rsidRPr="000A1D6E" w:rsidRDefault="006C3FA9" w:rsidP="007C5A8E">
            <w:pPr>
              <w:pStyle w:val="Tabletext"/>
            </w:pPr>
            <w:proofErr w:type="spellStart"/>
            <w:r w:rsidRPr="000A1D6E">
              <w:t>JoRRP</w:t>
            </w:r>
            <w:proofErr w:type="spellEnd"/>
          </w:p>
        </w:tc>
        <w:tc>
          <w:tcPr>
            <w:tcW w:w="4279" w:type="pct"/>
            <w:vAlign w:val="top"/>
          </w:tcPr>
          <w:p w14:paraId="2848E987" w14:textId="77777777" w:rsidR="006C3FA9" w:rsidRPr="000A1D6E" w:rsidRDefault="006C3FA9" w:rsidP="007C5A8E">
            <w:pPr>
              <w:pStyle w:val="Tabletext"/>
            </w:pPr>
            <w:r w:rsidRPr="000A1D6E">
              <w:t>Juvenile onset recurrent respiratory papillomatosis</w:t>
            </w:r>
          </w:p>
        </w:tc>
      </w:tr>
      <w:tr w:rsidR="006C3FA9" w:rsidRPr="000A1D6E" w14:paraId="0A038AC3"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2562D261" w14:textId="77777777" w:rsidR="006C3FA9" w:rsidRPr="000A1D6E" w:rsidRDefault="006C3FA9" w:rsidP="007C5A8E">
            <w:pPr>
              <w:pStyle w:val="Tabletext"/>
            </w:pPr>
            <w:r w:rsidRPr="000A1D6E">
              <w:t>LBC</w:t>
            </w:r>
          </w:p>
        </w:tc>
        <w:tc>
          <w:tcPr>
            <w:tcW w:w="4279" w:type="pct"/>
            <w:vAlign w:val="top"/>
          </w:tcPr>
          <w:p w14:paraId="750C3DD3" w14:textId="77777777" w:rsidR="006C3FA9" w:rsidRPr="000A1D6E" w:rsidRDefault="006C3FA9" w:rsidP="007C5A8E">
            <w:pPr>
              <w:pStyle w:val="Tabletext"/>
            </w:pPr>
            <w:r w:rsidRPr="000A1D6E">
              <w:t>Liquid-based cytology</w:t>
            </w:r>
          </w:p>
        </w:tc>
      </w:tr>
      <w:tr w:rsidR="006C3FA9" w:rsidRPr="000A1D6E" w14:paraId="414B8F59" w14:textId="77777777" w:rsidTr="007C5A8E">
        <w:tc>
          <w:tcPr>
            <w:tcW w:w="721" w:type="pct"/>
            <w:vAlign w:val="top"/>
          </w:tcPr>
          <w:p w14:paraId="44EF06D3" w14:textId="77777777" w:rsidR="006C3FA9" w:rsidRPr="000A1D6E" w:rsidRDefault="006C3FA9" w:rsidP="007C5A8E">
            <w:pPr>
              <w:pStyle w:val="Tabletext"/>
            </w:pPr>
            <w:r w:rsidRPr="000A1D6E">
              <w:t>MBS</w:t>
            </w:r>
          </w:p>
        </w:tc>
        <w:tc>
          <w:tcPr>
            <w:tcW w:w="4279" w:type="pct"/>
            <w:vAlign w:val="top"/>
          </w:tcPr>
          <w:p w14:paraId="40FB76E8" w14:textId="77777777" w:rsidR="006C3FA9" w:rsidRPr="000A1D6E" w:rsidRDefault="006C3FA9" w:rsidP="007C5A8E">
            <w:pPr>
              <w:pStyle w:val="Tabletext"/>
            </w:pPr>
            <w:r w:rsidRPr="000A1D6E">
              <w:t>Medicare Benefits Scheme</w:t>
            </w:r>
          </w:p>
        </w:tc>
      </w:tr>
      <w:tr w:rsidR="006C3FA9" w:rsidRPr="000A1D6E" w14:paraId="36F81455"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0AC72EB7" w14:textId="77777777" w:rsidR="006C3FA9" w:rsidRPr="000A1D6E" w:rsidRDefault="006C3FA9" w:rsidP="007C5A8E">
            <w:pPr>
              <w:pStyle w:val="Tabletext"/>
            </w:pPr>
            <w:r w:rsidRPr="000A1D6E">
              <w:t>NCSP</w:t>
            </w:r>
          </w:p>
        </w:tc>
        <w:tc>
          <w:tcPr>
            <w:tcW w:w="4279" w:type="pct"/>
            <w:vAlign w:val="top"/>
          </w:tcPr>
          <w:p w14:paraId="28B78AB0" w14:textId="77777777" w:rsidR="006C3FA9" w:rsidRPr="000A1D6E" w:rsidRDefault="006C3FA9" w:rsidP="007C5A8E">
            <w:pPr>
              <w:pStyle w:val="Tabletext"/>
            </w:pPr>
            <w:r w:rsidRPr="000A1D6E">
              <w:t>National Cervical Screening Program</w:t>
            </w:r>
          </w:p>
        </w:tc>
      </w:tr>
      <w:tr w:rsidR="006C3FA9" w:rsidRPr="000A1D6E" w14:paraId="2BD72168" w14:textId="77777777" w:rsidTr="007C5A8E">
        <w:tc>
          <w:tcPr>
            <w:tcW w:w="721" w:type="pct"/>
            <w:vAlign w:val="top"/>
          </w:tcPr>
          <w:p w14:paraId="6630CF54" w14:textId="77777777" w:rsidR="006C3FA9" w:rsidRPr="000A1D6E" w:rsidRDefault="006C3FA9" w:rsidP="007C5A8E">
            <w:pPr>
              <w:pStyle w:val="Tabletext"/>
            </w:pPr>
            <w:r w:rsidRPr="000A1D6E">
              <w:t>NCSR</w:t>
            </w:r>
          </w:p>
        </w:tc>
        <w:tc>
          <w:tcPr>
            <w:tcW w:w="4279" w:type="pct"/>
            <w:vAlign w:val="top"/>
          </w:tcPr>
          <w:p w14:paraId="7059A272" w14:textId="77777777" w:rsidR="006C3FA9" w:rsidRPr="000A1D6E" w:rsidRDefault="006C3FA9" w:rsidP="007C5A8E">
            <w:pPr>
              <w:pStyle w:val="Tabletext"/>
            </w:pPr>
            <w:r w:rsidRPr="000A1D6E">
              <w:t>National Cervical Screening Register</w:t>
            </w:r>
          </w:p>
        </w:tc>
      </w:tr>
      <w:tr w:rsidR="006C3FA9" w:rsidRPr="000A1D6E" w14:paraId="7949F2DF"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772966B3" w14:textId="77777777" w:rsidR="006C3FA9" w:rsidRPr="000A1D6E" w:rsidRDefault="006C3FA9" w:rsidP="007C5A8E">
            <w:pPr>
              <w:pStyle w:val="Tabletext"/>
            </w:pPr>
            <w:r w:rsidRPr="000A1D6E">
              <w:t>NIP</w:t>
            </w:r>
          </w:p>
        </w:tc>
        <w:tc>
          <w:tcPr>
            <w:tcW w:w="4279" w:type="pct"/>
            <w:vAlign w:val="top"/>
          </w:tcPr>
          <w:p w14:paraId="7D5BB28E" w14:textId="77777777" w:rsidR="006C3FA9" w:rsidRPr="000A1D6E" w:rsidRDefault="006C3FA9" w:rsidP="007C5A8E">
            <w:pPr>
              <w:pStyle w:val="Tabletext"/>
            </w:pPr>
            <w:r w:rsidRPr="000A1D6E">
              <w:t>National Immunisation Program</w:t>
            </w:r>
          </w:p>
        </w:tc>
      </w:tr>
      <w:tr w:rsidR="006C3FA9" w:rsidRPr="000A1D6E" w14:paraId="0BDC17E6" w14:textId="77777777" w:rsidTr="007C5A8E">
        <w:tc>
          <w:tcPr>
            <w:tcW w:w="721" w:type="pct"/>
            <w:vAlign w:val="top"/>
          </w:tcPr>
          <w:p w14:paraId="24F73ED0" w14:textId="77777777" w:rsidR="006C3FA9" w:rsidRPr="000A1D6E" w:rsidRDefault="006C3FA9" w:rsidP="007C5A8E">
            <w:pPr>
              <w:pStyle w:val="Tabletext"/>
            </w:pPr>
            <w:r w:rsidRPr="000A1D6E">
              <w:t>NHMD</w:t>
            </w:r>
          </w:p>
        </w:tc>
        <w:tc>
          <w:tcPr>
            <w:tcW w:w="4279" w:type="pct"/>
            <w:vAlign w:val="top"/>
          </w:tcPr>
          <w:p w14:paraId="3FC8310C" w14:textId="77777777" w:rsidR="006C3FA9" w:rsidRPr="000A1D6E" w:rsidRDefault="006C3FA9" w:rsidP="007C5A8E">
            <w:pPr>
              <w:pStyle w:val="Tabletext"/>
            </w:pPr>
            <w:r w:rsidRPr="000A1D6E">
              <w:t>National Hospital Morbidity Database</w:t>
            </w:r>
          </w:p>
        </w:tc>
      </w:tr>
      <w:tr w:rsidR="006C3FA9" w:rsidRPr="000A1D6E" w14:paraId="275BBC3C"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158D9C83" w14:textId="77777777" w:rsidR="006C3FA9" w:rsidRPr="000A1D6E" w:rsidRDefault="006C3FA9" w:rsidP="007C5A8E">
            <w:pPr>
              <w:pStyle w:val="Tabletext"/>
            </w:pPr>
            <w:r w:rsidRPr="000A1D6E">
              <w:t>NMD</w:t>
            </w:r>
          </w:p>
        </w:tc>
        <w:tc>
          <w:tcPr>
            <w:tcW w:w="4279" w:type="pct"/>
            <w:vAlign w:val="top"/>
          </w:tcPr>
          <w:p w14:paraId="08AD16AA" w14:textId="77777777" w:rsidR="006C3FA9" w:rsidRPr="000A1D6E" w:rsidRDefault="006C3FA9" w:rsidP="007C5A8E">
            <w:pPr>
              <w:pStyle w:val="Tabletext"/>
            </w:pPr>
            <w:r w:rsidRPr="000A1D6E">
              <w:t>National Morbidity Database</w:t>
            </w:r>
          </w:p>
        </w:tc>
      </w:tr>
      <w:tr w:rsidR="006C3FA9" w:rsidRPr="000A1D6E" w14:paraId="5B7ABE64" w14:textId="77777777" w:rsidTr="007C5A8E">
        <w:tc>
          <w:tcPr>
            <w:tcW w:w="721" w:type="pct"/>
            <w:vAlign w:val="top"/>
          </w:tcPr>
          <w:p w14:paraId="05511DA5" w14:textId="77777777" w:rsidR="006C3FA9" w:rsidRPr="000A1D6E" w:rsidRDefault="006C3FA9" w:rsidP="007C5A8E">
            <w:pPr>
              <w:pStyle w:val="Tabletext"/>
            </w:pPr>
            <w:r w:rsidRPr="000A1D6E">
              <w:t>9vHPV</w:t>
            </w:r>
          </w:p>
        </w:tc>
        <w:tc>
          <w:tcPr>
            <w:tcW w:w="4279" w:type="pct"/>
            <w:vAlign w:val="top"/>
          </w:tcPr>
          <w:p w14:paraId="501A3590" w14:textId="77777777" w:rsidR="006C3FA9" w:rsidRPr="000A1D6E" w:rsidRDefault="006C3FA9" w:rsidP="007C5A8E">
            <w:pPr>
              <w:pStyle w:val="Tabletext"/>
            </w:pPr>
            <w:proofErr w:type="spellStart"/>
            <w:r w:rsidRPr="000A1D6E">
              <w:t>nonavalent</w:t>
            </w:r>
            <w:proofErr w:type="spellEnd"/>
            <w:r w:rsidRPr="000A1D6E">
              <w:t xml:space="preserve"> human papillomavirus</w:t>
            </w:r>
          </w:p>
        </w:tc>
      </w:tr>
      <w:tr w:rsidR="006C3FA9" w:rsidRPr="000A1D6E" w14:paraId="6BB87987" w14:textId="77777777" w:rsidTr="007C5A8E">
        <w:trPr>
          <w:cnfStyle w:val="000000100000" w:firstRow="0" w:lastRow="0" w:firstColumn="0" w:lastColumn="0" w:oddVBand="0" w:evenVBand="0" w:oddHBand="1" w:evenHBand="0" w:firstRowFirstColumn="0" w:firstRowLastColumn="0" w:lastRowFirstColumn="0" w:lastRowLastColumn="0"/>
        </w:trPr>
        <w:tc>
          <w:tcPr>
            <w:tcW w:w="721" w:type="pct"/>
            <w:vAlign w:val="top"/>
          </w:tcPr>
          <w:p w14:paraId="0EE6E6CF" w14:textId="77777777" w:rsidR="006C3FA9" w:rsidRPr="000A1D6E" w:rsidRDefault="006C3FA9" w:rsidP="007C5A8E">
            <w:pPr>
              <w:pStyle w:val="Tabletext"/>
            </w:pPr>
            <w:r w:rsidRPr="000A1D6E">
              <w:t>4vHPV</w:t>
            </w:r>
          </w:p>
        </w:tc>
        <w:tc>
          <w:tcPr>
            <w:tcW w:w="4279" w:type="pct"/>
            <w:vAlign w:val="top"/>
          </w:tcPr>
          <w:p w14:paraId="4C769D3B" w14:textId="77777777" w:rsidR="006C3FA9" w:rsidRPr="000A1D6E" w:rsidRDefault="006C3FA9" w:rsidP="007C5A8E">
            <w:pPr>
              <w:pStyle w:val="Tabletext"/>
            </w:pPr>
            <w:r w:rsidRPr="000A1D6E">
              <w:t>quadrivalent human papillomavirus</w:t>
            </w:r>
          </w:p>
        </w:tc>
      </w:tr>
    </w:tbl>
    <w:p w14:paraId="4E486BDF" w14:textId="272B6066" w:rsidR="00192F08" w:rsidRPr="00CD10C1" w:rsidRDefault="00192F08" w:rsidP="00CD10C1">
      <w:r w:rsidRPr="00CD10C1">
        <w:br w:type="page"/>
      </w:r>
    </w:p>
    <w:p w14:paraId="584E014C" w14:textId="77777777" w:rsidR="00BA5BA6" w:rsidRDefault="00BA5BA6" w:rsidP="002C2638">
      <w:pPr>
        <w:pStyle w:val="Heading1"/>
      </w:pPr>
      <w:bookmarkStart w:id="12" w:name="_Toc232507533"/>
      <w:r>
        <w:lastRenderedPageBreak/>
        <w:t>Surveillance objectives</w:t>
      </w:r>
      <w:bookmarkEnd w:id="12"/>
    </w:p>
    <w:bookmarkStart w:id="13" w:name="_Hlk101861962"/>
    <w:p w14:paraId="3829919D" w14:textId="3254377B" w:rsidR="00BA5BA6" w:rsidRPr="003F7CF4" w:rsidRDefault="003F7CF4" w:rsidP="00A74B5B">
      <w:pPr>
        <w:pStyle w:val="ListNumber2"/>
      </w:pPr>
      <w:r w:rsidRPr="003F7CF4">
        <w:fldChar w:fldCharType="begin"/>
      </w:r>
      <w:r w:rsidRPr="003F7CF4">
        <w:instrText>HYPERLINK  \l "_Program_monitoring"</w:instrText>
      </w:r>
      <w:r w:rsidRPr="003F7CF4">
        <w:fldChar w:fldCharType="separate"/>
      </w:r>
      <w:r w:rsidR="00BA5BA6" w:rsidRPr="00A74B5B">
        <w:rPr>
          <w:rStyle w:val="Hyperlink"/>
          <w:rFonts w:cs="Arial"/>
        </w:rPr>
        <w:t>Program monitoring</w:t>
      </w:r>
      <w:r w:rsidRPr="003F7CF4">
        <w:fldChar w:fldCharType="end"/>
      </w:r>
    </w:p>
    <w:p w14:paraId="2DC3FA78" w14:textId="155CB46A" w:rsidR="00BA5BA6" w:rsidRDefault="003E1852" w:rsidP="003E1852">
      <w:pPr>
        <w:pStyle w:val="ListParagraph"/>
      </w:pPr>
      <w:r>
        <w:t xml:space="preserve">1.1 </w:t>
      </w:r>
      <w:r w:rsidR="00BA5BA6" w:rsidRPr="00192F08">
        <w:t>Monitor HPV vaccination coverage</w:t>
      </w:r>
    </w:p>
    <w:p w14:paraId="50DD680E" w14:textId="4BB80A1E" w:rsidR="00E26B14" w:rsidRPr="00192F08" w:rsidRDefault="003E1852" w:rsidP="003E1852">
      <w:pPr>
        <w:pStyle w:val="ListParagraph"/>
      </w:pPr>
      <w:r>
        <w:t xml:space="preserve">1.2 </w:t>
      </w:r>
      <w:r w:rsidR="00E26B14">
        <w:t>Monitor coverage of cervical screening</w:t>
      </w:r>
    </w:p>
    <w:p w14:paraId="2BE4B012" w14:textId="21FDE72D" w:rsidR="00BA5BA6" w:rsidRPr="003F7CF4" w:rsidRDefault="00BA5BA6" w:rsidP="00A74B5B">
      <w:pPr>
        <w:pStyle w:val="ListNumber2"/>
      </w:pPr>
      <w:hyperlink w:anchor="_Infection_monitoring" w:history="1">
        <w:r w:rsidRPr="003F7CF4">
          <w:rPr>
            <w:rStyle w:val="Hyperlink"/>
            <w:rFonts w:cs="Arial"/>
          </w:rPr>
          <w:t>Infection monitoring</w:t>
        </w:r>
      </w:hyperlink>
    </w:p>
    <w:p w14:paraId="7F435C75" w14:textId="2CF2F169" w:rsidR="00BA5BA6" w:rsidRPr="00A74B5B" w:rsidRDefault="003E1852" w:rsidP="003E1852">
      <w:pPr>
        <w:pStyle w:val="ListParagraph"/>
      </w:pPr>
      <w:r>
        <w:t xml:space="preserve">2.1 </w:t>
      </w:r>
      <w:r w:rsidR="00BA5BA6" w:rsidRPr="00A74B5B">
        <w:t xml:space="preserve">Monitor the prevalence of HPV genotypes </w:t>
      </w:r>
    </w:p>
    <w:p w14:paraId="563EDE00" w14:textId="6C4A0A19" w:rsidR="00BA5BA6" w:rsidRPr="003F7CF4" w:rsidRDefault="00BA5BA6" w:rsidP="00A74B5B">
      <w:pPr>
        <w:pStyle w:val="ListNumber2"/>
      </w:pPr>
      <w:hyperlink w:anchor="_Non-cancer_disease_endpoints" w:history="1">
        <w:r w:rsidRPr="003F7CF4">
          <w:rPr>
            <w:rStyle w:val="Hyperlink"/>
            <w:rFonts w:cs="Arial"/>
          </w:rPr>
          <w:t>Non-cancer disease endpoints</w:t>
        </w:r>
      </w:hyperlink>
    </w:p>
    <w:p w14:paraId="08563BEC" w14:textId="079D13E3" w:rsidR="00BA5BA6" w:rsidRPr="003F7CF4" w:rsidRDefault="00BA5BA6" w:rsidP="00A74B5B">
      <w:pPr>
        <w:pStyle w:val="ListNumber2"/>
      </w:pPr>
      <w:hyperlink w:anchor="_Cancer_endpoints" w:history="1">
        <w:r w:rsidRPr="003F7CF4">
          <w:rPr>
            <w:rStyle w:val="Hyperlink"/>
            <w:rFonts w:cs="Arial"/>
          </w:rPr>
          <w:t>Cancer endpoints</w:t>
        </w:r>
      </w:hyperlink>
    </w:p>
    <w:p w14:paraId="6F458F31" w14:textId="5D9A20D3" w:rsidR="00BA5BA6" w:rsidRPr="003E1852" w:rsidRDefault="003E1852" w:rsidP="003E1852">
      <w:pPr>
        <w:pStyle w:val="ListParagraph"/>
      </w:pPr>
      <w:r>
        <w:t xml:space="preserve">4.1 </w:t>
      </w:r>
      <w:r w:rsidR="00BA5BA6" w:rsidRPr="003E1852">
        <w:t>Monitor cervical cancer incidence and mortality</w:t>
      </w:r>
    </w:p>
    <w:p w14:paraId="5A934F6C" w14:textId="161C0E39" w:rsidR="00BA5BA6" w:rsidRPr="00A74B5B" w:rsidRDefault="003E1852" w:rsidP="003E1852">
      <w:pPr>
        <w:pStyle w:val="ListParagraph"/>
      </w:pPr>
      <w:r>
        <w:t xml:space="preserve">4.2 </w:t>
      </w:r>
      <w:r w:rsidR="00BA5BA6" w:rsidRPr="003E1852">
        <w:t>Monito</w:t>
      </w:r>
      <w:r w:rsidR="00BA5BA6" w:rsidRPr="00A74B5B">
        <w:t>r anogenital</w:t>
      </w:r>
      <w:bookmarkStart w:id="14" w:name="_Ref152144525"/>
      <w:r w:rsidR="005355AC">
        <w:rPr>
          <w:rFonts w:ascii="ZWAdobeF" w:hAnsi="ZWAdobeF" w:cs="ZWAdobeF"/>
          <w:sz w:val="2"/>
          <w:szCs w:val="2"/>
        </w:rPr>
        <w:t>1F</w:t>
      </w:r>
      <w:r w:rsidR="00BA5BA6" w:rsidRPr="00E26B14">
        <w:rPr>
          <w:rStyle w:val="SuperscriptChar"/>
        </w:rPr>
        <w:footnoteReference w:id="2"/>
      </w:r>
      <w:bookmarkEnd w:id="14"/>
      <w:r w:rsidR="00BA5BA6" w:rsidRPr="00A74B5B">
        <w:t xml:space="preserve"> and oropharyngeal</w:t>
      </w:r>
      <w:r w:rsidR="005355AC">
        <w:rPr>
          <w:rFonts w:ascii="ZWAdobeF" w:hAnsi="ZWAdobeF" w:cs="ZWAdobeF"/>
          <w:sz w:val="2"/>
          <w:szCs w:val="2"/>
        </w:rPr>
        <w:t>2F</w:t>
      </w:r>
      <w:r w:rsidR="00BA5BA6" w:rsidRPr="00E26B14">
        <w:rPr>
          <w:rStyle w:val="SuperscriptChar"/>
        </w:rPr>
        <w:footnoteReference w:id="3"/>
      </w:r>
      <w:r w:rsidR="00BA5BA6" w:rsidRPr="00E26B14">
        <w:rPr>
          <w:rStyle w:val="SuperscriptChar"/>
        </w:rPr>
        <w:t xml:space="preserve"> </w:t>
      </w:r>
      <w:r w:rsidR="00BA5BA6" w:rsidRPr="00A74B5B">
        <w:t>cancer incidence and mortality</w:t>
      </w:r>
    </w:p>
    <w:p w14:paraId="605ACF8E" w14:textId="0696A2E1" w:rsidR="00BA5BA6" w:rsidRPr="00A74B5B" w:rsidRDefault="003E1852" w:rsidP="003E1852">
      <w:pPr>
        <w:pStyle w:val="ListParagraph"/>
      </w:pPr>
      <w:r>
        <w:t xml:space="preserve">4.3 </w:t>
      </w:r>
      <w:r w:rsidR="00BA5BA6" w:rsidRPr="00A74B5B">
        <w:t xml:space="preserve">Monitor </w:t>
      </w:r>
      <w:r w:rsidR="00BA5BA6" w:rsidRPr="003E1852">
        <w:t>the</w:t>
      </w:r>
      <w:r w:rsidR="00BA5BA6" w:rsidRPr="00A74B5B">
        <w:t xml:space="preserve"> distribution of HPV genotypes detected in cervical cancers.</w:t>
      </w:r>
    </w:p>
    <w:p w14:paraId="16D954F4" w14:textId="7A2892C3" w:rsidR="009D3BBD" w:rsidRDefault="003E1852" w:rsidP="003E1852">
      <w:pPr>
        <w:pStyle w:val="ListParagraph"/>
      </w:pPr>
      <w:r>
        <w:t xml:space="preserve">4.4 </w:t>
      </w:r>
      <w:r w:rsidR="00BA5BA6" w:rsidRPr="00A74B5B">
        <w:t>Monitor the distribution of HPV genotypes detected in anogenital</w:t>
      </w:r>
      <w:r w:rsidR="00BA5BA6" w:rsidRPr="00412F8F">
        <w:rPr>
          <w:rStyle w:val="SuperscriptChar"/>
        </w:rPr>
        <w:fldChar w:fldCharType="begin"/>
      </w:r>
      <w:r w:rsidR="00BA5BA6" w:rsidRPr="00412F8F">
        <w:rPr>
          <w:rStyle w:val="SuperscriptChar"/>
        </w:rPr>
        <w:instrText xml:space="preserve"> NOTEREF _Ref152144525 \h  \* MERGEFORMAT </w:instrText>
      </w:r>
      <w:r w:rsidR="00BA5BA6" w:rsidRPr="00412F8F">
        <w:rPr>
          <w:rStyle w:val="SuperscriptChar"/>
        </w:rPr>
      </w:r>
      <w:r w:rsidR="00BA5BA6" w:rsidRPr="00412F8F">
        <w:rPr>
          <w:rStyle w:val="SuperscriptChar"/>
        </w:rPr>
        <w:fldChar w:fldCharType="separate"/>
      </w:r>
      <w:r w:rsidR="00852237" w:rsidRPr="00412F8F">
        <w:rPr>
          <w:rStyle w:val="SuperscriptChar"/>
        </w:rPr>
        <w:t>2</w:t>
      </w:r>
      <w:r w:rsidR="00BA5BA6" w:rsidRPr="00412F8F">
        <w:rPr>
          <w:rStyle w:val="SuperscriptChar"/>
        </w:rPr>
        <w:fldChar w:fldCharType="end"/>
      </w:r>
      <w:r w:rsidR="00BA5BA6" w:rsidRPr="00A74B5B">
        <w:t xml:space="preserve"> and oropharyngeal</w:t>
      </w:r>
      <w:r w:rsidR="009D3BBD">
        <w:rPr>
          <w:rStyle w:val="SuperscriptChar"/>
        </w:rPr>
        <w:t>3</w:t>
      </w:r>
      <w:r w:rsidR="00BA5BA6" w:rsidRPr="00412F8F">
        <w:rPr>
          <w:rStyle w:val="SuperscriptChar"/>
        </w:rPr>
        <w:t xml:space="preserve"> </w:t>
      </w:r>
      <w:r w:rsidR="00BA5BA6" w:rsidRPr="00A74B5B">
        <w:t>cancers</w:t>
      </w:r>
    </w:p>
    <w:p w14:paraId="3DF830DC" w14:textId="77777777" w:rsidR="009D3BBD" w:rsidRDefault="009D3BBD" w:rsidP="004E24FE">
      <w:r>
        <w:br w:type="page"/>
      </w:r>
    </w:p>
    <w:p w14:paraId="63641D8F" w14:textId="77777777" w:rsidR="00BA5BA6" w:rsidRDefault="00BA5BA6" w:rsidP="00371E88">
      <w:pPr>
        <w:pStyle w:val="Heading1Numbering"/>
      </w:pPr>
      <w:bookmarkStart w:id="15" w:name="_Program_monitoring"/>
      <w:bookmarkStart w:id="16" w:name="_Toc232507534"/>
      <w:bookmarkEnd w:id="15"/>
      <w:r>
        <w:lastRenderedPageBreak/>
        <w:t>Program monitoring</w:t>
      </w:r>
      <w:bookmarkEnd w:id="16"/>
    </w:p>
    <w:p w14:paraId="12CEDD3B" w14:textId="77777777" w:rsidR="000C3804" w:rsidRPr="00B0680D" w:rsidRDefault="00BA5BA6" w:rsidP="00E9658C">
      <w:pPr>
        <w:pStyle w:val="Heading2Numbering"/>
      </w:pPr>
      <w:bookmarkStart w:id="17" w:name="_Monitor_HPV_vaccination"/>
      <w:bookmarkStart w:id="18" w:name="_Toc232507535"/>
      <w:bookmarkEnd w:id="17"/>
      <w:r w:rsidRPr="00B0680D">
        <w:t>Monitor HPV vaccination coverage</w:t>
      </w:r>
      <w:bookmarkEnd w:id="18"/>
    </w:p>
    <w:p w14:paraId="2509D197" w14:textId="77777777" w:rsidR="00B6174F" w:rsidRDefault="00B6174F" w:rsidP="008D384E">
      <w:pPr>
        <w:pStyle w:val="Boxgreenheading"/>
      </w:pPr>
      <w:bookmarkStart w:id="19" w:name="_Toc161152099"/>
      <w:r>
        <w:t>Indicators</w:t>
      </w:r>
      <w:bookmarkEnd w:id="19"/>
    </w:p>
    <w:p w14:paraId="04BA4754" w14:textId="77777777" w:rsidR="00257D46" w:rsidRPr="00257D46" w:rsidRDefault="00257D46" w:rsidP="00753037">
      <w:pPr>
        <w:pStyle w:val="Boxgreentext"/>
      </w:pPr>
      <w:r w:rsidRPr="00257D46">
        <w:t xml:space="preserve">Single dose HPV vaccination coverage assessed at 15 years of age </w:t>
      </w:r>
    </w:p>
    <w:p w14:paraId="794F2134" w14:textId="77777777" w:rsidR="00257D46" w:rsidRPr="00257D46" w:rsidRDefault="00257D46" w:rsidP="00753037">
      <w:pPr>
        <w:pStyle w:val="Boxgreentext"/>
      </w:pPr>
      <w:r w:rsidRPr="00257D46">
        <w:t>Single dose HPV vaccination coverage for Aboriginal and Torres Strait Islander people assessed at 15 years of age</w:t>
      </w:r>
    </w:p>
    <w:p w14:paraId="6BB9B0DD" w14:textId="77777777" w:rsidR="000C3804" w:rsidRPr="00CA76F2" w:rsidRDefault="00BA5BA6" w:rsidP="00E5389A">
      <w:pPr>
        <w:pStyle w:val="Heading3"/>
      </w:pPr>
      <w:r w:rsidRPr="00BB52C4">
        <w:t>Rationale for surveillance</w:t>
      </w:r>
    </w:p>
    <w:p w14:paraId="4DC2FA8E" w14:textId="4D5A66C4" w:rsidR="00BA5BA6" w:rsidRPr="00CD10C1" w:rsidRDefault="00BA5BA6" w:rsidP="000C3804">
      <w:pPr>
        <w:rPr>
          <w:rStyle w:val="Emphasis"/>
        </w:rPr>
      </w:pPr>
      <w:r w:rsidRPr="000C3804">
        <w:rPr>
          <w:szCs w:val="20"/>
        </w:rPr>
        <w:t>From February 2023, HPV vaccination under the NIP changed from a two-dose nonavalent HPV (9vHPV) vaccine to a single-dose schedule. Catch up vaccination under the NIP was extended from 19 years to 25 years (&lt;26) using a single dose. The 9vHPV vaccine provides protection against the four HPV types (6, 11, 16 and 18) in the 4vHPV vaccine</w:t>
      </w:r>
      <w:r w:rsidR="005355AC">
        <w:rPr>
          <w:rFonts w:ascii="ZWAdobeF" w:hAnsi="ZWAdobeF" w:cs="ZWAdobeF"/>
          <w:sz w:val="2"/>
          <w:szCs w:val="2"/>
        </w:rPr>
        <w:t>3F</w:t>
      </w:r>
      <w:r w:rsidRPr="000C3804">
        <w:rPr>
          <w:rStyle w:val="FootnoteReference"/>
          <w:rFonts w:cs="Arial"/>
          <w:szCs w:val="20"/>
        </w:rPr>
        <w:footnoteReference w:id="4"/>
      </w:r>
      <w:r w:rsidRPr="000C3804">
        <w:rPr>
          <w:szCs w:val="20"/>
        </w:rPr>
        <w:t xml:space="preserve"> and an additional five oncogenic HPV types (31, 33, 45, 52 and 58), which are the next most frequently detected in cervical cancers globally, after HPV types 16 and 18.</w:t>
      </w:r>
    </w:p>
    <w:p w14:paraId="4C13058F" w14:textId="77777777" w:rsidR="00BA5BA6" w:rsidRPr="00BB52C4" w:rsidRDefault="00BA5BA6" w:rsidP="00BA5BA6">
      <w:pPr>
        <w:rPr>
          <w:rFonts w:cs="Arial"/>
          <w:szCs w:val="20"/>
        </w:rPr>
      </w:pPr>
      <w:r w:rsidRPr="00BB52C4">
        <w:rPr>
          <w:rFonts w:cs="Arial"/>
          <w:szCs w:val="20"/>
        </w:rPr>
        <w:t>Monitoring vaccination coverage aims to:</w:t>
      </w:r>
    </w:p>
    <w:p w14:paraId="10C90EFA" w14:textId="77777777" w:rsidR="00BA5BA6" w:rsidRPr="00D070E3" w:rsidRDefault="00BA5BA6" w:rsidP="00CA76F2">
      <w:pPr>
        <w:pStyle w:val="ListBullet3"/>
      </w:pPr>
      <w:r w:rsidRPr="00D070E3">
        <w:t xml:space="preserve">Monitor </w:t>
      </w:r>
      <w:r>
        <w:t>progress against the National Cervical Cancer Elimination Strategy Vaccination Targets</w:t>
      </w:r>
    </w:p>
    <w:p w14:paraId="0C504000" w14:textId="77777777" w:rsidR="00BA5BA6" w:rsidRPr="00D070E3" w:rsidRDefault="00BA5BA6" w:rsidP="00CA76F2">
      <w:pPr>
        <w:pStyle w:val="ListBullet3"/>
      </w:pPr>
      <w:r w:rsidRPr="00D070E3">
        <w:t>Identify groups or areas with lower vaccine uptake</w:t>
      </w:r>
    </w:p>
    <w:p w14:paraId="7DB3F5CC" w14:textId="77777777" w:rsidR="000C3804" w:rsidRDefault="00BA5BA6" w:rsidP="00E5389A">
      <w:pPr>
        <w:pStyle w:val="Heading3"/>
      </w:pPr>
      <w:r w:rsidRPr="00BB52C4">
        <w:t>Data considerations</w:t>
      </w:r>
    </w:p>
    <w:p w14:paraId="7BE97CFB" w14:textId="77777777" w:rsidR="00BA5BA6" w:rsidRPr="000C3804" w:rsidRDefault="00BA5BA6" w:rsidP="000C3804">
      <w:pPr>
        <w:rPr>
          <w:szCs w:val="20"/>
        </w:rPr>
      </w:pPr>
      <w:r w:rsidRPr="000C3804">
        <w:rPr>
          <w:szCs w:val="20"/>
        </w:rPr>
        <w:t xml:space="preserve">The Australian Immunisation Register (AIR) is a national register that can record vaccinations for people of all ages given by a registered vaccination provider. </w:t>
      </w:r>
    </w:p>
    <w:p w14:paraId="476C9C59" w14:textId="77777777" w:rsidR="00BA5BA6" w:rsidRPr="00192F08" w:rsidRDefault="00BA5BA6" w:rsidP="00192F08">
      <w:r w:rsidRPr="00192F08">
        <w:t>The HPV Register was established in 2008 to capture HPV vaccinations administered as part of the National Immunisation Program. In 2018, data held in the HPV Register were transferred to AIR. All HPV vaccinations given through school-based programs, as well as any HPV vaccinations given by other immunisation providers, are now reported directly to AIR.</w:t>
      </w:r>
    </w:p>
    <w:p w14:paraId="2CB6E337" w14:textId="77777777" w:rsidR="00BA5BA6" w:rsidRDefault="00BA5BA6" w:rsidP="00BA5BA6">
      <w:pPr>
        <w:rPr>
          <w:rFonts w:cs="Arial"/>
          <w:szCs w:val="20"/>
        </w:rPr>
      </w:pPr>
      <w:r w:rsidRPr="36CD525F">
        <w:rPr>
          <w:rFonts w:cs="Arial"/>
          <w:szCs w:val="20"/>
        </w:rPr>
        <w:lastRenderedPageBreak/>
        <w:t xml:space="preserve">Immunisation coverage is reported in individuals aged 15 years to </w:t>
      </w:r>
      <w:r>
        <w:rPr>
          <w:rFonts w:cs="Arial"/>
          <w:szCs w:val="20"/>
        </w:rPr>
        <w:t>allow</w:t>
      </w:r>
      <w:r w:rsidRPr="36CD525F">
        <w:rPr>
          <w:rFonts w:cs="Arial"/>
          <w:szCs w:val="20"/>
        </w:rPr>
        <w:t xml:space="preserve"> for catch-up. Reporting coverage amongst 15-year-olds is consistent with World Health Organization reporting.</w:t>
      </w:r>
      <w:r>
        <w:rPr>
          <w:rFonts w:cs="Arial"/>
          <w:szCs w:val="20"/>
        </w:rPr>
        <w:t xml:space="preserve"> The current WHO HPV Vaccine Coverage Monitoring Manual counts doses received before 15 years (WHO 2020b).</w:t>
      </w:r>
    </w:p>
    <w:p w14:paraId="7F37897F" w14:textId="77777777" w:rsidR="00BA5BA6" w:rsidRDefault="00BA5BA6" w:rsidP="00BA5BA6">
      <w:pPr>
        <w:rPr>
          <w:rFonts w:cs="Arial"/>
          <w:szCs w:val="20"/>
        </w:rPr>
      </w:pPr>
      <w:r w:rsidRPr="3B2FDA41">
        <w:rPr>
          <w:rFonts w:cs="Arial"/>
          <w:szCs w:val="20"/>
        </w:rPr>
        <w:t>AIR data for HPV vaccination captures an in/out school flag and provider type. This will be considered in the monitoring if appropriate based on data availability and usability.</w:t>
      </w:r>
    </w:p>
    <w:p w14:paraId="10A2C925" w14:textId="77777777" w:rsidR="00BA5BA6" w:rsidRPr="002A7ED8" w:rsidRDefault="00BA5BA6" w:rsidP="00BA5BA6">
      <w:pPr>
        <w:rPr>
          <w:rFonts w:cs="Arial"/>
          <w:szCs w:val="20"/>
        </w:rPr>
      </w:pPr>
      <w:r w:rsidRPr="002A7ED8">
        <w:rPr>
          <w:rFonts w:cs="Arial"/>
          <w:szCs w:val="20"/>
        </w:rPr>
        <w:t xml:space="preserve">HPV vaccination status should be collected and reported against indicators </w:t>
      </w:r>
      <w:r>
        <w:rPr>
          <w:rFonts w:cs="Arial"/>
          <w:szCs w:val="20"/>
        </w:rPr>
        <w:t xml:space="preserve">below </w:t>
      </w:r>
      <w:r w:rsidRPr="002A7ED8">
        <w:rPr>
          <w:rFonts w:cs="Arial"/>
          <w:szCs w:val="20"/>
        </w:rPr>
        <w:t>where available.</w:t>
      </w:r>
    </w:p>
    <w:p w14:paraId="500B5B98" w14:textId="5A5A4CAA" w:rsidR="00B808E4" w:rsidRDefault="00BA5BA6" w:rsidP="00BA5BA6">
      <w:pPr>
        <w:rPr>
          <w:rFonts w:cs="Arial"/>
          <w:szCs w:val="20"/>
        </w:rPr>
      </w:pPr>
      <w:r w:rsidRPr="002A7ED8">
        <w:rPr>
          <w:rFonts w:cs="Arial"/>
          <w:szCs w:val="20"/>
        </w:rPr>
        <w:t>There is no current data linkage between AIR and the NSCR. However, there is work underway to establish this linkage.</w:t>
      </w:r>
    </w:p>
    <w:p w14:paraId="553C00FB" w14:textId="77777777" w:rsidR="00B808E4" w:rsidRDefault="00B808E4" w:rsidP="004E24FE">
      <w:r>
        <w:br w:type="page"/>
      </w:r>
    </w:p>
    <w:bookmarkEnd w:id="13"/>
    <w:p w14:paraId="24ABB876" w14:textId="77777777" w:rsidR="00073914" w:rsidRPr="00073914" w:rsidRDefault="00073914" w:rsidP="00E5389A">
      <w:pPr>
        <w:pStyle w:val="Heading3"/>
      </w:pPr>
      <w:r w:rsidRPr="00D070E3">
        <w:lastRenderedPageBreak/>
        <w:t>Reporting against indicator</w:t>
      </w:r>
      <w:r>
        <w:t>s</w:t>
      </w:r>
    </w:p>
    <w:p w14:paraId="6AD04B33" w14:textId="77777777" w:rsidR="00073914" w:rsidRPr="00C835F9" w:rsidRDefault="00073914" w:rsidP="00C835F9">
      <w:pPr>
        <w:pStyle w:val="Caption"/>
      </w:pPr>
      <w:r w:rsidRPr="00C835F9">
        <w:t>Single-dose vaccination coverage assessed at 15 years of age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15"/>
        <w:gridCol w:w="734"/>
        <w:gridCol w:w="3652"/>
        <w:gridCol w:w="2173"/>
        <w:gridCol w:w="1685"/>
      </w:tblGrid>
      <w:tr w:rsidR="002F2659" w:rsidRPr="00D070E3" w14:paraId="6D25F4F5" w14:textId="77777777" w:rsidTr="00AA21AA">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53E1D68B" w14:textId="77777777" w:rsidR="00073914" w:rsidRPr="00D070E3" w:rsidRDefault="00073914" w:rsidP="00E5389A">
            <w:pPr>
              <w:pStyle w:val="Tableheaderrowblack"/>
              <w:rPr>
                <w:b/>
              </w:rPr>
            </w:pPr>
            <w:r w:rsidRPr="00D070E3">
              <w:t>Indicator components</w:t>
            </w:r>
          </w:p>
        </w:tc>
        <w:tc>
          <w:tcPr>
            <w:tcW w:w="0" w:type="auto"/>
            <w:vAlign w:val="top"/>
          </w:tcPr>
          <w:p w14:paraId="19F06572" w14:textId="77777777" w:rsidR="00073914" w:rsidRPr="00D070E3" w:rsidRDefault="00073914" w:rsidP="00E5389A">
            <w:pPr>
              <w:pStyle w:val="Tableheaderrowblack"/>
              <w:rPr>
                <w:b/>
              </w:rPr>
            </w:pPr>
            <w:r w:rsidRPr="00D070E3">
              <w:t>Source</w:t>
            </w:r>
          </w:p>
        </w:tc>
        <w:tc>
          <w:tcPr>
            <w:tcW w:w="0" w:type="auto"/>
            <w:vAlign w:val="top"/>
          </w:tcPr>
          <w:p w14:paraId="36707CD0" w14:textId="77777777" w:rsidR="00073914" w:rsidRPr="00D070E3" w:rsidRDefault="00073914" w:rsidP="00E5389A">
            <w:pPr>
              <w:pStyle w:val="Tableheaderrowblack"/>
              <w:rPr>
                <w:b/>
              </w:rPr>
            </w:pPr>
            <w:r w:rsidRPr="00D070E3">
              <w:t>Description</w:t>
            </w:r>
          </w:p>
        </w:tc>
        <w:tc>
          <w:tcPr>
            <w:tcW w:w="0" w:type="auto"/>
            <w:vAlign w:val="top"/>
          </w:tcPr>
          <w:p w14:paraId="14710C76" w14:textId="4F40E0D3" w:rsidR="00073914" w:rsidRPr="00D070E3" w:rsidRDefault="00073914" w:rsidP="00E5389A">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FF7B6A0" w14:textId="69D6666A" w:rsidR="00073914" w:rsidRPr="00D070E3" w:rsidRDefault="00073914" w:rsidP="00E5389A">
            <w:pPr>
              <w:pStyle w:val="Tableheaderrowblack"/>
              <w:rPr>
                <w:b/>
              </w:rPr>
            </w:pPr>
            <w:r w:rsidRPr="00D070E3">
              <w:t>Availability of data for reporting</w:t>
            </w:r>
          </w:p>
        </w:tc>
      </w:tr>
      <w:tr w:rsidR="00073914" w:rsidRPr="00D070E3" w14:paraId="7AF30E48" w14:textId="77777777" w:rsidTr="00E5389A">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4335D3A" w14:textId="77777777" w:rsidR="00073914" w:rsidRPr="00CA76F2" w:rsidRDefault="00073914" w:rsidP="00E5389A">
            <w:pPr>
              <w:pStyle w:val="Tabletext"/>
            </w:pPr>
            <w:r w:rsidRPr="00CA76F2">
              <w:t>Numerator</w:t>
            </w:r>
          </w:p>
        </w:tc>
        <w:tc>
          <w:tcPr>
            <w:tcW w:w="0" w:type="auto"/>
            <w:vAlign w:val="top"/>
          </w:tcPr>
          <w:p w14:paraId="218C6E96" w14:textId="202540AD" w:rsidR="00073914" w:rsidRPr="00D070E3" w:rsidRDefault="00073914" w:rsidP="00E5389A">
            <w:pPr>
              <w:pStyle w:val="Tabletext"/>
              <w:rPr>
                <w:rFonts w:cs="Arial"/>
              </w:rPr>
            </w:pPr>
            <w:r w:rsidRPr="00D070E3">
              <w:rPr>
                <w:rFonts w:cs="Arial"/>
              </w:rPr>
              <w:t>AIR</w:t>
            </w:r>
            <w:bookmarkStart w:id="20" w:name="_Ref135296054"/>
            <w:r w:rsidR="005355AC">
              <w:rPr>
                <w:rFonts w:ascii="ZWAdobeF" w:hAnsi="ZWAdobeF" w:cs="ZWAdobeF"/>
                <w:color w:val="auto"/>
                <w:sz w:val="2"/>
                <w:szCs w:val="2"/>
              </w:rPr>
              <w:t>4F</w:t>
            </w:r>
            <w:r>
              <w:rPr>
                <w:rStyle w:val="FootnoteReference"/>
                <w:rFonts w:eastAsiaTheme="minorEastAsia" w:cs="Arial"/>
              </w:rPr>
              <w:footnoteReference w:id="5"/>
            </w:r>
            <w:bookmarkEnd w:id="20"/>
          </w:p>
        </w:tc>
        <w:tc>
          <w:tcPr>
            <w:tcW w:w="0" w:type="auto"/>
            <w:vAlign w:val="top"/>
          </w:tcPr>
          <w:p w14:paraId="237B3547" w14:textId="77777777" w:rsidR="00073914" w:rsidRPr="00D070E3" w:rsidRDefault="00073914" w:rsidP="00E5389A">
            <w:pPr>
              <w:pStyle w:val="Tabletext"/>
              <w:rPr>
                <w:rFonts w:cs="Arial"/>
              </w:rPr>
            </w:pPr>
            <w:r>
              <w:rPr>
                <w:rFonts w:cs="Arial"/>
              </w:rPr>
              <w:t>Number of people who have received a single dose of HPV vaccine by age 15 years (estimated per birth cohort).</w:t>
            </w:r>
          </w:p>
        </w:tc>
        <w:tc>
          <w:tcPr>
            <w:tcW w:w="0" w:type="auto"/>
            <w:vAlign w:val="top"/>
          </w:tcPr>
          <w:p w14:paraId="48B7B4E4" w14:textId="77777777" w:rsidR="00073914" w:rsidRPr="00CD10C1" w:rsidRDefault="00073914" w:rsidP="00E5389A">
            <w:pPr>
              <w:pStyle w:val="Tabletext"/>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AA36F56" w14:textId="77777777" w:rsidR="00073914" w:rsidRPr="00CD10C1" w:rsidRDefault="00073914" w:rsidP="00E5389A">
            <w:pPr>
              <w:pStyle w:val="Tabletext"/>
            </w:pPr>
            <w:r w:rsidRPr="00CD10C1">
              <w:t>Annually</w:t>
            </w:r>
          </w:p>
        </w:tc>
      </w:tr>
      <w:tr w:rsidR="00073914" w:rsidRPr="00D070E3" w14:paraId="44D95554" w14:textId="77777777" w:rsidTr="00E5389A">
        <w:tc>
          <w:tcPr>
            <w:tcW w:w="0" w:type="auto"/>
            <w:vAlign w:val="top"/>
          </w:tcPr>
          <w:p w14:paraId="5977CA67" w14:textId="77777777" w:rsidR="00073914" w:rsidRPr="00CA76F2" w:rsidRDefault="00073914" w:rsidP="00E5389A">
            <w:pPr>
              <w:pStyle w:val="Tabletext"/>
            </w:pPr>
            <w:r w:rsidRPr="00CA76F2">
              <w:t>Denominator</w:t>
            </w:r>
          </w:p>
        </w:tc>
        <w:tc>
          <w:tcPr>
            <w:tcW w:w="0" w:type="auto"/>
            <w:vAlign w:val="top"/>
          </w:tcPr>
          <w:p w14:paraId="639CC122" w14:textId="49A80E7E" w:rsidR="00073914" w:rsidRPr="00D070E3" w:rsidRDefault="00073914" w:rsidP="00E5389A">
            <w:pPr>
              <w:pStyle w:val="Tabletext"/>
              <w:rPr>
                <w:rFonts w:cs="Arial"/>
              </w:rPr>
            </w:pPr>
            <w:r w:rsidRPr="00CA76F2">
              <w:t>AI</w:t>
            </w:r>
            <w:r w:rsidR="00814A9A" w:rsidRPr="00CA76F2">
              <w:t>R</w:t>
            </w:r>
            <w:r w:rsidR="00814A9A" w:rsidRPr="00B970F2">
              <w:rPr>
                <w:rStyle w:val="SuperscriptChar"/>
              </w:rPr>
              <w:fldChar w:fldCharType="begin"/>
            </w:r>
            <w:r w:rsidR="00814A9A" w:rsidRPr="00B970F2">
              <w:rPr>
                <w:rStyle w:val="SuperscriptChar"/>
              </w:rPr>
              <w:instrText xml:space="preserve"> NOTEREF _Ref135296054 \f \h </w:instrText>
            </w:r>
            <w:r w:rsidR="00805C86" w:rsidRPr="00B970F2">
              <w:rPr>
                <w:rStyle w:val="SuperscriptChar"/>
              </w:rPr>
              <w:instrText xml:space="preserve"> \* MERGEFORMAT </w:instrText>
            </w:r>
            <w:r w:rsidR="00814A9A" w:rsidRPr="00B970F2">
              <w:rPr>
                <w:rStyle w:val="SuperscriptChar"/>
              </w:rPr>
            </w:r>
            <w:r w:rsidR="00814A9A" w:rsidRPr="00B970F2">
              <w:rPr>
                <w:rStyle w:val="SuperscriptChar"/>
              </w:rPr>
              <w:fldChar w:fldCharType="separate"/>
            </w:r>
            <w:r w:rsidR="00852237" w:rsidRPr="00B970F2">
              <w:rPr>
                <w:rStyle w:val="SuperscriptChar"/>
              </w:rPr>
              <w:t>5</w:t>
            </w:r>
            <w:r w:rsidR="00814A9A" w:rsidRPr="00B970F2">
              <w:rPr>
                <w:rStyle w:val="SuperscriptChar"/>
              </w:rPr>
              <w:fldChar w:fldCharType="end"/>
            </w:r>
            <w:r w:rsidR="00814A9A" w:rsidRPr="00D070E3">
              <w:rPr>
                <w:rFonts w:cs="Arial"/>
              </w:rPr>
              <w:t xml:space="preserve"> </w:t>
            </w:r>
          </w:p>
        </w:tc>
        <w:tc>
          <w:tcPr>
            <w:tcW w:w="0" w:type="auto"/>
            <w:vAlign w:val="top"/>
          </w:tcPr>
          <w:p w14:paraId="0FAA2EE3" w14:textId="502EEDA9" w:rsidR="00073914" w:rsidRPr="00D070E3" w:rsidRDefault="00073914" w:rsidP="00E5389A">
            <w:pPr>
              <w:pStyle w:val="Tabletext"/>
              <w:rPr>
                <w:rFonts w:cs="Arial"/>
              </w:rPr>
            </w:pPr>
            <w:r w:rsidRPr="00D070E3">
              <w:rPr>
                <w:rFonts w:cs="Arial"/>
              </w:rPr>
              <w:t xml:space="preserve">Total number of </w:t>
            </w:r>
            <w:r>
              <w:rPr>
                <w:rFonts w:cs="Arial"/>
              </w:rPr>
              <w:t>people</w:t>
            </w:r>
            <w:r w:rsidRPr="00D070E3">
              <w:rPr>
                <w:rFonts w:cs="Arial"/>
              </w:rPr>
              <w:t xml:space="preserve"> aged 15</w:t>
            </w:r>
            <w:r>
              <w:rPr>
                <w:rFonts w:cs="Arial"/>
              </w:rPr>
              <w:t xml:space="preserve"> years per calendar year (birth cohort)</w:t>
            </w:r>
            <w:r w:rsidRPr="00D070E3">
              <w:rPr>
                <w:rFonts w:cs="Arial"/>
              </w:rPr>
              <w:t>, registered in AIR</w:t>
            </w:r>
            <w:bookmarkStart w:id="21" w:name="_Ref135296432"/>
            <w:r w:rsidR="005355AC">
              <w:rPr>
                <w:rFonts w:ascii="ZWAdobeF" w:hAnsi="ZWAdobeF" w:cs="ZWAdobeF"/>
                <w:color w:val="auto"/>
                <w:sz w:val="2"/>
                <w:szCs w:val="2"/>
              </w:rPr>
              <w:t>5F</w:t>
            </w:r>
            <w:r w:rsidRPr="00D070E3">
              <w:rPr>
                <w:rStyle w:val="FootnoteReference"/>
                <w:rFonts w:eastAsiaTheme="minorEastAsia" w:cs="Arial"/>
              </w:rPr>
              <w:footnoteReference w:id="6"/>
            </w:r>
            <w:bookmarkEnd w:id="21"/>
            <w:r>
              <w:rPr>
                <w:rFonts w:cs="Arial"/>
              </w:rPr>
              <w:t>.</w:t>
            </w:r>
          </w:p>
        </w:tc>
        <w:tc>
          <w:tcPr>
            <w:tcW w:w="0" w:type="auto"/>
            <w:vAlign w:val="top"/>
          </w:tcPr>
          <w:p w14:paraId="0ED585C5" w14:textId="77777777" w:rsidR="00073914" w:rsidRPr="00CD10C1" w:rsidRDefault="00073914" w:rsidP="00E5389A">
            <w:pPr>
              <w:pStyle w:val="Tabletext"/>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0799F19" w14:textId="77777777" w:rsidR="00073914" w:rsidRPr="00CD10C1" w:rsidRDefault="00073914" w:rsidP="00E5389A">
            <w:pPr>
              <w:pStyle w:val="Tabletext"/>
            </w:pPr>
            <w:r w:rsidRPr="00CD10C1">
              <w:t>Annually</w:t>
            </w:r>
          </w:p>
        </w:tc>
      </w:tr>
    </w:tbl>
    <w:p w14:paraId="263A8ECB" w14:textId="357DB3CD" w:rsidR="00073914" w:rsidRPr="00C835F9" w:rsidRDefault="00073914" w:rsidP="00AA21AA">
      <w:pPr>
        <w:pStyle w:val="Caption"/>
        <w:spacing w:before="240"/>
      </w:pPr>
      <w:r w:rsidRPr="00C835F9">
        <w:t>Single dose HPV vaccination coverage for Aboriginal and Torres Strait Islander people assessed at 15 years of age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64"/>
        <w:gridCol w:w="734"/>
        <w:gridCol w:w="3820"/>
        <w:gridCol w:w="2173"/>
        <w:gridCol w:w="1568"/>
      </w:tblGrid>
      <w:tr w:rsidR="00073914" w:rsidRPr="00505765" w14:paraId="4969B5A4" w14:textId="77777777" w:rsidTr="00AA21AA">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2F84D55E" w14:textId="77777777" w:rsidR="00073914" w:rsidRPr="00D95CB8" w:rsidRDefault="00073914" w:rsidP="00AA21AA">
            <w:pPr>
              <w:pStyle w:val="Tableheaderrowblack"/>
              <w:rPr>
                <w:b/>
              </w:rPr>
            </w:pPr>
            <w:r w:rsidRPr="00D95CB8">
              <w:t>Indicator components</w:t>
            </w:r>
          </w:p>
        </w:tc>
        <w:tc>
          <w:tcPr>
            <w:tcW w:w="0" w:type="auto"/>
            <w:vAlign w:val="top"/>
          </w:tcPr>
          <w:p w14:paraId="15FA45E7" w14:textId="77777777" w:rsidR="00073914" w:rsidRPr="00D95CB8" w:rsidRDefault="00073914" w:rsidP="00AA21AA">
            <w:pPr>
              <w:pStyle w:val="Tableheaderrowblack"/>
              <w:rPr>
                <w:b/>
              </w:rPr>
            </w:pPr>
            <w:r w:rsidRPr="00D95CB8">
              <w:t>Source</w:t>
            </w:r>
          </w:p>
        </w:tc>
        <w:tc>
          <w:tcPr>
            <w:tcW w:w="0" w:type="auto"/>
            <w:vAlign w:val="top"/>
          </w:tcPr>
          <w:p w14:paraId="3D585EB9" w14:textId="77777777" w:rsidR="00073914" w:rsidRPr="00D95CB8" w:rsidRDefault="00073914" w:rsidP="00AA21AA">
            <w:pPr>
              <w:pStyle w:val="Tableheaderrowblack"/>
              <w:rPr>
                <w:b/>
              </w:rPr>
            </w:pPr>
            <w:r w:rsidRPr="00D95CB8">
              <w:t>Description</w:t>
            </w:r>
          </w:p>
        </w:tc>
        <w:tc>
          <w:tcPr>
            <w:tcW w:w="0" w:type="auto"/>
            <w:vAlign w:val="top"/>
          </w:tcPr>
          <w:p w14:paraId="0236B4B4" w14:textId="36E62726" w:rsidR="00073914" w:rsidRPr="00D95CB8" w:rsidRDefault="00073914" w:rsidP="00AA21AA">
            <w:pPr>
              <w:pStyle w:val="Tableheaderrowblack"/>
              <w:rPr>
                <w:b/>
              </w:rPr>
            </w:pPr>
            <w:r w:rsidRPr="00D95CB8">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7BF1A89" w14:textId="6657660E" w:rsidR="00073914" w:rsidRPr="00D95CB8" w:rsidRDefault="00073914" w:rsidP="00AA21AA">
            <w:pPr>
              <w:pStyle w:val="Tableheaderrowblack"/>
              <w:rPr>
                <w:b/>
              </w:rPr>
            </w:pPr>
            <w:r w:rsidRPr="00D95CB8">
              <w:t>Availability of data for reporting</w:t>
            </w:r>
          </w:p>
        </w:tc>
      </w:tr>
      <w:tr w:rsidR="00073914" w:rsidRPr="00505765" w14:paraId="49D057D9" w14:textId="77777777" w:rsidTr="00AA21AA">
        <w:trPr>
          <w:cnfStyle w:val="000000100000" w:firstRow="0" w:lastRow="0" w:firstColumn="0" w:lastColumn="0" w:oddVBand="0" w:evenVBand="0" w:oddHBand="1" w:evenHBand="0" w:firstRowFirstColumn="0" w:firstRowLastColumn="0" w:lastRowFirstColumn="0" w:lastRowLastColumn="0"/>
          <w:trHeight w:val="960"/>
        </w:trPr>
        <w:tc>
          <w:tcPr>
            <w:tcW w:w="0" w:type="auto"/>
            <w:vAlign w:val="top"/>
          </w:tcPr>
          <w:p w14:paraId="776A2411" w14:textId="77777777" w:rsidR="00073914" w:rsidRPr="00CA76F2" w:rsidRDefault="00073914" w:rsidP="00AA21AA">
            <w:pPr>
              <w:pStyle w:val="Tabletext"/>
            </w:pPr>
            <w:r w:rsidRPr="00CA76F2">
              <w:t>Numerator</w:t>
            </w:r>
          </w:p>
        </w:tc>
        <w:tc>
          <w:tcPr>
            <w:tcW w:w="0" w:type="auto"/>
            <w:vAlign w:val="top"/>
          </w:tcPr>
          <w:p w14:paraId="3DF68661" w14:textId="05FBEFF3" w:rsidR="00073914" w:rsidRPr="00D95CB8" w:rsidRDefault="00073914" w:rsidP="00AA21AA">
            <w:pPr>
              <w:pStyle w:val="Tabletext"/>
              <w:rPr>
                <w:rFonts w:cs="Arial"/>
              </w:rPr>
            </w:pPr>
            <w:r w:rsidRPr="00D95CB8">
              <w:rPr>
                <w:rFonts w:cs="Arial"/>
              </w:rPr>
              <w:t>AIR</w:t>
            </w:r>
            <w:r w:rsidR="00814A9A">
              <w:rPr>
                <w:rFonts w:cs="Arial"/>
              </w:rPr>
              <w:fldChar w:fldCharType="begin"/>
            </w:r>
            <w:r w:rsidR="00814A9A">
              <w:rPr>
                <w:rFonts w:cs="Arial"/>
              </w:rPr>
              <w:instrText xml:space="preserve"> NOTEREF _Ref135296054 \f \h </w:instrText>
            </w:r>
            <w:r w:rsidR="00CA76F2">
              <w:rPr>
                <w:rFonts w:cs="Arial"/>
              </w:rPr>
              <w:instrText xml:space="preserve"> \* MERGEFORMAT </w:instrText>
            </w:r>
            <w:r w:rsidR="00814A9A">
              <w:rPr>
                <w:rFonts w:cs="Arial"/>
              </w:rPr>
            </w:r>
            <w:r w:rsidR="00814A9A">
              <w:rPr>
                <w:rFonts w:cs="Arial"/>
              </w:rPr>
              <w:fldChar w:fldCharType="separate"/>
            </w:r>
            <w:r w:rsidR="00852237" w:rsidRPr="00852237">
              <w:rPr>
                <w:rStyle w:val="FootnoteReference"/>
              </w:rPr>
              <w:t>5</w:t>
            </w:r>
            <w:r w:rsidR="00814A9A">
              <w:rPr>
                <w:rFonts w:cs="Arial"/>
              </w:rPr>
              <w:fldChar w:fldCharType="end"/>
            </w:r>
          </w:p>
        </w:tc>
        <w:tc>
          <w:tcPr>
            <w:tcW w:w="0" w:type="auto"/>
            <w:vAlign w:val="top"/>
          </w:tcPr>
          <w:p w14:paraId="358E07CA" w14:textId="77777777" w:rsidR="00073914" w:rsidRPr="00D95CB8" w:rsidRDefault="00073914" w:rsidP="00AA21AA">
            <w:pPr>
              <w:pStyle w:val="Tabletext"/>
              <w:rPr>
                <w:rFonts w:cs="Arial"/>
              </w:rPr>
            </w:pPr>
            <w:r w:rsidRPr="00D95CB8">
              <w:rPr>
                <w:rFonts w:cs="Arial"/>
              </w:rPr>
              <w:t xml:space="preserve">Number of Aboriginal and Torres Strait Islander people </w:t>
            </w:r>
            <w:r>
              <w:rPr>
                <w:rFonts w:cs="Arial"/>
              </w:rPr>
              <w:t>who have received a single dose of HPV vaccine by age 15 years (estimated per birth cohort).</w:t>
            </w:r>
          </w:p>
        </w:tc>
        <w:tc>
          <w:tcPr>
            <w:tcW w:w="0" w:type="auto"/>
            <w:vAlign w:val="top"/>
          </w:tcPr>
          <w:p w14:paraId="24CD8DFA" w14:textId="77777777" w:rsidR="00073914" w:rsidRPr="00CD10C1" w:rsidRDefault="00073914" w:rsidP="00AA21AA">
            <w:pPr>
              <w:pStyle w:val="Tabletext"/>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7CCC6F22" w14:textId="77777777" w:rsidR="00073914" w:rsidRPr="00CD10C1" w:rsidRDefault="00073914" w:rsidP="00AA21AA">
            <w:pPr>
              <w:pStyle w:val="Tabletext"/>
            </w:pPr>
            <w:r w:rsidRPr="00CD10C1">
              <w:t>Annually</w:t>
            </w:r>
          </w:p>
        </w:tc>
      </w:tr>
      <w:tr w:rsidR="00073914" w:rsidRPr="00D070E3" w14:paraId="4F058091" w14:textId="77777777" w:rsidTr="00AA21AA">
        <w:tc>
          <w:tcPr>
            <w:tcW w:w="0" w:type="auto"/>
            <w:vAlign w:val="top"/>
          </w:tcPr>
          <w:p w14:paraId="58C6FA45" w14:textId="77777777" w:rsidR="00073914" w:rsidRPr="00CA76F2" w:rsidRDefault="00073914" w:rsidP="00AA21AA">
            <w:pPr>
              <w:pStyle w:val="Tabletext"/>
            </w:pPr>
            <w:r w:rsidRPr="00CA76F2">
              <w:t>Denominator</w:t>
            </w:r>
          </w:p>
        </w:tc>
        <w:tc>
          <w:tcPr>
            <w:tcW w:w="0" w:type="auto"/>
            <w:vAlign w:val="top"/>
          </w:tcPr>
          <w:p w14:paraId="647C0C1F" w14:textId="2D30FBEB" w:rsidR="00073914" w:rsidRPr="00D95CB8" w:rsidRDefault="00073914" w:rsidP="00AA21AA">
            <w:pPr>
              <w:pStyle w:val="Tabletext"/>
              <w:rPr>
                <w:rFonts w:cs="Arial"/>
              </w:rPr>
            </w:pPr>
            <w:r w:rsidRPr="00D95CB8">
              <w:rPr>
                <w:rFonts w:cs="Arial"/>
              </w:rPr>
              <w:t>AIR</w:t>
            </w:r>
            <w:r w:rsidR="00814A9A">
              <w:rPr>
                <w:rFonts w:cs="Arial"/>
              </w:rPr>
              <w:fldChar w:fldCharType="begin"/>
            </w:r>
            <w:r w:rsidR="00814A9A">
              <w:rPr>
                <w:rFonts w:cs="Arial"/>
              </w:rPr>
              <w:instrText xml:space="preserve"> NOTEREF _Ref135296054 \f \h </w:instrText>
            </w:r>
            <w:r w:rsidR="00CA76F2">
              <w:rPr>
                <w:rFonts w:cs="Arial"/>
              </w:rPr>
              <w:instrText xml:space="preserve"> \* MERGEFORMAT </w:instrText>
            </w:r>
            <w:r w:rsidR="00814A9A">
              <w:rPr>
                <w:rFonts w:cs="Arial"/>
              </w:rPr>
            </w:r>
            <w:r w:rsidR="00814A9A">
              <w:rPr>
                <w:rFonts w:cs="Arial"/>
              </w:rPr>
              <w:fldChar w:fldCharType="separate"/>
            </w:r>
            <w:r w:rsidR="00852237" w:rsidRPr="00852237">
              <w:rPr>
                <w:rStyle w:val="FootnoteReference"/>
              </w:rPr>
              <w:t>5</w:t>
            </w:r>
            <w:r w:rsidR="00814A9A">
              <w:rPr>
                <w:rFonts w:cs="Arial"/>
              </w:rPr>
              <w:fldChar w:fldCharType="end"/>
            </w:r>
          </w:p>
        </w:tc>
        <w:tc>
          <w:tcPr>
            <w:tcW w:w="0" w:type="auto"/>
            <w:vAlign w:val="top"/>
          </w:tcPr>
          <w:p w14:paraId="05E9E00D" w14:textId="77777777" w:rsidR="00073914" w:rsidRPr="00D95CB8" w:rsidRDefault="00073914" w:rsidP="00AA21AA">
            <w:pPr>
              <w:pStyle w:val="Tabletext"/>
              <w:rPr>
                <w:rFonts w:cs="Arial"/>
              </w:rPr>
            </w:pPr>
            <w:r w:rsidRPr="00D95CB8">
              <w:rPr>
                <w:rFonts w:cs="Arial"/>
              </w:rPr>
              <w:t>Total number Aboriginal and Torres Strait Islander people aged 15</w:t>
            </w:r>
            <w:r>
              <w:rPr>
                <w:rFonts w:cs="Arial"/>
              </w:rPr>
              <w:t xml:space="preserve"> years per calendar year (birth cohort)</w:t>
            </w:r>
            <w:r w:rsidRPr="00D95CB8">
              <w:rPr>
                <w:rFonts w:cs="Arial"/>
              </w:rPr>
              <w:t>, registered in AIR</w:t>
            </w:r>
            <w:r w:rsidRPr="001F257D">
              <w:rPr>
                <w:rFonts w:cs="Arial"/>
              </w:rPr>
              <w:fldChar w:fldCharType="begin"/>
            </w:r>
            <w:r w:rsidRPr="001F257D">
              <w:rPr>
                <w:rFonts w:cs="Arial"/>
              </w:rPr>
              <w:instrText xml:space="preserve"> NOTEREF _Ref135296432 \f \h  \* MERGEFORMAT </w:instrText>
            </w:r>
            <w:r w:rsidRPr="001F257D">
              <w:rPr>
                <w:rFonts w:cs="Arial"/>
              </w:rPr>
            </w:r>
            <w:r w:rsidRPr="001F257D">
              <w:rPr>
                <w:rFonts w:cs="Arial"/>
              </w:rPr>
              <w:fldChar w:fldCharType="separate"/>
            </w:r>
            <w:r w:rsidR="00852237" w:rsidRPr="00852237">
              <w:rPr>
                <w:rStyle w:val="FootnoteReference"/>
                <w:rFonts w:eastAsiaTheme="minorEastAsia" w:cs="Arial"/>
              </w:rPr>
              <w:t>6</w:t>
            </w:r>
            <w:r w:rsidRPr="001F257D">
              <w:rPr>
                <w:rFonts w:cs="Arial"/>
              </w:rPr>
              <w:fldChar w:fldCharType="end"/>
            </w:r>
            <w:r w:rsidRPr="00D95CB8">
              <w:rPr>
                <w:rFonts w:cs="Arial"/>
              </w:rPr>
              <w:t>.</w:t>
            </w:r>
          </w:p>
        </w:tc>
        <w:tc>
          <w:tcPr>
            <w:tcW w:w="0" w:type="auto"/>
            <w:vAlign w:val="top"/>
          </w:tcPr>
          <w:p w14:paraId="7844FD94" w14:textId="77777777" w:rsidR="00073914" w:rsidRPr="00CD10C1" w:rsidRDefault="00073914" w:rsidP="00AA21AA">
            <w:pPr>
              <w:pStyle w:val="Tabletext"/>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9C11313" w14:textId="77777777" w:rsidR="00073914" w:rsidRPr="00CD10C1" w:rsidRDefault="00073914" w:rsidP="00AA21AA">
            <w:pPr>
              <w:pStyle w:val="Tabletext"/>
            </w:pPr>
            <w:r w:rsidRPr="00CD10C1">
              <w:t>Annually</w:t>
            </w:r>
          </w:p>
        </w:tc>
      </w:tr>
    </w:tbl>
    <w:p w14:paraId="34BDE553" w14:textId="77777777" w:rsidR="00C0678C" w:rsidRPr="008C4020" w:rsidRDefault="00C0678C" w:rsidP="008C4020">
      <w:bookmarkStart w:id="22" w:name="_1.2._Monitor_coverage"/>
      <w:bookmarkEnd w:id="22"/>
      <w:r w:rsidRPr="008C4020">
        <w:br w:type="page"/>
      </w:r>
    </w:p>
    <w:p w14:paraId="584475D4" w14:textId="23CAE6A6" w:rsidR="00073914" w:rsidRPr="00B0680D" w:rsidRDefault="00073914" w:rsidP="00E9658C">
      <w:pPr>
        <w:pStyle w:val="Heading2Numbering"/>
      </w:pPr>
      <w:bookmarkStart w:id="23" w:name="_Toc232507536"/>
      <w:r w:rsidRPr="00B0680D">
        <w:lastRenderedPageBreak/>
        <w:t>Monitor coverage of cervical screening</w:t>
      </w:r>
      <w:bookmarkEnd w:id="23"/>
    </w:p>
    <w:p w14:paraId="556928D8" w14:textId="77777777" w:rsidR="00257D46" w:rsidRPr="00257D46" w:rsidRDefault="00257D46" w:rsidP="00143CD7">
      <w:pPr>
        <w:pStyle w:val="Boxgreenheading"/>
      </w:pPr>
      <w:bookmarkStart w:id="24" w:name="_Toc161152101"/>
      <w:r w:rsidRPr="00257D46">
        <w:t>Indicators</w:t>
      </w:r>
      <w:bookmarkEnd w:id="24"/>
    </w:p>
    <w:p w14:paraId="3E50D6B6" w14:textId="77777777" w:rsidR="00257D46" w:rsidRPr="00257D46" w:rsidRDefault="00257D46" w:rsidP="00143CD7">
      <w:pPr>
        <w:pStyle w:val="Boxgreentext"/>
      </w:pPr>
      <w:r w:rsidRPr="00257D46">
        <w:t>Number of eligible people aged 25–74 years screened in a 5-year period as a percentage of eligible people in the population*</w:t>
      </w:r>
    </w:p>
    <w:p w14:paraId="3E49E1B4" w14:textId="77777777" w:rsidR="00257D46" w:rsidRDefault="00257D46" w:rsidP="00143CD7">
      <w:pPr>
        <w:pStyle w:val="Boxgreentext"/>
      </w:pPr>
      <w:r w:rsidRPr="00257D46">
        <w:t>Number of eligible Aboriginal and Torres Strait Islander people aged 25–74 years screened in a 5-year period as a percentage of eligible people in the Aboriginal and Torres Strait Islander population</w:t>
      </w:r>
    </w:p>
    <w:p w14:paraId="33648B36" w14:textId="77777777" w:rsidR="00257D46" w:rsidRPr="00A74B5B" w:rsidRDefault="00257D46" w:rsidP="00143CD7">
      <w:pPr>
        <w:pStyle w:val="Boxgreentext"/>
      </w:pPr>
      <w:r w:rsidRPr="00A74B5B">
        <w:t>*This is an existing indicator from the NCSP.</w:t>
      </w:r>
    </w:p>
    <w:p w14:paraId="333D61C5" w14:textId="77777777" w:rsidR="00333637" w:rsidRDefault="00257D46" w:rsidP="00143CD7">
      <w:pPr>
        <w:pStyle w:val="Heading3"/>
      </w:pPr>
      <w:r w:rsidRPr="00D070E3">
        <w:t>Rationale for surveillance</w:t>
      </w:r>
    </w:p>
    <w:p w14:paraId="54DCA386" w14:textId="77777777" w:rsidR="00257D46" w:rsidRPr="008065B4" w:rsidRDefault="00257D46" w:rsidP="008065B4">
      <w:pPr>
        <w:rPr>
          <w:szCs w:val="20"/>
        </w:rPr>
      </w:pPr>
      <w:r w:rsidRPr="008065B4">
        <w:rPr>
          <w:szCs w:val="20"/>
        </w:rPr>
        <w:t>If detected, precancerous cervical abnormalities can be treated before progression to cancer.  Higher coverage in cervical screening, through early detection and treatment of precancerous lesions, reduces the incidence of and mortality from cervical cancer.  Monitoring the uptake of cervical screening aims to:</w:t>
      </w:r>
    </w:p>
    <w:p w14:paraId="2F7A272B" w14:textId="77777777" w:rsidR="00257D46" w:rsidRPr="00CA76F2" w:rsidRDefault="00257D46" w:rsidP="00143CD7">
      <w:pPr>
        <w:pStyle w:val="ListBullet"/>
      </w:pPr>
      <w:r w:rsidRPr="008065B4">
        <w:t xml:space="preserve">Monitor progress against screening </w:t>
      </w:r>
      <w:r w:rsidRPr="00CA76F2">
        <w:t>coverage targets</w:t>
      </w:r>
    </w:p>
    <w:p w14:paraId="7C3D6E24" w14:textId="77777777" w:rsidR="00257D46" w:rsidRPr="00CA76F2" w:rsidRDefault="00257D46" w:rsidP="00143CD7">
      <w:pPr>
        <w:pStyle w:val="ListBullet"/>
      </w:pPr>
      <w:r w:rsidRPr="00CA76F2">
        <w:t>Identify groups or areas with lower screening coverage</w:t>
      </w:r>
    </w:p>
    <w:p w14:paraId="5BB74CE5" w14:textId="77777777" w:rsidR="00333637" w:rsidRPr="00192F08" w:rsidRDefault="00257D46" w:rsidP="00143CD7">
      <w:pPr>
        <w:pStyle w:val="Heading3"/>
      </w:pPr>
      <w:r w:rsidRPr="00192F08">
        <w:t>Data considerations</w:t>
      </w:r>
    </w:p>
    <w:p w14:paraId="220DC3BC" w14:textId="33604ACE" w:rsidR="00257D46" w:rsidRPr="00333637" w:rsidRDefault="00257D46" w:rsidP="00802DCB">
      <w:pPr>
        <w:rPr>
          <w:rFonts w:cstheme="majorBidi"/>
          <w:szCs w:val="20"/>
        </w:rPr>
      </w:pPr>
      <w:r w:rsidRPr="00333637">
        <w:rPr>
          <w:szCs w:val="20"/>
        </w:rPr>
        <w:t>Under the renewed NCSP</w:t>
      </w:r>
      <w:r w:rsidR="005355AC">
        <w:rPr>
          <w:rFonts w:ascii="ZWAdobeF" w:hAnsi="ZWAdobeF" w:cs="ZWAdobeF"/>
          <w:sz w:val="2"/>
          <w:szCs w:val="2"/>
        </w:rPr>
        <w:t>6F</w:t>
      </w:r>
      <w:r w:rsidRPr="00333637">
        <w:rPr>
          <w:rStyle w:val="FootnoteReference"/>
          <w:rFonts w:cs="Arial"/>
          <w:szCs w:val="20"/>
        </w:rPr>
        <w:footnoteReference w:id="7"/>
      </w:r>
      <w:r w:rsidRPr="00333637">
        <w:rPr>
          <w:szCs w:val="20"/>
        </w:rPr>
        <w:t xml:space="preserve">, people aged 25 to 74 years are recommended to have a 5-yearly Cervical Screening Test. Data from the NCSP is held on the National Cancer Screening Register (NCSR). Following the replacement of state-based registers in 2017, the NCSR represents a single national database of cervical screening records under the NCSP. </w:t>
      </w:r>
    </w:p>
    <w:p w14:paraId="051AD546" w14:textId="77777777" w:rsidR="00257D46" w:rsidRPr="00333637" w:rsidRDefault="00257D46" w:rsidP="00802DCB">
      <w:pPr>
        <w:rPr>
          <w:rFonts w:cs="Arial"/>
          <w:szCs w:val="20"/>
        </w:rPr>
      </w:pPr>
      <w:r w:rsidRPr="00333637">
        <w:rPr>
          <w:rFonts w:cs="Arial"/>
          <w:szCs w:val="20"/>
        </w:rPr>
        <w:t>The measure of coverage is to be calculated to include everyone who had an HPV or liquid based cytology (LBC) for any reason, including primary or repeat screening, investigation of signs or symptoms, test of cure, as part of a colposcopy, or for any other reason as specified in the clinical guidelines for cervical screening. The first 2 years of the renewed NCSP was a transition period in which people who had had a Pap test under the previous NCSP become due for their first screening HPV test, after which time they then moved to a 5-yearly screening interval.</w:t>
      </w:r>
    </w:p>
    <w:p w14:paraId="717486F7" w14:textId="33DEE2CF" w:rsidR="00257D46" w:rsidRDefault="00257D46" w:rsidP="00802DCB">
      <w:pPr>
        <w:rPr>
          <w:rFonts w:cs="Arial"/>
          <w:szCs w:val="20"/>
        </w:rPr>
      </w:pPr>
      <w:r w:rsidRPr="4E34E98E">
        <w:rPr>
          <w:rFonts w:cs="Arial"/>
          <w:szCs w:val="20"/>
        </w:rPr>
        <w:lastRenderedPageBreak/>
        <w:t xml:space="preserve">The Australian Institute of Health and Welfare (AIHW) publishes an annual report on the performance of the NCSP, the </w:t>
      </w:r>
      <w:hyperlink r:id="rId31">
        <w:r w:rsidRPr="4E34E98E">
          <w:rPr>
            <w:rStyle w:val="Hyperlink"/>
            <w:rFonts w:cs="Arial"/>
            <w:szCs w:val="20"/>
          </w:rPr>
          <w:t>National Cervical Screening Program monitoring report</w:t>
        </w:r>
      </w:hyperlink>
      <w:r w:rsidRPr="4E34E98E">
        <w:rPr>
          <w:rFonts w:cs="Arial"/>
          <w:szCs w:val="20"/>
        </w:rPr>
        <w:t xml:space="preserve"> (formerly </w:t>
      </w:r>
      <w:r w:rsidRPr="00CD10C1">
        <w:rPr>
          <w:rStyle w:val="Emphasis"/>
        </w:rPr>
        <w:t>Cervical Screening in Australia</w:t>
      </w:r>
      <w:r w:rsidRPr="4E34E98E">
        <w:rPr>
          <w:rFonts w:cs="Arial"/>
          <w:szCs w:val="20"/>
        </w:rPr>
        <w:t>). Performance indicators have been developed to support monitoring and reporting of the NCSP, including the indicator used to report against this objective.</w:t>
      </w:r>
    </w:p>
    <w:p w14:paraId="1E6A95D6" w14:textId="77777777" w:rsidR="00257D46" w:rsidRDefault="00257D46" w:rsidP="00802DCB">
      <w:pPr>
        <w:rPr>
          <w:rFonts w:cs="Arial"/>
          <w:szCs w:val="20"/>
        </w:rPr>
      </w:pPr>
      <w:r w:rsidRPr="002A7ED8">
        <w:rPr>
          <w:rFonts w:cs="Arial"/>
          <w:szCs w:val="20"/>
        </w:rPr>
        <w:t>HPV vaccination status should be collected and reported against these indicators where available. There is no current data linkage between AIR and the NSCR; however, there is work underway to establish this linkage.</w:t>
      </w:r>
      <w:r w:rsidRPr="3B2FDA41">
        <w:rPr>
          <w:rFonts w:cs="Arial"/>
          <w:szCs w:val="20"/>
        </w:rPr>
        <w:t xml:space="preserve"> </w:t>
      </w:r>
    </w:p>
    <w:p w14:paraId="7A02FFFD" w14:textId="77777777" w:rsidR="00257D46" w:rsidRDefault="00257D46" w:rsidP="00802DCB">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 </w:t>
      </w:r>
    </w:p>
    <w:p w14:paraId="60239787" w14:textId="77777777" w:rsidR="00257D46" w:rsidRPr="000F6FA9" w:rsidRDefault="00257D46" w:rsidP="00792CE3">
      <w:pPr>
        <w:pStyle w:val="Heading4"/>
      </w:pPr>
      <w:r w:rsidRPr="000F6FA9">
        <w:t>Hysterectomy fractions</w:t>
      </w:r>
    </w:p>
    <w:p w14:paraId="5078F161" w14:textId="77777777" w:rsidR="00257D46" w:rsidRDefault="00257D46" w:rsidP="00802DCB">
      <w:pPr>
        <w:rPr>
          <w:rFonts w:cs="Arial"/>
          <w:szCs w:val="20"/>
        </w:rPr>
      </w:pPr>
      <w:r w:rsidRPr="4CDBB324">
        <w:rPr>
          <w:rFonts w:cs="Arial"/>
          <w:szCs w:val="20"/>
        </w:rPr>
        <w:t xml:space="preserve">Hysterectomy fractions represent the proportion of females with an intact uterus (and cervix) at a particular age and are used to adjust the population for participation calculations. This is because females who have had a hysterectomy with their cervix removed do not require </w:t>
      </w:r>
      <w:r w:rsidRPr="65E77CD2">
        <w:rPr>
          <w:rFonts w:cs="Arial"/>
          <w:szCs w:val="20"/>
        </w:rPr>
        <w:t xml:space="preserve">cervical </w:t>
      </w:r>
      <w:r w:rsidRPr="4CDBB324">
        <w:rPr>
          <w:rFonts w:cs="Arial"/>
          <w:szCs w:val="20"/>
        </w:rPr>
        <w:t xml:space="preserve">screening. Since a substantial proportion (20%–30%) of </w:t>
      </w:r>
      <w:r w:rsidRPr="74D2078C">
        <w:rPr>
          <w:rFonts w:cs="Arial"/>
          <w:szCs w:val="20"/>
        </w:rPr>
        <w:t xml:space="preserve">eligible </w:t>
      </w:r>
      <w:r w:rsidRPr="4CDBB324">
        <w:rPr>
          <w:rFonts w:cs="Arial"/>
          <w:szCs w:val="20"/>
        </w:rPr>
        <w:t>middle-aged and older people in Australia do not have an intact cervix, the population is adjusted to remove these, so that participation in cervical screening can be more accurately estimated. Hysterectomy fractions are calculated by the AIHW based on data from the National Hospital Morbidity Database</w:t>
      </w:r>
      <w:r>
        <w:rPr>
          <w:rFonts w:cs="Arial"/>
          <w:szCs w:val="20"/>
        </w:rPr>
        <w:t xml:space="preserve"> (AIHW 2022).</w:t>
      </w:r>
    </w:p>
    <w:p w14:paraId="34278860" w14:textId="6BA78D69" w:rsidR="000F6FA9" w:rsidRPr="008C4020" w:rsidRDefault="000F6FA9" w:rsidP="008C4020">
      <w:r w:rsidRPr="008C4020">
        <w:br w:type="page"/>
      </w:r>
    </w:p>
    <w:p w14:paraId="4F010522" w14:textId="77777777" w:rsidR="00BA5BA6" w:rsidRPr="00BA5BA6" w:rsidRDefault="00BB52C4" w:rsidP="00792CE3">
      <w:pPr>
        <w:pStyle w:val="Heading3"/>
      </w:pPr>
      <w:r w:rsidRPr="00D070E3">
        <w:lastRenderedPageBreak/>
        <w:t>Reporting against indicator</w:t>
      </w:r>
      <w:r>
        <w:t>s</w:t>
      </w:r>
    </w:p>
    <w:p w14:paraId="752EBF11" w14:textId="77777777" w:rsidR="00BB52C4" w:rsidRPr="000F6FA9" w:rsidRDefault="00BB52C4" w:rsidP="000F6FA9">
      <w:pPr>
        <w:pStyle w:val="Caption"/>
      </w:pPr>
      <w:r w:rsidRPr="000F6FA9">
        <w:t>Number of eligible people aged 25–74 years screened in a 5-year period as a percentage of eligible people in the population</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373"/>
        <w:gridCol w:w="1642"/>
        <w:gridCol w:w="3206"/>
        <w:gridCol w:w="2173"/>
        <w:gridCol w:w="1365"/>
      </w:tblGrid>
      <w:tr w:rsidR="00BB52C4" w:rsidRPr="00D070E3" w14:paraId="259C76E8" w14:textId="77777777" w:rsidTr="00792CE3">
        <w:trPr>
          <w:cnfStyle w:val="100000000000" w:firstRow="1" w:lastRow="0" w:firstColumn="0" w:lastColumn="0" w:oddVBand="0" w:evenVBand="0" w:oddHBand="0" w:evenHBand="0" w:firstRowFirstColumn="0" w:firstRowLastColumn="0" w:lastRowFirstColumn="0" w:lastRowLastColumn="0"/>
        </w:trPr>
        <w:tc>
          <w:tcPr>
            <w:tcW w:w="0" w:type="auto"/>
            <w:vAlign w:val="top"/>
          </w:tcPr>
          <w:p w14:paraId="1D64E797" w14:textId="77777777" w:rsidR="00BB52C4" w:rsidRPr="00D070E3" w:rsidRDefault="00BB52C4" w:rsidP="00792CE3">
            <w:pPr>
              <w:pStyle w:val="Tableheaderrowblack"/>
              <w:rPr>
                <w:b/>
              </w:rPr>
            </w:pPr>
            <w:r w:rsidRPr="00D070E3">
              <w:t>Indicator components</w:t>
            </w:r>
          </w:p>
        </w:tc>
        <w:tc>
          <w:tcPr>
            <w:tcW w:w="0" w:type="auto"/>
            <w:vAlign w:val="top"/>
          </w:tcPr>
          <w:p w14:paraId="43153B6F" w14:textId="77777777" w:rsidR="00BB52C4" w:rsidRPr="00D070E3" w:rsidRDefault="00BB52C4" w:rsidP="00792CE3">
            <w:pPr>
              <w:pStyle w:val="Tableheaderrowblack"/>
              <w:rPr>
                <w:b/>
              </w:rPr>
            </w:pPr>
            <w:r w:rsidRPr="00D070E3">
              <w:t>Source</w:t>
            </w:r>
          </w:p>
        </w:tc>
        <w:tc>
          <w:tcPr>
            <w:tcW w:w="0" w:type="auto"/>
            <w:vAlign w:val="top"/>
          </w:tcPr>
          <w:p w14:paraId="2095F847" w14:textId="77777777" w:rsidR="00BB52C4" w:rsidRPr="00D070E3" w:rsidRDefault="00BB52C4" w:rsidP="00792CE3">
            <w:pPr>
              <w:pStyle w:val="Tableheaderrowblack"/>
              <w:rPr>
                <w:b/>
              </w:rPr>
            </w:pPr>
            <w:r w:rsidRPr="00D070E3">
              <w:t>Description</w:t>
            </w:r>
          </w:p>
        </w:tc>
        <w:tc>
          <w:tcPr>
            <w:tcW w:w="0" w:type="auto"/>
            <w:vAlign w:val="top"/>
          </w:tcPr>
          <w:p w14:paraId="3462854C" w14:textId="2C23211C" w:rsidR="00BB52C4" w:rsidRPr="00D070E3" w:rsidRDefault="00BB52C4" w:rsidP="00792CE3">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2A095B7" w14:textId="2D4651C8" w:rsidR="00BB52C4" w:rsidRPr="00D070E3" w:rsidRDefault="00BB52C4" w:rsidP="00792CE3">
            <w:pPr>
              <w:pStyle w:val="Tableheaderrowblack"/>
              <w:rPr>
                <w:b/>
              </w:rPr>
            </w:pPr>
            <w:r w:rsidRPr="00D070E3">
              <w:t xml:space="preserve">Availability of </w:t>
            </w:r>
            <w:proofErr w:type="gramStart"/>
            <w:r w:rsidRPr="00D070E3">
              <w:t>data</w:t>
            </w:r>
            <w:r w:rsidR="000F6FA9">
              <w:t xml:space="preserve"> </w:t>
            </w:r>
            <w:r w:rsidRPr="00D070E3">
              <w:t xml:space="preserve"> for</w:t>
            </w:r>
            <w:proofErr w:type="gramEnd"/>
            <w:r w:rsidRPr="00D070E3">
              <w:t xml:space="preserve"> reporting</w:t>
            </w:r>
          </w:p>
        </w:tc>
      </w:tr>
      <w:tr w:rsidR="00BB52C4" w:rsidRPr="00D070E3" w14:paraId="75CE2F95" w14:textId="77777777" w:rsidTr="00792CE3">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7E8A6B8F" w14:textId="77777777" w:rsidR="00BB52C4" w:rsidRPr="00CA76F2" w:rsidRDefault="00BB52C4" w:rsidP="00792CE3">
            <w:pPr>
              <w:pStyle w:val="Tabletext"/>
            </w:pPr>
            <w:r w:rsidRPr="00CA76F2">
              <w:t>Numerator</w:t>
            </w:r>
          </w:p>
        </w:tc>
        <w:tc>
          <w:tcPr>
            <w:tcW w:w="0" w:type="auto"/>
            <w:vAlign w:val="top"/>
          </w:tcPr>
          <w:p w14:paraId="1F4D3F84" w14:textId="10229595" w:rsidR="00BB52C4" w:rsidRPr="00D070E3" w:rsidRDefault="00BB52C4" w:rsidP="00792CE3">
            <w:pPr>
              <w:pStyle w:val="Tabletext"/>
              <w:rPr>
                <w:rFonts w:cs="Arial"/>
              </w:rPr>
            </w:pPr>
            <w:r w:rsidRPr="00CA76F2">
              <w:t>NCSR</w:t>
            </w:r>
            <w:bookmarkStart w:id="25" w:name="_Ref160098388"/>
            <w:r w:rsidR="005355AC">
              <w:rPr>
                <w:rFonts w:ascii="ZWAdobeF" w:hAnsi="ZWAdobeF" w:cs="ZWAdobeF"/>
                <w:color w:val="auto"/>
                <w:sz w:val="2"/>
                <w:szCs w:val="2"/>
              </w:rPr>
              <w:t>7F</w:t>
            </w:r>
            <w:r>
              <w:rPr>
                <w:rStyle w:val="FootnoteReference"/>
                <w:rFonts w:eastAsiaTheme="minorEastAsia" w:cs="Arial"/>
              </w:rPr>
              <w:footnoteReference w:id="8"/>
            </w:r>
            <w:bookmarkEnd w:id="25"/>
          </w:p>
        </w:tc>
        <w:tc>
          <w:tcPr>
            <w:tcW w:w="0" w:type="auto"/>
            <w:vAlign w:val="top"/>
          </w:tcPr>
          <w:p w14:paraId="718A7A73" w14:textId="77777777" w:rsidR="00BB52C4" w:rsidRPr="00D070E3" w:rsidRDefault="00BB52C4" w:rsidP="00792CE3">
            <w:pPr>
              <w:pStyle w:val="Tabletext"/>
              <w:rPr>
                <w:rFonts w:cs="Arial"/>
              </w:rPr>
            </w:pPr>
            <w:r w:rsidRPr="4CDBB324">
              <w:rPr>
                <w:rFonts w:cs="Arial"/>
              </w:rPr>
              <w:t xml:space="preserve">Number of </w:t>
            </w:r>
            <w:r w:rsidRPr="3AA2856E">
              <w:rPr>
                <w:rFonts w:cs="Arial"/>
              </w:rPr>
              <w:t xml:space="preserve">eligible </w:t>
            </w:r>
            <w:r>
              <w:rPr>
                <w:rFonts w:cs="Arial"/>
              </w:rPr>
              <w:t>people</w:t>
            </w:r>
            <w:r w:rsidRPr="4CDBB324">
              <w:rPr>
                <w:rFonts w:cs="Arial"/>
              </w:rPr>
              <w:t xml:space="preserve"> aged 25–74 </w:t>
            </w:r>
            <w:r w:rsidRPr="3AA2856E">
              <w:rPr>
                <w:rFonts w:cs="Arial"/>
              </w:rPr>
              <w:t xml:space="preserve">years </w:t>
            </w:r>
            <w:r w:rsidRPr="4CDBB324">
              <w:rPr>
                <w:rFonts w:cs="Arial"/>
              </w:rPr>
              <w:t>who had at least one primary screening or follow-up HPV test</w:t>
            </w:r>
            <w:r>
              <w:rPr>
                <w:rFonts w:cs="Arial"/>
              </w:rPr>
              <w:t xml:space="preserve"> (or LBC for any other reason)</w:t>
            </w:r>
            <w:r w:rsidRPr="4CDBB324">
              <w:rPr>
                <w:rFonts w:cs="Arial"/>
              </w:rPr>
              <w:t xml:space="preserve"> in a 5-year period. </w:t>
            </w:r>
          </w:p>
        </w:tc>
        <w:tc>
          <w:tcPr>
            <w:tcW w:w="0" w:type="auto"/>
            <w:vAlign w:val="top"/>
          </w:tcPr>
          <w:p w14:paraId="68888343" w14:textId="77777777" w:rsidR="00BB52C4" w:rsidRPr="00CD10C1" w:rsidRDefault="00BB52C4" w:rsidP="00792CE3">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58209A59" w14:textId="77777777" w:rsidR="00BB52C4" w:rsidRPr="00CD10C1" w:rsidRDefault="00BB52C4" w:rsidP="00792CE3">
            <w:pPr>
              <w:pStyle w:val="Tabletext"/>
            </w:pPr>
            <w:r w:rsidRPr="00CD10C1">
              <w:t>Annually</w:t>
            </w:r>
          </w:p>
        </w:tc>
      </w:tr>
      <w:tr w:rsidR="00BB52C4" w:rsidRPr="00D070E3" w14:paraId="3C6EB7E2" w14:textId="77777777" w:rsidTr="00792CE3">
        <w:tc>
          <w:tcPr>
            <w:tcW w:w="0" w:type="auto"/>
            <w:vAlign w:val="top"/>
          </w:tcPr>
          <w:p w14:paraId="02044C83" w14:textId="77777777" w:rsidR="00BB52C4" w:rsidRPr="00CA76F2" w:rsidRDefault="00BB52C4" w:rsidP="00792CE3">
            <w:pPr>
              <w:pStyle w:val="Tabletext"/>
            </w:pPr>
            <w:r w:rsidRPr="00CA76F2">
              <w:t>Denominator</w:t>
            </w:r>
          </w:p>
        </w:tc>
        <w:tc>
          <w:tcPr>
            <w:tcW w:w="0" w:type="auto"/>
            <w:vAlign w:val="top"/>
          </w:tcPr>
          <w:p w14:paraId="79F7E7EC" w14:textId="1205C62A" w:rsidR="00BB52C4" w:rsidRPr="00D070E3" w:rsidRDefault="00BB52C4" w:rsidP="00792CE3">
            <w:pPr>
              <w:pStyle w:val="Tabletext"/>
              <w:rPr>
                <w:rFonts w:cs="Arial"/>
              </w:rPr>
            </w:pPr>
            <w:r w:rsidRPr="00157D52">
              <w:rPr>
                <w:rFonts w:cs="Arial"/>
              </w:rPr>
              <w:t>ABS</w:t>
            </w:r>
            <w:r w:rsidR="0006150A">
              <w:rPr>
                <w:rFonts w:cs="Arial"/>
              </w:rPr>
              <w:fldChar w:fldCharType="begin"/>
            </w:r>
            <w:r w:rsidR="0006150A">
              <w:rPr>
                <w:rFonts w:cs="Arial"/>
              </w:rPr>
              <w:instrText xml:space="preserve"> NOTEREF _Ref160098388 \f \h </w:instrText>
            </w:r>
            <w:r w:rsidR="00CA76F2">
              <w:rPr>
                <w:rFonts w:cs="Arial"/>
              </w:rPr>
              <w:instrText xml:space="preserve"> \* MERGEFORMAT </w:instrText>
            </w:r>
            <w:r w:rsidR="0006150A">
              <w:rPr>
                <w:rFonts w:cs="Arial"/>
              </w:rPr>
            </w:r>
            <w:r w:rsidR="0006150A">
              <w:rPr>
                <w:rFonts w:cs="Arial"/>
              </w:rPr>
              <w:fldChar w:fldCharType="separate"/>
            </w:r>
            <w:r w:rsidR="00852237" w:rsidRPr="00852237">
              <w:rPr>
                <w:rStyle w:val="FootnoteReference"/>
              </w:rPr>
              <w:t>8</w:t>
            </w:r>
            <w:r w:rsidR="0006150A">
              <w:rPr>
                <w:rFonts w:cs="Arial"/>
              </w:rPr>
              <w:fldChar w:fldCharType="end"/>
            </w:r>
            <w:r w:rsidR="00AA5A34">
              <w:rPr>
                <w:rFonts w:cs="Arial"/>
              </w:rPr>
              <w:t>,</w:t>
            </w:r>
            <w:r w:rsidRPr="00157D52">
              <w:rPr>
                <w:rFonts w:cs="Arial"/>
              </w:rPr>
              <w:t xml:space="preserve"> AIHW National Hysterectomy Fractions</w:t>
            </w:r>
            <w:r w:rsidR="00332EC6">
              <w:rPr>
                <w:rFonts w:cs="Arial"/>
                <w:vertAlign w:val="superscript"/>
              </w:rPr>
              <w:fldChar w:fldCharType="begin"/>
            </w:r>
            <w:r w:rsidR="00332EC6">
              <w:rPr>
                <w:rFonts w:cs="Arial"/>
              </w:rPr>
              <w:instrText xml:space="preserve"> NOTEREF _Ref160098388 \f \h </w:instrText>
            </w:r>
            <w:r w:rsidR="00CA76F2">
              <w:rPr>
                <w:rFonts w:cs="Arial"/>
                <w:vertAlign w:val="superscript"/>
              </w:rPr>
              <w:instrText xml:space="preserve"> \* MERGEFORMAT </w:instrText>
            </w:r>
            <w:r w:rsidR="00332EC6">
              <w:rPr>
                <w:rFonts w:cs="Arial"/>
                <w:vertAlign w:val="superscript"/>
              </w:rPr>
            </w:r>
            <w:r w:rsidR="00332EC6">
              <w:rPr>
                <w:rFonts w:cs="Arial"/>
                <w:vertAlign w:val="superscript"/>
              </w:rPr>
              <w:fldChar w:fldCharType="separate"/>
            </w:r>
            <w:r w:rsidR="00852237" w:rsidRPr="00852237">
              <w:rPr>
                <w:rStyle w:val="FootnoteReference"/>
              </w:rPr>
              <w:t>8</w:t>
            </w:r>
            <w:r w:rsidR="00332EC6">
              <w:rPr>
                <w:rFonts w:cs="Arial"/>
                <w:vertAlign w:val="superscript"/>
              </w:rPr>
              <w:fldChar w:fldCharType="end"/>
            </w:r>
          </w:p>
        </w:tc>
        <w:tc>
          <w:tcPr>
            <w:tcW w:w="0" w:type="auto"/>
            <w:vAlign w:val="top"/>
          </w:tcPr>
          <w:p w14:paraId="36893AA1" w14:textId="77777777" w:rsidR="00BB52C4" w:rsidRPr="00D070E3" w:rsidRDefault="00BB52C4" w:rsidP="00792CE3">
            <w:pPr>
              <w:pStyle w:val="Tabletext"/>
              <w:rPr>
                <w:rFonts w:cs="Arial"/>
              </w:rPr>
            </w:pPr>
            <w:r w:rsidRPr="4CDBB324">
              <w:rPr>
                <w:rFonts w:cs="Arial"/>
              </w:rPr>
              <w:t xml:space="preserve">Estimated resident population </w:t>
            </w:r>
            <w:r w:rsidRPr="7BEFB40A">
              <w:rPr>
                <w:rFonts w:cs="Arial"/>
              </w:rPr>
              <w:t xml:space="preserve">of </w:t>
            </w:r>
            <w:r w:rsidRPr="3AA2856E">
              <w:rPr>
                <w:rFonts w:cs="Arial"/>
              </w:rPr>
              <w:t>eligible people</w:t>
            </w:r>
            <w:r w:rsidRPr="4CDBB324" w:rsidDel="00B04502">
              <w:rPr>
                <w:rFonts w:cs="Arial"/>
              </w:rPr>
              <w:t xml:space="preserve"> </w:t>
            </w:r>
            <w:r w:rsidRPr="4CDBB324">
              <w:rPr>
                <w:rFonts w:cs="Arial"/>
              </w:rPr>
              <w:t xml:space="preserve">aged 25–74 </w:t>
            </w:r>
            <w:r w:rsidRPr="3AA2856E">
              <w:rPr>
                <w:rFonts w:cs="Arial"/>
              </w:rPr>
              <w:t xml:space="preserve">years </w:t>
            </w:r>
            <w:r w:rsidRPr="4CDBB324">
              <w:rPr>
                <w:rFonts w:cs="Arial"/>
              </w:rPr>
              <w:t xml:space="preserve">averaged over the 5 years of the reporting period, adjusted for the estimated proportion of </w:t>
            </w:r>
            <w:r w:rsidRPr="3AA2856E">
              <w:rPr>
                <w:rFonts w:cs="Arial"/>
              </w:rPr>
              <w:t>eligible people</w:t>
            </w:r>
            <w:r w:rsidRPr="4CDBB324" w:rsidDel="00B04502">
              <w:rPr>
                <w:rFonts w:cs="Arial"/>
              </w:rPr>
              <w:t xml:space="preserve"> </w:t>
            </w:r>
            <w:r w:rsidRPr="4CDBB324">
              <w:rPr>
                <w:rFonts w:cs="Arial"/>
              </w:rPr>
              <w:t xml:space="preserve">who have had a hysterectomy. </w:t>
            </w:r>
          </w:p>
        </w:tc>
        <w:tc>
          <w:tcPr>
            <w:tcW w:w="0" w:type="auto"/>
            <w:vAlign w:val="top"/>
          </w:tcPr>
          <w:p w14:paraId="499B00A3" w14:textId="77777777" w:rsidR="00BB52C4" w:rsidRPr="00CD10C1" w:rsidRDefault="00BB52C4" w:rsidP="00792CE3">
            <w:pPr>
              <w:pStyle w:val="Tabletext"/>
            </w:pPr>
            <w:r w:rsidRPr="00CD10C1">
              <w:t>ABS; AIHW</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5A74585C" w14:textId="77777777" w:rsidR="00BB52C4" w:rsidRPr="00CD10C1" w:rsidRDefault="00BB52C4" w:rsidP="00792CE3">
            <w:pPr>
              <w:pStyle w:val="Tabletext"/>
            </w:pPr>
            <w:r w:rsidRPr="00CD10C1">
              <w:t>Annually</w:t>
            </w:r>
          </w:p>
        </w:tc>
      </w:tr>
    </w:tbl>
    <w:p w14:paraId="245BEDB7" w14:textId="77777777" w:rsidR="00BB52C4" w:rsidRPr="000F6FA9" w:rsidRDefault="00BB52C4" w:rsidP="00792CE3">
      <w:pPr>
        <w:pStyle w:val="Caption"/>
        <w:spacing w:before="240"/>
      </w:pPr>
      <w:bookmarkStart w:id="26" w:name="_Infection_endpoints"/>
      <w:bookmarkEnd w:id="26"/>
      <w:r w:rsidRPr="000F6FA9">
        <w:t>Number of eligible Aboriginal and Torres Strait Islander people aged 25–74 years screened in a 5-year period as a percentage of eligible people in the Aboriginal and Torres Strait Islander population</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388"/>
        <w:gridCol w:w="1697"/>
        <w:gridCol w:w="3957"/>
        <w:gridCol w:w="1314"/>
        <w:gridCol w:w="1403"/>
      </w:tblGrid>
      <w:tr w:rsidR="00BB52C4" w:rsidRPr="007719BC" w14:paraId="0383BBA6" w14:textId="77777777" w:rsidTr="00792CE3">
        <w:trPr>
          <w:cnfStyle w:val="100000000000" w:firstRow="1" w:lastRow="0" w:firstColumn="0" w:lastColumn="0" w:oddVBand="0" w:evenVBand="0" w:oddHBand="0" w:evenHBand="0" w:firstRowFirstColumn="0" w:firstRowLastColumn="0" w:lastRowFirstColumn="0" w:lastRowLastColumn="0"/>
        </w:trPr>
        <w:tc>
          <w:tcPr>
            <w:tcW w:w="0" w:type="auto"/>
            <w:vAlign w:val="top"/>
          </w:tcPr>
          <w:p w14:paraId="75BB4970" w14:textId="77777777" w:rsidR="00BB52C4" w:rsidRPr="00157D52" w:rsidRDefault="00BB52C4" w:rsidP="00792CE3">
            <w:pPr>
              <w:pStyle w:val="Tableheaderrowblack"/>
              <w:rPr>
                <w:b/>
              </w:rPr>
            </w:pPr>
            <w:r w:rsidRPr="00157D52">
              <w:t>Indicator components</w:t>
            </w:r>
          </w:p>
        </w:tc>
        <w:tc>
          <w:tcPr>
            <w:tcW w:w="0" w:type="auto"/>
            <w:vAlign w:val="top"/>
          </w:tcPr>
          <w:p w14:paraId="2CFD443A" w14:textId="77777777" w:rsidR="00BB52C4" w:rsidRPr="00157D52" w:rsidRDefault="00BB52C4" w:rsidP="00792CE3">
            <w:pPr>
              <w:pStyle w:val="Tableheaderrowblack"/>
              <w:rPr>
                <w:b/>
              </w:rPr>
            </w:pPr>
            <w:r w:rsidRPr="00157D52">
              <w:t>Source</w:t>
            </w:r>
          </w:p>
        </w:tc>
        <w:tc>
          <w:tcPr>
            <w:tcW w:w="0" w:type="auto"/>
            <w:vAlign w:val="top"/>
          </w:tcPr>
          <w:p w14:paraId="0B2F2656" w14:textId="77777777" w:rsidR="00BB52C4" w:rsidRPr="00157D52" w:rsidRDefault="00BB52C4" w:rsidP="00792CE3">
            <w:pPr>
              <w:pStyle w:val="Tableheaderrowblack"/>
              <w:rPr>
                <w:b/>
              </w:rPr>
            </w:pPr>
            <w:r w:rsidRPr="00157D52">
              <w:t>Description</w:t>
            </w:r>
          </w:p>
        </w:tc>
        <w:tc>
          <w:tcPr>
            <w:tcW w:w="0" w:type="auto"/>
            <w:vAlign w:val="top"/>
          </w:tcPr>
          <w:p w14:paraId="2ADE6CBD" w14:textId="54800C53" w:rsidR="00BB52C4" w:rsidRPr="00157D52" w:rsidRDefault="00BB52C4" w:rsidP="00792CE3">
            <w:pPr>
              <w:pStyle w:val="Tableheaderrowblack"/>
              <w:rPr>
                <w:b/>
              </w:rPr>
            </w:pPr>
            <w:r w:rsidRPr="00157D52">
              <w:t>Custodian/</w:t>
            </w:r>
            <w:r w:rsidR="000F6FA9">
              <w:t xml:space="preserve"> </w:t>
            </w:r>
            <w:r w:rsidRPr="00157D52">
              <w:t>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1FE4AAE" w14:textId="37D75417" w:rsidR="00BB52C4" w:rsidRPr="00157D52" w:rsidRDefault="00BB52C4" w:rsidP="00792CE3">
            <w:pPr>
              <w:pStyle w:val="Tableheaderrowblack"/>
              <w:rPr>
                <w:b/>
              </w:rPr>
            </w:pPr>
            <w:r w:rsidRPr="00157D52">
              <w:t xml:space="preserve">Availability of </w:t>
            </w:r>
            <w:proofErr w:type="gramStart"/>
            <w:r w:rsidRPr="00157D52">
              <w:t>data</w:t>
            </w:r>
            <w:r w:rsidR="000F6FA9">
              <w:t xml:space="preserve"> </w:t>
            </w:r>
            <w:r w:rsidRPr="00157D52">
              <w:t xml:space="preserve"> for</w:t>
            </w:r>
            <w:proofErr w:type="gramEnd"/>
            <w:r w:rsidRPr="00157D52">
              <w:t xml:space="preserve"> reporting</w:t>
            </w:r>
          </w:p>
        </w:tc>
      </w:tr>
      <w:tr w:rsidR="00BB52C4" w:rsidRPr="007719BC" w14:paraId="0A4808FF" w14:textId="77777777" w:rsidTr="00792CE3">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FC278E3" w14:textId="77777777" w:rsidR="00BB52C4" w:rsidRPr="00CA76F2" w:rsidRDefault="00BB52C4" w:rsidP="00792CE3">
            <w:pPr>
              <w:pStyle w:val="Tabletext"/>
            </w:pPr>
            <w:r w:rsidRPr="00CA76F2">
              <w:t>Numerator</w:t>
            </w:r>
          </w:p>
        </w:tc>
        <w:tc>
          <w:tcPr>
            <w:tcW w:w="0" w:type="auto"/>
            <w:vAlign w:val="top"/>
          </w:tcPr>
          <w:p w14:paraId="12A49567" w14:textId="2522DE06" w:rsidR="00BB52C4" w:rsidRPr="00731FD5" w:rsidRDefault="00BB52C4" w:rsidP="00792CE3">
            <w:pPr>
              <w:pStyle w:val="Tabletext"/>
              <w:rPr>
                <w:rFonts w:cs="Arial"/>
                <w:vertAlign w:val="superscript"/>
              </w:rPr>
            </w:pPr>
            <w:r w:rsidRPr="00CA76F2">
              <w:t>NCSR</w:t>
            </w:r>
            <w:r w:rsidR="00AA5A34">
              <w:rPr>
                <w:rFonts w:cs="Arial"/>
                <w:vertAlign w:val="superscript"/>
              </w:rPr>
              <w:fldChar w:fldCharType="begin"/>
            </w:r>
            <w:r w:rsidR="00AA5A34">
              <w:rPr>
                <w:rFonts w:cs="Arial"/>
              </w:rPr>
              <w:instrText xml:space="preserve"> NOTEREF _Ref160098388 \f \h </w:instrText>
            </w:r>
            <w:r w:rsidR="00AA5A34">
              <w:rPr>
                <w:rFonts w:cs="Arial"/>
                <w:vertAlign w:val="superscript"/>
              </w:rPr>
              <w:instrText xml:space="preserve"> \* MERGEFORMAT </w:instrText>
            </w:r>
            <w:r w:rsidR="00AA5A34">
              <w:rPr>
                <w:rFonts w:cs="Arial"/>
                <w:vertAlign w:val="superscript"/>
              </w:rPr>
            </w:r>
            <w:r w:rsidR="00AA5A34">
              <w:rPr>
                <w:rFonts w:cs="Arial"/>
                <w:vertAlign w:val="superscript"/>
              </w:rPr>
              <w:fldChar w:fldCharType="separate"/>
            </w:r>
            <w:r w:rsidR="00AA5A34" w:rsidRPr="00852237">
              <w:rPr>
                <w:rStyle w:val="FootnoteReference"/>
              </w:rPr>
              <w:t>8</w:t>
            </w:r>
            <w:r w:rsidR="00AA5A34">
              <w:rPr>
                <w:rFonts w:cs="Arial"/>
                <w:vertAlign w:val="superscript"/>
              </w:rPr>
              <w:fldChar w:fldCharType="end"/>
            </w:r>
          </w:p>
        </w:tc>
        <w:tc>
          <w:tcPr>
            <w:tcW w:w="0" w:type="auto"/>
            <w:vAlign w:val="top"/>
          </w:tcPr>
          <w:p w14:paraId="4F044A7D" w14:textId="77777777" w:rsidR="00BB52C4" w:rsidRPr="00157D52" w:rsidRDefault="00BB52C4" w:rsidP="00792CE3">
            <w:pPr>
              <w:pStyle w:val="Tabletext"/>
              <w:rPr>
                <w:rFonts w:cs="Arial"/>
              </w:rPr>
            </w:pPr>
            <w:r w:rsidRPr="00157D52">
              <w:rPr>
                <w:rFonts w:cs="Arial"/>
              </w:rPr>
              <w:t xml:space="preserve">Number of </w:t>
            </w:r>
            <w:r w:rsidRPr="3AA2856E">
              <w:rPr>
                <w:rFonts w:cs="Arial"/>
              </w:rPr>
              <w:t xml:space="preserve">eligible </w:t>
            </w:r>
            <w:r w:rsidRPr="00157D52">
              <w:rPr>
                <w:rFonts w:cs="Arial"/>
              </w:rPr>
              <w:t>Aboriginal and Torres Strait Islander p</w:t>
            </w:r>
            <w:r>
              <w:rPr>
                <w:rFonts w:cs="Arial"/>
              </w:rPr>
              <w:t>eople</w:t>
            </w:r>
            <w:r w:rsidRPr="00157D52">
              <w:rPr>
                <w:rFonts w:cs="Arial"/>
              </w:rPr>
              <w:t xml:space="preserve"> aged 25–74 </w:t>
            </w:r>
            <w:r w:rsidRPr="3AA2856E">
              <w:rPr>
                <w:rFonts w:cs="Arial"/>
              </w:rPr>
              <w:t xml:space="preserve">years </w:t>
            </w:r>
            <w:r w:rsidRPr="00157D52">
              <w:rPr>
                <w:rFonts w:cs="Arial"/>
              </w:rPr>
              <w:t xml:space="preserve">who had at least one primary screening or follow-up HPV test </w:t>
            </w:r>
            <w:r>
              <w:rPr>
                <w:rFonts w:cs="Arial"/>
              </w:rPr>
              <w:t xml:space="preserve">(or LBC for any other reason) </w:t>
            </w:r>
            <w:r w:rsidRPr="00157D52">
              <w:rPr>
                <w:rFonts w:cs="Arial"/>
              </w:rPr>
              <w:t>in a 5-year period.</w:t>
            </w:r>
          </w:p>
        </w:tc>
        <w:tc>
          <w:tcPr>
            <w:tcW w:w="0" w:type="auto"/>
            <w:vAlign w:val="top"/>
          </w:tcPr>
          <w:p w14:paraId="72AA6E7B" w14:textId="77777777" w:rsidR="00BB52C4" w:rsidRPr="00CD10C1" w:rsidRDefault="00BB52C4" w:rsidP="00792CE3">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F5D530E" w14:textId="77777777" w:rsidR="00BB52C4" w:rsidRPr="00CD10C1" w:rsidRDefault="00BB52C4" w:rsidP="00792CE3">
            <w:pPr>
              <w:pStyle w:val="Tabletext"/>
            </w:pPr>
            <w:r w:rsidRPr="00CD10C1">
              <w:t>Annually</w:t>
            </w:r>
          </w:p>
        </w:tc>
      </w:tr>
      <w:tr w:rsidR="00BB52C4" w:rsidRPr="00D070E3" w14:paraId="6DC05D5A" w14:textId="77777777" w:rsidTr="00792CE3">
        <w:tc>
          <w:tcPr>
            <w:tcW w:w="0" w:type="auto"/>
            <w:vAlign w:val="top"/>
          </w:tcPr>
          <w:p w14:paraId="088DC800" w14:textId="77777777" w:rsidR="00BB52C4" w:rsidRPr="00CA76F2" w:rsidRDefault="00BB52C4" w:rsidP="00792CE3">
            <w:pPr>
              <w:pStyle w:val="Tabletext"/>
            </w:pPr>
            <w:r w:rsidRPr="00CA76F2">
              <w:t>Denominator</w:t>
            </w:r>
          </w:p>
        </w:tc>
        <w:tc>
          <w:tcPr>
            <w:tcW w:w="0" w:type="auto"/>
            <w:vAlign w:val="top"/>
          </w:tcPr>
          <w:p w14:paraId="423E65AB" w14:textId="7B6F974B" w:rsidR="00BB52C4" w:rsidRPr="00731FD5" w:rsidRDefault="00AA5A34" w:rsidP="00792CE3">
            <w:pPr>
              <w:pStyle w:val="Tabletext"/>
              <w:rPr>
                <w:rFonts w:cs="Arial"/>
                <w:vertAlign w:val="superscript"/>
              </w:rPr>
            </w:pPr>
            <w:r w:rsidRPr="00157D52">
              <w:rPr>
                <w:rFonts w:cs="Arial"/>
              </w:rPr>
              <w:t>ABS</w:t>
            </w:r>
            <w:r>
              <w:rPr>
                <w:rFonts w:cs="Arial"/>
              </w:rPr>
              <w:fldChar w:fldCharType="begin"/>
            </w:r>
            <w:r>
              <w:rPr>
                <w:rFonts w:cs="Arial"/>
              </w:rPr>
              <w:instrText xml:space="preserve"> NOTEREF _Ref160098388 \f \h  \* MERGEFORMAT </w:instrText>
            </w:r>
            <w:r>
              <w:rPr>
                <w:rFonts w:cs="Arial"/>
              </w:rPr>
            </w:r>
            <w:r>
              <w:rPr>
                <w:rFonts w:cs="Arial"/>
              </w:rPr>
              <w:fldChar w:fldCharType="separate"/>
            </w:r>
            <w:r w:rsidRPr="00852237">
              <w:rPr>
                <w:rStyle w:val="FootnoteReference"/>
              </w:rPr>
              <w:t>8</w:t>
            </w:r>
            <w:r>
              <w:rPr>
                <w:rFonts w:cs="Arial"/>
              </w:rPr>
              <w:fldChar w:fldCharType="end"/>
            </w:r>
            <w:r>
              <w:rPr>
                <w:rFonts w:cs="Arial"/>
              </w:rPr>
              <w:t>,</w:t>
            </w:r>
            <w:r w:rsidRPr="00157D52">
              <w:rPr>
                <w:rFonts w:cs="Arial"/>
              </w:rPr>
              <w:t xml:space="preserve"> AIHW National Hysterectomy Fractions</w:t>
            </w:r>
            <w:r>
              <w:rPr>
                <w:rFonts w:cs="Arial"/>
                <w:vertAlign w:val="superscript"/>
              </w:rPr>
              <w:fldChar w:fldCharType="begin"/>
            </w:r>
            <w:r>
              <w:rPr>
                <w:rFonts w:cs="Arial"/>
              </w:rPr>
              <w:instrText xml:space="preserve"> NOTEREF _Ref160098388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Pr="00852237">
              <w:rPr>
                <w:rStyle w:val="FootnoteReference"/>
              </w:rPr>
              <w:t>8</w:t>
            </w:r>
            <w:r>
              <w:rPr>
                <w:rFonts w:cs="Arial"/>
                <w:vertAlign w:val="superscript"/>
              </w:rPr>
              <w:fldChar w:fldCharType="end"/>
            </w:r>
          </w:p>
        </w:tc>
        <w:tc>
          <w:tcPr>
            <w:tcW w:w="0" w:type="auto"/>
            <w:vAlign w:val="top"/>
          </w:tcPr>
          <w:p w14:paraId="6ECF1767" w14:textId="77777777" w:rsidR="00BB52C4" w:rsidRPr="00157D52" w:rsidRDefault="00BB52C4" w:rsidP="00792CE3">
            <w:pPr>
              <w:pStyle w:val="Tabletext"/>
              <w:rPr>
                <w:rFonts w:cs="Arial"/>
              </w:rPr>
            </w:pPr>
            <w:r w:rsidRPr="00157D52">
              <w:rPr>
                <w:rFonts w:cs="Arial"/>
              </w:rPr>
              <w:t xml:space="preserve">Estimated resident population </w:t>
            </w:r>
            <w:r w:rsidRPr="7BEFB40A">
              <w:rPr>
                <w:rFonts w:cs="Arial"/>
              </w:rPr>
              <w:t xml:space="preserve">of </w:t>
            </w:r>
            <w:r>
              <w:rPr>
                <w:rFonts w:cs="Arial"/>
              </w:rPr>
              <w:t xml:space="preserve">eligible </w:t>
            </w:r>
            <w:r w:rsidRPr="00157D52">
              <w:rPr>
                <w:rFonts w:cs="Arial"/>
              </w:rPr>
              <w:t xml:space="preserve">Aboriginal and Torres Strait Islander </w:t>
            </w:r>
            <w:r>
              <w:rPr>
                <w:rFonts w:cs="Arial"/>
              </w:rPr>
              <w:t>people</w:t>
            </w:r>
            <w:r w:rsidRPr="00157D52">
              <w:rPr>
                <w:rFonts w:cs="Arial"/>
              </w:rPr>
              <w:t xml:space="preserve"> aged 25–74 </w:t>
            </w:r>
            <w:r w:rsidRPr="3AA2856E">
              <w:rPr>
                <w:rFonts w:cs="Arial"/>
              </w:rPr>
              <w:t xml:space="preserve">years </w:t>
            </w:r>
            <w:r w:rsidRPr="00157D52">
              <w:rPr>
                <w:rFonts w:cs="Arial"/>
              </w:rPr>
              <w:t>averaged over the 5-years of the reporting period, adjusted for the estimated proportion of</w:t>
            </w:r>
            <w:r>
              <w:rPr>
                <w:rFonts w:cs="Arial"/>
              </w:rPr>
              <w:t xml:space="preserve"> eligible people</w:t>
            </w:r>
            <w:r w:rsidRPr="00157D52">
              <w:rPr>
                <w:rFonts w:cs="Arial"/>
              </w:rPr>
              <w:t xml:space="preserve"> who have had a hysterectomy. </w:t>
            </w:r>
          </w:p>
        </w:tc>
        <w:tc>
          <w:tcPr>
            <w:tcW w:w="0" w:type="auto"/>
            <w:vAlign w:val="top"/>
          </w:tcPr>
          <w:p w14:paraId="19C1B2CC" w14:textId="77777777" w:rsidR="00BB52C4" w:rsidRPr="00CD10C1" w:rsidRDefault="00BB52C4" w:rsidP="00792CE3">
            <w:pPr>
              <w:pStyle w:val="Tabletext"/>
            </w:pPr>
            <w:r w:rsidRPr="00CD10C1">
              <w:t>ABS; AIHW</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6F4F0A3" w14:textId="77777777" w:rsidR="00BB52C4" w:rsidRPr="00CD10C1" w:rsidRDefault="00BB52C4" w:rsidP="00792CE3">
            <w:pPr>
              <w:pStyle w:val="Tabletext"/>
            </w:pPr>
            <w:r w:rsidRPr="00CD10C1">
              <w:t>Annually</w:t>
            </w:r>
          </w:p>
        </w:tc>
      </w:tr>
    </w:tbl>
    <w:p w14:paraId="716AC00B" w14:textId="77777777" w:rsidR="000F6FA9" w:rsidRPr="008C4020" w:rsidRDefault="000F6FA9" w:rsidP="008C4020">
      <w:bookmarkStart w:id="27" w:name="_Infection_monitoring"/>
      <w:bookmarkEnd w:id="27"/>
      <w:r w:rsidRPr="008C4020">
        <w:br w:type="page"/>
      </w:r>
    </w:p>
    <w:p w14:paraId="78313111" w14:textId="42C1B077" w:rsidR="002372EF" w:rsidRPr="002372EF" w:rsidRDefault="00333637" w:rsidP="00376096">
      <w:pPr>
        <w:pStyle w:val="Heading1Numbering"/>
      </w:pPr>
      <w:bookmarkStart w:id="28" w:name="_Toc232507537"/>
      <w:r w:rsidRPr="00190268">
        <w:lastRenderedPageBreak/>
        <w:t>Infection</w:t>
      </w:r>
      <w:r w:rsidRPr="000F6FA9">
        <w:t xml:space="preserve"> monitoring</w:t>
      </w:r>
      <w:bookmarkStart w:id="29" w:name="_Monitor_the_prevalence"/>
      <w:bookmarkEnd w:id="28"/>
      <w:bookmarkEnd w:id="29"/>
    </w:p>
    <w:p w14:paraId="41003EEF" w14:textId="69C9A7A4" w:rsidR="00333637" w:rsidRPr="000F6FA9" w:rsidRDefault="00333637" w:rsidP="00E9658C">
      <w:pPr>
        <w:pStyle w:val="Heading2Numbering"/>
      </w:pPr>
      <w:bookmarkStart w:id="30" w:name="_Toc232507538"/>
      <w:r w:rsidRPr="000F6FA9">
        <w:t>Monitor the prevalence of HPV genotypes</w:t>
      </w:r>
      <w:bookmarkEnd w:id="30"/>
    </w:p>
    <w:p w14:paraId="417B35FC" w14:textId="77777777" w:rsidR="00333637" w:rsidRPr="00257D46" w:rsidRDefault="00333637" w:rsidP="00792CE3">
      <w:pPr>
        <w:pStyle w:val="Boxgreenheading"/>
      </w:pPr>
      <w:bookmarkStart w:id="31" w:name="_Toc161152104"/>
      <w:r w:rsidRPr="00257D46">
        <w:t>Indicators</w:t>
      </w:r>
      <w:bookmarkEnd w:id="31"/>
    </w:p>
    <w:p w14:paraId="2ED2D240" w14:textId="77777777" w:rsidR="00333637" w:rsidRPr="008065B4" w:rsidRDefault="00333637" w:rsidP="00792CE3">
      <w:pPr>
        <w:pStyle w:val="Boxgreentext"/>
      </w:pPr>
      <w:r w:rsidRPr="008065B4">
        <w:t>Prevalence of HPV infection among people participating in the National Cervical Screening Program</w:t>
      </w:r>
    </w:p>
    <w:p w14:paraId="68D8A296" w14:textId="77777777" w:rsidR="00333637" w:rsidRPr="008065B4" w:rsidRDefault="00333637" w:rsidP="00792CE3">
      <w:pPr>
        <w:pStyle w:val="Boxgreentext"/>
      </w:pPr>
      <w:r w:rsidRPr="008065B4">
        <w:t>Prevalence of HPV infection among Aboriginal and Torres Strait Islander people participating in the National Cervical Screening Program</w:t>
      </w:r>
    </w:p>
    <w:p w14:paraId="59E23D51" w14:textId="77777777" w:rsidR="008065B4" w:rsidRDefault="00333637" w:rsidP="00792CE3">
      <w:pPr>
        <w:pStyle w:val="Boxgreentext"/>
      </w:pPr>
      <w:r w:rsidRPr="008065B4">
        <w:t>Prevalence of HPV infection among young people (16–24 years) not yet eligible for cervical screening</w:t>
      </w:r>
    </w:p>
    <w:p w14:paraId="57572AAF" w14:textId="77777777" w:rsidR="00333637" w:rsidRPr="008065B4" w:rsidRDefault="008065B4" w:rsidP="00792CE3">
      <w:pPr>
        <w:pStyle w:val="Boxgreentext"/>
      </w:pPr>
      <w:r w:rsidRPr="008065B4">
        <w:t>Prevalence of HPV infection among men who have sex with men</w:t>
      </w:r>
    </w:p>
    <w:p w14:paraId="460D68BF" w14:textId="77777777" w:rsidR="008065B4" w:rsidRPr="00192F08" w:rsidRDefault="008065B4" w:rsidP="00792CE3">
      <w:pPr>
        <w:pStyle w:val="Heading3"/>
      </w:pPr>
      <w:r w:rsidRPr="00192F08">
        <w:t>Rationale for surveillance</w:t>
      </w:r>
    </w:p>
    <w:p w14:paraId="0B7833D1" w14:textId="77777777" w:rsidR="008065B4" w:rsidRPr="00D070E3" w:rsidRDefault="008065B4" w:rsidP="008065B4">
      <w:pPr>
        <w:rPr>
          <w:rFonts w:cs="Arial"/>
          <w:szCs w:val="20"/>
        </w:rPr>
      </w:pPr>
      <w:r w:rsidRPr="76177005">
        <w:rPr>
          <w:rFonts w:cs="Arial"/>
          <w:szCs w:val="20"/>
        </w:rPr>
        <w:t xml:space="preserve">There are more than 200 different HPV genotypes. The 4vHPV vaccine used in the </w:t>
      </w:r>
      <w:r>
        <w:rPr>
          <w:rFonts w:cs="Arial"/>
          <w:szCs w:val="20"/>
        </w:rPr>
        <w:t>NIP</w:t>
      </w:r>
      <w:r w:rsidRPr="76177005">
        <w:rPr>
          <w:rFonts w:cs="Arial"/>
          <w:szCs w:val="20"/>
        </w:rPr>
        <w:t xml:space="preserve"> from 2007–2018 provides protection against four HPV types (6, 11, 16 and 18), and the 9vHPV vaccine used in </w:t>
      </w:r>
      <w:r>
        <w:rPr>
          <w:rFonts w:cs="Arial"/>
          <w:szCs w:val="20"/>
        </w:rPr>
        <w:t>NIP</w:t>
      </w:r>
      <w:r w:rsidRPr="76177005">
        <w:rPr>
          <w:rFonts w:cs="Arial"/>
          <w:szCs w:val="20"/>
        </w:rPr>
        <w:t xml:space="preserve"> since 2018 provides protection against an additional five oncogenic HPV types (31, 33, 45, 52 and 58). Monitoring the prevalence of HPV genotypes aims to:</w:t>
      </w:r>
    </w:p>
    <w:p w14:paraId="1D6896E5" w14:textId="77777777" w:rsidR="008065B4" w:rsidRPr="00D070E3" w:rsidRDefault="008065B4" w:rsidP="00C01ACA">
      <w:pPr>
        <w:pStyle w:val="ListNumber"/>
        <w:numPr>
          <w:ilvl w:val="0"/>
          <w:numId w:val="11"/>
        </w:numPr>
        <w:ind w:left="527" w:hanging="357"/>
      </w:pPr>
      <w:r w:rsidRPr="00D070E3">
        <w:t>monitor changes in the prevalence of vaccine-targeted HPV types to assess the effectiveness of the vaccination program in preventing infection with these HPV types</w:t>
      </w:r>
    </w:p>
    <w:p w14:paraId="50718AFC" w14:textId="77777777" w:rsidR="008065B4" w:rsidRPr="006A7BB7" w:rsidRDefault="008065B4" w:rsidP="00C01ACA">
      <w:pPr>
        <w:pStyle w:val="ListNumber"/>
      </w:pPr>
      <w:r w:rsidRPr="7CC4A671">
        <w:t>monitor changes in the prevalence of non-vaccine types to assess the effectiveness of the program in providing cross protection against non-vaccine types</w:t>
      </w:r>
      <w:r>
        <w:t xml:space="preserve"> as well as monitoring cancer causing HPV types that are not vaccine preventable</w:t>
      </w:r>
    </w:p>
    <w:p w14:paraId="2EEDBD70" w14:textId="77777777" w:rsidR="008065B4" w:rsidRPr="008065B4" w:rsidRDefault="008065B4" w:rsidP="00C01ACA">
      <w:pPr>
        <w:pStyle w:val="ListNumber"/>
      </w:pPr>
      <w:r w:rsidRPr="00D070E3">
        <w:t>monitor potential type replacement, where a previously uncommon non-vaccine genotype becomes more common, replacing the common HPV genotype targeted by the vaccine.</w:t>
      </w:r>
    </w:p>
    <w:p w14:paraId="71894DFF" w14:textId="77777777" w:rsidR="008065B4" w:rsidRPr="00192F08" w:rsidRDefault="008065B4" w:rsidP="00792CE3">
      <w:pPr>
        <w:pStyle w:val="Heading3"/>
      </w:pPr>
      <w:r w:rsidRPr="00192F08">
        <w:lastRenderedPageBreak/>
        <w:t>Data considerations</w:t>
      </w:r>
    </w:p>
    <w:p w14:paraId="3B822773" w14:textId="19D13951" w:rsidR="008065B4" w:rsidRDefault="008065B4" w:rsidP="008065B4">
      <w:pPr>
        <w:rPr>
          <w:rFonts w:cs="Arial"/>
          <w:szCs w:val="20"/>
        </w:rPr>
      </w:pPr>
      <w:r w:rsidRPr="00D070E3">
        <w:rPr>
          <w:rFonts w:cs="Arial"/>
          <w:szCs w:val="20"/>
        </w:rPr>
        <w:t>Under the NCSP</w:t>
      </w:r>
      <w:r w:rsidR="005355AC">
        <w:rPr>
          <w:rFonts w:ascii="ZWAdobeF" w:hAnsi="ZWAdobeF" w:cs="ZWAdobeF"/>
          <w:sz w:val="2"/>
          <w:szCs w:val="2"/>
        </w:rPr>
        <w:t>8F</w:t>
      </w:r>
      <w:r>
        <w:rPr>
          <w:rStyle w:val="FootnoteReference"/>
          <w:rFonts w:cs="Arial"/>
          <w:szCs w:val="20"/>
        </w:rPr>
        <w:footnoteReference w:id="9"/>
      </w:r>
      <w:r w:rsidRPr="00D070E3">
        <w:rPr>
          <w:rFonts w:cs="Arial"/>
          <w:szCs w:val="20"/>
        </w:rPr>
        <w:t xml:space="preserve">, eligible people aged 25 to 74 years are recommended to have an oncogenic HPV NAT test 5-yearly. Data on rates of vaccine targeted HPV types 16/18 and other oncogenic types (not 16/18) </w:t>
      </w:r>
      <w:r>
        <w:rPr>
          <w:rFonts w:cs="Arial"/>
          <w:szCs w:val="20"/>
        </w:rPr>
        <w:t>detected are</w:t>
      </w:r>
      <w:r w:rsidRPr="00D070E3">
        <w:rPr>
          <w:rFonts w:cs="Arial"/>
          <w:szCs w:val="20"/>
        </w:rPr>
        <w:t xml:space="preserve"> reported to the </w:t>
      </w:r>
      <w:r>
        <w:rPr>
          <w:rFonts w:cs="Arial"/>
          <w:szCs w:val="20"/>
        </w:rPr>
        <w:t>NCSR</w:t>
      </w:r>
      <w:r w:rsidRPr="00D070E3">
        <w:rPr>
          <w:rFonts w:cs="Arial"/>
          <w:szCs w:val="20"/>
        </w:rPr>
        <w:t xml:space="preserve">, enabling passive monitoring of HPV genotypes among people attending screening. Following the replacement of state-based registers in 2017, the NCSR represents a single national database of cervical screening records under the NCSP. </w:t>
      </w:r>
      <w:r>
        <w:rPr>
          <w:rFonts w:cs="Arial"/>
          <w:szCs w:val="20"/>
        </w:rPr>
        <w:t xml:space="preserve">The NCSR is currently unable to report grouped or individual vaccine targeted HPV genotypes due to the use of grouped genotypes screening assays and a lack of systematic data collection fields where individuals genotyping data are </w:t>
      </w:r>
      <w:proofErr w:type="gramStart"/>
      <w:r>
        <w:rPr>
          <w:rFonts w:cs="Arial"/>
          <w:szCs w:val="20"/>
        </w:rPr>
        <w:t>available,</w:t>
      </w:r>
      <w:proofErr w:type="gramEnd"/>
      <w:r>
        <w:rPr>
          <w:rFonts w:cs="Arial"/>
          <w:szCs w:val="20"/>
        </w:rPr>
        <w:t xml:space="preserve"> this will need to be addressed to facilitate future reporting.</w:t>
      </w:r>
    </w:p>
    <w:p w14:paraId="0B302B57" w14:textId="77777777" w:rsidR="008065B4" w:rsidRDefault="008065B4" w:rsidP="008065B4">
      <w:pPr>
        <w:rPr>
          <w:rFonts w:cs="Arial"/>
          <w:szCs w:val="20"/>
        </w:rPr>
      </w:pPr>
      <w:r w:rsidRPr="002A7ED8">
        <w:rPr>
          <w:rFonts w:cs="Arial"/>
          <w:szCs w:val="20"/>
        </w:rPr>
        <w:t xml:space="preserve">There is currently no equivalent, routine surveillance for other HPV sites such as oropharyngeal and anogenital regions, </w:t>
      </w:r>
      <w:r>
        <w:rPr>
          <w:rFonts w:cs="Arial"/>
          <w:szCs w:val="20"/>
        </w:rPr>
        <w:t>including for men who have sex with men, which can currently only be obtained using research studies of sentinel surveillance approaches.</w:t>
      </w:r>
    </w:p>
    <w:p w14:paraId="51FB63CC" w14:textId="77777777" w:rsidR="008065B4" w:rsidRDefault="008065B4" w:rsidP="008065B4">
      <w:pPr>
        <w:rPr>
          <w:rFonts w:cs="Arial"/>
          <w:szCs w:val="20"/>
        </w:rPr>
      </w:pPr>
      <w:r>
        <w:rPr>
          <w:rFonts w:cs="Arial"/>
          <w:szCs w:val="20"/>
        </w:rPr>
        <w:t>Monitoring of HPV infection prevalence at the cervix amongst people too young for routine cervical screening (age &lt;25 years), of particular importance for early monitoring of 9vHPV vaccine impacts, can be performed through sentinel surveillance as part of the National HPV Monitoring Program (IMPACT), or other dedicated research studies.</w:t>
      </w:r>
    </w:p>
    <w:p w14:paraId="343075FB" w14:textId="77777777" w:rsidR="008065B4" w:rsidRDefault="008065B4" w:rsidP="008065B4">
      <w:pPr>
        <w:rPr>
          <w:rFonts w:cs="Arial"/>
          <w:szCs w:val="20"/>
        </w:rPr>
      </w:pPr>
      <w:r w:rsidRPr="36C32CE7">
        <w:rPr>
          <w:rFonts w:cs="Arial"/>
          <w:szCs w:val="20"/>
        </w:rPr>
        <w:t>Numerator and denominators should not include 12-month</w:t>
      </w:r>
      <w:r>
        <w:rPr>
          <w:rFonts w:cs="Arial"/>
          <w:szCs w:val="20"/>
        </w:rPr>
        <w:t>/24-month follow up (test of cure)</w:t>
      </w:r>
      <w:r w:rsidRPr="36C32CE7">
        <w:rPr>
          <w:rFonts w:cs="Arial"/>
          <w:szCs w:val="20"/>
        </w:rPr>
        <w:t xml:space="preserve"> repeat HPV </w:t>
      </w:r>
      <w:r>
        <w:rPr>
          <w:rFonts w:cs="Arial"/>
          <w:szCs w:val="20"/>
        </w:rPr>
        <w:t>testing</w:t>
      </w:r>
      <w:r w:rsidRPr="36C32CE7">
        <w:rPr>
          <w:rFonts w:cs="Arial"/>
          <w:szCs w:val="20"/>
        </w:rPr>
        <w:t>.</w:t>
      </w:r>
    </w:p>
    <w:p w14:paraId="422AF51A" w14:textId="77777777" w:rsidR="008065B4" w:rsidRDefault="008065B4" w:rsidP="008065B4">
      <w:pPr>
        <w:rPr>
          <w:rFonts w:cs="Arial"/>
          <w:szCs w:val="20"/>
        </w:rPr>
      </w:pPr>
      <w:r w:rsidRPr="002A7ED8">
        <w:rPr>
          <w:rFonts w:cs="Arial"/>
          <w:szCs w:val="20"/>
        </w:rPr>
        <w:t>HPV vaccination status should be collected and reported against these indicators where available.</w:t>
      </w:r>
    </w:p>
    <w:p w14:paraId="0509B4E6" w14:textId="77777777" w:rsidR="008065B4" w:rsidRPr="00CD10C1" w:rsidRDefault="008065B4" w:rsidP="00CD10C1">
      <w:r w:rsidRPr="00CD10C1">
        <w:t>All data should be reported by Aboriginal and Torres Strait Islander status where available.</w:t>
      </w:r>
    </w:p>
    <w:p w14:paraId="606D95D9" w14:textId="77777777" w:rsidR="008065B4" w:rsidRPr="00CD10C1" w:rsidRDefault="008065B4" w:rsidP="00CD10C1">
      <w:r w:rsidRPr="00CD10C1">
        <w:t>HPV genotype prevalence should be reported by HPV16/18 and other oncogenic type groupings as per the NCSP and by individual genotype where available.</w:t>
      </w:r>
    </w:p>
    <w:p w14:paraId="671A8BCF" w14:textId="77777777" w:rsidR="008065B4" w:rsidRPr="00753BD1" w:rsidRDefault="008065B4" w:rsidP="008065B4">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 </w:t>
      </w:r>
    </w:p>
    <w:p w14:paraId="3FC7C935" w14:textId="77777777" w:rsidR="008065B4" w:rsidRPr="00BA5BA6" w:rsidRDefault="008065B4" w:rsidP="00792CE3">
      <w:pPr>
        <w:pStyle w:val="Heading3"/>
        <w:pageBreakBefore/>
      </w:pPr>
      <w:r w:rsidRPr="00D070E3">
        <w:lastRenderedPageBreak/>
        <w:t>Reporting against indicator</w:t>
      </w:r>
      <w:r>
        <w:t>s</w:t>
      </w:r>
    </w:p>
    <w:p w14:paraId="139D135D" w14:textId="77777777" w:rsidR="008065B4" w:rsidRPr="008C4020" w:rsidRDefault="008065B4" w:rsidP="0006548B">
      <w:pPr>
        <w:pStyle w:val="Caption"/>
      </w:pPr>
      <w:r w:rsidRPr="008C4020">
        <w:t xml:space="preserve">Prevalence of HPV infection among people participating in the National Cervical Screening Program </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40"/>
        <w:gridCol w:w="764"/>
        <w:gridCol w:w="3539"/>
        <w:gridCol w:w="2173"/>
        <w:gridCol w:w="1743"/>
      </w:tblGrid>
      <w:tr w:rsidR="008065B4" w:rsidRPr="00D070E3" w14:paraId="6CCA06B6" w14:textId="77777777" w:rsidTr="00792CE3">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0BFC9A73" w14:textId="77777777" w:rsidR="008065B4" w:rsidRPr="00D070E3" w:rsidRDefault="008065B4" w:rsidP="00792CE3">
            <w:pPr>
              <w:pStyle w:val="Tableheaderrowblack"/>
              <w:rPr>
                <w:b/>
              </w:rPr>
            </w:pPr>
            <w:r w:rsidRPr="00D070E3">
              <w:t>Indicator components</w:t>
            </w:r>
          </w:p>
        </w:tc>
        <w:tc>
          <w:tcPr>
            <w:tcW w:w="0" w:type="auto"/>
            <w:vAlign w:val="top"/>
          </w:tcPr>
          <w:p w14:paraId="74BDE213" w14:textId="77777777" w:rsidR="008065B4" w:rsidRPr="00D070E3" w:rsidRDefault="008065B4" w:rsidP="00792CE3">
            <w:pPr>
              <w:pStyle w:val="Tableheaderrowblack"/>
              <w:rPr>
                <w:b/>
              </w:rPr>
            </w:pPr>
            <w:r w:rsidRPr="00D070E3">
              <w:t>Source</w:t>
            </w:r>
          </w:p>
        </w:tc>
        <w:tc>
          <w:tcPr>
            <w:tcW w:w="0" w:type="auto"/>
            <w:vAlign w:val="top"/>
          </w:tcPr>
          <w:p w14:paraId="3396EADD" w14:textId="77777777" w:rsidR="008065B4" w:rsidRPr="00D070E3" w:rsidRDefault="008065B4" w:rsidP="00792CE3">
            <w:pPr>
              <w:pStyle w:val="Tableheaderrowblack"/>
              <w:rPr>
                <w:b/>
              </w:rPr>
            </w:pPr>
            <w:r w:rsidRPr="00D070E3">
              <w:t>Description</w:t>
            </w:r>
          </w:p>
        </w:tc>
        <w:tc>
          <w:tcPr>
            <w:tcW w:w="0" w:type="auto"/>
            <w:vAlign w:val="top"/>
          </w:tcPr>
          <w:p w14:paraId="3FBCF2C8" w14:textId="0237E5DA" w:rsidR="008065B4" w:rsidRPr="00D070E3" w:rsidRDefault="008065B4" w:rsidP="00792CE3">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EBABBF8" w14:textId="0C522249" w:rsidR="008065B4" w:rsidRPr="00D070E3" w:rsidRDefault="008065B4" w:rsidP="00792CE3">
            <w:pPr>
              <w:pStyle w:val="Tableheaderrowblack"/>
              <w:rPr>
                <w:b/>
              </w:rPr>
            </w:pPr>
            <w:r w:rsidRPr="00D070E3">
              <w:t>Availability of data for reporting</w:t>
            </w:r>
          </w:p>
        </w:tc>
      </w:tr>
      <w:tr w:rsidR="008065B4" w:rsidRPr="00D070E3" w14:paraId="624D9CE1" w14:textId="77777777" w:rsidTr="00792CE3">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706A5B" w14:textId="77777777" w:rsidR="008065B4" w:rsidRPr="00CA76F2" w:rsidRDefault="008065B4" w:rsidP="00792CE3">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CACF0CF" w14:textId="0A909725" w:rsidR="008065B4" w:rsidRPr="00D070E3" w:rsidRDefault="008065B4" w:rsidP="00792CE3">
            <w:pPr>
              <w:pStyle w:val="Tabletext"/>
              <w:rPr>
                <w:rFonts w:cs="Arial"/>
              </w:rPr>
            </w:pPr>
            <w:r>
              <w:rPr>
                <w:rFonts w:cs="Arial"/>
              </w:rPr>
              <w:t>NCSR</w:t>
            </w:r>
            <w:bookmarkStart w:id="32" w:name="_Ref160098968"/>
            <w:r w:rsidR="005355AC">
              <w:rPr>
                <w:rFonts w:ascii="ZWAdobeF" w:hAnsi="ZWAdobeF" w:cs="ZWAdobeF"/>
                <w:color w:val="auto"/>
                <w:sz w:val="2"/>
                <w:szCs w:val="2"/>
              </w:rPr>
              <w:t>9F</w:t>
            </w:r>
            <w:r>
              <w:rPr>
                <w:rStyle w:val="FootnoteReference"/>
                <w:rFonts w:eastAsiaTheme="minorEastAsia" w:cs="Arial"/>
              </w:rPr>
              <w:footnoteReference w:id="10"/>
            </w:r>
            <w:bookmarkEnd w:id="32"/>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19F278B" w14:textId="77777777" w:rsidR="008065B4" w:rsidRPr="00D070E3" w:rsidRDefault="008065B4" w:rsidP="00792CE3">
            <w:pPr>
              <w:pStyle w:val="Tabletext"/>
              <w:rPr>
                <w:rFonts w:cs="Arial"/>
              </w:rPr>
            </w:pPr>
            <w:r w:rsidRPr="00D070E3">
              <w:rPr>
                <w:rFonts w:cs="Arial"/>
              </w:rPr>
              <w:t>Number of primary screening HPV tests that detected oncogenic HPV</w:t>
            </w:r>
            <w:r>
              <w:rPr>
                <w:rFonts w:cs="Arial"/>
              </w:rPr>
              <w:t xml:space="preserve"> in people aged </w:t>
            </w:r>
            <w:r w:rsidRPr="00D070E3">
              <w:rPr>
                <w:rFonts w:cs="Arial"/>
              </w:rPr>
              <w:t xml:space="preserve">25–74 </w:t>
            </w:r>
            <w:r w:rsidRPr="3AA2856E">
              <w:rPr>
                <w:rFonts w:cs="Arial"/>
              </w:rPr>
              <w:t>years</w:t>
            </w:r>
            <w:r>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1BCBA2B" w14:textId="77777777" w:rsidR="008065B4" w:rsidRPr="00CD10C1" w:rsidRDefault="008065B4" w:rsidP="00792CE3">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603EBFB6" w14:textId="77777777" w:rsidR="008065B4" w:rsidRPr="00CD10C1" w:rsidRDefault="008065B4" w:rsidP="00792CE3">
            <w:pPr>
              <w:pStyle w:val="Tabletext"/>
            </w:pPr>
            <w:r w:rsidRPr="00CD10C1">
              <w:t>Quarterly</w:t>
            </w:r>
          </w:p>
        </w:tc>
      </w:tr>
      <w:tr w:rsidR="008065B4" w:rsidRPr="00D070E3" w14:paraId="5F20979D" w14:textId="77777777" w:rsidTr="00792CE3">
        <w:trPr>
          <w:jc w:val="center"/>
        </w:trPr>
        <w:tc>
          <w:tcPr>
            <w:tcW w:w="0" w:type="auto"/>
            <w:vAlign w:val="top"/>
          </w:tcPr>
          <w:p w14:paraId="568855EE" w14:textId="77777777" w:rsidR="008065B4" w:rsidRPr="00CA76F2" w:rsidRDefault="008065B4" w:rsidP="00792CE3">
            <w:pPr>
              <w:pStyle w:val="Tabletext"/>
            </w:pPr>
            <w:r w:rsidRPr="00CA76F2">
              <w:t>Denominator</w:t>
            </w:r>
          </w:p>
        </w:tc>
        <w:tc>
          <w:tcPr>
            <w:tcW w:w="0" w:type="auto"/>
            <w:vAlign w:val="top"/>
          </w:tcPr>
          <w:p w14:paraId="47555E68" w14:textId="5FC957FD" w:rsidR="008065B4" w:rsidRPr="008B5B9D" w:rsidRDefault="008065B4" w:rsidP="00792CE3">
            <w:pPr>
              <w:pStyle w:val="Tabletext"/>
              <w:rPr>
                <w:rFonts w:cs="Arial"/>
                <w:vertAlign w:val="superscript"/>
              </w:rPr>
            </w:pPr>
            <w:r w:rsidRPr="00CA76F2">
              <w:t>NCSR</w:t>
            </w:r>
            <w:r w:rsidRPr="001E7759">
              <w:rPr>
                <w:rStyle w:val="SuperscriptChar"/>
              </w:rPr>
              <w:fldChar w:fldCharType="begin"/>
            </w:r>
            <w:r w:rsidRPr="001E7759">
              <w:rPr>
                <w:rStyle w:val="SuperscriptChar"/>
              </w:rPr>
              <w:instrText xml:space="preserve"> NOTEREF _Ref160098968 \f \h </w:instrText>
            </w:r>
            <w:r w:rsid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10</w:t>
            </w:r>
            <w:r w:rsidRPr="001E7759">
              <w:rPr>
                <w:rStyle w:val="SuperscriptChar"/>
              </w:rPr>
              <w:fldChar w:fldCharType="end"/>
            </w:r>
          </w:p>
        </w:tc>
        <w:tc>
          <w:tcPr>
            <w:tcW w:w="0" w:type="auto"/>
            <w:vAlign w:val="top"/>
          </w:tcPr>
          <w:p w14:paraId="3113988B" w14:textId="77777777" w:rsidR="008065B4" w:rsidRPr="00D070E3" w:rsidRDefault="008065B4" w:rsidP="00792CE3">
            <w:pPr>
              <w:pStyle w:val="Tabletext"/>
              <w:rPr>
                <w:rFonts w:cs="Arial"/>
              </w:rPr>
            </w:pPr>
            <w:r w:rsidRPr="00D070E3">
              <w:rPr>
                <w:rFonts w:cs="Arial"/>
              </w:rPr>
              <w:t xml:space="preserve">Number of </w:t>
            </w:r>
            <w:r>
              <w:rPr>
                <w:rFonts w:cs="Arial"/>
              </w:rPr>
              <w:t>people</w:t>
            </w:r>
            <w:r w:rsidRPr="00D070E3">
              <w:rPr>
                <w:rFonts w:cs="Arial"/>
              </w:rPr>
              <w:t xml:space="preserve"> aged 25–74 </w:t>
            </w:r>
            <w:r w:rsidRPr="3AA2856E">
              <w:rPr>
                <w:rFonts w:cs="Arial"/>
              </w:rPr>
              <w:t xml:space="preserve">years </w:t>
            </w:r>
            <w:r w:rsidRPr="00D070E3">
              <w:rPr>
                <w:rFonts w:cs="Arial"/>
              </w:rPr>
              <w:t>who had a screening HPV test (primary screening</w:t>
            </w:r>
            <w:r>
              <w:rPr>
                <w:rFonts w:cs="Arial"/>
              </w:rPr>
              <w:t>).</w:t>
            </w:r>
          </w:p>
        </w:tc>
        <w:tc>
          <w:tcPr>
            <w:tcW w:w="0" w:type="auto"/>
            <w:vAlign w:val="top"/>
          </w:tcPr>
          <w:p w14:paraId="57CFE164" w14:textId="77777777" w:rsidR="008065B4" w:rsidRPr="00CD10C1" w:rsidRDefault="008065B4" w:rsidP="00792CE3">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5D068B73" w14:textId="77777777" w:rsidR="008065B4" w:rsidRPr="00CD10C1" w:rsidRDefault="008065B4" w:rsidP="00792CE3">
            <w:pPr>
              <w:pStyle w:val="Tabletext"/>
            </w:pPr>
            <w:r w:rsidRPr="00CD10C1">
              <w:t>Quarterly</w:t>
            </w:r>
          </w:p>
        </w:tc>
      </w:tr>
    </w:tbl>
    <w:p w14:paraId="47046E8E" w14:textId="77777777" w:rsidR="008065B4" w:rsidRPr="008C4020" w:rsidRDefault="008065B4" w:rsidP="00792CE3">
      <w:pPr>
        <w:pStyle w:val="Caption"/>
        <w:spacing w:before="240"/>
      </w:pPr>
      <w:r w:rsidRPr="008C4020">
        <w:t>Prevalence of HPV infection among Aboriginal and Torres Strait Islander people participating in the National Cervical Screening Program</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72"/>
        <w:gridCol w:w="758"/>
        <w:gridCol w:w="3768"/>
        <w:gridCol w:w="2173"/>
        <w:gridCol w:w="1588"/>
      </w:tblGrid>
      <w:tr w:rsidR="008065B4" w:rsidRPr="00F17B34" w14:paraId="5300FA8D" w14:textId="77777777" w:rsidTr="00792CE3">
        <w:trPr>
          <w:cnfStyle w:val="100000000000" w:firstRow="1" w:lastRow="0" w:firstColumn="0" w:lastColumn="0" w:oddVBand="0" w:evenVBand="0" w:oddHBand="0" w:evenHBand="0" w:firstRowFirstColumn="0" w:firstRowLastColumn="0" w:lastRowFirstColumn="0" w:lastRowLastColumn="0"/>
        </w:trPr>
        <w:tc>
          <w:tcPr>
            <w:tcW w:w="0" w:type="auto"/>
            <w:vAlign w:val="top"/>
          </w:tcPr>
          <w:p w14:paraId="10121ACD" w14:textId="77777777" w:rsidR="008065B4" w:rsidRPr="00CD10C1" w:rsidRDefault="008065B4" w:rsidP="00792CE3">
            <w:pPr>
              <w:pStyle w:val="Tableheaderrowblack"/>
            </w:pPr>
            <w:r w:rsidRPr="00CD10C1">
              <w:t>Indicator components</w:t>
            </w:r>
          </w:p>
        </w:tc>
        <w:tc>
          <w:tcPr>
            <w:tcW w:w="0" w:type="auto"/>
            <w:vAlign w:val="top"/>
          </w:tcPr>
          <w:p w14:paraId="219AEAD7" w14:textId="77777777" w:rsidR="008065B4" w:rsidRPr="00CD10C1" w:rsidRDefault="008065B4" w:rsidP="00792CE3">
            <w:pPr>
              <w:pStyle w:val="Tableheaderrowblack"/>
            </w:pPr>
            <w:r w:rsidRPr="00CD10C1">
              <w:t>Source</w:t>
            </w:r>
          </w:p>
        </w:tc>
        <w:tc>
          <w:tcPr>
            <w:tcW w:w="0" w:type="auto"/>
            <w:vAlign w:val="top"/>
          </w:tcPr>
          <w:p w14:paraId="4F2FEEB4" w14:textId="77777777" w:rsidR="008065B4" w:rsidRPr="00CD10C1" w:rsidRDefault="008065B4" w:rsidP="00792CE3">
            <w:pPr>
              <w:pStyle w:val="Tableheaderrowblack"/>
            </w:pPr>
            <w:r w:rsidRPr="00CD10C1">
              <w:t>Description</w:t>
            </w:r>
          </w:p>
        </w:tc>
        <w:tc>
          <w:tcPr>
            <w:tcW w:w="0" w:type="auto"/>
            <w:vAlign w:val="top"/>
          </w:tcPr>
          <w:p w14:paraId="7CE55CDC" w14:textId="285F0CA1" w:rsidR="008065B4" w:rsidRPr="007E6DAA" w:rsidRDefault="008065B4" w:rsidP="00792CE3">
            <w:pPr>
              <w:pStyle w:val="Tableheaderrowblack"/>
              <w:rPr>
                <w:rFonts w:cs="Arial"/>
                <w:b/>
              </w:rPr>
            </w:pPr>
            <w:r w:rsidRPr="007E6DAA">
              <w:rPr>
                <w:rFonts w:cs="Arial"/>
              </w:rPr>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6284C3A" w14:textId="4A68EE84" w:rsidR="008065B4" w:rsidRPr="007E6DAA" w:rsidRDefault="008065B4" w:rsidP="00792CE3">
            <w:pPr>
              <w:pStyle w:val="Tableheaderrowblack"/>
              <w:rPr>
                <w:rFonts w:cs="Arial"/>
                <w:b/>
              </w:rPr>
            </w:pPr>
            <w:r w:rsidRPr="007E6DAA">
              <w:rPr>
                <w:rFonts w:cs="Arial"/>
              </w:rPr>
              <w:t>Availability of data</w:t>
            </w:r>
            <w:r w:rsidR="00192F08">
              <w:rPr>
                <w:rFonts w:cs="Arial"/>
              </w:rPr>
              <w:t xml:space="preserve"> </w:t>
            </w:r>
            <w:r w:rsidRPr="007E6DAA">
              <w:rPr>
                <w:rFonts w:cs="Arial"/>
              </w:rPr>
              <w:t>for reporting</w:t>
            </w:r>
          </w:p>
        </w:tc>
      </w:tr>
      <w:tr w:rsidR="00CD10C1" w:rsidRPr="00F17B34" w14:paraId="799DC98F" w14:textId="77777777" w:rsidTr="00792CE3">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798D6E0" w14:textId="77777777" w:rsidR="008065B4" w:rsidRPr="00CA76F2" w:rsidRDefault="008065B4" w:rsidP="00792CE3">
            <w:pPr>
              <w:pStyle w:val="Tabletext"/>
            </w:pPr>
            <w:r w:rsidRPr="00CA76F2">
              <w:t>Numerator</w:t>
            </w:r>
          </w:p>
        </w:tc>
        <w:tc>
          <w:tcPr>
            <w:tcW w:w="0" w:type="auto"/>
            <w:vAlign w:val="top"/>
          </w:tcPr>
          <w:p w14:paraId="6D783F8A" w14:textId="19EEC718" w:rsidR="008065B4" w:rsidRPr="00CD10C1" w:rsidRDefault="008065B4" w:rsidP="00792CE3">
            <w:pPr>
              <w:pStyle w:val="Tabletext"/>
            </w:pPr>
            <w:r w:rsidRPr="00CA76F2">
              <w:t>NCSR</w:t>
            </w:r>
            <w:r w:rsidRPr="001E7759">
              <w:rPr>
                <w:rStyle w:val="SuperscriptChar"/>
              </w:rPr>
              <w:fldChar w:fldCharType="begin"/>
            </w:r>
            <w:r w:rsidRPr="001E7759">
              <w:rPr>
                <w:rStyle w:val="SuperscriptChar"/>
              </w:rPr>
              <w:instrText xml:space="preserve"> NOTEREF _Ref160098968 \f \h </w:instrText>
            </w:r>
            <w:r w:rsidR="00192F08" w:rsidRP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10</w:t>
            </w:r>
            <w:r w:rsidRPr="001E7759">
              <w:rPr>
                <w:rStyle w:val="SuperscriptChar"/>
              </w:rPr>
              <w:fldChar w:fldCharType="end"/>
            </w:r>
          </w:p>
        </w:tc>
        <w:tc>
          <w:tcPr>
            <w:tcW w:w="0" w:type="auto"/>
            <w:vAlign w:val="top"/>
          </w:tcPr>
          <w:p w14:paraId="392A8E1D" w14:textId="77777777" w:rsidR="008065B4" w:rsidRPr="007E6DAA" w:rsidRDefault="008065B4" w:rsidP="00792CE3">
            <w:pPr>
              <w:pStyle w:val="Tabletext"/>
              <w:rPr>
                <w:rFonts w:cs="Arial"/>
              </w:rPr>
            </w:pPr>
            <w:r w:rsidRPr="007E6DAA">
              <w:rPr>
                <w:rFonts w:cs="Arial"/>
              </w:rPr>
              <w:t xml:space="preserve">Number of primary screening HPV tests among Aboriginal and Torres Strait Islander people </w:t>
            </w:r>
            <w:r>
              <w:rPr>
                <w:rFonts w:cs="Arial"/>
              </w:rPr>
              <w:t xml:space="preserve">aged </w:t>
            </w:r>
            <w:r w:rsidRPr="00D070E3">
              <w:rPr>
                <w:rFonts w:cs="Arial"/>
              </w:rPr>
              <w:t xml:space="preserve">25–74 </w:t>
            </w:r>
            <w:r w:rsidRPr="3AA2856E">
              <w:rPr>
                <w:rFonts w:cs="Arial"/>
              </w:rPr>
              <w:t>years</w:t>
            </w:r>
            <w:r w:rsidRPr="007E6DAA">
              <w:rPr>
                <w:rFonts w:cs="Arial"/>
              </w:rPr>
              <w:t xml:space="preserve"> that detected oncogenic HPV.</w:t>
            </w:r>
          </w:p>
        </w:tc>
        <w:tc>
          <w:tcPr>
            <w:tcW w:w="0" w:type="auto"/>
            <w:vAlign w:val="top"/>
          </w:tcPr>
          <w:p w14:paraId="309AC77A" w14:textId="77777777" w:rsidR="008065B4" w:rsidRPr="00CD10C1" w:rsidRDefault="008065B4" w:rsidP="00792CE3">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CE35E19" w14:textId="77777777" w:rsidR="008065B4" w:rsidRPr="00CD10C1" w:rsidRDefault="008065B4" w:rsidP="00792CE3">
            <w:pPr>
              <w:pStyle w:val="Tabletext"/>
            </w:pPr>
            <w:r w:rsidRPr="00CD10C1">
              <w:t>Quarterly</w:t>
            </w:r>
          </w:p>
        </w:tc>
      </w:tr>
      <w:tr w:rsidR="008065B4" w:rsidRPr="00D070E3" w14:paraId="40EB7B86" w14:textId="77777777" w:rsidTr="00792CE3">
        <w:tc>
          <w:tcPr>
            <w:tcW w:w="0" w:type="auto"/>
            <w:vAlign w:val="top"/>
          </w:tcPr>
          <w:p w14:paraId="354A630B" w14:textId="77777777" w:rsidR="008065B4" w:rsidRPr="00CA76F2" w:rsidRDefault="008065B4" w:rsidP="00792CE3">
            <w:pPr>
              <w:pStyle w:val="Tabletext"/>
            </w:pPr>
            <w:r w:rsidRPr="00CA76F2">
              <w:t>Denominator</w:t>
            </w:r>
          </w:p>
        </w:tc>
        <w:tc>
          <w:tcPr>
            <w:tcW w:w="0" w:type="auto"/>
            <w:vAlign w:val="top"/>
          </w:tcPr>
          <w:p w14:paraId="01C66CA6" w14:textId="78589FA9" w:rsidR="008065B4" w:rsidRPr="00CD10C1" w:rsidRDefault="008065B4" w:rsidP="00792CE3">
            <w:pPr>
              <w:pStyle w:val="Tabletext"/>
            </w:pPr>
            <w:r w:rsidRPr="00CA76F2">
              <w:t>NCSR</w:t>
            </w:r>
            <w:r w:rsidRPr="001E7759">
              <w:rPr>
                <w:rStyle w:val="SuperscriptChar"/>
              </w:rPr>
              <w:fldChar w:fldCharType="begin"/>
            </w:r>
            <w:r w:rsidRPr="001E7759">
              <w:rPr>
                <w:rStyle w:val="SuperscriptChar"/>
              </w:rPr>
              <w:instrText xml:space="preserve"> NOTEREF _Ref160098968 \f \h </w:instrText>
            </w:r>
            <w:r w:rsidR="00192F08" w:rsidRP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10</w:t>
            </w:r>
            <w:r w:rsidRPr="001E7759">
              <w:rPr>
                <w:rStyle w:val="SuperscriptChar"/>
              </w:rPr>
              <w:fldChar w:fldCharType="end"/>
            </w:r>
          </w:p>
        </w:tc>
        <w:tc>
          <w:tcPr>
            <w:tcW w:w="0" w:type="auto"/>
            <w:vAlign w:val="top"/>
          </w:tcPr>
          <w:p w14:paraId="3442D301" w14:textId="77777777" w:rsidR="008065B4" w:rsidRPr="007E6DAA" w:rsidRDefault="008065B4" w:rsidP="00792CE3">
            <w:pPr>
              <w:pStyle w:val="Tabletext"/>
              <w:rPr>
                <w:rFonts w:cs="Arial"/>
              </w:rPr>
            </w:pPr>
            <w:r w:rsidRPr="007E6DAA">
              <w:rPr>
                <w:rFonts w:cs="Arial"/>
              </w:rPr>
              <w:t xml:space="preserve">Number of Aboriginal and Torres Strait Islander people aged 25–74 </w:t>
            </w:r>
            <w:r w:rsidRPr="3AA2856E">
              <w:rPr>
                <w:rFonts w:cs="Arial"/>
              </w:rPr>
              <w:t xml:space="preserve">years </w:t>
            </w:r>
            <w:r w:rsidRPr="007E6DAA">
              <w:rPr>
                <w:rFonts w:cs="Arial"/>
              </w:rPr>
              <w:t>who had a screening HPV test (primary screening).</w:t>
            </w:r>
          </w:p>
        </w:tc>
        <w:tc>
          <w:tcPr>
            <w:tcW w:w="0" w:type="auto"/>
            <w:vAlign w:val="top"/>
          </w:tcPr>
          <w:p w14:paraId="02A597C6" w14:textId="77777777" w:rsidR="008065B4" w:rsidRPr="00CD10C1" w:rsidRDefault="008065B4" w:rsidP="00792CE3">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25BC3935" w14:textId="77777777" w:rsidR="008065B4" w:rsidRPr="00CD10C1" w:rsidRDefault="008065B4" w:rsidP="00792CE3">
            <w:pPr>
              <w:pStyle w:val="Tabletext"/>
            </w:pPr>
            <w:r w:rsidRPr="00CD10C1">
              <w:t>Quarterly</w:t>
            </w:r>
          </w:p>
        </w:tc>
      </w:tr>
    </w:tbl>
    <w:p w14:paraId="62198C5E" w14:textId="77777777" w:rsidR="009D3BBD" w:rsidRPr="0014344E" w:rsidRDefault="009D3BBD" w:rsidP="0014344E">
      <w:r>
        <w:br w:type="page"/>
      </w:r>
    </w:p>
    <w:p w14:paraId="5D068137" w14:textId="0C52DDF4" w:rsidR="008065B4" w:rsidRPr="00376096" w:rsidRDefault="008065B4" w:rsidP="00376096">
      <w:pPr>
        <w:pStyle w:val="Caption"/>
      </w:pPr>
      <w:r w:rsidRPr="00376096">
        <w:lastRenderedPageBreak/>
        <w:t xml:space="preserve">Prevalence of HPV infection among young people (16-24 years) not yet eligible for cervical screening </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60"/>
        <w:gridCol w:w="967"/>
        <w:gridCol w:w="3601"/>
        <w:gridCol w:w="2173"/>
        <w:gridCol w:w="1558"/>
      </w:tblGrid>
      <w:tr w:rsidR="00CA76F2" w:rsidRPr="00D070E3" w14:paraId="597FE1CF" w14:textId="77777777" w:rsidTr="00792CE3">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vAlign w:val="top"/>
          </w:tcPr>
          <w:p w14:paraId="5D97FD6F" w14:textId="77777777" w:rsidR="008065B4" w:rsidRPr="00D070E3" w:rsidRDefault="008065B4" w:rsidP="00792CE3">
            <w:pPr>
              <w:pStyle w:val="Tableheaderrowblack"/>
              <w:rPr>
                <w:b/>
              </w:rPr>
            </w:pPr>
            <w:r w:rsidRPr="00D070E3">
              <w:t>Indicator components</w:t>
            </w:r>
          </w:p>
        </w:tc>
        <w:tc>
          <w:tcPr>
            <w:tcW w:w="0" w:type="auto"/>
            <w:vAlign w:val="top"/>
          </w:tcPr>
          <w:p w14:paraId="2AE27F17" w14:textId="77777777" w:rsidR="008065B4" w:rsidRPr="00D070E3" w:rsidRDefault="008065B4" w:rsidP="00792CE3">
            <w:pPr>
              <w:pStyle w:val="Tableheaderrowblack"/>
              <w:rPr>
                <w:b/>
              </w:rPr>
            </w:pPr>
            <w:r w:rsidRPr="00D070E3">
              <w:t>Source</w:t>
            </w:r>
          </w:p>
        </w:tc>
        <w:tc>
          <w:tcPr>
            <w:tcW w:w="0" w:type="auto"/>
            <w:vAlign w:val="top"/>
          </w:tcPr>
          <w:p w14:paraId="4E32612F" w14:textId="77777777" w:rsidR="008065B4" w:rsidRPr="00D070E3" w:rsidRDefault="008065B4" w:rsidP="00792CE3">
            <w:pPr>
              <w:pStyle w:val="Tableheaderrowblack"/>
              <w:rPr>
                <w:b/>
              </w:rPr>
            </w:pPr>
            <w:r w:rsidRPr="00D070E3">
              <w:t>Description</w:t>
            </w:r>
          </w:p>
        </w:tc>
        <w:tc>
          <w:tcPr>
            <w:tcW w:w="0" w:type="auto"/>
            <w:vAlign w:val="top"/>
          </w:tcPr>
          <w:p w14:paraId="7DC71B04" w14:textId="19850169" w:rsidR="008065B4" w:rsidRPr="00D070E3" w:rsidRDefault="008065B4" w:rsidP="00792CE3">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5A646B94" w14:textId="21BA1A58" w:rsidR="008065B4" w:rsidRPr="00D070E3" w:rsidRDefault="008065B4" w:rsidP="00792CE3">
            <w:pPr>
              <w:pStyle w:val="Tableheaderrowblack"/>
              <w:rPr>
                <w:b/>
              </w:rPr>
            </w:pPr>
            <w:r w:rsidRPr="00D070E3">
              <w:t>Availability of data for reporting</w:t>
            </w:r>
          </w:p>
        </w:tc>
      </w:tr>
      <w:tr w:rsidR="00192F08" w:rsidRPr="00D070E3" w14:paraId="6205737F" w14:textId="77777777" w:rsidTr="00792CE3">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A06A243" w14:textId="77777777" w:rsidR="008065B4" w:rsidRPr="00CA76F2" w:rsidRDefault="008065B4" w:rsidP="00792CE3">
            <w:pPr>
              <w:pStyle w:val="Tabletext"/>
            </w:pPr>
            <w:r w:rsidRPr="00CA76F2">
              <w:t>Numerator</w:t>
            </w:r>
          </w:p>
        </w:tc>
        <w:tc>
          <w:tcPr>
            <w:tcW w:w="0" w:type="auto"/>
            <w:vAlign w:val="top"/>
          </w:tcPr>
          <w:p w14:paraId="0B8B9293" w14:textId="68031B30" w:rsidR="008065B4" w:rsidRPr="00D070E3" w:rsidRDefault="008065B4" w:rsidP="00792CE3">
            <w:pPr>
              <w:pStyle w:val="Tabletext"/>
              <w:rPr>
                <w:rFonts w:cs="Arial"/>
              </w:rPr>
            </w:pPr>
            <w:r w:rsidRPr="00CA76F2">
              <w:t>IMPACT</w:t>
            </w:r>
            <w:bookmarkStart w:id="33" w:name="_Ref135309599"/>
            <w:r w:rsidR="005355AC">
              <w:rPr>
                <w:rFonts w:ascii="ZWAdobeF" w:hAnsi="ZWAdobeF" w:cs="ZWAdobeF"/>
                <w:color w:val="auto"/>
                <w:sz w:val="2"/>
                <w:szCs w:val="2"/>
              </w:rPr>
              <w:t>10F</w:t>
            </w:r>
            <w:r>
              <w:rPr>
                <w:rStyle w:val="FootnoteReference"/>
                <w:rFonts w:eastAsiaTheme="minorEastAsia" w:cs="Arial"/>
              </w:rPr>
              <w:footnoteReference w:id="11"/>
            </w:r>
            <w:bookmarkEnd w:id="33"/>
          </w:p>
        </w:tc>
        <w:tc>
          <w:tcPr>
            <w:tcW w:w="0" w:type="auto"/>
            <w:vAlign w:val="top"/>
          </w:tcPr>
          <w:p w14:paraId="0482C7A8" w14:textId="5A36FBD8" w:rsidR="008065B4" w:rsidRPr="00D070E3" w:rsidRDefault="008065B4" w:rsidP="00792CE3">
            <w:pPr>
              <w:pStyle w:val="Tabletext"/>
              <w:rPr>
                <w:rFonts w:cs="Arial"/>
              </w:rPr>
            </w:pPr>
            <w:r w:rsidRPr="00D070E3">
              <w:rPr>
                <w:rFonts w:cs="Arial"/>
              </w:rPr>
              <w:t xml:space="preserve">Number of </w:t>
            </w:r>
            <w:r>
              <w:rPr>
                <w:rFonts w:cs="Arial"/>
              </w:rPr>
              <w:t>people</w:t>
            </w:r>
            <w:r w:rsidRPr="00D070E3">
              <w:rPr>
                <w:rFonts w:cs="Arial"/>
              </w:rPr>
              <w:t xml:space="preserve"> aged </w:t>
            </w:r>
            <w:r w:rsidRPr="00E4715E">
              <w:rPr>
                <w:rFonts w:cs="Arial"/>
              </w:rPr>
              <w:t>16</w:t>
            </w:r>
            <w:r w:rsidRPr="4EED8B0A">
              <w:rPr>
                <w:rFonts w:cs="Arial"/>
              </w:rPr>
              <w:t>–</w:t>
            </w:r>
            <w:r w:rsidRPr="00E4715E">
              <w:rPr>
                <w:rFonts w:cs="Arial"/>
              </w:rPr>
              <w:t>24 years</w:t>
            </w:r>
            <w:r>
              <w:rPr>
                <w:rFonts w:cs="Arial"/>
              </w:rPr>
              <w:t xml:space="preserve"> </w:t>
            </w:r>
            <w:r w:rsidRPr="00D070E3">
              <w:rPr>
                <w:rFonts w:cs="Arial"/>
              </w:rPr>
              <w:t>participating in the National HPV monitoring program who have an anogenital</w:t>
            </w:r>
            <w:bookmarkStart w:id="34" w:name="_Ref139013306"/>
            <w:r w:rsidR="005355AC">
              <w:rPr>
                <w:rFonts w:ascii="ZWAdobeF" w:hAnsi="ZWAdobeF" w:cs="ZWAdobeF"/>
                <w:color w:val="auto"/>
                <w:sz w:val="2"/>
                <w:szCs w:val="2"/>
              </w:rPr>
              <w:t>11F</w:t>
            </w:r>
            <w:r>
              <w:rPr>
                <w:rStyle w:val="FootnoteReference"/>
                <w:rFonts w:eastAsiaTheme="minorEastAsia" w:cs="Arial"/>
              </w:rPr>
              <w:footnoteReference w:id="12"/>
            </w:r>
            <w:bookmarkEnd w:id="34"/>
            <w:r w:rsidRPr="00D070E3">
              <w:rPr>
                <w:rFonts w:cs="Arial"/>
              </w:rPr>
              <w:t xml:space="preserve"> HPV type detected</w:t>
            </w:r>
            <w:r>
              <w:rPr>
                <w:rFonts w:cs="Arial"/>
              </w:rPr>
              <w:t>.</w:t>
            </w:r>
          </w:p>
        </w:tc>
        <w:tc>
          <w:tcPr>
            <w:tcW w:w="0" w:type="auto"/>
            <w:vAlign w:val="top"/>
          </w:tcPr>
          <w:p w14:paraId="283218A0" w14:textId="77777777" w:rsidR="008065B4" w:rsidRPr="00CD10C1" w:rsidRDefault="008065B4" w:rsidP="00792CE3">
            <w:pPr>
              <w:pStyle w:val="Tabletext"/>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24E78C7E" w14:textId="77777777" w:rsidR="008065B4" w:rsidRPr="00CD10C1" w:rsidRDefault="008065B4" w:rsidP="00792CE3">
            <w:pPr>
              <w:pStyle w:val="Tabletext"/>
            </w:pPr>
            <w:r w:rsidRPr="00CD10C1">
              <w:t>Ad hoc</w:t>
            </w:r>
          </w:p>
        </w:tc>
      </w:tr>
      <w:tr w:rsidR="008065B4" w:rsidRPr="00D070E3" w14:paraId="499A6FE9" w14:textId="77777777" w:rsidTr="00792CE3">
        <w:tc>
          <w:tcPr>
            <w:tcW w:w="0" w:type="auto"/>
            <w:tcBorders>
              <w:top w:val="single" w:sz="4" w:space="0" w:color="auto"/>
            </w:tcBorders>
            <w:vAlign w:val="top"/>
          </w:tcPr>
          <w:p w14:paraId="062CB20C" w14:textId="77777777" w:rsidR="008065B4" w:rsidRPr="00CA76F2" w:rsidRDefault="008065B4" w:rsidP="00792CE3">
            <w:pPr>
              <w:pStyle w:val="Tabletext"/>
            </w:pPr>
            <w:r w:rsidRPr="00CA76F2">
              <w:t>Denominator</w:t>
            </w:r>
          </w:p>
        </w:tc>
        <w:tc>
          <w:tcPr>
            <w:tcW w:w="0" w:type="auto"/>
            <w:vAlign w:val="top"/>
          </w:tcPr>
          <w:p w14:paraId="7BB720D7" w14:textId="19BB9129" w:rsidR="008065B4" w:rsidRPr="00266440" w:rsidRDefault="008065B4" w:rsidP="00792CE3">
            <w:pPr>
              <w:pStyle w:val="Tabletext"/>
              <w:rPr>
                <w:rFonts w:cs="Arial"/>
                <w:vertAlign w:val="superscript"/>
              </w:rPr>
            </w:pPr>
            <w:r w:rsidRPr="00CA76F2">
              <w:t>IMPACT</w:t>
            </w:r>
            <w:r w:rsidRPr="001E7759">
              <w:rPr>
                <w:rStyle w:val="SuperscriptChar"/>
              </w:rPr>
              <w:fldChar w:fldCharType="begin"/>
            </w:r>
            <w:r w:rsidRPr="001E7759">
              <w:rPr>
                <w:rStyle w:val="SuperscriptChar"/>
              </w:rPr>
              <w:instrText xml:space="preserve"> NOTEREF _Ref135309599 \f \h </w:instrText>
            </w:r>
            <w:r w:rsidR="001E7759">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11</w:t>
            </w:r>
            <w:r w:rsidRPr="001E7759">
              <w:rPr>
                <w:rStyle w:val="SuperscriptChar"/>
              </w:rPr>
              <w:fldChar w:fldCharType="end"/>
            </w:r>
          </w:p>
        </w:tc>
        <w:tc>
          <w:tcPr>
            <w:tcW w:w="0" w:type="auto"/>
            <w:vAlign w:val="top"/>
          </w:tcPr>
          <w:p w14:paraId="3B73D7EF" w14:textId="77777777" w:rsidR="008065B4" w:rsidRPr="00D070E3" w:rsidRDefault="008065B4" w:rsidP="00792CE3">
            <w:pPr>
              <w:pStyle w:val="Tabletext"/>
              <w:rPr>
                <w:rFonts w:cs="Arial"/>
              </w:rPr>
            </w:pPr>
            <w:r w:rsidRPr="4EED8B0A">
              <w:rPr>
                <w:rFonts w:cs="Arial"/>
              </w:rPr>
              <w:t>Number of people aged 16–24 years participating in the National HPV monitoring program.</w:t>
            </w:r>
          </w:p>
        </w:tc>
        <w:tc>
          <w:tcPr>
            <w:tcW w:w="0" w:type="auto"/>
            <w:vAlign w:val="top"/>
          </w:tcPr>
          <w:p w14:paraId="662FC12A" w14:textId="77777777" w:rsidR="008065B4" w:rsidRPr="00CD10C1" w:rsidRDefault="008065B4" w:rsidP="00792CE3">
            <w:pPr>
              <w:pStyle w:val="Tabletext"/>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51126430" w14:textId="77777777" w:rsidR="008065B4" w:rsidRPr="00CD10C1" w:rsidRDefault="008065B4" w:rsidP="00792CE3">
            <w:pPr>
              <w:pStyle w:val="Tabletext"/>
            </w:pPr>
            <w:r w:rsidRPr="00CD10C1">
              <w:t>Ad hoc</w:t>
            </w:r>
          </w:p>
        </w:tc>
      </w:tr>
    </w:tbl>
    <w:p w14:paraId="32699A59" w14:textId="08D35E68" w:rsidR="008065B4" w:rsidRPr="00376096" w:rsidRDefault="008065B4" w:rsidP="00792CE3">
      <w:pPr>
        <w:pStyle w:val="Caption"/>
        <w:spacing w:before="240"/>
      </w:pPr>
      <w:r w:rsidRPr="00376096">
        <w:t>Prevalence of HPV infection among men who have sex with men</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41"/>
        <w:gridCol w:w="962"/>
        <w:gridCol w:w="3665"/>
        <w:gridCol w:w="2173"/>
        <w:gridCol w:w="1518"/>
      </w:tblGrid>
      <w:tr w:rsidR="008065B4" w:rsidRPr="00D070E3" w14:paraId="51C5BF11" w14:textId="77777777" w:rsidTr="00792CE3">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18531D01" w14:textId="77777777" w:rsidR="008065B4" w:rsidRPr="00D070E3" w:rsidRDefault="008065B4" w:rsidP="00792CE3">
            <w:pPr>
              <w:pStyle w:val="Tableheaderrowblack"/>
              <w:rPr>
                <w:b/>
              </w:rPr>
            </w:pPr>
            <w:r w:rsidRPr="00D070E3">
              <w:t>Indicator components</w:t>
            </w:r>
          </w:p>
        </w:tc>
        <w:tc>
          <w:tcPr>
            <w:tcW w:w="0" w:type="auto"/>
            <w:vAlign w:val="top"/>
          </w:tcPr>
          <w:p w14:paraId="478C6C94" w14:textId="77777777" w:rsidR="008065B4" w:rsidRPr="00D070E3" w:rsidRDefault="008065B4" w:rsidP="00792CE3">
            <w:pPr>
              <w:pStyle w:val="Tableheaderrowblack"/>
              <w:rPr>
                <w:b/>
              </w:rPr>
            </w:pPr>
            <w:r w:rsidRPr="00D070E3">
              <w:t>Source</w:t>
            </w:r>
          </w:p>
        </w:tc>
        <w:tc>
          <w:tcPr>
            <w:tcW w:w="0" w:type="auto"/>
            <w:vAlign w:val="top"/>
          </w:tcPr>
          <w:p w14:paraId="712E52F6" w14:textId="77777777" w:rsidR="008065B4" w:rsidRPr="00D070E3" w:rsidRDefault="008065B4" w:rsidP="00792CE3">
            <w:pPr>
              <w:pStyle w:val="Tableheaderrowblack"/>
              <w:rPr>
                <w:b/>
              </w:rPr>
            </w:pPr>
            <w:r w:rsidRPr="00D070E3">
              <w:t>Description</w:t>
            </w:r>
          </w:p>
        </w:tc>
        <w:tc>
          <w:tcPr>
            <w:tcW w:w="0" w:type="auto"/>
            <w:vAlign w:val="top"/>
          </w:tcPr>
          <w:p w14:paraId="1931A879" w14:textId="478C561E" w:rsidR="008065B4" w:rsidRPr="00D070E3" w:rsidRDefault="008065B4" w:rsidP="00792CE3">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2118DC3C" w14:textId="0385F109" w:rsidR="008065B4" w:rsidRPr="00D070E3" w:rsidRDefault="008065B4" w:rsidP="00792CE3">
            <w:pPr>
              <w:pStyle w:val="Tableheaderrowblack"/>
              <w:rPr>
                <w:b/>
              </w:rPr>
            </w:pPr>
            <w:r w:rsidRPr="00D070E3">
              <w:t>Availability of data for reporting</w:t>
            </w:r>
          </w:p>
        </w:tc>
      </w:tr>
      <w:tr w:rsidR="00192F08" w:rsidRPr="00D070E3" w14:paraId="0AD4C9D2" w14:textId="77777777" w:rsidTr="00792CE3">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2A3FBDC7" w14:textId="77777777" w:rsidR="008065B4" w:rsidRPr="00CA76F2" w:rsidRDefault="008065B4" w:rsidP="00792CE3">
            <w:pPr>
              <w:pStyle w:val="Tabletext"/>
            </w:pPr>
            <w:r w:rsidRPr="00CA76F2">
              <w:t>Numerator</w:t>
            </w:r>
          </w:p>
        </w:tc>
        <w:tc>
          <w:tcPr>
            <w:tcW w:w="0" w:type="auto"/>
            <w:vAlign w:val="top"/>
          </w:tcPr>
          <w:p w14:paraId="6A604386" w14:textId="25C28B79" w:rsidR="008065B4" w:rsidRPr="00D070E3" w:rsidRDefault="008065B4" w:rsidP="00792CE3">
            <w:pPr>
              <w:pStyle w:val="Tabletext"/>
              <w:rPr>
                <w:rFonts w:cs="Arial"/>
              </w:rPr>
            </w:pPr>
            <w:r w:rsidRPr="00CA76F2">
              <w:t>IMPACT</w:t>
            </w:r>
            <w:r w:rsidR="009D3BBD" w:rsidRPr="001E7759">
              <w:rPr>
                <w:rStyle w:val="SuperscriptChar"/>
              </w:rPr>
              <w:t>1</w:t>
            </w:r>
            <w:r w:rsidR="009D3BBD">
              <w:rPr>
                <w:rStyle w:val="SuperscriptChar"/>
              </w:rPr>
              <w:t>1</w:t>
            </w:r>
          </w:p>
        </w:tc>
        <w:tc>
          <w:tcPr>
            <w:tcW w:w="0" w:type="auto"/>
            <w:vAlign w:val="top"/>
          </w:tcPr>
          <w:p w14:paraId="0A0B496B" w14:textId="3B44B510" w:rsidR="008065B4" w:rsidRPr="00D070E3" w:rsidRDefault="008065B4" w:rsidP="00792CE3">
            <w:pPr>
              <w:pStyle w:val="Tabletext"/>
              <w:rPr>
                <w:rFonts w:cs="Arial"/>
              </w:rPr>
            </w:pPr>
            <w:r w:rsidRPr="00D070E3">
              <w:rPr>
                <w:rFonts w:cs="Arial"/>
              </w:rPr>
              <w:t xml:space="preserve">Number of men </w:t>
            </w:r>
            <w:r>
              <w:rPr>
                <w:rFonts w:cs="Arial"/>
              </w:rPr>
              <w:t xml:space="preserve">who have sex with men aged </w:t>
            </w:r>
            <w:r w:rsidRPr="00D070E3">
              <w:rPr>
                <w:rFonts w:cs="Arial"/>
              </w:rPr>
              <w:t xml:space="preserve">16–24 </w:t>
            </w:r>
            <w:r>
              <w:rPr>
                <w:rFonts w:cs="Arial"/>
              </w:rPr>
              <w:t>years</w:t>
            </w:r>
            <w:r w:rsidRPr="00D070E3">
              <w:rPr>
                <w:rFonts w:cs="Arial"/>
              </w:rPr>
              <w:t xml:space="preserve"> participating in National </w:t>
            </w:r>
            <w:r w:rsidRPr="00A8501D">
              <w:rPr>
                <w:rFonts w:cs="Arial"/>
              </w:rPr>
              <w:t xml:space="preserve">HPV monitoring program who have an </w:t>
            </w:r>
            <w:r w:rsidRPr="00432260">
              <w:rPr>
                <w:rFonts w:cs="Arial"/>
              </w:rPr>
              <w:t>anogenital</w:t>
            </w:r>
            <w:r>
              <w:rPr>
                <w:rFonts w:eastAsiaTheme="minorEastAsia" w:cs="Arial"/>
              </w:rPr>
              <w:fldChar w:fldCharType="begin"/>
            </w:r>
            <w:r>
              <w:rPr>
                <w:rFonts w:cs="Arial"/>
              </w:rPr>
              <w:instrText xml:space="preserve"> NOTEREF _Ref139013306 \f \h </w:instrText>
            </w:r>
            <w:r w:rsidR="005B452C">
              <w:rPr>
                <w:rFonts w:eastAsiaTheme="minorEastAsia" w:cs="Arial"/>
              </w:rPr>
              <w:instrText xml:space="preserve"> \* MERGEFORMAT </w:instrText>
            </w:r>
            <w:r>
              <w:rPr>
                <w:rFonts w:eastAsiaTheme="minorEastAsia" w:cs="Arial"/>
              </w:rPr>
            </w:r>
            <w:r>
              <w:rPr>
                <w:rFonts w:eastAsiaTheme="minorEastAsia" w:cs="Arial"/>
              </w:rPr>
              <w:fldChar w:fldCharType="separate"/>
            </w:r>
            <w:r w:rsidR="00852237" w:rsidRPr="00852237">
              <w:rPr>
                <w:rStyle w:val="FootnoteReference"/>
              </w:rPr>
              <w:t>12</w:t>
            </w:r>
            <w:r>
              <w:rPr>
                <w:rFonts w:eastAsiaTheme="minorEastAsia" w:cs="Arial"/>
              </w:rPr>
              <w:fldChar w:fldCharType="end"/>
            </w:r>
            <w:r w:rsidRPr="00D070E3">
              <w:rPr>
                <w:rFonts w:cs="Arial"/>
              </w:rPr>
              <w:t xml:space="preserve"> HPV type detected</w:t>
            </w:r>
            <w:r>
              <w:rPr>
                <w:rFonts w:cs="Arial"/>
              </w:rPr>
              <w:t>.</w:t>
            </w:r>
          </w:p>
        </w:tc>
        <w:tc>
          <w:tcPr>
            <w:tcW w:w="0" w:type="auto"/>
            <w:vAlign w:val="top"/>
          </w:tcPr>
          <w:p w14:paraId="6E0C4A43" w14:textId="77777777" w:rsidR="008065B4" w:rsidRPr="00CD10C1" w:rsidRDefault="008065B4" w:rsidP="00792CE3">
            <w:pPr>
              <w:pStyle w:val="Tabletext"/>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6889D59D" w14:textId="77777777" w:rsidR="008065B4" w:rsidRPr="00CD10C1" w:rsidRDefault="008065B4" w:rsidP="00792CE3">
            <w:pPr>
              <w:pStyle w:val="Tabletext"/>
            </w:pPr>
            <w:r w:rsidRPr="00CD10C1">
              <w:t>Ad hoc</w:t>
            </w:r>
          </w:p>
        </w:tc>
      </w:tr>
      <w:tr w:rsidR="008065B4" w:rsidRPr="00D070E3" w14:paraId="481A6770" w14:textId="77777777" w:rsidTr="00792CE3">
        <w:tc>
          <w:tcPr>
            <w:tcW w:w="0" w:type="auto"/>
            <w:vAlign w:val="top"/>
          </w:tcPr>
          <w:p w14:paraId="204F3257" w14:textId="77777777" w:rsidR="008065B4" w:rsidRPr="00CA76F2" w:rsidRDefault="008065B4" w:rsidP="00792CE3">
            <w:pPr>
              <w:pStyle w:val="Tabletext"/>
            </w:pPr>
            <w:r w:rsidRPr="00CA76F2">
              <w:t>Denominator</w:t>
            </w:r>
          </w:p>
        </w:tc>
        <w:tc>
          <w:tcPr>
            <w:tcW w:w="0" w:type="auto"/>
            <w:vAlign w:val="top"/>
          </w:tcPr>
          <w:p w14:paraId="194AFE29" w14:textId="55E30B5E" w:rsidR="008065B4" w:rsidRPr="00D070E3" w:rsidRDefault="008065B4" w:rsidP="00792CE3">
            <w:pPr>
              <w:pStyle w:val="Tabletext"/>
              <w:rPr>
                <w:rFonts w:cs="Arial"/>
              </w:rPr>
            </w:pPr>
            <w:r w:rsidRPr="00CA76F2">
              <w:t>IMPACT</w:t>
            </w:r>
            <w:r w:rsidRPr="001E7759">
              <w:rPr>
                <w:rStyle w:val="SuperscriptChar"/>
              </w:rPr>
              <w:fldChar w:fldCharType="begin"/>
            </w:r>
            <w:r w:rsidRPr="001E7759">
              <w:rPr>
                <w:rStyle w:val="SuperscriptChar"/>
              </w:rPr>
              <w:instrText xml:space="preserve"> NOTEREF _Ref135309599 \f \h </w:instrText>
            </w:r>
            <w:r w:rsidR="005B452C">
              <w:rPr>
                <w:rStyle w:val="SuperscriptChar"/>
              </w:rPr>
              <w:instrText xml:space="preserve"> \* MERGEFORMAT </w:instrText>
            </w:r>
            <w:r w:rsidRPr="001E7759">
              <w:rPr>
                <w:rStyle w:val="SuperscriptChar"/>
              </w:rPr>
            </w:r>
            <w:r w:rsidRPr="001E7759">
              <w:rPr>
                <w:rStyle w:val="SuperscriptChar"/>
              </w:rPr>
              <w:fldChar w:fldCharType="separate"/>
            </w:r>
            <w:r w:rsidR="00852237" w:rsidRPr="001E7759">
              <w:rPr>
                <w:rStyle w:val="SuperscriptChar"/>
              </w:rPr>
              <w:t>11</w:t>
            </w:r>
            <w:r w:rsidRPr="001E7759">
              <w:rPr>
                <w:rStyle w:val="SuperscriptChar"/>
              </w:rPr>
              <w:fldChar w:fldCharType="end"/>
            </w:r>
          </w:p>
        </w:tc>
        <w:tc>
          <w:tcPr>
            <w:tcW w:w="0" w:type="auto"/>
            <w:vAlign w:val="top"/>
          </w:tcPr>
          <w:p w14:paraId="6D053A77" w14:textId="77777777" w:rsidR="008065B4" w:rsidRPr="00D070E3" w:rsidRDefault="008065B4" w:rsidP="00792CE3">
            <w:pPr>
              <w:pStyle w:val="Tabletext"/>
              <w:rPr>
                <w:rFonts w:cs="Arial"/>
              </w:rPr>
            </w:pPr>
            <w:r w:rsidRPr="00D070E3">
              <w:rPr>
                <w:rFonts w:cs="Arial"/>
              </w:rPr>
              <w:t xml:space="preserve">Number of men </w:t>
            </w:r>
            <w:r>
              <w:rPr>
                <w:rFonts w:cs="Arial"/>
              </w:rPr>
              <w:t xml:space="preserve">who have sex with men </w:t>
            </w:r>
            <w:r w:rsidRPr="00D070E3">
              <w:rPr>
                <w:rFonts w:cs="Arial"/>
              </w:rPr>
              <w:t xml:space="preserve">aged 16–24 </w:t>
            </w:r>
            <w:r>
              <w:rPr>
                <w:rFonts w:cs="Arial"/>
              </w:rPr>
              <w:t xml:space="preserve">years </w:t>
            </w:r>
            <w:r w:rsidRPr="00D070E3">
              <w:rPr>
                <w:rFonts w:cs="Arial"/>
              </w:rPr>
              <w:t>participating in the National HPV monitoring program</w:t>
            </w:r>
            <w:r>
              <w:rPr>
                <w:rFonts w:cs="Arial"/>
              </w:rPr>
              <w:t>.</w:t>
            </w:r>
          </w:p>
        </w:tc>
        <w:tc>
          <w:tcPr>
            <w:tcW w:w="0" w:type="auto"/>
            <w:vAlign w:val="top"/>
          </w:tcPr>
          <w:p w14:paraId="7CA0E3AF" w14:textId="77777777" w:rsidR="008065B4" w:rsidRPr="00CD10C1" w:rsidRDefault="008065B4" w:rsidP="00792CE3">
            <w:pPr>
              <w:pStyle w:val="Tabletext"/>
            </w:pPr>
            <w:r w:rsidRPr="00CD10C1">
              <w:t>IMPACT study group</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34BA58A" w14:textId="77777777" w:rsidR="008065B4" w:rsidRPr="00CD10C1" w:rsidRDefault="008065B4" w:rsidP="00792CE3">
            <w:pPr>
              <w:pStyle w:val="Tabletext"/>
            </w:pPr>
            <w:r w:rsidRPr="00CD10C1">
              <w:t>Ad hoc</w:t>
            </w:r>
          </w:p>
        </w:tc>
      </w:tr>
    </w:tbl>
    <w:p w14:paraId="37FF1864" w14:textId="77777777" w:rsidR="008065B4" w:rsidRPr="00192F08" w:rsidRDefault="008065B4" w:rsidP="00192F08">
      <w:pPr>
        <w:sectPr w:rsidR="008065B4" w:rsidRPr="00192F08" w:rsidSect="003C092D">
          <w:headerReference w:type="even" r:id="rId32"/>
          <w:headerReference w:type="default" r:id="rId33"/>
          <w:footerReference w:type="default" r:id="rId34"/>
          <w:headerReference w:type="first" r:id="rId35"/>
          <w:pgSz w:w="11906" w:h="16838"/>
          <w:pgMar w:top="851" w:right="707" w:bottom="851" w:left="1440" w:header="709" w:footer="709" w:gutter="0"/>
          <w:cols w:space="708"/>
          <w:docGrid w:linePitch="360"/>
        </w:sectPr>
      </w:pPr>
    </w:p>
    <w:p w14:paraId="505792F6" w14:textId="24506643" w:rsidR="00B34802" w:rsidRDefault="006073D8" w:rsidP="00371E88">
      <w:pPr>
        <w:pStyle w:val="Heading1Numbering"/>
      </w:pPr>
      <w:bookmarkStart w:id="35" w:name="_Non-cancer_disease_endpoints"/>
      <w:bookmarkStart w:id="36" w:name="_Toc232507539"/>
      <w:bookmarkEnd w:id="35"/>
      <w:r>
        <w:lastRenderedPageBreak/>
        <w:t xml:space="preserve">Non-cancer </w:t>
      </w:r>
      <w:r w:rsidRPr="00C01ACA">
        <w:t>disease</w:t>
      </w:r>
      <w:r>
        <w:t xml:space="preserve"> endpoints</w:t>
      </w:r>
      <w:bookmarkEnd w:id="36"/>
    </w:p>
    <w:p w14:paraId="4AADD104" w14:textId="77777777" w:rsidR="006073D8" w:rsidRPr="006073D8" w:rsidRDefault="006073D8" w:rsidP="00E9658C">
      <w:pPr>
        <w:pStyle w:val="Heading2Numbering"/>
      </w:pPr>
      <w:bookmarkStart w:id="37" w:name="_Monitor_the_incidence"/>
      <w:bookmarkStart w:id="38" w:name="_Toc232507540"/>
      <w:bookmarkEnd w:id="37"/>
      <w:r>
        <w:t>Monitor the incidence of genital warts</w:t>
      </w:r>
      <w:bookmarkEnd w:id="38"/>
    </w:p>
    <w:p w14:paraId="093864A4" w14:textId="77777777" w:rsidR="006073D8" w:rsidRPr="00257D46" w:rsidRDefault="006073D8" w:rsidP="00792CE3">
      <w:pPr>
        <w:pStyle w:val="Boxgreenheading"/>
      </w:pPr>
      <w:bookmarkStart w:id="39" w:name="_Toc161152107"/>
      <w:r w:rsidRPr="00257D46">
        <w:t>Indicator</w:t>
      </w:r>
      <w:bookmarkEnd w:id="39"/>
    </w:p>
    <w:p w14:paraId="5379A76B" w14:textId="77777777" w:rsidR="006073D8" w:rsidRPr="006073D8" w:rsidRDefault="006073D8" w:rsidP="00792CE3">
      <w:pPr>
        <w:pStyle w:val="Boxgreentext"/>
      </w:pPr>
      <w:bookmarkStart w:id="40" w:name="_Hlk148954583"/>
      <w:bookmarkStart w:id="41" w:name="_Hlk148954584"/>
      <w:r w:rsidRPr="006073D8">
        <w:t>Genital wart incidence in sexual health clinic populations</w:t>
      </w:r>
      <w:bookmarkEnd w:id="40"/>
      <w:bookmarkEnd w:id="41"/>
    </w:p>
    <w:p w14:paraId="7D18846A" w14:textId="77777777" w:rsidR="006073D8" w:rsidRDefault="006073D8" w:rsidP="00792CE3">
      <w:pPr>
        <w:pStyle w:val="Heading3"/>
      </w:pPr>
      <w:r>
        <w:t>Rationale for surveillance</w:t>
      </w:r>
    </w:p>
    <w:p w14:paraId="0D69E47C" w14:textId="6EDFCB73" w:rsidR="006073D8" w:rsidRPr="00CD10C1" w:rsidRDefault="006073D8" w:rsidP="00CD10C1">
      <w:r w:rsidRPr="00CD10C1">
        <w:t>At least 90% of genital warts are caused by two HPV types, HPV-6 and HPV-11, which are included in both the previously used 4vHPV vaccine, and the currently used 9vHPV vaccine in the NIP. As they are frequently visible, genital warts usually result in seeking of health care for treatment so are an early marker of the impact of the vaccination program on HPV infection rates at a population level.</w:t>
      </w:r>
    </w:p>
    <w:p w14:paraId="326F16C1" w14:textId="77777777" w:rsidR="006073D8" w:rsidRDefault="006073D8" w:rsidP="00792CE3">
      <w:pPr>
        <w:pStyle w:val="Heading3"/>
      </w:pPr>
      <w:r>
        <w:t>Data considerations</w:t>
      </w:r>
    </w:p>
    <w:p w14:paraId="6AC8BC4F" w14:textId="77777777" w:rsidR="006073D8" w:rsidRPr="00CD10C1" w:rsidRDefault="006073D8" w:rsidP="00CD10C1">
      <w:r w:rsidRPr="00CD10C1">
        <w:t xml:space="preserve">Data on genital warts are not routinely collected, </w:t>
      </w:r>
      <w:proofErr w:type="gramStart"/>
      <w:r w:rsidRPr="00CD10C1">
        <w:t>with the exception of</w:t>
      </w:r>
      <w:proofErr w:type="gramEnd"/>
      <w:r w:rsidRPr="00CD10C1">
        <w:t xml:space="preserve"> hospitalisation data which only represent severe cases requiring hospital treatment. Dedicated research studies, including data collected through the Genital Warts Surveillance Network (GWSN) are required. Only a subset of clinics in the GWSN collect data on HPV vaccination status.</w:t>
      </w:r>
    </w:p>
    <w:p w14:paraId="6D1F5A9A" w14:textId="2D7EA72A" w:rsidR="006073D8" w:rsidRPr="00CD10C1" w:rsidRDefault="006073D8" w:rsidP="00CD10C1">
      <w:r w:rsidRPr="00CD10C1">
        <w:t>Data should be reported by age, sex, HPV vaccination status, Aboriginal and Torres Strait Islander status, sexual orientation and remoteness area of residence where available.</w:t>
      </w:r>
    </w:p>
    <w:p w14:paraId="66E3BAAE" w14:textId="77777777" w:rsidR="006073D8" w:rsidRPr="006073D8" w:rsidRDefault="006073D8" w:rsidP="00034EAE">
      <w:pPr>
        <w:pStyle w:val="Heading3"/>
        <w:pageBreakBefore/>
      </w:pPr>
      <w:r w:rsidRPr="00D070E3">
        <w:lastRenderedPageBreak/>
        <w:t>Reporting against indicator</w:t>
      </w:r>
    </w:p>
    <w:p w14:paraId="497DA56A" w14:textId="6A5B3BC4" w:rsidR="006073D8" w:rsidRPr="00376096" w:rsidRDefault="006073D8" w:rsidP="00376096">
      <w:pPr>
        <w:pStyle w:val="Caption"/>
      </w:pPr>
      <w:r w:rsidRPr="00376096">
        <w:t>Genital wart incidence in sexual health clinic populations</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20"/>
        <w:gridCol w:w="849"/>
        <w:gridCol w:w="4550"/>
        <w:gridCol w:w="1204"/>
        <w:gridCol w:w="1469"/>
      </w:tblGrid>
      <w:tr w:rsidR="00A74B5B" w:rsidRPr="00192F08" w14:paraId="5ADC9FE0" w14:textId="77777777" w:rsidTr="00034EAE">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743FA52D" w14:textId="77777777" w:rsidR="006073D8" w:rsidRPr="00192F08" w:rsidRDefault="006073D8" w:rsidP="00034EAE">
            <w:pPr>
              <w:pStyle w:val="Tableheaderrowblack"/>
            </w:pPr>
            <w:r w:rsidRPr="00192F08">
              <w:t>Indicator components</w:t>
            </w:r>
          </w:p>
        </w:tc>
        <w:tc>
          <w:tcPr>
            <w:tcW w:w="0" w:type="auto"/>
            <w:vAlign w:val="top"/>
          </w:tcPr>
          <w:p w14:paraId="48B0AF1A" w14:textId="77777777" w:rsidR="006073D8" w:rsidRPr="00192F08" w:rsidRDefault="006073D8" w:rsidP="00034EAE">
            <w:pPr>
              <w:pStyle w:val="Tableheaderrowblack"/>
            </w:pPr>
            <w:r w:rsidRPr="00192F08">
              <w:t>Source</w:t>
            </w:r>
          </w:p>
        </w:tc>
        <w:tc>
          <w:tcPr>
            <w:tcW w:w="0" w:type="auto"/>
            <w:vAlign w:val="top"/>
          </w:tcPr>
          <w:p w14:paraId="3D3A46BF" w14:textId="77777777" w:rsidR="006073D8" w:rsidRPr="00192F08" w:rsidRDefault="006073D8" w:rsidP="00034EAE">
            <w:pPr>
              <w:pStyle w:val="Tableheaderrowblack"/>
            </w:pPr>
            <w:r w:rsidRPr="00192F08">
              <w:t>Description</w:t>
            </w:r>
          </w:p>
        </w:tc>
        <w:tc>
          <w:tcPr>
            <w:tcW w:w="0" w:type="auto"/>
            <w:vAlign w:val="top"/>
          </w:tcPr>
          <w:p w14:paraId="7FB8E01B" w14:textId="77777777" w:rsidR="006073D8" w:rsidRPr="00192F08" w:rsidRDefault="006073D8" w:rsidP="00034EAE">
            <w:pPr>
              <w:pStyle w:val="Tableheaderrowblack"/>
            </w:pPr>
            <w:r w:rsidRPr="00192F08">
              <w:t>Custodian/</w:t>
            </w:r>
            <w:r w:rsidRPr="00192F08">
              <w:br/>
              <w:t>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727A5A06" w14:textId="6C861E27" w:rsidR="006073D8" w:rsidRPr="00192F08" w:rsidRDefault="006073D8" w:rsidP="00034EAE">
            <w:pPr>
              <w:pStyle w:val="Tableheaderrowblack"/>
            </w:pPr>
            <w:r w:rsidRPr="00192F08">
              <w:t>Availability of data for reporting</w:t>
            </w:r>
          </w:p>
        </w:tc>
      </w:tr>
      <w:tr w:rsidR="00A74B5B" w:rsidRPr="00192F08" w14:paraId="6698DC2A" w14:textId="77777777" w:rsidTr="00034EA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CEE2C6A" w14:textId="77777777" w:rsidR="00C56419" w:rsidRPr="00192F08" w:rsidRDefault="00C56419" w:rsidP="00034EAE">
            <w:pPr>
              <w:pStyle w:val="Tabletext"/>
            </w:pPr>
            <w:r w:rsidRPr="00192F08">
              <w:t>Numerator</w:t>
            </w:r>
          </w:p>
        </w:tc>
        <w:tc>
          <w:tcPr>
            <w:tcW w:w="0" w:type="auto"/>
            <w:vAlign w:val="top"/>
          </w:tcPr>
          <w:p w14:paraId="382AC8C2" w14:textId="0A686D88" w:rsidR="00C56419" w:rsidRPr="00192F08" w:rsidRDefault="00C56419" w:rsidP="00034EAE">
            <w:pPr>
              <w:pStyle w:val="Tabletext"/>
            </w:pPr>
            <w:r w:rsidRPr="00192F08">
              <w:t>GWSN</w:t>
            </w:r>
            <w:bookmarkStart w:id="42" w:name="_Ref152235332"/>
            <w:r w:rsidR="005355AC">
              <w:rPr>
                <w:rFonts w:ascii="ZWAdobeF" w:hAnsi="ZWAdobeF" w:cs="ZWAdobeF"/>
                <w:color w:val="auto"/>
                <w:sz w:val="2"/>
                <w:szCs w:val="2"/>
              </w:rPr>
              <w:t>12F</w:t>
            </w:r>
            <w:r w:rsidRPr="00376096">
              <w:rPr>
                <w:rStyle w:val="SuperscriptChar"/>
                <w:rFonts w:eastAsiaTheme="minorEastAsia"/>
              </w:rPr>
              <w:footnoteReference w:id="13"/>
            </w:r>
            <w:bookmarkEnd w:id="42"/>
          </w:p>
        </w:tc>
        <w:tc>
          <w:tcPr>
            <w:tcW w:w="0" w:type="auto"/>
            <w:vAlign w:val="top"/>
          </w:tcPr>
          <w:p w14:paraId="5C6483AE" w14:textId="77777777" w:rsidR="00C56419" w:rsidRPr="00192F08" w:rsidRDefault="00C56419" w:rsidP="00034EAE">
            <w:pPr>
              <w:pStyle w:val="Tabletext"/>
            </w:pPr>
            <w:r w:rsidRPr="00192F08">
              <w:t>Number of new patients diagnosed with genital warts at first visit to a participating sexual health clinic (by age and sex; vaccination status; Aboriginal and Torres Strait Islander status; sexual orientation; and remoteness area of residence).</w:t>
            </w:r>
          </w:p>
        </w:tc>
        <w:tc>
          <w:tcPr>
            <w:tcW w:w="0" w:type="auto"/>
            <w:vAlign w:val="top"/>
          </w:tcPr>
          <w:p w14:paraId="171C95D0" w14:textId="77777777" w:rsidR="00C56419" w:rsidRPr="00192F08" w:rsidRDefault="00C56419" w:rsidP="00034EAE">
            <w:pPr>
              <w:pStyle w:val="Tabletext"/>
            </w:pPr>
            <w:r w:rsidRPr="00192F08">
              <w:t>Kirby Institute</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EABF9BF" w14:textId="486C1C5D" w:rsidR="00C56419" w:rsidRPr="00192F08" w:rsidRDefault="00C56419" w:rsidP="00034EAE">
            <w:pPr>
              <w:pStyle w:val="Tabletext"/>
            </w:pPr>
            <w:r w:rsidRPr="00192F08">
              <w:t>Quarterly</w:t>
            </w:r>
          </w:p>
        </w:tc>
      </w:tr>
      <w:tr w:rsidR="006073D8" w:rsidRPr="00192F08" w14:paraId="0FEA86B1" w14:textId="77777777" w:rsidTr="00034EAE">
        <w:trPr>
          <w:trHeight w:val="1616"/>
        </w:trPr>
        <w:tc>
          <w:tcPr>
            <w:tcW w:w="0" w:type="auto"/>
            <w:vAlign w:val="top"/>
          </w:tcPr>
          <w:p w14:paraId="114337EA" w14:textId="77777777" w:rsidR="006073D8" w:rsidRPr="00192F08" w:rsidRDefault="006073D8" w:rsidP="00034EAE">
            <w:pPr>
              <w:pStyle w:val="Tabletext"/>
            </w:pPr>
            <w:r w:rsidRPr="00192F08">
              <w:t>Denominator</w:t>
            </w:r>
          </w:p>
        </w:tc>
        <w:tc>
          <w:tcPr>
            <w:tcW w:w="0" w:type="auto"/>
            <w:vAlign w:val="top"/>
          </w:tcPr>
          <w:p w14:paraId="5AC4BAC3" w14:textId="0A5696FA" w:rsidR="006073D8" w:rsidRPr="00192F08" w:rsidRDefault="006073D8" w:rsidP="00034EAE">
            <w:pPr>
              <w:pStyle w:val="Tabletext"/>
            </w:pPr>
            <w:r w:rsidRPr="00192F08">
              <w:t>GWSN</w:t>
            </w:r>
            <w:r w:rsidR="00A5635F">
              <w:fldChar w:fldCharType="begin"/>
            </w:r>
            <w:r w:rsidR="00A5635F">
              <w:instrText xml:space="preserve"> NOTEREF _Ref152235332 \f \h </w:instrText>
            </w:r>
            <w:r w:rsidR="00034EAE">
              <w:instrText xml:space="preserve"> \* MERGEFORMAT </w:instrText>
            </w:r>
            <w:r w:rsidR="00A5635F">
              <w:fldChar w:fldCharType="separate"/>
            </w:r>
            <w:r w:rsidR="00A5635F" w:rsidRPr="00A5635F">
              <w:rPr>
                <w:rStyle w:val="FootnoteReference"/>
              </w:rPr>
              <w:t>13</w:t>
            </w:r>
            <w:r w:rsidR="00A5635F">
              <w:fldChar w:fldCharType="end"/>
            </w:r>
            <w:r w:rsidR="00C56419" w:rsidRPr="00376096">
              <w:rPr>
                <w:rStyle w:val="SuperscriptChar"/>
              </w:rPr>
              <w:fldChar w:fldCharType="begin"/>
            </w:r>
            <w:r w:rsidR="00C56419" w:rsidRPr="00376096">
              <w:rPr>
                <w:rStyle w:val="SuperscriptChar"/>
              </w:rPr>
              <w:instrText xml:space="preserve"> NOTEREF _Ref152235332 \f \h </w:instrText>
            </w:r>
            <w:r w:rsidR="00192F08" w:rsidRPr="00376096">
              <w:rPr>
                <w:rStyle w:val="SuperscriptChar"/>
              </w:rPr>
              <w:instrText xml:space="preserve"> \* MERGEFORMAT </w:instrText>
            </w:r>
            <w:r w:rsidR="00C56419" w:rsidRPr="00376096">
              <w:rPr>
                <w:rStyle w:val="SuperscriptChar"/>
              </w:rPr>
            </w:r>
            <w:r w:rsidR="00C56419" w:rsidRPr="00376096">
              <w:rPr>
                <w:rStyle w:val="SuperscriptChar"/>
              </w:rPr>
              <w:fldChar w:fldCharType="separate"/>
            </w:r>
            <w:r w:rsidR="00C56419" w:rsidRPr="00376096">
              <w:rPr>
                <w:rStyle w:val="SuperscriptChar"/>
              </w:rPr>
              <w:fldChar w:fldCharType="end"/>
            </w:r>
          </w:p>
        </w:tc>
        <w:tc>
          <w:tcPr>
            <w:tcW w:w="0" w:type="auto"/>
            <w:vAlign w:val="top"/>
          </w:tcPr>
          <w:p w14:paraId="483DB1DE" w14:textId="77777777" w:rsidR="006073D8" w:rsidRPr="00192F08" w:rsidRDefault="006073D8" w:rsidP="00034EAE">
            <w:pPr>
              <w:pStyle w:val="Tabletext"/>
            </w:pPr>
            <w:r w:rsidRPr="00192F08">
              <w:t>Number of new patients seen at a participating sexual health clinic (by age and sex; vaccination status; Aboriginal and Torres Strait Islander status; sexual orientation; and remoteness area of residence).</w:t>
            </w:r>
          </w:p>
        </w:tc>
        <w:tc>
          <w:tcPr>
            <w:tcW w:w="0" w:type="auto"/>
            <w:vAlign w:val="top"/>
          </w:tcPr>
          <w:p w14:paraId="01DD6220" w14:textId="77777777" w:rsidR="006073D8" w:rsidRPr="00192F08" w:rsidRDefault="006073D8" w:rsidP="00034EAE">
            <w:pPr>
              <w:pStyle w:val="Tabletext"/>
            </w:pPr>
            <w:r w:rsidRPr="00192F08">
              <w:t>Kirby Institute</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250A1C40" w14:textId="77777777" w:rsidR="006073D8" w:rsidRPr="00192F08" w:rsidRDefault="006073D8" w:rsidP="00034EAE">
            <w:pPr>
              <w:pStyle w:val="Tabletext"/>
            </w:pPr>
            <w:r w:rsidRPr="00192F08">
              <w:t>Quarterly</w:t>
            </w:r>
          </w:p>
        </w:tc>
      </w:tr>
    </w:tbl>
    <w:p w14:paraId="44106E8E" w14:textId="2AF09208" w:rsidR="005724E6" w:rsidRDefault="005724E6" w:rsidP="004E24FE">
      <w:bookmarkStart w:id="43" w:name="_3.2_Monitor_the"/>
      <w:bookmarkEnd w:id="43"/>
    </w:p>
    <w:p w14:paraId="6A1F061C" w14:textId="77777777" w:rsidR="005724E6" w:rsidRDefault="005724E6" w:rsidP="004E24FE">
      <w:r>
        <w:br w:type="page"/>
      </w:r>
    </w:p>
    <w:p w14:paraId="6961A9EB" w14:textId="25719BF7" w:rsidR="002F023F" w:rsidRDefault="002F023F" w:rsidP="00E9658C">
      <w:pPr>
        <w:pStyle w:val="Heading2Numbering"/>
      </w:pPr>
      <w:bookmarkStart w:id="44" w:name="_Toc232507541"/>
      <w:r>
        <w:lastRenderedPageBreak/>
        <w:t xml:space="preserve">Monitor the incidence of </w:t>
      </w:r>
      <w:r w:rsidR="00BD2E2D">
        <w:t>recurrent respiratory papillomatosis</w:t>
      </w:r>
      <w:bookmarkEnd w:id="44"/>
    </w:p>
    <w:p w14:paraId="62C094DB" w14:textId="77777777" w:rsidR="002F023F" w:rsidRPr="00257D46" w:rsidRDefault="002F023F" w:rsidP="00034EAE">
      <w:pPr>
        <w:pStyle w:val="Boxgreenheading"/>
      </w:pPr>
      <w:bookmarkStart w:id="45" w:name="_Toc161152109"/>
      <w:r w:rsidRPr="00257D46">
        <w:t>Indicator</w:t>
      </w:r>
      <w:r>
        <w:t>s</w:t>
      </w:r>
      <w:bookmarkEnd w:id="45"/>
    </w:p>
    <w:p w14:paraId="111B7266" w14:textId="77777777" w:rsidR="002F023F" w:rsidRPr="002F023F" w:rsidRDefault="002F023F" w:rsidP="00034EAE">
      <w:pPr>
        <w:pStyle w:val="Boxgreentext"/>
      </w:pPr>
      <w:bookmarkStart w:id="46" w:name="_Hlk148955217"/>
      <w:r w:rsidRPr="002F023F">
        <w:t>Incidence of juvenile onset recurrent respiratory papillomatosis</w:t>
      </w:r>
    </w:p>
    <w:p w14:paraId="6500688D" w14:textId="77777777" w:rsidR="002F023F" w:rsidRPr="002F023F" w:rsidRDefault="002F023F" w:rsidP="00034EAE">
      <w:pPr>
        <w:pStyle w:val="Boxgreentext"/>
      </w:pPr>
      <w:r w:rsidRPr="002F023F">
        <w:t>Incidence of juvenile onset recurrent respiratory papillomatosis in Aboriginal and Torres Strait Islander children</w:t>
      </w:r>
    </w:p>
    <w:p w14:paraId="5BB7DD96" w14:textId="77777777" w:rsidR="002F023F" w:rsidRPr="002F023F" w:rsidRDefault="002F023F" w:rsidP="00034EAE">
      <w:pPr>
        <w:pStyle w:val="Boxgreentext"/>
      </w:pPr>
      <w:r w:rsidRPr="002F023F">
        <w:t>HPV type in cases of juvenile onset recurrent respiratory papillomatosis</w:t>
      </w:r>
    </w:p>
    <w:p w14:paraId="37BCA0B4" w14:textId="77777777" w:rsidR="002F023F" w:rsidRPr="002F023F" w:rsidRDefault="002F023F" w:rsidP="00034EAE">
      <w:pPr>
        <w:pStyle w:val="Boxgreentext"/>
      </w:pPr>
      <w:r w:rsidRPr="002F023F">
        <w:t>HPV types in cases of juvenile onset recurrent respiratory papillomatosis in Aboriginal and Torres Strait Islander children</w:t>
      </w:r>
    </w:p>
    <w:p w14:paraId="5A6DF1BB" w14:textId="77777777" w:rsidR="002F023F" w:rsidRPr="002F023F" w:rsidRDefault="002F023F" w:rsidP="00034EAE">
      <w:pPr>
        <w:pStyle w:val="Boxgreentext"/>
      </w:pPr>
      <w:r w:rsidRPr="002F023F">
        <w:t>Hospitalisations for benign neoplasm of larynx (coded using ICD code D14.1) by sex over time</w:t>
      </w:r>
    </w:p>
    <w:p w14:paraId="46DF72B1" w14:textId="77777777" w:rsidR="002F023F" w:rsidRPr="002F023F" w:rsidRDefault="002F023F" w:rsidP="00034EAE">
      <w:pPr>
        <w:pStyle w:val="Boxgreentext"/>
      </w:pPr>
      <w:r w:rsidRPr="002F023F">
        <w:t>Hospitalisations for benign neoplasm of larynx (coded using ICD code D14.1) by Aboriginal and Torres Strait Islander status and sex over time</w:t>
      </w:r>
    </w:p>
    <w:bookmarkEnd w:id="46"/>
    <w:p w14:paraId="053FCF64" w14:textId="77777777" w:rsidR="002F023F" w:rsidRDefault="002F023F" w:rsidP="00034EAE">
      <w:pPr>
        <w:pStyle w:val="Heading3"/>
      </w:pPr>
      <w:r>
        <w:t>Rationale for surveillance</w:t>
      </w:r>
    </w:p>
    <w:p w14:paraId="7C03CFB2" w14:textId="77777777" w:rsidR="002F023F" w:rsidRPr="002F023F" w:rsidRDefault="002F023F" w:rsidP="002F023F">
      <w:r w:rsidRPr="000435A8">
        <w:rPr>
          <w:rFonts w:cs="Arial"/>
          <w:szCs w:val="20"/>
        </w:rPr>
        <w:t>Recurrent respiratory papillomatosis (RRP) is a disease in which benign tumours grow in the air passages leading from the nose and mouth into the respiratory tract. RRP may occur in adults (adult-onset RRP) as well as infants and small children (juvenile-onset RRP) (NIDCD 2017).</w:t>
      </w:r>
    </w:p>
    <w:p w14:paraId="3943CB7D" w14:textId="77777777" w:rsidR="002F023F" w:rsidRDefault="002F023F" w:rsidP="002F023F">
      <w:pPr>
        <w:rPr>
          <w:rFonts w:cs="Arial"/>
          <w:szCs w:val="20"/>
        </w:rPr>
      </w:pPr>
      <w:r w:rsidRPr="00A95685">
        <w:rPr>
          <w:rFonts w:cs="Arial"/>
          <w:szCs w:val="20"/>
        </w:rPr>
        <w:t xml:space="preserve">The most common modes of transmission for HPV genotypes 6 and 11 are vertical transmission at birth, vertical transmission in utero and horizontal transmission via the child’s environment. The age distribution of RRP is trimodal, with a first peak in children younger than 5 years, </w:t>
      </w:r>
      <w:r>
        <w:rPr>
          <w:rFonts w:cs="Arial"/>
          <w:szCs w:val="20"/>
        </w:rPr>
        <w:t xml:space="preserve">a </w:t>
      </w:r>
      <w:r w:rsidRPr="00A95685">
        <w:rPr>
          <w:rFonts w:cs="Arial"/>
          <w:szCs w:val="20"/>
        </w:rPr>
        <w:t>second peak in adults between 20 and 40 years and a final peak in those around 64 years (</w:t>
      </w:r>
      <w:proofErr w:type="spellStart"/>
      <w:r w:rsidRPr="00A95685">
        <w:rPr>
          <w:rFonts w:eastAsia="Calibri" w:cs="Arial"/>
          <w:szCs w:val="20"/>
        </w:rPr>
        <w:t>Lépine</w:t>
      </w:r>
      <w:proofErr w:type="spellEnd"/>
      <w:r w:rsidRPr="00A95685">
        <w:rPr>
          <w:rFonts w:eastAsia="Calibri" w:cs="Arial"/>
          <w:szCs w:val="20"/>
        </w:rPr>
        <w:t xml:space="preserve"> C et al. 2020)</w:t>
      </w:r>
      <w:r w:rsidRPr="00A95685">
        <w:rPr>
          <w:rFonts w:cs="Arial"/>
          <w:szCs w:val="20"/>
        </w:rPr>
        <w:t>.</w:t>
      </w:r>
    </w:p>
    <w:p w14:paraId="78E23C92" w14:textId="77777777" w:rsidR="002F023F" w:rsidRDefault="002F023F" w:rsidP="002F023F">
      <w:pPr>
        <w:rPr>
          <w:rFonts w:cs="Arial"/>
          <w:szCs w:val="20"/>
        </w:rPr>
      </w:pPr>
      <w:r>
        <w:rPr>
          <w:rFonts w:cs="Arial"/>
          <w:szCs w:val="20"/>
        </w:rPr>
        <w:t>The mode of transmission for adults is not as well known. Some cases may acquire infection during infancy that remain latent until being triggered for unknown reasons in adulthood. Some circumstantial evidence suggests that RRP can develop after HPV is transmitted through oral sexual contact (NORD 2023).</w:t>
      </w:r>
    </w:p>
    <w:p w14:paraId="1A3A95CB" w14:textId="77777777" w:rsidR="002F023F" w:rsidRDefault="002F023F" w:rsidP="002F023F">
      <w:pPr>
        <w:rPr>
          <w:rFonts w:cs="Arial"/>
          <w:szCs w:val="20"/>
        </w:rPr>
      </w:pPr>
      <w:r>
        <w:rPr>
          <w:rFonts w:cs="Arial"/>
          <w:szCs w:val="20"/>
        </w:rPr>
        <w:lastRenderedPageBreak/>
        <w:t>RRP</w:t>
      </w:r>
      <w:r w:rsidRPr="00D070E3">
        <w:rPr>
          <w:rFonts w:cs="Arial"/>
          <w:szCs w:val="20"/>
        </w:rPr>
        <w:t xml:space="preserve"> usually requires repeated surgical treatment and is associated with high morbidity and occasionally death. RRP is caused by HPV infection, with over 85% thought to be related to HPV-6 or 11 genotypes. HPV-11 appears to be associated with more aggressive clinical disease, especially in children (Novakovic et al. 2018).</w:t>
      </w:r>
    </w:p>
    <w:p w14:paraId="62FDA084" w14:textId="77777777" w:rsidR="002F023F" w:rsidRDefault="002F023F" w:rsidP="00034EAE">
      <w:pPr>
        <w:pStyle w:val="Heading3"/>
      </w:pPr>
      <w:r>
        <w:t>Data considerations</w:t>
      </w:r>
    </w:p>
    <w:p w14:paraId="3703D221" w14:textId="77777777" w:rsidR="002F023F" w:rsidRPr="00D070E3" w:rsidRDefault="002F023F" w:rsidP="002F023F">
      <w:pPr>
        <w:rPr>
          <w:rFonts w:cs="Arial"/>
          <w:szCs w:val="20"/>
        </w:rPr>
      </w:pPr>
      <w:r w:rsidRPr="00D070E3">
        <w:rPr>
          <w:rFonts w:cs="Arial"/>
          <w:szCs w:val="20"/>
        </w:rPr>
        <w:t>The Australian Paediatric Surveillance Unit (APSU), funded by the Department of Health</w:t>
      </w:r>
      <w:r>
        <w:rPr>
          <w:rFonts w:cs="Arial"/>
          <w:szCs w:val="20"/>
        </w:rPr>
        <w:t xml:space="preserve"> and Aged Care</w:t>
      </w:r>
      <w:r w:rsidRPr="00D070E3">
        <w:rPr>
          <w:rFonts w:cs="Arial"/>
          <w:szCs w:val="20"/>
        </w:rPr>
        <w:t xml:space="preserve">, is a national mechanism for monitoring rare paediatric diseases. APSU commenced surveillance of JoRRP in October 2011. Surveillance involves the reporting of cases via a monthly report card that is emailed to approximately 1500 paediatricians and other child health specialists. Through this mechanism, clinicians are asked to report any infant or child under the age of 15 years diagnosed with JoRRP. A follow-up questionnaire requesting further details </w:t>
      </w:r>
      <w:r>
        <w:rPr>
          <w:rFonts w:cs="Arial"/>
          <w:szCs w:val="20"/>
        </w:rPr>
        <w:t>is</w:t>
      </w:r>
      <w:r w:rsidRPr="00D070E3">
        <w:rPr>
          <w:rFonts w:cs="Arial"/>
          <w:szCs w:val="20"/>
        </w:rPr>
        <w:t xml:space="preserve"> then forwarded to clinicians who report a case of JoRRP together with details on accessing HPV typing (APSU 2018). Data collected through this surveillance are reported annually to the Department of Health </w:t>
      </w:r>
      <w:r>
        <w:rPr>
          <w:rFonts w:cs="Arial"/>
          <w:szCs w:val="20"/>
        </w:rPr>
        <w:t xml:space="preserve">and Aged Care </w:t>
      </w:r>
      <w:r w:rsidRPr="00D070E3">
        <w:rPr>
          <w:rFonts w:cs="Arial"/>
          <w:szCs w:val="20"/>
        </w:rPr>
        <w:t>and are published in the regular APSU reports and in the peer-reviewed literature.</w:t>
      </w:r>
    </w:p>
    <w:p w14:paraId="28A0FE3A" w14:textId="77777777" w:rsidR="002F023F" w:rsidRDefault="002F023F" w:rsidP="002F023F">
      <w:pPr>
        <w:rPr>
          <w:rFonts w:cs="Arial"/>
          <w:szCs w:val="20"/>
        </w:rPr>
      </w:pPr>
      <w:r w:rsidRPr="00D070E3">
        <w:rPr>
          <w:rFonts w:cs="Arial"/>
          <w:szCs w:val="20"/>
        </w:rPr>
        <w:t>Noting that APSU surveillance of JoRRP was only established following the vaccination program, a complimentary mechanism for monitoring JoRRP prevalence through routinely collected hospitalisation data in Australia has been developed. This method involves the use of International Classification of Disease code D14.1 (benign neoplasm of the larynx), which was identified as a very sensitive and specific ICD-10 code for J</w:t>
      </w:r>
      <w:r>
        <w:rPr>
          <w:rFonts w:cs="Arial"/>
          <w:szCs w:val="20"/>
        </w:rPr>
        <w:t>o</w:t>
      </w:r>
      <w:r w:rsidRPr="00D070E3">
        <w:rPr>
          <w:rFonts w:cs="Arial"/>
          <w:szCs w:val="20"/>
        </w:rPr>
        <w:t xml:space="preserve">RRP (PPV 98.1%) and applying this to national hospital separations data. While there is currently no routine collection of this data, </w:t>
      </w:r>
      <w:r>
        <w:rPr>
          <w:rFonts w:cs="Arial"/>
          <w:szCs w:val="20"/>
        </w:rPr>
        <w:t>(</w:t>
      </w:r>
      <w:r w:rsidRPr="00D070E3">
        <w:rPr>
          <w:rFonts w:cs="Arial"/>
          <w:szCs w:val="20"/>
        </w:rPr>
        <w:t xml:space="preserve">Novakovic </w:t>
      </w:r>
      <w:r w:rsidRPr="00CD10C1">
        <w:rPr>
          <w:rStyle w:val="Emphasis"/>
        </w:rPr>
        <w:t>et al</w:t>
      </w:r>
      <w:r w:rsidRPr="00D070E3">
        <w:rPr>
          <w:rFonts w:cs="Arial"/>
          <w:szCs w:val="20"/>
        </w:rPr>
        <w:t>. 2016) conducted a 10 year-audit (2000</w:t>
      </w:r>
      <w:r w:rsidRPr="3AA2856E">
        <w:rPr>
          <w:rFonts w:eastAsia="Arial" w:cs="Arial"/>
          <w:szCs w:val="20"/>
        </w:rPr>
        <w:t>–</w:t>
      </w:r>
      <w:r w:rsidRPr="00D070E3">
        <w:rPr>
          <w:rFonts w:cs="Arial"/>
          <w:szCs w:val="20"/>
        </w:rPr>
        <w:t>2013) of the prevalence of JoRRP using this method, which can be used as a baseline to compare post-va</w:t>
      </w:r>
      <w:r>
        <w:rPr>
          <w:rFonts w:cs="Arial"/>
          <w:szCs w:val="20"/>
        </w:rPr>
        <w:t>c</w:t>
      </w:r>
      <w:r w:rsidRPr="00D070E3">
        <w:rPr>
          <w:rFonts w:cs="Arial"/>
          <w:szCs w:val="20"/>
        </w:rPr>
        <w:t xml:space="preserve">cination prevalence. </w:t>
      </w:r>
    </w:p>
    <w:p w14:paraId="4345C06D" w14:textId="77777777" w:rsidR="002F023F" w:rsidRPr="00435BD7" w:rsidRDefault="002F023F" w:rsidP="002F023F">
      <w:pPr>
        <w:rPr>
          <w:rFonts w:cs="Arial"/>
          <w:szCs w:val="20"/>
        </w:rPr>
      </w:pPr>
      <w:r w:rsidRPr="00435BD7">
        <w:rPr>
          <w:rFonts w:cs="Arial"/>
          <w:szCs w:val="20"/>
        </w:rPr>
        <w:t xml:space="preserve">APSU data on JoRRP should be reported by Aboriginal and Torres Strait Islander status where available. The current APSU JoRRP Case Report Form collects data on child and mother HPV vaccination status, this </w:t>
      </w:r>
      <w:r>
        <w:rPr>
          <w:rFonts w:cs="Arial"/>
          <w:szCs w:val="20"/>
        </w:rPr>
        <w:t>s</w:t>
      </w:r>
      <w:r w:rsidRPr="00435BD7">
        <w:rPr>
          <w:rFonts w:cs="Arial"/>
          <w:szCs w:val="20"/>
        </w:rPr>
        <w:t>hould be reported alongside indicators. Data should be reported by HPV genotype where available.</w:t>
      </w:r>
    </w:p>
    <w:p w14:paraId="65F3E8C4" w14:textId="77777777" w:rsidR="002F023F" w:rsidRDefault="002F023F" w:rsidP="002F023F">
      <w:pPr>
        <w:rPr>
          <w:rFonts w:cs="Arial"/>
          <w:szCs w:val="20"/>
        </w:rPr>
      </w:pPr>
      <w:r w:rsidRPr="00435BD7">
        <w:rPr>
          <w:rFonts w:cs="Arial"/>
          <w:szCs w:val="20"/>
        </w:rPr>
        <w:t>The Plan notes the current gap in surveillance for adult-onset recurrent respiratory papillomatosis and the need to undertake research to validate the use of ICD codes for this disease to facilitate routine surveillance.</w:t>
      </w:r>
      <w:r w:rsidRPr="65E77CD2">
        <w:rPr>
          <w:rFonts w:cs="Arial"/>
          <w:szCs w:val="20"/>
        </w:rPr>
        <w:t xml:space="preserve"> </w:t>
      </w:r>
    </w:p>
    <w:p w14:paraId="78366B8A" w14:textId="77777777" w:rsidR="00B5194B" w:rsidRPr="00B5194B" w:rsidRDefault="002F023F" w:rsidP="00034EAE">
      <w:pPr>
        <w:pStyle w:val="Heading3"/>
      </w:pPr>
      <w:r w:rsidRPr="00D070E3">
        <w:lastRenderedPageBreak/>
        <w:t>Reporting against indicator</w:t>
      </w:r>
      <w:r w:rsidR="00B5194B">
        <w:t>s</w:t>
      </w:r>
    </w:p>
    <w:p w14:paraId="5AC886BD" w14:textId="7F7A5022" w:rsidR="00B5194B" w:rsidRPr="0006548B" w:rsidRDefault="00B5194B" w:rsidP="0006548B">
      <w:pPr>
        <w:pStyle w:val="Caption"/>
      </w:pPr>
      <w:r w:rsidRPr="008C4020">
        <w:t>Number of incident cases of juvenile onset recurrent respiratory papillomatosis in children aged 0–14 years</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83"/>
        <w:gridCol w:w="750"/>
        <w:gridCol w:w="3092"/>
        <w:gridCol w:w="2173"/>
        <w:gridCol w:w="1894"/>
      </w:tblGrid>
      <w:tr w:rsidR="00B5194B" w:rsidRPr="00147627" w14:paraId="6B30EAF5" w14:textId="77777777" w:rsidTr="00034EAE">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59E5F95E" w14:textId="77777777" w:rsidR="00B5194B" w:rsidRPr="00796D22" w:rsidRDefault="00B5194B" w:rsidP="00034EAE">
            <w:pPr>
              <w:pStyle w:val="Tableheaderrowblack"/>
              <w:rPr>
                <w:b/>
              </w:rPr>
            </w:pPr>
            <w:r w:rsidRPr="00796D22">
              <w:t>Indicator components</w:t>
            </w:r>
          </w:p>
        </w:tc>
        <w:tc>
          <w:tcPr>
            <w:tcW w:w="0" w:type="auto"/>
            <w:vAlign w:val="top"/>
          </w:tcPr>
          <w:p w14:paraId="669C7CE3" w14:textId="77777777" w:rsidR="00B5194B" w:rsidRPr="00796D22" w:rsidRDefault="00B5194B" w:rsidP="00034EAE">
            <w:pPr>
              <w:pStyle w:val="Tableheaderrowblack"/>
              <w:rPr>
                <w:b/>
              </w:rPr>
            </w:pPr>
            <w:r w:rsidRPr="00796D22">
              <w:t>Source</w:t>
            </w:r>
          </w:p>
        </w:tc>
        <w:tc>
          <w:tcPr>
            <w:tcW w:w="0" w:type="auto"/>
            <w:vAlign w:val="top"/>
          </w:tcPr>
          <w:p w14:paraId="1C700654" w14:textId="77777777" w:rsidR="00B5194B" w:rsidRPr="00796D22" w:rsidRDefault="00B5194B" w:rsidP="00034EAE">
            <w:pPr>
              <w:pStyle w:val="Tableheaderrowblack"/>
              <w:rPr>
                <w:b/>
              </w:rPr>
            </w:pPr>
            <w:r w:rsidRPr="00796D22">
              <w:t>Description</w:t>
            </w:r>
          </w:p>
        </w:tc>
        <w:tc>
          <w:tcPr>
            <w:tcW w:w="0" w:type="auto"/>
            <w:vAlign w:val="top"/>
          </w:tcPr>
          <w:p w14:paraId="10AF93A5" w14:textId="5F5CC521" w:rsidR="00B5194B" w:rsidRPr="00796D22" w:rsidRDefault="00B5194B" w:rsidP="00034EAE">
            <w:pPr>
              <w:pStyle w:val="Tableheaderrowblack"/>
              <w:rPr>
                <w:b/>
              </w:rPr>
            </w:pPr>
            <w:r w:rsidRPr="00796D22">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ABFCD3A" w14:textId="48B04ABA" w:rsidR="00B5194B" w:rsidRPr="00796D22" w:rsidRDefault="00B5194B" w:rsidP="00034EAE">
            <w:pPr>
              <w:pStyle w:val="Tableheaderrowblack"/>
              <w:rPr>
                <w:b/>
              </w:rPr>
            </w:pPr>
            <w:r w:rsidRPr="00796D22">
              <w:t>Availability of data</w:t>
            </w:r>
            <w:r w:rsidR="00A74B5B">
              <w:t xml:space="preserve"> </w:t>
            </w:r>
            <w:r w:rsidRPr="00796D22">
              <w:t>for reporting</w:t>
            </w:r>
          </w:p>
        </w:tc>
      </w:tr>
      <w:tr w:rsidR="00B5194B" w:rsidRPr="00147627" w14:paraId="17799E16" w14:textId="77777777" w:rsidTr="00034EA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EB29E62" w14:textId="77777777" w:rsidR="00B5194B" w:rsidRPr="00CA76F2" w:rsidRDefault="00B5194B" w:rsidP="00034EAE">
            <w:pPr>
              <w:pStyle w:val="Tabletext"/>
            </w:pPr>
            <w:r w:rsidRPr="00CA76F2">
              <w:t xml:space="preserve">Single measure </w:t>
            </w:r>
          </w:p>
        </w:tc>
        <w:tc>
          <w:tcPr>
            <w:tcW w:w="0" w:type="auto"/>
            <w:vAlign w:val="top"/>
          </w:tcPr>
          <w:p w14:paraId="3572E64D" w14:textId="633EA8A3" w:rsidR="00B5194B" w:rsidRPr="00FD364D" w:rsidRDefault="00B5194B" w:rsidP="00034EAE">
            <w:pPr>
              <w:pStyle w:val="Tabletext"/>
              <w:rPr>
                <w:rFonts w:cs="Arial"/>
              </w:rPr>
            </w:pPr>
            <w:r w:rsidRPr="00FD364D">
              <w:rPr>
                <w:rFonts w:cs="Arial"/>
              </w:rPr>
              <w:t>APSU</w:t>
            </w:r>
            <w:bookmarkStart w:id="47" w:name="_Ref135310545"/>
            <w:r w:rsidR="005355AC">
              <w:rPr>
                <w:rFonts w:ascii="ZWAdobeF" w:hAnsi="ZWAdobeF" w:cs="ZWAdobeF"/>
                <w:color w:val="auto"/>
                <w:sz w:val="2"/>
                <w:szCs w:val="2"/>
              </w:rPr>
              <w:t>13F</w:t>
            </w:r>
            <w:r w:rsidRPr="00FD364D">
              <w:rPr>
                <w:rStyle w:val="FootnoteReference"/>
                <w:rFonts w:eastAsiaTheme="minorEastAsia" w:cs="Arial"/>
              </w:rPr>
              <w:footnoteReference w:id="14"/>
            </w:r>
            <w:bookmarkEnd w:id="47"/>
          </w:p>
        </w:tc>
        <w:tc>
          <w:tcPr>
            <w:tcW w:w="0" w:type="auto"/>
            <w:vAlign w:val="top"/>
          </w:tcPr>
          <w:p w14:paraId="13F9E381" w14:textId="77777777" w:rsidR="00B5194B" w:rsidRPr="00FD364D" w:rsidRDefault="00B5194B" w:rsidP="00034EAE">
            <w:pPr>
              <w:pStyle w:val="Tabletext"/>
              <w:rPr>
                <w:rFonts w:cs="Arial"/>
              </w:rPr>
            </w:pPr>
            <w:r w:rsidRPr="00FD364D">
              <w:rPr>
                <w:rFonts w:cs="Arial"/>
              </w:rPr>
              <w:t>Number of new cases of JoRRP notified in children aged 0</w:t>
            </w:r>
            <w:r w:rsidRPr="3AA2856E">
              <w:rPr>
                <w:rFonts w:eastAsia="Arial" w:cs="Arial"/>
              </w:rPr>
              <w:t>–</w:t>
            </w:r>
            <w:r w:rsidRPr="00FD364D">
              <w:rPr>
                <w:rFonts w:cs="Arial"/>
              </w:rPr>
              <w:t>14 years.</w:t>
            </w:r>
          </w:p>
        </w:tc>
        <w:tc>
          <w:tcPr>
            <w:tcW w:w="0" w:type="auto"/>
            <w:vAlign w:val="top"/>
          </w:tcPr>
          <w:p w14:paraId="749982EF" w14:textId="77777777" w:rsidR="00B5194B" w:rsidRPr="00CD10C1" w:rsidRDefault="00B5194B" w:rsidP="00034EAE">
            <w:pPr>
              <w:pStyle w:val="Tabletext"/>
            </w:pPr>
            <w:r w:rsidRPr="00CD10C1">
              <w:t>AP</w:t>
            </w:r>
            <w:r w:rsidRPr="001511C8">
              <w:t>SU</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040F812" w14:textId="77777777" w:rsidR="00B5194B" w:rsidRPr="00CD10C1" w:rsidRDefault="00B5194B" w:rsidP="00034EAE">
            <w:pPr>
              <w:pStyle w:val="Tabletext"/>
            </w:pPr>
            <w:r w:rsidRPr="00CD10C1">
              <w:t>Annual</w:t>
            </w:r>
          </w:p>
        </w:tc>
      </w:tr>
    </w:tbl>
    <w:p w14:paraId="6CF67B37" w14:textId="77777777" w:rsidR="00B5194B" w:rsidRPr="0006548B" w:rsidRDefault="00B5194B" w:rsidP="00034EAE">
      <w:pPr>
        <w:pStyle w:val="Caption"/>
        <w:spacing w:before="240"/>
      </w:pPr>
      <w:r w:rsidRPr="008C4020">
        <w:t>Number of incident cases of juvenile onset recurrent respiratory papillomatosis in Aboriginal and Torres Strait Islander children aged 0–14 years</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84"/>
        <w:gridCol w:w="739"/>
        <w:gridCol w:w="3420"/>
        <w:gridCol w:w="2173"/>
        <w:gridCol w:w="1676"/>
      </w:tblGrid>
      <w:tr w:rsidR="00B5194B" w:rsidRPr="00147627" w14:paraId="3A7A9669" w14:textId="77777777" w:rsidTr="00034EAE">
        <w:trPr>
          <w:cnfStyle w:val="100000000000" w:firstRow="1" w:lastRow="0" w:firstColumn="0" w:lastColumn="0" w:oddVBand="0" w:evenVBand="0" w:oddHBand="0" w:evenHBand="0" w:firstRowFirstColumn="0" w:firstRowLastColumn="0" w:lastRowFirstColumn="0" w:lastRowLastColumn="0"/>
        </w:trPr>
        <w:tc>
          <w:tcPr>
            <w:tcW w:w="0" w:type="auto"/>
            <w:vAlign w:val="top"/>
          </w:tcPr>
          <w:p w14:paraId="46E1E876" w14:textId="77777777" w:rsidR="00B5194B" w:rsidRPr="00FD364D" w:rsidRDefault="00B5194B" w:rsidP="00034EAE">
            <w:pPr>
              <w:pStyle w:val="Tableheaderrowblack"/>
              <w:rPr>
                <w:b/>
              </w:rPr>
            </w:pPr>
            <w:r w:rsidRPr="00FD364D">
              <w:t>Indicator components</w:t>
            </w:r>
          </w:p>
        </w:tc>
        <w:tc>
          <w:tcPr>
            <w:tcW w:w="0" w:type="auto"/>
            <w:vAlign w:val="top"/>
          </w:tcPr>
          <w:p w14:paraId="639FDDE4" w14:textId="77777777" w:rsidR="00B5194B" w:rsidRPr="00FD364D" w:rsidRDefault="00B5194B" w:rsidP="00034EAE">
            <w:pPr>
              <w:pStyle w:val="Tableheaderrowblack"/>
              <w:rPr>
                <w:b/>
              </w:rPr>
            </w:pPr>
            <w:r w:rsidRPr="00FD364D">
              <w:t>Source</w:t>
            </w:r>
          </w:p>
        </w:tc>
        <w:tc>
          <w:tcPr>
            <w:tcW w:w="0" w:type="auto"/>
            <w:vAlign w:val="top"/>
          </w:tcPr>
          <w:p w14:paraId="07106AAB" w14:textId="77777777" w:rsidR="00B5194B" w:rsidRPr="00FD364D" w:rsidRDefault="00B5194B" w:rsidP="00034EAE">
            <w:pPr>
              <w:pStyle w:val="Tableheaderrowblack"/>
              <w:rPr>
                <w:b/>
              </w:rPr>
            </w:pPr>
            <w:r w:rsidRPr="00FD364D">
              <w:t>Description</w:t>
            </w:r>
          </w:p>
        </w:tc>
        <w:tc>
          <w:tcPr>
            <w:tcW w:w="0" w:type="auto"/>
            <w:vAlign w:val="top"/>
          </w:tcPr>
          <w:p w14:paraId="1BD8D8BF" w14:textId="01250576" w:rsidR="00B5194B" w:rsidRPr="00FD364D" w:rsidRDefault="00B5194B" w:rsidP="00034EAE">
            <w:pPr>
              <w:pStyle w:val="Tableheaderrowblack"/>
              <w:rPr>
                <w:b/>
              </w:rPr>
            </w:pPr>
            <w:r w:rsidRPr="00FD364D">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68FFDAD2" w14:textId="64C7BB37" w:rsidR="00B5194B" w:rsidRPr="00FD364D" w:rsidRDefault="00B5194B" w:rsidP="00034EAE">
            <w:pPr>
              <w:pStyle w:val="Tableheaderrowblack"/>
              <w:rPr>
                <w:b/>
              </w:rPr>
            </w:pPr>
            <w:r w:rsidRPr="00FD364D">
              <w:t>Availability of data for reporting</w:t>
            </w:r>
          </w:p>
        </w:tc>
      </w:tr>
      <w:tr w:rsidR="00B5194B" w:rsidRPr="00147627" w14:paraId="2E10E528" w14:textId="77777777" w:rsidTr="00034EA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BE9181C" w14:textId="77777777" w:rsidR="00B5194B" w:rsidRPr="00FD364D" w:rsidRDefault="00B5194B" w:rsidP="00034EAE">
            <w:pPr>
              <w:pStyle w:val="Tabletext"/>
              <w:rPr>
                <w:b/>
              </w:rPr>
            </w:pPr>
            <w:r w:rsidRPr="00FD364D">
              <w:t xml:space="preserve">Single measure </w:t>
            </w:r>
          </w:p>
        </w:tc>
        <w:tc>
          <w:tcPr>
            <w:tcW w:w="0" w:type="auto"/>
            <w:vAlign w:val="top"/>
          </w:tcPr>
          <w:p w14:paraId="084E951C" w14:textId="16FB774A" w:rsidR="00B5194B" w:rsidRPr="00FD364D" w:rsidRDefault="00B5194B" w:rsidP="00034EAE">
            <w:pPr>
              <w:pStyle w:val="Tabletext"/>
            </w:pPr>
            <w:r w:rsidRPr="00FD364D">
              <w:t>APSU</w:t>
            </w:r>
            <w:r w:rsidR="00BB16FF">
              <w:rPr>
                <w:vertAlign w:val="superscript"/>
              </w:rPr>
              <w:fldChar w:fldCharType="begin"/>
            </w:r>
            <w:r w:rsidR="00BB16FF">
              <w:instrText xml:space="preserve"> NOTEREF _Ref135310545 \f \h </w:instrText>
            </w:r>
            <w:r w:rsidR="00034EAE">
              <w:rPr>
                <w:vertAlign w:val="superscript"/>
              </w:rPr>
              <w:instrText xml:space="preserve"> \* MERGEFORMAT </w:instrText>
            </w:r>
            <w:r w:rsidR="00BB16FF">
              <w:rPr>
                <w:vertAlign w:val="superscript"/>
              </w:rPr>
            </w:r>
            <w:r w:rsidR="00BB16FF">
              <w:rPr>
                <w:vertAlign w:val="superscript"/>
              </w:rPr>
              <w:fldChar w:fldCharType="separate"/>
            </w:r>
            <w:r w:rsidR="00852237" w:rsidRPr="00852237">
              <w:rPr>
                <w:rStyle w:val="FootnoteReference"/>
              </w:rPr>
              <w:t>14</w:t>
            </w:r>
            <w:r w:rsidR="00BB16FF">
              <w:rPr>
                <w:vertAlign w:val="superscript"/>
              </w:rPr>
              <w:fldChar w:fldCharType="end"/>
            </w:r>
          </w:p>
        </w:tc>
        <w:tc>
          <w:tcPr>
            <w:tcW w:w="0" w:type="auto"/>
            <w:vAlign w:val="top"/>
          </w:tcPr>
          <w:p w14:paraId="49BB09B8" w14:textId="77777777" w:rsidR="00B5194B" w:rsidRPr="00FD364D" w:rsidRDefault="00B5194B" w:rsidP="00034EAE">
            <w:pPr>
              <w:pStyle w:val="Tabletext"/>
            </w:pPr>
            <w:r w:rsidRPr="00FD364D">
              <w:t>Number of new cases of JoRRP notified in Aboriginal and Torres Strait Islander children aged 0</w:t>
            </w:r>
            <w:r w:rsidRPr="3AA2856E">
              <w:rPr>
                <w:rFonts w:eastAsia="Arial"/>
              </w:rPr>
              <w:t>–</w:t>
            </w:r>
            <w:r w:rsidRPr="00FD364D">
              <w:t>14 years.</w:t>
            </w:r>
          </w:p>
        </w:tc>
        <w:tc>
          <w:tcPr>
            <w:tcW w:w="0" w:type="auto"/>
            <w:vAlign w:val="top"/>
          </w:tcPr>
          <w:p w14:paraId="2770BAAD" w14:textId="77777777" w:rsidR="00B5194B" w:rsidRPr="00CD10C1" w:rsidRDefault="00B5194B" w:rsidP="00034EAE">
            <w:pPr>
              <w:pStyle w:val="Tabletext"/>
            </w:pPr>
            <w:r w:rsidRPr="00CD10C1">
              <w:t>AP</w:t>
            </w:r>
            <w:r w:rsidRPr="001511C8">
              <w:t>SU</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2AB648BB" w14:textId="77777777" w:rsidR="00B5194B" w:rsidRPr="00CD10C1" w:rsidRDefault="00B5194B" w:rsidP="00034EAE">
            <w:pPr>
              <w:pStyle w:val="Tabletext"/>
            </w:pPr>
            <w:r w:rsidRPr="00CD10C1">
              <w:t>Annual</w:t>
            </w:r>
          </w:p>
        </w:tc>
      </w:tr>
    </w:tbl>
    <w:p w14:paraId="3B97BBD9" w14:textId="77777777" w:rsidR="00B5194B" w:rsidRPr="008C4020" w:rsidRDefault="00B5194B" w:rsidP="00034EAE">
      <w:pPr>
        <w:pStyle w:val="Caption"/>
        <w:spacing w:before="240"/>
      </w:pPr>
      <w:r w:rsidRPr="008C4020">
        <w:t>Number of incident cases of juvenile onset recurrent respiratory papillomatosis in children aged 0–14 years by HPV type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2"/>
        <w:gridCol w:w="739"/>
        <w:gridCol w:w="3284"/>
        <w:gridCol w:w="2173"/>
        <w:gridCol w:w="1774"/>
      </w:tblGrid>
      <w:tr w:rsidR="00B5194B" w:rsidRPr="00147627" w14:paraId="7B81E138" w14:textId="77777777" w:rsidTr="00034EAE">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470E54CA" w14:textId="77777777" w:rsidR="00B5194B" w:rsidRPr="00FD364D" w:rsidRDefault="00B5194B" w:rsidP="00034EAE">
            <w:pPr>
              <w:pStyle w:val="Tableheaderrowblack"/>
              <w:rPr>
                <w:b/>
              </w:rPr>
            </w:pPr>
            <w:r w:rsidRPr="00FD364D">
              <w:t>Indicator components</w:t>
            </w:r>
          </w:p>
        </w:tc>
        <w:tc>
          <w:tcPr>
            <w:tcW w:w="0" w:type="auto"/>
            <w:vAlign w:val="top"/>
          </w:tcPr>
          <w:p w14:paraId="0BD7A4E0" w14:textId="77777777" w:rsidR="00B5194B" w:rsidRPr="00FD364D" w:rsidRDefault="00B5194B" w:rsidP="00034EAE">
            <w:pPr>
              <w:pStyle w:val="Tableheaderrowblack"/>
              <w:rPr>
                <w:b/>
              </w:rPr>
            </w:pPr>
            <w:r w:rsidRPr="00FD364D">
              <w:t>Source</w:t>
            </w:r>
          </w:p>
        </w:tc>
        <w:tc>
          <w:tcPr>
            <w:tcW w:w="0" w:type="auto"/>
            <w:vAlign w:val="top"/>
          </w:tcPr>
          <w:p w14:paraId="6ADCD088" w14:textId="77777777" w:rsidR="00B5194B" w:rsidRPr="00FD364D" w:rsidRDefault="00B5194B" w:rsidP="00034EAE">
            <w:pPr>
              <w:pStyle w:val="Tableheaderrowblack"/>
              <w:rPr>
                <w:b/>
              </w:rPr>
            </w:pPr>
            <w:r w:rsidRPr="00FD364D">
              <w:t>Description</w:t>
            </w:r>
          </w:p>
        </w:tc>
        <w:tc>
          <w:tcPr>
            <w:tcW w:w="0" w:type="auto"/>
            <w:vAlign w:val="top"/>
          </w:tcPr>
          <w:p w14:paraId="3438E339" w14:textId="59B42088" w:rsidR="00B5194B" w:rsidRPr="00FD364D" w:rsidRDefault="00B5194B" w:rsidP="00034EAE">
            <w:pPr>
              <w:pStyle w:val="Tableheaderrowblack"/>
              <w:rPr>
                <w:b/>
              </w:rPr>
            </w:pPr>
            <w:r w:rsidRPr="00FD364D">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571D841" w14:textId="33A67BA1" w:rsidR="00B5194B" w:rsidRPr="00FD364D" w:rsidRDefault="00B5194B" w:rsidP="00034EAE">
            <w:pPr>
              <w:pStyle w:val="Tableheaderrowblack"/>
              <w:rPr>
                <w:b/>
              </w:rPr>
            </w:pPr>
            <w:r w:rsidRPr="00FD364D">
              <w:t xml:space="preserve">Availability of </w:t>
            </w:r>
            <w:proofErr w:type="gramStart"/>
            <w:r w:rsidRPr="00FD364D">
              <w:t>data</w:t>
            </w:r>
            <w:r w:rsidR="00A74B5B">
              <w:t xml:space="preserve"> </w:t>
            </w:r>
            <w:r w:rsidRPr="00FD364D">
              <w:t xml:space="preserve"> for</w:t>
            </w:r>
            <w:proofErr w:type="gramEnd"/>
            <w:r w:rsidRPr="00FD364D">
              <w:t xml:space="preserve"> reporting</w:t>
            </w:r>
          </w:p>
        </w:tc>
      </w:tr>
      <w:tr w:rsidR="00B5194B" w:rsidRPr="00147627" w14:paraId="40F682A5" w14:textId="77777777" w:rsidTr="00034EA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0AA169B" w14:textId="77777777" w:rsidR="00B5194B" w:rsidRPr="00FD364D" w:rsidRDefault="00B5194B" w:rsidP="00034EAE">
            <w:pPr>
              <w:pStyle w:val="Tabletext"/>
              <w:rPr>
                <w:rFonts w:cs="Arial"/>
                <w:b/>
              </w:rPr>
            </w:pPr>
            <w:r w:rsidRPr="00FD364D">
              <w:rPr>
                <w:rFonts w:cs="Arial"/>
              </w:rPr>
              <w:t>Si</w:t>
            </w:r>
            <w:r w:rsidRPr="00CA76F2">
              <w:t>ngle measure</w:t>
            </w:r>
          </w:p>
        </w:tc>
        <w:tc>
          <w:tcPr>
            <w:tcW w:w="0" w:type="auto"/>
            <w:vAlign w:val="top"/>
          </w:tcPr>
          <w:p w14:paraId="58321C7D" w14:textId="467B11CC" w:rsidR="00B5194B" w:rsidRPr="00FD364D" w:rsidRDefault="006401ED" w:rsidP="00034EAE">
            <w:pPr>
              <w:pStyle w:val="Tabletext"/>
              <w:rPr>
                <w:rFonts w:cs="Arial"/>
              </w:rPr>
            </w:pPr>
            <w:r w:rsidRPr="00FD364D">
              <w:rPr>
                <w:rFonts w:cs="Arial"/>
              </w:rPr>
              <w:t>APSU</w:t>
            </w:r>
            <w:r>
              <w:rPr>
                <w:rFonts w:cs="Arial"/>
                <w:vertAlign w:val="superscript"/>
              </w:rPr>
              <w:fldChar w:fldCharType="begin"/>
            </w:r>
            <w:r>
              <w:rPr>
                <w:rFonts w:cs="Arial"/>
              </w:rPr>
              <w:instrText xml:space="preserve"> NOTEREF _Ref135310545 \f \h </w:instrText>
            </w:r>
            <w:r w:rsidR="00034EAE">
              <w:rPr>
                <w:rFonts w:cs="Arial"/>
                <w:vertAlign w:val="superscript"/>
              </w:rPr>
              <w:instrText xml:space="preserve"> \* MERGEFORMAT </w:instrText>
            </w:r>
            <w:r>
              <w:rPr>
                <w:rFonts w:cs="Arial"/>
                <w:vertAlign w:val="superscript"/>
              </w:rPr>
            </w:r>
            <w:r>
              <w:rPr>
                <w:rFonts w:cs="Arial"/>
                <w:vertAlign w:val="superscript"/>
              </w:rPr>
              <w:fldChar w:fldCharType="separate"/>
            </w:r>
            <w:r w:rsidRPr="00852237">
              <w:rPr>
                <w:rStyle w:val="FootnoteReference"/>
              </w:rPr>
              <w:t>14</w:t>
            </w:r>
            <w:r>
              <w:rPr>
                <w:rFonts w:cs="Arial"/>
                <w:vertAlign w:val="superscript"/>
              </w:rPr>
              <w:fldChar w:fldCharType="end"/>
            </w:r>
            <w:r w:rsidR="00BB16FF">
              <w:rPr>
                <w:rFonts w:cs="Arial"/>
                <w:vertAlign w:val="superscript"/>
              </w:rPr>
              <w:fldChar w:fldCharType="begin"/>
            </w:r>
            <w:r w:rsidR="00BB16FF">
              <w:rPr>
                <w:rFonts w:cs="Arial"/>
              </w:rPr>
              <w:instrText xml:space="preserve"> NOTEREF _Ref152235463 \f \h </w:instrText>
            </w:r>
            <w:r w:rsidR="00034EAE">
              <w:rPr>
                <w:rFonts w:cs="Arial"/>
                <w:vertAlign w:val="superscript"/>
              </w:rPr>
              <w:instrText xml:space="preserve"> \* MERGEFORMAT </w:instrText>
            </w:r>
            <w:r w:rsidR="00BB16FF">
              <w:rPr>
                <w:rFonts w:cs="Arial"/>
                <w:vertAlign w:val="superscript"/>
              </w:rPr>
            </w:r>
            <w:r w:rsidR="00BB16FF">
              <w:rPr>
                <w:rFonts w:cs="Arial"/>
                <w:vertAlign w:val="superscript"/>
              </w:rPr>
              <w:fldChar w:fldCharType="separate"/>
            </w:r>
            <w:r w:rsidR="00BB16FF">
              <w:rPr>
                <w:rFonts w:cs="Arial"/>
                <w:vertAlign w:val="superscript"/>
              </w:rPr>
              <w:fldChar w:fldCharType="end"/>
            </w:r>
          </w:p>
        </w:tc>
        <w:tc>
          <w:tcPr>
            <w:tcW w:w="0" w:type="auto"/>
            <w:vAlign w:val="top"/>
          </w:tcPr>
          <w:p w14:paraId="157BBBA2" w14:textId="77777777" w:rsidR="00B5194B" w:rsidRPr="00FD364D" w:rsidRDefault="00B5194B" w:rsidP="00034EAE">
            <w:pPr>
              <w:pStyle w:val="Tabletext"/>
              <w:rPr>
                <w:rFonts w:cs="Arial"/>
              </w:rPr>
            </w:pPr>
            <w:r w:rsidRPr="00FD364D">
              <w:rPr>
                <w:rFonts w:cs="Arial"/>
              </w:rPr>
              <w:t>Number of new cases of notified JoRRP cases in children aged 0</w:t>
            </w:r>
            <w:r w:rsidRPr="3AA2856E">
              <w:rPr>
                <w:rFonts w:eastAsia="Arial" w:cs="Arial"/>
              </w:rPr>
              <w:t>–</w:t>
            </w:r>
            <w:r w:rsidRPr="00FD364D">
              <w:rPr>
                <w:rFonts w:cs="Arial"/>
              </w:rPr>
              <w:t>14 years, by HPV type.</w:t>
            </w:r>
          </w:p>
        </w:tc>
        <w:tc>
          <w:tcPr>
            <w:tcW w:w="0" w:type="auto"/>
            <w:vAlign w:val="top"/>
          </w:tcPr>
          <w:p w14:paraId="46D9EF9F" w14:textId="77777777" w:rsidR="00B5194B" w:rsidRPr="00CD10C1" w:rsidRDefault="00B5194B" w:rsidP="00034EAE">
            <w:pPr>
              <w:pStyle w:val="Tabletext"/>
            </w:pPr>
            <w:r w:rsidRPr="00CD10C1">
              <w:t>AP</w:t>
            </w:r>
            <w:r w:rsidRPr="001511C8">
              <w:t>SU</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1CA8253" w14:textId="77777777" w:rsidR="00B5194B" w:rsidRPr="00CD10C1" w:rsidRDefault="00B5194B" w:rsidP="00034EAE">
            <w:pPr>
              <w:pStyle w:val="Tabletext"/>
            </w:pPr>
            <w:r w:rsidRPr="00CD10C1">
              <w:t xml:space="preserve">Annual </w:t>
            </w:r>
          </w:p>
        </w:tc>
      </w:tr>
    </w:tbl>
    <w:p w14:paraId="06634347" w14:textId="77777777" w:rsidR="00B5194B" w:rsidRPr="008C4020" w:rsidRDefault="00B5194B" w:rsidP="00034EAE">
      <w:pPr>
        <w:pStyle w:val="Caption"/>
        <w:keepNext/>
        <w:spacing w:before="240"/>
      </w:pPr>
      <w:r w:rsidRPr="008C4020">
        <w:lastRenderedPageBreak/>
        <w:t>Number of incident cases of juvenile onset recurrent respiratory papillomatosis in Aboriginal and Torres Strait Islander children aged 0–14 years by HPV type</w:t>
      </w:r>
    </w:p>
    <w:tbl>
      <w:tblPr>
        <w:tblStyle w:val="TableGrid"/>
        <w:tblW w:w="0" w:type="auto"/>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52"/>
        <w:gridCol w:w="739"/>
        <w:gridCol w:w="3522"/>
        <w:gridCol w:w="2173"/>
        <w:gridCol w:w="1606"/>
      </w:tblGrid>
      <w:tr w:rsidR="00B5194B" w:rsidRPr="00147627" w14:paraId="3737EECE" w14:textId="77777777" w:rsidTr="00034EAE">
        <w:trPr>
          <w:cnfStyle w:val="100000000000" w:firstRow="1" w:lastRow="0" w:firstColumn="0" w:lastColumn="0" w:oddVBand="0" w:evenVBand="0" w:oddHBand="0" w:evenHBand="0" w:firstRowFirstColumn="0" w:firstRowLastColumn="0" w:lastRowFirstColumn="0" w:lastRowLastColumn="0"/>
        </w:trPr>
        <w:tc>
          <w:tcPr>
            <w:tcW w:w="0" w:type="auto"/>
            <w:vAlign w:val="top"/>
          </w:tcPr>
          <w:p w14:paraId="29189BEA" w14:textId="77777777" w:rsidR="00B5194B" w:rsidRPr="00FD364D" w:rsidRDefault="00B5194B" w:rsidP="00034EAE">
            <w:pPr>
              <w:pStyle w:val="Tableheaderrowblack"/>
              <w:rPr>
                <w:b/>
              </w:rPr>
            </w:pPr>
            <w:r w:rsidRPr="00FD364D">
              <w:t>Indicator components</w:t>
            </w:r>
          </w:p>
        </w:tc>
        <w:tc>
          <w:tcPr>
            <w:tcW w:w="0" w:type="auto"/>
            <w:vAlign w:val="top"/>
          </w:tcPr>
          <w:p w14:paraId="30221E6D" w14:textId="77777777" w:rsidR="00B5194B" w:rsidRPr="00FD364D" w:rsidRDefault="00B5194B" w:rsidP="00034EAE">
            <w:pPr>
              <w:pStyle w:val="Tableheaderrowblack"/>
              <w:rPr>
                <w:b/>
              </w:rPr>
            </w:pPr>
            <w:r w:rsidRPr="00FD364D">
              <w:t>Source</w:t>
            </w:r>
          </w:p>
        </w:tc>
        <w:tc>
          <w:tcPr>
            <w:tcW w:w="0" w:type="auto"/>
            <w:vAlign w:val="top"/>
          </w:tcPr>
          <w:p w14:paraId="27F5FAD7" w14:textId="77777777" w:rsidR="00B5194B" w:rsidRPr="00FD364D" w:rsidRDefault="00B5194B" w:rsidP="00034EAE">
            <w:pPr>
              <w:pStyle w:val="Tableheaderrowblack"/>
              <w:rPr>
                <w:b/>
              </w:rPr>
            </w:pPr>
            <w:r w:rsidRPr="00FD364D">
              <w:t>Description</w:t>
            </w:r>
          </w:p>
        </w:tc>
        <w:tc>
          <w:tcPr>
            <w:tcW w:w="0" w:type="auto"/>
            <w:vAlign w:val="top"/>
          </w:tcPr>
          <w:p w14:paraId="22A4C946" w14:textId="0A7E9C4C" w:rsidR="00B5194B" w:rsidRPr="00FD364D" w:rsidRDefault="00B5194B" w:rsidP="00034EAE">
            <w:pPr>
              <w:pStyle w:val="Tableheaderrowblack"/>
              <w:rPr>
                <w:b/>
              </w:rPr>
            </w:pPr>
            <w:r w:rsidRPr="00FD364D">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26CA3AA1" w14:textId="71AF69D6" w:rsidR="00B5194B" w:rsidRPr="00FD364D" w:rsidRDefault="00B5194B" w:rsidP="00034EAE">
            <w:pPr>
              <w:pStyle w:val="Tableheaderrowblack"/>
              <w:rPr>
                <w:b/>
              </w:rPr>
            </w:pPr>
            <w:r w:rsidRPr="00FD364D">
              <w:t>Availability of data</w:t>
            </w:r>
            <w:r w:rsidR="008C4020">
              <w:t xml:space="preserve"> </w:t>
            </w:r>
            <w:r w:rsidRPr="00FD364D">
              <w:t>for reporting</w:t>
            </w:r>
          </w:p>
        </w:tc>
      </w:tr>
      <w:tr w:rsidR="00B5194B" w:rsidRPr="00D070E3" w14:paraId="07510FCD" w14:textId="77777777" w:rsidTr="00034EA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77D13724" w14:textId="77777777" w:rsidR="00B5194B" w:rsidRPr="00CA76F2" w:rsidRDefault="00B5194B" w:rsidP="00034EAE">
            <w:pPr>
              <w:pStyle w:val="Tabletext"/>
            </w:pPr>
            <w:r w:rsidRPr="00CA76F2">
              <w:t>Single measure</w:t>
            </w:r>
          </w:p>
        </w:tc>
        <w:tc>
          <w:tcPr>
            <w:tcW w:w="0" w:type="auto"/>
            <w:vAlign w:val="top"/>
          </w:tcPr>
          <w:p w14:paraId="303D45E8" w14:textId="09F19785" w:rsidR="00B5194B" w:rsidRPr="00446B12" w:rsidRDefault="006401ED" w:rsidP="00034EAE">
            <w:pPr>
              <w:pStyle w:val="Tabletext"/>
              <w:rPr>
                <w:rFonts w:cs="Arial"/>
                <w:vertAlign w:val="superscript"/>
              </w:rPr>
            </w:pPr>
            <w:r w:rsidRPr="00FD364D">
              <w:rPr>
                <w:rFonts w:cs="Arial"/>
              </w:rPr>
              <w:t>APSU</w:t>
            </w:r>
            <w:r>
              <w:rPr>
                <w:rFonts w:cs="Arial"/>
                <w:vertAlign w:val="superscript"/>
              </w:rPr>
              <w:fldChar w:fldCharType="begin"/>
            </w:r>
            <w:r>
              <w:rPr>
                <w:rFonts w:cs="Arial"/>
              </w:rPr>
              <w:instrText xml:space="preserve"> NOTEREF _Ref135310545 \f \h </w:instrText>
            </w:r>
            <w:r w:rsidR="00034EAE">
              <w:rPr>
                <w:rFonts w:cs="Arial"/>
                <w:vertAlign w:val="superscript"/>
              </w:rPr>
              <w:instrText xml:space="preserve"> \* MERGEFORMAT </w:instrText>
            </w:r>
            <w:r>
              <w:rPr>
                <w:rFonts w:cs="Arial"/>
                <w:vertAlign w:val="superscript"/>
              </w:rPr>
            </w:r>
            <w:r>
              <w:rPr>
                <w:rFonts w:cs="Arial"/>
                <w:vertAlign w:val="superscript"/>
              </w:rPr>
              <w:fldChar w:fldCharType="separate"/>
            </w:r>
            <w:r w:rsidRPr="00852237">
              <w:rPr>
                <w:rStyle w:val="FootnoteReference"/>
              </w:rPr>
              <w:t>14</w:t>
            </w:r>
            <w:r>
              <w:rPr>
                <w:rFonts w:cs="Arial"/>
                <w:vertAlign w:val="superscript"/>
              </w:rPr>
              <w:fldChar w:fldCharType="end"/>
            </w:r>
          </w:p>
        </w:tc>
        <w:tc>
          <w:tcPr>
            <w:tcW w:w="0" w:type="auto"/>
            <w:vAlign w:val="top"/>
          </w:tcPr>
          <w:p w14:paraId="39AFA96D" w14:textId="77777777" w:rsidR="00B5194B" w:rsidRPr="00FD364D" w:rsidRDefault="00B5194B" w:rsidP="00034EAE">
            <w:pPr>
              <w:pStyle w:val="Tabletext"/>
              <w:rPr>
                <w:rFonts w:cs="Arial"/>
              </w:rPr>
            </w:pPr>
            <w:r w:rsidRPr="00FD364D">
              <w:rPr>
                <w:rFonts w:cs="Arial"/>
              </w:rPr>
              <w:t xml:space="preserve">Number of new cases of notified JoRRP cases in Aboriginal and Torres Strait Islander children </w:t>
            </w:r>
            <w:r>
              <w:rPr>
                <w:rFonts w:cs="Arial"/>
              </w:rPr>
              <w:softHyphen/>
            </w:r>
            <w:r w:rsidRPr="00FD364D">
              <w:rPr>
                <w:rFonts w:cs="Arial"/>
              </w:rPr>
              <w:t>aged 0</w:t>
            </w:r>
            <w:r w:rsidRPr="3AA2856E">
              <w:rPr>
                <w:rFonts w:eastAsia="Arial" w:cs="Arial"/>
              </w:rPr>
              <w:t>–</w:t>
            </w:r>
            <w:r w:rsidRPr="00FD364D">
              <w:rPr>
                <w:rFonts w:cs="Arial"/>
              </w:rPr>
              <w:t>14 years by HPV type.</w:t>
            </w:r>
          </w:p>
        </w:tc>
        <w:tc>
          <w:tcPr>
            <w:tcW w:w="0" w:type="auto"/>
            <w:vAlign w:val="top"/>
          </w:tcPr>
          <w:p w14:paraId="230393C4" w14:textId="77777777" w:rsidR="00B5194B" w:rsidRPr="00CD10C1" w:rsidRDefault="00B5194B" w:rsidP="00034EAE">
            <w:pPr>
              <w:pStyle w:val="Tabletext"/>
            </w:pPr>
            <w:r w:rsidRPr="00CD10C1">
              <w:t>APSU</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5B487F86" w14:textId="77777777" w:rsidR="00B5194B" w:rsidRPr="00CD10C1" w:rsidRDefault="00B5194B" w:rsidP="00034EAE">
            <w:pPr>
              <w:pStyle w:val="Tabletext"/>
            </w:pPr>
            <w:r w:rsidRPr="00CD10C1">
              <w:t xml:space="preserve">Annual </w:t>
            </w:r>
          </w:p>
        </w:tc>
      </w:tr>
    </w:tbl>
    <w:p w14:paraId="3151FBD1" w14:textId="77777777" w:rsidR="00B5194B" w:rsidRPr="008C4020" w:rsidRDefault="00B5194B" w:rsidP="00034EAE">
      <w:pPr>
        <w:pStyle w:val="Caption"/>
        <w:spacing w:before="240"/>
      </w:pPr>
      <w:r w:rsidRPr="008C4020">
        <w:t>Hospitalisations for benign neoplasm of larynx (coded using ICD code D14.1) by sex over time</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64"/>
        <w:gridCol w:w="876"/>
        <w:gridCol w:w="3408"/>
        <w:gridCol w:w="2173"/>
        <w:gridCol w:w="1571"/>
      </w:tblGrid>
      <w:tr w:rsidR="00B5194B" w:rsidRPr="00D070E3" w14:paraId="70B35BB7"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31364689" w14:textId="77777777" w:rsidR="00B5194B" w:rsidRPr="00D070E3" w:rsidRDefault="00B5194B" w:rsidP="00034EAE">
            <w:pPr>
              <w:pStyle w:val="Tableheaderrowblack"/>
              <w:rPr>
                <w:b/>
              </w:rPr>
            </w:pPr>
            <w:r w:rsidRPr="00D070E3">
              <w:t>Indicator components</w:t>
            </w:r>
          </w:p>
        </w:tc>
        <w:tc>
          <w:tcPr>
            <w:tcW w:w="0" w:type="auto"/>
            <w:vAlign w:val="top"/>
          </w:tcPr>
          <w:p w14:paraId="0A3CC5CC" w14:textId="77777777" w:rsidR="00B5194B" w:rsidRPr="00D070E3" w:rsidRDefault="00B5194B" w:rsidP="00034EAE">
            <w:pPr>
              <w:pStyle w:val="Tableheaderrowblack"/>
              <w:rPr>
                <w:b/>
              </w:rPr>
            </w:pPr>
            <w:r w:rsidRPr="00D070E3">
              <w:t>Source</w:t>
            </w:r>
          </w:p>
        </w:tc>
        <w:tc>
          <w:tcPr>
            <w:tcW w:w="0" w:type="auto"/>
            <w:vAlign w:val="top"/>
          </w:tcPr>
          <w:p w14:paraId="587CD649" w14:textId="77777777" w:rsidR="00B5194B" w:rsidRPr="00D070E3" w:rsidRDefault="00B5194B" w:rsidP="00034EAE">
            <w:pPr>
              <w:pStyle w:val="Tableheaderrowblack"/>
              <w:rPr>
                <w:b/>
              </w:rPr>
            </w:pPr>
            <w:r w:rsidRPr="00D070E3">
              <w:t>Description</w:t>
            </w:r>
          </w:p>
        </w:tc>
        <w:tc>
          <w:tcPr>
            <w:tcW w:w="0" w:type="auto"/>
            <w:vAlign w:val="top"/>
          </w:tcPr>
          <w:p w14:paraId="48358AAE" w14:textId="7BC4A8CF" w:rsidR="00B5194B" w:rsidRPr="00D070E3" w:rsidRDefault="00B5194B" w:rsidP="00034EAE">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9161F16" w14:textId="717C349E" w:rsidR="00B5194B" w:rsidRPr="00D070E3" w:rsidRDefault="00B5194B" w:rsidP="00034EAE">
            <w:pPr>
              <w:pStyle w:val="Tableheaderrowblack"/>
              <w:rPr>
                <w:b/>
              </w:rPr>
            </w:pPr>
            <w:r w:rsidRPr="00D070E3">
              <w:t>Availability of data for reporting</w:t>
            </w:r>
          </w:p>
        </w:tc>
      </w:tr>
      <w:tr w:rsidR="00B5194B" w:rsidRPr="00D070E3" w14:paraId="089FD164"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BD27BAF" w14:textId="77777777" w:rsidR="00B5194B" w:rsidRPr="00CA76F2" w:rsidRDefault="00B5194B"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4DFBA52" w14:textId="75D851D3" w:rsidR="00B5194B" w:rsidRPr="00D070E3" w:rsidRDefault="00B5194B" w:rsidP="00034EAE">
            <w:pPr>
              <w:pStyle w:val="Tabletext"/>
            </w:pPr>
            <w:r w:rsidRPr="00731FD5">
              <w:t>NHMD</w:t>
            </w:r>
            <w:bookmarkStart w:id="48" w:name="_Ref160116779"/>
            <w:r w:rsidR="005355AC">
              <w:rPr>
                <w:rFonts w:ascii="ZWAdobeF" w:hAnsi="ZWAdobeF" w:cs="ZWAdobeF"/>
                <w:color w:val="auto"/>
                <w:sz w:val="2"/>
                <w:szCs w:val="2"/>
              </w:rPr>
              <w:t>14F</w:t>
            </w:r>
            <w:r w:rsidR="00E6744B">
              <w:rPr>
                <w:rStyle w:val="FootnoteReference"/>
                <w:rFonts w:cs="Arial"/>
              </w:rPr>
              <w:footnoteReference w:id="15"/>
            </w:r>
            <w:bookmarkEnd w:id="48"/>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5FBBC25" w14:textId="77777777" w:rsidR="00B5194B" w:rsidRPr="00D070E3" w:rsidRDefault="00B5194B" w:rsidP="00034EAE">
            <w:pPr>
              <w:pStyle w:val="Tabletext"/>
            </w:pPr>
            <w:r w:rsidRPr="00D070E3">
              <w:t xml:space="preserve">Hospitalisations for benign neoplasm of larynx (coded using ICD code D14.1) </w:t>
            </w:r>
            <w:r w:rsidRPr="00FD364D">
              <w:t>in</w:t>
            </w:r>
            <w:r>
              <w:t xml:space="preserve"> children aged 0</w:t>
            </w:r>
            <w:r w:rsidRPr="3AA2856E">
              <w:rPr>
                <w:rFonts w:eastAsia="Arial"/>
              </w:rPr>
              <w:t>–</w:t>
            </w:r>
            <w:r>
              <w:t>14 years, by sex</w:t>
            </w:r>
            <w:r w:rsidRPr="00FD364D">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56DC7E9" w14:textId="77777777" w:rsidR="00B5194B" w:rsidRPr="00CD10C1" w:rsidRDefault="00B5194B" w:rsidP="00034EAE">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F9B01C5" w14:textId="77777777" w:rsidR="00B5194B" w:rsidRPr="00CD10C1" w:rsidRDefault="00B5194B" w:rsidP="00034EAE">
            <w:pPr>
              <w:pStyle w:val="Tabletext"/>
            </w:pPr>
            <w:r w:rsidRPr="00CD10C1">
              <w:t>Annual</w:t>
            </w:r>
          </w:p>
        </w:tc>
      </w:tr>
      <w:tr w:rsidR="00B5194B" w:rsidRPr="00D070E3" w14:paraId="308769DB" w14:textId="77777777" w:rsidTr="00034EAE">
        <w:trPr>
          <w:jc w:val="center"/>
        </w:trPr>
        <w:tc>
          <w:tcPr>
            <w:tcW w:w="0" w:type="auto"/>
            <w:vAlign w:val="top"/>
          </w:tcPr>
          <w:p w14:paraId="76308F3D" w14:textId="77777777" w:rsidR="00B5194B" w:rsidRPr="00CA76F2" w:rsidRDefault="00B5194B" w:rsidP="00034EAE">
            <w:pPr>
              <w:pStyle w:val="Tabletext"/>
            </w:pPr>
            <w:r w:rsidRPr="00CA76F2">
              <w:t>Denominator</w:t>
            </w:r>
          </w:p>
        </w:tc>
        <w:tc>
          <w:tcPr>
            <w:tcW w:w="0" w:type="auto"/>
            <w:vAlign w:val="top"/>
          </w:tcPr>
          <w:p w14:paraId="3FF413EB" w14:textId="2EDFBD39" w:rsidR="00B5194B" w:rsidRPr="00446B12" w:rsidRDefault="00B5194B" w:rsidP="00034EAE">
            <w:pPr>
              <w:pStyle w:val="Tabletext"/>
              <w:rPr>
                <w:vertAlign w:val="superscript"/>
              </w:rPr>
            </w:pPr>
            <w:r w:rsidRPr="00CA76F2">
              <w:t>AB</w:t>
            </w:r>
            <w:r w:rsidR="006401ED">
              <w:t>S</w:t>
            </w:r>
            <w:r w:rsidR="006401ED">
              <w:fldChar w:fldCharType="begin"/>
            </w:r>
            <w:r w:rsidR="006401ED">
              <w:instrText xml:space="preserve"> NOTEREF _Ref160116779 \f \h </w:instrText>
            </w:r>
            <w:r w:rsidR="00034EAE">
              <w:instrText xml:space="preserve"> \* MERGEFORMAT </w:instrText>
            </w:r>
            <w:r w:rsidR="006401ED">
              <w:fldChar w:fldCharType="separate"/>
            </w:r>
            <w:r w:rsidR="006401ED" w:rsidRPr="006401ED">
              <w:rPr>
                <w:rStyle w:val="FootnoteReference"/>
              </w:rPr>
              <w:t>15</w:t>
            </w:r>
            <w:r w:rsidR="006401ED">
              <w:fldChar w:fldCharType="end"/>
            </w:r>
          </w:p>
        </w:tc>
        <w:tc>
          <w:tcPr>
            <w:tcW w:w="0" w:type="auto"/>
            <w:vAlign w:val="top"/>
          </w:tcPr>
          <w:p w14:paraId="11ACE27C" w14:textId="77777777" w:rsidR="00B5194B" w:rsidRPr="00D070E3" w:rsidRDefault="00B5194B" w:rsidP="00034EAE">
            <w:pPr>
              <w:pStyle w:val="Tabletext"/>
            </w:pPr>
            <w:r w:rsidRPr="00D070E3">
              <w:t xml:space="preserve">Estimated resident population </w:t>
            </w:r>
            <w:r w:rsidRPr="7BEFB40A">
              <w:t xml:space="preserve">of </w:t>
            </w:r>
            <w:r w:rsidRPr="00D070E3">
              <w:t>children aged 0</w:t>
            </w:r>
            <w:r w:rsidRPr="3AA2856E">
              <w:rPr>
                <w:rFonts w:eastAsia="Arial"/>
              </w:rPr>
              <w:t>–</w:t>
            </w:r>
            <w:r w:rsidRPr="00D070E3">
              <w:t>14 years</w:t>
            </w:r>
            <w:r>
              <w:t>, by sex</w:t>
            </w:r>
            <w:r w:rsidRPr="00FD364D">
              <w:t>.</w:t>
            </w:r>
          </w:p>
        </w:tc>
        <w:tc>
          <w:tcPr>
            <w:tcW w:w="0" w:type="auto"/>
            <w:vAlign w:val="top"/>
          </w:tcPr>
          <w:p w14:paraId="307966CB" w14:textId="77777777" w:rsidR="00B5194B" w:rsidRPr="00CD10C1" w:rsidRDefault="00B5194B" w:rsidP="00034EAE">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C6958FB" w14:textId="77777777" w:rsidR="00B5194B" w:rsidRPr="00CD10C1" w:rsidRDefault="00B5194B" w:rsidP="00034EAE">
            <w:pPr>
              <w:pStyle w:val="Tabletext"/>
            </w:pPr>
            <w:r w:rsidRPr="00CD10C1">
              <w:t>Quarterly</w:t>
            </w:r>
          </w:p>
        </w:tc>
      </w:tr>
    </w:tbl>
    <w:p w14:paraId="66F75022" w14:textId="77777777" w:rsidR="00B5194B" w:rsidRPr="008C4020" w:rsidRDefault="00B5194B" w:rsidP="00034EAE">
      <w:pPr>
        <w:pStyle w:val="Caption"/>
        <w:spacing w:before="240"/>
      </w:pPr>
      <w:bookmarkStart w:id="49" w:name="_3.3._Monitor_the"/>
      <w:bookmarkEnd w:id="49"/>
      <w:r w:rsidRPr="008C4020">
        <w:t>Hospitalisations for benign neoplasm of larynx (coded using ICD code D14.1) among Aboriginal and Torres Strait Islander children by sex over time</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20"/>
        <w:gridCol w:w="866"/>
        <w:gridCol w:w="3565"/>
        <w:gridCol w:w="2173"/>
        <w:gridCol w:w="1468"/>
      </w:tblGrid>
      <w:tr w:rsidR="00B5194B" w:rsidRPr="00B1354C" w14:paraId="08180EB1"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38CA1D2A" w14:textId="77777777" w:rsidR="00B5194B" w:rsidRPr="00FD364D" w:rsidRDefault="00B5194B" w:rsidP="00034EAE">
            <w:pPr>
              <w:pStyle w:val="Tableheaderrowblack"/>
              <w:rPr>
                <w:b/>
              </w:rPr>
            </w:pPr>
            <w:r w:rsidRPr="00FD364D">
              <w:t>Indicator components</w:t>
            </w:r>
          </w:p>
        </w:tc>
        <w:tc>
          <w:tcPr>
            <w:tcW w:w="0" w:type="auto"/>
            <w:vAlign w:val="top"/>
          </w:tcPr>
          <w:p w14:paraId="3CCDB4EA" w14:textId="77777777" w:rsidR="00B5194B" w:rsidRPr="00FD364D" w:rsidRDefault="00B5194B" w:rsidP="00034EAE">
            <w:pPr>
              <w:pStyle w:val="Tableheaderrowblack"/>
              <w:rPr>
                <w:b/>
              </w:rPr>
            </w:pPr>
            <w:r w:rsidRPr="00FD364D">
              <w:t>Source</w:t>
            </w:r>
          </w:p>
        </w:tc>
        <w:tc>
          <w:tcPr>
            <w:tcW w:w="0" w:type="auto"/>
            <w:vAlign w:val="top"/>
          </w:tcPr>
          <w:p w14:paraId="3AA25AFC" w14:textId="77777777" w:rsidR="00B5194B" w:rsidRPr="00FD364D" w:rsidRDefault="00B5194B" w:rsidP="00034EAE">
            <w:pPr>
              <w:pStyle w:val="Tableheaderrowblack"/>
              <w:rPr>
                <w:b/>
              </w:rPr>
            </w:pPr>
            <w:r w:rsidRPr="00FD364D">
              <w:t>Description</w:t>
            </w:r>
          </w:p>
        </w:tc>
        <w:tc>
          <w:tcPr>
            <w:tcW w:w="0" w:type="auto"/>
            <w:vAlign w:val="top"/>
          </w:tcPr>
          <w:p w14:paraId="0189578F" w14:textId="06AB38D1" w:rsidR="00B5194B" w:rsidRPr="00FD364D" w:rsidRDefault="00B5194B" w:rsidP="00034EAE">
            <w:pPr>
              <w:pStyle w:val="Tableheaderrowblack"/>
              <w:rPr>
                <w:b/>
              </w:rPr>
            </w:pPr>
            <w:r w:rsidRPr="00FD364D">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CF0AC8B" w14:textId="44FB9798" w:rsidR="00B5194B" w:rsidRPr="00FD364D" w:rsidRDefault="00B5194B" w:rsidP="00034EAE">
            <w:pPr>
              <w:pStyle w:val="Tableheaderrowblack"/>
              <w:rPr>
                <w:b/>
              </w:rPr>
            </w:pPr>
            <w:r w:rsidRPr="00FD364D">
              <w:t>Availability of data for reporting</w:t>
            </w:r>
          </w:p>
        </w:tc>
      </w:tr>
      <w:tr w:rsidR="00B5194B" w:rsidRPr="00B1354C" w14:paraId="56CE64BB"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F85224" w14:textId="77777777" w:rsidR="00B5194B" w:rsidRPr="00CA76F2" w:rsidRDefault="00B5194B"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A73E2E4" w14:textId="4302F6CE" w:rsidR="00B5194B" w:rsidRPr="00FD364D" w:rsidRDefault="00B5194B" w:rsidP="00034EAE">
            <w:pPr>
              <w:pStyle w:val="Tabletext"/>
              <w:rPr>
                <w:rFonts w:cs="Arial"/>
              </w:rPr>
            </w:pPr>
            <w:r w:rsidRPr="00CA76F2">
              <w:t>NHMD</w:t>
            </w:r>
            <w:r w:rsidR="006401ED">
              <w:fldChar w:fldCharType="begin"/>
            </w:r>
            <w:r w:rsidR="006401ED">
              <w:instrText xml:space="preserve"> NOTEREF _Ref160116779 \f \h </w:instrText>
            </w:r>
            <w:r w:rsidR="00034EAE">
              <w:instrText xml:space="preserve"> \* MERGEFORMAT </w:instrText>
            </w:r>
            <w:r w:rsidR="006401ED">
              <w:fldChar w:fldCharType="separate"/>
            </w:r>
            <w:r w:rsidR="006401ED" w:rsidRPr="006401ED">
              <w:rPr>
                <w:rStyle w:val="FootnoteReference"/>
              </w:rPr>
              <w:t>15</w:t>
            </w:r>
            <w:r w:rsidR="006401ED">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AD422AD" w14:textId="77777777" w:rsidR="00B5194B" w:rsidRPr="00FD364D" w:rsidRDefault="00B5194B" w:rsidP="00034EAE">
            <w:pPr>
              <w:pStyle w:val="Tabletext"/>
              <w:rPr>
                <w:rFonts w:cs="Arial"/>
              </w:rPr>
            </w:pPr>
            <w:r w:rsidRPr="00FD364D">
              <w:rPr>
                <w:rFonts w:cs="Arial"/>
              </w:rPr>
              <w:t>Hospitalisations for benign neoplasm of larynx (coded using ICD code D14.1) among Aboriginal</w:t>
            </w:r>
            <w:r w:rsidRPr="00FD364D" w:rsidDel="003E3ABE">
              <w:rPr>
                <w:rFonts w:cs="Arial"/>
              </w:rPr>
              <w:t xml:space="preserve"> and </w:t>
            </w:r>
            <w:r w:rsidRPr="00FD364D">
              <w:rPr>
                <w:rFonts w:cs="Arial"/>
              </w:rPr>
              <w:t>Torres Strait Islander children aged 0</w:t>
            </w:r>
            <w:r w:rsidRPr="3AA2856E">
              <w:rPr>
                <w:rFonts w:eastAsia="Arial" w:cs="Arial"/>
              </w:rPr>
              <w:t>–</w:t>
            </w:r>
            <w:r w:rsidRPr="00FD364D">
              <w:rPr>
                <w:rFonts w:cs="Arial"/>
              </w:rPr>
              <w:t>14 years</w:t>
            </w:r>
            <w:r>
              <w:rPr>
                <w:rFonts w:cs="Arial"/>
              </w:rPr>
              <w:t>, by sex</w:t>
            </w:r>
            <w:r w:rsidRPr="00FD364D">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74320EA" w14:textId="77777777" w:rsidR="00B5194B" w:rsidRPr="00CD10C1" w:rsidRDefault="00B5194B" w:rsidP="00034EAE">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5527138" w14:textId="77777777" w:rsidR="00B5194B" w:rsidRPr="00CD10C1" w:rsidRDefault="00B5194B" w:rsidP="00034EAE">
            <w:pPr>
              <w:pStyle w:val="Tabletext"/>
            </w:pPr>
            <w:r w:rsidRPr="00CD10C1">
              <w:t>Annual</w:t>
            </w:r>
          </w:p>
        </w:tc>
      </w:tr>
      <w:tr w:rsidR="00B5194B" w:rsidRPr="00D070E3" w14:paraId="391D8482" w14:textId="77777777" w:rsidTr="00034EAE">
        <w:trPr>
          <w:jc w:val="center"/>
        </w:trPr>
        <w:tc>
          <w:tcPr>
            <w:tcW w:w="0" w:type="auto"/>
            <w:vAlign w:val="top"/>
          </w:tcPr>
          <w:p w14:paraId="46FB4FA5" w14:textId="77777777" w:rsidR="00B5194B" w:rsidRPr="00CA76F2" w:rsidRDefault="00B5194B" w:rsidP="00034EAE">
            <w:r w:rsidRPr="00CA76F2">
              <w:lastRenderedPageBreak/>
              <w:t>Denominator</w:t>
            </w:r>
          </w:p>
        </w:tc>
        <w:tc>
          <w:tcPr>
            <w:tcW w:w="0" w:type="auto"/>
            <w:vAlign w:val="top"/>
          </w:tcPr>
          <w:p w14:paraId="322B547E" w14:textId="63C32728" w:rsidR="00B5194B" w:rsidRPr="00446B12" w:rsidRDefault="00B5194B" w:rsidP="00034EAE">
            <w:pPr>
              <w:rPr>
                <w:rFonts w:cs="Arial"/>
                <w:vertAlign w:val="superscript"/>
              </w:rPr>
            </w:pPr>
            <w:r w:rsidRPr="00CA76F2">
              <w:t>ABS</w:t>
            </w:r>
            <w:r w:rsidR="006401ED">
              <w:rPr>
                <w:rStyle w:val="SuperscriptChar"/>
              </w:rPr>
              <w:fldChar w:fldCharType="begin"/>
            </w:r>
            <w:r w:rsidR="006401ED">
              <w:instrText xml:space="preserve"> NOTEREF _Ref160116779 \f \h </w:instrText>
            </w:r>
            <w:r w:rsidR="00034EAE">
              <w:rPr>
                <w:rStyle w:val="SuperscriptChar"/>
              </w:rPr>
              <w:instrText xml:space="preserve"> \* MERGEFORMAT </w:instrText>
            </w:r>
            <w:r w:rsidR="006401ED">
              <w:rPr>
                <w:rStyle w:val="SuperscriptChar"/>
              </w:rPr>
            </w:r>
            <w:r w:rsidR="006401ED">
              <w:rPr>
                <w:rStyle w:val="SuperscriptChar"/>
              </w:rPr>
              <w:fldChar w:fldCharType="separate"/>
            </w:r>
            <w:r w:rsidR="006401ED" w:rsidRPr="006401ED">
              <w:rPr>
                <w:rStyle w:val="FootnoteReference"/>
              </w:rPr>
              <w:t>15</w:t>
            </w:r>
            <w:r w:rsidR="006401ED">
              <w:rPr>
                <w:rStyle w:val="SuperscriptChar"/>
              </w:rPr>
              <w:fldChar w:fldCharType="end"/>
            </w:r>
          </w:p>
        </w:tc>
        <w:tc>
          <w:tcPr>
            <w:tcW w:w="0" w:type="auto"/>
            <w:vAlign w:val="top"/>
          </w:tcPr>
          <w:p w14:paraId="435540A9" w14:textId="77777777" w:rsidR="00B5194B" w:rsidRPr="00FD364D" w:rsidRDefault="00B5194B" w:rsidP="00034EAE">
            <w:pPr>
              <w:rPr>
                <w:rFonts w:cs="Arial"/>
              </w:rPr>
            </w:pPr>
            <w:r w:rsidRPr="00FD364D">
              <w:rPr>
                <w:rFonts w:cs="Arial"/>
              </w:rPr>
              <w:t xml:space="preserve">Estimated resident Aboriginal and Torres Strait Islander population </w:t>
            </w:r>
            <w:r w:rsidRPr="7BEFB40A">
              <w:rPr>
                <w:rFonts w:cs="Arial"/>
              </w:rPr>
              <w:t xml:space="preserve">of </w:t>
            </w:r>
            <w:r w:rsidRPr="00FD364D">
              <w:rPr>
                <w:rFonts w:cs="Arial"/>
              </w:rPr>
              <w:t>children aged 0</w:t>
            </w:r>
            <w:r w:rsidRPr="3AA2856E">
              <w:rPr>
                <w:rFonts w:eastAsia="Arial" w:cs="Arial"/>
              </w:rPr>
              <w:t>–</w:t>
            </w:r>
            <w:r w:rsidRPr="00FD364D">
              <w:rPr>
                <w:rFonts w:cs="Arial"/>
              </w:rPr>
              <w:t>14 years</w:t>
            </w:r>
            <w:r>
              <w:rPr>
                <w:rFonts w:cs="Arial"/>
              </w:rPr>
              <w:t>, by sex</w:t>
            </w:r>
            <w:r w:rsidRPr="00FD364D">
              <w:rPr>
                <w:rFonts w:cs="Arial"/>
              </w:rPr>
              <w:t>.</w:t>
            </w:r>
          </w:p>
        </w:tc>
        <w:tc>
          <w:tcPr>
            <w:tcW w:w="0" w:type="auto"/>
            <w:vAlign w:val="top"/>
          </w:tcPr>
          <w:p w14:paraId="389E79E6" w14:textId="77777777" w:rsidR="00B5194B" w:rsidRPr="00CD10C1" w:rsidRDefault="00B5194B" w:rsidP="004614C7">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2B7329D" w14:textId="77777777" w:rsidR="00B5194B" w:rsidRPr="00CD10C1" w:rsidRDefault="00B5194B" w:rsidP="00034EAE">
            <w:r w:rsidRPr="00CD10C1">
              <w:t>Quarterly</w:t>
            </w:r>
          </w:p>
        </w:tc>
      </w:tr>
    </w:tbl>
    <w:p w14:paraId="216B2580" w14:textId="560EAF19" w:rsidR="009E6A90" w:rsidRDefault="009E6A90" w:rsidP="004E24FE">
      <w:bookmarkStart w:id="50" w:name="_Monitor_the_prevalence_1"/>
      <w:bookmarkEnd w:id="50"/>
    </w:p>
    <w:p w14:paraId="0C602F72" w14:textId="77777777" w:rsidR="009E6A90" w:rsidRDefault="009E6A90" w:rsidP="004E24FE">
      <w:r>
        <w:br w:type="page"/>
      </w:r>
    </w:p>
    <w:p w14:paraId="33AEE222" w14:textId="47624E85" w:rsidR="00852237" w:rsidRDefault="001D3FAE" w:rsidP="00E9658C">
      <w:pPr>
        <w:pStyle w:val="Heading2Numbering"/>
      </w:pPr>
      <w:bookmarkStart w:id="51" w:name="_Toc232507542"/>
      <w:r>
        <w:lastRenderedPageBreak/>
        <w:t>Monitor the prevalence of screen-detected cervical abnormalities</w:t>
      </w:r>
      <w:bookmarkEnd w:id="51"/>
    </w:p>
    <w:p w14:paraId="0650D0A8" w14:textId="77777777" w:rsidR="00852237" w:rsidRDefault="00852237" w:rsidP="00034EAE">
      <w:pPr>
        <w:pStyle w:val="Boxgreenheading"/>
      </w:pPr>
      <w:bookmarkStart w:id="52" w:name="_Toc161152111"/>
      <w:r w:rsidRPr="00257D46">
        <w:t>Indicator</w:t>
      </w:r>
      <w:r>
        <w:t>s</w:t>
      </w:r>
      <w:bookmarkEnd w:id="52"/>
    </w:p>
    <w:p w14:paraId="0B459BA0" w14:textId="61DB8555" w:rsidR="00852237" w:rsidRDefault="00852237" w:rsidP="00034EAE">
      <w:pPr>
        <w:pStyle w:val="Boxgreentext"/>
      </w:pPr>
      <w:r w:rsidRPr="00852237">
        <w:t>Number of participants aged 25–74 years with a high-grade abnormality detected on histology in a calendar year per 1,000 participants screened*</w:t>
      </w:r>
    </w:p>
    <w:p w14:paraId="4F4C05F1" w14:textId="77777777" w:rsidR="00197EA3" w:rsidRPr="00197EA3" w:rsidRDefault="00197EA3" w:rsidP="00034EAE">
      <w:pPr>
        <w:pStyle w:val="Boxgreentext"/>
      </w:pPr>
      <w:r w:rsidRPr="00197EA3">
        <w:t>Number of Aboriginal and Torres Strait Islander participants aged 25–74 years with a high-grade abnormality detected on histology in a calendar year per 1,000 Aboriginal and Torres Strait Islander participants screened</w:t>
      </w:r>
    </w:p>
    <w:p w14:paraId="16713379" w14:textId="4AEDDE04" w:rsidR="00852237" w:rsidRPr="00A74B5B" w:rsidRDefault="00197EA3" w:rsidP="00034EAE">
      <w:pPr>
        <w:pStyle w:val="Boxgreentext"/>
      </w:pPr>
      <w:r w:rsidRPr="00A74B5B">
        <w:t>*This is an existing indicator from the NCSP.</w:t>
      </w:r>
    </w:p>
    <w:p w14:paraId="46DE2F4B" w14:textId="77777777" w:rsidR="00197EA3" w:rsidRDefault="00197EA3" w:rsidP="00034EAE">
      <w:pPr>
        <w:pStyle w:val="Heading3"/>
      </w:pPr>
      <w:r>
        <w:t>Rationale for surveillance</w:t>
      </w:r>
    </w:p>
    <w:p w14:paraId="43BF66E8" w14:textId="77777777" w:rsidR="00197EA3" w:rsidRDefault="00197EA3" w:rsidP="00197EA3">
      <w:pPr>
        <w:rPr>
          <w:rFonts w:cs="Arial"/>
          <w:szCs w:val="20"/>
        </w:rPr>
      </w:pPr>
      <w:r w:rsidRPr="00D070E3">
        <w:rPr>
          <w:rFonts w:cs="Arial"/>
          <w:szCs w:val="20"/>
        </w:rPr>
        <w:t>Detection of high-grade abnormalities provides an opportunity for treatment before cancer can develop</w:t>
      </w:r>
      <w:r>
        <w:rPr>
          <w:rFonts w:cs="Arial"/>
          <w:szCs w:val="20"/>
        </w:rPr>
        <w:t>.</w:t>
      </w:r>
      <w:r w:rsidRPr="00D070E3">
        <w:rPr>
          <w:rFonts w:cs="Arial"/>
          <w:szCs w:val="20"/>
        </w:rPr>
        <w:t xml:space="preserve"> </w:t>
      </w:r>
    </w:p>
    <w:p w14:paraId="241EDEEB" w14:textId="77777777" w:rsidR="00197EA3" w:rsidRDefault="00197EA3" w:rsidP="00034EAE">
      <w:pPr>
        <w:pStyle w:val="Heading3"/>
      </w:pPr>
      <w:r>
        <w:t>Data considerations</w:t>
      </w:r>
    </w:p>
    <w:p w14:paraId="4F5A9438" w14:textId="567F121D" w:rsidR="00197EA3" w:rsidRPr="00D070E3" w:rsidRDefault="00197EA3" w:rsidP="00197EA3">
      <w:pPr>
        <w:rPr>
          <w:rFonts w:cs="Arial"/>
          <w:szCs w:val="20"/>
        </w:rPr>
      </w:pPr>
      <w:r w:rsidRPr="00D070E3">
        <w:rPr>
          <w:rFonts w:cs="Arial"/>
          <w:szCs w:val="20"/>
        </w:rPr>
        <w:t xml:space="preserve">As mentioned under surveillance objective 1.2, the NCSR is a national electronic infrastructure for the collection, storage, analysis and reporting of screening data for the </w:t>
      </w:r>
      <w:r>
        <w:rPr>
          <w:rFonts w:cs="Arial"/>
          <w:szCs w:val="20"/>
        </w:rPr>
        <w:t>NCS</w:t>
      </w:r>
      <w:r w:rsidRPr="600930D2">
        <w:rPr>
          <w:rFonts w:cs="Arial"/>
          <w:szCs w:val="20"/>
        </w:rPr>
        <w:t>P</w:t>
      </w:r>
      <w:r w:rsidR="00076F77">
        <w:rPr>
          <w:rFonts w:cs="Arial"/>
          <w:szCs w:val="20"/>
        </w:rPr>
        <w:fldChar w:fldCharType="begin"/>
      </w:r>
      <w:r w:rsidR="00076F77">
        <w:rPr>
          <w:rFonts w:cs="Arial"/>
          <w:szCs w:val="20"/>
        </w:rPr>
        <w:instrText xml:space="preserve"> NOTEREF _Ref152235494 \f \h </w:instrText>
      </w:r>
      <w:r w:rsidR="00076F77">
        <w:rPr>
          <w:rFonts w:cs="Arial"/>
          <w:szCs w:val="20"/>
        </w:rPr>
      </w:r>
      <w:r w:rsidR="00076F77">
        <w:rPr>
          <w:rFonts w:cs="Arial"/>
          <w:szCs w:val="20"/>
        </w:rPr>
        <w:fldChar w:fldCharType="separate"/>
      </w:r>
      <w:r w:rsidR="00076F77" w:rsidRPr="00076F77">
        <w:rPr>
          <w:rStyle w:val="FootnoteReference"/>
        </w:rPr>
        <w:t>17</w:t>
      </w:r>
      <w:r w:rsidR="00076F77">
        <w:rPr>
          <w:rFonts w:cs="Arial"/>
          <w:szCs w:val="20"/>
        </w:rPr>
        <w:fldChar w:fldCharType="end"/>
      </w:r>
      <w:r w:rsidRPr="00D070E3">
        <w:rPr>
          <w:rFonts w:cs="Arial"/>
          <w:szCs w:val="20"/>
        </w:rPr>
        <w:t xml:space="preserve">. The NCSR operates to maintain a national database of cervical screening records; inviting eligible individuals to commence cervical screening when they turn 25 years; reminding participants when are they are due and overdue for cervical screening; and providing a participant’s cervical screening history to laboratories to inform screening recommendations. </w:t>
      </w:r>
    </w:p>
    <w:p w14:paraId="05D1AD66" w14:textId="56337CF6" w:rsidR="00197EA3" w:rsidRDefault="00197EA3" w:rsidP="00197EA3">
      <w:pPr>
        <w:rPr>
          <w:rFonts w:cs="Arial"/>
          <w:szCs w:val="20"/>
        </w:rPr>
      </w:pPr>
      <w:r w:rsidRPr="4B8BF9C5">
        <w:rPr>
          <w:rFonts w:cs="Arial"/>
          <w:szCs w:val="20"/>
        </w:rPr>
        <w:t xml:space="preserve">The Australian Institute of Health and Welfare (AIHW) publishes an annual report on the performance of the NCSP, the </w:t>
      </w:r>
      <w:hyperlink r:id="rId36">
        <w:r w:rsidRPr="4B8BF9C5">
          <w:rPr>
            <w:rStyle w:val="Hyperlink"/>
            <w:rFonts w:cs="Arial"/>
            <w:szCs w:val="20"/>
          </w:rPr>
          <w:t>National Cervical Screening Program monitoring report</w:t>
        </w:r>
      </w:hyperlink>
      <w:r w:rsidRPr="4B8BF9C5">
        <w:rPr>
          <w:rFonts w:cs="Arial"/>
          <w:szCs w:val="20"/>
        </w:rPr>
        <w:t xml:space="preserve"> (formerly </w:t>
      </w:r>
      <w:r w:rsidRPr="00CD10C1">
        <w:rPr>
          <w:rStyle w:val="Emphasis"/>
        </w:rPr>
        <w:t>Cervical Screening in Australia</w:t>
      </w:r>
      <w:r w:rsidRPr="4B8BF9C5">
        <w:rPr>
          <w:rFonts w:cs="Arial"/>
          <w:szCs w:val="20"/>
        </w:rPr>
        <w:t>). Performance indicators have been developed to support monitoring and reporting of the NCSP, including the indicator used to report against this objective.</w:t>
      </w:r>
    </w:p>
    <w:p w14:paraId="0FED72F9" w14:textId="6010323E" w:rsidR="00197EA3" w:rsidRDefault="00197EA3" w:rsidP="00197EA3">
      <w:pPr>
        <w:rPr>
          <w:rFonts w:cs="Arial"/>
          <w:szCs w:val="20"/>
        </w:rPr>
      </w:pPr>
      <w:r w:rsidRPr="002A7ED8">
        <w:rPr>
          <w:rFonts w:cs="Arial"/>
          <w:szCs w:val="20"/>
        </w:rPr>
        <w:t xml:space="preserve">Where possible, </w:t>
      </w:r>
      <w:r>
        <w:rPr>
          <w:rFonts w:cs="Arial"/>
          <w:szCs w:val="20"/>
        </w:rPr>
        <w:t xml:space="preserve">rates by </w:t>
      </w:r>
      <w:r w:rsidRPr="002A7ED8">
        <w:rPr>
          <w:rFonts w:cs="Arial"/>
          <w:szCs w:val="20"/>
        </w:rPr>
        <w:t>age group</w:t>
      </w:r>
      <w:r>
        <w:rPr>
          <w:rFonts w:cs="Arial"/>
          <w:szCs w:val="20"/>
        </w:rPr>
        <w:t>, HPV genotype (group or individual)</w:t>
      </w:r>
      <w:r w:rsidRPr="002A7ED8">
        <w:rPr>
          <w:rFonts w:cs="Arial"/>
          <w:szCs w:val="20"/>
        </w:rPr>
        <w:t xml:space="preserve"> </w:t>
      </w:r>
      <w:r>
        <w:rPr>
          <w:rFonts w:cs="Arial"/>
          <w:szCs w:val="20"/>
        </w:rPr>
        <w:t>and</w:t>
      </w:r>
      <w:r w:rsidRPr="002A7ED8">
        <w:rPr>
          <w:rFonts w:cs="Arial"/>
          <w:szCs w:val="20"/>
        </w:rPr>
        <w:t xml:space="preserve"> HPV vaccination status</w:t>
      </w:r>
      <w:r>
        <w:rPr>
          <w:rFonts w:cs="Arial"/>
          <w:szCs w:val="20"/>
        </w:rPr>
        <w:t xml:space="preserve"> and HPV type</w:t>
      </w:r>
      <w:r w:rsidRPr="002A7ED8">
        <w:rPr>
          <w:rFonts w:cs="Arial"/>
          <w:szCs w:val="20"/>
        </w:rPr>
        <w:t xml:space="preserve"> should be provided.</w:t>
      </w:r>
    </w:p>
    <w:p w14:paraId="319EB5F2" w14:textId="68E86364" w:rsidR="00070267" w:rsidRDefault="00197EA3" w:rsidP="00070267">
      <w:pPr>
        <w:rPr>
          <w:rFonts w:cs="Arial"/>
          <w:szCs w:val="20"/>
        </w:rPr>
      </w:pPr>
      <w:r w:rsidRPr="00753BD1">
        <w:rPr>
          <w:rFonts w:cs="Arial"/>
          <w:szCs w:val="20"/>
        </w:rPr>
        <w:lastRenderedPageBreak/>
        <w:t>Terminology regarding sex is reflective of the data available with</w:t>
      </w:r>
      <w:r>
        <w:rPr>
          <w:rFonts w:cs="Arial"/>
          <w:szCs w:val="20"/>
        </w:rPr>
        <w:t>in</w:t>
      </w:r>
      <w:r w:rsidRPr="00753BD1">
        <w:rPr>
          <w:rFonts w:cs="Arial"/>
          <w:szCs w:val="20"/>
        </w:rPr>
        <w:t xml:space="preserve"> the relevant data source. </w:t>
      </w:r>
    </w:p>
    <w:p w14:paraId="53E5E6DB" w14:textId="0F0799AA" w:rsidR="00197EA3" w:rsidRDefault="00197EA3" w:rsidP="00034EAE">
      <w:pPr>
        <w:pStyle w:val="Heading3"/>
      </w:pPr>
      <w:r>
        <w:t>Reporting against indicators</w:t>
      </w:r>
    </w:p>
    <w:p w14:paraId="2BD0B9A0" w14:textId="06C7F8FA" w:rsidR="00197EA3" w:rsidRPr="008C4020" w:rsidRDefault="00197EA3" w:rsidP="008C4020">
      <w:pPr>
        <w:pStyle w:val="Caption"/>
      </w:pPr>
      <w:r w:rsidRPr="008C4020">
        <w:t>Number of participants</w:t>
      </w:r>
      <w:bookmarkStart w:id="53" w:name="_Ref160528894"/>
      <w:r w:rsidR="005355AC">
        <w:rPr>
          <w:rFonts w:ascii="ZWAdobeF" w:hAnsi="ZWAdobeF" w:cs="ZWAdobeF"/>
          <w:sz w:val="2"/>
          <w:szCs w:val="2"/>
        </w:rPr>
        <w:t>15F</w:t>
      </w:r>
      <w:r w:rsidR="00076F77" w:rsidRPr="00A74B5B">
        <w:rPr>
          <w:rStyle w:val="SuperscriptChar"/>
        </w:rPr>
        <w:footnoteReference w:id="16"/>
      </w:r>
      <w:bookmarkEnd w:id="53"/>
      <w:r w:rsidR="00076F77" w:rsidRPr="008C4020">
        <w:t xml:space="preserve"> </w:t>
      </w:r>
      <w:r w:rsidRPr="008C4020">
        <w:t>aged 25–74 years with a high-grade abnormality detected on histology in a calendar year per 1,000 participants screened.</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81"/>
        <w:gridCol w:w="764"/>
        <w:gridCol w:w="3465"/>
        <w:gridCol w:w="2173"/>
        <w:gridCol w:w="1609"/>
      </w:tblGrid>
      <w:tr w:rsidR="00197EA3" w:rsidRPr="00D070E3" w14:paraId="17FC0EA5"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016E0107" w14:textId="77777777" w:rsidR="00197EA3" w:rsidRPr="00D070E3" w:rsidRDefault="00197EA3" w:rsidP="00034EAE">
            <w:pPr>
              <w:pStyle w:val="Tableheaderrowblack"/>
              <w:rPr>
                <w:b/>
              </w:rPr>
            </w:pPr>
            <w:r w:rsidRPr="00D070E3">
              <w:t>Indicator components</w:t>
            </w:r>
          </w:p>
        </w:tc>
        <w:tc>
          <w:tcPr>
            <w:tcW w:w="0" w:type="auto"/>
            <w:vAlign w:val="top"/>
          </w:tcPr>
          <w:p w14:paraId="742A0B1C" w14:textId="77777777" w:rsidR="00197EA3" w:rsidRPr="00D070E3" w:rsidRDefault="00197EA3" w:rsidP="00034EAE">
            <w:pPr>
              <w:pStyle w:val="Tableheaderrowblack"/>
              <w:rPr>
                <w:b/>
              </w:rPr>
            </w:pPr>
            <w:r w:rsidRPr="00D070E3">
              <w:t>Source</w:t>
            </w:r>
          </w:p>
        </w:tc>
        <w:tc>
          <w:tcPr>
            <w:tcW w:w="0" w:type="auto"/>
            <w:vAlign w:val="top"/>
          </w:tcPr>
          <w:p w14:paraId="0BF91967" w14:textId="77777777" w:rsidR="00197EA3" w:rsidRPr="00D070E3" w:rsidRDefault="00197EA3" w:rsidP="00034EAE">
            <w:pPr>
              <w:pStyle w:val="Tableheaderrowblack"/>
              <w:rPr>
                <w:b/>
              </w:rPr>
            </w:pPr>
            <w:r w:rsidRPr="00D070E3">
              <w:t>Description</w:t>
            </w:r>
          </w:p>
        </w:tc>
        <w:tc>
          <w:tcPr>
            <w:tcW w:w="0" w:type="auto"/>
            <w:vAlign w:val="top"/>
          </w:tcPr>
          <w:p w14:paraId="6E50368B" w14:textId="67160686" w:rsidR="00197EA3" w:rsidRPr="00D070E3" w:rsidRDefault="00197EA3" w:rsidP="00034EAE">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16496032" w14:textId="2ACFE080" w:rsidR="00197EA3" w:rsidRPr="00D070E3" w:rsidRDefault="00197EA3" w:rsidP="00034EAE">
            <w:pPr>
              <w:pStyle w:val="Tableheaderrowblack"/>
              <w:rPr>
                <w:b/>
              </w:rPr>
            </w:pPr>
            <w:r w:rsidRPr="00D070E3">
              <w:t>Availability of data for reporting</w:t>
            </w:r>
          </w:p>
        </w:tc>
      </w:tr>
      <w:tr w:rsidR="00197EA3" w:rsidRPr="00D070E3" w14:paraId="70BEDB07"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BCA976C" w14:textId="77777777" w:rsidR="00197EA3" w:rsidRPr="00CA76F2" w:rsidRDefault="00197EA3"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61FEF03" w14:textId="40A742E5" w:rsidR="00197EA3" w:rsidRPr="00D070E3" w:rsidRDefault="00197EA3" w:rsidP="00034EAE">
            <w:pPr>
              <w:pStyle w:val="Tabletext"/>
              <w:rPr>
                <w:rFonts w:cs="Arial"/>
              </w:rPr>
            </w:pPr>
            <w:r w:rsidRPr="00D070E3">
              <w:rPr>
                <w:rFonts w:cs="Arial"/>
              </w:rPr>
              <w:t>NCSR</w:t>
            </w:r>
            <w:bookmarkStart w:id="54" w:name="_Ref160528883"/>
            <w:r w:rsidR="005355AC">
              <w:rPr>
                <w:rFonts w:ascii="ZWAdobeF" w:hAnsi="ZWAdobeF" w:cs="ZWAdobeF"/>
                <w:color w:val="auto"/>
                <w:sz w:val="2"/>
                <w:szCs w:val="2"/>
              </w:rPr>
              <w:t>16F</w:t>
            </w:r>
            <w:r w:rsidR="00076F77">
              <w:rPr>
                <w:rStyle w:val="FootnoteReference"/>
                <w:rFonts w:cs="Arial"/>
              </w:rPr>
              <w:footnoteReference w:id="17"/>
            </w:r>
            <w:bookmarkEnd w:id="54"/>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2212BB1" w14:textId="3976F1A8" w:rsidR="00197EA3" w:rsidRPr="00D070E3" w:rsidRDefault="00197EA3" w:rsidP="00034EAE">
            <w:pPr>
              <w:pStyle w:val="Tabletext"/>
              <w:rPr>
                <w:rFonts w:cs="Arial"/>
              </w:rPr>
            </w:pPr>
            <w:r w:rsidRPr="4CDBB324">
              <w:rPr>
                <w:rFonts w:cs="Arial"/>
              </w:rPr>
              <w:t>Number of participants</w:t>
            </w:r>
            <w:r w:rsidR="0047786C">
              <w:rPr>
                <w:rFonts w:cs="Arial"/>
              </w:rPr>
              <w:fldChar w:fldCharType="begin"/>
            </w:r>
            <w:r w:rsidR="0047786C">
              <w:rPr>
                <w:rFonts w:cs="Arial"/>
              </w:rPr>
              <w:instrText xml:space="preserve"> NOTEREF _Ref160528894 \f \h </w:instrText>
            </w:r>
            <w:r w:rsidR="00CA76F2">
              <w:rPr>
                <w:rFonts w:cs="Arial"/>
              </w:rPr>
              <w:instrText xml:space="preserve"> \* MERGEFORMAT </w:instrText>
            </w:r>
            <w:r w:rsidR="0047786C">
              <w:rPr>
                <w:rFonts w:cs="Arial"/>
              </w:rPr>
            </w:r>
            <w:r w:rsidR="0047786C">
              <w:rPr>
                <w:rFonts w:cs="Arial"/>
              </w:rPr>
              <w:fldChar w:fldCharType="separate"/>
            </w:r>
            <w:r w:rsidR="0047786C" w:rsidRPr="0047786C">
              <w:rPr>
                <w:rStyle w:val="FootnoteReference"/>
              </w:rPr>
              <w:t>18</w:t>
            </w:r>
            <w:r w:rsidR="0047786C">
              <w:rPr>
                <w:rFonts w:cs="Arial"/>
              </w:rPr>
              <w:fldChar w:fldCharType="end"/>
            </w:r>
            <w:r w:rsidRPr="4CDBB324">
              <w:rPr>
                <w:rFonts w:cs="Arial"/>
              </w:rPr>
              <w:t xml:space="preserve"> aged 25–74</w:t>
            </w:r>
            <w:r>
              <w:rPr>
                <w:rFonts w:cs="Arial"/>
              </w:rPr>
              <w:t xml:space="preserve"> years</w:t>
            </w:r>
            <w:r w:rsidRPr="4CDBB324">
              <w:rPr>
                <w:rFonts w:cs="Arial"/>
              </w:rPr>
              <w:t xml:space="preserve"> with a high-grade abnormality detected on histology in a calendar year</w:t>
            </w:r>
            <w:r>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D960AD3" w14:textId="77777777" w:rsidR="00197EA3" w:rsidRPr="00CD10C1" w:rsidRDefault="00197EA3" w:rsidP="00034EAE">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002A45A7" w14:textId="77777777" w:rsidR="00197EA3" w:rsidRPr="00CD10C1" w:rsidRDefault="00197EA3" w:rsidP="00034EAE">
            <w:pPr>
              <w:pStyle w:val="Tabletext"/>
            </w:pPr>
            <w:r w:rsidRPr="00CD10C1">
              <w:t xml:space="preserve">Annually </w:t>
            </w:r>
          </w:p>
        </w:tc>
      </w:tr>
      <w:tr w:rsidR="00197EA3" w:rsidRPr="00D070E3" w14:paraId="1F8CA1F4" w14:textId="77777777" w:rsidTr="00034EAE">
        <w:trPr>
          <w:jc w:val="center"/>
        </w:trPr>
        <w:tc>
          <w:tcPr>
            <w:tcW w:w="0" w:type="auto"/>
            <w:vAlign w:val="top"/>
          </w:tcPr>
          <w:p w14:paraId="64E580B2" w14:textId="77777777" w:rsidR="00197EA3" w:rsidRPr="00CA76F2" w:rsidRDefault="00197EA3" w:rsidP="00034EAE">
            <w:pPr>
              <w:pStyle w:val="Tabletext"/>
            </w:pPr>
            <w:r w:rsidRPr="00CA76F2">
              <w:t>Denominator</w:t>
            </w:r>
          </w:p>
        </w:tc>
        <w:tc>
          <w:tcPr>
            <w:tcW w:w="0" w:type="auto"/>
            <w:vAlign w:val="top"/>
          </w:tcPr>
          <w:p w14:paraId="53871D21" w14:textId="4F382E95" w:rsidR="00197EA3" w:rsidRPr="001C15A5" w:rsidRDefault="00197EA3" w:rsidP="00034EAE">
            <w:pPr>
              <w:pStyle w:val="Tabletext"/>
              <w:rPr>
                <w:rFonts w:cs="Arial"/>
                <w:vertAlign w:val="superscript"/>
              </w:rPr>
            </w:pPr>
            <w:r w:rsidRPr="00D070E3">
              <w:rPr>
                <w:rFonts w:cs="Arial"/>
              </w:rPr>
              <w:t>NCSR</w:t>
            </w:r>
            <w:r w:rsidR="006401ED">
              <w:rPr>
                <w:rFonts w:cs="Arial"/>
              </w:rPr>
              <w:fldChar w:fldCharType="begin"/>
            </w:r>
            <w:r w:rsidR="006401ED">
              <w:rPr>
                <w:rFonts w:cs="Arial"/>
              </w:rPr>
              <w:instrText xml:space="preserve"> NOTEREF _Ref160528883 \f \h </w:instrText>
            </w:r>
            <w:r w:rsidR="00034EAE">
              <w:rPr>
                <w:rFonts w:cs="Arial"/>
              </w:rPr>
              <w:instrText xml:space="preserve"> \* MERGEFORMAT </w:instrText>
            </w:r>
            <w:r w:rsidR="006401ED">
              <w:rPr>
                <w:rFonts w:cs="Arial"/>
              </w:rPr>
            </w:r>
            <w:r w:rsidR="006401ED">
              <w:rPr>
                <w:rFonts w:cs="Arial"/>
              </w:rPr>
              <w:fldChar w:fldCharType="separate"/>
            </w:r>
            <w:r w:rsidR="006401ED" w:rsidRPr="006401ED">
              <w:rPr>
                <w:rStyle w:val="FootnoteReference"/>
              </w:rPr>
              <w:t>17</w:t>
            </w:r>
            <w:r w:rsidR="006401ED">
              <w:rPr>
                <w:rFonts w:cs="Arial"/>
              </w:rPr>
              <w:fldChar w:fldCharType="end"/>
            </w:r>
            <w:r w:rsidR="00076F77">
              <w:rPr>
                <w:rFonts w:cs="Arial"/>
                <w:vertAlign w:val="superscript"/>
              </w:rPr>
              <w:fldChar w:fldCharType="begin"/>
            </w:r>
            <w:r w:rsidR="00076F77">
              <w:rPr>
                <w:rFonts w:cs="Arial"/>
              </w:rPr>
              <w:instrText xml:space="preserve"> NOTEREF _Ref160528883 \f \h </w:instrText>
            </w:r>
            <w:r w:rsidR="00CA76F2">
              <w:rPr>
                <w:rFonts w:cs="Arial"/>
                <w:vertAlign w:val="superscript"/>
              </w:rPr>
              <w:instrText xml:space="preserve"> \* MERGEFORMAT </w:instrText>
            </w:r>
            <w:r w:rsidR="00076F77">
              <w:rPr>
                <w:rFonts w:cs="Arial"/>
                <w:vertAlign w:val="superscript"/>
              </w:rPr>
            </w:r>
            <w:r w:rsidR="00076F77">
              <w:rPr>
                <w:rFonts w:cs="Arial"/>
                <w:vertAlign w:val="superscript"/>
              </w:rPr>
              <w:fldChar w:fldCharType="separate"/>
            </w:r>
            <w:r w:rsidR="00076F77">
              <w:rPr>
                <w:rFonts w:cs="Arial"/>
                <w:vertAlign w:val="superscript"/>
              </w:rPr>
              <w:fldChar w:fldCharType="end"/>
            </w:r>
          </w:p>
        </w:tc>
        <w:tc>
          <w:tcPr>
            <w:tcW w:w="0" w:type="auto"/>
            <w:vAlign w:val="top"/>
          </w:tcPr>
          <w:p w14:paraId="01756D7C" w14:textId="5860F8A2" w:rsidR="00197EA3" w:rsidRPr="00D070E3" w:rsidRDefault="00197EA3" w:rsidP="00034EAE">
            <w:pPr>
              <w:pStyle w:val="Tabletext"/>
              <w:rPr>
                <w:rFonts w:cs="Arial"/>
              </w:rPr>
            </w:pPr>
            <w:r w:rsidRPr="4CDBB324">
              <w:rPr>
                <w:rFonts w:cs="Arial"/>
              </w:rPr>
              <w:t>Number of participants</w:t>
            </w:r>
            <w:r w:rsidR="0047786C">
              <w:rPr>
                <w:rFonts w:cs="Arial"/>
              </w:rPr>
              <w:fldChar w:fldCharType="begin"/>
            </w:r>
            <w:r w:rsidR="0047786C">
              <w:rPr>
                <w:rFonts w:cs="Arial"/>
              </w:rPr>
              <w:instrText xml:space="preserve"> NOTEREF _Ref160528894 \f \h </w:instrText>
            </w:r>
            <w:r w:rsidR="00CA76F2">
              <w:rPr>
                <w:rFonts w:cs="Arial"/>
              </w:rPr>
              <w:instrText xml:space="preserve"> \* MERGEFORMAT </w:instrText>
            </w:r>
            <w:r w:rsidR="0047786C">
              <w:rPr>
                <w:rFonts w:cs="Arial"/>
              </w:rPr>
            </w:r>
            <w:r w:rsidR="0047786C">
              <w:rPr>
                <w:rFonts w:cs="Arial"/>
              </w:rPr>
              <w:fldChar w:fldCharType="separate"/>
            </w:r>
            <w:r w:rsidR="0047786C" w:rsidRPr="0047786C">
              <w:rPr>
                <w:rStyle w:val="FootnoteReference"/>
              </w:rPr>
              <w:t>18</w:t>
            </w:r>
            <w:r w:rsidR="0047786C">
              <w:rPr>
                <w:rFonts w:cs="Arial"/>
              </w:rPr>
              <w:fldChar w:fldCharType="end"/>
            </w:r>
            <w:r w:rsidRPr="4CDBB324">
              <w:rPr>
                <w:rFonts w:cs="Arial"/>
              </w:rPr>
              <w:t xml:space="preserve"> aged 25–74</w:t>
            </w:r>
            <w:r>
              <w:rPr>
                <w:rFonts w:cs="Arial"/>
              </w:rPr>
              <w:t xml:space="preserve"> years</w:t>
            </w:r>
            <w:r w:rsidRPr="4CDBB324">
              <w:rPr>
                <w:rFonts w:cs="Arial"/>
              </w:rPr>
              <w:t xml:space="preserve"> screened in a calendar year</w:t>
            </w:r>
            <w:r>
              <w:rPr>
                <w:rFonts w:cs="Arial"/>
              </w:rPr>
              <w:t>.</w:t>
            </w:r>
          </w:p>
        </w:tc>
        <w:tc>
          <w:tcPr>
            <w:tcW w:w="0" w:type="auto"/>
            <w:vAlign w:val="top"/>
          </w:tcPr>
          <w:p w14:paraId="10F5D024" w14:textId="77777777" w:rsidR="00197EA3" w:rsidRPr="00CD10C1" w:rsidRDefault="00197EA3" w:rsidP="00034EAE">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13EC15B" w14:textId="77777777" w:rsidR="00197EA3" w:rsidRPr="00CD10C1" w:rsidRDefault="00197EA3" w:rsidP="00034EAE">
            <w:pPr>
              <w:pStyle w:val="Tabletext"/>
            </w:pPr>
            <w:r w:rsidRPr="00CD10C1">
              <w:t xml:space="preserve">Annually </w:t>
            </w:r>
          </w:p>
        </w:tc>
      </w:tr>
    </w:tbl>
    <w:p w14:paraId="0A7CE80C" w14:textId="41E1F277" w:rsidR="00076F77" w:rsidRPr="008C4020" w:rsidRDefault="00076F77" w:rsidP="00034EAE">
      <w:pPr>
        <w:pStyle w:val="Caption"/>
        <w:spacing w:before="240"/>
      </w:pPr>
      <w:r w:rsidRPr="008C4020">
        <w:t>Number of Aboriginal and Torres Strait Islander participants</w:t>
      </w:r>
      <w:bookmarkStart w:id="55" w:name="_Ref152235818"/>
      <w:r w:rsidR="0047786C" w:rsidRPr="008C4020">
        <w:fldChar w:fldCharType="begin"/>
      </w:r>
      <w:r w:rsidR="0047786C" w:rsidRPr="008C4020">
        <w:instrText xml:space="preserve"> NOTEREF _Ref160528894 \f \h </w:instrText>
      </w:r>
      <w:r w:rsidR="00CD10C1" w:rsidRPr="008C4020">
        <w:instrText xml:space="preserve"> \* MERGEFORMAT </w:instrText>
      </w:r>
      <w:r w:rsidR="0047786C" w:rsidRPr="008C4020">
        <w:fldChar w:fldCharType="separate"/>
      </w:r>
      <w:r w:rsidR="0047786C" w:rsidRPr="008C4020">
        <w:t>18</w:t>
      </w:r>
      <w:r w:rsidR="0047786C" w:rsidRPr="008C4020">
        <w:fldChar w:fldCharType="end"/>
      </w:r>
      <w:bookmarkEnd w:id="55"/>
      <w:r w:rsidRPr="008C4020">
        <w:t xml:space="preserve"> aged 25–74 years with a high-grade abnormality detected on histology in a calendar year per 1,000 Aboriginal and Torres Strait Islander participants screened.</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38"/>
        <w:gridCol w:w="754"/>
        <w:gridCol w:w="3616"/>
        <w:gridCol w:w="2173"/>
        <w:gridCol w:w="1511"/>
      </w:tblGrid>
      <w:tr w:rsidR="00076F77" w:rsidRPr="00DB1428" w14:paraId="1F3EF8E4"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74DEC2BD" w14:textId="77777777" w:rsidR="00076F77" w:rsidRPr="00704405" w:rsidRDefault="00076F77" w:rsidP="00034EAE">
            <w:pPr>
              <w:pStyle w:val="Tableheaderrowblack"/>
              <w:rPr>
                <w:b/>
              </w:rPr>
            </w:pPr>
            <w:r w:rsidRPr="00704405">
              <w:t>Indicator components</w:t>
            </w:r>
          </w:p>
        </w:tc>
        <w:tc>
          <w:tcPr>
            <w:tcW w:w="0" w:type="auto"/>
            <w:vAlign w:val="top"/>
          </w:tcPr>
          <w:p w14:paraId="20E1B736" w14:textId="77777777" w:rsidR="00076F77" w:rsidRPr="00704405" w:rsidRDefault="00076F77" w:rsidP="00034EAE">
            <w:pPr>
              <w:pStyle w:val="Tableheaderrowblack"/>
              <w:rPr>
                <w:b/>
              </w:rPr>
            </w:pPr>
            <w:r w:rsidRPr="00704405">
              <w:t>Source</w:t>
            </w:r>
          </w:p>
        </w:tc>
        <w:tc>
          <w:tcPr>
            <w:tcW w:w="0" w:type="auto"/>
            <w:vAlign w:val="top"/>
          </w:tcPr>
          <w:p w14:paraId="0E3E517C" w14:textId="77777777" w:rsidR="00076F77" w:rsidRPr="00704405" w:rsidRDefault="00076F77" w:rsidP="00034EAE">
            <w:pPr>
              <w:pStyle w:val="Tableheaderrowblack"/>
              <w:rPr>
                <w:b/>
              </w:rPr>
            </w:pPr>
            <w:r w:rsidRPr="00704405">
              <w:t>Description</w:t>
            </w:r>
          </w:p>
        </w:tc>
        <w:tc>
          <w:tcPr>
            <w:tcW w:w="0" w:type="auto"/>
            <w:vAlign w:val="top"/>
          </w:tcPr>
          <w:p w14:paraId="07C8C4BD" w14:textId="632CA569" w:rsidR="00076F77" w:rsidRPr="00704405" w:rsidRDefault="00076F77" w:rsidP="00034EAE">
            <w:pPr>
              <w:pStyle w:val="Tableheaderrowblack"/>
              <w:rPr>
                <w:b/>
              </w:rPr>
            </w:pPr>
            <w:r w:rsidRPr="00704405">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C302D19" w14:textId="7D9CD3DE" w:rsidR="00076F77" w:rsidRPr="00704405" w:rsidRDefault="00076F77" w:rsidP="00034EAE">
            <w:pPr>
              <w:pStyle w:val="Tableheaderrowblack"/>
              <w:rPr>
                <w:b/>
              </w:rPr>
            </w:pPr>
            <w:r w:rsidRPr="00704405">
              <w:t>Availability of data</w:t>
            </w:r>
            <w:r w:rsidR="00CD10C1">
              <w:t xml:space="preserve"> </w:t>
            </w:r>
            <w:r w:rsidRPr="00704405">
              <w:t>for reporting</w:t>
            </w:r>
          </w:p>
        </w:tc>
      </w:tr>
      <w:tr w:rsidR="00076F77" w:rsidRPr="00DB1428" w14:paraId="556602DE"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DDF1061" w14:textId="77777777" w:rsidR="00076F77" w:rsidRPr="00CA76F2" w:rsidRDefault="00076F77"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1843302" w14:textId="28D2E3CC" w:rsidR="00076F77" w:rsidRPr="00704405" w:rsidRDefault="00076F77" w:rsidP="00034EAE">
            <w:pPr>
              <w:pStyle w:val="Tabletext"/>
              <w:rPr>
                <w:rFonts w:cs="Arial"/>
              </w:rPr>
            </w:pPr>
            <w:r w:rsidRPr="00704405">
              <w:rPr>
                <w:rFonts w:cs="Arial"/>
              </w:rPr>
              <w:t>NCS</w:t>
            </w:r>
            <w:r w:rsidR="006401ED">
              <w:rPr>
                <w:rFonts w:cs="Arial"/>
              </w:rPr>
              <w:t>R</w:t>
            </w:r>
            <w:r w:rsidR="006401ED">
              <w:rPr>
                <w:rFonts w:cs="Arial"/>
              </w:rPr>
              <w:fldChar w:fldCharType="begin"/>
            </w:r>
            <w:r w:rsidR="006401ED">
              <w:rPr>
                <w:rFonts w:cs="Arial"/>
              </w:rPr>
              <w:instrText xml:space="preserve"> NOTEREF _Ref160528883 \f \h </w:instrText>
            </w:r>
            <w:r w:rsidR="00034EAE">
              <w:rPr>
                <w:rFonts w:cs="Arial"/>
              </w:rPr>
              <w:instrText xml:space="preserve"> \* MERGEFORMAT </w:instrText>
            </w:r>
            <w:r w:rsidR="006401ED">
              <w:rPr>
                <w:rFonts w:cs="Arial"/>
              </w:rPr>
            </w:r>
            <w:r w:rsidR="006401ED">
              <w:rPr>
                <w:rFonts w:cs="Arial"/>
              </w:rPr>
              <w:fldChar w:fldCharType="separate"/>
            </w:r>
            <w:r w:rsidR="006401ED" w:rsidRPr="006401ED">
              <w:rPr>
                <w:rStyle w:val="FootnoteReference"/>
              </w:rPr>
              <w:t>17</w:t>
            </w:r>
            <w:r w:rsidR="006401ED">
              <w:rPr>
                <w:rFonts w:cs="Arial"/>
              </w:rPr>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7A57811" w14:textId="77777777" w:rsidR="00076F77" w:rsidRPr="00704405" w:rsidRDefault="00076F77" w:rsidP="00034EAE">
            <w:pPr>
              <w:pStyle w:val="Tabletext"/>
              <w:rPr>
                <w:rFonts w:cs="Arial"/>
              </w:rPr>
            </w:pPr>
            <w:r w:rsidRPr="00704405">
              <w:rPr>
                <w:rFonts w:cs="Arial"/>
              </w:rPr>
              <w:t>Number of Aboriginal and Torres Strait Islander participants</w:t>
            </w:r>
            <w:r w:rsidRPr="00CC2BE8">
              <w:rPr>
                <w:rFonts w:cs="Arial"/>
              </w:rPr>
              <w:fldChar w:fldCharType="begin"/>
            </w:r>
            <w:r w:rsidRPr="00CC2BE8">
              <w:rPr>
                <w:rFonts w:cs="Arial"/>
              </w:rPr>
              <w:instrText xml:space="preserve"> NOTEREF _Ref152235818 \f \h  \* MERGEFORMAT </w:instrText>
            </w:r>
            <w:r w:rsidRPr="00CC2BE8">
              <w:rPr>
                <w:rFonts w:cs="Arial"/>
              </w:rPr>
            </w:r>
            <w:r w:rsidRPr="00CC2BE8">
              <w:rPr>
                <w:rFonts w:cs="Arial"/>
              </w:rPr>
              <w:fldChar w:fldCharType="separate"/>
            </w:r>
            <w:r w:rsidRPr="00CC2BE8">
              <w:rPr>
                <w:rStyle w:val="FootnoteReference"/>
                <w:rFonts w:eastAsiaTheme="minorEastAsia" w:cs="Arial"/>
              </w:rPr>
              <w:t>18</w:t>
            </w:r>
            <w:r w:rsidRPr="00CC2BE8">
              <w:rPr>
                <w:rFonts w:cs="Arial"/>
              </w:rPr>
              <w:fldChar w:fldCharType="end"/>
            </w:r>
            <w:r w:rsidRPr="00704405">
              <w:rPr>
                <w:rFonts w:cs="Arial"/>
              </w:rPr>
              <w:t xml:space="preserve"> aged 25</w:t>
            </w:r>
            <w:r w:rsidRPr="00157D52">
              <w:rPr>
                <w:rFonts w:cs="Arial"/>
              </w:rPr>
              <w:t>–</w:t>
            </w:r>
            <w:r w:rsidRPr="00704405">
              <w:rPr>
                <w:rFonts w:cs="Arial"/>
              </w:rPr>
              <w:t>74</w:t>
            </w:r>
            <w:r>
              <w:rPr>
                <w:rFonts w:cs="Arial"/>
              </w:rPr>
              <w:t xml:space="preserve"> years</w:t>
            </w:r>
            <w:r w:rsidRPr="00704405">
              <w:rPr>
                <w:rFonts w:cs="Arial"/>
              </w:rPr>
              <w:t xml:space="preserve"> with a high-grade abnormality detected on histology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1FC01B0" w14:textId="77777777" w:rsidR="00076F77" w:rsidRPr="005B452C" w:rsidRDefault="00076F77" w:rsidP="00034EAE">
            <w:pPr>
              <w:pStyle w:val="Tabletext"/>
            </w:pPr>
            <w:r w:rsidRPr="005B452C">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BD99641" w14:textId="77777777" w:rsidR="00076F77" w:rsidRPr="00CD10C1" w:rsidRDefault="00076F77" w:rsidP="00034EAE">
            <w:pPr>
              <w:pStyle w:val="Tabletext"/>
            </w:pPr>
            <w:r w:rsidRPr="00CD10C1">
              <w:t xml:space="preserve">Annually </w:t>
            </w:r>
          </w:p>
        </w:tc>
      </w:tr>
      <w:tr w:rsidR="00076F77" w:rsidRPr="00D070E3" w14:paraId="4D633A45" w14:textId="77777777" w:rsidTr="00034EAE">
        <w:trPr>
          <w:jc w:val="center"/>
        </w:trPr>
        <w:tc>
          <w:tcPr>
            <w:tcW w:w="0" w:type="auto"/>
            <w:vAlign w:val="top"/>
          </w:tcPr>
          <w:p w14:paraId="4588F4E3" w14:textId="77777777" w:rsidR="00076F77" w:rsidRPr="00CA76F2" w:rsidRDefault="00076F77" w:rsidP="00034EAE">
            <w:pPr>
              <w:pStyle w:val="Tabletext"/>
            </w:pPr>
            <w:r w:rsidRPr="00CA76F2">
              <w:t>Denominator</w:t>
            </w:r>
          </w:p>
        </w:tc>
        <w:tc>
          <w:tcPr>
            <w:tcW w:w="0" w:type="auto"/>
            <w:vAlign w:val="top"/>
          </w:tcPr>
          <w:p w14:paraId="32277412" w14:textId="3D79C7AD" w:rsidR="00076F77" w:rsidRPr="003722C4" w:rsidRDefault="00076F77" w:rsidP="00034EAE">
            <w:pPr>
              <w:pStyle w:val="Tabletext"/>
              <w:rPr>
                <w:rFonts w:cs="Arial"/>
                <w:vertAlign w:val="superscript"/>
              </w:rPr>
            </w:pPr>
            <w:r w:rsidRPr="00704405">
              <w:rPr>
                <w:rFonts w:cs="Arial"/>
              </w:rPr>
              <w:t>NCS</w:t>
            </w:r>
            <w:r w:rsidR="006401ED">
              <w:rPr>
                <w:rFonts w:cs="Arial"/>
              </w:rPr>
              <w:t>R</w:t>
            </w:r>
            <w:r w:rsidR="006401ED">
              <w:rPr>
                <w:rFonts w:cs="Arial"/>
              </w:rPr>
              <w:fldChar w:fldCharType="begin"/>
            </w:r>
            <w:r w:rsidR="006401ED">
              <w:rPr>
                <w:rFonts w:cs="Arial"/>
              </w:rPr>
              <w:instrText xml:space="preserve"> NOTEREF _Ref160528883 \f \h </w:instrText>
            </w:r>
            <w:r w:rsidR="00034EAE">
              <w:rPr>
                <w:rFonts w:cs="Arial"/>
              </w:rPr>
              <w:instrText xml:space="preserve"> \* MERGEFORMAT </w:instrText>
            </w:r>
            <w:r w:rsidR="006401ED">
              <w:rPr>
                <w:rFonts w:cs="Arial"/>
              </w:rPr>
            </w:r>
            <w:r w:rsidR="006401ED">
              <w:rPr>
                <w:rFonts w:cs="Arial"/>
              </w:rPr>
              <w:fldChar w:fldCharType="separate"/>
            </w:r>
            <w:r w:rsidR="006401ED" w:rsidRPr="006401ED">
              <w:rPr>
                <w:rStyle w:val="FootnoteReference"/>
              </w:rPr>
              <w:t>17</w:t>
            </w:r>
            <w:r w:rsidR="006401ED">
              <w:rPr>
                <w:rFonts w:cs="Arial"/>
              </w:rPr>
              <w:fldChar w:fldCharType="end"/>
            </w:r>
          </w:p>
        </w:tc>
        <w:tc>
          <w:tcPr>
            <w:tcW w:w="0" w:type="auto"/>
            <w:vAlign w:val="top"/>
          </w:tcPr>
          <w:p w14:paraId="2E9C9495" w14:textId="77777777" w:rsidR="00076F77" w:rsidRPr="00704405" w:rsidRDefault="00076F77" w:rsidP="00034EAE">
            <w:pPr>
              <w:pStyle w:val="Tabletext"/>
              <w:rPr>
                <w:rFonts w:cs="Arial"/>
              </w:rPr>
            </w:pPr>
            <w:r w:rsidRPr="00704405">
              <w:rPr>
                <w:rFonts w:cs="Arial"/>
              </w:rPr>
              <w:t>Number of Aboriginal and Torres Strait Islander participants</w:t>
            </w:r>
            <w:r w:rsidRPr="00CC2BE8">
              <w:rPr>
                <w:rFonts w:cs="Arial"/>
              </w:rPr>
              <w:fldChar w:fldCharType="begin"/>
            </w:r>
            <w:r w:rsidRPr="00CC2BE8">
              <w:rPr>
                <w:rFonts w:cs="Arial"/>
              </w:rPr>
              <w:instrText xml:space="preserve"> NOTEREF _Ref152235818 \f \h  \* MERGEFORMAT </w:instrText>
            </w:r>
            <w:r w:rsidRPr="00CC2BE8">
              <w:rPr>
                <w:rFonts w:cs="Arial"/>
              </w:rPr>
            </w:r>
            <w:r w:rsidRPr="00CC2BE8">
              <w:rPr>
                <w:rFonts w:cs="Arial"/>
              </w:rPr>
              <w:fldChar w:fldCharType="separate"/>
            </w:r>
            <w:r w:rsidRPr="00CC2BE8">
              <w:rPr>
                <w:rStyle w:val="FootnoteReference"/>
                <w:rFonts w:eastAsiaTheme="minorEastAsia" w:cs="Arial"/>
              </w:rPr>
              <w:t>18</w:t>
            </w:r>
            <w:r w:rsidRPr="00CC2BE8">
              <w:rPr>
                <w:rFonts w:cs="Arial"/>
              </w:rPr>
              <w:fldChar w:fldCharType="end"/>
            </w:r>
            <w:r w:rsidRPr="00704405">
              <w:rPr>
                <w:rFonts w:cs="Arial"/>
              </w:rPr>
              <w:t xml:space="preserve"> aged 25</w:t>
            </w:r>
            <w:r w:rsidRPr="00157D52">
              <w:rPr>
                <w:rFonts w:cs="Arial"/>
              </w:rPr>
              <w:t>–</w:t>
            </w:r>
            <w:r w:rsidRPr="00704405">
              <w:rPr>
                <w:rFonts w:cs="Arial"/>
              </w:rPr>
              <w:t xml:space="preserve">74 </w:t>
            </w:r>
            <w:r>
              <w:rPr>
                <w:rFonts w:cs="Arial"/>
              </w:rPr>
              <w:t xml:space="preserve">years </w:t>
            </w:r>
            <w:r w:rsidRPr="00704405">
              <w:rPr>
                <w:rFonts w:cs="Arial"/>
              </w:rPr>
              <w:t>screened in a calendar year.</w:t>
            </w:r>
          </w:p>
        </w:tc>
        <w:tc>
          <w:tcPr>
            <w:tcW w:w="0" w:type="auto"/>
            <w:vAlign w:val="top"/>
          </w:tcPr>
          <w:p w14:paraId="47FCDAE4" w14:textId="77777777" w:rsidR="00076F77" w:rsidRPr="005B452C" w:rsidRDefault="00076F77" w:rsidP="00034EAE">
            <w:pPr>
              <w:pStyle w:val="Tabletext"/>
            </w:pPr>
            <w:r w:rsidRPr="005B452C">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A663099" w14:textId="77777777" w:rsidR="00076F77" w:rsidRPr="00CD10C1" w:rsidRDefault="00076F77" w:rsidP="00034EAE">
            <w:pPr>
              <w:pStyle w:val="Tabletext"/>
            </w:pPr>
            <w:r w:rsidRPr="00CD10C1">
              <w:t xml:space="preserve">Annually </w:t>
            </w:r>
          </w:p>
        </w:tc>
      </w:tr>
    </w:tbl>
    <w:p w14:paraId="712DE05C" w14:textId="5E4C922B" w:rsidR="00197EA3" w:rsidRPr="00A74B5B" w:rsidRDefault="00610C6B" w:rsidP="00E9658C">
      <w:pPr>
        <w:pStyle w:val="Heading2Numbering"/>
      </w:pPr>
      <w:bookmarkStart w:id="56" w:name="_3.4._Monitor_the"/>
      <w:bookmarkStart w:id="57" w:name="_Toc232507543"/>
      <w:bookmarkEnd w:id="56"/>
      <w:r w:rsidRPr="00A74B5B">
        <w:lastRenderedPageBreak/>
        <w:t>Monitor the distribution of HPV genotypes detected in high-grade cervical lesions</w:t>
      </w:r>
      <w:bookmarkEnd w:id="57"/>
    </w:p>
    <w:p w14:paraId="2A206775" w14:textId="77777777" w:rsidR="00610C6B" w:rsidRDefault="00610C6B" w:rsidP="00034EAE">
      <w:pPr>
        <w:pStyle w:val="Boxgreenheading"/>
      </w:pPr>
      <w:bookmarkStart w:id="58" w:name="_Toc161152113"/>
      <w:r w:rsidRPr="00257D46">
        <w:t>Indicator</w:t>
      </w:r>
      <w:r>
        <w:t>s</w:t>
      </w:r>
      <w:bookmarkEnd w:id="58"/>
    </w:p>
    <w:p w14:paraId="756BA461" w14:textId="77777777" w:rsidR="00610C6B" w:rsidRPr="00610C6B" w:rsidRDefault="00610C6B" w:rsidP="00034EAE">
      <w:pPr>
        <w:pStyle w:val="Boxgreentext"/>
      </w:pPr>
      <w:r w:rsidRPr="00610C6B">
        <w:t>Prevalence of HPV by type in participants where a high-grade abnormality is detected on histology</w:t>
      </w:r>
    </w:p>
    <w:p w14:paraId="1E34A54D" w14:textId="27B32AD1" w:rsidR="00610C6B" w:rsidRPr="007845AC" w:rsidRDefault="00610C6B" w:rsidP="00034EAE">
      <w:pPr>
        <w:pStyle w:val="Boxgreentext"/>
      </w:pPr>
      <w:r w:rsidRPr="00610C6B">
        <w:t>Prevalence of HPV by type in Aboriginal and Torres Strait Islander participants where a high-grade abnormality is detected on histology</w:t>
      </w:r>
    </w:p>
    <w:p w14:paraId="222734EE" w14:textId="77777777" w:rsidR="007845AC" w:rsidRDefault="00610C6B" w:rsidP="00034EAE">
      <w:pPr>
        <w:pStyle w:val="Heading3"/>
      </w:pPr>
      <w:r>
        <w:t>Rationale for surveillance</w:t>
      </w:r>
    </w:p>
    <w:p w14:paraId="705A4FEB" w14:textId="5641244C" w:rsidR="00610C6B" w:rsidRDefault="00610C6B" w:rsidP="007845AC">
      <w:r w:rsidRPr="007845AC">
        <w:rPr>
          <w:szCs w:val="20"/>
        </w:rPr>
        <w:t xml:space="preserve">Genotype specific surveillance is required for monitoring changes in prevalence of vaccine targeted HPV types, non-vaccine types and to detect changes in prevalence consistent with type replacement. Histopathologically confirmed CIN3 lesions are definitively diagnosed lesions with true cancerous potential unlike CIN2 lesions or cytologically predicted high-grade smears. </w:t>
      </w:r>
    </w:p>
    <w:p w14:paraId="4110E84F" w14:textId="77777777" w:rsidR="00610C6B" w:rsidRDefault="00610C6B" w:rsidP="00034EAE">
      <w:pPr>
        <w:pStyle w:val="Heading3"/>
      </w:pPr>
      <w:r>
        <w:t>Data considerations</w:t>
      </w:r>
    </w:p>
    <w:p w14:paraId="62FFE387" w14:textId="70E2695A" w:rsidR="00610C6B" w:rsidRDefault="00610C6B" w:rsidP="00610C6B">
      <w:pPr>
        <w:rPr>
          <w:rFonts w:cs="Arial"/>
          <w:szCs w:val="20"/>
        </w:rPr>
      </w:pPr>
      <w:r w:rsidRPr="002A7ED8">
        <w:rPr>
          <w:rFonts w:cs="Arial"/>
          <w:szCs w:val="20"/>
        </w:rPr>
        <w:t xml:space="preserve">The Plan notes the complexities in attributing and reporting on causative HPV genotypes in high-grade lesions. This indicator is a proxy for definitive genotyping data of high-grade lesions </w:t>
      </w:r>
      <w:proofErr w:type="gramStart"/>
      <w:r w:rsidRPr="002A7ED8">
        <w:rPr>
          <w:rFonts w:cs="Arial"/>
          <w:szCs w:val="20"/>
        </w:rPr>
        <w:t>themselves</w:t>
      </w:r>
      <w:proofErr w:type="gramEnd"/>
      <w:r w:rsidRPr="002A7ED8">
        <w:rPr>
          <w:rFonts w:cs="Arial"/>
          <w:szCs w:val="20"/>
        </w:rPr>
        <w:t xml:space="preserve"> and a validation study should be undertaken to assess the likely extent of correlation between the two methods. Additionally, only </w:t>
      </w:r>
      <w:r>
        <w:rPr>
          <w:rFonts w:cs="Arial"/>
          <w:szCs w:val="20"/>
        </w:rPr>
        <w:t xml:space="preserve">some </w:t>
      </w:r>
      <w:r w:rsidRPr="002A7ED8">
        <w:rPr>
          <w:rFonts w:cs="Arial"/>
          <w:szCs w:val="20"/>
        </w:rPr>
        <w:t>laboratories currently utilise assays that can report to the level of single HPV genotype and these data are not always reported to the NCSR and are not easily extractable for analysis at present.</w:t>
      </w:r>
    </w:p>
    <w:p w14:paraId="628E448E" w14:textId="65A1142D" w:rsidR="00610C6B" w:rsidRPr="002A7ED8" w:rsidRDefault="00610C6B" w:rsidP="00610C6B">
      <w:pPr>
        <w:rPr>
          <w:rFonts w:cs="Arial"/>
          <w:szCs w:val="20"/>
        </w:rPr>
      </w:pPr>
      <w:r>
        <w:rPr>
          <w:rFonts w:cs="Arial"/>
          <w:szCs w:val="20"/>
        </w:rPr>
        <w:t>These indicators should be reported by age group.</w:t>
      </w:r>
    </w:p>
    <w:p w14:paraId="0C470337" w14:textId="1C1A568C" w:rsidR="007845AC" w:rsidRPr="00CA76F2" w:rsidRDefault="00610C6B" w:rsidP="00E5366A">
      <w:pPr>
        <w:rPr>
          <w:rFonts w:cs="Arial"/>
          <w:szCs w:val="20"/>
        </w:rPr>
      </w:pPr>
      <w:r w:rsidRPr="002A7ED8">
        <w:rPr>
          <w:rFonts w:cs="Arial"/>
          <w:szCs w:val="20"/>
        </w:rPr>
        <w:t>HPV vaccination status should be collected and reported against these indicators where available.</w:t>
      </w:r>
    </w:p>
    <w:p w14:paraId="705D4745" w14:textId="77777777" w:rsidR="007845AC" w:rsidRDefault="007845AC" w:rsidP="00034EAE">
      <w:pPr>
        <w:pStyle w:val="Heading3"/>
        <w:pageBreakBefore/>
      </w:pPr>
      <w:r>
        <w:lastRenderedPageBreak/>
        <w:t>Reporting against indicators</w:t>
      </w:r>
    </w:p>
    <w:p w14:paraId="45841575" w14:textId="77777777" w:rsidR="007845AC" w:rsidRPr="008C4020" w:rsidRDefault="007845AC" w:rsidP="008C4020">
      <w:pPr>
        <w:pStyle w:val="Caption"/>
      </w:pPr>
      <w:r w:rsidRPr="008C4020">
        <w:t>Prevalence of HPV by type in participants with histologically proven high grade squamous intraepithelial lesions (HSIL) or adenocarcinoma in situ (AIS)</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00"/>
        <w:gridCol w:w="764"/>
        <w:gridCol w:w="3402"/>
        <w:gridCol w:w="2173"/>
        <w:gridCol w:w="1653"/>
      </w:tblGrid>
      <w:tr w:rsidR="007845AC" w:rsidRPr="00D070E3" w14:paraId="6B27B6FA"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7737F8DA" w14:textId="77777777" w:rsidR="007845AC" w:rsidRPr="00D070E3" w:rsidRDefault="007845AC" w:rsidP="00034EAE">
            <w:pPr>
              <w:pStyle w:val="Tableheaderrowblack"/>
              <w:rPr>
                <w:b/>
              </w:rPr>
            </w:pPr>
            <w:r w:rsidRPr="00D070E3">
              <w:t>Indicator components</w:t>
            </w:r>
          </w:p>
        </w:tc>
        <w:tc>
          <w:tcPr>
            <w:tcW w:w="0" w:type="auto"/>
            <w:vAlign w:val="top"/>
          </w:tcPr>
          <w:p w14:paraId="3952AABF" w14:textId="77777777" w:rsidR="007845AC" w:rsidRPr="00D070E3" w:rsidRDefault="007845AC" w:rsidP="00034EAE">
            <w:pPr>
              <w:pStyle w:val="Tableheaderrowblack"/>
              <w:rPr>
                <w:b/>
              </w:rPr>
            </w:pPr>
            <w:r w:rsidRPr="00D070E3">
              <w:t>Source</w:t>
            </w:r>
          </w:p>
        </w:tc>
        <w:tc>
          <w:tcPr>
            <w:tcW w:w="0" w:type="auto"/>
            <w:vAlign w:val="top"/>
          </w:tcPr>
          <w:p w14:paraId="336D3C6D" w14:textId="77777777" w:rsidR="007845AC" w:rsidRPr="00D070E3" w:rsidRDefault="007845AC" w:rsidP="00034EAE">
            <w:pPr>
              <w:pStyle w:val="Tableheaderrowblack"/>
              <w:rPr>
                <w:b/>
              </w:rPr>
            </w:pPr>
            <w:r w:rsidRPr="00D070E3">
              <w:t>Description</w:t>
            </w:r>
          </w:p>
        </w:tc>
        <w:tc>
          <w:tcPr>
            <w:tcW w:w="0" w:type="auto"/>
            <w:vAlign w:val="top"/>
          </w:tcPr>
          <w:p w14:paraId="00B3EFAD" w14:textId="418A543C" w:rsidR="007845AC" w:rsidRPr="00D070E3" w:rsidRDefault="007845AC" w:rsidP="00034EAE">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11FE7DAB" w14:textId="6BDA86A8" w:rsidR="007845AC" w:rsidRPr="00D070E3" w:rsidRDefault="007845AC" w:rsidP="00034EAE">
            <w:pPr>
              <w:pStyle w:val="Tableheaderrowblack"/>
              <w:rPr>
                <w:b/>
              </w:rPr>
            </w:pPr>
            <w:r w:rsidRPr="00D070E3">
              <w:t>Availability of data for reporting</w:t>
            </w:r>
          </w:p>
        </w:tc>
      </w:tr>
      <w:tr w:rsidR="007845AC" w:rsidRPr="00D070E3" w14:paraId="3AE82900"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DA38074" w14:textId="77777777" w:rsidR="007845AC" w:rsidRPr="00CA76F2" w:rsidRDefault="007845AC"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83CC77" w14:textId="6BBE2E3F" w:rsidR="007845AC" w:rsidRPr="00D070E3" w:rsidRDefault="007845AC" w:rsidP="00034EAE">
            <w:pPr>
              <w:pStyle w:val="Tabletext"/>
              <w:rPr>
                <w:rFonts w:cs="Arial"/>
              </w:rPr>
            </w:pPr>
            <w:r w:rsidRPr="00CA76F2">
              <w:t>NCSR</w:t>
            </w:r>
            <w:bookmarkStart w:id="59" w:name="_Ref173939099"/>
            <w:r w:rsidR="005355AC">
              <w:rPr>
                <w:rFonts w:ascii="ZWAdobeF" w:hAnsi="ZWAdobeF" w:cs="ZWAdobeF"/>
                <w:color w:val="auto"/>
                <w:sz w:val="2"/>
                <w:szCs w:val="2"/>
              </w:rPr>
              <w:t>17F</w:t>
            </w:r>
            <w:r w:rsidR="00AF28A4">
              <w:rPr>
                <w:rStyle w:val="FootnoteReference"/>
              </w:rPr>
              <w:footnoteReference w:id="18"/>
            </w:r>
            <w:bookmarkEnd w:id="59"/>
            <w:r w:rsidR="006401ED">
              <w:fldChar w:fldCharType="begin"/>
            </w:r>
            <w:r w:rsidR="006401ED">
              <w:instrText xml:space="preserve"> NOTEREF _Ref160540757 \f \h </w:instrText>
            </w:r>
            <w:r w:rsidR="00034EAE">
              <w:instrText xml:space="preserve"> \* MERGEFORMAT </w:instrText>
            </w:r>
            <w:r w:rsidR="006401ED">
              <w:fldChar w:fldCharType="separate"/>
            </w:r>
            <w:r w:rsidR="006401ED">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F47C17B" w14:textId="77777777" w:rsidR="007845AC" w:rsidRPr="00D070E3" w:rsidRDefault="007845AC" w:rsidP="00034EAE">
            <w:pPr>
              <w:pStyle w:val="Tabletext"/>
              <w:rPr>
                <w:rFonts w:cs="Arial"/>
              </w:rPr>
            </w:pPr>
            <w:r w:rsidRPr="00D070E3">
              <w:rPr>
                <w:rFonts w:cs="Arial"/>
              </w:rPr>
              <w:t xml:space="preserve">Number of </w:t>
            </w:r>
            <w:r w:rsidRPr="65E77CD2">
              <w:rPr>
                <w:rFonts w:cs="Arial"/>
              </w:rPr>
              <w:t>histologically confirmed</w:t>
            </w:r>
            <w:r w:rsidRPr="00D070E3">
              <w:rPr>
                <w:rFonts w:cs="Arial"/>
              </w:rPr>
              <w:t xml:space="preserve"> CIN III/HSIL</w:t>
            </w:r>
            <w:r w:rsidRPr="65E77CD2">
              <w:rPr>
                <w:rFonts w:cs="Arial"/>
              </w:rPr>
              <w:t>/AIS</w:t>
            </w:r>
            <w:r w:rsidRPr="00D070E3">
              <w:rPr>
                <w:rFonts w:cs="Arial"/>
              </w:rPr>
              <w:t>, by HPV type detected in the primary screening test</w:t>
            </w:r>
            <w:r>
              <w:rPr>
                <w:rFonts w:cs="Arial"/>
              </w:rPr>
              <w: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ED653C4" w14:textId="77777777" w:rsidR="007845AC" w:rsidRPr="00CD10C1" w:rsidRDefault="007845AC" w:rsidP="00034EAE">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F585601" w14:textId="77777777" w:rsidR="007845AC" w:rsidRPr="00CD10C1" w:rsidRDefault="007845AC" w:rsidP="00034EAE">
            <w:pPr>
              <w:pStyle w:val="Tabletext"/>
            </w:pPr>
            <w:r w:rsidRPr="00CD10C1">
              <w:t>Quarterly</w:t>
            </w:r>
          </w:p>
        </w:tc>
      </w:tr>
      <w:tr w:rsidR="007845AC" w:rsidRPr="00D070E3" w14:paraId="56BD4FC2" w14:textId="77777777" w:rsidTr="00034EAE">
        <w:trPr>
          <w:jc w:val="center"/>
        </w:trPr>
        <w:tc>
          <w:tcPr>
            <w:tcW w:w="0" w:type="auto"/>
            <w:vAlign w:val="top"/>
          </w:tcPr>
          <w:p w14:paraId="7779A729" w14:textId="77777777" w:rsidR="007845AC" w:rsidRPr="00CA76F2" w:rsidRDefault="007845AC" w:rsidP="00034EAE">
            <w:pPr>
              <w:pStyle w:val="Tabletext"/>
            </w:pPr>
            <w:r w:rsidRPr="00CA76F2">
              <w:t>Denominator</w:t>
            </w:r>
          </w:p>
        </w:tc>
        <w:tc>
          <w:tcPr>
            <w:tcW w:w="0" w:type="auto"/>
            <w:vAlign w:val="top"/>
          </w:tcPr>
          <w:p w14:paraId="110EB8A6" w14:textId="7ACC0981" w:rsidR="007845AC" w:rsidRPr="003722C4" w:rsidRDefault="007845AC" w:rsidP="00034EAE">
            <w:pPr>
              <w:pStyle w:val="Tabletext"/>
              <w:rPr>
                <w:rFonts w:cs="Arial"/>
                <w:vertAlign w:val="superscript"/>
              </w:rPr>
            </w:pPr>
            <w:r w:rsidRPr="00CA76F2">
              <w:t>NCSR</w:t>
            </w:r>
            <w:r w:rsidR="00AF28A4">
              <w:fldChar w:fldCharType="begin"/>
            </w:r>
            <w:r w:rsidR="00AF28A4">
              <w:instrText xml:space="preserve"> NOTEREF _Ref173939099 \f \h </w:instrText>
            </w:r>
            <w:r w:rsidR="00034EAE">
              <w:instrText xml:space="preserve"> \* MERGEFORMAT </w:instrText>
            </w:r>
            <w:r w:rsidR="00AF28A4">
              <w:fldChar w:fldCharType="separate"/>
            </w:r>
            <w:r w:rsidR="00AF28A4" w:rsidRPr="00AF28A4">
              <w:rPr>
                <w:rStyle w:val="FootnoteReference"/>
              </w:rPr>
              <w:t>18</w:t>
            </w:r>
            <w:r w:rsidR="00AF28A4">
              <w:fldChar w:fldCharType="end"/>
            </w:r>
          </w:p>
        </w:tc>
        <w:tc>
          <w:tcPr>
            <w:tcW w:w="0" w:type="auto"/>
            <w:vAlign w:val="top"/>
          </w:tcPr>
          <w:p w14:paraId="7CCE6961" w14:textId="77777777" w:rsidR="007845AC" w:rsidRPr="00D070E3" w:rsidRDefault="007845AC" w:rsidP="00034EAE">
            <w:pPr>
              <w:pStyle w:val="Tabletext"/>
              <w:rPr>
                <w:rFonts w:cs="Arial"/>
              </w:rPr>
            </w:pPr>
            <w:r w:rsidRPr="00D070E3">
              <w:rPr>
                <w:rFonts w:cs="Arial"/>
              </w:rPr>
              <w:t xml:space="preserve">Number of </w:t>
            </w:r>
            <w:r w:rsidRPr="65E77CD2">
              <w:rPr>
                <w:rFonts w:cs="Arial"/>
              </w:rPr>
              <w:t xml:space="preserve">histologically confirmed </w:t>
            </w:r>
            <w:r w:rsidRPr="00D070E3">
              <w:rPr>
                <w:rFonts w:cs="Arial"/>
              </w:rPr>
              <w:t>CIN III/HSIL</w:t>
            </w:r>
            <w:r w:rsidRPr="65E77CD2">
              <w:rPr>
                <w:rFonts w:cs="Arial"/>
              </w:rPr>
              <w:t>/AIS</w:t>
            </w:r>
            <w:r>
              <w:rPr>
                <w:rFonts w:cs="Arial"/>
              </w:rPr>
              <w:t>.</w:t>
            </w:r>
          </w:p>
        </w:tc>
        <w:tc>
          <w:tcPr>
            <w:tcW w:w="0" w:type="auto"/>
            <w:vAlign w:val="top"/>
          </w:tcPr>
          <w:p w14:paraId="15ADAD78" w14:textId="77777777" w:rsidR="007845AC" w:rsidRPr="00CD10C1" w:rsidRDefault="007845AC" w:rsidP="00034EAE">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42E4988E" w14:textId="77777777" w:rsidR="007845AC" w:rsidRPr="00CD10C1" w:rsidRDefault="007845AC" w:rsidP="00034EAE">
            <w:pPr>
              <w:pStyle w:val="Tabletext"/>
            </w:pPr>
            <w:r w:rsidRPr="00CD10C1">
              <w:t>Quarterly</w:t>
            </w:r>
          </w:p>
        </w:tc>
      </w:tr>
    </w:tbl>
    <w:p w14:paraId="035CE090" w14:textId="77777777" w:rsidR="007845AC" w:rsidRPr="008C4020" w:rsidRDefault="007845AC" w:rsidP="00034EAE">
      <w:pPr>
        <w:pStyle w:val="Caption"/>
        <w:spacing w:before="240"/>
      </w:pPr>
      <w:r w:rsidRPr="008C4020">
        <w:t>Prevalence of HPV by type in Aboriginal and Torres Strait Islander participants with histologically proven high-grade squamous intraepithelial lesions (HSIL) or adenocarcinoma in situ (AIS)</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38"/>
        <w:gridCol w:w="764"/>
        <w:gridCol w:w="3605"/>
        <w:gridCol w:w="2173"/>
        <w:gridCol w:w="1512"/>
      </w:tblGrid>
      <w:tr w:rsidR="007845AC" w:rsidRPr="00F97953" w14:paraId="41A92E0E"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1D1FB893" w14:textId="77777777" w:rsidR="007845AC" w:rsidRPr="007002E0" w:rsidRDefault="007845AC" w:rsidP="00034EAE">
            <w:pPr>
              <w:pStyle w:val="Tableheaderrowblack"/>
              <w:rPr>
                <w:b/>
              </w:rPr>
            </w:pPr>
            <w:r w:rsidRPr="007002E0">
              <w:t>Indicator components</w:t>
            </w:r>
          </w:p>
        </w:tc>
        <w:tc>
          <w:tcPr>
            <w:tcW w:w="0" w:type="auto"/>
            <w:vAlign w:val="top"/>
          </w:tcPr>
          <w:p w14:paraId="64F8A515" w14:textId="77777777" w:rsidR="007845AC" w:rsidRPr="007002E0" w:rsidRDefault="007845AC" w:rsidP="00034EAE">
            <w:pPr>
              <w:pStyle w:val="Tableheaderrowblack"/>
              <w:rPr>
                <w:b/>
              </w:rPr>
            </w:pPr>
            <w:r w:rsidRPr="007002E0">
              <w:t>Source</w:t>
            </w:r>
          </w:p>
        </w:tc>
        <w:tc>
          <w:tcPr>
            <w:tcW w:w="0" w:type="auto"/>
            <w:vAlign w:val="top"/>
          </w:tcPr>
          <w:p w14:paraId="31E213FC" w14:textId="77777777" w:rsidR="007845AC" w:rsidRPr="007002E0" w:rsidRDefault="007845AC" w:rsidP="00034EAE">
            <w:pPr>
              <w:pStyle w:val="Tableheaderrowblack"/>
              <w:rPr>
                <w:b/>
              </w:rPr>
            </w:pPr>
            <w:r w:rsidRPr="007002E0">
              <w:t>Description</w:t>
            </w:r>
          </w:p>
        </w:tc>
        <w:tc>
          <w:tcPr>
            <w:tcW w:w="0" w:type="auto"/>
            <w:vAlign w:val="top"/>
          </w:tcPr>
          <w:p w14:paraId="49257FF7" w14:textId="1D76D25C" w:rsidR="007845AC" w:rsidRPr="007002E0" w:rsidRDefault="007845AC" w:rsidP="00034EAE">
            <w:pPr>
              <w:pStyle w:val="Tableheaderrowblack"/>
              <w:rPr>
                <w:b/>
              </w:rPr>
            </w:pPr>
            <w:r w:rsidRPr="007002E0">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EAB0344" w14:textId="3A75D80C" w:rsidR="007845AC" w:rsidRPr="007002E0" w:rsidRDefault="007845AC" w:rsidP="00034EAE">
            <w:pPr>
              <w:pStyle w:val="Tableheaderrowblack"/>
              <w:rPr>
                <w:b/>
              </w:rPr>
            </w:pPr>
            <w:r w:rsidRPr="007002E0">
              <w:t>Availability of data for reporting</w:t>
            </w:r>
          </w:p>
        </w:tc>
      </w:tr>
      <w:tr w:rsidR="007845AC" w:rsidRPr="00F97953" w14:paraId="6A9F0281"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258AD93" w14:textId="77777777" w:rsidR="007845AC" w:rsidRPr="00CA76F2" w:rsidRDefault="007845AC"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F0795C0" w14:textId="7A0105AB" w:rsidR="007845AC" w:rsidRPr="003722C4" w:rsidRDefault="007845AC" w:rsidP="00034EAE">
            <w:pPr>
              <w:pStyle w:val="Tabletext"/>
              <w:rPr>
                <w:rFonts w:cs="Arial"/>
                <w:vertAlign w:val="superscript"/>
              </w:rPr>
            </w:pPr>
            <w:r w:rsidRPr="007002E0">
              <w:rPr>
                <w:rFonts w:cs="Arial"/>
              </w:rPr>
              <w:t>NCS</w:t>
            </w:r>
            <w:r w:rsidR="00E5366A">
              <w:rPr>
                <w:rFonts w:cs="Arial"/>
              </w:rPr>
              <w:t>R</w:t>
            </w:r>
            <w:bookmarkStart w:id="60" w:name="_Ref160540757"/>
            <w:r w:rsidR="005355AC">
              <w:rPr>
                <w:rFonts w:ascii="ZWAdobeF" w:hAnsi="ZWAdobeF" w:cs="ZWAdobeF"/>
                <w:color w:val="auto"/>
                <w:sz w:val="2"/>
                <w:szCs w:val="2"/>
              </w:rPr>
              <w:t>18F</w:t>
            </w:r>
            <w:r w:rsidR="00E5366A">
              <w:rPr>
                <w:rStyle w:val="FootnoteReference"/>
                <w:rFonts w:cs="Arial"/>
              </w:rPr>
              <w:footnoteReference w:id="19"/>
            </w:r>
            <w:bookmarkEnd w:id="60"/>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108CD2E" w14:textId="77777777" w:rsidR="007845AC" w:rsidRPr="007002E0" w:rsidRDefault="007845AC" w:rsidP="00034EAE">
            <w:pPr>
              <w:pStyle w:val="Tabletext"/>
              <w:rPr>
                <w:rFonts w:cs="Arial"/>
              </w:rPr>
            </w:pPr>
            <w:r w:rsidRPr="007002E0">
              <w:rPr>
                <w:rFonts w:cs="Arial"/>
              </w:rPr>
              <w:t xml:space="preserve">Number of </w:t>
            </w:r>
            <w:r w:rsidRPr="65E77CD2">
              <w:rPr>
                <w:rFonts w:cs="Arial"/>
              </w:rPr>
              <w:t xml:space="preserve">histologically confirmed </w:t>
            </w:r>
            <w:r w:rsidRPr="007002E0">
              <w:rPr>
                <w:rFonts w:cs="Arial"/>
              </w:rPr>
              <w:t>CIN III/HSIL</w:t>
            </w:r>
            <w:r w:rsidRPr="65E77CD2">
              <w:rPr>
                <w:rFonts w:cs="Arial"/>
              </w:rPr>
              <w:t>/AIS</w:t>
            </w:r>
            <w:r w:rsidRPr="007002E0">
              <w:rPr>
                <w:rFonts w:cs="Arial"/>
              </w:rPr>
              <w:t>, by Aboriginal and Torres Strait Islander status and HPV type detected in the primary screening test.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9B41CE1" w14:textId="77777777" w:rsidR="007845AC" w:rsidRPr="00CD10C1" w:rsidRDefault="007845AC" w:rsidP="00034EAE">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DC49BF0" w14:textId="77777777" w:rsidR="007845AC" w:rsidRPr="00CD10C1" w:rsidRDefault="007845AC" w:rsidP="00034EAE">
            <w:pPr>
              <w:pStyle w:val="Tabletext"/>
            </w:pPr>
            <w:r w:rsidRPr="00CD10C1">
              <w:t>Quarterly</w:t>
            </w:r>
          </w:p>
        </w:tc>
      </w:tr>
      <w:tr w:rsidR="007845AC" w:rsidRPr="00D070E3" w14:paraId="2C626C47" w14:textId="77777777" w:rsidTr="00034EAE">
        <w:trPr>
          <w:jc w:val="center"/>
        </w:trPr>
        <w:tc>
          <w:tcPr>
            <w:tcW w:w="0" w:type="auto"/>
            <w:vAlign w:val="top"/>
          </w:tcPr>
          <w:p w14:paraId="712FF12B" w14:textId="77777777" w:rsidR="007845AC" w:rsidRPr="00CA76F2" w:rsidRDefault="007845AC" w:rsidP="00034EAE">
            <w:pPr>
              <w:pStyle w:val="Tabletext"/>
            </w:pPr>
            <w:r w:rsidRPr="00CA76F2">
              <w:t>Denominator</w:t>
            </w:r>
          </w:p>
        </w:tc>
        <w:tc>
          <w:tcPr>
            <w:tcW w:w="0" w:type="auto"/>
            <w:vAlign w:val="top"/>
          </w:tcPr>
          <w:p w14:paraId="5743E473" w14:textId="6328252C" w:rsidR="007845AC" w:rsidRPr="003722C4" w:rsidRDefault="007845AC" w:rsidP="00034EAE">
            <w:pPr>
              <w:pStyle w:val="Tabletext"/>
              <w:rPr>
                <w:rFonts w:cs="Arial"/>
                <w:vertAlign w:val="superscript"/>
              </w:rPr>
            </w:pPr>
            <w:r w:rsidRPr="00CA76F2">
              <w:t>NCSR</w:t>
            </w:r>
            <w:r w:rsidR="00AF28A4">
              <w:fldChar w:fldCharType="begin"/>
            </w:r>
            <w:r w:rsidR="00AF28A4">
              <w:instrText xml:space="preserve"> NOTEREF _Ref160540757 \f \h </w:instrText>
            </w:r>
            <w:r w:rsidR="00034EAE">
              <w:instrText xml:space="preserve"> \* MERGEFORMAT </w:instrText>
            </w:r>
            <w:r w:rsidR="00AF28A4">
              <w:fldChar w:fldCharType="separate"/>
            </w:r>
            <w:r w:rsidR="00AF28A4" w:rsidRPr="00AF28A4">
              <w:rPr>
                <w:rStyle w:val="FootnoteReference"/>
              </w:rPr>
              <w:t>19</w:t>
            </w:r>
            <w:r w:rsidR="00AF28A4">
              <w:fldChar w:fldCharType="end"/>
            </w:r>
            <w:r w:rsidR="00E5366A" w:rsidRPr="001E7759">
              <w:rPr>
                <w:rStyle w:val="SuperscriptChar"/>
              </w:rPr>
              <w:fldChar w:fldCharType="begin"/>
            </w:r>
            <w:r w:rsidR="00E5366A" w:rsidRPr="001E7759">
              <w:rPr>
                <w:rStyle w:val="SuperscriptChar"/>
              </w:rPr>
              <w:instrText xml:space="preserve"> NOTEREF _Ref160540757 \f \h </w:instrText>
            </w:r>
            <w:r w:rsidR="00CA76F2" w:rsidRPr="001E7759">
              <w:rPr>
                <w:rStyle w:val="SuperscriptChar"/>
              </w:rPr>
              <w:instrText xml:space="preserve"> \* MERGEFORMAT </w:instrText>
            </w:r>
            <w:r w:rsidR="00E5366A" w:rsidRPr="001E7759">
              <w:rPr>
                <w:rStyle w:val="SuperscriptChar"/>
              </w:rPr>
            </w:r>
            <w:r w:rsidR="00E5366A" w:rsidRPr="001E7759">
              <w:rPr>
                <w:rStyle w:val="SuperscriptChar"/>
              </w:rPr>
              <w:fldChar w:fldCharType="separate"/>
            </w:r>
            <w:r w:rsidR="00E5366A" w:rsidRPr="001E7759">
              <w:rPr>
                <w:rStyle w:val="SuperscriptChar"/>
              </w:rPr>
              <w:fldChar w:fldCharType="end"/>
            </w:r>
          </w:p>
        </w:tc>
        <w:tc>
          <w:tcPr>
            <w:tcW w:w="0" w:type="auto"/>
            <w:vAlign w:val="top"/>
          </w:tcPr>
          <w:p w14:paraId="629FE3EC" w14:textId="77777777" w:rsidR="007845AC" w:rsidRPr="007002E0" w:rsidRDefault="007845AC" w:rsidP="00034EAE">
            <w:pPr>
              <w:pStyle w:val="Tabletext"/>
              <w:rPr>
                <w:rFonts w:cs="Arial"/>
              </w:rPr>
            </w:pPr>
            <w:r w:rsidRPr="007002E0">
              <w:rPr>
                <w:rFonts w:cs="Arial"/>
              </w:rPr>
              <w:t xml:space="preserve">Number of </w:t>
            </w:r>
            <w:r w:rsidRPr="65E77CD2">
              <w:rPr>
                <w:rFonts w:cs="Arial"/>
              </w:rPr>
              <w:t xml:space="preserve">histologically confirmed </w:t>
            </w:r>
            <w:r w:rsidRPr="007002E0">
              <w:rPr>
                <w:rFonts w:cs="Arial"/>
              </w:rPr>
              <w:t>CIN III/HSIL</w:t>
            </w:r>
            <w:r w:rsidRPr="65E77CD2">
              <w:rPr>
                <w:rFonts w:cs="Arial"/>
              </w:rPr>
              <w:t>/AIS</w:t>
            </w:r>
            <w:r w:rsidRPr="007002E0">
              <w:rPr>
                <w:rFonts w:cs="Arial"/>
              </w:rPr>
              <w:t>, by Aboriginal and Torres Strait Islander status.</w:t>
            </w:r>
          </w:p>
        </w:tc>
        <w:tc>
          <w:tcPr>
            <w:tcW w:w="0" w:type="auto"/>
            <w:vAlign w:val="top"/>
          </w:tcPr>
          <w:p w14:paraId="2AF7ADE7" w14:textId="77777777" w:rsidR="007845AC" w:rsidRPr="00CD10C1" w:rsidRDefault="007845AC" w:rsidP="00034EAE">
            <w:pPr>
              <w:pStyle w:val="Tabletext"/>
            </w:pPr>
            <w:r w:rsidRPr="00CD10C1">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7AD7303C" w14:textId="77777777" w:rsidR="007845AC" w:rsidRPr="00CD10C1" w:rsidRDefault="007845AC" w:rsidP="00034EAE">
            <w:pPr>
              <w:pStyle w:val="Tabletext"/>
            </w:pPr>
            <w:r w:rsidRPr="00CD10C1">
              <w:t>Quarterly</w:t>
            </w:r>
          </w:p>
        </w:tc>
      </w:tr>
    </w:tbl>
    <w:p w14:paraId="39A64120" w14:textId="77777777" w:rsidR="00CA76F2" w:rsidRPr="00A74B5B" w:rsidRDefault="00CA76F2" w:rsidP="00A74B5B">
      <w:r w:rsidRPr="00A74B5B">
        <w:br w:type="page"/>
      </w:r>
    </w:p>
    <w:p w14:paraId="00BA84F9" w14:textId="0B730FB3" w:rsidR="00E5366A" w:rsidRDefault="00E5366A" w:rsidP="00371E88">
      <w:pPr>
        <w:pStyle w:val="Heading1Numbering"/>
      </w:pPr>
      <w:bookmarkStart w:id="61" w:name="_Cancer_endpoints"/>
      <w:bookmarkStart w:id="62" w:name="_Toc232507544"/>
      <w:bookmarkEnd w:id="61"/>
      <w:r>
        <w:lastRenderedPageBreak/>
        <w:t>Cancer endpoints</w:t>
      </w:r>
      <w:bookmarkEnd w:id="62"/>
    </w:p>
    <w:p w14:paraId="774D5794" w14:textId="17148CF5" w:rsidR="00E5366A" w:rsidRPr="00A74B5B" w:rsidRDefault="00E5366A" w:rsidP="00E9658C">
      <w:pPr>
        <w:pStyle w:val="Heading2Numbering"/>
      </w:pPr>
      <w:bookmarkStart w:id="63" w:name="_4.1._Monitor_cervical"/>
      <w:bookmarkStart w:id="64" w:name="_Toc232507545"/>
      <w:bookmarkEnd w:id="63"/>
      <w:r w:rsidRPr="00A74B5B">
        <w:t>Monitor cervical cancer incidence and mortality</w:t>
      </w:r>
      <w:bookmarkEnd w:id="64"/>
    </w:p>
    <w:p w14:paraId="3FA75947" w14:textId="77777777" w:rsidR="00E5366A" w:rsidRDefault="00E5366A" w:rsidP="00034EAE">
      <w:pPr>
        <w:pStyle w:val="Boxgreenheading"/>
      </w:pPr>
      <w:bookmarkStart w:id="65" w:name="_Toc161152116"/>
      <w:r w:rsidRPr="00257D46">
        <w:t>Indicator</w:t>
      </w:r>
      <w:r>
        <w:t>s</w:t>
      </w:r>
      <w:bookmarkEnd w:id="65"/>
    </w:p>
    <w:p w14:paraId="428CA2EF" w14:textId="77777777" w:rsidR="00E5366A" w:rsidRPr="00E5366A" w:rsidRDefault="00E5366A" w:rsidP="00034EAE">
      <w:pPr>
        <w:pStyle w:val="Boxgreentext"/>
        <w:rPr>
          <w:bCs/>
        </w:rPr>
      </w:pPr>
      <w:bookmarkStart w:id="66" w:name="_Hlk148965241"/>
      <w:r w:rsidRPr="00E5366A">
        <w:t>Number of new cases of cervical cancer by type of cancer and vaccination status in females aged 25–74 years per 100,000 estimated resident population in a calendar year</w:t>
      </w:r>
    </w:p>
    <w:p w14:paraId="2853802B" w14:textId="77777777" w:rsidR="00E5366A" w:rsidRPr="00E5366A" w:rsidRDefault="00E5366A" w:rsidP="00034EAE">
      <w:pPr>
        <w:pStyle w:val="Boxgreentext"/>
        <w:rPr>
          <w:bCs/>
        </w:rPr>
      </w:pPr>
      <w:r w:rsidRPr="00E5366A">
        <w:t xml:space="preserve">Number of new cases of cervical cancer by type of cancer and vaccination status in </w:t>
      </w:r>
      <w:r w:rsidRPr="00E5366A">
        <w:rPr>
          <w:bCs/>
        </w:rPr>
        <w:t>Aboriginal and Torres Strait Islander</w:t>
      </w:r>
      <w:r w:rsidRPr="00E5366A" w:rsidDel="005137F3">
        <w:t xml:space="preserve"> </w:t>
      </w:r>
      <w:r w:rsidRPr="00E5366A">
        <w:t>females aged 25–74 years per 100,000 estimated resident Indigenous population in a calendar year</w:t>
      </w:r>
    </w:p>
    <w:p w14:paraId="2668C731" w14:textId="77777777" w:rsidR="00E5366A" w:rsidRPr="00E5366A" w:rsidRDefault="00E5366A" w:rsidP="00034EAE">
      <w:pPr>
        <w:pStyle w:val="Boxgreentext"/>
      </w:pPr>
      <w:r w:rsidRPr="00E5366A">
        <w:t xml:space="preserve">Number of deaths from cervical cancer by type of cancer and vaccination status in females aged 25–74 years per 100,000 estimated resident population in a calendar year* </w:t>
      </w:r>
    </w:p>
    <w:p w14:paraId="1CAE66EA" w14:textId="77777777" w:rsidR="00E5366A" w:rsidRPr="00E5366A" w:rsidRDefault="00E5366A" w:rsidP="00034EAE">
      <w:pPr>
        <w:pStyle w:val="Boxgreentext"/>
      </w:pPr>
      <w:r w:rsidRPr="00E5366A">
        <w:t>Number of deaths from cervical cancer by type of cancer and vaccination status in Aboriginal and Torres Strait Islander</w:t>
      </w:r>
      <w:r w:rsidRPr="00E5366A" w:rsidDel="005137F3">
        <w:t xml:space="preserve"> </w:t>
      </w:r>
      <w:r w:rsidRPr="00E5366A">
        <w:t>females aged 25–74 years per 100,000 estimated resident Indigenous population in a calendar year</w:t>
      </w:r>
    </w:p>
    <w:bookmarkEnd w:id="66"/>
    <w:p w14:paraId="69AED6C1" w14:textId="77777777" w:rsidR="00E5366A" w:rsidRPr="00A74B5B" w:rsidRDefault="00E5366A" w:rsidP="00034EAE">
      <w:pPr>
        <w:pStyle w:val="Boxgreentext"/>
      </w:pPr>
      <w:r w:rsidRPr="00A74B5B">
        <w:t>*This is an existing indicator from the NCSP.</w:t>
      </w:r>
    </w:p>
    <w:p w14:paraId="60BE44FB" w14:textId="56B704EC" w:rsidR="00E5366A" w:rsidRDefault="00E5366A" w:rsidP="00034EAE">
      <w:pPr>
        <w:pStyle w:val="Heading3"/>
      </w:pPr>
      <w:r>
        <w:t>Rationale for surveillance</w:t>
      </w:r>
    </w:p>
    <w:p w14:paraId="1541C892" w14:textId="77777777" w:rsidR="0092478E" w:rsidRDefault="00E5366A" w:rsidP="0092478E">
      <w:pPr>
        <w:rPr>
          <w:rFonts w:cs="Arial"/>
          <w:szCs w:val="20"/>
        </w:rPr>
      </w:pPr>
      <w:r w:rsidRPr="00D070E3">
        <w:rPr>
          <w:rFonts w:cs="Arial"/>
          <w:szCs w:val="20"/>
        </w:rPr>
        <w:t>To monitor the impact of the HPV vaccination program on the incidence of cervical cancer. Given the natural history of HPV related cancers, the impact of vaccination on the prevention of cervical cancer will be evident from around 10 to 15 years after introduction of the vaccination program.</w:t>
      </w:r>
    </w:p>
    <w:p w14:paraId="1F45E85D" w14:textId="17B8334D" w:rsidR="00E5366A" w:rsidRDefault="00E5366A" w:rsidP="00034EAE">
      <w:pPr>
        <w:pStyle w:val="Heading3"/>
      </w:pPr>
      <w:r>
        <w:t>Data considerations</w:t>
      </w:r>
    </w:p>
    <w:p w14:paraId="37ED4CCB" w14:textId="1AE179CF" w:rsidR="0092478E" w:rsidRDefault="0092478E" w:rsidP="0092478E">
      <w:pPr>
        <w:rPr>
          <w:rFonts w:cs="Arial"/>
          <w:szCs w:val="20"/>
        </w:rPr>
      </w:pPr>
      <w:r>
        <w:rPr>
          <w:rFonts w:cs="Arial"/>
          <w:szCs w:val="20"/>
        </w:rPr>
        <w:t>Cancer is a notifiable disease in all Australian jurisdictions which requires notification of all new cases of cancer to the jurisdiction’s central cancer registry. These registries supply data annually to the Australian Institute of Health and Welfare (AIHW) who produces the Australian Cancer Database (ACD).</w:t>
      </w:r>
    </w:p>
    <w:p w14:paraId="342CED2D" w14:textId="570ACCB2" w:rsidR="0092478E" w:rsidRDefault="0092478E" w:rsidP="0092478E">
      <w:pPr>
        <w:rPr>
          <w:rFonts w:cs="Arial"/>
          <w:szCs w:val="20"/>
        </w:rPr>
      </w:pPr>
      <w:r>
        <w:rPr>
          <w:rFonts w:cs="Arial"/>
          <w:szCs w:val="20"/>
        </w:rPr>
        <w:t xml:space="preserve">The National Mortality Database holds records for deaths in Australia. The cause of death data </w:t>
      </w:r>
      <w:proofErr w:type="gramStart"/>
      <w:r>
        <w:rPr>
          <w:rFonts w:cs="Arial"/>
          <w:szCs w:val="20"/>
        </w:rPr>
        <w:t>are</w:t>
      </w:r>
      <w:proofErr w:type="gramEnd"/>
      <w:r>
        <w:rPr>
          <w:rFonts w:cs="Arial"/>
          <w:szCs w:val="20"/>
        </w:rPr>
        <w:t xml:space="preserve"> sourced from the Registrars of Births, Deaths and Marriages in each state and </w:t>
      </w:r>
      <w:r>
        <w:rPr>
          <w:rFonts w:cs="Arial"/>
          <w:szCs w:val="20"/>
        </w:rPr>
        <w:lastRenderedPageBreak/>
        <w:t>territory, the National Coronial Information System and complied and coded by the Australian Bureau of Statistics (ABS).</w:t>
      </w:r>
    </w:p>
    <w:p w14:paraId="4B161D3E" w14:textId="545BA1FA" w:rsidR="0092478E" w:rsidRDefault="0092478E" w:rsidP="0092478E">
      <w:pPr>
        <w:rPr>
          <w:rFonts w:cs="Arial"/>
          <w:szCs w:val="20"/>
        </w:rPr>
      </w:pPr>
      <w:r w:rsidRPr="002A7ED8">
        <w:rPr>
          <w:rFonts w:cs="Arial"/>
          <w:szCs w:val="20"/>
        </w:rPr>
        <w:t xml:space="preserve">The Plan notes the delay in data </w:t>
      </w:r>
      <w:r w:rsidRPr="001D5BAB">
        <w:rPr>
          <w:rFonts w:cs="Arial"/>
          <w:szCs w:val="20"/>
        </w:rPr>
        <w:t xml:space="preserve">within the ACD with a current average delay of 5-years. The National Strategy for the Elimination of Cervical Cancer highlights a strategic priority to increase timeliness of cervical cancer data with an aim to have data from the preceding year available by November 1 of each calendar year. The Strategy also outlines the expansion of data collection for priority populations mentioned in the </w:t>
      </w:r>
      <w:hyperlink w:anchor="_Data_gaps" w:history="1">
        <w:r w:rsidRPr="001D5BAB">
          <w:rPr>
            <w:rStyle w:val="Hyperlink"/>
            <w:rFonts w:cs="Arial"/>
            <w:szCs w:val="20"/>
          </w:rPr>
          <w:t>Data gaps</w:t>
        </w:r>
      </w:hyperlink>
      <w:r w:rsidRPr="001D5BAB">
        <w:rPr>
          <w:rFonts w:cs="Arial"/>
          <w:szCs w:val="20"/>
        </w:rPr>
        <w:t xml:space="preserve"> section of this Plan</w:t>
      </w:r>
      <w:r>
        <w:rPr>
          <w:rFonts w:cs="Arial"/>
          <w:szCs w:val="20"/>
        </w:rPr>
        <w:t>. T</w:t>
      </w:r>
      <w:r w:rsidRPr="001D5BAB">
        <w:rPr>
          <w:rFonts w:cs="Arial"/>
          <w:szCs w:val="20"/>
        </w:rPr>
        <w:t>hese priority populations should be reported in this indicator when data are made available.</w:t>
      </w:r>
    </w:p>
    <w:p w14:paraId="2903DAC6" w14:textId="5A61E170" w:rsidR="0092478E" w:rsidRDefault="0092478E" w:rsidP="0092478E">
      <w:pPr>
        <w:rPr>
          <w:rFonts w:cs="Arial"/>
          <w:szCs w:val="20"/>
        </w:rPr>
      </w:pPr>
      <w:r w:rsidRPr="002A7ED8">
        <w:rPr>
          <w:rFonts w:cs="Arial"/>
          <w:szCs w:val="20"/>
        </w:rPr>
        <w:t xml:space="preserve">HPV vaccination status should be collected and reported against these indicators where available. Cervical cancer type should also be reported here due to certain cervical cancers (notably some rarer types of </w:t>
      </w:r>
      <w:proofErr w:type="gramStart"/>
      <w:r w:rsidRPr="002A7ED8">
        <w:rPr>
          <w:rFonts w:cs="Arial"/>
          <w:szCs w:val="20"/>
        </w:rPr>
        <w:t>adenocarcinoma</w:t>
      </w:r>
      <w:proofErr w:type="gramEnd"/>
      <w:r w:rsidRPr="002A7ED8">
        <w:rPr>
          <w:rFonts w:cs="Arial"/>
          <w:szCs w:val="20"/>
        </w:rPr>
        <w:t>) not being associated with HPV and therefore not preventable through HPV vaccination.</w:t>
      </w:r>
    </w:p>
    <w:p w14:paraId="796D0817" w14:textId="78127BEC" w:rsidR="0092478E" w:rsidRDefault="0092478E" w:rsidP="0092478E">
      <w:pPr>
        <w:rPr>
          <w:rFonts w:cs="Arial"/>
          <w:szCs w:val="20"/>
        </w:rPr>
      </w:pPr>
      <w:r>
        <w:rPr>
          <w:rFonts w:cs="Arial"/>
          <w:szCs w:val="20"/>
        </w:rPr>
        <w:t>Rates by age group, summed over several calendar years where necessary to accommodate low numbers, should also be reported given that vaccine impact will occur in the youngest cohorts first.</w:t>
      </w:r>
    </w:p>
    <w:p w14:paraId="2F5CC82E" w14:textId="7828FEB2" w:rsidR="0092478E" w:rsidRDefault="0092478E" w:rsidP="0092478E">
      <w:pPr>
        <w:rPr>
          <w:rFonts w:cs="Arial"/>
          <w:szCs w:val="20"/>
        </w:rPr>
      </w:pPr>
      <w:r>
        <w:rPr>
          <w:rFonts w:cs="Arial"/>
          <w:szCs w:val="20"/>
        </w:rPr>
        <w:t>Where available, these rates should be age adjusted against the world population to facilitate international comparisons and progress against WHO elimination targets.</w:t>
      </w:r>
    </w:p>
    <w:p w14:paraId="15786C2C" w14:textId="77777777" w:rsidR="0092478E" w:rsidRDefault="0092478E" w:rsidP="0092478E">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w:t>
      </w:r>
    </w:p>
    <w:p w14:paraId="372F013D" w14:textId="07B7AE6C" w:rsidR="0092478E" w:rsidRDefault="0092478E" w:rsidP="00034EAE">
      <w:pPr>
        <w:pStyle w:val="Heading3"/>
      </w:pPr>
      <w:r>
        <w:t>Reporting against indicators</w:t>
      </w:r>
    </w:p>
    <w:p w14:paraId="65B3A864" w14:textId="77777777" w:rsidR="0092478E" w:rsidRPr="008C4020" w:rsidRDefault="0092478E" w:rsidP="008C4020">
      <w:pPr>
        <w:pStyle w:val="Caption"/>
      </w:pPr>
      <w:r w:rsidRPr="008C4020">
        <w:t>Number of new cases of cervical cancer by type of cancer and vaccination status in females aged 25–74 years per 100,000 estimated resident female population aged 25–74 years in a calendar year</w:t>
      </w:r>
    </w:p>
    <w:tbl>
      <w:tblPr>
        <w:tblStyle w:val="TableGrid"/>
        <w:tblW w:w="0" w:type="auto"/>
        <w:jc w:val="center"/>
        <w:tblLook w:val="04A0" w:firstRow="1" w:lastRow="0" w:firstColumn="1" w:lastColumn="0"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74"/>
        <w:gridCol w:w="734"/>
        <w:gridCol w:w="3544"/>
        <w:gridCol w:w="2173"/>
        <w:gridCol w:w="1567"/>
      </w:tblGrid>
      <w:tr w:rsidR="0092478E" w:rsidRPr="00D070E3" w14:paraId="1BBA2D57"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384FF35F" w14:textId="77777777" w:rsidR="0092478E" w:rsidRPr="00D070E3" w:rsidRDefault="0092478E" w:rsidP="00034EAE">
            <w:pPr>
              <w:pStyle w:val="Tableheaderrowblack"/>
              <w:rPr>
                <w:b/>
              </w:rPr>
            </w:pPr>
            <w:r w:rsidRPr="00D070E3">
              <w:t>Indicator components</w:t>
            </w:r>
          </w:p>
        </w:tc>
        <w:tc>
          <w:tcPr>
            <w:tcW w:w="0" w:type="auto"/>
            <w:vAlign w:val="top"/>
          </w:tcPr>
          <w:p w14:paraId="6E3864B1" w14:textId="77777777" w:rsidR="0092478E" w:rsidRPr="00D070E3" w:rsidRDefault="0092478E" w:rsidP="00034EAE">
            <w:pPr>
              <w:pStyle w:val="Tableheaderrowblack"/>
              <w:rPr>
                <w:b/>
              </w:rPr>
            </w:pPr>
            <w:r w:rsidRPr="00D070E3">
              <w:t>Source</w:t>
            </w:r>
          </w:p>
        </w:tc>
        <w:tc>
          <w:tcPr>
            <w:tcW w:w="0" w:type="auto"/>
            <w:vAlign w:val="top"/>
          </w:tcPr>
          <w:p w14:paraId="047BCAB2" w14:textId="77777777" w:rsidR="0092478E" w:rsidRPr="00D070E3" w:rsidRDefault="0092478E" w:rsidP="00034EAE">
            <w:pPr>
              <w:pStyle w:val="Tableheaderrowblack"/>
              <w:rPr>
                <w:b/>
              </w:rPr>
            </w:pPr>
            <w:r w:rsidRPr="00D070E3">
              <w:t>Description</w:t>
            </w:r>
          </w:p>
        </w:tc>
        <w:tc>
          <w:tcPr>
            <w:tcW w:w="0" w:type="auto"/>
            <w:vAlign w:val="top"/>
          </w:tcPr>
          <w:p w14:paraId="1C1BD3D3" w14:textId="535A3EA9" w:rsidR="0092478E" w:rsidRPr="00D070E3" w:rsidRDefault="0092478E" w:rsidP="00034EAE">
            <w:pPr>
              <w:pStyle w:val="Tableheaderrowblack"/>
              <w:rPr>
                <w:b/>
              </w:rPr>
            </w:pPr>
            <w:r w:rsidRPr="00D070E3">
              <w:t>Custodian/stakeholder</w:t>
            </w:r>
          </w:p>
        </w:tc>
        <w:tc>
          <w:tcPr>
            <w:tcW w:w="0" w:type="auto"/>
            <w:vAlign w:val="top"/>
          </w:tcPr>
          <w:p w14:paraId="729A123A" w14:textId="4822B149" w:rsidR="0092478E" w:rsidRPr="00D070E3" w:rsidRDefault="0092478E" w:rsidP="00034EAE">
            <w:pPr>
              <w:pStyle w:val="Tableheaderrowblack"/>
              <w:rPr>
                <w:b/>
              </w:rPr>
            </w:pPr>
            <w:r w:rsidRPr="00D070E3">
              <w:t>Availability of data for reporting</w:t>
            </w:r>
          </w:p>
        </w:tc>
      </w:tr>
      <w:tr w:rsidR="0092478E" w:rsidRPr="00D070E3" w14:paraId="1FDC5856"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06A163B" w14:textId="77777777" w:rsidR="0092478E" w:rsidRPr="00CA76F2" w:rsidRDefault="0092478E"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0E3B50C" w14:textId="144368C9" w:rsidR="0092478E" w:rsidRPr="00D070E3" w:rsidRDefault="0092478E" w:rsidP="00034EAE">
            <w:pPr>
              <w:pStyle w:val="Tabletext"/>
              <w:rPr>
                <w:rFonts w:cs="Arial"/>
              </w:rPr>
            </w:pPr>
            <w:r w:rsidRPr="4CDBB324">
              <w:rPr>
                <w:rFonts w:cs="Arial"/>
              </w:rPr>
              <w:t>ACD</w:t>
            </w:r>
            <w:bookmarkStart w:id="67" w:name="_Ref152236008"/>
            <w:r w:rsidR="005355AC">
              <w:rPr>
                <w:rFonts w:ascii="ZWAdobeF" w:hAnsi="ZWAdobeF" w:cs="ZWAdobeF"/>
                <w:color w:val="auto"/>
                <w:sz w:val="2"/>
                <w:szCs w:val="2"/>
              </w:rPr>
              <w:t>19F</w:t>
            </w:r>
            <w:r>
              <w:rPr>
                <w:rStyle w:val="FootnoteReference"/>
                <w:rFonts w:eastAsiaTheme="minorEastAsia" w:cs="Arial"/>
              </w:rPr>
              <w:footnoteReference w:id="20"/>
            </w:r>
            <w:bookmarkEnd w:id="67"/>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AA53826" w14:textId="77777777" w:rsidR="0092478E" w:rsidRPr="00D070E3" w:rsidRDefault="0092478E" w:rsidP="00034EAE">
            <w:pPr>
              <w:pStyle w:val="Tabletext"/>
              <w:rPr>
                <w:rFonts w:cs="Arial"/>
              </w:rPr>
            </w:pPr>
            <w:r w:rsidRPr="4CDBB324">
              <w:rPr>
                <w:rFonts w:cs="Arial"/>
              </w:rPr>
              <w:t>Number of new cases of cervical cancer</w:t>
            </w:r>
            <w:r>
              <w:rPr>
                <w:rFonts w:cs="Arial"/>
              </w:rPr>
              <w:t xml:space="preserve"> by type of cancer and vaccination status </w:t>
            </w:r>
            <w:r w:rsidRPr="4CDBB324">
              <w:rPr>
                <w:rFonts w:cs="Arial"/>
              </w:rPr>
              <w:t xml:space="preserve">in females </w:t>
            </w:r>
            <w:r w:rsidRPr="00D12CFD">
              <w:rPr>
                <w:rFonts w:cs="Arial"/>
              </w:rPr>
              <w:t>aged 25–74 years</w:t>
            </w:r>
            <w:r w:rsidRPr="4CDBB324">
              <w:rPr>
                <w:rFonts w:cs="Arial"/>
              </w:rPr>
              <w:t xml:space="preserve">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F67B26A" w14:textId="77777777" w:rsidR="0092478E" w:rsidRPr="00CD10C1" w:rsidRDefault="0092478E" w:rsidP="00034EAE">
            <w:pPr>
              <w:pStyle w:val="Tabletext"/>
            </w:pPr>
            <w:r w:rsidRPr="00CD10C1">
              <w:t>AIHW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347795" w14:textId="77777777" w:rsidR="0092478E" w:rsidRPr="00CD10C1" w:rsidRDefault="0092478E" w:rsidP="00034EAE">
            <w:pPr>
              <w:pStyle w:val="Tabletext"/>
            </w:pPr>
            <w:r w:rsidRPr="00CD10C1">
              <w:t>Annually</w:t>
            </w:r>
          </w:p>
        </w:tc>
      </w:tr>
      <w:tr w:rsidR="0092478E" w:rsidRPr="00D070E3" w14:paraId="4A7F061F" w14:textId="77777777" w:rsidTr="00034EAE">
        <w:trPr>
          <w:jc w:val="center"/>
        </w:trPr>
        <w:tc>
          <w:tcPr>
            <w:tcW w:w="0" w:type="auto"/>
            <w:vAlign w:val="top"/>
          </w:tcPr>
          <w:p w14:paraId="6335A079" w14:textId="77777777" w:rsidR="0092478E" w:rsidRPr="00CA76F2" w:rsidRDefault="0092478E" w:rsidP="00034EAE">
            <w:pPr>
              <w:pStyle w:val="Tabletext"/>
            </w:pPr>
            <w:r w:rsidRPr="00CA76F2">
              <w:lastRenderedPageBreak/>
              <w:t>Denominator</w:t>
            </w:r>
          </w:p>
        </w:tc>
        <w:tc>
          <w:tcPr>
            <w:tcW w:w="0" w:type="auto"/>
            <w:vAlign w:val="top"/>
          </w:tcPr>
          <w:p w14:paraId="1B5A3BDE" w14:textId="7F15729B" w:rsidR="0092478E" w:rsidRPr="001123A3" w:rsidRDefault="0092478E" w:rsidP="00034EAE">
            <w:pPr>
              <w:pStyle w:val="Tabletext"/>
              <w:rPr>
                <w:rFonts w:cs="Arial"/>
                <w:vertAlign w:val="superscript"/>
              </w:rPr>
            </w:pPr>
            <w:r w:rsidRPr="00CA76F2">
              <w:t>ABS</w:t>
            </w:r>
            <w:r w:rsidR="00AF28A4">
              <w:rPr>
                <w:rStyle w:val="SuperscriptChar"/>
              </w:rPr>
              <w:fldChar w:fldCharType="begin"/>
            </w:r>
            <w:r w:rsidR="00AF28A4">
              <w:instrText xml:space="preserve"> NOTEREF _Ref152236008 \f \h </w:instrText>
            </w:r>
            <w:r w:rsidR="00034EAE">
              <w:rPr>
                <w:rStyle w:val="SuperscriptChar"/>
              </w:rPr>
              <w:instrText xml:space="preserve"> \* MERGEFORMAT </w:instrText>
            </w:r>
            <w:r w:rsidR="00AF28A4">
              <w:rPr>
                <w:rStyle w:val="SuperscriptChar"/>
              </w:rPr>
            </w:r>
            <w:r w:rsidR="00AF28A4">
              <w:rPr>
                <w:rStyle w:val="SuperscriptChar"/>
              </w:rPr>
              <w:fldChar w:fldCharType="separate"/>
            </w:r>
            <w:r w:rsidR="00AF28A4" w:rsidRPr="00AF28A4">
              <w:rPr>
                <w:rStyle w:val="FootnoteReference"/>
              </w:rPr>
              <w:t>20</w:t>
            </w:r>
            <w:r w:rsidR="00AF28A4">
              <w:rPr>
                <w:rStyle w:val="SuperscriptChar"/>
              </w:rPr>
              <w:fldChar w:fldCharType="end"/>
            </w:r>
          </w:p>
        </w:tc>
        <w:tc>
          <w:tcPr>
            <w:tcW w:w="0" w:type="auto"/>
            <w:vAlign w:val="top"/>
          </w:tcPr>
          <w:p w14:paraId="6FB77B6D" w14:textId="77777777" w:rsidR="0092478E" w:rsidRPr="00D070E3" w:rsidRDefault="0092478E" w:rsidP="00034EAE">
            <w:pPr>
              <w:pStyle w:val="Tabletext"/>
              <w:rPr>
                <w:rFonts w:cs="Arial"/>
              </w:rPr>
            </w:pPr>
            <w:r w:rsidRPr="4CDBB324">
              <w:rPr>
                <w:rFonts w:cs="Arial"/>
              </w:rPr>
              <w:t>Estimated resident</w:t>
            </w:r>
            <w:r>
              <w:rPr>
                <w:rFonts w:cs="Arial"/>
              </w:rPr>
              <w:t xml:space="preserve"> female</w:t>
            </w:r>
            <w:r w:rsidRPr="4CDBB324">
              <w:rPr>
                <w:rFonts w:cs="Arial"/>
              </w:rPr>
              <w:t xml:space="preserve"> population</w:t>
            </w:r>
            <w:r>
              <w:rPr>
                <w:rFonts w:cs="Arial"/>
              </w:rPr>
              <w:t xml:space="preserve"> </w:t>
            </w:r>
            <w:r w:rsidRPr="00D12CFD">
              <w:rPr>
                <w:rFonts w:cs="Arial"/>
              </w:rPr>
              <w:t>aged 25–74 years</w:t>
            </w:r>
            <w:r>
              <w:rPr>
                <w:rFonts w:cs="Arial"/>
              </w:rPr>
              <w:t>.</w:t>
            </w:r>
          </w:p>
        </w:tc>
        <w:tc>
          <w:tcPr>
            <w:tcW w:w="0" w:type="auto"/>
            <w:vAlign w:val="top"/>
          </w:tcPr>
          <w:p w14:paraId="6D07053F" w14:textId="77777777" w:rsidR="0092478E" w:rsidRPr="00CD10C1" w:rsidRDefault="0092478E" w:rsidP="00034EAE">
            <w:pPr>
              <w:pStyle w:val="Tabletext"/>
            </w:pPr>
            <w:r w:rsidRPr="00CD10C1">
              <w:t>ABS</w:t>
            </w:r>
          </w:p>
        </w:tc>
        <w:tc>
          <w:tcPr>
            <w:tcW w:w="0" w:type="auto"/>
            <w:vAlign w:val="top"/>
          </w:tcPr>
          <w:p w14:paraId="41613D72" w14:textId="77777777" w:rsidR="0092478E" w:rsidRPr="00CD10C1" w:rsidRDefault="0092478E" w:rsidP="00034EAE">
            <w:pPr>
              <w:pStyle w:val="Tabletext"/>
              <w:rPr>
                <w:rFonts w:eastAsia="Arial"/>
              </w:rPr>
            </w:pPr>
            <w:r w:rsidRPr="00CD10C1">
              <w:t>Annually</w:t>
            </w:r>
          </w:p>
        </w:tc>
      </w:tr>
    </w:tbl>
    <w:p w14:paraId="47757B5E" w14:textId="77777777" w:rsidR="0092478E" w:rsidRPr="008C4020" w:rsidRDefault="0092478E" w:rsidP="00034EAE">
      <w:pPr>
        <w:pStyle w:val="Caption"/>
        <w:spacing w:before="240"/>
      </w:pPr>
      <w:r w:rsidRPr="008C4020">
        <w:t>Number of new cases of cervical cancer by type of cancer and vaccination status in Aboriginal and Torres Strait Islander females aged 25–74 years per 100,000 estimated resident Aboriginal and Torres Strait Islander female population aged 25–74 years in a calendar year</w:t>
      </w:r>
    </w:p>
    <w:tbl>
      <w:tblPr>
        <w:tblStyle w:val="TableGrid"/>
        <w:tblW w:w="0" w:type="auto"/>
        <w:jc w:val="center"/>
        <w:tblLook w:val="04A0" w:firstRow="1" w:lastRow="0" w:firstColumn="1" w:lastColumn="0"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35"/>
        <w:gridCol w:w="734"/>
        <w:gridCol w:w="3673"/>
        <w:gridCol w:w="2173"/>
        <w:gridCol w:w="1477"/>
      </w:tblGrid>
      <w:tr w:rsidR="0092478E" w:rsidRPr="003B715B" w14:paraId="69719061"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010AABCE" w14:textId="77777777" w:rsidR="0092478E" w:rsidRPr="00393713" w:rsidRDefault="0092478E" w:rsidP="00034EAE">
            <w:pPr>
              <w:pStyle w:val="Tableheaderrowblack"/>
              <w:rPr>
                <w:b/>
              </w:rPr>
            </w:pPr>
            <w:r w:rsidRPr="00393713">
              <w:t>Indicator components</w:t>
            </w:r>
          </w:p>
        </w:tc>
        <w:tc>
          <w:tcPr>
            <w:tcW w:w="0" w:type="auto"/>
            <w:vAlign w:val="top"/>
          </w:tcPr>
          <w:p w14:paraId="116DAB78" w14:textId="77777777" w:rsidR="0092478E" w:rsidRPr="00393713" w:rsidRDefault="0092478E" w:rsidP="00034EAE">
            <w:pPr>
              <w:pStyle w:val="Tableheaderrowblack"/>
              <w:rPr>
                <w:b/>
              </w:rPr>
            </w:pPr>
            <w:r w:rsidRPr="00393713">
              <w:t>Source</w:t>
            </w:r>
          </w:p>
        </w:tc>
        <w:tc>
          <w:tcPr>
            <w:tcW w:w="0" w:type="auto"/>
            <w:vAlign w:val="top"/>
          </w:tcPr>
          <w:p w14:paraId="3757E5D3" w14:textId="77777777" w:rsidR="0092478E" w:rsidRPr="00393713" w:rsidRDefault="0092478E" w:rsidP="00034EAE">
            <w:pPr>
              <w:pStyle w:val="Tableheaderrowblack"/>
              <w:rPr>
                <w:b/>
              </w:rPr>
            </w:pPr>
            <w:r w:rsidRPr="00393713">
              <w:t>Description</w:t>
            </w:r>
          </w:p>
        </w:tc>
        <w:tc>
          <w:tcPr>
            <w:tcW w:w="0" w:type="auto"/>
            <w:vAlign w:val="top"/>
          </w:tcPr>
          <w:p w14:paraId="42189CB7" w14:textId="4A03D1D3" w:rsidR="0092478E" w:rsidRPr="00393713" w:rsidRDefault="0092478E" w:rsidP="00034EAE">
            <w:pPr>
              <w:pStyle w:val="Tableheaderrowblack"/>
              <w:rPr>
                <w:b/>
              </w:rPr>
            </w:pPr>
            <w:r w:rsidRPr="00393713">
              <w:t>Custodian/stakeholder</w:t>
            </w:r>
          </w:p>
        </w:tc>
        <w:tc>
          <w:tcPr>
            <w:tcW w:w="0" w:type="auto"/>
            <w:vAlign w:val="top"/>
          </w:tcPr>
          <w:p w14:paraId="4540FE88" w14:textId="75F819D4" w:rsidR="0092478E" w:rsidRPr="00393713" w:rsidRDefault="0092478E" w:rsidP="00034EAE">
            <w:pPr>
              <w:pStyle w:val="Tableheaderrowblack"/>
              <w:rPr>
                <w:b/>
              </w:rPr>
            </w:pPr>
            <w:r w:rsidRPr="00393713">
              <w:t>Availability of data for reporting</w:t>
            </w:r>
          </w:p>
        </w:tc>
      </w:tr>
      <w:tr w:rsidR="00AF28A4" w:rsidRPr="003B715B" w14:paraId="2906769A"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4BCC56F" w14:textId="77777777" w:rsidR="00AF28A4" w:rsidRPr="00CA76F2" w:rsidRDefault="00AF28A4"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8EF1841" w14:textId="5CF86B30" w:rsidR="00AF28A4" w:rsidRPr="00393713" w:rsidRDefault="00AF28A4" w:rsidP="00034EAE">
            <w:pPr>
              <w:pStyle w:val="Tabletext"/>
              <w:rPr>
                <w:rFonts w:cs="Arial"/>
              </w:rPr>
            </w:pPr>
            <w:r w:rsidRPr="4CDBB324">
              <w:rPr>
                <w:rFonts w:cs="Arial"/>
              </w:rPr>
              <w:t>ACD</w:t>
            </w:r>
            <w:r>
              <w:rPr>
                <w:rFonts w:eastAsiaTheme="minorEastAsia"/>
              </w:rPr>
              <w:fldChar w:fldCharType="begin"/>
            </w:r>
            <w:r>
              <w:rPr>
                <w:rFonts w:cs="Arial"/>
              </w:rPr>
              <w:instrText xml:space="preserve"> NOTEREF _Ref152236008 \f \h </w:instrText>
            </w:r>
            <w:r w:rsidR="00034EAE">
              <w:rPr>
                <w:rFonts w:eastAsiaTheme="minorEastAsia"/>
              </w:rPr>
              <w:instrText xml:space="preserve"> \* MERGEFORMAT </w:instrText>
            </w:r>
            <w:r>
              <w:rPr>
                <w:rFonts w:eastAsiaTheme="minorEastAsia"/>
              </w:rPr>
            </w:r>
            <w:r>
              <w:rPr>
                <w:rFonts w:eastAsiaTheme="minorEastAsia"/>
              </w:rPr>
              <w:fldChar w:fldCharType="separate"/>
            </w:r>
            <w:r w:rsidRPr="00AF28A4">
              <w:rPr>
                <w:rStyle w:val="FootnoteReference"/>
              </w:rPr>
              <w:t>20</w:t>
            </w:r>
            <w:r>
              <w:rPr>
                <w:rFonts w:eastAsiaTheme="minorEastAsia"/>
              </w:rPr>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78242CB" w14:textId="77777777" w:rsidR="00AF28A4" w:rsidRPr="00393713" w:rsidRDefault="00AF28A4" w:rsidP="00034EAE">
            <w:pPr>
              <w:pStyle w:val="Tabletext"/>
              <w:rPr>
                <w:rFonts w:cs="Arial"/>
              </w:rPr>
            </w:pPr>
            <w:r w:rsidRPr="00393713">
              <w:rPr>
                <w:rFonts w:cs="Arial"/>
              </w:rPr>
              <w:t>Number of new cases of cervical cancer</w:t>
            </w:r>
            <w:r>
              <w:rPr>
                <w:rFonts w:cs="Arial"/>
              </w:rPr>
              <w:t xml:space="preserve"> by type of cancer and vaccination status</w:t>
            </w:r>
            <w:r w:rsidRPr="00393713">
              <w:rPr>
                <w:rFonts w:cs="Arial"/>
              </w:rPr>
              <w:t xml:space="preserve"> in Aboriginal and Torres Strait Islander females</w:t>
            </w:r>
            <w:r>
              <w:rPr>
                <w:rFonts w:cs="Arial"/>
              </w:rPr>
              <w:t xml:space="preserve"> </w:t>
            </w:r>
            <w:r w:rsidRPr="00D12CFD">
              <w:rPr>
                <w:rFonts w:cs="Arial"/>
              </w:rPr>
              <w:t>aged 25–74 years</w:t>
            </w:r>
            <w:r w:rsidRPr="00393713">
              <w:rPr>
                <w:rFonts w:cs="Arial"/>
              </w:rPr>
              <w:t xml:space="preserve">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B491CAB" w14:textId="77777777" w:rsidR="00AF28A4" w:rsidRPr="00CD10C1" w:rsidRDefault="00AF28A4" w:rsidP="00034EAE">
            <w:pPr>
              <w:pStyle w:val="Tabletext"/>
            </w:pPr>
            <w:r w:rsidRPr="00CD10C1">
              <w:t>AIHW</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EDDAB6E" w14:textId="77777777" w:rsidR="00AF28A4" w:rsidRPr="00CD10C1" w:rsidRDefault="00AF28A4" w:rsidP="00034EAE">
            <w:pPr>
              <w:pStyle w:val="Tabletext"/>
            </w:pPr>
            <w:r w:rsidRPr="00CD10C1">
              <w:t>Annually</w:t>
            </w:r>
          </w:p>
        </w:tc>
      </w:tr>
      <w:tr w:rsidR="00AF28A4" w:rsidRPr="00D070E3" w14:paraId="041A542E" w14:textId="77777777" w:rsidTr="00034EAE">
        <w:trPr>
          <w:trHeight w:val="534"/>
          <w:jc w:val="center"/>
        </w:trPr>
        <w:tc>
          <w:tcPr>
            <w:tcW w:w="0" w:type="auto"/>
            <w:vAlign w:val="top"/>
          </w:tcPr>
          <w:p w14:paraId="7800AB0A" w14:textId="77777777" w:rsidR="00AF28A4" w:rsidRPr="00CA76F2" w:rsidRDefault="00AF28A4" w:rsidP="00034EAE">
            <w:pPr>
              <w:pStyle w:val="Tabletext"/>
            </w:pPr>
            <w:r w:rsidRPr="00CA76F2">
              <w:t>Denominator</w:t>
            </w:r>
          </w:p>
        </w:tc>
        <w:tc>
          <w:tcPr>
            <w:tcW w:w="0" w:type="auto"/>
            <w:vAlign w:val="top"/>
          </w:tcPr>
          <w:p w14:paraId="4CAE8835" w14:textId="41350879" w:rsidR="00AF28A4" w:rsidRPr="001123A3" w:rsidRDefault="00AF28A4" w:rsidP="00034EAE">
            <w:pPr>
              <w:pStyle w:val="Tabletext"/>
              <w:rPr>
                <w:rFonts w:cs="Arial"/>
                <w:vertAlign w:val="superscript"/>
              </w:rPr>
            </w:pPr>
            <w:r w:rsidRPr="00CA76F2">
              <w:t>ABS</w:t>
            </w:r>
            <w:r>
              <w:rPr>
                <w:rStyle w:val="SuperscriptChar"/>
              </w:rPr>
              <w:fldChar w:fldCharType="begin"/>
            </w:r>
            <w:r>
              <w:instrText xml:space="preserve"> NOTEREF _Ref152236008 \f \h </w:instrText>
            </w:r>
            <w:r w:rsidR="00034EAE">
              <w:rPr>
                <w:rStyle w:val="SuperscriptChar"/>
              </w:rPr>
              <w:instrText xml:space="preserve"> \* MERGEFORMAT </w:instrText>
            </w:r>
            <w:r>
              <w:rPr>
                <w:rStyle w:val="SuperscriptChar"/>
              </w:rPr>
            </w:r>
            <w:r>
              <w:rPr>
                <w:rStyle w:val="SuperscriptChar"/>
              </w:rPr>
              <w:fldChar w:fldCharType="separate"/>
            </w:r>
            <w:r w:rsidRPr="00AF28A4">
              <w:rPr>
                <w:rStyle w:val="FootnoteReference"/>
              </w:rPr>
              <w:t>20</w:t>
            </w:r>
            <w:r>
              <w:rPr>
                <w:rStyle w:val="SuperscriptChar"/>
              </w:rPr>
              <w:fldChar w:fldCharType="end"/>
            </w:r>
          </w:p>
        </w:tc>
        <w:tc>
          <w:tcPr>
            <w:tcW w:w="0" w:type="auto"/>
            <w:vAlign w:val="top"/>
          </w:tcPr>
          <w:p w14:paraId="5EAC308B" w14:textId="77777777" w:rsidR="00AF28A4" w:rsidRPr="00393713" w:rsidRDefault="00AF28A4" w:rsidP="00034EAE">
            <w:pPr>
              <w:pStyle w:val="Tabletext"/>
              <w:rPr>
                <w:rFonts w:cs="Arial"/>
              </w:rPr>
            </w:pPr>
            <w:r w:rsidRPr="00393713">
              <w:rPr>
                <w:rFonts w:cs="Arial"/>
              </w:rPr>
              <w:t>Estimated resident Aboriginal and Torres Strait Islander female population</w:t>
            </w:r>
            <w:r>
              <w:rPr>
                <w:rFonts w:cs="Arial"/>
              </w:rPr>
              <w:t xml:space="preserve"> </w:t>
            </w:r>
            <w:r w:rsidRPr="00D12CFD">
              <w:rPr>
                <w:rFonts w:cs="Arial"/>
              </w:rPr>
              <w:t>aged 25–74 years</w:t>
            </w:r>
            <w:r w:rsidRPr="00393713">
              <w:rPr>
                <w:rFonts w:cs="Arial"/>
              </w:rPr>
              <w:t>.</w:t>
            </w:r>
          </w:p>
        </w:tc>
        <w:tc>
          <w:tcPr>
            <w:tcW w:w="0" w:type="auto"/>
            <w:vAlign w:val="top"/>
          </w:tcPr>
          <w:p w14:paraId="0ECF35CA" w14:textId="77777777" w:rsidR="00AF28A4" w:rsidRPr="00CD10C1" w:rsidRDefault="00AF28A4" w:rsidP="00034EAE">
            <w:pPr>
              <w:pStyle w:val="Tabletext"/>
            </w:pPr>
            <w:r w:rsidRPr="00CD10C1">
              <w:t>ABS</w:t>
            </w:r>
          </w:p>
        </w:tc>
        <w:tc>
          <w:tcPr>
            <w:tcW w:w="0" w:type="auto"/>
            <w:vAlign w:val="top"/>
          </w:tcPr>
          <w:p w14:paraId="3E4F526F" w14:textId="77777777" w:rsidR="00AF28A4" w:rsidRPr="00CD10C1" w:rsidRDefault="00AF28A4" w:rsidP="00034EAE">
            <w:pPr>
              <w:pStyle w:val="Tabletext"/>
              <w:rPr>
                <w:rFonts w:eastAsia="Arial"/>
              </w:rPr>
            </w:pPr>
            <w:r w:rsidRPr="00CD10C1">
              <w:t>Annually</w:t>
            </w:r>
          </w:p>
        </w:tc>
      </w:tr>
    </w:tbl>
    <w:p w14:paraId="26DE0057" w14:textId="77777777" w:rsidR="0092478E" w:rsidRPr="008C4020" w:rsidRDefault="0092478E" w:rsidP="00034EAE">
      <w:pPr>
        <w:pStyle w:val="Caption"/>
        <w:spacing w:before="240"/>
      </w:pPr>
      <w:r w:rsidRPr="008C4020">
        <w:t>Number of deaths from cervical cancer by type of cancer and vaccination status in females aged 25–74 years per 100,000 estimated resident female population aged 25–74 years in a calendar year</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69"/>
        <w:gridCol w:w="734"/>
        <w:gridCol w:w="3537"/>
        <w:gridCol w:w="2173"/>
        <w:gridCol w:w="1579"/>
      </w:tblGrid>
      <w:tr w:rsidR="0092478E" w:rsidRPr="00D070E3" w14:paraId="60CA7228"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2DBFDA7E" w14:textId="77777777" w:rsidR="0092478E" w:rsidRPr="00D070E3" w:rsidRDefault="0092478E" w:rsidP="00034EAE">
            <w:pPr>
              <w:pStyle w:val="Tableheaderrowblack"/>
              <w:rPr>
                <w:b/>
              </w:rPr>
            </w:pPr>
            <w:r w:rsidRPr="00D070E3">
              <w:t>Indicator components</w:t>
            </w:r>
          </w:p>
        </w:tc>
        <w:tc>
          <w:tcPr>
            <w:tcW w:w="0" w:type="auto"/>
            <w:vAlign w:val="top"/>
          </w:tcPr>
          <w:p w14:paraId="342DDD8B" w14:textId="77777777" w:rsidR="0092478E" w:rsidRPr="00D070E3" w:rsidRDefault="0092478E" w:rsidP="00034EAE">
            <w:pPr>
              <w:pStyle w:val="Tableheaderrowblack"/>
              <w:rPr>
                <w:b/>
              </w:rPr>
            </w:pPr>
            <w:r w:rsidRPr="00D070E3">
              <w:t>Source</w:t>
            </w:r>
          </w:p>
        </w:tc>
        <w:tc>
          <w:tcPr>
            <w:tcW w:w="0" w:type="auto"/>
            <w:vAlign w:val="top"/>
          </w:tcPr>
          <w:p w14:paraId="5E98DD72" w14:textId="77777777" w:rsidR="0092478E" w:rsidRPr="00D070E3" w:rsidRDefault="0092478E" w:rsidP="00034EAE">
            <w:pPr>
              <w:pStyle w:val="Tableheaderrowblack"/>
              <w:rPr>
                <w:b/>
              </w:rPr>
            </w:pPr>
            <w:r w:rsidRPr="00D070E3">
              <w:t>Description</w:t>
            </w:r>
          </w:p>
        </w:tc>
        <w:tc>
          <w:tcPr>
            <w:tcW w:w="0" w:type="auto"/>
            <w:vAlign w:val="top"/>
          </w:tcPr>
          <w:p w14:paraId="29744C99" w14:textId="0F957694" w:rsidR="0092478E" w:rsidRPr="00D070E3" w:rsidRDefault="0092478E" w:rsidP="00034EAE">
            <w:pPr>
              <w:pStyle w:val="Tableheaderrowblack"/>
              <w:rPr>
                <w:b/>
              </w:rPr>
            </w:pPr>
            <w:r w:rsidRPr="00D070E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6DAB5435" w14:textId="76F78D1E" w:rsidR="0092478E" w:rsidRPr="00D070E3" w:rsidRDefault="0092478E" w:rsidP="00034EAE">
            <w:pPr>
              <w:pStyle w:val="Tableheaderrowblack"/>
              <w:rPr>
                <w:b/>
              </w:rPr>
            </w:pPr>
            <w:r w:rsidRPr="00D070E3">
              <w:t>Availability of data for reporting</w:t>
            </w:r>
          </w:p>
        </w:tc>
      </w:tr>
      <w:tr w:rsidR="0092478E" w:rsidRPr="00D070E3" w14:paraId="01A5CCC9"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18A60F1" w14:textId="77777777" w:rsidR="0092478E" w:rsidRPr="00CA76F2" w:rsidRDefault="0092478E" w:rsidP="00034EAE">
            <w:pPr>
              <w:pStyle w:val="Tabletext"/>
            </w:pPr>
            <w:r w:rsidRPr="00CA76F2">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4B5D36B" w14:textId="6A8661A8" w:rsidR="0092478E" w:rsidRPr="001123A3" w:rsidRDefault="0092478E" w:rsidP="00034EAE">
            <w:pPr>
              <w:pStyle w:val="Tabletext"/>
              <w:rPr>
                <w:rFonts w:eastAsia="Arial" w:cs="Arial"/>
                <w:vertAlign w:val="superscript"/>
              </w:rPr>
            </w:pPr>
            <w:r w:rsidRPr="00393713">
              <w:rPr>
                <w:rFonts w:cs="Arial"/>
              </w:rPr>
              <w:t>NMD</w:t>
            </w:r>
            <w:r w:rsidR="00AF28A4">
              <w:rPr>
                <w:rFonts w:cs="Arial"/>
              </w:rPr>
              <w:fldChar w:fldCharType="begin"/>
            </w:r>
            <w:r w:rsidR="00AF28A4">
              <w:rPr>
                <w:rFonts w:cs="Arial"/>
              </w:rPr>
              <w:instrText xml:space="preserve"> NOTEREF _Ref152236008 \f \h </w:instrText>
            </w:r>
            <w:r w:rsidR="00034EAE">
              <w:rPr>
                <w:rFonts w:cs="Arial"/>
              </w:rPr>
              <w:instrText xml:space="preserve"> \* MERGEFORMAT </w:instrText>
            </w:r>
            <w:r w:rsidR="00AF28A4">
              <w:rPr>
                <w:rFonts w:cs="Arial"/>
              </w:rPr>
            </w:r>
            <w:r w:rsidR="00AF28A4">
              <w:rPr>
                <w:rFonts w:cs="Arial"/>
              </w:rPr>
              <w:fldChar w:fldCharType="separate"/>
            </w:r>
            <w:r w:rsidR="00AF28A4" w:rsidRPr="00AF28A4">
              <w:rPr>
                <w:rStyle w:val="FootnoteReference"/>
              </w:rPr>
              <w:t>20</w:t>
            </w:r>
            <w:r w:rsidR="00AF28A4">
              <w:rPr>
                <w:rFonts w:cs="Arial"/>
              </w:rPr>
              <w:fldChar w:fldCharType="end"/>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E7C8FDC" w14:textId="77777777" w:rsidR="0092478E" w:rsidRPr="00D070E3" w:rsidRDefault="0092478E" w:rsidP="00034EAE">
            <w:pPr>
              <w:pStyle w:val="Tabletext"/>
              <w:rPr>
                <w:rFonts w:cs="Arial"/>
              </w:rPr>
            </w:pPr>
            <w:r w:rsidRPr="4CDBB324">
              <w:rPr>
                <w:rFonts w:cs="Arial"/>
              </w:rPr>
              <w:t>The number of deaths from cervical cancer</w:t>
            </w:r>
            <w:r>
              <w:rPr>
                <w:rFonts w:cs="Arial"/>
              </w:rPr>
              <w:t xml:space="preserve"> by type of cancer and vaccination status </w:t>
            </w:r>
            <w:r w:rsidRPr="4CDBB324">
              <w:rPr>
                <w:rFonts w:cs="Arial"/>
              </w:rPr>
              <w:t xml:space="preserve">in </w:t>
            </w:r>
            <w:r w:rsidRPr="00393713">
              <w:rPr>
                <w:rFonts w:cs="Arial"/>
              </w:rPr>
              <w:t>females</w:t>
            </w:r>
            <w:r w:rsidRPr="4CDBB324">
              <w:rPr>
                <w:rFonts w:cs="Arial"/>
              </w:rPr>
              <w:t xml:space="preserve"> </w:t>
            </w:r>
            <w:r w:rsidRPr="00D12CFD">
              <w:rPr>
                <w:rFonts w:cs="Arial"/>
              </w:rPr>
              <w:t>aged 25–74</w:t>
            </w:r>
            <w:r>
              <w:rPr>
                <w:rFonts w:cs="Arial"/>
              </w:rPr>
              <w:t xml:space="preserve"> years</w:t>
            </w:r>
            <w:r w:rsidRPr="00D12CFD">
              <w:rPr>
                <w:rFonts w:cs="Arial"/>
              </w:rPr>
              <w:t xml:space="preserve"> </w:t>
            </w:r>
            <w:r w:rsidRPr="4CDBB324">
              <w:rPr>
                <w:rFonts w:cs="Arial"/>
              </w:rPr>
              <w:t>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BA7922F" w14:textId="77777777" w:rsidR="0092478E" w:rsidRPr="00CD10C1" w:rsidRDefault="0092478E" w:rsidP="00034EAE">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69FF5CE" w14:textId="77777777" w:rsidR="0092478E" w:rsidRPr="00CD10C1" w:rsidRDefault="0092478E" w:rsidP="00034EAE">
            <w:pPr>
              <w:pStyle w:val="Tabletext"/>
              <w:rPr>
                <w:rFonts w:eastAsia="Arial"/>
              </w:rPr>
            </w:pPr>
            <w:r w:rsidRPr="00CD10C1">
              <w:t>Annually</w:t>
            </w:r>
          </w:p>
        </w:tc>
      </w:tr>
      <w:tr w:rsidR="0092478E" w:rsidRPr="00D070E3" w14:paraId="6107108C" w14:textId="77777777" w:rsidTr="00034EAE">
        <w:trPr>
          <w:jc w:val="center"/>
        </w:trPr>
        <w:tc>
          <w:tcPr>
            <w:tcW w:w="0" w:type="auto"/>
            <w:vAlign w:val="top"/>
          </w:tcPr>
          <w:p w14:paraId="50ADF28A" w14:textId="77777777" w:rsidR="0092478E" w:rsidRPr="00D070E3" w:rsidRDefault="0092478E" w:rsidP="00034EAE">
            <w:pPr>
              <w:pStyle w:val="Tabletext"/>
              <w:rPr>
                <w:rFonts w:cs="Arial"/>
                <w:b/>
              </w:rPr>
            </w:pPr>
            <w:r w:rsidRPr="00CA76F2">
              <w:t>Denominator</w:t>
            </w:r>
          </w:p>
        </w:tc>
        <w:tc>
          <w:tcPr>
            <w:tcW w:w="0" w:type="auto"/>
            <w:vAlign w:val="top"/>
          </w:tcPr>
          <w:p w14:paraId="3C3E88D4" w14:textId="405D69A2" w:rsidR="0092478E" w:rsidRPr="001123A3" w:rsidRDefault="0092478E" w:rsidP="00034EAE">
            <w:pPr>
              <w:pStyle w:val="Tabletext"/>
              <w:rPr>
                <w:rFonts w:cs="Arial"/>
                <w:vertAlign w:val="superscript"/>
              </w:rPr>
            </w:pPr>
            <w:r w:rsidRPr="00393713">
              <w:rPr>
                <w:rFonts w:cs="Arial"/>
              </w:rPr>
              <w:t>ABS</w:t>
            </w:r>
            <w:r w:rsidR="00AF28A4">
              <w:rPr>
                <w:rFonts w:cs="Arial"/>
                <w:vertAlign w:val="superscript"/>
              </w:rPr>
              <w:fldChar w:fldCharType="begin"/>
            </w:r>
            <w:r w:rsidR="00AF28A4">
              <w:rPr>
                <w:rFonts w:cs="Arial"/>
              </w:rPr>
              <w:instrText xml:space="preserve"> NOTEREF _Ref152236008 \f \h </w:instrText>
            </w:r>
            <w:r w:rsidR="00034EAE">
              <w:rPr>
                <w:rFonts w:cs="Arial"/>
                <w:vertAlign w:val="superscript"/>
              </w:rPr>
              <w:instrText xml:space="preserve"> \* MERGEFORMAT </w:instrText>
            </w:r>
            <w:r w:rsidR="00AF28A4">
              <w:rPr>
                <w:rFonts w:cs="Arial"/>
                <w:vertAlign w:val="superscript"/>
              </w:rPr>
            </w:r>
            <w:r w:rsidR="00AF28A4">
              <w:rPr>
                <w:rFonts w:cs="Arial"/>
                <w:vertAlign w:val="superscript"/>
              </w:rPr>
              <w:fldChar w:fldCharType="separate"/>
            </w:r>
            <w:r w:rsidR="00AF28A4" w:rsidRPr="00AF28A4">
              <w:rPr>
                <w:rStyle w:val="FootnoteReference"/>
              </w:rPr>
              <w:t>20</w:t>
            </w:r>
            <w:r w:rsidR="00AF28A4">
              <w:rPr>
                <w:rFonts w:cs="Arial"/>
                <w:vertAlign w:val="superscript"/>
              </w:rPr>
              <w:fldChar w:fldCharType="end"/>
            </w:r>
          </w:p>
        </w:tc>
        <w:tc>
          <w:tcPr>
            <w:tcW w:w="0" w:type="auto"/>
            <w:vAlign w:val="top"/>
          </w:tcPr>
          <w:p w14:paraId="4613F326" w14:textId="77777777" w:rsidR="0092478E" w:rsidRPr="00D070E3" w:rsidRDefault="0092478E" w:rsidP="00034EAE">
            <w:pPr>
              <w:pStyle w:val="Tabletext"/>
              <w:rPr>
                <w:rFonts w:cs="Arial"/>
              </w:rPr>
            </w:pPr>
            <w:r w:rsidRPr="4CDBB324">
              <w:rPr>
                <w:rFonts w:cs="Arial"/>
              </w:rPr>
              <w:t xml:space="preserve">Estimated resident population for </w:t>
            </w:r>
            <w:r w:rsidRPr="00393713">
              <w:rPr>
                <w:rFonts w:cs="Arial"/>
              </w:rPr>
              <w:t>females</w:t>
            </w:r>
            <w:r>
              <w:rPr>
                <w:rFonts w:cs="Arial"/>
              </w:rPr>
              <w:t xml:space="preserve"> </w:t>
            </w:r>
            <w:r w:rsidRPr="00D12CFD">
              <w:rPr>
                <w:rFonts w:cs="Arial"/>
              </w:rPr>
              <w:t>aged 25–74</w:t>
            </w:r>
            <w:r>
              <w:rPr>
                <w:rFonts w:cs="Arial"/>
              </w:rPr>
              <w:t xml:space="preserve"> years</w:t>
            </w:r>
            <w:r w:rsidRPr="00393713">
              <w:rPr>
                <w:rFonts w:cs="Arial"/>
              </w:rPr>
              <w:t>.</w:t>
            </w:r>
          </w:p>
        </w:tc>
        <w:tc>
          <w:tcPr>
            <w:tcW w:w="0" w:type="auto"/>
            <w:vAlign w:val="top"/>
          </w:tcPr>
          <w:p w14:paraId="0663D33F" w14:textId="77777777" w:rsidR="0092478E" w:rsidRPr="00CD10C1" w:rsidRDefault="0092478E" w:rsidP="00034EAE">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3EABD494" w14:textId="77777777" w:rsidR="0092478E" w:rsidRPr="00CD10C1" w:rsidRDefault="0092478E" w:rsidP="00034EAE">
            <w:pPr>
              <w:pStyle w:val="Tabletext"/>
              <w:rPr>
                <w:rFonts w:eastAsia="Arial"/>
              </w:rPr>
            </w:pPr>
            <w:r w:rsidRPr="00CD10C1">
              <w:t>Annually</w:t>
            </w:r>
          </w:p>
        </w:tc>
      </w:tr>
    </w:tbl>
    <w:p w14:paraId="55BA655B" w14:textId="77777777" w:rsidR="0092478E" w:rsidRPr="008C4020" w:rsidRDefault="0092478E" w:rsidP="00034EAE">
      <w:pPr>
        <w:pStyle w:val="Caption"/>
        <w:keepNext/>
      </w:pPr>
      <w:r w:rsidRPr="008C4020">
        <w:lastRenderedPageBreak/>
        <w:t>Number of deaths from cervical cancer by type of cancer and vaccination status in Aboriginal and Torres Strait Islander females aged 25–74 years</w:t>
      </w:r>
      <w:r w:rsidRPr="008C4020" w:rsidDel="00FA317C">
        <w:t xml:space="preserve"> </w:t>
      </w:r>
      <w:r w:rsidRPr="008C4020">
        <w:t>per 100,000 estimated resident Aboriginal and Torres Strait Islander female population aged 25–74 years in a calendar year</w:t>
      </w:r>
    </w:p>
    <w:tbl>
      <w:tblPr>
        <w:tblStyle w:val="TableGrid"/>
        <w:tblW w:w="0" w:type="auto"/>
        <w:jc w:val="center"/>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432"/>
        <w:gridCol w:w="734"/>
        <w:gridCol w:w="3658"/>
        <w:gridCol w:w="2173"/>
        <w:gridCol w:w="1495"/>
      </w:tblGrid>
      <w:tr w:rsidR="0092478E" w:rsidRPr="003B715B" w14:paraId="7E6667C3" w14:textId="77777777" w:rsidTr="00034EAE">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top"/>
          </w:tcPr>
          <w:p w14:paraId="6ACF3B02" w14:textId="77777777" w:rsidR="0092478E" w:rsidRPr="00393713" w:rsidRDefault="0092478E" w:rsidP="00034EAE">
            <w:pPr>
              <w:pStyle w:val="Tableheaderrowblack"/>
              <w:rPr>
                <w:b/>
              </w:rPr>
            </w:pPr>
            <w:r w:rsidRPr="00393713">
              <w:t>Indicator components</w:t>
            </w:r>
          </w:p>
        </w:tc>
        <w:tc>
          <w:tcPr>
            <w:tcW w:w="0" w:type="auto"/>
            <w:vAlign w:val="top"/>
          </w:tcPr>
          <w:p w14:paraId="2B17AB99" w14:textId="77777777" w:rsidR="0092478E" w:rsidRPr="00393713" w:rsidRDefault="0092478E" w:rsidP="00034EAE">
            <w:pPr>
              <w:pStyle w:val="Tableheaderrowblack"/>
              <w:rPr>
                <w:b/>
              </w:rPr>
            </w:pPr>
            <w:r w:rsidRPr="00393713">
              <w:t>Source</w:t>
            </w:r>
          </w:p>
        </w:tc>
        <w:tc>
          <w:tcPr>
            <w:tcW w:w="0" w:type="auto"/>
            <w:vAlign w:val="top"/>
          </w:tcPr>
          <w:p w14:paraId="461EC767" w14:textId="77777777" w:rsidR="0092478E" w:rsidRPr="00393713" w:rsidRDefault="0092478E" w:rsidP="00034EAE">
            <w:pPr>
              <w:pStyle w:val="Tableheaderrowblack"/>
              <w:rPr>
                <w:b/>
              </w:rPr>
            </w:pPr>
            <w:r w:rsidRPr="00393713">
              <w:t>Description</w:t>
            </w:r>
          </w:p>
        </w:tc>
        <w:tc>
          <w:tcPr>
            <w:tcW w:w="0" w:type="auto"/>
            <w:vAlign w:val="top"/>
          </w:tcPr>
          <w:p w14:paraId="25D48473" w14:textId="7782F89B" w:rsidR="0092478E" w:rsidRPr="00393713" w:rsidRDefault="0092478E" w:rsidP="00034EAE">
            <w:pPr>
              <w:pStyle w:val="Tableheaderrowblack"/>
              <w:rPr>
                <w:b/>
              </w:rPr>
            </w:pPr>
            <w:r w:rsidRPr="00393713">
              <w:t>Custodian/stakeholder</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64E9F4EF" w14:textId="768837E9" w:rsidR="0092478E" w:rsidRPr="00393713" w:rsidRDefault="0092478E" w:rsidP="00034EAE">
            <w:pPr>
              <w:pStyle w:val="Tableheaderrowblack"/>
              <w:rPr>
                <w:b/>
              </w:rPr>
            </w:pPr>
            <w:r w:rsidRPr="00393713">
              <w:t>Availability of data for reporting</w:t>
            </w:r>
          </w:p>
        </w:tc>
      </w:tr>
      <w:tr w:rsidR="0092478E" w:rsidRPr="003B715B" w14:paraId="10D521F6" w14:textId="77777777" w:rsidTr="00034EAE">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9A7961B" w14:textId="77777777" w:rsidR="0092478E" w:rsidRPr="00393713" w:rsidRDefault="0092478E" w:rsidP="00034EAE">
            <w:pPr>
              <w:pStyle w:val="Tabletext"/>
              <w:rPr>
                <w:rFonts w:cs="Arial"/>
                <w:b/>
              </w:rPr>
            </w:pPr>
            <w:r w:rsidRPr="00CD10C1">
              <w:t>Numerator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D3663CC" w14:textId="79179DA4" w:rsidR="0092478E" w:rsidRPr="00393713" w:rsidRDefault="0092478E" w:rsidP="00034EAE">
            <w:pPr>
              <w:pStyle w:val="Tabletext"/>
              <w:rPr>
                <w:rFonts w:eastAsia="Arial" w:cs="Arial"/>
              </w:rPr>
            </w:pPr>
            <w:r w:rsidRPr="00393713">
              <w:rPr>
                <w:rFonts w:cs="Arial"/>
              </w:rPr>
              <w:t>NMD</w:t>
            </w:r>
            <w:bookmarkStart w:id="68" w:name="_Ref173939408"/>
            <w:r w:rsidR="005355AC">
              <w:rPr>
                <w:rFonts w:ascii="ZWAdobeF" w:hAnsi="ZWAdobeF" w:cs="ZWAdobeF"/>
                <w:color w:val="auto"/>
                <w:sz w:val="2"/>
                <w:szCs w:val="2"/>
              </w:rPr>
              <w:t>20F</w:t>
            </w:r>
            <w:r w:rsidR="00C327EC">
              <w:rPr>
                <w:rStyle w:val="FootnoteReference"/>
                <w:rFonts w:cs="Arial"/>
              </w:rPr>
              <w:footnoteReference w:id="21"/>
            </w:r>
            <w:bookmarkEnd w:id="68"/>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A9F68B7" w14:textId="77777777" w:rsidR="0092478E" w:rsidRPr="00393713" w:rsidRDefault="0092478E" w:rsidP="00034EAE">
            <w:pPr>
              <w:pStyle w:val="Tabletext"/>
              <w:rPr>
                <w:rFonts w:cs="Arial"/>
              </w:rPr>
            </w:pPr>
            <w:r>
              <w:rPr>
                <w:rFonts w:cs="Arial"/>
              </w:rPr>
              <w:t xml:space="preserve">The number of deaths from cervical cancer by type of cancer and vaccination status in Aboriginal and Torres Strait Islander females aged </w:t>
            </w:r>
            <w:r w:rsidRPr="00D12CFD">
              <w:rPr>
                <w:rFonts w:cs="Arial"/>
              </w:rPr>
              <w:t>25–74</w:t>
            </w:r>
            <w:r>
              <w:rPr>
                <w:rFonts w:cs="Arial"/>
              </w:rPr>
              <w:t xml:space="preserve"> years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0812BFE" w14:textId="77777777" w:rsidR="0092478E" w:rsidRPr="00CD10C1" w:rsidRDefault="0092478E" w:rsidP="00034EAE">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66817E3F" w14:textId="77777777" w:rsidR="0092478E" w:rsidRPr="00CD10C1" w:rsidRDefault="0092478E" w:rsidP="00034EAE">
            <w:pPr>
              <w:pStyle w:val="Tabletext"/>
              <w:rPr>
                <w:rFonts w:eastAsia="Arial"/>
              </w:rPr>
            </w:pPr>
            <w:r w:rsidRPr="00CD10C1">
              <w:t>Annually</w:t>
            </w:r>
          </w:p>
        </w:tc>
      </w:tr>
      <w:tr w:rsidR="0092478E" w:rsidRPr="00D070E3" w14:paraId="6B7F6DEF" w14:textId="77777777" w:rsidTr="00034EAE">
        <w:trPr>
          <w:jc w:val="center"/>
        </w:trPr>
        <w:tc>
          <w:tcPr>
            <w:tcW w:w="0" w:type="auto"/>
            <w:vAlign w:val="top"/>
          </w:tcPr>
          <w:p w14:paraId="5B84A37F" w14:textId="77777777" w:rsidR="0092478E" w:rsidRPr="00393713" w:rsidRDefault="0092478E" w:rsidP="00034EAE">
            <w:pPr>
              <w:pStyle w:val="Tabletext"/>
              <w:rPr>
                <w:rFonts w:cs="Arial"/>
                <w:b/>
              </w:rPr>
            </w:pPr>
            <w:r w:rsidRPr="00CD10C1">
              <w:t>Denominator</w:t>
            </w:r>
          </w:p>
        </w:tc>
        <w:tc>
          <w:tcPr>
            <w:tcW w:w="0" w:type="auto"/>
            <w:vAlign w:val="top"/>
          </w:tcPr>
          <w:p w14:paraId="0A8123C5" w14:textId="02968774" w:rsidR="0092478E" w:rsidRPr="00393713" w:rsidRDefault="0092478E" w:rsidP="00034EAE">
            <w:pPr>
              <w:pStyle w:val="Tabletext"/>
              <w:rPr>
                <w:rFonts w:cs="Arial"/>
              </w:rPr>
            </w:pPr>
            <w:r w:rsidRPr="00393713">
              <w:rPr>
                <w:rFonts w:cs="Arial"/>
              </w:rPr>
              <w:t>ABS</w:t>
            </w:r>
            <w:r w:rsidR="00C327EC">
              <w:rPr>
                <w:rFonts w:cs="Arial"/>
              </w:rPr>
              <w:fldChar w:fldCharType="begin"/>
            </w:r>
            <w:r w:rsidR="00C327EC">
              <w:rPr>
                <w:rFonts w:cs="Arial"/>
              </w:rPr>
              <w:instrText xml:space="preserve"> NOTEREF _Ref173939408 \f \h </w:instrText>
            </w:r>
            <w:r w:rsidR="00034EAE">
              <w:rPr>
                <w:rFonts w:cs="Arial"/>
              </w:rPr>
              <w:instrText xml:space="preserve"> \* MERGEFORMAT </w:instrText>
            </w:r>
            <w:r w:rsidR="00C327EC">
              <w:rPr>
                <w:rFonts w:cs="Arial"/>
              </w:rPr>
            </w:r>
            <w:r w:rsidR="00C327EC">
              <w:rPr>
                <w:rFonts w:cs="Arial"/>
              </w:rPr>
              <w:fldChar w:fldCharType="separate"/>
            </w:r>
            <w:r w:rsidR="00C327EC" w:rsidRPr="00C327EC">
              <w:rPr>
                <w:rStyle w:val="FootnoteReference"/>
              </w:rPr>
              <w:t>21</w:t>
            </w:r>
            <w:r w:rsidR="00C327EC">
              <w:rPr>
                <w:rFonts w:cs="Arial"/>
              </w:rPr>
              <w:fldChar w:fldCharType="end"/>
            </w:r>
            <w:r>
              <w:rPr>
                <w:rFonts w:cs="Arial"/>
                <w:vertAlign w:val="superscript"/>
              </w:rPr>
              <w:fldChar w:fldCharType="begin"/>
            </w:r>
            <w:r>
              <w:rPr>
                <w:rFonts w:cs="Arial"/>
              </w:rPr>
              <w:instrText xml:space="preserve"> NOTEREF _Ref160541533 \f \h </w:instrText>
            </w:r>
            <w:r w:rsidR="005B452C">
              <w:rPr>
                <w:rFonts w:cs="Arial"/>
                <w:vertAlign w:val="superscript"/>
              </w:rPr>
              <w:instrText xml:space="preserve"> \* MERGEFORMAT </w:instrText>
            </w:r>
            <w:r>
              <w:rPr>
                <w:rFonts w:cs="Arial"/>
                <w:vertAlign w:val="superscript"/>
              </w:rPr>
            </w:r>
            <w:r>
              <w:rPr>
                <w:rFonts w:cs="Arial"/>
                <w:vertAlign w:val="superscript"/>
              </w:rPr>
              <w:fldChar w:fldCharType="separate"/>
            </w:r>
            <w:r>
              <w:rPr>
                <w:rFonts w:cs="Arial"/>
                <w:vertAlign w:val="superscript"/>
              </w:rPr>
              <w:fldChar w:fldCharType="end"/>
            </w:r>
          </w:p>
        </w:tc>
        <w:tc>
          <w:tcPr>
            <w:tcW w:w="0" w:type="auto"/>
            <w:vAlign w:val="top"/>
          </w:tcPr>
          <w:p w14:paraId="1745EDDF" w14:textId="77777777" w:rsidR="0092478E" w:rsidRPr="00393713" w:rsidRDefault="0092478E" w:rsidP="00034EAE">
            <w:pPr>
              <w:pStyle w:val="Tabletext"/>
              <w:rPr>
                <w:rFonts w:cs="Arial"/>
              </w:rPr>
            </w:pPr>
            <w:r w:rsidRPr="00393713">
              <w:rPr>
                <w:rFonts w:cs="Arial"/>
              </w:rPr>
              <w:t>Estimated resident Aboriginal and Torres Strait Islander female population</w:t>
            </w:r>
            <w:r>
              <w:rPr>
                <w:rFonts w:cs="Arial"/>
              </w:rPr>
              <w:t xml:space="preserve"> aged </w:t>
            </w:r>
            <w:r w:rsidRPr="00D12CFD">
              <w:rPr>
                <w:rFonts w:cs="Arial"/>
              </w:rPr>
              <w:t>25–74</w:t>
            </w:r>
            <w:r>
              <w:rPr>
                <w:rFonts w:cs="Arial"/>
              </w:rPr>
              <w:t xml:space="preserve"> years</w:t>
            </w:r>
            <w:r w:rsidRPr="00393713">
              <w:rPr>
                <w:rFonts w:cs="Arial"/>
              </w:rPr>
              <w:t>.</w:t>
            </w:r>
          </w:p>
        </w:tc>
        <w:tc>
          <w:tcPr>
            <w:tcW w:w="0" w:type="auto"/>
            <w:vAlign w:val="top"/>
          </w:tcPr>
          <w:p w14:paraId="70C34B6A" w14:textId="77777777" w:rsidR="0092478E" w:rsidRPr="00CD10C1" w:rsidRDefault="0092478E" w:rsidP="00034EAE">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F3125AF" w14:textId="77777777" w:rsidR="0092478E" w:rsidRPr="00CD10C1" w:rsidRDefault="0092478E" w:rsidP="00034EAE">
            <w:pPr>
              <w:pStyle w:val="Tabletext"/>
              <w:rPr>
                <w:rFonts w:eastAsia="Arial"/>
              </w:rPr>
            </w:pPr>
            <w:r w:rsidRPr="00CD10C1">
              <w:t>Annually</w:t>
            </w:r>
          </w:p>
        </w:tc>
      </w:tr>
    </w:tbl>
    <w:p w14:paraId="12A94EFB" w14:textId="77777777" w:rsidR="0092478E" w:rsidRPr="00D070E3" w:rsidRDefault="0092478E" w:rsidP="0092478E">
      <w:pPr>
        <w:rPr>
          <w:rFonts w:cs="Arial"/>
          <w:szCs w:val="20"/>
        </w:rPr>
      </w:pPr>
      <w:r w:rsidRPr="00D070E3">
        <w:rPr>
          <w:rFonts w:cs="Arial"/>
        </w:rPr>
        <w:br w:type="page"/>
      </w:r>
    </w:p>
    <w:p w14:paraId="42E85F0B" w14:textId="2DBAFCFF" w:rsidR="0092478E" w:rsidRPr="0092478E" w:rsidRDefault="0092478E" w:rsidP="00E9658C">
      <w:pPr>
        <w:pStyle w:val="Heading2Numbering"/>
      </w:pPr>
      <w:bookmarkStart w:id="69" w:name="_4.2._Monitor_anogenital"/>
      <w:bookmarkStart w:id="70" w:name="_Toc232507546"/>
      <w:bookmarkEnd w:id="69"/>
      <w:r w:rsidRPr="00D070E3">
        <w:lastRenderedPageBreak/>
        <w:t>Monitor anogenital</w:t>
      </w:r>
      <w:r w:rsidR="005355AC">
        <w:rPr>
          <w:rFonts w:ascii="ZWAdobeF" w:hAnsi="ZWAdobeF" w:cs="ZWAdobeF"/>
          <w:b w:val="0"/>
          <w:color w:val="auto"/>
          <w:sz w:val="2"/>
          <w:szCs w:val="2"/>
        </w:rPr>
        <w:t>21F</w:t>
      </w:r>
      <w:r w:rsidRPr="00D070E3">
        <w:rPr>
          <w:rStyle w:val="FootnoteReference"/>
        </w:rPr>
        <w:footnoteReference w:id="22"/>
      </w:r>
      <w:r w:rsidRPr="00D070E3">
        <w:t xml:space="preserve"> and oropharyngeal</w:t>
      </w:r>
      <w:r w:rsidR="005355AC">
        <w:rPr>
          <w:rFonts w:ascii="ZWAdobeF" w:hAnsi="ZWAdobeF" w:cs="ZWAdobeF"/>
          <w:b w:val="0"/>
          <w:color w:val="auto"/>
          <w:sz w:val="2"/>
          <w:szCs w:val="2"/>
        </w:rPr>
        <w:t>22F</w:t>
      </w:r>
      <w:r w:rsidRPr="00D070E3">
        <w:rPr>
          <w:rStyle w:val="FootnoteReference"/>
        </w:rPr>
        <w:footnoteReference w:id="23"/>
      </w:r>
      <w:r w:rsidRPr="00D070E3">
        <w:t xml:space="preserve"> cancer incidence and mortality</w:t>
      </w:r>
      <w:bookmarkEnd w:id="70"/>
    </w:p>
    <w:p w14:paraId="746F08E9" w14:textId="77777777" w:rsidR="0092478E" w:rsidRDefault="0092478E" w:rsidP="00CA3EB3">
      <w:pPr>
        <w:pStyle w:val="Boxgreenheading"/>
      </w:pPr>
      <w:bookmarkStart w:id="71" w:name="_Toc161152118"/>
      <w:r w:rsidRPr="00257D46">
        <w:t>Indicator</w:t>
      </w:r>
      <w:r>
        <w:t>s</w:t>
      </w:r>
      <w:bookmarkEnd w:id="71"/>
    </w:p>
    <w:p w14:paraId="7129B7B4" w14:textId="77777777" w:rsidR="0092478E" w:rsidRPr="0092478E" w:rsidRDefault="0092478E" w:rsidP="00CA3EB3">
      <w:pPr>
        <w:pStyle w:val="Boxgreentext"/>
      </w:pPr>
      <w:bookmarkStart w:id="72" w:name="_Hlk148965386"/>
      <w:r w:rsidRPr="0092478E">
        <w:t>The number of new cases of anogenital and oropharyngeal cancer, by age, type, vaccination status and sex per 100,000 estimated resident population in a calendar year</w:t>
      </w:r>
    </w:p>
    <w:p w14:paraId="68796A67" w14:textId="77777777" w:rsidR="0092478E" w:rsidRPr="0092478E" w:rsidRDefault="0092478E" w:rsidP="00CA3EB3">
      <w:pPr>
        <w:pStyle w:val="Boxgreentext"/>
      </w:pPr>
      <w:r w:rsidRPr="0092478E">
        <w:t>The number of new cases of anogenital and oropharyngeal cancer in Aboriginal and Torres Strait Islanders, by age, type, vaccination status and sex per 100,000 estimated resident Aboriginal and Torres Strait Islander population in a calendar year</w:t>
      </w:r>
    </w:p>
    <w:p w14:paraId="14F3CE8F" w14:textId="77777777" w:rsidR="0092478E" w:rsidRPr="0092478E" w:rsidRDefault="0092478E" w:rsidP="00CA3EB3">
      <w:pPr>
        <w:pStyle w:val="Boxgreentext"/>
      </w:pPr>
      <w:r w:rsidRPr="0092478E">
        <w:t>The number of deaths caused by anogenital and oropharyngeal cancer, by age, type, vaccination status and sex per 100,000 estimated resident population in a calendar year</w:t>
      </w:r>
    </w:p>
    <w:p w14:paraId="6847EEF5" w14:textId="77777777" w:rsidR="0092478E" w:rsidRPr="0092478E" w:rsidRDefault="0092478E" w:rsidP="00CA3EB3">
      <w:pPr>
        <w:pStyle w:val="Boxgreentext"/>
      </w:pPr>
      <w:r w:rsidRPr="0092478E">
        <w:t>The number of deaths caused by anogenital and oropharyngeal cancer in Aboriginal and Torres Strait Islanders, by age, type, vaccination status and sex per 100,000 estimated resident Aboriginal and Torres Strait Islander population in a calendar year</w:t>
      </w:r>
    </w:p>
    <w:bookmarkEnd w:id="72"/>
    <w:p w14:paraId="0EC4E8E7" w14:textId="5D5973BB" w:rsidR="00E5366A" w:rsidRPr="00A74B5B" w:rsidRDefault="0092478E" w:rsidP="00CA3EB3">
      <w:pPr>
        <w:pStyle w:val="Boxgreentext"/>
      </w:pPr>
      <w:r w:rsidRPr="00A74B5B">
        <w:t>*Data to be reported for all cancers indicated in the indicator and separately for each cancer.</w:t>
      </w:r>
    </w:p>
    <w:p w14:paraId="6A080456" w14:textId="561F508E" w:rsidR="0092478E" w:rsidRDefault="0092478E" w:rsidP="00CA3EB3">
      <w:pPr>
        <w:pStyle w:val="Heading3"/>
      </w:pPr>
      <w:r>
        <w:t>Rationale for surveillance</w:t>
      </w:r>
    </w:p>
    <w:p w14:paraId="2B2C5378" w14:textId="4B50299E" w:rsidR="0092478E" w:rsidRPr="00CD10C1" w:rsidRDefault="0092478E" w:rsidP="0092478E">
      <w:pPr>
        <w:rPr>
          <w:rFonts w:cs="Arial"/>
        </w:rPr>
      </w:pPr>
      <w:r w:rsidRPr="3B2FDA41">
        <w:rPr>
          <w:rFonts w:cs="Arial"/>
          <w:szCs w:val="20"/>
        </w:rPr>
        <w:t xml:space="preserve">To monitor the impact of the HPV vaccination program on the incidence of HPV related anogenital and oropharyngeal cancers including vaginal, vulval, anal, base of the tongue, head and neck cancers. Given the natural history of </w:t>
      </w:r>
      <w:r>
        <w:rPr>
          <w:rFonts w:cs="Arial"/>
          <w:szCs w:val="20"/>
        </w:rPr>
        <w:t xml:space="preserve">these </w:t>
      </w:r>
      <w:r w:rsidRPr="3B2FDA41">
        <w:rPr>
          <w:rFonts w:cs="Arial"/>
          <w:szCs w:val="20"/>
        </w:rPr>
        <w:t>HPV related cancers</w:t>
      </w:r>
      <w:r>
        <w:rPr>
          <w:rFonts w:cs="Arial"/>
          <w:szCs w:val="20"/>
        </w:rPr>
        <w:t xml:space="preserve"> (which have an older median age of onset than cervical cancers)</w:t>
      </w:r>
      <w:r w:rsidRPr="3B2FDA41">
        <w:rPr>
          <w:rFonts w:cs="Arial"/>
          <w:szCs w:val="20"/>
        </w:rPr>
        <w:t xml:space="preserve">, the impact of vaccination on the prevention of HPV related anogenital and oropharyngeal cancers </w:t>
      </w:r>
      <w:r w:rsidRPr="65E77CD2">
        <w:rPr>
          <w:rFonts w:cs="Arial"/>
          <w:szCs w:val="20"/>
        </w:rPr>
        <w:t>may</w:t>
      </w:r>
      <w:r w:rsidRPr="3B2FDA41">
        <w:rPr>
          <w:rFonts w:cs="Arial"/>
          <w:szCs w:val="20"/>
        </w:rPr>
        <w:t xml:space="preserve"> bec</w:t>
      </w:r>
      <w:r w:rsidRPr="65E77CD2">
        <w:rPr>
          <w:rFonts w:cs="Arial"/>
          <w:szCs w:val="20"/>
        </w:rPr>
        <w:t xml:space="preserve">ome </w:t>
      </w:r>
      <w:r w:rsidRPr="3B2FDA41">
        <w:rPr>
          <w:rFonts w:cs="Arial"/>
          <w:szCs w:val="20"/>
        </w:rPr>
        <w:t xml:space="preserve">evident </w:t>
      </w:r>
      <w:r>
        <w:rPr>
          <w:rFonts w:cs="Arial"/>
          <w:szCs w:val="20"/>
        </w:rPr>
        <w:t>until at least</w:t>
      </w:r>
      <w:r w:rsidRPr="3B2FDA41">
        <w:rPr>
          <w:rFonts w:cs="Arial"/>
          <w:szCs w:val="20"/>
        </w:rPr>
        <w:t xml:space="preserve"> </w:t>
      </w:r>
      <w:r w:rsidRPr="65E77CD2">
        <w:rPr>
          <w:rFonts w:cs="Arial"/>
          <w:szCs w:val="20"/>
        </w:rPr>
        <w:t>2</w:t>
      </w:r>
      <w:r w:rsidRPr="3B2FDA41">
        <w:rPr>
          <w:rFonts w:cs="Arial"/>
          <w:szCs w:val="20"/>
        </w:rPr>
        <w:t>0 years after introduction of the vaccination program</w:t>
      </w:r>
      <w:r>
        <w:rPr>
          <w:rFonts w:cs="Arial"/>
          <w:szCs w:val="20"/>
        </w:rPr>
        <w:t xml:space="preserve"> (Wei et al. 2023)</w:t>
      </w:r>
      <w:r w:rsidRPr="3B2FDA41">
        <w:rPr>
          <w:rFonts w:cs="Arial"/>
          <w:szCs w:val="20"/>
        </w:rPr>
        <w:t>.</w:t>
      </w:r>
    </w:p>
    <w:p w14:paraId="518E99CA" w14:textId="6CD8C248" w:rsidR="0092478E" w:rsidRDefault="0092478E" w:rsidP="00CA3EB3">
      <w:pPr>
        <w:pStyle w:val="Heading3"/>
      </w:pPr>
      <w:r>
        <w:lastRenderedPageBreak/>
        <w:t>Data considerations</w:t>
      </w:r>
    </w:p>
    <w:p w14:paraId="16F5209F" w14:textId="4CE315E2" w:rsidR="0092478E" w:rsidRPr="002A7ED8" w:rsidRDefault="0092478E" w:rsidP="0092478E">
      <w:pPr>
        <w:rPr>
          <w:rFonts w:cs="Arial"/>
          <w:szCs w:val="20"/>
        </w:rPr>
      </w:pPr>
      <w:r w:rsidRPr="36C32CE7">
        <w:rPr>
          <w:rFonts w:cs="Arial"/>
          <w:szCs w:val="20"/>
        </w:rPr>
        <w:t xml:space="preserve">Anogenital and oropharyngeal cancers can be caused by </w:t>
      </w:r>
      <w:proofErr w:type="gramStart"/>
      <w:r w:rsidRPr="36C32CE7">
        <w:rPr>
          <w:rFonts w:cs="Arial"/>
          <w:szCs w:val="20"/>
        </w:rPr>
        <w:t>a number of</w:t>
      </w:r>
      <w:proofErr w:type="gramEnd"/>
      <w:r w:rsidRPr="36C32CE7">
        <w:rPr>
          <w:rFonts w:cs="Arial"/>
          <w:szCs w:val="20"/>
        </w:rPr>
        <w:t xml:space="preserve"> risk factors, including HPV infection. While cancer data are routinely collected and reported, the data does not indicate the cause of the cancer. As an interim solution for reporting against this surveillance objective, data from the Australian Cancer Database (ACD) will be used as a proxy.</w:t>
      </w:r>
      <w:r w:rsidRPr="65E77CD2">
        <w:rPr>
          <w:rFonts w:cs="Arial"/>
          <w:szCs w:val="20"/>
        </w:rPr>
        <w:t xml:space="preserve"> </w:t>
      </w:r>
      <w:r w:rsidRPr="002A7ED8">
        <w:rPr>
          <w:rFonts w:cs="Arial"/>
          <w:szCs w:val="20"/>
        </w:rPr>
        <w:t xml:space="preserve">ICD codes that are more specific to HPV-related cancers (e.g. of the head and neck) are available and data should be presented by these recommended ICD code groupings (Hocking et al. 2011, </w:t>
      </w:r>
      <w:proofErr w:type="spellStart"/>
      <w:r w:rsidRPr="002A7ED8">
        <w:rPr>
          <w:rFonts w:cs="Arial"/>
          <w:szCs w:val="20"/>
        </w:rPr>
        <w:t>Senkomago</w:t>
      </w:r>
      <w:proofErr w:type="spellEnd"/>
      <w:r w:rsidRPr="002A7ED8">
        <w:rPr>
          <w:rFonts w:cs="Arial"/>
          <w:szCs w:val="20"/>
        </w:rPr>
        <w:t xml:space="preserve"> et al. 2019).</w:t>
      </w:r>
    </w:p>
    <w:p w14:paraId="440D8EBA" w14:textId="3ECB4CE1" w:rsidR="0092478E" w:rsidRPr="002A7ED8" w:rsidRDefault="0092478E" w:rsidP="0092478E">
      <w:pPr>
        <w:rPr>
          <w:rFonts w:cs="Arial"/>
          <w:szCs w:val="20"/>
        </w:rPr>
      </w:pPr>
      <w:r w:rsidRPr="002A7ED8">
        <w:rPr>
          <w:rFonts w:cs="Arial"/>
          <w:szCs w:val="20"/>
        </w:rPr>
        <w:t>HPV vaccination status should be collected and reported against these indicators where available.</w:t>
      </w:r>
    </w:p>
    <w:p w14:paraId="668D842D" w14:textId="7546CFA9" w:rsidR="0092478E" w:rsidRDefault="0092478E" w:rsidP="0092478E">
      <w:pPr>
        <w:rPr>
          <w:rFonts w:cs="Arial"/>
          <w:szCs w:val="20"/>
        </w:rPr>
      </w:pPr>
      <w:r w:rsidRPr="002A7ED8">
        <w:rPr>
          <w:rFonts w:cs="Arial"/>
          <w:szCs w:val="20"/>
        </w:rPr>
        <w:t>Several research projects and pilot studies are being funded in anal cancer screening. Where suitable data and research become available, it should be considered for suitability in reporting against indicators that co</w:t>
      </w:r>
      <w:r>
        <w:rPr>
          <w:rFonts w:cs="Arial"/>
          <w:szCs w:val="20"/>
        </w:rPr>
        <w:t>u</w:t>
      </w:r>
      <w:r w:rsidRPr="002A7ED8">
        <w:rPr>
          <w:rFonts w:cs="Arial"/>
          <w:szCs w:val="20"/>
        </w:rPr>
        <w:t>ld be developed to monitor HPV prevalence and disease amongst groups at highest risk of anal cancer.</w:t>
      </w:r>
    </w:p>
    <w:p w14:paraId="02ECDDEF" w14:textId="246ED78E" w:rsidR="0092478E" w:rsidRDefault="0092478E" w:rsidP="0092478E">
      <w:pPr>
        <w:rPr>
          <w:rFonts w:cs="Arial"/>
          <w:szCs w:val="20"/>
        </w:rPr>
      </w:pPr>
      <w:r w:rsidRPr="00753BD1">
        <w:rPr>
          <w:rFonts w:cs="Arial"/>
          <w:szCs w:val="20"/>
        </w:rPr>
        <w:t>Terminology regarding sex is reflective of the data available with</w:t>
      </w:r>
      <w:r>
        <w:rPr>
          <w:rFonts w:cs="Arial"/>
          <w:szCs w:val="20"/>
        </w:rPr>
        <w:t>in</w:t>
      </w:r>
      <w:r w:rsidRPr="00753BD1">
        <w:rPr>
          <w:rFonts w:cs="Arial"/>
          <w:szCs w:val="20"/>
        </w:rPr>
        <w:t xml:space="preserve"> the relevant data source. </w:t>
      </w:r>
    </w:p>
    <w:p w14:paraId="3B846AE4" w14:textId="7FD27173" w:rsidR="0092478E" w:rsidRPr="0092478E" w:rsidRDefault="0092478E" w:rsidP="00CA3EB3">
      <w:pPr>
        <w:pStyle w:val="Heading3"/>
      </w:pPr>
      <w:r>
        <w:t>Reporting against indicators</w:t>
      </w:r>
    </w:p>
    <w:p w14:paraId="4D3F6C41" w14:textId="77777777" w:rsidR="0092478E" w:rsidRPr="00F94457" w:rsidRDefault="0092478E" w:rsidP="00F94457">
      <w:pPr>
        <w:pStyle w:val="Caption"/>
      </w:pPr>
      <w:r w:rsidRPr="008C4020">
        <w:t>Number of new cases of anogenital and oropharyngeal cancer by age, type, vaccination status and sex per 100,000 estimated resident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92478E" w:rsidRPr="00BC4BE4" w14:paraId="3594BEF5" w14:textId="77777777" w:rsidTr="00CA3EB3">
        <w:trPr>
          <w:cnfStyle w:val="100000000000" w:firstRow="1" w:lastRow="0" w:firstColumn="0" w:lastColumn="0" w:oddVBand="0" w:evenVBand="0" w:oddHBand="0" w:evenHBand="0" w:firstRowFirstColumn="0" w:firstRowLastColumn="0" w:lastRowFirstColumn="0" w:lastRowLastColumn="0"/>
          <w:tblHeader/>
          <w:jc w:val="center"/>
        </w:trPr>
        <w:tc>
          <w:tcPr>
            <w:tcW w:w="1526" w:type="dxa"/>
            <w:vAlign w:val="top"/>
          </w:tcPr>
          <w:p w14:paraId="1528C7B1" w14:textId="77777777" w:rsidR="0092478E" w:rsidRPr="00BC4BE4" w:rsidRDefault="0092478E" w:rsidP="00CA3EB3">
            <w:pPr>
              <w:pStyle w:val="Tableheaderrowblack"/>
              <w:rPr>
                <w:b/>
              </w:rPr>
            </w:pPr>
            <w:r w:rsidRPr="00BC4BE4">
              <w:t>Indicator components</w:t>
            </w:r>
          </w:p>
        </w:tc>
        <w:tc>
          <w:tcPr>
            <w:tcW w:w="1276" w:type="dxa"/>
            <w:vAlign w:val="top"/>
          </w:tcPr>
          <w:p w14:paraId="58818F1E" w14:textId="77777777" w:rsidR="0092478E" w:rsidRPr="00BC4BE4" w:rsidRDefault="0092478E" w:rsidP="00CA3EB3">
            <w:pPr>
              <w:pStyle w:val="Tableheaderrowblack"/>
              <w:rPr>
                <w:b/>
              </w:rPr>
            </w:pPr>
            <w:r w:rsidRPr="00BC4BE4">
              <w:t>Source</w:t>
            </w:r>
          </w:p>
        </w:tc>
        <w:tc>
          <w:tcPr>
            <w:tcW w:w="3543" w:type="dxa"/>
            <w:vAlign w:val="top"/>
          </w:tcPr>
          <w:p w14:paraId="7D5C461D" w14:textId="77777777" w:rsidR="0092478E" w:rsidRPr="00BC4BE4" w:rsidRDefault="0092478E" w:rsidP="00CA3EB3">
            <w:pPr>
              <w:pStyle w:val="Tableheaderrowblack"/>
              <w:rPr>
                <w:b/>
              </w:rPr>
            </w:pPr>
            <w:r w:rsidRPr="00BC4BE4">
              <w:t>Description</w:t>
            </w:r>
          </w:p>
        </w:tc>
        <w:tc>
          <w:tcPr>
            <w:tcW w:w="1843" w:type="dxa"/>
            <w:vAlign w:val="top"/>
          </w:tcPr>
          <w:p w14:paraId="57FACD08" w14:textId="77777777" w:rsidR="0092478E" w:rsidRPr="00BC4BE4" w:rsidRDefault="0092478E" w:rsidP="00CA3EB3">
            <w:pPr>
              <w:pStyle w:val="Tableheaderrowblack"/>
              <w:rPr>
                <w:b/>
              </w:rPr>
            </w:pPr>
            <w:r w:rsidRPr="00BC4BE4">
              <w:t>Custodian/</w:t>
            </w:r>
            <w:r w:rsidRPr="00BC4BE4">
              <w:br/>
              <w:t>stakeholder</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4B98878B" w14:textId="77777777" w:rsidR="0092478E" w:rsidRPr="00BC4BE4" w:rsidRDefault="0092478E" w:rsidP="00CA3EB3">
            <w:pPr>
              <w:pStyle w:val="Tableheaderrowblack"/>
              <w:rPr>
                <w:b/>
              </w:rPr>
            </w:pPr>
            <w:r w:rsidRPr="00BC4BE4">
              <w:t>Availability of data</w:t>
            </w:r>
            <w:r w:rsidRPr="00BC4BE4">
              <w:br/>
              <w:t xml:space="preserve"> for reporting</w:t>
            </w:r>
          </w:p>
        </w:tc>
      </w:tr>
      <w:tr w:rsidR="0092478E" w:rsidRPr="00917FAB" w14:paraId="0CF7B71F" w14:textId="77777777" w:rsidTr="00CA3EB3">
        <w:trPr>
          <w:cnfStyle w:val="000000100000" w:firstRow="0" w:lastRow="0" w:firstColumn="0" w:lastColumn="0" w:oddVBand="0" w:evenVBand="0" w:oddHBand="1" w:evenHBand="0" w:firstRowFirstColumn="0" w:firstRowLastColumn="0" w:lastRowFirstColumn="0" w:lastRowLastColumn="0"/>
          <w:jc w:val="cent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66E8037" w14:textId="77777777" w:rsidR="0092478E" w:rsidRPr="00CD10C1" w:rsidRDefault="0092478E" w:rsidP="00CA3EB3">
            <w:pPr>
              <w:pStyle w:val="Tabletext"/>
            </w:pPr>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8399532" w14:textId="7988A098" w:rsidR="0092478E" w:rsidRPr="00917FAB" w:rsidRDefault="0092478E" w:rsidP="00CA3EB3">
            <w:pPr>
              <w:pStyle w:val="Tabletext"/>
              <w:rPr>
                <w:rFonts w:cs="Arial"/>
              </w:rPr>
            </w:pPr>
            <w:r w:rsidRPr="00917FAB">
              <w:rPr>
                <w:rFonts w:cs="Arial"/>
              </w:rPr>
              <w:t>ACD</w:t>
            </w:r>
            <w:bookmarkStart w:id="73" w:name="_Ref152236169"/>
            <w:r w:rsidR="005355AC">
              <w:rPr>
                <w:rFonts w:ascii="ZWAdobeF" w:hAnsi="ZWAdobeF" w:cs="ZWAdobeF"/>
                <w:color w:val="auto"/>
                <w:sz w:val="2"/>
                <w:szCs w:val="2"/>
              </w:rPr>
              <w:t>23F</w:t>
            </w:r>
            <w:r w:rsidRPr="00917FAB">
              <w:rPr>
                <w:rStyle w:val="FootnoteReference"/>
                <w:rFonts w:eastAsiaTheme="minorEastAsia" w:cs="Arial"/>
              </w:rPr>
              <w:footnoteReference w:id="24"/>
            </w:r>
            <w:bookmarkEnd w:id="73"/>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41D897D" w14:textId="77777777" w:rsidR="0092478E" w:rsidRPr="00917FAB" w:rsidRDefault="0092478E" w:rsidP="00CA3EB3">
            <w:pPr>
              <w:pStyle w:val="Tabletext"/>
              <w:rPr>
                <w:rFonts w:cs="Arial"/>
              </w:rPr>
            </w:pPr>
            <w:r w:rsidRPr="00917FAB">
              <w:rPr>
                <w:rFonts w:cs="Arial"/>
              </w:rPr>
              <w:t xml:space="preserve">Number of new cases of </w:t>
            </w:r>
            <w:r>
              <w:rPr>
                <w:rFonts w:cs="Arial"/>
              </w:rPr>
              <w:t>anogenital and oropharyngeal</w:t>
            </w:r>
            <w:r w:rsidRPr="00917FAB">
              <w:rPr>
                <w:rFonts w:cs="Arial"/>
              </w:rPr>
              <w:t xml:space="preserve"> cancer</w:t>
            </w:r>
            <w:r>
              <w:rPr>
                <w:rFonts w:cs="Arial"/>
              </w:rPr>
              <w:t>*</w:t>
            </w:r>
            <w:r w:rsidRPr="00917FAB">
              <w:rPr>
                <w:rFonts w:cs="Arial"/>
              </w:rPr>
              <w:t xml:space="preserve"> in a calendar year by 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C3050A9" w14:textId="77777777" w:rsidR="0092478E" w:rsidRPr="00CD10C1" w:rsidRDefault="0092478E" w:rsidP="00CA3EB3">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top"/>
          </w:tcPr>
          <w:p w14:paraId="34932B7A" w14:textId="77777777" w:rsidR="0092478E" w:rsidRPr="00CD10C1" w:rsidRDefault="0092478E" w:rsidP="00CA3EB3">
            <w:pPr>
              <w:pStyle w:val="Tabletext"/>
            </w:pPr>
            <w:r w:rsidRPr="00CD10C1">
              <w:t>Annually</w:t>
            </w:r>
          </w:p>
        </w:tc>
      </w:tr>
      <w:tr w:rsidR="0092478E" w:rsidRPr="00917FAB" w14:paraId="5666A08D" w14:textId="77777777" w:rsidTr="00CA3EB3">
        <w:trPr>
          <w:jc w:val="center"/>
        </w:trPr>
        <w:tc>
          <w:tcPr>
            <w:tcW w:w="1526" w:type="dxa"/>
            <w:vAlign w:val="top"/>
          </w:tcPr>
          <w:p w14:paraId="1638E4E6" w14:textId="77777777" w:rsidR="0092478E" w:rsidRPr="00CD10C1" w:rsidRDefault="0092478E" w:rsidP="00CA3EB3">
            <w:pPr>
              <w:pStyle w:val="Tabletext"/>
            </w:pPr>
            <w:r w:rsidRPr="00CD10C1">
              <w:t>Denominator</w:t>
            </w:r>
          </w:p>
        </w:tc>
        <w:tc>
          <w:tcPr>
            <w:tcW w:w="1276" w:type="dxa"/>
            <w:vAlign w:val="top"/>
          </w:tcPr>
          <w:p w14:paraId="1FB20DB8" w14:textId="643C2624" w:rsidR="0092478E" w:rsidRPr="00917FAB" w:rsidRDefault="0092478E" w:rsidP="00CA3EB3">
            <w:pPr>
              <w:pStyle w:val="Tabletext"/>
              <w:rPr>
                <w:rFonts w:cs="Arial"/>
                <w:vertAlign w:val="superscript"/>
              </w:rPr>
            </w:pPr>
            <w:r w:rsidRPr="00CD10C1">
              <w:t>ABS</w:t>
            </w:r>
            <w:r w:rsidR="00C47BE5">
              <w:rPr>
                <w:rStyle w:val="SuperscriptChar"/>
              </w:rPr>
              <w:fldChar w:fldCharType="begin"/>
            </w:r>
            <w:r w:rsidR="00C47BE5">
              <w:instrText xml:space="preserve"> NOTEREF _Ref152236169 \f \h </w:instrText>
            </w:r>
            <w:r w:rsidR="00CA3EB3">
              <w:rPr>
                <w:rStyle w:val="SuperscriptChar"/>
              </w:rPr>
              <w:instrText xml:space="preserve"> \* MERGEFORMAT </w:instrText>
            </w:r>
            <w:r w:rsidR="00C47BE5">
              <w:rPr>
                <w:rStyle w:val="SuperscriptChar"/>
              </w:rPr>
            </w:r>
            <w:r w:rsidR="00C47BE5">
              <w:rPr>
                <w:rStyle w:val="SuperscriptChar"/>
              </w:rPr>
              <w:fldChar w:fldCharType="separate"/>
            </w:r>
            <w:r w:rsidR="00C47BE5" w:rsidRPr="00C47BE5">
              <w:rPr>
                <w:rStyle w:val="FootnoteReference"/>
              </w:rPr>
              <w:t>24</w:t>
            </w:r>
            <w:r w:rsidR="00C47BE5">
              <w:rPr>
                <w:rStyle w:val="SuperscriptChar"/>
              </w:rPr>
              <w:fldChar w:fldCharType="end"/>
            </w:r>
          </w:p>
        </w:tc>
        <w:tc>
          <w:tcPr>
            <w:tcW w:w="3543" w:type="dxa"/>
            <w:vAlign w:val="top"/>
          </w:tcPr>
          <w:p w14:paraId="0CC50E3C" w14:textId="77777777" w:rsidR="0092478E" w:rsidRPr="00917FAB" w:rsidRDefault="0092478E" w:rsidP="00CA3EB3">
            <w:pPr>
              <w:pStyle w:val="Tabletext"/>
              <w:rPr>
                <w:rFonts w:cs="Arial"/>
              </w:rPr>
            </w:pPr>
            <w:r w:rsidRPr="00917FAB">
              <w:rPr>
                <w:rFonts w:cs="Arial"/>
              </w:rPr>
              <w:t>Estimated resident population, by age</w:t>
            </w:r>
            <w:r>
              <w:rPr>
                <w:rFonts w:cs="Arial"/>
              </w:rPr>
              <w:t xml:space="preserve"> and sex</w:t>
            </w:r>
            <w:r w:rsidRPr="00917FAB">
              <w:rPr>
                <w:rFonts w:cs="Arial"/>
              </w:rPr>
              <w:t>.</w:t>
            </w:r>
          </w:p>
        </w:tc>
        <w:tc>
          <w:tcPr>
            <w:tcW w:w="1843" w:type="dxa"/>
            <w:vAlign w:val="top"/>
          </w:tcPr>
          <w:p w14:paraId="7EBFC4B9" w14:textId="77777777" w:rsidR="0092478E" w:rsidRPr="00CD10C1" w:rsidRDefault="0092478E" w:rsidP="00CA3EB3">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1DEADE80" w14:textId="77777777" w:rsidR="0092478E" w:rsidRPr="00CD10C1" w:rsidRDefault="0092478E" w:rsidP="00CA3EB3">
            <w:pPr>
              <w:pStyle w:val="Tabletext"/>
            </w:pPr>
            <w:r w:rsidRPr="00CD10C1">
              <w:t>Annually</w:t>
            </w:r>
          </w:p>
        </w:tc>
      </w:tr>
    </w:tbl>
    <w:p w14:paraId="3A2A2913" w14:textId="77777777" w:rsidR="0092478E" w:rsidRPr="008C4020" w:rsidRDefault="0092478E" w:rsidP="0092478E">
      <w:r w:rsidRPr="008C4020">
        <w:t xml:space="preserve">* </w:t>
      </w:r>
      <w:r w:rsidRPr="002A7ED8">
        <w:rPr>
          <w:rFonts w:eastAsia="Arial" w:cs="Arial"/>
          <w:szCs w:val="20"/>
        </w:rPr>
        <w:t>Presented separately by ICD code groupings for vaginal, vulval, penile, anal and oropharyngeal cancers</w:t>
      </w:r>
    </w:p>
    <w:p w14:paraId="253DF5FE" w14:textId="77777777" w:rsidR="0092478E" w:rsidRPr="008C4020" w:rsidRDefault="0092478E" w:rsidP="008C4020">
      <w:pPr>
        <w:pStyle w:val="Caption"/>
      </w:pPr>
      <w:r w:rsidRPr="008C4020">
        <w:lastRenderedPageBreak/>
        <w:t>Number of new cases of anogenital and oropharyngeal cancer in Aboriginal and Torres Strait Islanders, by age, type, vaccination status and sex per 100,000 estimated resident Aboriginal and Torres Strait Islander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92478E" w:rsidRPr="00917FAB" w14:paraId="2DC725AF" w14:textId="77777777" w:rsidTr="00CA3EB3">
        <w:trPr>
          <w:cnfStyle w:val="100000000000" w:firstRow="1" w:lastRow="0" w:firstColumn="0" w:lastColumn="0" w:oddVBand="0" w:evenVBand="0" w:oddHBand="0" w:evenHBand="0" w:firstRowFirstColumn="0" w:firstRowLastColumn="0" w:lastRowFirstColumn="0" w:lastRowLastColumn="0"/>
          <w:tblHeader/>
          <w:jc w:val="center"/>
        </w:trPr>
        <w:tc>
          <w:tcPr>
            <w:tcW w:w="1526" w:type="dxa"/>
            <w:vAlign w:val="top"/>
          </w:tcPr>
          <w:p w14:paraId="5512D8D4" w14:textId="77777777" w:rsidR="0092478E" w:rsidRPr="00917FAB" w:rsidRDefault="0092478E" w:rsidP="00CA3EB3">
            <w:pPr>
              <w:pStyle w:val="Tableheaderrowblack"/>
              <w:rPr>
                <w:b/>
              </w:rPr>
            </w:pPr>
            <w:r w:rsidRPr="00917FAB">
              <w:t>Indicator components</w:t>
            </w:r>
          </w:p>
        </w:tc>
        <w:tc>
          <w:tcPr>
            <w:tcW w:w="1276" w:type="dxa"/>
            <w:vAlign w:val="top"/>
          </w:tcPr>
          <w:p w14:paraId="4F1528C3" w14:textId="77777777" w:rsidR="0092478E" w:rsidRPr="00917FAB" w:rsidRDefault="0092478E" w:rsidP="00CA3EB3">
            <w:pPr>
              <w:pStyle w:val="Tableheaderrowblack"/>
              <w:rPr>
                <w:b/>
              </w:rPr>
            </w:pPr>
            <w:r w:rsidRPr="00917FAB">
              <w:t>Source</w:t>
            </w:r>
          </w:p>
        </w:tc>
        <w:tc>
          <w:tcPr>
            <w:tcW w:w="3543" w:type="dxa"/>
            <w:vAlign w:val="top"/>
          </w:tcPr>
          <w:p w14:paraId="79C9A251" w14:textId="77777777" w:rsidR="0092478E" w:rsidRPr="00917FAB" w:rsidRDefault="0092478E" w:rsidP="00CA3EB3">
            <w:pPr>
              <w:pStyle w:val="Tableheaderrowblack"/>
              <w:rPr>
                <w:b/>
              </w:rPr>
            </w:pPr>
            <w:r w:rsidRPr="00917FAB">
              <w:t>Description</w:t>
            </w:r>
          </w:p>
        </w:tc>
        <w:tc>
          <w:tcPr>
            <w:tcW w:w="1843" w:type="dxa"/>
            <w:vAlign w:val="top"/>
          </w:tcPr>
          <w:p w14:paraId="476509B1" w14:textId="77777777" w:rsidR="0092478E" w:rsidRPr="00917FAB" w:rsidRDefault="0092478E" w:rsidP="00CA3EB3">
            <w:pPr>
              <w:pStyle w:val="Tableheaderrowblack"/>
              <w:rPr>
                <w:b/>
              </w:rPr>
            </w:pPr>
            <w:r w:rsidRPr="00917FAB">
              <w:t>Custodian/</w:t>
            </w:r>
            <w:r w:rsidRPr="00917FAB">
              <w:br/>
              <w:t>stakeholder</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0A31A658" w14:textId="77777777" w:rsidR="0092478E" w:rsidRPr="00917FAB" w:rsidRDefault="0092478E" w:rsidP="00CA3EB3">
            <w:pPr>
              <w:pStyle w:val="Tableheaderrowblack"/>
              <w:rPr>
                <w:b/>
              </w:rPr>
            </w:pPr>
            <w:r w:rsidRPr="00917FAB">
              <w:t>Availability of data</w:t>
            </w:r>
            <w:r w:rsidRPr="00917FAB">
              <w:br/>
              <w:t xml:space="preserve"> for reporting</w:t>
            </w:r>
          </w:p>
        </w:tc>
      </w:tr>
      <w:tr w:rsidR="0092478E" w:rsidRPr="00917FAB" w14:paraId="08F963E0" w14:textId="77777777" w:rsidTr="00CA3EB3">
        <w:trPr>
          <w:cnfStyle w:val="000000100000" w:firstRow="0" w:lastRow="0" w:firstColumn="0" w:lastColumn="0" w:oddVBand="0" w:evenVBand="0" w:oddHBand="1" w:evenHBand="0" w:firstRowFirstColumn="0" w:firstRowLastColumn="0" w:lastRowFirstColumn="0" w:lastRowLastColumn="0"/>
          <w:jc w:val="cent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BFD6864" w14:textId="77777777" w:rsidR="0092478E" w:rsidRPr="00CD10C1" w:rsidRDefault="0092478E" w:rsidP="00CA3EB3">
            <w:pPr>
              <w:pStyle w:val="Tabletext"/>
            </w:pPr>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39A988C" w14:textId="0FBD38D2" w:rsidR="0092478E" w:rsidRPr="00917FAB" w:rsidRDefault="0092478E" w:rsidP="00CA3EB3">
            <w:pPr>
              <w:pStyle w:val="Tabletext"/>
              <w:rPr>
                <w:rFonts w:cs="Arial"/>
                <w:vertAlign w:val="superscript"/>
              </w:rPr>
            </w:pPr>
            <w:r w:rsidRPr="00CD10C1">
              <w:t>ACD</w:t>
            </w:r>
            <w:r w:rsidR="00C47BE5">
              <w:rPr>
                <w:rStyle w:val="SuperscriptChar"/>
              </w:rPr>
              <w:fldChar w:fldCharType="begin"/>
            </w:r>
            <w:r w:rsidR="00C47BE5">
              <w:instrText xml:space="preserve"> NOTEREF _Ref152236169 \f \h </w:instrText>
            </w:r>
            <w:r w:rsidR="00CA3EB3">
              <w:rPr>
                <w:rStyle w:val="SuperscriptChar"/>
              </w:rPr>
              <w:instrText xml:space="preserve"> \* MERGEFORMAT </w:instrText>
            </w:r>
            <w:r w:rsidR="00C47BE5">
              <w:rPr>
                <w:rStyle w:val="SuperscriptChar"/>
              </w:rPr>
            </w:r>
            <w:r w:rsidR="00C47BE5">
              <w:rPr>
                <w:rStyle w:val="SuperscriptChar"/>
              </w:rPr>
              <w:fldChar w:fldCharType="separate"/>
            </w:r>
            <w:r w:rsidR="00C47BE5" w:rsidRPr="00C47BE5">
              <w:rPr>
                <w:rStyle w:val="FootnoteReference"/>
              </w:rPr>
              <w:t>24</w:t>
            </w:r>
            <w:r w:rsidR="00C47BE5">
              <w:rPr>
                <w:rStyle w:val="SuperscriptChar"/>
              </w:rPr>
              <w:fldChar w:fldCharType="end"/>
            </w:r>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CDB12FD" w14:textId="77777777" w:rsidR="0092478E" w:rsidRPr="00917FAB" w:rsidRDefault="0092478E" w:rsidP="00CA3EB3">
            <w:pPr>
              <w:pStyle w:val="Tabletext"/>
              <w:rPr>
                <w:rFonts w:cs="Arial"/>
              </w:rPr>
            </w:pPr>
            <w:r w:rsidRPr="00917FAB">
              <w:rPr>
                <w:rFonts w:cs="Arial"/>
              </w:rPr>
              <w:t xml:space="preserve">Number of new cases of </w:t>
            </w:r>
            <w:r>
              <w:rPr>
                <w:rFonts w:cs="Arial"/>
              </w:rPr>
              <w:t>anogenital and oropharyngeal</w:t>
            </w:r>
            <w:r w:rsidRPr="00917FAB">
              <w:rPr>
                <w:rFonts w:cs="Arial"/>
              </w:rPr>
              <w:t xml:space="preserve"> cancer</w:t>
            </w:r>
            <w:r w:rsidRPr="65E77CD2">
              <w:rPr>
                <w:rFonts w:cs="Arial"/>
              </w:rPr>
              <w:t>*</w:t>
            </w:r>
            <w:r w:rsidRPr="00917FAB">
              <w:rPr>
                <w:rFonts w:cs="Arial"/>
              </w:rPr>
              <w:t xml:space="preserve"> in Aboriginal and Torres Strait Islander</w:t>
            </w:r>
            <w:r>
              <w:rPr>
                <w:rFonts w:cs="Arial"/>
              </w:rPr>
              <w:t xml:space="preserve"> people</w:t>
            </w:r>
            <w:r w:rsidRPr="00917FAB">
              <w:rPr>
                <w:rFonts w:cs="Arial"/>
              </w:rPr>
              <w:t xml:space="preserve"> in a calendar year, by</w:t>
            </w:r>
            <w:r w:rsidRPr="00917FAB" w:rsidDel="005F4C31">
              <w:rPr>
                <w:rFonts w:cs="Arial"/>
              </w:rPr>
              <w:t xml:space="preserve"> </w:t>
            </w:r>
            <w:r w:rsidRPr="00917FAB">
              <w:rPr>
                <w:rFonts w:cs="Arial"/>
              </w:rPr>
              <w:t>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B7475D6" w14:textId="77777777" w:rsidR="0092478E" w:rsidRPr="00CD10C1" w:rsidRDefault="0092478E" w:rsidP="00CA3EB3">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top"/>
          </w:tcPr>
          <w:p w14:paraId="2DD96B62" w14:textId="77777777" w:rsidR="0092478E" w:rsidRPr="00CD10C1" w:rsidRDefault="0092478E" w:rsidP="00CA3EB3">
            <w:pPr>
              <w:pStyle w:val="Tabletext"/>
            </w:pPr>
            <w:r w:rsidRPr="00CD10C1">
              <w:t>Annually</w:t>
            </w:r>
          </w:p>
        </w:tc>
      </w:tr>
      <w:tr w:rsidR="0092478E" w:rsidRPr="00917FAB" w14:paraId="2BD3019A" w14:textId="77777777" w:rsidTr="00CA3EB3">
        <w:trPr>
          <w:jc w:val="center"/>
        </w:trPr>
        <w:tc>
          <w:tcPr>
            <w:tcW w:w="1526" w:type="dxa"/>
            <w:vAlign w:val="top"/>
          </w:tcPr>
          <w:p w14:paraId="6279309C" w14:textId="77777777" w:rsidR="0092478E" w:rsidRPr="00CD10C1" w:rsidRDefault="0092478E" w:rsidP="00CA3EB3">
            <w:pPr>
              <w:pStyle w:val="Tabletext"/>
            </w:pPr>
            <w:r w:rsidRPr="00CD10C1">
              <w:t>Denominator</w:t>
            </w:r>
          </w:p>
        </w:tc>
        <w:tc>
          <w:tcPr>
            <w:tcW w:w="1276" w:type="dxa"/>
            <w:vAlign w:val="top"/>
          </w:tcPr>
          <w:p w14:paraId="5E4ABF44" w14:textId="69398FAD" w:rsidR="0092478E" w:rsidRPr="00917FAB" w:rsidRDefault="0092478E" w:rsidP="00CA3EB3">
            <w:pPr>
              <w:pStyle w:val="Tabletext"/>
              <w:rPr>
                <w:rFonts w:cs="Arial"/>
                <w:vertAlign w:val="superscript"/>
              </w:rPr>
            </w:pPr>
            <w:r w:rsidRPr="00CD10C1">
              <w:t>ABS</w:t>
            </w:r>
            <w:r w:rsidR="00C47BE5">
              <w:rPr>
                <w:rStyle w:val="SuperscriptChar"/>
              </w:rPr>
              <w:fldChar w:fldCharType="begin"/>
            </w:r>
            <w:r w:rsidR="00C47BE5">
              <w:instrText xml:space="preserve"> NOTEREF _Ref152236169 \f \h </w:instrText>
            </w:r>
            <w:r w:rsidR="00CA3EB3">
              <w:rPr>
                <w:rStyle w:val="SuperscriptChar"/>
              </w:rPr>
              <w:instrText xml:space="preserve"> \* MERGEFORMAT </w:instrText>
            </w:r>
            <w:r w:rsidR="00C47BE5">
              <w:rPr>
                <w:rStyle w:val="SuperscriptChar"/>
              </w:rPr>
            </w:r>
            <w:r w:rsidR="00C47BE5">
              <w:rPr>
                <w:rStyle w:val="SuperscriptChar"/>
              </w:rPr>
              <w:fldChar w:fldCharType="separate"/>
            </w:r>
            <w:r w:rsidR="00C47BE5" w:rsidRPr="00C47BE5">
              <w:rPr>
                <w:rStyle w:val="FootnoteReference"/>
              </w:rPr>
              <w:t>24</w:t>
            </w:r>
            <w:r w:rsidR="00C47BE5">
              <w:rPr>
                <w:rStyle w:val="SuperscriptChar"/>
              </w:rPr>
              <w:fldChar w:fldCharType="end"/>
            </w:r>
          </w:p>
        </w:tc>
        <w:tc>
          <w:tcPr>
            <w:tcW w:w="3543" w:type="dxa"/>
            <w:vAlign w:val="top"/>
          </w:tcPr>
          <w:p w14:paraId="7498716F" w14:textId="77777777" w:rsidR="0092478E" w:rsidRPr="00917FAB" w:rsidRDefault="0092478E" w:rsidP="00CA3EB3">
            <w:pPr>
              <w:pStyle w:val="Tabletext"/>
              <w:rPr>
                <w:rFonts w:cs="Arial"/>
              </w:rPr>
            </w:pPr>
            <w:r w:rsidRPr="00917FAB">
              <w:rPr>
                <w:rFonts w:cs="Arial"/>
              </w:rPr>
              <w:t>Estimated resident Aboriginal and Torres Strait Islander</w:t>
            </w:r>
            <w:r>
              <w:rPr>
                <w:rFonts w:cs="Arial"/>
              </w:rPr>
              <w:t xml:space="preserve"> </w:t>
            </w:r>
            <w:r w:rsidRPr="00917FAB">
              <w:rPr>
                <w:rFonts w:cs="Arial"/>
              </w:rPr>
              <w:t>population, by</w:t>
            </w:r>
            <w:r w:rsidRPr="00917FAB" w:rsidDel="005F4C31">
              <w:rPr>
                <w:rFonts w:cs="Arial"/>
              </w:rPr>
              <w:t xml:space="preserve"> </w:t>
            </w:r>
            <w:r w:rsidRPr="00917FAB">
              <w:rPr>
                <w:rFonts w:cs="Arial"/>
              </w:rPr>
              <w:t>age</w:t>
            </w:r>
            <w:r>
              <w:rPr>
                <w:rFonts w:cs="Arial"/>
              </w:rPr>
              <w:t xml:space="preserve"> and sex</w:t>
            </w:r>
            <w:r w:rsidRPr="00917FAB">
              <w:rPr>
                <w:rFonts w:cs="Arial"/>
              </w:rPr>
              <w:t>.</w:t>
            </w:r>
          </w:p>
        </w:tc>
        <w:tc>
          <w:tcPr>
            <w:tcW w:w="1843" w:type="dxa"/>
            <w:vAlign w:val="top"/>
          </w:tcPr>
          <w:p w14:paraId="1744B872" w14:textId="77777777" w:rsidR="0092478E" w:rsidRPr="00CD10C1" w:rsidRDefault="0092478E" w:rsidP="00CA3EB3">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4264B07A" w14:textId="77777777" w:rsidR="0092478E" w:rsidRPr="00CD10C1" w:rsidRDefault="0092478E" w:rsidP="00CA3EB3">
            <w:pPr>
              <w:pStyle w:val="Tabletext"/>
            </w:pPr>
            <w:r w:rsidRPr="00CD10C1">
              <w:t>Annually</w:t>
            </w:r>
          </w:p>
        </w:tc>
      </w:tr>
    </w:tbl>
    <w:p w14:paraId="39C3AA3B" w14:textId="2B78393C" w:rsidR="0092478E" w:rsidRDefault="0092478E" w:rsidP="0092478E">
      <w:pPr>
        <w:rPr>
          <w:rFonts w:eastAsia="Arial" w:cs="Arial"/>
          <w:szCs w:val="20"/>
        </w:rPr>
      </w:pPr>
      <w:r w:rsidRPr="008C4020">
        <w:t xml:space="preserve">* </w:t>
      </w:r>
      <w:r w:rsidRPr="002A7ED8">
        <w:rPr>
          <w:rFonts w:eastAsia="Arial" w:cs="Arial"/>
          <w:szCs w:val="20"/>
        </w:rPr>
        <w:t>Presented separately by ICD code groupings for vaginal, vulval, penile, anal and oropharyngeal cancer</w:t>
      </w:r>
    </w:p>
    <w:p w14:paraId="71AC1D73" w14:textId="72F2B6F7" w:rsidR="00CD10C1" w:rsidRPr="00CD10C1" w:rsidRDefault="00CD10C1" w:rsidP="00CD10C1">
      <w:r w:rsidRPr="00CD10C1">
        <w:br w:type="page"/>
      </w:r>
    </w:p>
    <w:p w14:paraId="22666197" w14:textId="77777777" w:rsidR="0092478E" w:rsidRPr="008C4020" w:rsidRDefault="0092478E" w:rsidP="008C4020">
      <w:pPr>
        <w:pStyle w:val="Caption"/>
      </w:pPr>
      <w:r w:rsidRPr="008C4020">
        <w:lastRenderedPageBreak/>
        <w:t>The number of deaths caused by anogenital and oropharyngeal cancer, by age, type, vaccination and sex per 100,000 estimated resident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92478E" w:rsidRPr="00917FAB" w14:paraId="79BA05C7" w14:textId="77777777" w:rsidTr="00CA3EB3">
        <w:trPr>
          <w:cnfStyle w:val="100000000000" w:firstRow="1" w:lastRow="0" w:firstColumn="0" w:lastColumn="0" w:oddVBand="0" w:evenVBand="0" w:oddHBand="0" w:evenHBand="0" w:firstRowFirstColumn="0" w:firstRowLastColumn="0" w:lastRowFirstColumn="0" w:lastRowLastColumn="0"/>
          <w:tblHeader/>
          <w:jc w:val="center"/>
        </w:trPr>
        <w:tc>
          <w:tcPr>
            <w:tcW w:w="1526" w:type="dxa"/>
            <w:vAlign w:val="top"/>
          </w:tcPr>
          <w:p w14:paraId="4CBAB49F" w14:textId="77777777" w:rsidR="0092478E" w:rsidRPr="00917FAB" w:rsidRDefault="0092478E" w:rsidP="00CA3EB3">
            <w:pPr>
              <w:pStyle w:val="Tableheaderrowblack"/>
              <w:rPr>
                <w:b/>
              </w:rPr>
            </w:pPr>
            <w:r w:rsidRPr="00917FAB">
              <w:t>Indicator components</w:t>
            </w:r>
          </w:p>
        </w:tc>
        <w:tc>
          <w:tcPr>
            <w:tcW w:w="1276" w:type="dxa"/>
            <w:vAlign w:val="top"/>
          </w:tcPr>
          <w:p w14:paraId="31B01EA4" w14:textId="77777777" w:rsidR="0092478E" w:rsidRPr="00917FAB" w:rsidRDefault="0092478E" w:rsidP="00CA3EB3">
            <w:pPr>
              <w:pStyle w:val="Tableheaderrowblack"/>
              <w:rPr>
                <w:b/>
              </w:rPr>
            </w:pPr>
            <w:r w:rsidRPr="00917FAB">
              <w:t>Source</w:t>
            </w:r>
          </w:p>
        </w:tc>
        <w:tc>
          <w:tcPr>
            <w:tcW w:w="3543" w:type="dxa"/>
            <w:vAlign w:val="top"/>
          </w:tcPr>
          <w:p w14:paraId="4C943C1D" w14:textId="77777777" w:rsidR="0092478E" w:rsidRPr="00917FAB" w:rsidRDefault="0092478E" w:rsidP="00CA3EB3">
            <w:pPr>
              <w:pStyle w:val="Tableheaderrowblack"/>
              <w:rPr>
                <w:b/>
              </w:rPr>
            </w:pPr>
            <w:r w:rsidRPr="00917FAB">
              <w:t>Description</w:t>
            </w:r>
          </w:p>
        </w:tc>
        <w:tc>
          <w:tcPr>
            <w:tcW w:w="1843" w:type="dxa"/>
            <w:vAlign w:val="top"/>
          </w:tcPr>
          <w:p w14:paraId="6DD309C3" w14:textId="77777777" w:rsidR="0092478E" w:rsidRPr="00917FAB" w:rsidRDefault="0092478E" w:rsidP="00CA3EB3">
            <w:pPr>
              <w:pStyle w:val="Tableheaderrowblack"/>
              <w:rPr>
                <w:b/>
              </w:rPr>
            </w:pPr>
            <w:r w:rsidRPr="00917FAB">
              <w:t>Custodian/</w:t>
            </w:r>
            <w:r w:rsidRPr="00917FAB">
              <w:br/>
              <w:t>stakeholder</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542A66E3" w14:textId="77777777" w:rsidR="0092478E" w:rsidRPr="00917FAB" w:rsidRDefault="0092478E" w:rsidP="00CA3EB3">
            <w:pPr>
              <w:pStyle w:val="Tableheaderrowblack"/>
              <w:rPr>
                <w:b/>
              </w:rPr>
            </w:pPr>
            <w:r w:rsidRPr="00917FAB">
              <w:t>Availability of data</w:t>
            </w:r>
            <w:r w:rsidRPr="00917FAB">
              <w:br/>
              <w:t xml:space="preserve"> for reporting</w:t>
            </w:r>
          </w:p>
        </w:tc>
      </w:tr>
      <w:tr w:rsidR="0092478E" w:rsidRPr="00917FAB" w14:paraId="01E4195D" w14:textId="77777777" w:rsidTr="00CA3EB3">
        <w:trPr>
          <w:cnfStyle w:val="000000100000" w:firstRow="0" w:lastRow="0" w:firstColumn="0" w:lastColumn="0" w:oddVBand="0" w:evenVBand="0" w:oddHBand="1" w:evenHBand="0" w:firstRowFirstColumn="0" w:firstRowLastColumn="0" w:lastRowFirstColumn="0" w:lastRowLastColumn="0"/>
          <w:jc w:val="cent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07C9209" w14:textId="77777777" w:rsidR="0092478E" w:rsidRPr="00CD10C1" w:rsidRDefault="0092478E" w:rsidP="00CA3EB3">
            <w:pPr>
              <w:pStyle w:val="Tabletext"/>
            </w:pPr>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5FB4F17" w14:textId="0985DEE2" w:rsidR="0092478E" w:rsidRPr="00917FAB" w:rsidRDefault="0092478E" w:rsidP="00CA3EB3">
            <w:pPr>
              <w:pStyle w:val="Tabletext"/>
              <w:rPr>
                <w:rFonts w:cs="Arial"/>
              </w:rPr>
            </w:pPr>
            <w:r w:rsidRPr="00CD10C1">
              <w:t>NMD</w:t>
            </w:r>
            <w:bookmarkStart w:id="74" w:name="_Ref160542170"/>
            <w:r w:rsidR="005355AC">
              <w:rPr>
                <w:rFonts w:ascii="ZWAdobeF" w:hAnsi="ZWAdobeF" w:cs="ZWAdobeF"/>
                <w:color w:val="auto"/>
                <w:sz w:val="2"/>
                <w:szCs w:val="2"/>
              </w:rPr>
              <w:t>24F</w:t>
            </w:r>
            <w:r w:rsidR="002A3693">
              <w:rPr>
                <w:rStyle w:val="FootnoteReference"/>
                <w:rFonts w:cs="Arial"/>
              </w:rPr>
              <w:footnoteReference w:id="25"/>
            </w:r>
            <w:bookmarkEnd w:id="74"/>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5160DE1" w14:textId="77777777" w:rsidR="0092478E" w:rsidRPr="00917FAB" w:rsidRDefault="0092478E" w:rsidP="00CA3EB3">
            <w:pPr>
              <w:pStyle w:val="Tabletext"/>
              <w:rPr>
                <w:rFonts w:cs="Arial"/>
              </w:rPr>
            </w:pPr>
            <w:r w:rsidRPr="00917FAB">
              <w:rPr>
                <w:rFonts w:cs="Arial"/>
              </w:rPr>
              <w:t xml:space="preserve">Number of deaths caused by </w:t>
            </w:r>
            <w:r>
              <w:rPr>
                <w:rFonts w:cs="Arial"/>
              </w:rPr>
              <w:t xml:space="preserve">anogenital and </w:t>
            </w:r>
            <w:r w:rsidRPr="00917FAB">
              <w:rPr>
                <w:rFonts w:cs="Arial"/>
              </w:rPr>
              <w:t>oropharyngeal cancer</w:t>
            </w:r>
            <w:r w:rsidRPr="65E77CD2">
              <w:rPr>
                <w:rFonts w:cs="Arial"/>
              </w:rPr>
              <w:t>*</w:t>
            </w:r>
            <w:r w:rsidRPr="00917FAB">
              <w:rPr>
                <w:rFonts w:cs="Arial"/>
              </w:rPr>
              <w:t xml:space="preserve"> in a calendar year, by 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A1F598F" w14:textId="77777777" w:rsidR="0092478E" w:rsidRPr="00CD10C1" w:rsidRDefault="0092478E" w:rsidP="00CA3EB3">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top"/>
          </w:tcPr>
          <w:p w14:paraId="1FBBC793" w14:textId="77777777" w:rsidR="0092478E" w:rsidRPr="00CD10C1" w:rsidRDefault="0092478E" w:rsidP="00CA3EB3">
            <w:pPr>
              <w:pStyle w:val="Tabletext"/>
            </w:pPr>
            <w:r w:rsidRPr="00CD10C1">
              <w:t>Annually</w:t>
            </w:r>
          </w:p>
        </w:tc>
      </w:tr>
      <w:tr w:rsidR="0092478E" w:rsidRPr="00917FAB" w14:paraId="5DA12BAA" w14:textId="77777777" w:rsidTr="00CA3EB3">
        <w:trPr>
          <w:jc w:val="center"/>
        </w:trPr>
        <w:tc>
          <w:tcPr>
            <w:tcW w:w="1526" w:type="dxa"/>
            <w:vAlign w:val="top"/>
          </w:tcPr>
          <w:p w14:paraId="26ADB8CA" w14:textId="77777777" w:rsidR="0092478E" w:rsidRPr="00CD10C1" w:rsidRDefault="0092478E" w:rsidP="00CA3EB3">
            <w:pPr>
              <w:pStyle w:val="Tabletext"/>
            </w:pPr>
            <w:r w:rsidRPr="00CD10C1">
              <w:t>Denominator</w:t>
            </w:r>
          </w:p>
        </w:tc>
        <w:tc>
          <w:tcPr>
            <w:tcW w:w="1276" w:type="dxa"/>
            <w:vAlign w:val="top"/>
          </w:tcPr>
          <w:p w14:paraId="7196D31B" w14:textId="198D24C6" w:rsidR="0092478E" w:rsidRPr="00917FAB" w:rsidRDefault="0092478E" w:rsidP="00CA3EB3">
            <w:pPr>
              <w:pStyle w:val="Tabletext"/>
              <w:rPr>
                <w:rFonts w:cs="Arial"/>
              </w:rPr>
            </w:pPr>
            <w:r w:rsidRPr="00CD10C1">
              <w:t>ABS</w:t>
            </w:r>
            <w:r w:rsidR="00C47BE5">
              <w:rPr>
                <w:rStyle w:val="SuperscriptChar"/>
              </w:rPr>
              <w:fldChar w:fldCharType="begin"/>
            </w:r>
            <w:r w:rsidR="00C47BE5">
              <w:instrText xml:space="preserve"> NOTEREF _Ref160542170 \f \h </w:instrText>
            </w:r>
            <w:r w:rsidR="00CA3EB3">
              <w:rPr>
                <w:rStyle w:val="SuperscriptChar"/>
              </w:rPr>
              <w:instrText xml:space="preserve"> \* MERGEFORMAT </w:instrText>
            </w:r>
            <w:r w:rsidR="00C47BE5">
              <w:rPr>
                <w:rStyle w:val="SuperscriptChar"/>
              </w:rPr>
            </w:r>
            <w:r w:rsidR="00C47BE5">
              <w:rPr>
                <w:rStyle w:val="SuperscriptChar"/>
              </w:rPr>
              <w:fldChar w:fldCharType="separate"/>
            </w:r>
            <w:r w:rsidR="00C47BE5" w:rsidRPr="00C47BE5">
              <w:rPr>
                <w:rStyle w:val="FootnoteReference"/>
              </w:rPr>
              <w:t>25</w:t>
            </w:r>
            <w:r w:rsidR="00C47BE5">
              <w:rPr>
                <w:rStyle w:val="SuperscriptChar"/>
              </w:rPr>
              <w:fldChar w:fldCharType="end"/>
            </w:r>
          </w:p>
        </w:tc>
        <w:tc>
          <w:tcPr>
            <w:tcW w:w="3543" w:type="dxa"/>
            <w:vAlign w:val="top"/>
          </w:tcPr>
          <w:p w14:paraId="422DACB8" w14:textId="77777777" w:rsidR="0092478E" w:rsidRPr="00917FAB" w:rsidRDefault="0092478E" w:rsidP="00CA3EB3">
            <w:pPr>
              <w:pStyle w:val="Tabletext"/>
              <w:rPr>
                <w:rFonts w:cs="Arial"/>
              </w:rPr>
            </w:pPr>
            <w:r w:rsidRPr="00917FAB">
              <w:rPr>
                <w:rFonts w:cs="Arial"/>
              </w:rPr>
              <w:t>Estimated resident population, by age</w:t>
            </w:r>
            <w:r>
              <w:rPr>
                <w:rFonts w:cs="Arial"/>
              </w:rPr>
              <w:t xml:space="preserve"> and sex</w:t>
            </w:r>
            <w:r w:rsidRPr="00917FAB">
              <w:rPr>
                <w:rFonts w:cs="Arial"/>
              </w:rPr>
              <w:t>.</w:t>
            </w:r>
          </w:p>
        </w:tc>
        <w:tc>
          <w:tcPr>
            <w:tcW w:w="1843" w:type="dxa"/>
            <w:vAlign w:val="top"/>
          </w:tcPr>
          <w:p w14:paraId="6D47D6B3" w14:textId="77777777" w:rsidR="0092478E" w:rsidRPr="00CD10C1" w:rsidRDefault="0092478E" w:rsidP="00CA3EB3">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78047248" w14:textId="77777777" w:rsidR="0092478E" w:rsidRPr="00CD10C1" w:rsidRDefault="0092478E" w:rsidP="00CA3EB3">
            <w:pPr>
              <w:pStyle w:val="Tabletext"/>
            </w:pPr>
            <w:r w:rsidRPr="00CD10C1">
              <w:t>Annually</w:t>
            </w:r>
          </w:p>
        </w:tc>
      </w:tr>
    </w:tbl>
    <w:p w14:paraId="0B150E2D" w14:textId="77777777" w:rsidR="0092478E" w:rsidRDefault="0092478E" w:rsidP="0092478E">
      <w:pPr>
        <w:rPr>
          <w:rFonts w:eastAsia="Arial" w:cs="Arial"/>
          <w:szCs w:val="20"/>
        </w:rPr>
      </w:pPr>
      <w:r w:rsidRPr="008C4020">
        <w:t xml:space="preserve">* </w:t>
      </w:r>
      <w:r w:rsidRPr="002A7ED8">
        <w:rPr>
          <w:rFonts w:eastAsia="Arial" w:cs="Arial"/>
          <w:szCs w:val="20"/>
        </w:rPr>
        <w:t>Presented separately by ICD code groupings for vaginal, vulval, penile, anal and oropharyngeal cancers</w:t>
      </w:r>
    </w:p>
    <w:p w14:paraId="3B515D35" w14:textId="196D9E1A" w:rsidR="002A3693" w:rsidRPr="008C4020" w:rsidRDefault="002A3693" w:rsidP="008C4020">
      <w:pPr>
        <w:pStyle w:val="Caption"/>
      </w:pPr>
      <w:r w:rsidRPr="008C4020">
        <w:t>The number of deaths caused by anogenital and oropharyngeal cancer in Aboriginal and Torres Strait Islanders, by age, type, vaccination status and sex per 100,000 estimated resident Aboriginal and Torres Strait Islander population in a calendar year</w:t>
      </w:r>
    </w:p>
    <w:tbl>
      <w:tblPr>
        <w:tblStyle w:val="TableGrid"/>
        <w:tblW w:w="10031" w:type="dxa"/>
        <w:jc w:val="center"/>
        <w:tblLayout w:type="fixed"/>
        <w:tblLook w:val="05A0" w:firstRow="1" w:lastRow="0" w:firstColumn="1" w:lastColumn="1" w:noHBand="0" w:noVBand="1"/>
        <w:tblCaption w:val="Increase the proportion of people with chronic hepatitis B who have been diagnosed"/>
        <w:tblDescription w:val="Reporting against the indicators.  Estimated proportion of people with chronic hepatitis B who have not been diagnosed.  Annual rate of notifications of unspecified hepatitis B.  Prevalence of hepatitis B in pregnant women by country of birth and Aboriginal and Torres Strait Islander status."/>
      </w:tblPr>
      <w:tblGrid>
        <w:gridCol w:w="1526"/>
        <w:gridCol w:w="1276"/>
        <w:gridCol w:w="3543"/>
        <w:gridCol w:w="1843"/>
        <w:gridCol w:w="1843"/>
      </w:tblGrid>
      <w:tr w:rsidR="002A3693" w:rsidRPr="00917FAB" w14:paraId="69B25D60" w14:textId="77777777" w:rsidTr="00CA3EB3">
        <w:trPr>
          <w:cnfStyle w:val="100000000000" w:firstRow="1" w:lastRow="0" w:firstColumn="0" w:lastColumn="0" w:oddVBand="0" w:evenVBand="0" w:oddHBand="0" w:evenHBand="0" w:firstRowFirstColumn="0" w:firstRowLastColumn="0" w:lastRowFirstColumn="0" w:lastRowLastColumn="0"/>
          <w:tblHeader/>
          <w:jc w:val="center"/>
        </w:trPr>
        <w:tc>
          <w:tcPr>
            <w:tcW w:w="1526" w:type="dxa"/>
            <w:vAlign w:val="top"/>
          </w:tcPr>
          <w:p w14:paraId="3B719F2F" w14:textId="77777777" w:rsidR="002A3693" w:rsidRPr="00917FAB" w:rsidRDefault="002A3693" w:rsidP="00CA3EB3">
            <w:pPr>
              <w:pStyle w:val="Tableheaderrowblack"/>
              <w:rPr>
                <w:b/>
              </w:rPr>
            </w:pPr>
            <w:r w:rsidRPr="00917FAB">
              <w:t>Indicator components</w:t>
            </w:r>
          </w:p>
        </w:tc>
        <w:tc>
          <w:tcPr>
            <w:tcW w:w="1276" w:type="dxa"/>
            <w:vAlign w:val="top"/>
          </w:tcPr>
          <w:p w14:paraId="10F49B41" w14:textId="77777777" w:rsidR="002A3693" w:rsidRPr="00917FAB" w:rsidRDefault="002A3693" w:rsidP="00CA3EB3">
            <w:pPr>
              <w:pStyle w:val="Tableheaderrowblack"/>
              <w:rPr>
                <w:b/>
              </w:rPr>
            </w:pPr>
            <w:r w:rsidRPr="00917FAB">
              <w:t>Source</w:t>
            </w:r>
          </w:p>
        </w:tc>
        <w:tc>
          <w:tcPr>
            <w:tcW w:w="3543" w:type="dxa"/>
            <w:vAlign w:val="top"/>
          </w:tcPr>
          <w:p w14:paraId="12F4C38A" w14:textId="77777777" w:rsidR="002A3693" w:rsidRPr="00917FAB" w:rsidRDefault="002A3693" w:rsidP="00CA3EB3">
            <w:pPr>
              <w:pStyle w:val="Tableheaderrowblack"/>
              <w:rPr>
                <w:b/>
              </w:rPr>
            </w:pPr>
            <w:r w:rsidRPr="00917FAB">
              <w:t>Description</w:t>
            </w:r>
          </w:p>
        </w:tc>
        <w:tc>
          <w:tcPr>
            <w:tcW w:w="1843" w:type="dxa"/>
            <w:vAlign w:val="top"/>
          </w:tcPr>
          <w:p w14:paraId="52FE3E14" w14:textId="77777777" w:rsidR="002A3693" w:rsidRPr="00917FAB" w:rsidRDefault="002A3693" w:rsidP="00CA3EB3">
            <w:pPr>
              <w:pStyle w:val="Tableheaderrowblack"/>
              <w:rPr>
                <w:b/>
              </w:rPr>
            </w:pPr>
            <w:r w:rsidRPr="00917FAB">
              <w:t>Custodian/</w:t>
            </w:r>
            <w:r w:rsidRPr="00917FAB">
              <w:br/>
              <w:t>stakeholder</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7EA060E6" w14:textId="77777777" w:rsidR="002A3693" w:rsidRPr="00917FAB" w:rsidRDefault="002A3693" w:rsidP="00CA3EB3">
            <w:pPr>
              <w:pStyle w:val="Tableheaderrowblack"/>
              <w:rPr>
                <w:b/>
              </w:rPr>
            </w:pPr>
            <w:r w:rsidRPr="00917FAB">
              <w:t>Availability of data</w:t>
            </w:r>
            <w:r w:rsidRPr="00917FAB">
              <w:br/>
              <w:t xml:space="preserve"> for reporting</w:t>
            </w:r>
          </w:p>
        </w:tc>
      </w:tr>
      <w:tr w:rsidR="002A3693" w:rsidRPr="00917FAB" w14:paraId="3BD46BBC" w14:textId="77777777" w:rsidTr="00CA3EB3">
        <w:trPr>
          <w:cnfStyle w:val="000000100000" w:firstRow="0" w:lastRow="0" w:firstColumn="0" w:lastColumn="0" w:oddVBand="0" w:evenVBand="0" w:oddHBand="1" w:evenHBand="0" w:firstRowFirstColumn="0" w:firstRowLastColumn="0" w:lastRowFirstColumn="0" w:lastRowLastColumn="0"/>
          <w:jc w:val="cent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AB51598" w14:textId="77777777" w:rsidR="002A3693" w:rsidRPr="00CD10C1" w:rsidRDefault="002A3693" w:rsidP="00CA3EB3">
            <w:pPr>
              <w:pStyle w:val="Tabletext"/>
            </w:pPr>
            <w:r w:rsidRPr="00CD10C1">
              <w:t>Numerator</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00A73BD" w14:textId="7FD51BC5" w:rsidR="002A3693" w:rsidRPr="00917FAB" w:rsidRDefault="002A3693" w:rsidP="00CA3EB3">
            <w:pPr>
              <w:pStyle w:val="Tabletext"/>
              <w:rPr>
                <w:rFonts w:cs="Arial"/>
              </w:rPr>
            </w:pPr>
            <w:r w:rsidRPr="00CD10C1">
              <w:t>NMD</w:t>
            </w:r>
            <w:r w:rsidR="00C47BE5">
              <w:rPr>
                <w:rStyle w:val="SuperscriptChar"/>
              </w:rPr>
              <w:fldChar w:fldCharType="begin"/>
            </w:r>
            <w:r w:rsidR="00C47BE5">
              <w:instrText xml:space="preserve"> NOTEREF _Ref160542170 \f \h </w:instrText>
            </w:r>
            <w:r w:rsidR="00CA3EB3">
              <w:rPr>
                <w:rStyle w:val="SuperscriptChar"/>
              </w:rPr>
              <w:instrText xml:space="preserve"> \* MERGEFORMAT </w:instrText>
            </w:r>
            <w:r w:rsidR="00C47BE5">
              <w:rPr>
                <w:rStyle w:val="SuperscriptChar"/>
              </w:rPr>
            </w:r>
            <w:r w:rsidR="00C47BE5">
              <w:rPr>
                <w:rStyle w:val="SuperscriptChar"/>
              </w:rPr>
              <w:fldChar w:fldCharType="separate"/>
            </w:r>
            <w:r w:rsidR="00C47BE5" w:rsidRPr="00C47BE5">
              <w:rPr>
                <w:rStyle w:val="FootnoteReference"/>
              </w:rPr>
              <w:t>25</w:t>
            </w:r>
            <w:r w:rsidR="00C47BE5">
              <w:rPr>
                <w:rStyle w:val="SuperscriptChar"/>
              </w:rPr>
              <w:fldChar w:fldCharType="end"/>
            </w:r>
          </w:p>
        </w:tc>
        <w:tc>
          <w:tcPr>
            <w:tcW w:w="35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C06D586" w14:textId="77777777" w:rsidR="002A3693" w:rsidRPr="00917FAB" w:rsidRDefault="002A3693" w:rsidP="00CA3EB3">
            <w:pPr>
              <w:pStyle w:val="Tabletext"/>
              <w:rPr>
                <w:rFonts w:cs="Arial"/>
              </w:rPr>
            </w:pPr>
            <w:r w:rsidRPr="00917FAB">
              <w:rPr>
                <w:rFonts w:cs="Arial"/>
              </w:rPr>
              <w:t xml:space="preserve">Number of deaths caused by </w:t>
            </w:r>
            <w:r>
              <w:rPr>
                <w:rFonts w:cs="Arial"/>
              </w:rPr>
              <w:t xml:space="preserve">anogenital and </w:t>
            </w:r>
            <w:r w:rsidRPr="00917FAB">
              <w:rPr>
                <w:rFonts w:cs="Arial"/>
              </w:rPr>
              <w:t>oropharyngeal cancer</w:t>
            </w:r>
            <w:r w:rsidRPr="65E77CD2">
              <w:rPr>
                <w:rFonts w:cs="Arial"/>
              </w:rPr>
              <w:t>*</w:t>
            </w:r>
            <w:r w:rsidRPr="00917FAB">
              <w:rPr>
                <w:rFonts w:cs="Arial"/>
              </w:rPr>
              <w:t xml:space="preserve"> in Aboriginal and Torres Strait Islander</w:t>
            </w:r>
            <w:r>
              <w:rPr>
                <w:rFonts w:cs="Arial"/>
              </w:rPr>
              <w:t xml:space="preserve"> people </w:t>
            </w:r>
            <w:r w:rsidRPr="00917FAB">
              <w:rPr>
                <w:rFonts w:cs="Arial"/>
              </w:rPr>
              <w:t>in a calendar year, by age</w:t>
            </w:r>
            <w:r>
              <w:rPr>
                <w:rFonts w:cs="Arial"/>
              </w:rPr>
              <w:t>, type, vaccination status and sex</w:t>
            </w:r>
            <w:r w:rsidRPr="00917FAB">
              <w:rPr>
                <w:rFonts w:cs="Arial"/>
              </w:rPr>
              <w:t>.</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D3A7AE7" w14:textId="77777777" w:rsidR="002A3693" w:rsidRPr="00CD10C1" w:rsidRDefault="002A3693" w:rsidP="00CA3EB3">
            <w:pPr>
              <w:pStyle w:val="Tabletext"/>
            </w:pPr>
            <w:r w:rsidRPr="00CD10C1">
              <w:t>AIHW</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top"/>
          </w:tcPr>
          <w:p w14:paraId="3789C842" w14:textId="77777777" w:rsidR="002A3693" w:rsidRPr="00CD10C1" w:rsidRDefault="002A3693" w:rsidP="00CA3EB3">
            <w:pPr>
              <w:pStyle w:val="Tabletext"/>
            </w:pPr>
            <w:r w:rsidRPr="00CD10C1">
              <w:t>Annually</w:t>
            </w:r>
          </w:p>
        </w:tc>
      </w:tr>
      <w:tr w:rsidR="002A3693" w:rsidRPr="00917FAB" w14:paraId="034715DD" w14:textId="77777777" w:rsidTr="00CA3EB3">
        <w:trPr>
          <w:jc w:val="center"/>
        </w:trPr>
        <w:tc>
          <w:tcPr>
            <w:tcW w:w="1526" w:type="dxa"/>
            <w:vAlign w:val="top"/>
          </w:tcPr>
          <w:p w14:paraId="5F35EA61" w14:textId="77777777" w:rsidR="002A3693" w:rsidRPr="00CD10C1" w:rsidRDefault="002A3693" w:rsidP="00CA3EB3">
            <w:pPr>
              <w:pStyle w:val="Tabletext"/>
            </w:pPr>
            <w:r w:rsidRPr="00CD10C1">
              <w:t>Denominator</w:t>
            </w:r>
          </w:p>
        </w:tc>
        <w:tc>
          <w:tcPr>
            <w:tcW w:w="1276" w:type="dxa"/>
            <w:vAlign w:val="top"/>
          </w:tcPr>
          <w:p w14:paraId="326D7856" w14:textId="2D9758E4" w:rsidR="002A3693" w:rsidRPr="00917FAB" w:rsidRDefault="002A3693" w:rsidP="00CA3EB3">
            <w:pPr>
              <w:pStyle w:val="Tabletext"/>
              <w:rPr>
                <w:rFonts w:cs="Arial"/>
                <w:vertAlign w:val="superscript"/>
              </w:rPr>
            </w:pPr>
            <w:r w:rsidRPr="00CD10C1">
              <w:t>ABS</w:t>
            </w:r>
            <w:r w:rsidR="00C47BE5">
              <w:rPr>
                <w:rStyle w:val="SuperscriptChar"/>
                <w:rFonts w:eastAsiaTheme="minorEastAsia"/>
              </w:rPr>
              <w:fldChar w:fldCharType="begin"/>
            </w:r>
            <w:r w:rsidR="00C47BE5">
              <w:instrText xml:space="preserve"> NOTEREF _Ref160542170 \f \h </w:instrText>
            </w:r>
            <w:r w:rsidR="00CA3EB3">
              <w:rPr>
                <w:rStyle w:val="SuperscriptChar"/>
                <w:rFonts w:eastAsiaTheme="minorEastAsia"/>
              </w:rPr>
              <w:instrText xml:space="preserve"> \* MERGEFORMAT </w:instrText>
            </w:r>
            <w:r w:rsidR="00C47BE5">
              <w:rPr>
                <w:rStyle w:val="SuperscriptChar"/>
                <w:rFonts w:eastAsiaTheme="minorEastAsia"/>
              </w:rPr>
            </w:r>
            <w:r w:rsidR="00C47BE5">
              <w:rPr>
                <w:rStyle w:val="SuperscriptChar"/>
                <w:rFonts w:eastAsiaTheme="minorEastAsia"/>
              </w:rPr>
              <w:fldChar w:fldCharType="separate"/>
            </w:r>
            <w:r w:rsidR="00C47BE5" w:rsidRPr="00C47BE5">
              <w:rPr>
                <w:rStyle w:val="FootnoteReference"/>
              </w:rPr>
              <w:t>25</w:t>
            </w:r>
            <w:r w:rsidR="00C47BE5">
              <w:rPr>
                <w:rStyle w:val="SuperscriptChar"/>
                <w:rFonts w:eastAsiaTheme="minorEastAsia"/>
              </w:rPr>
              <w:fldChar w:fldCharType="end"/>
            </w:r>
          </w:p>
        </w:tc>
        <w:tc>
          <w:tcPr>
            <w:tcW w:w="3543" w:type="dxa"/>
            <w:vAlign w:val="top"/>
          </w:tcPr>
          <w:p w14:paraId="2CAE40B4" w14:textId="77777777" w:rsidR="002A3693" w:rsidRPr="00917FAB" w:rsidRDefault="002A3693" w:rsidP="00CA3EB3">
            <w:pPr>
              <w:pStyle w:val="Tabletext"/>
              <w:rPr>
                <w:rFonts w:cs="Arial"/>
              </w:rPr>
            </w:pPr>
            <w:r w:rsidRPr="00917FAB">
              <w:rPr>
                <w:rFonts w:cs="Arial"/>
              </w:rPr>
              <w:t>Estimated resident Aboriginal and Torres Strait Islander population, by age</w:t>
            </w:r>
            <w:r>
              <w:rPr>
                <w:rFonts w:cs="Arial"/>
              </w:rPr>
              <w:t xml:space="preserve"> and sex</w:t>
            </w:r>
            <w:r w:rsidRPr="00917FAB">
              <w:rPr>
                <w:rFonts w:cs="Arial"/>
              </w:rPr>
              <w:t>.</w:t>
            </w:r>
          </w:p>
        </w:tc>
        <w:tc>
          <w:tcPr>
            <w:tcW w:w="1843" w:type="dxa"/>
            <w:vAlign w:val="top"/>
          </w:tcPr>
          <w:p w14:paraId="33F4FB7A" w14:textId="77777777" w:rsidR="002A3693" w:rsidRPr="00CD10C1" w:rsidRDefault="002A3693" w:rsidP="00CA3EB3">
            <w:pPr>
              <w:pStyle w:val="Tabletext"/>
            </w:pPr>
            <w:r w:rsidRPr="00CD10C1">
              <w:t>ABS</w:t>
            </w:r>
          </w:p>
        </w:tc>
        <w:tc>
          <w:tcPr>
            <w:cnfStyle w:val="000100000000" w:firstRow="0" w:lastRow="0" w:firstColumn="0" w:lastColumn="1" w:oddVBand="0" w:evenVBand="0" w:oddHBand="0" w:evenHBand="0" w:firstRowFirstColumn="0" w:firstRowLastColumn="0" w:lastRowFirstColumn="0" w:lastRowLastColumn="0"/>
            <w:tcW w:w="1843" w:type="dxa"/>
            <w:vAlign w:val="top"/>
          </w:tcPr>
          <w:p w14:paraId="5860591A" w14:textId="77777777" w:rsidR="002A3693" w:rsidRPr="00CD10C1" w:rsidRDefault="002A3693" w:rsidP="00CA3EB3">
            <w:pPr>
              <w:pStyle w:val="Tabletext"/>
            </w:pPr>
            <w:r w:rsidRPr="00CD10C1">
              <w:t>Annually</w:t>
            </w:r>
          </w:p>
        </w:tc>
      </w:tr>
    </w:tbl>
    <w:p w14:paraId="591E6379" w14:textId="77777777" w:rsidR="002A3693" w:rsidRDefault="002A3693" w:rsidP="002A3693">
      <w:pPr>
        <w:rPr>
          <w:rFonts w:eastAsia="Arial" w:cs="Arial"/>
          <w:szCs w:val="20"/>
        </w:rPr>
      </w:pPr>
      <w:bookmarkStart w:id="75" w:name="_4.3._Monitor_the"/>
      <w:bookmarkEnd w:id="75"/>
      <w:r w:rsidRPr="00192F08">
        <w:t>* Presented</w:t>
      </w:r>
      <w:r w:rsidRPr="00081D37">
        <w:rPr>
          <w:rFonts w:eastAsia="Arial" w:cs="Arial"/>
          <w:szCs w:val="20"/>
        </w:rPr>
        <w:t xml:space="preserve"> separately by ICD code groupings for vaginal, vulval, penile, anal and oropharyngeal cancers</w:t>
      </w:r>
    </w:p>
    <w:p w14:paraId="45820418" w14:textId="6A2B3D75" w:rsidR="00192F08" w:rsidRPr="00CD10C1" w:rsidRDefault="00192F08" w:rsidP="00CD10C1">
      <w:r w:rsidRPr="00CD10C1">
        <w:br w:type="page"/>
      </w:r>
    </w:p>
    <w:p w14:paraId="27ECF58E" w14:textId="7A2C044C" w:rsidR="00E5366A" w:rsidRPr="00A61637" w:rsidRDefault="002A3693" w:rsidP="00E9658C">
      <w:pPr>
        <w:pStyle w:val="Heading2Numbering"/>
      </w:pPr>
      <w:bookmarkStart w:id="76" w:name="_4.3._Monitor_the_1"/>
      <w:bookmarkStart w:id="77" w:name="_Toc232507547"/>
      <w:bookmarkEnd w:id="76"/>
      <w:r w:rsidRPr="00A61637">
        <w:lastRenderedPageBreak/>
        <w:t>Monitor the distribution of HPV genotypes detected in cervical cancers</w:t>
      </w:r>
      <w:bookmarkEnd w:id="77"/>
    </w:p>
    <w:p w14:paraId="7F3EC767" w14:textId="77777777" w:rsidR="002A3693" w:rsidRDefault="002A3693" w:rsidP="00CA3EB3">
      <w:pPr>
        <w:pStyle w:val="Boxgreenheading"/>
      </w:pPr>
      <w:bookmarkStart w:id="78" w:name="_Toc161152120"/>
      <w:bookmarkStart w:id="79" w:name="_Hlk160544580"/>
      <w:r w:rsidRPr="00257D46">
        <w:t>Indicator</w:t>
      </w:r>
      <w:r>
        <w:t>s</w:t>
      </w:r>
      <w:bookmarkEnd w:id="78"/>
    </w:p>
    <w:p w14:paraId="32C6FFC3" w14:textId="77777777" w:rsidR="003022ED" w:rsidRPr="003022ED" w:rsidRDefault="003022ED" w:rsidP="00CA3EB3">
      <w:pPr>
        <w:pStyle w:val="Boxgreentext"/>
      </w:pPr>
      <w:r w:rsidRPr="003022ED">
        <w:t>Prevalence of HPV, by type, age, sex and vaccination status, in cervical cancer specimens.</w:t>
      </w:r>
    </w:p>
    <w:p w14:paraId="174E9D68" w14:textId="77777777" w:rsidR="003022ED" w:rsidRPr="003022ED" w:rsidRDefault="003022ED" w:rsidP="00CA3EB3">
      <w:pPr>
        <w:pStyle w:val="Boxgreentext"/>
      </w:pPr>
      <w:r w:rsidRPr="003022ED">
        <w:t xml:space="preserve">Prevalence of HPV, by type, age, sex and vaccination </w:t>
      </w:r>
      <w:bookmarkEnd w:id="79"/>
      <w:r w:rsidRPr="003022ED">
        <w:t>status, in cervical cancer specimens from Aboriginal and Torres Strait Islander females</w:t>
      </w:r>
    </w:p>
    <w:p w14:paraId="100AA6F5" w14:textId="485D83B9" w:rsidR="00E5366A" w:rsidRPr="003022ED" w:rsidRDefault="003022ED" w:rsidP="00CA3EB3">
      <w:pPr>
        <w:pStyle w:val="Heading3"/>
      </w:pPr>
      <w:r w:rsidRPr="003022ED">
        <w:t>Rationale for surveillance</w:t>
      </w:r>
    </w:p>
    <w:p w14:paraId="00D205BE" w14:textId="77777777" w:rsidR="003022ED" w:rsidRPr="003022ED" w:rsidRDefault="003022ED" w:rsidP="003022ED">
      <w:pPr>
        <w:rPr>
          <w:szCs w:val="20"/>
        </w:rPr>
      </w:pPr>
      <w:r w:rsidRPr="003022ED">
        <w:rPr>
          <w:szCs w:val="20"/>
        </w:rPr>
        <w:t>To monitor the:</w:t>
      </w:r>
    </w:p>
    <w:p w14:paraId="1432EB12" w14:textId="77777777" w:rsidR="003022ED" w:rsidRPr="00CA3EB3" w:rsidRDefault="003022ED" w:rsidP="00CA3EB3">
      <w:pPr>
        <w:pStyle w:val="ListBullet"/>
      </w:pPr>
      <w:r w:rsidRPr="00CA3EB3">
        <w:t>prevalence of vaccine and non-vaccine HPV types in cervical cancer over time at the population level.</w:t>
      </w:r>
    </w:p>
    <w:p w14:paraId="0070C8FE" w14:textId="77777777" w:rsidR="003022ED" w:rsidRPr="00CA3EB3" w:rsidRDefault="003022ED" w:rsidP="00CA3EB3">
      <w:pPr>
        <w:pStyle w:val="ListBullet"/>
      </w:pPr>
      <w:r w:rsidRPr="00CA3EB3">
        <w:t>proportion of cervical cancer that is potentially vaccine preventable over time.</w:t>
      </w:r>
    </w:p>
    <w:p w14:paraId="4DDC7136" w14:textId="724923D8" w:rsidR="00E5366A" w:rsidRDefault="003022ED" w:rsidP="00CA3EB3">
      <w:pPr>
        <w:pStyle w:val="Heading3"/>
      </w:pPr>
      <w:r>
        <w:t>Data considerations</w:t>
      </w:r>
    </w:p>
    <w:p w14:paraId="0A077D24" w14:textId="4981C32A" w:rsidR="009D3BBD" w:rsidRDefault="003022ED" w:rsidP="009D3BBD">
      <w:pPr>
        <w:rPr>
          <w:rFonts w:cs="Arial"/>
          <w:szCs w:val="20"/>
        </w:rPr>
      </w:pPr>
      <w:r>
        <w:rPr>
          <w:rFonts w:cs="Arial"/>
          <w:szCs w:val="20"/>
        </w:rPr>
        <w:t>Routine d</w:t>
      </w:r>
      <w:r w:rsidRPr="00D070E3">
        <w:rPr>
          <w:rFonts w:cs="Arial"/>
          <w:szCs w:val="20"/>
        </w:rPr>
        <w:t xml:space="preserve">ata are not yet available to support the reporting of this </w:t>
      </w:r>
      <w:proofErr w:type="gramStart"/>
      <w:r w:rsidRPr="00D070E3">
        <w:rPr>
          <w:rFonts w:cs="Arial"/>
          <w:szCs w:val="20"/>
        </w:rPr>
        <w:t>indicator</w:t>
      </w:r>
      <w:proofErr w:type="gramEnd"/>
      <w:r w:rsidRPr="00D070E3">
        <w:rPr>
          <w:rFonts w:cs="Arial"/>
          <w:szCs w:val="20"/>
        </w:rPr>
        <w:t xml:space="preserve"> and this space should be noted for development in the future. </w:t>
      </w:r>
      <w:r w:rsidRPr="00D070E3" w:rsidDel="00D614A7">
        <w:rPr>
          <w:rFonts w:cs="Arial"/>
          <w:szCs w:val="20"/>
        </w:rPr>
        <w:t xml:space="preserve"> </w:t>
      </w:r>
      <w:r>
        <w:rPr>
          <w:rFonts w:cs="Arial"/>
          <w:szCs w:val="20"/>
        </w:rPr>
        <w:t xml:space="preserve">In the interim, sentinel surveillance or research studies are important to monitor vaccine impact on cancers. </w:t>
      </w:r>
      <w:r w:rsidRPr="65E77CD2">
        <w:rPr>
          <w:rFonts w:cs="Arial"/>
          <w:szCs w:val="20"/>
        </w:rPr>
        <w:t xml:space="preserve">Once available, data should be reported per histological cervical cancer type. </w:t>
      </w:r>
      <w:r w:rsidR="009D3BBD">
        <w:rPr>
          <w:rFonts w:cs="Arial"/>
          <w:szCs w:val="20"/>
        </w:rPr>
        <w:br w:type="page"/>
      </w:r>
    </w:p>
    <w:p w14:paraId="623EDC77" w14:textId="560DB501" w:rsidR="003022ED" w:rsidRPr="00A74B5B" w:rsidRDefault="003022ED" w:rsidP="00E9658C">
      <w:pPr>
        <w:pStyle w:val="Heading2Numbering"/>
      </w:pPr>
      <w:bookmarkStart w:id="80" w:name="_4.4._Monitor_the"/>
      <w:bookmarkStart w:id="81" w:name="_Toc158202793"/>
      <w:bookmarkStart w:id="82" w:name="_Toc232507548"/>
      <w:bookmarkEnd w:id="80"/>
      <w:r w:rsidRPr="00A74B5B">
        <w:lastRenderedPageBreak/>
        <w:t>Monitor the distribution of HPV genotypes detected in anogenital</w:t>
      </w:r>
      <w:r w:rsidR="005355AC">
        <w:rPr>
          <w:rFonts w:ascii="ZWAdobeF" w:hAnsi="ZWAdobeF" w:cs="ZWAdobeF"/>
          <w:b w:val="0"/>
          <w:color w:val="auto"/>
          <w:sz w:val="2"/>
          <w:szCs w:val="2"/>
        </w:rPr>
        <w:t>25F</w:t>
      </w:r>
      <w:r w:rsidRPr="00A74B5B">
        <w:rPr>
          <w:rStyle w:val="HeadingSuperscriptChar"/>
        </w:rPr>
        <w:footnoteReference w:id="26"/>
      </w:r>
      <w:r w:rsidRPr="00A74B5B">
        <w:t xml:space="preserve"> and oropharyngeal</w:t>
      </w:r>
      <w:r w:rsidR="005355AC">
        <w:rPr>
          <w:rFonts w:ascii="ZWAdobeF" w:hAnsi="ZWAdobeF" w:cs="ZWAdobeF"/>
          <w:b w:val="0"/>
          <w:color w:val="auto"/>
          <w:sz w:val="2"/>
          <w:szCs w:val="2"/>
        </w:rPr>
        <w:t>26F</w:t>
      </w:r>
      <w:r w:rsidRPr="00A74B5B">
        <w:rPr>
          <w:rStyle w:val="HeadingSuperscriptChar"/>
        </w:rPr>
        <w:footnoteReference w:id="27"/>
      </w:r>
      <w:r w:rsidRPr="00A74B5B">
        <w:t xml:space="preserve"> cancers</w:t>
      </w:r>
      <w:bookmarkEnd w:id="81"/>
      <w:bookmarkEnd w:id="82"/>
    </w:p>
    <w:p w14:paraId="3A1864D6" w14:textId="77777777" w:rsidR="00A61637" w:rsidRDefault="00A61637" w:rsidP="00CA3EB3">
      <w:pPr>
        <w:pStyle w:val="Boxgreenheading"/>
      </w:pPr>
      <w:bookmarkStart w:id="83" w:name="_Toc161152122"/>
      <w:r w:rsidRPr="00257D46">
        <w:t>Indicator</w:t>
      </w:r>
      <w:r>
        <w:t>s</w:t>
      </w:r>
      <w:bookmarkEnd w:id="83"/>
    </w:p>
    <w:p w14:paraId="44F8349B" w14:textId="77777777" w:rsidR="00A61637" w:rsidRPr="00A61637" w:rsidRDefault="00A61637" w:rsidP="00CA3EB3">
      <w:pPr>
        <w:pStyle w:val="Boxgreentext"/>
      </w:pPr>
      <w:r w:rsidRPr="00A61637">
        <w:t>Prevalence of HPV, by type, age, sex and vaccination status, in anogenital cancer specimens</w:t>
      </w:r>
    </w:p>
    <w:p w14:paraId="0106EDE3" w14:textId="77777777" w:rsidR="00A61637" w:rsidRPr="00A61637" w:rsidRDefault="00A61637" w:rsidP="00CA3EB3">
      <w:pPr>
        <w:pStyle w:val="Boxgreentext"/>
      </w:pPr>
      <w:r w:rsidRPr="00A61637">
        <w:t>Prevalence of HPV, by type, age, sex and vaccination status, in anogenital cancer specimens from Aboriginal and Torres Strait Islander people</w:t>
      </w:r>
    </w:p>
    <w:p w14:paraId="01E0CD33" w14:textId="77777777" w:rsidR="00A61637" w:rsidRPr="00A61637" w:rsidRDefault="00A61637" w:rsidP="00CA3EB3">
      <w:pPr>
        <w:pStyle w:val="Boxgreentext"/>
      </w:pPr>
      <w:r w:rsidRPr="00A61637">
        <w:t>Prevalence of HPV, by type, age, sex and vaccination status, in oropharyngeal cancer specimens</w:t>
      </w:r>
    </w:p>
    <w:p w14:paraId="0CAF3ED6" w14:textId="74060D07" w:rsidR="00A61637" w:rsidRPr="00CA76F2" w:rsidRDefault="00A61637" w:rsidP="00CA3EB3">
      <w:pPr>
        <w:pStyle w:val="Boxgreentext"/>
      </w:pPr>
      <w:r w:rsidRPr="00A61637">
        <w:t>Prevalence of HPV, by type, age, sex and vaccination status, in oropharyngeal cancer specimens from Aboriginal and Torres Strait Islander people</w:t>
      </w:r>
    </w:p>
    <w:p w14:paraId="08AB2321" w14:textId="5460777D" w:rsidR="00A61637" w:rsidRPr="00A61637" w:rsidRDefault="00A61637" w:rsidP="00CA3EB3">
      <w:pPr>
        <w:pStyle w:val="Heading3"/>
      </w:pPr>
      <w:r>
        <w:t>Rationale for surveillance</w:t>
      </w:r>
    </w:p>
    <w:p w14:paraId="76311BEC" w14:textId="77777777" w:rsidR="00A61637" w:rsidRPr="00507417" w:rsidRDefault="00A61637" w:rsidP="00A61637">
      <w:pPr>
        <w:rPr>
          <w:rFonts w:cs="Arial"/>
          <w:szCs w:val="20"/>
        </w:rPr>
      </w:pPr>
      <w:r w:rsidRPr="00081D37">
        <w:rPr>
          <w:rFonts w:cs="Arial"/>
          <w:szCs w:val="20"/>
        </w:rPr>
        <w:t>To monitor the:</w:t>
      </w:r>
    </w:p>
    <w:p w14:paraId="55092D03" w14:textId="77777777" w:rsidR="00A61637" w:rsidRPr="00081D37" w:rsidRDefault="00A61637" w:rsidP="00CA76F2">
      <w:pPr>
        <w:pStyle w:val="ListBullet"/>
      </w:pPr>
      <w:r>
        <w:t>p</w:t>
      </w:r>
      <w:r w:rsidRPr="7CC4A671">
        <w:t>revalence of vaccine and non-vaccine HPV types in anogenital and oropharyngeal cancer over time at the population level.</w:t>
      </w:r>
    </w:p>
    <w:p w14:paraId="3C18F629" w14:textId="2346227E" w:rsidR="00E5366A" w:rsidRDefault="00A61637" w:rsidP="00A61637">
      <w:pPr>
        <w:pStyle w:val="ListBullet"/>
      </w:pPr>
      <w:r w:rsidRPr="7CC4A671">
        <w:t>proportion of anogenital and oropharyngeal cancers that are potentially vaccine preventable over time.</w:t>
      </w:r>
    </w:p>
    <w:p w14:paraId="6B6A596A" w14:textId="2E412ED8" w:rsidR="00E5366A" w:rsidRDefault="00A61637" w:rsidP="00CA3EB3">
      <w:pPr>
        <w:pStyle w:val="Heading3"/>
      </w:pPr>
      <w:r>
        <w:t>Data considerations</w:t>
      </w:r>
    </w:p>
    <w:p w14:paraId="74FED73F" w14:textId="662AF931" w:rsidR="00A61637" w:rsidRPr="00D070E3" w:rsidRDefault="00A61637" w:rsidP="00A61637">
      <w:pPr>
        <w:rPr>
          <w:rFonts w:cs="Arial"/>
          <w:szCs w:val="20"/>
        </w:rPr>
      </w:pPr>
      <w:r w:rsidRPr="00D070E3">
        <w:rPr>
          <w:rFonts w:cs="Arial"/>
          <w:szCs w:val="20"/>
        </w:rPr>
        <w:t xml:space="preserve">Cancers of the anogenital </w:t>
      </w:r>
      <w:r w:rsidRPr="65E77CD2">
        <w:rPr>
          <w:rFonts w:cs="Arial"/>
          <w:szCs w:val="20"/>
        </w:rPr>
        <w:t xml:space="preserve">and </w:t>
      </w:r>
      <w:r w:rsidRPr="00D070E3">
        <w:rPr>
          <w:rFonts w:cs="Arial"/>
          <w:szCs w:val="20"/>
        </w:rPr>
        <w:t>oropharyngeal regions have varying proportions attributable to HPV, with their progression from HPV infection to cancer being less well understood than for cervical cancer.</w:t>
      </w:r>
    </w:p>
    <w:p w14:paraId="6F94912E" w14:textId="77777777" w:rsidR="00A61637" w:rsidRDefault="00A61637" w:rsidP="00A61637">
      <w:pPr>
        <w:rPr>
          <w:rFonts w:cs="Arial"/>
          <w:szCs w:val="20"/>
        </w:rPr>
      </w:pPr>
      <w:r w:rsidRPr="18B3350F">
        <w:rPr>
          <w:rFonts w:cs="Arial"/>
          <w:szCs w:val="20"/>
        </w:rPr>
        <w:t>Data are not yet available to support the reporting of this performance indicator, and this space should be noted for development in the future.</w:t>
      </w:r>
      <w:r>
        <w:rPr>
          <w:rFonts w:cs="Arial"/>
          <w:szCs w:val="20"/>
        </w:rPr>
        <w:t xml:space="preserve"> In the interim, sentinel surveillance </w:t>
      </w:r>
      <w:r>
        <w:rPr>
          <w:rFonts w:cs="Arial"/>
          <w:szCs w:val="20"/>
        </w:rPr>
        <w:lastRenderedPageBreak/>
        <w:t>or research studies are important to provide baseline data and monitor vaccine impact on cancers.</w:t>
      </w:r>
      <w:r w:rsidRPr="18B3350F">
        <w:rPr>
          <w:rFonts w:cs="Arial"/>
          <w:szCs w:val="20"/>
        </w:rPr>
        <w:t xml:space="preserve"> </w:t>
      </w:r>
      <w:r w:rsidRPr="65E77CD2">
        <w:rPr>
          <w:rFonts w:cs="Arial"/>
          <w:szCs w:val="20"/>
        </w:rPr>
        <w:t>Once available, data should be reported per cancer type (</w:t>
      </w:r>
      <w:r>
        <w:rPr>
          <w:rFonts w:cs="Arial"/>
          <w:szCs w:val="20"/>
        </w:rPr>
        <w:t xml:space="preserve">e.g. </w:t>
      </w:r>
      <w:r w:rsidRPr="65E77CD2">
        <w:rPr>
          <w:rFonts w:cs="Arial"/>
          <w:szCs w:val="20"/>
        </w:rPr>
        <w:t>vaginal, vulval, anal, penile, oropharyngeal)</w:t>
      </w:r>
    </w:p>
    <w:p w14:paraId="5D4CCE0A" w14:textId="09CE6452" w:rsidR="002F023F" w:rsidRDefault="00B5194B" w:rsidP="008C4020">
      <w:r>
        <w:br w:type="page"/>
      </w:r>
    </w:p>
    <w:p w14:paraId="4E92CAA7" w14:textId="77777777" w:rsidR="004E73C4" w:rsidRDefault="004E73C4" w:rsidP="004E73C4">
      <w:pPr>
        <w:pStyle w:val="Heading2"/>
        <w:sectPr w:rsidR="004E73C4" w:rsidSect="00121E5A">
          <w:pgSz w:w="11900" w:h="16840" w:code="9"/>
          <w:pgMar w:top="1474" w:right="934" w:bottom="1474" w:left="1474" w:header="709" w:footer="425" w:gutter="0"/>
          <w:cols w:space="708"/>
          <w:docGrid w:linePitch="360"/>
        </w:sectPr>
      </w:pPr>
      <w:bookmarkStart w:id="84" w:name="_Toc158202794"/>
    </w:p>
    <w:p w14:paraId="4BB20584" w14:textId="77777777" w:rsidR="00700FB1" w:rsidRDefault="004E73C4" w:rsidP="00700FB1">
      <w:pPr>
        <w:pStyle w:val="Heading1"/>
      </w:pPr>
      <w:bookmarkStart w:id="85" w:name="_Appendix_A_–"/>
      <w:bookmarkStart w:id="86" w:name="_Toc232507549"/>
      <w:bookmarkEnd w:id="85"/>
      <w:r w:rsidRPr="00F20CF8">
        <w:lastRenderedPageBreak/>
        <w:t>Appendix A – Cervical Screening Pathway</w:t>
      </w:r>
      <w:bookmarkEnd w:id="84"/>
      <w:bookmarkEnd w:id="86"/>
    </w:p>
    <w:p w14:paraId="70754B45" w14:textId="70461574" w:rsidR="004E73C4" w:rsidRPr="00F20CF8" w:rsidRDefault="004E73C4" w:rsidP="00700FB1">
      <w:pPr>
        <w:sectPr w:rsidR="004E73C4" w:rsidRPr="00F20CF8" w:rsidSect="004E73C4">
          <w:footerReference w:type="default" r:id="rId37"/>
          <w:pgSz w:w="16840" w:h="11900" w:orient="landscape" w:code="9"/>
          <w:pgMar w:top="1474" w:right="1474" w:bottom="936" w:left="1474" w:header="709" w:footer="425" w:gutter="0"/>
          <w:cols w:space="708"/>
          <w:docGrid w:linePitch="360"/>
        </w:sectPr>
      </w:pPr>
      <w:r w:rsidRPr="00700FB1">
        <w:rPr>
          <w:noProof/>
        </w:rPr>
        <w:drawing>
          <wp:inline distT="0" distB="0" distL="0" distR="0" wp14:anchorId="6633ED8C" wp14:editId="04703C31">
            <wp:extent cx="6942667" cy="5279974"/>
            <wp:effectExtent l="0" t="0" r="0" b="0"/>
            <wp:docPr id="2" name="Picture 2" descr="P996#yIS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96#yIS1">
                      <a:hlinkClick r:id="rId38"/>
                    </pic:cNvPr>
                    <pic:cNvPicPr/>
                  </pic:nvPicPr>
                  <pic:blipFill>
                    <a:blip r:embed="rId39"/>
                    <a:stretch>
                      <a:fillRect/>
                    </a:stretch>
                  </pic:blipFill>
                  <pic:spPr>
                    <a:xfrm>
                      <a:off x="0" y="0"/>
                      <a:ext cx="6947973" cy="5284009"/>
                    </a:xfrm>
                    <a:prstGeom prst="rect">
                      <a:avLst/>
                    </a:prstGeom>
                  </pic:spPr>
                </pic:pic>
              </a:graphicData>
            </a:graphic>
          </wp:inline>
        </w:drawing>
      </w:r>
    </w:p>
    <w:p w14:paraId="1629EC69" w14:textId="77777777" w:rsidR="00F57494" w:rsidRPr="00F20CF8" w:rsidRDefault="00F57494" w:rsidP="00700FB1">
      <w:pPr>
        <w:pStyle w:val="Heading1"/>
      </w:pPr>
      <w:bookmarkStart w:id="87" w:name="_Toc232507550"/>
      <w:r w:rsidRPr="00F20CF8">
        <w:lastRenderedPageBreak/>
        <w:t>Appendix B – Summary of objectives and indicators</w:t>
      </w:r>
      <w:bookmarkEnd w:id="87"/>
    </w:p>
    <w:tbl>
      <w:tblPr>
        <w:tblStyle w:val="TableGrid"/>
        <w:tblW w:w="0" w:type="auto"/>
        <w:jc w:val="center"/>
        <w:tblLook w:val="0520" w:firstRow="1" w:lastRow="0" w:firstColumn="0" w:lastColumn="1" w:noHBand="0" w:noVBand="1"/>
      </w:tblPr>
      <w:tblGrid>
        <w:gridCol w:w="3196"/>
        <w:gridCol w:w="6905"/>
        <w:gridCol w:w="2002"/>
        <w:gridCol w:w="1789"/>
      </w:tblGrid>
      <w:tr w:rsidR="00F57494" w:rsidRPr="00D070E3" w14:paraId="42150BC3" w14:textId="77777777" w:rsidTr="00C173E2">
        <w:trPr>
          <w:cnfStyle w:val="100000000000" w:firstRow="1" w:lastRow="0" w:firstColumn="0" w:lastColumn="0" w:oddVBand="0" w:evenVBand="0" w:oddHBand="0" w:evenHBand="0" w:firstRowFirstColumn="0" w:firstRowLastColumn="0" w:lastRowFirstColumn="0" w:lastRowLastColumn="0"/>
          <w:cantSplit/>
          <w:tblHeader/>
          <w:jc w:val="center"/>
        </w:trPr>
        <w:tc>
          <w:tcPr>
            <w:tcW w:w="0" w:type="auto"/>
          </w:tcPr>
          <w:p w14:paraId="15A4AFB1" w14:textId="77777777" w:rsidR="00F57494" w:rsidRPr="00CD10C1" w:rsidRDefault="00F57494" w:rsidP="00D17441">
            <w:pPr>
              <w:pStyle w:val="Tableheaderrowblack"/>
            </w:pPr>
            <w:r w:rsidRPr="00CD10C1">
              <w:t>Objectives</w:t>
            </w:r>
          </w:p>
        </w:tc>
        <w:tc>
          <w:tcPr>
            <w:tcW w:w="0" w:type="auto"/>
          </w:tcPr>
          <w:p w14:paraId="69F4C402" w14:textId="77777777" w:rsidR="00F57494" w:rsidRPr="00CD10C1" w:rsidRDefault="00F57494" w:rsidP="00D17441">
            <w:pPr>
              <w:pStyle w:val="Tableheaderrowblack"/>
            </w:pPr>
            <w:r w:rsidRPr="00CD10C1">
              <w:t>Indicators</w:t>
            </w:r>
          </w:p>
        </w:tc>
        <w:tc>
          <w:tcPr>
            <w:tcW w:w="0" w:type="auto"/>
          </w:tcPr>
          <w:p w14:paraId="6E106F18" w14:textId="77777777" w:rsidR="00F57494" w:rsidRPr="00CD10C1" w:rsidRDefault="00F57494" w:rsidP="00D17441">
            <w:pPr>
              <w:pStyle w:val="Tableheaderrowblack"/>
            </w:pPr>
            <w:r w:rsidRPr="00CD10C1">
              <w:t>Data custodian/s</w:t>
            </w:r>
          </w:p>
        </w:tc>
        <w:tc>
          <w:tcPr>
            <w:cnfStyle w:val="000100000000" w:firstRow="0" w:lastRow="0" w:firstColumn="0" w:lastColumn="1" w:oddVBand="0" w:evenVBand="0" w:oddHBand="0" w:evenHBand="0" w:firstRowFirstColumn="0" w:firstRowLastColumn="0" w:lastRowFirstColumn="0" w:lastRowLastColumn="0"/>
            <w:tcW w:w="0" w:type="auto"/>
          </w:tcPr>
          <w:p w14:paraId="0782DAEB" w14:textId="77777777" w:rsidR="00F57494" w:rsidRPr="00CD10C1" w:rsidRDefault="00F57494" w:rsidP="00D17441">
            <w:pPr>
              <w:pStyle w:val="Tableheaderrowblack"/>
            </w:pPr>
            <w:r w:rsidRPr="00CD10C1">
              <w:t>Data availability</w:t>
            </w:r>
          </w:p>
        </w:tc>
      </w:tr>
      <w:tr w:rsidR="00F57494" w:rsidRPr="00096149" w14:paraId="11950639" w14:textId="77777777" w:rsidTr="00C173E2">
        <w:trPr>
          <w:cnfStyle w:val="000000100000" w:firstRow="0" w:lastRow="0" w:firstColumn="0" w:lastColumn="0" w:oddVBand="0" w:evenVBand="0" w:oddHBand="1"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C711FFE" w14:textId="77777777" w:rsidR="00F57494" w:rsidRPr="00096149" w:rsidRDefault="00F57494" w:rsidP="00C173E2">
            <w:pPr>
              <w:pStyle w:val="Tabletext"/>
            </w:pPr>
            <w:r w:rsidRPr="00096149">
              <w:t>1.1. Monitor HPV vaccination coverage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AE5192E" w14:textId="77777777" w:rsidR="00F57494" w:rsidRDefault="00F57494" w:rsidP="0035540E">
            <w:pPr>
              <w:pStyle w:val="Tablelistbullet"/>
            </w:pPr>
            <w:r>
              <w:t xml:space="preserve">Single dose HPV vaccination coverage assessed at 15 years of age </w:t>
            </w:r>
          </w:p>
          <w:p w14:paraId="2203E59C" w14:textId="3806B2CC" w:rsidR="0035540E" w:rsidRPr="003804AA" w:rsidRDefault="00F57494" w:rsidP="003804AA">
            <w:pPr>
              <w:pStyle w:val="Tablelistbullet"/>
            </w:pPr>
            <w:r>
              <w:t>Single dose HPV vaccination coverage for Aboriginal and Torres Strait Islander people assessed at 15 years of age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A8C5ABB" w14:textId="77777777" w:rsidR="00F57494" w:rsidRPr="00CD10C1" w:rsidRDefault="00F57494" w:rsidP="00C173E2">
            <w:pPr>
              <w:pStyle w:val="Tabletext"/>
            </w:pPr>
            <w:r w:rsidRPr="00CD10C1">
              <w:t>Services Australia</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5816F3B" w14:textId="77777777" w:rsidR="00F57494" w:rsidRPr="00096149" w:rsidRDefault="00F57494" w:rsidP="00C173E2">
            <w:pPr>
              <w:pStyle w:val="Tabletext"/>
            </w:pPr>
            <w:r w:rsidRPr="00096149">
              <w:t>Annually</w:t>
            </w:r>
          </w:p>
        </w:tc>
      </w:tr>
      <w:tr w:rsidR="00F57494" w:rsidRPr="00096149" w14:paraId="7752D718" w14:textId="77777777" w:rsidTr="00C173E2">
        <w:trPr>
          <w:cantSplit/>
          <w:jc w:val="center"/>
        </w:trPr>
        <w:tc>
          <w:tcPr>
            <w:tcW w:w="0" w:type="auto"/>
            <w:vAlign w:val="top"/>
          </w:tcPr>
          <w:p w14:paraId="1D1C7FBE" w14:textId="77777777" w:rsidR="00F57494" w:rsidRPr="00096149" w:rsidRDefault="00F57494" w:rsidP="00C173E2">
            <w:pPr>
              <w:pStyle w:val="Tabletext"/>
            </w:pPr>
            <w:r w:rsidRPr="00096149">
              <w:t xml:space="preserve">1.2. Monitor </w:t>
            </w:r>
            <w:r>
              <w:t>coverage of cervical screening</w:t>
            </w:r>
          </w:p>
        </w:tc>
        <w:tc>
          <w:tcPr>
            <w:tcW w:w="0" w:type="auto"/>
            <w:vAlign w:val="top"/>
          </w:tcPr>
          <w:p w14:paraId="695D56FD" w14:textId="77777777" w:rsidR="00F57494" w:rsidRPr="00096149" w:rsidRDefault="00F57494" w:rsidP="0035540E">
            <w:pPr>
              <w:pStyle w:val="Tablelistbullet"/>
            </w:pPr>
            <w:r w:rsidRPr="00096149">
              <w:t xml:space="preserve">Number of </w:t>
            </w:r>
            <w:r>
              <w:t>eligible people</w:t>
            </w:r>
            <w:r w:rsidRPr="00096149">
              <w:t xml:space="preserve"> aged 25–74 </w:t>
            </w:r>
            <w:r>
              <w:t xml:space="preserve">years </w:t>
            </w:r>
            <w:r w:rsidRPr="00096149">
              <w:t>screened in a 5-year period as a percentage of eligible people in the population</w:t>
            </w:r>
          </w:p>
          <w:p w14:paraId="3CDF263D" w14:textId="048AF65C" w:rsidR="0035540E" w:rsidRPr="00A761AA" w:rsidRDefault="00F57494" w:rsidP="00A761AA">
            <w:pPr>
              <w:pStyle w:val="Tablelistbullet"/>
            </w:pPr>
            <w:r w:rsidRPr="00096149">
              <w:t xml:space="preserve">Number of </w:t>
            </w:r>
            <w:r>
              <w:t xml:space="preserve">eligible </w:t>
            </w:r>
            <w:r w:rsidRPr="00096149">
              <w:t xml:space="preserve">Aboriginal and Torres Strait Islander </w:t>
            </w:r>
            <w:r>
              <w:t>people</w:t>
            </w:r>
            <w:r w:rsidRPr="00096149">
              <w:t xml:space="preserve"> aged 25–74</w:t>
            </w:r>
            <w:r>
              <w:t xml:space="preserve"> years</w:t>
            </w:r>
            <w:r w:rsidRPr="00096149">
              <w:t xml:space="preserve"> screened in a 5-year period as a percentage of eligible people in the Aboriginal and Torres Strait Islander population</w:t>
            </w:r>
          </w:p>
        </w:tc>
        <w:tc>
          <w:tcPr>
            <w:tcW w:w="0" w:type="auto"/>
            <w:vAlign w:val="top"/>
          </w:tcPr>
          <w:p w14:paraId="57CAD570" w14:textId="77777777" w:rsidR="00F57494" w:rsidRPr="00CD10C1" w:rsidRDefault="00F57494" w:rsidP="00C173E2">
            <w:pPr>
              <w:pStyle w:val="Tabletext"/>
            </w:pPr>
            <w:r w:rsidRPr="00CD10C1">
              <w:t>DoHAC/ABS/AIHW</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1B6B1D61" w14:textId="77777777" w:rsidR="00F57494" w:rsidRPr="00096149" w:rsidRDefault="00F57494" w:rsidP="00C173E2">
            <w:pPr>
              <w:pStyle w:val="Tabletext"/>
            </w:pPr>
            <w:r w:rsidRPr="00096149">
              <w:t>Annually</w:t>
            </w:r>
          </w:p>
        </w:tc>
      </w:tr>
      <w:tr w:rsidR="00F57494" w:rsidRPr="00096149" w14:paraId="3FE445EB" w14:textId="77777777" w:rsidTr="00C173E2">
        <w:trPr>
          <w:cnfStyle w:val="000000100000" w:firstRow="0" w:lastRow="0" w:firstColumn="0" w:lastColumn="0" w:oddVBand="0" w:evenVBand="0" w:oddHBand="1"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012B126" w14:textId="77777777" w:rsidR="00F57494" w:rsidRPr="00096149" w:rsidRDefault="00F57494" w:rsidP="00C173E2">
            <w:pPr>
              <w:pStyle w:val="Tabletext"/>
            </w:pPr>
            <w:r w:rsidRPr="00096149">
              <w:t>2.1. Monitor the prevalence of HPV genotypes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822DB58" w14:textId="77777777" w:rsidR="00F57494" w:rsidRPr="00096149" w:rsidRDefault="00F57494" w:rsidP="0035540E">
            <w:pPr>
              <w:pStyle w:val="Tablelistbullet"/>
            </w:pPr>
            <w:r w:rsidRPr="00096149">
              <w:t>Prevalence of HPV infection among people participating in the National Cervical Screening Program</w:t>
            </w:r>
          </w:p>
          <w:p w14:paraId="5C457EF5" w14:textId="77777777" w:rsidR="00F57494" w:rsidRPr="00096149" w:rsidRDefault="00F57494" w:rsidP="0035540E">
            <w:pPr>
              <w:pStyle w:val="Tablelistbullet"/>
            </w:pPr>
            <w:r w:rsidRPr="00096149">
              <w:t>Prevalence of HPV infection among Aboriginal and Torres Strait Islander people participating in the National Cervical Screening Program</w:t>
            </w:r>
          </w:p>
          <w:p w14:paraId="71245B7C" w14:textId="77777777" w:rsidR="00F57494" w:rsidRPr="00096149" w:rsidRDefault="00F57494" w:rsidP="0035540E">
            <w:pPr>
              <w:pStyle w:val="Tablelistbullet"/>
            </w:pPr>
            <w:r w:rsidRPr="00096149">
              <w:t xml:space="preserve">Prevalence of HPV infection among young people </w:t>
            </w:r>
            <w:r w:rsidRPr="00250BE5">
              <w:t>(16</w:t>
            </w:r>
            <w:r w:rsidRPr="00157D52">
              <w:t>–</w:t>
            </w:r>
            <w:r w:rsidRPr="00250BE5">
              <w:t>24 years)</w:t>
            </w:r>
            <w:r w:rsidRPr="009F1925">
              <w:t xml:space="preserve"> </w:t>
            </w:r>
            <w:r w:rsidRPr="00096149">
              <w:t xml:space="preserve">not </w:t>
            </w:r>
            <w:r>
              <w:t xml:space="preserve">yet </w:t>
            </w:r>
            <w:r w:rsidRPr="00096149">
              <w:t xml:space="preserve">eligible for cervical screening </w:t>
            </w:r>
          </w:p>
          <w:p w14:paraId="1AD6A620" w14:textId="1F3C3F7C" w:rsidR="0035540E" w:rsidRPr="0035540E" w:rsidRDefault="00F57494" w:rsidP="0035540E">
            <w:pPr>
              <w:pStyle w:val="Tablelistbullet"/>
            </w:pPr>
            <w:r w:rsidRPr="00096149">
              <w:t>Prevalence of HPV infection among men who have sex with men</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7AFD9B1" w14:textId="77777777" w:rsidR="00F57494" w:rsidRPr="00CD10C1" w:rsidRDefault="00F57494" w:rsidP="00C173E2">
            <w:pPr>
              <w:pStyle w:val="Tabletext"/>
            </w:pPr>
            <w:r w:rsidRPr="00CD10C1">
              <w:t>DoHAC/IMPACT study group</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703F1A63" w14:textId="77777777" w:rsidR="00F57494" w:rsidRPr="00096149" w:rsidRDefault="00F57494" w:rsidP="00C173E2">
            <w:pPr>
              <w:pStyle w:val="Tabletext"/>
            </w:pPr>
            <w:r w:rsidRPr="00096149">
              <w:t>Quarterly/</w:t>
            </w:r>
            <w:r>
              <w:t>Ad hoc</w:t>
            </w:r>
          </w:p>
        </w:tc>
      </w:tr>
      <w:tr w:rsidR="00F57494" w:rsidRPr="00096149" w14:paraId="2B915924" w14:textId="77777777" w:rsidTr="00C173E2">
        <w:trPr>
          <w:cantSplit/>
          <w:jc w:val="center"/>
        </w:trPr>
        <w:tc>
          <w:tcPr>
            <w:tcW w:w="0" w:type="auto"/>
            <w:vAlign w:val="top"/>
          </w:tcPr>
          <w:p w14:paraId="335B2F40" w14:textId="77777777" w:rsidR="00F57494" w:rsidRPr="00096149" w:rsidRDefault="00F57494" w:rsidP="00C173E2">
            <w:pPr>
              <w:pStyle w:val="Tabletext"/>
            </w:pPr>
            <w:r w:rsidRPr="00096149">
              <w:t xml:space="preserve">3.1. Monitor the </w:t>
            </w:r>
            <w:r>
              <w:t>incidence</w:t>
            </w:r>
            <w:r w:rsidRPr="00096149">
              <w:t xml:space="preserve"> of genital warts</w:t>
            </w:r>
          </w:p>
        </w:tc>
        <w:tc>
          <w:tcPr>
            <w:tcW w:w="0" w:type="auto"/>
            <w:vAlign w:val="top"/>
          </w:tcPr>
          <w:p w14:paraId="4C306CC9" w14:textId="66D894E6" w:rsidR="0035540E" w:rsidRPr="0035540E" w:rsidRDefault="00F57494" w:rsidP="0035540E">
            <w:pPr>
              <w:pStyle w:val="Tablelistbullet"/>
            </w:pPr>
            <w:r w:rsidRPr="00096149">
              <w:t xml:space="preserve">Genital wart </w:t>
            </w:r>
            <w:r>
              <w:t>incidence</w:t>
            </w:r>
            <w:r w:rsidRPr="00096149">
              <w:t xml:space="preserve"> in sexual health clinic populations</w:t>
            </w:r>
          </w:p>
        </w:tc>
        <w:tc>
          <w:tcPr>
            <w:tcW w:w="0" w:type="auto"/>
            <w:vAlign w:val="top"/>
          </w:tcPr>
          <w:p w14:paraId="78CA403F" w14:textId="77777777" w:rsidR="00F57494" w:rsidRPr="00CD10C1" w:rsidRDefault="00F57494" w:rsidP="00C173E2">
            <w:pPr>
              <w:pStyle w:val="Tabletext"/>
            </w:pPr>
            <w:r w:rsidRPr="00CD10C1">
              <w:t>Kirby Institute</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020F99F1" w14:textId="77777777" w:rsidR="00F57494" w:rsidRPr="00096149" w:rsidRDefault="00F57494" w:rsidP="00C173E2">
            <w:pPr>
              <w:pStyle w:val="Tabletext"/>
            </w:pPr>
            <w:r w:rsidRPr="00096149">
              <w:t>Quarterly</w:t>
            </w:r>
          </w:p>
        </w:tc>
      </w:tr>
      <w:tr w:rsidR="00F57494" w:rsidRPr="00096149" w14:paraId="177741EA" w14:textId="77777777" w:rsidTr="00C173E2">
        <w:trPr>
          <w:cnfStyle w:val="000000100000" w:firstRow="0" w:lastRow="0" w:firstColumn="0" w:lastColumn="0" w:oddVBand="0" w:evenVBand="0" w:oddHBand="1"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2158277" w14:textId="77777777" w:rsidR="00F57494" w:rsidRPr="00096149" w:rsidRDefault="00F57494" w:rsidP="00C173E2">
            <w:pPr>
              <w:pStyle w:val="Tabletext"/>
            </w:pPr>
            <w:r w:rsidRPr="00096149">
              <w:lastRenderedPageBreak/>
              <w:t>3.2. Monitor the incidence of recurrent respiratory papillomatosis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E3AC52F" w14:textId="77777777" w:rsidR="00F57494" w:rsidRPr="00096149" w:rsidRDefault="00F57494" w:rsidP="0035540E">
            <w:pPr>
              <w:pStyle w:val="Tablelistbullet"/>
            </w:pPr>
            <w:r w:rsidRPr="00096149">
              <w:t>Incidence of juvenile onset recurrent respiratory papillomatosis</w:t>
            </w:r>
          </w:p>
          <w:p w14:paraId="7FAB4728" w14:textId="77777777" w:rsidR="00F57494" w:rsidRPr="00096149" w:rsidRDefault="00F57494" w:rsidP="0035540E">
            <w:pPr>
              <w:pStyle w:val="Tablelistbullet"/>
            </w:pPr>
            <w:r w:rsidRPr="00096149">
              <w:t>Incidence of juvenile onset recurrent respiratory papillomatosis in Aboriginal and Torres Strait Islander children</w:t>
            </w:r>
          </w:p>
          <w:p w14:paraId="68D5CB61" w14:textId="77777777" w:rsidR="00F57494" w:rsidRPr="00096149" w:rsidRDefault="00F57494" w:rsidP="0035540E">
            <w:pPr>
              <w:pStyle w:val="Tablelistbullet"/>
            </w:pPr>
            <w:r w:rsidRPr="00096149">
              <w:t>HPV type in cases of juvenile onset recurrent respiratory papillomatosis</w:t>
            </w:r>
          </w:p>
          <w:p w14:paraId="6CE84032" w14:textId="77777777" w:rsidR="00F57494" w:rsidRPr="00096149" w:rsidRDefault="00F57494" w:rsidP="0035540E">
            <w:pPr>
              <w:pStyle w:val="Tablelistbullet"/>
            </w:pPr>
            <w:r w:rsidRPr="00096149">
              <w:t>HPV types in cases of juvenile onset recurrent respiratory papillomatosis in Aboriginal and Torres Strait Islander children</w:t>
            </w:r>
          </w:p>
          <w:p w14:paraId="24F3B6F3" w14:textId="77777777" w:rsidR="00F57494" w:rsidRPr="00096149" w:rsidRDefault="00F57494" w:rsidP="0035540E">
            <w:pPr>
              <w:pStyle w:val="Tablelistbullet"/>
            </w:pPr>
            <w:r w:rsidRPr="00096149">
              <w:t>Hospitalisations for benign neoplasm of larynx (coded using ICD code D14.1) by age and sex over time</w:t>
            </w:r>
          </w:p>
          <w:p w14:paraId="34BE5AA0" w14:textId="77777777" w:rsidR="00F57494" w:rsidRPr="00096149" w:rsidRDefault="00F57494" w:rsidP="0035540E">
            <w:pPr>
              <w:pStyle w:val="Tablelistbullet"/>
            </w:pPr>
            <w:r w:rsidRPr="00096149">
              <w:t>Hospitalisations for benign neoplasm of larynx (coded using ICD code D14.1) by Aboriginal and Torres Strait Islander status, age and sex over time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5A77782" w14:textId="77777777" w:rsidR="00F57494" w:rsidRPr="00CD10C1" w:rsidRDefault="00F57494" w:rsidP="00C173E2">
            <w:pPr>
              <w:pStyle w:val="Tabletext"/>
            </w:pPr>
            <w:r w:rsidRPr="00CD10C1">
              <w:t>APSU/ABS/AIHW</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04A05F5E" w14:textId="77777777" w:rsidR="00F57494" w:rsidRPr="00096149" w:rsidRDefault="00F57494" w:rsidP="00C173E2">
            <w:pPr>
              <w:pStyle w:val="Tabletext"/>
            </w:pPr>
            <w:r w:rsidRPr="00096149">
              <w:t>Annually/Quarterly</w:t>
            </w:r>
          </w:p>
        </w:tc>
      </w:tr>
      <w:tr w:rsidR="00F57494" w:rsidRPr="00D070E3" w14:paraId="73442DDB" w14:textId="77777777" w:rsidTr="00C173E2">
        <w:trPr>
          <w:cantSplit/>
          <w:jc w:val="center"/>
        </w:trPr>
        <w:tc>
          <w:tcPr>
            <w:tcW w:w="0" w:type="auto"/>
            <w:vAlign w:val="top"/>
          </w:tcPr>
          <w:p w14:paraId="55285A4A" w14:textId="77777777" w:rsidR="00F57494" w:rsidRPr="00096149" w:rsidRDefault="00F57494" w:rsidP="00C173E2">
            <w:pPr>
              <w:pStyle w:val="Tabletext"/>
            </w:pPr>
            <w:r w:rsidRPr="00096149">
              <w:t>3.3. Monitor the prevalence of screen-detected cervical abnormalities</w:t>
            </w:r>
          </w:p>
        </w:tc>
        <w:tc>
          <w:tcPr>
            <w:tcW w:w="0" w:type="auto"/>
            <w:vAlign w:val="top"/>
          </w:tcPr>
          <w:p w14:paraId="081CB023" w14:textId="77777777" w:rsidR="00F57494" w:rsidRPr="00096149" w:rsidRDefault="00F57494" w:rsidP="0035540E">
            <w:pPr>
              <w:pStyle w:val="Tablelistbullet"/>
            </w:pPr>
            <w:r w:rsidRPr="00096149">
              <w:t>Number of participants aged 25–74</w:t>
            </w:r>
            <w:r>
              <w:t xml:space="preserve"> years</w:t>
            </w:r>
            <w:r w:rsidRPr="00096149">
              <w:t xml:space="preserve"> with a high-grade abnormality detected on histology in a calendar year per 1,000 participants screened</w:t>
            </w:r>
          </w:p>
          <w:p w14:paraId="4F9DEDBB" w14:textId="77777777" w:rsidR="00F57494" w:rsidRPr="00096149" w:rsidRDefault="00F57494" w:rsidP="0035540E">
            <w:pPr>
              <w:pStyle w:val="Tablelistbullet"/>
            </w:pPr>
            <w:r w:rsidRPr="00096149">
              <w:t>Number of Aboriginal and Torres Strait Islander participants aged 25–74 with a high-grade abnormality detected on histology in a calendar year per 1,000 Aboriginal and Torres Strait Islander participants screened</w:t>
            </w:r>
          </w:p>
        </w:tc>
        <w:tc>
          <w:tcPr>
            <w:tcW w:w="0" w:type="auto"/>
            <w:vAlign w:val="top"/>
          </w:tcPr>
          <w:p w14:paraId="78B5EF8E" w14:textId="77777777" w:rsidR="00F57494" w:rsidRPr="00096149" w:rsidRDefault="00F57494" w:rsidP="00C173E2">
            <w:pPr>
              <w:pStyle w:val="Tabletext"/>
            </w:pPr>
            <w:r w:rsidRPr="00096149">
              <w:t>DoHAC</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76B40581" w14:textId="77777777" w:rsidR="00F57494" w:rsidRPr="00096149" w:rsidRDefault="00F57494" w:rsidP="00C173E2">
            <w:pPr>
              <w:pStyle w:val="Tabletext"/>
            </w:pPr>
            <w:r w:rsidRPr="00096149">
              <w:t>Annually</w:t>
            </w:r>
          </w:p>
        </w:tc>
      </w:tr>
      <w:tr w:rsidR="00F57494" w:rsidRPr="00D070E3" w14:paraId="6EB2BA3E" w14:textId="77777777" w:rsidTr="00C173E2">
        <w:trPr>
          <w:cnfStyle w:val="000000100000" w:firstRow="0" w:lastRow="0" w:firstColumn="0" w:lastColumn="0" w:oddVBand="0" w:evenVBand="0" w:oddHBand="1"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9A01E7A" w14:textId="77777777" w:rsidR="00F57494" w:rsidRPr="00096149" w:rsidRDefault="00F57494" w:rsidP="00C173E2">
            <w:pPr>
              <w:pStyle w:val="Tabletext"/>
            </w:pPr>
            <w:r w:rsidRPr="00096149">
              <w:t>3.4. Monitor the distribution of HPV genotypes detected in high-grade cervica</w:t>
            </w:r>
            <w:r>
              <w:t>l</w:t>
            </w:r>
            <w:r w:rsidRPr="00096149">
              <w:t xml:space="preserve"> lesions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EBDE1CC" w14:textId="77777777" w:rsidR="00F57494" w:rsidRPr="00096149" w:rsidRDefault="00F57494" w:rsidP="0035540E">
            <w:pPr>
              <w:pStyle w:val="Tablelistbullet"/>
            </w:pPr>
            <w:r w:rsidRPr="00096149">
              <w:t>Prevalence of HPV by type in participants where a high-grade abnormality is detected on histology</w:t>
            </w:r>
          </w:p>
          <w:p w14:paraId="458C20C8" w14:textId="77777777" w:rsidR="00F57494" w:rsidRPr="00096149" w:rsidRDefault="00F57494" w:rsidP="0035540E">
            <w:pPr>
              <w:pStyle w:val="Tablelistbullet"/>
            </w:pPr>
            <w:r w:rsidRPr="00096149">
              <w:t>Prevalence of HPV by type in Aboriginal and Torres Strait Islander participants where a high-grade abnormality is detected on histology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BD2720C" w14:textId="77777777" w:rsidR="00F57494" w:rsidRPr="00096149" w:rsidRDefault="00F57494" w:rsidP="00C173E2">
            <w:pPr>
              <w:pStyle w:val="Tabletext"/>
            </w:pPr>
            <w:r w:rsidRPr="00096149">
              <w:t>DoHAC</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36E0496" w14:textId="77777777" w:rsidR="00F57494" w:rsidRPr="00096149" w:rsidRDefault="00F57494" w:rsidP="00C173E2">
            <w:pPr>
              <w:pStyle w:val="Tabletext"/>
            </w:pPr>
            <w:r w:rsidRPr="00096149">
              <w:t>Quarterly</w:t>
            </w:r>
          </w:p>
        </w:tc>
      </w:tr>
      <w:tr w:rsidR="00F57494" w:rsidRPr="00D070E3" w14:paraId="68003832" w14:textId="77777777" w:rsidTr="00C173E2">
        <w:trPr>
          <w:cantSplit/>
          <w:jc w:val="center"/>
        </w:trPr>
        <w:tc>
          <w:tcPr>
            <w:tcW w:w="0" w:type="auto"/>
            <w:vAlign w:val="top"/>
          </w:tcPr>
          <w:p w14:paraId="599FCEDD" w14:textId="77777777" w:rsidR="00F57494" w:rsidRPr="00096149" w:rsidRDefault="00F57494" w:rsidP="00C173E2">
            <w:pPr>
              <w:pStyle w:val="Tabletext"/>
            </w:pPr>
            <w:r w:rsidRPr="00096149">
              <w:lastRenderedPageBreak/>
              <w:t>4.1. Monitor cervical cancer incidence and mortality</w:t>
            </w:r>
          </w:p>
        </w:tc>
        <w:tc>
          <w:tcPr>
            <w:tcW w:w="0" w:type="auto"/>
            <w:vAlign w:val="top"/>
          </w:tcPr>
          <w:p w14:paraId="62CFD551" w14:textId="77777777" w:rsidR="00F57494" w:rsidRPr="00096149" w:rsidRDefault="00F57494" w:rsidP="0035540E">
            <w:pPr>
              <w:pStyle w:val="Tablelistbullet"/>
              <w:rPr>
                <w:bCs/>
              </w:rPr>
            </w:pPr>
            <w:r w:rsidRPr="00096149">
              <w:t>Number of new cases of cervical cancer</w:t>
            </w:r>
            <w:r>
              <w:t xml:space="preserve"> by type of cancer and vaccination status</w:t>
            </w:r>
            <w:r w:rsidRPr="00096149">
              <w:t xml:space="preserve"> in females aged 25–74</w:t>
            </w:r>
            <w:r>
              <w:t xml:space="preserve"> years</w:t>
            </w:r>
            <w:r w:rsidRPr="00096149">
              <w:t xml:space="preserve"> per 100,000 estimated resident population in a calendar year.</w:t>
            </w:r>
          </w:p>
          <w:p w14:paraId="5A3766E1" w14:textId="77777777" w:rsidR="00F57494" w:rsidRPr="00096149" w:rsidRDefault="00F57494" w:rsidP="0035540E">
            <w:pPr>
              <w:pStyle w:val="Tablelistbullet"/>
            </w:pPr>
            <w:r w:rsidRPr="00096149">
              <w:t>Number of new cases of cervical cancer</w:t>
            </w:r>
            <w:r>
              <w:t xml:space="preserve"> by type of cancer and vaccination status</w:t>
            </w:r>
            <w:r w:rsidRPr="00096149">
              <w:t xml:space="preserve"> in Aboriginal and Torres Strait Islander females aged 25–74</w:t>
            </w:r>
            <w:r>
              <w:t xml:space="preserve"> years</w:t>
            </w:r>
            <w:r w:rsidRPr="00096149">
              <w:t xml:space="preserve"> per 100,000 estimated resident Indigenous population in a calendar year</w:t>
            </w:r>
          </w:p>
          <w:p w14:paraId="1A72B981" w14:textId="77777777" w:rsidR="00F57494" w:rsidRPr="00096149" w:rsidRDefault="00F57494" w:rsidP="0035540E">
            <w:pPr>
              <w:pStyle w:val="Tablelistbullet"/>
            </w:pPr>
            <w:r w:rsidRPr="00096149">
              <w:t>Number of deaths from cervical cancer</w:t>
            </w:r>
            <w:r>
              <w:t xml:space="preserve"> by type of cancer and vaccination status</w:t>
            </w:r>
            <w:r w:rsidRPr="00096149">
              <w:t xml:space="preserve"> in females aged 25–74</w:t>
            </w:r>
            <w:r>
              <w:t xml:space="preserve"> years</w:t>
            </w:r>
            <w:r w:rsidRPr="00096149">
              <w:t xml:space="preserve"> per 100,000 estimated resident population in a calendar year* </w:t>
            </w:r>
          </w:p>
          <w:p w14:paraId="3E4355B1" w14:textId="77393672" w:rsidR="00F57494" w:rsidRPr="00096149" w:rsidRDefault="00F57494" w:rsidP="0035540E">
            <w:pPr>
              <w:pStyle w:val="Tablelistbullet"/>
            </w:pPr>
            <w:r w:rsidRPr="00096149">
              <w:t>Number of deaths from cervical cancer</w:t>
            </w:r>
            <w:r>
              <w:t xml:space="preserve"> by type of cancer and vaccination status</w:t>
            </w:r>
            <w:r w:rsidRPr="00096149">
              <w:t xml:space="preserve"> in Aboriginal and Torres Strait Islander females aged 25–74 </w:t>
            </w:r>
            <w:r w:rsidR="00A13E72">
              <w:t xml:space="preserve">years </w:t>
            </w:r>
            <w:r w:rsidRPr="00096149">
              <w:t>per 100,000 estimated resident Indigenous population in a calendar year</w:t>
            </w:r>
          </w:p>
        </w:tc>
        <w:tc>
          <w:tcPr>
            <w:tcW w:w="0" w:type="auto"/>
            <w:vAlign w:val="top"/>
          </w:tcPr>
          <w:p w14:paraId="383B3A3F" w14:textId="77777777" w:rsidR="00F57494" w:rsidRPr="00096149" w:rsidRDefault="00F57494" w:rsidP="00C173E2">
            <w:pPr>
              <w:pStyle w:val="Tabletext"/>
            </w:pPr>
            <w:r w:rsidRPr="00096149">
              <w:t>AIHW/ABS</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53365FA6" w14:textId="77777777" w:rsidR="00F57494" w:rsidRPr="00096149" w:rsidRDefault="00F57494" w:rsidP="00C173E2">
            <w:pPr>
              <w:pStyle w:val="Tabletext"/>
            </w:pPr>
            <w:r w:rsidRPr="00096149">
              <w:t>Annually</w:t>
            </w:r>
          </w:p>
        </w:tc>
      </w:tr>
      <w:tr w:rsidR="00F57494" w:rsidRPr="00D070E3" w14:paraId="471874F2" w14:textId="77777777" w:rsidTr="00C173E2">
        <w:trPr>
          <w:cnfStyle w:val="000000100000" w:firstRow="0" w:lastRow="0" w:firstColumn="0" w:lastColumn="0" w:oddVBand="0" w:evenVBand="0" w:oddHBand="1" w:evenHBand="0" w:firstRowFirstColumn="0" w:firstRowLastColumn="0" w:lastRowFirstColumn="0" w:lastRowLastColumn="0"/>
          <w:cantSplit/>
          <w:trHeight w:val="70"/>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B78CEA5" w14:textId="77777777" w:rsidR="00F57494" w:rsidRPr="00B22919" w:rsidRDefault="00F57494" w:rsidP="00C173E2">
            <w:pPr>
              <w:pStyle w:val="Tabletext"/>
            </w:pPr>
            <w:r w:rsidRPr="00B22919">
              <w:t>4.2. Monitor anogenital and oropharyngeal cancer incidence and mortality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49C9325" w14:textId="77777777" w:rsidR="00F57494" w:rsidRPr="00B22919" w:rsidRDefault="00F57494" w:rsidP="0035540E">
            <w:pPr>
              <w:pStyle w:val="Tablelistbullet"/>
            </w:pPr>
            <w:r w:rsidRPr="00B22919">
              <w:t>The number of new cases of anogenital and oropharyngeal cancer, by age, type, vaccination status and sex per 100,000 estimated resident population in a calendar year</w:t>
            </w:r>
          </w:p>
          <w:p w14:paraId="55C5A804" w14:textId="77777777" w:rsidR="00F57494" w:rsidRPr="00B22919" w:rsidRDefault="00F57494" w:rsidP="0035540E">
            <w:pPr>
              <w:pStyle w:val="Tablelistbullet"/>
            </w:pPr>
            <w:r w:rsidRPr="00B22919">
              <w:t>The number of new cases of anogenital and oropharyngeal cancer in Aboriginal and Torres Strait Islanders, by age, type, vaccination status and sex per 100,000 estimated resident Aboriginal and Torres Strait Islander population in a calendar year</w:t>
            </w:r>
          </w:p>
          <w:p w14:paraId="1ACB766D" w14:textId="77777777" w:rsidR="00F57494" w:rsidRPr="00B22919" w:rsidRDefault="00F57494" w:rsidP="0035540E">
            <w:pPr>
              <w:pStyle w:val="Tablelistbullet"/>
            </w:pPr>
            <w:r w:rsidRPr="00B22919">
              <w:t>The number of deaths caused by anogenital and oropharyngeal cancer, by age, type, vaccination status and sex per 100,000 estimated resident population in a calendar year</w:t>
            </w:r>
          </w:p>
          <w:p w14:paraId="0A8AE654" w14:textId="77777777" w:rsidR="00F57494" w:rsidRPr="00B22919" w:rsidRDefault="00F57494" w:rsidP="0035540E">
            <w:pPr>
              <w:pStyle w:val="Tablelistbullet"/>
            </w:pPr>
            <w:r w:rsidRPr="00B22919">
              <w:t>The number of deaths caused by anogenital and oropharyngeal cancer in Aboriginal and Torres Strait Islanders, by age, type, vaccination status and sex per 100,000 estimated resident Aboriginal and Torres Strait Islander population in a calendar year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DB2D6DF" w14:textId="77777777" w:rsidR="00F57494" w:rsidRPr="00096149" w:rsidRDefault="00F57494" w:rsidP="00C173E2">
            <w:pPr>
              <w:pStyle w:val="Tabletext"/>
            </w:pPr>
            <w:r w:rsidRPr="00096149">
              <w:t>AIHW/ABS</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0E9DEE3" w14:textId="77777777" w:rsidR="00F57494" w:rsidRPr="00096149" w:rsidRDefault="00F57494" w:rsidP="00C173E2">
            <w:pPr>
              <w:pStyle w:val="Tabletext"/>
            </w:pPr>
            <w:r w:rsidRPr="00096149">
              <w:t>Annually</w:t>
            </w:r>
          </w:p>
        </w:tc>
      </w:tr>
      <w:tr w:rsidR="00F57494" w:rsidRPr="00D070E3" w14:paraId="5DA533F0" w14:textId="77777777" w:rsidTr="00C173E2">
        <w:trPr>
          <w:cantSplit/>
          <w:jc w:val="center"/>
        </w:trPr>
        <w:tc>
          <w:tcPr>
            <w:tcW w:w="0" w:type="auto"/>
            <w:vAlign w:val="top"/>
          </w:tcPr>
          <w:p w14:paraId="104B3086" w14:textId="77777777" w:rsidR="00F57494" w:rsidRPr="00096149" w:rsidRDefault="00F57494" w:rsidP="00C173E2">
            <w:pPr>
              <w:pStyle w:val="Tabletext"/>
            </w:pPr>
            <w:r w:rsidRPr="00096149">
              <w:lastRenderedPageBreak/>
              <w:t>4.3. Monitor the distribution of HPV genotypes detected in cervical cancers</w:t>
            </w:r>
          </w:p>
        </w:tc>
        <w:tc>
          <w:tcPr>
            <w:tcW w:w="0" w:type="auto"/>
            <w:vAlign w:val="top"/>
          </w:tcPr>
          <w:p w14:paraId="2F913888" w14:textId="77777777" w:rsidR="00F57494" w:rsidRPr="00096149" w:rsidRDefault="00F57494" w:rsidP="0035540E">
            <w:pPr>
              <w:pStyle w:val="Tablelistbullet"/>
            </w:pPr>
            <w:r w:rsidRPr="00096149">
              <w:t>Prevalence of HPV, by type</w:t>
            </w:r>
            <w:r>
              <w:t>, age, sex and vaccination status</w:t>
            </w:r>
            <w:r w:rsidRPr="00096149">
              <w:t>, in cervical cancer specimens.</w:t>
            </w:r>
          </w:p>
          <w:p w14:paraId="7132878E" w14:textId="77777777" w:rsidR="00F57494" w:rsidRPr="00096149" w:rsidRDefault="00F57494" w:rsidP="0035540E">
            <w:pPr>
              <w:pStyle w:val="Tablelistbullet"/>
            </w:pPr>
            <w:r w:rsidRPr="00096149">
              <w:t>Prevalence of HPV, by type</w:t>
            </w:r>
            <w:r>
              <w:t>, age, sex and vaccination status</w:t>
            </w:r>
            <w:r w:rsidRPr="00096149">
              <w:t>, in cervical cancer specimens from Aboriginal and Torres Strait Islander females</w:t>
            </w:r>
          </w:p>
        </w:tc>
        <w:tc>
          <w:tcPr>
            <w:tcW w:w="0" w:type="auto"/>
            <w:vAlign w:val="top"/>
          </w:tcPr>
          <w:p w14:paraId="3A873DBC" w14:textId="77777777" w:rsidR="00F57494" w:rsidRPr="00096149" w:rsidRDefault="00F57494" w:rsidP="00C173E2">
            <w:pPr>
              <w:pStyle w:val="Tabletext"/>
            </w:pPr>
            <w:r w:rsidRPr="00096149">
              <w:t>No data available</w:t>
            </w:r>
          </w:p>
        </w:tc>
        <w:tc>
          <w:tcPr>
            <w:cnfStyle w:val="000100000000" w:firstRow="0" w:lastRow="0" w:firstColumn="0" w:lastColumn="1" w:oddVBand="0" w:evenVBand="0" w:oddHBand="0" w:evenHBand="0" w:firstRowFirstColumn="0" w:firstRowLastColumn="0" w:lastRowFirstColumn="0" w:lastRowLastColumn="0"/>
            <w:tcW w:w="0" w:type="auto"/>
            <w:vAlign w:val="top"/>
          </w:tcPr>
          <w:p w14:paraId="7158258B" w14:textId="77777777" w:rsidR="00F57494" w:rsidRPr="00096149" w:rsidRDefault="00F57494" w:rsidP="00C173E2">
            <w:pPr>
              <w:pStyle w:val="Tabletext"/>
            </w:pPr>
            <w:r w:rsidRPr="00096149">
              <w:t>N/A</w:t>
            </w:r>
          </w:p>
        </w:tc>
      </w:tr>
      <w:tr w:rsidR="00F57494" w:rsidRPr="00D070E3" w14:paraId="36243DC3" w14:textId="77777777" w:rsidTr="00C173E2">
        <w:trPr>
          <w:cnfStyle w:val="000000100000" w:firstRow="0" w:lastRow="0" w:firstColumn="0" w:lastColumn="0" w:oddVBand="0" w:evenVBand="0" w:oddHBand="1" w:evenHBand="0" w:firstRowFirstColumn="0" w:firstRowLastColumn="0" w:lastRowFirstColumn="0" w:lastRowLastColumn="0"/>
          <w:cantSplit/>
          <w:jc w:val="cent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5C67480" w14:textId="77777777" w:rsidR="00F57494" w:rsidRPr="00096149" w:rsidRDefault="00F57494" w:rsidP="00C173E2">
            <w:pPr>
              <w:pStyle w:val="Tabletext"/>
            </w:pPr>
            <w:r w:rsidRPr="00096149">
              <w:t>4.4. Monitor the distribution of HPV genotypes detected in anogenital and oropharyngeal cancers</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9702512" w14:textId="77777777" w:rsidR="00F57494" w:rsidRPr="00601223" w:rsidRDefault="00F57494" w:rsidP="0035540E">
            <w:pPr>
              <w:pStyle w:val="Tablelistbullet"/>
            </w:pPr>
            <w:r w:rsidRPr="00601223">
              <w:t>Prevalence of HPV</w:t>
            </w:r>
            <w:r>
              <w:t>,</w:t>
            </w:r>
            <w:r w:rsidRPr="00601223">
              <w:t xml:space="preserve"> by type</w:t>
            </w:r>
            <w:r>
              <w:t>, age, sex and vaccination status,</w:t>
            </w:r>
            <w:r w:rsidRPr="00601223">
              <w:t xml:space="preserve"> in </w:t>
            </w:r>
            <w:r>
              <w:t xml:space="preserve">anogenital </w:t>
            </w:r>
            <w:r w:rsidRPr="00601223">
              <w:t>cancer specimens</w:t>
            </w:r>
          </w:p>
          <w:p w14:paraId="6E4B03D2" w14:textId="77777777" w:rsidR="00F57494" w:rsidRPr="00D714E6" w:rsidRDefault="00F57494" w:rsidP="0035540E">
            <w:pPr>
              <w:pStyle w:val="Tablelistbullet"/>
            </w:pPr>
            <w:r w:rsidRPr="00D714E6">
              <w:t>Prevalence of HPV, by type</w:t>
            </w:r>
            <w:r>
              <w:t>, age, sex and vaccination status</w:t>
            </w:r>
            <w:r w:rsidRPr="00D714E6">
              <w:t>, in anogenital cancer specimens from Aboriginal and Torres Strait Islander people</w:t>
            </w:r>
          </w:p>
          <w:p w14:paraId="4EDE78CA" w14:textId="77777777" w:rsidR="00F57494" w:rsidRPr="00601223" w:rsidRDefault="00F57494" w:rsidP="0035540E">
            <w:pPr>
              <w:pStyle w:val="Tablelistbullet"/>
            </w:pPr>
            <w:r w:rsidRPr="00601223">
              <w:t>Prevalence of HPV</w:t>
            </w:r>
            <w:r>
              <w:t>,</w:t>
            </w:r>
            <w:r w:rsidRPr="00601223">
              <w:t xml:space="preserve"> by type</w:t>
            </w:r>
            <w:r>
              <w:t>, age, sex and vaccination status,</w:t>
            </w:r>
            <w:r w:rsidRPr="00601223">
              <w:t xml:space="preserve"> in </w:t>
            </w:r>
            <w:r>
              <w:t xml:space="preserve">oropharyngeal </w:t>
            </w:r>
            <w:r w:rsidRPr="00601223">
              <w:t>cancer specimens</w:t>
            </w:r>
          </w:p>
          <w:p w14:paraId="47CCADA2" w14:textId="77777777" w:rsidR="00F57494" w:rsidRPr="00096149" w:rsidRDefault="00F57494" w:rsidP="0035540E">
            <w:pPr>
              <w:pStyle w:val="Tablelistbullet"/>
            </w:pPr>
            <w:r w:rsidRPr="00D714E6">
              <w:t>Prevalence of HPV, by type</w:t>
            </w:r>
            <w:r>
              <w:t>, age, sex and vaccination status</w:t>
            </w:r>
            <w:r w:rsidRPr="00D714E6">
              <w:t>, in oropharyngeal cancer specimens from Aboriginal and Torres Strait Islander people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22DE7F0" w14:textId="77777777" w:rsidR="00F57494" w:rsidRPr="00096149" w:rsidRDefault="00F57494" w:rsidP="00C173E2">
            <w:pPr>
              <w:pStyle w:val="Tabletext"/>
            </w:pPr>
            <w:r w:rsidRPr="00096149">
              <w:t>No data available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06278BA0" w14:textId="77777777" w:rsidR="00F57494" w:rsidRPr="00096149" w:rsidRDefault="00F57494" w:rsidP="00C173E2">
            <w:pPr>
              <w:pStyle w:val="Tabletext"/>
            </w:pPr>
            <w:r w:rsidRPr="00096149">
              <w:t>N/A</w:t>
            </w:r>
          </w:p>
        </w:tc>
      </w:tr>
    </w:tbl>
    <w:p w14:paraId="1FD35760" w14:textId="77777777" w:rsidR="00F57494" w:rsidRPr="00F57494" w:rsidRDefault="00F57494" w:rsidP="00F57494">
      <w:pPr>
        <w:sectPr w:rsidR="00F57494" w:rsidRPr="00F57494" w:rsidSect="00F57494">
          <w:footerReference w:type="default" r:id="rId40"/>
          <w:pgSz w:w="16840" w:h="11900" w:orient="landscape" w:code="9"/>
          <w:pgMar w:top="1474" w:right="1474" w:bottom="936" w:left="1474" w:header="709" w:footer="425" w:gutter="0"/>
          <w:cols w:space="708"/>
          <w:docGrid w:linePitch="360"/>
        </w:sectPr>
      </w:pPr>
    </w:p>
    <w:p w14:paraId="1A637EA8" w14:textId="77777777" w:rsidR="008C467F" w:rsidRPr="00F20CF8" w:rsidRDefault="008C467F" w:rsidP="00700FB1">
      <w:pPr>
        <w:pStyle w:val="Heading1"/>
      </w:pPr>
      <w:bookmarkStart w:id="88" w:name="_Appendix_C_–"/>
      <w:bookmarkStart w:id="89" w:name="_Toc232507551"/>
      <w:bookmarkEnd w:id="88"/>
      <w:r w:rsidRPr="00F20CF8">
        <w:lastRenderedPageBreak/>
        <w:t>Appendix C – Data gaps</w:t>
      </w:r>
      <w:bookmarkEnd w:id="89"/>
    </w:p>
    <w:tbl>
      <w:tblPr>
        <w:tblStyle w:val="TableGrid"/>
        <w:tblW w:w="0" w:type="auto"/>
        <w:tblLook w:val="0420" w:firstRow="1" w:lastRow="0" w:firstColumn="0" w:lastColumn="0" w:noHBand="0" w:noVBand="1"/>
      </w:tblPr>
      <w:tblGrid>
        <w:gridCol w:w="4374"/>
        <w:gridCol w:w="5118"/>
      </w:tblGrid>
      <w:tr w:rsidR="008C467F" w:rsidRPr="00A43960" w14:paraId="1B1CD1AC" w14:textId="77777777" w:rsidTr="00D67B05">
        <w:trPr>
          <w:cnfStyle w:val="100000000000" w:firstRow="1" w:lastRow="0" w:firstColumn="0" w:lastColumn="0" w:oddVBand="0" w:evenVBand="0" w:oddHBand="0" w:evenHBand="0" w:firstRowFirstColumn="0" w:firstRowLastColumn="0" w:lastRowFirstColumn="0" w:lastRowLastColumn="0"/>
          <w:cantSplit/>
          <w:tblHeader/>
        </w:trPr>
        <w:tc>
          <w:tcPr>
            <w:tcW w:w="0" w:type="auto"/>
            <w:vAlign w:val="top"/>
          </w:tcPr>
          <w:p w14:paraId="4822E264" w14:textId="77777777" w:rsidR="008C467F" w:rsidRPr="00A43960" w:rsidRDefault="008C467F" w:rsidP="005871E3">
            <w:pPr>
              <w:pStyle w:val="Tableheaderrowblack"/>
            </w:pPr>
            <w:r w:rsidRPr="00A43960">
              <w:t>Identified Data Gaps</w:t>
            </w:r>
          </w:p>
        </w:tc>
        <w:tc>
          <w:tcPr>
            <w:tcW w:w="0" w:type="auto"/>
            <w:vAlign w:val="top"/>
          </w:tcPr>
          <w:p w14:paraId="7D5403A5" w14:textId="77777777" w:rsidR="008C467F" w:rsidRPr="00A43960" w:rsidRDefault="008C467F" w:rsidP="005871E3">
            <w:pPr>
              <w:pStyle w:val="Tableheaderrowblack"/>
            </w:pPr>
            <w:r w:rsidRPr="00A43960">
              <w:t>Notes</w:t>
            </w:r>
          </w:p>
        </w:tc>
      </w:tr>
      <w:tr w:rsidR="008C467F" w:rsidRPr="00A43960" w14:paraId="72443E85" w14:textId="77777777" w:rsidTr="00D67B05">
        <w:trPr>
          <w:cnfStyle w:val="000000100000" w:firstRow="0" w:lastRow="0" w:firstColumn="0" w:lastColumn="0" w:oddVBand="0" w:evenVBand="0" w:oddHBand="1" w:evenHBand="0" w:firstRowFirstColumn="0" w:firstRowLastColumn="0" w:lastRowFirstColumn="0" w:lastRowLastColumn="0"/>
          <w:cantSplit/>
        </w:trPr>
        <w:tc>
          <w:tcPr>
            <w:tcW w:w="0" w:type="auto"/>
            <w:vAlign w:val="top"/>
          </w:tcPr>
          <w:p w14:paraId="3BA4695C" w14:textId="77777777" w:rsidR="008C467F" w:rsidRPr="00A43960" w:rsidRDefault="008C467F" w:rsidP="005871E3">
            <w:pPr>
              <w:pStyle w:val="Tabletext"/>
            </w:pPr>
            <w:r w:rsidRPr="00A43960">
              <w:t xml:space="preserve">No routine screening coverage data available for HPV infection at anatomical sites other than the cervix, such as oropharyngeal and anogenital regions. </w:t>
            </w:r>
          </w:p>
        </w:tc>
        <w:tc>
          <w:tcPr>
            <w:tcW w:w="0" w:type="auto"/>
            <w:vAlign w:val="top"/>
          </w:tcPr>
          <w:p w14:paraId="2D6AB8E7" w14:textId="77777777" w:rsidR="008C467F" w:rsidRPr="00A43960" w:rsidRDefault="008C467F" w:rsidP="005871E3">
            <w:pPr>
              <w:pStyle w:val="Tabletext"/>
            </w:pPr>
            <w:r w:rsidRPr="00A43960">
              <w:t xml:space="preserve">Continuous surveillance </w:t>
            </w:r>
            <w:r>
              <w:t xml:space="preserve">may not be </w:t>
            </w:r>
            <w:r w:rsidRPr="00A43960">
              <w:t>necessary; periodic sentinel surveillance may suffice. Several research projects and pilot studies are being funded in anal cancer screening.</w:t>
            </w:r>
          </w:p>
        </w:tc>
      </w:tr>
      <w:tr w:rsidR="008C467F" w:rsidRPr="00A43960" w14:paraId="3D282720" w14:textId="77777777" w:rsidTr="00D67B05">
        <w:trPr>
          <w:cantSplit/>
        </w:trPr>
        <w:tc>
          <w:tcPr>
            <w:tcW w:w="0" w:type="auto"/>
            <w:vAlign w:val="top"/>
          </w:tcPr>
          <w:p w14:paraId="3F1F74E5" w14:textId="77777777" w:rsidR="008C467F" w:rsidRPr="00A43960" w:rsidRDefault="008C467F" w:rsidP="005871E3">
            <w:pPr>
              <w:pStyle w:val="Tabletext"/>
            </w:pPr>
            <w:r w:rsidRPr="00A43960">
              <w:t>HPV type status is not routinely tested for in cancer specimens or reported for HPV related cancers</w:t>
            </w:r>
            <w:r>
              <w:t>.</w:t>
            </w:r>
          </w:p>
        </w:tc>
        <w:tc>
          <w:tcPr>
            <w:tcW w:w="0" w:type="auto"/>
            <w:vAlign w:val="top"/>
          </w:tcPr>
          <w:p w14:paraId="4E284BC1" w14:textId="0E612E14" w:rsidR="008C467F" w:rsidRPr="00A43960" w:rsidRDefault="008C467F" w:rsidP="005871E3">
            <w:pPr>
              <w:pStyle w:val="Tabletext"/>
            </w:pPr>
            <w:r w:rsidRPr="00A43960">
              <w:t>Need to develop routine typing and reporting to cancer registries for incorporation into the Australian Cancer Database (ACD).</w:t>
            </w:r>
          </w:p>
          <w:p w14:paraId="7AEEFB35" w14:textId="77777777" w:rsidR="008C467F" w:rsidRPr="00A43960" w:rsidRDefault="008C467F" w:rsidP="005871E3">
            <w:pPr>
              <w:pStyle w:val="Tabletext"/>
            </w:pPr>
            <w:r w:rsidRPr="00A43960">
              <w:t>This is highlighted in the National Strategy for the Elimination of Cervical Cancer in Australia under strategic priority 7.10.2.</w:t>
            </w:r>
          </w:p>
        </w:tc>
      </w:tr>
      <w:tr w:rsidR="008C467F" w:rsidRPr="00A43960" w14:paraId="636B2FFE" w14:textId="77777777" w:rsidTr="00D67B05">
        <w:trPr>
          <w:cnfStyle w:val="000000100000" w:firstRow="0" w:lastRow="0" w:firstColumn="0" w:lastColumn="0" w:oddVBand="0" w:evenVBand="0" w:oddHBand="1" w:evenHBand="0" w:firstRowFirstColumn="0" w:firstRowLastColumn="0" w:lastRowFirstColumn="0" w:lastRowLastColumn="0"/>
          <w:cantSplit/>
        </w:trPr>
        <w:tc>
          <w:tcPr>
            <w:tcW w:w="0" w:type="auto"/>
            <w:vAlign w:val="top"/>
          </w:tcPr>
          <w:p w14:paraId="4871CEAA" w14:textId="77777777" w:rsidR="008C467F" w:rsidRPr="00A43960" w:rsidRDefault="008C467F" w:rsidP="005871E3">
            <w:pPr>
              <w:pStyle w:val="Tabletext"/>
            </w:pPr>
            <w:r w:rsidRPr="00A43960">
              <w:t>ACD delay of 5 years for data availability.</w:t>
            </w:r>
          </w:p>
        </w:tc>
        <w:tc>
          <w:tcPr>
            <w:tcW w:w="0" w:type="auto"/>
            <w:vAlign w:val="top"/>
          </w:tcPr>
          <w:p w14:paraId="434827EE" w14:textId="413171BC" w:rsidR="008C467F" w:rsidRPr="00A43960" w:rsidRDefault="008C467F" w:rsidP="005871E3">
            <w:pPr>
              <w:pStyle w:val="Tabletext"/>
            </w:pPr>
            <w:r w:rsidRPr="00A43960">
              <w:t>The National Strategy for the Elimination of Cervical Cancer highlights a strategic priority to increase timeliness of cervical cancer data with an aim to have data from the preceding year available by November 1 of each calendar year.</w:t>
            </w:r>
          </w:p>
          <w:p w14:paraId="4230C10F" w14:textId="1DA2662F" w:rsidR="008C467F" w:rsidRPr="00A43960" w:rsidRDefault="008C467F" w:rsidP="005871E3">
            <w:pPr>
              <w:pStyle w:val="Tabletext"/>
            </w:pPr>
            <w:r w:rsidRPr="00A43960">
              <w:t>Requires further exploration for other HPV related cancers.</w:t>
            </w:r>
          </w:p>
        </w:tc>
      </w:tr>
      <w:tr w:rsidR="008C467F" w:rsidRPr="00A43960" w14:paraId="2BA2CA04" w14:textId="77777777" w:rsidTr="00D67B05">
        <w:trPr>
          <w:cantSplit/>
        </w:trPr>
        <w:tc>
          <w:tcPr>
            <w:tcW w:w="0" w:type="auto"/>
            <w:vAlign w:val="top"/>
          </w:tcPr>
          <w:p w14:paraId="221D116C" w14:textId="77777777" w:rsidR="008C467F" w:rsidRPr="00A43960" w:rsidRDefault="008C467F" w:rsidP="005871E3">
            <w:pPr>
              <w:pStyle w:val="Tabletext"/>
            </w:pPr>
            <w:r w:rsidRPr="00A43960">
              <w:t>HPV vaccination status is not routinely available in some national data sets, such as the ACD (for HPV related cancers) and the National Cervical Cancer Screening Register (NCSR).</w:t>
            </w:r>
          </w:p>
        </w:tc>
        <w:tc>
          <w:tcPr>
            <w:tcW w:w="0" w:type="auto"/>
            <w:vAlign w:val="top"/>
          </w:tcPr>
          <w:p w14:paraId="50321029" w14:textId="77777777" w:rsidR="008C467F" w:rsidRPr="00A43960" w:rsidRDefault="008C467F" w:rsidP="005871E3">
            <w:pPr>
              <w:pStyle w:val="Tabletext"/>
            </w:pPr>
            <w:r>
              <w:t>D</w:t>
            </w:r>
            <w:r w:rsidRPr="00A43960">
              <w:t xml:space="preserve">ata linkage between Australian Immunisation Register (AIR) and the NCSR is currently underway. </w:t>
            </w:r>
          </w:p>
        </w:tc>
      </w:tr>
      <w:tr w:rsidR="008C467F" w:rsidRPr="00A43960" w14:paraId="4184F1F2" w14:textId="77777777" w:rsidTr="00D67B05">
        <w:trPr>
          <w:cnfStyle w:val="000000100000" w:firstRow="0" w:lastRow="0" w:firstColumn="0" w:lastColumn="0" w:oddVBand="0" w:evenVBand="0" w:oddHBand="1" w:evenHBand="0" w:firstRowFirstColumn="0" w:firstRowLastColumn="0" w:lastRowFirstColumn="0" w:lastRowLastColumn="0"/>
          <w:cantSplit/>
        </w:trPr>
        <w:tc>
          <w:tcPr>
            <w:tcW w:w="0" w:type="auto"/>
            <w:vAlign w:val="top"/>
          </w:tcPr>
          <w:p w14:paraId="1F2CBC1E" w14:textId="77777777" w:rsidR="008C467F" w:rsidRPr="00A43960" w:rsidRDefault="008C467F" w:rsidP="005871E3">
            <w:pPr>
              <w:pStyle w:val="Tabletext"/>
            </w:pPr>
            <w:r>
              <w:t>Limited data on priority populations and opportunities for disaggregation of national data collections related to HPV vaccination, infection and related disease.</w:t>
            </w:r>
          </w:p>
        </w:tc>
        <w:tc>
          <w:tcPr>
            <w:tcW w:w="0" w:type="auto"/>
            <w:vAlign w:val="top"/>
          </w:tcPr>
          <w:p w14:paraId="470A687F" w14:textId="20E5032E" w:rsidR="008C467F" w:rsidRPr="008C467F" w:rsidRDefault="008C467F" w:rsidP="005871E3">
            <w:pPr>
              <w:pStyle w:val="Tabletext"/>
              <w:rPr>
                <w:rFonts w:eastAsia="Arial"/>
              </w:rPr>
            </w:pPr>
            <w:r>
              <w:rPr>
                <w:rFonts w:eastAsia="Arial"/>
              </w:rPr>
              <w:t>Work being undertaken in relation to linked data sources through the Person Level Integrated Data Asset (PLIDA) including linkage with AIR. It is expected that research projects related to AIR-PLIDA will enable improved reporting for priority populations and completeness of existing national data sets.</w:t>
            </w:r>
          </w:p>
          <w:p w14:paraId="7557B9EF" w14:textId="77777777" w:rsidR="008C467F" w:rsidRPr="00A43960" w:rsidRDefault="008C467F" w:rsidP="005871E3">
            <w:pPr>
              <w:pStyle w:val="Tabletext"/>
            </w:pPr>
            <w:r>
              <w:t>Data linkage between the ACD and PLIDA has been noted as a strategic priority in the National Strategy for the Elimination of Cervical Cancer</w:t>
            </w:r>
          </w:p>
        </w:tc>
      </w:tr>
      <w:tr w:rsidR="008C467F" w:rsidRPr="00A43960" w14:paraId="50A34549" w14:textId="77777777" w:rsidTr="00D67B05">
        <w:trPr>
          <w:cantSplit/>
        </w:trPr>
        <w:tc>
          <w:tcPr>
            <w:tcW w:w="0" w:type="auto"/>
            <w:vAlign w:val="top"/>
          </w:tcPr>
          <w:p w14:paraId="2442AEF3" w14:textId="4C90CF73" w:rsidR="008C467F" w:rsidRPr="00A43960" w:rsidRDefault="008C467F" w:rsidP="005871E3">
            <w:pPr>
              <w:pStyle w:val="Tabletext"/>
            </w:pPr>
            <w:r w:rsidRPr="00A43960">
              <w:t xml:space="preserve">Data on adult-onset recurrent respiratory </w:t>
            </w:r>
            <w:r w:rsidR="00AC7889" w:rsidRPr="00A43960">
              <w:t>papillomatosis not</w:t>
            </w:r>
            <w:r w:rsidRPr="00A43960">
              <w:t xml:space="preserve"> routinely available.</w:t>
            </w:r>
          </w:p>
        </w:tc>
        <w:tc>
          <w:tcPr>
            <w:tcW w:w="0" w:type="auto"/>
            <w:vAlign w:val="top"/>
          </w:tcPr>
          <w:p w14:paraId="2D3E788B" w14:textId="77777777" w:rsidR="008C467F" w:rsidRPr="00A43960" w:rsidRDefault="008C467F" w:rsidP="005871E3">
            <w:pPr>
              <w:pStyle w:val="Tabletext"/>
            </w:pPr>
            <w:r w:rsidRPr="00A43960">
              <w:t>Need to undertake research to validate the use of ICD codes to facilitate routine surveillance.</w:t>
            </w:r>
          </w:p>
        </w:tc>
      </w:tr>
      <w:tr w:rsidR="008C467F" w:rsidRPr="00A43960" w14:paraId="4B066871" w14:textId="77777777" w:rsidTr="00D67B05">
        <w:trPr>
          <w:cnfStyle w:val="000000100000" w:firstRow="0" w:lastRow="0" w:firstColumn="0" w:lastColumn="0" w:oddVBand="0" w:evenVBand="0" w:oddHBand="1" w:evenHBand="0" w:firstRowFirstColumn="0" w:firstRowLastColumn="0" w:lastRowFirstColumn="0" w:lastRowLastColumn="0"/>
          <w:cantSplit/>
        </w:trPr>
        <w:tc>
          <w:tcPr>
            <w:tcW w:w="0" w:type="auto"/>
            <w:vAlign w:val="top"/>
          </w:tcPr>
          <w:p w14:paraId="22A5E4BA" w14:textId="77777777" w:rsidR="008C467F" w:rsidRPr="00A43960" w:rsidRDefault="008C467F" w:rsidP="005871E3">
            <w:pPr>
              <w:pStyle w:val="Tabletext"/>
            </w:pPr>
            <w:r w:rsidRPr="00A43960">
              <w:lastRenderedPageBreak/>
              <w:t>Definitive genotyping data of high-grade lesions. Only some laboratories currently utilise assays that can report to the level of single HPV genotype are not always reported to the NCSR and are not easily extractable for analysis at present.</w:t>
            </w:r>
          </w:p>
        </w:tc>
        <w:tc>
          <w:tcPr>
            <w:tcW w:w="0" w:type="auto"/>
            <w:vAlign w:val="top"/>
          </w:tcPr>
          <w:p w14:paraId="514479ED" w14:textId="1E8F1935" w:rsidR="008C467F" w:rsidRPr="00A43960" w:rsidRDefault="00AC7889" w:rsidP="005871E3">
            <w:pPr>
              <w:pStyle w:val="Tabletext"/>
            </w:pPr>
            <w:r>
              <w:t xml:space="preserve">Further </w:t>
            </w:r>
            <w:r w:rsidR="008C467F">
              <w:t>investigation required.</w:t>
            </w:r>
          </w:p>
        </w:tc>
      </w:tr>
    </w:tbl>
    <w:p w14:paraId="11FA481D" w14:textId="39A9220A" w:rsidR="00873800" w:rsidRPr="00F20CF8" w:rsidRDefault="0090477D" w:rsidP="00700FB1">
      <w:pPr>
        <w:pStyle w:val="Heading1"/>
      </w:pPr>
      <w:bookmarkStart w:id="90" w:name="_Appendix_D_–"/>
      <w:bookmarkEnd w:id="90"/>
      <w:r w:rsidRPr="00F20CF8">
        <w:br w:type="page"/>
      </w:r>
      <w:bookmarkStart w:id="91" w:name="_Toc232507552"/>
      <w:r w:rsidR="00873800" w:rsidRPr="00F20CF8">
        <w:lastRenderedPageBreak/>
        <w:t>Appendix D – Membership</w:t>
      </w:r>
      <w:bookmarkEnd w:id="91"/>
    </w:p>
    <w:tbl>
      <w:tblPr>
        <w:tblStyle w:val="TableGrid"/>
        <w:tblW w:w="0" w:type="auto"/>
        <w:tblLook w:val="0420" w:firstRow="1" w:lastRow="0" w:firstColumn="0" w:lastColumn="0" w:noHBand="0" w:noVBand="1"/>
      </w:tblPr>
      <w:tblGrid>
        <w:gridCol w:w="2679"/>
        <w:gridCol w:w="6813"/>
      </w:tblGrid>
      <w:tr w:rsidR="00834135" w:rsidRPr="00A74B5B" w14:paraId="033385DE" w14:textId="77777777" w:rsidTr="00D37F9E">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6C58A902" w14:textId="5B1B40A7" w:rsidR="00834135" w:rsidRPr="00A74B5B" w:rsidRDefault="00834135" w:rsidP="00D37F9E">
            <w:pPr>
              <w:pStyle w:val="Tableheaderrowblack"/>
            </w:pPr>
            <w:r w:rsidRPr="00A74B5B">
              <w:t>Name</w:t>
            </w:r>
          </w:p>
        </w:tc>
        <w:tc>
          <w:tcPr>
            <w:tcW w:w="0" w:type="auto"/>
            <w:vAlign w:val="top"/>
          </w:tcPr>
          <w:p w14:paraId="2058A15F" w14:textId="0ACA649A" w:rsidR="00834135" w:rsidRPr="00A74B5B" w:rsidRDefault="00834135" w:rsidP="00D37F9E">
            <w:pPr>
              <w:pStyle w:val="Tableheaderrowblack"/>
            </w:pPr>
            <w:r w:rsidRPr="00A74B5B">
              <w:t>Organisation</w:t>
            </w:r>
          </w:p>
        </w:tc>
      </w:tr>
      <w:tr w:rsidR="002718B8" w:rsidRPr="00D37F9E" w14:paraId="3CABF864" w14:textId="77777777" w:rsidTr="00D37F9E">
        <w:trPr>
          <w:cnfStyle w:val="000000100000" w:firstRow="0" w:lastRow="0" w:firstColumn="0" w:lastColumn="0" w:oddVBand="0" w:evenVBand="0" w:oddHBand="1" w:evenHBand="0" w:firstRowFirstColumn="0" w:firstRowLastColumn="0" w:lastRowFirstColumn="0" w:lastRowLastColumn="0"/>
          <w:trHeight w:val="329"/>
        </w:trPr>
        <w:tc>
          <w:tcPr>
            <w:tcW w:w="0" w:type="auto"/>
            <w:gridSpan w:val="2"/>
            <w:vAlign w:val="top"/>
          </w:tcPr>
          <w:p w14:paraId="53A00350" w14:textId="1FBC35C1" w:rsidR="002718B8" w:rsidRPr="00D37F9E" w:rsidRDefault="002718B8" w:rsidP="00D37F9E">
            <w:pPr>
              <w:pStyle w:val="Tabletext"/>
              <w:rPr>
                <w:rStyle w:val="Strong"/>
              </w:rPr>
            </w:pPr>
            <w:r w:rsidRPr="00D37F9E">
              <w:rPr>
                <w:rStyle w:val="Strong"/>
              </w:rPr>
              <w:t>Government representatives</w:t>
            </w:r>
          </w:p>
        </w:tc>
      </w:tr>
      <w:tr w:rsidR="002718B8" w:rsidRPr="00A74B5B" w14:paraId="0AD31EDE" w14:textId="77777777" w:rsidTr="00D37F9E">
        <w:tc>
          <w:tcPr>
            <w:tcW w:w="0" w:type="auto"/>
            <w:vAlign w:val="top"/>
          </w:tcPr>
          <w:p w14:paraId="6AA34CA5" w14:textId="549BA89B" w:rsidR="002718B8" w:rsidRPr="00A74B5B" w:rsidRDefault="002718B8" w:rsidP="00D37F9E">
            <w:pPr>
              <w:pStyle w:val="Tabletext"/>
            </w:pPr>
            <w:r w:rsidRPr="00A74B5B">
              <w:t>Stephen Lambert </w:t>
            </w:r>
          </w:p>
        </w:tc>
        <w:tc>
          <w:tcPr>
            <w:tcW w:w="0" w:type="auto"/>
            <w:vAlign w:val="top"/>
          </w:tcPr>
          <w:p w14:paraId="15C03C39" w14:textId="72A025D0" w:rsidR="002718B8" w:rsidRPr="00A74B5B" w:rsidRDefault="002718B8" w:rsidP="00D37F9E">
            <w:pPr>
              <w:pStyle w:val="Tabletext"/>
            </w:pPr>
            <w:r w:rsidRPr="00A74B5B">
              <w:t>Queensland Health </w:t>
            </w:r>
          </w:p>
        </w:tc>
      </w:tr>
      <w:tr w:rsidR="002718B8" w:rsidRPr="00A74B5B" w14:paraId="13449E7C"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053DB0D" w14:textId="04D77ECC" w:rsidR="002718B8" w:rsidRPr="00A74B5B" w:rsidRDefault="002718B8" w:rsidP="00D37F9E">
            <w:pPr>
              <w:pStyle w:val="Tabletext"/>
            </w:pPr>
            <w:r w:rsidRPr="00A74B5B">
              <w:t>Vicky Sheppeard </w:t>
            </w:r>
          </w:p>
        </w:tc>
        <w:tc>
          <w:tcPr>
            <w:tcW w:w="0" w:type="auto"/>
            <w:vAlign w:val="top"/>
          </w:tcPr>
          <w:p w14:paraId="0C07689A" w14:textId="5A2810AE" w:rsidR="002718B8" w:rsidRPr="00A74B5B" w:rsidRDefault="002718B8" w:rsidP="00D37F9E">
            <w:pPr>
              <w:pStyle w:val="Tabletext"/>
            </w:pPr>
            <w:r w:rsidRPr="00A74B5B">
              <w:t>New South Wales Health </w:t>
            </w:r>
          </w:p>
        </w:tc>
      </w:tr>
      <w:tr w:rsidR="002718B8" w:rsidRPr="00A74B5B" w14:paraId="237F6178" w14:textId="77777777" w:rsidTr="00D37F9E">
        <w:tc>
          <w:tcPr>
            <w:tcW w:w="0" w:type="auto"/>
            <w:vAlign w:val="top"/>
          </w:tcPr>
          <w:p w14:paraId="4A80B9E9" w14:textId="4E14C25F" w:rsidR="002718B8" w:rsidRPr="00A74B5B" w:rsidRDefault="002718B8" w:rsidP="00D37F9E">
            <w:pPr>
              <w:pStyle w:val="Tabletext"/>
            </w:pPr>
            <w:r w:rsidRPr="00A74B5B">
              <w:t>Rosalind Webby </w:t>
            </w:r>
          </w:p>
        </w:tc>
        <w:tc>
          <w:tcPr>
            <w:tcW w:w="0" w:type="auto"/>
            <w:vAlign w:val="top"/>
          </w:tcPr>
          <w:p w14:paraId="476908B2" w14:textId="0D718437" w:rsidR="002718B8" w:rsidRPr="00A74B5B" w:rsidRDefault="002718B8" w:rsidP="00D37F9E">
            <w:pPr>
              <w:pStyle w:val="Tabletext"/>
            </w:pPr>
            <w:r w:rsidRPr="00A74B5B">
              <w:t>Northern Territory Health </w:t>
            </w:r>
          </w:p>
        </w:tc>
      </w:tr>
      <w:tr w:rsidR="002718B8" w:rsidRPr="00A74B5B" w14:paraId="7873A8D6"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8CAF309" w14:textId="56E9F351" w:rsidR="002718B8" w:rsidRPr="00A74B5B" w:rsidRDefault="002718B8" w:rsidP="00D37F9E">
            <w:pPr>
              <w:pStyle w:val="Tabletext"/>
            </w:pPr>
            <w:r w:rsidRPr="00A74B5B">
              <w:t>Donna Mak </w:t>
            </w:r>
          </w:p>
        </w:tc>
        <w:tc>
          <w:tcPr>
            <w:tcW w:w="0" w:type="auto"/>
            <w:vAlign w:val="top"/>
          </w:tcPr>
          <w:p w14:paraId="4CDA942F" w14:textId="68285340" w:rsidR="002718B8" w:rsidRPr="00A74B5B" w:rsidRDefault="002718B8" w:rsidP="00D37F9E">
            <w:pPr>
              <w:pStyle w:val="Tabletext"/>
            </w:pPr>
            <w:r w:rsidRPr="00A74B5B">
              <w:t>Western Australia Department of Health </w:t>
            </w:r>
          </w:p>
        </w:tc>
      </w:tr>
      <w:tr w:rsidR="002718B8" w:rsidRPr="00A74B5B" w14:paraId="39FAE7D7" w14:textId="77777777" w:rsidTr="00D37F9E">
        <w:tc>
          <w:tcPr>
            <w:tcW w:w="0" w:type="auto"/>
            <w:vAlign w:val="top"/>
          </w:tcPr>
          <w:p w14:paraId="08210AD0" w14:textId="6E0E9C82" w:rsidR="002718B8" w:rsidRPr="00A74B5B" w:rsidRDefault="002718B8" w:rsidP="00D37F9E">
            <w:pPr>
              <w:pStyle w:val="Tabletext"/>
            </w:pPr>
            <w:r w:rsidRPr="00A74B5B">
              <w:t>Jon Moore </w:t>
            </w:r>
          </w:p>
        </w:tc>
        <w:tc>
          <w:tcPr>
            <w:tcW w:w="0" w:type="auto"/>
            <w:vAlign w:val="top"/>
          </w:tcPr>
          <w:p w14:paraId="76A884C8" w14:textId="41971466" w:rsidR="002718B8" w:rsidRPr="00A74B5B" w:rsidRDefault="002718B8" w:rsidP="00D37F9E">
            <w:pPr>
              <w:pStyle w:val="Tabletext"/>
            </w:pPr>
            <w:r w:rsidRPr="00A74B5B">
              <w:t>Tasmanian Department of Health </w:t>
            </w:r>
          </w:p>
        </w:tc>
      </w:tr>
      <w:tr w:rsidR="002718B8" w:rsidRPr="00A74B5B" w14:paraId="2D7ABE50"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99CEE42" w14:textId="5BF6598E" w:rsidR="002718B8" w:rsidRPr="00A74B5B" w:rsidRDefault="002718B8" w:rsidP="00D37F9E">
            <w:pPr>
              <w:pStyle w:val="Tabletext"/>
            </w:pPr>
            <w:r w:rsidRPr="00A74B5B">
              <w:t>Alison Budd </w:t>
            </w:r>
          </w:p>
        </w:tc>
        <w:tc>
          <w:tcPr>
            <w:tcW w:w="0" w:type="auto"/>
            <w:vAlign w:val="top"/>
          </w:tcPr>
          <w:p w14:paraId="446D3AEF" w14:textId="14D687E3" w:rsidR="002718B8" w:rsidRPr="00A74B5B" w:rsidRDefault="002718B8" w:rsidP="00D37F9E">
            <w:pPr>
              <w:pStyle w:val="Tabletext"/>
            </w:pPr>
            <w:r w:rsidRPr="00A74B5B">
              <w:t>Screening analysis and monitoring unit, AIHW </w:t>
            </w:r>
          </w:p>
        </w:tc>
      </w:tr>
      <w:tr w:rsidR="002718B8" w:rsidRPr="00A74B5B" w14:paraId="5DA49F61" w14:textId="77777777" w:rsidTr="00D37F9E">
        <w:tc>
          <w:tcPr>
            <w:tcW w:w="0" w:type="auto"/>
            <w:vAlign w:val="top"/>
          </w:tcPr>
          <w:p w14:paraId="58E3D495" w14:textId="0527C724" w:rsidR="002718B8" w:rsidRPr="00A74B5B" w:rsidRDefault="002718B8" w:rsidP="00D37F9E">
            <w:pPr>
              <w:pStyle w:val="Tabletext"/>
            </w:pPr>
            <w:r w:rsidRPr="00A74B5B">
              <w:t>Dejan Krstik  </w:t>
            </w:r>
          </w:p>
        </w:tc>
        <w:tc>
          <w:tcPr>
            <w:tcW w:w="0" w:type="auto"/>
            <w:vAlign w:val="top"/>
          </w:tcPr>
          <w:p w14:paraId="375F49F2" w14:textId="620F61FB" w:rsidR="002718B8" w:rsidRPr="00A74B5B" w:rsidRDefault="002718B8" w:rsidP="00D37F9E">
            <w:pPr>
              <w:pStyle w:val="Tabletext"/>
            </w:pPr>
            <w:r w:rsidRPr="00A74B5B">
              <w:t>Cervical Screening Section, DoHAC</w:t>
            </w:r>
          </w:p>
        </w:tc>
      </w:tr>
      <w:tr w:rsidR="002718B8" w:rsidRPr="00A74B5B" w14:paraId="5BC4810B"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95FA5AD" w14:textId="4439CFE4" w:rsidR="002718B8" w:rsidRPr="00A74B5B" w:rsidRDefault="002718B8" w:rsidP="00D37F9E">
            <w:pPr>
              <w:pStyle w:val="Tabletext"/>
            </w:pPr>
            <w:r w:rsidRPr="00A74B5B">
              <w:t>Tom Watson (proxy Allison Cairns)</w:t>
            </w:r>
          </w:p>
        </w:tc>
        <w:tc>
          <w:tcPr>
            <w:tcW w:w="0" w:type="auto"/>
            <w:vAlign w:val="top"/>
          </w:tcPr>
          <w:p w14:paraId="0563ABDA" w14:textId="78E932B8" w:rsidR="002718B8" w:rsidRPr="00A74B5B" w:rsidRDefault="002718B8" w:rsidP="00D37F9E">
            <w:pPr>
              <w:pStyle w:val="Tabletext"/>
            </w:pPr>
            <w:r w:rsidRPr="00A74B5B">
              <w:t>Immunisation Policy Section, DoHAC</w:t>
            </w:r>
          </w:p>
        </w:tc>
      </w:tr>
      <w:tr w:rsidR="002718B8" w:rsidRPr="00A74B5B" w14:paraId="6F733FE6" w14:textId="77777777" w:rsidTr="00D37F9E">
        <w:tc>
          <w:tcPr>
            <w:tcW w:w="0" w:type="auto"/>
            <w:vAlign w:val="top"/>
          </w:tcPr>
          <w:p w14:paraId="5C602915" w14:textId="254BB555" w:rsidR="002718B8" w:rsidRPr="00A74B5B" w:rsidRDefault="002718B8" w:rsidP="00D37F9E">
            <w:pPr>
              <w:pStyle w:val="Tabletext"/>
            </w:pPr>
            <w:r w:rsidRPr="00A74B5B">
              <w:t>Kate Ward </w:t>
            </w:r>
          </w:p>
        </w:tc>
        <w:tc>
          <w:tcPr>
            <w:tcW w:w="0" w:type="auto"/>
            <w:vAlign w:val="top"/>
          </w:tcPr>
          <w:p w14:paraId="7014F7CC" w14:textId="6478345A" w:rsidR="002718B8" w:rsidRPr="00A74B5B" w:rsidRDefault="002718B8" w:rsidP="00D37F9E">
            <w:pPr>
              <w:pStyle w:val="Tabletext"/>
            </w:pPr>
            <w:r w:rsidRPr="00A74B5B">
              <w:t>First Nations Health Division, DoHAC</w:t>
            </w:r>
          </w:p>
        </w:tc>
      </w:tr>
      <w:tr w:rsidR="002718B8" w:rsidRPr="00A74B5B" w14:paraId="780CD004"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26B09BD" w14:textId="727D3C8E" w:rsidR="002718B8" w:rsidRPr="00A74B5B" w:rsidRDefault="002718B8" w:rsidP="00D37F9E">
            <w:pPr>
              <w:pStyle w:val="Tabletext"/>
            </w:pPr>
            <w:r w:rsidRPr="00A74B5B">
              <w:t>Amy Bright (Chair)</w:t>
            </w:r>
          </w:p>
        </w:tc>
        <w:tc>
          <w:tcPr>
            <w:tcW w:w="0" w:type="auto"/>
            <w:vAlign w:val="top"/>
          </w:tcPr>
          <w:p w14:paraId="1F616FDA" w14:textId="498907F3" w:rsidR="002718B8" w:rsidRPr="00A74B5B" w:rsidRDefault="002718B8" w:rsidP="00D37F9E">
            <w:pPr>
              <w:pStyle w:val="Tabletext"/>
            </w:pPr>
            <w:r w:rsidRPr="00A74B5B">
              <w:t>Communicable Disease Epidemiology and Surveillance Section, DoHAC</w:t>
            </w:r>
          </w:p>
        </w:tc>
      </w:tr>
      <w:tr w:rsidR="002718B8" w:rsidRPr="00A74B5B" w14:paraId="4F92EA8D" w14:textId="77777777" w:rsidTr="00D37F9E">
        <w:tc>
          <w:tcPr>
            <w:tcW w:w="0" w:type="auto"/>
            <w:vAlign w:val="top"/>
          </w:tcPr>
          <w:p w14:paraId="51BCD5F3" w14:textId="3BC1B117" w:rsidR="002718B8" w:rsidRPr="00A74B5B" w:rsidRDefault="002718B8" w:rsidP="00D37F9E">
            <w:pPr>
              <w:pStyle w:val="Tabletext"/>
            </w:pPr>
            <w:r w:rsidRPr="00A74B5B">
              <w:t>Louise Blunden (Secretariat) </w:t>
            </w:r>
          </w:p>
        </w:tc>
        <w:tc>
          <w:tcPr>
            <w:tcW w:w="0" w:type="auto"/>
            <w:vAlign w:val="top"/>
          </w:tcPr>
          <w:p w14:paraId="5468B274" w14:textId="09FB5867" w:rsidR="002718B8" w:rsidRPr="00A74B5B" w:rsidRDefault="002718B8" w:rsidP="00D37F9E">
            <w:pPr>
              <w:pStyle w:val="Tabletext"/>
            </w:pPr>
            <w:r w:rsidRPr="00A74B5B">
              <w:t>Communicable Disease Epidemiology and Surveillance Section, DoHAC</w:t>
            </w:r>
          </w:p>
        </w:tc>
      </w:tr>
      <w:tr w:rsidR="002718B8" w:rsidRPr="00A74B5B" w14:paraId="353723AB"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gridSpan w:val="2"/>
            <w:vAlign w:val="top"/>
          </w:tcPr>
          <w:p w14:paraId="0AFD5F21" w14:textId="0490F1E4" w:rsidR="002718B8" w:rsidRPr="008C4020" w:rsidRDefault="002718B8" w:rsidP="00D37F9E">
            <w:pPr>
              <w:pStyle w:val="Tabletext"/>
              <w:rPr>
                <w:rStyle w:val="Strong"/>
              </w:rPr>
            </w:pPr>
            <w:r w:rsidRPr="008C4020">
              <w:rPr>
                <w:rStyle w:val="Strong"/>
              </w:rPr>
              <w:t>Non-government representatives</w:t>
            </w:r>
          </w:p>
        </w:tc>
      </w:tr>
      <w:tr w:rsidR="002718B8" w:rsidRPr="00A74B5B" w14:paraId="41751529" w14:textId="77777777" w:rsidTr="00D37F9E">
        <w:tc>
          <w:tcPr>
            <w:tcW w:w="0" w:type="auto"/>
            <w:vAlign w:val="top"/>
          </w:tcPr>
          <w:p w14:paraId="12DEF0F3" w14:textId="3EDB15B6" w:rsidR="002718B8" w:rsidRPr="00A74B5B" w:rsidRDefault="002718B8" w:rsidP="00D37F9E">
            <w:pPr>
              <w:pStyle w:val="Tabletext"/>
            </w:pPr>
            <w:r w:rsidRPr="00A74B5B">
              <w:t>Dorothy Machalek </w:t>
            </w:r>
          </w:p>
        </w:tc>
        <w:tc>
          <w:tcPr>
            <w:tcW w:w="0" w:type="auto"/>
            <w:vAlign w:val="top"/>
          </w:tcPr>
          <w:p w14:paraId="0DCE613D" w14:textId="75DCB5B7" w:rsidR="002718B8" w:rsidRPr="00A74B5B" w:rsidRDefault="002718B8" w:rsidP="00D37F9E">
            <w:pPr>
              <w:pStyle w:val="Tabletext"/>
            </w:pPr>
            <w:r w:rsidRPr="00A74B5B">
              <w:t>Kirby Institute, UNSW </w:t>
            </w:r>
          </w:p>
        </w:tc>
      </w:tr>
      <w:tr w:rsidR="002718B8" w:rsidRPr="00A74B5B" w14:paraId="08E16CC0"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DE336D9" w14:textId="2F341C13" w:rsidR="002718B8" w:rsidRPr="00A74B5B" w:rsidRDefault="002718B8" w:rsidP="00D37F9E">
            <w:pPr>
              <w:pStyle w:val="Tabletext"/>
            </w:pPr>
            <w:r w:rsidRPr="00A74B5B">
              <w:t>Suzanne Garland </w:t>
            </w:r>
          </w:p>
        </w:tc>
        <w:tc>
          <w:tcPr>
            <w:tcW w:w="0" w:type="auto"/>
            <w:vAlign w:val="top"/>
          </w:tcPr>
          <w:p w14:paraId="40BC0A3C" w14:textId="7D25E2A2" w:rsidR="002718B8" w:rsidRPr="00A74B5B" w:rsidRDefault="002718B8" w:rsidP="00D37F9E">
            <w:pPr>
              <w:pStyle w:val="Tabletext"/>
            </w:pPr>
            <w:r w:rsidRPr="00A74B5B">
              <w:t>The Royal Woman’s Hospital, NHMRC Centre for Research Excellence in Cervical Cancer Control</w:t>
            </w:r>
          </w:p>
        </w:tc>
      </w:tr>
      <w:tr w:rsidR="002718B8" w:rsidRPr="00A74B5B" w14:paraId="16825101" w14:textId="77777777" w:rsidTr="00D37F9E">
        <w:tc>
          <w:tcPr>
            <w:tcW w:w="0" w:type="auto"/>
            <w:vAlign w:val="top"/>
          </w:tcPr>
          <w:p w14:paraId="57AF10E8" w14:textId="317469F9" w:rsidR="002718B8" w:rsidRPr="00A74B5B" w:rsidRDefault="002718B8" w:rsidP="00D37F9E">
            <w:pPr>
              <w:pStyle w:val="Tabletext"/>
            </w:pPr>
            <w:r w:rsidRPr="00A74B5B">
              <w:t>Julia Brotherton </w:t>
            </w:r>
          </w:p>
        </w:tc>
        <w:tc>
          <w:tcPr>
            <w:tcW w:w="0" w:type="auto"/>
            <w:vAlign w:val="top"/>
          </w:tcPr>
          <w:p w14:paraId="72287E4D" w14:textId="5A123884" w:rsidR="002718B8" w:rsidRPr="00A74B5B" w:rsidRDefault="002718B8" w:rsidP="00D37F9E">
            <w:pPr>
              <w:pStyle w:val="Tabletext"/>
            </w:pPr>
            <w:r w:rsidRPr="00A74B5B">
              <w:t>University of Melbourne, Professional Fellow NCIRS, NHMRC Centre for Research Excellence in Cervical Cancer Control</w:t>
            </w:r>
          </w:p>
        </w:tc>
      </w:tr>
      <w:tr w:rsidR="002718B8" w:rsidRPr="00A74B5B" w14:paraId="7C1DC95F"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47473A7E" w14:textId="080F0F9A" w:rsidR="002718B8" w:rsidRPr="00A74B5B" w:rsidRDefault="002718B8" w:rsidP="00D37F9E">
            <w:pPr>
              <w:pStyle w:val="Tabletext"/>
            </w:pPr>
            <w:r w:rsidRPr="00A74B5B">
              <w:t>David Hawkes </w:t>
            </w:r>
          </w:p>
        </w:tc>
        <w:tc>
          <w:tcPr>
            <w:tcW w:w="0" w:type="auto"/>
            <w:vAlign w:val="top"/>
          </w:tcPr>
          <w:p w14:paraId="129BBFE7" w14:textId="44D62CC9" w:rsidR="002718B8" w:rsidRPr="00A74B5B" w:rsidRDefault="002718B8" w:rsidP="00D37F9E">
            <w:pPr>
              <w:pStyle w:val="Tabletext"/>
            </w:pPr>
            <w:r w:rsidRPr="00A74B5B">
              <w:t>Australian Centre for Prevention of Cervical Cancer </w:t>
            </w:r>
          </w:p>
        </w:tc>
      </w:tr>
      <w:tr w:rsidR="002718B8" w:rsidRPr="00A74B5B" w14:paraId="0D6DF0CC" w14:textId="77777777" w:rsidTr="00D37F9E">
        <w:tc>
          <w:tcPr>
            <w:tcW w:w="0" w:type="auto"/>
            <w:vAlign w:val="top"/>
          </w:tcPr>
          <w:p w14:paraId="7E6D2216" w14:textId="6780EA71" w:rsidR="002718B8" w:rsidRPr="00A74B5B" w:rsidRDefault="002718B8" w:rsidP="00D37F9E">
            <w:pPr>
              <w:pStyle w:val="Tabletext"/>
            </w:pPr>
            <w:r w:rsidRPr="00A74B5B">
              <w:t>Marion Saville </w:t>
            </w:r>
          </w:p>
        </w:tc>
        <w:tc>
          <w:tcPr>
            <w:tcW w:w="0" w:type="auto"/>
            <w:vAlign w:val="top"/>
          </w:tcPr>
          <w:p w14:paraId="3BC19B41" w14:textId="57AEDF92" w:rsidR="002718B8" w:rsidRPr="00A74B5B" w:rsidRDefault="002718B8" w:rsidP="00D37F9E">
            <w:pPr>
              <w:pStyle w:val="Tabletext"/>
            </w:pPr>
            <w:r w:rsidRPr="00A74B5B">
              <w:t>Australian Centre for Prevention of Cervical Cancer, NHMRC Centre for Research Excellence in Cervical Cancer Control </w:t>
            </w:r>
          </w:p>
        </w:tc>
      </w:tr>
      <w:tr w:rsidR="002718B8" w:rsidRPr="00A74B5B" w14:paraId="1F4F8F7D"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E1C97DA" w14:textId="6AC3BACE" w:rsidR="002718B8" w:rsidRPr="00A74B5B" w:rsidRDefault="002718B8" w:rsidP="00D37F9E">
            <w:pPr>
              <w:pStyle w:val="Tabletext"/>
            </w:pPr>
            <w:r w:rsidRPr="00A74B5B">
              <w:t>Skye McGregor </w:t>
            </w:r>
          </w:p>
        </w:tc>
        <w:tc>
          <w:tcPr>
            <w:tcW w:w="0" w:type="auto"/>
            <w:vAlign w:val="top"/>
          </w:tcPr>
          <w:p w14:paraId="49FA3852" w14:textId="71E257B6" w:rsidR="002718B8" w:rsidRPr="00A74B5B" w:rsidRDefault="002718B8" w:rsidP="00D37F9E">
            <w:pPr>
              <w:pStyle w:val="Tabletext"/>
            </w:pPr>
            <w:r w:rsidRPr="00A74B5B">
              <w:t>Kirby Institute, UNSW </w:t>
            </w:r>
          </w:p>
        </w:tc>
      </w:tr>
      <w:tr w:rsidR="002718B8" w:rsidRPr="00A74B5B" w14:paraId="1304E744" w14:textId="77777777" w:rsidTr="00D37F9E">
        <w:tc>
          <w:tcPr>
            <w:tcW w:w="0" w:type="auto"/>
            <w:vAlign w:val="top"/>
          </w:tcPr>
          <w:p w14:paraId="6702737A" w14:textId="134BCA05" w:rsidR="002718B8" w:rsidRPr="00A74B5B" w:rsidRDefault="002718B8" w:rsidP="00D37F9E">
            <w:pPr>
              <w:pStyle w:val="Tabletext"/>
            </w:pPr>
            <w:r w:rsidRPr="00A74B5B">
              <w:lastRenderedPageBreak/>
              <w:t>Kristine Macartney</w:t>
            </w:r>
          </w:p>
        </w:tc>
        <w:tc>
          <w:tcPr>
            <w:tcW w:w="0" w:type="auto"/>
            <w:vAlign w:val="top"/>
          </w:tcPr>
          <w:p w14:paraId="6414F4EC" w14:textId="5D91E0AE" w:rsidR="002718B8" w:rsidRPr="00A74B5B" w:rsidRDefault="002718B8" w:rsidP="00D37F9E">
            <w:pPr>
              <w:pStyle w:val="Tabletext"/>
            </w:pPr>
            <w:r w:rsidRPr="00A74B5B">
              <w:t>National Centre for Immunisation Research and Surveillance </w:t>
            </w:r>
          </w:p>
        </w:tc>
      </w:tr>
      <w:tr w:rsidR="002718B8" w:rsidRPr="00A74B5B" w14:paraId="3955F580" w14:textId="77777777" w:rsidTr="00D37F9E">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17A3D1A" w14:textId="40655C43" w:rsidR="002718B8" w:rsidRPr="00A74B5B" w:rsidRDefault="002718B8" w:rsidP="00D37F9E">
            <w:pPr>
              <w:pStyle w:val="Tabletext"/>
            </w:pPr>
            <w:r w:rsidRPr="00A74B5B">
              <w:t>Michelle Giles </w:t>
            </w:r>
          </w:p>
        </w:tc>
        <w:tc>
          <w:tcPr>
            <w:tcW w:w="0" w:type="auto"/>
            <w:vAlign w:val="top"/>
          </w:tcPr>
          <w:p w14:paraId="2986F446" w14:textId="0B914325" w:rsidR="002718B8" w:rsidRPr="00A74B5B" w:rsidRDefault="002718B8" w:rsidP="00D37F9E">
            <w:pPr>
              <w:pStyle w:val="Tabletext"/>
            </w:pPr>
            <w:r w:rsidRPr="00A74B5B">
              <w:t>Australian Technical Advisory Group on Immunisation representative </w:t>
            </w:r>
          </w:p>
        </w:tc>
      </w:tr>
      <w:tr w:rsidR="002718B8" w:rsidRPr="00A74B5B" w14:paraId="1DA30009" w14:textId="77777777" w:rsidTr="00D37F9E">
        <w:tc>
          <w:tcPr>
            <w:tcW w:w="0" w:type="auto"/>
            <w:vAlign w:val="top"/>
          </w:tcPr>
          <w:p w14:paraId="7913EC55" w14:textId="5EC99CE2" w:rsidR="002718B8" w:rsidRPr="00A74B5B" w:rsidRDefault="002718B8" w:rsidP="00D37F9E">
            <w:pPr>
              <w:pStyle w:val="Tabletext"/>
            </w:pPr>
            <w:r w:rsidRPr="00A74B5B">
              <w:t>Nick Silberstein </w:t>
            </w:r>
          </w:p>
        </w:tc>
        <w:tc>
          <w:tcPr>
            <w:tcW w:w="0" w:type="auto"/>
            <w:vAlign w:val="top"/>
          </w:tcPr>
          <w:p w14:paraId="0C5E6DB2" w14:textId="77947E03" w:rsidR="002718B8" w:rsidRPr="00A74B5B" w:rsidRDefault="002718B8" w:rsidP="00D37F9E">
            <w:pPr>
              <w:pStyle w:val="Tabletext"/>
            </w:pPr>
            <w:r w:rsidRPr="00A74B5B">
              <w:t>Australian Technical Advisory Group on Immunisation representative </w:t>
            </w:r>
          </w:p>
        </w:tc>
      </w:tr>
    </w:tbl>
    <w:p w14:paraId="4DD7A113" w14:textId="77777777" w:rsidR="00192F08" w:rsidRPr="00CD10C1" w:rsidRDefault="00192F08" w:rsidP="00CD10C1">
      <w:r w:rsidRPr="00CD10C1">
        <w:br w:type="page"/>
      </w:r>
    </w:p>
    <w:p w14:paraId="3D280741" w14:textId="77777777" w:rsidR="00590F0B" w:rsidRDefault="00590F0B" w:rsidP="00700FB1">
      <w:pPr>
        <w:pStyle w:val="Heading1"/>
      </w:pPr>
      <w:bookmarkStart w:id="92" w:name="_Toc232507553"/>
      <w:r>
        <w:lastRenderedPageBreak/>
        <w:t>References</w:t>
      </w:r>
      <w:bookmarkEnd w:id="92"/>
    </w:p>
    <w:p w14:paraId="4E1BE050" w14:textId="77777777" w:rsidR="00590F0B" w:rsidRPr="00192F08" w:rsidRDefault="00590F0B" w:rsidP="00D37F9E">
      <w:pPr>
        <w:pStyle w:val="Bibliography"/>
      </w:pPr>
      <w:r w:rsidRPr="00192F08">
        <w:t xml:space="preserve">AIHW (Australian Institute of Health and Welfare) (2021) </w:t>
      </w:r>
      <w:hyperlink r:id="rId41">
        <w:r w:rsidRPr="00192F08">
          <w:rPr>
            <w:rStyle w:val="Hyperlink"/>
          </w:rPr>
          <w:t>Cancer in Australia 2021</w:t>
        </w:r>
      </w:hyperlink>
      <w:r w:rsidRPr="00192F08">
        <w:t>, Cancer series 133, catalogue number CAN 144, AIHW, Australian Government, accessed 30 March 2022.</w:t>
      </w:r>
    </w:p>
    <w:p w14:paraId="1E794225" w14:textId="77777777" w:rsidR="00590F0B" w:rsidRPr="00192F08" w:rsidRDefault="00590F0B" w:rsidP="00D37F9E">
      <w:pPr>
        <w:pStyle w:val="Bibliography"/>
      </w:pPr>
      <w:r w:rsidRPr="00192F08">
        <w:t xml:space="preserve">AIHW (2022) </w:t>
      </w:r>
      <w:hyperlink r:id="rId42" w:history="1">
        <w:r w:rsidRPr="00192F08">
          <w:rPr>
            <w:rStyle w:val="Hyperlink"/>
          </w:rPr>
          <w:t>National Cervical Screening Program monitoring report 2022</w:t>
        </w:r>
      </w:hyperlink>
      <w:r w:rsidRPr="00192F08">
        <w:t>, catalogue number CAN 149, AIHW, Australian Government, accessed 4 April 2023.</w:t>
      </w:r>
    </w:p>
    <w:p w14:paraId="2CEB3A31" w14:textId="77777777" w:rsidR="00590F0B" w:rsidRPr="00192F08" w:rsidRDefault="00590F0B" w:rsidP="00D37F9E">
      <w:pPr>
        <w:pStyle w:val="Bibliography"/>
      </w:pPr>
      <w:r w:rsidRPr="00192F08">
        <w:t xml:space="preserve">AIHW (2023) </w:t>
      </w:r>
      <w:hyperlink r:id="rId43" w:history="1">
        <w:r w:rsidRPr="00192F08">
          <w:rPr>
            <w:rStyle w:val="Hyperlink"/>
          </w:rPr>
          <w:t>National Cervical Screening Program monitoring report 2023</w:t>
        </w:r>
      </w:hyperlink>
      <w:r w:rsidRPr="00192F08">
        <w:t>, catalogue number CAN 157, AIHW, Australian Government, accessed 19 December 2023.</w:t>
      </w:r>
    </w:p>
    <w:p w14:paraId="57243ED8" w14:textId="103A1AF7" w:rsidR="00590F0B" w:rsidRPr="00192F08" w:rsidRDefault="00590F0B" w:rsidP="00D37F9E">
      <w:pPr>
        <w:pStyle w:val="Bibliography"/>
      </w:pPr>
      <w:r w:rsidRPr="00192F08">
        <w:t xml:space="preserve">APSU (Australian Paediatric Surveillance Unit) (2018), </w:t>
      </w:r>
      <w:hyperlink r:id="rId44" w:history="1">
        <w:r w:rsidRPr="00192F08">
          <w:rPr>
            <w:rStyle w:val="Hyperlink"/>
          </w:rPr>
          <w:t>Study Protocol</w:t>
        </w:r>
        <w:r w:rsidR="005A4C76">
          <w:rPr>
            <w:rStyle w:val="Hyperlink"/>
          </w:rPr>
          <w:t xml:space="preserve"> – </w:t>
        </w:r>
        <w:r w:rsidRPr="00192F08">
          <w:rPr>
            <w:rStyle w:val="Hyperlink"/>
          </w:rPr>
          <w:t>Juvenile onset Recurrent Respiratory Papillomatosis (JoRRP) [PDF 359KB],</w:t>
        </w:r>
      </w:hyperlink>
      <w:r w:rsidRPr="00192F08">
        <w:t xml:space="preserve"> APSU, accessed 30 March 2022.</w:t>
      </w:r>
    </w:p>
    <w:p w14:paraId="248BC487" w14:textId="77777777" w:rsidR="00590F0B" w:rsidRPr="00192F08" w:rsidRDefault="00590F0B" w:rsidP="00D37F9E">
      <w:pPr>
        <w:pStyle w:val="Bibliography"/>
      </w:pPr>
      <w:r w:rsidRPr="00192F08">
        <w:t xml:space="preserve">Australian Government (2016), </w:t>
      </w:r>
      <w:hyperlink r:id="rId45" w:history="1">
        <w:r w:rsidRPr="00192F08">
          <w:rPr>
            <w:rStyle w:val="Hyperlink"/>
          </w:rPr>
          <w:t xml:space="preserve">National Cancer Screening Register Act 2016. </w:t>
        </w:r>
      </w:hyperlink>
      <w:r w:rsidRPr="00192F08">
        <w:t xml:space="preserve"> </w:t>
      </w:r>
    </w:p>
    <w:p w14:paraId="20FF43A4" w14:textId="77777777" w:rsidR="00590F0B" w:rsidRPr="00192F08" w:rsidRDefault="00590F0B" w:rsidP="00D37F9E">
      <w:pPr>
        <w:pStyle w:val="Bibliography"/>
      </w:pPr>
      <w:r w:rsidRPr="00192F08">
        <w:t xml:space="preserve">Brotherton JML, Tabrizi SN, Phillips S, Pyman J, Cornall AM, </w:t>
      </w:r>
      <w:proofErr w:type="spellStart"/>
      <w:r w:rsidRPr="00192F08">
        <w:t>Lambrie</w:t>
      </w:r>
      <w:proofErr w:type="spellEnd"/>
      <w:r w:rsidRPr="00192F08">
        <w:t xml:space="preserve"> N, Anderson L, Cummings M, Payton D, Scurry JP, Newman M, Sharma R, Saville M and Garland SM (2017), 'Looking beyond human papillomavirus (HPV) genotype 16 and 18: defining HPV genotype distribution in cervical cancers in Australia prior to vaccination, International Journal of Cancer 141(8): 1576–1584, </w:t>
      </w:r>
      <w:proofErr w:type="spellStart"/>
      <w:r w:rsidRPr="00192F08">
        <w:t>doi</w:t>
      </w:r>
      <w:proofErr w:type="spellEnd"/>
      <w:r w:rsidRPr="00192F08">
        <w:t>: 10.1002/ijc.30871.</w:t>
      </w:r>
    </w:p>
    <w:p w14:paraId="7BD2A0D3" w14:textId="77777777" w:rsidR="00590F0B" w:rsidRPr="00192F08" w:rsidRDefault="00590F0B" w:rsidP="00D37F9E">
      <w:pPr>
        <w:pStyle w:val="Bibliography"/>
      </w:pPr>
      <w:r w:rsidRPr="00192F08">
        <w:t>Callander D, Ali H and Donovan B (2016) Genital Warts Surveillance Network Report 2004–2015, report to the Australian Department of Health, Kirby Institute, UNSW (University of New South Wales), accessed 30 March 2022.</w:t>
      </w:r>
    </w:p>
    <w:p w14:paraId="5A70ABF9" w14:textId="77777777" w:rsidR="00590F0B" w:rsidRPr="00192F08" w:rsidRDefault="00590F0B" w:rsidP="00D37F9E">
      <w:pPr>
        <w:pStyle w:val="Bibliography"/>
      </w:pPr>
      <w:r w:rsidRPr="00192F08">
        <w:t xml:space="preserve">Callegari ET, Tabrizi SN, Pyman J, Saville M, Cornall AM, Brotherton JM, Garland SM (2014). "How best to interpret mixed human papillomavirus genotypes in high-grade cervical intraepithelial neoplasia lesions." Vaccine </w:t>
      </w:r>
      <w:proofErr w:type="gramStart"/>
      <w:r w:rsidRPr="00192F08">
        <w:t>2014;34:4082</w:t>
      </w:r>
      <w:proofErr w:type="gramEnd"/>
      <w:r w:rsidRPr="00192F08">
        <w:t>-88.</w:t>
      </w:r>
    </w:p>
    <w:p w14:paraId="2F8249E6" w14:textId="77777777" w:rsidR="00590F0B" w:rsidRPr="00192F08" w:rsidRDefault="00590F0B" w:rsidP="00D37F9E">
      <w:pPr>
        <w:pStyle w:val="Bibliography"/>
      </w:pPr>
      <w:r w:rsidRPr="00192F08">
        <w:t xml:space="preserve">Cancer Council Australia (2022), </w:t>
      </w:r>
      <w:hyperlink r:id="rId46" w:history="1">
        <w:r w:rsidRPr="00192F08">
          <w:rPr>
            <w:rStyle w:val="Hyperlink"/>
          </w:rPr>
          <w:t>National cervical screening program – Clinical Guidelines – Guidelines for the management of screen-detected abnormalities, screening in specific populations and investigation of abnormal vaginal bleeding</w:t>
        </w:r>
      </w:hyperlink>
      <w:r w:rsidRPr="00192F08">
        <w:t>, Cancer Council Australia, accessed 26 September 2023.</w:t>
      </w:r>
    </w:p>
    <w:p w14:paraId="712484AB" w14:textId="4A83C399" w:rsidR="00590F0B" w:rsidRPr="00590F0B" w:rsidRDefault="00590F0B" w:rsidP="00D37F9E">
      <w:pPr>
        <w:pStyle w:val="Bibliography"/>
        <w:rPr>
          <w:rFonts w:eastAsia="Calibri" w:cs="Arial"/>
          <w:szCs w:val="20"/>
        </w:rPr>
      </w:pPr>
      <w:r w:rsidRPr="00590F0B">
        <w:rPr>
          <w:rFonts w:eastAsia="Calibri" w:cs="Arial"/>
          <w:szCs w:val="20"/>
        </w:rPr>
        <w:t>Chow EPF, T. S., Fairley CK, Wigan R, Machalek DA, Garland SM, Cornall AM, Atchison S, Hocking JS, Bradshaw CS, Balgovind P, Murray GL, Chen MY, (2021). "Prevalence of human papillomavirus in young men who have sex with men after the implementation of gender-neutral HPV vaccination: a repeated cross-sectional study." The Lancet Infectious Diseases Volume 21, Issue 10.</w:t>
      </w:r>
    </w:p>
    <w:p w14:paraId="21028BB5" w14:textId="77777777" w:rsidR="00590F0B" w:rsidRPr="00192F08" w:rsidRDefault="00590F0B" w:rsidP="00D37F9E">
      <w:pPr>
        <w:pStyle w:val="Bibliography"/>
      </w:pPr>
      <w:r w:rsidRPr="00192F08">
        <w:lastRenderedPageBreak/>
        <w:t xml:space="preserve">Chow EPF, M. D., Tabrizi SN, Danielewski JA, Fehler G, Bradshaw CS, Garland SM, Chen MY, Fairley CK, (2017). "Quadrivalent vaccine-targeted human papillomavirus genotypes in heterosexual men after the Australian female human papillomavirus vaccination programme: a retrospective observational study." Lancet Infect Dis </w:t>
      </w:r>
      <w:proofErr w:type="spellStart"/>
      <w:r w:rsidRPr="00192F08">
        <w:t>doi</w:t>
      </w:r>
      <w:proofErr w:type="spellEnd"/>
      <w:r w:rsidRPr="00192F08">
        <w:t>: 10.1016/S1473-3099(16)30116-5.</w:t>
      </w:r>
    </w:p>
    <w:p w14:paraId="79B674B2" w14:textId="77777777" w:rsidR="00590F0B" w:rsidRPr="00192F08" w:rsidRDefault="00590F0B" w:rsidP="00D37F9E">
      <w:pPr>
        <w:pStyle w:val="Bibliography"/>
      </w:pPr>
      <w:r w:rsidRPr="00192F08">
        <w:t xml:space="preserve">Clifford GM, G. D., Shiels MS, Engels EA, Albuquerque A, </w:t>
      </w:r>
      <w:proofErr w:type="spellStart"/>
      <w:r w:rsidRPr="00192F08">
        <w:t>Poynten</w:t>
      </w:r>
      <w:proofErr w:type="spellEnd"/>
      <w:r w:rsidRPr="00192F08">
        <w:t xml:space="preserve"> IM, de </w:t>
      </w:r>
      <w:proofErr w:type="spellStart"/>
      <w:r w:rsidRPr="00192F08">
        <w:t>Pokomandy</w:t>
      </w:r>
      <w:proofErr w:type="spellEnd"/>
      <w:r w:rsidRPr="00192F08">
        <w:t xml:space="preserve"> A, Easson AM, Stier EA, (2021). "A meta-analysis of anal cancer incidence by risk group: Toward a unified anal cancer risk scale." Int J Cancer Jan 1;148(1):38-47. </w:t>
      </w:r>
      <w:proofErr w:type="spellStart"/>
      <w:r w:rsidRPr="00192F08">
        <w:t>doi</w:t>
      </w:r>
      <w:proofErr w:type="spellEnd"/>
      <w:r w:rsidRPr="00192F08">
        <w:t>: 10.1002/ijc.33185.</w:t>
      </w:r>
    </w:p>
    <w:p w14:paraId="67A7B79D" w14:textId="77777777" w:rsidR="00590F0B" w:rsidRPr="00192F08" w:rsidRDefault="00590F0B" w:rsidP="00D37F9E">
      <w:pPr>
        <w:pStyle w:val="Bibliography"/>
      </w:pPr>
      <w:r w:rsidRPr="00192F08">
        <w:t>Cornall AM, Brotherton JML, Callegari ET, Tan FH, Saville M, Pyman J, Phillips S, Malloy MJ, Tabrizi SN, Garland SM; VACCINE study group. (2020). "Assessment of attribution algorithms for resolving CIN3-related HPV genotype prevalence in mixed-genotype biopsy specimens using laser capture microdissection as the reference standard." Vaccine 2020 Sep 11;38(40):6312-6319.</w:t>
      </w:r>
      <w:r w:rsidRPr="00192F08">
        <w:tab/>
      </w:r>
    </w:p>
    <w:p w14:paraId="283BF20E" w14:textId="77777777" w:rsidR="00590F0B" w:rsidRPr="00192F08" w:rsidRDefault="00590F0B" w:rsidP="00D37F9E">
      <w:pPr>
        <w:pStyle w:val="Bibliography"/>
      </w:pPr>
      <w:r w:rsidRPr="00192F08">
        <w:t>Cornall AM, Saville M, Pyman J, Callegari ET, Tan FH, Brotherton JML, Malloy MJ, Tabrizi SN, Wrede CD, Garland SM; VACCINE Study Group, (2020). "HPV16/18 prevalence in high-grade cervical lesions in an Australian population offered catch-up HPV vaccination." Vaccine 2020 Sep 11;38(40):6304-6311.</w:t>
      </w:r>
    </w:p>
    <w:p w14:paraId="1EC1CBC5" w14:textId="77777777" w:rsidR="00590F0B" w:rsidRPr="00192F08" w:rsidRDefault="00590F0B" w:rsidP="00D37F9E">
      <w:pPr>
        <w:pStyle w:val="Bibliography"/>
      </w:pPr>
      <w:r w:rsidRPr="00192F08">
        <w:t>Dey A, Wang H, Quinn H, Pilsbury A, Hickie M, Deng L, Wood N, Beard F, Macartney K (2022) ‘Surveillance of adverse of adverse events following immunisation in Australia annual report, 2020’, Communicable Diseases Intelligence, Year 2022, Volume 46.</w:t>
      </w:r>
    </w:p>
    <w:p w14:paraId="0BB2FF63" w14:textId="77777777" w:rsidR="00590F0B" w:rsidRPr="00192F08" w:rsidRDefault="00590F0B" w:rsidP="00D37F9E">
      <w:pPr>
        <w:pStyle w:val="Bibliography"/>
      </w:pPr>
      <w:r w:rsidRPr="00192F08">
        <w:t xml:space="preserve">DoHAC (Department of Health and Aged Care) (2017), </w:t>
      </w:r>
      <w:hyperlink r:id="rId47" w:history="1">
        <w:r w:rsidRPr="00192F08">
          <w:rPr>
            <w:rStyle w:val="Hyperlink"/>
          </w:rPr>
          <w:t>National Cervical Screening Program – quality framework</w:t>
        </w:r>
      </w:hyperlink>
      <w:r w:rsidRPr="00192F08">
        <w:t>, DoHAC, Australian Government, accessed 26 September 2023.</w:t>
      </w:r>
    </w:p>
    <w:p w14:paraId="6CFC42FE" w14:textId="77777777" w:rsidR="00590F0B" w:rsidRPr="00192F08" w:rsidRDefault="00590F0B" w:rsidP="00D37F9E">
      <w:pPr>
        <w:pStyle w:val="Bibliography"/>
      </w:pPr>
      <w:r w:rsidRPr="00192F08">
        <w:t xml:space="preserve">DoHAC (2018), </w:t>
      </w:r>
      <w:hyperlink r:id="rId48" w:history="1">
        <w:r w:rsidRPr="00192F08">
          <w:rPr>
            <w:rStyle w:val="Hyperlink"/>
          </w:rPr>
          <w:t>National Immunisation Strategy for Australia 2019–2024</w:t>
        </w:r>
      </w:hyperlink>
      <w:r w:rsidRPr="00192F08">
        <w:t>, DoHAC, Australian Government, accessed 26 September 2023.</w:t>
      </w:r>
    </w:p>
    <w:p w14:paraId="24A2F5CC" w14:textId="77777777" w:rsidR="00590F0B" w:rsidRPr="00192F08" w:rsidRDefault="00590F0B" w:rsidP="00D37F9E">
      <w:pPr>
        <w:pStyle w:val="Bibliography"/>
      </w:pPr>
      <w:r w:rsidRPr="00192F08">
        <w:t xml:space="preserve">DoHAC (2019a), </w:t>
      </w:r>
      <w:hyperlink r:id="rId49">
        <w:r w:rsidRPr="00192F08">
          <w:rPr>
            <w:rStyle w:val="Hyperlink"/>
          </w:rPr>
          <w:t>National (Australia) HPV 3 dose vaccination coverage for all females turning 15 years of age, 2017</w:t>
        </w:r>
      </w:hyperlink>
      <w:r w:rsidRPr="00192F08">
        <w:t xml:space="preserve">, DoHAC, Australian Government, accessed 30 March 2022. </w:t>
      </w:r>
    </w:p>
    <w:p w14:paraId="1ABC5FC3" w14:textId="77777777" w:rsidR="00590F0B" w:rsidRPr="00192F08" w:rsidRDefault="00590F0B" w:rsidP="00D37F9E">
      <w:pPr>
        <w:pStyle w:val="Bibliography"/>
      </w:pPr>
      <w:r w:rsidRPr="00192F08">
        <w:t xml:space="preserve">DoHAC (2019b), </w:t>
      </w:r>
      <w:hyperlink r:id="rId50" w:history="1">
        <w:r w:rsidRPr="00192F08">
          <w:rPr>
            <w:rStyle w:val="Hyperlink"/>
          </w:rPr>
          <w:t>National (Australia) HPV 3 dose vaccination coverage for all males turning 15 years of age, 2013–2017</w:t>
        </w:r>
      </w:hyperlink>
      <w:r w:rsidRPr="00192F08">
        <w:t xml:space="preserve">, DoHAC, Australian Government, accessed 30 March 2022. </w:t>
      </w:r>
    </w:p>
    <w:p w14:paraId="47B28EB6" w14:textId="50B18051" w:rsidR="00590F0B" w:rsidRPr="00192F08" w:rsidRDefault="00590F0B" w:rsidP="00D37F9E">
      <w:pPr>
        <w:pStyle w:val="Bibliography"/>
      </w:pPr>
      <w:r w:rsidRPr="00192F08">
        <w:t xml:space="preserve">DoHAC (2021) </w:t>
      </w:r>
      <w:hyperlink r:id="rId51">
        <w:r w:rsidRPr="00192F08">
          <w:rPr>
            <w:rStyle w:val="Hyperlink"/>
          </w:rPr>
          <w:t>National Cervical Screening Program</w:t>
        </w:r>
        <w:r w:rsidR="005A4C76">
          <w:rPr>
            <w:rStyle w:val="Hyperlink"/>
          </w:rPr>
          <w:t xml:space="preserve"> – </w:t>
        </w:r>
        <w:r w:rsidRPr="00192F08">
          <w:rPr>
            <w:rStyle w:val="Hyperlink"/>
          </w:rPr>
          <w:t>About the National Cervical Screening Program,</w:t>
        </w:r>
      </w:hyperlink>
      <w:r w:rsidRPr="00192F08">
        <w:t xml:space="preserve"> DoHAC, Australian Government, accessed 30 March 2022.</w:t>
      </w:r>
    </w:p>
    <w:p w14:paraId="2819B1E9" w14:textId="77777777" w:rsidR="00590F0B" w:rsidRPr="00192F08" w:rsidRDefault="00590F0B" w:rsidP="00D37F9E">
      <w:pPr>
        <w:pStyle w:val="Bibliography"/>
      </w:pPr>
      <w:r w:rsidRPr="00192F08">
        <w:lastRenderedPageBreak/>
        <w:t xml:space="preserve">DoHAC (2023) </w:t>
      </w:r>
      <w:hyperlink r:id="rId52" w:anchor=":~:text=By%20implementing%20this%20strategy%2C%20Australian,of%20cervical%20cancer%20by%202035." w:history="1">
        <w:r w:rsidRPr="00192F08">
          <w:rPr>
            <w:rStyle w:val="Hyperlink"/>
          </w:rPr>
          <w:t>National Strategy for the Elimination of Cervical Cancer in Australia, DoHAC, Australian Government</w:t>
        </w:r>
      </w:hyperlink>
      <w:r w:rsidRPr="00192F08">
        <w:t>, accessed 23 November 2023.</w:t>
      </w:r>
    </w:p>
    <w:p w14:paraId="7CCB10A8" w14:textId="77777777" w:rsidR="00590F0B" w:rsidRPr="00192F08" w:rsidRDefault="00590F0B" w:rsidP="00D37F9E">
      <w:pPr>
        <w:pStyle w:val="Bibliography"/>
      </w:pPr>
      <w:r w:rsidRPr="00192F08">
        <w:t xml:space="preserve">Grulich AE, Jin F, Conway EL, Stein AN, Hocking J. Cancers attributable to human papillomavirus infection. Sex Health. 2010 Sep;7(3):244-52. </w:t>
      </w:r>
      <w:proofErr w:type="spellStart"/>
      <w:r w:rsidRPr="00192F08">
        <w:t>doi</w:t>
      </w:r>
      <w:proofErr w:type="spellEnd"/>
      <w:r w:rsidRPr="00192F08">
        <w:t>: 10.1071/SH10020. PMID: 20719211.</w:t>
      </w:r>
    </w:p>
    <w:p w14:paraId="154AF525" w14:textId="77777777" w:rsidR="00590F0B" w:rsidRPr="00192F08" w:rsidRDefault="00590F0B" w:rsidP="00D37F9E">
      <w:pPr>
        <w:pStyle w:val="Bibliography"/>
      </w:pPr>
      <w:r w:rsidRPr="00192F08">
        <w:t>Hawkes D (2018), Human papillomavirus testing as part of the renewed National Cervical Screening Program. Australian Journal for General Practitioners, The Royal Australian College of General Practitioners (RACGP), accessed 23 November 2023.</w:t>
      </w:r>
    </w:p>
    <w:p w14:paraId="77AB4682" w14:textId="77777777" w:rsidR="00590F0B" w:rsidRPr="00192F08" w:rsidRDefault="00590F0B" w:rsidP="00D37F9E">
      <w:pPr>
        <w:pStyle w:val="Bibliography"/>
      </w:pPr>
      <w:r w:rsidRPr="00192F08">
        <w:t xml:space="preserve">Hocking JS, S. A., Conway EL, Regan D, Grulich A, Law M, Brotherton JM, (2011). "Head and neck cancer in Australia between 1982 and 2005 show increasing incidence of potentially HPV-associated oropharyngeal cancers." Br J Cancer 2011 Mar 1;104(5):886-91. </w:t>
      </w:r>
      <w:proofErr w:type="spellStart"/>
      <w:r w:rsidRPr="00192F08">
        <w:t>doi</w:t>
      </w:r>
      <w:proofErr w:type="spellEnd"/>
      <w:r w:rsidRPr="00192F08">
        <w:t>: 10.1038/sj.bjc.6606091.</w:t>
      </w:r>
    </w:p>
    <w:p w14:paraId="00BCE0AB" w14:textId="77777777" w:rsidR="00590F0B" w:rsidRPr="00192F08" w:rsidRDefault="00590F0B" w:rsidP="00D37F9E">
      <w:pPr>
        <w:pStyle w:val="Bibliography"/>
      </w:pPr>
      <w:r w:rsidRPr="00192F08">
        <w:t xml:space="preserve">IARC Working Group on the Evaluation of Carcinogenic Risks to Humans. Biological agents. IARC </w:t>
      </w:r>
      <w:proofErr w:type="spellStart"/>
      <w:r w:rsidRPr="00192F08">
        <w:t>Monogr</w:t>
      </w:r>
      <w:proofErr w:type="spellEnd"/>
      <w:r w:rsidRPr="00192F08">
        <w:t xml:space="preserve"> Eval </w:t>
      </w:r>
      <w:proofErr w:type="spellStart"/>
      <w:r w:rsidRPr="00192F08">
        <w:t>Carcinog</w:t>
      </w:r>
      <w:proofErr w:type="spellEnd"/>
      <w:r w:rsidRPr="00192F08">
        <w:t xml:space="preserve"> Risks Hum. 2012;100(Pt B):1-441. PMID: 23189750; PMCID: PMC4781184.</w:t>
      </w:r>
    </w:p>
    <w:p w14:paraId="6903A1E9" w14:textId="77777777" w:rsidR="00590F0B" w:rsidRPr="00192F08" w:rsidRDefault="00590F0B" w:rsidP="00D37F9E">
      <w:pPr>
        <w:pStyle w:val="Bibliography"/>
      </w:pPr>
      <w:r w:rsidRPr="00192F08">
        <w:t xml:space="preserve">Kirby Institute (2018), </w:t>
      </w:r>
      <w:hyperlink r:id="rId53" w:history="1">
        <w:r w:rsidRPr="00192F08">
          <w:rPr>
            <w:rStyle w:val="Hyperlink"/>
          </w:rPr>
          <w:t>HIV, viral hepatitis and sexually transmissible infections in Australia, Annual Surveillance Report 2018,</w:t>
        </w:r>
      </w:hyperlink>
      <w:r w:rsidRPr="00192F08">
        <w:t xml:space="preserve"> Kirby Institute, UNSW, accessed 30 March 2022. </w:t>
      </w:r>
    </w:p>
    <w:p w14:paraId="4B6764C7" w14:textId="77777777" w:rsidR="00590F0B" w:rsidRPr="00192F08" w:rsidRDefault="00590F0B" w:rsidP="00D37F9E">
      <w:pPr>
        <w:pStyle w:val="Bibliography"/>
      </w:pPr>
      <w:r w:rsidRPr="00192F08">
        <w:t xml:space="preserve">Kirby Institute (2020), </w:t>
      </w:r>
      <w:hyperlink r:id="rId54" w:history="1">
        <w:r w:rsidRPr="00192F08">
          <w:rPr>
            <w:rStyle w:val="Hyperlink"/>
          </w:rPr>
          <w:t>National update on HIV, viral hepatitis and sexually transmissible infections in Australia: 2009–2018</w:t>
        </w:r>
      </w:hyperlink>
      <w:r w:rsidRPr="00192F08">
        <w:t xml:space="preserve"> Kirby Institute, UNSW, accessed 30 March 2022. </w:t>
      </w:r>
    </w:p>
    <w:p w14:paraId="5891F245" w14:textId="77777777" w:rsidR="00590F0B" w:rsidRPr="00192F08" w:rsidRDefault="00590F0B" w:rsidP="00D37F9E">
      <w:pPr>
        <w:pStyle w:val="Bibliography"/>
      </w:pPr>
      <w:r w:rsidRPr="00192F08">
        <w:t xml:space="preserve">Kirby Institute (2022), </w:t>
      </w:r>
      <w:hyperlink r:id="rId55" w:history="1">
        <w:r w:rsidRPr="00192F08">
          <w:rPr>
            <w:rStyle w:val="Hyperlink"/>
          </w:rPr>
          <w:t>HIV, viral hepatitis and sexually transmissible infections in Australia, Annual Surveillance Report 2022</w:t>
        </w:r>
      </w:hyperlink>
      <w:r w:rsidRPr="00192F08">
        <w:t>, Kirby Institute, UNSW, accessed 30 August 2023.</w:t>
      </w:r>
    </w:p>
    <w:p w14:paraId="720821F2" w14:textId="77777777" w:rsidR="00590F0B" w:rsidRPr="00192F08" w:rsidRDefault="00590F0B" w:rsidP="00D37F9E">
      <w:pPr>
        <w:pStyle w:val="Bibliography"/>
      </w:pPr>
      <w:proofErr w:type="spellStart"/>
      <w:r w:rsidRPr="00192F08">
        <w:t>Lépine</w:t>
      </w:r>
      <w:proofErr w:type="spellEnd"/>
      <w:r w:rsidRPr="00192F08">
        <w:t xml:space="preserve"> C, Voron T, Berrebi D, </w:t>
      </w:r>
      <w:proofErr w:type="spellStart"/>
      <w:r w:rsidRPr="00192F08">
        <w:t>Mandavit</w:t>
      </w:r>
      <w:proofErr w:type="spellEnd"/>
      <w:r w:rsidRPr="00192F08">
        <w:t xml:space="preserve"> M, Nervo M, </w:t>
      </w:r>
      <w:proofErr w:type="spellStart"/>
      <w:r w:rsidRPr="00192F08">
        <w:t>Outh</w:t>
      </w:r>
      <w:proofErr w:type="spellEnd"/>
      <w:r w:rsidRPr="00192F08">
        <w:t xml:space="preserve">-Gauer S, </w:t>
      </w:r>
      <w:proofErr w:type="spellStart"/>
      <w:r w:rsidRPr="00192F08">
        <w:t>Péré</w:t>
      </w:r>
      <w:proofErr w:type="spellEnd"/>
      <w:r w:rsidRPr="00192F08">
        <w:t xml:space="preserve"> H, Tournier L, Teissier N, </w:t>
      </w:r>
      <w:proofErr w:type="spellStart"/>
      <w:r w:rsidRPr="00192F08">
        <w:t>Tartour</w:t>
      </w:r>
      <w:proofErr w:type="spellEnd"/>
      <w:r w:rsidRPr="00192F08">
        <w:t xml:space="preserve"> E, </w:t>
      </w:r>
      <w:proofErr w:type="spellStart"/>
      <w:r w:rsidRPr="00192F08">
        <w:t>Leboulanger</w:t>
      </w:r>
      <w:proofErr w:type="spellEnd"/>
      <w:r w:rsidRPr="00192F08">
        <w:t xml:space="preserve"> N, Galmiche L, </w:t>
      </w:r>
      <w:proofErr w:type="spellStart"/>
      <w:proofErr w:type="gramStart"/>
      <w:r w:rsidRPr="00192F08">
        <w:t>Badoual</w:t>
      </w:r>
      <w:proofErr w:type="spellEnd"/>
      <w:r w:rsidRPr="00192F08">
        <w:t xml:space="preserve">  (</w:t>
      </w:r>
      <w:proofErr w:type="gramEnd"/>
      <w:r w:rsidRPr="00192F08">
        <w:t xml:space="preserve">2020), ‘Juvenile-Onset Recurrent Respiratory Papillomatosis Aggressiveness: In Situ Study of the Level of Transcription of HPV E6 and E7’. Cancers (Basel). 2020 Oct 1;12(10):2836. </w:t>
      </w:r>
      <w:proofErr w:type="spellStart"/>
      <w:r w:rsidRPr="00192F08">
        <w:t>doi</w:t>
      </w:r>
      <w:proofErr w:type="spellEnd"/>
      <w:r w:rsidRPr="00192F08">
        <w:t>: 10.3390/cancers12102836.</w:t>
      </w:r>
    </w:p>
    <w:p w14:paraId="3D0B3BCC" w14:textId="77777777" w:rsidR="00590F0B" w:rsidRPr="00192F08" w:rsidRDefault="00590F0B" w:rsidP="00D37F9E">
      <w:pPr>
        <w:pStyle w:val="Bibliography"/>
      </w:pPr>
      <w:r w:rsidRPr="00192F08">
        <w:t xml:space="preserve">Lew JB, Simms KT, Smith MA, Hall M, Kang YJ, Xu XM, Caruana M, </w:t>
      </w:r>
      <w:proofErr w:type="spellStart"/>
      <w:r w:rsidRPr="00192F08">
        <w:t>Velentzis</w:t>
      </w:r>
      <w:proofErr w:type="spellEnd"/>
      <w:r w:rsidRPr="00192F08">
        <w:t xml:space="preserve"> LS, Bessell T, Saville M, Hammond I, </w:t>
      </w:r>
      <w:proofErr w:type="spellStart"/>
      <w:r w:rsidRPr="00192F08">
        <w:t>Canfell</w:t>
      </w:r>
      <w:proofErr w:type="spellEnd"/>
      <w:r w:rsidRPr="00192F08">
        <w:t xml:space="preserve"> K (2017), ‘Primary HPV testing versus cytology-based cervical screening in women in Australia vaccinated for HPV and unvaccinated: effectiveness and economic assessment for the National Cervical Screening Program’ Lancet Public Health. 2017 Feb;2(2</w:t>
      </w:r>
      <w:proofErr w:type="gramStart"/>
      <w:r w:rsidRPr="00192F08">
        <w:t>):e</w:t>
      </w:r>
      <w:proofErr w:type="gramEnd"/>
      <w:r w:rsidRPr="00192F08">
        <w:t xml:space="preserve">96-e107. </w:t>
      </w:r>
      <w:proofErr w:type="spellStart"/>
      <w:r w:rsidRPr="00192F08">
        <w:t>doi</w:t>
      </w:r>
      <w:proofErr w:type="spellEnd"/>
      <w:r w:rsidRPr="00192F08">
        <w:t>: 10.1016/S2468-2667(17)30007-5.</w:t>
      </w:r>
    </w:p>
    <w:p w14:paraId="7301D6C0" w14:textId="77777777" w:rsidR="00590F0B" w:rsidRPr="00192F08" w:rsidRDefault="00590F0B" w:rsidP="00D37F9E">
      <w:pPr>
        <w:pStyle w:val="Bibliography"/>
      </w:pPr>
      <w:r w:rsidRPr="00192F08">
        <w:t xml:space="preserve">Machalek DA, Garland SM, Brotherton JML, Bateson D, McNamee K, Stewart M, Skinner SR, Liu B, Cornall AM, Kaldor JM and Tabrizi SN (2018), 'Very low prevalence of vaccine </w:t>
      </w:r>
      <w:r w:rsidRPr="00192F08">
        <w:lastRenderedPageBreak/>
        <w:t xml:space="preserve">human papillomavirus types among 18 to 35 year old Australia women 9 years following implementation of vaccination', Journal of Infectious Disease 217(10):1590–1600, </w:t>
      </w:r>
      <w:proofErr w:type="spellStart"/>
      <w:r w:rsidRPr="00192F08">
        <w:t>doi</w:t>
      </w:r>
      <w:proofErr w:type="spellEnd"/>
      <w:r w:rsidRPr="00192F08">
        <w:t>: 10.1093/</w:t>
      </w:r>
      <w:proofErr w:type="spellStart"/>
      <w:r w:rsidRPr="00192F08">
        <w:t>infdis</w:t>
      </w:r>
      <w:proofErr w:type="spellEnd"/>
      <w:r w:rsidRPr="00192F08">
        <w:t>/jiy075.</w:t>
      </w:r>
    </w:p>
    <w:p w14:paraId="7BD4B2F0" w14:textId="7F4E01E5" w:rsidR="00590F0B" w:rsidRPr="00590F0B" w:rsidRDefault="00590F0B" w:rsidP="00D37F9E">
      <w:pPr>
        <w:pStyle w:val="Bibliography"/>
        <w:rPr>
          <w:rFonts w:eastAsia="Calibri" w:cs="Arial"/>
          <w:szCs w:val="20"/>
        </w:rPr>
      </w:pPr>
      <w:r w:rsidRPr="00590F0B">
        <w:rPr>
          <w:rFonts w:eastAsia="Calibri" w:cs="Arial"/>
          <w:szCs w:val="20"/>
        </w:rPr>
        <w:t xml:space="preserve">Machalek DA, C. E., Garland SM, Wigan R, Cornall AM, Fairley CK, Kaldor JM, Hocking JS, Williams H, McNulty A, Bell C, Marshall L, Ooi C, Chen MY, Tabrizi SN, (2017). "Human Papillomavirus Prevalence in Unvaccinated Heterosexual Men After a National Female Vaccination Program." J Infect Dis 5;215(2):202-208. </w:t>
      </w:r>
      <w:proofErr w:type="spellStart"/>
      <w:r w:rsidRPr="00590F0B">
        <w:rPr>
          <w:rFonts w:eastAsia="Calibri" w:cs="Arial"/>
          <w:szCs w:val="20"/>
        </w:rPr>
        <w:t>doi</w:t>
      </w:r>
      <w:proofErr w:type="spellEnd"/>
      <w:r w:rsidRPr="00590F0B">
        <w:rPr>
          <w:rFonts w:eastAsia="Calibri" w:cs="Arial"/>
          <w:szCs w:val="20"/>
        </w:rPr>
        <w:t>: 10.1093/</w:t>
      </w:r>
      <w:proofErr w:type="spellStart"/>
      <w:r w:rsidRPr="00590F0B">
        <w:rPr>
          <w:rFonts w:eastAsia="Calibri" w:cs="Arial"/>
          <w:szCs w:val="20"/>
        </w:rPr>
        <w:t>infdis</w:t>
      </w:r>
      <w:proofErr w:type="spellEnd"/>
      <w:r w:rsidRPr="00590F0B">
        <w:rPr>
          <w:rFonts w:eastAsia="Calibri" w:cs="Arial"/>
          <w:szCs w:val="20"/>
        </w:rPr>
        <w:t>/jiw530. PMID: 27815379.</w:t>
      </w:r>
    </w:p>
    <w:p w14:paraId="4D2D8B5A" w14:textId="0D39BB9B" w:rsidR="00590F0B" w:rsidRPr="00590F0B" w:rsidRDefault="00590F0B" w:rsidP="00D37F9E">
      <w:pPr>
        <w:pStyle w:val="Bibliography"/>
        <w:rPr>
          <w:rFonts w:eastAsia="Calibri" w:cs="Arial"/>
          <w:szCs w:val="20"/>
        </w:rPr>
      </w:pPr>
      <w:r w:rsidRPr="00590F0B">
        <w:rPr>
          <w:rFonts w:eastAsia="Calibri" w:cs="Arial"/>
          <w:szCs w:val="20"/>
        </w:rPr>
        <w:t>Medical Services Advisory Committee (MSAC) (2014), MSAC Outcomes</w:t>
      </w:r>
      <w:r w:rsidR="005A4C76">
        <w:rPr>
          <w:rFonts w:eastAsia="Calibri" w:cs="Arial"/>
          <w:szCs w:val="20"/>
        </w:rPr>
        <w:t xml:space="preserve"> – </w:t>
      </w:r>
      <w:r w:rsidRPr="00590F0B">
        <w:rPr>
          <w:rFonts w:eastAsia="Calibri" w:cs="Arial"/>
          <w:szCs w:val="20"/>
        </w:rPr>
        <w:t>Application No. 1276</w:t>
      </w:r>
      <w:r w:rsidR="005A4C76">
        <w:rPr>
          <w:rFonts w:eastAsia="Calibri" w:cs="Arial"/>
          <w:szCs w:val="20"/>
        </w:rPr>
        <w:t xml:space="preserve"> – </w:t>
      </w:r>
      <w:r w:rsidRPr="00590F0B">
        <w:rPr>
          <w:rFonts w:eastAsia="Calibri" w:cs="Arial"/>
          <w:szCs w:val="20"/>
        </w:rPr>
        <w:t>Renewal of the National Cervical Screening Program.</w:t>
      </w:r>
    </w:p>
    <w:p w14:paraId="4A6A53D8" w14:textId="360ACD6F" w:rsidR="00590F0B" w:rsidRPr="00590F0B" w:rsidRDefault="00590F0B" w:rsidP="00D37F9E">
      <w:pPr>
        <w:pStyle w:val="Bibliography"/>
        <w:rPr>
          <w:rFonts w:eastAsia="Calibri" w:cs="Arial"/>
          <w:szCs w:val="20"/>
        </w:rPr>
      </w:pPr>
      <w:r w:rsidRPr="00590F0B">
        <w:rPr>
          <w:rFonts w:eastAsia="Calibri" w:cs="Arial"/>
          <w:szCs w:val="20"/>
        </w:rPr>
        <w:t xml:space="preserve">National Institute for Rare Diseases (NORD) (2023), </w:t>
      </w:r>
      <w:hyperlink r:id="rId56" w:history="1">
        <w:r w:rsidRPr="00590F0B">
          <w:rPr>
            <w:rStyle w:val="Hyperlink"/>
            <w:rFonts w:eastAsia="Calibri" w:cs="Arial"/>
            <w:szCs w:val="20"/>
          </w:rPr>
          <w:t>Recurrent Respiratory Papillomatosis</w:t>
        </w:r>
      </w:hyperlink>
      <w:r w:rsidRPr="00590F0B">
        <w:rPr>
          <w:rFonts w:eastAsia="Calibri" w:cs="Arial"/>
          <w:szCs w:val="20"/>
        </w:rPr>
        <w:t>, NORD, accessed 29 November 2023.</w:t>
      </w:r>
    </w:p>
    <w:p w14:paraId="6C1F72DD" w14:textId="77777777" w:rsidR="00590F0B" w:rsidRPr="00192F08" w:rsidRDefault="00590F0B" w:rsidP="00D37F9E">
      <w:pPr>
        <w:pStyle w:val="Bibliography"/>
      </w:pPr>
      <w:r w:rsidRPr="00192F08">
        <w:t xml:space="preserve">National Institute on Deafness and Other Communication Disorders (NIDCD) (2017), </w:t>
      </w:r>
      <w:hyperlink r:id="rId57" w:history="1">
        <w:r w:rsidRPr="00192F08">
          <w:rPr>
            <w:rStyle w:val="Hyperlink"/>
          </w:rPr>
          <w:t>Recurrent Respiratory Papillomatosis or Laryngeal Papillomatosis</w:t>
        </w:r>
      </w:hyperlink>
      <w:r w:rsidRPr="00192F08">
        <w:t>, NIDCD, accessed 28 November 2023.</w:t>
      </w:r>
    </w:p>
    <w:p w14:paraId="0D86699F" w14:textId="77777777" w:rsidR="00590F0B" w:rsidRPr="00192F08" w:rsidRDefault="00590F0B" w:rsidP="00D37F9E">
      <w:pPr>
        <w:pStyle w:val="Bibliography"/>
      </w:pPr>
      <w:r w:rsidRPr="00192F08">
        <w:t xml:space="preserve">NCIRS (National Centre for Immunisation Research and Surveillance) (2021) Impact evaluation of Australian national human papillomavirus vaccination program, NCIRS, Australian Government, accessed 30 March 2022. </w:t>
      </w:r>
    </w:p>
    <w:p w14:paraId="788EAA70" w14:textId="77777777" w:rsidR="00590F0B" w:rsidRPr="00192F08" w:rsidRDefault="00590F0B" w:rsidP="00D37F9E">
      <w:pPr>
        <w:pStyle w:val="Bibliography"/>
      </w:pPr>
      <w:r w:rsidRPr="00192F08">
        <w:t>NCIRS (2023) “Annual Immunisation Coverage Report 2022”, NCIRS, Australian Government, accessed 19 December 2023.</w:t>
      </w:r>
    </w:p>
    <w:p w14:paraId="142D74F0" w14:textId="538F33C4" w:rsidR="00590F0B" w:rsidRPr="00192F08" w:rsidRDefault="00590F0B" w:rsidP="00D37F9E">
      <w:pPr>
        <w:pStyle w:val="Bibliography"/>
      </w:pPr>
      <w:r w:rsidRPr="00192F08">
        <w:t xml:space="preserve">NCSR (National Cervical Screening Register) (n.d.), </w:t>
      </w:r>
      <w:hyperlink r:id="rId58" w:history="1">
        <w:r w:rsidRPr="00192F08">
          <w:rPr>
            <w:rStyle w:val="Hyperlink"/>
          </w:rPr>
          <w:t>National Cancer Screening Register</w:t>
        </w:r>
        <w:r w:rsidR="005A4C76">
          <w:rPr>
            <w:rStyle w:val="Hyperlink"/>
          </w:rPr>
          <w:t xml:space="preserve"> – </w:t>
        </w:r>
        <w:r w:rsidRPr="00192F08">
          <w:rPr>
            <w:rStyle w:val="Hyperlink"/>
          </w:rPr>
          <w:t>About Us</w:t>
        </w:r>
      </w:hyperlink>
      <w:r w:rsidRPr="00192F08">
        <w:t>, NCSR, Australian Government, accessed 30 March 2022.</w:t>
      </w:r>
    </w:p>
    <w:p w14:paraId="2EEBE48B" w14:textId="77777777" w:rsidR="00590F0B" w:rsidRPr="00192F08" w:rsidRDefault="00590F0B" w:rsidP="00D37F9E">
      <w:pPr>
        <w:pStyle w:val="Bibliography"/>
      </w:pPr>
      <w:r w:rsidRPr="00192F08">
        <w:t xml:space="preserve">Novakovic D, Cheng ATL, </w:t>
      </w:r>
      <w:proofErr w:type="spellStart"/>
      <w:r w:rsidRPr="00192F08">
        <w:t>Baguley</w:t>
      </w:r>
      <w:proofErr w:type="spellEnd"/>
      <w:r w:rsidRPr="00192F08">
        <w:t xml:space="preserve"> K, Walker P, Harrison H, Soma M, Malloy M and Brotherton JML (2016), 'Juvenile recurrent respiratory papillomatosis: 10- year audit and Australian prevalence estimates', Laryngoscope 126(12):2827–2832, </w:t>
      </w:r>
      <w:proofErr w:type="spellStart"/>
      <w:r w:rsidRPr="00192F08">
        <w:t>doi</w:t>
      </w:r>
      <w:proofErr w:type="spellEnd"/>
      <w:r w:rsidRPr="00192F08">
        <w:t>: 10.1002/lary.26005</w:t>
      </w:r>
    </w:p>
    <w:p w14:paraId="2AAB7BAB" w14:textId="77777777" w:rsidR="00590F0B" w:rsidRPr="00192F08" w:rsidRDefault="00590F0B" w:rsidP="00D37F9E">
      <w:pPr>
        <w:pStyle w:val="Bibliography"/>
      </w:pPr>
      <w:r w:rsidRPr="00192F08">
        <w:t xml:space="preserve">Novakovic D, Cheng ATL, </w:t>
      </w:r>
      <w:proofErr w:type="spellStart"/>
      <w:r w:rsidRPr="00192F08">
        <w:t>Zurynski</w:t>
      </w:r>
      <w:proofErr w:type="spellEnd"/>
      <w:r w:rsidRPr="00192F08">
        <w:t xml:space="preserve"> Y, Booy R, Walk PJ, Berkowitz R, Harrison H, Black R, Perry C, </w:t>
      </w:r>
      <w:proofErr w:type="spellStart"/>
      <w:r w:rsidRPr="00192F08">
        <w:t>Vijayasekaran</w:t>
      </w:r>
      <w:proofErr w:type="spellEnd"/>
      <w:r w:rsidRPr="00192F08">
        <w:t xml:space="preserve"> S, Wabnitz D, Burns H, Tabrizi SN, Garland SM, Elliott E and Brotherton JML (2018), 'A prospective study of the incidence of Juvenile Onset Recurrent Respiratory Papillomatosis after implementation of a national HPV vaccination program', Journal of Infectious Disease 217(2): 208–212, </w:t>
      </w:r>
      <w:proofErr w:type="spellStart"/>
      <w:r w:rsidRPr="00192F08">
        <w:t>doi</w:t>
      </w:r>
      <w:proofErr w:type="spellEnd"/>
      <w:r w:rsidRPr="00192F08">
        <w:t>: 10.1093/</w:t>
      </w:r>
      <w:proofErr w:type="spellStart"/>
      <w:r w:rsidRPr="00192F08">
        <w:t>infdis</w:t>
      </w:r>
      <w:proofErr w:type="spellEnd"/>
      <w:r w:rsidRPr="00192F08">
        <w:t>/jix498.</w:t>
      </w:r>
    </w:p>
    <w:p w14:paraId="0FB41A6D" w14:textId="77777777" w:rsidR="00590F0B" w:rsidRPr="00192F08" w:rsidRDefault="00590F0B" w:rsidP="00D37F9E">
      <w:pPr>
        <w:pStyle w:val="Bibliography"/>
      </w:pPr>
      <w:r w:rsidRPr="00192F08">
        <w:t xml:space="preserve">Patel C, Brotherton JML, Pillsbury A, Jayasinghe S, Donovan B, Macartney K and Marshall H (2018) 'The impact of 10 years of human papillomavirus (HPV) vaccination in Australia: </w:t>
      </w:r>
      <w:r w:rsidRPr="00192F08">
        <w:lastRenderedPageBreak/>
        <w:t>what additional disease burden will a nonavalent vaccine prevent?', Eurosurveillance 23(41</w:t>
      </w:r>
      <w:proofErr w:type="gramStart"/>
      <w:r w:rsidRPr="00192F08">
        <w:t>):</w:t>
      </w:r>
      <w:proofErr w:type="spellStart"/>
      <w:r w:rsidRPr="00192F08">
        <w:t>pii</w:t>
      </w:r>
      <w:proofErr w:type="spellEnd"/>
      <w:proofErr w:type="gramEnd"/>
      <w:r w:rsidRPr="00192F08">
        <w:t xml:space="preserve">–1700737, </w:t>
      </w:r>
      <w:proofErr w:type="spellStart"/>
      <w:r w:rsidRPr="00192F08">
        <w:t>doi</w:t>
      </w:r>
      <w:proofErr w:type="spellEnd"/>
      <w:r w:rsidRPr="00192F08">
        <w:t>: 10.2807/1560-7917.ES.2018.23.41.1700737.</w:t>
      </w:r>
    </w:p>
    <w:p w14:paraId="0B669022" w14:textId="285BE426" w:rsidR="00590F0B" w:rsidRPr="00192F08" w:rsidRDefault="00590F0B" w:rsidP="00D37F9E">
      <w:pPr>
        <w:pStyle w:val="Bibliography"/>
      </w:pPr>
      <w:proofErr w:type="spellStart"/>
      <w:r w:rsidRPr="00192F08">
        <w:t>Senkomago</w:t>
      </w:r>
      <w:proofErr w:type="spellEnd"/>
      <w:r w:rsidRPr="00192F08">
        <w:t xml:space="preserve"> V, H. S., Thomas CC, Mix JM, Markowitz LE, Saraiya M., (2019). "Human Papillomavirus-Attributable Cancers</w:t>
      </w:r>
      <w:r w:rsidR="005A4C76">
        <w:t xml:space="preserve"> – </w:t>
      </w:r>
      <w:r w:rsidRPr="00192F08">
        <w:t xml:space="preserve">United States, 2012-2016." MMWR </w:t>
      </w:r>
      <w:proofErr w:type="spellStart"/>
      <w:r w:rsidRPr="00192F08">
        <w:t>Morb</w:t>
      </w:r>
      <w:proofErr w:type="spellEnd"/>
      <w:r w:rsidRPr="00192F08">
        <w:t xml:space="preserve"> Mortal </w:t>
      </w:r>
      <w:proofErr w:type="spellStart"/>
      <w:r w:rsidRPr="00192F08">
        <w:t>Wkly</w:t>
      </w:r>
      <w:proofErr w:type="spellEnd"/>
      <w:r w:rsidRPr="00192F08">
        <w:t xml:space="preserve"> Rep. Aug 23;68(33):724-728. </w:t>
      </w:r>
      <w:proofErr w:type="spellStart"/>
      <w:r w:rsidRPr="00192F08">
        <w:t>doi</w:t>
      </w:r>
      <w:proofErr w:type="spellEnd"/>
      <w:r w:rsidRPr="00192F08">
        <w:t>: 10.15585/mmwr.mm6833a3.</w:t>
      </w:r>
    </w:p>
    <w:p w14:paraId="78B4153B" w14:textId="77777777" w:rsidR="00590F0B" w:rsidRPr="00192F08" w:rsidRDefault="00590F0B" w:rsidP="00D37F9E">
      <w:pPr>
        <w:pStyle w:val="Bibliography"/>
      </w:pPr>
      <w:r w:rsidRPr="00192F08">
        <w:t>Teutsch SM, Nunez CA, Morris A, Elliott EJ (2023) ‘Australian Paediatric Surveillance Unit (APSU) Annual Surveillance Report 2022,’ Communicable Diseases Intelligence, Year 2023, Volume 47.</w:t>
      </w:r>
    </w:p>
    <w:p w14:paraId="2F9F7112" w14:textId="77777777" w:rsidR="00590F0B" w:rsidRPr="00192F08" w:rsidRDefault="00590F0B" w:rsidP="00D37F9E">
      <w:pPr>
        <w:pStyle w:val="Bibliography"/>
      </w:pPr>
      <w:r w:rsidRPr="00192F08">
        <w:t xml:space="preserve">TGA (Therapeutic Goods Administration) (2010) </w:t>
      </w:r>
      <w:hyperlink r:id="rId59" w:history="1">
        <w:r w:rsidRPr="00192F08">
          <w:rPr>
            <w:rStyle w:val="Hyperlink"/>
          </w:rPr>
          <w:t>Gardasil (human papillomavirus vaccine),</w:t>
        </w:r>
      </w:hyperlink>
      <w:r w:rsidRPr="00192F08">
        <w:t xml:space="preserve"> TGA, Australian Government, accessed 30 March 2022.</w:t>
      </w:r>
    </w:p>
    <w:p w14:paraId="12C1841A" w14:textId="77777777" w:rsidR="00590F0B" w:rsidRPr="00192F08" w:rsidRDefault="00590F0B" w:rsidP="00D37F9E">
      <w:pPr>
        <w:pStyle w:val="Bibliography"/>
      </w:pPr>
      <w:r w:rsidRPr="00192F08">
        <w:t xml:space="preserve">Wei F, Alberts CJ, Albuquerque A, Clifford GM (2023). Impact of Human Papillomavirus Vaccine Against Anal Human Papillomavirus Infection, Anal Intraepithelial Neoplasia, and Recurrence of Anal Intraepithelial Neoplasia: A Systematic Review and Meta-analysis. J Infect Dis. 2023 Nov 28;228(11):1496-1504. </w:t>
      </w:r>
      <w:proofErr w:type="spellStart"/>
      <w:r w:rsidRPr="00192F08">
        <w:t>doi</w:t>
      </w:r>
      <w:proofErr w:type="spellEnd"/>
      <w:r w:rsidRPr="00192F08">
        <w:t>: 10.1093/</w:t>
      </w:r>
      <w:proofErr w:type="spellStart"/>
      <w:r w:rsidRPr="00192F08">
        <w:t>infdis</w:t>
      </w:r>
      <w:proofErr w:type="spellEnd"/>
      <w:r w:rsidRPr="00192F08">
        <w:t xml:space="preserve">/jiad183. </w:t>
      </w:r>
    </w:p>
    <w:p w14:paraId="24F594A4" w14:textId="77777777" w:rsidR="00590F0B" w:rsidRPr="00192F08" w:rsidRDefault="00590F0B" w:rsidP="00D37F9E">
      <w:pPr>
        <w:pStyle w:val="Bibliography"/>
      </w:pPr>
      <w:r w:rsidRPr="00192F08">
        <w:t xml:space="preserve">WHO (World Health Organization) (2020) </w:t>
      </w:r>
      <w:hyperlink r:id="rId60" w:history="1">
        <w:r w:rsidRPr="00192F08">
          <w:rPr>
            <w:rStyle w:val="Hyperlink"/>
          </w:rPr>
          <w:t>Global strategy to accelerate the elimination of cervical cancer as a public health problem</w:t>
        </w:r>
      </w:hyperlink>
      <w:r w:rsidRPr="00192F08">
        <w:t>, Geneva: World Health Organization, accessed 29 August 2023</w:t>
      </w:r>
    </w:p>
    <w:p w14:paraId="7C541E15" w14:textId="77777777" w:rsidR="00590F0B" w:rsidRPr="00192F08" w:rsidRDefault="00590F0B" w:rsidP="00D37F9E">
      <w:pPr>
        <w:pStyle w:val="Bibliography"/>
      </w:pPr>
      <w:r w:rsidRPr="00192F08">
        <w:t xml:space="preserve">WHO (2020b) </w:t>
      </w:r>
      <w:hyperlink r:id="rId61" w:history="1">
        <w:r w:rsidRPr="00192F08">
          <w:rPr>
            <w:rStyle w:val="Hyperlink"/>
          </w:rPr>
          <w:t>HPV Vaccine Coverage Monitoring Manual</w:t>
        </w:r>
      </w:hyperlink>
      <w:r w:rsidRPr="00192F08">
        <w:t>, Geneva: World Health Organization, accessed 19 December 2023</w:t>
      </w:r>
    </w:p>
    <w:p w14:paraId="09384022" w14:textId="77777777" w:rsidR="00060C71" w:rsidRDefault="002F023F" w:rsidP="00590F0B">
      <w:pPr>
        <w:rPr>
          <w:rFonts w:cs="Arial"/>
          <w:szCs w:val="20"/>
        </w:rPr>
        <w:sectPr w:rsidR="00060C71" w:rsidSect="00121E5A">
          <w:footerReference w:type="default" r:id="rId62"/>
          <w:pgSz w:w="11900" w:h="16840" w:code="9"/>
          <w:pgMar w:top="1474" w:right="934" w:bottom="1474" w:left="1474" w:header="709" w:footer="425" w:gutter="0"/>
          <w:cols w:space="708"/>
          <w:docGrid w:linePitch="360"/>
        </w:sectPr>
      </w:pPr>
      <w:r w:rsidRPr="00590F0B">
        <w:rPr>
          <w:rFonts w:cs="Arial"/>
          <w:szCs w:val="20"/>
        </w:rPr>
        <w:br w:type="page"/>
      </w:r>
    </w:p>
    <w:p w14:paraId="33A53FA4" w14:textId="7A5FE3C4" w:rsidR="00392A4D" w:rsidRPr="00BF1A21" w:rsidRDefault="00392A4D" w:rsidP="001C3090"/>
    <w:sectPr w:rsidR="00392A4D" w:rsidRPr="00BF1A21" w:rsidSect="00121E5A">
      <w:headerReference w:type="default" r:id="rId63"/>
      <w:footerReference w:type="default" r:id="rId64"/>
      <w:pgSz w:w="11900" w:h="16840" w:code="9"/>
      <w:pgMar w:top="1474" w:right="9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3ADD3" w14:textId="77777777" w:rsidR="00ED2E9E" w:rsidRDefault="00ED2E9E" w:rsidP="00BD640A">
      <w:pPr>
        <w:spacing w:after="0"/>
      </w:pPr>
      <w:r>
        <w:separator/>
      </w:r>
    </w:p>
  </w:endnote>
  <w:endnote w:type="continuationSeparator" w:id="0">
    <w:p w14:paraId="6631A0E7" w14:textId="77777777" w:rsidR="00ED2E9E" w:rsidRDefault="00ED2E9E" w:rsidP="00BD64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C1D3" w14:textId="01DAB940" w:rsidR="00230422" w:rsidRDefault="00230422">
    <w:pPr>
      <w:pStyle w:val="Footer"/>
    </w:pPr>
    <w:r>
      <w:rPr>
        <w:noProof/>
      </w:rPr>
      <mc:AlternateContent>
        <mc:Choice Requires="wps">
          <w:drawing>
            <wp:anchor distT="0" distB="0" distL="0" distR="0" simplePos="0" relativeHeight="251691008" behindDoc="0" locked="0" layoutInCell="1" allowOverlap="1" wp14:anchorId="3F018D37" wp14:editId="3470653E">
              <wp:simplePos x="635" y="635"/>
              <wp:positionH relativeFrom="page">
                <wp:align>center</wp:align>
              </wp:positionH>
              <wp:positionV relativeFrom="page">
                <wp:align>bottom</wp:align>
              </wp:positionV>
              <wp:extent cx="622300" cy="452755"/>
              <wp:effectExtent l="0" t="0" r="6350" b="0"/>
              <wp:wrapNone/>
              <wp:docPr id="39269969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1066E708" w14:textId="56B9D667"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18D37" id="_x0000_t202" coordsize="21600,21600" o:spt="202" path="m,l,21600r21600,l21600,xe">
              <v:stroke joinstyle="miter"/>
              <v:path gradientshapeok="t" o:connecttype="rect"/>
            </v:shapetype>
            <v:shape id="Text Box 8" o:spid="_x0000_s1027" type="#_x0000_t202" alt="OFFICIAL" style="position:absolute;margin-left:0;margin-top:0;width:49pt;height:35.6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1066E708" w14:textId="56B9D667"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68E7" w14:textId="7D0565F1" w:rsidR="00121E5A" w:rsidRPr="00CA11E3" w:rsidRDefault="00697388" w:rsidP="00121E5A">
    <w:pPr>
      <w:pStyle w:val="Footer"/>
      <w:tabs>
        <w:tab w:val="clear" w:pos="4513"/>
        <w:tab w:val="clear" w:pos="9026"/>
        <w:tab w:val="right" w:pos="13892"/>
      </w:tabs>
      <w:rPr>
        <w:color w:val="FFFFFF" w:themeColor="background1"/>
      </w:rPr>
    </w:pPr>
    <w:r>
      <w:rPr>
        <w:noProof/>
        <w:color w:val="FFFFFF" w:themeColor="background1"/>
      </w:rPr>
      <w:drawing>
        <wp:anchor distT="0" distB="0" distL="114300" distR="114300" simplePos="0" relativeHeight="251699200" behindDoc="1" locked="0" layoutInCell="1" allowOverlap="1" wp14:anchorId="7830FB00" wp14:editId="3448993D">
          <wp:simplePos x="0" y="0"/>
          <wp:positionH relativeFrom="column">
            <wp:posOffset>-927198</wp:posOffset>
          </wp:positionH>
          <wp:positionV relativeFrom="paragraph">
            <wp:posOffset>-96129</wp:posOffset>
          </wp:positionV>
          <wp:extent cx="7650268" cy="662647"/>
          <wp:effectExtent l="0" t="0" r="0" b="4445"/>
          <wp:wrapNone/>
          <wp:docPr id="412464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64200" name="Picture 412464200"/>
                  <pic:cNvPicPr/>
                </pic:nvPicPr>
                <pic:blipFill>
                  <a:blip r:embed="rId1">
                    <a:extLst>
                      <a:ext uri="{28A0092B-C50C-407E-A947-70E740481C1C}">
                        <a14:useLocalDpi xmlns:a14="http://schemas.microsoft.com/office/drawing/2010/main" val="0"/>
                      </a:ext>
                    </a:extLst>
                  </a:blip>
                  <a:stretch>
                    <a:fillRect/>
                  </a:stretch>
                </pic:blipFill>
                <pic:spPr>
                  <a:xfrm>
                    <a:off x="0" y="0"/>
                    <a:ext cx="7724148" cy="669046"/>
                  </a:xfrm>
                  <a:prstGeom prst="rect">
                    <a:avLst/>
                  </a:prstGeom>
                </pic:spPr>
              </pic:pic>
            </a:graphicData>
          </a:graphic>
          <wp14:sizeRelH relativeFrom="margin">
            <wp14:pctWidth>0</wp14:pctWidth>
          </wp14:sizeRelH>
          <wp14:sizeRelV relativeFrom="margin">
            <wp14:pctHeight>0</wp14:pctHeight>
          </wp14:sizeRelV>
        </wp:anchor>
      </w:drawing>
    </w:r>
    <w:r w:rsidR="00121E5A" w:rsidRPr="00121E5A">
      <w:rPr>
        <w:color w:val="FFFFFF" w:themeColor="background1"/>
      </w:rPr>
      <w:t>Interim Australian Centre for Disease Control</w:t>
    </w:r>
    <w:r w:rsidR="00121E5A" w:rsidRPr="00121E5A">
      <w:rPr>
        <w:color w:val="FFFFFF" w:themeColor="background1"/>
      </w:rPr>
      <w:tab/>
    </w:r>
    <w:r w:rsidR="00121E5A" w:rsidRPr="00121E5A">
      <w:rPr>
        <w:color w:val="FFFFFF" w:themeColor="background1"/>
      </w:rPr>
      <w:fldChar w:fldCharType="begin"/>
    </w:r>
    <w:r w:rsidR="00121E5A" w:rsidRPr="00121E5A">
      <w:rPr>
        <w:color w:val="FFFFFF" w:themeColor="background1"/>
      </w:rPr>
      <w:instrText xml:space="preserve"> PAGE   \* MERGEFORMAT </w:instrText>
    </w:r>
    <w:r w:rsidR="00121E5A" w:rsidRPr="00121E5A">
      <w:rPr>
        <w:color w:val="FFFFFF" w:themeColor="background1"/>
      </w:rPr>
      <w:fldChar w:fldCharType="separate"/>
    </w:r>
    <w:r w:rsidR="00121E5A" w:rsidRPr="00121E5A">
      <w:rPr>
        <w:noProof/>
        <w:color w:val="FFFFFF" w:themeColor="background1"/>
      </w:rPr>
      <w:t>1</w:t>
    </w:r>
    <w:r w:rsidR="00121E5A" w:rsidRPr="00121E5A">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4ED9" w14:textId="542E9512" w:rsidR="004B339D" w:rsidRPr="00CA11E3" w:rsidRDefault="004B339D" w:rsidP="00121E5A">
    <w:pPr>
      <w:pStyle w:val="Footer"/>
      <w:tabs>
        <w:tab w:val="clear" w:pos="4513"/>
        <w:tab w:val="clear" w:pos="9026"/>
        <w:tab w:val="right" w:pos="13892"/>
      </w:tabs>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F83B" w14:textId="73B7A90D" w:rsidR="00600367" w:rsidRPr="00CA11E3" w:rsidRDefault="00436F14" w:rsidP="00121E5A">
    <w:pPr>
      <w:pStyle w:val="Footer"/>
      <w:tabs>
        <w:tab w:val="clear" w:pos="4513"/>
        <w:tab w:val="clear" w:pos="9026"/>
        <w:tab w:val="right" w:pos="13892"/>
      </w:tabs>
      <w:rPr>
        <w:color w:val="FFFFFF" w:themeColor="background1"/>
      </w:rPr>
    </w:pPr>
    <w:r>
      <w:rPr>
        <w:noProof/>
        <w:color w:val="FFFFFF" w:themeColor="background1"/>
      </w:rPr>
      <w:drawing>
        <wp:anchor distT="0" distB="0" distL="114300" distR="114300" simplePos="0" relativeHeight="251698176" behindDoc="1" locked="0" layoutInCell="1" allowOverlap="1" wp14:anchorId="38AA95B9" wp14:editId="4118CD5A">
          <wp:simplePos x="0" y="0"/>
          <wp:positionH relativeFrom="page">
            <wp:align>right</wp:align>
          </wp:positionH>
          <wp:positionV relativeFrom="paragraph">
            <wp:posOffset>-89007</wp:posOffset>
          </wp:positionV>
          <wp:extent cx="10691446" cy="651861"/>
          <wp:effectExtent l="0" t="0" r="0" b="0"/>
          <wp:wrapNone/>
          <wp:docPr id="19106489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48938" name="Picture 1910648938"/>
                  <pic:cNvPicPr/>
                </pic:nvPicPr>
                <pic:blipFill>
                  <a:blip r:embed="rId1">
                    <a:extLst>
                      <a:ext uri="{28A0092B-C50C-407E-A947-70E740481C1C}">
                        <a14:useLocalDpi xmlns:a14="http://schemas.microsoft.com/office/drawing/2010/main" val="0"/>
                      </a:ext>
                    </a:extLst>
                  </a:blip>
                  <a:stretch>
                    <a:fillRect/>
                  </a:stretch>
                </pic:blipFill>
                <pic:spPr>
                  <a:xfrm>
                    <a:off x="0" y="0"/>
                    <a:ext cx="10691446" cy="651861"/>
                  </a:xfrm>
                  <a:prstGeom prst="rect">
                    <a:avLst/>
                  </a:prstGeom>
                </pic:spPr>
              </pic:pic>
            </a:graphicData>
          </a:graphic>
          <wp14:sizeRelH relativeFrom="margin">
            <wp14:pctWidth>0</wp14:pctWidth>
          </wp14:sizeRelH>
          <wp14:sizeRelV relativeFrom="margin">
            <wp14:pctHeight>0</wp14:pctHeight>
          </wp14:sizeRelV>
        </wp:anchor>
      </w:drawing>
    </w:r>
    <w:r w:rsidR="00600367" w:rsidRPr="00121E5A">
      <w:rPr>
        <w:color w:val="FFFFFF" w:themeColor="background1"/>
      </w:rPr>
      <w:t>Interim Australian Centre for Disease Control</w:t>
    </w:r>
    <w:r w:rsidR="00600367" w:rsidRPr="00121E5A">
      <w:rPr>
        <w:color w:val="FFFFFF" w:themeColor="background1"/>
      </w:rPr>
      <w:tab/>
    </w:r>
    <w:r w:rsidR="00600367" w:rsidRPr="00121E5A">
      <w:rPr>
        <w:color w:val="FFFFFF" w:themeColor="background1"/>
      </w:rPr>
      <w:fldChar w:fldCharType="begin"/>
    </w:r>
    <w:r w:rsidR="00600367" w:rsidRPr="00121E5A">
      <w:rPr>
        <w:color w:val="FFFFFF" w:themeColor="background1"/>
      </w:rPr>
      <w:instrText xml:space="preserve"> PAGE   \* MERGEFORMAT </w:instrText>
    </w:r>
    <w:r w:rsidR="00600367" w:rsidRPr="00121E5A">
      <w:rPr>
        <w:color w:val="FFFFFF" w:themeColor="background1"/>
      </w:rPr>
      <w:fldChar w:fldCharType="separate"/>
    </w:r>
    <w:r w:rsidR="00600367" w:rsidRPr="00121E5A">
      <w:rPr>
        <w:noProof/>
        <w:color w:val="FFFFFF" w:themeColor="background1"/>
      </w:rPr>
      <w:t>1</w:t>
    </w:r>
    <w:r w:rsidR="00600367" w:rsidRPr="00121E5A">
      <w:rPr>
        <w:noProof/>
        <w:color w:val="FFFFFF" w:themeColor="background1"/>
      </w:rPr>
      <w:fldChar w:fldCharType="end"/>
    </w:r>
    <w:r w:rsidR="00600367" w:rsidRPr="00DD7044">
      <w:rPr>
        <w:noProof/>
        <w:color w:val="FFFFFF" w:themeColor="background1"/>
      </w:rPr>
      <w:drawing>
        <wp:anchor distT="0" distB="0" distL="114300" distR="114300" simplePos="0" relativeHeight="251671552" behindDoc="1" locked="1" layoutInCell="1" allowOverlap="1" wp14:anchorId="272DF69B" wp14:editId="0BF39153">
          <wp:simplePos x="0" y="0"/>
          <wp:positionH relativeFrom="page">
            <wp:posOffset>-3128010</wp:posOffset>
          </wp:positionH>
          <wp:positionV relativeFrom="page">
            <wp:posOffset>10075545</wp:posOffset>
          </wp:positionV>
          <wp:extent cx="10688320" cy="65468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44CB" w14:textId="427E7366" w:rsidR="00250D17" w:rsidRPr="00CA11E3" w:rsidRDefault="00E4279C" w:rsidP="00121E5A">
    <w:pPr>
      <w:pStyle w:val="Footer"/>
      <w:tabs>
        <w:tab w:val="clear" w:pos="4513"/>
        <w:tab w:val="clear" w:pos="9026"/>
        <w:tab w:val="right" w:pos="13892"/>
      </w:tabs>
      <w:rPr>
        <w:color w:val="FFFFFF" w:themeColor="background1"/>
      </w:rPr>
    </w:pPr>
    <w:r>
      <w:rPr>
        <w:noProof/>
        <w:color w:val="FFFFFF" w:themeColor="background1"/>
      </w:rPr>
      <w:drawing>
        <wp:anchor distT="0" distB="0" distL="114300" distR="114300" simplePos="0" relativeHeight="251700224" behindDoc="1" locked="0" layoutInCell="1" allowOverlap="1" wp14:anchorId="081DF06B" wp14:editId="34063DA9">
          <wp:simplePos x="0" y="0"/>
          <wp:positionH relativeFrom="page">
            <wp:align>left</wp:align>
          </wp:positionH>
          <wp:positionV relativeFrom="paragraph">
            <wp:posOffset>6351</wp:posOffset>
          </wp:positionV>
          <wp:extent cx="8532461" cy="738798"/>
          <wp:effectExtent l="0" t="0" r="2540" b="4445"/>
          <wp:wrapNone/>
          <wp:docPr id="19369068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06872" name="Picture 1936906872"/>
                  <pic:cNvPicPr/>
                </pic:nvPicPr>
                <pic:blipFill>
                  <a:blip r:embed="rId1">
                    <a:extLst>
                      <a:ext uri="{28A0092B-C50C-407E-A947-70E740481C1C}">
                        <a14:useLocalDpi xmlns:a14="http://schemas.microsoft.com/office/drawing/2010/main" val="0"/>
                      </a:ext>
                    </a:extLst>
                  </a:blip>
                  <a:stretch>
                    <a:fillRect/>
                  </a:stretch>
                </pic:blipFill>
                <pic:spPr>
                  <a:xfrm>
                    <a:off x="0" y="0"/>
                    <a:ext cx="8532461" cy="738798"/>
                  </a:xfrm>
                  <a:prstGeom prst="rect">
                    <a:avLst/>
                  </a:prstGeom>
                </pic:spPr>
              </pic:pic>
            </a:graphicData>
          </a:graphic>
          <wp14:sizeRelH relativeFrom="margin">
            <wp14:pctWidth>0</wp14:pctWidth>
          </wp14:sizeRelH>
          <wp14:sizeRelV relativeFrom="margin">
            <wp14:pctHeight>0</wp14:pctHeight>
          </wp14:sizeRelV>
        </wp:anchor>
      </w:drawing>
    </w:r>
    <w:r w:rsidR="00250D17" w:rsidRPr="00121E5A">
      <w:rPr>
        <w:color w:val="FFFFFF" w:themeColor="background1"/>
      </w:rPr>
      <w:t>Interim Australian Centre for Disease Control</w:t>
    </w:r>
    <w:r w:rsidR="00250D17" w:rsidRPr="00121E5A">
      <w:rPr>
        <w:color w:val="FFFFFF" w:themeColor="background1"/>
      </w:rPr>
      <w:tab/>
    </w:r>
    <w:r w:rsidR="00250D17" w:rsidRPr="00121E5A">
      <w:rPr>
        <w:color w:val="FFFFFF" w:themeColor="background1"/>
      </w:rPr>
      <w:fldChar w:fldCharType="begin"/>
    </w:r>
    <w:r w:rsidR="00250D17" w:rsidRPr="00121E5A">
      <w:rPr>
        <w:color w:val="FFFFFF" w:themeColor="background1"/>
      </w:rPr>
      <w:instrText xml:space="preserve"> PAGE   \* MERGEFORMAT </w:instrText>
    </w:r>
    <w:r w:rsidR="00250D17" w:rsidRPr="00121E5A">
      <w:rPr>
        <w:color w:val="FFFFFF" w:themeColor="background1"/>
      </w:rPr>
      <w:fldChar w:fldCharType="separate"/>
    </w:r>
    <w:r w:rsidR="00250D17" w:rsidRPr="00121E5A">
      <w:rPr>
        <w:noProof/>
        <w:color w:val="FFFFFF" w:themeColor="background1"/>
      </w:rPr>
      <w:t>1</w:t>
    </w:r>
    <w:r w:rsidR="00250D17" w:rsidRPr="00121E5A">
      <w:rPr>
        <w:noProof/>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45C7" w14:textId="0A847D0E" w:rsidR="00F973AF" w:rsidRPr="00CA11E3" w:rsidRDefault="00473909" w:rsidP="00121E5A">
    <w:pPr>
      <w:pStyle w:val="Footer"/>
      <w:tabs>
        <w:tab w:val="clear" w:pos="4513"/>
        <w:tab w:val="clear" w:pos="9026"/>
        <w:tab w:val="right" w:pos="13892"/>
      </w:tabs>
      <w:rPr>
        <w:color w:val="FFFFFF" w:themeColor="background1"/>
      </w:rPr>
    </w:pPr>
    <w:r>
      <w:rPr>
        <w:noProof/>
        <w:color w:val="FFFFFF" w:themeColor="background1"/>
      </w:rPr>
      <w:drawing>
        <wp:anchor distT="0" distB="0" distL="114300" distR="114300" simplePos="0" relativeHeight="251701248" behindDoc="1" locked="0" layoutInCell="1" allowOverlap="1" wp14:anchorId="17BE2ADA" wp14:editId="1E1F6F2E">
          <wp:simplePos x="0" y="0"/>
          <wp:positionH relativeFrom="page">
            <wp:align>right</wp:align>
          </wp:positionH>
          <wp:positionV relativeFrom="paragraph">
            <wp:posOffset>-94661</wp:posOffset>
          </wp:positionV>
          <wp:extent cx="10693400" cy="651980"/>
          <wp:effectExtent l="0" t="0" r="0" b="0"/>
          <wp:wrapNone/>
          <wp:docPr id="7066969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96979" name="Picture 706696979"/>
                  <pic:cNvPicPr/>
                </pic:nvPicPr>
                <pic:blipFill>
                  <a:blip r:embed="rId1">
                    <a:extLst>
                      <a:ext uri="{28A0092B-C50C-407E-A947-70E740481C1C}">
                        <a14:useLocalDpi xmlns:a14="http://schemas.microsoft.com/office/drawing/2010/main" val="0"/>
                      </a:ext>
                    </a:extLst>
                  </a:blip>
                  <a:stretch>
                    <a:fillRect/>
                  </a:stretch>
                </pic:blipFill>
                <pic:spPr>
                  <a:xfrm>
                    <a:off x="0" y="0"/>
                    <a:ext cx="10693400" cy="651980"/>
                  </a:xfrm>
                  <a:prstGeom prst="rect">
                    <a:avLst/>
                  </a:prstGeom>
                </pic:spPr>
              </pic:pic>
            </a:graphicData>
          </a:graphic>
          <wp14:sizeRelH relativeFrom="margin">
            <wp14:pctWidth>0</wp14:pctWidth>
          </wp14:sizeRelH>
          <wp14:sizeRelV relativeFrom="margin">
            <wp14:pctHeight>0</wp14:pctHeight>
          </wp14:sizeRelV>
        </wp:anchor>
      </w:drawing>
    </w:r>
    <w:r w:rsidR="00F973AF" w:rsidRPr="00121E5A">
      <w:rPr>
        <w:color w:val="FFFFFF" w:themeColor="background1"/>
      </w:rPr>
      <w:t>Interim Australian Centre for Disease Control</w:t>
    </w:r>
    <w:r w:rsidR="00F973AF" w:rsidRPr="00121E5A">
      <w:rPr>
        <w:color w:val="FFFFFF" w:themeColor="background1"/>
      </w:rPr>
      <w:tab/>
    </w:r>
    <w:r w:rsidR="00F973AF" w:rsidRPr="00121E5A">
      <w:rPr>
        <w:color w:val="FFFFFF" w:themeColor="background1"/>
      </w:rPr>
      <w:fldChar w:fldCharType="begin"/>
    </w:r>
    <w:r w:rsidR="00F973AF" w:rsidRPr="00121E5A">
      <w:rPr>
        <w:color w:val="FFFFFF" w:themeColor="background1"/>
      </w:rPr>
      <w:instrText xml:space="preserve"> PAGE   \* MERGEFORMAT </w:instrText>
    </w:r>
    <w:r w:rsidR="00F973AF" w:rsidRPr="00121E5A">
      <w:rPr>
        <w:color w:val="FFFFFF" w:themeColor="background1"/>
      </w:rPr>
      <w:fldChar w:fldCharType="separate"/>
    </w:r>
    <w:r w:rsidR="00F973AF" w:rsidRPr="00121E5A">
      <w:rPr>
        <w:noProof/>
        <w:color w:val="FFFFFF" w:themeColor="background1"/>
      </w:rPr>
      <w:t>1</w:t>
    </w:r>
    <w:r w:rsidR="00F973AF" w:rsidRPr="00121E5A">
      <w:rPr>
        <w:noProof/>
        <w:color w:val="FFFFFF" w:themeColor="background1"/>
      </w:rPr>
      <w:fldChar w:fldCharType="end"/>
    </w:r>
    <w:r w:rsidR="00F973AF" w:rsidRPr="00DD7044">
      <w:rPr>
        <w:noProof/>
        <w:color w:val="FFFFFF" w:themeColor="background1"/>
      </w:rPr>
      <w:drawing>
        <wp:anchor distT="0" distB="0" distL="114300" distR="114300" simplePos="0" relativeHeight="251677696" behindDoc="1" locked="1" layoutInCell="1" allowOverlap="1" wp14:anchorId="270EBBEF" wp14:editId="34913967">
          <wp:simplePos x="0" y="0"/>
          <wp:positionH relativeFrom="page">
            <wp:posOffset>-3128010</wp:posOffset>
          </wp:positionH>
          <wp:positionV relativeFrom="page">
            <wp:posOffset>10075545</wp:posOffset>
          </wp:positionV>
          <wp:extent cx="10688320" cy="65468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56342" w14:textId="7F70DCE3" w:rsidR="00F973AF" w:rsidRPr="00CA11E3" w:rsidRDefault="00F973AF"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81792" behindDoc="1" locked="1" layoutInCell="1" allowOverlap="1" wp14:anchorId="594EDA2A" wp14:editId="28CA189E">
          <wp:simplePos x="0" y="0"/>
          <wp:positionH relativeFrom="page">
            <wp:posOffset>-3128010</wp:posOffset>
          </wp:positionH>
          <wp:positionV relativeFrom="page">
            <wp:posOffset>10075545</wp:posOffset>
          </wp:positionV>
          <wp:extent cx="10688320" cy="65468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320" cy="654685"/>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306C" w14:textId="7E87F95F" w:rsidR="00D67B05" w:rsidRPr="00CA11E3" w:rsidRDefault="00D67B05" w:rsidP="00121E5A">
    <w:pPr>
      <w:pStyle w:val="Footer"/>
      <w:tabs>
        <w:tab w:val="clear" w:pos="4513"/>
        <w:tab w:val="clear" w:pos="9026"/>
        <w:tab w:val="right" w:pos="13892"/>
      </w:tabs>
      <w:rPr>
        <w:color w:val="FFFFFF" w:themeColor="background1"/>
      </w:rPr>
    </w:pPr>
    <w:r>
      <w:rPr>
        <w:noProof/>
        <w:color w:val="FFFFFF" w:themeColor="background1"/>
      </w:rPr>
      <w:drawing>
        <wp:anchor distT="0" distB="0" distL="114300" distR="114300" simplePos="0" relativeHeight="251702272" behindDoc="1" locked="0" layoutInCell="1" allowOverlap="1" wp14:anchorId="0A596357" wp14:editId="5314AD43">
          <wp:simplePos x="0" y="0"/>
          <wp:positionH relativeFrom="page">
            <wp:align>left</wp:align>
          </wp:positionH>
          <wp:positionV relativeFrom="paragraph">
            <wp:posOffset>-134112</wp:posOffset>
          </wp:positionV>
          <wp:extent cx="8033627" cy="695706"/>
          <wp:effectExtent l="0" t="0" r="0" b="9525"/>
          <wp:wrapNone/>
          <wp:docPr id="5333088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08816" name="Picture 533308816"/>
                  <pic:cNvPicPr/>
                </pic:nvPicPr>
                <pic:blipFill>
                  <a:blip r:embed="rId1">
                    <a:extLst>
                      <a:ext uri="{28A0092B-C50C-407E-A947-70E740481C1C}">
                        <a14:useLocalDpi xmlns:a14="http://schemas.microsoft.com/office/drawing/2010/main" val="0"/>
                      </a:ext>
                    </a:extLst>
                  </a:blip>
                  <a:stretch>
                    <a:fillRect/>
                  </a:stretch>
                </pic:blipFill>
                <pic:spPr>
                  <a:xfrm>
                    <a:off x="0" y="0"/>
                    <a:ext cx="8033627" cy="695706"/>
                  </a:xfrm>
                  <a:prstGeom prst="rect">
                    <a:avLst/>
                  </a:prstGeom>
                </pic:spPr>
              </pic:pic>
            </a:graphicData>
          </a:graphic>
          <wp14:sizeRelH relativeFrom="margin">
            <wp14:pctWidth>0</wp14:pctWidth>
          </wp14:sizeRelH>
          <wp14:sizeRelV relativeFrom="margin">
            <wp14:pctHeight>0</wp14:pctHeight>
          </wp14:sizeRelV>
        </wp:anchor>
      </w:drawing>
    </w: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3DCE" w14:textId="6F47F343" w:rsidR="00060C71" w:rsidRPr="00CA11E3" w:rsidRDefault="00060C71" w:rsidP="00121E5A">
    <w:pPr>
      <w:pStyle w:val="Footer"/>
      <w:tabs>
        <w:tab w:val="clear" w:pos="4513"/>
        <w:tab w:val="clear" w:pos="9026"/>
        <w:tab w:val="right" w:pos="13892"/>
      </w:tabs>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8E7A9" w14:textId="77777777" w:rsidR="00ED2E9E" w:rsidRDefault="00ED2E9E" w:rsidP="00BD640A">
      <w:pPr>
        <w:spacing w:after="0"/>
      </w:pPr>
      <w:r>
        <w:separator/>
      </w:r>
    </w:p>
  </w:footnote>
  <w:footnote w:type="continuationSeparator" w:id="0">
    <w:p w14:paraId="624F8A84" w14:textId="77777777" w:rsidR="00ED2E9E" w:rsidRDefault="00ED2E9E" w:rsidP="00BD640A">
      <w:pPr>
        <w:spacing w:after="0"/>
      </w:pPr>
      <w:r>
        <w:continuationSeparator/>
      </w:r>
    </w:p>
  </w:footnote>
  <w:footnote w:id="1">
    <w:p w14:paraId="58971146" w14:textId="77777777" w:rsidR="00276C06" w:rsidRDefault="00276C06" w:rsidP="00276C06">
      <w:pPr>
        <w:pStyle w:val="FootnoteText"/>
      </w:pPr>
      <w:r>
        <w:rPr>
          <w:rStyle w:val="FootnoteReference"/>
          <w:rFonts w:eastAsiaTheme="minorEastAsia"/>
        </w:rPr>
        <w:footnoteRef/>
      </w:r>
      <w:r>
        <w:t xml:space="preserve"> </w:t>
      </w:r>
      <w:r w:rsidRPr="00A43960">
        <w:rPr>
          <w:rFonts w:ascii="Arial" w:hAnsi="Arial" w:cs="Arial"/>
          <w:sz w:val="18"/>
          <w:szCs w:val="18"/>
        </w:rPr>
        <w:t xml:space="preserve">LGBTIQA+ refers to </w:t>
      </w:r>
      <w:r w:rsidRPr="00A43960">
        <w:rPr>
          <w:rFonts w:ascii="Arial" w:hAnsi="Arial" w:cs="Arial"/>
          <w:color w:val="332C28"/>
          <w:sz w:val="18"/>
          <w:szCs w:val="18"/>
          <w:shd w:val="clear" w:color="auto" w:fill="FFFFFF"/>
        </w:rPr>
        <w:t>lesbian, gay, bisexual, transgender, intersex, queer, asexual and other sexually or gender diverse</w:t>
      </w:r>
      <w:r>
        <w:rPr>
          <w:rFonts w:ascii="Arial" w:hAnsi="Arial" w:cs="Arial"/>
          <w:color w:val="332C28"/>
          <w:sz w:val="18"/>
          <w:szCs w:val="18"/>
          <w:shd w:val="clear" w:color="auto" w:fill="FFFFFF"/>
        </w:rPr>
        <w:t xml:space="preserve">. </w:t>
      </w:r>
      <w:r w:rsidRPr="00A43960">
        <w:rPr>
          <w:rFonts w:ascii="Arial" w:hAnsi="Arial" w:cs="Arial"/>
          <w:color w:val="332C28"/>
          <w:sz w:val="18"/>
          <w:szCs w:val="18"/>
          <w:shd w:val="clear" w:color="auto" w:fill="FFFFFF"/>
        </w:rPr>
        <w:t>Other variations of this acronym exist. Acronym choice can vary depending on the groups or issues being discussed and the available evidence.</w:t>
      </w:r>
    </w:p>
  </w:footnote>
  <w:footnote w:id="2">
    <w:p w14:paraId="367E8CF6" w14:textId="77777777" w:rsidR="00BA5BA6" w:rsidRPr="00461007" w:rsidRDefault="00BA5BA6" w:rsidP="00BA5BA6">
      <w:pPr>
        <w:pStyle w:val="FootnoteText"/>
        <w:rPr>
          <w:rFonts w:ascii="Arial" w:hAnsi="Arial" w:cs="Arial"/>
        </w:rPr>
      </w:pPr>
      <w:r w:rsidRPr="00461007">
        <w:rPr>
          <w:rStyle w:val="FootnoteReference"/>
          <w:rFonts w:eastAsiaTheme="minorEastAsia" w:cs="Arial"/>
        </w:rPr>
        <w:footnoteRef/>
      </w:r>
      <w:r>
        <w:rPr>
          <w:rFonts w:ascii="Arial" w:hAnsi="Arial" w:cs="Arial"/>
        </w:rPr>
        <w:t xml:space="preserve"> </w:t>
      </w:r>
      <w:r w:rsidRPr="00461007">
        <w:rPr>
          <w:rFonts w:ascii="Arial" w:hAnsi="Arial" w:cs="Arial"/>
        </w:rPr>
        <w:t>Includes anal, penile, vulval and vaginal cancers.</w:t>
      </w:r>
    </w:p>
  </w:footnote>
  <w:footnote w:id="3">
    <w:p w14:paraId="2FF28DBD" w14:textId="77777777" w:rsidR="00BA5BA6" w:rsidRPr="00BA5F2B" w:rsidRDefault="00BA5BA6" w:rsidP="00BA5BA6">
      <w:pPr>
        <w:pStyle w:val="FootnoteText"/>
        <w:rPr>
          <w:rFonts w:ascii="Arial" w:hAnsi="Arial" w:cs="Arial"/>
          <w:sz w:val="16"/>
          <w:szCs w:val="16"/>
        </w:rPr>
      </w:pPr>
      <w:r w:rsidRPr="00461007">
        <w:rPr>
          <w:rStyle w:val="FootnoteReference"/>
          <w:rFonts w:eastAsiaTheme="minorEastAsia" w:cs="Arial"/>
        </w:rPr>
        <w:footnoteRef/>
      </w:r>
      <w:r w:rsidRPr="00461007">
        <w:rPr>
          <w:rFonts w:ascii="Arial" w:hAnsi="Arial" w:cs="Arial"/>
        </w:rPr>
        <w:t xml:space="preserve"> Includes base of the tongue and HPV related head and neck cancers.</w:t>
      </w:r>
    </w:p>
  </w:footnote>
  <w:footnote w:id="4">
    <w:p w14:paraId="0734535F" w14:textId="77777777" w:rsidR="00BA5BA6" w:rsidRPr="00461007" w:rsidRDefault="00BA5BA6" w:rsidP="00BA5BA6">
      <w:pPr>
        <w:pStyle w:val="FootnoteText"/>
        <w:rPr>
          <w:rFonts w:ascii="Arial" w:hAnsi="Arial" w:cs="Arial"/>
        </w:rPr>
      </w:pPr>
      <w:r w:rsidRPr="00461007">
        <w:rPr>
          <w:rStyle w:val="FootnoteReference"/>
          <w:rFonts w:eastAsia="Calibri" w:cs="Arial"/>
        </w:rPr>
        <w:footnoteRef/>
      </w:r>
      <w:r w:rsidRPr="00461007">
        <w:rPr>
          <w:rFonts w:ascii="Arial" w:eastAsia="Calibri" w:hAnsi="Arial" w:cs="Arial"/>
        </w:rPr>
        <w:t xml:space="preserve"> The 4vHPV vaccine was administered under the NIP between 2007 and 2018. </w:t>
      </w:r>
    </w:p>
  </w:footnote>
  <w:footnote w:id="5">
    <w:p w14:paraId="7D6F1077" w14:textId="77777777" w:rsidR="00073914" w:rsidRPr="00814A9A" w:rsidRDefault="00073914" w:rsidP="00073914">
      <w:pPr>
        <w:pStyle w:val="FootnoteText"/>
        <w:rPr>
          <w:rFonts w:ascii="Arial" w:hAnsi="Arial" w:cs="Arial"/>
        </w:rPr>
      </w:pPr>
      <w:r w:rsidRPr="00814A9A">
        <w:rPr>
          <w:rStyle w:val="FootnoteReference"/>
          <w:rFonts w:ascii="Arial" w:eastAsiaTheme="minorEastAsia" w:hAnsi="Arial" w:cs="Arial"/>
        </w:rPr>
        <w:footnoteRef/>
      </w:r>
      <w:r w:rsidRPr="00814A9A">
        <w:rPr>
          <w:rFonts w:ascii="Arial" w:hAnsi="Arial" w:cs="Arial"/>
        </w:rPr>
        <w:t xml:space="preserve"> </w:t>
      </w:r>
      <w:r w:rsidRPr="00814A9A">
        <w:rPr>
          <w:rFonts w:ascii="Arial" w:eastAsia="Calibri" w:hAnsi="Arial" w:cs="Arial"/>
          <w:i/>
          <w:iCs/>
        </w:rPr>
        <w:t>Routine national data collection</w:t>
      </w:r>
      <w:r w:rsidRPr="00814A9A">
        <w:rPr>
          <w:rFonts w:ascii="Arial" w:eastAsia="Calibri" w:hAnsi="Arial" w:cs="Arial"/>
        </w:rPr>
        <w:t>.</w:t>
      </w:r>
    </w:p>
  </w:footnote>
  <w:footnote w:id="6">
    <w:p w14:paraId="28D7A4D6" w14:textId="77777777" w:rsidR="00073914" w:rsidRPr="00461007" w:rsidRDefault="00073914" w:rsidP="00073914">
      <w:pPr>
        <w:pStyle w:val="FootnoteText"/>
        <w:rPr>
          <w:rFonts w:ascii="Arial" w:hAnsi="Arial" w:cs="Arial"/>
        </w:rPr>
      </w:pPr>
      <w:r w:rsidRPr="00814A9A">
        <w:rPr>
          <w:rStyle w:val="FootnoteReference"/>
          <w:rFonts w:ascii="Arial" w:eastAsiaTheme="minorEastAsia" w:hAnsi="Arial" w:cs="Arial"/>
        </w:rPr>
        <w:footnoteRef/>
      </w:r>
      <w:r w:rsidRPr="00814A9A">
        <w:rPr>
          <w:rFonts w:ascii="Arial" w:hAnsi="Arial" w:cs="Arial"/>
        </w:rPr>
        <w:t xml:space="preserve"> Individuals are automatically registered for AIR when enrolled in Medicare.</w:t>
      </w:r>
    </w:p>
  </w:footnote>
  <w:footnote w:id="7">
    <w:p w14:paraId="73DB661A" w14:textId="77777777" w:rsidR="00257D46" w:rsidRPr="00332EC6" w:rsidRDefault="00257D46" w:rsidP="00257D46">
      <w:pPr>
        <w:pStyle w:val="FootnoteText"/>
        <w:rPr>
          <w:rFonts w:asciiTheme="minorHAnsi" w:hAnsiTheme="minorHAnsi" w:cstheme="minorHAnsi"/>
        </w:rPr>
      </w:pPr>
      <w:r w:rsidRPr="00332EC6">
        <w:rPr>
          <w:rStyle w:val="FootnoteReference"/>
          <w:rFonts w:asciiTheme="minorHAnsi" w:eastAsiaTheme="minorEastAsia" w:hAnsiTheme="minorHAnsi" w:cstheme="minorHAnsi"/>
        </w:rPr>
        <w:footnoteRef/>
      </w:r>
      <w:r w:rsidRPr="00332EC6">
        <w:rPr>
          <w:rFonts w:asciiTheme="minorHAnsi" w:hAnsiTheme="minorHAnsi" w:cstheme="minorHAnsi"/>
        </w:rPr>
        <w:t xml:space="preserve"> This document uses the terms ‘participants’ when referring to data collected under the NCSP. For NSCP data, ‘participant’ refers to any person with a cervix. This may include women, transgender men, intersex people, and non-binary people.</w:t>
      </w:r>
    </w:p>
  </w:footnote>
  <w:footnote w:id="8">
    <w:p w14:paraId="42E8F4C6" w14:textId="77777777" w:rsidR="00BB52C4" w:rsidRPr="00332EC6" w:rsidRDefault="00BB52C4" w:rsidP="00BB52C4">
      <w:pPr>
        <w:pStyle w:val="FootnoteText"/>
        <w:rPr>
          <w:rFonts w:asciiTheme="minorHAnsi" w:hAnsiTheme="minorHAnsi" w:cstheme="minorHAnsi"/>
        </w:rPr>
      </w:pPr>
      <w:r w:rsidRPr="00332EC6">
        <w:rPr>
          <w:rStyle w:val="FootnoteReference"/>
          <w:rFonts w:asciiTheme="minorHAnsi" w:eastAsiaTheme="minorEastAsia" w:hAnsiTheme="minorHAnsi" w:cstheme="minorHAnsi"/>
        </w:rPr>
        <w:footnoteRef/>
      </w:r>
      <w:r w:rsidRPr="00332EC6">
        <w:rPr>
          <w:rFonts w:asciiTheme="minorHAnsi" w:hAnsiTheme="minorHAnsi" w:cstheme="minorHAnsi"/>
        </w:rPr>
        <w:t xml:space="preserve"> </w:t>
      </w:r>
      <w:r w:rsidRPr="00332EC6">
        <w:rPr>
          <w:rFonts w:asciiTheme="minorHAnsi" w:eastAsia="Calibri" w:hAnsiTheme="minorHAnsi" w:cstheme="minorHAnsi"/>
          <w:i/>
          <w:iCs/>
        </w:rPr>
        <w:t>Routine national data collection</w:t>
      </w:r>
      <w:r w:rsidRPr="00332EC6">
        <w:rPr>
          <w:rFonts w:asciiTheme="minorHAnsi" w:eastAsia="Calibri" w:hAnsiTheme="minorHAnsi" w:cstheme="minorHAnsi"/>
        </w:rPr>
        <w:t>.</w:t>
      </w:r>
    </w:p>
  </w:footnote>
  <w:footnote w:id="9">
    <w:p w14:paraId="579D5C4F" w14:textId="343AC512" w:rsidR="008065B4" w:rsidRPr="00C01ACA" w:rsidRDefault="008065B4" w:rsidP="008065B4">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This document uses the terms ‘participants’ when referring to data collected under the NCSP. For NSCP data, ‘participant’ refers to any person with a cervix. This may include </w:t>
      </w:r>
      <w:r>
        <w:rPr>
          <w:rFonts w:ascii="Arial" w:hAnsi="Arial" w:cs="Arial"/>
        </w:rPr>
        <w:t xml:space="preserve">women, </w:t>
      </w:r>
      <w:r w:rsidRPr="001351E6">
        <w:rPr>
          <w:rFonts w:ascii="Arial" w:hAnsi="Arial" w:cs="Arial"/>
        </w:rPr>
        <w:t>transgender men, intersex people, and non-binary people.</w:t>
      </w:r>
    </w:p>
  </w:footnote>
  <w:footnote w:id="10">
    <w:p w14:paraId="4AEB34D1" w14:textId="77777777" w:rsidR="008065B4" w:rsidRPr="001351E6" w:rsidRDefault="008065B4" w:rsidP="008065B4">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1">
    <w:p w14:paraId="3C5601E7" w14:textId="77777777" w:rsidR="008065B4" w:rsidRDefault="008065B4" w:rsidP="008065B4">
      <w:pPr>
        <w:pStyle w:val="FootnoteText"/>
      </w:pPr>
      <w:r w:rsidRPr="001351E6">
        <w:rPr>
          <w:rStyle w:val="FootnoteReference"/>
          <w:rFonts w:eastAsiaTheme="minorEastAsia" w:cs="Arial"/>
        </w:rPr>
        <w:footnoteRef/>
      </w:r>
      <w:r w:rsidRPr="001351E6">
        <w:rPr>
          <w:rFonts w:ascii="Arial" w:hAnsi="Arial" w:cs="Arial"/>
        </w:rPr>
        <w:t xml:space="preserve"> </w:t>
      </w:r>
      <w:r w:rsidRPr="001351E6">
        <w:rPr>
          <w:rFonts w:ascii="Arial" w:hAnsi="Arial" w:cs="Arial"/>
          <w:i/>
          <w:iCs/>
        </w:rPr>
        <w:t>Sentinel/funding-based research data collection</w:t>
      </w:r>
      <w:r w:rsidRPr="001351E6">
        <w:rPr>
          <w:rFonts w:ascii="Arial" w:hAnsi="Arial" w:cs="Arial"/>
        </w:rPr>
        <w:t xml:space="preserve">. The </w:t>
      </w:r>
      <w:hyperlink r:id="rId1" w:anchor="outcomes" w:history="1">
        <w:r w:rsidRPr="001351E6">
          <w:rPr>
            <w:rStyle w:val="Hyperlink"/>
            <w:rFonts w:cs="Arial"/>
          </w:rPr>
          <w:t>National HPV Monitoring Program (IMPACT</w:t>
        </w:r>
      </w:hyperlink>
      <w:r w:rsidRPr="001351E6">
        <w:rPr>
          <w:rFonts w:ascii="Arial" w:hAnsi="Arial" w:cs="Arial"/>
        </w:rPr>
        <w:t>) provides sentinel data on circulating HPV genotypes in Australia.</w:t>
      </w:r>
    </w:p>
  </w:footnote>
  <w:footnote w:id="12">
    <w:p w14:paraId="4A93DBCD" w14:textId="77777777" w:rsidR="008065B4" w:rsidRDefault="008065B4" w:rsidP="008065B4">
      <w:pPr>
        <w:pStyle w:val="FootnoteText"/>
      </w:pPr>
      <w:r w:rsidRPr="002D2EA8">
        <w:rPr>
          <w:rFonts w:ascii="Arial" w:hAnsi="Arial" w:cs="Arial"/>
          <w:vertAlign w:val="superscript"/>
        </w:rPr>
        <w:footnoteRef/>
      </w:r>
      <w:r w:rsidRPr="002D2EA8">
        <w:rPr>
          <w:rFonts w:ascii="Arial" w:hAnsi="Arial" w:cs="Arial"/>
        </w:rPr>
        <w:t xml:space="preserve"> For the purposes of this indicator data collection for anogenital includes HPV types 6, 11, 16 and 18.</w:t>
      </w:r>
    </w:p>
  </w:footnote>
  <w:footnote w:id="13">
    <w:p w14:paraId="25641BFE" w14:textId="77777777" w:rsidR="00C56419" w:rsidRPr="001351E6" w:rsidRDefault="00C56419">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hAnsi="Arial" w:cs="Arial"/>
          <w:i/>
          <w:iCs/>
        </w:rPr>
        <w:t>Sentinel/funding-based research data collection</w:t>
      </w:r>
      <w:r w:rsidRPr="001351E6">
        <w:rPr>
          <w:rFonts w:ascii="Arial" w:hAnsi="Arial" w:cs="Arial"/>
        </w:rPr>
        <w:t>. The Genital Warts Surveillance Network (GWSN) Project, maintained by the Kirby Institute, is a sentinel surveillance system that monitors trends in the diagnosis of genital warts in Australia. The network comprises 55 sexual health clinics based in all states and territories. Routinely collected information at sexual health clinics includes data on demographics, sexual behaviour, wart diagnosis and (in a subset of clinics) HPV vaccination status. These data are extracted directly from patient management information systems at each clinic and are collated at the Kirby Institute (Callander et al. 2016).</w:t>
      </w:r>
    </w:p>
  </w:footnote>
  <w:footnote w:id="14">
    <w:p w14:paraId="0C92B4EC" w14:textId="77777777" w:rsidR="00B5194B" w:rsidRPr="00E6744B" w:rsidRDefault="00B5194B" w:rsidP="00B5194B">
      <w:pPr>
        <w:pStyle w:val="FootnoteText"/>
        <w:rPr>
          <w:rFonts w:ascii="Arial" w:hAnsi="Arial" w:cs="Arial"/>
        </w:rPr>
      </w:pPr>
      <w:r w:rsidRPr="00E6744B">
        <w:rPr>
          <w:rStyle w:val="FootnoteReference"/>
          <w:rFonts w:ascii="Arial" w:eastAsiaTheme="minorEastAsia" w:hAnsi="Arial" w:cs="Arial"/>
        </w:rPr>
        <w:footnoteRef/>
      </w:r>
      <w:r w:rsidRPr="00E6744B">
        <w:rPr>
          <w:rFonts w:ascii="Arial" w:hAnsi="Arial" w:cs="Arial"/>
        </w:rPr>
        <w:t xml:space="preserve"> </w:t>
      </w:r>
      <w:r w:rsidRPr="00E6744B">
        <w:rPr>
          <w:rFonts w:ascii="Arial" w:hAnsi="Arial" w:cs="Arial"/>
          <w:i/>
          <w:iCs/>
        </w:rPr>
        <w:t>Sentinel/funding-based research data collection.</w:t>
      </w:r>
    </w:p>
  </w:footnote>
  <w:footnote w:id="15">
    <w:p w14:paraId="15EE23C5" w14:textId="77777777" w:rsidR="00E6744B" w:rsidRDefault="00E6744B">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6">
    <w:p w14:paraId="6BB5DF6E" w14:textId="33CAA079" w:rsidR="00076F77" w:rsidRDefault="00076F77">
      <w:pPr>
        <w:pStyle w:val="FootnoteText"/>
      </w:pPr>
      <w:r>
        <w:rPr>
          <w:rStyle w:val="FootnoteReference"/>
        </w:rPr>
        <w:footnoteRef/>
      </w:r>
      <w:r>
        <w:t xml:space="preserve"> </w:t>
      </w:r>
      <w:r w:rsidRPr="001351E6">
        <w:rPr>
          <w:rFonts w:ascii="Arial" w:hAnsi="Arial" w:cs="Arial"/>
        </w:rPr>
        <w:t>This document uses the terms ‘participants’ when referring to data collected under the NCSP. For NSCP data, ‘participant’ refers to any person with a cervix. This may include transgender men, intersex people, and non-binary people.</w:t>
      </w:r>
    </w:p>
  </w:footnote>
  <w:footnote w:id="17">
    <w:p w14:paraId="1298598F" w14:textId="7CEF25C1" w:rsidR="00076F77" w:rsidRDefault="00076F77">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8">
    <w:p w14:paraId="1B1D775F" w14:textId="460B1B0E" w:rsidR="00AF28A4" w:rsidRDefault="00AF28A4">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19">
    <w:p w14:paraId="794AF365" w14:textId="42AE9D61" w:rsidR="00E5366A" w:rsidRDefault="00E5366A">
      <w:pPr>
        <w:pStyle w:val="FootnoteText"/>
      </w:pPr>
      <w:r>
        <w:rPr>
          <w:rStyle w:val="FootnoteReference"/>
        </w:rPr>
        <w:footnoteRef/>
      </w:r>
      <w:r>
        <w:t xml:space="preserve"> </w:t>
      </w:r>
      <w:r w:rsidRPr="001351E6">
        <w:rPr>
          <w:rFonts w:ascii="Arial" w:eastAsia="Calibri" w:hAnsi="Arial" w:cs="Arial"/>
          <w:i/>
          <w:iCs/>
        </w:rPr>
        <w:t>Routine national data collection</w:t>
      </w:r>
    </w:p>
  </w:footnote>
  <w:footnote w:id="20">
    <w:p w14:paraId="0447AF0E" w14:textId="77777777" w:rsidR="0092478E" w:rsidRPr="001351E6" w:rsidRDefault="0092478E" w:rsidP="0092478E">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1">
    <w:p w14:paraId="325CAB85" w14:textId="25B9090B" w:rsidR="00C327EC" w:rsidRDefault="00C327EC">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2">
    <w:p w14:paraId="75AE8393" w14:textId="77777777" w:rsidR="0092478E" w:rsidRPr="00193565" w:rsidRDefault="0092478E" w:rsidP="0092478E">
      <w:pPr>
        <w:pStyle w:val="FootnoteText"/>
        <w:rPr>
          <w:rFonts w:ascii="Arial" w:hAnsi="Arial" w:cs="Arial"/>
        </w:rPr>
      </w:pPr>
      <w:r w:rsidRPr="00193565">
        <w:rPr>
          <w:rStyle w:val="FootnoteReference"/>
          <w:rFonts w:eastAsiaTheme="minorEastAsia" w:cs="Arial"/>
        </w:rPr>
        <w:footnoteRef/>
      </w:r>
      <w:r w:rsidRPr="00193565">
        <w:rPr>
          <w:rFonts w:ascii="Arial" w:hAnsi="Arial" w:cs="Arial"/>
        </w:rPr>
        <w:t xml:space="preserve"> Includes anal, penile, vaginal and vulval cancers.</w:t>
      </w:r>
    </w:p>
  </w:footnote>
  <w:footnote w:id="23">
    <w:p w14:paraId="42FA917E" w14:textId="77777777" w:rsidR="0092478E" w:rsidRPr="00BA5F2B" w:rsidRDefault="0092478E" w:rsidP="0092478E">
      <w:pPr>
        <w:pStyle w:val="FootnoteText"/>
        <w:rPr>
          <w:rFonts w:ascii="Arial" w:hAnsi="Arial" w:cs="Arial"/>
          <w:sz w:val="16"/>
          <w:szCs w:val="16"/>
        </w:rPr>
      </w:pPr>
      <w:r w:rsidRPr="00193565">
        <w:rPr>
          <w:rStyle w:val="FootnoteReference"/>
          <w:rFonts w:eastAsiaTheme="minorEastAsia" w:cs="Arial"/>
        </w:rPr>
        <w:footnoteRef/>
      </w:r>
      <w:r w:rsidRPr="00193565">
        <w:rPr>
          <w:rFonts w:ascii="Arial" w:hAnsi="Arial" w:cs="Arial"/>
        </w:rPr>
        <w:t xml:space="preserve"> Includes base of the tongue and HPV related head and neck cancers.</w:t>
      </w:r>
    </w:p>
  </w:footnote>
  <w:footnote w:id="24">
    <w:p w14:paraId="41CD79AA" w14:textId="77777777" w:rsidR="0092478E" w:rsidRPr="001351E6" w:rsidRDefault="0092478E" w:rsidP="0092478E">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5">
    <w:p w14:paraId="33D0EBFD" w14:textId="16EC03C9" w:rsidR="002A3693" w:rsidRDefault="002A3693">
      <w:pPr>
        <w:pStyle w:val="FootnoteText"/>
      </w:pPr>
      <w:r>
        <w:rPr>
          <w:rStyle w:val="FootnoteReference"/>
        </w:rPr>
        <w:footnoteRef/>
      </w:r>
      <w:r>
        <w:t xml:space="preserve"> </w:t>
      </w:r>
      <w:r w:rsidRPr="001351E6">
        <w:rPr>
          <w:rFonts w:ascii="Arial" w:eastAsia="Calibri" w:hAnsi="Arial" w:cs="Arial"/>
          <w:i/>
          <w:iCs/>
        </w:rPr>
        <w:t>Routine national data collection</w:t>
      </w:r>
      <w:r w:rsidRPr="001351E6">
        <w:rPr>
          <w:rFonts w:ascii="Arial" w:eastAsia="Calibri" w:hAnsi="Arial" w:cs="Arial"/>
        </w:rPr>
        <w:t>.</w:t>
      </w:r>
    </w:p>
  </w:footnote>
  <w:footnote w:id="26">
    <w:p w14:paraId="04C84B8C" w14:textId="77777777" w:rsidR="003022ED" w:rsidRPr="001351E6" w:rsidRDefault="003022ED" w:rsidP="003022ED">
      <w:pPr>
        <w:pStyle w:val="FootnoteText"/>
        <w:rPr>
          <w:rFonts w:ascii="Arial" w:hAnsi="Arial" w:cs="Arial"/>
        </w:rPr>
      </w:pPr>
      <w:r w:rsidRPr="001351E6">
        <w:rPr>
          <w:rStyle w:val="FootnoteReference"/>
          <w:rFonts w:eastAsiaTheme="minorEastAsia" w:cs="Arial"/>
        </w:rPr>
        <w:footnoteRef/>
      </w:r>
      <w:r w:rsidRPr="001351E6">
        <w:rPr>
          <w:rFonts w:ascii="Arial" w:hAnsi="Arial" w:cs="Arial"/>
        </w:rPr>
        <w:t xml:space="preserve"> Includes anal, penile, vaginal and vulval cancers.</w:t>
      </w:r>
    </w:p>
  </w:footnote>
  <w:footnote w:id="27">
    <w:p w14:paraId="1306F368" w14:textId="77777777" w:rsidR="003022ED" w:rsidRPr="00BA5F2B" w:rsidRDefault="003022ED" w:rsidP="003022ED">
      <w:pPr>
        <w:pStyle w:val="FootnoteText"/>
        <w:rPr>
          <w:rFonts w:ascii="Arial" w:hAnsi="Arial" w:cs="Arial"/>
          <w:sz w:val="16"/>
          <w:szCs w:val="16"/>
        </w:rPr>
      </w:pPr>
      <w:r w:rsidRPr="001351E6">
        <w:rPr>
          <w:rStyle w:val="FootnoteReference"/>
          <w:rFonts w:eastAsiaTheme="minorEastAsia" w:cs="Arial"/>
        </w:rPr>
        <w:footnoteRef/>
      </w:r>
      <w:r w:rsidRPr="001351E6">
        <w:rPr>
          <w:rFonts w:ascii="Arial" w:hAnsi="Arial" w:cs="Arial"/>
        </w:rPr>
        <w:t xml:space="preserve"> Includes base of the tongue and HPV related head and neck cancers.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1FCD" w14:textId="1AF4DCC6" w:rsidR="00230422" w:rsidRDefault="00230422">
    <w:pPr>
      <w:pStyle w:val="Header"/>
    </w:pPr>
    <w:r>
      <w:rPr>
        <w:noProof/>
      </w:rPr>
      <mc:AlternateContent>
        <mc:Choice Requires="wps">
          <w:drawing>
            <wp:anchor distT="0" distB="0" distL="0" distR="0" simplePos="0" relativeHeight="251684864" behindDoc="0" locked="0" layoutInCell="1" allowOverlap="1" wp14:anchorId="3EC66465" wp14:editId="7399912A">
              <wp:simplePos x="635" y="635"/>
              <wp:positionH relativeFrom="page">
                <wp:align>center</wp:align>
              </wp:positionH>
              <wp:positionV relativeFrom="page">
                <wp:align>top</wp:align>
              </wp:positionV>
              <wp:extent cx="622300" cy="452755"/>
              <wp:effectExtent l="0" t="0" r="6350" b="4445"/>
              <wp:wrapNone/>
              <wp:docPr id="110450498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D970052" w14:textId="74F4134A"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C66465"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0D970052" w14:textId="74F4134A"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881FB" w14:textId="4476B3D2" w:rsidR="00230422" w:rsidRDefault="00005650">
    <w:pPr>
      <w:pStyle w:val="Header"/>
    </w:pPr>
    <w:r>
      <w:rPr>
        <w:noProof/>
      </w:rPr>
      <w:drawing>
        <wp:anchor distT="0" distB="0" distL="114300" distR="114300" simplePos="0" relativeHeight="251704320" behindDoc="1" locked="0" layoutInCell="1" allowOverlap="1" wp14:anchorId="18DD6977" wp14:editId="4B85B038">
          <wp:simplePos x="0" y="0"/>
          <wp:positionH relativeFrom="page">
            <wp:align>right</wp:align>
          </wp:positionH>
          <wp:positionV relativeFrom="paragraph">
            <wp:posOffset>-450777</wp:posOffset>
          </wp:positionV>
          <wp:extent cx="7547204" cy="10671858"/>
          <wp:effectExtent l="0" t="0" r="0" b="0"/>
          <wp:wrapNone/>
          <wp:docPr id="8228324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32424" name="Picture 822832424"/>
                  <pic:cNvPicPr/>
                </pic:nvPicPr>
                <pic:blipFill>
                  <a:blip r:embed="rId1">
                    <a:extLst>
                      <a:ext uri="{28A0092B-C50C-407E-A947-70E740481C1C}">
                        <a14:useLocalDpi xmlns:a14="http://schemas.microsoft.com/office/drawing/2010/main" val="0"/>
                      </a:ext>
                    </a:extLst>
                  </a:blip>
                  <a:stretch>
                    <a:fillRect/>
                  </a:stretch>
                </pic:blipFill>
                <pic:spPr>
                  <a:xfrm>
                    <a:off x="0" y="0"/>
                    <a:ext cx="7547204" cy="106718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DC4A" w14:textId="352F21A9" w:rsidR="00BB52C4" w:rsidRDefault="00230422">
    <w:pPr>
      <w:pStyle w:val="Header"/>
    </w:pPr>
    <w:r>
      <w:rPr>
        <w:noProof/>
      </w:rPr>
      <mc:AlternateContent>
        <mc:Choice Requires="wps">
          <w:drawing>
            <wp:anchor distT="0" distB="0" distL="0" distR="0" simplePos="0" relativeHeight="251687936" behindDoc="0" locked="0" layoutInCell="1" allowOverlap="1" wp14:anchorId="6C2B328C" wp14:editId="42AF0EED">
              <wp:simplePos x="635" y="635"/>
              <wp:positionH relativeFrom="page">
                <wp:align>center</wp:align>
              </wp:positionH>
              <wp:positionV relativeFrom="page">
                <wp:align>top</wp:align>
              </wp:positionV>
              <wp:extent cx="622300" cy="452755"/>
              <wp:effectExtent l="0" t="0" r="6350" b="4445"/>
              <wp:wrapNone/>
              <wp:docPr id="66412874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9919527" w14:textId="2113B989"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B328C" id="_x0000_t202" coordsize="21600,21600" o:spt="202" path="m,l,21600r21600,l21600,xe">
              <v:stroke joinstyle="miter"/>
              <v:path gradientshapeok="t" o:connecttype="rect"/>
            </v:shapetype>
            <v:shape id="Text Box 5" o:spid="_x0000_s1028" type="#_x0000_t202" alt="OFFICIAL" style="position:absolute;margin-left:0;margin-top:0;width:49pt;height:35.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gLDQIAABw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c9aeuKFlP3e6jPOJSDYd/e8k2LpbfMhyfmcMHYLYo2&#10;POIhFXQVhdGipAH342/+mI+8Y5SSDgVTUYOKpkR9M7iPqK1kzD/ni0iGm9z7yTBHfQcowzm+CMuT&#10;GfOCmkzpQL+gnNexEIaY4ViuomEy78KgXHwOXKzXKQllZFnYmp3lETrSFbl87l+YsyPhATf1AJOa&#10;WPmK9yE33vR2fQzIflpKpHYgcmQcJZjWOj6XqPFf/1PW9VGvfgI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kwWYCw0CAAAcBAAA&#10;DgAAAAAAAAAAAAAAAAAuAgAAZHJzL2Uyb0RvYy54bWxQSwECLQAUAAYACAAAACEARawYydkAAAAD&#10;AQAADwAAAAAAAAAAAAAAAABnBAAAZHJzL2Rvd25yZXYueG1sUEsFBgAAAAAEAAQA8wAAAG0FAAAA&#10;AA==&#10;" filled="f" stroked="f">
              <v:textbox style="mso-fit-shape-to-text:t" inset="0,15pt,0,0">
                <w:txbxContent>
                  <w:p w14:paraId="39919527" w14:textId="2113B989"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0B1C" w14:textId="42DE3EE8" w:rsidR="00BB52C4" w:rsidRDefault="00BB52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695AA" w14:textId="73514F97" w:rsidR="00BB52C4" w:rsidRDefault="00230422">
    <w:pPr>
      <w:pStyle w:val="Header"/>
    </w:pPr>
    <w:r>
      <w:rPr>
        <w:noProof/>
      </w:rPr>
      <mc:AlternateContent>
        <mc:Choice Requires="wps">
          <w:drawing>
            <wp:anchor distT="0" distB="0" distL="0" distR="0" simplePos="0" relativeHeight="251686912" behindDoc="0" locked="0" layoutInCell="1" allowOverlap="1" wp14:anchorId="1167406E" wp14:editId="7F80B9FD">
              <wp:simplePos x="635" y="635"/>
              <wp:positionH relativeFrom="page">
                <wp:align>center</wp:align>
              </wp:positionH>
              <wp:positionV relativeFrom="page">
                <wp:align>top</wp:align>
              </wp:positionV>
              <wp:extent cx="622300" cy="452755"/>
              <wp:effectExtent l="0" t="0" r="6350" b="4445"/>
              <wp:wrapNone/>
              <wp:docPr id="32062661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166ECA8" w14:textId="1491DD8C"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7406E" id="_x0000_t202" coordsize="21600,21600" o:spt="202" path="m,l,21600r21600,l21600,xe">
              <v:stroke joinstyle="miter"/>
              <v:path gradientshapeok="t" o:connecttype="rect"/>
            </v:shapetype>
            <v:shape id="Text Box 4" o:spid="_x0000_s1029" type="#_x0000_t202" alt="OFFICIAL" style="position:absolute;margin-left:0;margin-top:0;width:49pt;height:35.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roqNg0CAAAcBAAA&#10;DgAAAAAAAAAAAAAAAAAuAgAAZHJzL2Uyb0RvYy54bWxQSwECLQAUAAYACAAAACEARawYydkAAAAD&#10;AQAADwAAAAAAAAAAAAAAAABnBAAAZHJzL2Rvd25yZXYueG1sUEsFBgAAAAAEAAQA8wAAAG0FAAAA&#10;AA==&#10;" filled="f" stroked="f">
              <v:textbox style="mso-fit-shape-to-text:t" inset="0,15pt,0,0">
                <w:txbxContent>
                  <w:p w14:paraId="7166ECA8" w14:textId="1491DD8C" w:rsidR="00230422" w:rsidRPr="00230422" w:rsidRDefault="00230422" w:rsidP="00230422">
                    <w:pPr>
                      <w:spacing w:after="0"/>
                      <w:rPr>
                        <w:rFonts w:ascii="Aptos" w:eastAsia="Aptos" w:hAnsi="Aptos" w:cs="Aptos"/>
                        <w:noProof/>
                        <w:color w:val="FF0000"/>
                      </w:rPr>
                    </w:pPr>
                    <w:r w:rsidRPr="00230422">
                      <w:rPr>
                        <w:rFonts w:ascii="Aptos" w:eastAsia="Aptos" w:hAnsi="Aptos" w:cs="Aptos"/>
                        <w:noProof/>
                        <w:color w:val="FF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5F85" w14:textId="364C3465" w:rsidR="00A761AA" w:rsidRDefault="00A761AA">
    <w:pPr>
      <w:pStyle w:val="Header"/>
    </w:pPr>
    <w:r>
      <w:rPr>
        <w:noProof/>
        <w:color w:val="FFFFFF" w:themeColor="background1"/>
      </w:rPr>
      <w:drawing>
        <wp:anchor distT="0" distB="0" distL="114300" distR="114300" simplePos="0" relativeHeight="251703296" behindDoc="1" locked="0" layoutInCell="1" allowOverlap="1" wp14:anchorId="7E02D270" wp14:editId="0100B592">
          <wp:simplePos x="0" y="0"/>
          <wp:positionH relativeFrom="page">
            <wp:align>right</wp:align>
          </wp:positionH>
          <wp:positionV relativeFrom="paragraph">
            <wp:posOffset>-449637</wp:posOffset>
          </wp:positionV>
          <wp:extent cx="7536676" cy="10660284"/>
          <wp:effectExtent l="0" t="0" r="7620" b="8255"/>
          <wp:wrapNone/>
          <wp:docPr id="6953694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69435" name="Picture 695369435"/>
                  <pic:cNvPicPr/>
                </pic:nvPicPr>
                <pic:blipFill>
                  <a:blip r:embed="rId1">
                    <a:extLst>
                      <a:ext uri="{28A0092B-C50C-407E-A947-70E740481C1C}">
                        <a14:useLocalDpi xmlns:a14="http://schemas.microsoft.com/office/drawing/2010/main" val="0"/>
                      </a:ext>
                    </a:extLst>
                  </a:blip>
                  <a:stretch>
                    <a:fillRect/>
                  </a:stretch>
                </pic:blipFill>
                <pic:spPr>
                  <a:xfrm>
                    <a:off x="0" y="0"/>
                    <a:ext cx="7536676" cy="106602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B2BB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E8F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A624178"/>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DD94281A"/>
    <w:lvl w:ilvl="0">
      <w:start w:val="1"/>
      <w:numFmt w:val="bullet"/>
      <w:pStyle w:val="ListBullet5"/>
      <w:lvlText w:val=""/>
      <w:lvlJc w:val="left"/>
      <w:pPr>
        <w:ind w:left="1789" w:hanging="360"/>
      </w:pPr>
      <w:rPr>
        <w:rFonts w:ascii="Wingdings" w:hAnsi="Wingdings" w:hint="default"/>
      </w:rPr>
    </w:lvl>
  </w:abstractNum>
  <w:abstractNum w:abstractNumId="4" w15:restartNumberingAfterBreak="0">
    <w:nsid w:val="FFFFFF81"/>
    <w:multiLevelType w:val="singleLevel"/>
    <w:tmpl w:val="B20E3152"/>
    <w:lvl w:ilvl="0">
      <w:start w:val="1"/>
      <w:numFmt w:val="bullet"/>
      <w:pStyle w:val="ListBullet4"/>
      <w:lvlText w:val=""/>
      <w:lvlJc w:val="left"/>
      <w:pPr>
        <w:ind w:left="1789" w:hanging="360"/>
      </w:pPr>
      <w:rPr>
        <w:rFonts w:ascii="Wingdings" w:hAnsi="Wingdings" w:hint="default"/>
      </w:rPr>
    </w:lvl>
  </w:abstractNum>
  <w:abstractNum w:abstractNumId="5" w15:restartNumberingAfterBreak="0">
    <w:nsid w:val="FFFFFF82"/>
    <w:multiLevelType w:val="singleLevel"/>
    <w:tmpl w:val="5AC6C896"/>
    <w:lvl w:ilvl="0">
      <w:start w:val="1"/>
      <w:numFmt w:val="bullet"/>
      <w:pStyle w:val="ListBullet3"/>
      <w:lvlText w:val=""/>
      <w:lvlJc w:val="left"/>
      <w:pPr>
        <w:ind w:left="927" w:hanging="360"/>
      </w:pPr>
      <w:rPr>
        <w:rFonts w:ascii="Wingdings" w:hAnsi="Wingdings" w:hint="default"/>
      </w:rPr>
    </w:lvl>
  </w:abstractNum>
  <w:abstractNum w:abstractNumId="6" w15:restartNumberingAfterBreak="0">
    <w:nsid w:val="FFFFFF88"/>
    <w:multiLevelType w:val="singleLevel"/>
    <w:tmpl w:val="8EDAD38C"/>
    <w:lvl w:ilvl="0">
      <w:start w:val="1"/>
      <w:numFmt w:val="decimal"/>
      <w:pStyle w:val="ListNumber"/>
      <w:lvlText w:val="%1."/>
      <w:lvlJc w:val="left"/>
      <w:pPr>
        <w:ind w:left="717" w:hanging="360"/>
      </w:pPr>
    </w:lvl>
  </w:abstractNum>
  <w:abstractNum w:abstractNumId="7" w15:restartNumberingAfterBreak="0">
    <w:nsid w:val="FFFFFF89"/>
    <w:multiLevelType w:val="singleLevel"/>
    <w:tmpl w:val="0C14CA9A"/>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7932FD4"/>
    <w:multiLevelType w:val="hybridMultilevel"/>
    <w:tmpl w:val="707A6748"/>
    <w:lvl w:ilvl="0" w:tplc="557CF4DA">
      <w:start w:val="1"/>
      <w:numFmt w:val="decimal"/>
      <w:pStyle w:val="ListNumber2"/>
      <w:lvlText w:val="%1."/>
      <w:lvlJc w:val="left"/>
      <w:pPr>
        <w:ind w:left="107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08BC4FD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19021A"/>
    <w:multiLevelType w:val="multilevel"/>
    <w:tmpl w:val="861A156C"/>
    <w:lvl w:ilvl="0">
      <w:start w:val="3"/>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15:restartNumberingAfterBreak="0">
    <w:nsid w:val="15E23D41"/>
    <w:multiLevelType w:val="hybridMultilevel"/>
    <w:tmpl w:val="5470AA0E"/>
    <w:lvl w:ilvl="0" w:tplc="7564F708">
      <w:start w:val="1"/>
      <w:numFmt w:val="bullet"/>
      <w:pStyle w:val="Boxgreen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3D4CFC"/>
    <w:multiLevelType w:val="hybridMultilevel"/>
    <w:tmpl w:val="3E86F0E2"/>
    <w:lvl w:ilvl="0" w:tplc="62803022">
      <w:start w:val="1"/>
      <w:numFmt w:val="bullet"/>
      <w:pStyle w:val="ListBullet2"/>
      <w:lvlText w:val="o"/>
      <w:lvlJc w:val="left"/>
      <w:pPr>
        <w:ind w:left="598"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5357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CF1BC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F802566"/>
    <w:multiLevelType w:val="multilevel"/>
    <w:tmpl w:val="DC149FE0"/>
    <w:styleLink w:val="Bulletlist"/>
    <w:lvl w:ilvl="0">
      <w:start w:val="1"/>
      <w:numFmt w:val="bullet"/>
      <w:lvlText w:val=""/>
      <w:lvlJc w:val="left"/>
      <w:pPr>
        <w:ind w:left="720" w:hanging="360"/>
      </w:pPr>
      <w:rPr>
        <w:rFonts w:ascii="Symbol" w:hAnsi="Symbol"/>
        <w:kern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B32FF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AD83BAF"/>
    <w:multiLevelType w:val="hybridMultilevel"/>
    <w:tmpl w:val="C2D62DC6"/>
    <w:lvl w:ilvl="0" w:tplc="BB60FD04">
      <w:start w:val="1"/>
      <w:numFmt w:val="decimal"/>
      <w:pStyle w:val="Figuretitle"/>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B03EB5"/>
    <w:multiLevelType w:val="hybridMultilevel"/>
    <w:tmpl w:val="C3F2A288"/>
    <w:lvl w:ilvl="0" w:tplc="1CB23032">
      <w:start w:val="1"/>
      <w:numFmt w:val="bullet"/>
      <w:pStyle w:val="Copyrightbulletlis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3F5D089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7A6A7C"/>
    <w:multiLevelType w:val="multilevel"/>
    <w:tmpl w:val="6BB0AD12"/>
    <w:lvl w:ilvl="0">
      <w:start w:val="1"/>
      <w:numFmt w:val="decimal"/>
      <w:pStyle w:val="Heading1Numbering"/>
      <w:lvlText w:val="%1."/>
      <w:lvlJc w:val="left"/>
      <w:pPr>
        <w:ind w:left="360" w:hanging="360"/>
      </w:pPr>
    </w:lvl>
    <w:lvl w:ilvl="1">
      <w:start w:val="1"/>
      <w:numFmt w:val="decimal"/>
      <w:pStyle w:val="Heading2Numbering"/>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C6422CF"/>
    <w:multiLevelType w:val="hybridMultilevel"/>
    <w:tmpl w:val="31448B12"/>
    <w:lvl w:ilvl="0" w:tplc="CFC8E5C4">
      <w:start w:val="1"/>
      <w:numFmt w:val="bullet"/>
      <w:pStyle w:val="Boxpurp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820573"/>
    <w:multiLevelType w:val="hybridMultilevel"/>
    <w:tmpl w:val="3132B3A2"/>
    <w:lvl w:ilvl="0" w:tplc="C142832C">
      <w:start w:val="1"/>
      <w:numFmt w:val="decimal"/>
      <w:pStyle w:val="Tabletitle"/>
      <w:lvlText w:val="Table %1."/>
      <w:lvlJc w:val="left"/>
      <w:pPr>
        <w:tabs>
          <w:tab w:val="num" w:pos="1247"/>
        </w:tabs>
        <w:ind w:left="1247"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9611CA"/>
    <w:multiLevelType w:val="hybridMultilevel"/>
    <w:tmpl w:val="5F9AFDA8"/>
    <w:lvl w:ilvl="0" w:tplc="DD721704">
      <w:start w:val="7"/>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E33750E"/>
    <w:multiLevelType w:val="hybridMultilevel"/>
    <w:tmpl w:val="F454E07C"/>
    <w:lvl w:ilvl="0" w:tplc="928A354E">
      <w:start w:val="1"/>
      <w:numFmt w:val="bullet"/>
      <w:pStyle w:val="Boxreversedbulletgreen"/>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F573E0"/>
    <w:multiLevelType w:val="hybridMultilevel"/>
    <w:tmpl w:val="E5768A3C"/>
    <w:lvl w:ilvl="0" w:tplc="069619D2">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3662F"/>
    <w:multiLevelType w:val="multilevel"/>
    <w:tmpl w:val="CD1C52CE"/>
    <w:lvl w:ilvl="0">
      <w:start w:val="1"/>
      <w:numFmt w:val="decimal"/>
      <w:lvlText w:val="%1."/>
      <w:lvlJc w:val="left"/>
      <w:pPr>
        <w:ind w:left="1004" w:hanging="360"/>
      </w:pPr>
      <w:rPr>
        <w:rFonts w:hint="default"/>
        <w:b/>
        <w:i w:val="0"/>
      </w:rPr>
    </w:lvl>
    <w:lvl w:ilvl="1">
      <w:start w:val="1"/>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num w:numId="1" w16cid:durableId="1821144484">
    <w:abstractNumId w:val="23"/>
  </w:num>
  <w:num w:numId="2" w16cid:durableId="585654748">
    <w:abstractNumId w:val="13"/>
  </w:num>
  <w:num w:numId="3" w16cid:durableId="1674411436">
    <w:abstractNumId w:val="11"/>
  </w:num>
  <w:num w:numId="4" w16cid:durableId="197360763">
    <w:abstractNumId w:val="25"/>
  </w:num>
  <w:num w:numId="5" w16cid:durableId="301082524">
    <w:abstractNumId w:val="20"/>
  </w:num>
  <w:num w:numId="6" w16cid:durableId="1304575571">
    <w:abstractNumId w:val="28"/>
  </w:num>
  <w:num w:numId="7" w16cid:durableId="1936011906">
    <w:abstractNumId w:val="24"/>
  </w:num>
  <w:num w:numId="8" w16cid:durableId="440105350">
    <w:abstractNumId w:val="10"/>
  </w:num>
  <w:num w:numId="9" w16cid:durableId="1198277728">
    <w:abstractNumId w:val="7"/>
  </w:num>
  <w:num w:numId="10" w16cid:durableId="2090613127">
    <w:abstractNumId w:val="6"/>
  </w:num>
  <w:num w:numId="11" w16cid:durableId="1401974684">
    <w:abstractNumId w:val="6"/>
    <w:lvlOverride w:ilvl="0">
      <w:startOverride w:val="1"/>
    </w:lvlOverride>
  </w:num>
  <w:num w:numId="12" w16cid:durableId="158622999">
    <w:abstractNumId w:val="29"/>
  </w:num>
  <w:num w:numId="13" w16cid:durableId="1507209306">
    <w:abstractNumId w:val="15"/>
  </w:num>
  <w:num w:numId="14" w16cid:durableId="1175729152">
    <w:abstractNumId w:val="17"/>
  </w:num>
  <w:num w:numId="15" w16cid:durableId="2085518556">
    <w:abstractNumId w:val="9"/>
  </w:num>
  <w:num w:numId="16" w16cid:durableId="1017080493">
    <w:abstractNumId w:val="9"/>
  </w:num>
  <w:num w:numId="17" w16cid:durableId="1772967414">
    <w:abstractNumId w:val="14"/>
  </w:num>
  <w:num w:numId="18" w16cid:durableId="1866946162">
    <w:abstractNumId w:val="21"/>
  </w:num>
  <w:num w:numId="19" w16cid:durableId="20208972">
    <w:abstractNumId w:val="21"/>
  </w:num>
  <w:num w:numId="20" w16cid:durableId="359169033">
    <w:abstractNumId w:val="11"/>
  </w:num>
  <w:num w:numId="21" w16cid:durableId="994258579">
    <w:abstractNumId w:val="22"/>
  </w:num>
  <w:num w:numId="22" w16cid:durableId="1736051551">
    <w:abstractNumId w:val="27"/>
  </w:num>
  <w:num w:numId="23" w16cid:durableId="1655186013">
    <w:abstractNumId w:val="27"/>
  </w:num>
  <w:num w:numId="24" w16cid:durableId="1958293169">
    <w:abstractNumId w:val="16"/>
  </w:num>
  <w:num w:numId="25" w16cid:durableId="1893997327">
    <w:abstractNumId w:val="19"/>
  </w:num>
  <w:num w:numId="26" w16cid:durableId="1425148338">
    <w:abstractNumId w:val="13"/>
  </w:num>
  <w:num w:numId="27" w16cid:durableId="760567888">
    <w:abstractNumId w:val="25"/>
  </w:num>
  <w:num w:numId="28" w16cid:durableId="933173458">
    <w:abstractNumId w:val="18"/>
  </w:num>
  <w:num w:numId="29" w16cid:durableId="1766727883">
    <w:abstractNumId w:val="7"/>
  </w:num>
  <w:num w:numId="30" w16cid:durableId="1342590608">
    <w:abstractNumId w:val="8"/>
  </w:num>
  <w:num w:numId="31" w16cid:durableId="861476787">
    <w:abstractNumId w:val="12"/>
  </w:num>
  <w:num w:numId="32" w16cid:durableId="1893346230">
    <w:abstractNumId w:val="5"/>
  </w:num>
  <w:num w:numId="33" w16cid:durableId="1503469898">
    <w:abstractNumId w:val="4"/>
  </w:num>
  <w:num w:numId="34" w16cid:durableId="115684148">
    <w:abstractNumId w:val="4"/>
  </w:num>
  <w:num w:numId="35" w16cid:durableId="268664602">
    <w:abstractNumId w:val="3"/>
  </w:num>
  <w:num w:numId="36" w16cid:durableId="1053233858">
    <w:abstractNumId w:val="3"/>
  </w:num>
  <w:num w:numId="37" w16cid:durableId="1328752156">
    <w:abstractNumId w:val="6"/>
  </w:num>
  <w:num w:numId="38" w16cid:durableId="767120120">
    <w:abstractNumId w:val="2"/>
  </w:num>
  <w:num w:numId="39" w16cid:durableId="452941216">
    <w:abstractNumId w:val="2"/>
  </w:num>
  <w:num w:numId="40" w16cid:durableId="1743599205">
    <w:abstractNumId w:val="1"/>
  </w:num>
  <w:num w:numId="41" w16cid:durableId="905603652">
    <w:abstractNumId w:val="1"/>
  </w:num>
  <w:num w:numId="42" w16cid:durableId="255554557">
    <w:abstractNumId w:val="0"/>
  </w:num>
  <w:num w:numId="43" w16cid:durableId="2142140987">
    <w:abstractNumId w:val="0"/>
  </w:num>
  <w:num w:numId="44" w16cid:durableId="1795513792">
    <w:abstractNumId w:val="26"/>
  </w:num>
  <w:num w:numId="45" w16cid:durableId="1701928713">
    <w:abstractNumId w:val="12"/>
  </w:num>
  <w:num w:numId="46" w16cid:durableId="497693728">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37"/>
    <w:rsid w:val="00005650"/>
    <w:rsid w:val="00034EAE"/>
    <w:rsid w:val="0005594B"/>
    <w:rsid w:val="00060C71"/>
    <w:rsid w:val="0006150A"/>
    <w:rsid w:val="0006548B"/>
    <w:rsid w:val="00070267"/>
    <w:rsid w:val="00073914"/>
    <w:rsid w:val="00076F77"/>
    <w:rsid w:val="0009330C"/>
    <w:rsid w:val="000A1D6E"/>
    <w:rsid w:val="000B11A8"/>
    <w:rsid w:val="000B5D73"/>
    <w:rsid w:val="000C111F"/>
    <w:rsid w:val="000C1C59"/>
    <w:rsid w:val="000C3584"/>
    <w:rsid w:val="000C3804"/>
    <w:rsid w:val="000D78AF"/>
    <w:rsid w:val="000E0A96"/>
    <w:rsid w:val="000E5B49"/>
    <w:rsid w:val="000F6FA9"/>
    <w:rsid w:val="001013B3"/>
    <w:rsid w:val="001130A7"/>
    <w:rsid w:val="00121E5A"/>
    <w:rsid w:val="0012347A"/>
    <w:rsid w:val="001376B2"/>
    <w:rsid w:val="00142341"/>
    <w:rsid w:val="0014344E"/>
    <w:rsid w:val="00143CD7"/>
    <w:rsid w:val="001511C8"/>
    <w:rsid w:val="00151AF0"/>
    <w:rsid w:val="00164FCC"/>
    <w:rsid w:val="00171E66"/>
    <w:rsid w:val="00190268"/>
    <w:rsid w:val="00192F08"/>
    <w:rsid w:val="00197EA3"/>
    <w:rsid w:val="001A42B8"/>
    <w:rsid w:val="001B20D4"/>
    <w:rsid w:val="001C3090"/>
    <w:rsid w:val="001D3FAE"/>
    <w:rsid w:val="001E7087"/>
    <w:rsid w:val="001E7759"/>
    <w:rsid w:val="00205DEC"/>
    <w:rsid w:val="00230422"/>
    <w:rsid w:val="002372EF"/>
    <w:rsid w:val="00250D17"/>
    <w:rsid w:val="00257D46"/>
    <w:rsid w:val="002718B8"/>
    <w:rsid w:val="00276C06"/>
    <w:rsid w:val="00290CCF"/>
    <w:rsid w:val="002A3693"/>
    <w:rsid w:val="002A48D3"/>
    <w:rsid w:val="002C2638"/>
    <w:rsid w:val="002C4566"/>
    <w:rsid w:val="002D4C48"/>
    <w:rsid w:val="002D6416"/>
    <w:rsid w:val="002E0E53"/>
    <w:rsid w:val="002F023F"/>
    <w:rsid w:val="002F2659"/>
    <w:rsid w:val="003022ED"/>
    <w:rsid w:val="00332EC6"/>
    <w:rsid w:val="00333637"/>
    <w:rsid w:val="0034618E"/>
    <w:rsid w:val="00346C59"/>
    <w:rsid w:val="00354484"/>
    <w:rsid w:val="0035540E"/>
    <w:rsid w:val="00362029"/>
    <w:rsid w:val="00363D9D"/>
    <w:rsid w:val="00371E88"/>
    <w:rsid w:val="00376096"/>
    <w:rsid w:val="003804AA"/>
    <w:rsid w:val="0038620A"/>
    <w:rsid w:val="00392A4D"/>
    <w:rsid w:val="003A4F09"/>
    <w:rsid w:val="003D46DC"/>
    <w:rsid w:val="003E1852"/>
    <w:rsid w:val="003F7CF4"/>
    <w:rsid w:val="00411820"/>
    <w:rsid w:val="00412F8F"/>
    <w:rsid w:val="0042084A"/>
    <w:rsid w:val="00434E09"/>
    <w:rsid w:val="00436F14"/>
    <w:rsid w:val="00446D93"/>
    <w:rsid w:val="004567CE"/>
    <w:rsid w:val="004614C7"/>
    <w:rsid w:val="00473909"/>
    <w:rsid w:val="0047404C"/>
    <w:rsid w:val="00475B13"/>
    <w:rsid w:val="0047616C"/>
    <w:rsid w:val="0047786C"/>
    <w:rsid w:val="00487535"/>
    <w:rsid w:val="004A1B3A"/>
    <w:rsid w:val="004A4919"/>
    <w:rsid w:val="004B339D"/>
    <w:rsid w:val="004B4208"/>
    <w:rsid w:val="004B5F34"/>
    <w:rsid w:val="004C5188"/>
    <w:rsid w:val="004E24FE"/>
    <w:rsid w:val="004E4C50"/>
    <w:rsid w:val="004E73C4"/>
    <w:rsid w:val="005035B6"/>
    <w:rsid w:val="005355AC"/>
    <w:rsid w:val="00542C3A"/>
    <w:rsid w:val="00544494"/>
    <w:rsid w:val="005724E6"/>
    <w:rsid w:val="00580ABD"/>
    <w:rsid w:val="005871E3"/>
    <w:rsid w:val="00590F0B"/>
    <w:rsid w:val="00592F8F"/>
    <w:rsid w:val="005A18C3"/>
    <w:rsid w:val="005A4C76"/>
    <w:rsid w:val="005B452C"/>
    <w:rsid w:val="005D4673"/>
    <w:rsid w:val="00600367"/>
    <w:rsid w:val="006073D8"/>
    <w:rsid w:val="00610C6B"/>
    <w:rsid w:val="006135A5"/>
    <w:rsid w:val="006347B6"/>
    <w:rsid w:val="006401ED"/>
    <w:rsid w:val="006738DC"/>
    <w:rsid w:val="006965D7"/>
    <w:rsid w:val="00697388"/>
    <w:rsid w:val="006B0C38"/>
    <w:rsid w:val="006C3FA9"/>
    <w:rsid w:val="006C5BF4"/>
    <w:rsid w:val="006F520E"/>
    <w:rsid w:val="006F5D1F"/>
    <w:rsid w:val="00700FB1"/>
    <w:rsid w:val="00710C7D"/>
    <w:rsid w:val="00721C74"/>
    <w:rsid w:val="0072553E"/>
    <w:rsid w:val="007479A4"/>
    <w:rsid w:val="00753037"/>
    <w:rsid w:val="00767EC5"/>
    <w:rsid w:val="00773250"/>
    <w:rsid w:val="00773CB0"/>
    <w:rsid w:val="007845AC"/>
    <w:rsid w:val="00792CE3"/>
    <w:rsid w:val="0079564E"/>
    <w:rsid w:val="007B6485"/>
    <w:rsid w:val="007C249B"/>
    <w:rsid w:val="007C5A8E"/>
    <w:rsid w:val="007D6010"/>
    <w:rsid w:val="007E596F"/>
    <w:rsid w:val="00802DCB"/>
    <w:rsid w:val="00805C86"/>
    <w:rsid w:val="008065B4"/>
    <w:rsid w:val="00806780"/>
    <w:rsid w:val="00814A9A"/>
    <w:rsid w:val="00815037"/>
    <w:rsid w:val="00834135"/>
    <w:rsid w:val="00852237"/>
    <w:rsid w:val="0085426C"/>
    <w:rsid w:val="0086146C"/>
    <w:rsid w:val="00866387"/>
    <w:rsid w:val="00873800"/>
    <w:rsid w:val="008754EE"/>
    <w:rsid w:val="00880E58"/>
    <w:rsid w:val="0088261B"/>
    <w:rsid w:val="008C1EBF"/>
    <w:rsid w:val="008C4020"/>
    <w:rsid w:val="008C467F"/>
    <w:rsid w:val="008D384E"/>
    <w:rsid w:val="008E761A"/>
    <w:rsid w:val="008F18A1"/>
    <w:rsid w:val="008F71C2"/>
    <w:rsid w:val="00902E7B"/>
    <w:rsid w:val="0090477D"/>
    <w:rsid w:val="00921403"/>
    <w:rsid w:val="0092478E"/>
    <w:rsid w:val="00940FA9"/>
    <w:rsid w:val="00962765"/>
    <w:rsid w:val="009752F5"/>
    <w:rsid w:val="00994861"/>
    <w:rsid w:val="009A2D21"/>
    <w:rsid w:val="009B35E5"/>
    <w:rsid w:val="009B3D75"/>
    <w:rsid w:val="009C441B"/>
    <w:rsid w:val="009D139D"/>
    <w:rsid w:val="009D2175"/>
    <w:rsid w:val="009D3BBD"/>
    <w:rsid w:val="009E6A90"/>
    <w:rsid w:val="00A0443D"/>
    <w:rsid w:val="00A078FA"/>
    <w:rsid w:val="00A13E72"/>
    <w:rsid w:val="00A31DF8"/>
    <w:rsid w:val="00A32DB0"/>
    <w:rsid w:val="00A508F3"/>
    <w:rsid w:val="00A5635F"/>
    <w:rsid w:val="00A61637"/>
    <w:rsid w:val="00A74B5B"/>
    <w:rsid w:val="00A761AA"/>
    <w:rsid w:val="00A7651D"/>
    <w:rsid w:val="00A7716A"/>
    <w:rsid w:val="00A81A9E"/>
    <w:rsid w:val="00A935A2"/>
    <w:rsid w:val="00AA21AA"/>
    <w:rsid w:val="00AA5A34"/>
    <w:rsid w:val="00AB1146"/>
    <w:rsid w:val="00AC7889"/>
    <w:rsid w:val="00AD7FD7"/>
    <w:rsid w:val="00AE68D4"/>
    <w:rsid w:val="00AF28A4"/>
    <w:rsid w:val="00AF6D18"/>
    <w:rsid w:val="00B0680D"/>
    <w:rsid w:val="00B23180"/>
    <w:rsid w:val="00B24D8E"/>
    <w:rsid w:val="00B2779B"/>
    <w:rsid w:val="00B34802"/>
    <w:rsid w:val="00B357B1"/>
    <w:rsid w:val="00B5194B"/>
    <w:rsid w:val="00B527D9"/>
    <w:rsid w:val="00B57F18"/>
    <w:rsid w:val="00B6174F"/>
    <w:rsid w:val="00B77915"/>
    <w:rsid w:val="00B808E4"/>
    <w:rsid w:val="00B96E37"/>
    <w:rsid w:val="00B970F2"/>
    <w:rsid w:val="00B97F76"/>
    <w:rsid w:val="00BA5BA6"/>
    <w:rsid w:val="00BB16FF"/>
    <w:rsid w:val="00BB52C4"/>
    <w:rsid w:val="00BD2E2D"/>
    <w:rsid w:val="00BD512E"/>
    <w:rsid w:val="00BD640A"/>
    <w:rsid w:val="00BF19BE"/>
    <w:rsid w:val="00BF1A21"/>
    <w:rsid w:val="00C01ACA"/>
    <w:rsid w:val="00C0678C"/>
    <w:rsid w:val="00C14BF9"/>
    <w:rsid w:val="00C173E2"/>
    <w:rsid w:val="00C20DB4"/>
    <w:rsid w:val="00C327EC"/>
    <w:rsid w:val="00C36354"/>
    <w:rsid w:val="00C42953"/>
    <w:rsid w:val="00C47BE5"/>
    <w:rsid w:val="00C56419"/>
    <w:rsid w:val="00C64F5F"/>
    <w:rsid w:val="00C835F9"/>
    <w:rsid w:val="00C878F9"/>
    <w:rsid w:val="00C92173"/>
    <w:rsid w:val="00CA11E3"/>
    <w:rsid w:val="00CA3EB3"/>
    <w:rsid w:val="00CA76F2"/>
    <w:rsid w:val="00CD10C1"/>
    <w:rsid w:val="00CD49E0"/>
    <w:rsid w:val="00CE2689"/>
    <w:rsid w:val="00D11C1A"/>
    <w:rsid w:val="00D15279"/>
    <w:rsid w:val="00D17441"/>
    <w:rsid w:val="00D31B0A"/>
    <w:rsid w:val="00D37F9E"/>
    <w:rsid w:val="00D457A3"/>
    <w:rsid w:val="00D52DF0"/>
    <w:rsid w:val="00D67B05"/>
    <w:rsid w:val="00DA2731"/>
    <w:rsid w:val="00DA5A9B"/>
    <w:rsid w:val="00DA628E"/>
    <w:rsid w:val="00DB006C"/>
    <w:rsid w:val="00DC23C5"/>
    <w:rsid w:val="00DD7044"/>
    <w:rsid w:val="00DE16A2"/>
    <w:rsid w:val="00DE4DAC"/>
    <w:rsid w:val="00DF2FEA"/>
    <w:rsid w:val="00E20A3A"/>
    <w:rsid w:val="00E24EC8"/>
    <w:rsid w:val="00E26B14"/>
    <w:rsid w:val="00E33E09"/>
    <w:rsid w:val="00E3603A"/>
    <w:rsid w:val="00E4279C"/>
    <w:rsid w:val="00E5366A"/>
    <w:rsid w:val="00E5389A"/>
    <w:rsid w:val="00E61E52"/>
    <w:rsid w:val="00E6744B"/>
    <w:rsid w:val="00E82CC9"/>
    <w:rsid w:val="00E83271"/>
    <w:rsid w:val="00E9658C"/>
    <w:rsid w:val="00EB237D"/>
    <w:rsid w:val="00EC4F7A"/>
    <w:rsid w:val="00ED2E9E"/>
    <w:rsid w:val="00F20CF8"/>
    <w:rsid w:val="00F40769"/>
    <w:rsid w:val="00F51C90"/>
    <w:rsid w:val="00F57494"/>
    <w:rsid w:val="00F94457"/>
    <w:rsid w:val="00F973AF"/>
    <w:rsid w:val="00FA11C2"/>
    <w:rsid w:val="00FA2EA9"/>
    <w:rsid w:val="00FB52EB"/>
    <w:rsid w:val="00FC24E7"/>
    <w:rsid w:val="00FE12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1F3A1"/>
  <w15:chartTrackingRefBased/>
  <w15:docId w15:val="{044F056F-BB0D-4023-A868-D061A38F3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213"/>
    <w:pPr>
      <w:spacing w:after="160" w:line="276" w:lineRule="auto"/>
    </w:pPr>
    <w:rPr>
      <w:rFonts w:ascii="Segoe UI" w:hAnsi="Segoe UI"/>
    </w:rPr>
  </w:style>
  <w:style w:type="paragraph" w:styleId="Heading1">
    <w:name w:val="heading 1"/>
    <w:basedOn w:val="Normal"/>
    <w:next w:val="Normal"/>
    <w:link w:val="Heading1Char"/>
    <w:uiPriority w:val="9"/>
    <w:qFormat/>
    <w:rsid w:val="00773250"/>
    <w:pPr>
      <w:keepNext/>
      <w:keepLines/>
      <w:pBdr>
        <w:bottom w:val="single" w:sz="12" w:space="6" w:color="00DCA1" w:themeColor="background2"/>
      </w:pBdr>
      <w:spacing w:before="240" w:line="240" w:lineRule="auto"/>
      <w:outlineLvl w:val="0"/>
    </w:pPr>
    <w:rPr>
      <w:rFonts w:eastAsiaTheme="majorEastAsia" w:cs="Segoe UI"/>
      <w:b/>
      <w:color w:val="025F5D"/>
      <w:sz w:val="40"/>
      <w:szCs w:val="72"/>
    </w:rPr>
  </w:style>
  <w:style w:type="paragraph" w:styleId="Heading2">
    <w:name w:val="heading 2"/>
    <w:basedOn w:val="Normal"/>
    <w:next w:val="Normal"/>
    <w:link w:val="Heading2Char"/>
    <w:uiPriority w:val="9"/>
    <w:unhideWhenUsed/>
    <w:qFormat/>
    <w:rsid w:val="00773250"/>
    <w:pPr>
      <w:keepNext/>
      <w:keepLines/>
      <w:spacing w:before="360" w:line="240" w:lineRule="auto"/>
      <w:outlineLvl w:val="1"/>
    </w:pPr>
    <w:rPr>
      <w:rFonts w:eastAsiaTheme="majorEastAsia" w:cstheme="majorBidi"/>
      <w:b/>
      <w:color w:val="025F5D"/>
      <w:sz w:val="36"/>
      <w:szCs w:val="36"/>
    </w:rPr>
  </w:style>
  <w:style w:type="paragraph" w:styleId="Heading3">
    <w:name w:val="heading 3"/>
    <w:basedOn w:val="Normal"/>
    <w:next w:val="Normal"/>
    <w:link w:val="Heading3Char"/>
    <w:uiPriority w:val="9"/>
    <w:unhideWhenUsed/>
    <w:qFormat/>
    <w:rsid w:val="00773250"/>
    <w:pPr>
      <w:keepNext/>
      <w:keepLines/>
      <w:spacing w:before="360"/>
      <w:outlineLvl w:val="2"/>
    </w:pPr>
    <w:rPr>
      <w:rFonts w:eastAsiaTheme="majorEastAsia" w:cstheme="majorBidi"/>
      <w:b/>
      <w:bCs/>
      <w:color w:val="025F5D"/>
      <w:sz w:val="32"/>
      <w:szCs w:val="40"/>
    </w:rPr>
  </w:style>
  <w:style w:type="paragraph" w:styleId="Heading4">
    <w:name w:val="heading 4"/>
    <w:basedOn w:val="Normal"/>
    <w:next w:val="Normal"/>
    <w:link w:val="Heading4Char"/>
    <w:uiPriority w:val="9"/>
    <w:unhideWhenUsed/>
    <w:qFormat/>
    <w:rsid w:val="00773250"/>
    <w:pPr>
      <w:keepNext/>
      <w:keepLines/>
      <w:spacing w:before="240"/>
      <w:outlineLvl w:val="3"/>
    </w:pPr>
    <w:rPr>
      <w:rFonts w:eastAsiaTheme="majorEastAsia" w:cstheme="majorBidi"/>
      <w:b/>
      <w:bCs/>
      <w:iCs/>
      <w:color w:val="025F5D"/>
      <w:sz w:val="28"/>
      <w:szCs w:val="36"/>
    </w:rPr>
  </w:style>
  <w:style w:type="paragraph" w:styleId="Heading5">
    <w:name w:val="heading 5"/>
    <w:basedOn w:val="Normal"/>
    <w:next w:val="Normal"/>
    <w:link w:val="Heading5Char"/>
    <w:uiPriority w:val="9"/>
    <w:unhideWhenUsed/>
    <w:qFormat/>
    <w:rsid w:val="00773250"/>
    <w:pPr>
      <w:keepNext/>
      <w:keepLines/>
      <w:spacing w:before="240"/>
      <w:outlineLvl w:val="4"/>
    </w:pPr>
    <w:rPr>
      <w:rFonts w:ascii="Segoe UI Semibold" w:eastAsiaTheme="majorEastAsia" w:hAnsi="Segoe UI Semibold" w:cstheme="majorBidi"/>
      <w:sz w:val="28"/>
      <w:szCs w:val="28"/>
    </w:rPr>
  </w:style>
  <w:style w:type="paragraph" w:styleId="Heading6">
    <w:name w:val="heading 6"/>
    <w:basedOn w:val="Normal"/>
    <w:next w:val="Normal"/>
    <w:link w:val="Heading6Char"/>
    <w:uiPriority w:val="9"/>
    <w:unhideWhenUsed/>
    <w:qFormat/>
    <w:rsid w:val="00773250"/>
    <w:pPr>
      <w:keepNext/>
      <w:keepLines/>
      <w:outlineLvl w:val="5"/>
    </w:pPr>
    <w:rPr>
      <w:rFonts w:ascii="Segoe UI Semibold" w:eastAsiaTheme="majorEastAsia" w:hAnsi="Segoe UI Semibold" w:cs="Segoe UI Semibold"/>
      <w:iCs/>
      <w:color w:val="000000" w:themeColor="text1"/>
      <w:szCs w:val="28"/>
    </w:rPr>
  </w:style>
  <w:style w:type="paragraph" w:styleId="Heading7">
    <w:name w:val="heading 7"/>
    <w:basedOn w:val="Normal"/>
    <w:next w:val="Normal"/>
    <w:link w:val="Heading7Char"/>
    <w:uiPriority w:val="9"/>
    <w:unhideWhenUsed/>
    <w:qFormat/>
    <w:rsid w:val="00773250"/>
    <w:pPr>
      <w:keepNext/>
      <w:keepLines/>
      <w:spacing w:before="40"/>
      <w:outlineLvl w:val="6"/>
    </w:pPr>
    <w:rPr>
      <w:rFonts w:ascii="Segoe UI Semibold" w:eastAsiaTheme="majorEastAsia" w:hAnsi="Segoe UI Semibold" w:cs="Segoe UI Semibold"/>
      <w:iCs/>
      <w:color w:val="025F5D"/>
    </w:rPr>
  </w:style>
  <w:style w:type="paragraph" w:styleId="Heading8">
    <w:name w:val="heading 8"/>
    <w:basedOn w:val="Normal"/>
    <w:next w:val="Normal"/>
    <w:link w:val="Heading8Char"/>
    <w:uiPriority w:val="9"/>
    <w:semiHidden/>
    <w:unhideWhenUsed/>
    <w:qFormat/>
    <w:rsid w:val="00773250"/>
    <w:pPr>
      <w:keepNext/>
      <w:keepLines/>
      <w:spacing w:before="4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773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250"/>
    <w:rPr>
      <w:rFonts w:ascii="Segoe UI" w:eastAsiaTheme="majorEastAsia" w:hAnsi="Segoe UI" w:cs="Segoe UI"/>
      <w:b/>
      <w:color w:val="025F5D"/>
      <w:sz w:val="40"/>
      <w:szCs w:val="72"/>
    </w:rPr>
  </w:style>
  <w:style w:type="paragraph" w:styleId="NoSpacing">
    <w:name w:val="No Spacing"/>
    <w:uiPriority w:val="1"/>
    <w:qFormat/>
    <w:rsid w:val="00773250"/>
    <w:pPr>
      <w:spacing w:line="276" w:lineRule="auto"/>
    </w:pPr>
    <w:rPr>
      <w:rFonts w:ascii="Segoe UI" w:hAnsi="Segoe UI"/>
    </w:rPr>
  </w:style>
  <w:style w:type="character" w:customStyle="1" w:styleId="Heading2Char">
    <w:name w:val="Heading 2 Char"/>
    <w:basedOn w:val="DefaultParagraphFont"/>
    <w:link w:val="Heading2"/>
    <w:uiPriority w:val="9"/>
    <w:rsid w:val="00773250"/>
    <w:rPr>
      <w:rFonts w:ascii="Segoe UI" w:eastAsiaTheme="majorEastAsia" w:hAnsi="Segoe UI" w:cstheme="majorBidi"/>
      <w:b/>
      <w:color w:val="025F5D"/>
      <w:sz w:val="36"/>
      <w:szCs w:val="36"/>
    </w:rPr>
  </w:style>
  <w:style w:type="paragraph" w:styleId="Title">
    <w:name w:val="Title"/>
    <w:basedOn w:val="Normal"/>
    <w:next w:val="Normal"/>
    <w:link w:val="TitleChar"/>
    <w:uiPriority w:val="10"/>
    <w:qFormat/>
    <w:rsid w:val="007D6010"/>
    <w:pPr>
      <w:spacing w:before="800" w:after="100" w:afterAutospacing="1" w:line="240" w:lineRule="auto"/>
      <w:contextualSpacing/>
    </w:pPr>
    <w:rPr>
      <w:rFonts w:ascii="Segoe UI Semibold" w:eastAsiaTheme="majorEastAsia" w:hAnsi="Segoe UI Semibold" w:cs="Segoe UI Semibold"/>
      <w:bCs/>
      <w:spacing w:val="-10"/>
      <w:kern w:val="28"/>
      <w:sz w:val="56"/>
      <w:szCs w:val="56"/>
    </w:rPr>
  </w:style>
  <w:style w:type="character" w:customStyle="1" w:styleId="TitleChar">
    <w:name w:val="Title Char"/>
    <w:basedOn w:val="DefaultParagraphFont"/>
    <w:link w:val="Title"/>
    <w:uiPriority w:val="10"/>
    <w:rsid w:val="007D6010"/>
    <w:rPr>
      <w:rFonts w:ascii="Segoe UI Semibold" w:eastAsiaTheme="majorEastAsia" w:hAnsi="Segoe UI Semibold" w:cs="Segoe UI Semibold"/>
      <w:bCs/>
      <w:spacing w:val="-10"/>
      <w:kern w:val="28"/>
      <w:sz w:val="56"/>
      <w:szCs w:val="56"/>
    </w:rPr>
  </w:style>
  <w:style w:type="paragraph" w:styleId="Subtitle">
    <w:name w:val="Subtitle"/>
    <w:basedOn w:val="Normal"/>
    <w:next w:val="Normal"/>
    <w:link w:val="SubtitleChar"/>
    <w:uiPriority w:val="11"/>
    <w:qFormat/>
    <w:rsid w:val="00773250"/>
    <w:pPr>
      <w:numPr>
        <w:ilvl w:val="1"/>
      </w:numPr>
      <w:spacing w:before="100" w:beforeAutospacing="1" w:after="100" w:afterAutospacing="1" w:line="240" w:lineRule="auto"/>
    </w:pPr>
    <w:rPr>
      <w:rFonts w:ascii="Segoe UI Semibold" w:eastAsiaTheme="minorEastAsia" w:hAnsi="Segoe UI Semibold" w:cs="Times New Roman (Body CS)"/>
      <w:sz w:val="40"/>
      <w:szCs w:val="22"/>
    </w:rPr>
  </w:style>
  <w:style w:type="character" w:customStyle="1" w:styleId="SubtitleChar">
    <w:name w:val="Subtitle Char"/>
    <w:basedOn w:val="DefaultParagraphFont"/>
    <w:link w:val="Subtitle"/>
    <w:uiPriority w:val="11"/>
    <w:rsid w:val="00773250"/>
    <w:rPr>
      <w:rFonts w:ascii="Segoe UI Semibold" w:eastAsiaTheme="minorEastAsia" w:hAnsi="Segoe UI Semibold" w:cs="Times New Roman (Body CS)"/>
      <w:sz w:val="40"/>
      <w:szCs w:val="22"/>
    </w:rPr>
  </w:style>
  <w:style w:type="character" w:styleId="SubtleEmphasis">
    <w:name w:val="Subtle Emphasis"/>
    <w:basedOn w:val="DefaultParagraphFont"/>
    <w:uiPriority w:val="19"/>
    <w:qFormat/>
    <w:rsid w:val="00773250"/>
    <w:rPr>
      <w:rFonts w:ascii="Segoe UI" w:hAnsi="Segoe UI"/>
      <w:i/>
      <w:iCs/>
      <w:color w:val="404040" w:themeColor="text1" w:themeTint="BF"/>
    </w:rPr>
  </w:style>
  <w:style w:type="character" w:styleId="Emphasis">
    <w:name w:val="Emphasis"/>
    <w:basedOn w:val="DefaultParagraphFont"/>
    <w:qFormat/>
    <w:rsid w:val="00773250"/>
    <w:rPr>
      <w:rFonts w:ascii="Segoe UI" w:hAnsi="Segoe UI"/>
      <w:i/>
      <w:iCs/>
    </w:rPr>
  </w:style>
  <w:style w:type="character" w:styleId="IntenseEmphasis">
    <w:name w:val="Intense Emphasis"/>
    <w:basedOn w:val="DefaultParagraphFont"/>
    <w:uiPriority w:val="21"/>
    <w:rsid w:val="00773250"/>
    <w:rPr>
      <w:rFonts w:ascii="Segoe UI" w:hAnsi="Segoe UI"/>
      <w:i/>
      <w:iCs/>
      <w:color w:val="025F5D"/>
      <w:bdr w:val="none" w:sz="0" w:space="0" w:color="auto"/>
    </w:rPr>
  </w:style>
  <w:style w:type="character" w:styleId="Strong">
    <w:name w:val="Strong"/>
    <w:basedOn w:val="DefaultParagraphFont"/>
    <w:uiPriority w:val="22"/>
    <w:qFormat/>
    <w:rsid w:val="00773250"/>
    <w:rPr>
      <w:b/>
      <w:bCs/>
    </w:rPr>
  </w:style>
  <w:style w:type="paragraph" w:styleId="Quote">
    <w:name w:val="Quote"/>
    <w:basedOn w:val="Normal"/>
    <w:next w:val="Normal"/>
    <w:link w:val="QuoteChar"/>
    <w:uiPriority w:val="29"/>
    <w:qFormat/>
    <w:rsid w:val="00773250"/>
    <w:pPr>
      <w:spacing w:before="200"/>
      <w:ind w:left="864" w:right="864"/>
      <w:jc w:val="center"/>
    </w:pPr>
    <w:rPr>
      <w:iCs/>
      <w:color w:val="025F5D"/>
      <w:sz w:val="28"/>
    </w:rPr>
  </w:style>
  <w:style w:type="character" w:customStyle="1" w:styleId="QuoteChar">
    <w:name w:val="Quote Char"/>
    <w:basedOn w:val="DefaultParagraphFont"/>
    <w:link w:val="Quote"/>
    <w:uiPriority w:val="29"/>
    <w:rsid w:val="00773250"/>
    <w:rPr>
      <w:rFonts w:ascii="Segoe UI" w:hAnsi="Segoe UI"/>
      <w:iCs/>
      <w:color w:val="025F5D"/>
      <w:sz w:val="28"/>
    </w:rPr>
  </w:style>
  <w:style w:type="paragraph" w:styleId="IntenseQuote">
    <w:name w:val="Intense Quote"/>
    <w:basedOn w:val="Normal"/>
    <w:next w:val="Normal"/>
    <w:link w:val="IntenseQuoteChar"/>
    <w:uiPriority w:val="30"/>
    <w:qFormat/>
    <w:rsid w:val="00773250"/>
    <w:pPr>
      <w:pBdr>
        <w:top w:val="single" w:sz="4" w:space="10" w:color="00DCA1" w:themeColor="background2"/>
        <w:bottom w:val="single" w:sz="4" w:space="10" w:color="00DCA1" w:themeColor="background2"/>
      </w:pBdr>
      <w:spacing w:before="360" w:after="360"/>
      <w:ind w:left="1418" w:right="1418"/>
    </w:pPr>
    <w:rPr>
      <w:rFonts w:ascii="Segoe UI Semibold" w:hAnsi="Segoe UI Semibold"/>
      <w:iCs/>
      <w:color w:val="025F5D"/>
      <w:sz w:val="28"/>
    </w:rPr>
  </w:style>
  <w:style w:type="character" w:customStyle="1" w:styleId="IntenseQuoteChar">
    <w:name w:val="Intense Quote Char"/>
    <w:basedOn w:val="DefaultParagraphFont"/>
    <w:link w:val="IntenseQuote"/>
    <w:uiPriority w:val="30"/>
    <w:rsid w:val="00773250"/>
    <w:rPr>
      <w:rFonts w:ascii="Segoe UI Semibold" w:hAnsi="Segoe UI Semibold"/>
      <w:iCs/>
      <w:color w:val="025F5D"/>
      <w:sz w:val="28"/>
    </w:rPr>
  </w:style>
  <w:style w:type="character" w:customStyle="1" w:styleId="Heading3Char">
    <w:name w:val="Heading 3 Char"/>
    <w:basedOn w:val="DefaultParagraphFont"/>
    <w:link w:val="Heading3"/>
    <w:uiPriority w:val="9"/>
    <w:rsid w:val="00773250"/>
    <w:rPr>
      <w:rFonts w:ascii="Segoe UI" w:eastAsiaTheme="majorEastAsia" w:hAnsi="Segoe UI" w:cstheme="majorBidi"/>
      <w:b/>
      <w:bCs/>
      <w:color w:val="025F5D"/>
      <w:sz w:val="32"/>
      <w:szCs w:val="40"/>
    </w:rPr>
  </w:style>
  <w:style w:type="character" w:customStyle="1" w:styleId="Heading4Char">
    <w:name w:val="Heading 4 Char"/>
    <w:basedOn w:val="DefaultParagraphFont"/>
    <w:link w:val="Heading4"/>
    <w:uiPriority w:val="9"/>
    <w:rsid w:val="00773250"/>
    <w:rPr>
      <w:rFonts w:ascii="Segoe UI" w:eastAsiaTheme="majorEastAsia" w:hAnsi="Segoe UI" w:cstheme="majorBidi"/>
      <w:b/>
      <w:bCs/>
      <w:iCs/>
      <w:color w:val="025F5D"/>
      <w:sz w:val="28"/>
      <w:szCs w:val="36"/>
    </w:rPr>
  </w:style>
  <w:style w:type="character" w:customStyle="1" w:styleId="Heading5Char">
    <w:name w:val="Heading 5 Char"/>
    <w:basedOn w:val="DefaultParagraphFont"/>
    <w:link w:val="Heading5"/>
    <w:uiPriority w:val="9"/>
    <w:rsid w:val="00773250"/>
    <w:rPr>
      <w:rFonts w:ascii="Segoe UI Semibold" w:eastAsiaTheme="majorEastAsia" w:hAnsi="Segoe UI Semibold" w:cstheme="majorBidi"/>
      <w:sz w:val="28"/>
      <w:szCs w:val="28"/>
    </w:rPr>
  </w:style>
  <w:style w:type="character" w:customStyle="1" w:styleId="Heading6Char">
    <w:name w:val="Heading 6 Char"/>
    <w:basedOn w:val="DefaultParagraphFont"/>
    <w:link w:val="Heading6"/>
    <w:uiPriority w:val="9"/>
    <w:rsid w:val="00773250"/>
    <w:rPr>
      <w:rFonts w:ascii="Segoe UI Semibold" w:eastAsiaTheme="majorEastAsia" w:hAnsi="Segoe UI Semibold" w:cs="Segoe UI Semibold"/>
      <w:iCs/>
      <w:color w:val="000000" w:themeColor="text1"/>
      <w:szCs w:val="28"/>
    </w:rPr>
  </w:style>
  <w:style w:type="character" w:customStyle="1" w:styleId="Heading7Char">
    <w:name w:val="Heading 7 Char"/>
    <w:basedOn w:val="DefaultParagraphFont"/>
    <w:link w:val="Heading7"/>
    <w:uiPriority w:val="9"/>
    <w:rsid w:val="00773250"/>
    <w:rPr>
      <w:rFonts w:ascii="Segoe UI Semibold" w:eastAsiaTheme="majorEastAsia" w:hAnsi="Segoe UI Semibold" w:cs="Segoe UI Semibold"/>
      <w:iCs/>
      <w:color w:val="025F5D"/>
    </w:rPr>
  </w:style>
  <w:style w:type="character" w:customStyle="1" w:styleId="Heading8Char">
    <w:name w:val="Heading 8 Char"/>
    <w:basedOn w:val="DefaultParagraphFont"/>
    <w:link w:val="Heading8"/>
    <w:uiPriority w:val="9"/>
    <w:semiHidden/>
    <w:rsid w:val="00773250"/>
    <w:rPr>
      <w:rFonts w:ascii="Segoe UI" w:eastAsiaTheme="majorEastAsia" w:hAnsi="Segoe UI" w:cstheme="majorBidi"/>
      <w:color w:val="000000" w:themeColor="text1"/>
      <w:szCs w:val="21"/>
    </w:rPr>
  </w:style>
  <w:style w:type="character" w:customStyle="1" w:styleId="Heading9Char">
    <w:name w:val="Heading 9 Char"/>
    <w:basedOn w:val="DefaultParagraphFont"/>
    <w:link w:val="Heading9"/>
    <w:uiPriority w:val="9"/>
    <w:rsid w:val="00773250"/>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773250"/>
    <w:pPr>
      <w:spacing w:line="240" w:lineRule="auto"/>
    </w:pPr>
  </w:style>
  <w:style w:type="character" w:customStyle="1" w:styleId="HeaderChar">
    <w:name w:val="Header Char"/>
    <w:basedOn w:val="DefaultParagraphFont"/>
    <w:link w:val="Header"/>
    <w:uiPriority w:val="99"/>
    <w:rsid w:val="00773250"/>
    <w:rPr>
      <w:rFonts w:ascii="Segoe UI" w:hAnsi="Segoe UI"/>
    </w:rPr>
  </w:style>
  <w:style w:type="paragraph" w:styleId="Footer">
    <w:name w:val="footer"/>
    <w:basedOn w:val="Normal"/>
    <w:link w:val="FooterChar"/>
    <w:uiPriority w:val="99"/>
    <w:unhideWhenUsed/>
    <w:qFormat/>
    <w:rsid w:val="00773250"/>
    <w:pPr>
      <w:tabs>
        <w:tab w:val="center" w:pos="4513"/>
        <w:tab w:val="right" w:pos="9026"/>
      </w:tabs>
      <w:spacing w:line="240" w:lineRule="auto"/>
    </w:pPr>
  </w:style>
  <w:style w:type="character" w:customStyle="1" w:styleId="FooterChar">
    <w:name w:val="Footer Char"/>
    <w:basedOn w:val="DefaultParagraphFont"/>
    <w:link w:val="Footer"/>
    <w:uiPriority w:val="99"/>
    <w:rsid w:val="00773250"/>
    <w:rPr>
      <w:rFonts w:ascii="Segoe UI" w:hAnsi="Segoe UI"/>
    </w:rPr>
  </w:style>
  <w:style w:type="paragraph" w:styleId="Caption">
    <w:name w:val="caption"/>
    <w:basedOn w:val="Normal"/>
    <w:next w:val="Normal"/>
    <w:uiPriority w:val="35"/>
    <w:unhideWhenUsed/>
    <w:qFormat/>
    <w:rsid w:val="00773250"/>
    <w:pPr>
      <w:spacing w:after="240"/>
    </w:pPr>
    <w:rPr>
      <w:rFonts w:ascii="Segoe UI Semibold" w:hAnsi="Segoe UI Semibold"/>
      <w:iCs/>
      <w:sz w:val="20"/>
      <w:szCs w:val="18"/>
    </w:rPr>
  </w:style>
  <w:style w:type="character" w:styleId="PageNumber">
    <w:name w:val="page number"/>
    <w:basedOn w:val="DefaultParagraphFont"/>
    <w:uiPriority w:val="99"/>
    <w:unhideWhenUsed/>
    <w:rsid w:val="00773250"/>
  </w:style>
  <w:style w:type="paragraph" w:styleId="NormalWeb">
    <w:name w:val="Normal (Web)"/>
    <w:basedOn w:val="Normal"/>
    <w:uiPriority w:val="99"/>
    <w:unhideWhenUsed/>
    <w:rsid w:val="00773250"/>
    <w:rPr>
      <w:rFonts w:cs="Times New Roman"/>
    </w:rPr>
  </w:style>
  <w:style w:type="character" w:styleId="Hyperlink">
    <w:name w:val="Hyperlink"/>
    <w:basedOn w:val="DefaultParagraphFont"/>
    <w:uiPriority w:val="99"/>
    <w:unhideWhenUsed/>
    <w:qFormat/>
    <w:rsid w:val="00773250"/>
    <w:rPr>
      <w:color w:val="0000EE"/>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aliases w:val="CDC Table Grid"/>
    <w:basedOn w:val="TableGrid1"/>
    <w:uiPriority w:val="39"/>
    <w:rsid w:val="007C5A8E"/>
    <w:pPr>
      <w:spacing w:before="40" w:after="40"/>
    </w:pPr>
    <w:rPr>
      <w:rFonts w:ascii="Segoe UI" w:eastAsia="Times New Roman" w:hAnsi="Segoe UI" w:cs="Times New Roman"/>
      <w:kern w:val="0"/>
      <w:sz w:val="20"/>
      <w:szCs w:val="20"/>
      <w:lang w:eastAsia="en-AU"/>
      <w14:ligatures w14:val="none"/>
    </w:rPr>
    <w:tblPr>
      <w:tblStyleRowBandSize w:val="1"/>
      <w:tblBorders>
        <w:top w:val="single" w:sz="6" w:space="0" w:color="00DCA1" w:themeColor="background2"/>
        <w:left w:val="none" w:sz="0" w:space="0" w:color="auto"/>
        <w:bottom w:val="single" w:sz="6" w:space="0" w:color="00DCA1" w:themeColor="background2"/>
        <w:right w:val="none" w:sz="0" w:space="0" w:color="auto"/>
        <w:insideH w:val="single" w:sz="6" w:space="0" w:color="00DCA1" w:themeColor="background2"/>
        <w:insideV w:val="none" w:sz="0" w:space="0" w:color="auto"/>
      </w:tblBorders>
    </w:tblPr>
    <w:tcPr>
      <w:tcMar>
        <w:top w:w="57" w:type="dxa"/>
        <w:left w:w="57" w:type="dxa"/>
        <w:bottom w:w="57" w:type="dxa"/>
        <w:right w:w="57" w:type="dxa"/>
      </w:tcMar>
      <w:vAlign w:val="center"/>
    </w:tcPr>
    <w:tblStylePr w:type="firstRow">
      <w:rPr>
        <w:rFonts w:ascii="Segoe UI Semibold" w:hAnsi="Segoe UI Semibold"/>
        <w:color w:val="auto"/>
      </w:rPr>
      <w:tblPr/>
      <w:tcPr>
        <w:shd w:val="clear" w:color="auto" w:fill="00DCA1" w:themeFill="background2"/>
        <w:vAlign w:val="center"/>
      </w:tcPr>
    </w:tblStylePr>
    <w:tblStylePr w:type="lastRow">
      <w:rPr>
        <w:rFonts w:asciiTheme="minorHAnsi" w:hAnsiTheme="minorHAnsi"/>
        <w:b/>
        <w:i/>
        <w:iCs/>
        <w:sz w:val="20"/>
      </w:rPr>
      <w:tblPr/>
      <w:tcPr>
        <w:tcBorders>
          <w:bottom w:val="nil"/>
          <w:tl2br w:val="none" w:sz="0" w:space="0" w:color="auto"/>
          <w:tr2bl w:val="none" w:sz="0" w:space="0" w:color="auto"/>
        </w:tcBorders>
        <w:shd w:val="clear" w:color="auto" w:fill="00DCA1" w:themeFill="background2"/>
      </w:tcPr>
    </w:tblStylePr>
    <w:tblStylePr w:type="lastCol">
      <w:rPr>
        <w:i/>
        <w:iCs/>
      </w:rPr>
      <w:tblPr/>
      <w:tcPr>
        <w:tcBorders>
          <w:tl2br w:val="none" w:sz="0" w:space="0" w:color="auto"/>
          <w:tr2bl w:val="none" w:sz="0" w:space="0" w:color="auto"/>
        </w:tcBorders>
      </w:tc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paragraph" w:styleId="ListParagraph">
    <w:name w:val="List Paragraph"/>
    <w:basedOn w:val="Normal"/>
    <w:uiPriority w:val="34"/>
    <w:qFormat/>
    <w:rsid w:val="00773250"/>
    <w:pPr>
      <w:spacing w:before="60" w:after="60"/>
      <w:ind w:left="714" w:hanging="357"/>
      <w:contextualSpacing/>
    </w:pPr>
  </w:style>
  <w:style w:type="paragraph" w:customStyle="1" w:styleId="Superscript">
    <w:name w:val="Superscript"/>
    <w:basedOn w:val="Normal"/>
    <w:link w:val="SuperscriptChar"/>
    <w:qFormat/>
    <w:rsid w:val="00A74B5B"/>
    <w:pPr>
      <w:autoSpaceDE w:val="0"/>
      <w:autoSpaceDN w:val="0"/>
      <w:adjustRightInd w:val="0"/>
    </w:pPr>
    <w:rPr>
      <w:vertAlign w:val="superscript"/>
    </w:rPr>
  </w:style>
  <w:style w:type="numbering" w:customStyle="1" w:styleId="CurrentList1">
    <w:name w:val="Current List1"/>
    <w:uiPriority w:val="99"/>
    <w:rsid w:val="00773250"/>
    <w:pPr>
      <w:numPr>
        <w:numId w:val="2"/>
      </w:numPr>
    </w:pPr>
  </w:style>
  <w:style w:type="character" w:customStyle="1" w:styleId="SuperscriptChar">
    <w:name w:val="Superscript Char"/>
    <w:basedOn w:val="DefaultParagraphFont"/>
    <w:link w:val="Superscript"/>
    <w:rsid w:val="00A74B5B"/>
    <w:rPr>
      <w:rFonts w:ascii="Arial" w:hAnsi="Arial"/>
      <w:sz w:val="20"/>
      <w:vertAlign w:val="superscript"/>
    </w:rPr>
  </w:style>
  <w:style w:type="paragraph" w:customStyle="1" w:styleId="Boxreversedbullet">
    <w:name w:val="Box reversed bullet"/>
    <w:basedOn w:val="Normal"/>
    <w:qFormat/>
    <w:rsid w:val="00962765"/>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contextualSpacing/>
    </w:pPr>
    <w:rPr>
      <w:color w:val="FFFFFF" w:themeColor="background1"/>
    </w:rPr>
  </w:style>
  <w:style w:type="paragraph" w:customStyle="1" w:styleId="Boxtextreversed">
    <w:name w:val="Box text reversed"/>
    <w:basedOn w:val="Normal"/>
    <w:qFormat/>
    <w:rsid w:val="00806780"/>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styleId="TOCHeading">
    <w:name w:val="TOC Heading"/>
    <w:basedOn w:val="Heading1"/>
    <w:next w:val="Normal"/>
    <w:uiPriority w:val="39"/>
    <w:unhideWhenUsed/>
    <w:qFormat/>
    <w:rsid w:val="00773250"/>
    <w:pPr>
      <w:pBdr>
        <w:bottom w:val="single" w:sz="12" w:space="2" w:color="00DCA1" w:themeColor="background2"/>
      </w:pBdr>
      <w:spacing w:before="480"/>
      <w:outlineLvl w:val="9"/>
    </w:pPr>
    <w:rPr>
      <w:rFonts w:cstheme="majorBidi"/>
      <w:kern w:val="0"/>
      <w:szCs w:val="28"/>
      <w:lang w:val="en-US"/>
      <w14:ligatures w14:val="none"/>
    </w:rPr>
  </w:style>
  <w:style w:type="paragraph" w:styleId="TOC1">
    <w:name w:val="toc 1"/>
    <w:basedOn w:val="Normal"/>
    <w:next w:val="Normal"/>
    <w:autoRedefine/>
    <w:uiPriority w:val="39"/>
    <w:unhideWhenUsed/>
    <w:rsid w:val="00773250"/>
    <w:rPr>
      <w:rFonts w:ascii="Segoe UI Semibold" w:hAnsi="Segoe UI Semibold" w:cstheme="minorHAnsi"/>
      <w:b/>
      <w:bCs/>
      <w:iCs/>
    </w:rPr>
  </w:style>
  <w:style w:type="paragraph" w:styleId="TOC2">
    <w:name w:val="toc 2"/>
    <w:basedOn w:val="Normal"/>
    <w:next w:val="Normal"/>
    <w:autoRedefine/>
    <w:uiPriority w:val="39"/>
    <w:unhideWhenUsed/>
    <w:rsid w:val="00773250"/>
    <w:pPr>
      <w:ind w:left="240"/>
    </w:pPr>
    <w:rPr>
      <w:rFonts w:ascii="Segoe UI Semibold" w:hAnsi="Segoe UI Semibold" w:cstheme="minorHAnsi"/>
      <w:bCs/>
      <w:sz w:val="22"/>
      <w:szCs w:val="22"/>
    </w:rPr>
  </w:style>
  <w:style w:type="paragraph" w:styleId="TOC3">
    <w:name w:val="toc 3"/>
    <w:basedOn w:val="Normal"/>
    <w:next w:val="Normal"/>
    <w:autoRedefine/>
    <w:uiPriority w:val="39"/>
    <w:unhideWhenUsed/>
    <w:rsid w:val="00773250"/>
    <w:pPr>
      <w:ind w:left="480"/>
    </w:pPr>
    <w:rPr>
      <w:rFonts w:cstheme="minorHAnsi"/>
      <w:sz w:val="20"/>
      <w:szCs w:val="20"/>
    </w:rPr>
  </w:style>
  <w:style w:type="paragraph" w:styleId="TOC4">
    <w:name w:val="toc 4"/>
    <w:basedOn w:val="Normal"/>
    <w:next w:val="Normal"/>
    <w:autoRedefine/>
    <w:uiPriority w:val="39"/>
    <w:semiHidden/>
    <w:unhideWhenUsed/>
    <w:rsid w:val="00773250"/>
    <w:pPr>
      <w:ind w:left="720"/>
    </w:pPr>
    <w:rPr>
      <w:rFonts w:cstheme="minorHAnsi"/>
      <w:sz w:val="20"/>
      <w:szCs w:val="20"/>
    </w:rPr>
  </w:style>
  <w:style w:type="paragraph" w:styleId="TOC5">
    <w:name w:val="toc 5"/>
    <w:basedOn w:val="Normal"/>
    <w:next w:val="Normal"/>
    <w:autoRedefine/>
    <w:uiPriority w:val="39"/>
    <w:semiHidden/>
    <w:unhideWhenUsed/>
    <w:rsid w:val="00773250"/>
    <w:pPr>
      <w:ind w:left="960"/>
    </w:pPr>
    <w:rPr>
      <w:rFonts w:cstheme="minorHAnsi"/>
      <w:sz w:val="20"/>
      <w:szCs w:val="20"/>
    </w:rPr>
  </w:style>
  <w:style w:type="paragraph" w:styleId="TOC6">
    <w:name w:val="toc 6"/>
    <w:basedOn w:val="Normal"/>
    <w:next w:val="Normal"/>
    <w:autoRedefine/>
    <w:uiPriority w:val="39"/>
    <w:semiHidden/>
    <w:unhideWhenUsed/>
    <w:rsid w:val="00773250"/>
    <w:pPr>
      <w:ind w:left="1200"/>
    </w:pPr>
    <w:rPr>
      <w:rFonts w:cstheme="minorHAnsi"/>
      <w:sz w:val="20"/>
      <w:szCs w:val="20"/>
    </w:rPr>
  </w:style>
  <w:style w:type="paragraph" w:styleId="TOC7">
    <w:name w:val="toc 7"/>
    <w:basedOn w:val="Normal"/>
    <w:next w:val="Normal"/>
    <w:autoRedefine/>
    <w:uiPriority w:val="39"/>
    <w:semiHidden/>
    <w:unhideWhenUsed/>
    <w:rsid w:val="00773250"/>
    <w:pPr>
      <w:ind w:left="1440"/>
    </w:pPr>
    <w:rPr>
      <w:rFonts w:cstheme="minorHAnsi"/>
      <w:sz w:val="20"/>
      <w:szCs w:val="20"/>
    </w:rPr>
  </w:style>
  <w:style w:type="paragraph" w:styleId="TOC8">
    <w:name w:val="toc 8"/>
    <w:basedOn w:val="Normal"/>
    <w:next w:val="Normal"/>
    <w:autoRedefine/>
    <w:uiPriority w:val="39"/>
    <w:semiHidden/>
    <w:unhideWhenUsed/>
    <w:rsid w:val="00773250"/>
    <w:pPr>
      <w:ind w:left="1680"/>
    </w:pPr>
    <w:rPr>
      <w:rFonts w:cstheme="minorHAnsi"/>
      <w:sz w:val="20"/>
      <w:szCs w:val="20"/>
    </w:rPr>
  </w:style>
  <w:style w:type="paragraph" w:styleId="TOC9">
    <w:name w:val="toc 9"/>
    <w:basedOn w:val="Normal"/>
    <w:next w:val="Normal"/>
    <w:autoRedefine/>
    <w:uiPriority w:val="39"/>
    <w:semiHidden/>
    <w:unhideWhenUsed/>
    <w:rsid w:val="00773250"/>
    <w:pPr>
      <w:ind w:left="1920"/>
    </w:pPr>
    <w:rPr>
      <w:rFonts w:cstheme="minorHAnsi"/>
      <w:sz w:val="20"/>
      <w:szCs w:val="20"/>
    </w:rPr>
  </w:style>
  <w:style w:type="paragraph" w:styleId="TableofFigures">
    <w:name w:val="table of figures"/>
    <w:basedOn w:val="Normal"/>
    <w:next w:val="Normal"/>
    <w:uiPriority w:val="99"/>
    <w:unhideWhenUsed/>
    <w:rsid w:val="00773250"/>
  </w:style>
  <w:style w:type="paragraph" w:styleId="TOAHeading">
    <w:name w:val="toa heading"/>
    <w:basedOn w:val="Normal"/>
    <w:next w:val="Normal"/>
    <w:uiPriority w:val="99"/>
    <w:unhideWhenUsed/>
    <w:rsid w:val="00773250"/>
    <w:rPr>
      <w:rFonts w:eastAsiaTheme="majorEastAsia" w:cstheme="majorBidi"/>
      <w:b/>
      <w:bCs/>
    </w:rPr>
  </w:style>
  <w:style w:type="paragraph" w:styleId="ListNumber">
    <w:name w:val="List Number"/>
    <w:basedOn w:val="Normal"/>
    <w:uiPriority w:val="99"/>
    <w:unhideWhenUsed/>
    <w:rsid w:val="00773250"/>
    <w:pPr>
      <w:numPr>
        <w:numId w:val="37"/>
      </w:numPr>
      <w:spacing w:before="60" w:after="60"/>
      <w:contextualSpacing/>
    </w:pPr>
  </w:style>
  <w:style w:type="paragraph" w:customStyle="1" w:styleId="Heading1Numbering">
    <w:name w:val="Heading 1 (Numbering)"/>
    <w:basedOn w:val="Heading1"/>
    <w:link w:val="Heading1NumberingChar"/>
    <w:qFormat/>
    <w:rsid w:val="004C5188"/>
    <w:pPr>
      <w:numPr>
        <w:numId w:val="18"/>
      </w:numPr>
      <w:ind w:left="567" w:hanging="567"/>
    </w:pPr>
  </w:style>
  <w:style w:type="paragraph" w:styleId="ListBullet2">
    <w:name w:val="List Bullet 2"/>
    <w:basedOn w:val="ListNumber2"/>
    <w:rsid w:val="00773250"/>
    <w:pPr>
      <w:numPr>
        <w:numId w:val="45"/>
      </w:numPr>
    </w:pPr>
    <w:rPr>
      <w:rFonts w:eastAsia="Times New Roman" w:cs="Times New Roman"/>
      <w:color w:val="000000" w:themeColor="text1"/>
      <w:kern w:val="0"/>
      <w14:ligatures w14:val="none"/>
    </w:rPr>
  </w:style>
  <w:style w:type="character" w:customStyle="1" w:styleId="Heading1NumberingChar">
    <w:name w:val="Heading 1 (Numbering) Char"/>
    <w:basedOn w:val="Heading2Char"/>
    <w:link w:val="Heading1Numbering"/>
    <w:rsid w:val="004C5188"/>
    <w:rPr>
      <w:rFonts w:ascii="Segoe UI" w:eastAsiaTheme="majorEastAsia" w:hAnsi="Segoe UI" w:cs="Segoe UI"/>
      <w:b/>
      <w:color w:val="025F5D"/>
      <w:sz w:val="40"/>
      <w:szCs w:val="72"/>
    </w:rPr>
  </w:style>
  <w:style w:type="table" w:customStyle="1" w:styleId="DepartmentofHealthtable">
    <w:name w:val="Department of Health table"/>
    <w:basedOn w:val="TableNormal"/>
    <w:uiPriority w:val="99"/>
    <w:rsid w:val="00773250"/>
    <w:pPr>
      <w:spacing w:line="276" w:lineRule="auto"/>
    </w:pPr>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Heading2Numbering">
    <w:name w:val="Heading 2 (Numbering)"/>
    <w:basedOn w:val="Heading1Numbering"/>
    <w:link w:val="Heading2NumberingChar"/>
    <w:qFormat/>
    <w:rsid w:val="00753037"/>
    <w:pPr>
      <w:numPr>
        <w:ilvl w:val="1"/>
      </w:numPr>
      <w:pBdr>
        <w:bottom w:val="none" w:sz="0" w:space="0" w:color="auto"/>
      </w:pBdr>
      <w:ind w:left="851" w:hanging="709"/>
      <w:outlineLvl w:val="1"/>
    </w:pPr>
    <w:rPr>
      <w:sz w:val="36"/>
    </w:rPr>
  </w:style>
  <w:style w:type="character" w:customStyle="1" w:styleId="Heading2NumberingChar">
    <w:name w:val="Heading 2 (Numbering) Char"/>
    <w:basedOn w:val="Heading3Char"/>
    <w:link w:val="Heading2Numbering"/>
    <w:rsid w:val="00753037"/>
    <w:rPr>
      <w:rFonts w:ascii="Segoe UI" w:eastAsiaTheme="majorEastAsia" w:hAnsi="Segoe UI" w:cs="Segoe UI"/>
      <w:b/>
      <w:bCs w:val="0"/>
      <w:color w:val="025F5D"/>
      <w:sz w:val="36"/>
      <w:szCs w:val="72"/>
    </w:rPr>
  </w:style>
  <w:style w:type="paragraph" w:styleId="ListNumber2">
    <w:name w:val="List Number 2"/>
    <w:basedOn w:val="Normal"/>
    <w:uiPriority w:val="99"/>
    <w:unhideWhenUsed/>
    <w:rsid w:val="00773250"/>
    <w:pPr>
      <w:numPr>
        <w:numId w:val="30"/>
      </w:numPr>
      <w:spacing w:before="60" w:after="60"/>
      <w:contextualSpacing/>
    </w:pPr>
  </w:style>
  <w:style w:type="numbering" w:customStyle="1" w:styleId="CurrentList2">
    <w:name w:val="Current List2"/>
    <w:uiPriority w:val="99"/>
    <w:rsid w:val="00773250"/>
    <w:pPr>
      <w:numPr>
        <w:numId w:val="4"/>
      </w:numPr>
    </w:pPr>
  </w:style>
  <w:style w:type="paragraph" w:styleId="CommentText">
    <w:name w:val="annotation text"/>
    <w:basedOn w:val="Normal"/>
    <w:link w:val="CommentTextChar"/>
    <w:uiPriority w:val="99"/>
    <w:unhideWhenUsed/>
    <w:rsid w:val="00773250"/>
    <w:pPr>
      <w:spacing w:line="240" w:lineRule="auto"/>
    </w:pPr>
    <w:rPr>
      <w:rFonts w:cs="Times New Roman"/>
      <w:kern w:val="0"/>
      <w:sz w:val="20"/>
      <w:szCs w:val="20"/>
      <w14:ligatures w14:val="none"/>
    </w:rPr>
  </w:style>
  <w:style w:type="character" w:customStyle="1" w:styleId="CommentTextChar">
    <w:name w:val="Comment Text Char"/>
    <w:basedOn w:val="DefaultParagraphFont"/>
    <w:link w:val="CommentText"/>
    <w:uiPriority w:val="99"/>
    <w:qFormat/>
    <w:rsid w:val="00773250"/>
    <w:rPr>
      <w:rFonts w:ascii="Segoe UI" w:hAnsi="Segoe UI" w:cs="Times New Roman"/>
      <w:kern w:val="0"/>
      <w:sz w:val="20"/>
      <w:szCs w:val="20"/>
      <w14:ligatures w14:val="none"/>
    </w:rPr>
  </w:style>
  <w:style w:type="character" w:styleId="CommentReference">
    <w:name w:val="annotation reference"/>
    <w:basedOn w:val="DefaultParagraphFont"/>
    <w:unhideWhenUsed/>
    <w:rsid w:val="00773250"/>
    <w:rPr>
      <w:rFonts w:ascii="Segoe UI" w:hAnsi="Segoe UI"/>
      <w:sz w:val="16"/>
      <w:szCs w:val="16"/>
    </w:rPr>
  </w:style>
  <w:style w:type="character" w:styleId="Mention">
    <w:name w:val="Mention"/>
    <w:basedOn w:val="DefaultParagraphFont"/>
    <w:uiPriority w:val="99"/>
    <w:unhideWhenUsed/>
    <w:rsid w:val="00773250"/>
    <w:rPr>
      <w:color w:val="025F5D"/>
      <w:shd w:val="clear" w:color="auto" w:fill="E1DFDD"/>
    </w:rPr>
  </w:style>
  <w:style w:type="table" w:styleId="GridTable4-Accent1">
    <w:name w:val="Grid Table 4 Accent 1"/>
    <w:basedOn w:val="TableNormal"/>
    <w:uiPriority w:val="49"/>
    <w:rsid w:val="00773250"/>
    <w:pPr>
      <w:spacing w:line="276" w:lineRule="auto"/>
    </w:pPr>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FootnoteText">
    <w:name w:val="footnote text"/>
    <w:basedOn w:val="Normal"/>
    <w:link w:val="FootnoteTextChar"/>
    <w:uiPriority w:val="99"/>
    <w:unhideWhenUsed/>
    <w:rsid w:val="00773250"/>
    <w:pPr>
      <w:spacing w:line="240" w:lineRule="auto"/>
    </w:pPr>
    <w:rPr>
      <w:sz w:val="20"/>
      <w:szCs w:val="20"/>
    </w:rPr>
  </w:style>
  <w:style w:type="character" w:customStyle="1" w:styleId="FootnoteTextChar">
    <w:name w:val="Footnote Text Char"/>
    <w:basedOn w:val="DefaultParagraphFont"/>
    <w:link w:val="FootnoteText"/>
    <w:uiPriority w:val="99"/>
    <w:rsid w:val="00773250"/>
    <w:rPr>
      <w:rFonts w:ascii="Segoe UI" w:hAnsi="Segoe UI"/>
      <w:sz w:val="20"/>
      <w:szCs w:val="20"/>
    </w:rPr>
  </w:style>
  <w:style w:type="character" w:styleId="FootnoteReference">
    <w:name w:val="footnote reference"/>
    <w:basedOn w:val="DefaultParagraphFont"/>
    <w:uiPriority w:val="99"/>
    <w:unhideWhenUsed/>
    <w:rsid w:val="00773250"/>
    <w:rPr>
      <w:vertAlign w:val="superscript"/>
    </w:rPr>
  </w:style>
  <w:style w:type="paragraph" w:customStyle="1" w:styleId="Default">
    <w:name w:val="Default"/>
    <w:rsid w:val="000C111F"/>
    <w:pPr>
      <w:autoSpaceDE w:val="0"/>
      <w:autoSpaceDN w:val="0"/>
      <w:adjustRightInd w:val="0"/>
    </w:pPr>
    <w:rPr>
      <w:rFonts w:ascii="Arial" w:eastAsia="Times New Roman" w:hAnsi="Arial" w:cs="Arial"/>
      <w:color w:val="000000"/>
      <w:kern w:val="0"/>
      <w:lang w:eastAsia="en-AU"/>
      <w14:ligatures w14:val="none"/>
    </w:rPr>
  </w:style>
  <w:style w:type="paragraph" w:customStyle="1" w:styleId="Dotpoint">
    <w:name w:val="Dot point"/>
    <w:basedOn w:val="Normal"/>
    <w:link w:val="DotpointChar"/>
    <w:qFormat/>
    <w:rsid w:val="00BA5BA6"/>
    <w:pPr>
      <w:numPr>
        <w:numId w:val="6"/>
      </w:numPr>
      <w:tabs>
        <w:tab w:val="left" w:pos="2340"/>
      </w:tabs>
      <w:autoSpaceDE w:val="0"/>
      <w:autoSpaceDN w:val="0"/>
      <w:adjustRightInd w:val="0"/>
      <w:spacing w:after="240"/>
    </w:pPr>
    <w:rPr>
      <w:rFonts w:eastAsia="Times New Roman" w:cs="Arial"/>
      <w:kern w:val="0"/>
      <w:szCs w:val="20"/>
      <w14:ligatures w14:val="none"/>
    </w:rPr>
  </w:style>
  <w:style w:type="character" w:customStyle="1" w:styleId="DotpointChar">
    <w:name w:val="Dot point Char"/>
    <w:basedOn w:val="DefaultParagraphFont"/>
    <w:link w:val="Dotpoint"/>
    <w:rsid w:val="00BA5BA6"/>
    <w:rPr>
      <w:rFonts w:ascii="Arial" w:eastAsia="Times New Roman" w:hAnsi="Arial" w:cs="Arial"/>
      <w:kern w:val="0"/>
      <w:sz w:val="20"/>
      <w:szCs w:val="20"/>
      <w14:ligatures w14:val="none"/>
    </w:rPr>
  </w:style>
  <w:style w:type="character" w:styleId="FollowedHyperlink">
    <w:name w:val="FollowedHyperlink"/>
    <w:basedOn w:val="Hyperlink"/>
    <w:uiPriority w:val="99"/>
    <w:unhideWhenUsed/>
    <w:rsid w:val="00773250"/>
    <w:rPr>
      <w:color w:val="511D81"/>
      <w:u w:val="single"/>
    </w:rPr>
  </w:style>
  <w:style w:type="paragraph" w:styleId="ListBullet">
    <w:name w:val="List Bullet"/>
    <w:basedOn w:val="Normal"/>
    <w:uiPriority w:val="99"/>
    <w:unhideWhenUsed/>
    <w:rsid w:val="00FE1213"/>
    <w:pPr>
      <w:numPr>
        <w:numId w:val="29"/>
      </w:numPr>
      <w:tabs>
        <w:tab w:val="clear" w:pos="360"/>
      </w:tabs>
      <w:spacing w:before="60" w:after="60"/>
      <w:ind w:left="714" w:hanging="357"/>
      <w:contextualSpacing/>
    </w:pPr>
  </w:style>
  <w:style w:type="paragraph" w:styleId="ListBullet3">
    <w:name w:val="List Bullet 3"/>
    <w:basedOn w:val="Normal"/>
    <w:uiPriority w:val="99"/>
    <w:unhideWhenUsed/>
    <w:rsid w:val="00773250"/>
    <w:pPr>
      <w:numPr>
        <w:numId w:val="32"/>
      </w:numPr>
      <w:spacing w:before="60" w:after="60"/>
      <w:contextualSpacing/>
    </w:pPr>
  </w:style>
  <w:style w:type="paragraph" w:customStyle="1" w:styleId="HeadingSuperscript">
    <w:name w:val="Heading (Superscript)"/>
    <w:basedOn w:val="Heading3"/>
    <w:link w:val="HeadingSuperscriptChar"/>
    <w:qFormat/>
    <w:rsid w:val="00A74B5B"/>
    <w:rPr>
      <w:vertAlign w:val="superscript"/>
    </w:rPr>
  </w:style>
  <w:style w:type="character" w:customStyle="1" w:styleId="HeadingSuperscriptChar">
    <w:name w:val="Heading (Superscript) Char"/>
    <w:basedOn w:val="Heading3Char"/>
    <w:link w:val="HeadingSuperscript"/>
    <w:rsid w:val="00A74B5B"/>
    <w:rPr>
      <w:rFonts w:ascii="Arial" w:eastAsiaTheme="majorEastAsia" w:hAnsi="Arial" w:cstheme="majorBidi"/>
      <w:b/>
      <w:bCs/>
      <w:color w:val="033636" w:themeColor="text2"/>
      <w:sz w:val="28"/>
      <w:szCs w:val="26"/>
      <w:vertAlign w:val="superscript"/>
    </w:rPr>
  </w:style>
  <w:style w:type="paragraph" w:customStyle="1" w:styleId="Tabletextcentred">
    <w:name w:val="Table text centred"/>
    <w:basedOn w:val="Normal"/>
    <w:link w:val="TabletextcentredChar"/>
    <w:qFormat/>
    <w:rsid w:val="005B452C"/>
    <w:pPr>
      <w:jc w:val="center"/>
    </w:pPr>
    <w:rPr>
      <w:rFonts w:eastAsia="Times New Roman" w:cs="Times New Roman"/>
      <w:kern w:val="0"/>
      <w:szCs w:val="20"/>
      <w:lang w:eastAsia="en-AU"/>
      <w14:ligatures w14:val="none"/>
    </w:rPr>
  </w:style>
  <w:style w:type="character" w:customStyle="1" w:styleId="TabletextcentredChar">
    <w:name w:val="Table text centred Char"/>
    <w:basedOn w:val="DefaultParagraphFont"/>
    <w:link w:val="Tabletextcentred"/>
    <w:rsid w:val="005B452C"/>
    <w:rPr>
      <w:rFonts w:ascii="Arial" w:eastAsia="Times New Roman" w:hAnsi="Arial" w:cs="Times New Roman"/>
      <w:kern w:val="0"/>
      <w:sz w:val="20"/>
      <w:szCs w:val="20"/>
      <w:lang w:eastAsia="en-AU"/>
      <w14:ligatures w14:val="none"/>
    </w:rPr>
  </w:style>
  <w:style w:type="paragraph" w:styleId="Bibliography">
    <w:name w:val="Bibliography"/>
    <w:basedOn w:val="Normal"/>
    <w:next w:val="Normal"/>
    <w:uiPriority w:val="37"/>
    <w:unhideWhenUsed/>
    <w:rsid w:val="00773250"/>
  </w:style>
  <w:style w:type="paragraph" w:styleId="BodyText">
    <w:name w:val="Body Text"/>
    <w:basedOn w:val="Normal"/>
    <w:link w:val="BodyTextChar"/>
    <w:uiPriority w:val="99"/>
    <w:unhideWhenUsed/>
    <w:rsid w:val="00773250"/>
  </w:style>
  <w:style w:type="character" w:customStyle="1" w:styleId="BodyTextChar">
    <w:name w:val="Body Text Char"/>
    <w:basedOn w:val="DefaultParagraphFont"/>
    <w:link w:val="BodyText"/>
    <w:uiPriority w:val="99"/>
    <w:rsid w:val="00773250"/>
    <w:rPr>
      <w:rFonts w:ascii="Segoe UI" w:hAnsi="Segoe UI"/>
    </w:rPr>
  </w:style>
  <w:style w:type="paragraph" w:styleId="BodyText2">
    <w:name w:val="Body Text 2"/>
    <w:basedOn w:val="Normal"/>
    <w:link w:val="BodyText2Char"/>
    <w:uiPriority w:val="99"/>
    <w:unhideWhenUsed/>
    <w:rsid w:val="00773250"/>
    <w:pPr>
      <w:spacing w:line="480" w:lineRule="auto"/>
    </w:pPr>
  </w:style>
  <w:style w:type="character" w:customStyle="1" w:styleId="BodyText2Char">
    <w:name w:val="Body Text 2 Char"/>
    <w:basedOn w:val="DefaultParagraphFont"/>
    <w:link w:val="BodyText2"/>
    <w:uiPriority w:val="99"/>
    <w:rsid w:val="00773250"/>
    <w:rPr>
      <w:rFonts w:ascii="Segoe UI" w:hAnsi="Segoe UI"/>
    </w:rPr>
  </w:style>
  <w:style w:type="character" w:styleId="BookTitle">
    <w:name w:val="Book Title"/>
    <w:basedOn w:val="DefaultParagraphFont"/>
    <w:uiPriority w:val="33"/>
    <w:rsid w:val="00773250"/>
    <w:rPr>
      <w:b w:val="0"/>
      <w:bCs/>
      <w:i/>
      <w:iCs/>
      <w:spacing w:val="5"/>
    </w:rPr>
  </w:style>
  <w:style w:type="paragraph" w:customStyle="1" w:styleId="Boxgreenbullet">
    <w:name w:val="Box green bullet"/>
    <w:basedOn w:val="Normal"/>
    <w:qFormat/>
    <w:rsid w:val="00773250"/>
    <w:pPr>
      <w:numPr>
        <w:numId w:val="20"/>
      </w:numPr>
      <w:pBdr>
        <w:top w:val="single" w:sz="12" w:space="4" w:color="025F5D"/>
        <w:left w:val="single" w:sz="12" w:space="4" w:color="025F5D"/>
        <w:bottom w:val="single" w:sz="12" w:space="5" w:color="025F5D"/>
        <w:right w:val="single" w:sz="12" w:space="4" w:color="025F5D"/>
      </w:pBdr>
      <w:spacing w:after="240"/>
      <w:contextualSpacing/>
    </w:pPr>
  </w:style>
  <w:style w:type="paragraph" w:customStyle="1" w:styleId="Boxgreenheading">
    <w:name w:val="Box green heading"/>
    <w:basedOn w:val="Normal"/>
    <w:qFormat/>
    <w:rsid w:val="00B96E37"/>
    <w:pPr>
      <w:keepNext/>
      <w:keepLines/>
      <w:pBdr>
        <w:top w:val="single" w:sz="12" w:space="4" w:color="00DCA1" w:themeColor="background2"/>
        <w:left w:val="single" w:sz="12" w:space="4" w:color="00DCA1" w:themeColor="background2"/>
        <w:bottom w:val="single" w:sz="12" w:space="5" w:color="00DCA1" w:themeColor="background2"/>
        <w:right w:val="single" w:sz="12" w:space="4" w:color="00DCA1" w:themeColor="background2"/>
      </w:pBdr>
      <w:spacing w:before="360"/>
      <w:outlineLvl w:val="2"/>
    </w:pPr>
    <w:rPr>
      <w:rFonts w:ascii="Segoe UI Semibold" w:eastAsiaTheme="majorEastAsia" w:hAnsi="Segoe UI Semibold" w:cstheme="majorBidi"/>
      <w:bCs/>
      <w:color w:val="025F5D"/>
      <w:sz w:val="36"/>
      <w:szCs w:val="40"/>
    </w:rPr>
  </w:style>
  <w:style w:type="paragraph" w:customStyle="1" w:styleId="Boxgreentext">
    <w:name w:val="Box green text"/>
    <w:basedOn w:val="Normal"/>
    <w:qFormat/>
    <w:rsid w:val="00B96E37"/>
    <w:pPr>
      <w:pBdr>
        <w:top w:val="single" w:sz="12" w:space="4" w:color="00DCA1" w:themeColor="background2"/>
        <w:left w:val="single" w:sz="12" w:space="4" w:color="00DCA1" w:themeColor="background2"/>
        <w:bottom w:val="single" w:sz="12" w:space="5" w:color="00DCA1" w:themeColor="background2"/>
        <w:right w:val="single" w:sz="12" w:space="4" w:color="00DCA1" w:themeColor="background2"/>
      </w:pBdr>
      <w:spacing w:after="240"/>
    </w:pPr>
  </w:style>
  <w:style w:type="paragraph" w:customStyle="1" w:styleId="Boxpurplebullet">
    <w:name w:val="Box purple bullet"/>
    <w:basedOn w:val="Normal"/>
    <w:qFormat/>
    <w:rsid w:val="00773250"/>
    <w:pPr>
      <w:numPr>
        <w:numId w:val="21"/>
      </w:numPr>
      <w:pBdr>
        <w:top w:val="single" w:sz="12" w:space="4" w:color="511D81"/>
        <w:left w:val="single" w:sz="12" w:space="4" w:color="511D81"/>
        <w:bottom w:val="single" w:sz="12" w:space="5" w:color="511D81"/>
        <w:right w:val="single" w:sz="12" w:space="4" w:color="511D81"/>
      </w:pBdr>
      <w:spacing w:after="240"/>
      <w:contextualSpacing/>
    </w:pPr>
  </w:style>
  <w:style w:type="paragraph" w:customStyle="1" w:styleId="Boxpurpleheading">
    <w:name w:val="Box purple heading"/>
    <w:basedOn w:val="Normal"/>
    <w:qFormat/>
    <w:rsid w:val="00773250"/>
    <w:pPr>
      <w:keepNext/>
      <w:keepLines/>
      <w:pBdr>
        <w:top w:val="single" w:sz="12" w:space="4" w:color="511D81"/>
        <w:left w:val="single" w:sz="12" w:space="4" w:color="511D81"/>
        <w:bottom w:val="single" w:sz="12" w:space="5" w:color="511D81"/>
        <w:right w:val="single" w:sz="12" w:space="4" w:color="511D81"/>
      </w:pBdr>
      <w:spacing w:before="360"/>
      <w:outlineLvl w:val="2"/>
    </w:pPr>
    <w:rPr>
      <w:rFonts w:ascii="Segoe UI Semibold" w:eastAsiaTheme="majorEastAsia" w:hAnsi="Segoe UI Semibold" w:cstheme="majorBidi"/>
      <w:bCs/>
      <w:color w:val="511D81"/>
      <w:sz w:val="36"/>
      <w:szCs w:val="40"/>
    </w:rPr>
  </w:style>
  <w:style w:type="paragraph" w:customStyle="1" w:styleId="Boxpurpletext">
    <w:name w:val="Box purple text"/>
    <w:basedOn w:val="Normal"/>
    <w:qFormat/>
    <w:rsid w:val="00773250"/>
    <w:pPr>
      <w:pBdr>
        <w:top w:val="single" w:sz="12" w:space="4" w:color="511D81"/>
        <w:left w:val="single" w:sz="12" w:space="4" w:color="511D81"/>
        <w:bottom w:val="single" w:sz="12" w:space="5" w:color="511D81"/>
        <w:right w:val="single" w:sz="12" w:space="4" w:color="511D81"/>
      </w:pBdr>
      <w:spacing w:after="240"/>
    </w:pPr>
  </w:style>
  <w:style w:type="paragraph" w:customStyle="1" w:styleId="Boxreversedbulletgreen">
    <w:name w:val="Box reversed bullet green"/>
    <w:basedOn w:val="Normal"/>
    <w:qFormat/>
    <w:rsid w:val="00773250"/>
    <w:pPr>
      <w:numPr>
        <w:numId w:val="23"/>
      </w:numPr>
      <w:pBdr>
        <w:top w:val="single" w:sz="12" w:space="4" w:color="025F5D"/>
        <w:left w:val="single" w:sz="12" w:space="4" w:color="025F5D"/>
        <w:bottom w:val="single" w:sz="12" w:space="5" w:color="025F5D"/>
        <w:right w:val="single" w:sz="12" w:space="4" w:color="025F5D"/>
      </w:pBdr>
      <w:shd w:val="clear" w:color="auto" w:fill="025F5D"/>
      <w:spacing w:after="240"/>
      <w:contextualSpacing/>
    </w:pPr>
    <w:rPr>
      <w:color w:val="FFFFFF" w:themeColor="background1"/>
    </w:rPr>
  </w:style>
  <w:style w:type="paragraph" w:customStyle="1" w:styleId="Boxreversedbulletpurple">
    <w:name w:val="Box reversed bullet purple"/>
    <w:basedOn w:val="Boxreversedbulletgreen"/>
    <w:qFormat/>
    <w:rsid w:val="00773250"/>
    <w:pPr>
      <w:pBdr>
        <w:top w:val="single" w:sz="12" w:space="4" w:color="511D81"/>
        <w:left w:val="single" w:sz="12" w:space="4" w:color="511D81"/>
        <w:bottom w:val="single" w:sz="12" w:space="5" w:color="511D81"/>
        <w:right w:val="single" w:sz="12" w:space="4" w:color="511D81"/>
      </w:pBdr>
      <w:shd w:val="clear" w:color="auto" w:fill="511D81"/>
      <w:ind w:left="357" w:hanging="357"/>
    </w:pPr>
  </w:style>
  <w:style w:type="paragraph" w:customStyle="1" w:styleId="Boxreversedheadinggreen">
    <w:name w:val="Box reversed heading green"/>
    <w:basedOn w:val="Normal"/>
    <w:qFormat/>
    <w:rsid w:val="00773250"/>
    <w:pPr>
      <w:keepNext/>
      <w:keepLines/>
      <w:pBdr>
        <w:top w:val="single" w:sz="12" w:space="4" w:color="025F5D"/>
        <w:left w:val="single" w:sz="12" w:space="4" w:color="025F5D"/>
        <w:bottom w:val="single" w:sz="12" w:space="5" w:color="025F5D"/>
        <w:right w:val="single" w:sz="12" w:space="4" w:color="025F5D"/>
      </w:pBdr>
      <w:shd w:val="clear" w:color="auto" w:fill="025F5D"/>
      <w:spacing w:before="360"/>
      <w:outlineLvl w:val="2"/>
    </w:pPr>
    <w:rPr>
      <w:rFonts w:ascii="Segoe UI Semibold" w:eastAsiaTheme="majorEastAsia" w:hAnsi="Segoe UI Semibold" w:cstheme="majorBidi"/>
      <w:bCs/>
      <w:color w:val="FFFFFF" w:themeColor="background1"/>
      <w:sz w:val="36"/>
      <w:szCs w:val="40"/>
    </w:rPr>
  </w:style>
  <w:style w:type="paragraph" w:customStyle="1" w:styleId="Boxreversedheadingpurple">
    <w:name w:val="Box reversed heading purple"/>
    <w:basedOn w:val="Boxreversedheadinggreen"/>
    <w:qFormat/>
    <w:rsid w:val="00773250"/>
    <w:pPr>
      <w:pBdr>
        <w:top w:val="single" w:sz="12" w:space="4" w:color="511D81"/>
        <w:left w:val="single" w:sz="12" w:space="4" w:color="511D81"/>
        <w:bottom w:val="single" w:sz="12" w:space="5" w:color="511D81"/>
        <w:right w:val="single" w:sz="12" w:space="4" w:color="511D81"/>
      </w:pBdr>
      <w:shd w:val="clear" w:color="auto" w:fill="511D81"/>
    </w:pPr>
  </w:style>
  <w:style w:type="paragraph" w:customStyle="1" w:styleId="Boxreversedtextgreen">
    <w:name w:val="Box reversed text green"/>
    <w:basedOn w:val="Normal"/>
    <w:qFormat/>
    <w:rsid w:val="00773250"/>
    <w:pPr>
      <w:pBdr>
        <w:top w:val="single" w:sz="12" w:space="4" w:color="025F5D"/>
        <w:left w:val="single" w:sz="12" w:space="4" w:color="025F5D"/>
        <w:bottom w:val="single" w:sz="12" w:space="5" w:color="025F5D"/>
        <w:right w:val="single" w:sz="12" w:space="4" w:color="025F5D"/>
      </w:pBdr>
      <w:shd w:val="clear" w:color="auto" w:fill="025F5D"/>
      <w:spacing w:after="240"/>
    </w:pPr>
    <w:rPr>
      <w:color w:val="FFFFFF" w:themeColor="background1"/>
    </w:rPr>
  </w:style>
  <w:style w:type="paragraph" w:customStyle="1" w:styleId="Boxreversedtextpurple">
    <w:name w:val="Box reversed text purple"/>
    <w:basedOn w:val="Boxreversedtextgreen"/>
    <w:qFormat/>
    <w:rsid w:val="00773250"/>
    <w:pPr>
      <w:pBdr>
        <w:top w:val="single" w:sz="12" w:space="4" w:color="511D81"/>
        <w:left w:val="single" w:sz="12" w:space="4" w:color="511D81"/>
        <w:bottom w:val="single" w:sz="12" w:space="5" w:color="511D81"/>
        <w:right w:val="single" w:sz="12" w:space="4" w:color="511D81"/>
      </w:pBdr>
      <w:shd w:val="clear" w:color="auto" w:fill="511D81"/>
    </w:pPr>
  </w:style>
  <w:style w:type="numbering" w:customStyle="1" w:styleId="Bulletlist">
    <w:name w:val="Bullet list"/>
    <w:basedOn w:val="NoList"/>
    <w:rsid w:val="00773250"/>
    <w:pPr>
      <w:numPr>
        <w:numId w:val="24"/>
      </w:numPr>
    </w:pPr>
  </w:style>
  <w:style w:type="table" w:customStyle="1" w:styleId="CDCTableLight">
    <w:name w:val="CDC Table Light"/>
    <w:basedOn w:val="TableNormal"/>
    <w:uiPriority w:val="99"/>
    <w:rsid w:val="00773250"/>
    <w:tblPr/>
    <w:tblStylePr w:type="firstRow">
      <w:tblPr/>
      <w:tcPr>
        <w:tcBorders>
          <w:top w:val="nil"/>
          <w:left w:val="nil"/>
          <w:bottom w:val="nil"/>
          <w:right w:val="nil"/>
          <w:insideH w:val="nil"/>
          <w:insideV w:val="nil"/>
          <w:tl2br w:val="nil"/>
          <w:tr2bl w:val="nil"/>
        </w:tcBorders>
      </w:tcPr>
    </w:tblStylePr>
  </w:style>
  <w:style w:type="paragraph" w:styleId="CommentSubject">
    <w:name w:val="annotation subject"/>
    <w:basedOn w:val="CommentText"/>
    <w:next w:val="CommentText"/>
    <w:link w:val="CommentSubjectChar"/>
    <w:uiPriority w:val="99"/>
    <w:unhideWhenUsed/>
    <w:rsid w:val="00773250"/>
    <w:pPr>
      <w:spacing w:after="120"/>
    </w:pPr>
    <w:rPr>
      <w:b/>
      <w:bCs/>
    </w:rPr>
  </w:style>
  <w:style w:type="character" w:customStyle="1" w:styleId="CommentSubjectChar">
    <w:name w:val="Comment Subject Char"/>
    <w:basedOn w:val="CommentTextChar"/>
    <w:link w:val="CommentSubject"/>
    <w:uiPriority w:val="99"/>
    <w:rsid w:val="00773250"/>
    <w:rPr>
      <w:rFonts w:ascii="Segoe UI" w:hAnsi="Segoe UI" w:cs="Times New Roman"/>
      <w:b/>
      <w:bCs/>
      <w:kern w:val="0"/>
      <w:sz w:val="20"/>
      <w:szCs w:val="20"/>
      <w14:ligatures w14:val="none"/>
    </w:rPr>
  </w:style>
  <w:style w:type="paragraph" w:customStyle="1" w:styleId="Copyrightbulletlist">
    <w:name w:val="Copyright bullet list"/>
    <w:basedOn w:val="Normal"/>
    <w:qFormat/>
    <w:rsid w:val="006C5BF4"/>
    <w:pPr>
      <w:numPr>
        <w:numId w:val="25"/>
      </w:numPr>
      <w:ind w:left="714" w:hanging="357"/>
    </w:pPr>
    <w:rPr>
      <w:sz w:val="18"/>
    </w:rPr>
  </w:style>
  <w:style w:type="paragraph" w:customStyle="1" w:styleId="Copyrighttext">
    <w:name w:val="Copyright text"/>
    <w:qFormat/>
    <w:rsid w:val="00773250"/>
    <w:pPr>
      <w:spacing w:before="120" w:after="120" w:line="276" w:lineRule="auto"/>
    </w:pPr>
    <w:rPr>
      <w:rFonts w:ascii="Segoe UI" w:eastAsia="Times New Roman" w:hAnsi="Segoe UI" w:cs="Arial"/>
      <w:color w:val="000000"/>
      <w:kern w:val="0"/>
      <w:sz w:val="18"/>
      <w:szCs w:val="18"/>
      <w:lang w:eastAsia="en-GB"/>
      <w14:ligatures w14:val="none"/>
    </w:rPr>
  </w:style>
  <w:style w:type="paragraph" w:styleId="Date">
    <w:name w:val="Date"/>
    <w:basedOn w:val="Normal"/>
    <w:next w:val="Normal"/>
    <w:link w:val="DateChar"/>
    <w:uiPriority w:val="99"/>
    <w:unhideWhenUsed/>
    <w:rsid w:val="00773250"/>
  </w:style>
  <w:style w:type="character" w:customStyle="1" w:styleId="DateChar">
    <w:name w:val="Date Char"/>
    <w:basedOn w:val="DefaultParagraphFont"/>
    <w:link w:val="Date"/>
    <w:uiPriority w:val="99"/>
    <w:rsid w:val="00773250"/>
    <w:rPr>
      <w:rFonts w:ascii="Segoe UI" w:hAnsi="Segoe UI"/>
    </w:rPr>
  </w:style>
  <w:style w:type="character" w:styleId="EndnoteReference">
    <w:name w:val="endnote reference"/>
    <w:basedOn w:val="DefaultParagraphFont"/>
    <w:uiPriority w:val="99"/>
    <w:unhideWhenUsed/>
    <w:rsid w:val="00773250"/>
    <w:rPr>
      <w:rFonts w:ascii="Segoe UI" w:hAnsi="Segoe UI"/>
      <w:vertAlign w:val="superscript"/>
    </w:rPr>
  </w:style>
  <w:style w:type="paragraph" w:styleId="EndnoteText">
    <w:name w:val="endnote text"/>
    <w:basedOn w:val="Normal"/>
    <w:link w:val="EndnoteTextChar"/>
    <w:uiPriority w:val="99"/>
    <w:semiHidden/>
    <w:unhideWhenUsed/>
    <w:rsid w:val="00773250"/>
    <w:pPr>
      <w:spacing w:line="240" w:lineRule="auto"/>
    </w:pPr>
    <w:rPr>
      <w:szCs w:val="20"/>
    </w:rPr>
  </w:style>
  <w:style w:type="character" w:customStyle="1" w:styleId="EndnoteTextChar">
    <w:name w:val="Endnote Text Char"/>
    <w:basedOn w:val="DefaultParagraphFont"/>
    <w:link w:val="EndnoteText"/>
    <w:uiPriority w:val="99"/>
    <w:semiHidden/>
    <w:rsid w:val="00773250"/>
    <w:rPr>
      <w:rFonts w:ascii="Segoe UI" w:hAnsi="Segoe UI"/>
      <w:szCs w:val="20"/>
    </w:rPr>
  </w:style>
  <w:style w:type="paragraph" w:styleId="EnvelopeAddress">
    <w:name w:val="envelope address"/>
    <w:basedOn w:val="Normal"/>
    <w:uiPriority w:val="99"/>
    <w:unhideWhenUsed/>
    <w:rsid w:val="00773250"/>
    <w:pPr>
      <w:framePr w:w="7920" w:h="1980" w:hRule="exact" w:hSpace="180" w:wrap="auto" w:hAnchor="page" w:xAlign="center" w:yAlign="bottom"/>
      <w:spacing w:line="240" w:lineRule="auto"/>
      <w:ind w:left="2880"/>
    </w:pPr>
    <w:rPr>
      <w:rFonts w:ascii="Segoe UI Semibold" w:eastAsiaTheme="majorEastAsia" w:hAnsi="Segoe UI Semibold" w:cstheme="majorBidi"/>
    </w:rPr>
  </w:style>
  <w:style w:type="paragraph" w:styleId="EnvelopeReturn">
    <w:name w:val="envelope return"/>
    <w:basedOn w:val="Normal"/>
    <w:uiPriority w:val="99"/>
    <w:semiHidden/>
    <w:unhideWhenUsed/>
    <w:rsid w:val="00773250"/>
    <w:pPr>
      <w:spacing w:line="240" w:lineRule="auto"/>
    </w:pPr>
    <w:rPr>
      <w:rFonts w:ascii="Segoe UI Semibold" w:eastAsiaTheme="majorEastAsia" w:hAnsi="Segoe UI Semibold" w:cstheme="majorBidi"/>
      <w:sz w:val="20"/>
      <w:szCs w:val="20"/>
    </w:rPr>
  </w:style>
  <w:style w:type="paragraph" w:customStyle="1" w:styleId="Figuretitle">
    <w:name w:val="Figure title"/>
    <w:basedOn w:val="Normal"/>
    <w:qFormat/>
    <w:rsid w:val="00773250"/>
    <w:pPr>
      <w:numPr>
        <w:numId w:val="28"/>
      </w:numPr>
      <w:spacing w:before="240"/>
    </w:pPr>
    <w:rPr>
      <w:rFonts w:ascii="Segoe UI Semibold" w:hAnsi="Segoe UI Semibold"/>
      <w:noProof/>
      <w:color w:val="025F5D"/>
      <w:sz w:val="20"/>
    </w:rPr>
  </w:style>
  <w:style w:type="paragraph" w:customStyle="1" w:styleId="Footerpagenumber">
    <w:name w:val="Footer_page number"/>
    <w:basedOn w:val="Footer"/>
    <w:qFormat/>
    <w:rsid w:val="00773250"/>
    <w:pPr>
      <w:tabs>
        <w:tab w:val="clear" w:pos="4513"/>
        <w:tab w:val="clear" w:pos="9026"/>
        <w:tab w:val="right" w:pos="9498"/>
      </w:tabs>
    </w:pPr>
    <w:rPr>
      <w:color w:val="FFFFFF" w:themeColor="background1"/>
    </w:rPr>
  </w:style>
  <w:style w:type="character" w:styleId="Hashtag">
    <w:name w:val="Hashtag"/>
    <w:basedOn w:val="DefaultParagraphFont"/>
    <w:uiPriority w:val="99"/>
    <w:semiHidden/>
    <w:unhideWhenUsed/>
    <w:rsid w:val="00773250"/>
    <w:rPr>
      <w:color w:val="025F5D"/>
      <w:shd w:val="clear" w:color="auto" w:fill="E1DFDD"/>
    </w:rPr>
  </w:style>
  <w:style w:type="paragraph" w:styleId="Index1">
    <w:name w:val="index 1"/>
    <w:basedOn w:val="Normal"/>
    <w:next w:val="Normal"/>
    <w:autoRedefine/>
    <w:uiPriority w:val="99"/>
    <w:unhideWhenUsed/>
    <w:rsid w:val="00773250"/>
    <w:pPr>
      <w:spacing w:line="240" w:lineRule="auto"/>
      <w:ind w:left="240" w:hanging="240"/>
    </w:pPr>
  </w:style>
  <w:style w:type="paragraph" w:styleId="Index2">
    <w:name w:val="index 2"/>
    <w:basedOn w:val="Normal"/>
    <w:next w:val="Normal"/>
    <w:autoRedefine/>
    <w:uiPriority w:val="99"/>
    <w:unhideWhenUsed/>
    <w:rsid w:val="00773250"/>
    <w:pPr>
      <w:spacing w:line="240" w:lineRule="auto"/>
      <w:ind w:left="238"/>
    </w:pPr>
  </w:style>
  <w:style w:type="paragraph" w:styleId="Index3">
    <w:name w:val="index 3"/>
    <w:basedOn w:val="Normal"/>
    <w:next w:val="Normal"/>
    <w:autoRedefine/>
    <w:uiPriority w:val="99"/>
    <w:unhideWhenUsed/>
    <w:rsid w:val="00773250"/>
    <w:pPr>
      <w:spacing w:line="240" w:lineRule="auto"/>
      <w:ind w:left="482"/>
    </w:pPr>
  </w:style>
  <w:style w:type="paragraph" w:styleId="Index4">
    <w:name w:val="index 4"/>
    <w:basedOn w:val="Normal"/>
    <w:next w:val="Normal"/>
    <w:autoRedefine/>
    <w:uiPriority w:val="99"/>
    <w:unhideWhenUsed/>
    <w:rsid w:val="00773250"/>
    <w:pPr>
      <w:spacing w:line="240" w:lineRule="auto"/>
      <w:ind w:left="720"/>
    </w:pPr>
  </w:style>
  <w:style w:type="paragraph" w:styleId="Index5">
    <w:name w:val="index 5"/>
    <w:basedOn w:val="Normal"/>
    <w:next w:val="Normal"/>
    <w:autoRedefine/>
    <w:uiPriority w:val="99"/>
    <w:unhideWhenUsed/>
    <w:rsid w:val="00773250"/>
    <w:pPr>
      <w:spacing w:line="240" w:lineRule="auto"/>
      <w:ind w:left="958"/>
    </w:pPr>
  </w:style>
  <w:style w:type="paragraph" w:styleId="Index6">
    <w:name w:val="index 6"/>
    <w:basedOn w:val="Normal"/>
    <w:next w:val="Normal"/>
    <w:autoRedefine/>
    <w:uiPriority w:val="99"/>
    <w:unhideWhenUsed/>
    <w:rsid w:val="00773250"/>
    <w:pPr>
      <w:spacing w:line="240" w:lineRule="auto"/>
      <w:ind w:left="1202"/>
    </w:pPr>
  </w:style>
  <w:style w:type="paragraph" w:styleId="Index7">
    <w:name w:val="index 7"/>
    <w:basedOn w:val="Normal"/>
    <w:next w:val="Normal"/>
    <w:autoRedefine/>
    <w:uiPriority w:val="99"/>
    <w:unhideWhenUsed/>
    <w:rsid w:val="00773250"/>
    <w:pPr>
      <w:spacing w:line="240" w:lineRule="auto"/>
      <w:ind w:left="1440"/>
    </w:pPr>
  </w:style>
  <w:style w:type="paragraph" w:styleId="Index8">
    <w:name w:val="index 8"/>
    <w:basedOn w:val="Normal"/>
    <w:next w:val="Normal"/>
    <w:autoRedefine/>
    <w:uiPriority w:val="99"/>
    <w:unhideWhenUsed/>
    <w:rsid w:val="00773250"/>
    <w:pPr>
      <w:spacing w:line="240" w:lineRule="auto"/>
      <w:ind w:left="1678"/>
    </w:pPr>
  </w:style>
  <w:style w:type="paragraph" w:styleId="Index9">
    <w:name w:val="index 9"/>
    <w:basedOn w:val="Normal"/>
    <w:next w:val="Normal"/>
    <w:autoRedefine/>
    <w:uiPriority w:val="99"/>
    <w:unhideWhenUsed/>
    <w:rsid w:val="00773250"/>
    <w:pPr>
      <w:spacing w:line="240" w:lineRule="auto"/>
      <w:ind w:left="1922"/>
    </w:pPr>
  </w:style>
  <w:style w:type="paragraph" w:styleId="IndexHeading">
    <w:name w:val="index heading"/>
    <w:basedOn w:val="Normal"/>
    <w:next w:val="Index1"/>
    <w:uiPriority w:val="99"/>
    <w:unhideWhenUsed/>
    <w:rsid w:val="00773250"/>
    <w:rPr>
      <w:rFonts w:eastAsiaTheme="majorEastAsia" w:cstheme="majorBidi"/>
      <w:b/>
      <w:bCs/>
      <w:color w:val="025F5D"/>
    </w:rPr>
  </w:style>
  <w:style w:type="character" w:styleId="IntenseReference">
    <w:name w:val="Intense Reference"/>
    <w:basedOn w:val="DefaultParagraphFont"/>
    <w:uiPriority w:val="32"/>
    <w:rsid w:val="00773250"/>
    <w:rPr>
      <w:b/>
      <w:bCs/>
      <w:smallCaps/>
      <w:color w:val="025F5D"/>
      <w:spacing w:val="5"/>
    </w:rPr>
  </w:style>
  <w:style w:type="character" w:styleId="LineNumber">
    <w:name w:val="line number"/>
    <w:basedOn w:val="DefaultParagraphFont"/>
    <w:uiPriority w:val="99"/>
    <w:unhideWhenUsed/>
    <w:rsid w:val="00773250"/>
  </w:style>
  <w:style w:type="paragraph" w:styleId="List">
    <w:name w:val="List"/>
    <w:basedOn w:val="Normal"/>
    <w:uiPriority w:val="99"/>
    <w:unhideWhenUsed/>
    <w:rsid w:val="00773250"/>
    <w:pPr>
      <w:spacing w:before="60" w:after="60"/>
      <w:ind w:left="714" w:hanging="357"/>
      <w:contextualSpacing/>
    </w:pPr>
  </w:style>
  <w:style w:type="paragraph" w:styleId="List2">
    <w:name w:val="List 2"/>
    <w:basedOn w:val="Normal"/>
    <w:uiPriority w:val="99"/>
    <w:unhideWhenUsed/>
    <w:rsid w:val="00773250"/>
    <w:pPr>
      <w:spacing w:before="60" w:after="60"/>
      <w:ind w:left="1071" w:hanging="357"/>
      <w:contextualSpacing/>
    </w:pPr>
  </w:style>
  <w:style w:type="paragraph" w:styleId="List3">
    <w:name w:val="List 3"/>
    <w:basedOn w:val="Normal"/>
    <w:uiPriority w:val="99"/>
    <w:unhideWhenUsed/>
    <w:rsid w:val="00773250"/>
    <w:pPr>
      <w:spacing w:before="60" w:after="60"/>
      <w:ind w:left="1429" w:hanging="357"/>
      <w:contextualSpacing/>
    </w:pPr>
  </w:style>
  <w:style w:type="paragraph" w:styleId="List4">
    <w:name w:val="List 4"/>
    <w:basedOn w:val="Normal"/>
    <w:uiPriority w:val="99"/>
    <w:unhideWhenUsed/>
    <w:rsid w:val="00773250"/>
    <w:pPr>
      <w:spacing w:before="60" w:after="60"/>
      <w:ind w:left="1786" w:hanging="357"/>
      <w:contextualSpacing/>
    </w:pPr>
  </w:style>
  <w:style w:type="paragraph" w:styleId="List5">
    <w:name w:val="List 5"/>
    <w:basedOn w:val="Normal"/>
    <w:uiPriority w:val="99"/>
    <w:unhideWhenUsed/>
    <w:rsid w:val="00773250"/>
    <w:pPr>
      <w:spacing w:before="60" w:after="60"/>
      <w:ind w:left="2143" w:hanging="357"/>
      <w:contextualSpacing/>
    </w:pPr>
  </w:style>
  <w:style w:type="paragraph" w:styleId="ListBullet4">
    <w:name w:val="List Bullet 4"/>
    <w:basedOn w:val="Normal"/>
    <w:uiPriority w:val="99"/>
    <w:unhideWhenUsed/>
    <w:rsid w:val="00773250"/>
    <w:pPr>
      <w:numPr>
        <w:numId w:val="34"/>
      </w:numPr>
      <w:spacing w:before="60" w:after="60"/>
      <w:contextualSpacing/>
    </w:pPr>
  </w:style>
  <w:style w:type="paragraph" w:styleId="ListBullet5">
    <w:name w:val="List Bullet 5"/>
    <w:basedOn w:val="Normal"/>
    <w:uiPriority w:val="99"/>
    <w:unhideWhenUsed/>
    <w:rsid w:val="00773250"/>
    <w:pPr>
      <w:numPr>
        <w:numId w:val="36"/>
      </w:numPr>
      <w:spacing w:before="60" w:after="60"/>
      <w:contextualSpacing/>
    </w:pPr>
  </w:style>
  <w:style w:type="paragraph" w:styleId="ListContinue">
    <w:name w:val="List Continue"/>
    <w:basedOn w:val="Normal"/>
    <w:uiPriority w:val="99"/>
    <w:semiHidden/>
    <w:unhideWhenUsed/>
    <w:rsid w:val="00773250"/>
    <w:pPr>
      <w:spacing w:before="60" w:after="60"/>
      <w:ind w:left="714" w:hanging="357"/>
      <w:contextualSpacing/>
    </w:pPr>
  </w:style>
  <w:style w:type="paragraph" w:styleId="ListContinue2">
    <w:name w:val="List Continue 2"/>
    <w:basedOn w:val="Normal"/>
    <w:uiPriority w:val="99"/>
    <w:semiHidden/>
    <w:unhideWhenUsed/>
    <w:rsid w:val="00773250"/>
    <w:pPr>
      <w:spacing w:before="60" w:after="60"/>
      <w:ind w:left="1071" w:hanging="357"/>
      <w:contextualSpacing/>
    </w:pPr>
  </w:style>
  <w:style w:type="paragraph" w:styleId="ListContinue3">
    <w:name w:val="List Continue 3"/>
    <w:basedOn w:val="Normal"/>
    <w:uiPriority w:val="99"/>
    <w:semiHidden/>
    <w:unhideWhenUsed/>
    <w:rsid w:val="00773250"/>
    <w:pPr>
      <w:spacing w:before="60" w:after="60"/>
      <w:ind w:left="1429" w:hanging="357"/>
      <w:contextualSpacing/>
    </w:pPr>
  </w:style>
  <w:style w:type="paragraph" w:styleId="ListContinue4">
    <w:name w:val="List Continue 4"/>
    <w:basedOn w:val="Normal"/>
    <w:uiPriority w:val="99"/>
    <w:semiHidden/>
    <w:unhideWhenUsed/>
    <w:rsid w:val="00773250"/>
    <w:pPr>
      <w:spacing w:before="60" w:after="60"/>
      <w:ind w:left="1786" w:hanging="357"/>
      <w:contextualSpacing/>
    </w:pPr>
  </w:style>
  <w:style w:type="paragraph" w:styleId="ListContinue5">
    <w:name w:val="List Continue 5"/>
    <w:basedOn w:val="Normal"/>
    <w:uiPriority w:val="99"/>
    <w:semiHidden/>
    <w:unhideWhenUsed/>
    <w:rsid w:val="00773250"/>
    <w:pPr>
      <w:spacing w:before="60" w:after="60"/>
      <w:ind w:left="2143" w:hanging="357"/>
      <w:contextualSpacing/>
    </w:pPr>
  </w:style>
  <w:style w:type="paragraph" w:styleId="ListNumber3">
    <w:name w:val="List Number 3"/>
    <w:basedOn w:val="Normal"/>
    <w:uiPriority w:val="99"/>
    <w:unhideWhenUsed/>
    <w:rsid w:val="00773250"/>
    <w:pPr>
      <w:numPr>
        <w:numId w:val="39"/>
      </w:numPr>
      <w:tabs>
        <w:tab w:val="clear" w:pos="926"/>
      </w:tabs>
      <w:spacing w:before="60" w:after="60"/>
      <w:contextualSpacing/>
    </w:pPr>
  </w:style>
  <w:style w:type="paragraph" w:styleId="ListNumber4">
    <w:name w:val="List Number 4"/>
    <w:basedOn w:val="Normal"/>
    <w:uiPriority w:val="99"/>
    <w:unhideWhenUsed/>
    <w:rsid w:val="00773250"/>
    <w:pPr>
      <w:numPr>
        <w:numId w:val="41"/>
      </w:numPr>
      <w:tabs>
        <w:tab w:val="clear" w:pos="1209"/>
      </w:tabs>
      <w:spacing w:before="60" w:after="60"/>
      <w:contextualSpacing/>
    </w:pPr>
  </w:style>
  <w:style w:type="paragraph" w:styleId="ListNumber5">
    <w:name w:val="List Number 5"/>
    <w:basedOn w:val="Normal"/>
    <w:uiPriority w:val="99"/>
    <w:unhideWhenUsed/>
    <w:rsid w:val="00773250"/>
    <w:pPr>
      <w:numPr>
        <w:numId w:val="43"/>
      </w:numPr>
      <w:tabs>
        <w:tab w:val="clear" w:pos="1492"/>
      </w:tabs>
      <w:spacing w:before="60" w:after="60"/>
      <w:contextualSpacing/>
    </w:pPr>
  </w:style>
  <w:style w:type="character" w:styleId="PlaceholderText">
    <w:name w:val="Placeholder Text"/>
    <w:basedOn w:val="DefaultParagraphFont"/>
    <w:uiPriority w:val="99"/>
    <w:semiHidden/>
    <w:rsid w:val="00773250"/>
    <w:rPr>
      <w:color w:val="666666"/>
    </w:rPr>
  </w:style>
  <w:style w:type="table" w:styleId="PlainTable2">
    <w:name w:val="Plain Table 2"/>
    <w:basedOn w:val="TableNormal"/>
    <w:uiPriority w:val="42"/>
    <w:rsid w:val="007732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7325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77325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773250"/>
    <w:rPr>
      <w:rFonts w:ascii="Consolas" w:hAnsi="Consolas"/>
      <w:sz w:val="21"/>
      <w:szCs w:val="21"/>
    </w:rPr>
  </w:style>
  <w:style w:type="paragraph" w:styleId="Salutation">
    <w:name w:val="Salutation"/>
    <w:basedOn w:val="Normal"/>
    <w:next w:val="Normal"/>
    <w:link w:val="SalutationChar"/>
    <w:uiPriority w:val="99"/>
    <w:unhideWhenUsed/>
    <w:rsid w:val="00773250"/>
  </w:style>
  <w:style w:type="character" w:customStyle="1" w:styleId="SalutationChar">
    <w:name w:val="Salutation Char"/>
    <w:basedOn w:val="DefaultParagraphFont"/>
    <w:link w:val="Salutation"/>
    <w:uiPriority w:val="99"/>
    <w:rsid w:val="00773250"/>
    <w:rPr>
      <w:rFonts w:ascii="Segoe UI" w:hAnsi="Segoe UI"/>
    </w:rPr>
  </w:style>
  <w:style w:type="paragraph" w:styleId="Signature">
    <w:name w:val="Signature"/>
    <w:basedOn w:val="Normal"/>
    <w:link w:val="SignatureChar"/>
    <w:uiPriority w:val="99"/>
    <w:unhideWhenUsed/>
    <w:rsid w:val="00773250"/>
    <w:pPr>
      <w:spacing w:line="240" w:lineRule="auto"/>
      <w:ind w:left="4252"/>
    </w:pPr>
  </w:style>
  <w:style w:type="character" w:customStyle="1" w:styleId="SignatureChar">
    <w:name w:val="Signature Char"/>
    <w:basedOn w:val="DefaultParagraphFont"/>
    <w:link w:val="Signature"/>
    <w:uiPriority w:val="99"/>
    <w:rsid w:val="00773250"/>
    <w:rPr>
      <w:rFonts w:ascii="Segoe UI" w:hAnsi="Segoe UI"/>
    </w:rPr>
  </w:style>
  <w:style w:type="character" w:styleId="SmartHyperlink">
    <w:name w:val="Smart Hyperlink"/>
    <w:basedOn w:val="DefaultParagraphFont"/>
    <w:uiPriority w:val="99"/>
    <w:unhideWhenUsed/>
    <w:rsid w:val="00773250"/>
    <w:rPr>
      <w:u w:val="dotted"/>
    </w:rPr>
  </w:style>
  <w:style w:type="character" w:styleId="SmartLink">
    <w:name w:val="Smart Link"/>
    <w:basedOn w:val="DefaultParagraphFont"/>
    <w:uiPriority w:val="99"/>
    <w:unhideWhenUsed/>
    <w:rsid w:val="00773250"/>
    <w:rPr>
      <w:color w:val="0000EE"/>
      <w:u w:val="single"/>
      <w:shd w:val="clear" w:color="auto" w:fill="F3F2F1"/>
    </w:rPr>
  </w:style>
  <w:style w:type="character" w:styleId="SubtleReference">
    <w:name w:val="Subtle Reference"/>
    <w:basedOn w:val="DefaultParagraphFont"/>
    <w:uiPriority w:val="31"/>
    <w:rsid w:val="00773250"/>
    <w:rPr>
      <w:rFonts w:ascii="Segoe UI" w:hAnsi="Segoe UI"/>
      <w:smallCaps/>
      <w:color w:val="5A5A5A" w:themeColor="text1" w:themeTint="A5"/>
    </w:rPr>
  </w:style>
  <w:style w:type="table" w:styleId="TableGrid1">
    <w:name w:val="Table Grid 1"/>
    <w:basedOn w:val="TableNormal"/>
    <w:uiPriority w:val="99"/>
    <w:semiHidden/>
    <w:unhideWhenUsed/>
    <w:rsid w:val="00773250"/>
    <w:pPr>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errowblack">
    <w:name w:val="Table header row black"/>
    <w:basedOn w:val="Normal"/>
    <w:qFormat/>
    <w:rsid w:val="00773250"/>
    <w:rPr>
      <w:rFonts w:ascii="Segoe UI Semibold" w:eastAsia="Times New Roman" w:hAnsi="Segoe UI Semibold" w:cs="Times New Roman"/>
      <w:kern w:val="0"/>
      <w:szCs w:val="20"/>
      <w:lang w:eastAsia="en-AU"/>
      <w14:ligatures w14:val="none"/>
    </w:rPr>
  </w:style>
  <w:style w:type="paragraph" w:customStyle="1" w:styleId="Tableheaderrowwhite">
    <w:name w:val="Table header row white"/>
    <w:basedOn w:val="Tableheaderrowblack"/>
    <w:qFormat/>
    <w:rsid w:val="00773250"/>
    <w:rPr>
      <w:color w:val="FFFFFF" w:themeColor="background1"/>
    </w:rPr>
  </w:style>
  <w:style w:type="paragraph" w:customStyle="1" w:styleId="Tabletext">
    <w:name w:val="Table text"/>
    <w:basedOn w:val="Normal"/>
    <w:autoRedefine/>
    <w:qFormat/>
    <w:locked/>
    <w:rsid w:val="00773250"/>
    <w:pPr>
      <w:spacing w:before="60" w:after="60"/>
    </w:pPr>
    <w:rPr>
      <w:rFonts w:eastAsia="Times New Roman" w:cs="Times New Roman"/>
      <w:color w:val="000000" w:themeColor="text1"/>
      <w:kern w:val="0"/>
      <w14:ligatures w14:val="none"/>
    </w:rPr>
  </w:style>
  <w:style w:type="paragraph" w:customStyle="1" w:styleId="Tablelistbullet">
    <w:name w:val="Table list bullet"/>
    <w:basedOn w:val="Tabletext"/>
    <w:qFormat/>
    <w:rsid w:val="00773250"/>
    <w:pPr>
      <w:numPr>
        <w:numId w:val="44"/>
      </w:numPr>
      <w:spacing w:after="0"/>
      <w:contextualSpacing/>
    </w:pPr>
    <w:rPr>
      <w:szCs w:val="20"/>
      <w:lang w:eastAsia="en-AU"/>
    </w:rPr>
  </w:style>
  <w:style w:type="paragraph" w:customStyle="1" w:styleId="Tablelistbullet2">
    <w:name w:val="Table list bullet 2"/>
    <w:basedOn w:val="ListBullet2"/>
    <w:link w:val="Tablelistbullet2Char"/>
    <w:qFormat/>
    <w:rsid w:val="00773250"/>
    <w:pPr>
      <w:spacing w:before="0"/>
      <w:ind w:left="624" w:hanging="227"/>
    </w:pPr>
  </w:style>
  <w:style w:type="character" w:customStyle="1" w:styleId="Tablelistbullet2Char">
    <w:name w:val="Table list bullet 2 Char"/>
    <w:basedOn w:val="DefaultParagraphFont"/>
    <w:link w:val="Tablelistbullet2"/>
    <w:rsid w:val="00773250"/>
    <w:rPr>
      <w:rFonts w:ascii="Segoe UI" w:eastAsia="Times New Roman" w:hAnsi="Segoe UI" w:cs="Times New Roman"/>
      <w:color w:val="000000" w:themeColor="text1"/>
      <w:kern w:val="0"/>
      <w14:ligatures w14:val="none"/>
    </w:rPr>
  </w:style>
  <w:style w:type="paragraph" w:styleId="TableofAuthorities">
    <w:name w:val="table of authorities"/>
    <w:basedOn w:val="Normal"/>
    <w:next w:val="Normal"/>
    <w:uiPriority w:val="99"/>
    <w:unhideWhenUsed/>
    <w:rsid w:val="00773250"/>
    <w:pPr>
      <w:ind w:left="240" w:hanging="240"/>
    </w:pPr>
  </w:style>
  <w:style w:type="paragraph" w:customStyle="1" w:styleId="Tabletitle">
    <w:name w:val="Table title"/>
    <w:basedOn w:val="Normal"/>
    <w:qFormat/>
    <w:rsid w:val="00773250"/>
    <w:pPr>
      <w:numPr>
        <w:numId w:val="46"/>
      </w:numPr>
      <w:spacing w:before="240"/>
    </w:pPr>
    <w:rPr>
      <w:b/>
      <w:bCs/>
      <w:color w:val="025F5D"/>
    </w:rPr>
  </w:style>
  <w:style w:type="paragraph" w:styleId="BalloonText">
    <w:name w:val="Balloon Text"/>
    <w:basedOn w:val="Normal"/>
    <w:link w:val="BalloonTextChar"/>
    <w:uiPriority w:val="99"/>
    <w:semiHidden/>
    <w:unhideWhenUsed/>
    <w:rsid w:val="005355A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5355AC"/>
    <w:rPr>
      <w:rFonts w:ascii="Segoe UI" w:hAnsi="Segoe UI" w:cs="Segoe UI"/>
      <w:sz w:val="18"/>
      <w:szCs w:val="18"/>
    </w:rPr>
  </w:style>
  <w:style w:type="paragraph" w:styleId="BlockText">
    <w:name w:val="Block Text"/>
    <w:basedOn w:val="Normal"/>
    <w:uiPriority w:val="99"/>
    <w:semiHidden/>
    <w:unhideWhenUsed/>
    <w:rsid w:val="005355AC"/>
    <w:pPr>
      <w:pBdr>
        <w:top w:val="single" w:sz="2" w:space="10" w:color="083E9C" w:themeColor="accent1"/>
        <w:left w:val="single" w:sz="2" w:space="10" w:color="083E9C" w:themeColor="accent1"/>
        <w:bottom w:val="single" w:sz="2" w:space="10" w:color="083E9C" w:themeColor="accent1"/>
        <w:right w:val="single" w:sz="2" w:space="10" w:color="083E9C" w:themeColor="accent1"/>
      </w:pBdr>
      <w:ind w:left="1152" w:right="1152"/>
    </w:pPr>
    <w:rPr>
      <w:rFonts w:asciiTheme="minorHAnsi" w:eastAsiaTheme="minorEastAsia" w:hAnsiTheme="minorHAnsi"/>
      <w:i/>
      <w:iCs/>
      <w:color w:val="083E9C" w:themeColor="accent1"/>
    </w:rPr>
  </w:style>
  <w:style w:type="paragraph" w:styleId="BodyText3">
    <w:name w:val="Body Text 3"/>
    <w:basedOn w:val="Normal"/>
    <w:link w:val="BodyText3Char"/>
    <w:uiPriority w:val="99"/>
    <w:semiHidden/>
    <w:unhideWhenUsed/>
    <w:rsid w:val="005355AC"/>
    <w:pPr>
      <w:spacing w:after="120"/>
    </w:pPr>
    <w:rPr>
      <w:sz w:val="16"/>
      <w:szCs w:val="16"/>
    </w:rPr>
  </w:style>
  <w:style w:type="character" w:customStyle="1" w:styleId="BodyText3Char">
    <w:name w:val="Body Text 3 Char"/>
    <w:basedOn w:val="DefaultParagraphFont"/>
    <w:link w:val="BodyText3"/>
    <w:uiPriority w:val="99"/>
    <w:semiHidden/>
    <w:rsid w:val="005355AC"/>
    <w:rPr>
      <w:rFonts w:ascii="Segoe UI" w:hAnsi="Segoe UI"/>
      <w:sz w:val="16"/>
      <w:szCs w:val="16"/>
    </w:rPr>
  </w:style>
  <w:style w:type="paragraph" w:styleId="BodyTextFirstIndent">
    <w:name w:val="Body Text First Indent"/>
    <w:basedOn w:val="BodyText"/>
    <w:link w:val="BodyTextFirstIndentChar"/>
    <w:uiPriority w:val="99"/>
    <w:semiHidden/>
    <w:unhideWhenUsed/>
    <w:rsid w:val="005355AC"/>
    <w:pPr>
      <w:ind w:firstLine="360"/>
    </w:pPr>
  </w:style>
  <w:style w:type="character" w:customStyle="1" w:styleId="BodyTextFirstIndentChar">
    <w:name w:val="Body Text First Indent Char"/>
    <w:basedOn w:val="BodyTextChar"/>
    <w:link w:val="BodyTextFirstIndent"/>
    <w:uiPriority w:val="99"/>
    <w:semiHidden/>
    <w:rsid w:val="005355AC"/>
    <w:rPr>
      <w:rFonts w:ascii="Segoe UI" w:hAnsi="Segoe UI"/>
    </w:rPr>
  </w:style>
  <w:style w:type="paragraph" w:styleId="BodyTextIndent">
    <w:name w:val="Body Text Indent"/>
    <w:basedOn w:val="Normal"/>
    <w:link w:val="BodyTextIndentChar"/>
    <w:uiPriority w:val="99"/>
    <w:semiHidden/>
    <w:unhideWhenUsed/>
    <w:rsid w:val="005355AC"/>
    <w:pPr>
      <w:spacing w:after="120"/>
      <w:ind w:left="283"/>
    </w:pPr>
  </w:style>
  <w:style w:type="character" w:customStyle="1" w:styleId="BodyTextIndentChar">
    <w:name w:val="Body Text Indent Char"/>
    <w:basedOn w:val="DefaultParagraphFont"/>
    <w:link w:val="BodyTextIndent"/>
    <w:uiPriority w:val="99"/>
    <w:semiHidden/>
    <w:rsid w:val="005355AC"/>
    <w:rPr>
      <w:rFonts w:ascii="Segoe UI" w:hAnsi="Segoe UI"/>
    </w:rPr>
  </w:style>
  <w:style w:type="paragraph" w:styleId="BodyTextFirstIndent2">
    <w:name w:val="Body Text First Indent 2"/>
    <w:basedOn w:val="BodyTextIndent"/>
    <w:link w:val="BodyTextFirstIndent2Char"/>
    <w:uiPriority w:val="99"/>
    <w:semiHidden/>
    <w:unhideWhenUsed/>
    <w:rsid w:val="005355A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355AC"/>
    <w:rPr>
      <w:rFonts w:ascii="Segoe UI" w:hAnsi="Segoe UI"/>
    </w:rPr>
  </w:style>
  <w:style w:type="paragraph" w:styleId="BodyTextIndent2">
    <w:name w:val="Body Text Indent 2"/>
    <w:basedOn w:val="Normal"/>
    <w:link w:val="BodyTextIndent2Char"/>
    <w:uiPriority w:val="99"/>
    <w:semiHidden/>
    <w:unhideWhenUsed/>
    <w:rsid w:val="005355AC"/>
    <w:pPr>
      <w:spacing w:after="120" w:line="480" w:lineRule="auto"/>
      <w:ind w:left="283"/>
    </w:pPr>
  </w:style>
  <w:style w:type="character" w:customStyle="1" w:styleId="BodyTextIndent2Char">
    <w:name w:val="Body Text Indent 2 Char"/>
    <w:basedOn w:val="DefaultParagraphFont"/>
    <w:link w:val="BodyTextIndent2"/>
    <w:uiPriority w:val="99"/>
    <w:semiHidden/>
    <w:rsid w:val="005355AC"/>
    <w:rPr>
      <w:rFonts w:ascii="Segoe UI" w:hAnsi="Segoe UI"/>
    </w:rPr>
  </w:style>
  <w:style w:type="paragraph" w:styleId="BodyTextIndent3">
    <w:name w:val="Body Text Indent 3"/>
    <w:basedOn w:val="Normal"/>
    <w:link w:val="BodyTextIndent3Char"/>
    <w:uiPriority w:val="99"/>
    <w:semiHidden/>
    <w:unhideWhenUsed/>
    <w:rsid w:val="005355A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55AC"/>
    <w:rPr>
      <w:rFonts w:ascii="Segoe UI" w:hAnsi="Segoe UI"/>
      <w:sz w:val="16"/>
      <w:szCs w:val="16"/>
    </w:rPr>
  </w:style>
  <w:style w:type="paragraph" w:styleId="Closing">
    <w:name w:val="Closing"/>
    <w:basedOn w:val="Normal"/>
    <w:link w:val="ClosingChar"/>
    <w:uiPriority w:val="99"/>
    <w:semiHidden/>
    <w:unhideWhenUsed/>
    <w:rsid w:val="005355AC"/>
    <w:pPr>
      <w:spacing w:after="0" w:line="240" w:lineRule="auto"/>
      <w:ind w:left="4252"/>
    </w:pPr>
  </w:style>
  <w:style w:type="character" w:customStyle="1" w:styleId="ClosingChar">
    <w:name w:val="Closing Char"/>
    <w:basedOn w:val="DefaultParagraphFont"/>
    <w:link w:val="Closing"/>
    <w:uiPriority w:val="99"/>
    <w:semiHidden/>
    <w:rsid w:val="005355AC"/>
    <w:rPr>
      <w:rFonts w:ascii="Segoe UI" w:hAnsi="Segoe UI"/>
    </w:rPr>
  </w:style>
  <w:style w:type="paragraph" w:styleId="DocumentMap">
    <w:name w:val="Document Map"/>
    <w:basedOn w:val="Normal"/>
    <w:link w:val="DocumentMapChar"/>
    <w:uiPriority w:val="99"/>
    <w:semiHidden/>
    <w:unhideWhenUsed/>
    <w:rsid w:val="005355AC"/>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5355AC"/>
    <w:rPr>
      <w:rFonts w:ascii="Segoe UI" w:hAnsi="Segoe UI" w:cs="Segoe UI"/>
      <w:sz w:val="16"/>
      <w:szCs w:val="16"/>
    </w:rPr>
  </w:style>
  <w:style w:type="paragraph" w:styleId="EmailSignature">
    <w:name w:val="E-mail Signature"/>
    <w:basedOn w:val="Normal"/>
    <w:link w:val="EmailSignatureChar"/>
    <w:uiPriority w:val="99"/>
    <w:semiHidden/>
    <w:unhideWhenUsed/>
    <w:rsid w:val="005355AC"/>
    <w:pPr>
      <w:spacing w:after="0" w:line="240" w:lineRule="auto"/>
    </w:pPr>
  </w:style>
  <w:style w:type="character" w:customStyle="1" w:styleId="EmailSignatureChar">
    <w:name w:val="Email Signature Char"/>
    <w:basedOn w:val="DefaultParagraphFont"/>
    <w:link w:val="EmailSignature"/>
    <w:uiPriority w:val="99"/>
    <w:semiHidden/>
    <w:rsid w:val="005355AC"/>
    <w:rPr>
      <w:rFonts w:ascii="Segoe UI" w:hAnsi="Segoe UI"/>
    </w:rPr>
  </w:style>
  <w:style w:type="paragraph" w:styleId="HTMLAddress">
    <w:name w:val="HTML Address"/>
    <w:basedOn w:val="Normal"/>
    <w:link w:val="HTMLAddressChar"/>
    <w:uiPriority w:val="99"/>
    <w:semiHidden/>
    <w:unhideWhenUsed/>
    <w:rsid w:val="005355AC"/>
    <w:pPr>
      <w:spacing w:after="0" w:line="240" w:lineRule="auto"/>
    </w:pPr>
    <w:rPr>
      <w:i/>
      <w:iCs/>
    </w:rPr>
  </w:style>
  <w:style w:type="character" w:customStyle="1" w:styleId="HTMLAddressChar">
    <w:name w:val="HTML Address Char"/>
    <w:basedOn w:val="DefaultParagraphFont"/>
    <w:link w:val="HTMLAddress"/>
    <w:uiPriority w:val="99"/>
    <w:semiHidden/>
    <w:rsid w:val="005355AC"/>
    <w:rPr>
      <w:rFonts w:ascii="Segoe UI" w:hAnsi="Segoe UI"/>
      <w:i/>
      <w:iCs/>
    </w:rPr>
  </w:style>
  <w:style w:type="paragraph" w:styleId="HTMLPreformatted">
    <w:name w:val="HTML Preformatted"/>
    <w:basedOn w:val="Normal"/>
    <w:link w:val="HTMLPreformattedChar"/>
    <w:uiPriority w:val="99"/>
    <w:semiHidden/>
    <w:unhideWhenUsed/>
    <w:rsid w:val="005355A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355AC"/>
    <w:rPr>
      <w:rFonts w:ascii="Consolas" w:hAnsi="Consolas"/>
      <w:sz w:val="20"/>
      <w:szCs w:val="20"/>
    </w:rPr>
  </w:style>
  <w:style w:type="paragraph" w:styleId="MacroText">
    <w:name w:val="macro"/>
    <w:link w:val="MacroTextChar"/>
    <w:uiPriority w:val="99"/>
    <w:semiHidden/>
    <w:unhideWhenUsed/>
    <w:rsid w:val="005355A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5355AC"/>
    <w:rPr>
      <w:rFonts w:ascii="Consolas" w:hAnsi="Consolas"/>
      <w:sz w:val="20"/>
      <w:szCs w:val="20"/>
    </w:rPr>
  </w:style>
  <w:style w:type="paragraph" w:styleId="MessageHeader">
    <w:name w:val="Message Header"/>
    <w:basedOn w:val="Normal"/>
    <w:link w:val="MessageHeaderChar"/>
    <w:uiPriority w:val="99"/>
    <w:semiHidden/>
    <w:unhideWhenUsed/>
    <w:rsid w:val="005355A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355AC"/>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5355AC"/>
    <w:pPr>
      <w:ind w:left="720"/>
    </w:pPr>
  </w:style>
  <w:style w:type="paragraph" w:styleId="NoteHeading">
    <w:name w:val="Note Heading"/>
    <w:basedOn w:val="Normal"/>
    <w:next w:val="Normal"/>
    <w:link w:val="NoteHeadingChar"/>
    <w:uiPriority w:val="99"/>
    <w:semiHidden/>
    <w:unhideWhenUsed/>
    <w:rsid w:val="005355AC"/>
    <w:pPr>
      <w:spacing w:after="0" w:line="240" w:lineRule="auto"/>
    </w:pPr>
  </w:style>
  <w:style w:type="character" w:customStyle="1" w:styleId="NoteHeadingChar">
    <w:name w:val="Note Heading Char"/>
    <w:basedOn w:val="DefaultParagraphFont"/>
    <w:link w:val="NoteHeading"/>
    <w:uiPriority w:val="99"/>
    <w:semiHidden/>
    <w:rsid w:val="005355AC"/>
    <w:rPr>
      <w:rFonts w:ascii="Segoe UI"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health.gov.au/sites/default/files/documents/2019/10/national-cervical-screening-program-quality-framework-national-cervical-screening-program-quality-framework.pdf" TargetMode="External"/><Relationship Id="rId34" Type="http://schemas.openxmlformats.org/officeDocument/2006/relationships/footer" Target="footer5.xml"/><Relationship Id="rId42" Type="http://schemas.openxmlformats.org/officeDocument/2006/relationships/hyperlink" Target="https://www.aihw.gov.au/reports/cancer-screening/ncsp-monitoring-2022/summary" TargetMode="External"/><Relationship Id="rId47" Type="http://schemas.openxmlformats.org/officeDocument/2006/relationships/hyperlink" Target="https://www.health.gov.au/resources/publications/national-cervical-screening-program-quality-framework?language=en" TargetMode="External"/><Relationship Id="rId50" Type="http://schemas.openxmlformats.org/officeDocument/2006/relationships/hyperlink" Target="https://www.health.gov.au/resources/publications/national-hpv-3-dose-vaccination-coverage-for-all-adolescents-turning-15-years-of-age-from-year-of-program-commencement" TargetMode="External"/><Relationship Id="rId55" Type="http://schemas.openxmlformats.org/officeDocument/2006/relationships/hyperlink" Target="https://www.kirby.unsw.edu.au/sites/default/files/documents/Annual-Surveillance-Report-2022_STI.pdf"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cirs.org.au/health-professionals/immunisation-coverage-data-and-reports" TargetMode="External"/><Relationship Id="rId29" Type="http://schemas.openxmlformats.org/officeDocument/2006/relationships/hyperlink" Target="https://ausvaxsafety.org.au/national-immunisation-program-schedule-vaccines/12-13-years-schedule-point" TargetMode="External"/><Relationship Id="rId11" Type="http://schemas.openxmlformats.org/officeDocument/2006/relationships/hyperlink" Target="https://www.health.gov.au/resources/publications/national-strategy-for-the-elimination-of-cervical-cancer-in-australia?language=en" TargetMode="External"/><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yperlink" Target="https://www.legislation.gov.au/Details/C2019C00147" TargetMode="External"/><Relationship Id="rId53" Type="http://schemas.openxmlformats.org/officeDocument/2006/relationships/hyperlink" Target="https://www.apsu.org.au/assets/current-studies/APSU-JoRRP-Study-Protocol-Version-2.1.pdf" TargetMode="External"/><Relationship Id="rId58" Type="http://schemas.openxmlformats.org/officeDocument/2006/relationships/hyperlink" Target="https://www.ncsr.gov.au/content/ncsr/en/about.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who.int/publications/i/item/hpv-vaccine-coverage-monitoring-manual" TargetMode="External"/><Relationship Id="rId19" Type="http://schemas.openxmlformats.org/officeDocument/2006/relationships/hyperlink" Target="https://www.apsu.org.au/assets/current-studies/APSU-JoRRP-Study-Protocol-Version-2.1.pdf" TargetMode="External"/><Relationship Id="rId14" Type="http://schemas.openxmlformats.org/officeDocument/2006/relationships/hyperlink" Target="https://www.cervicalcancercontrol.org.au/publications/reports/" TargetMode="External"/><Relationship Id="rId22" Type="http://schemas.openxmlformats.org/officeDocument/2006/relationships/hyperlink" Target="https://www.abs.gov.au/statistics/standards/standards-statistics-cultural-and-language-diversity/latest-release"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hyperlink" Target="https://www.aihw.gov.au/reports/cancer-screening/ncsp-monitoring-2023/summary" TargetMode="External"/><Relationship Id="rId48" Type="http://schemas.openxmlformats.org/officeDocument/2006/relationships/hyperlink" Target="https://www.health.gov.au/resources/publications/national-immunisation-strategy-for-australia-2019-to-2024?language=en" TargetMode="External"/><Relationship Id="rId56" Type="http://schemas.openxmlformats.org/officeDocument/2006/relationships/hyperlink" Target="https://rarediseases.org/rare-diseases/recurrent-respiratory-papillomatosis/" TargetMode="External"/><Relationship Id="rId64" Type="http://schemas.openxmlformats.org/officeDocument/2006/relationships/footer" Target="footer9.xml"/><Relationship Id="rId8" Type="http://schemas.openxmlformats.org/officeDocument/2006/relationships/hyperlink" Target="https://creativecommons.org/licenses/by/4.0/legalcode" TargetMode="External"/><Relationship Id="rId51" Type="http://schemas.openxmlformats.org/officeDocument/2006/relationships/hyperlink" Target="https://www.health.gov.au/initiatives-and-programs/national-cervical-screening-program/about-the-national-cervical-screening-program" TargetMode="External"/><Relationship Id="rId3" Type="http://schemas.openxmlformats.org/officeDocument/2006/relationships/styles" Target="styles.xml"/><Relationship Id="rId12" Type="http://schemas.openxmlformats.org/officeDocument/2006/relationships/hyperlink" Target="https://www.health.gov.au/topics/immunisation/immunisation-data/human-papillomavirus-hpv-immunisation-data" TargetMode="External"/><Relationship Id="rId17" Type="http://schemas.openxmlformats.org/officeDocument/2006/relationships/hyperlink" Target="https://medicine.unimelb.edu.au/research-groups/obstetrics-and-gynaecology-research/molecular-microbiology-and-reproductive-health-research-group/national-hpv-monitoring-program-impact" TargetMode="External"/><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hyperlink" Target="https://www.cancer.org.au/assets/pdf/cervical-screening-pathway-flowchart-6.1-July-2022" TargetMode="External"/><Relationship Id="rId46" Type="http://schemas.openxmlformats.org/officeDocument/2006/relationships/hyperlink" Target="https://www.cancer.org.au/clinical-guidelines/cervical-cancer/cervical-cancer-screening" TargetMode="External"/><Relationship Id="rId59" Type="http://schemas.openxmlformats.org/officeDocument/2006/relationships/hyperlink" Target="https://www.tga.gov.au/news/safety-alerts/gardasil-human-papillomavirus-vaccine" TargetMode="External"/><Relationship Id="rId20" Type="http://schemas.openxmlformats.org/officeDocument/2006/relationships/hyperlink" Target="https://www.aihw.gov.au/reports/cancer/cancer-data-in-australia/contents/about" TargetMode="External"/><Relationship Id="rId41" Type="http://schemas.openxmlformats.org/officeDocument/2006/relationships/hyperlink" Target="https://www.aihw.gov.au/reports/cancer/cancer-in-australia-2021/summary" TargetMode="External"/><Relationship Id="rId54" Type="http://schemas.openxmlformats.org/officeDocument/2006/relationships/hyperlink" Target="https://kirby.unsw.edu.au/report/national-update-hiv-viral-hepatitis-and-sexually-transmissible-infections-australia-2009-2018"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rvicesaustralia.gov.au/australian-immunisation-register" TargetMode="External"/><Relationship Id="rId23" Type="http://schemas.openxmlformats.org/officeDocument/2006/relationships/header" Target="header1.xml"/><Relationship Id="rId28" Type="http://schemas.openxmlformats.org/officeDocument/2006/relationships/hyperlink" Target="https://www.tga.gov.au/safety/safety/safety-monitoring-medicines" TargetMode="External"/><Relationship Id="rId36" Type="http://schemas.openxmlformats.org/officeDocument/2006/relationships/hyperlink" Target="https://www.aihw.gov.au/reports/cancer-screening/ncsp-monitoring-2023/summary" TargetMode="External"/><Relationship Id="rId49" Type="http://schemas.openxmlformats.org/officeDocument/2006/relationships/hyperlink" Target="https://www.health.gov.au/resources/publications/national-hpv-3-dose-vaccination-coverage-for-all-adolescents-turning-15-years-of-age-from-year-of-program-commencement" TargetMode="External"/><Relationship Id="rId57" Type="http://schemas.openxmlformats.org/officeDocument/2006/relationships/hyperlink" Target="https://www.nidcd.nih.gov/health/recurrent-respiratory-papillomatosis" TargetMode="External"/><Relationship Id="rId10" Type="http://schemas.openxmlformats.org/officeDocument/2006/relationships/hyperlink" Target="https://immunisationhandbook.health.gov.au/" TargetMode="External"/><Relationship Id="rId31" Type="http://schemas.openxmlformats.org/officeDocument/2006/relationships/hyperlink" Target="https://www.aihw.gov.au/reports/cancer-screening/ncsp-monitoring-2023/summary" TargetMode="External"/><Relationship Id="rId44" Type="http://schemas.openxmlformats.org/officeDocument/2006/relationships/hyperlink" Target="https://www.apsu.org.au/assets/current-studies/APSU-JoRRP-Study-Protocol-Version-2.1.pdf" TargetMode="External"/><Relationship Id="rId52" Type="http://schemas.openxmlformats.org/officeDocument/2006/relationships/hyperlink" Target="https://www.health.gov.au/resources/publications/national-strategy-for-the-elimination-of-cervical-cancer-in-australia?language=en" TargetMode="External"/><Relationship Id="rId60" Type="http://schemas.openxmlformats.org/officeDocument/2006/relationships/hyperlink" Target="https://www.who.int/publications/i/item/97892400141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ms@cdc.gov.au" TargetMode="External"/><Relationship Id="rId13" Type="http://schemas.openxmlformats.org/officeDocument/2006/relationships/hyperlink" Target="https://www.aihw.gov.au/reports/cancer-screening/ncsp-monitoring-2022/summary" TargetMode="External"/><Relationship Id="rId18" Type="http://schemas.openxmlformats.org/officeDocument/2006/relationships/hyperlink" Target="https://kirby.unsw.edu.au/report/genital-warts-surveillance-network-report-2004-2015" TargetMode="External"/><Relationship Id="rId39"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medicine.unimelb.edu.au/research-groups/obstetrics-and-gynaecology-research/molecular-microbiology-and-reproductive-health-research-group/national-hpv-monitoring-program-imp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HPV\HPV%20Surveillance%20Plan\Template%20v2.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v2.dotx</Template>
  <TotalTime>134</TotalTime>
  <Pages>69</Pages>
  <Words>15380</Words>
  <Characters>89670</Characters>
  <Application>Microsoft Office Word</Application>
  <DocSecurity>0</DocSecurity>
  <Lines>2359</Lines>
  <Paragraphs>1329</Paragraphs>
  <ScaleCrop>false</ScaleCrop>
  <HeadingPairs>
    <vt:vector size="2" baseType="variant">
      <vt:variant>
        <vt:lpstr>Title</vt:lpstr>
      </vt:variant>
      <vt:variant>
        <vt:i4>1</vt:i4>
      </vt:variant>
    </vt:vector>
  </HeadingPairs>
  <TitlesOfParts>
    <vt:vector size="1" baseType="lpstr">
      <vt:lpstr>Human Papillomavirus (HPV) Surveillance and Monitoring Plan 2023</vt:lpstr>
    </vt:vector>
  </TitlesOfParts>
  <Company/>
  <LinksUpToDate>false</LinksUpToDate>
  <CharactersWithSpaces>103721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Papillomavirus (HPV) Surveillance and Monitoring Plan 2023</dc:title>
  <dc:subject>Communicable diseases prevention and control</dc:subject>
  <dc:creator>Australian Centre for Disease Control</dc:creator>
  <cp:keywords/>
  <dc:description/>
  <cp:revision>67</cp:revision>
  <cp:lastPrinted>2026-06-16T05:47:00Z</cp:lastPrinted>
  <dcterms:created xsi:type="dcterms:W3CDTF">2024-08-07T07:00:00Z</dcterms:created>
  <dcterms:modified xsi:type="dcterms:W3CDTF">2026-06-16T05:47:00Z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5d161422,41d56895,2a06a0ee,131c5fbb,2795cce4,e351659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16f6e96c,17681f31,1756e40b,360784b,2741eb3a,32512c4a,6e4dd2e3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2026-06-16T01:43:52Z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764bf431-8e91-4862-ad29-fd577d042a4e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