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imes New Roman (Body CS)"/>
          <w:bCs w:val="0"/>
          <w:spacing w:val="0"/>
          <w:kern w:val="2"/>
          <w:sz w:val="36"/>
          <w:szCs w:val="36"/>
        </w:rPr>
        <w:id w:val="-1859646906"/>
        <w:docPartObj>
          <w:docPartGallery w:val="Cover Pages"/>
          <w:docPartUnique/>
        </w:docPartObj>
      </w:sdtPr>
      <w:sdtEndPr/>
      <w:sdtContent>
        <w:p w14:paraId="50AC95D8" w14:textId="37CE0182" w:rsidR="0076581D" w:rsidRPr="00D86D50" w:rsidRDefault="0076581D" w:rsidP="00D86D50">
          <w:pPr>
            <w:pStyle w:val="Title"/>
          </w:pPr>
          <w:r w:rsidRPr="00D86D50">
            <w:t xml:space="preserve">National </w:t>
          </w:r>
          <w:r w:rsidR="00F635E5" w:rsidRPr="00D86D50">
            <w:t>Syphilis Surveillance</w:t>
          </w:r>
          <w:r w:rsidRPr="00D86D50">
            <w:t xml:space="preserve"> </w:t>
          </w:r>
          <w:r w:rsidR="00F635E5" w:rsidRPr="00D86D50">
            <w:t>and Monitoring Plan</w:t>
          </w:r>
        </w:p>
        <w:p w14:paraId="1CA5C564" w14:textId="77777777" w:rsidR="004D5B16" w:rsidRPr="00A70909" w:rsidRDefault="00F635E5" w:rsidP="00A70909">
          <w:pPr>
            <w:pStyle w:val="Subtitle"/>
          </w:pPr>
          <w:r w:rsidRPr="00A70909">
            <w:t>Version 1.0</w:t>
          </w:r>
        </w:p>
        <w:p w14:paraId="3384D851" w14:textId="77777777" w:rsidR="0047616C" w:rsidRPr="00B71832" w:rsidRDefault="00F635E5" w:rsidP="00A70909">
          <w:pPr>
            <w:pStyle w:val="Subtitle"/>
            <w:ind w:right="136"/>
          </w:pPr>
          <w:r w:rsidRPr="00B71832">
            <w:t>Prepared in consultation with CDNA, BBVSS and NATSIHP</w:t>
          </w:r>
        </w:p>
      </w:sdtContent>
    </w:sdt>
    <w:p w14:paraId="0A6B7305" w14:textId="77777777" w:rsidR="00BD640A" w:rsidRPr="00A70909" w:rsidRDefault="0047616C" w:rsidP="00A70909">
      <w:r w:rsidRPr="00A70909">
        <w:br w:type="page"/>
      </w:r>
    </w:p>
    <w:p w14:paraId="57284741" w14:textId="26E7A586" w:rsidR="00F635E5" w:rsidRPr="00C14BF9" w:rsidRDefault="00F635E5" w:rsidP="00E92EE4">
      <w:pPr>
        <w:pStyle w:val="Copyrighttext"/>
      </w:pPr>
      <w:r w:rsidRPr="00C14BF9">
        <w:lastRenderedPageBreak/>
        <w:t>© Commonwealth of Australia as represented by the Australian Centre for Disease Control</w:t>
      </w:r>
    </w:p>
    <w:p w14:paraId="3F426A8C" w14:textId="2C2E8884" w:rsidR="00F635E5" w:rsidRPr="00C14BF9" w:rsidRDefault="00F635E5" w:rsidP="00E92EE4">
      <w:pPr>
        <w:pStyle w:val="Copyrighttext"/>
      </w:pPr>
      <w:r w:rsidRPr="00C14BF9">
        <w:t xml:space="preserve">Title: </w:t>
      </w:r>
      <w:r w:rsidR="00342B7C" w:rsidRPr="00342B7C">
        <w:t>National Syphilis Surveillance and Monitoring Plan</w:t>
      </w:r>
      <w:r w:rsidR="00342B7C">
        <w:t xml:space="preserve"> (version 1.0)</w:t>
      </w:r>
    </w:p>
    <w:p w14:paraId="41E42A25" w14:textId="77777777" w:rsidR="00F635E5" w:rsidRPr="00C14BF9" w:rsidRDefault="00F635E5" w:rsidP="00E92EE4">
      <w:pPr>
        <w:pStyle w:val="Copyrighttext"/>
        <w:rPr>
          <w:b/>
          <w:bCs/>
        </w:rPr>
      </w:pPr>
      <w:r w:rsidRPr="00C14BF9">
        <w:rPr>
          <w:b/>
          <w:bCs/>
        </w:rPr>
        <w:t>Creative Commons Licence</w:t>
      </w:r>
    </w:p>
    <w:p w14:paraId="69319DD6" w14:textId="77777777" w:rsidR="00F635E5" w:rsidRPr="00C14BF9" w:rsidRDefault="00F635E5" w:rsidP="00E92EE4">
      <w:pPr>
        <w:pStyle w:val="Copyrighttext"/>
      </w:pPr>
      <w:r w:rsidRPr="00C14BF9">
        <w:t>This publication is licensed under the Creative Commons Attribution 4.0 International Public License available from https://creativecommons.org/licenses/by/4.0/legalcode (“Licence”). You must read and understand the Licence before using any material from this publication.</w:t>
      </w:r>
    </w:p>
    <w:p w14:paraId="2F811720" w14:textId="77777777" w:rsidR="00F635E5" w:rsidRPr="00C14BF9" w:rsidRDefault="00F635E5" w:rsidP="00E92EE4">
      <w:pPr>
        <w:pStyle w:val="Copyrighttext"/>
        <w:rPr>
          <w:b/>
          <w:bCs/>
        </w:rPr>
      </w:pPr>
      <w:r w:rsidRPr="00C14BF9">
        <w:rPr>
          <w:b/>
          <w:bCs/>
        </w:rPr>
        <w:t>Restrictions</w:t>
      </w:r>
    </w:p>
    <w:p w14:paraId="0660EE2F" w14:textId="77777777" w:rsidR="00F635E5" w:rsidRPr="00C14BF9" w:rsidRDefault="00F635E5" w:rsidP="00E92EE4">
      <w:pPr>
        <w:pStyle w:val="Copyrighttext"/>
      </w:pPr>
      <w:r w:rsidRPr="00C14BF9">
        <w:t>The Licence may not give you all the permissions necessary for your intended use. For example, other rights (such as publicity, privacy and moral rights) may limit how you use the material found in this publication.</w:t>
      </w:r>
    </w:p>
    <w:p w14:paraId="4F9E4675" w14:textId="77777777" w:rsidR="00F635E5" w:rsidRPr="00C14BF9" w:rsidRDefault="00F635E5" w:rsidP="00E92EE4">
      <w:pPr>
        <w:pStyle w:val="Copyrighttext"/>
      </w:pPr>
      <w:r w:rsidRPr="00C14BF9">
        <w:t>The Licence does not cover, and there is no permission given for, use of any of the following material found in this publication:</w:t>
      </w:r>
    </w:p>
    <w:p w14:paraId="0601D7FD" w14:textId="3695E03F" w:rsidR="00F635E5" w:rsidRPr="00F42D92" w:rsidRDefault="00F635E5" w:rsidP="00F42D92">
      <w:pPr>
        <w:pStyle w:val="Copyrightbulletlist"/>
      </w:pPr>
      <w:r w:rsidRPr="00F42D92">
        <w:t>the Commonwealth Coat of Arms. (</w:t>
      </w:r>
      <w:r w:rsidR="00D22BF7" w:rsidRPr="00F42D92">
        <w:t>B</w:t>
      </w:r>
      <w:r w:rsidRPr="00F42D92">
        <w:t xml:space="preserve">y way of information, the terms under which the Coat of Arms may be used can be found on the Department of </w:t>
      </w:r>
      <w:r w:rsidR="00D22BF7" w:rsidRPr="00F42D92">
        <w:t xml:space="preserve">the </w:t>
      </w:r>
      <w:r w:rsidRPr="00F42D92">
        <w:t>Prime Minister and Cabinet website</w:t>
      </w:r>
    </w:p>
    <w:p w14:paraId="0FC7C474" w14:textId="77777777" w:rsidR="00F635E5" w:rsidRPr="00F42D92" w:rsidRDefault="00F635E5" w:rsidP="00F42D92">
      <w:pPr>
        <w:pStyle w:val="Copyrightbulletlist"/>
      </w:pPr>
      <w:r w:rsidRPr="00F42D92">
        <w:t>any logos and trademarks;</w:t>
      </w:r>
    </w:p>
    <w:p w14:paraId="7DC84AD0" w14:textId="77777777" w:rsidR="00F635E5" w:rsidRPr="00F42D92" w:rsidRDefault="00F635E5" w:rsidP="00F42D92">
      <w:pPr>
        <w:pStyle w:val="Copyrightbulletlist"/>
      </w:pPr>
      <w:r w:rsidRPr="00F42D92">
        <w:t>any photographs and images;</w:t>
      </w:r>
    </w:p>
    <w:p w14:paraId="07EB0201" w14:textId="77777777" w:rsidR="00F635E5" w:rsidRPr="00F42D92" w:rsidRDefault="00F635E5" w:rsidP="00F42D92">
      <w:pPr>
        <w:pStyle w:val="Copyrightbulletlist"/>
      </w:pPr>
      <w:r w:rsidRPr="00F42D92">
        <w:t>any signatures; and</w:t>
      </w:r>
    </w:p>
    <w:p w14:paraId="5DB89E54" w14:textId="4F6FD9CE" w:rsidR="00F635E5" w:rsidRPr="00F42D92" w:rsidRDefault="00F635E5" w:rsidP="00F42D92">
      <w:pPr>
        <w:pStyle w:val="Copyrightbulletlist"/>
      </w:pPr>
      <w:r w:rsidRPr="00F42D92">
        <w:t xml:space="preserve">any material belonging to third parties. The </w:t>
      </w:r>
      <w:proofErr w:type="gramStart"/>
      <w:r w:rsidRPr="00F42D92">
        <w:t>third party</w:t>
      </w:r>
      <w:proofErr w:type="gramEnd"/>
      <w:r w:rsidRPr="00F42D92">
        <w:t xml:space="preserve"> elements must be included here or have a footnote reference throughout the document showing where they are</w:t>
      </w:r>
      <w:r w:rsidR="00D22BF7" w:rsidRPr="00F42D92">
        <w:t>.</w:t>
      </w:r>
    </w:p>
    <w:p w14:paraId="0E9EDEAD" w14:textId="77777777" w:rsidR="00F635E5" w:rsidRPr="00C14BF9" w:rsidRDefault="00F635E5" w:rsidP="00E92EE4">
      <w:pPr>
        <w:pStyle w:val="Copyrighttext"/>
        <w:rPr>
          <w:b/>
          <w:bCs/>
        </w:rPr>
      </w:pPr>
      <w:r w:rsidRPr="00C14BF9">
        <w:rPr>
          <w:b/>
          <w:bCs/>
        </w:rPr>
        <w:t>Attribution</w:t>
      </w:r>
    </w:p>
    <w:p w14:paraId="7FD1445F" w14:textId="5983AF4D" w:rsidR="00F635E5" w:rsidRPr="00C14BF9" w:rsidRDefault="00F635E5" w:rsidP="00E92EE4">
      <w:pPr>
        <w:pStyle w:val="Copyrighttext"/>
      </w:pPr>
      <w:r w:rsidRPr="00C14BF9">
        <w:t xml:space="preserve">Without limiting your obligations under the Licence, the </w:t>
      </w:r>
      <w:r w:rsidR="00BF5B5B">
        <w:t>Australian Centre for Disease Control</w:t>
      </w:r>
      <w:r w:rsidRPr="00C14BF9">
        <w:t xml:space="preserve"> requests that you attribute this publication in your work. Any reasonable form of words may be used </w:t>
      </w:r>
      <w:proofErr w:type="gramStart"/>
      <w:r w:rsidRPr="00C14BF9">
        <w:t>provided that</w:t>
      </w:r>
      <w:proofErr w:type="gramEnd"/>
      <w:r w:rsidRPr="00C14BF9">
        <w:t xml:space="preserve"> you:</w:t>
      </w:r>
    </w:p>
    <w:p w14:paraId="1A38F330" w14:textId="77777777" w:rsidR="00F635E5" w:rsidRPr="00C14BF9" w:rsidRDefault="00F635E5" w:rsidP="00F42D92">
      <w:pPr>
        <w:pStyle w:val="Copyrightbulletlist"/>
      </w:pPr>
      <w:r w:rsidRPr="00C14BF9">
        <w:t xml:space="preserve">include a reference to this publication and </w:t>
      </w:r>
      <w:proofErr w:type="gramStart"/>
      <w:r w:rsidRPr="00C14BF9">
        <w:t>where</w:t>
      </w:r>
      <w:proofErr w:type="gramEnd"/>
      <w:r w:rsidRPr="00C14BF9">
        <w:t>, practicable, the relevant page numbers;</w:t>
      </w:r>
    </w:p>
    <w:p w14:paraId="15D649E3" w14:textId="77777777" w:rsidR="00F635E5" w:rsidRPr="00C14BF9" w:rsidRDefault="00F635E5" w:rsidP="00F42D92">
      <w:pPr>
        <w:pStyle w:val="Copyrightbulletlist"/>
      </w:pPr>
      <w:r w:rsidRPr="00C14BF9">
        <w:t>make it clear that you have permission to use the material under the Creative Commons Attribution 4.0 International Public License;</w:t>
      </w:r>
    </w:p>
    <w:p w14:paraId="58DD4DF3" w14:textId="77777777" w:rsidR="00F635E5" w:rsidRPr="00C14BF9" w:rsidRDefault="00F635E5" w:rsidP="00F42D92">
      <w:pPr>
        <w:pStyle w:val="Copyrightbulletlist"/>
      </w:pPr>
      <w:r w:rsidRPr="00C14BF9">
        <w:t xml:space="preserve">make it clear </w:t>
      </w:r>
      <w:proofErr w:type="gramStart"/>
      <w:r w:rsidRPr="00C14BF9">
        <w:t>whether or not</w:t>
      </w:r>
      <w:proofErr w:type="gramEnd"/>
      <w:r w:rsidRPr="00C14BF9">
        <w:t xml:space="preserve"> you have changed the material used from this publication;</w:t>
      </w:r>
    </w:p>
    <w:p w14:paraId="3D043DDE" w14:textId="3B1F054A" w:rsidR="00F635E5" w:rsidRPr="00C14BF9" w:rsidRDefault="00F635E5" w:rsidP="00F42D92">
      <w:pPr>
        <w:pStyle w:val="Copyrightbulletlist"/>
      </w:pPr>
      <w:r w:rsidRPr="00C14BF9">
        <w:t xml:space="preserve">include a copyright notice in relation to the material used. In the case of no change to the material, the words “© </w:t>
      </w:r>
      <w:r w:rsidRPr="00342B7C">
        <w:t>Commonwealth of Australia (Australian Centre for Disease Control) 20</w:t>
      </w:r>
      <w:r w:rsidR="00342B7C" w:rsidRPr="00342B7C">
        <w:t>25</w:t>
      </w:r>
      <w:r w:rsidRPr="00342B7C">
        <w:t>” may be used. In</w:t>
      </w:r>
      <w:r w:rsidRPr="00C14BF9">
        <w:t xml:space="preserve"> the case where the material has been changed or adapted, the words: “Based on Commonwealth of Australia (Australian Centre for Disease Control) material” may be used; and</w:t>
      </w:r>
    </w:p>
    <w:p w14:paraId="66C63846" w14:textId="77777777" w:rsidR="00F635E5" w:rsidRPr="00C14BF9" w:rsidRDefault="00F635E5" w:rsidP="00F42D92">
      <w:pPr>
        <w:pStyle w:val="Copyrightbulletlist"/>
      </w:pPr>
      <w:r w:rsidRPr="00C14BF9">
        <w:t>do not suggest that the Australian Centre for Disease Control endorses you or your use of the material.</w:t>
      </w:r>
    </w:p>
    <w:p w14:paraId="5D69D255" w14:textId="77777777" w:rsidR="00F635E5" w:rsidRPr="00C14BF9" w:rsidRDefault="00F635E5" w:rsidP="00E92EE4">
      <w:pPr>
        <w:pStyle w:val="Copyrighttext"/>
        <w:rPr>
          <w:b/>
          <w:bCs/>
        </w:rPr>
      </w:pPr>
      <w:r w:rsidRPr="00C14BF9">
        <w:rPr>
          <w:b/>
          <w:bCs/>
        </w:rPr>
        <w:t>Enquiries</w:t>
      </w:r>
    </w:p>
    <w:p w14:paraId="3FB6FF37" w14:textId="1C9B531A" w:rsidR="00F635E5" w:rsidRDefault="00F635E5" w:rsidP="00E92EE4">
      <w:pPr>
        <w:pStyle w:val="Copyrighttext"/>
      </w:pPr>
      <w:r w:rsidRPr="00C14BF9">
        <w:t xml:space="preserve">Enquiries regarding any other use of this publication should be addressed to the </w:t>
      </w:r>
      <w:r w:rsidR="006F5534">
        <w:t>Director</w:t>
      </w:r>
      <w:r w:rsidRPr="00C14BF9">
        <w:t>, Communication</w:t>
      </w:r>
      <w:r w:rsidR="006F5534">
        <w:t>s and Public Information Section</w:t>
      </w:r>
      <w:r w:rsidRPr="00C14BF9">
        <w:t xml:space="preserve">, Australian Centre for Disease Control, GPO Box 9848, Canberra ACT 2601, or via e-mail to </w:t>
      </w:r>
      <w:hyperlink r:id="rId11" w:history="1">
        <w:r w:rsidR="006F5534">
          <w:rPr>
            <w:rStyle w:val="Hyperlink"/>
          </w:rPr>
          <w:t>comms@cdc.gov.au</w:t>
        </w:r>
      </w:hyperlink>
    </w:p>
    <w:p w14:paraId="6A69AFE1" w14:textId="77777777" w:rsidR="00C14BF9" w:rsidRPr="00F42D92" w:rsidRDefault="00C14BF9" w:rsidP="00F42D92">
      <w:r w:rsidRPr="00F42D92">
        <w:br w:type="page"/>
      </w:r>
    </w:p>
    <w:sdt>
      <w:sdtPr>
        <w:rPr>
          <w:rFonts w:eastAsiaTheme="minorEastAsia" w:cstheme="minorBidi"/>
          <w:b w:val="0"/>
          <w:color w:val="auto"/>
          <w:kern w:val="2"/>
          <w:sz w:val="24"/>
          <w:szCs w:val="24"/>
          <w:lang w:val="en-GB"/>
          <w14:ligatures w14:val="standardContextual"/>
        </w:rPr>
        <w:id w:val="-1577131905"/>
        <w:docPartObj>
          <w:docPartGallery w:val="Table of Contents"/>
          <w:docPartUnique/>
        </w:docPartObj>
      </w:sdtPr>
      <w:sdtEndPr/>
      <w:sdtContent>
        <w:p w14:paraId="2042A0FC" w14:textId="1B7ACC61" w:rsidR="000E01E9" w:rsidRDefault="000E01E9">
          <w:pPr>
            <w:pStyle w:val="TOCHeading"/>
          </w:pPr>
          <w:r>
            <w:rPr>
              <w:lang w:val="en-GB"/>
            </w:rPr>
            <w:t>Contents</w:t>
          </w:r>
        </w:p>
        <w:p w14:paraId="2AD5A25F" w14:textId="7645D8BB" w:rsidR="000E01E9" w:rsidRDefault="000E01E9">
          <w:pPr>
            <w:pStyle w:val="TOC1"/>
            <w:rPr>
              <w:rFonts w:asciiTheme="minorHAnsi" w:eastAsiaTheme="minorEastAsia" w:hAnsiTheme="minorHAnsi" w:cstheme="minorBidi"/>
              <w:b w:val="0"/>
              <w:bCs w:val="0"/>
              <w:iCs w:val="0"/>
              <w:noProof/>
              <w:lang w:eastAsia="en-AU"/>
            </w:rPr>
          </w:pPr>
          <w:r>
            <w:rPr>
              <w:b w:val="0"/>
              <w:bCs w:val="0"/>
              <w:iCs w:val="0"/>
            </w:rPr>
            <w:fldChar w:fldCharType="begin"/>
          </w:r>
          <w:r>
            <w:rPr>
              <w:b w:val="0"/>
              <w:bCs w:val="0"/>
              <w:iCs w:val="0"/>
            </w:rPr>
            <w:instrText xml:space="preserve"> TOC \o "1-2" \h \z \u </w:instrText>
          </w:r>
          <w:r>
            <w:rPr>
              <w:b w:val="0"/>
              <w:bCs w:val="0"/>
              <w:iCs w:val="0"/>
            </w:rPr>
            <w:fldChar w:fldCharType="separate"/>
          </w:r>
          <w:hyperlink w:anchor="_Toc230091240" w:history="1">
            <w:r w:rsidRPr="00FA4DB3">
              <w:rPr>
                <w:rStyle w:val="Hyperlink"/>
                <w:noProof/>
              </w:rPr>
              <w:t>Overview</w:t>
            </w:r>
            <w:r>
              <w:rPr>
                <w:noProof/>
                <w:webHidden/>
              </w:rPr>
              <w:tab/>
            </w:r>
            <w:r>
              <w:rPr>
                <w:noProof/>
                <w:webHidden/>
              </w:rPr>
              <w:fldChar w:fldCharType="begin"/>
            </w:r>
            <w:r>
              <w:rPr>
                <w:noProof/>
                <w:webHidden/>
              </w:rPr>
              <w:instrText xml:space="preserve"> PAGEREF _Toc230091240 \h </w:instrText>
            </w:r>
            <w:r>
              <w:rPr>
                <w:noProof/>
                <w:webHidden/>
              </w:rPr>
            </w:r>
            <w:r>
              <w:rPr>
                <w:noProof/>
                <w:webHidden/>
              </w:rPr>
              <w:fldChar w:fldCharType="separate"/>
            </w:r>
            <w:r w:rsidR="006F2428">
              <w:rPr>
                <w:noProof/>
                <w:webHidden/>
              </w:rPr>
              <w:t>5</w:t>
            </w:r>
            <w:r>
              <w:rPr>
                <w:noProof/>
                <w:webHidden/>
              </w:rPr>
              <w:fldChar w:fldCharType="end"/>
            </w:r>
          </w:hyperlink>
        </w:p>
        <w:p w14:paraId="60C2D693" w14:textId="23180E77" w:rsidR="000E01E9" w:rsidRDefault="000E01E9">
          <w:pPr>
            <w:pStyle w:val="TOC2"/>
            <w:tabs>
              <w:tab w:val="right" w:leader="dot" w:pos="9482"/>
            </w:tabs>
            <w:rPr>
              <w:rFonts w:asciiTheme="minorHAnsi" w:eastAsiaTheme="minorEastAsia" w:hAnsiTheme="minorHAnsi" w:cstheme="minorBidi"/>
              <w:bCs w:val="0"/>
              <w:noProof/>
              <w:sz w:val="24"/>
              <w:szCs w:val="24"/>
              <w:lang w:eastAsia="en-AU"/>
            </w:rPr>
          </w:pPr>
          <w:hyperlink w:anchor="_Toc230091241" w:history="1">
            <w:r w:rsidRPr="00FA4DB3">
              <w:rPr>
                <w:rStyle w:val="Hyperlink"/>
                <w:noProof/>
              </w:rPr>
              <w:t>Purpose</w:t>
            </w:r>
            <w:r>
              <w:rPr>
                <w:noProof/>
                <w:webHidden/>
              </w:rPr>
              <w:tab/>
            </w:r>
            <w:r>
              <w:rPr>
                <w:noProof/>
                <w:webHidden/>
              </w:rPr>
              <w:fldChar w:fldCharType="begin"/>
            </w:r>
            <w:r>
              <w:rPr>
                <w:noProof/>
                <w:webHidden/>
              </w:rPr>
              <w:instrText xml:space="preserve"> PAGEREF _Toc230091241 \h </w:instrText>
            </w:r>
            <w:r>
              <w:rPr>
                <w:noProof/>
                <w:webHidden/>
              </w:rPr>
            </w:r>
            <w:r>
              <w:rPr>
                <w:noProof/>
                <w:webHidden/>
              </w:rPr>
              <w:fldChar w:fldCharType="separate"/>
            </w:r>
            <w:r w:rsidR="006F2428">
              <w:rPr>
                <w:noProof/>
                <w:webHidden/>
              </w:rPr>
              <w:t>5</w:t>
            </w:r>
            <w:r>
              <w:rPr>
                <w:noProof/>
                <w:webHidden/>
              </w:rPr>
              <w:fldChar w:fldCharType="end"/>
            </w:r>
          </w:hyperlink>
        </w:p>
        <w:p w14:paraId="2DAEB93E" w14:textId="40F5C86D" w:rsidR="000E01E9" w:rsidRDefault="000E01E9">
          <w:pPr>
            <w:pStyle w:val="TOC2"/>
            <w:tabs>
              <w:tab w:val="right" w:leader="dot" w:pos="9482"/>
            </w:tabs>
            <w:rPr>
              <w:rFonts w:asciiTheme="minorHAnsi" w:eastAsiaTheme="minorEastAsia" w:hAnsiTheme="minorHAnsi" w:cstheme="minorBidi"/>
              <w:bCs w:val="0"/>
              <w:noProof/>
              <w:sz w:val="24"/>
              <w:szCs w:val="24"/>
              <w:lang w:eastAsia="en-AU"/>
            </w:rPr>
          </w:pPr>
          <w:hyperlink w:anchor="_Toc230091242" w:history="1">
            <w:r w:rsidRPr="00FA4DB3">
              <w:rPr>
                <w:rStyle w:val="Hyperlink"/>
                <w:noProof/>
              </w:rPr>
              <w:t>Reporting</w:t>
            </w:r>
            <w:r>
              <w:rPr>
                <w:noProof/>
                <w:webHidden/>
              </w:rPr>
              <w:tab/>
            </w:r>
            <w:r>
              <w:rPr>
                <w:noProof/>
                <w:webHidden/>
              </w:rPr>
              <w:fldChar w:fldCharType="begin"/>
            </w:r>
            <w:r>
              <w:rPr>
                <w:noProof/>
                <w:webHidden/>
              </w:rPr>
              <w:instrText xml:space="preserve"> PAGEREF _Toc230091242 \h </w:instrText>
            </w:r>
            <w:r>
              <w:rPr>
                <w:noProof/>
                <w:webHidden/>
              </w:rPr>
            </w:r>
            <w:r>
              <w:rPr>
                <w:noProof/>
                <w:webHidden/>
              </w:rPr>
              <w:fldChar w:fldCharType="separate"/>
            </w:r>
            <w:r w:rsidR="006F2428">
              <w:rPr>
                <w:noProof/>
                <w:webHidden/>
              </w:rPr>
              <w:t>7</w:t>
            </w:r>
            <w:r>
              <w:rPr>
                <w:noProof/>
                <w:webHidden/>
              </w:rPr>
              <w:fldChar w:fldCharType="end"/>
            </w:r>
          </w:hyperlink>
        </w:p>
        <w:p w14:paraId="23055252" w14:textId="74A1D465" w:rsidR="000E01E9" w:rsidRDefault="000E01E9">
          <w:pPr>
            <w:pStyle w:val="TOC2"/>
            <w:tabs>
              <w:tab w:val="right" w:leader="dot" w:pos="9482"/>
            </w:tabs>
            <w:rPr>
              <w:rFonts w:asciiTheme="minorHAnsi" w:eastAsiaTheme="minorEastAsia" w:hAnsiTheme="minorHAnsi" w:cstheme="minorBidi"/>
              <w:bCs w:val="0"/>
              <w:noProof/>
              <w:sz w:val="24"/>
              <w:szCs w:val="24"/>
              <w:lang w:eastAsia="en-AU"/>
            </w:rPr>
          </w:pPr>
          <w:hyperlink w:anchor="_Toc230091243" w:history="1">
            <w:r w:rsidRPr="00FA4DB3">
              <w:rPr>
                <w:rStyle w:val="Hyperlink"/>
                <w:noProof/>
              </w:rPr>
              <w:t>Review</w:t>
            </w:r>
            <w:r>
              <w:rPr>
                <w:noProof/>
                <w:webHidden/>
              </w:rPr>
              <w:tab/>
            </w:r>
            <w:r>
              <w:rPr>
                <w:noProof/>
                <w:webHidden/>
              </w:rPr>
              <w:fldChar w:fldCharType="begin"/>
            </w:r>
            <w:r>
              <w:rPr>
                <w:noProof/>
                <w:webHidden/>
              </w:rPr>
              <w:instrText xml:space="preserve"> PAGEREF _Toc230091243 \h </w:instrText>
            </w:r>
            <w:r>
              <w:rPr>
                <w:noProof/>
                <w:webHidden/>
              </w:rPr>
            </w:r>
            <w:r>
              <w:rPr>
                <w:noProof/>
                <w:webHidden/>
              </w:rPr>
              <w:fldChar w:fldCharType="separate"/>
            </w:r>
            <w:r w:rsidR="006F2428">
              <w:rPr>
                <w:noProof/>
                <w:webHidden/>
              </w:rPr>
              <w:t>7</w:t>
            </w:r>
            <w:r>
              <w:rPr>
                <w:noProof/>
                <w:webHidden/>
              </w:rPr>
              <w:fldChar w:fldCharType="end"/>
            </w:r>
          </w:hyperlink>
        </w:p>
        <w:p w14:paraId="1E33E29E" w14:textId="58B3C033" w:rsidR="000E01E9" w:rsidRDefault="000E01E9">
          <w:pPr>
            <w:pStyle w:val="TOC2"/>
            <w:tabs>
              <w:tab w:val="right" w:leader="dot" w:pos="9482"/>
            </w:tabs>
            <w:rPr>
              <w:rFonts w:asciiTheme="minorHAnsi" w:eastAsiaTheme="minorEastAsia" w:hAnsiTheme="minorHAnsi" w:cstheme="minorBidi"/>
              <w:bCs w:val="0"/>
              <w:noProof/>
              <w:sz w:val="24"/>
              <w:szCs w:val="24"/>
              <w:lang w:eastAsia="en-AU"/>
            </w:rPr>
          </w:pPr>
          <w:hyperlink w:anchor="_Toc230091244" w:history="1">
            <w:r w:rsidRPr="00FA4DB3">
              <w:rPr>
                <w:rStyle w:val="Hyperlink"/>
                <w:noProof/>
              </w:rPr>
              <w:t>Abbreviations</w:t>
            </w:r>
            <w:r>
              <w:rPr>
                <w:noProof/>
                <w:webHidden/>
              </w:rPr>
              <w:tab/>
            </w:r>
            <w:r>
              <w:rPr>
                <w:noProof/>
                <w:webHidden/>
              </w:rPr>
              <w:fldChar w:fldCharType="begin"/>
            </w:r>
            <w:r>
              <w:rPr>
                <w:noProof/>
                <w:webHidden/>
              </w:rPr>
              <w:instrText xml:space="preserve"> PAGEREF _Toc230091244 \h </w:instrText>
            </w:r>
            <w:r>
              <w:rPr>
                <w:noProof/>
                <w:webHidden/>
              </w:rPr>
            </w:r>
            <w:r>
              <w:rPr>
                <w:noProof/>
                <w:webHidden/>
              </w:rPr>
              <w:fldChar w:fldCharType="separate"/>
            </w:r>
            <w:r w:rsidR="006F2428">
              <w:rPr>
                <w:noProof/>
                <w:webHidden/>
              </w:rPr>
              <w:t>9</w:t>
            </w:r>
            <w:r>
              <w:rPr>
                <w:noProof/>
                <w:webHidden/>
              </w:rPr>
              <w:fldChar w:fldCharType="end"/>
            </w:r>
          </w:hyperlink>
        </w:p>
        <w:p w14:paraId="47897E2C" w14:textId="154237E9" w:rsidR="000E01E9" w:rsidRDefault="000E01E9">
          <w:pPr>
            <w:pStyle w:val="TOC1"/>
            <w:rPr>
              <w:rFonts w:asciiTheme="minorHAnsi" w:eastAsiaTheme="minorEastAsia" w:hAnsiTheme="minorHAnsi" w:cstheme="minorBidi"/>
              <w:b w:val="0"/>
              <w:bCs w:val="0"/>
              <w:iCs w:val="0"/>
              <w:noProof/>
              <w:lang w:eastAsia="en-AU"/>
            </w:rPr>
          </w:pPr>
          <w:hyperlink w:anchor="_Toc230091245" w:history="1">
            <w:r w:rsidRPr="00FA4DB3">
              <w:rPr>
                <w:rStyle w:val="Hyperlink"/>
                <w:noProof/>
              </w:rPr>
              <w:t>National data sources</w:t>
            </w:r>
            <w:r>
              <w:rPr>
                <w:noProof/>
                <w:webHidden/>
              </w:rPr>
              <w:tab/>
            </w:r>
            <w:r>
              <w:rPr>
                <w:noProof/>
                <w:webHidden/>
              </w:rPr>
              <w:fldChar w:fldCharType="begin"/>
            </w:r>
            <w:r>
              <w:rPr>
                <w:noProof/>
                <w:webHidden/>
              </w:rPr>
              <w:instrText xml:space="preserve"> PAGEREF _Toc230091245 \h </w:instrText>
            </w:r>
            <w:r>
              <w:rPr>
                <w:noProof/>
                <w:webHidden/>
              </w:rPr>
            </w:r>
            <w:r>
              <w:rPr>
                <w:noProof/>
                <w:webHidden/>
              </w:rPr>
              <w:fldChar w:fldCharType="separate"/>
            </w:r>
            <w:r w:rsidR="006F2428">
              <w:rPr>
                <w:noProof/>
                <w:webHidden/>
              </w:rPr>
              <w:t>10</w:t>
            </w:r>
            <w:r>
              <w:rPr>
                <w:noProof/>
                <w:webHidden/>
              </w:rPr>
              <w:fldChar w:fldCharType="end"/>
            </w:r>
          </w:hyperlink>
        </w:p>
        <w:p w14:paraId="00BA2F5C" w14:textId="2B868AA0" w:rsidR="000E01E9" w:rsidRDefault="000E01E9">
          <w:pPr>
            <w:pStyle w:val="TOC2"/>
            <w:tabs>
              <w:tab w:val="right" w:leader="dot" w:pos="9482"/>
            </w:tabs>
            <w:rPr>
              <w:rFonts w:asciiTheme="minorHAnsi" w:eastAsiaTheme="minorEastAsia" w:hAnsiTheme="minorHAnsi" w:cstheme="minorBidi"/>
              <w:bCs w:val="0"/>
              <w:noProof/>
              <w:sz w:val="24"/>
              <w:szCs w:val="24"/>
              <w:lang w:eastAsia="en-AU"/>
            </w:rPr>
          </w:pPr>
          <w:hyperlink w:anchor="_Toc230091246" w:history="1">
            <w:r w:rsidRPr="00FA4DB3">
              <w:rPr>
                <w:rStyle w:val="Hyperlink"/>
                <w:noProof/>
              </w:rPr>
              <w:t>National Notifiable Diseases Surveillance System</w:t>
            </w:r>
            <w:r>
              <w:rPr>
                <w:noProof/>
                <w:webHidden/>
              </w:rPr>
              <w:tab/>
            </w:r>
            <w:r>
              <w:rPr>
                <w:noProof/>
                <w:webHidden/>
              </w:rPr>
              <w:fldChar w:fldCharType="begin"/>
            </w:r>
            <w:r>
              <w:rPr>
                <w:noProof/>
                <w:webHidden/>
              </w:rPr>
              <w:instrText xml:space="preserve"> PAGEREF _Toc230091246 \h </w:instrText>
            </w:r>
            <w:r>
              <w:rPr>
                <w:noProof/>
                <w:webHidden/>
              </w:rPr>
            </w:r>
            <w:r>
              <w:rPr>
                <w:noProof/>
                <w:webHidden/>
              </w:rPr>
              <w:fldChar w:fldCharType="separate"/>
            </w:r>
            <w:r w:rsidR="006F2428">
              <w:rPr>
                <w:noProof/>
                <w:webHidden/>
              </w:rPr>
              <w:t>10</w:t>
            </w:r>
            <w:r>
              <w:rPr>
                <w:noProof/>
                <w:webHidden/>
              </w:rPr>
              <w:fldChar w:fldCharType="end"/>
            </w:r>
          </w:hyperlink>
        </w:p>
        <w:p w14:paraId="01B799F1" w14:textId="62DC53C2" w:rsidR="000E01E9" w:rsidRDefault="000E01E9">
          <w:pPr>
            <w:pStyle w:val="TOC2"/>
            <w:tabs>
              <w:tab w:val="right" w:leader="dot" w:pos="9482"/>
            </w:tabs>
            <w:rPr>
              <w:rFonts w:asciiTheme="minorHAnsi" w:eastAsiaTheme="minorEastAsia" w:hAnsiTheme="minorHAnsi" w:cstheme="minorBidi"/>
              <w:bCs w:val="0"/>
              <w:noProof/>
              <w:sz w:val="24"/>
              <w:szCs w:val="24"/>
              <w:lang w:eastAsia="en-AU"/>
            </w:rPr>
          </w:pPr>
          <w:hyperlink w:anchor="_Toc230091247" w:history="1">
            <w:r w:rsidRPr="00FA4DB3">
              <w:rPr>
                <w:rStyle w:val="Hyperlink"/>
                <w:noProof/>
              </w:rPr>
              <w:t>Australian Institute of Health and Welfare</w:t>
            </w:r>
            <w:r>
              <w:rPr>
                <w:noProof/>
                <w:webHidden/>
              </w:rPr>
              <w:tab/>
            </w:r>
            <w:r>
              <w:rPr>
                <w:noProof/>
                <w:webHidden/>
              </w:rPr>
              <w:fldChar w:fldCharType="begin"/>
            </w:r>
            <w:r>
              <w:rPr>
                <w:noProof/>
                <w:webHidden/>
              </w:rPr>
              <w:instrText xml:space="preserve"> PAGEREF _Toc230091247 \h </w:instrText>
            </w:r>
            <w:r>
              <w:rPr>
                <w:noProof/>
                <w:webHidden/>
              </w:rPr>
            </w:r>
            <w:r>
              <w:rPr>
                <w:noProof/>
                <w:webHidden/>
              </w:rPr>
              <w:fldChar w:fldCharType="separate"/>
            </w:r>
            <w:r w:rsidR="006F2428">
              <w:rPr>
                <w:noProof/>
                <w:webHidden/>
              </w:rPr>
              <w:t>11</w:t>
            </w:r>
            <w:r>
              <w:rPr>
                <w:noProof/>
                <w:webHidden/>
              </w:rPr>
              <w:fldChar w:fldCharType="end"/>
            </w:r>
          </w:hyperlink>
        </w:p>
        <w:p w14:paraId="7B996AE5" w14:textId="69C4E365" w:rsidR="000E01E9" w:rsidRDefault="000E01E9">
          <w:pPr>
            <w:pStyle w:val="TOC2"/>
            <w:tabs>
              <w:tab w:val="right" w:leader="dot" w:pos="9482"/>
            </w:tabs>
            <w:rPr>
              <w:rFonts w:asciiTheme="minorHAnsi" w:eastAsiaTheme="minorEastAsia" w:hAnsiTheme="minorHAnsi" w:cstheme="minorBidi"/>
              <w:bCs w:val="0"/>
              <w:noProof/>
              <w:sz w:val="24"/>
              <w:szCs w:val="24"/>
              <w:lang w:eastAsia="en-AU"/>
            </w:rPr>
          </w:pPr>
          <w:hyperlink w:anchor="_Toc230091248" w:history="1">
            <w:r w:rsidRPr="00FA4DB3">
              <w:rPr>
                <w:rStyle w:val="Hyperlink"/>
                <w:noProof/>
              </w:rPr>
              <w:t>Australian Bureau of Statistics</w:t>
            </w:r>
            <w:r>
              <w:rPr>
                <w:noProof/>
                <w:webHidden/>
              </w:rPr>
              <w:tab/>
            </w:r>
            <w:r>
              <w:rPr>
                <w:noProof/>
                <w:webHidden/>
              </w:rPr>
              <w:fldChar w:fldCharType="begin"/>
            </w:r>
            <w:r>
              <w:rPr>
                <w:noProof/>
                <w:webHidden/>
              </w:rPr>
              <w:instrText xml:space="preserve"> PAGEREF _Toc230091248 \h </w:instrText>
            </w:r>
            <w:r>
              <w:rPr>
                <w:noProof/>
                <w:webHidden/>
              </w:rPr>
            </w:r>
            <w:r>
              <w:rPr>
                <w:noProof/>
                <w:webHidden/>
              </w:rPr>
              <w:fldChar w:fldCharType="separate"/>
            </w:r>
            <w:r w:rsidR="006F2428">
              <w:rPr>
                <w:noProof/>
                <w:webHidden/>
              </w:rPr>
              <w:t>11</w:t>
            </w:r>
            <w:r>
              <w:rPr>
                <w:noProof/>
                <w:webHidden/>
              </w:rPr>
              <w:fldChar w:fldCharType="end"/>
            </w:r>
          </w:hyperlink>
        </w:p>
        <w:p w14:paraId="47A6CF4F" w14:textId="6295BAE9" w:rsidR="000E01E9" w:rsidRDefault="000E01E9">
          <w:pPr>
            <w:pStyle w:val="TOC1"/>
            <w:rPr>
              <w:rFonts w:asciiTheme="minorHAnsi" w:eastAsiaTheme="minorEastAsia" w:hAnsiTheme="minorHAnsi" w:cstheme="minorBidi"/>
              <w:b w:val="0"/>
              <w:bCs w:val="0"/>
              <w:iCs w:val="0"/>
              <w:noProof/>
              <w:lang w:eastAsia="en-AU"/>
            </w:rPr>
          </w:pPr>
          <w:hyperlink w:anchor="_Toc230091249" w:history="1">
            <w:r w:rsidRPr="00FA4DB3">
              <w:rPr>
                <w:rStyle w:val="Hyperlink"/>
                <w:noProof/>
              </w:rPr>
              <w:t>Data quality</w:t>
            </w:r>
            <w:r>
              <w:rPr>
                <w:noProof/>
                <w:webHidden/>
              </w:rPr>
              <w:tab/>
            </w:r>
            <w:r>
              <w:rPr>
                <w:noProof/>
                <w:webHidden/>
              </w:rPr>
              <w:fldChar w:fldCharType="begin"/>
            </w:r>
            <w:r>
              <w:rPr>
                <w:noProof/>
                <w:webHidden/>
              </w:rPr>
              <w:instrText xml:space="preserve"> PAGEREF _Toc230091249 \h </w:instrText>
            </w:r>
            <w:r>
              <w:rPr>
                <w:noProof/>
                <w:webHidden/>
              </w:rPr>
            </w:r>
            <w:r>
              <w:rPr>
                <w:noProof/>
                <w:webHidden/>
              </w:rPr>
              <w:fldChar w:fldCharType="separate"/>
            </w:r>
            <w:r w:rsidR="006F2428">
              <w:rPr>
                <w:noProof/>
                <w:webHidden/>
              </w:rPr>
              <w:t>12</w:t>
            </w:r>
            <w:r>
              <w:rPr>
                <w:noProof/>
                <w:webHidden/>
              </w:rPr>
              <w:fldChar w:fldCharType="end"/>
            </w:r>
          </w:hyperlink>
        </w:p>
        <w:p w14:paraId="656BDB72" w14:textId="4B053E1F" w:rsidR="000E01E9" w:rsidRDefault="000E01E9">
          <w:pPr>
            <w:pStyle w:val="TOC2"/>
            <w:tabs>
              <w:tab w:val="right" w:leader="dot" w:pos="9482"/>
            </w:tabs>
            <w:rPr>
              <w:rFonts w:asciiTheme="minorHAnsi" w:eastAsiaTheme="minorEastAsia" w:hAnsiTheme="minorHAnsi" w:cstheme="minorBidi"/>
              <w:bCs w:val="0"/>
              <w:noProof/>
              <w:sz w:val="24"/>
              <w:szCs w:val="24"/>
              <w:lang w:eastAsia="en-AU"/>
            </w:rPr>
          </w:pPr>
          <w:hyperlink w:anchor="_Toc230091250" w:history="1">
            <w:r w:rsidRPr="00FA4DB3">
              <w:rPr>
                <w:rStyle w:val="Hyperlink"/>
                <w:noProof/>
              </w:rPr>
              <w:t>Data completeness indicators</w:t>
            </w:r>
            <w:r>
              <w:rPr>
                <w:noProof/>
                <w:webHidden/>
              </w:rPr>
              <w:tab/>
            </w:r>
            <w:r>
              <w:rPr>
                <w:noProof/>
                <w:webHidden/>
              </w:rPr>
              <w:fldChar w:fldCharType="begin"/>
            </w:r>
            <w:r>
              <w:rPr>
                <w:noProof/>
                <w:webHidden/>
              </w:rPr>
              <w:instrText xml:space="preserve"> PAGEREF _Toc230091250 \h </w:instrText>
            </w:r>
            <w:r>
              <w:rPr>
                <w:noProof/>
                <w:webHidden/>
              </w:rPr>
            </w:r>
            <w:r>
              <w:rPr>
                <w:noProof/>
                <w:webHidden/>
              </w:rPr>
              <w:fldChar w:fldCharType="separate"/>
            </w:r>
            <w:r w:rsidR="006F2428">
              <w:rPr>
                <w:noProof/>
                <w:webHidden/>
              </w:rPr>
              <w:t>12</w:t>
            </w:r>
            <w:r>
              <w:rPr>
                <w:noProof/>
                <w:webHidden/>
              </w:rPr>
              <w:fldChar w:fldCharType="end"/>
            </w:r>
          </w:hyperlink>
        </w:p>
        <w:p w14:paraId="75CE84C5" w14:textId="1417C65E" w:rsidR="000E01E9" w:rsidRDefault="000E01E9">
          <w:pPr>
            <w:pStyle w:val="TOC1"/>
            <w:rPr>
              <w:rFonts w:asciiTheme="minorHAnsi" w:eastAsiaTheme="minorEastAsia" w:hAnsiTheme="minorHAnsi" w:cstheme="minorBidi"/>
              <w:b w:val="0"/>
              <w:bCs w:val="0"/>
              <w:iCs w:val="0"/>
              <w:noProof/>
              <w:lang w:eastAsia="en-AU"/>
            </w:rPr>
          </w:pPr>
          <w:hyperlink w:anchor="_Toc230091251" w:history="1">
            <w:r w:rsidRPr="00FA4DB3">
              <w:rPr>
                <w:rStyle w:val="Hyperlink"/>
                <w:noProof/>
              </w:rPr>
              <w:t>Goals</w:t>
            </w:r>
            <w:r>
              <w:rPr>
                <w:noProof/>
                <w:webHidden/>
              </w:rPr>
              <w:tab/>
            </w:r>
            <w:r>
              <w:rPr>
                <w:noProof/>
                <w:webHidden/>
              </w:rPr>
              <w:fldChar w:fldCharType="begin"/>
            </w:r>
            <w:r>
              <w:rPr>
                <w:noProof/>
                <w:webHidden/>
              </w:rPr>
              <w:instrText xml:space="preserve"> PAGEREF _Toc230091251 \h </w:instrText>
            </w:r>
            <w:r>
              <w:rPr>
                <w:noProof/>
                <w:webHidden/>
              </w:rPr>
            </w:r>
            <w:r>
              <w:rPr>
                <w:noProof/>
                <w:webHidden/>
              </w:rPr>
              <w:fldChar w:fldCharType="separate"/>
            </w:r>
            <w:r w:rsidR="006F2428">
              <w:rPr>
                <w:noProof/>
                <w:webHidden/>
              </w:rPr>
              <w:t>16</w:t>
            </w:r>
            <w:r>
              <w:rPr>
                <w:noProof/>
                <w:webHidden/>
              </w:rPr>
              <w:fldChar w:fldCharType="end"/>
            </w:r>
          </w:hyperlink>
        </w:p>
        <w:p w14:paraId="0EC86A09" w14:textId="7B466A07" w:rsidR="000E01E9" w:rsidRDefault="000E01E9">
          <w:pPr>
            <w:pStyle w:val="TOC2"/>
            <w:tabs>
              <w:tab w:val="right" w:leader="dot" w:pos="9482"/>
            </w:tabs>
            <w:rPr>
              <w:rFonts w:asciiTheme="minorHAnsi" w:eastAsiaTheme="minorEastAsia" w:hAnsiTheme="minorHAnsi" w:cstheme="minorBidi"/>
              <w:bCs w:val="0"/>
              <w:noProof/>
              <w:sz w:val="24"/>
              <w:szCs w:val="24"/>
              <w:lang w:eastAsia="en-AU"/>
            </w:rPr>
          </w:pPr>
          <w:hyperlink w:anchor="_Toc230091252" w:history="1">
            <w:r w:rsidRPr="00FA4DB3">
              <w:rPr>
                <w:rStyle w:val="Hyperlink"/>
                <w:noProof/>
              </w:rPr>
              <w:t>Goal 1 – Strengthen prevention and testing strategies for syphilis in priority populations and settings, targeting high-burden areas</w:t>
            </w:r>
            <w:r>
              <w:rPr>
                <w:noProof/>
                <w:webHidden/>
              </w:rPr>
              <w:tab/>
            </w:r>
            <w:r>
              <w:rPr>
                <w:noProof/>
                <w:webHidden/>
              </w:rPr>
              <w:fldChar w:fldCharType="begin"/>
            </w:r>
            <w:r>
              <w:rPr>
                <w:noProof/>
                <w:webHidden/>
              </w:rPr>
              <w:instrText xml:space="preserve"> PAGEREF _Toc230091252 \h </w:instrText>
            </w:r>
            <w:r>
              <w:rPr>
                <w:noProof/>
                <w:webHidden/>
              </w:rPr>
            </w:r>
            <w:r>
              <w:rPr>
                <w:noProof/>
                <w:webHidden/>
              </w:rPr>
              <w:fldChar w:fldCharType="separate"/>
            </w:r>
            <w:r w:rsidR="006F2428">
              <w:rPr>
                <w:noProof/>
                <w:webHidden/>
              </w:rPr>
              <w:t>16</w:t>
            </w:r>
            <w:r>
              <w:rPr>
                <w:noProof/>
                <w:webHidden/>
              </w:rPr>
              <w:fldChar w:fldCharType="end"/>
            </w:r>
          </w:hyperlink>
        </w:p>
        <w:p w14:paraId="3998A779" w14:textId="5FB9DC9A" w:rsidR="000E01E9" w:rsidRDefault="000E01E9">
          <w:pPr>
            <w:pStyle w:val="TOC2"/>
            <w:tabs>
              <w:tab w:val="right" w:leader="dot" w:pos="9482"/>
            </w:tabs>
            <w:rPr>
              <w:rFonts w:asciiTheme="minorHAnsi" w:eastAsiaTheme="minorEastAsia" w:hAnsiTheme="minorHAnsi" w:cstheme="minorBidi"/>
              <w:bCs w:val="0"/>
              <w:noProof/>
              <w:sz w:val="24"/>
              <w:szCs w:val="24"/>
              <w:lang w:eastAsia="en-AU"/>
            </w:rPr>
          </w:pPr>
          <w:hyperlink w:anchor="_Toc230091253" w:history="1">
            <w:r w:rsidRPr="00FA4DB3">
              <w:rPr>
                <w:rStyle w:val="Hyperlink"/>
                <w:noProof/>
              </w:rPr>
              <w:t>Goal 2 – Reduce ongoing transmission and incidence of syphilis across priority populations</w:t>
            </w:r>
            <w:r>
              <w:rPr>
                <w:noProof/>
                <w:webHidden/>
              </w:rPr>
              <w:tab/>
            </w:r>
            <w:r>
              <w:rPr>
                <w:noProof/>
                <w:webHidden/>
              </w:rPr>
              <w:fldChar w:fldCharType="begin"/>
            </w:r>
            <w:r>
              <w:rPr>
                <w:noProof/>
                <w:webHidden/>
              </w:rPr>
              <w:instrText xml:space="preserve"> PAGEREF _Toc230091253 \h </w:instrText>
            </w:r>
            <w:r>
              <w:rPr>
                <w:noProof/>
                <w:webHidden/>
              </w:rPr>
            </w:r>
            <w:r>
              <w:rPr>
                <w:noProof/>
                <w:webHidden/>
              </w:rPr>
              <w:fldChar w:fldCharType="separate"/>
            </w:r>
            <w:r w:rsidR="006F2428">
              <w:rPr>
                <w:noProof/>
                <w:webHidden/>
              </w:rPr>
              <w:t>24</w:t>
            </w:r>
            <w:r>
              <w:rPr>
                <w:noProof/>
                <w:webHidden/>
              </w:rPr>
              <w:fldChar w:fldCharType="end"/>
            </w:r>
          </w:hyperlink>
        </w:p>
        <w:p w14:paraId="305D9C62" w14:textId="50C2A590" w:rsidR="000E01E9" w:rsidRDefault="000E01E9">
          <w:pPr>
            <w:pStyle w:val="TOC2"/>
            <w:tabs>
              <w:tab w:val="right" w:leader="dot" w:pos="9482"/>
            </w:tabs>
            <w:rPr>
              <w:rFonts w:asciiTheme="minorHAnsi" w:eastAsiaTheme="minorEastAsia" w:hAnsiTheme="minorHAnsi" w:cstheme="minorBidi"/>
              <w:bCs w:val="0"/>
              <w:noProof/>
              <w:sz w:val="24"/>
              <w:szCs w:val="24"/>
              <w:lang w:eastAsia="en-AU"/>
            </w:rPr>
          </w:pPr>
          <w:hyperlink w:anchor="_Toc230091254" w:history="1">
            <w:r w:rsidRPr="00FA4DB3">
              <w:rPr>
                <w:rStyle w:val="Hyperlink"/>
                <w:noProof/>
              </w:rPr>
              <w:t>Goal 3 – Reduce morbidity and mortality associated with syphilis</w:t>
            </w:r>
            <w:r>
              <w:rPr>
                <w:noProof/>
                <w:webHidden/>
              </w:rPr>
              <w:tab/>
            </w:r>
            <w:r>
              <w:rPr>
                <w:noProof/>
                <w:webHidden/>
              </w:rPr>
              <w:fldChar w:fldCharType="begin"/>
            </w:r>
            <w:r>
              <w:rPr>
                <w:noProof/>
                <w:webHidden/>
              </w:rPr>
              <w:instrText xml:space="preserve"> PAGEREF _Toc230091254 \h </w:instrText>
            </w:r>
            <w:r>
              <w:rPr>
                <w:noProof/>
                <w:webHidden/>
              </w:rPr>
            </w:r>
            <w:r>
              <w:rPr>
                <w:noProof/>
                <w:webHidden/>
              </w:rPr>
              <w:fldChar w:fldCharType="separate"/>
            </w:r>
            <w:r w:rsidR="006F2428">
              <w:rPr>
                <w:noProof/>
                <w:webHidden/>
              </w:rPr>
              <w:t>33</w:t>
            </w:r>
            <w:r>
              <w:rPr>
                <w:noProof/>
                <w:webHidden/>
              </w:rPr>
              <w:fldChar w:fldCharType="end"/>
            </w:r>
          </w:hyperlink>
        </w:p>
        <w:p w14:paraId="124523C3" w14:textId="49E0B499" w:rsidR="000E01E9" w:rsidRDefault="000E01E9">
          <w:pPr>
            <w:pStyle w:val="TOC2"/>
            <w:tabs>
              <w:tab w:val="right" w:leader="dot" w:pos="9482"/>
            </w:tabs>
            <w:rPr>
              <w:rFonts w:asciiTheme="minorHAnsi" w:eastAsiaTheme="minorEastAsia" w:hAnsiTheme="minorHAnsi" w:cstheme="minorBidi"/>
              <w:bCs w:val="0"/>
              <w:noProof/>
              <w:sz w:val="24"/>
              <w:szCs w:val="24"/>
              <w:lang w:eastAsia="en-AU"/>
            </w:rPr>
          </w:pPr>
          <w:hyperlink w:anchor="_Toc230091255" w:history="1">
            <w:r w:rsidRPr="00FA4DB3">
              <w:rPr>
                <w:rStyle w:val="Hyperlink"/>
                <w:noProof/>
              </w:rPr>
              <w:t>Goal 4 – Eliminate congenital syphilis (defined as sustained zero congenital syphilis cases)</w:t>
            </w:r>
            <w:r>
              <w:rPr>
                <w:noProof/>
                <w:webHidden/>
              </w:rPr>
              <w:tab/>
            </w:r>
            <w:r>
              <w:rPr>
                <w:noProof/>
                <w:webHidden/>
              </w:rPr>
              <w:fldChar w:fldCharType="begin"/>
            </w:r>
            <w:r>
              <w:rPr>
                <w:noProof/>
                <w:webHidden/>
              </w:rPr>
              <w:instrText xml:space="preserve"> PAGEREF _Toc230091255 \h </w:instrText>
            </w:r>
            <w:r>
              <w:rPr>
                <w:noProof/>
                <w:webHidden/>
              </w:rPr>
            </w:r>
            <w:r>
              <w:rPr>
                <w:noProof/>
                <w:webHidden/>
              </w:rPr>
              <w:fldChar w:fldCharType="separate"/>
            </w:r>
            <w:r w:rsidR="006F2428">
              <w:rPr>
                <w:noProof/>
                <w:webHidden/>
              </w:rPr>
              <w:t>36</w:t>
            </w:r>
            <w:r>
              <w:rPr>
                <w:noProof/>
                <w:webHidden/>
              </w:rPr>
              <w:fldChar w:fldCharType="end"/>
            </w:r>
          </w:hyperlink>
        </w:p>
        <w:p w14:paraId="0179A03F" w14:textId="7B75C331" w:rsidR="000E01E9" w:rsidRDefault="000E01E9">
          <w:pPr>
            <w:pStyle w:val="TOC1"/>
            <w:rPr>
              <w:rFonts w:asciiTheme="minorHAnsi" w:eastAsiaTheme="minorEastAsia" w:hAnsiTheme="minorHAnsi" w:cstheme="minorBidi"/>
              <w:b w:val="0"/>
              <w:bCs w:val="0"/>
              <w:iCs w:val="0"/>
              <w:noProof/>
              <w:lang w:eastAsia="en-AU"/>
            </w:rPr>
          </w:pPr>
          <w:hyperlink w:anchor="_Toc230091256" w:history="1">
            <w:r w:rsidRPr="00FA4DB3">
              <w:rPr>
                <w:rStyle w:val="Hyperlink"/>
                <w:noProof/>
              </w:rPr>
              <w:t>Appendix A – Data considerations for Aboriginal and Torres Strait Islander populations</w:t>
            </w:r>
            <w:r>
              <w:rPr>
                <w:noProof/>
                <w:webHidden/>
              </w:rPr>
              <w:tab/>
            </w:r>
            <w:r>
              <w:rPr>
                <w:noProof/>
                <w:webHidden/>
              </w:rPr>
              <w:fldChar w:fldCharType="begin"/>
            </w:r>
            <w:r>
              <w:rPr>
                <w:noProof/>
                <w:webHidden/>
              </w:rPr>
              <w:instrText xml:space="preserve"> PAGEREF _Toc230091256 \h </w:instrText>
            </w:r>
            <w:r>
              <w:rPr>
                <w:noProof/>
                <w:webHidden/>
              </w:rPr>
            </w:r>
            <w:r>
              <w:rPr>
                <w:noProof/>
                <w:webHidden/>
              </w:rPr>
              <w:fldChar w:fldCharType="separate"/>
            </w:r>
            <w:r w:rsidR="006F2428">
              <w:rPr>
                <w:noProof/>
                <w:webHidden/>
              </w:rPr>
              <w:t>44</w:t>
            </w:r>
            <w:r>
              <w:rPr>
                <w:noProof/>
                <w:webHidden/>
              </w:rPr>
              <w:fldChar w:fldCharType="end"/>
            </w:r>
          </w:hyperlink>
        </w:p>
        <w:p w14:paraId="32055167" w14:textId="54BD01CC" w:rsidR="000E01E9" w:rsidRDefault="000E01E9">
          <w:pPr>
            <w:pStyle w:val="TOC1"/>
            <w:rPr>
              <w:rFonts w:asciiTheme="minorHAnsi" w:eastAsiaTheme="minorEastAsia" w:hAnsiTheme="minorHAnsi" w:cstheme="minorBidi"/>
              <w:b w:val="0"/>
              <w:bCs w:val="0"/>
              <w:iCs w:val="0"/>
              <w:noProof/>
              <w:lang w:eastAsia="en-AU"/>
            </w:rPr>
          </w:pPr>
          <w:hyperlink w:anchor="_Toc230091257" w:history="1">
            <w:r w:rsidRPr="00FA4DB3">
              <w:rPr>
                <w:rStyle w:val="Hyperlink"/>
                <w:noProof/>
              </w:rPr>
              <w:t>Appendix B – Data sources and reporting schedule</w:t>
            </w:r>
            <w:r>
              <w:rPr>
                <w:noProof/>
                <w:webHidden/>
              </w:rPr>
              <w:tab/>
            </w:r>
            <w:r>
              <w:rPr>
                <w:noProof/>
                <w:webHidden/>
              </w:rPr>
              <w:fldChar w:fldCharType="begin"/>
            </w:r>
            <w:r>
              <w:rPr>
                <w:noProof/>
                <w:webHidden/>
              </w:rPr>
              <w:instrText xml:space="preserve"> PAGEREF _Toc230091257 \h </w:instrText>
            </w:r>
            <w:r>
              <w:rPr>
                <w:noProof/>
                <w:webHidden/>
              </w:rPr>
            </w:r>
            <w:r>
              <w:rPr>
                <w:noProof/>
                <w:webHidden/>
              </w:rPr>
              <w:fldChar w:fldCharType="separate"/>
            </w:r>
            <w:r w:rsidR="006F2428">
              <w:rPr>
                <w:noProof/>
                <w:webHidden/>
              </w:rPr>
              <w:t>46</w:t>
            </w:r>
            <w:r>
              <w:rPr>
                <w:noProof/>
                <w:webHidden/>
              </w:rPr>
              <w:fldChar w:fldCharType="end"/>
            </w:r>
          </w:hyperlink>
        </w:p>
        <w:p w14:paraId="11109EF5" w14:textId="3F7FC6FB" w:rsidR="000E01E9" w:rsidRDefault="000E01E9">
          <w:pPr>
            <w:pStyle w:val="TOC1"/>
            <w:rPr>
              <w:rFonts w:asciiTheme="minorHAnsi" w:eastAsiaTheme="minorEastAsia" w:hAnsiTheme="minorHAnsi" w:cstheme="minorBidi"/>
              <w:b w:val="0"/>
              <w:bCs w:val="0"/>
              <w:iCs w:val="0"/>
              <w:noProof/>
              <w:lang w:eastAsia="en-AU"/>
            </w:rPr>
          </w:pPr>
          <w:hyperlink w:anchor="_Toc230091258" w:history="1">
            <w:r w:rsidRPr="00FA4DB3">
              <w:rPr>
                <w:rStyle w:val="Hyperlink"/>
                <w:noProof/>
              </w:rPr>
              <w:t>References</w:t>
            </w:r>
            <w:r>
              <w:rPr>
                <w:noProof/>
                <w:webHidden/>
              </w:rPr>
              <w:tab/>
            </w:r>
            <w:r>
              <w:rPr>
                <w:noProof/>
                <w:webHidden/>
              </w:rPr>
              <w:fldChar w:fldCharType="begin"/>
            </w:r>
            <w:r>
              <w:rPr>
                <w:noProof/>
                <w:webHidden/>
              </w:rPr>
              <w:instrText xml:space="preserve"> PAGEREF _Toc230091258 \h </w:instrText>
            </w:r>
            <w:r>
              <w:rPr>
                <w:noProof/>
                <w:webHidden/>
              </w:rPr>
            </w:r>
            <w:r>
              <w:rPr>
                <w:noProof/>
                <w:webHidden/>
              </w:rPr>
              <w:fldChar w:fldCharType="separate"/>
            </w:r>
            <w:r w:rsidR="006F2428">
              <w:rPr>
                <w:noProof/>
                <w:webHidden/>
              </w:rPr>
              <w:t>50</w:t>
            </w:r>
            <w:r>
              <w:rPr>
                <w:noProof/>
                <w:webHidden/>
              </w:rPr>
              <w:fldChar w:fldCharType="end"/>
            </w:r>
          </w:hyperlink>
        </w:p>
        <w:p w14:paraId="3726A616" w14:textId="45AEE75F" w:rsidR="000E01E9" w:rsidRDefault="000E01E9">
          <w:r>
            <w:rPr>
              <w:rFonts w:ascii="Segoe UI Semibold" w:hAnsi="Segoe UI Semibold" w:cstheme="minorHAnsi"/>
              <w:b/>
              <w:bCs/>
              <w:iCs/>
            </w:rPr>
            <w:fldChar w:fldCharType="end"/>
          </w:r>
        </w:p>
      </w:sdtContent>
    </w:sdt>
    <w:p w14:paraId="11A2AF0E" w14:textId="77777777" w:rsidR="00AB0889" w:rsidRPr="005E1D24" w:rsidRDefault="00AB0889" w:rsidP="005E1D24">
      <w:r w:rsidRPr="005E1D24">
        <w:br w:type="page"/>
      </w:r>
    </w:p>
    <w:p w14:paraId="2922634F" w14:textId="2ADEDD90" w:rsidR="00AB0889" w:rsidRPr="00893EB3" w:rsidRDefault="00AB0889" w:rsidP="00893EB3">
      <w:pPr>
        <w:rPr>
          <w:b/>
          <w:bCs/>
        </w:rPr>
      </w:pPr>
      <w:r w:rsidRPr="00893EB3">
        <w:rPr>
          <w:b/>
          <w:bCs/>
        </w:rPr>
        <w:lastRenderedPageBreak/>
        <w:t xml:space="preserve">Version </w:t>
      </w:r>
      <w:r w:rsidR="006F5534">
        <w:rPr>
          <w:b/>
          <w:bCs/>
        </w:rPr>
        <w:t>h</w:t>
      </w:r>
      <w:r w:rsidR="006F5534" w:rsidRPr="00893EB3">
        <w:rPr>
          <w:b/>
          <w:bCs/>
        </w:rPr>
        <w:t>istory</w:t>
      </w:r>
    </w:p>
    <w:tbl>
      <w:tblPr>
        <w:tblStyle w:val="TableGrid1"/>
        <w:tblW w:w="9639" w:type="dxa"/>
        <w:tblLayout w:type="fixed"/>
        <w:tblLook w:val="04A0" w:firstRow="1" w:lastRow="0" w:firstColumn="1" w:lastColumn="0" w:noHBand="0" w:noVBand="1"/>
      </w:tblPr>
      <w:tblGrid>
        <w:gridCol w:w="2506"/>
        <w:gridCol w:w="2505"/>
        <w:gridCol w:w="4628"/>
      </w:tblGrid>
      <w:tr w:rsidR="00AB0889" w:rsidRPr="005F5723" w14:paraId="0F4153B7" w14:textId="77777777" w:rsidTr="00531112">
        <w:trPr>
          <w:cnfStyle w:val="100000000000" w:firstRow="1" w:lastRow="0" w:firstColumn="0" w:lastColumn="0" w:oddVBand="0" w:evenVBand="0" w:oddHBand="0" w:evenHBand="0" w:firstRowFirstColumn="0" w:firstRowLastColumn="0" w:lastRowFirstColumn="0" w:lastRowLastColumn="0"/>
          <w:trHeight w:val="282"/>
        </w:trPr>
        <w:tc>
          <w:tcPr>
            <w:tcW w:w="2506" w:type="dxa"/>
          </w:tcPr>
          <w:p w14:paraId="2748A285" w14:textId="77777777" w:rsidR="00AB0889" w:rsidRPr="00A42779" w:rsidRDefault="00AB0889" w:rsidP="00C96F6C">
            <w:pPr>
              <w:pStyle w:val="Tabletextleft"/>
              <w:rPr>
                <w:rFonts w:eastAsia="Arial"/>
                <w:lang w:eastAsia="en-US"/>
              </w:rPr>
            </w:pPr>
            <w:r w:rsidRPr="00A42779">
              <w:rPr>
                <w:rFonts w:eastAsia="Arial"/>
              </w:rPr>
              <w:t>Version</w:t>
            </w:r>
          </w:p>
        </w:tc>
        <w:tc>
          <w:tcPr>
            <w:tcW w:w="2505" w:type="dxa"/>
          </w:tcPr>
          <w:p w14:paraId="288F9379" w14:textId="77777777" w:rsidR="00AB0889" w:rsidRPr="00A42779" w:rsidRDefault="00AB0889" w:rsidP="00C96F6C">
            <w:pPr>
              <w:pStyle w:val="Tabletextleft"/>
              <w:rPr>
                <w:rFonts w:eastAsia="Arial"/>
                <w:lang w:eastAsia="en-US"/>
              </w:rPr>
            </w:pPr>
            <w:r w:rsidRPr="00A42779">
              <w:rPr>
                <w:rFonts w:eastAsia="Arial"/>
              </w:rPr>
              <w:t>Date</w:t>
            </w:r>
          </w:p>
        </w:tc>
        <w:tc>
          <w:tcPr>
            <w:tcW w:w="4628" w:type="dxa"/>
          </w:tcPr>
          <w:p w14:paraId="2719438E" w14:textId="77777777" w:rsidR="00AB0889" w:rsidRPr="00A42779" w:rsidRDefault="00AB0889" w:rsidP="00C96F6C">
            <w:pPr>
              <w:pStyle w:val="Tabletextleft"/>
              <w:rPr>
                <w:rFonts w:eastAsia="Arial"/>
                <w:lang w:eastAsia="en-US"/>
              </w:rPr>
            </w:pPr>
            <w:r w:rsidRPr="00A42779">
              <w:rPr>
                <w:rFonts w:eastAsia="Arial"/>
              </w:rPr>
              <w:t>Reason/Key changes</w:t>
            </w:r>
          </w:p>
        </w:tc>
      </w:tr>
      <w:tr w:rsidR="00AB0889" w:rsidRPr="005F5723" w14:paraId="387F3FE1" w14:textId="77777777" w:rsidTr="00531112">
        <w:trPr>
          <w:cnfStyle w:val="000000100000" w:firstRow="0" w:lastRow="0" w:firstColumn="0" w:lastColumn="0" w:oddVBand="0" w:evenVBand="0" w:oddHBand="1" w:evenHBand="0" w:firstRowFirstColumn="0" w:firstRowLastColumn="0" w:lastRowFirstColumn="0" w:lastRowLastColumn="0"/>
          <w:trHeight w:val="13"/>
        </w:trPr>
        <w:tc>
          <w:tcPr>
            <w:tcW w:w="2506" w:type="dxa"/>
          </w:tcPr>
          <w:p w14:paraId="58353EA3" w14:textId="77777777" w:rsidR="00AB0889" w:rsidRPr="00A42779" w:rsidRDefault="00AB0889" w:rsidP="00C96F6C">
            <w:pPr>
              <w:pStyle w:val="Tabletextleft"/>
              <w:rPr>
                <w:rFonts w:eastAsia="Arial"/>
                <w:lang w:eastAsia="en-US"/>
              </w:rPr>
            </w:pPr>
            <w:r w:rsidRPr="00A42779">
              <w:rPr>
                <w:rFonts w:eastAsia="Arial"/>
              </w:rPr>
              <w:t>Version 1.0</w:t>
            </w:r>
          </w:p>
        </w:tc>
        <w:tc>
          <w:tcPr>
            <w:tcW w:w="2505" w:type="dxa"/>
          </w:tcPr>
          <w:p w14:paraId="0DB0E509" w14:textId="0487DE73" w:rsidR="00AB0889" w:rsidRPr="00A42779" w:rsidRDefault="00F240FE" w:rsidP="00C96F6C">
            <w:pPr>
              <w:pStyle w:val="Tabletextleft"/>
              <w:rPr>
                <w:rFonts w:eastAsia="Arial"/>
                <w:lang w:eastAsia="en-US"/>
              </w:rPr>
            </w:pPr>
            <w:r>
              <w:rPr>
                <w:rFonts w:eastAsia="Arial"/>
              </w:rPr>
              <w:t>October 2025</w:t>
            </w:r>
          </w:p>
        </w:tc>
        <w:tc>
          <w:tcPr>
            <w:tcW w:w="4628" w:type="dxa"/>
          </w:tcPr>
          <w:p w14:paraId="564F3A5F" w14:textId="77777777" w:rsidR="00AB0889" w:rsidRPr="00A42779" w:rsidRDefault="00AB0889" w:rsidP="00C96F6C">
            <w:pPr>
              <w:pStyle w:val="Tabletextleft"/>
              <w:rPr>
                <w:rFonts w:eastAsia="Arial"/>
                <w:lang w:eastAsia="en-US"/>
              </w:rPr>
            </w:pPr>
            <w:r w:rsidRPr="00A42779">
              <w:rPr>
                <w:rFonts w:eastAsia="Arial"/>
              </w:rPr>
              <w:t>Initial release</w:t>
            </w:r>
          </w:p>
        </w:tc>
      </w:tr>
    </w:tbl>
    <w:p w14:paraId="04C26DC3" w14:textId="77777777" w:rsidR="00AB0889" w:rsidRPr="005E1D24" w:rsidRDefault="00AB0889" w:rsidP="005E1D24">
      <w:r w:rsidRPr="005E1D24">
        <w:br w:type="page"/>
      </w:r>
    </w:p>
    <w:p w14:paraId="31F98F35" w14:textId="77777777" w:rsidR="00F635E5" w:rsidRPr="00A43BFD" w:rsidRDefault="00AB0889" w:rsidP="00A43BFD">
      <w:pPr>
        <w:pStyle w:val="Heading1"/>
      </w:pPr>
      <w:bookmarkStart w:id="0" w:name="_Toc230091240"/>
      <w:r w:rsidRPr="00A43BFD">
        <w:lastRenderedPageBreak/>
        <w:t>Overview</w:t>
      </w:r>
      <w:bookmarkEnd w:id="0"/>
    </w:p>
    <w:p w14:paraId="4DF7B507" w14:textId="77777777" w:rsidR="00F635E5" w:rsidRPr="00360486" w:rsidRDefault="0076581D" w:rsidP="00360486">
      <w:pPr>
        <w:pStyle w:val="Heading2"/>
      </w:pPr>
      <w:bookmarkStart w:id="1" w:name="_Toc230091241"/>
      <w:r w:rsidRPr="00360486">
        <w:t>Purpose</w:t>
      </w:r>
      <w:bookmarkEnd w:id="1"/>
    </w:p>
    <w:p w14:paraId="167FF2F6" w14:textId="14DB0E47" w:rsidR="005C1306" w:rsidRDefault="00CC7957" w:rsidP="00360486">
      <w:bookmarkStart w:id="2" w:name="_Hlk207869092"/>
      <w:r w:rsidRPr="00360486">
        <w:t xml:space="preserve">Syphilis poses a threat to public health with significant increases in notifications across Australia in the past decade. Despite previous efforts to control </w:t>
      </w:r>
      <w:r w:rsidR="0086372A">
        <w:t>a</w:t>
      </w:r>
      <w:r w:rsidRPr="00360486">
        <w:t xml:space="preserve"> preventable and curable disease, Australia continues to have cases of congenital syphilis and associated infant deaths</w:t>
      </w:r>
      <w:r w:rsidR="005C1306">
        <w:t>.</w:t>
      </w:r>
    </w:p>
    <w:p w14:paraId="23B6B132" w14:textId="77777777" w:rsidR="005C1306" w:rsidRDefault="00CC7957" w:rsidP="004874F3">
      <w:r w:rsidRPr="004874F3">
        <w:t>In response</w:t>
      </w:r>
      <w:r w:rsidR="044E8B49" w:rsidRPr="004874F3">
        <w:t>,</w:t>
      </w:r>
      <w:r w:rsidRPr="004874F3">
        <w:t xml:space="preserve"> the Australian Health Protection Committee (AHPC), the Communicable Diseases Network Australia (CDNA), National Aboriginal and Torres Strait Islander Health Protection (NATSIHP) and the Blood Borne Viruses and Sexually Transmissible Infections Standing Committee (BBVSS) have developed a </w:t>
      </w:r>
      <w:hyperlink r:id="rId12" w:history="1">
        <w:r w:rsidRPr="004874F3">
          <w:rPr>
            <w:rStyle w:val="Hyperlink"/>
          </w:rPr>
          <w:t>National Syphilis Response Plan 2023 – 2030</w:t>
        </w:r>
      </w:hyperlink>
      <w:r w:rsidRPr="004874F3">
        <w:t xml:space="preserve"> (Response Plan). The Response Plan consolidates existing recommendations into a focused framework, to be governed under new and re-invigorated governance arrangements. Ensuring a consistent approach across the country will enhance collaboration and effectively tackle syphilis as a public health concern</w:t>
      </w:r>
      <w:r w:rsidR="005C1306">
        <w:t>.</w:t>
      </w:r>
    </w:p>
    <w:p w14:paraId="273CC989" w14:textId="0F7DC3F4" w:rsidR="00CC7957" w:rsidRPr="004874F3" w:rsidRDefault="00687365" w:rsidP="004874F3">
      <w:r w:rsidRPr="004874F3">
        <w:t>Four</w:t>
      </w:r>
      <w:r w:rsidR="00CC7957" w:rsidRPr="004874F3">
        <w:t xml:space="preserve"> overarching national goals have been adopted to be pursued throughout the life cycle of </w:t>
      </w:r>
      <w:r w:rsidR="00EA1BF6" w:rsidRPr="004874F3">
        <w:t>the Response Plan</w:t>
      </w:r>
      <w:r w:rsidR="00CC7957" w:rsidRPr="004874F3">
        <w:t xml:space="preserve"> (2023</w:t>
      </w:r>
      <w:r w:rsidR="007A611F">
        <w:t>–</w:t>
      </w:r>
      <w:r w:rsidR="00CC7957" w:rsidRPr="004874F3">
        <w:t>2030):</w:t>
      </w:r>
    </w:p>
    <w:p w14:paraId="16558582" w14:textId="77777777" w:rsidR="005C1306" w:rsidRDefault="00CC7957" w:rsidP="004874F3">
      <w:pPr>
        <w:pStyle w:val="ListNumber"/>
      </w:pPr>
      <w:r w:rsidRPr="004874F3">
        <w:t>Strengthen prevention and testing strategies for syphilis in priority populations and settings, targeting high-burden areas</w:t>
      </w:r>
      <w:r w:rsidR="005C1306">
        <w:t>.</w:t>
      </w:r>
    </w:p>
    <w:p w14:paraId="19CD67ED" w14:textId="77777777" w:rsidR="005C1306" w:rsidRDefault="00CC7957" w:rsidP="004874F3">
      <w:pPr>
        <w:pStyle w:val="ListNumber"/>
      </w:pPr>
      <w:r w:rsidRPr="004874F3">
        <w:t>Reduce ongoing transmission and incidence of syphilis across priority populations</w:t>
      </w:r>
      <w:r w:rsidR="005C1306">
        <w:t>.</w:t>
      </w:r>
    </w:p>
    <w:p w14:paraId="3E508ED0" w14:textId="77777777" w:rsidR="005C1306" w:rsidRDefault="00CC7957" w:rsidP="004874F3">
      <w:pPr>
        <w:pStyle w:val="ListNumber"/>
      </w:pPr>
      <w:r w:rsidRPr="004874F3">
        <w:t>Reduce morbidity and mortality associated with syphilis</w:t>
      </w:r>
      <w:r w:rsidR="005C1306">
        <w:t>.</w:t>
      </w:r>
    </w:p>
    <w:p w14:paraId="1C8371AE" w14:textId="7FAD8191" w:rsidR="00CC7957" w:rsidRPr="004874F3" w:rsidRDefault="00CC7957" w:rsidP="004874F3">
      <w:pPr>
        <w:pStyle w:val="ListNumber"/>
      </w:pPr>
      <w:r w:rsidRPr="004874F3">
        <w:t>Eliminate congenital syphilis (defined as sustained zero congenital syphilis cases).</w:t>
      </w:r>
    </w:p>
    <w:p w14:paraId="79ACF3FA" w14:textId="77777777" w:rsidR="00687365" w:rsidRPr="00E260D7" w:rsidRDefault="00687365" w:rsidP="00E260D7">
      <w:r w:rsidRPr="00E260D7">
        <w:t xml:space="preserve">The Response Plan builds on the efforts of the </w:t>
      </w:r>
      <w:hyperlink r:id="rId13" w:history="1">
        <w:r w:rsidRPr="00E260D7">
          <w:rPr>
            <w:rStyle w:val="Hyperlink"/>
            <w:i/>
            <w:iCs/>
          </w:rPr>
          <w:t>National strategic approach for responding to rising rates of syphilis 2021</w:t>
        </w:r>
      </w:hyperlink>
      <w:r w:rsidRPr="00E260D7">
        <w:t>.</w:t>
      </w:r>
    </w:p>
    <w:p w14:paraId="566EA925" w14:textId="77777777" w:rsidR="005C1306" w:rsidRDefault="0041406C" w:rsidP="00E260D7">
      <w:r w:rsidRPr="00E260D7">
        <w:t xml:space="preserve">The </w:t>
      </w:r>
      <w:r w:rsidRPr="00DE6064">
        <w:rPr>
          <w:i/>
          <w:iCs/>
        </w:rPr>
        <w:t>National Syphilis Surveillance and Monitoring Plan</w:t>
      </w:r>
      <w:r w:rsidRPr="00E260D7">
        <w:t xml:space="preserve"> (</w:t>
      </w:r>
      <w:r w:rsidR="00493169" w:rsidRPr="00E260D7">
        <w:t>the</w:t>
      </w:r>
      <w:r w:rsidRPr="00E260D7">
        <w:t xml:space="preserve"> </w:t>
      </w:r>
      <w:r w:rsidR="00CC7957" w:rsidRPr="00E260D7">
        <w:t xml:space="preserve">Surveillance </w:t>
      </w:r>
      <w:r w:rsidRPr="00E260D7">
        <w:t xml:space="preserve">Plan) outlines indicators that will be used to monitor progress towards achieving </w:t>
      </w:r>
      <w:r w:rsidR="00CC7957" w:rsidRPr="00E260D7">
        <w:t xml:space="preserve">the above </w:t>
      </w:r>
      <w:r w:rsidR="00493169" w:rsidRPr="00E260D7">
        <w:t>goals</w:t>
      </w:r>
      <w:r w:rsidR="00CC7957" w:rsidRPr="00E260D7">
        <w:t>. Each goal covers a set of related indicators that can be disaggregated to allow finer-grained interpretation</w:t>
      </w:r>
      <w:r w:rsidR="005C1306">
        <w:t>.</w:t>
      </w:r>
    </w:p>
    <w:p w14:paraId="7FABF902" w14:textId="1370691F" w:rsidR="0041406C" w:rsidRPr="00E260D7" w:rsidRDefault="0041406C" w:rsidP="00E260D7">
      <w:r w:rsidRPr="00E260D7">
        <w:t xml:space="preserve">The </w:t>
      </w:r>
      <w:r w:rsidR="00CC7957" w:rsidRPr="00E260D7">
        <w:t xml:space="preserve">Surveillance </w:t>
      </w:r>
      <w:r w:rsidRPr="00E260D7">
        <w:t>Plan builds on and intersects with existing national surveillance and monitoring activities related to syphilis, including the: National B</w:t>
      </w:r>
      <w:r w:rsidR="002F4B54">
        <w:t xml:space="preserve">lood </w:t>
      </w:r>
      <w:r w:rsidRPr="00E260D7">
        <w:t>B</w:t>
      </w:r>
      <w:r w:rsidR="002F4B54">
        <w:t xml:space="preserve">orne </w:t>
      </w:r>
      <w:r w:rsidRPr="00E260D7">
        <w:t>V</w:t>
      </w:r>
      <w:r w:rsidR="002F4B54">
        <w:t>iruses (BBV)</w:t>
      </w:r>
      <w:r w:rsidRPr="00E260D7">
        <w:t xml:space="preserve"> and S</w:t>
      </w:r>
      <w:r w:rsidR="002F4B54">
        <w:t xml:space="preserve">exually </w:t>
      </w:r>
      <w:r w:rsidRPr="00E260D7">
        <w:t>T</w:t>
      </w:r>
      <w:r w:rsidR="002F4B54">
        <w:t>ransmi</w:t>
      </w:r>
      <w:r w:rsidR="009C3F86">
        <w:t>ssible</w:t>
      </w:r>
      <w:r w:rsidR="002F4B54">
        <w:t xml:space="preserve"> </w:t>
      </w:r>
      <w:r w:rsidRPr="00E260D7">
        <w:t>I</w:t>
      </w:r>
      <w:r w:rsidR="002F4B54">
        <w:t>nfections (STI)</w:t>
      </w:r>
      <w:r w:rsidRPr="00E260D7">
        <w:t xml:space="preserve"> Surveillance and Monitoring Plan which supports the five National Strategies for BBV and STI</w:t>
      </w:r>
      <w:r w:rsidR="00EA1BF6" w:rsidRPr="00E260D7">
        <w:t>.</w:t>
      </w:r>
    </w:p>
    <w:p w14:paraId="037CC561" w14:textId="1EB98C28" w:rsidR="0041406C" w:rsidRPr="00E260D7" w:rsidRDefault="0041406C" w:rsidP="00E260D7">
      <w:r w:rsidRPr="00E260D7">
        <w:t>While the</w:t>
      </w:r>
      <w:r w:rsidR="00834B12" w:rsidRPr="00E260D7">
        <w:t xml:space="preserve"> Surveillance</w:t>
      </w:r>
      <w:r w:rsidRPr="00E260D7">
        <w:t xml:space="preserve"> Plan does not outline specifically public health actions to address the rising rates of syphilis, it is important to acknowledge the significant work </w:t>
      </w:r>
      <w:r w:rsidR="00CC7957" w:rsidRPr="00E260D7">
        <w:t xml:space="preserve">that </w:t>
      </w:r>
      <w:r w:rsidRPr="00E260D7">
        <w:t xml:space="preserve">has </w:t>
      </w:r>
      <w:r w:rsidRPr="00E260D7">
        <w:lastRenderedPageBreak/>
        <w:t>been done by State and Territory Health services, primary health care and other community organisations to address rising rates of syphilis, including the investment in the National Strategies for BBV and STI.</w:t>
      </w:r>
    </w:p>
    <w:p w14:paraId="64ACD342" w14:textId="50996289" w:rsidR="0041406C" w:rsidRPr="00DE6064" w:rsidRDefault="0041406C" w:rsidP="00DE6064">
      <w:r w:rsidRPr="00DE6064">
        <w:t>The CDNA</w:t>
      </w:r>
      <w:r w:rsidR="00CC7957" w:rsidRPr="00DE6064">
        <w:t>,</w:t>
      </w:r>
      <w:r w:rsidRPr="00DE6064">
        <w:t xml:space="preserve"> BBVSS </w:t>
      </w:r>
      <w:r w:rsidR="00CC7957" w:rsidRPr="00DE6064">
        <w:t xml:space="preserve">and NATSIHP </w:t>
      </w:r>
      <w:r w:rsidRPr="00DE6064">
        <w:t>are, in collaboration, developing further priority public health actions, including those related to workforce and community engagement, to ensure progress is made towards reducing the incidence of syphilis and elimination of congenital syphilis in Australia.</w:t>
      </w:r>
    </w:p>
    <w:p w14:paraId="7282B8C6" w14:textId="4E3AAAA4" w:rsidR="00FB0A2F" w:rsidRPr="00DE6064" w:rsidRDefault="00FB0A2F" w:rsidP="00DE6064">
      <w:r w:rsidRPr="00DE6064">
        <w:t xml:space="preserve">At the time of drafting, the Surveillance Plan is a product of the Australian Centre for Disease </w:t>
      </w:r>
      <w:proofErr w:type="gramStart"/>
      <w:r w:rsidRPr="00DE6064">
        <w:t>Control</w:t>
      </w:r>
      <w:proofErr w:type="gramEnd"/>
      <w:r w:rsidRPr="00DE6064">
        <w:t xml:space="preserve"> but it is intended that the Surveillance Plan be a product of the independent Australian Centre for Disease Control from its commencement.</w:t>
      </w:r>
    </w:p>
    <w:bookmarkEnd w:id="2"/>
    <w:p w14:paraId="55316D95" w14:textId="1A16A9F4" w:rsidR="00CC7957" w:rsidRPr="00DE6064" w:rsidRDefault="00CC7957" w:rsidP="00DE6064">
      <w:r w:rsidRPr="00DE6064">
        <w:t>It is important to note that the programs mentioned in the Surveillance Plan were operational at the time of writing. Inclusion of programs in the S</w:t>
      </w:r>
      <w:r w:rsidR="00EA1BF6" w:rsidRPr="00DE6064">
        <w:t>urveillance</w:t>
      </w:r>
      <w:r w:rsidRPr="00DE6064">
        <w:t xml:space="preserve"> Plan does not denote funding from the Australian Centre for Disease Control.</w:t>
      </w:r>
    </w:p>
    <w:p w14:paraId="6428672D" w14:textId="77777777" w:rsidR="0041406C" w:rsidRPr="00173374" w:rsidRDefault="0041406C" w:rsidP="00C8696F">
      <w:pPr>
        <w:pStyle w:val="Heading2"/>
      </w:pPr>
      <w:r w:rsidRPr="00173374">
        <w:t>Development of future indicators</w:t>
      </w:r>
    </w:p>
    <w:p w14:paraId="7D0B2367" w14:textId="27D6CE18" w:rsidR="0041406C" w:rsidRPr="00173374" w:rsidRDefault="0041406C" w:rsidP="00173374">
      <w:r w:rsidRPr="00173374">
        <w:t>At the time of writing</w:t>
      </w:r>
      <w:r w:rsidR="00657BB7" w:rsidRPr="00173374">
        <w:t>,</w:t>
      </w:r>
      <w:r w:rsidRPr="00173374">
        <w:t xml:space="preserve"> additional </w:t>
      </w:r>
      <w:r w:rsidR="005C6967" w:rsidRPr="00173374">
        <w:t>indicators,</w:t>
      </w:r>
      <w:r w:rsidRPr="00173374">
        <w:t xml:space="preserve"> and suitable data sources, including those related to syphilis testing, re-</w:t>
      </w:r>
      <w:r w:rsidR="005C6967" w:rsidRPr="00173374">
        <w:t>infections,</w:t>
      </w:r>
      <w:r w:rsidRPr="00173374">
        <w:t xml:space="preserve"> and sexual partners (particularly partners of people of reproductive age)</w:t>
      </w:r>
      <w:r w:rsidR="0B0D3151" w:rsidRPr="00173374">
        <w:t>,</w:t>
      </w:r>
      <w:r w:rsidRPr="00173374">
        <w:t xml:space="preserve"> were being explored. Any new indicators will be incorporated into future iterations of the </w:t>
      </w:r>
      <w:r w:rsidR="00EA1BF6" w:rsidRPr="00173374">
        <w:t>Surveillance</w:t>
      </w:r>
      <w:r w:rsidRPr="00173374">
        <w:t xml:space="preserve"> Plan following consultation with the respective expert groups noted </w:t>
      </w:r>
      <w:r w:rsidR="00687365" w:rsidRPr="00173374">
        <w:t>below</w:t>
      </w:r>
      <w:r w:rsidRPr="00173374">
        <w:t>.</w:t>
      </w:r>
    </w:p>
    <w:p w14:paraId="2F5A2280" w14:textId="77777777" w:rsidR="0041406C" w:rsidRPr="00173374" w:rsidRDefault="0041406C" w:rsidP="00C8696F">
      <w:pPr>
        <w:pStyle w:val="Heading2"/>
      </w:pPr>
      <w:r w:rsidRPr="00173374">
        <w:t>Specific populations</w:t>
      </w:r>
    </w:p>
    <w:p w14:paraId="2FEA5A8C" w14:textId="2AE9807E" w:rsidR="0041406C" w:rsidRPr="00173374" w:rsidRDefault="0041406C" w:rsidP="00173374">
      <w:r w:rsidRPr="00173374">
        <w:t xml:space="preserve">The </w:t>
      </w:r>
      <w:r w:rsidR="00EA1BF6" w:rsidRPr="00173374">
        <w:t xml:space="preserve">Surveillance </w:t>
      </w:r>
      <w:r w:rsidRPr="00173374">
        <w:t xml:space="preserve">Plan recognises the need to continue to enhance our understanding of the impact of syphilis on specific populations, including </w:t>
      </w:r>
      <w:bookmarkStart w:id="3" w:name="_Hlk160788849"/>
      <w:r w:rsidRPr="00173374">
        <w:t>Aboriginal and Torres Strait Islander people, people of reproductive age, people from culturally and linguistically diverse (CALD) backgrounds, people with a disability</w:t>
      </w:r>
      <w:bookmarkEnd w:id="3"/>
      <w:r w:rsidRPr="00173374">
        <w:t>, people who identify as LGBTIQA+</w:t>
      </w:r>
      <w:r w:rsidRPr="00A57ACB">
        <w:rPr>
          <w:vertAlign w:val="superscript"/>
        </w:rPr>
        <w:footnoteReference w:id="2"/>
      </w:r>
      <w:r w:rsidRPr="00173374">
        <w:t xml:space="preserve"> and people living in rural and remote areas. These groups are a priority for surveillance and response as they may be at higher risk of syphilis infection and poorer health outcomes as a result. These priority groups will be represented in reports against the </w:t>
      </w:r>
      <w:r w:rsidR="00EA1BF6" w:rsidRPr="00173374">
        <w:t xml:space="preserve">Surveillance </w:t>
      </w:r>
      <w:r w:rsidRPr="00173374">
        <w:t>Plan where data are available, with a view to improve representativeness in the long-term in syphilis surveillance data</w:t>
      </w:r>
      <w:r w:rsidR="58B46274" w:rsidRPr="00173374">
        <w:t>.</w:t>
      </w:r>
    </w:p>
    <w:p w14:paraId="4CA082BA" w14:textId="2E4F9EDE" w:rsidR="0041406C" w:rsidRPr="00173374" w:rsidRDefault="0041406C" w:rsidP="00173374">
      <w:r w:rsidRPr="00173374">
        <w:lastRenderedPageBreak/>
        <w:t xml:space="preserve">Considerations for Aboriginal and Torres Strait Islander populations have been incorporated into the </w:t>
      </w:r>
      <w:r w:rsidR="00915E4D" w:rsidRPr="00173374">
        <w:t xml:space="preserve">Surveillance </w:t>
      </w:r>
      <w:r w:rsidRPr="00173374">
        <w:t>Plan to ensure relevant data is collected; analysis and reporting are carried out; and that these data are reviewed, reported, and interpreted with an appropriate cultural lens. More detail on data considerations for Aboriginal and Torres Strait Islander</w:t>
      </w:r>
      <w:r w:rsidR="00CE7004">
        <w:t xml:space="preserve"> </w:t>
      </w:r>
      <w:r w:rsidRPr="00173374">
        <w:t xml:space="preserve">populations is at </w:t>
      </w:r>
      <w:hyperlink w:anchor="_Appendix_A_–" w:history="1">
        <w:r w:rsidRPr="00CE7004">
          <w:rPr>
            <w:rStyle w:val="Hyperlink"/>
          </w:rPr>
          <w:t>Appendix A</w:t>
        </w:r>
      </w:hyperlink>
      <w:r w:rsidRPr="00173374">
        <w:t>.</w:t>
      </w:r>
    </w:p>
    <w:p w14:paraId="05099428" w14:textId="5FF18C0A" w:rsidR="00700770" w:rsidRPr="00173374" w:rsidRDefault="00700770" w:rsidP="00C8696F">
      <w:pPr>
        <w:pStyle w:val="Heading2"/>
      </w:pPr>
      <w:r w:rsidRPr="00173374">
        <w:t>A note on terminology</w:t>
      </w:r>
    </w:p>
    <w:p w14:paraId="3D559CFB" w14:textId="77777777" w:rsidR="005C1306" w:rsidRDefault="00700770" w:rsidP="00A37D1C">
      <w:r w:rsidRPr="00A37D1C">
        <w:t xml:space="preserve">Please note that throughout </w:t>
      </w:r>
      <w:r w:rsidR="00236F95" w:rsidRPr="00A37D1C">
        <w:t>the</w:t>
      </w:r>
      <w:r w:rsidR="001E1333" w:rsidRPr="00A37D1C">
        <w:t xml:space="preserve"> Surveillance</w:t>
      </w:r>
      <w:r w:rsidR="00236F95" w:rsidRPr="00A37D1C">
        <w:t xml:space="preserve"> Plan</w:t>
      </w:r>
      <w:r w:rsidRPr="00A37D1C">
        <w:t xml:space="preserve">, we generally use the term ‘women’ to refer to people </w:t>
      </w:r>
      <w:r w:rsidR="004E4339" w:rsidRPr="00A37D1C">
        <w:t>who are pregnant</w:t>
      </w:r>
      <w:r w:rsidR="00AF1252" w:rsidRPr="00A37D1C">
        <w:t xml:space="preserve"> or </w:t>
      </w:r>
      <w:r w:rsidR="00565A09" w:rsidRPr="00A37D1C">
        <w:t>giving birth</w:t>
      </w:r>
      <w:r w:rsidRPr="00A37D1C">
        <w:t xml:space="preserve">. However, we respectfully acknowledge that some people with a </w:t>
      </w:r>
      <w:r w:rsidR="004323B6" w:rsidRPr="00A37D1C">
        <w:t>uterus</w:t>
      </w:r>
      <w:r w:rsidRPr="00A37D1C">
        <w:t xml:space="preserve"> do not identify as women and are equally impacted by</w:t>
      </w:r>
      <w:r w:rsidR="007B6664" w:rsidRPr="00A37D1C">
        <w:t xml:space="preserve"> syphilis</w:t>
      </w:r>
      <w:r w:rsidR="005C1306">
        <w:t>.</w:t>
      </w:r>
    </w:p>
    <w:p w14:paraId="6DB0A3D6" w14:textId="4AABD6A0" w:rsidR="00700770" w:rsidRPr="00A37D1C" w:rsidRDefault="00700770" w:rsidP="00A37D1C">
      <w:r w:rsidRPr="00A37D1C">
        <w:t>The terms female and male are used when they relate to data collected and coded as either female or male, e.g.</w:t>
      </w:r>
      <w:r w:rsidR="004E4339" w:rsidRPr="00A37D1C">
        <w:t xml:space="preserve"> </w:t>
      </w:r>
      <w:r w:rsidR="00296AE9" w:rsidRPr="00A37D1C">
        <w:t>national notification data</w:t>
      </w:r>
      <w:r w:rsidRPr="00A37D1C">
        <w:t>.</w:t>
      </w:r>
    </w:p>
    <w:p w14:paraId="44C3F98E" w14:textId="77777777" w:rsidR="00F635E5" w:rsidRDefault="00F635E5" w:rsidP="00F635E5">
      <w:pPr>
        <w:pStyle w:val="Heading2"/>
      </w:pPr>
      <w:bookmarkStart w:id="4" w:name="_Toc230091242"/>
      <w:r>
        <w:t>Reporting</w:t>
      </w:r>
      <w:bookmarkEnd w:id="4"/>
    </w:p>
    <w:p w14:paraId="2D498A37" w14:textId="785330FF" w:rsidR="00493169" w:rsidRPr="00A37D1C" w:rsidRDefault="0076581D" w:rsidP="00A37D1C">
      <w:bookmarkStart w:id="5" w:name="_Hlk207869209"/>
      <w:r w:rsidRPr="00A37D1C">
        <w:t xml:space="preserve">The </w:t>
      </w:r>
      <w:r w:rsidR="00493169" w:rsidRPr="00A37D1C">
        <w:t>Australian Centre for Disease Control</w:t>
      </w:r>
      <w:r w:rsidRPr="00A37D1C">
        <w:t xml:space="preserve"> will produce a short report at the end of each quarter, </w:t>
      </w:r>
      <w:r w:rsidR="00493169" w:rsidRPr="00A37D1C">
        <w:t xml:space="preserve">and a more detailed </w:t>
      </w:r>
      <w:r w:rsidR="00EA1BF6" w:rsidRPr="00A37D1C">
        <w:t>report</w:t>
      </w:r>
      <w:r w:rsidR="00493169" w:rsidRPr="00A37D1C">
        <w:t xml:space="preserve"> at the end of each calendar year </w:t>
      </w:r>
      <w:r w:rsidRPr="00A37D1C">
        <w:t>on progress towards achieving</w:t>
      </w:r>
      <w:r w:rsidR="00493169" w:rsidRPr="00A37D1C">
        <w:t xml:space="preserve"> goals in the </w:t>
      </w:r>
      <w:r w:rsidR="00965A89" w:rsidRPr="00A37D1C">
        <w:t xml:space="preserve">Surveillance </w:t>
      </w:r>
      <w:r w:rsidRPr="00A37D1C">
        <w:t>Plan.</w:t>
      </w:r>
      <w:r w:rsidR="00493169" w:rsidRPr="00A37D1C">
        <w:t xml:space="preserve"> Each report will be produced at </w:t>
      </w:r>
      <w:r w:rsidR="00687365" w:rsidRPr="00A37D1C">
        <w:t xml:space="preserve">the earliest </w:t>
      </w:r>
      <w:r w:rsidR="00493169" w:rsidRPr="00A37D1C">
        <w:t>3 months (one quarter) after the reporting period to ensure adequate data cleaning and review can occur at the jurisdictional and commonwealth levels.</w:t>
      </w:r>
    </w:p>
    <w:p w14:paraId="79481A59" w14:textId="2A8BACAF" w:rsidR="0076581D" w:rsidRPr="00A37D1C" w:rsidRDefault="0076581D" w:rsidP="00A37D1C">
      <w:r w:rsidRPr="00A37D1C">
        <w:t xml:space="preserve">The surveillance data presented in these reports will also incorporate current policy and programmatic commentary in relation to associated syphilis public health activities. Reporting on progress under the </w:t>
      </w:r>
      <w:r w:rsidR="00612464" w:rsidRPr="00A37D1C">
        <w:t xml:space="preserve">Surveillance </w:t>
      </w:r>
      <w:r w:rsidRPr="00A37D1C">
        <w:t>Plan will complement reporting against related national strategies and action plans.</w:t>
      </w:r>
    </w:p>
    <w:bookmarkEnd w:id="5"/>
    <w:p w14:paraId="75C698E1" w14:textId="1300F61D" w:rsidR="006461DA" w:rsidRPr="00A37D1C" w:rsidRDefault="006461DA" w:rsidP="00A37D1C">
      <w:r w:rsidRPr="00A37D1C">
        <w:t>Disaggregation of data when reporting against the indicators will be undertaken where the output provides meaningful evidence to support the national syphilis response. Every effort will be made to provide data that supports on-going implementation of the national syphilis response, within the bounds of respective data release and reporting responsibilities at the Commonwealth</w:t>
      </w:r>
      <w:r w:rsidR="0010601B" w:rsidRPr="00A37D1C">
        <w:t xml:space="preserve"> while maintaining the confidentiality of individuals</w:t>
      </w:r>
      <w:r w:rsidRPr="00A37D1C">
        <w:t>.</w:t>
      </w:r>
    </w:p>
    <w:p w14:paraId="1419032D" w14:textId="7BDA0C82" w:rsidR="006461DA" w:rsidRPr="00A37D1C" w:rsidRDefault="006461DA" w:rsidP="00A37D1C">
      <w:r w:rsidRPr="00A37D1C">
        <w:t>Indicators included in the Surveillance Plan are quantitative unless otherwise specified.</w:t>
      </w:r>
    </w:p>
    <w:p w14:paraId="1E9B872D" w14:textId="4EA1A2F8" w:rsidR="006461DA" w:rsidRPr="00A37D1C" w:rsidRDefault="006461DA" w:rsidP="00A37D1C">
      <w:r w:rsidRPr="00A37D1C">
        <w:t xml:space="preserve">Data sources and reporting schedule is at </w:t>
      </w:r>
      <w:hyperlink w:anchor="_Appendix_B_–" w:history="1">
        <w:r w:rsidRPr="00CE7004">
          <w:rPr>
            <w:rStyle w:val="Hyperlink"/>
          </w:rPr>
          <w:t>Appendix B</w:t>
        </w:r>
      </w:hyperlink>
      <w:r w:rsidRPr="00A37D1C">
        <w:t>.</w:t>
      </w:r>
    </w:p>
    <w:p w14:paraId="38AA9748" w14:textId="084EED9B" w:rsidR="00434573" w:rsidRDefault="00434573" w:rsidP="00434573">
      <w:pPr>
        <w:pStyle w:val="Heading2"/>
      </w:pPr>
      <w:bookmarkStart w:id="6" w:name="_Toc230091243"/>
      <w:r>
        <w:lastRenderedPageBreak/>
        <w:t>Review</w:t>
      </w:r>
      <w:bookmarkEnd w:id="6"/>
    </w:p>
    <w:p w14:paraId="037A7DF3" w14:textId="77777777" w:rsidR="00434573" w:rsidRPr="007D68B4" w:rsidRDefault="00434573" w:rsidP="007D68B4">
      <w:r w:rsidRPr="007D68B4">
        <w:t>The Surveillance Plan will be reviewed periodically to ensure currency and alignment with national priorities and will be updated as appropriate to reflect new data sources and changes to existing systems and programs. The review will be led by the Australian Centre for Disease Control in consultation with CDNA, BBVSS and NATSIHP.</w:t>
      </w:r>
    </w:p>
    <w:p w14:paraId="0D3E901F" w14:textId="77777777" w:rsidR="00434573" w:rsidRPr="00676FF0" w:rsidRDefault="00434573" w:rsidP="00C8696F">
      <w:pPr>
        <w:pStyle w:val="Heading2"/>
      </w:pPr>
      <w:r w:rsidRPr="00676FF0">
        <w:t>Governance and implementation</w:t>
      </w:r>
    </w:p>
    <w:p w14:paraId="342BBB9F" w14:textId="0DA8F32D" w:rsidR="00434573" w:rsidRPr="00676FF0" w:rsidRDefault="00434573" w:rsidP="00676FF0">
      <w:r w:rsidRPr="00676FF0">
        <w:t xml:space="preserve">The Surveillance Plan was developed through the National BBV STI Surveillance Subcommittee (NBBVSTISSC) of the CDNA. The NBBVSTISSC is comprised of experts in </w:t>
      </w:r>
      <w:r w:rsidR="00EA1BF6" w:rsidRPr="00676FF0">
        <w:t>se</w:t>
      </w:r>
      <w:r w:rsidR="00687365" w:rsidRPr="00676FF0">
        <w:t>xual health and dis</w:t>
      </w:r>
      <w:r w:rsidRPr="00676FF0">
        <w:t>ease surveillance working across government and non-government organisations.</w:t>
      </w:r>
    </w:p>
    <w:p w14:paraId="0CC98BBF" w14:textId="21946801" w:rsidR="00434573" w:rsidRPr="00676FF0" w:rsidRDefault="00434573" w:rsidP="00676FF0">
      <w:r w:rsidRPr="00676FF0">
        <w:t>The</w:t>
      </w:r>
      <w:r w:rsidR="00EA1BF6" w:rsidRPr="00676FF0">
        <w:t xml:space="preserve"> Surveillance</w:t>
      </w:r>
      <w:r w:rsidRPr="00676FF0">
        <w:t xml:space="preserve"> Plan was endorsed by CDNA, BBVSS and NATSIHP and by parent committee the AHPC </w:t>
      </w:r>
      <w:r w:rsidR="00F240FE" w:rsidRPr="00676FF0">
        <w:t>in October 2025.</w:t>
      </w:r>
    </w:p>
    <w:p w14:paraId="7518F164" w14:textId="77777777" w:rsidR="007D0F13" w:rsidRPr="00676FF0" w:rsidRDefault="007D0F13" w:rsidP="00676FF0">
      <w:r w:rsidRPr="00676FF0">
        <w:br w:type="page"/>
      </w:r>
    </w:p>
    <w:p w14:paraId="25C12264" w14:textId="3167C5B8" w:rsidR="00F635E5" w:rsidRPr="00A441CE" w:rsidRDefault="00F635E5" w:rsidP="00A441CE">
      <w:pPr>
        <w:pStyle w:val="Heading2"/>
      </w:pPr>
      <w:bookmarkStart w:id="7" w:name="_Toc230091244"/>
      <w:r w:rsidRPr="00A441CE">
        <w:lastRenderedPageBreak/>
        <w:t>Abbreviations</w:t>
      </w:r>
      <w:bookmarkEnd w:id="7"/>
    </w:p>
    <w:tbl>
      <w:tblPr>
        <w:tblStyle w:val="TableGrid"/>
        <w:tblW w:w="9498" w:type="dxa"/>
        <w:tblLook w:val="04A0" w:firstRow="1" w:lastRow="0" w:firstColumn="1" w:lastColumn="0" w:noHBand="0" w:noVBand="1"/>
      </w:tblPr>
      <w:tblGrid>
        <w:gridCol w:w="1843"/>
        <w:gridCol w:w="7655"/>
      </w:tblGrid>
      <w:tr w:rsidR="00B44D6F" w:rsidRPr="00B44D6F" w14:paraId="1F37FA33" w14:textId="77777777" w:rsidTr="00B44D6F">
        <w:trPr>
          <w:cnfStyle w:val="100000000000" w:firstRow="1" w:lastRow="0" w:firstColumn="0" w:lastColumn="0" w:oddVBand="0" w:evenVBand="0" w:oddHBand="0" w:evenHBand="0" w:firstRowFirstColumn="0" w:firstRowLastColumn="0" w:lastRowFirstColumn="0" w:lastRowLastColumn="0"/>
          <w:trHeight w:val="284"/>
          <w:tblHeader/>
        </w:trPr>
        <w:tc>
          <w:tcPr>
            <w:tcW w:w="1843" w:type="dxa"/>
          </w:tcPr>
          <w:p w14:paraId="282745A9" w14:textId="43F1B447" w:rsidR="00B44D6F" w:rsidRPr="00B44D6F" w:rsidRDefault="00B44D6F" w:rsidP="00B44D6F">
            <w:pPr>
              <w:pStyle w:val="Tabletextleft"/>
              <w:rPr>
                <w:b/>
              </w:rPr>
            </w:pPr>
            <w:r w:rsidRPr="00B44D6F">
              <w:rPr>
                <w:b/>
              </w:rPr>
              <w:t>Abbreviation</w:t>
            </w:r>
          </w:p>
        </w:tc>
        <w:tc>
          <w:tcPr>
            <w:tcW w:w="7655" w:type="dxa"/>
          </w:tcPr>
          <w:p w14:paraId="05A828F5" w14:textId="08D0EDA6" w:rsidR="00B44D6F" w:rsidRPr="00B44D6F" w:rsidRDefault="00B44D6F" w:rsidP="00B44D6F">
            <w:pPr>
              <w:pStyle w:val="Tabletextleft"/>
              <w:rPr>
                <w:b/>
              </w:rPr>
            </w:pPr>
            <w:r w:rsidRPr="00B44D6F">
              <w:rPr>
                <w:b/>
              </w:rPr>
              <w:t>Meaning</w:t>
            </w:r>
          </w:p>
        </w:tc>
      </w:tr>
      <w:tr w:rsidR="00204CB3" w:rsidRPr="00764963" w14:paraId="590B105F" w14:textId="77777777" w:rsidTr="00FC5FBA">
        <w:trPr>
          <w:cnfStyle w:val="000000100000" w:firstRow="0" w:lastRow="0" w:firstColumn="0" w:lastColumn="0" w:oddVBand="0" w:evenVBand="0" w:oddHBand="1" w:evenHBand="0" w:firstRowFirstColumn="0" w:firstRowLastColumn="0" w:lastRowFirstColumn="0" w:lastRowLastColumn="0"/>
          <w:trHeight w:val="284"/>
        </w:trPr>
        <w:tc>
          <w:tcPr>
            <w:tcW w:w="1843" w:type="dxa"/>
          </w:tcPr>
          <w:p w14:paraId="2A465AFF" w14:textId="77777777" w:rsidR="00204CB3" w:rsidRPr="00C96F6C" w:rsidRDefault="00204CB3" w:rsidP="00C96F6C">
            <w:pPr>
              <w:pStyle w:val="Tabletextleft"/>
              <w:rPr>
                <w:b/>
              </w:rPr>
            </w:pPr>
            <w:r w:rsidRPr="00C96F6C">
              <w:rPr>
                <w:b/>
              </w:rPr>
              <w:t>ABS</w:t>
            </w:r>
          </w:p>
        </w:tc>
        <w:tc>
          <w:tcPr>
            <w:tcW w:w="7655" w:type="dxa"/>
          </w:tcPr>
          <w:p w14:paraId="681DC492" w14:textId="77777777" w:rsidR="00204CB3" w:rsidRPr="00764963" w:rsidRDefault="00204CB3" w:rsidP="00C96F6C">
            <w:pPr>
              <w:pStyle w:val="Tabletextleft"/>
            </w:pPr>
            <w:r w:rsidRPr="00764963">
              <w:t>Australian Bureau of Statistics</w:t>
            </w:r>
          </w:p>
        </w:tc>
      </w:tr>
      <w:tr w:rsidR="00204CB3" w:rsidRPr="00764963" w14:paraId="4FB6B8A1" w14:textId="77777777" w:rsidTr="00A951AA">
        <w:trPr>
          <w:trHeight w:val="284"/>
        </w:trPr>
        <w:tc>
          <w:tcPr>
            <w:tcW w:w="1843" w:type="dxa"/>
          </w:tcPr>
          <w:p w14:paraId="187FE59B" w14:textId="77777777" w:rsidR="00204CB3" w:rsidRPr="00C96F6C" w:rsidRDefault="00204CB3" w:rsidP="00C96F6C">
            <w:pPr>
              <w:pStyle w:val="Tabletextleft"/>
              <w:rPr>
                <w:b/>
              </w:rPr>
            </w:pPr>
            <w:r w:rsidRPr="00C96F6C">
              <w:rPr>
                <w:b/>
              </w:rPr>
              <w:t>ACCESS</w:t>
            </w:r>
          </w:p>
        </w:tc>
        <w:tc>
          <w:tcPr>
            <w:tcW w:w="7655" w:type="dxa"/>
          </w:tcPr>
          <w:p w14:paraId="7D981DA8" w14:textId="77777777" w:rsidR="00204CB3" w:rsidRPr="00764963" w:rsidRDefault="00204CB3" w:rsidP="00C96F6C">
            <w:pPr>
              <w:pStyle w:val="Tabletextleft"/>
            </w:pPr>
            <w:r w:rsidRPr="00764963">
              <w:t>Australian Collaboration for Coordinated Enhanced Sentinel Surveillance of Sexually Transmissible Infections and Blood Borne Viruses</w:t>
            </w:r>
          </w:p>
        </w:tc>
      </w:tr>
      <w:tr w:rsidR="00204CB3" w:rsidRPr="00764963" w14:paraId="7E621B26"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tcW w:w="1843" w:type="dxa"/>
          </w:tcPr>
          <w:p w14:paraId="2FD5E968" w14:textId="77777777" w:rsidR="00204CB3" w:rsidRPr="00C96F6C" w:rsidRDefault="00204CB3" w:rsidP="00C96F6C">
            <w:pPr>
              <w:pStyle w:val="Tabletextleft"/>
              <w:rPr>
                <w:b/>
              </w:rPr>
            </w:pPr>
            <w:r w:rsidRPr="00C96F6C">
              <w:rPr>
                <w:b/>
              </w:rPr>
              <w:t>ACCHS</w:t>
            </w:r>
          </w:p>
        </w:tc>
        <w:tc>
          <w:tcPr>
            <w:tcW w:w="7655" w:type="dxa"/>
          </w:tcPr>
          <w:p w14:paraId="3C680A5B" w14:textId="77777777" w:rsidR="00204CB3" w:rsidRPr="00764963" w:rsidRDefault="00204CB3" w:rsidP="00C96F6C">
            <w:pPr>
              <w:pStyle w:val="Tabletextleft"/>
            </w:pPr>
            <w:r w:rsidRPr="00764963">
              <w:t>Aboriginal Community Controlled Health Services</w:t>
            </w:r>
          </w:p>
        </w:tc>
      </w:tr>
      <w:tr w:rsidR="00204CB3" w:rsidRPr="00764963" w14:paraId="10E5DBF5" w14:textId="77777777" w:rsidTr="00A951AA">
        <w:trPr>
          <w:trHeight w:val="284"/>
        </w:trPr>
        <w:tc>
          <w:tcPr>
            <w:tcW w:w="1843" w:type="dxa"/>
          </w:tcPr>
          <w:p w14:paraId="14B875B2" w14:textId="77777777" w:rsidR="00204CB3" w:rsidRPr="00C96F6C" w:rsidRDefault="00204CB3" w:rsidP="00C96F6C">
            <w:pPr>
              <w:pStyle w:val="Tabletextleft"/>
              <w:rPr>
                <w:b/>
              </w:rPr>
            </w:pPr>
            <w:r w:rsidRPr="00C96F6C">
              <w:rPr>
                <w:b/>
              </w:rPr>
              <w:t>AHPC</w:t>
            </w:r>
          </w:p>
        </w:tc>
        <w:tc>
          <w:tcPr>
            <w:tcW w:w="7655" w:type="dxa"/>
          </w:tcPr>
          <w:p w14:paraId="0387EEEE" w14:textId="77777777" w:rsidR="00204CB3" w:rsidRPr="00764963" w:rsidRDefault="00204CB3" w:rsidP="00C96F6C">
            <w:pPr>
              <w:pStyle w:val="Tabletextleft"/>
            </w:pPr>
            <w:r w:rsidRPr="00764963">
              <w:t>Australian Health Protection Committee</w:t>
            </w:r>
          </w:p>
        </w:tc>
      </w:tr>
      <w:tr w:rsidR="00204CB3" w:rsidRPr="00764963" w14:paraId="07F364FD"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tcW w:w="1843" w:type="dxa"/>
          </w:tcPr>
          <w:p w14:paraId="5D340205" w14:textId="77777777" w:rsidR="00204CB3" w:rsidRPr="00C96F6C" w:rsidRDefault="00204CB3" w:rsidP="00C96F6C">
            <w:pPr>
              <w:pStyle w:val="Tabletextleft"/>
              <w:rPr>
                <w:b/>
              </w:rPr>
            </w:pPr>
            <w:r w:rsidRPr="00C96F6C">
              <w:rPr>
                <w:b/>
              </w:rPr>
              <w:t>AIHW</w:t>
            </w:r>
          </w:p>
        </w:tc>
        <w:tc>
          <w:tcPr>
            <w:tcW w:w="7655" w:type="dxa"/>
          </w:tcPr>
          <w:p w14:paraId="2F3E669D" w14:textId="77777777" w:rsidR="00204CB3" w:rsidRPr="00764963" w:rsidRDefault="00204CB3" w:rsidP="00C96F6C">
            <w:pPr>
              <w:pStyle w:val="Tabletextleft"/>
            </w:pPr>
            <w:r w:rsidRPr="00764963">
              <w:t>Australian Institute of Health and Welfare</w:t>
            </w:r>
          </w:p>
        </w:tc>
      </w:tr>
      <w:tr w:rsidR="00204CB3" w:rsidRPr="00764963" w14:paraId="5BD40B35" w14:textId="77777777" w:rsidTr="00A951AA">
        <w:trPr>
          <w:trHeight w:val="284"/>
        </w:trPr>
        <w:tc>
          <w:tcPr>
            <w:tcW w:w="1843" w:type="dxa"/>
          </w:tcPr>
          <w:p w14:paraId="1F75EA1F" w14:textId="77777777" w:rsidR="00204CB3" w:rsidRPr="00C96F6C" w:rsidRDefault="00204CB3" w:rsidP="00C96F6C">
            <w:pPr>
              <w:pStyle w:val="Tabletextleft"/>
              <w:rPr>
                <w:b/>
              </w:rPr>
            </w:pPr>
            <w:r w:rsidRPr="00C96F6C">
              <w:rPr>
                <w:b/>
              </w:rPr>
              <w:t>BBV</w:t>
            </w:r>
          </w:p>
        </w:tc>
        <w:tc>
          <w:tcPr>
            <w:tcW w:w="7655" w:type="dxa"/>
          </w:tcPr>
          <w:p w14:paraId="09A3612F" w14:textId="77777777" w:rsidR="00204CB3" w:rsidRPr="00764963" w:rsidRDefault="00204CB3" w:rsidP="00C96F6C">
            <w:pPr>
              <w:pStyle w:val="Tabletextleft"/>
            </w:pPr>
            <w:r w:rsidRPr="00764963">
              <w:t>Blood Borne Virus</w:t>
            </w:r>
          </w:p>
        </w:tc>
      </w:tr>
      <w:tr w:rsidR="00204CB3" w:rsidRPr="00764963" w14:paraId="605BC7E1"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tcW w:w="1843" w:type="dxa"/>
          </w:tcPr>
          <w:p w14:paraId="70BEE6DD" w14:textId="77777777" w:rsidR="00204CB3" w:rsidRPr="00C96F6C" w:rsidRDefault="00204CB3" w:rsidP="00C96F6C">
            <w:pPr>
              <w:pStyle w:val="Tabletextleft"/>
              <w:rPr>
                <w:b/>
              </w:rPr>
            </w:pPr>
            <w:r w:rsidRPr="00C96F6C">
              <w:rPr>
                <w:b/>
              </w:rPr>
              <w:t>BBVSS</w:t>
            </w:r>
          </w:p>
        </w:tc>
        <w:tc>
          <w:tcPr>
            <w:tcW w:w="7655" w:type="dxa"/>
          </w:tcPr>
          <w:p w14:paraId="66AB9ABA" w14:textId="77777777" w:rsidR="00204CB3" w:rsidRPr="00764963" w:rsidRDefault="00204CB3" w:rsidP="00C96F6C">
            <w:pPr>
              <w:pStyle w:val="Tabletextleft"/>
            </w:pPr>
            <w:r w:rsidRPr="00764963">
              <w:t>Blood Borne Viruses and Sexually Transmissible Infections Standing Committee</w:t>
            </w:r>
          </w:p>
        </w:tc>
      </w:tr>
      <w:tr w:rsidR="00204CB3" w:rsidRPr="00764963" w14:paraId="6EB3A9B3" w14:textId="77777777" w:rsidTr="00A951AA">
        <w:trPr>
          <w:trHeight w:val="284"/>
        </w:trPr>
        <w:tc>
          <w:tcPr>
            <w:tcW w:w="1843" w:type="dxa"/>
          </w:tcPr>
          <w:p w14:paraId="3C0FFBAC" w14:textId="77777777" w:rsidR="00204CB3" w:rsidRPr="00C96F6C" w:rsidRDefault="00204CB3" w:rsidP="00C96F6C">
            <w:pPr>
              <w:pStyle w:val="Tabletextleft"/>
              <w:rPr>
                <w:b/>
              </w:rPr>
            </w:pPr>
            <w:r w:rsidRPr="00C96F6C">
              <w:rPr>
                <w:b/>
              </w:rPr>
              <w:t>CALD</w:t>
            </w:r>
          </w:p>
        </w:tc>
        <w:tc>
          <w:tcPr>
            <w:tcW w:w="7655" w:type="dxa"/>
          </w:tcPr>
          <w:p w14:paraId="4C36D5C4" w14:textId="77777777" w:rsidR="00204CB3" w:rsidRPr="00764963" w:rsidRDefault="00204CB3" w:rsidP="00C96F6C">
            <w:pPr>
              <w:pStyle w:val="Tabletextleft"/>
            </w:pPr>
            <w:r w:rsidRPr="00764963">
              <w:t>Culturally and Linguistically Diverse</w:t>
            </w:r>
          </w:p>
        </w:tc>
      </w:tr>
      <w:tr w:rsidR="00204CB3" w:rsidRPr="00764963" w14:paraId="7C693023"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tcW w:w="1843" w:type="dxa"/>
          </w:tcPr>
          <w:p w14:paraId="7D822EA3" w14:textId="77777777" w:rsidR="00204CB3" w:rsidRPr="00C96F6C" w:rsidRDefault="00204CB3" w:rsidP="00C96F6C">
            <w:pPr>
              <w:pStyle w:val="Tabletextleft"/>
              <w:rPr>
                <w:b/>
              </w:rPr>
            </w:pPr>
            <w:r w:rsidRPr="00C96F6C">
              <w:rPr>
                <w:b/>
              </w:rPr>
              <w:t>CDNA</w:t>
            </w:r>
          </w:p>
        </w:tc>
        <w:tc>
          <w:tcPr>
            <w:tcW w:w="7655" w:type="dxa"/>
          </w:tcPr>
          <w:p w14:paraId="064411BD" w14:textId="77777777" w:rsidR="00204CB3" w:rsidRPr="00764963" w:rsidRDefault="00204CB3" w:rsidP="00C96F6C">
            <w:pPr>
              <w:pStyle w:val="Tabletextleft"/>
            </w:pPr>
            <w:r w:rsidRPr="00764963">
              <w:t>Communicable Diseases Network Australia</w:t>
            </w:r>
          </w:p>
        </w:tc>
      </w:tr>
      <w:tr w:rsidR="00204CB3" w:rsidRPr="00764963" w14:paraId="3A20CAEA" w14:textId="77777777" w:rsidTr="00A951AA">
        <w:trPr>
          <w:trHeight w:val="284"/>
        </w:trPr>
        <w:tc>
          <w:tcPr>
            <w:tcW w:w="1843" w:type="dxa"/>
          </w:tcPr>
          <w:p w14:paraId="6A689C8F" w14:textId="77777777" w:rsidR="00204CB3" w:rsidRPr="00C96F6C" w:rsidRDefault="00204CB3" w:rsidP="00C96F6C">
            <w:pPr>
              <w:pStyle w:val="Tabletextleft"/>
              <w:rPr>
                <w:b/>
              </w:rPr>
            </w:pPr>
            <w:r w:rsidRPr="00C96F6C">
              <w:rPr>
                <w:b/>
              </w:rPr>
              <w:t>DALY</w:t>
            </w:r>
          </w:p>
        </w:tc>
        <w:tc>
          <w:tcPr>
            <w:tcW w:w="7655" w:type="dxa"/>
          </w:tcPr>
          <w:p w14:paraId="4A4AFEE1" w14:textId="77777777" w:rsidR="00204CB3" w:rsidRPr="00764963" w:rsidRDefault="00204CB3" w:rsidP="00C96F6C">
            <w:pPr>
              <w:pStyle w:val="Tabletextleft"/>
            </w:pPr>
            <w:r w:rsidRPr="00764963">
              <w:t>Disability-Adjusted Life Year</w:t>
            </w:r>
          </w:p>
        </w:tc>
      </w:tr>
      <w:tr w:rsidR="00204CB3" w:rsidRPr="00764963" w14:paraId="3233C0C1"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tcW w:w="1843" w:type="dxa"/>
          </w:tcPr>
          <w:p w14:paraId="5D9E02BB" w14:textId="3E92DB52" w:rsidR="00204CB3" w:rsidRPr="00C96F6C" w:rsidRDefault="00204CB3" w:rsidP="00C96F6C">
            <w:pPr>
              <w:pStyle w:val="Tabletextleft"/>
              <w:rPr>
                <w:b/>
              </w:rPr>
            </w:pPr>
            <w:r w:rsidRPr="00C96F6C">
              <w:rPr>
                <w:b/>
              </w:rPr>
              <w:t>Doxy-PEP</w:t>
            </w:r>
          </w:p>
        </w:tc>
        <w:tc>
          <w:tcPr>
            <w:tcW w:w="7655" w:type="dxa"/>
          </w:tcPr>
          <w:p w14:paraId="11DBA41E" w14:textId="5230E792" w:rsidR="00204CB3" w:rsidRPr="00764963" w:rsidRDefault="00204CB3" w:rsidP="00C96F6C">
            <w:pPr>
              <w:pStyle w:val="Tabletextleft"/>
            </w:pPr>
            <w:r w:rsidRPr="00764963">
              <w:t>Doxycycline Post-Exposure Prophylaxis</w:t>
            </w:r>
          </w:p>
        </w:tc>
      </w:tr>
      <w:tr w:rsidR="00204CB3" w:rsidRPr="00764963" w14:paraId="12D81F3A" w14:textId="77777777" w:rsidTr="00A951AA">
        <w:trPr>
          <w:trHeight w:val="284"/>
        </w:trPr>
        <w:tc>
          <w:tcPr>
            <w:tcW w:w="1843" w:type="dxa"/>
          </w:tcPr>
          <w:p w14:paraId="1715504C" w14:textId="77777777" w:rsidR="00204CB3" w:rsidRPr="00C96F6C" w:rsidRDefault="00204CB3" w:rsidP="00C96F6C">
            <w:pPr>
              <w:pStyle w:val="Tabletextleft"/>
              <w:rPr>
                <w:b/>
              </w:rPr>
            </w:pPr>
            <w:r w:rsidRPr="00C96F6C">
              <w:rPr>
                <w:b/>
              </w:rPr>
              <w:t>IARE</w:t>
            </w:r>
          </w:p>
        </w:tc>
        <w:tc>
          <w:tcPr>
            <w:tcW w:w="7655" w:type="dxa"/>
          </w:tcPr>
          <w:p w14:paraId="27B62C8F" w14:textId="77777777" w:rsidR="00204CB3" w:rsidRPr="00764963" w:rsidRDefault="00204CB3" w:rsidP="00C96F6C">
            <w:pPr>
              <w:pStyle w:val="Tabletextleft"/>
            </w:pPr>
            <w:r w:rsidRPr="00764963">
              <w:t>Indigenous Areas</w:t>
            </w:r>
          </w:p>
        </w:tc>
      </w:tr>
      <w:tr w:rsidR="00204CB3" w:rsidRPr="00764963" w14:paraId="37617B99"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tcW w:w="1843" w:type="dxa"/>
          </w:tcPr>
          <w:p w14:paraId="0832AD2B" w14:textId="77777777" w:rsidR="00204CB3" w:rsidRPr="00C96F6C" w:rsidRDefault="00204CB3" w:rsidP="00C96F6C">
            <w:pPr>
              <w:pStyle w:val="Tabletextleft"/>
              <w:rPr>
                <w:b/>
              </w:rPr>
            </w:pPr>
            <w:r w:rsidRPr="00C96F6C">
              <w:rPr>
                <w:b/>
              </w:rPr>
              <w:t>ICD</w:t>
            </w:r>
          </w:p>
        </w:tc>
        <w:tc>
          <w:tcPr>
            <w:tcW w:w="7655" w:type="dxa"/>
          </w:tcPr>
          <w:p w14:paraId="1B2A0DD6" w14:textId="77777777" w:rsidR="00204CB3" w:rsidRPr="00764963" w:rsidRDefault="00204CB3" w:rsidP="00C96F6C">
            <w:pPr>
              <w:pStyle w:val="Tabletextleft"/>
            </w:pPr>
            <w:r w:rsidRPr="00764963">
              <w:t>International Classification of Diseases</w:t>
            </w:r>
          </w:p>
        </w:tc>
      </w:tr>
      <w:tr w:rsidR="00204CB3" w:rsidRPr="00764963" w14:paraId="4A697B99" w14:textId="77777777" w:rsidTr="00A951AA">
        <w:trPr>
          <w:trHeight w:val="284"/>
        </w:trPr>
        <w:tc>
          <w:tcPr>
            <w:tcW w:w="1843" w:type="dxa"/>
          </w:tcPr>
          <w:p w14:paraId="31CF608B" w14:textId="77777777" w:rsidR="00204CB3" w:rsidRPr="00C96F6C" w:rsidRDefault="00204CB3" w:rsidP="00C96F6C">
            <w:pPr>
              <w:pStyle w:val="Tabletextleft"/>
              <w:rPr>
                <w:b/>
              </w:rPr>
            </w:pPr>
            <w:r w:rsidRPr="00C96F6C">
              <w:rPr>
                <w:b/>
              </w:rPr>
              <w:t>LGBTIQA+</w:t>
            </w:r>
          </w:p>
        </w:tc>
        <w:tc>
          <w:tcPr>
            <w:tcW w:w="7655" w:type="dxa"/>
          </w:tcPr>
          <w:p w14:paraId="7BB784AB" w14:textId="77777777" w:rsidR="00204CB3" w:rsidRPr="00764963" w:rsidRDefault="00204CB3" w:rsidP="00C96F6C">
            <w:pPr>
              <w:pStyle w:val="Tabletextleft"/>
            </w:pPr>
            <w:r w:rsidRPr="00764963">
              <w:t>Lesbian, Gay, Bisexual, Transgender, Intersex, Queer, Asexual, and other sexually or gender diverse identities</w:t>
            </w:r>
          </w:p>
        </w:tc>
      </w:tr>
      <w:tr w:rsidR="00204CB3" w:rsidRPr="00764963" w14:paraId="186E0034"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tcW w:w="1843" w:type="dxa"/>
          </w:tcPr>
          <w:p w14:paraId="4BB77094" w14:textId="77777777" w:rsidR="00204CB3" w:rsidRPr="00C96F6C" w:rsidRDefault="00204CB3" w:rsidP="00C96F6C">
            <w:pPr>
              <w:pStyle w:val="Tabletextleft"/>
              <w:rPr>
                <w:b/>
              </w:rPr>
            </w:pPr>
            <w:r w:rsidRPr="00C96F6C">
              <w:rPr>
                <w:b/>
              </w:rPr>
              <w:t>NACCHO</w:t>
            </w:r>
          </w:p>
        </w:tc>
        <w:tc>
          <w:tcPr>
            <w:tcW w:w="7655" w:type="dxa"/>
          </w:tcPr>
          <w:p w14:paraId="5766A8FE" w14:textId="77777777" w:rsidR="00204CB3" w:rsidRPr="00764963" w:rsidRDefault="00204CB3" w:rsidP="00C96F6C">
            <w:pPr>
              <w:pStyle w:val="Tabletextleft"/>
            </w:pPr>
            <w:r w:rsidRPr="00764963">
              <w:t>National Aboriginal Community Controlled Health Organisation</w:t>
            </w:r>
          </w:p>
        </w:tc>
      </w:tr>
      <w:tr w:rsidR="00204CB3" w:rsidRPr="00764963" w14:paraId="0B6B844A" w14:textId="77777777" w:rsidTr="00A951AA">
        <w:trPr>
          <w:trHeight w:val="284"/>
        </w:trPr>
        <w:tc>
          <w:tcPr>
            <w:tcW w:w="1843" w:type="dxa"/>
          </w:tcPr>
          <w:p w14:paraId="4F0A7BE5" w14:textId="77777777" w:rsidR="00204CB3" w:rsidRPr="00C96F6C" w:rsidRDefault="00204CB3" w:rsidP="00C96F6C">
            <w:pPr>
              <w:pStyle w:val="Tabletextleft"/>
              <w:rPr>
                <w:b/>
              </w:rPr>
            </w:pPr>
            <w:r w:rsidRPr="00C96F6C">
              <w:rPr>
                <w:b/>
              </w:rPr>
              <w:t>NATSIHP</w:t>
            </w:r>
          </w:p>
        </w:tc>
        <w:tc>
          <w:tcPr>
            <w:tcW w:w="7655" w:type="dxa"/>
          </w:tcPr>
          <w:p w14:paraId="603FD216" w14:textId="77777777" w:rsidR="00204CB3" w:rsidRPr="00764963" w:rsidRDefault="00204CB3" w:rsidP="00C96F6C">
            <w:pPr>
              <w:pStyle w:val="Tabletextleft"/>
            </w:pPr>
            <w:r w:rsidRPr="00764963">
              <w:t>National Aboriginal and Torres Strait Islander Health Protection</w:t>
            </w:r>
          </w:p>
        </w:tc>
      </w:tr>
      <w:tr w:rsidR="00204CB3" w:rsidRPr="00764963" w14:paraId="2B955A1E"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tcW w:w="1843" w:type="dxa"/>
          </w:tcPr>
          <w:p w14:paraId="36BECCBF" w14:textId="77777777" w:rsidR="00204CB3" w:rsidRPr="00C96F6C" w:rsidRDefault="00204CB3" w:rsidP="00C96F6C">
            <w:pPr>
              <w:pStyle w:val="Tabletextleft"/>
              <w:rPr>
                <w:b/>
              </w:rPr>
            </w:pPr>
            <w:r w:rsidRPr="00C96F6C">
              <w:rPr>
                <w:b/>
              </w:rPr>
              <w:t>NBBVSTISSC</w:t>
            </w:r>
          </w:p>
        </w:tc>
        <w:tc>
          <w:tcPr>
            <w:tcW w:w="7655" w:type="dxa"/>
          </w:tcPr>
          <w:p w14:paraId="50C18843" w14:textId="2585BD19" w:rsidR="00204CB3" w:rsidRPr="00764963" w:rsidRDefault="00204CB3" w:rsidP="00C96F6C">
            <w:pPr>
              <w:pStyle w:val="Tabletextleft"/>
            </w:pPr>
            <w:r w:rsidRPr="00764963">
              <w:t>National B</w:t>
            </w:r>
            <w:r w:rsidR="00AE49FF" w:rsidRPr="00764963">
              <w:t xml:space="preserve">lood </w:t>
            </w:r>
            <w:r w:rsidRPr="00764963">
              <w:t>B</w:t>
            </w:r>
            <w:r w:rsidR="00AE49FF" w:rsidRPr="00764963">
              <w:t xml:space="preserve">orne </w:t>
            </w:r>
            <w:r w:rsidRPr="00764963">
              <w:t>V</w:t>
            </w:r>
            <w:r w:rsidR="00AE49FF" w:rsidRPr="00764963">
              <w:t>iruses and</w:t>
            </w:r>
            <w:r w:rsidRPr="00764963">
              <w:t xml:space="preserve"> S</w:t>
            </w:r>
            <w:r w:rsidR="00AE49FF" w:rsidRPr="00764963">
              <w:t xml:space="preserve">exually </w:t>
            </w:r>
            <w:r w:rsidRPr="00764963">
              <w:t>T</w:t>
            </w:r>
            <w:r w:rsidR="00AE49FF" w:rsidRPr="00764963">
              <w:t>ransmi</w:t>
            </w:r>
            <w:r w:rsidR="000C54D7" w:rsidRPr="00764963">
              <w:t>ssible</w:t>
            </w:r>
            <w:r w:rsidR="00AE49FF" w:rsidRPr="00764963">
              <w:t xml:space="preserve"> </w:t>
            </w:r>
            <w:r w:rsidRPr="00764963">
              <w:t>I</w:t>
            </w:r>
            <w:r w:rsidR="00AE49FF" w:rsidRPr="00764963">
              <w:t>nfection</w:t>
            </w:r>
            <w:r w:rsidR="000C54D7" w:rsidRPr="00764963">
              <w:t>s</w:t>
            </w:r>
            <w:r w:rsidRPr="00764963">
              <w:t xml:space="preserve"> Surveillance Subcommittee</w:t>
            </w:r>
          </w:p>
        </w:tc>
      </w:tr>
      <w:tr w:rsidR="00204CB3" w:rsidRPr="00764963" w14:paraId="2AF7EE37" w14:textId="77777777" w:rsidTr="00A951AA">
        <w:trPr>
          <w:trHeight w:val="284"/>
        </w:trPr>
        <w:tc>
          <w:tcPr>
            <w:tcW w:w="1843" w:type="dxa"/>
          </w:tcPr>
          <w:p w14:paraId="1BAEFA55" w14:textId="77777777" w:rsidR="00204CB3" w:rsidRPr="00C96F6C" w:rsidRDefault="00204CB3" w:rsidP="00C96F6C">
            <w:pPr>
              <w:pStyle w:val="Tabletextleft"/>
              <w:rPr>
                <w:b/>
              </w:rPr>
            </w:pPr>
            <w:r w:rsidRPr="00C96F6C">
              <w:rPr>
                <w:b/>
              </w:rPr>
              <w:t>NNDSS</w:t>
            </w:r>
          </w:p>
        </w:tc>
        <w:tc>
          <w:tcPr>
            <w:tcW w:w="7655" w:type="dxa"/>
          </w:tcPr>
          <w:p w14:paraId="22C642A8" w14:textId="77777777" w:rsidR="00204CB3" w:rsidRPr="00764963" w:rsidRDefault="00204CB3" w:rsidP="00C96F6C">
            <w:pPr>
              <w:pStyle w:val="Tabletextleft"/>
            </w:pPr>
            <w:r w:rsidRPr="00764963">
              <w:t>National Notifiable Diseases Surveillance System</w:t>
            </w:r>
          </w:p>
        </w:tc>
      </w:tr>
      <w:tr w:rsidR="00204CB3" w:rsidRPr="00764963" w14:paraId="64467577"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tcW w:w="1843" w:type="dxa"/>
          </w:tcPr>
          <w:p w14:paraId="047A7CE4" w14:textId="77777777" w:rsidR="00204CB3" w:rsidRPr="00C96F6C" w:rsidRDefault="00204CB3" w:rsidP="00C96F6C">
            <w:pPr>
              <w:pStyle w:val="Tabletextleft"/>
              <w:rPr>
                <w:b/>
              </w:rPr>
            </w:pPr>
            <w:r w:rsidRPr="00C96F6C">
              <w:rPr>
                <w:b/>
              </w:rPr>
              <w:t>NPDC</w:t>
            </w:r>
          </w:p>
        </w:tc>
        <w:tc>
          <w:tcPr>
            <w:tcW w:w="7655" w:type="dxa"/>
          </w:tcPr>
          <w:p w14:paraId="6A15E030" w14:textId="77777777" w:rsidR="00204CB3" w:rsidRPr="00764963" w:rsidRDefault="00204CB3" w:rsidP="00C96F6C">
            <w:pPr>
              <w:pStyle w:val="Tabletextleft"/>
            </w:pPr>
            <w:r w:rsidRPr="00764963">
              <w:t>National Perinatal Data Collection</w:t>
            </w:r>
          </w:p>
        </w:tc>
      </w:tr>
      <w:tr w:rsidR="00204CB3" w:rsidRPr="00764963" w14:paraId="4F6C67A3" w14:textId="77777777" w:rsidTr="00A951AA">
        <w:trPr>
          <w:trHeight w:val="284"/>
        </w:trPr>
        <w:tc>
          <w:tcPr>
            <w:tcW w:w="1843" w:type="dxa"/>
          </w:tcPr>
          <w:p w14:paraId="7E1542DF" w14:textId="77777777" w:rsidR="00204CB3" w:rsidRPr="00C96F6C" w:rsidRDefault="00204CB3" w:rsidP="00C96F6C">
            <w:pPr>
              <w:pStyle w:val="Tabletextleft"/>
              <w:rPr>
                <w:b/>
              </w:rPr>
            </w:pPr>
            <w:proofErr w:type="spellStart"/>
            <w:r w:rsidRPr="00C96F6C">
              <w:rPr>
                <w:b/>
              </w:rPr>
              <w:t>PoCT</w:t>
            </w:r>
            <w:proofErr w:type="spellEnd"/>
          </w:p>
        </w:tc>
        <w:tc>
          <w:tcPr>
            <w:tcW w:w="7655" w:type="dxa"/>
          </w:tcPr>
          <w:p w14:paraId="10B373C1" w14:textId="77777777" w:rsidR="00204CB3" w:rsidRPr="00764963" w:rsidRDefault="00204CB3" w:rsidP="00C96F6C">
            <w:pPr>
              <w:pStyle w:val="Tabletextleft"/>
            </w:pPr>
            <w:r w:rsidRPr="00764963">
              <w:t>Point of Care Testing</w:t>
            </w:r>
          </w:p>
        </w:tc>
      </w:tr>
      <w:tr w:rsidR="00204CB3" w:rsidRPr="00764963" w14:paraId="64129763"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tcW w:w="1843" w:type="dxa"/>
          </w:tcPr>
          <w:p w14:paraId="0CD0BEB8" w14:textId="77777777" w:rsidR="00204CB3" w:rsidRPr="00C96F6C" w:rsidRDefault="00204CB3" w:rsidP="00C96F6C">
            <w:pPr>
              <w:pStyle w:val="Tabletextleft"/>
              <w:rPr>
                <w:b/>
              </w:rPr>
            </w:pPr>
            <w:proofErr w:type="spellStart"/>
            <w:r w:rsidRPr="00C96F6C">
              <w:rPr>
                <w:b/>
              </w:rPr>
              <w:t>PrEP</w:t>
            </w:r>
            <w:proofErr w:type="spellEnd"/>
          </w:p>
        </w:tc>
        <w:tc>
          <w:tcPr>
            <w:tcW w:w="7655" w:type="dxa"/>
          </w:tcPr>
          <w:p w14:paraId="3F315EE7" w14:textId="77777777" w:rsidR="00204CB3" w:rsidRPr="00764963" w:rsidRDefault="00204CB3" w:rsidP="00C96F6C">
            <w:pPr>
              <w:pStyle w:val="Tabletextleft"/>
            </w:pPr>
            <w:r w:rsidRPr="00764963">
              <w:t>Pre-Exposure Prophylaxis</w:t>
            </w:r>
          </w:p>
        </w:tc>
      </w:tr>
      <w:tr w:rsidR="00204CB3" w:rsidRPr="00764963" w14:paraId="5C593F27" w14:textId="77777777" w:rsidTr="00A951AA">
        <w:trPr>
          <w:trHeight w:val="284"/>
        </w:trPr>
        <w:tc>
          <w:tcPr>
            <w:tcW w:w="1843" w:type="dxa"/>
          </w:tcPr>
          <w:p w14:paraId="38469824" w14:textId="77777777" w:rsidR="00204CB3" w:rsidRPr="00C96F6C" w:rsidRDefault="00204CB3" w:rsidP="00C96F6C">
            <w:pPr>
              <w:pStyle w:val="Tabletextleft"/>
              <w:rPr>
                <w:b/>
              </w:rPr>
            </w:pPr>
            <w:r w:rsidRPr="00C96F6C">
              <w:rPr>
                <w:b/>
              </w:rPr>
              <w:lastRenderedPageBreak/>
              <w:t>RA</w:t>
            </w:r>
          </w:p>
        </w:tc>
        <w:tc>
          <w:tcPr>
            <w:tcW w:w="7655" w:type="dxa"/>
          </w:tcPr>
          <w:p w14:paraId="07477B7E" w14:textId="77777777" w:rsidR="00204CB3" w:rsidRPr="00764963" w:rsidRDefault="00204CB3" w:rsidP="00C96F6C">
            <w:pPr>
              <w:pStyle w:val="Tabletextleft"/>
            </w:pPr>
            <w:r w:rsidRPr="00764963">
              <w:t>Remoteness Area</w:t>
            </w:r>
          </w:p>
        </w:tc>
      </w:tr>
      <w:tr w:rsidR="00204CB3" w:rsidRPr="00764963" w14:paraId="41B84310"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tcW w:w="1843" w:type="dxa"/>
          </w:tcPr>
          <w:p w14:paraId="66D8A5B7" w14:textId="77777777" w:rsidR="00204CB3" w:rsidRPr="00C96F6C" w:rsidRDefault="00204CB3" w:rsidP="00C96F6C">
            <w:pPr>
              <w:pStyle w:val="Tabletextleft"/>
              <w:rPr>
                <w:b/>
              </w:rPr>
            </w:pPr>
            <w:r w:rsidRPr="00C96F6C">
              <w:rPr>
                <w:b/>
              </w:rPr>
              <w:t>SA3</w:t>
            </w:r>
          </w:p>
        </w:tc>
        <w:tc>
          <w:tcPr>
            <w:tcW w:w="7655" w:type="dxa"/>
          </w:tcPr>
          <w:p w14:paraId="205A4290" w14:textId="77777777" w:rsidR="00204CB3" w:rsidRPr="00764963" w:rsidRDefault="00204CB3" w:rsidP="00C96F6C">
            <w:pPr>
              <w:pStyle w:val="Tabletextleft"/>
            </w:pPr>
            <w:r w:rsidRPr="00764963">
              <w:t>Statistical Area 3</w:t>
            </w:r>
          </w:p>
        </w:tc>
      </w:tr>
      <w:tr w:rsidR="00204CB3" w:rsidRPr="00764963" w14:paraId="7BBBA7FD" w14:textId="77777777" w:rsidTr="00A951AA">
        <w:trPr>
          <w:trHeight w:val="284"/>
        </w:trPr>
        <w:tc>
          <w:tcPr>
            <w:tcW w:w="1843" w:type="dxa"/>
          </w:tcPr>
          <w:p w14:paraId="54F191DB" w14:textId="77777777" w:rsidR="00204CB3" w:rsidRPr="00C96F6C" w:rsidRDefault="00204CB3" w:rsidP="00C96F6C">
            <w:pPr>
              <w:pStyle w:val="Tabletextleft"/>
              <w:rPr>
                <w:b/>
              </w:rPr>
            </w:pPr>
            <w:r w:rsidRPr="00C96F6C">
              <w:rPr>
                <w:b/>
              </w:rPr>
              <w:t>STI</w:t>
            </w:r>
          </w:p>
        </w:tc>
        <w:tc>
          <w:tcPr>
            <w:tcW w:w="7655" w:type="dxa"/>
          </w:tcPr>
          <w:p w14:paraId="52755E9E" w14:textId="77777777" w:rsidR="00204CB3" w:rsidRPr="00764963" w:rsidRDefault="00204CB3" w:rsidP="00C96F6C">
            <w:pPr>
              <w:pStyle w:val="Tabletextleft"/>
            </w:pPr>
            <w:r w:rsidRPr="00764963">
              <w:t>Sexually Transmissible Infection</w:t>
            </w:r>
          </w:p>
        </w:tc>
      </w:tr>
      <w:tr w:rsidR="00204CB3" w:rsidRPr="00764963" w14:paraId="1E98579A" w14:textId="77777777" w:rsidTr="00A951AA">
        <w:trPr>
          <w:cnfStyle w:val="000000100000" w:firstRow="0" w:lastRow="0" w:firstColumn="0" w:lastColumn="0" w:oddVBand="0" w:evenVBand="0" w:oddHBand="1" w:evenHBand="0" w:firstRowFirstColumn="0" w:firstRowLastColumn="0" w:lastRowFirstColumn="0" w:lastRowLastColumn="0"/>
          <w:trHeight w:val="284"/>
        </w:trPr>
        <w:tc>
          <w:tcPr>
            <w:tcW w:w="1843" w:type="dxa"/>
          </w:tcPr>
          <w:p w14:paraId="692897E2" w14:textId="77777777" w:rsidR="00204CB3" w:rsidRPr="00C96F6C" w:rsidRDefault="00204CB3" w:rsidP="00C96F6C">
            <w:pPr>
              <w:pStyle w:val="Tabletextleft"/>
              <w:rPr>
                <w:b/>
              </w:rPr>
            </w:pPr>
            <w:r w:rsidRPr="00C96F6C">
              <w:rPr>
                <w:b/>
              </w:rPr>
              <w:t>YLD</w:t>
            </w:r>
          </w:p>
        </w:tc>
        <w:tc>
          <w:tcPr>
            <w:tcW w:w="7655" w:type="dxa"/>
          </w:tcPr>
          <w:p w14:paraId="5557A66C" w14:textId="77777777" w:rsidR="00204CB3" w:rsidRPr="00764963" w:rsidRDefault="00204CB3" w:rsidP="00C96F6C">
            <w:pPr>
              <w:pStyle w:val="Tabletextleft"/>
            </w:pPr>
            <w:r w:rsidRPr="00764963">
              <w:t>Years Lived with Disability</w:t>
            </w:r>
          </w:p>
        </w:tc>
      </w:tr>
      <w:tr w:rsidR="00204CB3" w:rsidRPr="00764963" w14:paraId="32ECF864" w14:textId="77777777" w:rsidTr="00A951AA">
        <w:trPr>
          <w:trHeight w:val="284"/>
        </w:trPr>
        <w:tc>
          <w:tcPr>
            <w:tcW w:w="1843" w:type="dxa"/>
          </w:tcPr>
          <w:p w14:paraId="556564AB" w14:textId="77777777" w:rsidR="00204CB3" w:rsidRPr="00C96F6C" w:rsidRDefault="00204CB3" w:rsidP="00C96F6C">
            <w:pPr>
              <w:pStyle w:val="Tabletextleft"/>
              <w:rPr>
                <w:b/>
              </w:rPr>
            </w:pPr>
            <w:r w:rsidRPr="00C96F6C">
              <w:rPr>
                <w:b/>
              </w:rPr>
              <w:t>YLL</w:t>
            </w:r>
          </w:p>
        </w:tc>
        <w:tc>
          <w:tcPr>
            <w:tcW w:w="7655" w:type="dxa"/>
          </w:tcPr>
          <w:p w14:paraId="2DD3D707" w14:textId="77777777" w:rsidR="00204CB3" w:rsidRPr="00764963" w:rsidRDefault="00204CB3" w:rsidP="00C96F6C">
            <w:pPr>
              <w:pStyle w:val="Tabletextleft"/>
            </w:pPr>
            <w:r w:rsidRPr="00764963">
              <w:t>Years of Life Lost</w:t>
            </w:r>
          </w:p>
        </w:tc>
      </w:tr>
    </w:tbl>
    <w:p w14:paraId="2BD1D467" w14:textId="323B7987" w:rsidR="00004883" w:rsidRPr="008C7841" w:rsidRDefault="008436F3" w:rsidP="008C7841">
      <w:pPr>
        <w:pStyle w:val="Heading1"/>
      </w:pPr>
      <w:bookmarkStart w:id="8" w:name="_Toc230091245"/>
      <w:bookmarkStart w:id="9" w:name="_Hlk207869274"/>
      <w:r w:rsidRPr="008C7841">
        <w:t>National d</w:t>
      </w:r>
      <w:r w:rsidR="00004883" w:rsidRPr="008C7841">
        <w:t>ata sources</w:t>
      </w:r>
      <w:bookmarkEnd w:id="8"/>
    </w:p>
    <w:p w14:paraId="2BCE39C7" w14:textId="77777777" w:rsidR="00004883" w:rsidRPr="0018135A" w:rsidRDefault="00004883" w:rsidP="008C7841">
      <w:pPr>
        <w:pStyle w:val="Heading2"/>
      </w:pPr>
      <w:bookmarkStart w:id="10" w:name="_Toc230091246"/>
      <w:r w:rsidRPr="00004883">
        <w:t xml:space="preserve">National </w:t>
      </w:r>
      <w:r>
        <w:t>Notifiable Diseases Surveillance System</w:t>
      </w:r>
      <w:bookmarkEnd w:id="10"/>
    </w:p>
    <w:p w14:paraId="7893641E" w14:textId="66CB5799" w:rsidR="00004883" w:rsidRPr="00D441B7" w:rsidRDefault="00004883" w:rsidP="00D441B7">
      <w:r w:rsidRPr="00D441B7">
        <w:t xml:space="preserve">De-identified notification data are provided daily by all jurisdictions to the National Notifiable Diseases Surveillance System (NNDSS) managed within the Australian </w:t>
      </w:r>
      <w:r w:rsidR="00687365" w:rsidRPr="00D441B7">
        <w:t>Centre for Disease Control</w:t>
      </w:r>
      <w:r w:rsidRPr="00D441B7">
        <w:t xml:space="preserve"> under the provisions of the </w:t>
      </w:r>
      <w:r w:rsidRPr="00BC66CC">
        <w:rPr>
          <w:i/>
          <w:iCs/>
        </w:rPr>
        <w:t>National Health Security Act 2007</w:t>
      </w:r>
      <w:r w:rsidRPr="00D441B7">
        <w:t xml:space="preserve"> </w:t>
      </w:r>
      <w:r w:rsidRPr="00D441B7">
        <w:fldChar w:fldCharType="begin"/>
      </w:r>
      <w:r w:rsidRPr="00D441B7">
        <w:instrText xml:space="preserve"> ADDIN EN.CITE &lt;EndNote&gt;&lt;Cite&gt;&lt;Author&gt;Australian Government Department of Health and Aged Care&lt;/Author&gt;&lt;RecNum&gt;11&lt;/RecNum&gt;&lt;DisplayText&gt;[1]&lt;/DisplayText&gt;&lt;record&gt;&lt;rec-number&gt;11&lt;/rec-number&gt;&lt;foreign-keys&gt;&lt;key app="EN" db-id="rerr5wt9dra05fetxw4p02tp0vtzztp05ef0" timestamp="1745454204"&gt;11&lt;/key&gt;&lt;/foreign-keys&gt;&lt;ref-type name="Web Page"&gt;12&lt;/ref-type&gt;&lt;contributors&gt;&lt;authors&gt;&lt;author&gt;Australian Government Department of Health and Aged Care,&lt;/author&gt;&lt;/authors&gt;&lt;/contributors&gt;&lt;titles&gt;&lt;title&gt;&lt;style face="italic" font="default" size="100%"&gt;National Health Security Act 2007&lt;/style&gt;&lt;/title&gt;&lt;/titles&gt;&lt;volume&gt;2025&lt;/volume&gt;&lt;number&gt;24 April&lt;/number&gt;&lt;dates&gt;&lt;/dates&gt;&lt;urls&gt;&lt;related-urls&gt;&lt;url&gt;https://www.legislation.gov.au/C2007A00174/latest/text&lt;/url&gt;&lt;/related-urls&gt;&lt;/urls&gt;&lt;/record&gt;&lt;/Cite&gt;&lt;/EndNote&gt;</w:instrText>
      </w:r>
      <w:r w:rsidRPr="00D441B7">
        <w:fldChar w:fldCharType="separate"/>
      </w:r>
      <w:r w:rsidRPr="00D441B7">
        <w:t>[1]</w:t>
      </w:r>
      <w:r w:rsidRPr="00D441B7">
        <w:fldChar w:fldCharType="end"/>
      </w:r>
      <w:r w:rsidRPr="00D441B7">
        <w:t>.</w:t>
      </w:r>
    </w:p>
    <w:p w14:paraId="4974D92B" w14:textId="1249751E" w:rsidR="00004883" w:rsidRPr="00D441B7" w:rsidRDefault="00004883" w:rsidP="00D441B7">
      <w:r w:rsidRPr="00D441B7">
        <w:t>Syphilis notifications are reported to the NNDSS under three defined categories:</w:t>
      </w:r>
      <w:r w:rsidR="00BB0A63">
        <w:t xml:space="preserve"> </w:t>
      </w:r>
      <w:r w:rsidRPr="00D441B7">
        <w:t>infectious syphilis (</w:t>
      </w:r>
      <w:r w:rsidR="00687365" w:rsidRPr="00D441B7">
        <w:t>&lt;2</w:t>
      </w:r>
      <w:r w:rsidRPr="00D441B7">
        <w:t xml:space="preserve"> years duration); unspecified syphilis (</w:t>
      </w:r>
      <w:r w:rsidR="00687365" w:rsidRPr="00D441B7">
        <w:t xml:space="preserve">&gt;2 </w:t>
      </w:r>
      <w:r w:rsidRPr="00D441B7">
        <w:t>years or unknown duration</w:t>
      </w:r>
      <w:r w:rsidR="00FB0A2F" w:rsidRPr="00D441B7">
        <w:t xml:space="preserve">); </w:t>
      </w:r>
      <w:r w:rsidRPr="00D441B7">
        <w:t>and congenital syphilis. The CDNA national surveillance case definitions, including any historical edits, are available at:</w:t>
      </w:r>
      <w:r w:rsidR="00121D19" w:rsidRPr="00121D19">
        <w:t xml:space="preserve"> </w:t>
      </w:r>
      <w:hyperlink r:id="rId14" w:history="1">
        <w:r w:rsidR="00121D19" w:rsidRPr="0099565E">
          <w:rPr>
            <w:rStyle w:val="Hyperlink"/>
          </w:rPr>
          <w:t>https://www.cdc.gov.au/resources/collections/cdna-surveillance-case-definitions</w:t>
        </w:r>
      </w:hyperlink>
      <w:r w:rsidRPr="00D441B7">
        <w:t>.</w:t>
      </w:r>
    </w:p>
    <w:p w14:paraId="51A68597" w14:textId="77777777" w:rsidR="005C1306" w:rsidRDefault="00004883" w:rsidP="00D441B7">
      <w:r w:rsidRPr="00D441B7">
        <w:t>Incidence is a difficult indicator to measure where notifications have been used as a surrogate, recognising that for most infections, they represent only a proportion of the total cases (e.g. only those cases for which health care was sought, a test conducted and a diagnosis made, followed by a notification to health authorities)</w:t>
      </w:r>
      <w:r w:rsidR="005C1306">
        <w:t>.</w:t>
      </w:r>
    </w:p>
    <w:p w14:paraId="12C841D1" w14:textId="2A491B3C" w:rsidR="00004883" w:rsidRPr="00D441B7" w:rsidRDefault="00004883" w:rsidP="00D441B7">
      <w:r w:rsidRPr="00D441B7">
        <w:t>Due to the high proportion of asymptomatic STI, diagnoses are heavily influenced by testing patterns. High rates of STI diagnoses in identified populations may be due to higher levels of screening and not necessarily associated with increased levels of transmission. Enhanced opportunistic and targeted screening, active contact tracing and in some instances community-wide screening programs, all contribute to the higher notification rates of infection detection observed in remote regions relative to urban regions. However, despite these control measures, higher rates in remote regions may also reflect higher underlying incidence of disease.</w:t>
      </w:r>
    </w:p>
    <w:p w14:paraId="72102D66" w14:textId="77777777" w:rsidR="00004883" w:rsidRDefault="00004883" w:rsidP="008F6D9A">
      <w:pPr>
        <w:pStyle w:val="Heading2"/>
      </w:pPr>
      <w:bookmarkStart w:id="11" w:name="_Toc230091247"/>
      <w:bookmarkEnd w:id="9"/>
      <w:r w:rsidRPr="008A2B23">
        <w:lastRenderedPageBreak/>
        <w:t>Australian Institute of Health and Welfare</w:t>
      </w:r>
      <w:bookmarkEnd w:id="11"/>
    </w:p>
    <w:p w14:paraId="611D3B52" w14:textId="77777777" w:rsidR="0020678F" w:rsidRPr="008F6D9A" w:rsidRDefault="00A474C2" w:rsidP="008F6D9A">
      <w:r w:rsidRPr="008F6D9A">
        <w:t xml:space="preserve">The Surveillance Plan includes references to AIHW data collections </w:t>
      </w:r>
      <w:r w:rsidR="00902419" w:rsidRPr="008F6D9A">
        <w:t xml:space="preserve">and studies </w:t>
      </w:r>
      <w:r w:rsidRPr="008F6D9A">
        <w:t>including</w:t>
      </w:r>
      <w:r w:rsidR="0020678F" w:rsidRPr="008F6D9A">
        <w:t>:</w:t>
      </w:r>
    </w:p>
    <w:p w14:paraId="593AED0B" w14:textId="77777777" w:rsidR="005C1306" w:rsidRDefault="00A61C1B" w:rsidP="008F6D9A">
      <w:pPr>
        <w:pStyle w:val="ListBullet"/>
      </w:pPr>
      <w:hyperlink r:id="rId15" w:history="1">
        <w:r w:rsidRPr="008F6D9A">
          <w:rPr>
            <w:rStyle w:val="Hyperlink"/>
          </w:rPr>
          <w:t>National Hospital Morbidity Database (NHMD)</w:t>
        </w:r>
      </w:hyperlink>
      <w:r w:rsidRPr="008F6D9A">
        <w:t xml:space="preserve"> is </w:t>
      </w:r>
      <w:r w:rsidR="00967779" w:rsidRPr="008F6D9A">
        <w:t xml:space="preserve">part of the </w:t>
      </w:r>
      <w:r w:rsidR="00561332" w:rsidRPr="008F6D9A">
        <w:t xml:space="preserve">National Hospitals data collection and </w:t>
      </w:r>
      <w:r w:rsidR="00512C8E" w:rsidRPr="008F6D9A">
        <w:t>is</w:t>
      </w:r>
      <w:r w:rsidR="00561332" w:rsidRPr="008F6D9A">
        <w:t xml:space="preserve"> </w:t>
      </w:r>
      <w:r w:rsidRPr="008F6D9A">
        <w:t>a compilation of episode-level records from admitted patient morbidity data collection systems in Australian public and private hospitals</w:t>
      </w:r>
      <w:r w:rsidR="005C1306">
        <w:t>.</w:t>
      </w:r>
    </w:p>
    <w:p w14:paraId="1EAEDC94" w14:textId="77777777" w:rsidR="005C1306" w:rsidRDefault="009844EC" w:rsidP="008F6D9A">
      <w:pPr>
        <w:pStyle w:val="ListBullet"/>
      </w:pPr>
      <w:hyperlink r:id="rId16" w:history="1">
        <w:r w:rsidRPr="008F6D9A">
          <w:rPr>
            <w:rStyle w:val="Hyperlink"/>
          </w:rPr>
          <w:t xml:space="preserve">National Perinatal </w:t>
        </w:r>
        <w:r w:rsidR="0020678F" w:rsidRPr="008F6D9A">
          <w:rPr>
            <w:rStyle w:val="Hyperlink"/>
          </w:rPr>
          <w:t>Data Collection</w:t>
        </w:r>
        <w:r w:rsidR="009F11C6" w:rsidRPr="008F6D9A">
          <w:rPr>
            <w:rStyle w:val="Hyperlink"/>
          </w:rPr>
          <w:t xml:space="preserve"> (NPDC)</w:t>
        </w:r>
      </w:hyperlink>
      <w:r w:rsidR="005A4608" w:rsidRPr="008F6D9A">
        <w:t xml:space="preserve"> is a national population-based dataset on pregnancy and childbirth in Australia</w:t>
      </w:r>
      <w:r w:rsidR="005C1306">
        <w:t>.</w:t>
      </w:r>
    </w:p>
    <w:p w14:paraId="3D73889D" w14:textId="77777777" w:rsidR="005C1306" w:rsidRDefault="003432C9" w:rsidP="008F6D9A">
      <w:pPr>
        <w:pStyle w:val="ListBullet"/>
      </w:pPr>
      <w:hyperlink r:id="rId17" w:history="1">
        <w:r w:rsidRPr="008F6D9A">
          <w:rPr>
            <w:rStyle w:val="Hyperlink"/>
          </w:rPr>
          <w:t>Australian Burden of Disease Study</w:t>
        </w:r>
      </w:hyperlink>
      <w:r w:rsidR="000A3F21" w:rsidRPr="008F6D9A">
        <w:t xml:space="preserve"> </w:t>
      </w:r>
      <w:r w:rsidR="00CC4C52" w:rsidRPr="008F6D9A">
        <w:t>measures</w:t>
      </w:r>
      <w:r w:rsidR="009D0578" w:rsidRPr="008F6D9A">
        <w:t xml:space="preserve"> disease specific </w:t>
      </w:r>
      <w:r w:rsidR="00CE008D" w:rsidRPr="008F6D9A">
        <w:t xml:space="preserve">impact on </w:t>
      </w:r>
      <w:r w:rsidR="00CC4C52" w:rsidRPr="008F6D9A">
        <w:t>the Australian population</w:t>
      </w:r>
      <w:r w:rsidR="00C64BBA" w:rsidRPr="008F6D9A">
        <w:t xml:space="preserve">. </w:t>
      </w:r>
      <w:r w:rsidR="000C4984" w:rsidRPr="008F6D9A">
        <w:t>Burden of disease is measured using the summary metric of disability-adjusted life years (DALY, also known as the total burden)</w:t>
      </w:r>
      <w:r w:rsidR="00521F5C" w:rsidRPr="008F6D9A">
        <w:t xml:space="preserve">, </w:t>
      </w:r>
      <w:r w:rsidR="000C4984" w:rsidRPr="008F6D9A">
        <w:t>‘years lived with disability’ (YLD)</w:t>
      </w:r>
      <w:r w:rsidR="00521F5C" w:rsidRPr="008F6D9A">
        <w:t xml:space="preserve"> and</w:t>
      </w:r>
      <w:r w:rsidR="000C4984" w:rsidRPr="008F6D9A">
        <w:t xml:space="preserve"> ‘years of life lost’ (YLL</w:t>
      </w:r>
      <w:r w:rsidR="00961D7A" w:rsidRPr="008F6D9A">
        <w:t>) and</w:t>
      </w:r>
      <w:r w:rsidR="000C4984" w:rsidRPr="008F6D9A">
        <w:t xml:space="preserve"> are measured against an ideal life expectancy</w:t>
      </w:r>
      <w:r w:rsidR="005C1306">
        <w:t>.</w:t>
      </w:r>
    </w:p>
    <w:p w14:paraId="71AA8AE0" w14:textId="7DE7B765" w:rsidR="00004883" w:rsidRDefault="00004883" w:rsidP="00E94DF1">
      <w:pPr>
        <w:pStyle w:val="Heading2"/>
      </w:pPr>
      <w:bookmarkStart w:id="12" w:name="_Toc230091248"/>
      <w:r w:rsidRPr="008A2B23">
        <w:t>Australian Bureau of Statistics</w:t>
      </w:r>
      <w:bookmarkEnd w:id="12"/>
    </w:p>
    <w:p w14:paraId="369EB813" w14:textId="2393C33E" w:rsidR="00004883" w:rsidRPr="002C5140" w:rsidRDefault="00C920FF" w:rsidP="002C5140">
      <w:r w:rsidRPr="002C5140">
        <w:t xml:space="preserve">The ABS </w:t>
      </w:r>
      <w:hyperlink r:id="rId18" w:history="1">
        <w:r w:rsidR="00213045" w:rsidRPr="002C5140">
          <w:rPr>
            <w:rStyle w:val="Hyperlink"/>
          </w:rPr>
          <w:t xml:space="preserve">Cause of </w:t>
        </w:r>
        <w:r w:rsidR="00DA4BE1" w:rsidRPr="002C5140">
          <w:rPr>
            <w:rStyle w:val="Hyperlink"/>
          </w:rPr>
          <w:t>Death</w:t>
        </w:r>
      </w:hyperlink>
      <w:r w:rsidR="00DA4BE1" w:rsidRPr="002C5140">
        <w:t xml:space="preserve"> </w:t>
      </w:r>
      <w:r w:rsidRPr="002C5140">
        <w:t xml:space="preserve">data collection is referenced in the Surveillance Plan. </w:t>
      </w:r>
      <w:r w:rsidR="0091697A" w:rsidRPr="002C5140">
        <w:t>These data include all deaths that occurred and were registered in Australia, including deaths of persons whose usual residence was overseas. Deaths of Australian residents that occurred outside Australia may be registered by individual registries but are not included in ABS deaths or causes of death statistics.</w:t>
      </w:r>
    </w:p>
    <w:p w14:paraId="02087EC2" w14:textId="77777777" w:rsidR="00004883" w:rsidRPr="002C5140" w:rsidRDefault="00004883" w:rsidP="002C5140">
      <w:r w:rsidRPr="002C5140">
        <w:br w:type="page"/>
      </w:r>
    </w:p>
    <w:p w14:paraId="1AF38164" w14:textId="77777777" w:rsidR="005B0DA2" w:rsidRDefault="005B0DA2" w:rsidP="0076581D">
      <w:pPr>
        <w:pStyle w:val="Heading1"/>
        <w:sectPr w:rsidR="005B0DA2" w:rsidSect="00A3076B">
          <w:headerReference w:type="even" r:id="rId19"/>
          <w:footerReference w:type="even" r:id="rId20"/>
          <w:footerReference w:type="default" r:id="rId21"/>
          <w:headerReference w:type="first" r:id="rId22"/>
          <w:footerReference w:type="first" r:id="rId23"/>
          <w:pgSz w:w="11900" w:h="16840" w:code="9"/>
          <w:pgMar w:top="1474" w:right="934" w:bottom="1474" w:left="1474" w:header="709" w:footer="425" w:gutter="0"/>
          <w:cols w:space="708"/>
          <w:titlePg/>
          <w:docGrid w:linePitch="360"/>
        </w:sectPr>
      </w:pPr>
    </w:p>
    <w:p w14:paraId="0AB7938E" w14:textId="2261FBA5" w:rsidR="0076581D" w:rsidRPr="0002256E" w:rsidRDefault="0076581D" w:rsidP="0002256E">
      <w:pPr>
        <w:pStyle w:val="Heading1"/>
      </w:pPr>
      <w:bookmarkStart w:id="13" w:name="_Toc230091249"/>
      <w:r w:rsidRPr="0002256E">
        <w:lastRenderedPageBreak/>
        <w:t>Data quality</w:t>
      </w:r>
      <w:bookmarkEnd w:id="13"/>
    </w:p>
    <w:p w14:paraId="3FA457DF" w14:textId="0E422E9D" w:rsidR="0076581D" w:rsidRPr="004B169F" w:rsidRDefault="0076581D" w:rsidP="004B169F">
      <w:pPr>
        <w:pStyle w:val="Heading2"/>
      </w:pPr>
      <w:bookmarkStart w:id="14" w:name="_Toc230091250"/>
      <w:r w:rsidRPr="004B169F">
        <w:t>Data completeness indicators</w:t>
      </w:r>
      <w:bookmarkEnd w:id="14"/>
    </w:p>
    <w:p w14:paraId="1ECBE313" w14:textId="77777777" w:rsidR="0076581D" w:rsidRPr="0022612A" w:rsidRDefault="0076581D" w:rsidP="0022612A">
      <w:pPr>
        <w:pStyle w:val="Boxgreenheading"/>
      </w:pPr>
      <w:r w:rsidRPr="0022612A">
        <w:t>Indicators</w:t>
      </w:r>
    </w:p>
    <w:p w14:paraId="0ED31A4F" w14:textId="77777777" w:rsidR="0076581D" w:rsidRPr="0022612A" w:rsidRDefault="00004883" w:rsidP="0022612A">
      <w:pPr>
        <w:pStyle w:val="Boxgreentext"/>
      </w:pPr>
      <w:r w:rsidRPr="0022612A">
        <w:t>Proportion of notifications with Indigenous status field completed</w:t>
      </w:r>
      <w:r w:rsidR="00493169" w:rsidRPr="0022612A">
        <w:t>:</w:t>
      </w:r>
    </w:p>
    <w:p w14:paraId="53A50A56" w14:textId="2F04BC3B" w:rsidR="00493169" w:rsidRPr="0022612A" w:rsidRDefault="00BE3036" w:rsidP="0022612A">
      <w:pPr>
        <w:pStyle w:val="Boxgreenbullet"/>
      </w:pPr>
      <w:r w:rsidRPr="0022612A">
        <w:t>I</w:t>
      </w:r>
      <w:r w:rsidR="00493169" w:rsidRPr="0022612A">
        <w:t>.C 1 Infectious syphilis (&lt;2 years duration)</w:t>
      </w:r>
    </w:p>
    <w:p w14:paraId="7D8A6393" w14:textId="63B5F72A" w:rsidR="00493169" w:rsidRPr="0022612A" w:rsidRDefault="00BE3036" w:rsidP="0022612A">
      <w:pPr>
        <w:pStyle w:val="Boxgreenbullet"/>
      </w:pPr>
      <w:r w:rsidRPr="0022612A">
        <w:t>I</w:t>
      </w:r>
      <w:r w:rsidR="00493169" w:rsidRPr="0022612A">
        <w:t>.C 2 Congenital syphilis</w:t>
      </w:r>
    </w:p>
    <w:p w14:paraId="411AF28B" w14:textId="5134D41A" w:rsidR="00493169" w:rsidRPr="0022612A" w:rsidRDefault="00BE3036" w:rsidP="0022612A">
      <w:pPr>
        <w:pStyle w:val="Boxgreenbullet"/>
      </w:pPr>
      <w:r w:rsidRPr="0022612A">
        <w:t>I</w:t>
      </w:r>
      <w:r w:rsidR="00493169" w:rsidRPr="0022612A">
        <w:t>.C 3 Unspecified syphilis (&gt;2 years or unspecified duration)</w:t>
      </w:r>
    </w:p>
    <w:p w14:paraId="0CD623E5" w14:textId="19556D91" w:rsidR="00F408CC" w:rsidRPr="0022612A" w:rsidRDefault="00F408CC" w:rsidP="0022612A">
      <w:pPr>
        <w:pStyle w:val="Boxgreentext"/>
      </w:pPr>
      <w:r w:rsidRPr="0022612A">
        <w:t>Proportion of notifications with enhanced data field completed:</w:t>
      </w:r>
    </w:p>
    <w:p w14:paraId="5B7434D7" w14:textId="28F46756" w:rsidR="008C2AE1" w:rsidRPr="0022612A" w:rsidRDefault="008C2AE1" w:rsidP="0022612A">
      <w:pPr>
        <w:pStyle w:val="Boxgreenbullet"/>
      </w:pPr>
      <w:r w:rsidRPr="0022612A">
        <w:t>E.C 1 Infectious syphilis (&lt;2 years duration)</w:t>
      </w:r>
    </w:p>
    <w:p w14:paraId="5AE446A6" w14:textId="2DBE289F" w:rsidR="00F408CC" w:rsidRPr="0022612A" w:rsidRDefault="008C2AE1" w:rsidP="0022612A">
      <w:pPr>
        <w:pStyle w:val="Boxgreenbullet"/>
      </w:pPr>
      <w:r w:rsidRPr="0022612A">
        <w:t>E.C 2 Congenital syphilis</w:t>
      </w:r>
    </w:p>
    <w:p w14:paraId="41D786F4" w14:textId="77777777" w:rsidR="00124B03" w:rsidRPr="0080355B" w:rsidRDefault="00124B03" w:rsidP="0080355B">
      <w:pPr>
        <w:pStyle w:val="Heading3"/>
      </w:pPr>
      <w:r w:rsidRPr="0080355B">
        <w:t>Why is data quality important?</w:t>
      </w:r>
    </w:p>
    <w:p w14:paraId="04610AEC" w14:textId="435CDC84" w:rsidR="00DC5BE1" w:rsidRPr="0080355B" w:rsidRDefault="00DC5BE1" w:rsidP="0080355B">
      <w:r w:rsidRPr="0080355B">
        <w:t>High</w:t>
      </w:r>
      <w:r w:rsidR="53302E05" w:rsidRPr="0080355B">
        <w:t xml:space="preserve"> </w:t>
      </w:r>
      <w:r w:rsidRPr="0080355B">
        <w:t>levels of completeness for variables such as Indigenous status, and selected enhanced STI and congenital syphilis data fields, enhance our capability to draw reasonable conclusions from the data, and support a meaningful public health response to syphilis in priority populations and settings.</w:t>
      </w:r>
    </w:p>
    <w:p w14:paraId="19ECAFC4" w14:textId="2EB5C5F8" w:rsidR="00124B03" w:rsidRPr="0080355B" w:rsidRDefault="00DC5BE1" w:rsidP="0080355B">
      <w:r w:rsidRPr="0080355B">
        <w:t xml:space="preserve">It is recognised that there </w:t>
      </w:r>
      <w:r w:rsidR="006F6B13" w:rsidRPr="0080355B">
        <w:t>are</w:t>
      </w:r>
      <w:r w:rsidRPr="0080355B">
        <w:t xml:space="preserve"> on-going and considerable efforts in states and territories and public health units to complete these data fields. The Australian Centre for Disease Control will continue to work in partnership with CDNA jurisdictional representatives as data owners, to ensure this work is prioritised and supported.</w:t>
      </w:r>
    </w:p>
    <w:p w14:paraId="639F194D" w14:textId="77777777" w:rsidR="0076581D" w:rsidRPr="0080355B" w:rsidRDefault="0076581D" w:rsidP="0080355B">
      <w:pPr>
        <w:pStyle w:val="Heading3"/>
      </w:pPr>
      <w:r w:rsidRPr="0080355B">
        <w:t>Indicator notes</w:t>
      </w:r>
    </w:p>
    <w:p w14:paraId="699A8253" w14:textId="2B7EC207" w:rsidR="0076581D" w:rsidRPr="0080355B" w:rsidRDefault="0041406C" w:rsidP="0080355B">
      <w:pPr>
        <w:pStyle w:val="Heading4"/>
      </w:pPr>
      <w:r w:rsidRPr="0080355B">
        <w:t>Indigenous status completeness</w:t>
      </w:r>
      <w:r w:rsidR="00004883" w:rsidRPr="0080355B">
        <w:t xml:space="preserve"> – notification data</w:t>
      </w:r>
    </w:p>
    <w:p w14:paraId="203CBD11" w14:textId="77777777" w:rsidR="005C1306" w:rsidRDefault="00004883" w:rsidP="0080355B">
      <w:r w:rsidRPr="0080355B">
        <w:t xml:space="preserve">Indigenous status is usually obtained from medical notification or public health </w:t>
      </w:r>
      <w:proofErr w:type="gramStart"/>
      <w:r w:rsidRPr="0080355B">
        <w:t>follow-up</w:t>
      </w:r>
      <w:proofErr w:type="gramEnd"/>
      <w:r w:rsidRPr="0080355B">
        <w:t xml:space="preserve"> and completeness varies by disease and by state and territory. This reflects differences in notification requirements (i.e. depending on the jurisdiction, some diseases are primarily or exclusively notified by pathology laboratories rather than clinicians) and the fact that it is not possible to follow-up all cases for diseases with a large volume of notifications and/or not requiring specific case-based public health action</w:t>
      </w:r>
      <w:r w:rsidR="005C1306">
        <w:t>.</w:t>
      </w:r>
    </w:p>
    <w:p w14:paraId="0ADFE16B" w14:textId="0226A962" w:rsidR="00004883" w:rsidRPr="0080355B" w:rsidRDefault="00004883" w:rsidP="0080355B">
      <w:r w:rsidRPr="0080355B">
        <w:lastRenderedPageBreak/>
        <w:t>The determination of the Indigenous status is by descent, self-identification and community acceptance. The Indigenous status identifier is defined in NNDSS as:</w:t>
      </w:r>
    </w:p>
    <w:p w14:paraId="49D7785F" w14:textId="77777777" w:rsidR="00004883" w:rsidRPr="0080355B" w:rsidRDefault="00004883" w:rsidP="0080355B">
      <w:pPr>
        <w:pStyle w:val="ListBullet"/>
      </w:pPr>
      <w:r w:rsidRPr="0080355B">
        <w:t>Indigenous (Aboriginal and/or Torres Strait Islander origin)</w:t>
      </w:r>
    </w:p>
    <w:p w14:paraId="6A31BEAF" w14:textId="77777777" w:rsidR="00004883" w:rsidRPr="0080355B" w:rsidRDefault="00004883" w:rsidP="0080355B">
      <w:pPr>
        <w:pStyle w:val="ListBullet"/>
      </w:pPr>
      <w:r w:rsidRPr="0080355B">
        <w:t>Non-Indigenous (Not of Aboriginal or Torres Strait Islander origin)</w:t>
      </w:r>
    </w:p>
    <w:p w14:paraId="116D282D" w14:textId="77777777" w:rsidR="00004883" w:rsidRPr="0080355B" w:rsidRDefault="00004883" w:rsidP="0080355B">
      <w:pPr>
        <w:pStyle w:val="ListBullet"/>
      </w:pPr>
      <w:r w:rsidRPr="0080355B">
        <w:t>Unknown (Not stated, unknown or blank)</w:t>
      </w:r>
    </w:p>
    <w:p w14:paraId="23AB0FB4" w14:textId="41EDF265" w:rsidR="00004883" w:rsidRPr="00C740F7" w:rsidRDefault="00004883" w:rsidP="00C740F7">
      <w:r w:rsidRPr="00C740F7">
        <w:t>In 2009, CDNA targeted key NNDSS priority diseases for ≥95% completeness of the Indigenous status identifier as part of its ‘Closing the Gap’ strategy, including congenital syphilis and infectious syphilis. In addition, CDNA set a goal of 80% completeness of the Indigenous status identifier for all other diseases, including unspecified syphilis, reported to the NNDSS.</w:t>
      </w:r>
    </w:p>
    <w:p w14:paraId="5D41429D" w14:textId="620CE805" w:rsidR="0041406C" w:rsidRPr="00C740F7" w:rsidRDefault="00004883" w:rsidP="00C740F7">
      <w:pPr>
        <w:pStyle w:val="Heading4"/>
      </w:pPr>
      <w:r w:rsidRPr="00C740F7">
        <w:t>Enhanced data completeness – notification data</w:t>
      </w:r>
    </w:p>
    <w:p w14:paraId="1525FB43" w14:textId="43C07D4B" w:rsidR="00647FD6" w:rsidRPr="00ED11C7" w:rsidRDefault="00647FD6" w:rsidP="00ED11C7">
      <w:pPr>
        <w:rPr>
          <w:highlight w:val="yellow"/>
        </w:rPr>
      </w:pPr>
      <w:r w:rsidRPr="00ED11C7">
        <w:t xml:space="preserve">Enhanced </w:t>
      </w:r>
      <w:r w:rsidR="001F1152" w:rsidRPr="00ED11C7">
        <w:t>data</w:t>
      </w:r>
      <w:r w:rsidR="000B5C18" w:rsidRPr="00ED11C7">
        <w:t>, complementa</w:t>
      </w:r>
      <w:r w:rsidR="00FD4F8C" w:rsidRPr="00ED11C7">
        <w:t xml:space="preserve">ry to </w:t>
      </w:r>
      <w:r w:rsidR="00510C53" w:rsidRPr="00ED11C7">
        <w:t>core data collection in the NNDSS, provide</w:t>
      </w:r>
      <w:r w:rsidR="00A0524E" w:rsidRPr="00ED11C7">
        <w:t>s</w:t>
      </w:r>
      <w:r w:rsidR="00510C53" w:rsidRPr="00ED11C7">
        <w:t xml:space="preserve"> </w:t>
      </w:r>
      <w:r w:rsidR="0007049B" w:rsidRPr="00ED11C7">
        <w:t xml:space="preserve">additional </w:t>
      </w:r>
      <w:r w:rsidR="00510C53" w:rsidRPr="00ED11C7">
        <w:t xml:space="preserve">information specific to </w:t>
      </w:r>
      <w:r w:rsidR="0007049B" w:rsidRPr="00ED11C7">
        <w:t>infectious (&lt;2 years durations) and congenital syphilis</w:t>
      </w:r>
      <w:r w:rsidR="007C69A9" w:rsidRPr="00ED11C7">
        <w:t xml:space="preserve">. </w:t>
      </w:r>
      <w:r w:rsidR="004C1C16" w:rsidRPr="00ED11C7">
        <w:t>These data</w:t>
      </w:r>
      <w:r w:rsidR="00BA25DB" w:rsidRPr="00ED11C7">
        <w:t xml:space="preserve"> include variables related to treatment, testing</w:t>
      </w:r>
      <w:r w:rsidR="00991C91" w:rsidRPr="00ED11C7">
        <w:t xml:space="preserve"> and</w:t>
      </w:r>
      <w:r w:rsidR="007947D9" w:rsidRPr="00ED11C7">
        <w:t xml:space="preserve"> risk factors</w:t>
      </w:r>
      <w:r w:rsidR="00991C91" w:rsidRPr="00ED11C7">
        <w:t xml:space="preserve">. Completeness </w:t>
      </w:r>
      <w:r w:rsidR="008C1DD4" w:rsidRPr="00ED11C7">
        <w:t xml:space="preserve">will be </w:t>
      </w:r>
      <w:r w:rsidR="001318C2" w:rsidRPr="00ED11C7">
        <w:t>varied</w:t>
      </w:r>
      <w:r w:rsidR="008C1DD4" w:rsidRPr="00ED11C7">
        <w:t xml:space="preserve"> across jurisdictions</w:t>
      </w:r>
      <w:r w:rsidR="00C778C3" w:rsidRPr="00ED11C7">
        <w:t xml:space="preserve"> and </w:t>
      </w:r>
      <w:r w:rsidR="008C1DD4" w:rsidRPr="00ED11C7">
        <w:t>enhanced data fields</w:t>
      </w:r>
      <w:r w:rsidR="00C778C3" w:rsidRPr="00ED11C7">
        <w:t xml:space="preserve"> due to </w:t>
      </w:r>
      <w:r w:rsidR="00FC4E50" w:rsidRPr="00ED11C7">
        <w:t xml:space="preserve">limitations </w:t>
      </w:r>
      <w:r w:rsidR="0058697A" w:rsidRPr="00ED11C7">
        <w:t>noted above.</w:t>
      </w:r>
    </w:p>
    <w:p w14:paraId="04C6B095" w14:textId="77777777" w:rsidR="0076581D" w:rsidRPr="00097BFE" w:rsidRDefault="0076581D" w:rsidP="00097BFE">
      <w:pPr>
        <w:pStyle w:val="Heading4"/>
      </w:pPr>
      <w:r w:rsidRPr="00097BFE">
        <w:t>Reporting against indicators</w:t>
      </w:r>
    </w:p>
    <w:p w14:paraId="5570EBEA" w14:textId="7725F2E5" w:rsidR="0076581D" w:rsidRPr="003045D8" w:rsidRDefault="0063733C" w:rsidP="006C4D92">
      <w:pPr>
        <w:pStyle w:val="Tableheadings"/>
      </w:pPr>
      <w:r w:rsidRPr="003045D8">
        <w:t>I</w:t>
      </w:r>
      <w:r w:rsidR="00A3484F" w:rsidRPr="003045D8">
        <w:t xml:space="preserve">.C. 1 </w:t>
      </w:r>
      <w:r w:rsidR="0076581D" w:rsidRPr="003045D8">
        <w:t xml:space="preserve">Proportion of </w:t>
      </w:r>
      <w:r w:rsidR="00004883" w:rsidRPr="003045D8">
        <w:t xml:space="preserve">infectious syphilis </w:t>
      </w:r>
      <w:r w:rsidR="00493169" w:rsidRPr="003045D8">
        <w:t xml:space="preserve">(&lt;2 years duration) </w:t>
      </w:r>
      <w:r w:rsidR="00004883" w:rsidRPr="003045D8">
        <w:t>notifications with Indigenous status field completed</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063"/>
        <w:gridCol w:w="3135"/>
        <w:gridCol w:w="2486"/>
        <w:gridCol w:w="1464"/>
      </w:tblGrid>
      <w:tr w:rsidR="0076581D" w:rsidRPr="0092014B" w14:paraId="73EB0E49" w14:textId="77777777" w:rsidTr="000F17BE">
        <w:trPr>
          <w:cnfStyle w:val="100000000000" w:firstRow="1" w:lastRow="0" w:firstColumn="0" w:lastColumn="0" w:oddVBand="0" w:evenVBand="0" w:oddHBand="0" w:evenHBand="0" w:firstRowFirstColumn="0" w:firstRowLastColumn="0" w:lastRowFirstColumn="0" w:lastRowLastColumn="0"/>
          <w:tblHeader/>
        </w:trPr>
        <w:tc>
          <w:tcPr>
            <w:tcW w:w="1471" w:type="dxa"/>
            <w:vAlign w:val="top"/>
          </w:tcPr>
          <w:p w14:paraId="68175B27" w14:textId="77777777" w:rsidR="0076581D" w:rsidRPr="0092014B" w:rsidRDefault="0076581D" w:rsidP="0092014B">
            <w:pPr>
              <w:pStyle w:val="Tabletextleft"/>
              <w:rPr>
                <w:b/>
                <w:bCs w:val="0"/>
              </w:rPr>
            </w:pPr>
            <w:r w:rsidRPr="0092014B">
              <w:rPr>
                <w:b/>
                <w:bCs w:val="0"/>
              </w:rPr>
              <w:t>Indicator components</w:t>
            </w:r>
          </w:p>
        </w:tc>
        <w:tc>
          <w:tcPr>
            <w:tcW w:w="1065" w:type="dxa"/>
            <w:vAlign w:val="top"/>
          </w:tcPr>
          <w:p w14:paraId="6310DDA1" w14:textId="77777777" w:rsidR="0076581D" w:rsidRPr="0092014B" w:rsidRDefault="0076581D" w:rsidP="0092014B">
            <w:pPr>
              <w:pStyle w:val="Tabletextleft"/>
              <w:rPr>
                <w:b/>
                <w:bCs w:val="0"/>
              </w:rPr>
            </w:pPr>
            <w:r w:rsidRPr="0092014B">
              <w:rPr>
                <w:b/>
                <w:bCs w:val="0"/>
              </w:rPr>
              <w:t>Source</w:t>
            </w:r>
          </w:p>
        </w:tc>
        <w:tc>
          <w:tcPr>
            <w:tcW w:w="3147" w:type="dxa"/>
            <w:vAlign w:val="top"/>
          </w:tcPr>
          <w:p w14:paraId="19134A00" w14:textId="77777777" w:rsidR="0076581D" w:rsidRPr="0092014B" w:rsidRDefault="0076581D" w:rsidP="0092014B">
            <w:pPr>
              <w:pStyle w:val="Tabletextleft"/>
              <w:rPr>
                <w:b/>
                <w:bCs w:val="0"/>
              </w:rPr>
            </w:pPr>
            <w:r w:rsidRPr="0092014B">
              <w:rPr>
                <w:b/>
                <w:bCs w:val="0"/>
              </w:rPr>
              <w:t>Description</w:t>
            </w:r>
          </w:p>
        </w:tc>
        <w:tc>
          <w:tcPr>
            <w:tcW w:w="2486" w:type="dxa"/>
            <w:vAlign w:val="top"/>
          </w:tcPr>
          <w:p w14:paraId="140A93AE" w14:textId="77777777" w:rsidR="0076581D" w:rsidRPr="0092014B" w:rsidRDefault="0076581D" w:rsidP="0092014B">
            <w:pPr>
              <w:pStyle w:val="Tabletextleft"/>
              <w:rPr>
                <w:b/>
                <w:bCs w:val="0"/>
              </w:rPr>
            </w:pPr>
            <w:r w:rsidRPr="0092014B">
              <w:rPr>
                <w:b/>
                <w:bCs w:val="0"/>
              </w:rPr>
              <w:t>Custodian/stakeholder</w:t>
            </w:r>
          </w:p>
        </w:tc>
        <w:tc>
          <w:tcPr>
            <w:tcW w:w="1465" w:type="dxa"/>
            <w:vAlign w:val="top"/>
          </w:tcPr>
          <w:p w14:paraId="74D03E18" w14:textId="77777777" w:rsidR="0076581D" w:rsidRPr="0092014B" w:rsidRDefault="0076581D" w:rsidP="0092014B">
            <w:pPr>
              <w:pStyle w:val="Tabletextleft"/>
              <w:rPr>
                <w:b/>
                <w:bCs w:val="0"/>
              </w:rPr>
            </w:pPr>
            <w:r w:rsidRPr="0092014B">
              <w:rPr>
                <w:b/>
                <w:bCs w:val="0"/>
              </w:rPr>
              <w:t>Availability of data for reporting</w:t>
            </w:r>
          </w:p>
        </w:tc>
      </w:tr>
      <w:tr w:rsidR="0076581D" w:rsidRPr="00B51EC2" w14:paraId="3A8D4548" w14:textId="77777777" w:rsidTr="000F17BE">
        <w:trPr>
          <w:cnfStyle w:val="000000100000" w:firstRow="0" w:lastRow="0" w:firstColumn="0" w:lastColumn="0" w:oddVBand="0" w:evenVBand="0" w:oddHBand="1" w:evenHBand="0" w:firstRowFirstColumn="0" w:firstRowLastColumn="0" w:lastRowFirstColumn="0" w:lastRowLastColumn="0"/>
          <w:trHeight w:val="1147"/>
        </w:trPr>
        <w:tc>
          <w:tcPr>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B8FF232" w14:textId="77777777" w:rsidR="0076581D" w:rsidRPr="0090393A" w:rsidRDefault="0076581D" w:rsidP="0090393A">
            <w:pPr>
              <w:pStyle w:val="Tabletextleft"/>
              <w:rPr>
                <w:b/>
              </w:rPr>
            </w:pPr>
            <w:r w:rsidRPr="0090393A">
              <w:rPr>
                <w:b/>
              </w:rPr>
              <w:t>Numerator</w:t>
            </w:r>
          </w:p>
        </w:tc>
        <w:tc>
          <w:tcPr>
            <w:tcW w:w="106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C4B1C63" w14:textId="77777777" w:rsidR="0076581D" w:rsidRPr="00B51EC2" w:rsidRDefault="00004883" w:rsidP="000F17BE">
            <w:pPr>
              <w:pStyle w:val="Tabletextleft"/>
            </w:pPr>
            <w:r w:rsidRPr="00B51EC2">
              <w:t>NNDSS</w:t>
            </w:r>
          </w:p>
        </w:tc>
        <w:tc>
          <w:tcPr>
            <w:tcW w:w="314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88CF2F4" w14:textId="77777777" w:rsidR="0076581D" w:rsidRPr="00B51EC2" w:rsidRDefault="00004883" w:rsidP="000F17BE">
            <w:pPr>
              <w:pStyle w:val="Tabletextleft"/>
            </w:pPr>
            <w:r w:rsidRPr="00B51EC2">
              <w:t>Number of infectious syphilis notifications with Indigenous status reported as either Indigenous or Non-Indigenous</w:t>
            </w:r>
          </w:p>
        </w:tc>
        <w:tc>
          <w:tcPr>
            <w:tcW w:w="248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251778D" w14:textId="77777777" w:rsidR="0076581D" w:rsidRPr="00B51EC2" w:rsidRDefault="008E372B" w:rsidP="000F17BE">
            <w:pPr>
              <w:pStyle w:val="Tabletextleft"/>
            </w:pPr>
            <w:r w:rsidRPr="00B51EC2">
              <w:t>Australian Centre for Disease Control</w:t>
            </w:r>
          </w:p>
        </w:tc>
        <w:tc>
          <w:tcPr>
            <w:tcW w:w="146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A6407D6" w14:textId="77777777" w:rsidR="0076581D" w:rsidRPr="00B51EC2" w:rsidRDefault="00004883" w:rsidP="000F17BE">
            <w:pPr>
              <w:pStyle w:val="Tabletextleft"/>
            </w:pPr>
            <w:r w:rsidRPr="00B51EC2">
              <w:t>Quarterly</w:t>
            </w:r>
          </w:p>
        </w:tc>
      </w:tr>
      <w:tr w:rsidR="0076581D" w:rsidRPr="00B51EC2" w14:paraId="5728EA50" w14:textId="77777777" w:rsidTr="000F17BE">
        <w:tc>
          <w:tcPr>
            <w:tcW w:w="1471" w:type="dxa"/>
            <w:vAlign w:val="top"/>
          </w:tcPr>
          <w:p w14:paraId="58A7AFE4" w14:textId="77777777" w:rsidR="0076581D" w:rsidRPr="0090393A" w:rsidRDefault="0076581D" w:rsidP="0090393A">
            <w:pPr>
              <w:pStyle w:val="Tabletextleft"/>
              <w:rPr>
                <w:b/>
              </w:rPr>
            </w:pPr>
            <w:r w:rsidRPr="0090393A">
              <w:rPr>
                <w:b/>
              </w:rPr>
              <w:t>Denominator</w:t>
            </w:r>
          </w:p>
        </w:tc>
        <w:tc>
          <w:tcPr>
            <w:tcW w:w="1065" w:type="dxa"/>
            <w:vAlign w:val="top"/>
          </w:tcPr>
          <w:p w14:paraId="34139918" w14:textId="77777777" w:rsidR="0076581D" w:rsidRPr="00B51EC2" w:rsidRDefault="00004883" w:rsidP="000F17BE">
            <w:pPr>
              <w:pStyle w:val="Tabletextleft"/>
            </w:pPr>
            <w:r w:rsidRPr="00B51EC2">
              <w:t>NNDSS</w:t>
            </w:r>
          </w:p>
        </w:tc>
        <w:tc>
          <w:tcPr>
            <w:tcW w:w="3147" w:type="dxa"/>
            <w:vAlign w:val="top"/>
          </w:tcPr>
          <w:p w14:paraId="6EE4EA55" w14:textId="77777777" w:rsidR="0076581D" w:rsidRPr="00B51EC2" w:rsidRDefault="00004883" w:rsidP="000F17BE">
            <w:pPr>
              <w:pStyle w:val="Tabletextleft"/>
            </w:pPr>
            <w:r w:rsidRPr="00B51EC2">
              <w:t>Total number of infectious syphilis notifications reported to the NNDSS</w:t>
            </w:r>
          </w:p>
        </w:tc>
        <w:tc>
          <w:tcPr>
            <w:tcW w:w="2486" w:type="dxa"/>
            <w:vAlign w:val="top"/>
          </w:tcPr>
          <w:p w14:paraId="5EFEBD0E" w14:textId="77777777" w:rsidR="0076581D" w:rsidRPr="00B51EC2" w:rsidRDefault="008E372B" w:rsidP="000F17BE">
            <w:pPr>
              <w:pStyle w:val="Tabletextleft"/>
            </w:pPr>
            <w:r w:rsidRPr="00B51EC2">
              <w:t>Australian Centre for Disease Control</w:t>
            </w:r>
          </w:p>
        </w:tc>
        <w:tc>
          <w:tcPr>
            <w:tcW w:w="1465" w:type="dxa"/>
            <w:vAlign w:val="top"/>
          </w:tcPr>
          <w:p w14:paraId="6DA7BDCA" w14:textId="77777777" w:rsidR="0076581D" w:rsidRPr="00B51EC2" w:rsidRDefault="00004883" w:rsidP="000F17BE">
            <w:pPr>
              <w:pStyle w:val="Tabletextleft"/>
            </w:pPr>
            <w:r w:rsidRPr="00B51EC2">
              <w:t>Quarterly</w:t>
            </w:r>
          </w:p>
        </w:tc>
      </w:tr>
    </w:tbl>
    <w:p w14:paraId="57B1E9AF" w14:textId="67E7C508" w:rsidR="00004883" w:rsidRPr="00B51EC2" w:rsidRDefault="0063733C" w:rsidP="00932834">
      <w:pPr>
        <w:pStyle w:val="Tableheadings"/>
        <w:pageBreakBefore/>
      </w:pPr>
      <w:r w:rsidRPr="00B51EC2">
        <w:lastRenderedPageBreak/>
        <w:t>I</w:t>
      </w:r>
      <w:r w:rsidR="00A3484F" w:rsidRPr="00B51EC2">
        <w:t xml:space="preserve">.C. 2 </w:t>
      </w:r>
      <w:r w:rsidR="00004883" w:rsidRPr="00B51EC2">
        <w:t>Proportion of congenital syphilis notifications with Indigenous status field completed</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095"/>
        <w:gridCol w:w="3113"/>
        <w:gridCol w:w="2523"/>
        <w:gridCol w:w="1417"/>
      </w:tblGrid>
      <w:tr w:rsidR="00004883" w:rsidRPr="00F221DF" w14:paraId="7BF3FA04" w14:textId="77777777" w:rsidTr="00932834">
        <w:trPr>
          <w:cnfStyle w:val="100000000000" w:firstRow="1" w:lastRow="0" w:firstColumn="0" w:lastColumn="0" w:oddVBand="0" w:evenVBand="0" w:oddHBand="0" w:evenHBand="0" w:firstRowFirstColumn="0" w:firstRowLastColumn="0" w:lastRowFirstColumn="0" w:lastRowLastColumn="0"/>
          <w:cantSplit/>
        </w:trPr>
        <w:tc>
          <w:tcPr>
            <w:tcW w:w="1483" w:type="dxa"/>
            <w:vAlign w:val="top"/>
          </w:tcPr>
          <w:p w14:paraId="5F5ECA9F" w14:textId="77777777" w:rsidR="00004883" w:rsidRPr="00F920FE" w:rsidRDefault="00004883" w:rsidP="00F221DF">
            <w:pPr>
              <w:pStyle w:val="Tabletextleft"/>
              <w:rPr>
                <w:b/>
              </w:rPr>
            </w:pPr>
            <w:r w:rsidRPr="00F920FE">
              <w:rPr>
                <w:b/>
              </w:rPr>
              <w:t>Indicator components</w:t>
            </w:r>
          </w:p>
        </w:tc>
        <w:tc>
          <w:tcPr>
            <w:tcW w:w="1095" w:type="dxa"/>
            <w:vAlign w:val="top"/>
          </w:tcPr>
          <w:p w14:paraId="52900CC1" w14:textId="77777777" w:rsidR="00004883" w:rsidRPr="00F920FE" w:rsidRDefault="00004883" w:rsidP="00F221DF">
            <w:pPr>
              <w:pStyle w:val="Tabletextleft"/>
              <w:rPr>
                <w:b/>
              </w:rPr>
            </w:pPr>
            <w:r w:rsidRPr="00F920FE">
              <w:rPr>
                <w:b/>
              </w:rPr>
              <w:t>Source</w:t>
            </w:r>
          </w:p>
        </w:tc>
        <w:tc>
          <w:tcPr>
            <w:tcW w:w="3115" w:type="dxa"/>
            <w:vAlign w:val="top"/>
          </w:tcPr>
          <w:p w14:paraId="7B461D87" w14:textId="77777777" w:rsidR="00004883" w:rsidRPr="00F920FE" w:rsidRDefault="00004883" w:rsidP="00F221DF">
            <w:pPr>
              <w:pStyle w:val="Tabletextleft"/>
              <w:rPr>
                <w:b/>
              </w:rPr>
            </w:pPr>
            <w:r w:rsidRPr="00F920FE">
              <w:rPr>
                <w:b/>
              </w:rPr>
              <w:t>Description</w:t>
            </w:r>
          </w:p>
        </w:tc>
        <w:tc>
          <w:tcPr>
            <w:tcW w:w="2524" w:type="dxa"/>
            <w:vAlign w:val="top"/>
          </w:tcPr>
          <w:p w14:paraId="4BE7C6F1" w14:textId="77777777" w:rsidR="00004883" w:rsidRPr="00F920FE" w:rsidRDefault="00004883" w:rsidP="00F221DF">
            <w:pPr>
              <w:pStyle w:val="Tabletextleft"/>
              <w:rPr>
                <w:b/>
              </w:rPr>
            </w:pPr>
            <w:r w:rsidRPr="00F920FE">
              <w:rPr>
                <w:b/>
              </w:rPr>
              <w:t>Custodian/</w:t>
            </w:r>
          </w:p>
          <w:p w14:paraId="15C7F1FB" w14:textId="77777777" w:rsidR="00004883" w:rsidRPr="00F920FE" w:rsidRDefault="00004883" w:rsidP="00F221DF">
            <w:pPr>
              <w:pStyle w:val="Tabletextleft"/>
              <w:rPr>
                <w:b/>
              </w:rPr>
            </w:pPr>
            <w:r w:rsidRPr="00F920FE">
              <w:rPr>
                <w:b/>
              </w:rPr>
              <w:t>stakeholder</w:t>
            </w:r>
          </w:p>
        </w:tc>
        <w:tc>
          <w:tcPr>
            <w:tcW w:w="1417" w:type="dxa"/>
            <w:vAlign w:val="top"/>
          </w:tcPr>
          <w:p w14:paraId="329AE946" w14:textId="77777777" w:rsidR="00004883" w:rsidRPr="00F920FE" w:rsidRDefault="00004883" w:rsidP="00F221DF">
            <w:pPr>
              <w:pStyle w:val="Tabletextleft"/>
              <w:rPr>
                <w:b/>
              </w:rPr>
            </w:pPr>
            <w:r w:rsidRPr="00F920FE">
              <w:rPr>
                <w:b/>
              </w:rPr>
              <w:t>Availability of data for reporting</w:t>
            </w:r>
          </w:p>
        </w:tc>
      </w:tr>
      <w:tr w:rsidR="008E372B" w14:paraId="7F960A21" w14:textId="77777777" w:rsidTr="00932834">
        <w:trPr>
          <w:cnfStyle w:val="000000100000" w:firstRow="0" w:lastRow="0" w:firstColumn="0" w:lastColumn="0" w:oddVBand="0" w:evenVBand="0" w:oddHBand="1" w:evenHBand="0" w:firstRowFirstColumn="0" w:firstRowLastColumn="0" w:lastRowFirstColumn="0" w:lastRowLastColumn="0"/>
          <w:cantSplit/>
        </w:trPr>
        <w:tc>
          <w:tcPr>
            <w:tcW w:w="148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9CB789E" w14:textId="77777777" w:rsidR="008E372B" w:rsidRPr="00F920FE" w:rsidRDefault="008E372B" w:rsidP="00FC00A9">
            <w:pPr>
              <w:pStyle w:val="Tabletextleft"/>
              <w:rPr>
                <w:b/>
                <w:bCs w:val="0"/>
              </w:rPr>
            </w:pPr>
            <w:r w:rsidRPr="00F920FE">
              <w:rPr>
                <w:b/>
                <w:bCs w:val="0"/>
              </w:rPr>
              <w:t>Numerator</w:t>
            </w:r>
          </w:p>
        </w:tc>
        <w:tc>
          <w:tcPr>
            <w:tcW w:w="109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DDF2754" w14:textId="77777777" w:rsidR="008E372B" w:rsidRDefault="008E372B" w:rsidP="00ED11C7">
            <w:pPr>
              <w:pStyle w:val="Tabletextleft"/>
            </w:pPr>
            <w:r>
              <w:t>NNDSS</w:t>
            </w:r>
          </w:p>
        </w:tc>
        <w:tc>
          <w:tcPr>
            <w:tcW w:w="311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4F4AADE" w14:textId="77777777" w:rsidR="008E372B" w:rsidRDefault="008E372B" w:rsidP="00ED11C7">
            <w:pPr>
              <w:pStyle w:val="Tabletextleft"/>
            </w:pPr>
            <w:r>
              <w:t>Number of congenital syphilis notifications with Indigenous status reported as either Indigenous or Non-Indigenous</w:t>
            </w:r>
          </w:p>
        </w:tc>
        <w:tc>
          <w:tcPr>
            <w:tcW w:w="252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94BC91C" w14:textId="77777777" w:rsidR="008E372B" w:rsidRDefault="008E372B" w:rsidP="00ED11C7">
            <w:pPr>
              <w:pStyle w:val="Tabletextleft"/>
            </w:pPr>
            <w:r w:rsidRPr="00D116E6">
              <w:t>Australian Centre for Disease Control</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B6F156E" w14:textId="77777777" w:rsidR="008E372B" w:rsidRDefault="008E372B" w:rsidP="00ED11C7">
            <w:pPr>
              <w:pStyle w:val="Tabletextleft"/>
            </w:pPr>
            <w:r>
              <w:t>Quarterly</w:t>
            </w:r>
          </w:p>
        </w:tc>
      </w:tr>
      <w:tr w:rsidR="008E372B" w14:paraId="1B212655" w14:textId="77777777" w:rsidTr="00932834">
        <w:trPr>
          <w:cantSplit/>
        </w:trPr>
        <w:tc>
          <w:tcPr>
            <w:tcW w:w="1483" w:type="dxa"/>
            <w:vAlign w:val="top"/>
          </w:tcPr>
          <w:p w14:paraId="3A0F86C7" w14:textId="77777777" w:rsidR="008E372B" w:rsidRPr="00F920FE" w:rsidRDefault="008E372B" w:rsidP="00FC00A9">
            <w:pPr>
              <w:pStyle w:val="Tabletextleft"/>
              <w:rPr>
                <w:b/>
                <w:bCs w:val="0"/>
              </w:rPr>
            </w:pPr>
            <w:r w:rsidRPr="00F920FE">
              <w:rPr>
                <w:b/>
                <w:bCs w:val="0"/>
              </w:rPr>
              <w:t>Denominator</w:t>
            </w:r>
          </w:p>
        </w:tc>
        <w:tc>
          <w:tcPr>
            <w:tcW w:w="1095" w:type="dxa"/>
            <w:vAlign w:val="top"/>
          </w:tcPr>
          <w:p w14:paraId="00B264A0" w14:textId="77777777" w:rsidR="008E372B" w:rsidRDefault="008E372B" w:rsidP="00ED11C7">
            <w:pPr>
              <w:pStyle w:val="Tabletextleft"/>
            </w:pPr>
            <w:r>
              <w:t>NNDSS</w:t>
            </w:r>
          </w:p>
        </w:tc>
        <w:tc>
          <w:tcPr>
            <w:tcW w:w="3115" w:type="dxa"/>
            <w:vAlign w:val="top"/>
          </w:tcPr>
          <w:p w14:paraId="56CB09EB" w14:textId="77777777" w:rsidR="008E372B" w:rsidRDefault="008E372B" w:rsidP="00ED11C7">
            <w:pPr>
              <w:pStyle w:val="Tabletextleft"/>
            </w:pPr>
            <w:r>
              <w:t>Total number of congenital syphilis notifications reported to the NNDSS</w:t>
            </w:r>
          </w:p>
        </w:tc>
        <w:tc>
          <w:tcPr>
            <w:tcW w:w="2524" w:type="dxa"/>
            <w:vAlign w:val="top"/>
          </w:tcPr>
          <w:p w14:paraId="46485443" w14:textId="77777777" w:rsidR="008E372B" w:rsidRDefault="008E372B" w:rsidP="00ED11C7">
            <w:pPr>
              <w:pStyle w:val="Tabletextleft"/>
            </w:pPr>
            <w:r w:rsidRPr="00D116E6">
              <w:t>Australian Centre for Disease Control</w:t>
            </w:r>
          </w:p>
        </w:tc>
        <w:tc>
          <w:tcPr>
            <w:tcW w:w="1417" w:type="dxa"/>
            <w:vAlign w:val="top"/>
          </w:tcPr>
          <w:p w14:paraId="5FD5761D" w14:textId="77777777" w:rsidR="008E372B" w:rsidRDefault="008E372B" w:rsidP="00ED11C7">
            <w:pPr>
              <w:pStyle w:val="Tabletextleft"/>
            </w:pPr>
            <w:r>
              <w:t>Quarterly</w:t>
            </w:r>
          </w:p>
        </w:tc>
      </w:tr>
    </w:tbl>
    <w:p w14:paraId="367590B9" w14:textId="77777777" w:rsidR="006C5756" w:rsidRPr="00932834" w:rsidRDefault="006C5756" w:rsidP="00932834">
      <w:r w:rsidRPr="00932834">
        <w:br w:type="page"/>
      </w:r>
    </w:p>
    <w:p w14:paraId="61C83EA7" w14:textId="1177A805" w:rsidR="00004883" w:rsidRPr="00932834" w:rsidRDefault="0063733C" w:rsidP="00932834">
      <w:pPr>
        <w:pStyle w:val="Tableheadings"/>
      </w:pPr>
      <w:r w:rsidRPr="00932834">
        <w:lastRenderedPageBreak/>
        <w:t>I</w:t>
      </w:r>
      <w:r w:rsidR="00A3484F" w:rsidRPr="00932834">
        <w:t xml:space="preserve">.C. 3 </w:t>
      </w:r>
      <w:r w:rsidR="00004883" w:rsidRPr="00932834">
        <w:t xml:space="preserve">Proportion of unspecified syphilis </w:t>
      </w:r>
      <w:r w:rsidR="00493169" w:rsidRPr="00932834">
        <w:t xml:space="preserve">(&gt;2 years or unspecified duration) </w:t>
      </w:r>
      <w:r w:rsidR="00004883" w:rsidRPr="00932834">
        <w:t>notifications with Indigenous status field completed</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065"/>
        <w:gridCol w:w="2996"/>
        <w:gridCol w:w="2552"/>
        <w:gridCol w:w="1417"/>
      </w:tblGrid>
      <w:tr w:rsidR="00004883" w:rsidRPr="00932834" w14:paraId="175A1391" w14:textId="77777777" w:rsidTr="00D878EC">
        <w:trPr>
          <w:cnfStyle w:val="100000000000" w:firstRow="1" w:lastRow="0" w:firstColumn="0" w:lastColumn="0" w:oddVBand="0" w:evenVBand="0" w:oddHBand="0" w:evenHBand="0" w:firstRowFirstColumn="0" w:firstRowLastColumn="0" w:lastRowFirstColumn="0" w:lastRowLastColumn="0"/>
          <w:tblHeader/>
        </w:trPr>
        <w:tc>
          <w:tcPr>
            <w:tcW w:w="1604" w:type="dxa"/>
            <w:vAlign w:val="top"/>
          </w:tcPr>
          <w:p w14:paraId="5A187A36" w14:textId="77777777" w:rsidR="00004883" w:rsidRPr="00932834" w:rsidRDefault="00004883" w:rsidP="00932834">
            <w:pPr>
              <w:pStyle w:val="Tabletextleft"/>
              <w:rPr>
                <w:b/>
              </w:rPr>
            </w:pPr>
            <w:r w:rsidRPr="00932834">
              <w:rPr>
                <w:b/>
              </w:rPr>
              <w:t>Indicator components</w:t>
            </w:r>
          </w:p>
        </w:tc>
        <w:tc>
          <w:tcPr>
            <w:tcW w:w="1065" w:type="dxa"/>
            <w:vAlign w:val="top"/>
          </w:tcPr>
          <w:p w14:paraId="781558E2" w14:textId="77777777" w:rsidR="00004883" w:rsidRPr="00932834" w:rsidRDefault="00004883" w:rsidP="00932834">
            <w:pPr>
              <w:pStyle w:val="Tabletextleft"/>
              <w:rPr>
                <w:b/>
              </w:rPr>
            </w:pPr>
            <w:r w:rsidRPr="00932834">
              <w:rPr>
                <w:b/>
              </w:rPr>
              <w:t>Source</w:t>
            </w:r>
          </w:p>
        </w:tc>
        <w:tc>
          <w:tcPr>
            <w:tcW w:w="2996" w:type="dxa"/>
            <w:vAlign w:val="top"/>
          </w:tcPr>
          <w:p w14:paraId="65FFCC30" w14:textId="77777777" w:rsidR="00004883" w:rsidRPr="00932834" w:rsidRDefault="00004883" w:rsidP="00932834">
            <w:pPr>
              <w:pStyle w:val="Tabletextleft"/>
              <w:rPr>
                <w:b/>
              </w:rPr>
            </w:pPr>
            <w:r w:rsidRPr="00932834">
              <w:rPr>
                <w:b/>
              </w:rPr>
              <w:t>Description</w:t>
            </w:r>
          </w:p>
        </w:tc>
        <w:tc>
          <w:tcPr>
            <w:tcW w:w="2552" w:type="dxa"/>
            <w:vAlign w:val="top"/>
          </w:tcPr>
          <w:p w14:paraId="21493178" w14:textId="77777777" w:rsidR="00004883" w:rsidRPr="00932834" w:rsidRDefault="00004883" w:rsidP="00932834">
            <w:pPr>
              <w:pStyle w:val="Tabletextleft"/>
              <w:rPr>
                <w:b/>
              </w:rPr>
            </w:pPr>
            <w:r w:rsidRPr="00932834">
              <w:rPr>
                <w:b/>
              </w:rPr>
              <w:t>Custodian/</w:t>
            </w:r>
          </w:p>
          <w:p w14:paraId="0FFB8EE1" w14:textId="77777777" w:rsidR="00004883" w:rsidRPr="00932834" w:rsidRDefault="00004883" w:rsidP="00932834">
            <w:pPr>
              <w:pStyle w:val="Tabletextleft"/>
              <w:rPr>
                <w:b/>
              </w:rPr>
            </w:pPr>
            <w:r w:rsidRPr="00932834">
              <w:rPr>
                <w:b/>
              </w:rPr>
              <w:t>stakeholder</w:t>
            </w:r>
          </w:p>
        </w:tc>
        <w:tc>
          <w:tcPr>
            <w:tcW w:w="1417" w:type="dxa"/>
            <w:vAlign w:val="top"/>
          </w:tcPr>
          <w:p w14:paraId="40A50FC0" w14:textId="77777777" w:rsidR="00004883" w:rsidRPr="00932834" w:rsidRDefault="00004883" w:rsidP="00932834">
            <w:pPr>
              <w:pStyle w:val="Tabletextleft"/>
              <w:rPr>
                <w:b/>
              </w:rPr>
            </w:pPr>
            <w:r w:rsidRPr="00932834">
              <w:rPr>
                <w:b/>
              </w:rPr>
              <w:t>Availability of data for reporting</w:t>
            </w:r>
          </w:p>
        </w:tc>
      </w:tr>
      <w:tr w:rsidR="008E372B" w:rsidRPr="00932834" w14:paraId="65D2EB67" w14:textId="77777777" w:rsidTr="00932834">
        <w:trPr>
          <w:cnfStyle w:val="000000100000" w:firstRow="0" w:lastRow="0" w:firstColumn="0" w:lastColumn="0" w:oddVBand="0" w:evenVBand="0" w:oddHBand="1" w:evenHBand="0" w:firstRowFirstColumn="0" w:firstRowLastColumn="0" w:lastRowFirstColumn="0" w:lastRowLastColumn="0"/>
        </w:trPr>
        <w:tc>
          <w:tcPr>
            <w:tcW w:w="160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5AD5AD8" w14:textId="77777777" w:rsidR="008E372B" w:rsidRPr="00932834" w:rsidRDefault="008E372B" w:rsidP="00932834">
            <w:pPr>
              <w:pStyle w:val="Tabletextleft"/>
              <w:rPr>
                <w:b/>
              </w:rPr>
            </w:pPr>
            <w:r w:rsidRPr="00932834">
              <w:rPr>
                <w:b/>
              </w:rPr>
              <w:t>Numerator</w:t>
            </w:r>
          </w:p>
        </w:tc>
        <w:tc>
          <w:tcPr>
            <w:tcW w:w="106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6830104" w14:textId="77777777" w:rsidR="008E372B" w:rsidRPr="00932834" w:rsidRDefault="008E372B" w:rsidP="00932834">
            <w:pPr>
              <w:pStyle w:val="Tabletextleft"/>
            </w:pPr>
            <w:r w:rsidRPr="00932834">
              <w:t>NNDSS</w:t>
            </w:r>
          </w:p>
        </w:tc>
        <w:tc>
          <w:tcPr>
            <w:tcW w:w="299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ACAA356" w14:textId="77777777" w:rsidR="008E372B" w:rsidRPr="00932834" w:rsidRDefault="008E372B" w:rsidP="00932834">
            <w:pPr>
              <w:pStyle w:val="Tabletextleft"/>
            </w:pPr>
            <w:r w:rsidRPr="00932834">
              <w:t>Number of unspecified syphilis notifications with Indigenous status reported as either Indigenous or Non-Indigenous</w:t>
            </w:r>
          </w:p>
        </w:tc>
        <w:tc>
          <w:tcPr>
            <w:tcW w:w="255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AE8EC84" w14:textId="77777777" w:rsidR="008E372B" w:rsidRPr="00932834" w:rsidRDefault="008E372B" w:rsidP="00932834">
            <w:pPr>
              <w:pStyle w:val="Tabletextleft"/>
            </w:pPr>
            <w:r w:rsidRPr="00932834">
              <w:t>Australian Centre for Disease Control</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4C6485D" w14:textId="77777777" w:rsidR="008E372B" w:rsidRPr="00932834" w:rsidRDefault="008E372B" w:rsidP="00932834">
            <w:pPr>
              <w:pStyle w:val="Tabletextleft"/>
            </w:pPr>
            <w:r w:rsidRPr="00932834">
              <w:t>Quarterly</w:t>
            </w:r>
          </w:p>
        </w:tc>
      </w:tr>
      <w:tr w:rsidR="008E372B" w:rsidRPr="00932834" w14:paraId="22245421" w14:textId="77777777" w:rsidTr="00932834">
        <w:tc>
          <w:tcPr>
            <w:tcW w:w="1604" w:type="dxa"/>
            <w:vAlign w:val="top"/>
          </w:tcPr>
          <w:p w14:paraId="679DC387" w14:textId="77777777" w:rsidR="008E372B" w:rsidRPr="00932834" w:rsidRDefault="008E372B" w:rsidP="00932834">
            <w:pPr>
              <w:pStyle w:val="Tabletextleft"/>
              <w:rPr>
                <w:b/>
              </w:rPr>
            </w:pPr>
            <w:r w:rsidRPr="00932834">
              <w:rPr>
                <w:b/>
              </w:rPr>
              <w:t>Denominator</w:t>
            </w:r>
          </w:p>
        </w:tc>
        <w:tc>
          <w:tcPr>
            <w:tcW w:w="1065" w:type="dxa"/>
            <w:vAlign w:val="top"/>
          </w:tcPr>
          <w:p w14:paraId="2A630E93" w14:textId="77777777" w:rsidR="008E372B" w:rsidRPr="00932834" w:rsidRDefault="008E372B" w:rsidP="00932834">
            <w:pPr>
              <w:pStyle w:val="Tabletextleft"/>
            </w:pPr>
            <w:r w:rsidRPr="00932834">
              <w:t>NNDSS</w:t>
            </w:r>
          </w:p>
        </w:tc>
        <w:tc>
          <w:tcPr>
            <w:tcW w:w="2996" w:type="dxa"/>
            <w:vAlign w:val="top"/>
          </w:tcPr>
          <w:p w14:paraId="3532F2E6" w14:textId="77777777" w:rsidR="008E372B" w:rsidRPr="00932834" w:rsidRDefault="008E372B" w:rsidP="00932834">
            <w:pPr>
              <w:pStyle w:val="Tabletextleft"/>
            </w:pPr>
            <w:r w:rsidRPr="00932834">
              <w:t>Total number of unspecified syphilis notifications reported to the NNDSS</w:t>
            </w:r>
          </w:p>
        </w:tc>
        <w:tc>
          <w:tcPr>
            <w:tcW w:w="2552" w:type="dxa"/>
            <w:vAlign w:val="top"/>
          </w:tcPr>
          <w:p w14:paraId="7E9D1EB1" w14:textId="77777777" w:rsidR="008E372B" w:rsidRPr="00932834" w:rsidRDefault="008E372B" w:rsidP="00932834">
            <w:pPr>
              <w:pStyle w:val="Tabletextleft"/>
            </w:pPr>
            <w:r w:rsidRPr="00932834">
              <w:t>Australian Centre for Disease Control</w:t>
            </w:r>
          </w:p>
        </w:tc>
        <w:tc>
          <w:tcPr>
            <w:tcW w:w="1417" w:type="dxa"/>
            <w:vAlign w:val="top"/>
          </w:tcPr>
          <w:p w14:paraId="6CAF74E5" w14:textId="77777777" w:rsidR="008E372B" w:rsidRPr="00932834" w:rsidRDefault="008E372B" w:rsidP="00932834">
            <w:pPr>
              <w:pStyle w:val="Tabletextleft"/>
            </w:pPr>
            <w:r w:rsidRPr="00932834">
              <w:t>Quarterly</w:t>
            </w:r>
          </w:p>
        </w:tc>
      </w:tr>
    </w:tbl>
    <w:p w14:paraId="7392823A" w14:textId="4EDA0219" w:rsidR="00647FD6" w:rsidRPr="00932834" w:rsidRDefault="00647FD6" w:rsidP="00932834">
      <w:pPr>
        <w:pStyle w:val="Tableheadings"/>
      </w:pPr>
      <w:r w:rsidRPr="00932834">
        <w:t>E.C. 1 Proportion of infectious syphilis (&lt;2 years duration) notifications with enhanced field completed</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065"/>
        <w:gridCol w:w="2996"/>
        <w:gridCol w:w="2552"/>
        <w:gridCol w:w="1417"/>
      </w:tblGrid>
      <w:tr w:rsidR="00647FD6" w:rsidRPr="00B70FB2" w14:paraId="37AA9187" w14:textId="77777777" w:rsidTr="00D878EC">
        <w:trPr>
          <w:cnfStyle w:val="100000000000" w:firstRow="1" w:lastRow="0" w:firstColumn="0" w:lastColumn="0" w:oddVBand="0" w:evenVBand="0" w:oddHBand="0" w:evenHBand="0" w:firstRowFirstColumn="0" w:firstRowLastColumn="0" w:lastRowFirstColumn="0" w:lastRowLastColumn="0"/>
          <w:tblHeader/>
        </w:trPr>
        <w:tc>
          <w:tcPr>
            <w:tcW w:w="1604" w:type="dxa"/>
            <w:vAlign w:val="top"/>
          </w:tcPr>
          <w:p w14:paraId="569AE1D5" w14:textId="77777777" w:rsidR="00647FD6" w:rsidRPr="00B70FB2" w:rsidRDefault="00647FD6" w:rsidP="00B70FB2">
            <w:pPr>
              <w:pStyle w:val="Tabletextleft"/>
              <w:rPr>
                <w:b/>
              </w:rPr>
            </w:pPr>
            <w:r w:rsidRPr="00B70FB2">
              <w:rPr>
                <w:b/>
              </w:rPr>
              <w:t>Indicator components</w:t>
            </w:r>
          </w:p>
        </w:tc>
        <w:tc>
          <w:tcPr>
            <w:tcW w:w="1065" w:type="dxa"/>
            <w:vAlign w:val="top"/>
          </w:tcPr>
          <w:p w14:paraId="0ED67E7A" w14:textId="77777777" w:rsidR="00647FD6" w:rsidRPr="00B70FB2" w:rsidRDefault="00647FD6" w:rsidP="00B70FB2">
            <w:pPr>
              <w:pStyle w:val="Tabletextleft"/>
              <w:rPr>
                <w:b/>
              </w:rPr>
            </w:pPr>
            <w:r w:rsidRPr="00B70FB2">
              <w:rPr>
                <w:b/>
              </w:rPr>
              <w:t>Source</w:t>
            </w:r>
          </w:p>
        </w:tc>
        <w:tc>
          <w:tcPr>
            <w:tcW w:w="2996" w:type="dxa"/>
            <w:vAlign w:val="top"/>
          </w:tcPr>
          <w:p w14:paraId="55BEB67B" w14:textId="77777777" w:rsidR="00647FD6" w:rsidRPr="00B70FB2" w:rsidRDefault="00647FD6" w:rsidP="00B70FB2">
            <w:pPr>
              <w:pStyle w:val="Tabletextleft"/>
              <w:rPr>
                <w:b/>
              </w:rPr>
            </w:pPr>
            <w:r w:rsidRPr="00B70FB2">
              <w:rPr>
                <w:b/>
              </w:rPr>
              <w:t>Description</w:t>
            </w:r>
          </w:p>
        </w:tc>
        <w:tc>
          <w:tcPr>
            <w:tcW w:w="2552" w:type="dxa"/>
            <w:vAlign w:val="top"/>
          </w:tcPr>
          <w:p w14:paraId="106B7450" w14:textId="77777777" w:rsidR="00647FD6" w:rsidRPr="00B70FB2" w:rsidRDefault="00647FD6" w:rsidP="00B70FB2">
            <w:pPr>
              <w:pStyle w:val="Tabletextleft"/>
              <w:rPr>
                <w:b/>
              </w:rPr>
            </w:pPr>
            <w:r w:rsidRPr="00B70FB2">
              <w:rPr>
                <w:b/>
              </w:rPr>
              <w:t>Custodian/</w:t>
            </w:r>
          </w:p>
          <w:p w14:paraId="0559DC8F" w14:textId="77777777" w:rsidR="00647FD6" w:rsidRPr="00B70FB2" w:rsidRDefault="00647FD6" w:rsidP="00B70FB2">
            <w:pPr>
              <w:pStyle w:val="Tabletextleft"/>
              <w:rPr>
                <w:b/>
              </w:rPr>
            </w:pPr>
            <w:r w:rsidRPr="00B70FB2">
              <w:rPr>
                <w:b/>
              </w:rPr>
              <w:t>stakeholder</w:t>
            </w:r>
          </w:p>
        </w:tc>
        <w:tc>
          <w:tcPr>
            <w:tcW w:w="1417" w:type="dxa"/>
            <w:vAlign w:val="top"/>
          </w:tcPr>
          <w:p w14:paraId="636F15F7" w14:textId="77777777" w:rsidR="00647FD6" w:rsidRPr="00B70FB2" w:rsidRDefault="00647FD6" w:rsidP="00B70FB2">
            <w:pPr>
              <w:pStyle w:val="Tabletextleft"/>
              <w:rPr>
                <w:b/>
              </w:rPr>
            </w:pPr>
            <w:r w:rsidRPr="00B70FB2">
              <w:rPr>
                <w:b/>
              </w:rPr>
              <w:t>Availability of data for reporting</w:t>
            </w:r>
          </w:p>
        </w:tc>
      </w:tr>
      <w:tr w:rsidR="00647FD6" w:rsidRPr="00932834" w14:paraId="5FABEB94" w14:textId="77777777" w:rsidTr="00B70FB2">
        <w:trPr>
          <w:cnfStyle w:val="000000100000" w:firstRow="0" w:lastRow="0" w:firstColumn="0" w:lastColumn="0" w:oddVBand="0" w:evenVBand="0" w:oddHBand="1" w:evenHBand="0" w:firstRowFirstColumn="0" w:firstRowLastColumn="0" w:lastRowFirstColumn="0" w:lastRowLastColumn="0"/>
        </w:trPr>
        <w:tc>
          <w:tcPr>
            <w:tcW w:w="160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59DB7FE" w14:textId="77777777" w:rsidR="00647FD6" w:rsidRPr="00B70FB2" w:rsidRDefault="00647FD6" w:rsidP="00B70FB2">
            <w:pPr>
              <w:pStyle w:val="Tabletextleft"/>
              <w:rPr>
                <w:b/>
              </w:rPr>
            </w:pPr>
            <w:r w:rsidRPr="00B70FB2">
              <w:rPr>
                <w:b/>
              </w:rPr>
              <w:t>Numerator</w:t>
            </w:r>
          </w:p>
        </w:tc>
        <w:tc>
          <w:tcPr>
            <w:tcW w:w="106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EA85DD9" w14:textId="77777777" w:rsidR="00647FD6" w:rsidRPr="00932834" w:rsidRDefault="00647FD6" w:rsidP="00B70FB2">
            <w:pPr>
              <w:pStyle w:val="Tabletextleft"/>
            </w:pPr>
            <w:r w:rsidRPr="00932834">
              <w:t>NNDSS</w:t>
            </w:r>
          </w:p>
        </w:tc>
        <w:tc>
          <w:tcPr>
            <w:tcW w:w="299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C2507C1" w14:textId="5F8AA378" w:rsidR="00647FD6" w:rsidRPr="00932834" w:rsidRDefault="00647FD6" w:rsidP="00B70FB2">
            <w:pPr>
              <w:pStyle w:val="Tabletextleft"/>
            </w:pPr>
            <w:r w:rsidRPr="00932834">
              <w:t>Number of infectious syphilis notifications with enhanced field completed</w:t>
            </w:r>
          </w:p>
        </w:tc>
        <w:tc>
          <w:tcPr>
            <w:tcW w:w="255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3A73A41" w14:textId="77777777" w:rsidR="00647FD6" w:rsidRPr="00932834" w:rsidRDefault="00647FD6" w:rsidP="00B70FB2">
            <w:pPr>
              <w:pStyle w:val="Tabletextleft"/>
            </w:pPr>
            <w:r w:rsidRPr="00932834">
              <w:t>Australian Centre for Disease Control</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1727980" w14:textId="77777777" w:rsidR="00647FD6" w:rsidRPr="00932834" w:rsidRDefault="00647FD6" w:rsidP="00B70FB2">
            <w:pPr>
              <w:pStyle w:val="Tabletextleft"/>
            </w:pPr>
            <w:r w:rsidRPr="00932834">
              <w:t>Quarterly</w:t>
            </w:r>
          </w:p>
        </w:tc>
      </w:tr>
      <w:tr w:rsidR="00647FD6" w:rsidRPr="00932834" w14:paraId="41729123" w14:textId="77777777" w:rsidTr="00B70FB2">
        <w:tc>
          <w:tcPr>
            <w:tcW w:w="1604" w:type="dxa"/>
            <w:vAlign w:val="top"/>
          </w:tcPr>
          <w:p w14:paraId="617982ED" w14:textId="77777777" w:rsidR="00647FD6" w:rsidRPr="00B70FB2" w:rsidRDefault="00647FD6" w:rsidP="00B70FB2">
            <w:pPr>
              <w:pStyle w:val="Tabletextleft"/>
              <w:rPr>
                <w:b/>
              </w:rPr>
            </w:pPr>
            <w:r w:rsidRPr="00B70FB2">
              <w:rPr>
                <w:b/>
              </w:rPr>
              <w:t>Denominator</w:t>
            </w:r>
          </w:p>
        </w:tc>
        <w:tc>
          <w:tcPr>
            <w:tcW w:w="1065" w:type="dxa"/>
            <w:vAlign w:val="top"/>
          </w:tcPr>
          <w:p w14:paraId="0DA0A919" w14:textId="77777777" w:rsidR="00647FD6" w:rsidRPr="00932834" w:rsidRDefault="00647FD6" w:rsidP="00B70FB2">
            <w:pPr>
              <w:pStyle w:val="Tabletextleft"/>
            </w:pPr>
            <w:r w:rsidRPr="00932834">
              <w:t>NNDSS</w:t>
            </w:r>
          </w:p>
        </w:tc>
        <w:tc>
          <w:tcPr>
            <w:tcW w:w="2996" w:type="dxa"/>
            <w:vAlign w:val="top"/>
          </w:tcPr>
          <w:p w14:paraId="6783E63E" w14:textId="2A4682C8" w:rsidR="00647FD6" w:rsidRPr="00932834" w:rsidRDefault="00647FD6" w:rsidP="00B70FB2">
            <w:pPr>
              <w:pStyle w:val="Tabletextleft"/>
            </w:pPr>
            <w:r w:rsidRPr="00932834">
              <w:t>Total number of infectious syphilis notifications reported to the NNDSS</w:t>
            </w:r>
          </w:p>
        </w:tc>
        <w:tc>
          <w:tcPr>
            <w:tcW w:w="2552" w:type="dxa"/>
            <w:vAlign w:val="top"/>
          </w:tcPr>
          <w:p w14:paraId="4A24C146" w14:textId="77777777" w:rsidR="00647FD6" w:rsidRPr="00932834" w:rsidRDefault="00647FD6" w:rsidP="00B70FB2">
            <w:pPr>
              <w:pStyle w:val="Tabletextleft"/>
            </w:pPr>
            <w:r w:rsidRPr="00932834">
              <w:t>Australian Centre for Disease Control</w:t>
            </w:r>
          </w:p>
        </w:tc>
        <w:tc>
          <w:tcPr>
            <w:tcW w:w="1417" w:type="dxa"/>
            <w:vAlign w:val="top"/>
          </w:tcPr>
          <w:p w14:paraId="7F1771B8" w14:textId="77777777" w:rsidR="00647FD6" w:rsidRPr="00932834" w:rsidRDefault="00647FD6" w:rsidP="00B70FB2">
            <w:pPr>
              <w:pStyle w:val="Tabletextleft"/>
            </w:pPr>
            <w:r w:rsidRPr="00932834">
              <w:t>Quarterly</w:t>
            </w:r>
          </w:p>
        </w:tc>
      </w:tr>
    </w:tbl>
    <w:p w14:paraId="48D07380" w14:textId="5799E9FA" w:rsidR="00647FD6" w:rsidRPr="00B70FB2" w:rsidRDefault="00647FD6" w:rsidP="00B70FB2">
      <w:pPr>
        <w:pStyle w:val="Tableheadings"/>
      </w:pPr>
      <w:r w:rsidRPr="00B70FB2">
        <w:t xml:space="preserve">E.C. </w:t>
      </w:r>
      <w:r w:rsidR="003A532B">
        <w:t>2</w:t>
      </w:r>
      <w:r w:rsidRPr="00B70FB2">
        <w:t xml:space="preserve"> Proportion of congenital syphilis notifications with enhanced field completed</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065"/>
        <w:gridCol w:w="2996"/>
        <w:gridCol w:w="2552"/>
        <w:gridCol w:w="1417"/>
      </w:tblGrid>
      <w:tr w:rsidR="00647FD6" w:rsidRPr="00B70FB2" w14:paraId="50398F44" w14:textId="77777777" w:rsidTr="00D878EC">
        <w:trPr>
          <w:cnfStyle w:val="100000000000" w:firstRow="1" w:lastRow="0" w:firstColumn="0" w:lastColumn="0" w:oddVBand="0" w:evenVBand="0" w:oddHBand="0" w:evenHBand="0" w:firstRowFirstColumn="0" w:firstRowLastColumn="0" w:lastRowFirstColumn="0" w:lastRowLastColumn="0"/>
          <w:tblHeader/>
        </w:trPr>
        <w:tc>
          <w:tcPr>
            <w:tcW w:w="1604" w:type="dxa"/>
            <w:vAlign w:val="top"/>
          </w:tcPr>
          <w:p w14:paraId="7FEBCF69" w14:textId="77777777" w:rsidR="00647FD6" w:rsidRPr="00B70FB2" w:rsidRDefault="00647FD6" w:rsidP="00B70FB2">
            <w:pPr>
              <w:pStyle w:val="Tabletextleft"/>
              <w:rPr>
                <w:b/>
              </w:rPr>
            </w:pPr>
            <w:r w:rsidRPr="00B70FB2">
              <w:rPr>
                <w:b/>
              </w:rPr>
              <w:t>Indicator components</w:t>
            </w:r>
          </w:p>
        </w:tc>
        <w:tc>
          <w:tcPr>
            <w:tcW w:w="1065" w:type="dxa"/>
            <w:vAlign w:val="top"/>
          </w:tcPr>
          <w:p w14:paraId="1480EE27" w14:textId="77777777" w:rsidR="00647FD6" w:rsidRPr="00B70FB2" w:rsidRDefault="00647FD6" w:rsidP="00B70FB2">
            <w:pPr>
              <w:pStyle w:val="Tabletextleft"/>
              <w:rPr>
                <w:b/>
              </w:rPr>
            </w:pPr>
            <w:r w:rsidRPr="00B70FB2">
              <w:rPr>
                <w:b/>
              </w:rPr>
              <w:t>Source</w:t>
            </w:r>
          </w:p>
        </w:tc>
        <w:tc>
          <w:tcPr>
            <w:tcW w:w="2996" w:type="dxa"/>
            <w:vAlign w:val="top"/>
          </w:tcPr>
          <w:p w14:paraId="313CFD26" w14:textId="77777777" w:rsidR="00647FD6" w:rsidRPr="00B70FB2" w:rsidRDefault="00647FD6" w:rsidP="00B70FB2">
            <w:pPr>
              <w:pStyle w:val="Tabletextleft"/>
              <w:rPr>
                <w:b/>
              </w:rPr>
            </w:pPr>
            <w:r w:rsidRPr="00B70FB2">
              <w:rPr>
                <w:b/>
              </w:rPr>
              <w:t>Description</w:t>
            </w:r>
          </w:p>
        </w:tc>
        <w:tc>
          <w:tcPr>
            <w:tcW w:w="2552" w:type="dxa"/>
            <w:vAlign w:val="top"/>
          </w:tcPr>
          <w:p w14:paraId="0BC87060" w14:textId="77777777" w:rsidR="00647FD6" w:rsidRPr="00B70FB2" w:rsidRDefault="00647FD6" w:rsidP="00B70FB2">
            <w:pPr>
              <w:pStyle w:val="Tabletextleft"/>
              <w:rPr>
                <w:b/>
              </w:rPr>
            </w:pPr>
            <w:r w:rsidRPr="00B70FB2">
              <w:rPr>
                <w:b/>
              </w:rPr>
              <w:t>Custodian/</w:t>
            </w:r>
          </w:p>
          <w:p w14:paraId="238BD6FD" w14:textId="77777777" w:rsidR="00647FD6" w:rsidRPr="00B70FB2" w:rsidRDefault="00647FD6" w:rsidP="00B70FB2">
            <w:pPr>
              <w:pStyle w:val="Tabletextleft"/>
              <w:rPr>
                <w:b/>
              </w:rPr>
            </w:pPr>
            <w:r w:rsidRPr="00B70FB2">
              <w:rPr>
                <w:b/>
              </w:rPr>
              <w:t>stakeholder</w:t>
            </w:r>
          </w:p>
        </w:tc>
        <w:tc>
          <w:tcPr>
            <w:tcW w:w="1417" w:type="dxa"/>
            <w:vAlign w:val="top"/>
          </w:tcPr>
          <w:p w14:paraId="46C35FA8" w14:textId="77777777" w:rsidR="00647FD6" w:rsidRPr="00B70FB2" w:rsidRDefault="00647FD6" w:rsidP="00B70FB2">
            <w:pPr>
              <w:pStyle w:val="Tabletextleft"/>
              <w:rPr>
                <w:b/>
              </w:rPr>
            </w:pPr>
            <w:r w:rsidRPr="00B70FB2">
              <w:rPr>
                <w:b/>
              </w:rPr>
              <w:t>Availability of data for reporting</w:t>
            </w:r>
          </w:p>
        </w:tc>
      </w:tr>
      <w:tr w:rsidR="00647FD6" w:rsidRPr="00B70FB2" w14:paraId="3427BA25" w14:textId="77777777" w:rsidTr="00B70FB2">
        <w:trPr>
          <w:cnfStyle w:val="000000100000" w:firstRow="0" w:lastRow="0" w:firstColumn="0" w:lastColumn="0" w:oddVBand="0" w:evenVBand="0" w:oddHBand="1" w:evenHBand="0" w:firstRowFirstColumn="0" w:firstRowLastColumn="0" w:lastRowFirstColumn="0" w:lastRowLastColumn="0"/>
        </w:trPr>
        <w:tc>
          <w:tcPr>
            <w:tcW w:w="160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B39F85F" w14:textId="77777777" w:rsidR="00647FD6" w:rsidRPr="00B70FB2" w:rsidRDefault="00647FD6" w:rsidP="00B70FB2">
            <w:pPr>
              <w:pStyle w:val="Tabletextleft"/>
              <w:rPr>
                <w:b/>
              </w:rPr>
            </w:pPr>
            <w:r w:rsidRPr="00B70FB2">
              <w:rPr>
                <w:b/>
              </w:rPr>
              <w:t>Numerator</w:t>
            </w:r>
          </w:p>
        </w:tc>
        <w:tc>
          <w:tcPr>
            <w:tcW w:w="106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9FA3818" w14:textId="77777777" w:rsidR="00647FD6" w:rsidRPr="00B70FB2" w:rsidRDefault="00647FD6" w:rsidP="00B70FB2">
            <w:pPr>
              <w:pStyle w:val="Tabletextleft"/>
            </w:pPr>
            <w:r w:rsidRPr="00B70FB2">
              <w:t>NNDSS</w:t>
            </w:r>
          </w:p>
        </w:tc>
        <w:tc>
          <w:tcPr>
            <w:tcW w:w="299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F46B38E" w14:textId="2AD91DD9" w:rsidR="00647FD6" w:rsidRPr="00B70FB2" w:rsidRDefault="00647FD6" w:rsidP="00B70FB2">
            <w:pPr>
              <w:pStyle w:val="Tabletextleft"/>
            </w:pPr>
            <w:r w:rsidRPr="00B70FB2">
              <w:t>Number of congenital syphilis notifications with enhanced field completed</w:t>
            </w:r>
          </w:p>
        </w:tc>
        <w:tc>
          <w:tcPr>
            <w:tcW w:w="255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6632953" w14:textId="77777777" w:rsidR="00647FD6" w:rsidRPr="00B70FB2" w:rsidRDefault="00647FD6" w:rsidP="00B70FB2">
            <w:pPr>
              <w:pStyle w:val="Tabletextleft"/>
            </w:pPr>
            <w:r w:rsidRPr="00B70FB2">
              <w:t>Australian Centre for Disease Control</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5352DB8" w14:textId="77777777" w:rsidR="00647FD6" w:rsidRPr="00B70FB2" w:rsidRDefault="00647FD6" w:rsidP="00B70FB2">
            <w:pPr>
              <w:pStyle w:val="Tabletextleft"/>
            </w:pPr>
            <w:r w:rsidRPr="00B70FB2">
              <w:t>Quarterly</w:t>
            </w:r>
          </w:p>
        </w:tc>
      </w:tr>
      <w:tr w:rsidR="00647FD6" w:rsidRPr="00B70FB2" w14:paraId="350F3EC1" w14:textId="77777777" w:rsidTr="00B70FB2">
        <w:tc>
          <w:tcPr>
            <w:tcW w:w="1604" w:type="dxa"/>
            <w:vAlign w:val="top"/>
          </w:tcPr>
          <w:p w14:paraId="731CF029" w14:textId="77777777" w:rsidR="00647FD6" w:rsidRPr="00B70FB2" w:rsidRDefault="00647FD6" w:rsidP="00B70FB2">
            <w:pPr>
              <w:pStyle w:val="Tabletextleft"/>
              <w:rPr>
                <w:b/>
              </w:rPr>
            </w:pPr>
            <w:r w:rsidRPr="00B70FB2">
              <w:rPr>
                <w:b/>
              </w:rPr>
              <w:t>Denominator</w:t>
            </w:r>
          </w:p>
        </w:tc>
        <w:tc>
          <w:tcPr>
            <w:tcW w:w="1065" w:type="dxa"/>
            <w:vAlign w:val="top"/>
          </w:tcPr>
          <w:p w14:paraId="3836431D" w14:textId="77777777" w:rsidR="00647FD6" w:rsidRPr="00B70FB2" w:rsidRDefault="00647FD6" w:rsidP="00B70FB2">
            <w:pPr>
              <w:pStyle w:val="Tabletextleft"/>
            </w:pPr>
            <w:r w:rsidRPr="00B70FB2">
              <w:t>NNDSS</w:t>
            </w:r>
          </w:p>
        </w:tc>
        <w:tc>
          <w:tcPr>
            <w:tcW w:w="2996" w:type="dxa"/>
            <w:vAlign w:val="top"/>
          </w:tcPr>
          <w:p w14:paraId="14B990DF" w14:textId="258EEE65" w:rsidR="00647FD6" w:rsidRPr="00B70FB2" w:rsidRDefault="00647FD6" w:rsidP="00B70FB2">
            <w:pPr>
              <w:pStyle w:val="Tabletextleft"/>
            </w:pPr>
            <w:r w:rsidRPr="00B70FB2">
              <w:t>Total number of congenital syphilis notifications reported to the NNDSS</w:t>
            </w:r>
          </w:p>
        </w:tc>
        <w:tc>
          <w:tcPr>
            <w:tcW w:w="2552" w:type="dxa"/>
            <w:vAlign w:val="top"/>
          </w:tcPr>
          <w:p w14:paraId="2DF76C9E" w14:textId="77777777" w:rsidR="00647FD6" w:rsidRPr="00B70FB2" w:rsidRDefault="00647FD6" w:rsidP="00B70FB2">
            <w:pPr>
              <w:pStyle w:val="Tabletextleft"/>
            </w:pPr>
            <w:r w:rsidRPr="00B70FB2">
              <w:t>Australian Centre for Disease Control</w:t>
            </w:r>
          </w:p>
        </w:tc>
        <w:tc>
          <w:tcPr>
            <w:tcW w:w="1417" w:type="dxa"/>
            <w:vAlign w:val="top"/>
          </w:tcPr>
          <w:p w14:paraId="080EA652" w14:textId="77777777" w:rsidR="00647FD6" w:rsidRPr="00B70FB2" w:rsidRDefault="00647FD6" w:rsidP="00B70FB2">
            <w:pPr>
              <w:pStyle w:val="Tabletextleft"/>
            </w:pPr>
            <w:r w:rsidRPr="00B70FB2">
              <w:t>Quarterly</w:t>
            </w:r>
          </w:p>
        </w:tc>
      </w:tr>
    </w:tbl>
    <w:p w14:paraId="7B72A943" w14:textId="77777777" w:rsidR="0076581D" w:rsidRDefault="0076581D" w:rsidP="0076581D">
      <w:pPr>
        <w:tabs>
          <w:tab w:val="left" w:pos="2625"/>
        </w:tabs>
      </w:pPr>
    </w:p>
    <w:p w14:paraId="06CA9187" w14:textId="77777777" w:rsidR="0076581D" w:rsidRPr="00B70FB2" w:rsidRDefault="0076581D" w:rsidP="00B70FB2">
      <w:pPr>
        <w:pStyle w:val="Heading1"/>
      </w:pPr>
      <w:bookmarkStart w:id="15" w:name="_Toc230091251"/>
      <w:r w:rsidRPr="00B70FB2">
        <w:lastRenderedPageBreak/>
        <w:t>Goals</w:t>
      </w:r>
      <w:bookmarkEnd w:id="15"/>
    </w:p>
    <w:p w14:paraId="243D9C6B" w14:textId="2D71E089" w:rsidR="0076581D" w:rsidRDefault="0076581D" w:rsidP="00B70FB2">
      <w:pPr>
        <w:pStyle w:val="Heading2"/>
      </w:pPr>
      <w:bookmarkStart w:id="16" w:name="_Goal_1_-"/>
      <w:bookmarkStart w:id="17" w:name="_Toc230091252"/>
      <w:bookmarkEnd w:id="16"/>
      <w:r>
        <w:t xml:space="preserve">Goal 1 </w:t>
      </w:r>
      <w:r w:rsidR="00811AD1">
        <w:t>–</w:t>
      </w:r>
      <w:r>
        <w:t xml:space="preserve"> </w:t>
      </w:r>
      <w:r w:rsidRPr="0076581D">
        <w:t>Strengthen prevention and testing strategies for syphilis in priority populations and settings, targeting high-burden areas</w:t>
      </w:r>
      <w:bookmarkEnd w:id="17"/>
    </w:p>
    <w:p w14:paraId="6AA68D6F" w14:textId="77777777" w:rsidR="00F635E5" w:rsidRPr="00780E4B" w:rsidRDefault="00F635E5" w:rsidP="00D8229C">
      <w:pPr>
        <w:pStyle w:val="Boxgreenheading"/>
      </w:pPr>
      <w:r w:rsidRPr="00780E4B">
        <w:t>Indicators</w:t>
      </w:r>
    </w:p>
    <w:p w14:paraId="128CCFFE" w14:textId="722B7E83" w:rsidR="0076581D" w:rsidRPr="005C1DA5" w:rsidRDefault="005C1DA5" w:rsidP="00E46E1A">
      <w:pPr>
        <w:pStyle w:val="Boxgreentext"/>
        <w:spacing w:after="60"/>
        <w:ind w:left="709" w:hanging="709"/>
      </w:pPr>
      <w:bookmarkStart w:id="18" w:name="_Hlk197071938"/>
      <w:r>
        <w:t>1.1</w:t>
      </w:r>
      <w:r>
        <w:tab/>
      </w:r>
      <w:r w:rsidR="00493169" w:rsidRPr="005C1DA5">
        <w:t>Reported risk factors for people giving birth to an infant with congenital syphilis</w:t>
      </w:r>
    </w:p>
    <w:p w14:paraId="3F13EFA2" w14:textId="7945D2FA" w:rsidR="00493169" w:rsidRPr="005C1DA5" w:rsidRDefault="005C1DA5" w:rsidP="00E46E1A">
      <w:pPr>
        <w:pStyle w:val="Boxgreentext"/>
        <w:spacing w:after="60"/>
        <w:ind w:left="709" w:hanging="709"/>
      </w:pPr>
      <w:r>
        <w:t>1.2</w:t>
      </w:r>
      <w:r>
        <w:tab/>
      </w:r>
      <w:r w:rsidR="00493169" w:rsidRPr="005C1DA5">
        <w:t>Cumulative number of syphilis tests delivered through participating ACCHS</w:t>
      </w:r>
      <w:r w:rsidR="002D07FE" w:rsidRPr="005C1DA5">
        <w:t>, by target and total population</w:t>
      </w:r>
    </w:p>
    <w:p w14:paraId="7ADCE1B4" w14:textId="4BD94520" w:rsidR="00493169" w:rsidRPr="005C1DA5" w:rsidRDefault="005C1DA5" w:rsidP="00E46E1A">
      <w:pPr>
        <w:pStyle w:val="Boxgreentext"/>
        <w:spacing w:after="60"/>
        <w:ind w:left="709" w:hanging="709"/>
      </w:pPr>
      <w:r>
        <w:t>1.3</w:t>
      </w:r>
      <w:r>
        <w:tab/>
      </w:r>
      <w:r w:rsidR="00493169" w:rsidRPr="005C1DA5">
        <w:t>Proportion of people attending participating ACCHS receiving a syphilis test within the previous 12 months</w:t>
      </w:r>
      <w:r w:rsidR="002D07FE" w:rsidRPr="005C1DA5">
        <w:t>, by target and total population</w:t>
      </w:r>
      <w:r w:rsidR="00493169" w:rsidRPr="005C1DA5">
        <w:t xml:space="preserve"> (syphilis testing coverage)</w:t>
      </w:r>
    </w:p>
    <w:p w14:paraId="7F1A1FD6" w14:textId="2C8701AC" w:rsidR="008333C9" w:rsidRPr="005C1DA5" w:rsidRDefault="00E46E1A" w:rsidP="00E46E1A">
      <w:pPr>
        <w:pStyle w:val="Boxgreentext"/>
        <w:spacing w:after="60"/>
        <w:ind w:left="709" w:hanging="709"/>
      </w:pPr>
      <w:r>
        <w:t>1.4</w:t>
      </w:r>
      <w:r>
        <w:tab/>
      </w:r>
      <w:r w:rsidR="005D702D">
        <w:t xml:space="preserve"> Proportion of people from priority populations</w:t>
      </w:r>
      <w:r w:rsidR="00790545">
        <w:t xml:space="preserve"> tested for syphilis in the previous 12 months attending a site within the ACCESS network</w:t>
      </w:r>
    </w:p>
    <w:p w14:paraId="08971E7B" w14:textId="5257E0C6" w:rsidR="008333C9" w:rsidRPr="005C1DA5" w:rsidRDefault="00E46E1A" w:rsidP="00E46E1A">
      <w:pPr>
        <w:pStyle w:val="Boxgreentext"/>
        <w:spacing w:after="60"/>
        <w:ind w:left="709" w:hanging="709"/>
      </w:pPr>
      <w:r>
        <w:t>1.5</w:t>
      </w:r>
      <w:r>
        <w:tab/>
      </w:r>
      <w:r w:rsidR="008333C9" w:rsidRPr="005C1DA5">
        <w:t>Proportion of gay</w:t>
      </w:r>
      <w:r w:rsidR="0070534A">
        <w:t>,</w:t>
      </w:r>
      <w:r w:rsidR="008333C9" w:rsidRPr="005C1DA5">
        <w:t xml:space="preserve"> bisexual</w:t>
      </w:r>
      <w:r w:rsidR="0070534A">
        <w:t>, and other</w:t>
      </w:r>
      <w:r w:rsidR="008333C9" w:rsidRPr="005C1DA5">
        <w:t xml:space="preserve"> men who have sex with men who have been tested for syphilis three or more times in the previous 12 months attending a site within the ACCESS network</w:t>
      </w:r>
    </w:p>
    <w:p w14:paraId="51454A3D" w14:textId="3B628BA3" w:rsidR="00493169" w:rsidRPr="005C1DA5" w:rsidRDefault="004E7486" w:rsidP="00E46E1A">
      <w:pPr>
        <w:pStyle w:val="Boxgreentext"/>
        <w:spacing w:after="60"/>
        <w:ind w:left="709" w:hanging="709"/>
      </w:pPr>
      <w:bookmarkStart w:id="19" w:name="_Hlk197067847"/>
      <w:r>
        <w:t>1.6</w:t>
      </w:r>
      <w:r>
        <w:tab/>
      </w:r>
      <w:r w:rsidR="00493169" w:rsidRPr="005C1DA5">
        <w:t xml:space="preserve">Proportion of </w:t>
      </w:r>
      <w:r w:rsidR="008D7284" w:rsidRPr="005C1DA5">
        <w:t>women</w:t>
      </w:r>
      <w:r w:rsidR="00493169" w:rsidRPr="005C1DA5">
        <w:t xml:space="preserve"> who gave birth, by duration of pregnancy at first antenatal visit</w:t>
      </w:r>
    </w:p>
    <w:bookmarkEnd w:id="19"/>
    <w:p w14:paraId="6A3DD522" w14:textId="73A956C1" w:rsidR="00493169" w:rsidRPr="005C1DA5" w:rsidRDefault="004E7486" w:rsidP="00E46E1A">
      <w:pPr>
        <w:pStyle w:val="Boxgreentext"/>
        <w:spacing w:after="60"/>
        <w:ind w:left="709" w:hanging="709"/>
      </w:pPr>
      <w:r>
        <w:t>1.7</w:t>
      </w:r>
      <w:r>
        <w:tab/>
      </w:r>
      <w:r w:rsidR="00493169" w:rsidRPr="005C1DA5">
        <w:t xml:space="preserve">Proportion of </w:t>
      </w:r>
      <w:r w:rsidR="008D7284" w:rsidRPr="005C1DA5">
        <w:t>women</w:t>
      </w:r>
      <w:r w:rsidR="00493169" w:rsidRPr="005C1DA5">
        <w:t xml:space="preserve"> who gave birth, by duration of pregnancy at first antenatal visit, by remoteness area</w:t>
      </w:r>
    </w:p>
    <w:p w14:paraId="6126646C" w14:textId="1DE92902" w:rsidR="00493169" w:rsidRPr="005C1DA5" w:rsidRDefault="004E7486" w:rsidP="00E46E1A">
      <w:pPr>
        <w:pStyle w:val="Boxgreentext"/>
        <w:spacing w:after="60"/>
        <w:ind w:left="709" w:hanging="709"/>
      </w:pPr>
      <w:r>
        <w:t>1.8</w:t>
      </w:r>
      <w:r>
        <w:tab/>
      </w:r>
      <w:r w:rsidR="00493169" w:rsidRPr="005C1DA5">
        <w:t xml:space="preserve">Proportion of </w:t>
      </w:r>
      <w:r w:rsidR="008D7284" w:rsidRPr="005C1DA5">
        <w:t>women</w:t>
      </w:r>
      <w:r w:rsidR="00493169" w:rsidRPr="005C1DA5">
        <w:t xml:space="preserve"> who gave birth, by number of antenatal visits</w:t>
      </w:r>
    </w:p>
    <w:p w14:paraId="18E772BB" w14:textId="4D69B95C" w:rsidR="00493169" w:rsidRPr="005C1DA5" w:rsidRDefault="004E7486" w:rsidP="00E46E1A">
      <w:pPr>
        <w:pStyle w:val="Boxgreentext"/>
        <w:spacing w:after="60"/>
        <w:ind w:left="709" w:hanging="709"/>
      </w:pPr>
      <w:r>
        <w:t>1.9</w:t>
      </w:r>
      <w:r>
        <w:tab/>
      </w:r>
      <w:r w:rsidR="00493169" w:rsidRPr="005C1DA5">
        <w:t xml:space="preserve">Proportion of </w:t>
      </w:r>
      <w:r w:rsidR="008D7284" w:rsidRPr="005C1DA5">
        <w:t>women</w:t>
      </w:r>
      <w:r w:rsidR="00493169" w:rsidRPr="005C1DA5">
        <w:t xml:space="preserve"> who gave birth, by number of antenatal visits, by remoteness area</w:t>
      </w:r>
    </w:p>
    <w:p w14:paraId="02292E34" w14:textId="11CDEE86" w:rsidR="0076581D" w:rsidRPr="005C1DA5" w:rsidRDefault="004E7486" w:rsidP="00E46E1A">
      <w:pPr>
        <w:pStyle w:val="Boxgreentext"/>
        <w:spacing w:after="60"/>
        <w:ind w:left="709" w:hanging="709"/>
      </w:pPr>
      <w:r>
        <w:t>1.10</w:t>
      </w:r>
      <w:r>
        <w:tab/>
      </w:r>
      <w:r w:rsidR="00493169" w:rsidRPr="005C1DA5">
        <w:t xml:space="preserve">Proportion of </w:t>
      </w:r>
      <w:r w:rsidR="008D7284" w:rsidRPr="005C1DA5">
        <w:t>women</w:t>
      </w:r>
      <w:r w:rsidR="00493169" w:rsidRPr="005C1DA5">
        <w:t xml:space="preserve"> who gave birth, by country of birth</w:t>
      </w:r>
    </w:p>
    <w:bookmarkEnd w:id="18"/>
    <w:p w14:paraId="00DE3233" w14:textId="77777777" w:rsidR="00944FDB" w:rsidRPr="004E7486" w:rsidRDefault="00944FDB" w:rsidP="004E7486">
      <w:pPr>
        <w:pStyle w:val="Heading3"/>
      </w:pPr>
      <w:r w:rsidRPr="004E7486">
        <w:t>Why is this goal important?</w:t>
      </w:r>
    </w:p>
    <w:p w14:paraId="67386F92" w14:textId="77777777" w:rsidR="00944FDB" w:rsidRPr="004E7486" w:rsidRDefault="00944FDB" w:rsidP="004E7486">
      <w:r w:rsidRPr="004E7486">
        <w:t>Goal 1 is important as it provides information on syphilis prevention and testing strategies occurring in Australia, and in which at-risk population groups and settings these activities are occurring. Reporting against this goal will contribute to national understanding of syphilis testing coverage, antenatal care and characteristics of pregnant people, risk factors for pregnant people and implementation of national programs and guidance to support the national syphilis response.</w:t>
      </w:r>
    </w:p>
    <w:p w14:paraId="7B1D28D8" w14:textId="77777777" w:rsidR="00944FDB" w:rsidRPr="004E7486" w:rsidRDefault="00944FDB" w:rsidP="004E7486">
      <w:pPr>
        <w:pStyle w:val="Heading3"/>
      </w:pPr>
      <w:r w:rsidRPr="004E7486">
        <w:lastRenderedPageBreak/>
        <w:t>Data gaps</w:t>
      </w:r>
    </w:p>
    <w:p w14:paraId="28B4DA62" w14:textId="0AAB71B4" w:rsidR="00944FDB" w:rsidRPr="004E7486" w:rsidRDefault="00944FDB" w:rsidP="004E7486">
      <w:r w:rsidRPr="004E7486">
        <w:t xml:space="preserve">It is acknowledged that at the time of writing there are gaps in routine data collection for this goal, including availability of population-level syphilis testing data and data related to preventative strategies (e.g. doxy-PEP) and care in pregnancy related to syphilis (for example syphilis testing frequency as part of standard antenatal care and in-line with recommendations for 3 universal syphilis </w:t>
      </w:r>
      <w:r w:rsidR="00B901BE" w:rsidRPr="004E7486">
        <w:t xml:space="preserve">tests </w:t>
      </w:r>
      <w:r w:rsidRPr="004E7486">
        <w:t xml:space="preserve">during pregnancy) </w:t>
      </w:r>
      <w:r w:rsidRPr="004E7486">
        <w:fldChar w:fldCharType="begin"/>
      </w:r>
      <w:r w:rsidRPr="004E7486">
        <w:instrText xml:space="preserve"> ADDIN EN.CITE &lt;EndNote&gt;&lt;Cite&gt;&lt;RecNum&gt;12&lt;/RecNum&gt;&lt;DisplayText&gt;[2, 3]&lt;/DisplayText&gt;&lt;record&gt;&lt;rec-number&gt;12&lt;/rec-number&gt;&lt;foreign-keys&gt;&lt;key app="EN" db-id="rerr5wt9dra05fetxw4p02tp0vtzztp05ef0" timestamp="1745967324"&gt;12&lt;/key&gt;&lt;/foreign-keys&gt;&lt;ref-type name="Web Page"&gt;12&lt;/ref-type&gt;&lt;contributors&gt;&lt;/contributors&gt;&lt;titles&gt;&lt;title&gt;Syphilis – CDNA National Guidelines for Public Health Units&lt;/title&gt;&lt;/titles&gt;&lt;volume&gt;2025&lt;/volume&gt;&lt;number&gt;30 April&lt;/number&gt;&lt;dates&gt;&lt;/dates&gt;&lt;urls&gt;&lt;related-urls&gt;&lt;url&gt;https://www.health.gov.au/resources/publications/syphilis-cdna-national-guidelines-for-public-health-units?language=en&lt;/url&gt;&lt;/related-urls&gt;&lt;/urls&gt;&lt;/record&gt;&lt;/Cite&gt;&lt;Cite&gt;&lt;Author&gt;Riley&lt;/Author&gt;&lt;Year&gt;2024&lt;/Year&gt;&lt;RecNum&gt;13&lt;/RecNum&gt;&lt;record&gt;&lt;rec-number&gt;13&lt;/rec-number&gt;&lt;foreign-keys&gt;&lt;key app="EN" db-id="rerr5wt9dra05fetxw4p02tp0vtzztp05ef0" timestamp="1746141348"&gt;13&lt;/key&gt;&lt;/foreign-keys&gt;&lt;ref-type name="Journal Article"&gt;17&lt;/ref-type&gt;&lt;contributors&gt;&lt;authors&gt;&lt;author&gt;Riley, B&lt;/author&gt;&lt;author&gt;Medland, N&lt;/author&gt;&lt;/authors&gt;&lt;/contributors&gt;&lt;titles&gt;&lt;title&gt;Australian consensus statement on doxycycline post-exposure prophylaxis (doxy-PEP) for the prevention of syphilis, chlamydia and gonorrhoea among gay, bisexual and other men who have sex with men&lt;/title&gt;&lt;secondary-title&gt;Medical Journal of Australia&lt;/secondary-title&gt;&lt;/titles&gt;&lt;periodical&gt;&lt;full-title&gt;Medical Journal of Australia&lt;/full-title&gt;&lt;/periodical&gt;&lt;pages&gt;381-386&lt;/pages&gt;&lt;volume&gt;220&lt;/volume&gt;&lt;number&gt;7&lt;/number&gt;&lt;dates&gt;&lt;year&gt;2024&lt;/year&gt;&lt;/dates&gt;&lt;urls&gt;&lt;related-urls&gt;&lt;url&gt;https://onlinelibrary.wiley.com/doi/10.5694/mja2.52258&lt;/url&gt;&lt;/related-urls&gt;&lt;/urls&gt;&lt;/record&gt;&lt;/Cite&gt;&lt;/EndNote&gt;</w:instrText>
      </w:r>
      <w:r w:rsidRPr="004E7486">
        <w:fldChar w:fldCharType="separate"/>
      </w:r>
      <w:r w:rsidRPr="004E7486">
        <w:t>[2, 3]</w:t>
      </w:r>
      <w:r w:rsidRPr="004E7486">
        <w:fldChar w:fldCharType="end"/>
      </w:r>
      <w:r w:rsidRPr="004E7486">
        <w:t>. Considerable work is being undertaken in relation to these gaps, with a view to include indicators utilising new data sources in future iterations of the Surveillance Plan.</w:t>
      </w:r>
    </w:p>
    <w:p w14:paraId="0041CCF5" w14:textId="77777777" w:rsidR="0076581D" w:rsidRPr="004E7486" w:rsidRDefault="0076581D" w:rsidP="004E7486">
      <w:pPr>
        <w:pStyle w:val="Heading3"/>
      </w:pPr>
      <w:r w:rsidRPr="004E7486">
        <w:t>Indicator notes</w:t>
      </w:r>
    </w:p>
    <w:p w14:paraId="7760789D" w14:textId="2C7FACF4" w:rsidR="008E372B" w:rsidRPr="004E7486" w:rsidRDefault="008E372B" w:rsidP="004E7486">
      <w:r w:rsidRPr="004E7486">
        <w:t>Reporting against this goal will include description</w:t>
      </w:r>
      <w:r w:rsidR="00EA1BF6" w:rsidRPr="004E7486">
        <w:t>s</w:t>
      </w:r>
      <w:r w:rsidRPr="004E7486">
        <w:t xml:space="preserve"> </w:t>
      </w:r>
      <w:bookmarkStart w:id="20" w:name="_Hlk197071876"/>
      <w:r w:rsidRPr="004E7486">
        <w:t>of national syphilis response activities occurring within the reporting period, including implementation of public health promotion and prevention activities and development of national guidelines and recommendations</w:t>
      </w:r>
      <w:bookmarkEnd w:id="20"/>
      <w:r w:rsidRPr="004E7486">
        <w:t>.</w:t>
      </w:r>
    </w:p>
    <w:p w14:paraId="4B002648" w14:textId="2F8A3FA8" w:rsidR="008E372B" w:rsidRPr="004E7486" w:rsidRDefault="008E372B" w:rsidP="004E7486">
      <w:pPr>
        <w:pStyle w:val="Heading4"/>
      </w:pPr>
      <w:r w:rsidRPr="004E7486">
        <w:t xml:space="preserve">Enhanced </w:t>
      </w:r>
      <w:r w:rsidR="005A0088" w:rsidRPr="004E7486">
        <w:t xml:space="preserve">NNDSS </w:t>
      </w:r>
      <w:r w:rsidRPr="004E7486">
        <w:t>data</w:t>
      </w:r>
      <w:r w:rsidR="00806E50" w:rsidRPr="004E7486">
        <w:t xml:space="preserve"> – congenital syphilis</w:t>
      </w:r>
    </w:p>
    <w:p w14:paraId="43090438" w14:textId="6286041F" w:rsidR="005C1306" w:rsidRDefault="00806E50" w:rsidP="00581459">
      <w:r w:rsidRPr="00360617">
        <w:t>Enhanced data for congenital syphilis are collected against nationally agreed data specifications and reported, where data are available to the NNDSS. These data are collected in addition to the core dataset. The free text enhanced field that will be analysed and reported against for the purposes of the S</w:t>
      </w:r>
      <w:r w:rsidR="00687365" w:rsidRPr="00360617">
        <w:t xml:space="preserve">urveillance </w:t>
      </w:r>
      <w:r w:rsidRPr="00360617">
        <w:t>Plan provides the opportunity for reporting jurisdictions to highlight additional information about the person giving birth to the notified congenital syphilis case. Such information may include current living arrangements, harmful substance use</w:t>
      </w:r>
      <w:r w:rsidR="00A323C2">
        <w:t>,</w:t>
      </w:r>
      <w:r w:rsidRPr="00360617">
        <w:t xml:space="preserve"> and other contextual information about the person giving birth. Highlighting this information will be valuable in informing appropriate interventions and public health policies in context</w:t>
      </w:r>
      <w:r w:rsidR="005C1306">
        <w:t>.</w:t>
      </w:r>
    </w:p>
    <w:p w14:paraId="5B0F24CA" w14:textId="6AC92E7B" w:rsidR="0070150E" w:rsidRDefault="00806E50" w:rsidP="00581459">
      <w:r w:rsidRPr="0006407F">
        <w:t>Completion of these fields is variable by jurisdiction and is reliant on public health follow-up.</w:t>
      </w:r>
    </w:p>
    <w:p w14:paraId="59F7C7C0" w14:textId="6F03389D" w:rsidR="008E372B" w:rsidRPr="00311AB9" w:rsidRDefault="008E372B" w:rsidP="00311AB9">
      <w:pPr>
        <w:pStyle w:val="Heading4"/>
      </w:pPr>
      <w:r w:rsidRPr="00311AB9">
        <w:t>Testing data</w:t>
      </w:r>
    </w:p>
    <w:p w14:paraId="11B6E652" w14:textId="4A12151C" w:rsidR="008E372B" w:rsidRPr="00AA15BF" w:rsidRDefault="008E372B" w:rsidP="00AA15BF">
      <w:r w:rsidRPr="00AA15BF">
        <w:t>Aboriginal Community Controlled Health Services (ACCHS) within selected regions across Australia provide testing data directly to the Australian Centre for Disease Control. Participating ACCHS are funded by the Australian Centre for Disease Control to deliver syphilis point of care testing as part of the national syphilis response. Syphilis testing as measured through funded ACCHS does not necessarily reflect all syphilis testing across selected regions. Routine collection of other suitable data sources, including data from mainstream services and ACCHS not currently funded through the national syphilis response are currently being explored and will be indicated, as appropriate, in future iterations of the S</w:t>
      </w:r>
      <w:r w:rsidR="00687365" w:rsidRPr="00AA15BF">
        <w:t>urveillance</w:t>
      </w:r>
      <w:r w:rsidRPr="00AA15BF">
        <w:t xml:space="preserve"> Plan.</w:t>
      </w:r>
    </w:p>
    <w:p w14:paraId="359FA4AA" w14:textId="77777777" w:rsidR="00581459" w:rsidRPr="0070150E" w:rsidRDefault="00581459" w:rsidP="0070150E">
      <w:pPr>
        <w:pStyle w:val="Heading4"/>
      </w:pPr>
      <w:r w:rsidRPr="0070150E">
        <w:lastRenderedPageBreak/>
        <w:t>Data from clinical services – testing in priority populations</w:t>
      </w:r>
    </w:p>
    <w:p w14:paraId="17E04458" w14:textId="77777777" w:rsidR="005C1306" w:rsidRDefault="001643FF" w:rsidP="00AA15BF">
      <w:r w:rsidRPr="00AA15BF">
        <w:t xml:space="preserve">The </w:t>
      </w:r>
      <w:hyperlink r:id="rId24" w:history="1">
        <w:r w:rsidRPr="00AA15BF">
          <w:rPr>
            <w:rStyle w:val="Hyperlink"/>
          </w:rPr>
          <w:t>Australian Collaboration for Coordinated Enhanced Sentinel Surveillance of Sexually Transmissible Infections and Blood Borne Viruses (ACCESS)</w:t>
        </w:r>
      </w:hyperlink>
      <w:r w:rsidRPr="00AA15BF">
        <w:t xml:space="preserve"> is a collaboration between the Burnet Institute, the Kirby Institute, the National Serology Reference Laboratory (NRL), and more than 100 sexual health clinics, general practices, hospitals, community health services and pathology laboratories across Australia that contribute de-identified patient data</w:t>
      </w:r>
      <w:r w:rsidR="007F27D0" w:rsidRPr="00AA15BF">
        <w:t xml:space="preserve"> </w:t>
      </w:r>
      <w:r w:rsidR="00E41048" w:rsidRPr="00AA15BF">
        <w:fldChar w:fldCharType="begin"/>
      </w:r>
      <w:r w:rsidR="00E41048" w:rsidRPr="00AA15BF">
        <w:instrText xml:space="preserve"> ADDIN EN.CITE &lt;EndNote&gt;&lt;Cite ExcludeAuth="1" ExcludeYear="1"&gt;&lt;RecNum&gt;14&lt;/RecNum&gt;&lt;DisplayText&gt;[4]&lt;/DisplayText&gt;&lt;record&gt;&lt;rec-number&gt;14&lt;/rec-number&gt;&lt;foreign-keys&gt;&lt;key app="EN" db-id="rerr5wt9dra05fetxw4p02tp0vtzztp05ef0" timestamp="1747176618"&gt;14&lt;/key&gt;&lt;/foreign-keys&gt;&lt;ref-type name="Web Page"&gt;12&lt;/ref-type&gt;&lt;contributors&gt;&lt;/contributors&gt;&lt;titles&gt;&lt;title&gt;The Australian Collaboration for Coordinated Enhanced Sentinel Surveillance of Sexually Transmissible Infections and Blood Borne Viruses,&lt;/title&gt;&lt;/titles&gt;&lt;dates&gt;&lt;/dates&gt;&lt;urls&gt;&lt;related-urls&gt;&lt;url&gt;https://accessproject.org.au/&lt;/url&gt;&lt;/related-urls&gt;&lt;/urls&gt;&lt;/record&gt;&lt;/Cite&gt;&lt;/EndNote&gt;</w:instrText>
      </w:r>
      <w:r w:rsidR="00E41048" w:rsidRPr="00AA15BF">
        <w:fldChar w:fldCharType="separate"/>
      </w:r>
      <w:r w:rsidR="00E41048" w:rsidRPr="00AA15BF">
        <w:t>[4]</w:t>
      </w:r>
      <w:r w:rsidR="00E41048" w:rsidRPr="00AA15BF">
        <w:fldChar w:fldCharType="end"/>
      </w:r>
      <w:r w:rsidR="00581459" w:rsidRPr="00AA15BF">
        <w:t xml:space="preserve">. There is representation from all jurisdictions on the ACCESS project, however there is some variation in the number of health services/laboratories participating within each jurisdiction. Overall testing numbers and subsequent notification of infection collected through the ACCESS project may be influenced by testing policies and preferential testing among high-risk groups such as sex workers and people using pre-exposure </w:t>
      </w:r>
      <w:r w:rsidR="000C3A2B" w:rsidRPr="00AA15BF">
        <w:t>p</w:t>
      </w:r>
      <w:r w:rsidR="00581459" w:rsidRPr="00AA15BF">
        <w:t>rophylaxis (</w:t>
      </w:r>
      <w:proofErr w:type="spellStart"/>
      <w:r w:rsidR="00581459" w:rsidRPr="00AA15BF">
        <w:t>PrEP</w:t>
      </w:r>
      <w:proofErr w:type="spellEnd"/>
      <w:r w:rsidR="00581459" w:rsidRPr="00AA15BF">
        <w:t>) for HIV</w:t>
      </w:r>
      <w:r w:rsidR="0014301B" w:rsidRPr="00AA15BF">
        <w:t xml:space="preserve"> </w:t>
      </w:r>
      <w:r w:rsidR="00581459" w:rsidRPr="00AA15BF">
        <w:t>and may not be representative of broader trends in the Australian population</w:t>
      </w:r>
      <w:r w:rsidR="005C1306">
        <w:t>.</w:t>
      </w:r>
    </w:p>
    <w:p w14:paraId="42D72121" w14:textId="25931D85" w:rsidR="00581459" w:rsidRPr="00AA15BF" w:rsidRDefault="00581459" w:rsidP="00AA15BF">
      <w:pPr>
        <w:pStyle w:val="Heading4"/>
      </w:pPr>
      <w:r w:rsidRPr="00AA15BF">
        <w:t>Antenatal care</w:t>
      </w:r>
    </w:p>
    <w:p w14:paraId="6AADCC41" w14:textId="77777777" w:rsidR="005C1306" w:rsidRDefault="00581459" w:rsidP="00161E23">
      <w:r w:rsidRPr="00161E23">
        <w:t xml:space="preserve">The National Perinatal Data Collection (NDPC), as reported in the Australian Institute of Health and Welfare (AIHW) </w:t>
      </w:r>
      <w:hyperlink r:id="rId25">
        <w:r w:rsidRPr="00161E23">
          <w:rPr>
            <w:rStyle w:val="Hyperlink"/>
          </w:rPr>
          <w:t>Australia’s mothers and babies</w:t>
        </w:r>
      </w:hyperlink>
      <w:r w:rsidRPr="00161E23">
        <w:t xml:space="preserve"> data tables have been used to formulate selected antenatal care indicators. Methodology and notes related to the NPDC are available on the </w:t>
      </w:r>
      <w:hyperlink r:id="rId26">
        <w:r w:rsidRPr="00161E23">
          <w:rPr>
            <w:rStyle w:val="Hyperlink"/>
          </w:rPr>
          <w:t>AIHW website</w:t>
        </w:r>
      </w:hyperlink>
      <w:r w:rsidRPr="00161E23">
        <w:t>. The NPDC does not include specific data related to syphilis testing, so assumptions have been made in relation to the indicators described in the Surveillance Plan. It is assumed that each antenatal visit provides an opportunity for a syphilis test. For example, indicator 1.</w:t>
      </w:r>
      <w:r w:rsidR="37ED53AB" w:rsidRPr="00161E23">
        <w:t>6</w:t>
      </w:r>
      <w:r w:rsidRPr="00161E23">
        <w:t xml:space="preserve"> Proportion of people who gave birth, by duration of pregnancy at first antenatal visit, assumes that a syphilis test was requested at the first antenatal visit, and that based on duration of pregnancy at the first visit indicates the stage of pregnancy when the person was first tested for syphilis</w:t>
      </w:r>
      <w:r w:rsidR="005C1306">
        <w:t>.</w:t>
      </w:r>
    </w:p>
    <w:p w14:paraId="045B640D" w14:textId="1CF47EB6" w:rsidR="00581459" w:rsidRPr="00161E23" w:rsidRDefault="00581459" w:rsidP="00161E23">
      <w:r w:rsidRPr="00161E23">
        <w:t>These data will be used as a proxy as work continues to develop more robust mechanisms of reporting syphilis testing coverage and antenatal care among pregnant people.</w:t>
      </w:r>
    </w:p>
    <w:p w14:paraId="275A8A5A" w14:textId="4AF7A98E" w:rsidR="00C829D4" w:rsidRPr="00161E23" w:rsidRDefault="00C829D4" w:rsidP="00161E23">
      <w:r w:rsidRPr="00161E23">
        <w:t>Th</w:t>
      </w:r>
      <w:r w:rsidR="007358CC" w:rsidRPr="00161E23">
        <w:t>e NPDC</w:t>
      </w:r>
      <w:r w:rsidRPr="00161E23">
        <w:t xml:space="preserve"> uses the terms ‘woman’ and ‘women’ to mean ‘female' as these data sources are based on sex. Information on gender is not recorded in these data collections. It is acknowledged that </w:t>
      </w:r>
      <w:r w:rsidR="007358CC" w:rsidRPr="00161E23">
        <w:t>the NPDC</w:t>
      </w:r>
      <w:r w:rsidRPr="00161E23">
        <w:t xml:space="preserve"> includes people who do not identify as women or mothers, and that individual parents and families may use different words to those used in t</w:t>
      </w:r>
      <w:r w:rsidR="00164E68" w:rsidRPr="00161E23">
        <w:t>he NPDC</w:t>
      </w:r>
      <w:r w:rsidRPr="00161E23">
        <w:t>. This may include women, transgender men, intersex people, non-binary and gender diverse people.</w:t>
      </w:r>
    </w:p>
    <w:p w14:paraId="4EE055AC" w14:textId="77777777" w:rsidR="00371A65" w:rsidRPr="00161E23" w:rsidRDefault="00371A65" w:rsidP="00161E23">
      <w:pPr>
        <w:pStyle w:val="Heading4"/>
      </w:pPr>
      <w:r w:rsidRPr="00161E23">
        <w:t>Australian Statistical Geography Standard (ASGS) – ABS</w:t>
      </w:r>
    </w:p>
    <w:p w14:paraId="397854CF" w14:textId="69DDC728" w:rsidR="00B354DE" w:rsidRPr="00161E23" w:rsidRDefault="00371A65" w:rsidP="00161E23">
      <w:r w:rsidRPr="00161E23">
        <w:t xml:space="preserve">Geographical regions are based on the ABS ASGS classifications for </w:t>
      </w:r>
      <w:hyperlink r:id="rId27" w:history="1">
        <w:r w:rsidRPr="00161E23">
          <w:rPr>
            <w:rStyle w:val="Hyperlink"/>
          </w:rPr>
          <w:t>Remoteness Areas</w:t>
        </w:r>
      </w:hyperlink>
      <w:r w:rsidRPr="00161E23">
        <w:t xml:space="preserve"> (RA)</w:t>
      </w:r>
    </w:p>
    <w:p w14:paraId="4119F4CE" w14:textId="4B91F532" w:rsidR="00F635E5" w:rsidRPr="00161E23" w:rsidRDefault="00F635E5" w:rsidP="00161E23">
      <w:pPr>
        <w:pStyle w:val="Heading3"/>
      </w:pPr>
      <w:r w:rsidRPr="00161E23">
        <w:lastRenderedPageBreak/>
        <w:t>Reporting against indicators</w:t>
      </w:r>
    </w:p>
    <w:p w14:paraId="1BD15183" w14:textId="3B2D246F" w:rsidR="004717F7" w:rsidRPr="00161E23" w:rsidRDefault="00493169" w:rsidP="00161E23">
      <w:pPr>
        <w:pStyle w:val="Tableheadings"/>
      </w:pPr>
      <w:r w:rsidRPr="00161E23">
        <w:t>1.1</w:t>
      </w:r>
      <w:r w:rsidR="004717F7" w:rsidRPr="00161E23">
        <w:t xml:space="preserve"> Reported risk factors for </w:t>
      </w:r>
      <w:r w:rsidR="003C07ED" w:rsidRPr="00161E23">
        <w:t>women</w:t>
      </w:r>
      <w:bookmarkStart w:id="21" w:name="_Ref204154090"/>
      <w:r w:rsidR="003C07ED" w:rsidRPr="00811AD1">
        <w:rPr>
          <w:vertAlign w:val="superscript"/>
        </w:rPr>
        <w:footnoteReference w:id="3"/>
      </w:r>
      <w:bookmarkEnd w:id="21"/>
      <w:r w:rsidR="004717F7" w:rsidRPr="00161E23">
        <w:t xml:space="preserve"> giving birth to an infant with congenital syphilis</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1035"/>
        <w:gridCol w:w="3432"/>
        <w:gridCol w:w="1690"/>
        <w:gridCol w:w="1428"/>
      </w:tblGrid>
      <w:tr w:rsidR="004717F7" w:rsidRPr="00161E23" w14:paraId="5D5ECE20" w14:textId="77777777" w:rsidTr="00D878EC">
        <w:trPr>
          <w:cnfStyle w:val="100000000000" w:firstRow="1" w:lastRow="0" w:firstColumn="0" w:lastColumn="0" w:oddVBand="0" w:evenVBand="0" w:oddHBand="0" w:evenHBand="0" w:firstRowFirstColumn="0" w:firstRowLastColumn="0" w:lastRowFirstColumn="0" w:lastRowLastColumn="0"/>
          <w:tblHeader/>
        </w:trPr>
        <w:tc>
          <w:tcPr>
            <w:tcW w:w="2049" w:type="dxa"/>
            <w:vAlign w:val="top"/>
          </w:tcPr>
          <w:p w14:paraId="4830DDCA" w14:textId="77777777" w:rsidR="004717F7" w:rsidRPr="00161E23" w:rsidRDefault="004717F7" w:rsidP="00161E23">
            <w:pPr>
              <w:pStyle w:val="Tabletextleft"/>
              <w:rPr>
                <w:b/>
              </w:rPr>
            </w:pPr>
            <w:r w:rsidRPr="00161E23">
              <w:rPr>
                <w:b/>
              </w:rPr>
              <w:t>Indicator components</w:t>
            </w:r>
          </w:p>
        </w:tc>
        <w:tc>
          <w:tcPr>
            <w:tcW w:w="1035" w:type="dxa"/>
            <w:vAlign w:val="top"/>
          </w:tcPr>
          <w:p w14:paraId="15B96800" w14:textId="77777777" w:rsidR="004717F7" w:rsidRPr="00161E23" w:rsidRDefault="004717F7" w:rsidP="00161E23">
            <w:pPr>
              <w:pStyle w:val="Tabletextleft"/>
              <w:rPr>
                <w:b/>
              </w:rPr>
            </w:pPr>
            <w:r w:rsidRPr="00161E23">
              <w:rPr>
                <w:b/>
              </w:rPr>
              <w:t>Source</w:t>
            </w:r>
          </w:p>
        </w:tc>
        <w:tc>
          <w:tcPr>
            <w:tcW w:w="3432" w:type="dxa"/>
            <w:vAlign w:val="top"/>
          </w:tcPr>
          <w:p w14:paraId="04D784C5" w14:textId="77777777" w:rsidR="004717F7" w:rsidRPr="00161E23" w:rsidRDefault="004717F7" w:rsidP="00161E23">
            <w:pPr>
              <w:pStyle w:val="Tabletextleft"/>
              <w:rPr>
                <w:b/>
              </w:rPr>
            </w:pPr>
            <w:r w:rsidRPr="00161E23">
              <w:rPr>
                <w:b/>
              </w:rPr>
              <w:t>Description</w:t>
            </w:r>
          </w:p>
        </w:tc>
        <w:tc>
          <w:tcPr>
            <w:tcW w:w="1690" w:type="dxa"/>
            <w:vAlign w:val="top"/>
          </w:tcPr>
          <w:p w14:paraId="5B0D38F4" w14:textId="77777777" w:rsidR="004717F7" w:rsidRPr="00161E23" w:rsidRDefault="004717F7" w:rsidP="00161E23">
            <w:pPr>
              <w:pStyle w:val="Tabletextleft"/>
              <w:rPr>
                <w:b/>
              </w:rPr>
            </w:pPr>
            <w:r w:rsidRPr="00161E23">
              <w:rPr>
                <w:b/>
              </w:rPr>
              <w:t>Custodian/ stakeholder</w:t>
            </w:r>
          </w:p>
        </w:tc>
        <w:tc>
          <w:tcPr>
            <w:tcW w:w="1428" w:type="dxa"/>
            <w:vAlign w:val="top"/>
          </w:tcPr>
          <w:p w14:paraId="254EDC1B" w14:textId="77777777" w:rsidR="004717F7" w:rsidRPr="00161E23" w:rsidRDefault="004717F7" w:rsidP="00161E23">
            <w:pPr>
              <w:pStyle w:val="Tabletextleft"/>
              <w:rPr>
                <w:b/>
              </w:rPr>
            </w:pPr>
            <w:r w:rsidRPr="00161E23">
              <w:rPr>
                <w:b/>
              </w:rPr>
              <w:t>Availability for reporting</w:t>
            </w:r>
          </w:p>
        </w:tc>
      </w:tr>
      <w:tr w:rsidR="004717F7" w:rsidRPr="00161E23" w14:paraId="6EDB1A32" w14:textId="77777777" w:rsidTr="00161E23">
        <w:trPr>
          <w:cnfStyle w:val="000000100000" w:firstRow="0" w:lastRow="0" w:firstColumn="0" w:lastColumn="0" w:oddVBand="0" w:evenVBand="0" w:oddHBand="1" w:evenHBand="0" w:firstRowFirstColumn="0" w:firstRowLastColumn="0" w:lastRowFirstColumn="0" w:lastRowLastColumn="0"/>
          <w:trHeight w:val="909"/>
        </w:trPr>
        <w:tc>
          <w:tcPr>
            <w:tcW w:w="204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916850F" w14:textId="77777777" w:rsidR="004717F7" w:rsidRPr="00161E23" w:rsidRDefault="004717F7" w:rsidP="00161E23">
            <w:pPr>
              <w:pStyle w:val="Tabletextleft"/>
              <w:rPr>
                <w:b/>
              </w:rPr>
            </w:pPr>
            <w:r w:rsidRPr="00161E23">
              <w:rPr>
                <w:b/>
              </w:rPr>
              <w:t>Qualitative</w:t>
            </w:r>
          </w:p>
        </w:tc>
        <w:tc>
          <w:tcPr>
            <w:tcW w:w="10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FFB455A" w14:textId="77777777" w:rsidR="004717F7" w:rsidRPr="00161E23" w:rsidRDefault="004717F7" w:rsidP="00161E23">
            <w:pPr>
              <w:pStyle w:val="Tabletextleft"/>
            </w:pPr>
            <w:r w:rsidRPr="00161E23">
              <w:t>NNDSS</w:t>
            </w:r>
          </w:p>
        </w:tc>
        <w:tc>
          <w:tcPr>
            <w:tcW w:w="343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5A04A50" w14:textId="77777777" w:rsidR="004717F7" w:rsidRPr="00161E23" w:rsidRDefault="004717F7" w:rsidP="00161E23">
            <w:pPr>
              <w:pStyle w:val="Tabletextleft"/>
            </w:pPr>
            <w:r w:rsidRPr="00161E23">
              <w:t>Risk factors reported for people giving birth to an infant with congenital syphilis</w:t>
            </w:r>
          </w:p>
        </w:tc>
        <w:tc>
          <w:tcPr>
            <w:tcW w:w="169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14FB6E0" w14:textId="77777777" w:rsidR="004717F7" w:rsidRPr="00161E23" w:rsidRDefault="008E372B" w:rsidP="00161E23">
            <w:pPr>
              <w:pStyle w:val="Tabletextleft"/>
            </w:pPr>
            <w:r w:rsidRPr="00161E23">
              <w:t>Australian Centre for Disease Control</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A27AB15" w14:textId="77777777" w:rsidR="004717F7" w:rsidRPr="00161E23" w:rsidRDefault="004717F7" w:rsidP="00161E23">
            <w:pPr>
              <w:pStyle w:val="Tabletextleft"/>
            </w:pPr>
            <w:r w:rsidRPr="00161E23">
              <w:t>Quarterly</w:t>
            </w:r>
          </w:p>
        </w:tc>
      </w:tr>
    </w:tbl>
    <w:p w14:paraId="2B387D67" w14:textId="77777777" w:rsidR="00F635E5" w:rsidRPr="00161E23" w:rsidRDefault="00493169" w:rsidP="00161E23">
      <w:pPr>
        <w:pStyle w:val="Tableheadings"/>
      </w:pPr>
      <w:r w:rsidRPr="00161E23">
        <w:t xml:space="preserve">1.2 </w:t>
      </w:r>
      <w:r w:rsidR="004717F7" w:rsidRPr="00161E23">
        <w:t>Cumulative number of syphilis tests</w:t>
      </w:r>
      <w:bookmarkStart w:id="22" w:name="_Ref204153927"/>
      <w:r w:rsidR="003656E8" w:rsidRPr="00811AD1">
        <w:rPr>
          <w:vertAlign w:val="superscript"/>
        </w:rPr>
        <w:footnoteReference w:id="4"/>
      </w:r>
      <w:bookmarkEnd w:id="22"/>
      <w:r w:rsidR="004717F7" w:rsidRPr="00161E23">
        <w:t xml:space="preserve"> delivered through participating</w:t>
      </w:r>
      <w:bookmarkStart w:id="23" w:name="_Ref204153901"/>
      <w:r w:rsidR="004717F7" w:rsidRPr="00D878EC">
        <w:rPr>
          <w:vertAlign w:val="superscript"/>
        </w:rPr>
        <w:footnoteReference w:id="5"/>
      </w:r>
      <w:bookmarkEnd w:id="23"/>
      <w:r w:rsidR="004717F7" w:rsidRPr="00161E23">
        <w:t xml:space="preserve"> Aboriginal Community Controlled Health Services (ACCHS)</w:t>
      </w:r>
      <w:r w:rsidR="008A378E" w:rsidRPr="00161E23">
        <w:t>, by target</w:t>
      </w:r>
      <w:bookmarkStart w:id="24" w:name="_Ref204153948"/>
      <w:r w:rsidR="008A378E" w:rsidRPr="00F920FE">
        <w:rPr>
          <w:vertAlign w:val="superscript"/>
        </w:rPr>
        <w:footnoteReference w:id="6"/>
      </w:r>
      <w:bookmarkEnd w:id="24"/>
      <w:r w:rsidR="008A378E" w:rsidRPr="00161E23">
        <w:t xml:space="preserve"> and total population</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1035"/>
        <w:gridCol w:w="3432"/>
        <w:gridCol w:w="1690"/>
        <w:gridCol w:w="1428"/>
      </w:tblGrid>
      <w:tr w:rsidR="00F635E5" w:rsidRPr="00161E23" w14:paraId="35AEA371" w14:textId="77777777" w:rsidTr="00D878EC">
        <w:trPr>
          <w:cnfStyle w:val="100000000000" w:firstRow="1" w:lastRow="0" w:firstColumn="0" w:lastColumn="0" w:oddVBand="0" w:evenVBand="0" w:oddHBand="0" w:evenHBand="0" w:firstRowFirstColumn="0" w:firstRowLastColumn="0" w:lastRowFirstColumn="0" w:lastRowLastColumn="0"/>
          <w:tblHeader/>
        </w:trPr>
        <w:tc>
          <w:tcPr>
            <w:tcW w:w="2049" w:type="dxa"/>
            <w:vAlign w:val="top"/>
          </w:tcPr>
          <w:p w14:paraId="312F9842" w14:textId="77777777" w:rsidR="00F635E5" w:rsidRPr="00161E23" w:rsidRDefault="00F635E5" w:rsidP="00161E23">
            <w:pPr>
              <w:pStyle w:val="Tabletextleft"/>
              <w:rPr>
                <w:b/>
              </w:rPr>
            </w:pPr>
            <w:r w:rsidRPr="00161E23">
              <w:rPr>
                <w:b/>
              </w:rPr>
              <w:t>Indicator components</w:t>
            </w:r>
          </w:p>
        </w:tc>
        <w:tc>
          <w:tcPr>
            <w:tcW w:w="1035" w:type="dxa"/>
            <w:vAlign w:val="top"/>
          </w:tcPr>
          <w:p w14:paraId="09F0EC87" w14:textId="77777777" w:rsidR="00F635E5" w:rsidRPr="00161E23" w:rsidRDefault="00F635E5" w:rsidP="00161E23">
            <w:pPr>
              <w:pStyle w:val="Tabletextleft"/>
              <w:rPr>
                <w:b/>
              </w:rPr>
            </w:pPr>
            <w:r w:rsidRPr="00161E23">
              <w:rPr>
                <w:b/>
              </w:rPr>
              <w:t>Source</w:t>
            </w:r>
          </w:p>
        </w:tc>
        <w:tc>
          <w:tcPr>
            <w:tcW w:w="3432" w:type="dxa"/>
            <w:vAlign w:val="top"/>
          </w:tcPr>
          <w:p w14:paraId="7AAEB4A1" w14:textId="77777777" w:rsidR="00F635E5" w:rsidRPr="00161E23" w:rsidRDefault="00F635E5" w:rsidP="00161E23">
            <w:pPr>
              <w:pStyle w:val="Tabletextleft"/>
              <w:rPr>
                <w:b/>
              </w:rPr>
            </w:pPr>
            <w:r w:rsidRPr="00161E23">
              <w:rPr>
                <w:b/>
              </w:rPr>
              <w:t>Description</w:t>
            </w:r>
          </w:p>
        </w:tc>
        <w:tc>
          <w:tcPr>
            <w:tcW w:w="1690" w:type="dxa"/>
            <w:vAlign w:val="top"/>
          </w:tcPr>
          <w:p w14:paraId="1B549088" w14:textId="77777777" w:rsidR="00F635E5" w:rsidRPr="00161E23" w:rsidRDefault="00F635E5" w:rsidP="00161E23">
            <w:pPr>
              <w:pStyle w:val="Tabletextleft"/>
              <w:rPr>
                <w:b/>
              </w:rPr>
            </w:pPr>
            <w:r w:rsidRPr="00161E23">
              <w:rPr>
                <w:b/>
              </w:rPr>
              <w:t>Custodian/</w:t>
            </w:r>
            <w:r w:rsidR="004717F7" w:rsidRPr="00161E23">
              <w:rPr>
                <w:b/>
              </w:rPr>
              <w:t xml:space="preserve"> </w:t>
            </w:r>
            <w:r w:rsidRPr="00161E23">
              <w:rPr>
                <w:b/>
              </w:rPr>
              <w:t>stakeholder</w:t>
            </w:r>
          </w:p>
        </w:tc>
        <w:tc>
          <w:tcPr>
            <w:tcW w:w="1428" w:type="dxa"/>
            <w:vAlign w:val="top"/>
          </w:tcPr>
          <w:p w14:paraId="1639779E" w14:textId="77777777" w:rsidR="00F635E5" w:rsidRPr="00161E23" w:rsidRDefault="00F635E5" w:rsidP="00161E23">
            <w:pPr>
              <w:pStyle w:val="Tabletextleft"/>
              <w:rPr>
                <w:b/>
              </w:rPr>
            </w:pPr>
            <w:r w:rsidRPr="00161E23">
              <w:rPr>
                <w:b/>
              </w:rPr>
              <w:t>Availability of data for reporting</w:t>
            </w:r>
          </w:p>
        </w:tc>
      </w:tr>
      <w:tr w:rsidR="00F635E5" w:rsidRPr="00161E23" w14:paraId="108C5004" w14:textId="77777777" w:rsidTr="00161E23">
        <w:trPr>
          <w:cnfStyle w:val="000000100000" w:firstRow="0" w:lastRow="0" w:firstColumn="0" w:lastColumn="0" w:oddVBand="0" w:evenVBand="0" w:oddHBand="1" w:evenHBand="0" w:firstRowFirstColumn="0" w:firstRowLastColumn="0" w:lastRowFirstColumn="0" w:lastRowLastColumn="0"/>
        </w:trPr>
        <w:tc>
          <w:tcPr>
            <w:tcW w:w="204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7C104FD" w14:textId="77777777" w:rsidR="00F635E5" w:rsidRPr="00161E23" w:rsidRDefault="004717F7" w:rsidP="00161E23">
            <w:pPr>
              <w:pStyle w:val="Tabletextleft"/>
              <w:rPr>
                <w:b/>
              </w:rPr>
            </w:pPr>
            <w:r w:rsidRPr="00161E23">
              <w:rPr>
                <w:b/>
              </w:rPr>
              <w:t>Single measure</w:t>
            </w:r>
          </w:p>
        </w:tc>
        <w:tc>
          <w:tcPr>
            <w:tcW w:w="10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2E916B5" w14:textId="77777777" w:rsidR="00F635E5" w:rsidRPr="00161E23" w:rsidRDefault="004717F7" w:rsidP="00161E23">
            <w:pPr>
              <w:pStyle w:val="Tabletextleft"/>
            </w:pPr>
            <w:r w:rsidRPr="00161E23">
              <w:t>ACCHS</w:t>
            </w:r>
          </w:p>
        </w:tc>
        <w:tc>
          <w:tcPr>
            <w:tcW w:w="343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E0DA8D8" w14:textId="020435E3" w:rsidR="00F635E5" w:rsidRPr="00161E23" w:rsidRDefault="004717F7" w:rsidP="00161E23">
            <w:pPr>
              <w:pStyle w:val="Tabletextleft"/>
            </w:pPr>
            <w:r w:rsidRPr="00161E23">
              <w:t>Cumulative number of syphilis tests delivered through participating ACCHS</w:t>
            </w:r>
            <w:r w:rsidR="008A378E" w:rsidRPr="00161E23">
              <w:t xml:space="preserve"> by target age group and total population</w:t>
            </w:r>
          </w:p>
        </w:tc>
        <w:tc>
          <w:tcPr>
            <w:tcW w:w="169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D1328EE" w14:textId="77777777" w:rsidR="00F635E5" w:rsidRPr="00161E23" w:rsidRDefault="004717F7" w:rsidP="00161E23">
            <w:pPr>
              <w:pStyle w:val="Tabletextleft"/>
            </w:pPr>
            <w:r w:rsidRPr="00161E23">
              <w:t>NACCHO</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31610B8" w14:textId="77777777" w:rsidR="00F635E5" w:rsidRPr="00161E23" w:rsidRDefault="004717F7" w:rsidP="00161E23">
            <w:pPr>
              <w:pStyle w:val="Tabletextleft"/>
            </w:pPr>
            <w:r w:rsidRPr="00161E23">
              <w:t>Quarterly</w:t>
            </w:r>
          </w:p>
        </w:tc>
      </w:tr>
    </w:tbl>
    <w:p w14:paraId="463FEF58" w14:textId="77777777" w:rsidR="00470B4F" w:rsidRPr="00161E23" w:rsidRDefault="00470B4F" w:rsidP="00161E23">
      <w:r w:rsidRPr="00161E23">
        <w:br w:type="page"/>
      </w:r>
    </w:p>
    <w:p w14:paraId="4378F768" w14:textId="1EB2866E" w:rsidR="00F635E5" w:rsidRPr="0076581D" w:rsidRDefault="00493169" w:rsidP="00D878EC">
      <w:pPr>
        <w:pStyle w:val="Tableheadings"/>
      </w:pPr>
      <w:r>
        <w:lastRenderedPageBreak/>
        <w:t xml:space="preserve">1.3 </w:t>
      </w:r>
      <w:r w:rsidR="004717F7" w:rsidRPr="004717F7">
        <w:t>Proportion of people attending participating</w:t>
      </w:r>
      <w:r w:rsidR="00B354DE" w:rsidRPr="00B354DE">
        <w:rPr>
          <w:vertAlign w:val="superscript"/>
        </w:rPr>
        <w:fldChar w:fldCharType="begin"/>
      </w:r>
      <w:r w:rsidR="00B354DE" w:rsidRPr="00B354DE">
        <w:rPr>
          <w:vertAlign w:val="superscript"/>
        </w:rPr>
        <w:instrText xml:space="preserve"> NOTEREF _Ref204153901 \h </w:instrText>
      </w:r>
      <w:r w:rsidR="00B354DE">
        <w:rPr>
          <w:vertAlign w:val="superscript"/>
        </w:rPr>
        <w:instrText xml:space="preserve"> \* MERGEFORMAT </w:instrText>
      </w:r>
      <w:r w:rsidR="00B354DE" w:rsidRPr="00B354DE">
        <w:rPr>
          <w:vertAlign w:val="superscript"/>
        </w:rPr>
      </w:r>
      <w:r w:rsidR="00B354DE" w:rsidRPr="00B354DE">
        <w:rPr>
          <w:vertAlign w:val="superscript"/>
        </w:rPr>
        <w:fldChar w:fldCharType="separate"/>
      </w:r>
      <w:r w:rsidR="00B354DE" w:rsidRPr="00B354DE">
        <w:rPr>
          <w:vertAlign w:val="superscript"/>
        </w:rPr>
        <w:t>4</w:t>
      </w:r>
      <w:r w:rsidR="00B354DE" w:rsidRPr="00B354DE">
        <w:rPr>
          <w:vertAlign w:val="superscript"/>
        </w:rPr>
        <w:fldChar w:fldCharType="end"/>
      </w:r>
      <w:r w:rsidR="004717F7" w:rsidRPr="004717F7">
        <w:t xml:space="preserve"> ACCHS receiving a syphilis test</w:t>
      </w:r>
      <w:r w:rsidR="00B354DE" w:rsidRPr="00B354DE">
        <w:rPr>
          <w:vertAlign w:val="superscript"/>
        </w:rPr>
        <w:fldChar w:fldCharType="begin"/>
      </w:r>
      <w:r w:rsidR="00B354DE" w:rsidRPr="00B354DE">
        <w:rPr>
          <w:vertAlign w:val="superscript"/>
        </w:rPr>
        <w:instrText xml:space="preserve"> NOTEREF _Ref204153927 \h </w:instrText>
      </w:r>
      <w:r w:rsidR="00B354DE">
        <w:rPr>
          <w:vertAlign w:val="superscript"/>
        </w:rPr>
        <w:instrText xml:space="preserve"> \* MERGEFORMAT </w:instrText>
      </w:r>
      <w:r w:rsidR="00B354DE" w:rsidRPr="00B354DE">
        <w:rPr>
          <w:vertAlign w:val="superscript"/>
        </w:rPr>
      </w:r>
      <w:r w:rsidR="00B354DE" w:rsidRPr="00B354DE">
        <w:rPr>
          <w:vertAlign w:val="superscript"/>
        </w:rPr>
        <w:fldChar w:fldCharType="separate"/>
      </w:r>
      <w:r w:rsidR="00B354DE" w:rsidRPr="00B354DE">
        <w:rPr>
          <w:vertAlign w:val="superscript"/>
        </w:rPr>
        <w:t>3</w:t>
      </w:r>
      <w:r w:rsidR="00B354DE" w:rsidRPr="00B354DE">
        <w:rPr>
          <w:vertAlign w:val="superscript"/>
        </w:rPr>
        <w:fldChar w:fldCharType="end"/>
      </w:r>
      <w:r w:rsidR="004717F7" w:rsidRPr="004717F7">
        <w:t xml:space="preserve"> within the previous 12 months</w:t>
      </w:r>
      <w:r w:rsidR="004717F7">
        <w:t xml:space="preserve"> (syphilis testing coverage)</w:t>
      </w:r>
      <w:r w:rsidR="002D07FE">
        <w:t>, by target and total population</w:t>
      </w:r>
      <w:r w:rsidR="00B354DE" w:rsidRPr="00B354DE">
        <w:rPr>
          <w:vertAlign w:val="superscript"/>
        </w:rPr>
        <w:fldChar w:fldCharType="begin"/>
      </w:r>
      <w:r w:rsidR="00B354DE" w:rsidRPr="00B354DE">
        <w:rPr>
          <w:vertAlign w:val="superscript"/>
        </w:rPr>
        <w:instrText xml:space="preserve"> NOTEREF _Ref204153948 \h </w:instrText>
      </w:r>
      <w:r w:rsidR="00B354DE">
        <w:rPr>
          <w:vertAlign w:val="superscript"/>
        </w:rPr>
        <w:instrText xml:space="preserve"> \* MERGEFORMAT </w:instrText>
      </w:r>
      <w:r w:rsidR="00B354DE" w:rsidRPr="00B354DE">
        <w:rPr>
          <w:vertAlign w:val="superscript"/>
        </w:rPr>
      </w:r>
      <w:r w:rsidR="00B354DE" w:rsidRPr="00B354DE">
        <w:rPr>
          <w:vertAlign w:val="superscript"/>
        </w:rPr>
        <w:fldChar w:fldCharType="separate"/>
      </w:r>
      <w:r w:rsidR="00B354DE" w:rsidRPr="00B354DE">
        <w:rPr>
          <w:vertAlign w:val="superscript"/>
        </w:rPr>
        <w:t>5</w:t>
      </w:r>
      <w:r w:rsidR="00B354DE" w:rsidRPr="00B354DE">
        <w:rPr>
          <w:vertAlign w:val="superscript"/>
        </w:rPr>
        <w:fldChar w:fldCharType="end"/>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368"/>
        <w:gridCol w:w="3544"/>
        <w:gridCol w:w="1701"/>
        <w:gridCol w:w="1417"/>
      </w:tblGrid>
      <w:tr w:rsidR="004717F7" w:rsidRPr="00D878EC" w14:paraId="3179AC1F" w14:textId="77777777" w:rsidTr="00D878EC">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12B82FA5" w14:textId="77777777" w:rsidR="004717F7" w:rsidRPr="00D878EC" w:rsidRDefault="004717F7" w:rsidP="00D878EC">
            <w:pPr>
              <w:pStyle w:val="Tabletextleft"/>
              <w:rPr>
                <w:b/>
              </w:rPr>
            </w:pPr>
            <w:r w:rsidRPr="00D878EC">
              <w:rPr>
                <w:b/>
              </w:rPr>
              <w:t>Indicator components</w:t>
            </w:r>
          </w:p>
        </w:tc>
        <w:tc>
          <w:tcPr>
            <w:tcW w:w="1368" w:type="dxa"/>
            <w:vAlign w:val="top"/>
          </w:tcPr>
          <w:p w14:paraId="3F087EC5" w14:textId="77777777" w:rsidR="004717F7" w:rsidRPr="00D878EC" w:rsidRDefault="004717F7" w:rsidP="00D878EC">
            <w:pPr>
              <w:pStyle w:val="Tabletextleft"/>
              <w:rPr>
                <w:b/>
              </w:rPr>
            </w:pPr>
            <w:r w:rsidRPr="00D878EC">
              <w:rPr>
                <w:b/>
              </w:rPr>
              <w:t>Source</w:t>
            </w:r>
          </w:p>
        </w:tc>
        <w:tc>
          <w:tcPr>
            <w:tcW w:w="3544" w:type="dxa"/>
            <w:vAlign w:val="top"/>
          </w:tcPr>
          <w:p w14:paraId="43F41D63" w14:textId="77777777" w:rsidR="004717F7" w:rsidRPr="00D878EC" w:rsidRDefault="004717F7" w:rsidP="00D878EC">
            <w:pPr>
              <w:pStyle w:val="Tabletextleft"/>
              <w:rPr>
                <w:b/>
              </w:rPr>
            </w:pPr>
            <w:r w:rsidRPr="00D878EC">
              <w:rPr>
                <w:b/>
              </w:rPr>
              <w:t>Description</w:t>
            </w:r>
          </w:p>
        </w:tc>
        <w:tc>
          <w:tcPr>
            <w:tcW w:w="1701" w:type="dxa"/>
            <w:vAlign w:val="top"/>
          </w:tcPr>
          <w:p w14:paraId="0718464B" w14:textId="77777777" w:rsidR="004717F7" w:rsidRPr="00D878EC" w:rsidRDefault="004717F7" w:rsidP="00D878EC">
            <w:pPr>
              <w:pStyle w:val="Tabletextleft"/>
              <w:rPr>
                <w:b/>
              </w:rPr>
            </w:pPr>
            <w:r w:rsidRPr="00D878EC">
              <w:rPr>
                <w:b/>
              </w:rPr>
              <w:t>Custodian/</w:t>
            </w:r>
          </w:p>
          <w:p w14:paraId="494D713B" w14:textId="77777777" w:rsidR="004717F7" w:rsidRPr="00D878EC" w:rsidRDefault="004717F7" w:rsidP="00D878EC">
            <w:pPr>
              <w:pStyle w:val="Tabletextleft"/>
              <w:rPr>
                <w:b/>
              </w:rPr>
            </w:pPr>
            <w:r w:rsidRPr="00D878EC">
              <w:rPr>
                <w:b/>
              </w:rPr>
              <w:t>stakeholder</w:t>
            </w:r>
          </w:p>
        </w:tc>
        <w:tc>
          <w:tcPr>
            <w:tcW w:w="1417" w:type="dxa"/>
            <w:vAlign w:val="top"/>
          </w:tcPr>
          <w:p w14:paraId="3AFDB0F0" w14:textId="77777777" w:rsidR="004717F7" w:rsidRPr="00D878EC" w:rsidRDefault="004717F7" w:rsidP="00D878EC">
            <w:pPr>
              <w:pStyle w:val="Tabletextleft"/>
              <w:rPr>
                <w:b/>
              </w:rPr>
            </w:pPr>
            <w:r w:rsidRPr="00D878EC">
              <w:rPr>
                <w:b/>
              </w:rPr>
              <w:t>Availability of data for reporting</w:t>
            </w:r>
          </w:p>
        </w:tc>
      </w:tr>
      <w:tr w:rsidR="008A378E" w:rsidRPr="00D878EC" w14:paraId="269226D6" w14:textId="77777777" w:rsidTr="00D878EC">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3CCFF4C" w14:textId="77777777" w:rsidR="008E372B" w:rsidRPr="00D878EC" w:rsidRDefault="008E372B" w:rsidP="00D878EC">
            <w:pPr>
              <w:pStyle w:val="Tabletextleft"/>
              <w:rPr>
                <w:b/>
              </w:rPr>
            </w:pPr>
            <w:r w:rsidRPr="00D878EC">
              <w:rPr>
                <w:b/>
              </w:rPr>
              <w:t>Numerator</w:t>
            </w:r>
          </w:p>
        </w:tc>
        <w:tc>
          <w:tcPr>
            <w:tcW w:w="136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A6ADEE1" w14:textId="77777777" w:rsidR="008E372B" w:rsidRPr="00D878EC" w:rsidRDefault="008A378E" w:rsidP="00D878EC">
            <w:pPr>
              <w:pStyle w:val="Tabletextleft"/>
            </w:pPr>
            <w:r w:rsidRPr="00D878EC">
              <w:t>ACCHS</w:t>
            </w:r>
          </w:p>
        </w:tc>
        <w:tc>
          <w:tcPr>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0F5102A" w14:textId="77777777" w:rsidR="008E372B" w:rsidRPr="00D878EC" w:rsidRDefault="008E372B" w:rsidP="00D878EC">
            <w:pPr>
              <w:pStyle w:val="Tabletextleft"/>
            </w:pPr>
            <w:r w:rsidRPr="00D878EC">
              <w:t xml:space="preserve">Number of individuals who had a syphilis test at participating services within the </w:t>
            </w:r>
            <w:r w:rsidR="008A378E" w:rsidRPr="00D878EC">
              <w:t xml:space="preserve">previous 12 months, by </w:t>
            </w:r>
            <w:r w:rsidR="002D07FE" w:rsidRPr="00D878EC">
              <w:t>target and total population</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479FE77" w14:textId="77777777" w:rsidR="008E372B" w:rsidRPr="00D878EC" w:rsidRDefault="008A378E" w:rsidP="00D878EC">
            <w:pPr>
              <w:pStyle w:val="Tabletextleft"/>
            </w:pPr>
            <w:r w:rsidRPr="00D878EC">
              <w:t>NACCHO</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723E197" w14:textId="77777777" w:rsidR="008E372B" w:rsidRPr="00D878EC" w:rsidRDefault="008E372B" w:rsidP="00D878EC">
            <w:pPr>
              <w:pStyle w:val="Tabletextleft"/>
            </w:pPr>
            <w:r w:rsidRPr="00D878EC">
              <w:t>Quarterly</w:t>
            </w:r>
          </w:p>
        </w:tc>
      </w:tr>
      <w:tr w:rsidR="008E372B" w:rsidRPr="00D878EC" w14:paraId="579835E0" w14:textId="77777777" w:rsidTr="00D878EC">
        <w:tc>
          <w:tcPr>
            <w:tcW w:w="0" w:type="auto"/>
            <w:vAlign w:val="top"/>
          </w:tcPr>
          <w:p w14:paraId="4FE8B66F" w14:textId="77777777" w:rsidR="008E372B" w:rsidRPr="00D878EC" w:rsidRDefault="008E372B" w:rsidP="00D878EC">
            <w:pPr>
              <w:pStyle w:val="Tabletextleft"/>
              <w:rPr>
                <w:b/>
              </w:rPr>
            </w:pPr>
            <w:r w:rsidRPr="00D878EC">
              <w:rPr>
                <w:b/>
              </w:rPr>
              <w:t>Denominator</w:t>
            </w:r>
          </w:p>
        </w:tc>
        <w:tc>
          <w:tcPr>
            <w:tcW w:w="1368" w:type="dxa"/>
            <w:vAlign w:val="top"/>
          </w:tcPr>
          <w:p w14:paraId="2DABA03C" w14:textId="77777777" w:rsidR="008E372B" w:rsidRPr="00D878EC" w:rsidRDefault="008A378E" w:rsidP="00D878EC">
            <w:pPr>
              <w:pStyle w:val="Tabletextleft"/>
            </w:pPr>
            <w:r w:rsidRPr="00D878EC">
              <w:t>ACCHS</w:t>
            </w:r>
          </w:p>
        </w:tc>
        <w:tc>
          <w:tcPr>
            <w:tcW w:w="3544" w:type="dxa"/>
            <w:vAlign w:val="top"/>
          </w:tcPr>
          <w:p w14:paraId="2C2EE475" w14:textId="02C4CBA4" w:rsidR="008E372B" w:rsidRPr="00D878EC" w:rsidRDefault="008E372B" w:rsidP="00D878EC">
            <w:pPr>
              <w:pStyle w:val="Tabletextleft"/>
            </w:pPr>
            <w:r w:rsidRPr="00D878EC">
              <w:t xml:space="preserve">Total number of </w:t>
            </w:r>
            <w:r w:rsidR="008A378E" w:rsidRPr="00D878EC">
              <w:t>individuals</w:t>
            </w:r>
            <w:r w:rsidRPr="00D878EC">
              <w:t xml:space="preserve"> attending participating services within the previous 12 months by </w:t>
            </w:r>
            <w:r w:rsidR="002D07FE" w:rsidRPr="00D878EC">
              <w:t>target and total population</w:t>
            </w:r>
          </w:p>
        </w:tc>
        <w:tc>
          <w:tcPr>
            <w:tcW w:w="1701" w:type="dxa"/>
            <w:vAlign w:val="top"/>
          </w:tcPr>
          <w:p w14:paraId="1DFF1AFF" w14:textId="77777777" w:rsidR="008E372B" w:rsidRPr="00D878EC" w:rsidRDefault="008A378E" w:rsidP="00D878EC">
            <w:pPr>
              <w:pStyle w:val="Tabletextleft"/>
            </w:pPr>
            <w:r w:rsidRPr="00D878EC">
              <w:t>NACCHO</w:t>
            </w:r>
          </w:p>
        </w:tc>
        <w:tc>
          <w:tcPr>
            <w:tcW w:w="1417" w:type="dxa"/>
            <w:vAlign w:val="top"/>
          </w:tcPr>
          <w:p w14:paraId="5EBB6ED8" w14:textId="77777777" w:rsidR="008E372B" w:rsidRPr="00D878EC" w:rsidRDefault="008E372B" w:rsidP="00D878EC">
            <w:pPr>
              <w:pStyle w:val="Tabletextleft"/>
            </w:pPr>
            <w:r w:rsidRPr="00D878EC">
              <w:t>Quarterly</w:t>
            </w:r>
          </w:p>
        </w:tc>
      </w:tr>
    </w:tbl>
    <w:p w14:paraId="0557B150" w14:textId="2D071A8B" w:rsidR="00581459" w:rsidRPr="001745B1" w:rsidRDefault="00581459" w:rsidP="00D878EC">
      <w:pPr>
        <w:pStyle w:val="Tableheadings"/>
      </w:pPr>
      <w:r w:rsidRPr="001745B1">
        <w:t>1.4 Proportion of people from priority populations</w:t>
      </w:r>
      <w:r w:rsidR="008333C9" w:rsidRPr="00E50B9D">
        <w:rPr>
          <w:bCs/>
          <w:vertAlign w:val="superscript"/>
        </w:rPr>
        <w:footnoteReference w:id="7"/>
      </w:r>
      <w:r w:rsidRPr="001745B1">
        <w:t xml:space="preserve"> tested for syphilis in the previous 12 months attending a </w:t>
      </w:r>
      <w:r w:rsidR="008333C9" w:rsidRPr="001745B1">
        <w:t>site</w:t>
      </w:r>
      <w:bookmarkStart w:id="25" w:name="_Ref204153979"/>
      <w:r w:rsidR="00A14FA3" w:rsidRPr="00E50B9D">
        <w:rPr>
          <w:bCs/>
          <w:vertAlign w:val="superscript"/>
        </w:rPr>
        <w:footnoteReference w:id="8"/>
      </w:r>
      <w:bookmarkEnd w:id="25"/>
      <w:r w:rsidR="008333C9" w:rsidRPr="001745B1">
        <w:t xml:space="preserve"> within </w:t>
      </w:r>
      <w:r w:rsidRPr="001745B1">
        <w:t>the ACCESS network</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368"/>
        <w:gridCol w:w="3544"/>
        <w:gridCol w:w="1701"/>
        <w:gridCol w:w="1417"/>
      </w:tblGrid>
      <w:tr w:rsidR="00581459" w:rsidRPr="00FC00A9" w14:paraId="32F035C4" w14:textId="77777777" w:rsidTr="00D878EC">
        <w:trPr>
          <w:cnfStyle w:val="100000000000" w:firstRow="1" w:lastRow="0" w:firstColumn="0" w:lastColumn="0" w:oddVBand="0" w:evenVBand="0" w:oddHBand="0" w:evenHBand="0" w:firstRowFirstColumn="0" w:firstRowLastColumn="0" w:lastRowFirstColumn="0" w:lastRowLastColumn="0"/>
        </w:trPr>
        <w:tc>
          <w:tcPr>
            <w:tcW w:w="0" w:type="auto"/>
            <w:vAlign w:val="top"/>
          </w:tcPr>
          <w:p w14:paraId="103A02DD" w14:textId="77777777" w:rsidR="00581459" w:rsidRPr="00FC00A9" w:rsidRDefault="00581459" w:rsidP="00FC00A9">
            <w:pPr>
              <w:pStyle w:val="Tabletextleft"/>
              <w:rPr>
                <w:b/>
              </w:rPr>
            </w:pPr>
            <w:r w:rsidRPr="00FC00A9">
              <w:rPr>
                <w:b/>
              </w:rPr>
              <w:t>Indicator components</w:t>
            </w:r>
          </w:p>
        </w:tc>
        <w:tc>
          <w:tcPr>
            <w:tcW w:w="1368" w:type="dxa"/>
            <w:vAlign w:val="top"/>
          </w:tcPr>
          <w:p w14:paraId="1C8C7FA0" w14:textId="77777777" w:rsidR="00581459" w:rsidRPr="00FC00A9" w:rsidRDefault="00581459" w:rsidP="00FC00A9">
            <w:pPr>
              <w:pStyle w:val="Tabletextleft"/>
              <w:rPr>
                <w:b/>
              </w:rPr>
            </w:pPr>
            <w:r w:rsidRPr="00FC00A9">
              <w:rPr>
                <w:b/>
              </w:rPr>
              <w:t>Source</w:t>
            </w:r>
          </w:p>
        </w:tc>
        <w:tc>
          <w:tcPr>
            <w:tcW w:w="3544" w:type="dxa"/>
            <w:vAlign w:val="top"/>
          </w:tcPr>
          <w:p w14:paraId="5508DE76" w14:textId="77777777" w:rsidR="00581459" w:rsidRPr="00FC00A9" w:rsidRDefault="00581459" w:rsidP="00FC00A9">
            <w:pPr>
              <w:pStyle w:val="Tabletextleft"/>
              <w:rPr>
                <w:b/>
              </w:rPr>
            </w:pPr>
            <w:r w:rsidRPr="00FC00A9">
              <w:rPr>
                <w:b/>
              </w:rPr>
              <w:t>Description</w:t>
            </w:r>
          </w:p>
        </w:tc>
        <w:tc>
          <w:tcPr>
            <w:tcW w:w="1701" w:type="dxa"/>
            <w:vAlign w:val="top"/>
          </w:tcPr>
          <w:p w14:paraId="504B3DB1" w14:textId="77777777" w:rsidR="00581459" w:rsidRPr="00FC00A9" w:rsidRDefault="00581459" w:rsidP="00FC00A9">
            <w:pPr>
              <w:pStyle w:val="Tabletextleft"/>
              <w:rPr>
                <w:b/>
              </w:rPr>
            </w:pPr>
            <w:r w:rsidRPr="00FC00A9">
              <w:rPr>
                <w:b/>
              </w:rPr>
              <w:t>Custodian/</w:t>
            </w:r>
          </w:p>
          <w:p w14:paraId="718A8D8F" w14:textId="77777777" w:rsidR="00581459" w:rsidRPr="00FC00A9" w:rsidRDefault="00581459" w:rsidP="00FC00A9">
            <w:pPr>
              <w:pStyle w:val="Tabletextleft"/>
              <w:rPr>
                <w:b/>
              </w:rPr>
            </w:pPr>
            <w:r w:rsidRPr="00FC00A9">
              <w:rPr>
                <w:b/>
              </w:rPr>
              <w:t>stakeholder</w:t>
            </w:r>
          </w:p>
        </w:tc>
        <w:tc>
          <w:tcPr>
            <w:tcW w:w="1417" w:type="dxa"/>
            <w:vAlign w:val="top"/>
          </w:tcPr>
          <w:p w14:paraId="6B65941E" w14:textId="77777777" w:rsidR="00581459" w:rsidRPr="00FC00A9" w:rsidRDefault="00581459" w:rsidP="00FC00A9">
            <w:pPr>
              <w:pStyle w:val="Tabletextleft"/>
              <w:rPr>
                <w:b/>
              </w:rPr>
            </w:pPr>
            <w:r w:rsidRPr="00FC00A9">
              <w:rPr>
                <w:b/>
              </w:rPr>
              <w:t>Availability of data for reporting</w:t>
            </w:r>
          </w:p>
        </w:tc>
      </w:tr>
      <w:tr w:rsidR="00581459" w:rsidRPr="001745B1" w14:paraId="24495D33" w14:textId="77777777" w:rsidTr="00D878EC">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44B6536" w14:textId="77777777" w:rsidR="00581459" w:rsidRPr="00FC00A9" w:rsidRDefault="00581459" w:rsidP="00FC00A9">
            <w:pPr>
              <w:pStyle w:val="Tabletextleft"/>
              <w:rPr>
                <w:b/>
              </w:rPr>
            </w:pPr>
            <w:r w:rsidRPr="00FC00A9">
              <w:rPr>
                <w:b/>
              </w:rPr>
              <w:t>Numerator</w:t>
            </w:r>
          </w:p>
        </w:tc>
        <w:tc>
          <w:tcPr>
            <w:tcW w:w="136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B76ADA0" w14:textId="77777777" w:rsidR="00581459" w:rsidRPr="001745B1" w:rsidRDefault="00581459" w:rsidP="00ED11C7">
            <w:pPr>
              <w:pStyle w:val="Tabletextleft"/>
            </w:pPr>
            <w:r w:rsidRPr="001745B1">
              <w:t>ACCESS</w:t>
            </w:r>
          </w:p>
        </w:tc>
        <w:tc>
          <w:tcPr>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2EF80E8" w14:textId="14816C51" w:rsidR="00581459" w:rsidRPr="001745B1" w:rsidRDefault="00581459" w:rsidP="00ED11C7">
            <w:pPr>
              <w:pStyle w:val="Tabletextleft"/>
            </w:pPr>
            <w:r w:rsidRPr="001745B1">
              <w:t xml:space="preserve">Number </w:t>
            </w:r>
            <w:r w:rsidR="34B51980" w:rsidRPr="001745B1">
              <w:t xml:space="preserve">of </w:t>
            </w:r>
            <w:r w:rsidRPr="001745B1">
              <w:t>people, by priority population group</w:t>
            </w:r>
            <w:r w:rsidR="14FB11AB" w:rsidRPr="001745B1">
              <w:t>,</w:t>
            </w:r>
            <w:r w:rsidRPr="001745B1">
              <w:t xml:space="preserve"> attending a </w:t>
            </w:r>
            <w:r w:rsidR="008333C9" w:rsidRPr="001745B1">
              <w:t>site</w:t>
            </w:r>
            <w:r w:rsidRPr="001745B1">
              <w:t xml:space="preserve"> </w:t>
            </w:r>
            <w:r w:rsidR="21BAB4DC" w:rsidRPr="001745B1">
              <w:t>and</w:t>
            </w:r>
            <w:r w:rsidR="42253553" w:rsidRPr="001745B1">
              <w:t xml:space="preserve"> </w:t>
            </w:r>
            <w:r w:rsidRPr="001745B1">
              <w:t>tested for syphilis in the previous 12 months</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9311D73" w14:textId="77777777" w:rsidR="00581459" w:rsidRPr="001745B1" w:rsidRDefault="00581459" w:rsidP="00ED11C7">
            <w:pPr>
              <w:pStyle w:val="Tabletextleft"/>
            </w:pPr>
            <w:r w:rsidRPr="001745B1">
              <w:t>Burnet/Kirby Institute</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C437E19" w14:textId="77777777" w:rsidR="00581459" w:rsidRPr="001745B1" w:rsidRDefault="00581459" w:rsidP="00ED11C7">
            <w:pPr>
              <w:pStyle w:val="Tabletextleft"/>
            </w:pPr>
            <w:r w:rsidRPr="001745B1">
              <w:t>Annually</w:t>
            </w:r>
          </w:p>
        </w:tc>
      </w:tr>
      <w:tr w:rsidR="00581459" w:rsidRPr="001745B1" w14:paraId="25DBC9BE" w14:textId="77777777" w:rsidTr="00D878EC">
        <w:tc>
          <w:tcPr>
            <w:tcW w:w="0" w:type="auto"/>
            <w:vAlign w:val="top"/>
          </w:tcPr>
          <w:p w14:paraId="2D893862" w14:textId="77777777" w:rsidR="00581459" w:rsidRPr="00FC00A9" w:rsidRDefault="00581459" w:rsidP="00FC00A9">
            <w:pPr>
              <w:pStyle w:val="Tabletextleft"/>
              <w:rPr>
                <w:b/>
              </w:rPr>
            </w:pPr>
            <w:r w:rsidRPr="00FC00A9">
              <w:rPr>
                <w:b/>
              </w:rPr>
              <w:t>Denominator</w:t>
            </w:r>
          </w:p>
        </w:tc>
        <w:tc>
          <w:tcPr>
            <w:tcW w:w="1368" w:type="dxa"/>
            <w:vAlign w:val="top"/>
          </w:tcPr>
          <w:p w14:paraId="0444CCB0" w14:textId="77777777" w:rsidR="00581459" w:rsidRPr="001745B1" w:rsidRDefault="00581459" w:rsidP="00ED11C7">
            <w:pPr>
              <w:pStyle w:val="Tabletextleft"/>
            </w:pPr>
            <w:r w:rsidRPr="001745B1">
              <w:t>ACCESS</w:t>
            </w:r>
          </w:p>
        </w:tc>
        <w:tc>
          <w:tcPr>
            <w:tcW w:w="3544" w:type="dxa"/>
            <w:vAlign w:val="top"/>
          </w:tcPr>
          <w:p w14:paraId="5E6D418B" w14:textId="24C7633B" w:rsidR="00581459" w:rsidRPr="001745B1" w:rsidRDefault="00581459" w:rsidP="00ED11C7">
            <w:pPr>
              <w:pStyle w:val="Tabletextleft"/>
            </w:pPr>
            <w:r w:rsidRPr="001745B1">
              <w:t>Number of people, by priority population group</w:t>
            </w:r>
            <w:r w:rsidR="0FC902AA" w:rsidRPr="001745B1">
              <w:t>,</w:t>
            </w:r>
            <w:r w:rsidRPr="001745B1">
              <w:t xml:space="preserve"> attending a </w:t>
            </w:r>
            <w:r w:rsidR="008333C9" w:rsidRPr="001745B1">
              <w:t>site</w:t>
            </w:r>
            <w:r w:rsidR="00A14FA3" w:rsidRPr="001745B1">
              <w:t xml:space="preserve"> </w:t>
            </w:r>
            <w:r w:rsidRPr="001745B1">
              <w:t>in the previous 12 months</w:t>
            </w:r>
          </w:p>
        </w:tc>
        <w:tc>
          <w:tcPr>
            <w:tcW w:w="1701" w:type="dxa"/>
            <w:vAlign w:val="top"/>
          </w:tcPr>
          <w:p w14:paraId="207867E3" w14:textId="77777777" w:rsidR="00581459" w:rsidRPr="001745B1" w:rsidRDefault="00581459" w:rsidP="00ED11C7">
            <w:pPr>
              <w:pStyle w:val="Tabletextleft"/>
            </w:pPr>
            <w:r w:rsidRPr="001745B1">
              <w:t>Burnet/Kirby Institute</w:t>
            </w:r>
          </w:p>
        </w:tc>
        <w:tc>
          <w:tcPr>
            <w:tcW w:w="1417" w:type="dxa"/>
            <w:vAlign w:val="top"/>
          </w:tcPr>
          <w:p w14:paraId="463622A4" w14:textId="77777777" w:rsidR="00581459" w:rsidRPr="001745B1" w:rsidRDefault="00581459" w:rsidP="00ED11C7">
            <w:pPr>
              <w:pStyle w:val="Tabletextleft"/>
            </w:pPr>
            <w:r w:rsidRPr="001745B1">
              <w:t>Annually</w:t>
            </w:r>
          </w:p>
        </w:tc>
      </w:tr>
    </w:tbl>
    <w:p w14:paraId="7998769B" w14:textId="77777777" w:rsidR="00B354DE" w:rsidRPr="00FC00A9" w:rsidRDefault="00B354DE" w:rsidP="00FC00A9">
      <w:r w:rsidRPr="00FC00A9">
        <w:br w:type="page"/>
      </w:r>
    </w:p>
    <w:p w14:paraId="37A59586" w14:textId="01F10944" w:rsidR="008333C9" w:rsidRPr="001745B1" w:rsidRDefault="008333C9" w:rsidP="00D16BA6">
      <w:pPr>
        <w:pStyle w:val="Tableheadings"/>
      </w:pPr>
      <w:r w:rsidRPr="001745B1">
        <w:lastRenderedPageBreak/>
        <w:t xml:space="preserve">1.5 Proportion of </w:t>
      </w:r>
      <w:proofErr w:type="spellStart"/>
      <w:proofErr w:type="gramStart"/>
      <w:r w:rsidRPr="001745B1">
        <w:t>gay</w:t>
      </w:r>
      <w:r w:rsidR="002A189E">
        <w:t>,</w:t>
      </w:r>
      <w:r w:rsidRPr="001745B1">
        <w:t>bisexual</w:t>
      </w:r>
      <w:proofErr w:type="spellEnd"/>
      <w:proofErr w:type="gramEnd"/>
      <w:r w:rsidR="00215D1A">
        <w:t>, and other</w:t>
      </w:r>
      <w:r w:rsidRPr="001745B1">
        <w:t xml:space="preserve"> men who have sex with men who have been tested for syphilis three or more times in the previous 12 months attending a site</w:t>
      </w:r>
      <w:r w:rsidR="00B354DE" w:rsidRPr="00B354DE">
        <w:rPr>
          <w:vertAlign w:val="superscript"/>
        </w:rPr>
        <w:fldChar w:fldCharType="begin"/>
      </w:r>
      <w:r w:rsidR="00B354DE" w:rsidRPr="00B354DE">
        <w:rPr>
          <w:vertAlign w:val="superscript"/>
        </w:rPr>
        <w:instrText xml:space="preserve"> NOTEREF _Ref204153979 \h  \* MERGEFORMAT </w:instrText>
      </w:r>
      <w:r w:rsidR="00B354DE" w:rsidRPr="00B354DE">
        <w:rPr>
          <w:vertAlign w:val="superscript"/>
        </w:rPr>
      </w:r>
      <w:r w:rsidR="00B354DE" w:rsidRPr="00B354DE">
        <w:rPr>
          <w:vertAlign w:val="superscript"/>
        </w:rPr>
        <w:fldChar w:fldCharType="separate"/>
      </w:r>
      <w:r w:rsidR="00B354DE" w:rsidRPr="00B354DE">
        <w:rPr>
          <w:vertAlign w:val="superscript"/>
        </w:rPr>
        <w:t>7</w:t>
      </w:r>
      <w:r w:rsidR="00B354DE" w:rsidRPr="00B354DE">
        <w:rPr>
          <w:vertAlign w:val="superscript"/>
        </w:rPr>
        <w:fldChar w:fldCharType="end"/>
      </w:r>
      <w:r w:rsidRPr="001745B1">
        <w:t xml:space="preserve"> within the ACCESS network</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368"/>
        <w:gridCol w:w="3544"/>
        <w:gridCol w:w="1701"/>
        <w:gridCol w:w="1417"/>
      </w:tblGrid>
      <w:tr w:rsidR="008333C9" w:rsidRPr="00D16BA6" w14:paraId="19326BD1" w14:textId="77777777" w:rsidTr="004975B1">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035D0380" w14:textId="77777777" w:rsidR="008333C9" w:rsidRPr="00D16BA6" w:rsidRDefault="008333C9" w:rsidP="00D16BA6">
            <w:pPr>
              <w:pStyle w:val="Tabletextleft"/>
              <w:rPr>
                <w:b/>
              </w:rPr>
            </w:pPr>
            <w:r w:rsidRPr="00D16BA6">
              <w:rPr>
                <w:b/>
              </w:rPr>
              <w:t>Indicator components</w:t>
            </w:r>
          </w:p>
        </w:tc>
        <w:tc>
          <w:tcPr>
            <w:tcW w:w="1368" w:type="dxa"/>
            <w:vAlign w:val="top"/>
          </w:tcPr>
          <w:p w14:paraId="225C0318" w14:textId="77777777" w:rsidR="008333C9" w:rsidRPr="00D16BA6" w:rsidRDefault="008333C9" w:rsidP="00D16BA6">
            <w:pPr>
              <w:pStyle w:val="Tabletextleft"/>
              <w:rPr>
                <w:b/>
              </w:rPr>
            </w:pPr>
            <w:r w:rsidRPr="00D16BA6">
              <w:rPr>
                <w:b/>
              </w:rPr>
              <w:t>Source</w:t>
            </w:r>
          </w:p>
        </w:tc>
        <w:tc>
          <w:tcPr>
            <w:tcW w:w="3544" w:type="dxa"/>
            <w:vAlign w:val="top"/>
          </w:tcPr>
          <w:p w14:paraId="3EEF6F09" w14:textId="77777777" w:rsidR="008333C9" w:rsidRPr="00D16BA6" w:rsidRDefault="008333C9" w:rsidP="00D16BA6">
            <w:pPr>
              <w:pStyle w:val="Tabletextleft"/>
              <w:rPr>
                <w:b/>
              </w:rPr>
            </w:pPr>
            <w:r w:rsidRPr="00D16BA6">
              <w:rPr>
                <w:b/>
              </w:rPr>
              <w:t>Description</w:t>
            </w:r>
          </w:p>
        </w:tc>
        <w:tc>
          <w:tcPr>
            <w:tcW w:w="1701" w:type="dxa"/>
            <w:vAlign w:val="top"/>
          </w:tcPr>
          <w:p w14:paraId="02837268" w14:textId="77777777" w:rsidR="008333C9" w:rsidRPr="00D16BA6" w:rsidRDefault="008333C9" w:rsidP="00D16BA6">
            <w:pPr>
              <w:pStyle w:val="Tabletextleft"/>
              <w:rPr>
                <w:b/>
              </w:rPr>
            </w:pPr>
            <w:r w:rsidRPr="00D16BA6">
              <w:rPr>
                <w:b/>
              </w:rPr>
              <w:t>Custodian/</w:t>
            </w:r>
          </w:p>
          <w:p w14:paraId="07C8B3DC" w14:textId="77777777" w:rsidR="008333C9" w:rsidRPr="00D16BA6" w:rsidRDefault="008333C9" w:rsidP="00D16BA6">
            <w:pPr>
              <w:pStyle w:val="Tabletextleft"/>
              <w:rPr>
                <w:b/>
              </w:rPr>
            </w:pPr>
            <w:r w:rsidRPr="00D16BA6">
              <w:rPr>
                <w:b/>
              </w:rPr>
              <w:t>stakeholder</w:t>
            </w:r>
          </w:p>
        </w:tc>
        <w:tc>
          <w:tcPr>
            <w:tcW w:w="1417" w:type="dxa"/>
            <w:vAlign w:val="top"/>
          </w:tcPr>
          <w:p w14:paraId="39A8BB9E" w14:textId="77777777" w:rsidR="008333C9" w:rsidRPr="00D16BA6" w:rsidRDefault="008333C9" w:rsidP="00D16BA6">
            <w:pPr>
              <w:pStyle w:val="Tabletextleft"/>
              <w:rPr>
                <w:b/>
              </w:rPr>
            </w:pPr>
            <w:r w:rsidRPr="00D16BA6">
              <w:rPr>
                <w:b/>
              </w:rPr>
              <w:t>Availability of data for reporting</w:t>
            </w:r>
          </w:p>
        </w:tc>
      </w:tr>
      <w:tr w:rsidR="008333C9" w:rsidRPr="00D16BA6" w14:paraId="0CB5DDA1" w14:textId="77777777" w:rsidTr="00D16BA6">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E5EE9CC" w14:textId="77777777" w:rsidR="008333C9" w:rsidRPr="00D16BA6" w:rsidRDefault="008333C9" w:rsidP="00D16BA6">
            <w:pPr>
              <w:pStyle w:val="Tabletextleft"/>
              <w:rPr>
                <w:b/>
              </w:rPr>
            </w:pPr>
            <w:r w:rsidRPr="00D16BA6">
              <w:rPr>
                <w:b/>
              </w:rPr>
              <w:t>Numerator</w:t>
            </w:r>
          </w:p>
        </w:tc>
        <w:tc>
          <w:tcPr>
            <w:tcW w:w="136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A3C0BC7" w14:textId="77777777" w:rsidR="008333C9" w:rsidRPr="00D16BA6" w:rsidRDefault="008333C9" w:rsidP="00D16BA6">
            <w:pPr>
              <w:pStyle w:val="Tabletextleft"/>
            </w:pPr>
            <w:r w:rsidRPr="00D16BA6">
              <w:t>ACCESS</w:t>
            </w:r>
          </w:p>
        </w:tc>
        <w:tc>
          <w:tcPr>
            <w:tcW w:w="354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C9CB4DF" w14:textId="57272EA7" w:rsidR="008333C9" w:rsidRPr="00D16BA6" w:rsidRDefault="008333C9" w:rsidP="00D16BA6">
            <w:pPr>
              <w:pStyle w:val="Tabletextleft"/>
            </w:pPr>
            <w:r w:rsidRPr="00D16BA6">
              <w:t xml:space="preserve">Number </w:t>
            </w:r>
            <w:r w:rsidR="00FB0A2F" w:rsidRPr="00D16BA6">
              <w:t xml:space="preserve">of </w:t>
            </w:r>
            <w:r w:rsidRPr="00D16BA6">
              <w:t>gay</w:t>
            </w:r>
            <w:r w:rsidR="00215D1A">
              <w:t>,</w:t>
            </w:r>
            <w:r w:rsidR="00F726AC">
              <w:t xml:space="preserve"> </w:t>
            </w:r>
            <w:r w:rsidRPr="00D16BA6">
              <w:t>bisexual</w:t>
            </w:r>
            <w:r w:rsidR="00F726AC">
              <w:t>, and other</w:t>
            </w:r>
            <w:r w:rsidRPr="00D16BA6">
              <w:t xml:space="preserve"> men who have sex with men attending a site</w:t>
            </w:r>
            <w:r w:rsidR="00A14FA3" w:rsidRPr="00D16BA6">
              <w:t xml:space="preserve"> </w:t>
            </w:r>
            <w:r w:rsidR="4833A6AC" w:rsidRPr="00D16BA6">
              <w:t xml:space="preserve">and </w:t>
            </w:r>
            <w:r w:rsidRPr="00D16BA6">
              <w:t>tested for syphilis three or more times in the previous 12 months</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2D3B836" w14:textId="77777777" w:rsidR="008333C9" w:rsidRPr="00D16BA6" w:rsidRDefault="008333C9" w:rsidP="00D16BA6">
            <w:pPr>
              <w:pStyle w:val="Tabletextleft"/>
            </w:pPr>
            <w:r w:rsidRPr="00D16BA6">
              <w:t>Burnet/Kirby Institute</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F4ECA5A" w14:textId="77777777" w:rsidR="008333C9" w:rsidRPr="00D16BA6" w:rsidRDefault="008333C9" w:rsidP="00D16BA6">
            <w:pPr>
              <w:pStyle w:val="Tabletextleft"/>
            </w:pPr>
            <w:r w:rsidRPr="00D16BA6">
              <w:t>Annually</w:t>
            </w:r>
          </w:p>
        </w:tc>
      </w:tr>
      <w:tr w:rsidR="008333C9" w:rsidRPr="00D16BA6" w14:paraId="289A6FE5" w14:textId="77777777" w:rsidTr="00D16BA6">
        <w:tc>
          <w:tcPr>
            <w:tcW w:w="0" w:type="auto"/>
            <w:vAlign w:val="top"/>
          </w:tcPr>
          <w:p w14:paraId="38041193" w14:textId="77777777" w:rsidR="008333C9" w:rsidRPr="00D16BA6" w:rsidRDefault="008333C9" w:rsidP="00D16BA6">
            <w:pPr>
              <w:pStyle w:val="Tabletextleft"/>
              <w:rPr>
                <w:b/>
              </w:rPr>
            </w:pPr>
            <w:r w:rsidRPr="00D16BA6">
              <w:rPr>
                <w:b/>
              </w:rPr>
              <w:t>Denominator</w:t>
            </w:r>
          </w:p>
        </w:tc>
        <w:tc>
          <w:tcPr>
            <w:tcW w:w="1368" w:type="dxa"/>
            <w:vAlign w:val="top"/>
          </w:tcPr>
          <w:p w14:paraId="0F231510" w14:textId="77777777" w:rsidR="008333C9" w:rsidRPr="00D16BA6" w:rsidRDefault="008333C9" w:rsidP="00D16BA6">
            <w:pPr>
              <w:pStyle w:val="Tabletextleft"/>
            </w:pPr>
            <w:r w:rsidRPr="00D16BA6">
              <w:t>ACCESS</w:t>
            </w:r>
          </w:p>
        </w:tc>
        <w:tc>
          <w:tcPr>
            <w:tcW w:w="3544" w:type="dxa"/>
            <w:vAlign w:val="top"/>
          </w:tcPr>
          <w:p w14:paraId="4FEBC66D" w14:textId="1535B2D5" w:rsidR="008333C9" w:rsidRPr="00D16BA6" w:rsidRDefault="008333C9" w:rsidP="00D16BA6">
            <w:pPr>
              <w:pStyle w:val="Tabletextleft"/>
            </w:pPr>
            <w:r w:rsidRPr="00D16BA6">
              <w:t>Number of gay</w:t>
            </w:r>
            <w:r w:rsidR="00E0656F">
              <w:t>,</w:t>
            </w:r>
            <w:r w:rsidRPr="00D16BA6">
              <w:t xml:space="preserve"> bisexual</w:t>
            </w:r>
            <w:r w:rsidR="00E0656F">
              <w:t>, and other</w:t>
            </w:r>
            <w:r w:rsidRPr="00D16BA6">
              <w:t xml:space="preserve"> men who have sex with men attending a site in the previous 12 months</w:t>
            </w:r>
          </w:p>
        </w:tc>
        <w:tc>
          <w:tcPr>
            <w:tcW w:w="1701" w:type="dxa"/>
            <w:vAlign w:val="top"/>
          </w:tcPr>
          <w:p w14:paraId="2328259B" w14:textId="77777777" w:rsidR="008333C9" w:rsidRPr="00D16BA6" w:rsidRDefault="008333C9" w:rsidP="00D16BA6">
            <w:pPr>
              <w:pStyle w:val="Tabletextleft"/>
            </w:pPr>
            <w:r w:rsidRPr="00D16BA6">
              <w:t>Burnet/Kirby Institute</w:t>
            </w:r>
          </w:p>
        </w:tc>
        <w:tc>
          <w:tcPr>
            <w:tcW w:w="1417" w:type="dxa"/>
            <w:vAlign w:val="top"/>
          </w:tcPr>
          <w:p w14:paraId="56377543" w14:textId="77777777" w:rsidR="008333C9" w:rsidRPr="00D16BA6" w:rsidRDefault="008333C9" w:rsidP="00D16BA6">
            <w:pPr>
              <w:pStyle w:val="Tabletextleft"/>
            </w:pPr>
            <w:r w:rsidRPr="00D16BA6">
              <w:t>Annually</w:t>
            </w:r>
          </w:p>
        </w:tc>
      </w:tr>
    </w:tbl>
    <w:p w14:paraId="0EB26EFB" w14:textId="7239989C" w:rsidR="004717F7" w:rsidRPr="004975B1" w:rsidRDefault="00493169" w:rsidP="004975B1">
      <w:pPr>
        <w:pStyle w:val="Tableheadings"/>
      </w:pPr>
      <w:r w:rsidRPr="004975B1">
        <w:t>1.</w:t>
      </w:r>
      <w:r w:rsidR="008333C9" w:rsidRPr="004975B1">
        <w:t>6</w:t>
      </w:r>
      <w:r w:rsidRPr="004975B1">
        <w:t xml:space="preserve"> </w:t>
      </w:r>
      <w:r w:rsidR="004717F7" w:rsidRPr="004975B1">
        <w:t xml:space="preserve">Proportion of </w:t>
      </w:r>
      <w:r w:rsidR="003656E8" w:rsidRPr="004975B1">
        <w:t>women</w:t>
      </w:r>
      <w:r w:rsidR="009863AD" w:rsidRPr="004D2964">
        <w:rPr>
          <w:vertAlign w:val="superscript"/>
        </w:rPr>
        <w:fldChar w:fldCharType="begin"/>
      </w:r>
      <w:r w:rsidR="009863AD" w:rsidRPr="004D2964">
        <w:rPr>
          <w:vertAlign w:val="superscript"/>
        </w:rPr>
        <w:instrText xml:space="preserve"> NOTEREF _Ref204154090 \h </w:instrText>
      </w:r>
      <w:r w:rsidR="00A4161B" w:rsidRPr="004D2964">
        <w:rPr>
          <w:vertAlign w:val="superscript"/>
        </w:rPr>
        <w:instrText xml:space="preserve"> \* MERGEFORMAT </w:instrText>
      </w:r>
      <w:r w:rsidR="009863AD" w:rsidRPr="004D2964">
        <w:rPr>
          <w:vertAlign w:val="superscript"/>
        </w:rPr>
      </w:r>
      <w:r w:rsidR="009863AD" w:rsidRPr="004D2964">
        <w:rPr>
          <w:vertAlign w:val="superscript"/>
        </w:rPr>
        <w:fldChar w:fldCharType="separate"/>
      </w:r>
      <w:r w:rsidR="009863AD" w:rsidRPr="004D2964">
        <w:rPr>
          <w:vertAlign w:val="superscript"/>
        </w:rPr>
        <w:t>2</w:t>
      </w:r>
      <w:r w:rsidR="009863AD" w:rsidRPr="004D2964">
        <w:rPr>
          <w:vertAlign w:val="superscript"/>
        </w:rPr>
        <w:fldChar w:fldCharType="end"/>
      </w:r>
      <w:r w:rsidR="004717F7" w:rsidRPr="004975B1">
        <w:t xml:space="preserve"> who gave birth, by duration of pregnancy</w:t>
      </w:r>
      <w:bookmarkStart w:id="26" w:name="_Ref204154206"/>
      <w:r w:rsidR="004717F7" w:rsidRPr="004D2964">
        <w:rPr>
          <w:vertAlign w:val="superscript"/>
        </w:rPr>
        <w:footnoteReference w:id="9"/>
      </w:r>
      <w:bookmarkEnd w:id="26"/>
      <w:r w:rsidR="004717F7" w:rsidRPr="004975B1">
        <w:t xml:space="preserve"> at first antenatal visit</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360"/>
        <w:gridCol w:w="3697"/>
        <w:gridCol w:w="1548"/>
        <w:gridCol w:w="1428"/>
      </w:tblGrid>
      <w:tr w:rsidR="004717F7" w:rsidRPr="004975B1" w14:paraId="2C734549" w14:textId="77777777" w:rsidTr="004975B1">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6E583E7D" w14:textId="77777777" w:rsidR="004717F7" w:rsidRPr="004975B1" w:rsidRDefault="004717F7" w:rsidP="004975B1">
            <w:pPr>
              <w:pStyle w:val="Tabletextleft"/>
              <w:rPr>
                <w:b/>
              </w:rPr>
            </w:pPr>
            <w:r w:rsidRPr="004975B1">
              <w:rPr>
                <w:b/>
              </w:rPr>
              <w:t>Indicator components</w:t>
            </w:r>
          </w:p>
        </w:tc>
        <w:tc>
          <w:tcPr>
            <w:tcW w:w="1360" w:type="dxa"/>
            <w:vAlign w:val="top"/>
          </w:tcPr>
          <w:p w14:paraId="4A62412A" w14:textId="77777777" w:rsidR="004717F7" w:rsidRPr="004975B1" w:rsidRDefault="004717F7" w:rsidP="004975B1">
            <w:pPr>
              <w:pStyle w:val="Tabletextleft"/>
              <w:rPr>
                <w:b/>
              </w:rPr>
            </w:pPr>
            <w:r w:rsidRPr="004975B1">
              <w:rPr>
                <w:b/>
              </w:rPr>
              <w:t>Source</w:t>
            </w:r>
          </w:p>
        </w:tc>
        <w:tc>
          <w:tcPr>
            <w:tcW w:w="3697" w:type="dxa"/>
            <w:vAlign w:val="top"/>
          </w:tcPr>
          <w:p w14:paraId="366AB68F" w14:textId="77777777" w:rsidR="004717F7" w:rsidRPr="004975B1" w:rsidRDefault="004717F7" w:rsidP="004975B1">
            <w:pPr>
              <w:pStyle w:val="Tabletextleft"/>
              <w:rPr>
                <w:b/>
              </w:rPr>
            </w:pPr>
            <w:r w:rsidRPr="004975B1">
              <w:rPr>
                <w:b/>
              </w:rPr>
              <w:t>Description</w:t>
            </w:r>
          </w:p>
        </w:tc>
        <w:tc>
          <w:tcPr>
            <w:tcW w:w="1548" w:type="dxa"/>
            <w:vAlign w:val="top"/>
          </w:tcPr>
          <w:p w14:paraId="36EA5EAC" w14:textId="77777777" w:rsidR="004717F7" w:rsidRPr="004975B1" w:rsidRDefault="004717F7" w:rsidP="004975B1">
            <w:pPr>
              <w:pStyle w:val="Tabletextleft"/>
              <w:rPr>
                <w:b/>
              </w:rPr>
            </w:pPr>
            <w:r w:rsidRPr="004975B1">
              <w:rPr>
                <w:b/>
              </w:rPr>
              <w:t>Custodian/</w:t>
            </w:r>
          </w:p>
          <w:p w14:paraId="583EB457" w14:textId="77777777" w:rsidR="004717F7" w:rsidRPr="004975B1" w:rsidRDefault="004717F7" w:rsidP="004975B1">
            <w:pPr>
              <w:pStyle w:val="Tabletextleft"/>
              <w:rPr>
                <w:b/>
              </w:rPr>
            </w:pPr>
            <w:r w:rsidRPr="004975B1">
              <w:rPr>
                <w:b/>
              </w:rPr>
              <w:t>stakeholder</w:t>
            </w:r>
          </w:p>
        </w:tc>
        <w:tc>
          <w:tcPr>
            <w:tcW w:w="1428" w:type="dxa"/>
            <w:vAlign w:val="top"/>
          </w:tcPr>
          <w:p w14:paraId="78994EDC" w14:textId="77777777" w:rsidR="004717F7" w:rsidRPr="004975B1" w:rsidRDefault="004717F7" w:rsidP="004975B1">
            <w:pPr>
              <w:pStyle w:val="Tabletextleft"/>
              <w:rPr>
                <w:b/>
              </w:rPr>
            </w:pPr>
            <w:r w:rsidRPr="004975B1">
              <w:rPr>
                <w:b/>
              </w:rPr>
              <w:t>Availability of data for reporting</w:t>
            </w:r>
          </w:p>
        </w:tc>
      </w:tr>
      <w:tr w:rsidR="004717F7" w:rsidRPr="00FE7E48" w14:paraId="727894C5" w14:textId="77777777" w:rsidTr="00FE7E48">
        <w:trPr>
          <w:cnfStyle w:val="000000100000" w:firstRow="0" w:lastRow="0" w:firstColumn="0" w:lastColumn="0" w:oddVBand="0" w:evenVBand="0" w:oddHBand="1" w:evenHBand="0" w:firstRowFirstColumn="0" w:firstRowLastColumn="0" w:lastRowFirstColumn="0" w:lastRowLastColumn="0"/>
        </w:trPr>
        <w:tc>
          <w:tcPr>
            <w:tcW w:w="9634"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5D35C2A1" w14:textId="77777777" w:rsidR="004717F7" w:rsidRPr="00FE7E48" w:rsidRDefault="004717F7" w:rsidP="00FE7E48">
            <w:pPr>
              <w:pStyle w:val="Tabletextleft"/>
              <w:rPr>
                <w:b/>
              </w:rPr>
            </w:pPr>
            <w:r w:rsidRPr="00FE7E48">
              <w:rPr>
                <w:b/>
              </w:rPr>
              <w:t>Indigenous</w:t>
            </w:r>
          </w:p>
        </w:tc>
      </w:tr>
      <w:tr w:rsidR="004717F7" w:rsidRPr="004975B1" w14:paraId="45A162E8" w14:textId="77777777" w:rsidTr="004975B1">
        <w:trPr>
          <w:trHeight w:val="902"/>
        </w:trPr>
        <w:tc>
          <w:tcPr>
            <w:tcW w:w="0" w:type="auto"/>
            <w:vAlign w:val="top"/>
          </w:tcPr>
          <w:p w14:paraId="16F03431" w14:textId="77777777" w:rsidR="004717F7" w:rsidRPr="00FE7E48" w:rsidRDefault="004717F7" w:rsidP="00FE7E48">
            <w:pPr>
              <w:pStyle w:val="Tabletextleft"/>
              <w:rPr>
                <w:b/>
              </w:rPr>
            </w:pPr>
            <w:r w:rsidRPr="00FE7E48">
              <w:rPr>
                <w:b/>
              </w:rPr>
              <w:t>Numerator</w:t>
            </w:r>
          </w:p>
        </w:tc>
        <w:tc>
          <w:tcPr>
            <w:tcW w:w="1360" w:type="dxa"/>
            <w:vAlign w:val="top"/>
          </w:tcPr>
          <w:p w14:paraId="180F0190" w14:textId="77777777" w:rsidR="004717F7" w:rsidRPr="004975B1" w:rsidRDefault="004717F7" w:rsidP="004975B1">
            <w:pPr>
              <w:pStyle w:val="Tabletextleft"/>
            </w:pPr>
            <w:r w:rsidRPr="004975B1">
              <w:t>NPDC</w:t>
            </w:r>
          </w:p>
        </w:tc>
        <w:tc>
          <w:tcPr>
            <w:tcW w:w="3697" w:type="dxa"/>
            <w:vAlign w:val="top"/>
          </w:tcPr>
          <w:p w14:paraId="444BC3F1" w14:textId="5A85C4B3" w:rsidR="004717F7" w:rsidRPr="004975B1" w:rsidRDefault="004717F7" w:rsidP="004975B1">
            <w:pPr>
              <w:pStyle w:val="Tabletextleft"/>
            </w:pPr>
            <w:r w:rsidRPr="004975B1">
              <w:t xml:space="preserve">Number of Indigenous </w:t>
            </w:r>
            <w:r w:rsidR="003656E8" w:rsidRPr="004975B1">
              <w:t>women</w:t>
            </w:r>
            <w:r w:rsidRPr="004975B1">
              <w:t xml:space="preserve"> who gave birth, by duration of pregnancy</w:t>
            </w:r>
            <w:r w:rsidR="000F6B0C" w:rsidRPr="004975B1">
              <w:t xml:space="preserve"> at first antenatal visit</w:t>
            </w:r>
          </w:p>
        </w:tc>
        <w:tc>
          <w:tcPr>
            <w:tcW w:w="1548" w:type="dxa"/>
            <w:vAlign w:val="top"/>
          </w:tcPr>
          <w:p w14:paraId="29A8D177" w14:textId="77777777" w:rsidR="004717F7" w:rsidRPr="004975B1" w:rsidRDefault="004717F7" w:rsidP="004975B1">
            <w:pPr>
              <w:pStyle w:val="Tabletextleft"/>
            </w:pPr>
            <w:r w:rsidRPr="004975B1">
              <w:t>AIHW</w:t>
            </w:r>
          </w:p>
        </w:tc>
        <w:tc>
          <w:tcPr>
            <w:tcW w:w="1428" w:type="dxa"/>
            <w:vAlign w:val="top"/>
          </w:tcPr>
          <w:p w14:paraId="4C787EB2" w14:textId="7ED496A4" w:rsidR="004717F7" w:rsidRPr="004975B1" w:rsidRDefault="004717F7" w:rsidP="004975B1">
            <w:pPr>
              <w:pStyle w:val="Tabletextleft"/>
            </w:pPr>
            <w:r w:rsidRPr="004975B1">
              <w:t>Annually*</w:t>
            </w:r>
          </w:p>
        </w:tc>
      </w:tr>
      <w:tr w:rsidR="004717F7" w:rsidRPr="004975B1" w14:paraId="414428EB" w14:textId="77777777" w:rsidTr="004975B1">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B5C3BDE" w14:textId="77777777" w:rsidR="004717F7" w:rsidRPr="00FE7E48" w:rsidRDefault="004717F7" w:rsidP="00FE7E48">
            <w:pPr>
              <w:pStyle w:val="Tabletextleft"/>
              <w:rPr>
                <w:b/>
              </w:rPr>
            </w:pPr>
            <w:r w:rsidRPr="00FE7E48">
              <w:rPr>
                <w:b/>
              </w:rPr>
              <w:t>Denominator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C718877" w14:textId="77777777" w:rsidR="004717F7" w:rsidRPr="004975B1" w:rsidRDefault="004717F7" w:rsidP="004975B1">
            <w:pPr>
              <w:pStyle w:val="Tabletextleft"/>
            </w:pPr>
            <w:r w:rsidRPr="004975B1">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A8D2EC0" w14:textId="15E7BB6A" w:rsidR="004717F7" w:rsidRPr="004975B1" w:rsidRDefault="004717F7" w:rsidP="004975B1">
            <w:pPr>
              <w:pStyle w:val="Tabletextleft"/>
            </w:pPr>
            <w:r w:rsidRPr="004975B1">
              <w:t xml:space="preserve">Total number of Indigenous </w:t>
            </w:r>
            <w:r w:rsidR="003656E8" w:rsidRPr="004975B1">
              <w:t xml:space="preserve">women </w:t>
            </w:r>
            <w:r w:rsidRPr="004975B1">
              <w:t>who gave birth</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547366C" w14:textId="77777777" w:rsidR="004717F7" w:rsidRPr="004975B1" w:rsidRDefault="004717F7" w:rsidP="004975B1">
            <w:pPr>
              <w:pStyle w:val="Tabletextleft"/>
            </w:pPr>
            <w:r w:rsidRPr="004975B1">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7FF8954" w14:textId="77777777" w:rsidR="004717F7" w:rsidRPr="004975B1" w:rsidRDefault="004717F7" w:rsidP="004975B1">
            <w:pPr>
              <w:pStyle w:val="Tabletextleft"/>
            </w:pPr>
            <w:r w:rsidRPr="004975B1">
              <w:t>Annually*</w:t>
            </w:r>
          </w:p>
        </w:tc>
      </w:tr>
      <w:tr w:rsidR="004717F7" w:rsidRPr="00FE7E48" w14:paraId="0402F67A" w14:textId="77777777" w:rsidTr="00FE7E48">
        <w:tc>
          <w:tcPr>
            <w:tcW w:w="9634" w:type="dxa"/>
            <w:gridSpan w:val="5"/>
            <w:shd w:val="clear" w:color="auto" w:fill="BEFEE9"/>
            <w:vAlign w:val="top"/>
          </w:tcPr>
          <w:p w14:paraId="6EE28B32" w14:textId="77777777" w:rsidR="004717F7" w:rsidRPr="00FE7E48" w:rsidRDefault="004717F7" w:rsidP="00FE7E48">
            <w:pPr>
              <w:pStyle w:val="Tabletextleft"/>
              <w:rPr>
                <w:b/>
              </w:rPr>
            </w:pPr>
            <w:r w:rsidRPr="00FE7E48">
              <w:rPr>
                <w:b/>
              </w:rPr>
              <w:t>Non-Indigenous</w:t>
            </w:r>
          </w:p>
        </w:tc>
      </w:tr>
      <w:tr w:rsidR="004717F7" w:rsidRPr="004975B1" w14:paraId="5963782C" w14:textId="77777777" w:rsidTr="004975B1">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0B65CCC" w14:textId="77777777" w:rsidR="004717F7" w:rsidRPr="00FE7E48" w:rsidRDefault="004717F7" w:rsidP="00FE7E48">
            <w:pPr>
              <w:pStyle w:val="Tabletextleft"/>
            </w:pPr>
            <w:r w:rsidRPr="00FE7E48">
              <w:t>Numerator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F12B39B" w14:textId="77777777" w:rsidR="004717F7" w:rsidRPr="004975B1" w:rsidRDefault="004717F7" w:rsidP="004975B1">
            <w:pPr>
              <w:pStyle w:val="Tabletextleft"/>
            </w:pPr>
            <w:r w:rsidRPr="004975B1">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B8135AD" w14:textId="53686038" w:rsidR="004717F7" w:rsidRPr="004975B1" w:rsidRDefault="004717F7" w:rsidP="004975B1">
            <w:pPr>
              <w:pStyle w:val="Tabletextleft"/>
            </w:pPr>
            <w:r w:rsidRPr="004975B1">
              <w:t xml:space="preserve">Number of non-Indigenous people who gave birth, by duration of pregnancy </w:t>
            </w:r>
            <w:r w:rsidR="000F6B0C" w:rsidRPr="004975B1">
              <w:t>at first antenatal visit</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6F4F04F" w14:textId="77777777" w:rsidR="004717F7" w:rsidRPr="004975B1" w:rsidRDefault="004717F7" w:rsidP="004975B1">
            <w:pPr>
              <w:pStyle w:val="Tabletextleft"/>
            </w:pPr>
            <w:r w:rsidRPr="004975B1">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DB3E4F5" w14:textId="77777777" w:rsidR="004717F7" w:rsidRPr="004975B1" w:rsidRDefault="004717F7" w:rsidP="004975B1">
            <w:pPr>
              <w:pStyle w:val="Tabletextleft"/>
            </w:pPr>
            <w:r w:rsidRPr="004975B1">
              <w:t>Annually*</w:t>
            </w:r>
          </w:p>
        </w:tc>
      </w:tr>
      <w:tr w:rsidR="004717F7" w:rsidRPr="004975B1" w14:paraId="1425DCF9" w14:textId="77777777" w:rsidTr="004975B1">
        <w:tc>
          <w:tcPr>
            <w:tcW w:w="0" w:type="auto"/>
            <w:vAlign w:val="top"/>
          </w:tcPr>
          <w:p w14:paraId="580622C6" w14:textId="77777777" w:rsidR="004717F7" w:rsidRPr="00FE7E48" w:rsidRDefault="004717F7" w:rsidP="00FE7E48">
            <w:pPr>
              <w:pStyle w:val="Tabletextleft"/>
            </w:pPr>
            <w:r w:rsidRPr="00FE7E48">
              <w:t>Denominator</w:t>
            </w:r>
          </w:p>
        </w:tc>
        <w:tc>
          <w:tcPr>
            <w:tcW w:w="1360" w:type="dxa"/>
            <w:vAlign w:val="top"/>
          </w:tcPr>
          <w:p w14:paraId="7E70EA41" w14:textId="77777777" w:rsidR="004717F7" w:rsidRPr="004975B1" w:rsidRDefault="004717F7" w:rsidP="004975B1">
            <w:pPr>
              <w:pStyle w:val="Tabletextleft"/>
            </w:pPr>
            <w:r w:rsidRPr="004975B1">
              <w:t>NPDC</w:t>
            </w:r>
          </w:p>
        </w:tc>
        <w:tc>
          <w:tcPr>
            <w:tcW w:w="3697" w:type="dxa"/>
            <w:vAlign w:val="top"/>
          </w:tcPr>
          <w:p w14:paraId="4CD7C822" w14:textId="77777777" w:rsidR="004717F7" w:rsidRPr="004975B1" w:rsidRDefault="004717F7" w:rsidP="004975B1">
            <w:pPr>
              <w:pStyle w:val="Tabletextleft"/>
            </w:pPr>
            <w:r w:rsidRPr="004975B1">
              <w:t>Total number of non-Indigenous people who gave birth</w:t>
            </w:r>
          </w:p>
        </w:tc>
        <w:tc>
          <w:tcPr>
            <w:tcW w:w="1548" w:type="dxa"/>
            <w:vAlign w:val="top"/>
          </w:tcPr>
          <w:p w14:paraId="0D259865" w14:textId="77777777" w:rsidR="004717F7" w:rsidRPr="004975B1" w:rsidRDefault="004717F7" w:rsidP="004975B1">
            <w:pPr>
              <w:pStyle w:val="Tabletextleft"/>
            </w:pPr>
            <w:r w:rsidRPr="004975B1">
              <w:t>AIHW</w:t>
            </w:r>
          </w:p>
        </w:tc>
        <w:tc>
          <w:tcPr>
            <w:tcW w:w="1428" w:type="dxa"/>
            <w:vAlign w:val="top"/>
          </w:tcPr>
          <w:p w14:paraId="76541E93" w14:textId="77777777" w:rsidR="004717F7" w:rsidRPr="004975B1" w:rsidRDefault="004717F7" w:rsidP="004975B1">
            <w:pPr>
              <w:pStyle w:val="Tabletextleft"/>
            </w:pPr>
            <w:r w:rsidRPr="004975B1">
              <w:t>Annually*</w:t>
            </w:r>
          </w:p>
        </w:tc>
      </w:tr>
    </w:tbl>
    <w:p w14:paraId="7F720F26" w14:textId="77777777" w:rsidR="005C1306" w:rsidRDefault="004717F7" w:rsidP="00C35FED">
      <w:pPr>
        <w:pStyle w:val="Caption"/>
      </w:pPr>
      <w:r w:rsidRPr="00C35FED">
        <w:t>* Data reported annually, however there is a delay of 1-2 years for each calendar year</w:t>
      </w:r>
      <w:r w:rsidR="005C1306">
        <w:t>.</w:t>
      </w:r>
    </w:p>
    <w:p w14:paraId="74433F67" w14:textId="60E9ABD6" w:rsidR="00A4161B" w:rsidRPr="00353E73" w:rsidRDefault="00A4161B" w:rsidP="00353E73">
      <w:r w:rsidRPr="00353E73">
        <w:br w:type="page"/>
      </w:r>
    </w:p>
    <w:p w14:paraId="0965D482" w14:textId="20EC6FB0" w:rsidR="004717F7" w:rsidRPr="0076581D" w:rsidRDefault="00493169" w:rsidP="00353E73">
      <w:pPr>
        <w:pStyle w:val="Tableheadings"/>
      </w:pPr>
      <w:r>
        <w:lastRenderedPageBreak/>
        <w:t>1.</w:t>
      </w:r>
      <w:r w:rsidR="008333C9">
        <w:t>7</w:t>
      </w:r>
      <w:r>
        <w:t xml:space="preserve"> </w:t>
      </w:r>
      <w:r w:rsidR="004717F7" w:rsidRPr="004717F7">
        <w:t xml:space="preserve">Proportion of </w:t>
      </w:r>
      <w:r w:rsidR="003656E8">
        <w:t>women</w:t>
      </w:r>
      <w:r w:rsidR="009863AD" w:rsidRPr="009863AD">
        <w:rPr>
          <w:vertAlign w:val="superscript"/>
        </w:rPr>
        <w:fldChar w:fldCharType="begin"/>
      </w:r>
      <w:r w:rsidR="009863AD" w:rsidRPr="009863AD">
        <w:rPr>
          <w:vertAlign w:val="superscript"/>
        </w:rPr>
        <w:instrText xml:space="preserve"> NOTEREF _Ref204154090 \h  \* MERGEFORMAT </w:instrText>
      </w:r>
      <w:r w:rsidR="009863AD" w:rsidRPr="009863AD">
        <w:rPr>
          <w:vertAlign w:val="superscript"/>
        </w:rPr>
      </w:r>
      <w:r w:rsidR="009863AD" w:rsidRPr="009863AD">
        <w:rPr>
          <w:vertAlign w:val="superscript"/>
        </w:rPr>
        <w:fldChar w:fldCharType="separate"/>
      </w:r>
      <w:r w:rsidR="009863AD" w:rsidRPr="009863AD">
        <w:rPr>
          <w:vertAlign w:val="superscript"/>
        </w:rPr>
        <w:t>2</w:t>
      </w:r>
      <w:r w:rsidR="009863AD" w:rsidRPr="009863AD">
        <w:rPr>
          <w:vertAlign w:val="superscript"/>
        </w:rPr>
        <w:fldChar w:fldCharType="end"/>
      </w:r>
      <w:r w:rsidR="004717F7" w:rsidRPr="004717F7">
        <w:t xml:space="preserve"> who gave birth, by duration of pregnancy</w:t>
      </w:r>
      <w:r w:rsidR="00A4161B" w:rsidRPr="00A4161B">
        <w:rPr>
          <w:vertAlign w:val="superscript"/>
        </w:rPr>
        <w:fldChar w:fldCharType="begin"/>
      </w:r>
      <w:r w:rsidR="00A4161B" w:rsidRPr="00A4161B">
        <w:rPr>
          <w:vertAlign w:val="superscript"/>
        </w:rPr>
        <w:instrText xml:space="preserve"> NOTEREF _Ref204154206 \h </w:instrText>
      </w:r>
      <w:r w:rsidR="00A4161B">
        <w:rPr>
          <w:vertAlign w:val="superscript"/>
        </w:rPr>
        <w:instrText xml:space="preserve"> \* MERGEFORMAT </w:instrText>
      </w:r>
      <w:r w:rsidR="00A4161B" w:rsidRPr="00A4161B">
        <w:rPr>
          <w:vertAlign w:val="superscript"/>
        </w:rPr>
      </w:r>
      <w:r w:rsidR="00A4161B" w:rsidRPr="00A4161B">
        <w:rPr>
          <w:vertAlign w:val="superscript"/>
        </w:rPr>
        <w:fldChar w:fldCharType="separate"/>
      </w:r>
      <w:r w:rsidR="00A4161B" w:rsidRPr="00A4161B">
        <w:rPr>
          <w:vertAlign w:val="superscript"/>
        </w:rPr>
        <w:t>8</w:t>
      </w:r>
      <w:r w:rsidR="00A4161B" w:rsidRPr="00A4161B">
        <w:rPr>
          <w:vertAlign w:val="superscript"/>
        </w:rPr>
        <w:fldChar w:fldCharType="end"/>
      </w:r>
      <w:r w:rsidR="004717F7" w:rsidRPr="004717F7">
        <w:t xml:space="preserve"> at first antenatal visit</w:t>
      </w:r>
      <w:r w:rsidR="004717F7">
        <w:t>, by remoteness area</w:t>
      </w:r>
      <w:bookmarkStart w:id="27" w:name="_Ref204154426"/>
      <w:r w:rsidR="00D42900" w:rsidRPr="00E50B9D">
        <w:rPr>
          <w:bCs/>
          <w:vertAlign w:val="superscript"/>
        </w:rPr>
        <w:footnoteReference w:id="10"/>
      </w:r>
      <w:bookmarkEnd w:id="27"/>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360"/>
        <w:gridCol w:w="3697"/>
        <w:gridCol w:w="1548"/>
        <w:gridCol w:w="1428"/>
      </w:tblGrid>
      <w:tr w:rsidR="004717F7" w:rsidRPr="004A557F" w14:paraId="155EE76B" w14:textId="77777777" w:rsidTr="004A557F">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22963387" w14:textId="77777777" w:rsidR="004717F7" w:rsidRPr="004A557F" w:rsidRDefault="004717F7" w:rsidP="004A557F">
            <w:pPr>
              <w:pStyle w:val="Tabletextleft"/>
              <w:rPr>
                <w:b/>
              </w:rPr>
            </w:pPr>
            <w:r w:rsidRPr="004A557F">
              <w:rPr>
                <w:b/>
              </w:rPr>
              <w:t>Indicator components</w:t>
            </w:r>
          </w:p>
        </w:tc>
        <w:tc>
          <w:tcPr>
            <w:tcW w:w="1360" w:type="dxa"/>
            <w:vAlign w:val="top"/>
          </w:tcPr>
          <w:p w14:paraId="774393A3" w14:textId="77777777" w:rsidR="004717F7" w:rsidRPr="004A557F" w:rsidRDefault="004717F7" w:rsidP="004A557F">
            <w:pPr>
              <w:pStyle w:val="Tabletextleft"/>
              <w:rPr>
                <w:b/>
              </w:rPr>
            </w:pPr>
            <w:r w:rsidRPr="004A557F">
              <w:rPr>
                <w:b/>
              </w:rPr>
              <w:t>Source</w:t>
            </w:r>
          </w:p>
        </w:tc>
        <w:tc>
          <w:tcPr>
            <w:tcW w:w="3697" w:type="dxa"/>
            <w:vAlign w:val="top"/>
          </w:tcPr>
          <w:p w14:paraId="7683CCFF" w14:textId="77777777" w:rsidR="004717F7" w:rsidRPr="004A557F" w:rsidRDefault="004717F7" w:rsidP="004A557F">
            <w:pPr>
              <w:pStyle w:val="Tabletextleft"/>
              <w:rPr>
                <w:b/>
              </w:rPr>
            </w:pPr>
            <w:r w:rsidRPr="004A557F">
              <w:rPr>
                <w:b/>
              </w:rPr>
              <w:t>Description</w:t>
            </w:r>
          </w:p>
        </w:tc>
        <w:tc>
          <w:tcPr>
            <w:tcW w:w="1548" w:type="dxa"/>
            <w:vAlign w:val="top"/>
          </w:tcPr>
          <w:p w14:paraId="395C4B59" w14:textId="77777777" w:rsidR="004717F7" w:rsidRPr="004A557F" w:rsidRDefault="004717F7" w:rsidP="004A557F">
            <w:pPr>
              <w:pStyle w:val="Tabletextleft"/>
              <w:rPr>
                <w:b/>
              </w:rPr>
            </w:pPr>
            <w:r w:rsidRPr="004A557F">
              <w:rPr>
                <w:b/>
              </w:rPr>
              <w:t>Custodian/</w:t>
            </w:r>
          </w:p>
          <w:p w14:paraId="24C360C9" w14:textId="77777777" w:rsidR="004717F7" w:rsidRPr="004A557F" w:rsidRDefault="004717F7" w:rsidP="004A557F">
            <w:pPr>
              <w:pStyle w:val="Tabletextleft"/>
              <w:rPr>
                <w:b/>
              </w:rPr>
            </w:pPr>
            <w:r w:rsidRPr="004A557F">
              <w:rPr>
                <w:b/>
              </w:rPr>
              <w:t>stakeholder</w:t>
            </w:r>
          </w:p>
        </w:tc>
        <w:tc>
          <w:tcPr>
            <w:tcW w:w="1428" w:type="dxa"/>
            <w:vAlign w:val="top"/>
          </w:tcPr>
          <w:p w14:paraId="7664D57C" w14:textId="77777777" w:rsidR="004717F7" w:rsidRPr="004A557F" w:rsidRDefault="004717F7" w:rsidP="004A557F">
            <w:pPr>
              <w:pStyle w:val="Tabletextleft"/>
              <w:rPr>
                <w:b/>
              </w:rPr>
            </w:pPr>
            <w:r w:rsidRPr="004A557F">
              <w:rPr>
                <w:b/>
              </w:rPr>
              <w:t>Availability of data for reporting</w:t>
            </w:r>
          </w:p>
        </w:tc>
      </w:tr>
      <w:tr w:rsidR="004717F7" w:rsidRPr="004A557F" w14:paraId="6FC6B8D1" w14:textId="77777777" w:rsidTr="004A557F">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4E0A09A" w14:textId="77777777" w:rsidR="004717F7" w:rsidRPr="004A557F" w:rsidRDefault="004717F7" w:rsidP="004A557F">
            <w:pPr>
              <w:pStyle w:val="Tabletextleft"/>
              <w:rPr>
                <w:b/>
              </w:rPr>
            </w:pPr>
            <w:r w:rsidRPr="004A557F">
              <w:rPr>
                <w:b/>
              </w:rPr>
              <w:t>Numerator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87E1EA4" w14:textId="77777777" w:rsidR="004717F7" w:rsidRPr="004A557F" w:rsidRDefault="004717F7" w:rsidP="004A557F">
            <w:pPr>
              <w:pStyle w:val="Tabletextleft"/>
            </w:pPr>
            <w:r w:rsidRPr="004A557F">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96A6C98" w14:textId="700511D9" w:rsidR="004717F7" w:rsidRPr="004A557F" w:rsidRDefault="004717F7" w:rsidP="004A557F">
            <w:pPr>
              <w:pStyle w:val="Tabletextleft"/>
            </w:pPr>
            <w:r w:rsidRPr="004A557F">
              <w:t xml:space="preserve">Number of </w:t>
            </w:r>
            <w:r w:rsidR="003656E8" w:rsidRPr="004A557F">
              <w:t>women</w:t>
            </w:r>
            <w:r w:rsidRPr="004A557F">
              <w:t xml:space="preserve"> who gave birth, by duration </w:t>
            </w:r>
            <w:r w:rsidR="000F6B0C" w:rsidRPr="004A557F">
              <w:t xml:space="preserve">at first antenatal visit </w:t>
            </w:r>
            <w:r w:rsidRPr="004A557F">
              <w:t>of pregnancy and remoteness area</w:t>
            </w:r>
            <w:r w:rsidR="00BB0A63">
              <w:t xml:space="preserve"> </w:t>
            </w:r>
            <w:r w:rsidR="000F6B0C" w:rsidRPr="004A557F">
              <w:t>classification</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2D4D618" w14:textId="77777777" w:rsidR="004717F7" w:rsidRPr="004A557F" w:rsidRDefault="004717F7" w:rsidP="004A557F">
            <w:pPr>
              <w:pStyle w:val="Tabletextleft"/>
            </w:pPr>
            <w:r w:rsidRPr="004A557F">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A260627" w14:textId="77777777" w:rsidR="004717F7" w:rsidRPr="004A557F" w:rsidRDefault="004717F7" w:rsidP="004A557F">
            <w:pPr>
              <w:pStyle w:val="Tabletextleft"/>
            </w:pPr>
            <w:r w:rsidRPr="004A557F">
              <w:t xml:space="preserve">Annually* </w:t>
            </w:r>
          </w:p>
        </w:tc>
      </w:tr>
      <w:tr w:rsidR="004717F7" w:rsidRPr="004A557F" w14:paraId="3886CF08" w14:textId="77777777" w:rsidTr="004A557F">
        <w:tc>
          <w:tcPr>
            <w:tcW w:w="0" w:type="auto"/>
            <w:vAlign w:val="top"/>
          </w:tcPr>
          <w:p w14:paraId="35AD2209" w14:textId="77777777" w:rsidR="004717F7" w:rsidRPr="004A557F" w:rsidRDefault="004717F7" w:rsidP="004A557F">
            <w:pPr>
              <w:pStyle w:val="Tabletextleft"/>
              <w:rPr>
                <w:b/>
              </w:rPr>
            </w:pPr>
            <w:r w:rsidRPr="004A557F">
              <w:rPr>
                <w:b/>
              </w:rPr>
              <w:t>Denominator</w:t>
            </w:r>
          </w:p>
        </w:tc>
        <w:tc>
          <w:tcPr>
            <w:tcW w:w="1360" w:type="dxa"/>
            <w:vAlign w:val="top"/>
          </w:tcPr>
          <w:p w14:paraId="4DFF93B4" w14:textId="77777777" w:rsidR="004717F7" w:rsidRPr="004A557F" w:rsidRDefault="004717F7" w:rsidP="004A557F">
            <w:pPr>
              <w:pStyle w:val="Tabletextleft"/>
            </w:pPr>
            <w:r w:rsidRPr="004A557F">
              <w:t>NPDC</w:t>
            </w:r>
          </w:p>
        </w:tc>
        <w:tc>
          <w:tcPr>
            <w:tcW w:w="3697" w:type="dxa"/>
            <w:vAlign w:val="top"/>
          </w:tcPr>
          <w:p w14:paraId="60D23176" w14:textId="5F3D4737" w:rsidR="004717F7" w:rsidRPr="004A557F" w:rsidRDefault="004717F7" w:rsidP="004A557F">
            <w:pPr>
              <w:pStyle w:val="Tabletextleft"/>
            </w:pPr>
            <w:r w:rsidRPr="004A557F">
              <w:t xml:space="preserve">Total number of </w:t>
            </w:r>
            <w:r w:rsidR="003656E8" w:rsidRPr="004A557F">
              <w:t>women</w:t>
            </w:r>
            <w:r w:rsidRPr="004A557F">
              <w:t xml:space="preserve"> who gave birth by remoteness area</w:t>
            </w:r>
            <w:r w:rsidR="000F6B0C" w:rsidRPr="004A557F">
              <w:t xml:space="preserve"> classification</w:t>
            </w:r>
          </w:p>
        </w:tc>
        <w:tc>
          <w:tcPr>
            <w:tcW w:w="1548" w:type="dxa"/>
            <w:vAlign w:val="top"/>
          </w:tcPr>
          <w:p w14:paraId="7AC06A3C" w14:textId="77777777" w:rsidR="004717F7" w:rsidRPr="004A557F" w:rsidRDefault="004717F7" w:rsidP="004A557F">
            <w:pPr>
              <w:pStyle w:val="Tabletextleft"/>
            </w:pPr>
            <w:r w:rsidRPr="004A557F">
              <w:t>AIHW</w:t>
            </w:r>
          </w:p>
        </w:tc>
        <w:tc>
          <w:tcPr>
            <w:tcW w:w="1428" w:type="dxa"/>
            <w:vAlign w:val="top"/>
          </w:tcPr>
          <w:p w14:paraId="42B86EFE" w14:textId="77777777" w:rsidR="004717F7" w:rsidRPr="004A557F" w:rsidRDefault="004717F7" w:rsidP="004A557F">
            <w:pPr>
              <w:pStyle w:val="Tabletextleft"/>
            </w:pPr>
            <w:r w:rsidRPr="004A557F">
              <w:t>Annually*</w:t>
            </w:r>
          </w:p>
        </w:tc>
      </w:tr>
    </w:tbl>
    <w:p w14:paraId="266AA0BE" w14:textId="77777777" w:rsidR="005C1306" w:rsidRDefault="004717F7" w:rsidP="004A557F">
      <w:pPr>
        <w:pStyle w:val="Caption"/>
      </w:pPr>
      <w:r w:rsidRPr="004A557F">
        <w:t>* Data reported annually, however there is a delay of 1-2 years for each calendar year</w:t>
      </w:r>
      <w:r w:rsidR="005C1306">
        <w:t>.</w:t>
      </w:r>
    </w:p>
    <w:p w14:paraId="73D5D5EF" w14:textId="69ACD4BF" w:rsidR="004717F7" w:rsidRPr="0076581D" w:rsidRDefault="00493169" w:rsidP="004A557F">
      <w:pPr>
        <w:pStyle w:val="Tableheadings"/>
      </w:pPr>
      <w:r>
        <w:t>1.</w:t>
      </w:r>
      <w:r w:rsidR="008333C9">
        <w:t>8</w:t>
      </w:r>
      <w:r>
        <w:t xml:space="preserve"> </w:t>
      </w:r>
      <w:r w:rsidR="004717F7">
        <w:t xml:space="preserve">Proportion of </w:t>
      </w:r>
      <w:r w:rsidR="003656E8">
        <w:t>women</w:t>
      </w:r>
      <w:r w:rsidR="00B53BDA" w:rsidRPr="00B53BDA">
        <w:rPr>
          <w:vertAlign w:val="superscript"/>
        </w:rPr>
        <w:fldChar w:fldCharType="begin"/>
      </w:r>
      <w:r w:rsidR="00B53BDA" w:rsidRPr="00B53BDA">
        <w:rPr>
          <w:vertAlign w:val="superscript"/>
        </w:rPr>
        <w:instrText xml:space="preserve"> NOTEREF _Ref204154090 \h </w:instrText>
      </w:r>
      <w:r w:rsidR="00B53BDA">
        <w:rPr>
          <w:vertAlign w:val="superscript"/>
        </w:rPr>
        <w:instrText xml:space="preserve"> \* MERGEFORMAT </w:instrText>
      </w:r>
      <w:r w:rsidR="00B53BDA" w:rsidRPr="00B53BDA">
        <w:rPr>
          <w:vertAlign w:val="superscript"/>
        </w:rPr>
      </w:r>
      <w:r w:rsidR="00B53BDA" w:rsidRPr="00B53BDA">
        <w:rPr>
          <w:vertAlign w:val="superscript"/>
        </w:rPr>
        <w:fldChar w:fldCharType="separate"/>
      </w:r>
      <w:r w:rsidR="00B53BDA" w:rsidRPr="00B53BDA">
        <w:rPr>
          <w:vertAlign w:val="superscript"/>
        </w:rPr>
        <w:t>2</w:t>
      </w:r>
      <w:r w:rsidR="00B53BDA" w:rsidRPr="00B53BDA">
        <w:rPr>
          <w:vertAlign w:val="superscript"/>
        </w:rPr>
        <w:fldChar w:fldCharType="end"/>
      </w:r>
      <w:r w:rsidR="004717F7">
        <w:t xml:space="preserve"> who gave birth, by number of antenatal visits</w:t>
      </w:r>
      <w:r w:rsidR="004717F7" w:rsidRPr="00E50B9D">
        <w:rPr>
          <w:bCs/>
          <w:vertAlign w:val="superscript"/>
        </w:rPr>
        <w:footnoteReference w:id="11"/>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360"/>
        <w:gridCol w:w="3697"/>
        <w:gridCol w:w="1548"/>
        <w:gridCol w:w="1428"/>
      </w:tblGrid>
      <w:tr w:rsidR="004717F7" w:rsidRPr="004A557F" w14:paraId="4780E2E2" w14:textId="77777777" w:rsidTr="004A557F">
        <w:trPr>
          <w:cnfStyle w:val="100000000000" w:firstRow="1" w:lastRow="0" w:firstColumn="0" w:lastColumn="0" w:oddVBand="0" w:evenVBand="0" w:oddHBand="0" w:evenHBand="0" w:firstRowFirstColumn="0" w:firstRowLastColumn="0" w:lastRowFirstColumn="0" w:lastRowLastColumn="0"/>
        </w:trPr>
        <w:tc>
          <w:tcPr>
            <w:tcW w:w="0" w:type="auto"/>
            <w:vAlign w:val="top"/>
          </w:tcPr>
          <w:p w14:paraId="6D7D213D" w14:textId="77777777" w:rsidR="004717F7" w:rsidRPr="004A557F" w:rsidRDefault="004717F7" w:rsidP="004A557F">
            <w:pPr>
              <w:pStyle w:val="Tabletextleft"/>
              <w:rPr>
                <w:b/>
              </w:rPr>
            </w:pPr>
            <w:r w:rsidRPr="004A557F">
              <w:rPr>
                <w:b/>
              </w:rPr>
              <w:t>Indicator components</w:t>
            </w:r>
          </w:p>
        </w:tc>
        <w:tc>
          <w:tcPr>
            <w:tcW w:w="1360" w:type="dxa"/>
            <w:vAlign w:val="top"/>
          </w:tcPr>
          <w:p w14:paraId="74712542" w14:textId="77777777" w:rsidR="004717F7" w:rsidRPr="004A557F" w:rsidRDefault="004717F7" w:rsidP="004A557F">
            <w:pPr>
              <w:pStyle w:val="Tabletextleft"/>
              <w:rPr>
                <w:b/>
              </w:rPr>
            </w:pPr>
            <w:r w:rsidRPr="004A557F">
              <w:rPr>
                <w:b/>
              </w:rPr>
              <w:t>Source</w:t>
            </w:r>
          </w:p>
        </w:tc>
        <w:tc>
          <w:tcPr>
            <w:tcW w:w="3697" w:type="dxa"/>
            <w:vAlign w:val="top"/>
          </w:tcPr>
          <w:p w14:paraId="33AF37CF" w14:textId="77777777" w:rsidR="004717F7" w:rsidRPr="004A557F" w:rsidRDefault="004717F7" w:rsidP="004A557F">
            <w:pPr>
              <w:pStyle w:val="Tabletextleft"/>
              <w:rPr>
                <w:b/>
              </w:rPr>
            </w:pPr>
            <w:r w:rsidRPr="004A557F">
              <w:rPr>
                <w:b/>
              </w:rPr>
              <w:t>Description</w:t>
            </w:r>
          </w:p>
        </w:tc>
        <w:tc>
          <w:tcPr>
            <w:tcW w:w="1548" w:type="dxa"/>
            <w:vAlign w:val="top"/>
          </w:tcPr>
          <w:p w14:paraId="63FCCA27" w14:textId="77777777" w:rsidR="004717F7" w:rsidRPr="004A557F" w:rsidRDefault="004717F7" w:rsidP="004A557F">
            <w:pPr>
              <w:pStyle w:val="Tabletextleft"/>
              <w:rPr>
                <w:b/>
              </w:rPr>
            </w:pPr>
            <w:r w:rsidRPr="004A557F">
              <w:rPr>
                <w:b/>
              </w:rPr>
              <w:t>Custodian/</w:t>
            </w:r>
          </w:p>
          <w:p w14:paraId="73E41EB8" w14:textId="77777777" w:rsidR="004717F7" w:rsidRPr="004A557F" w:rsidRDefault="004717F7" w:rsidP="004A557F">
            <w:pPr>
              <w:pStyle w:val="Tabletextleft"/>
              <w:rPr>
                <w:b/>
              </w:rPr>
            </w:pPr>
            <w:r w:rsidRPr="004A557F">
              <w:rPr>
                <w:b/>
              </w:rPr>
              <w:t>stakeholder</w:t>
            </w:r>
          </w:p>
        </w:tc>
        <w:tc>
          <w:tcPr>
            <w:tcW w:w="1428" w:type="dxa"/>
            <w:vAlign w:val="top"/>
          </w:tcPr>
          <w:p w14:paraId="117B6FE8" w14:textId="77777777" w:rsidR="004717F7" w:rsidRPr="004A557F" w:rsidRDefault="004717F7" w:rsidP="004A557F">
            <w:pPr>
              <w:pStyle w:val="Tabletextleft"/>
              <w:rPr>
                <w:b/>
              </w:rPr>
            </w:pPr>
            <w:r w:rsidRPr="004A557F">
              <w:rPr>
                <w:b/>
              </w:rPr>
              <w:t>Availability of data for reporting</w:t>
            </w:r>
          </w:p>
        </w:tc>
      </w:tr>
      <w:tr w:rsidR="004717F7" w:rsidRPr="004A557F" w14:paraId="54F429FD" w14:textId="77777777" w:rsidTr="004A557F">
        <w:trPr>
          <w:cnfStyle w:val="000000100000" w:firstRow="0" w:lastRow="0" w:firstColumn="0" w:lastColumn="0" w:oddVBand="0" w:evenVBand="0" w:oddHBand="1" w:evenHBand="0" w:firstRowFirstColumn="0" w:firstRowLastColumn="0" w:lastRowFirstColumn="0" w:lastRowLastColumn="0"/>
        </w:trPr>
        <w:tc>
          <w:tcPr>
            <w:tcW w:w="9634"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368CDC82" w14:textId="77777777" w:rsidR="004717F7" w:rsidRPr="004A557F" w:rsidRDefault="004717F7" w:rsidP="004A557F">
            <w:pPr>
              <w:pStyle w:val="Tabletextleft"/>
              <w:rPr>
                <w:b/>
              </w:rPr>
            </w:pPr>
            <w:r w:rsidRPr="004A557F">
              <w:rPr>
                <w:b/>
              </w:rPr>
              <w:t>Indigenous</w:t>
            </w:r>
          </w:p>
        </w:tc>
      </w:tr>
      <w:tr w:rsidR="004717F7" w:rsidRPr="004A557F" w14:paraId="31690356" w14:textId="77777777" w:rsidTr="004A557F">
        <w:tc>
          <w:tcPr>
            <w:tcW w:w="0" w:type="auto"/>
            <w:vAlign w:val="top"/>
          </w:tcPr>
          <w:p w14:paraId="35FBA2AE" w14:textId="77777777" w:rsidR="004717F7" w:rsidRPr="004A557F" w:rsidRDefault="004717F7" w:rsidP="004A557F">
            <w:pPr>
              <w:pStyle w:val="Tabletextleft"/>
              <w:rPr>
                <w:b/>
              </w:rPr>
            </w:pPr>
            <w:r w:rsidRPr="004A557F">
              <w:rPr>
                <w:b/>
              </w:rPr>
              <w:t>Numerator</w:t>
            </w:r>
          </w:p>
        </w:tc>
        <w:tc>
          <w:tcPr>
            <w:tcW w:w="1360" w:type="dxa"/>
            <w:vAlign w:val="top"/>
          </w:tcPr>
          <w:p w14:paraId="119CC9E7" w14:textId="77777777" w:rsidR="004717F7" w:rsidRPr="004A557F" w:rsidRDefault="004717F7" w:rsidP="004A557F">
            <w:pPr>
              <w:pStyle w:val="Tabletextleft"/>
            </w:pPr>
            <w:r w:rsidRPr="004A557F">
              <w:t>NPDC</w:t>
            </w:r>
          </w:p>
        </w:tc>
        <w:tc>
          <w:tcPr>
            <w:tcW w:w="3697" w:type="dxa"/>
            <w:vAlign w:val="top"/>
          </w:tcPr>
          <w:p w14:paraId="46FA4A7B" w14:textId="77777777" w:rsidR="004717F7" w:rsidRPr="004A557F" w:rsidRDefault="004717F7" w:rsidP="004A557F">
            <w:pPr>
              <w:pStyle w:val="Tabletextleft"/>
            </w:pPr>
            <w:r w:rsidRPr="004A557F">
              <w:t xml:space="preserve">Number of Indigenous </w:t>
            </w:r>
            <w:r w:rsidR="003656E8" w:rsidRPr="004A557F">
              <w:t>women</w:t>
            </w:r>
            <w:r w:rsidRPr="004A557F">
              <w:t xml:space="preserve"> who gave birth, by number of antenatal visits </w:t>
            </w:r>
          </w:p>
        </w:tc>
        <w:tc>
          <w:tcPr>
            <w:tcW w:w="1548" w:type="dxa"/>
            <w:vAlign w:val="top"/>
          </w:tcPr>
          <w:p w14:paraId="0B0826EE" w14:textId="77777777" w:rsidR="004717F7" w:rsidRPr="004A557F" w:rsidRDefault="004717F7" w:rsidP="004A557F">
            <w:pPr>
              <w:pStyle w:val="Tabletextleft"/>
            </w:pPr>
            <w:r w:rsidRPr="004A557F">
              <w:t>AIHW</w:t>
            </w:r>
          </w:p>
        </w:tc>
        <w:tc>
          <w:tcPr>
            <w:tcW w:w="1428" w:type="dxa"/>
            <w:vAlign w:val="top"/>
          </w:tcPr>
          <w:p w14:paraId="52CA2E8F" w14:textId="77777777" w:rsidR="004717F7" w:rsidRPr="004A557F" w:rsidRDefault="004717F7" w:rsidP="004A557F">
            <w:pPr>
              <w:pStyle w:val="Tabletextleft"/>
            </w:pPr>
            <w:r w:rsidRPr="004A557F">
              <w:t xml:space="preserve">Annually* </w:t>
            </w:r>
          </w:p>
        </w:tc>
      </w:tr>
      <w:tr w:rsidR="004717F7" w:rsidRPr="004A557F" w14:paraId="333C5C46" w14:textId="77777777" w:rsidTr="004A557F">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4B1B67D" w14:textId="77777777" w:rsidR="004717F7" w:rsidRPr="004A557F" w:rsidRDefault="004717F7" w:rsidP="004A557F">
            <w:pPr>
              <w:pStyle w:val="Tabletextleft"/>
              <w:rPr>
                <w:b/>
              </w:rPr>
            </w:pPr>
            <w:r w:rsidRPr="004A557F">
              <w:rPr>
                <w:b/>
              </w:rPr>
              <w:t>Denominator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0B28E62" w14:textId="77777777" w:rsidR="004717F7" w:rsidRPr="004A557F" w:rsidRDefault="004717F7" w:rsidP="004A557F">
            <w:pPr>
              <w:pStyle w:val="Tabletextleft"/>
            </w:pPr>
            <w:r w:rsidRPr="004A557F">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D0D2F8C" w14:textId="77777777" w:rsidR="004717F7" w:rsidRPr="004A557F" w:rsidRDefault="004717F7" w:rsidP="004A557F">
            <w:pPr>
              <w:pStyle w:val="Tabletextleft"/>
            </w:pPr>
            <w:r w:rsidRPr="004A557F">
              <w:t xml:space="preserve">Total number of Indigenous </w:t>
            </w:r>
            <w:r w:rsidR="003656E8" w:rsidRPr="004A557F">
              <w:t>women</w:t>
            </w:r>
            <w:r w:rsidRPr="004A557F">
              <w:t xml:space="preserve"> who gave birth</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DE607EB" w14:textId="77777777" w:rsidR="004717F7" w:rsidRPr="004A557F" w:rsidRDefault="004717F7" w:rsidP="004A557F">
            <w:pPr>
              <w:pStyle w:val="Tabletextleft"/>
            </w:pPr>
            <w:r w:rsidRPr="004A557F">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CCA9829" w14:textId="77777777" w:rsidR="004717F7" w:rsidRPr="004A557F" w:rsidRDefault="004717F7" w:rsidP="004A557F">
            <w:pPr>
              <w:pStyle w:val="Tabletextleft"/>
            </w:pPr>
            <w:r w:rsidRPr="004A557F">
              <w:t>Annually*</w:t>
            </w:r>
          </w:p>
        </w:tc>
      </w:tr>
      <w:tr w:rsidR="004717F7" w:rsidRPr="004A557F" w14:paraId="56958DB4" w14:textId="77777777" w:rsidTr="004A557F">
        <w:tc>
          <w:tcPr>
            <w:tcW w:w="9634" w:type="dxa"/>
            <w:gridSpan w:val="5"/>
            <w:shd w:val="clear" w:color="auto" w:fill="BEFEE9"/>
            <w:vAlign w:val="top"/>
          </w:tcPr>
          <w:p w14:paraId="2DACBB2E" w14:textId="77777777" w:rsidR="004717F7" w:rsidRPr="004A557F" w:rsidRDefault="004717F7" w:rsidP="004A557F">
            <w:pPr>
              <w:pStyle w:val="Tabletextleft"/>
              <w:rPr>
                <w:b/>
              </w:rPr>
            </w:pPr>
            <w:r w:rsidRPr="004A557F">
              <w:rPr>
                <w:b/>
              </w:rPr>
              <w:t>Non-Indigenous</w:t>
            </w:r>
          </w:p>
        </w:tc>
      </w:tr>
      <w:tr w:rsidR="004717F7" w:rsidRPr="004A557F" w14:paraId="5C87F343" w14:textId="77777777" w:rsidTr="004A557F">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26A22DC" w14:textId="77777777" w:rsidR="004717F7" w:rsidRPr="004A557F" w:rsidRDefault="004717F7" w:rsidP="004A557F">
            <w:pPr>
              <w:pStyle w:val="Tabletextleft"/>
              <w:rPr>
                <w:b/>
              </w:rPr>
            </w:pPr>
            <w:r w:rsidRPr="004A557F">
              <w:rPr>
                <w:b/>
              </w:rPr>
              <w:t>Numerator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CC81E0C" w14:textId="77777777" w:rsidR="004717F7" w:rsidRPr="004A557F" w:rsidRDefault="004717F7" w:rsidP="004A557F">
            <w:pPr>
              <w:pStyle w:val="Tabletextleft"/>
            </w:pPr>
            <w:r w:rsidRPr="004A557F">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435A12E" w14:textId="77777777" w:rsidR="004717F7" w:rsidRPr="004A557F" w:rsidRDefault="004717F7" w:rsidP="004A557F">
            <w:pPr>
              <w:pStyle w:val="Tabletextleft"/>
            </w:pPr>
            <w:r w:rsidRPr="004A557F">
              <w:t xml:space="preserve">Number of non-Indigenous </w:t>
            </w:r>
            <w:r w:rsidR="003656E8" w:rsidRPr="004A557F">
              <w:t>women</w:t>
            </w:r>
            <w:r w:rsidRPr="004A557F">
              <w:t xml:space="preserve"> who gave birth, by number of antenatal visits </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8752E10" w14:textId="77777777" w:rsidR="004717F7" w:rsidRPr="004A557F" w:rsidRDefault="004717F7" w:rsidP="004A557F">
            <w:pPr>
              <w:pStyle w:val="Tabletextleft"/>
            </w:pPr>
            <w:r w:rsidRPr="004A557F">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274F92D" w14:textId="77777777" w:rsidR="004717F7" w:rsidRPr="004A557F" w:rsidRDefault="004717F7" w:rsidP="004A557F">
            <w:pPr>
              <w:pStyle w:val="Tabletextleft"/>
            </w:pPr>
            <w:r w:rsidRPr="004A557F">
              <w:t>Annually*</w:t>
            </w:r>
          </w:p>
        </w:tc>
      </w:tr>
      <w:tr w:rsidR="004717F7" w:rsidRPr="004A557F" w14:paraId="7299E2D8" w14:textId="77777777" w:rsidTr="004A557F">
        <w:tc>
          <w:tcPr>
            <w:tcW w:w="0" w:type="auto"/>
            <w:vAlign w:val="top"/>
          </w:tcPr>
          <w:p w14:paraId="668C28DB" w14:textId="77777777" w:rsidR="004717F7" w:rsidRPr="004A557F" w:rsidRDefault="004717F7" w:rsidP="004A557F">
            <w:pPr>
              <w:pStyle w:val="Tabletextleft"/>
              <w:rPr>
                <w:b/>
              </w:rPr>
            </w:pPr>
            <w:r w:rsidRPr="004A557F">
              <w:rPr>
                <w:b/>
              </w:rPr>
              <w:t>Denominator</w:t>
            </w:r>
          </w:p>
        </w:tc>
        <w:tc>
          <w:tcPr>
            <w:tcW w:w="1360" w:type="dxa"/>
            <w:vAlign w:val="top"/>
          </w:tcPr>
          <w:p w14:paraId="2A085066" w14:textId="77777777" w:rsidR="004717F7" w:rsidRPr="004A557F" w:rsidRDefault="004717F7" w:rsidP="004A557F">
            <w:pPr>
              <w:pStyle w:val="Tabletextleft"/>
            </w:pPr>
            <w:r w:rsidRPr="004A557F">
              <w:t>NPDC</w:t>
            </w:r>
          </w:p>
        </w:tc>
        <w:tc>
          <w:tcPr>
            <w:tcW w:w="3697" w:type="dxa"/>
            <w:vAlign w:val="top"/>
          </w:tcPr>
          <w:p w14:paraId="1C010FAE" w14:textId="77777777" w:rsidR="004717F7" w:rsidRPr="004A557F" w:rsidRDefault="004717F7" w:rsidP="004A557F">
            <w:pPr>
              <w:pStyle w:val="Tabletextleft"/>
            </w:pPr>
            <w:r w:rsidRPr="004A557F">
              <w:t xml:space="preserve">Total number of non-Indigenous </w:t>
            </w:r>
            <w:r w:rsidR="003656E8" w:rsidRPr="004A557F">
              <w:t>women</w:t>
            </w:r>
            <w:r w:rsidRPr="004A557F">
              <w:t xml:space="preserve"> who gave birth</w:t>
            </w:r>
          </w:p>
        </w:tc>
        <w:tc>
          <w:tcPr>
            <w:tcW w:w="1548" w:type="dxa"/>
            <w:vAlign w:val="top"/>
          </w:tcPr>
          <w:p w14:paraId="6FC349A5" w14:textId="77777777" w:rsidR="004717F7" w:rsidRPr="004A557F" w:rsidRDefault="004717F7" w:rsidP="004A557F">
            <w:pPr>
              <w:pStyle w:val="Tabletextleft"/>
            </w:pPr>
            <w:r w:rsidRPr="004A557F">
              <w:t>AIHW</w:t>
            </w:r>
          </w:p>
        </w:tc>
        <w:tc>
          <w:tcPr>
            <w:tcW w:w="1428" w:type="dxa"/>
            <w:vAlign w:val="top"/>
          </w:tcPr>
          <w:p w14:paraId="31ED2B10" w14:textId="77777777" w:rsidR="004717F7" w:rsidRPr="004A557F" w:rsidRDefault="004717F7" w:rsidP="004A557F">
            <w:pPr>
              <w:pStyle w:val="Tabletextleft"/>
            </w:pPr>
            <w:r w:rsidRPr="004A557F">
              <w:t>Annually*</w:t>
            </w:r>
          </w:p>
        </w:tc>
      </w:tr>
    </w:tbl>
    <w:p w14:paraId="4FB5A5F4" w14:textId="77777777" w:rsidR="005C1306" w:rsidRDefault="004717F7" w:rsidP="004A557F">
      <w:pPr>
        <w:pStyle w:val="Caption"/>
      </w:pPr>
      <w:r w:rsidRPr="004717F7">
        <w:t>* Data reported annually, however there is a delay of 1-2 years for each calendar year</w:t>
      </w:r>
      <w:r w:rsidR="005C1306">
        <w:t>.</w:t>
      </w:r>
    </w:p>
    <w:p w14:paraId="79D6F2FB" w14:textId="52317DD8" w:rsidR="00B53BDA" w:rsidRPr="004A557F" w:rsidRDefault="00B53BDA" w:rsidP="004A557F">
      <w:r w:rsidRPr="004A557F">
        <w:br w:type="page"/>
      </w:r>
    </w:p>
    <w:p w14:paraId="597D57F5" w14:textId="4F755F0B" w:rsidR="004717F7" w:rsidRPr="004717F7" w:rsidRDefault="00493169" w:rsidP="004A557F">
      <w:pPr>
        <w:pStyle w:val="Tableheadings"/>
        <w:rPr>
          <w:vertAlign w:val="superscript"/>
        </w:rPr>
      </w:pPr>
      <w:r>
        <w:lastRenderedPageBreak/>
        <w:t>1.</w:t>
      </w:r>
      <w:r w:rsidR="008333C9">
        <w:t>9</w:t>
      </w:r>
      <w:r>
        <w:t xml:space="preserve"> </w:t>
      </w:r>
      <w:r w:rsidR="004717F7">
        <w:t xml:space="preserve">Proportion of </w:t>
      </w:r>
      <w:r w:rsidR="003656E8">
        <w:t>women</w:t>
      </w:r>
      <w:r w:rsidR="00B53BDA" w:rsidRPr="00B53BDA">
        <w:rPr>
          <w:vertAlign w:val="superscript"/>
        </w:rPr>
        <w:fldChar w:fldCharType="begin"/>
      </w:r>
      <w:r w:rsidR="00B53BDA" w:rsidRPr="00B53BDA">
        <w:rPr>
          <w:vertAlign w:val="superscript"/>
        </w:rPr>
        <w:instrText xml:space="preserve"> NOTEREF _Ref204154090 \h  \* MERGEFORMAT </w:instrText>
      </w:r>
      <w:r w:rsidR="00B53BDA" w:rsidRPr="00B53BDA">
        <w:rPr>
          <w:vertAlign w:val="superscript"/>
        </w:rPr>
      </w:r>
      <w:r w:rsidR="00B53BDA" w:rsidRPr="00B53BDA">
        <w:rPr>
          <w:vertAlign w:val="superscript"/>
        </w:rPr>
        <w:fldChar w:fldCharType="separate"/>
      </w:r>
      <w:r w:rsidR="00B53BDA" w:rsidRPr="00B53BDA">
        <w:rPr>
          <w:vertAlign w:val="superscript"/>
        </w:rPr>
        <w:t>2</w:t>
      </w:r>
      <w:r w:rsidR="00B53BDA" w:rsidRPr="00B53BDA">
        <w:rPr>
          <w:vertAlign w:val="superscript"/>
        </w:rPr>
        <w:fldChar w:fldCharType="end"/>
      </w:r>
      <w:r w:rsidR="004717F7">
        <w:t xml:space="preserve"> who gave birth, by number of antenatal visits, by remoteness area</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360"/>
        <w:gridCol w:w="3697"/>
        <w:gridCol w:w="1548"/>
        <w:gridCol w:w="1428"/>
      </w:tblGrid>
      <w:tr w:rsidR="004717F7" w:rsidRPr="004A557F" w14:paraId="3A5EE695" w14:textId="77777777" w:rsidTr="004A557F">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38A436A2" w14:textId="77777777" w:rsidR="004717F7" w:rsidRPr="004A557F" w:rsidRDefault="004717F7" w:rsidP="004A557F">
            <w:pPr>
              <w:pStyle w:val="Tabletextleft"/>
              <w:rPr>
                <w:b/>
              </w:rPr>
            </w:pPr>
            <w:r w:rsidRPr="004A557F">
              <w:rPr>
                <w:b/>
              </w:rPr>
              <w:t>Indicator components</w:t>
            </w:r>
          </w:p>
        </w:tc>
        <w:tc>
          <w:tcPr>
            <w:tcW w:w="1360" w:type="dxa"/>
            <w:vAlign w:val="top"/>
          </w:tcPr>
          <w:p w14:paraId="0ED0BC85" w14:textId="77777777" w:rsidR="004717F7" w:rsidRPr="004A557F" w:rsidRDefault="004717F7" w:rsidP="004A557F">
            <w:pPr>
              <w:pStyle w:val="Tabletextleft"/>
              <w:rPr>
                <w:b/>
              </w:rPr>
            </w:pPr>
            <w:r w:rsidRPr="004A557F">
              <w:rPr>
                <w:b/>
              </w:rPr>
              <w:t>Source</w:t>
            </w:r>
          </w:p>
        </w:tc>
        <w:tc>
          <w:tcPr>
            <w:tcW w:w="3697" w:type="dxa"/>
            <w:vAlign w:val="top"/>
          </w:tcPr>
          <w:p w14:paraId="78DD01B8" w14:textId="77777777" w:rsidR="004717F7" w:rsidRPr="004A557F" w:rsidRDefault="004717F7" w:rsidP="004A557F">
            <w:pPr>
              <w:pStyle w:val="Tabletextleft"/>
              <w:rPr>
                <w:b/>
              </w:rPr>
            </w:pPr>
            <w:r w:rsidRPr="004A557F">
              <w:rPr>
                <w:b/>
              </w:rPr>
              <w:t>Description</w:t>
            </w:r>
          </w:p>
        </w:tc>
        <w:tc>
          <w:tcPr>
            <w:tcW w:w="1548" w:type="dxa"/>
            <w:vAlign w:val="top"/>
          </w:tcPr>
          <w:p w14:paraId="5197F404" w14:textId="77777777" w:rsidR="004717F7" w:rsidRPr="004A557F" w:rsidRDefault="004717F7" w:rsidP="004A557F">
            <w:pPr>
              <w:pStyle w:val="Tabletextleft"/>
              <w:rPr>
                <w:b/>
              </w:rPr>
            </w:pPr>
            <w:r w:rsidRPr="004A557F">
              <w:rPr>
                <w:b/>
              </w:rPr>
              <w:t>Custodian/</w:t>
            </w:r>
          </w:p>
          <w:p w14:paraId="4D79272D" w14:textId="77777777" w:rsidR="004717F7" w:rsidRPr="004A557F" w:rsidRDefault="004717F7" w:rsidP="004A557F">
            <w:pPr>
              <w:pStyle w:val="Tabletextleft"/>
              <w:rPr>
                <w:b/>
              </w:rPr>
            </w:pPr>
            <w:r w:rsidRPr="004A557F">
              <w:rPr>
                <w:b/>
              </w:rPr>
              <w:t>stakeholder</w:t>
            </w:r>
          </w:p>
        </w:tc>
        <w:tc>
          <w:tcPr>
            <w:tcW w:w="1428" w:type="dxa"/>
            <w:vAlign w:val="top"/>
          </w:tcPr>
          <w:p w14:paraId="3BE0CE80" w14:textId="77777777" w:rsidR="004717F7" w:rsidRPr="004A557F" w:rsidRDefault="004717F7" w:rsidP="004A557F">
            <w:pPr>
              <w:pStyle w:val="Tabletextleft"/>
              <w:rPr>
                <w:b/>
              </w:rPr>
            </w:pPr>
            <w:r w:rsidRPr="004A557F">
              <w:rPr>
                <w:b/>
              </w:rPr>
              <w:t>Availability of data for reporting</w:t>
            </w:r>
          </w:p>
        </w:tc>
      </w:tr>
      <w:tr w:rsidR="004717F7" w:rsidRPr="004A557F" w14:paraId="2DDAFFBC" w14:textId="77777777" w:rsidTr="004A557F">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5C0B30D" w14:textId="77777777" w:rsidR="004717F7" w:rsidRPr="004A557F" w:rsidRDefault="004717F7" w:rsidP="004A557F">
            <w:pPr>
              <w:pStyle w:val="Tabletextleft"/>
              <w:rPr>
                <w:b/>
              </w:rPr>
            </w:pPr>
            <w:r w:rsidRPr="004A557F">
              <w:rPr>
                <w:b/>
              </w:rPr>
              <w:t>Numerator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CA1DA28" w14:textId="77777777" w:rsidR="004717F7" w:rsidRPr="004A557F" w:rsidRDefault="004717F7" w:rsidP="004A557F">
            <w:pPr>
              <w:pStyle w:val="Tabletextleft"/>
            </w:pPr>
            <w:r w:rsidRPr="004A557F">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83B019A" w14:textId="4E896773" w:rsidR="004717F7" w:rsidRPr="004A557F" w:rsidRDefault="004717F7" w:rsidP="004A557F">
            <w:pPr>
              <w:pStyle w:val="Tabletextleft"/>
            </w:pPr>
            <w:r w:rsidRPr="004A557F">
              <w:t xml:space="preserve">Number of </w:t>
            </w:r>
            <w:r w:rsidR="003656E8" w:rsidRPr="004A557F">
              <w:t>women</w:t>
            </w:r>
            <w:r w:rsidRPr="004A557F">
              <w:t xml:space="preserve"> who gave birth, by number of antenatal visits and remoteness area</w:t>
            </w:r>
            <w:r w:rsidR="00B53BDA" w:rsidRPr="004A557F">
              <w:t xml:space="preserve"> classification</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AB95F50" w14:textId="77777777" w:rsidR="004717F7" w:rsidRPr="004A557F" w:rsidRDefault="004717F7" w:rsidP="004A557F">
            <w:pPr>
              <w:pStyle w:val="Tabletextleft"/>
            </w:pPr>
            <w:r w:rsidRPr="004A557F">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48A6F41" w14:textId="77777777" w:rsidR="004717F7" w:rsidRPr="004A557F" w:rsidRDefault="004717F7" w:rsidP="004A557F">
            <w:pPr>
              <w:pStyle w:val="Tabletextleft"/>
            </w:pPr>
            <w:r w:rsidRPr="004A557F">
              <w:t xml:space="preserve">Annually* </w:t>
            </w:r>
          </w:p>
        </w:tc>
      </w:tr>
      <w:tr w:rsidR="004717F7" w:rsidRPr="004A557F" w14:paraId="4DFB5970" w14:textId="77777777" w:rsidTr="004A557F">
        <w:tc>
          <w:tcPr>
            <w:tcW w:w="0" w:type="auto"/>
            <w:vAlign w:val="top"/>
          </w:tcPr>
          <w:p w14:paraId="45919115" w14:textId="77777777" w:rsidR="004717F7" w:rsidRPr="004A557F" w:rsidRDefault="004717F7" w:rsidP="004A557F">
            <w:pPr>
              <w:pStyle w:val="Tabletextleft"/>
              <w:rPr>
                <w:b/>
              </w:rPr>
            </w:pPr>
            <w:r w:rsidRPr="004A557F">
              <w:rPr>
                <w:b/>
              </w:rPr>
              <w:t>Denominator</w:t>
            </w:r>
          </w:p>
        </w:tc>
        <w:tc>
          <w:tcPr>
            <w:tcW w:w="1360" w:type="dxa"/>
            <w:vAlign w:val="top"/>
          </w:tcPr>
          <w:p w14:paraId="7C77BEE6" w14:textId="77777777" w:rsidR="004717F7" w:rsidRPr="004A557F" w:rsidRDefault="004717F7" w:rsidP="004A557F">
            <w:pPr>
              <w:pStyle w:val="Tabletextleft"/>
            </w:pPr>
            <w:r w:rsidRPr="004A557F">
              <w:t>NPDC</w:t>
            </w:r>
          </w:p>
        </w:tc>
        <w:tc>
          <w:tcPr>
            <w:tcW w:w="3697" w:type="dxa"/>
            <w:vAlign w:val="top"/>
          </w:tcPr>
          <w:p w14:paraId="18E36974" w14:textId="4516905E" w:rsidR="004717F7" w:rsidRPr="004A557F" w:rsidRDefault="004717F7" w:rsidP="004A557F">
            <w:pPr>
              <w:pStyle w:val="Tabletextleft"/>
            </w:pPr>
            <w:r w:rsidRPr="004A557F">
              <w:t xml:space="preserve">Total number of </w:t>
            </w:r>
            <w:r w:rsidR="003656E8" w:rsidRPr="004A557F">
              <w:t>women</w:t>
            </w:r>
            <w:r w:rsidRPr="004A557F">
              <w:t xml:space="preserve"> who gave birth by remoteness area</w:t>
            </w:r>
            <w:r w:rsidR="00B53BDA" w:rsidRPr="004A557F">
              <w:t xml:space="preserve"> classification</w:t>
            </w:r>
          </w:p>
        </w:tc>
        <w:tc>
          <w:tcPr>
            <w:tcW w:w="1548" w:type="dxa"/>
            <w:vAlign w:val="top"/>
          </w:tcPr>
          <w:p w14:paraId="67515032" w14:textId="77777777" w:rsidR="004717F7" w:rsidRPr="004A557F" w:rsidRDefault="004717F7" w:rsidP="004A557F">
            <w:pPr>
              <w:pStyle w:val="Tabletextleft"/>
            </w:pPr>
            <w:r w:rsidRPr="004A557F">
              <w:t>AIHW</w:t>
            </w:r>
          </w:p>
        </w:tc>
        <w:tc>
          <w:tcPr>
            <w:tcW w:w="1428" w:type="dxa"/>
            <w:vAlign w:val="top"/>
          </w:tcPr>
          <w:p w14:paraId="357E6BD3" w14:textId="77777777" w:rsidR="004717F7" w:rsidRPr="004A557F" w:rsidRDefault="004717F7" w:rsidP="004A557F">
            <w:pPr>
              <w:pStyle w:val="Tabletextleft"/>
            </w:pPr>
            <w:r w:rsidRPr="004A557F">
              <w:t>Annually*</w:t>
            </w:r>
          </w:p>
        </w:tc>
      </w:tr>
    </w:tbl>
    <w:p w14:paraId="1BD7F213" w14:textId="77777777" w:rsidR="005C1306" w:rsidRDefault="004717F7" w:rsidP="004A557F">
      <w:pPr>
        <w:pStyle w:val="Caption"/>
      </w:pPr>
      <w:r w:rsidRPr="004717F7">
        <w:t>* Data reported annually, however there is a delay of 1-2 years for each calendar year</w:t>
      </w:r>
      <w:r w:rsidR="005C1306">
        <w:t>.</w:t>
      </w:r>
    </w:p>
    <w:p w14:paraId="130A8656" w14:textId="3F5786B7" w:rsidR="004717F7" w:rsidRPr="004717F7" w:rsidRDefault="00493169" w:rsidP="00A230E0">
      <w:pPr>
        <w:pStyle w:val="Tableheadings"/>
        <w:rPr>
          <w:vertAlign w:val="superscript"/>
        </w:rPr>
      </w:pPr>
      <w:r>
        <w:t>1.</w:t>
      </w:r>
      <w:r w:rsidR="008333C9">
        <w:t>10</w:t>
      </w:r>
      <w:r>
        <w:t xml:space="preserve"> </w:t>
      </w:r>
      <w:r w:rsidR="004717F7">
        <w:t xml:space="preserve">Proportion of </w:t>
      </w:r>
      <w:r w:rsidR="003656E8">
        <w:t>women</w:t>
      </w:r>
      <w:r w:rsidR="00B53BDA" w:rsidRPr="00B53BDA">
        <w:rPr>
          <w:vertAlign w:val="superscript"/>
        </w:rPr>
        <w:fldChar w:fldCharType="begin"/>
      </w:r>
      <w:r w:rsidR="00B53BDA" w:rsidRPr="00B53BDA">
        <w:rPr>
          <w:vertAlign w:val="superscript"/>
        </w:rPr>
        <w:instrText xml:space="preserve"> NOTEREF _Ref204154090 \h </w:instrText>
      </w:r>
      <w:r w:rsidR="00B53BDA">
        <w:rPr>
          <w:vertAlign w:val="superscript"/>
        </w:rPr>
        <w:instrText xml:space="preserve"> \* MERGEFORMAT </w:instrText>
      </w:r>
      <w:r w:rsidR="00B53BDA" w:rsidRPr="00B53BDA">
        <w:rPr>
          <w:vertAlign w:val="superscript"/>
        </w:rPr>
      </w:r>
      <w:r w:rsidR="00B53BDA" w:rsidRPr="00B53BDA">
        <w:rPr>
          <w:vertAlign w:val="superscript"/>
        </w:rPr>
        <w:fldChar w:fldCharType="separate"/>
      </w:r>
      <w:r w:rsidR="00B53BDA" w:rsidRPr="00B53BDA">
        <w:rPr>
          <w:vertAlign w:val="superscript"/>
        </w:rPr>
        <w:t>2</w:t>
      </w:r>
      <w:r w:rsidR="00B53BDA" w:rsidRPr="00B53BDA">
        <w:rPr>
          <w:vertAlign w:val="superscript"/>
        </w:rPr>
        <w:fldChar w:fldCharType="end"/>
      </w:r>
      <w:r w:rsidR="004717F7" w:rsidRPr="00B53BDA">
        <w:rPr>
          <w:vertAlign w:val="superscript"/>
        </w:rPr>
        <w:t xml:space="preserve"> </w:t>
      </w:r>
      <w:r w:rsidR="004717F7">
        <w:t>who gave birth, by country of birth</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360"/>
        <w:gridCol w:w="3697"/>
        <w:gridCol w:w="1548"/>
        <w:gridCol w:w="1428"/>
      </w:tblGrid>
      <w:tr w:rsidR="004717F7" w:rsidRPr="00A230E0" w14:paraId="701A21E0" w14:textId="77777777" w:rsidTr="00A230E0">
        <w:trPr>
          <w:cnfStyle w:val="100000000000" w:firstRow="1" w:lastRow="0" w:firstColumn="0" w:lastColumn="0" w:oddVBand="0" w:evenVBand="0" w:oddHBand="0" w:evenHBand="0" w:firstRowFirstColumn="0" w:firstRowLastColumn="0" w:lastRowFirstColumn="0" w:lastRowLastColumn="0"/>
        </w:trPr>
        <w:tc>
          <w:tcPr>
            <w:tcW w:w="0" w:type="auto"/>
            <w:vAlign w:val="top"/>
          </w:tcPr>
          <w:p w14:paraId="15D04E29" w14:textId="77777777" w:rsidR="004717F7" w:rsidRPr="00A230E0" w:rsidRDefault="004717F7" w:rsidP="00A230E0">
            <w:pPr>
              <w:pStyle w:val="Tabletextleft"/>
              <w:rPr>
                <w:b/>
              </w:rPr>
            </w:pPr>
            <w:r w:rsidRPr="00A230E0">
              <w:rPr>
                <w:b/>
              </w:rPr>
              <w:t>Indicator components</w:t>
            </w:r>
          </w:p>
        </w:tc>
        <w:tc>
          <w:tcPr>
            <w:tcW w:w="1360" w:type="dxa"/>
            <w:vAlign w:val="top"/>
          </w:tcPr>
          <w:p w14:paraId="73534838" w14:textId="77777777" w:rsidR="004717F7" w:rsidRPr="00A230E0" w:rsidRDefault="004717F7" w:rsidP="00A230E0">
            <w:pPr>
              <w:pStyle w:val="Tabletextleft"/>
              <w:rPr>
                <w:b/>
              </w:rPr>
            </w:pPr>
            <w:r w:rsidRPr="00A230E0">
              <w:rPr>
                <w:b/>
              </w:rPr>
              <w:t>Source</w:t>
            </w:r>
          </w:p>
        </w:tc>
        <w:tc>
          <w:tcPr>
            <w:tcW w:w="3697" w:type="dxa"/>
            <w:vAlign w:val="top"/>
          </w:tcPr>
          <w:p w14:paraId="5D067791" w14:textId="77777777" w:rsidR="004717F7" w:rsidRPr="00A230E0" w:rsidRDefault="004717F7" w:rsidP="00A230E0">
            <w:pPr>
              <w:pStyle w:val="Tabletextleft"/>
              <w:rPr>
                <w:b/>
              </w:rPr>
            </w:pPr>
            <w:r w:rsidRPr="00A230E0">
              <w:rPr>
                <w:b/>
              </w:rPr>
              <w:t>Description</w:t>
            </w:r>
          </w:p>
        </w:tc>
        <w:tc>
          <w:tcPr>
            <w:tcW w:w="1548" w:type="dxa"/>
            <w:vAlign w:val="top"/>
          </w:tcPr>
          <w:p w14:paraId="5C25CCD1" w14:textId="77777777" w:rsidR="004717F7" w:rsidRPr="00A230E0" w:rsidRDefault="004717F7" w:rsidP="00A230E0">
            <w:pPr>
              <w:pStyle w:val="Tabletextleft"/>
              <w:rPr>
                <w:b/>
              </w:rPr>
            </w:pPr>
            <w:r w:rsidRPr="00A230E0">
              <w:rPr>
                <w:b/>
              </w:rPr>
              <w:t>Custodian/</w:t>
            </w:r>
          </w:p>
          <w:p w14:paraId="312F5148" w14:textId="77777777" w:rsidR="004717F7" w:rsidRPr="00A230E0" w:rsidRDefault="004717F7" w:rsidP="00A230E0">
            <w:pPr>
              <w:pStyle w:val="Tabletextleft"/>
              <w:rPr>
                <w:b/>
              </w:rPr>
            </w:pPr>
            <w:r w:rsidRPr="00A230E0">
              <w:rPr>
                <w:b/>
              </w:rPr>
              <w:t>stakeholder</w:t>
            </w:r>
          </w:p>
        </w:tc>
        <w:tc>
          <w:tcPr>
            <w:tcW w:w="1428" w:type="dxa"/>
            <w:vAlign w:val="top"/>
          </w:tcPr>
          <w:p w14:paraId="7F4E0B72" w14:textId="77777777" w:rsidR="004717F7" w:rsidRPr="00A230E0" w:rsidRDefault="004717F7" w:rsidP="00A230E0">
            <w:pPr>
              <w:pStyle w:val="Tabletextleft"/>
              <w:rPr>
                <w:b/>
              </w:rPr>
            </w:pPr>
            <w:r w:rsidRPr="00A230E0">
              <w:rPr>
                <w:b/>
              </w:rPr>
              <w:t>Availability of data for reporting</w:t>
            </w:r>
          </w:p>
        </w:tc>
      </w:tr>
      <w:tr w:rsidR="004717F7" w:rsidRPr="00A230E0" w14:paraId="0D2F1E63" w14:textId="77777777" w:rsidTr="00A230E0">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5928C2E" w14:textId="77777777" w:rsidR="004717F7" w:rsidRPr="00A230E0" w:rsidRDefault="004717F7" w:rsidP="00A230E0">
            <w:pPr>
              <w:pStyle w:val="Tabletextleft"/>
              <w:rPr>
                <w:b/>
              </w:rPr>
            </w:pPr>
            <w:r w:rsidRPr="00A230E0">
              <w:rPr>
                <w:b/>
              </w:rPr>
              <w:t>Numerator</w:t>
            </w:r>
          </w:p>
        </w:tc>
        <w:tc>
          <w:tcPr>
            <w:tcW w:w="13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21899A6" w14:textId="77777777" w:rsidR="004717F7" w:rsidRPr="00A230E0" w:rsidRDefault="004717F7" w:rsidP="00A230E0">
            <w:pPr>
              <w:pStyle w:val="Tabletextleft"/>
            </w:pPr>
            <w:r w:rsidRPr="00A230E0">
              <w:t>NPDC</w:t>
            </w:r>
          </w:p>
        </w:tc>
        <w:tc>
          <w:tcPr>
            <w:tcW w:w="36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4CB6673" w14:textId="77777777" w:rsidR="004717F7" w:rsidRPr="00A230E0" w:rsidRDefault="004717F7" w:rsidP="00A230E0">
            <w:pPr>
              <w:pStyle w:val="Tabletextleft"/>
            </w:pPr>
            <w:r w:rsidRPr="00A230E0">
              <w:t>Number of</w:t>
            </w:r>
            <w:r w:rsidR="003656E8" w:rsidRPr="00A230E0">
              <w:t xml:space="preserve"> women</w:t>
            </w:r>
            <w:r w:rsidRPr="00A230E0">
              <w:t xml:space="preserve"> who gave birth, by country of birth</w:t>
            </w:r>
          </w:p>
        </w:tc>
        <w:tc>
          <w:tcPr>
            <w:tcW w:w="154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A2607E4" w14:textId="77777777" w:rsidR="004717F7" w:rsidRPr="00A230E0" w:rsidRDefault="004717F7" w:rsidP="00A230E0">
            <w:pPr>
              <w:pStyle w:val="Tabletextleft"/>
            </w:pPr>
            <w:r w:rsidRPr="00A230E0">
              <w:t>AIHW</w:t>
            </w:r>
          </w:p>
        </w:tc>
        <w:tc>
          <w:tcPr>
            <w:tcW w:w="142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009A5ED" w14:textId="486DB249" w:rsidR="004717F7" w:rsidRPr="00A230E0" w:rsidRDefault="004717F7" w:rsidP="00A230E0">
            <w:pPr>
              <w:pStyle w:val="Tabletextleft"/>
            </w:pPr>
            <w:r w:rsidRPr="00A230E0">
              <w:t>Annually*</w:t>
            </w:r>
          </w:p>
        </w:tc>
      </w:tr>
      <w:tr w:rsidR="004717F7" w:rsidRPr="00A230E0" w14:paraId="72EC989E" w14:textId="77777777" w:rsidTr="00A230E0">
        <w:tc>
          <w:tcPr>
            <w:tcW w:w="0" w:type="auto"/>
            <w:vAlign w:val="top"/>
          </w:tcPr>
          <w:p w14:paraId="63AD72A9" w14:textId="77777777" w:rsidR="004717F7" w:rsidRPr="00A230E0" w:rsidRDefault="004717F7" w:rsidP="00A230E0">
            <w:pPr>
              <w:pStyle w:val="Tabletextleft"/>
              <w:rPr>
                <w:b/>
              </w:rPr>
            </w:pPr>
            <w:r w:rsidRPr="00A230E0">
              <w:rPr>
                <w:b/>
              </w:rPr>
              <w:t>Denominator</w:t>
            </w:r>
          </w:p>
        </w:tc>
        <w:tc>
          <w:tcPr>
            <w:tcW w:w="1360" w:type="dxa"/>
            <w:vAlign w:val="top"/>
          </w:tcPr>
          <w:p w14:paraId="1014BBD2" w14:textId="77777777" w:rsidR="004717F7" w:rsidRPr="00A230E0" w:rsidRDefault="004717F7" w:rsidP="00A230E0">
            <w:pPr>
              <w:pStyle w:val="Tabletextleft"/>
            </w:pPr>
            <w:r w:rsidRPr="00A230E0">
              <w:t>NPDC</w:t>
            </w:r>
          </w:p>
        </w:tc>
        <w:tc>
          <w:tcPr>
            <w:tcW w:w="3697" w:type="dxa"/>
            <w:vAlign w:val="top"/>
          </w:tcPr>
          <w:p w14:paraId="0676234F" w14:textId="77777777" w:rsidR="004717F7" w:rsidRPr="00A230E0" w:rsidRDefault="004717F7" w:rsidP="00A230E0">
            <w:pPr>
              <w:pStyle w:val="Tabletextleft"/>
            </w:pPr>
            <w:r w:rsidRPr="00A230E0">
              <w:t xml:space="preserve">Total number of </w:t>
            </w:r>
            <w:r w:rsidR="003656E8" w:rsidRPr="00A230E0">
              <w:t>women</w:t>
            </w:r>
            <w:r w:rsidRPr="00A230E0">
              <w:t xml:space="preserve"> who gave birth </w:t>
            </w:r>
          </w:p>
        </w:tc>
        <w:tc>
          <w:tcPr>
            <w:tcW w:w="1548" w:type="dxa"/>
            <w:vAlign w:val="top"/>
          </w:tcPr>
          <w:p w14:paraId="7D355421" w14:textId="77777777" w:rsidR="004717F7" w:rsidRPr="00A230E0" w:rsidRDefault="004717F7" w:rsidP="00A230E0">
            <w:pPr>
              <w:pStyle w:val="Tabletextleft"/>
            </w:pPr>
            <w:r w:rsidRPr="00A230E0">
              <w:t>AIHW</w:t>
            </w:r>
          </w:p>
        </w:tc>
        <w:tc>
          <w:tcPr>
            <w:tcW w:w="1428" w:type="dxa"/>
            <w:vAlign w:val="top"/>
          </w:tcPr>
          <w:p w14:paraId="01E96C4E" w14:textId="77777777" w:rsidR="004717F7" w:rsidRPr="00A230E0" w:rsidRDefault="004717F7" w:rsidP="00A230E0">
            <w:pPr>
              <w:pStyle w:val="Tabletextleft"/>
            </w:pPr>
            <w:r w:rsidRPr="00A230E0">
              <w:t>Annually*</w:t>
            </w:r>
          </w:p>
        </w:tc>
      </w:tr>
    </w:tbl>
    <w:p w14:paraId="5B568692" w14:textId="77777777" w:rsidR="005C1306" w:rsidRDefault="004717F7" w:rsidP="00A230E0">
      <w:pPr>
        <w:pStyle w:val="Caption"/>
      </w:pPr>
      <w:r w:rsidRPr="004717F7">
        <w:t>* Data reported annually, however there is a delay of 1-2 years for each calendar year</w:t>
      </w:r>
      <w:r w:rsidR="005C1306">
        <w:t>.</w:t>
      </w:r>
    </w:p>
    <w:p w14:paraId="2C946EC2" w14:textId="6CE9AB1E" w:rsidR="00B53BDA" w:rsidRPr="00A230E0" w:rsidRDefault="00B53BDA" w:rsidP="00A230E0">
      <w:r w:rsidRPr="00A230E0">
        <w:br w:type="page"/>
      </w:r>
    </w:p>
    <w:p w14:paraId="3562F8C3" w14:textId="2E972C0E" w:rsidR="005B0DA2" w:rsidRPr="00673AE2" w:rsidRDefault="005B0DA2" w:rsidP="00A230E0">
      <w:pPr>
        <w:pStyle w:val="Heading2"/>
      </w:pPr>
      <w:bookmarkStart w:id="28" w:name="_Toc230091253"/>
      <w:r w:rsidRPr="00673AE2">
        <w:lastRenderedPageBreak/>
        <w:t>Goal 2</w:t>
      </w:r>
      <w:r w:rsidR="00A230E0">
        <w:t xml:space="preserve"> – </w:t>
      </w:r>
      <w:r w:rsidRPr="00673AE2">
        <w:t>Reduce ongoing transmission and incidence of syphilis across priority populations</w:t>
      </w:r>
      <w:bookmarkEnd w:id="28"/>
    </w:p>
    <w:p w14:paraId="30EE1F71" w14:textId="77777777" w:rsidR="005B0DA2" w:rsidRPr="00FA57DF" w:rsidRDefault="005B0DA2" w:rsidP="00FA57DF">
      <w:pPr>
        <w:pStyle w:val="Boxgreenheading"/>
      </w:pPr>
      <w:r w:rsidRPr="00FA57DF">
        <w:t>Indicators</w:t>
      </w:r>
    </w:p>
    <w:p w14:paraId="3A38FA48" w14:textId="508D8DEA" w:rsidR="005B0DA2" w:rsidRPr="00FA57DF" w:rsidRDefault="00FD4C9F" w:rsidP="000F0C60">
      <w:pPr>
        <w:pStyle w:val="Boxgreentext"/>
        <w:spacing w:after="60"/>
        <w:ind w:left="709" w:hanging="709"/>
      </w:pPr>
      <w:r w:rsidRPr="00FA57DF">
        <w:t>2.1</w:t>
      </w:r>
      <w:r w:rsidR="000F0C60">
        <w:tab/>
      </w:r>
      <w:r w:rsidR="006731AE" w:rsidRPr="00FA57DF">
        <w:t>Notification rate of infectious syphilis by Indigenous status, sex, age and remoteness area</w:t>
      </w:r>
    </w:p>
    <w:p w14:paraId="4B47BF78" w14:textId="797B2BE4" w:rsidR="006731AE" w:rsidRPr="000F0C60" w:rsidRDefault="00CB0322" w:rsidP="000F0C60">
      <w:pPr>
        <w:pStyle w:val="Boxgreentext"/>
        <w:spacing w:after="60"/>
        <w:ind w:left="709" w:hanging="709"/>
      </w:pPr>
      <w:r w:rsidRPr="00FA57DF">
        <w:t>2.2</w:t>
      </w:r>
      <w:r w:rsidR="00D97922">
        <w:tab/>
      </w:r>
      <w:r w:rsidRPr="00FA57DF">
        <w:t>Notification rate of infectious syphilis in Aboriginal and Torres Strait Islander people</w:t>
      </w:r>
      <w:r w:rsidR="5E4A2B9B" w:rsidRPr="00FA57DF">
        <w:t>s</w:t>
      </w:r>
      <w:r w:rsidRPr="00FA57DF">
        <w:t xml:space="preserve"> by Indigenous Areas (IAREs)</w:t>
      </w:r>
    </w:p>
    <w:p w14:paraId="36E679E4" w14:textId="5F3D5B24" w:rsidR="005B0DA2" w:rsidRPr="00FA57DF" w:rsidRDefault="00B9375F" w:rsidP="000F0C60">
      <w:pPr>
        <w:pStyle w:val="Boxgreentext"/>
        <w:spacing w:after="60"/>
        <w:ind w:left="709" w:hanging="709"/>
      </w:pPr>
      <w:r w:rsidRPr="00FA57DF">
        <w:t>2.3</w:t>
      </w:r>
      <w:r w:rsidR="00D97922">
        <w:tab/>
      </w:r>
      <w:r w:rsidRPr="00FA57DF">
        <w:t>Notification rate of infectious syphilis by Statistical Area 3 (SA3), by Indigenous status</w:t>
      </w:r>
    </w:p>
    <w:p w14:paraId="7D5A41A8" w14:textId="1EC49D85" w:rsidR="00B9375F" w:rsidRPr="00FA57DF" w:rsidRDefault="00200D5D" w:rsidP="000F0C60">
      <w:pPr>
        <w:pStyle w:val="Boxgreentext"/>
        <w:spacing w:after="60"/>
        <w:ind w:left="709" w:hanging="709"/>
      </w:pPr>
      <w:r w:rsidRPr="00FA57DF">
        <w:t>2.4</w:t>
      </w:r>
      <w:r w:rsidR="00D97922">
        <w:tab/>
      </w:r>
      <w:r w:rsidRPr="00FA57DF">
        <w:t>Notification rate of infectious syphilis in women of reproductive age (15-44 years) by Indigenous status and remoteness area</w:t>
      </w:r>
    </w:p>
    <w:p w14:paraId="085F8154" w14:textId="42845049" w:rsidR="00200D5D" w:rsidRPr="00FA57DF" w:rsidRDefault="00B03914" w:rsidP="000F0C60">
      <w:pPr>
        <w:pStyle w:val="Boxgreentext"/>
        <w:spacing w:after="60"/>
        <w:ind w:left="709" w:hanging="709"/>
      </w:pPr>
      <w:r w:rsidRPr="00FA57DF">
        <w:t>2.5</w:t>
      </w:r>
      <w:r w:rsidR="00D97922">
        <w:tab/>
      </w:r>
      <w:r w:rsidRPr="00FA57DF">
        <w:t>Proportion of infectious syphilis notifications in men reporting sexual exposure with men only</w:t>
      </w:r>
    </w:p>
    <w:p w14:paraId="19340EC2" w14:textId="161AB12A" w:rsidR="00B03914" w:rsidRPr="00FA57DF" w:rsidRDefault="00B0117F" w:rsidP="000F0C60">
      <w:pPr>
        <w:pStyle w:val="Boxgreentext"/>
        <w:spacing w:after="60"/>
        <w:ind w:left="709" w:hanging="709"/>
      </w:pPr>
      <w:r w:rsidRPr="00FA57DF">
        <w:t>2.6</w:t>
      </w:r>
      <w:r w:rsidR="00D97922">
        <w:tab/>
      </w:r>
      <w:r w:rsidRPr="00FA57DF">
        <w:t>Proportion of infectious syphilis notifications in men reporting sexual exposure with men and women</w:t>
      </w:r>
    </w:p>
    <w:p w14:paraId="0D85F35F" w14:textId="60290B31" w:rsidR="00C02C77" w:rsidRPr="00FA57DF" w:rsidRDefault="00C02C77" w:rsidP="000F0C60">
      <w:pPr>
        <w:pStyle w:val="Boxgreentext"/>
        <w:spacing w:after="60"/>
        <w:ind w:left="709" w:hanging="709"/>
      </w:pPr>
      <w:r w:rsidRPr="00FA57DF">
        <w:t>2.7</w:t>
      </w:r>
      <w:r w:rsidR="00D97922">
        <w:tab/>
      </w:r>
      <w:r w:rsidRPr="00FA57DF">
        <w:t>Proportion of infectious syphilis notifications by reason for testing</w:t>
      </w:r>
    </w:p>
    <w:p w14:paraId="295D0C2C" w14:textId="3FF089FE" w:rsidR="00072C41" w:rsidRPr="000F0C60" w:rsidRDefault="00072C41" w:rsidP="000F0C60">
      <w:pPr>
        <w:pStyle w:val="Boxgreentext"/>
        <w:spacing w:after="60"/>
        <w:ind w:left="709" w:hanging="709"/>
      </w:pPr>
      <w:r w:rsidRPr="00FA57DF">
        <w:t>2.8</w:t>
      </w:r>
      <w:r w:rsidR="00D97922">
        <w:tab/>
      </w:r>
      <w:r w:rsidRPr="00FA57DF">
        <w:t>Proportion of infectious syphilis notification</w:t>
      </w:r>
      <w:r w:rsidR="6BE3B097" w:rsidRPr="00FA57DF">
        <w:t>s</w:t>
      </w:r>
      <w:r w:rsidRPr="00FA57DF">
        <w:t xml:space="preserve"> in gay</w:t>
      </w:r>
      <w:r w:rsidR="00630E19">
        <w:t xml:space="preserve">, </w:t>
      </w:r>
      <w:r w:rsidRPr="00FA57DF">
        <w:t>bisexual</w:t>
      </w:r>
      <w:r w:rsidR="00630E19">
        <w:t>, and other</w:t>
      </w:r>
      <w:r w:rsidRPr="00FA57DF">
        <w:t xml:space="preserve"> men who have sex with men reporting HIV </w:t>
      </w:r>
      <w:proofErr w:type="spellStart"/>
      <w:r w:rsidRPr="00FA57DF">
        <w:t>PrEP</w:t>
      </w:r>
      <w:proofErr w:type="spellEnd"/>
      <w:r w:rsidRPr="00FA57DF">
        <w:t xml:space="preserve"> use at time of syphilis diagnosis</w:t>
      </w:r>
    </w:p>
    <w:p w14:paraId="42DF0295" w14:textId="7246626A" w:rsidR="005B0DA2" w:rsidRPr="00FA57DF" w:rsidRDefault="000D3E82" w:rsidP="000F0C60">
      <w:pPr>
        <w:pStyle w:val="Boxgreentext"/>
        <w:spacing w:after="60"/>
        <w:ind w:left="709" w:hanging="709"/>
      </w:pPr>
      <w:r w:rsidRPr="00FA57DF">
        <w:t>2.9</w:t>
      </w:r>
      <w:r w:rsidR="00D97922">
        <w:tab/>
      </w:r>
      <w:r w:rsidRPr="00FA57DF">
        <w:t>Proportion of infectious syphilis notifications by clinical facility where the syphilis infection was diagnosed</w:t>
      </w:r>
    </w:p>
    <w:p w14:paraId="1C6A2CD3" w14:textId="0BC6842E" w:rsidR="003141B9" w:rsidRPr="000F0C60" w:rsidRDefault="003141B9" w:rsidP="000F0C60">
      <w:pPr>
        <w:pStyle w:val="Boxgreentext"/>
        <w:spacing w:after="60"/>
        <w:ind w:left="709" w:hanging="709"/>
      </w:pPr>
      <w:r w:rsidRPr="00FA57DF">
        <w:t>2.10</w:t>
      </w:r>
      <w:r w:rsidR="00D97922">
        <w:tab/>
      </w:r>
      <w:r w:rsidRPr="00FA57DF">
        <w:t>Proportion of infectious syphilis notifications receiving treatment, by time to treatment</w:t>
      </w:r>
    </w:p>
    <w:p w14:paraId="0072F768" w14:textId="77777777" w:rsidR="00A3484F" w:rsidRPr="00D97922" w:rsidRDefault="00A3484F" w:rsidP="00D97922">
      <w:pPr>
        <w:pStyle w:val="Heading3"/>
      </w:pPr>
      <w:r w:rsidRPr="00D97922">
        <w:t>Why is this goal important?</w:t>
      </w:r>
    </w:p>
    <w:p w14:paraId="558A0C20" w14:textId="4BF76E74" w:rsidR="00362247" w:rsidRPr="00B22D52" w:rsidRDefault="00362247" w:rsidP="00B22D52">
      <w:r w:rsidRPr="00B22D52">
        <w:t xml:space="preserve">Goal 2 is important as it </w:t>
      </w:r>
      <w:r w:rsidR="002D7DA2" w:rsidRPr="00B22D52">
        <w:t>increases understanding of</w:t>
      </w:r>
      <w:r w:rsidRPr="00B22D52">
        <w:t xml:space="preserve"> syphilis trends and the impact of the national syphilis response </w:t>
      </w:r>
      <w:r w:rsidR="00ED6A21" w:rsidRPr="00B22D52">
        <w:t xml:space="preserve">at </w:t>
      </w:r>
      <w:r w:rsidRPr="00B22D52">
        <w:t xml:space="preserve">reducing transmission </w:t>
      </w:r>
      <w:r w:rsidR="006461DA" w:rsidRPr="00B22D52">
        <w:t>across</w:t>
      </w:r>
      <w:r w:rsidRPr="00B22D52">
        <w:t xml:space="preserve"> Australia. Reporting against this goal will provide valuable information on infection among </w:t>
      </w:r>
      <w:r w:rsidR="006461DA" w:rsidRPr="00B22D52">
        <w:t>priority populations and settings</w:t>
      </w:r>
      <w:r w:rsidRPr="00B22D52">
        <w:t xml:space="preserve"> and whether mechanisms to reduce ongoing transmission, </w:t>
      </w:r>
      <w:r w:rsidR="006461DA" w:rsidRPr="00B22D52">
        <w:t>including</w:t>
      </w:r>
      <w:r w:rsidRPr="00B22D52">
        <w:t xml:space="preserve"> </w:t>
      </w:r>
      <w:r w:rsidR="003656E8" w:rsidRPr="00B22D52">
        <w:t xml:space="preserve">testing and </w:t>
      </w:r>
      <w:r w:rsidRPr="00B22D52">
        <w:t>treatment</w:t>
      </w:r>
      <w:r w:rsidR="65ECFC74" w:rsidRPr="00B22D52">
        <w:t>,</w:t>
      </w:r>
      <w:r w:rsidRPr="00B22D52">
        <w:t xml:space="preserve"> are</w:t>
      </w:r>
      <w:r w:rsidR="00CB6DFB" w:rsidRPr="00B22D52">
        <w:t xml:space="preserve"> effective</w:t>
      </w:r>
      <w:r w:rsidRPr="00B22D52">
        <w:t xml:space="preserve">. These data will highlight gaps and opportunities for service improvement </w:t>
      </w:r>
      <w:r w:rsidR="003656E8" w:rsidRPr="00B22D52">
        <w:t xml:space="preserve">among priority populations </w:t>
      </w:r>
      <w:r w:rsidR="00C04C82" w:rsidRPr="00B22D52">
        <w:t xml:space="preserve">and across geographical locations </w:t>
      </w:r>
      <w:r w:rsidR="003656E8" w:rsidRPr="00B22D52">
        <w:t xml:space="preserve">to minimise </w:t>
      </w:r>
      <w:r w:rsidR="006461DA" w:rsidRPr="00B22D52">
        <w:t xml:space="preserve">proliferation of infection </w:t>
      </w:r>
      <w:r w:rsidR="003656E8" w:rsidRPr="00B22D52">
        <w:t>and adverse outcomes of syphilis infection.</w:t>
      </w:r>
    </w:p>
    <w:p w14:paraId="167618AE" w14:textId="77777777" w:rsidR="00A3484F" w:rsidRPr="00D97922" w:rsidRDefault="00A3484F" w:rsidP="00D97922">
      <w:pPr>
        <w:pStyle w:val="Heading3"/>
      </w:pPr>
      <w:r w:rsidRPr="00D97922">
        <w:lastRenderedPageBreak/>
        <w:t>Data gaps</w:t>
      </w:r>
    </w:p>
    <w:p w14:paraId="13E15B85" w14:textId="77777777" w:rsidR="005C1306" w:rsidRDefault="463E3862" w:rsidP="00B22D52">
      <w:r w:rsidRPr="00B22D52">
        <w:t>A</w:t>
      </w:r>
      <w:r w:rsidR="006461DA" w:rsidRPr="00B22D52">
        <w:t>t the time of writing</w:t>
      </w:r>
      <w:r w:rsidR="623FC346" w:rsidRPr="00B22D52">
        <w:t>,</w:t>
      </w:r>
      <w:r w:rsidR="006461DA" w:rsidRPr="00B22D52">
        <w:t xml:space="preserve"> </w:t>
      </w:r>
      <w:r w:rsidR="0B1B6AD2" w:rsidRPr="00B22D52">
        <w:t xml:space="preserve">identified </w:t>
      </w:r>
      <w:r w:rsidR="006461DA" w:rsidRPr="00B22D52">
        <w:t xml:space="preserve">limitations </w:t>
      </w:r>
      <w:r w:rsidR="4A465F92" w:rsidRPr="00B22D52">
        <w:t>with</w:t>
      </w:r>
      <w:r w:rsidR="006461DA" w:rsidRPr="00B22D52">
        <w:t xml:space="preserve"> enhanced NNDSS data collections includ</w:t>
      </w:r>
      <w:r w:rsidR="68A2F719" w:rsidRPr="00B22D52">
        <w:t>ed</w:t>
      </w:r>
      <w:r w:rsidR="006461DA" w:rsidRPr="00B22D52">
        <w:t xml:space="preserve"> completeness of fields and timeliness of collection across jurisdictions. While considerable efforts are being made at local levels to provide these data, opportunities are currently being explored to support and </w:t>
      </w:r>
      <w:r w:rsidR="002E5BE3" w:rsidRPr="00B22D52">
        <w:t>compl</w:t>
      </w:r>
      <w:r w:rsidR="00C40E7F" w:rsidRPr="00B22D52">
        <w:t>ement</w:t>
      </w:r>
      <w:r w:rsidR="002E5BE3" w:rsidRPr="00B22D52">
        <w:t xml:space="preserve"> </w:t>
      </w:r>
      <w:r w:rsidR="006461DA" w:rsidRPr="00B22D52">
        <w:t>these collections. Data to report against the success of other mechanisms to minimise ongoing transmission, including partner notification and repeat syphilis testing</w:t>
      </w:r>
      <w:r w:rsidR="73D07206" w:rsidRPr="00B22D52">
        <w:t>,</w:t>
      </w:r>
      <w:r w:rsidR="006461DA" w:rsidRPr="00B22D52">
        <w:t xml:space="preserve"> are not routinely available</w:t>
      </w:r>
      <w:r w:rsidR="005C1306">
        <w:t>.</w:t>
      </w:r>
    </w:p>
    <w:p w14:paraId="24843398" w14:textId="6648DA08" w:rsidR="006461DA" w:rsidRPr="00B22D52" w:rsidRDefault="006461DA" w:rsidP="00B22D52">
      <w:r w:rsidRPr="00B22D52">
        <w:t xml:space="preserve">Other population-level data sets to further contextualise syphilis in Australia, </w:t>
      </w:r>
      <w:r w:rsidR="75479545" w:rsidRPr="00B22D52">
        <w:t>such as</w:t>
      </w:r>
      <w:r w:rsidRPr="00B22D52">
        <w:t xml:space="preserve"> socio-economic factors</w:t>
      </w:r>
      <w:r w:rsidR="40BDEFD4" w:rsidRPr="00B22D52">
        <w:t>,</w:t>
      </w:r>
      <w:r w:rsidRPr="00B22D52">
        <w:t xml:space="preserve"> are currently being investigated with a view to include indicators and concepts in future iterations of the Surveillance Plan.</w:t>
      </w:r>
    </w:p>
    <w:p w14:paraId="7705F598" w14:textId="1357295D" w:rsidR="005B0DA2" w:rsidRPr="00D97922" w:rsidRDefault="005B0DA2" w:rsidP="00D97922">
      <w:pPr>
        <w:pStyle w:val="Heading3"/>
      </w:pPr>
      <w:r w:rsidRPr="00D97922">
        <w:t>Indicator notes</w:t>
      </w:r>
    </w:p>
    <w:p w14:paraId="5BE50FC7" w14:textId="3C179B71" w:rsidR="0065619A" w:rsidRPr="00B22D52" w:rsidRDefault="006461DA" w:rsidP="00B22D52">
      <w:r w:rsidRPr="00B22D52">
        <w:t>Reporting against this goal will include descriptions of national syphilis trends across priority populations and settings occurring within the reporting period. Where data are available</w:t>
      </w:r>
      <w:r w:rsidR="2A7F7F95" w:rsidRPr="00B22D52">
        <w:t>,</w:t>
      </w:r>
      <w:r w:rsidRPr="00B22D52">
        <w:t xml:space="preserve"> national guidance to support early intervention will be described.</w:t>
      </w:r>
    </w:p>
    <w:p w14:paraId="22BE89F8" w14:textId="4B186CFB" w:rsidR="002E52A9" w:rsidRPr="00B22D52" w:rsidRDefault="002E52A9" w:rsidP="00B22D52">
      <w:pPr>
        <w:pStyle w:val="Heading4"/>
      </w:pPr>
      <w:r w:rsidRPr="00B22D52">
        <w:t xml:space="preserve">Enhanced </w:t>
      </w:r>
      <w:r w:rsidR="005A0088" w:rsidRPr="00B22D52">
        <w:t xml:space="preserve">NNDSS </w:t>
      </w:r>
      <w:r w:rsidRPr="00B22D52">
        <w:t xml:space="preserve">data </w:t>
      </w:r>
      <w:r w:rsidR="00BF36E3" w:rsidRPr="00B22D52">
        <w:t>–</w:t>
      </w:r>
      <w:r w:rsidRPr="00B22D52">
        <w:t xml:space="preserve"> syphilis</w:t>
      </w:r>
      <w:r w:rsidR="00BF36E3" w:rsidRPr="00B22D52">
        <w:t xml:space="preserve"> treatment</w:t>
      </w:r>
    </w:p>
    <w:p w14:paraId="0F5303BB" w14:textId="26C58F2C" w:rsidR="002E52A9" w:rsidRPr="00B22D52" w:rsidRDefault="00DE29C4" w:rsidP="00B22D52">
      <w:r w:rsidRPr="00B22D52">
        <w:t>Time to treatment is calculated among a subset of notifications where treatment was recorded as yes and a date treatment commenced was reported. The time to treatment will reflect the days/months difference between diagnosis date</w:t>
      </w:r>
      <w:r w:rsidR="002E52A9" w:rsidRPr="00B22D52">
        <w:t xml:space="preserve"> and the date treatment commenced.</w:t>
      </w:r>
    </w:p>
    <w:p w14:paraId="5C9C1FEE" w14:textId="75163746" w:rsidR="002E52A9" w:rsidRPr="00B22D52" w:rsidRDefault="002E52A9" w:rsidP="00B22D52">
      <w:r w:rsidRPr="00B22D52">
        <w:t xml:space="preserve">Further information </w:t>
      </w:r>
      <w:r w:rsidR="005A0088" w:rsidRPr="00B22D52">
        <w:t xml:space="preserve">on </w:t>
      </w:r>
      <w:r w:rsidR="006461DA" w:rsidRPr="00B22D52">
        <w:t xml:space="preserve">enhanced </w:t>
      </w:r>
      <w:r w:rsidR="005A0088" w:rsidRPr="00B22D52">
        <w:t xml:space="preserve">NNDSS </w:t>
      </w:r>
      <w:r w:rsidR="006461DA" w:rsidRPr="00B22D52">
        <w:t xml:space="preserve">data </w:t>
      </w:r>
      <w:r w:rsidR="6FB02BA7" w:rsidRPr="00B22D52">
        <w:t>is</w:t>
      </w:r>
      <w:r w:rsidR="006461DA" w:rsidRPr="00B22D52">
        <w:t xml:space="preserve"> available </w:t>
      </w:r>
      <w:hyperlink w:anchor="_Goal_1_-" w:history="1">
        <w:r w:rsidR="00BE1177" w:rsidRPr="00B22D52">
          <w:rPr>
            <w:rStyle w:val="Hyperlink"/>
          </w:rPr>
          <w:t>indicator notes</w:t>
        </w:r>
      </w:hyperlink>
      <w:r w:rsidR="00BE1177" w:rsidRPr="00B22D52">
        <w:t xml:space="preserve"> </w:t>
      </w:r>
      <w:r w:rsidR="00F44E18" w:rsidRPr="00B22D52">
        <w:t>in goal 1.</w:t>
      </w:r>
    </w:p>
    <w:p w14:paraId="345CDCEC" w14:textId="77777777" w:rsidR="0014301B" w:rsidRPr="00B22D52" w:rsidRDefault="0014301B" w:rsidP="00B22D52">
      <w:pPr>
        <w:pStyle w:val="Heading4"/>
      </w:pPr>
      <w:r w:rsidRPr="00B22D52">
        <w:t>Australian Statistical Geography Standard (ASGS) – ABS</w:t>
      </w:r>
    </w:p>
    <w:p w14:paraId="699410C4" w14:textId="2B5BAD05" w:rsidR="0014301B" w:rsidRPr="00B22D52" w:rsidRDefault="00571CA8" w:rsidP="00B22D52">
      <w:r w:rsidRPr="00B22D52">
        <w:t>G</w:t>
      </w:r>
      <w:r w:rsidR="0014301B" w:rsidRPr="00B22D52">
        <w:t xml:space="preserve">eographical regions </w:t>
      </w:r>
      <w:r w:rsidR="00545F8D" w:rsidRPr="00B22D52">
        <w:t>are</w:t>
      </w:r>
      <w:r w:rsidR="0014301B" w:rsidRPr="00B22D52">
        <w:t xml:space="preserve"> based on the ABS ASGS classifications for:</w:t>
      </w:r>
    </w:p>
    <w:p w14:paraId="1EC0BFA8" w14:textId="7A044B2F" w:rsidR="008E7F06" w:rsidRPr="00B22D52" w:rsidRDefault="0014301B" w:rsidP="00B22D52">
      <w:pPr>
        <w:pStyle w:val="ListBullet"/>
      </w:pPr>
      <w:hyperlink r:id="rId28" w:history="1">
        <w:r w:rsidRPr="00B22D52">
          <w:rPr>
            <w:rStyle w:val="Hyperlink"/>
          </w:rPr>
          <w:t>Statistical Area 3</w:t>
        </w:r>
      </w:hyperlink>
      <w:r w:rsidRPr="00B22D52">
        <w:t xml:space="preserve"> (SA3)</w:t>
      </w:r>
    </w:p>
    <w:p w14:paraId="640B2FBC" w14:textId="2FCFC53A" w:rsidR="0014301B" w:rsidRPr="00B22D52" w:rsidRDefault="0014301B" w:rsidP="00B22D52">
      <w:pPr>
        <w:pStyle w:val="ListBullet"/>
      </w:pPr>
      <w:hyperlink r:id="rId29" w:history="1">
        <w:r w:rsidRPr="00B22D52">
          <w:rPr>
            <w:rStyle w:val="Hyperlink"/>
          </w:rPr>
          <w:t>Remoteness Areas</w:t>
        </w:r>
      </w:hyperlink>
      <w:r w:rsidRPr="00B22D52">
        <w:t xml:space="preserve"> (RA)</w:t>
      </w:r>
    </w:p>
    <w:p w14:paraId="1C3322BB" w14:textId="355AD756" w:rsidR="0014301B" w:rsidRPr="00B22D52" w:rsidRDefault="0014301B" w:rsidP="00B22D52">
      <w:pPr>
        <w:pStyle w:val="ListBullet"/>
      </w:pPr>
      <w:hyperlink r:id="rId30" w:history="1">
        <w:r w:rsidRPr="00B22D52">
          <w:rPr>
            <w:rStyle w:val="Hyperlink"/>
          </w:rPr>
          <w:t>Indigenous Areas</w:t>
        </w:r>
      </w:hyperlink>
      <w:r w:rsidRPr="00B22D52">
        <w:t xml:space="preserve"> (IARE)</w:t>
      </w:r>
    </w:p>
    <w:p w14:paraId="5E52655E" w14:textId="6AD29021" w:rsidR="004D3E51" w:rsidRPr="00B22D52" w:rsidRDefault="004D3E51" w:rsidP="00B22D52">
      <w:r w:rsidRPr="00B22D52">
        <w:t xml:space="preserve">Further information on the ASGS and Census data </w:t>
      </w:r>
      <w:r w:rsidR="53234FFD" w:rsidRPr="00B22D52">
        <w:t xml:space="preserve">is </w:t>
      </w:r>
      <w:r w:rsidRPr="00B22D52">
        <w:t xml:space="preserve">available on the </w:t>
      </w:r>
      <w:hyperlink r:id="rId31">
        <w:r w:rsidRPr="00B22D52">
          <w:rPr>
            <w:rStyle w:val="Hyperlink"/>
          </w:rPr>
          <w:t>ABS website</w:t>
        </w:r>
      </w:hyperlink>
      <w:r w:rsidRPr="00B22D52">
        <w:t>.</w:t>
      </w:r>
    </w:p>
    <w:p w14:paraId="69156CF1" w14:textId="0A0DD5BD" w:rsidR="00E30F75" w:rsidRPr="00B22D52" w:rsidRDefault="007A512D" w:rsidP="00B22D52">
      <w:r w:rsidRPr="00B22D52">
        <w:t>Notifications</w:t>
      </w:r>
      <w:r w:rsidR="00C24FBC" w:rsidRPr="00B22D52">
        <w:t xml:space="preserve"> are mapped </w:t>
      </w:r>
      <w:r w:rsidRPr="00B22D52">
        <w:t xml:space="preserve">to </w:t>
      </w:r>
      <w:r w:rsidR="00C24FBC" w:rsidRPr="00B22D52">
        <w:t xml:space="preserve">the respective geographical regions using the postcode of </w:t>
      </w:r>
      <w:r w:rsidRPr="00B22D52">
        <w:t>residence. As there is no precise one</w:t>
      </w:r>
      <w:r w:rsidR="673F4AB0" w:rsidRPr="00B22D52">
        <w:t>-</w:t>
      </w:r>
      <w:r w:rsidRPr="00B22D52">
        <w:t>to</w:t>
      </w:r>
      <w:r w:rsidR="68B7C970" w:rsidRPr="00B22D52">
        <w:t>-</w:t>
      </w:r>
      <w:r w:rsidRPr="00B22D52">
        <w:t xml:space="preserve">one conversion from postcode to </w:t>
      </w:r>
      <w:r w:rsidR="00E30F75" w:rsidRPr="00B22D52">
        <w:t xml:space="preserve">SA3, RA and IARE, an ABS correspondence </w:t>
      </w:r>
      <w:r w:rsidR="0084449F" w:rsidRPr="00B22D52">
        <w:t xml:space="preserve">file is used to determine the </w:t>
      </w:r>
      <w:r w:rsidR="004D3E51" w:rsidRPr="00B22D52">
        <w:t xml:space="preserve">respective </w:t>
      </w:r>
      <w:r w:rsidR="0084449F" w:rsidRPr="00B22D52">
        <w:t xml:space="preserve">geographical area </w:t>
      </w:r>
      <w:r w:rsidR="004D3E51" w:rsidRPr="00B22D52">
        <w:t>which has the highest proportion identified to a single postcode.</w:t>
      </w:r>
      <w:r w:rsidR="002220EA" w:rsidRPr="00B22D52">
        <w:t xml:space="preserve"> </w:t>
      </w:r>
      <w:r w:rsidR="00D620C7" w:rsidRPr="00B22D52">
        <w:t xml:space="preserve">Postcode of residence </w:t>
      </w:r>
      <w:r w:rsidR="002220EA" w:rsidRPr="00B22D52">
        <w:t>usually reflects the residential location of a case at the time of testing and</w:t>
      </w:r>
      <w:r w:rsidR="000F734D" w:rsidRPr="00B22D52">
        <w:t xml:space="preserve"> will not always in</w:t>
      </w:r>
      <w:r w:rsidR="002248E8" w:rsidRPr="00B22D52">
        <w:t xml:space="preserve">dicate </w:t>
      </w:r>
      <w:r w:rsidR="002220EA" w:rsidRPr="00B22D52">
        <w:t>the place where the disease was acquire</w:t>
      </w:r>
      <w:r w:rsidR="00D620C7" w:rsidRPr="00B22D52">
        <w:t>d.</w:t>
      </w:r>
    </w:p>
    <w:p w14:paraId="69B09A5D" w14:textId="77777777" w:rsidR="005B0DA2" w:rsidRPr="00CF271F" w:rsidRDefault="005B0DA2" w:rsidP="00CF271F">
      <w:pPr>
        <w:pStyle w:val="Heading3"/>
      </w:pPr>
      <w:r w:rsidRPr="00CF271F">
        <w:lastRenderedPageBreak/>
        <w:t>Reporting against indicators</w:t>
      </w:r>
    </w:p>
    <w:p w14:paraId="371ECE6F" w14:textId="2929E447" w:rsidR="008F1C00" w:rsidRPr="008333C9" w:rsidRDefault="00CD05C2" w:rsidP="00207F8A">
      <w:pPr>
        <w:pStyle w:val="Tableheadings"/>
      </w:pPr>
      <w:r>
        <w:t xml:space="preserve">2.1 </w:t>
      </w:r>
      <w:r w:rsidR="008F1C00" w:rsidRPr="008333C9">
        <w:t>Notification rate of infectious syphilis by Indigenous status, sex, age and remoteness area</w:t>
      </w:r>
      <w:r w:rsidR="00D6607B" w:rsidRPr="00D6607B">
        <w:rPr>
          <w:vertAlign w:val="superscript"/>
        </w:rPr>
        <w:fldChar w:fldCharType="begin"/>
      </w:r>
      <w:r w:rsidR="00D6607B" w:rsidRPr="00D6607B">
        <w:rPr>
          <w:vertAlign w:val="superscript"/>
        </w:rPr>
        <w:instrText xml:space="preserve"> NOTEREF _Ref204154426 \h </w:instrText>
      </w:r>
      <w:r w:rsidR="00D6607B">
        <w:rPr>
          <w:vertAlign w:val="superscript"/>
        </w:rPr>
        <w:instrText xml:space="preserve"> \* MERGEFORMAT </w:instrText>
      </w:r>
      <w:r w:rsidR="00D6607B" w:rsidRPr="00D6607B">
        <w:rPr>
          <w:vertAlign w:val="superscript"/>
        </w:rPr>
      </w:r>
      <w:r w:rsidR="00D6607B" w:rsidRPr="00D6607B">
        <w:rPr>
          <w:vertAlign w:val="superscript"/>
        </w:rPr>
        <w:fldChar w:fldCharType="separate"/>
      </w:r>
      <w:r w:rsidR="00D6607B" w:rsidRPr="00D6607B">
        <w:rPr>
          <w:vertAlign w:val="superscript"/>
        </w:rPr>
        <w:t>9</w:t>
      </w:r>
      <w:r w:rsidR="00D6607B" w:rsidRPr="00D6607B">
        <w:rPr>
          <w:vertAlign w:val="superscript"/>
        </w:rPr>
        <w:fldChar w:fldCharType="end"/>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4394"/>
        <w:gridCol w:w="1560"/>
        <w:gridCol w:w="1497"/>
      </w:tblGrid>
      <w:tr w:rsidR="008F1C00" w:rsidRPr="00207F8A" w14:paraId="63BA7D3A" w14:textId="77777777" w:rsidTr="00207F8A">
        <w:trPr>
          <w:cnfStyle w:val="100000000000" w:firstRow="1" w:lastRow="0" w:firstColumn="0" w:lastColumn="0" w:oddVBand="0" w:evenVBand="0" w:oddHBand="0" w:evenHBand="0" w:firstRowFirstColumn="0" w:firstRowLastColumn="0" w:lastRowFirstColumn="0" w:lastRowLastColumn="0"/>
          <w:tblHeader/>
        </w:trPr>
        <w:tc>
          <w:tcPr>
            <w:tcW w:w="1555" w:type="dxa"/>
            <w:vAlign w:val="top"/>
          </w:tcPr>
          <w:p w14:paraId="33E23A56" w14:textId="77777777" w:rsidR="008F1C00" w:rsidRPr="00207F8A" w:rsidRDefault="008F1C00" w:rsidP="00207F8A">
            <w:pPr>
              <w:pStyle w:val="Tabletextleft"/>
              <w:rPr>
                <w:b/>
              </w:rPr>
            </w:pPr>
            <w:r w:rsidRPr="00207F8A">
              <w:rPr>
                <w:b/>
              </w:rPr>
              <w:t>Indicator components</w:t>
            </w:r>
          </w:p>
        </w:tc>
        <w:tc>
          <w:tcPr>
            <w:tcW w:w="850" w:type="dxa"/>
            <w:vAlign w:val="top"/>
          </w:tcPr>
          <w:p w14:paraId="08E4D00F" w14:textId="77777777" w:rsidR="008F1C00" w:rsidRPr="00207F8A" w:rsidRDefault="008F1C00" w:rsidP="00207F8A">
            <w:pPr>
              <w:pStyle w:val="Tabletextleft"/>
              <w:rPr>
                <w:b/>
              </w:rPr>
            </w:pPr>
            <w:r w:rsidRPr="00207F8A">
              <w:rPr>
                <w:b/>
              </w:rPr>
              <w:t>Source</w:t>
            </w:r>
          </w:p>
        </w:tc>
        <w:tc>
          <w:tcPr>
            <w:tcW w:w="4394" w:type="dxa"/>
            <w:vAlign w:val="top"/>
          </w:tcPr>
          <w:p w14:paraId="4D0E889E" w14:textId="77777777" w:rsidR="008F1C00" w:rsidRPr="00207F8A" w:rsidRDefault="008F1C00" w:rsidP="00207F8A">
            <w:pPr>
              <w:pStyle w:val="Tabletextleft"/>
              <w:rPr>
                <w:b/>
              </w:rPr>
            </w:pPr>
            <w:r w:rsidRPr="00207F8A">
              <w:rPr>
                <w:b/>
              </w:rPr>
              <w:t>Description</w:t>
            </w:r>
          </w:p>
        </w:tc>
        <w:tc>
          <w:tcPr>
            <w:tcW w:w="1560" w:type="dxa"/>
            <w:vAlign w:val="top"/>
          </w:tcPr>
          <w:p w14:paraId="419C05F1" w14:textId="77777777" w:rsidR="008F1C00" w:rsidRPr="00207F8A" w:rsidRDefault="008F1C00" w:rsidP="00207F8A">
            <w:pPr>
              <w:pStyle w:val="Tabletextleft"/>
              <w:rPr>
                <w:b/>
              </w:rPr>
            </w:pPr>
            <w:r w:rsidRPr="00207F8A">
              <w:rPr>
                <w:b/>
              </w:rPr>
              <w:t>Custodian/</w:t>
            </w:r>
          </w:p>
          <w:p w14:paraId="199CC1A6" w14:textId="77777777" w:rsidR="008F1C00" w:rsidRPr="00207F8A" w:rsidRDefault="008F1C00" w:rsidP="00207F8A">
            <w:pPr>
              <w:pStyle w:val="Tabletextleft"/>
              <w:rPr>
                <w:b/>
              </w:rPr>
            </w:pPr>
            <w:r w:rsidRPr="00207F8A">
              <w:rPr>
                <w:b/>
              </w:rPr>
              <w:t>stakeholder</w:t>
            </w:r>
          </w:p>
        </w:tc>
        <w:tc>
          <w:tcPr>
            <w:tcW w:w="1497" w:type="dxa"/>
            <w:vAlign w:val="top"/>
          </w:tcPr>
          <w:p w14:paraId="2DBDC1A4" w14:textId="77777777" w:rsidR="008F1C00" w:rsidRPr="00207F8A" w:rsidRDefault="008F1C00" w:rsidP="00207F8A">
            <w:pPr>
              <w:pStyle w:val="Tabletextleft"/>
              <w:rPr>
                <w:b/>
              </w:rPr>
            </w:pPr>
            <w:r w:rsidRPr="00207F8A">
              <w:rPr>
                <w:b/>
              </w:rPr>
              <w:t>Availability of data for reporting</w:t>
            </w:r>
          </w:p>
        </w:tc>
      </w:tr>
      <w:tr w:rsidR="008F1C00" w:rsidRPr="00207F8A" w14:paraId="67E86D20" w14:textId="77777777" w:rsidTr="00207F8A">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0463134F" w14:textId="77777777" w:rsidR="008F1C00" w:rsidRPr="00207F8A" w:rsidRDefault="008F1C00" w:rsidP="00207F8A">
            <w:pPr>
              <w:pStyle w:val="Tabletextleft"/>
              <w:rPr>
                <w:b/>
              </w:rPr>
            </w:pPr>
            <w:r w:rsidRPr="00207F8A">
              <w:rPr>
                <w:b/>
              </w:rPr>
              <w:t>Indigenous</w:t>
            </w:r>
          </w:p>
        </w:tc>
      </w:tr>
      <w:tr w:rsidR="008F1C00" w:rsidRPr="00207F8A" w14:paraId="5F7B1D4C" w14:textId="77777777" w:rsidTr="00207F8A">
        <w:tc>
          <w:tcPr>
            <w:tcW w:w="1555" w:type="dxa"/>
            <w:vAlign w:val="top"/>
          </w:tcPr>
          <w:p w14:paraId="5AAF6400" w14:textId="77777777" w:rsidR="008F1C00" w:rsidRPr="00207F8A" w:rsidRDefault="008F1C00" w:rsidP="00207F8A">
            <w:pPr>
              <w:pStyle w:val="Tabletextleft"/>
              <w:rPr>
                <w:b/>
              </w:rPr>
            </w:pPr>
            <w:r w:rsidRPr="00207F8A">
              <w:rPr>
                <w:b/>
              </w:rPr>
              <w:t>Numerator</w:t>
            </w:r>
          </w:p>
        </w:tc>
        <w:tc>
          <w:tcPr>
            <w:tcW w:w="850" w:type="dxa"/>
            <w:vAlign w:val="top"/>
          </w:tcPr>
          <w:p w14:paraId="159C4C1D" w14:textId="77777777" w:rsidR="008F1C00" w:rsidRPr="00207F8A" w:rsidRDefault="008F1C00" w:rsidP="00207F8A">
            <w:r w:rsidRPr="00207F8A">
              <w:t>NNDSS</w:t>
            </w:r>
          </w:p>
        </w:tc>
        <w:tc>
          <w:tcPr>
            <w:tcW w:w="4394" w:type="dxa"/>
            <w:vAlign w:val="top"/>
          </w:tcPr>
          <w:p w14:paraId="2820AE88" w14:textId="1C166F15" w:rsidR="008F1C00" w:rsidRPr="00207F8A" w:rsidRDefault="008F1C00" w:rsidP="00207F8A">
            <w:r w:rsidRPr="00207F8A">
              <w:t>Number of infectious syphilis notifications reported in Indigenous people by age, sex and remoteness area</w:t>
            </w:r>
            <w:r w:rsidR="00371A65" w:rsidRPr="00207F8A">
              <w:t xml:space="preserve"> classification</w:t>
            </w:r>
          </w:p>
        </w:tc>
        <w:tc>
          <w:tcPr>
            <w:tcW w:w="1560" w:type="dxa"/>
            <w:vAlign w:val="top"/>
          </w:tcPr>
          <w:p w14:paraId="08D46184" w14:textId="77777777" w:rsidR="008F1C00" w:rsidRPr="00207F8A" w:rsidRDefault="00C13F86" w:rsidP="00207F8A">
            <w:r w:rsidRPr="00207F8A">
              <w:t>Australian Centre for Disease Control</w:t>
            </w:r>
          </w:p>
        </w:tc>
        <w:tc>
          <w:tcPr>
            <w:tcW w:w="1497" w:type="dxa"/>
            <w:vAlign w:val="top"/>
          </w:tcPr>
          <w:p w14:paraId="56ADAAB7" w14:textId="77777777" w:rsidR="008F1C00" w:rsidRPr="00207F8A" w:rsidRDefault="008F1C00" w:rsidP="00207F8A">
            <w:r w:rsidRPr="00207F8A">
              <w:t>Quarterly</w:t>
            </w:r>
          </w:p>
        </w:tc>
      </w:tr>
      <w:tr w:rsidR="008F1C00" w:rsidRPr="00207F8A" w14:paraId="3EE5A380" w14:textId="77777777" w:rsidTr="00207F8A">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11FDF41" w14:textId="77777777" w:rsidR="008F1C00" w:rsidRPr="00207F8A" w:rsidRDefault="008F1C00" w:rsidP="00207F8A">
            <w:pPr>
              <w:pStyle w:val="Tabletextleft"/>
              <w:rPr>
                <w:b/>
              </w:rPr>
            </w:pPr>
            <w:r w:rsidRPr="00207F8A">
              <w:rPr>
                <w:b/>
              </w:rPr>
              <w:t>Denominator</w:t>
            </w:r>
          </w:p>
        </w:tc>
        <w:tc>
          <w:tcPr>
            <w:tcW w:w="85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EC470A5" w14:textId="77777777" w:rsidR="008F1C00" w:rsidRPr="00207F8A" w:rsidRDefault="008F1C00" w:rsidP="00207F8A">
            <w:r w:rsidRPr="00207F8A">
              <w:t>ABS</w:t>
            </w:r>
          </w:p>
        </w:tc>
        <w:tc>
          <w:tcPr>
            <w:tcW w:w="439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1222DFA" w14:textId="74874D24" w:rsidR="008F1C00" w:rsidRPr="00207F8A" w:rsidRDefault="008F1C00" w:rsidP="00207F8A">
            <w:r w:rsidRPr="00207F8A">
              <w:t xml:space="preserve">Indigenous population estimates </w:t>
            </w:r>
            <w:r w:rsidR="7D80D056" w:rsidRPr="00207F8A">
              <w:t xml:space="preserve">of </w:t>
            </w:r>
            <w:r w:rsidRPr="00207F8A">
              <w:t>age, sex and remoteness area</w:t>
            </w:r>
            <w:r w:rsidR="00371A65" w:rsidRPr="00207F8A">
              <w:t xml:space="preserve"> classification</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74AA6F6" w14:textId="77777777" w:rsidR="008F1C00" w:rsidRPr="00207F8A" w:rsidRDefault="008F1C00" w:rsidP="00207F8A">
            <w:r w:rsidRPr="00207F8A">
              <w:t>Australian Bureau of Statistics</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5F40EB9" w14:textId="77777777" w:rsidR="008F1C00" w:rsidRPr="00207F8A" w:rsidRDefault="008F1C00" w:rsidP="00207F8A">
            <w:r w:rsidRPr="00207F8A">
              <w:t>Annually</w:t>
            </w:r>
          </w:p>
        </w:tc>
      </w:tr>
      <w:tr w:rsidR="008F1C00" w:rsidRPr="00207F8A" w14:paraId="418D8763" w14:textId="77777777" w:rsidTr="00207F8A">
        <w:tc>
          <w:tcPr>
            <w:tcW w:w="9856" w:type="dxa"/>
            <w:gridSpan w:val="5"/>
            <w:shd w:val="clear" w:color="auto" w:fill="BEFEE9"/>
            <w:vAlign w:val="top"/>
          </w:tcPr>
          <w:p w14:paraId="0ABE4C9B" w14:textId="77777777" w:rsidR="008F1C00" w:rsidRPr="00207F8A" w:rsidRDefault="008F1C00" w:rsidP="00207F8A">
            <w:pPr>
              <w:pStyle w:val="Tabletextleft"/>
              <w:rPr>
                <w:b/>
              </w:rPr>
            </w:pPr>
            <w:r w:rsidRPr="00207F8A">
              <w:rPr>
                <w:b/>
              </w:rPr>
              <w:t>Non-Indigenous</w:t>
            </w:r>
          </w:p>
        </w:tc>
      </w:tr>
      <w:tr w:rsidR="008F1C00" w:rsidRPr="00207F8A" w14:paraId="74BA1822" w14:textId="77777777" w:rsidTr="00207F8A">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D8FB9D4" w14:textId="77777777" w:rsidR="008F1C00" w:rsidRPr="00207F8A" w:rsidRDefault="008F1C00" w:rsidP="00207F8A">
            <w:pPr>
              <w:pStyle w:val="Tabletextleft"/>
              <w:rPr>
                <w:b/>
              </w:rPr>
            </w:pPr>
            <w:r w:rsidRPr="00207F8A">
              <w:rPr>
                <w:b/>
              </w:rPr>
              <w:t>Numerator</w:t>
            </w:r>
          </w:p>
        </w:tc>
        <w:tc>
          <w:tcPr>
            <w:tcW w:w="85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DD8E431" w14:textId="77777777" w:rsidR="008F1C00" w:rsidRPr="00207F8A" w:rsidRDefault="008F1C00" w:rsidP="00207F8A">
            <w:r w:rsidRPr="00207F8A">
              <w:t>NNDSS</w:t>
            </w:r>
          </w:p>
        </w:tc>
        <w:tc>
          <w:tcPr>
            <w:tcW w:w="439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4B6EE1D" w14:textId="0C6F1F6C" w:rsidR="008F1C00" w:rsidRPr="00207F8A" w:rsidRDefault="008F1C00" w:rsidP="00207F8A">
            <w:r w:rsidRPr="00207F8A">
              <w:t>Number of infectious syphilis notifications reported in non-Indigenous people by age, sex and remoteness area</w:t>
            </w:r>
            <w:r w:rsidR="00371A65" w:rsidRPr="00207F8A">
              <w:t xml:space="preserve"> classification</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8D99EDC" w14:textId="77777777" w:rsidR="008F1C00" w:rsidRPr="00207F8A" w:rsidRDefault="00C13F86" w:rsidP="00207F8A">
            <w:r w:rsidRPr="00207F8A">
              <w:t>Australian Centre for Disease Control</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FB02CF9" w14:textId="77777777" w:rsidR="008F1C00" w:rsidRPr="00207F8A" w:rsidRDefault="008F1C00" w:rsidP="00207F8A">
            <w:r w:rsidRPr="00207F8A">
              <w:t>Quarterly</w:t>
            </w:r>
          </w:p>
        </w:tc>
      </w:tr>
      <w:tr w:rsidR="008F1C00" w:rsidRPr="00207F8A" w14:paraId="6EE97FD7" w14:textId="77777777" w:rsidTr="00207F8A">
        <w:tc>
          <w:tcPr>
            <w:tcW w:w="1555" w:type="dxa"/>
            <w:vAlign w:val="top"/>
          </w:tcPr>
          <w:p w14:paraId="223CBBBA" w14:textId="77777777" w:rsidR="008F1C00" w:rsidRPr="00207F8A" w:rsidRDefault="008F1C00" w:rsidP="00207F8A">
            <w:pPr>
              <w:pStyle w:val="Tabletextleft"/>
              <w:rPr>
                <w:b/>
              </w:rPr>
            </w:pPr>
            <w:r w:rsidRPr="00207F8A">
              <w:rPr>
                <w:b/>
              </w:rPr>
              <w:t>Denominator</w:t>
            </w:r>
          </w:p>
        </w:tc>
        <w:tc>
          <w:tcPr>
            <w:tcW w:w="850" w:type="dxa"/>
            <w:vAlign w:val="top"/>
          </w:tcPr>
          <w:p w14:paraId="0EFA8D4A" w14:textId="77777777" w:rsidR="008F1C00" w:rsidRPr="00207F8A" w:rsidRDefault="008F1C00" w:rsidP="00207F8A">
            <w:r w:rsidRPr="00207F8A">
              <w:t>ABS</w:t>
            </w:r>
          </w:p>
        </w:tc>
        <w:tc>
          <w:tcPr>
            <w:tcW w:w="4394" w:type="dxa"/>
            <w:vAlign w:val="top"/>
          </w:tcPr>
          <w:p w14:paraId="3D0B04A2" w14:textId="339FE315" w:rsidR="008F1C00" w:rsidRPr="00207F8A" w:rsidRDefault="008F1C00" w:rsidP="00207F8A">
            <w:r w:rsidRPr="00207F8A">
              <w:t xml:space="preserve">Non-Indigenous population estimates </w:t>
            </w:r>
            <w:r w:rsidR="70CDB96C" w:rsidRPr="00207F8A">
              <w:t xml:space="preserve">of </w:t>
            </w:r>
            <w:r w:rsidRPr="00207F8A">
              <w:t>age, sex and remoteness area</w:t>
            </w:r>
            <w:r w:rsidR="00371A65" w:rsidRPr="00207F8A">
              <w:t xml:space="preserve"> classification</w:t>
            </w:r>
          </w:p>
        </w:tc>
        <w:tc>
          <w:tcPr>
            <w:tcW w:w="1560" w:type="dxa"/>
            <w:vAlign w:val="top"/>
          </w:tcPr>
          <w:p w14:paraId="6ABD8FE5" w14:textId="77777777" w:rsidR="008F1C00" w:rsidRPr="00207F8A" w:rsidRDefault="008F1C00" w:rsidP="00207F8A">
            <w:r w:rsidRPr="00207F8A">
              <w:t>Australian Bureau of Statistics</w:t>
            </w:r>
          </w:p>
        </w:tc>
        <w:tc>
          <w:tcPr>
            <w:tcW w:w="1497" w:type="dxa"/>
            <w:vAlign w:val="top"/>
          </w:tcPr>
          <w:p w14:paraId="05462441" w14:textId="77777777" w:rsidR="008F1C00" w:rsidRPr="00207F8A" w:rsidRDefault="008F1C00" w:rsidP="00207F8A">
            <w:r w:rsidRPr="00207F8A">
              <w:t>Annually</w:t>
            </w:r>
          </w:p>
        </w:tc>
      </w:tr>
    </w:tbl>
    <w:p w14:paraId="31CFE93C" w14:textId="77777777" w:rsidR="00D6607B" w:rsidRPr="00207F8A" w:rsidRDefault="00D6607B" w:rsidP="00207F8A">
      <w:r w:rsidRPr="00207F8A">
        <w:br w:type="page"/>
      </w:r>
    </w:p>
    <w:p w14:paraId="69356315" w14:textId="111D72F5" w:rsidR="002D3309" w:rsidRPr="000C5A77" w:rsidRDefault="002D3309" w:rsidP="00207F8A">
      <w:pPr>
        <w:pStyle w:val="Tableheadings"/>
      </w:pPr>
      <w:r>
        <w:lastRenderedPageBreak/>
        <w:t xml:space="preserve">2.2 </w:t>
      </w:r>
      <w:r w:rsidRPr="000C5A77">
        <w:t>Notification rate of infectious syphilis in Aboriginal and Torres Strait Islander people by Indigenous Areas (IAREs)</w:t>
      </w:r>
      <w:r w:rsidR="00067337">
        <w:t xml:space="preserve"> – </w:t>
      </w:r>
      <w:r w:rsidR="00067337" w:rsidRPr="00067337">
        <w:rPr>
          <w:i/>
          <w:iCs/>
        </w:rPr>
        <w:t>mapped output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18"/>
        <w:gridCol w:w="4394"/>
        <w:gridCol w:w="1560"/>
        <w:gridCol w:w="1497"/>
      </w:tblGrid>
      <w:tr w:rsidR="002D3309" w:rsidRPr="00207F8A" w14:paraId="77ACECC0" w14:textId="77777777" w:rsidTr="00207F8A">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40271EA1" w14:textId="77777777" w:rsidR="002D3309" w:rsidRPr="00207F8A" w:rsidRDefault="002D3309" w:rsidP="00207F8A">
            <w:pPr>
              <w:pStyle w:val="Tabletextleft"/>
              <w:rPr>
                <w:b/>
              </w:rPr>
            </w:pPr>
            <w:r w:rsidRPr="00207F8A">
              <w:rPr>
                <w:b/>
              </w:rPr>
              <w:t>Indicator components</w:t>
            </w:r>
          </w:p>
        </w:tc>
        <w:tc>
          <w:tcPr>
            <w:tcW w:w="688" w:type="dxa"/>
            <w:vAlign w:val="top"/>
          </w:tcPr>
          <w:p w14:paraId="37CEE5F3" w14:textId="77777777" w:rsidR="002D3309" w:rsidRPr="00207F8A" w:rsidRDefault="002D3309" w:rsidP="00207F8A">
            <w:pPr>
              <w:pStyle w:val="Tabletextleft"/>
              <w:rPr>
                <w:b/>
              </w:rPr>
            </w:pPr>
            <w:r w:rsidRPr="00207F8A">
              <w:rPr>
                <w:b/>
              </w:rPr>
              <w:t>Source</w:t>
            </w:r>
          </w:p>
        </w:tc>
        <w:tc>
          <w:tcPr>
            <w:tcW w:w="4394" w:type="dxa"/>
            <w:vAlign w:val="top"/>
          </w:tcPr>
          <w:p w14:paraId="17585E7E" w14:textId="77777777" w:rsidR="002D3309" w:rsidRPr="00207F8A" w:rsidRDefault="002D3309" w:rsidP="00207F8A">
            <w:pPr>
              <w:pStyle w:val="Tabletextleft"/>
              <w:rPr>
                <w:b/>
              </w:rPr>
            </w:pPr>
            <w:r w:rsidRPr="00207F8A">
              <w:rPr>
                <w:b/>
              </w:rPr>
              <w:t>Description</w:t>
            </w:r>
          </w:p>
        </w:tc>
        <w:tc>
          <w:tcPr>
            <w:tcW w:w="1560" w:type="dxa"/>
            <w:vAlign w:val="top"/>
          </w:tcPr>
          <w:p w14:paraId="342DB8A1" w14:textId="77777777" w:rsidR="002D3309" w:rsidRPr="00207F8A" w:rsidRDefault="002D3309" w:rsidP="00207F8A">
            <w:pPr>
              <w:pStyle w:val="Tabletextleft"/>
              <w:rPr>
                <w:b/>
              </w:rPr>
            </w:pPr>
            <w:r w:rsidRPr="00207F8A">
              <w:rPr>
                <w:b/>
              </w:rPr>
              <w:t>Custodian/</w:t>
            </w:r>
          </w:p>
          <w:p w14:paraId="5910BC72" w14:textId="77777777" w:rsidR="002D3309" w:rsidRPr="00207F8A" w:rsidRDefault="002D3309" w:rsidP="00207F8A">
            <w:pPr>
              <w:pStyle w:val="Tabletextleft"/>
              <w:rPr>
                <w:b/>
              </w:rPr>
            </w:pPr>
            <w:r w:rsidRPr="00207F8A">
              <w:rPr>
                <w:b/>
              </w:rPr>
              <w:t>stakeholder</w:t>
            </w:r>
          </w:p>
        </w:tc>
        <w:tc>
          <w:tcPr>
            <w:tcW w:w="1497" w:type="dxa"/>
            <w:vAlign w:val="top"/>
          </w:tcPr>
          <w:p w14:paraId="721A57F3" w14:textId="77777777" w:rsidR="002D3309" w:rsidRPr="00207F8A" w:rsidRDefault="002D3309" w:rsidP="00207F8A">
            <w:pPr>
              <w:pStyle w:val="Tabletextleft"/>
              <w:rPr>
                <w:b/>
              </w:rPr>
            </w:pPr>
            <w:r w:rsidRPr="00207F8A">
              <w:rPr>
                <w:b/>
              </w:rPr>
              <w:t>Availability of data for reporting</w:t>
            </w:r>
          </w:p>
        </w:tc>
      </w:tr>
      <w:tr w:rsidR="002D3309" w:rsidRPr="00207F8A" w14:paraId="735AE88F" w14:textId="77777777" w:rsidTr="00207F8A">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0037C1C" w14:textId="77777777" w:rsidR="002D3309" w:rsidRPr="00207F8A" w:rsidRDefault="002D3309" w:rsidP="00207F8A">
            <w:pPr>
              <w:pStyle w:val="Tabletextleft"/>
              <w:rPr>
                <w:b/>
              </w:rPr>
            </w:pPr>
            <w:r w:rsidRPr="00207F8A">
              <w:rPr>
                <w:b/>
              </w:rPr>
              <w:t>Numerator</w:t>
            </w:r>
          </w:p>
        </w:tc>
        <w:tc>
          <w:tcPr>
            <w:tcW w:w="68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0BD0979" w14:textId="77777777" w:rsidR="002D3309" w:rsidRPr="00207F8A" w:rsidRDefault="002D3309" w:rsidP="00207F8A">
            <w:r w:rsidRPr="00207F8A">
              <w:t>NNDSS</w:t>
            </w:r>
          </w:p>
        </w:tc>
        <w:tc>
          <w:tcPr>
            <w:tcW w:w="439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F2155DA" w14:textId="77777777" w:rsidR="002D3309" w:rsidRPr="00207F8A" w:rsidRDefault="002D3309" w:rsidP="00207F8A">
            <w:r w:rsidRPr="00207F8A">
              <w:t>Number of infectious syphilis notifications reported in Indigenous people, by IAREs</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CE75F71" w14:textId="77777777" w:rsidR="002D3309" w:rsidRPr="00207F8A" w:rsidRDefault="002D3309" w:rsidP="00207F8A">
            <w:r w:rsidRPr="00207F8A">
              <w:t>Australian Centre for Disease Control</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3454452" w14:textId="77777777" w:rsidR="002D3309" w:rsidRPr="00207F8A" w:rsidRDefault="002D3309" w:rsidP="00207F8A">
            <w:r w:rsidRPr="00207F8A">
              <w:t>Quarterly</w:t>
            </w:r>
          </w:p>
        </w:tc>
      </w:tr>
      <w:tr w:rsidR="00004439" w:rsidRPr="00207F8A" w14:paraId="21F0D326" w14:textId="77777777" w:rsidTr="00207F8A">
        <w:trPr>
          <w:trHeight w:val="948"/>
        </w:trPr>
        <w:tc>
          <w:tcPr>
            <w:tcW w:w="0" w:type="auto"/>
            <w:vAlign w:val="top"/>
          </w:tcPr>
          <w:p w14:paraId="0198AFF0" w14:textId="77777777" w:rsidR="002D3309" w:rsidRPr="00207F8A" w:rsidRDefault="002D3309" w:rsidP="00207F8A">
            <w:pPr>
              <w:pStyle w:val="Tabletextleft"/>
              <w:rPr>
                <w:b/>
              </w:rPr>
            </w:pPr>
            <w:r w:rsidRPr="00207F8A">
              <w:rPr>
                <w:b/>
              </w:rPr>
              <w:t>Denominator</w:t>
            </w:r>
          </w:p>
        </w:tc>
        <w:tc>
          <w:tcPr>
            <w:tcW w:w="688" w:type="dxa"/>
            <w:vAlign w:val="top"/>
          </w:tcPr>
          <w:p w14:paraId="59A23293" w14:textId="77777777" w:rsidR="002D3309" w:rsidRPr="00207F8A" w:rsidRDefault="002D3309" w:rsidP="00207F8A">
            <w:r w:rsidRPr="00207F8A">
              <w:t>ABS</w:t>
            </w:r>
          </w:p>
        </w:tc>
        <w:tc>
          <w:tcPr>
            <w:tcW w:w="4394" w:type="dxa"/>
            <w:vAlign w:val="top"/>
          </w:tcPr>
          <w:p w14:paraId="3E7B0792" w14:textId="77777777" w:rsidR="002D3309" w:rsidRPr="00207F8A" w:rsidRDefault="002D3309" w:rsidP="00207F8A">
            <w:r w:rsidRPr="00207F8A">
              <w:t>Population estimates for Indigenous people, by IAREs</w:t>
            </w:r>
          </w:p>
        </w:tc>
        <w:tc>
          <w:tcPr>
            <w:tcW w:w="1560" w:type="dxa"/>
            <w:vAlign w:val="top"/>
          </w:tcPr>
          <w:p w14:paraId="10DE4D00" w14:textId="77777777" w:rsidR="002D3309" w:rsidRPr="00207F8A" w:rsidRDefault="002D3309" w:rsidP="00207F8A">
            <w:r w:rsidRPr="00207F8A">
              <w:t>Australian Bureau of Statistics</w:t>
            </w:r>
          </w:p>
        </w:tc>
        <w:tc>
          <w:tcPr>
            <w:tcW w:w="1497" w:type="dxa"/>
            <w:vAlign w:val="top"/>
          </w:tcPr>
          <w:p w14:paraId="3B3CAE20" w14:textId="77777777" w:rsidR="002D3309" w:rsidRPr="00207F8A" w:rsidRDefault="002D3309" w:rsidP="00207F8A">
            <w:r w:rsidRPr="00207F8A">
              <w:t>Annually</w:t>
            </w:r>
          </w:p>
        </w:tc>
      </w:tr>
    </w:tbl>
    <w:p w14:paraId="6A3B0F95" w14:textId="125CB31A" w:rsidR="00067337" w:rsidRPr="002B242E" w:rsidRDefault="00067337" w:rsidP="00207F8A">
      <w:pPr>
        <w:pStyle w:val="Tableheadings"/>
      </w:pPr>
      <w:r w:rsidRPr="002B242E">
        <w:t xml:space="preserve">2.3 Notification rate of infectious syphilis </w:t>
      </w:r>
      <w:r w:rsidR="00127D25" w:rsidRPr="002B242E">
        <w:t>by Statistical Area 3 (SA3), by Indigenous status</w:t>
      </w:r>
      <w:r w:rsidR="002B242E" w:rsidRPr="002B242E">
        <w:t xml:space="preserve"> – </w:t>
      </w:r>
      <w:r w:rsidR="002B242E" w:rsidRPr="002B242E">
        <w:rPr>
          <w:i/>
          <w:iCs/>
        </w:rPr>
        <w:t>mapped output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933"/>
        <w:gridCol w:w="4523"/>
        <w:gridCol w:w="1422"/>
        <w:gridCol w:w="1492"/>
      </w:tblGrid>
      <w:tr w:rsidR="002B242E" w:rsidRPr="00207F8A" w14:paraId="657AE814" w14:textId="77777777" w:rsidTr="00207F8A">
        <w:trPr>
          <w:cnfStyle w:val="100000000000" w:firstRow="1" w:lastRow="0" w:firstColumn="0" w:lastColumn="0" w:oddVBand="0" w:evenVBand="0" w:oddHBand="0" w:evenHBand="0" w:firstRowFirstColumn="0" w:firstRowLastColumn="0" w:lastRowFirstColumn="0" w:lastRowLastColumn="0"/>
          <w:tblHeader/>
        </w:trPr>
        <w:tc>
          <w:tcPr>
            <w:tcW w:w="1471" w:type="dxa"/>
            <w:vAlign w:val="top"/>
          </w:tcPr>
          <w:p w14:paraId="166F5C5E" w14:textId="77777777" w:rsidR="002B242E" w:rsidRPr="00207F8A" w:rsidRDefault="002B242E" w:rsidP="00207F8A">
            <w:pPr>
              <w:pStyle w:val="Tabletextleft"/>
              <w:rPr>
                <w:b/>
              </w:rPr>
            </w:pPr>
            <w:r w:rsidRPr="00207F8A">
              <w:rPr>
                <w:b/>
              </w:rPr>
              <w:t>Indicator components</w:t>
            </w:r>
          </w:p>
        </w:tc>
        <w:tc>
          <w:tcPr>
            <w:tcW w:w="934" w:type="dxa"/>
            <w:vAlign w:val="top"/>
          </w:tcPr>
          <w:p w14:paraId="4937467C" w14:textId="77777777" w:rsidR="002B242E" w:rsidRPr="00207F8A" w:rsidRDefault="002B242E" w:rsidP="00207F8A">
            <w:pPr>
              <w:pStyle w:val="Tabletextleft"/>
              <w:rPr>
                <w:b/>
              </w:rPr>
            </w:pPr>
            <w:r w:rsidRPr="00207F8A">
              <w:rPr>
                <w:b/>
              </w:rPr>
              <w:t>Source</w:t>
            </w:r>
          </w:p>
        </w:tc>
        <w:tc>
          <w:tcPr>
            <w:tcW w:w="4536" w:type="dxa"/>
            <w:vAlign w:val="top"/>
          </w:tcPr>
          <w:p w14:paraId="6897CFB2" w14:textId="77777777" w:rsidR="002B242E" w:rsidRPr="00207F8A" w:rsidRDefault="002B242E" w:rsidP="00207F8A">
            <w:pPr>
              <w:pStyle w:val="Tabletextleft"/>
              <w:rPr>
                <w:b/>
              </w:rPr>
            </w:pPr>
            <w:r w:rsidRPr="00207F8A">
              <w:rPr>
                <w:b/>
              </w:rPr>
              <w:t>Description</w:t>
            </w:r>
          </w:p>
        </w:tc>
        <w:tc>
          <w:tcPr>
            <w:tcW w:w="1422" w:type="dxa"/>
            <w:vAlign w:val="top"/>
          </w:tcPr>
          <w:p w14:paraId="2307D8E6" w14:textId="77777777" w:rsidR="002B242E" w:rsidRPr="00207F8A" w:rsidRDefault="002B242E" w:rsidP="00207F8A">
            <w:pPr>
              <w:pStyle w:val="Tabletextleft"/>
              <w:rPr>
                <w:b/>
              </w:rPr>
            </w:pPr>
            <w:r w:rsidRPr="00207F8A">
              <w:rPr>
                <w:b/>
              </w:rPr>
              <w:t>Custodian/</w:t>
            </w:r>
          </w:p>
          <w:p w14:paraId="7F18C558" w14:textId="77777777" w:rsidR="002B242E" w:rsidRPr="00207F8A" w:rsidRDefault="002B242E" w:rsidP="00207F8A">
            <w:pPr>
              <w:pStyle w:val="Tabletextleft"/>
              <w:rPr>
                <w:b/>
              </w:rPr>
            </w:pPr>
            <w:r w:rsidRPr="00207F8A">
              <w:rPr>
                <w:b/>
              </w:rPr>
              <w:t>stakeholder</w:t>
            </w:r>
          </w:p>
        </w:tc>
        <w:tc>
          <w:tcPr>
            <w:tcW w:w="1493" w:type="dxa"/>
            <w:vAlign w:val="top"/>
          </w:tcPr>
          <w:p w14:paraId="7457C058" w14:textId="77777777" w:rsidR="002B242E" w:rsidRPr="00207F8A" w:rsidRDefault="002B242E" w:rsidP="00207F8A">
            <w:pPr>
              <w:pStyle w:val="Tabletextleft"/>
              <w:rPr>
                <w:b/>
              </w:rPr>
            </w:pPr>
            <w:r w:rsidRPr="00207F8A">
              <w:rPr>
                <w:b/>
              </w:rPr>
              <w:t>Availability of data for reporting</w:t>
            </w:r>
          </w:p>
        </w:tc>
      </w:tr>
      <w:tr w:rsidR="002B242E" w:rsidRPr="00207F8A" w14:paraId="4DCDCF19" w14:textId="77777777" w:rsidTr="00207F8A">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372627B3" w14:textId="77777777" w:rsidR="002B242E" w:rsidRPr="00207F8A" w:rsidRDefault="002B242E" w:rsidP="00207F8A">
            <w:pPr>
              <w:pStyle w:val="Tabletextleft"/>
              <w:rPr>
                <w:b/>
              </w:rPr>
            </w:pPr>
            <w:r w:rsidRPr="00207F8A">
              <w:rPr>
                <w:b/>
              </w:rPr>
              <w:t>Indigenous</w:t>
            </w:r>
          </w:p>
        </w:tc>
      </w:tr>
      <w:tr w:rsidR="002B242E" w:rsidRPr="00207F8A" w14:paraId="52316A98" w14:textId="77777777" w:rsidTr="00207F8A">
        <w:tc>
          <w:tcPr>
            <w:tcW w:w="1471" w:type="dxa"/>
            <w:vAlign w:val="top"/>
          </w:tcPr>
          <w:p w14:paraId="6B8EE073" w14:textId="77777777" w:rsidR="002B242E" w:rsidRPr="00207F8A" w:rsidRDefault="002B242E" w:rsidP="00207F8A">
            <w:pPr>
              <w:pStyle w:val="Tabletextleft"/>
              <w:rPr>
                <w:b/>
              </w:rPr>
            </w:pPr>
            <w:r w:rsidRPr="00207F8A">
              <w:rPr>
                <w:b/>
              </w:rPr>
              <w:t>Numerator</w:t>
            </w:r>
          </w:p>
        </w:tc>
        <w:tc>
          <w:tcPr>
            <w:tcW w:w="934" w:type="dxa"/>
            <w:vAlign w:val="top"/>
          </w:tcPr>
          <w:p w14:paraId="63458AF8" w14:textId="77777777" w:rsidR="002B242E" w:rsidRPr="00207F8A" w:rsidRDefault="002B242E" w:rsidP="00207F8A">
            <w:pPr>
              <w:pStyle w:val="Tabletextleft"/>
            </w:pPr>
            <w:r w:rsidRPr="00207F8A">
              <w:t>NNDSS</w:t>
            </w:r>
          </w:p>
        </w:tc>
        <w:tc>
          <w:tcPr>
            <w:tcW w:w="4536" w:type="dxa"/>
            <w:vAlign w:val="top"/>
          </w:tcPr>
          <w:p w14:paraId="7DF13B35" w14:textId="510E3296" w:rsidR="002B242E" w:rsidRPr="00207F8A" w:rsidRDefault="002B242E" w:rsidP="00207F8A">
            <w:pPr>
              <w:pStyle w:val="Tabletextleft"/>
            </w:pPr>
            <w:r w:rsidRPr="00207F8A">
              <w:t>Number of infectious syphilis notifications reported in Indigenous people by SA3</w:t>
            </w:r>
          </w:p>
        </w:tc>
        <w:tc>
          <w:tcPr>
            <w:tcW w:w="1422" w:type="dxa"/>
            <w:vAlign w:val="top"/>
          </w:tcPr>
          <w:p w14:paraId="2A796EC5" w14:textId="77777777" w:rsidR="002B242E" w:rsidRPr="00207F8A" w:rsidRDefault="002B242E" w:rsidP="00207F8A">
            <w:pPr>
              <w:pStyle w:val="Tabletextleft"/>
            </w:pPr>
            <w:r w:rsidRPr="00207F8A">
              <w:t>Australian Centre for Disease Control</w:t>
            </w:r>
          </w:p>
        </w:tc>
        <w:tc>
          <w:tcPr>
            <w:tcW w:w="1493" w:type="dxa"/>
            <w:vAlign w:val="top"/>
          </w:tcPr>
          <w:p w14:paraId="0F9B41A1" w14:textId="77777777" w:rsidR="002B242E" w:rsidRPr="00207F8A" w:rsidRDefault="002B242E" w:rsidP="00207F8A">
            <w:pPr>
              <w:pStyle w:val="Tabletextleft"/>
            </w:pPr>
            <w:r w:rsidRPr="00207F8A">
              <w:t>Quarterly</w:t>
            </w:r>
          </w:p>
        </w:tc>
      </w:tr>
      <w:tr w:rsidR="002B242E" w:rsidRPr="00207F8A" w14:paraId="04DEF33E" w14:textId="77777777" w:rsidTr="00207F8A">
        <w:trPr>
          <w:cnfStyle w:val="000000100000" w:firstRow="0" w:lastRow="0" w:firstColumn="0" w:lastColumn="0" w:oddVBand="0" w:evenVBand="0" w:oddHBand="1" w:evenHBand="0" w:firstRowFirstColumn="0" w:firstRowLastColumn="0" w:lastRowFirstColumn="0" w:lastRowLastColumn="0"/>
        </w:trPr>
        <w:tc>
          <w:tcPr>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CD33065" w14:textId="77777777" w:rsidR="002B242E" w:rsidRPr="00207F8A" w:rsidRDefault="002B242E" w:rsidP="00207F8A">
            <w:pPr>
              <w:pStyle w:val="Tabletextleft"/>
              <w:rPr>
                <w:b/>
              </w:rPr>
            </w:pPr>
            <w:r w:rsidRPr="00207F8A">
              <w:rPr>
                <w:b/>
              </w:rPr>
              <w:t>Denominator</w:t>
            </w:r>
          </w:p>
        </w:tc>
        <w:tc>
          <w:tcPr>
            <w:tcW w:w="93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CF4711A" w14:textId="77777777" w:rsidR="002B242E" w:rsidRPr="00207F8A" w:rsidRDefault="002B242E" w:rsidP="00207F8A">
            <w:pPr>
              <w:pStyle w:val="Tabletextleft"/>
            </w:pPr>
            <w:r w:rsidRPr="00207F8A">
              <w:t>ABS</w:t>
            </w:r>
          </w:p>
        </w:tc>
        <w:tc>
          <w:tcPr>
            <w:tcW w:w="453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8A3C731" w14:textId="3E29D9A4" w:rsidR="002B242E" w:rsidRPr="00207F8A" w:rsidRDefault="002B242E" w:rsidP="00207F8A">
            <w:pPr>
              <w:pStyle w:val="Tabletextleft"/>
            </w:pPr>
            <w:r w:rsidRPr="00207F8A">
              <w:t>Indigenous population estimates by SA3</w:t>
            </w:r>
          </w:p>
        </w:tc>
        <w:tc>
          <w:tcPr>
            <w:tcW w:w="142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E1D66FD" w14:textId="77777777" w:rsidR="002B242E" w:rsidRPr="00207F8A" w:rsidRDefault="002B242E" w:rsidP="00207F8A">
            <w:pPr>
              <w:pStyle w:val="Tabletextleft"/>
            </w:pPr>
            <w:r w:rsidRPr="00207F8A">
              <w:t>Australian Bureau of Statistics</w:t>
            </w:r>
          </w:p>
        </w:tc>
        <w:tc>
          <w:tcPr>
            <w:tcW w:w="149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904B6A0" w14:textId="77777777" w:rsidR="002B242E" w:rsidRPr="00207F8A" w:rsidRDefault="002B242E" w:rsidP="00207F8A">
            <w:pPr>
              <w:pStyle w:val="Tabletextleft"/>
            </w:pPr>
            <w:r w:rsidRPr="00207F8A">
              <w:t>Annually</w:t>
            </w:r>
          </w:p>
        </w:tc>
      </w:tr>
      <w:tr w:rsidR="002B242E" w:rsidRPr="00207F8A" w14:paraId="6E79EAF2" w14:textId="77777777" w:rsidTr="00207F8A">
        <w:tc>
          <w:tcPr>
            <w:tcW w:w="9856" w:type="dxa"/>
            <w:gridSpan w:val="5"/>
            <w:shd w:val="clear" w:color="auto" w:fill="BEFEE9"/>
            <w:vAlign w:val="top"/>
          </w:tcPr>
          <w:p w14:paraId="78264033" w14:textId="77777777" w:rsidR="002B242E" w:rsidRPr="00207F8A" w:rsidRDefault="002B242E" w:rsidP="00207F8A">
            <w:pPr>
              <w:pStyle w:val="Tabletextleft"/>
              <w:rPr>
                <w:b/>
              </w:rPr>
            </w:pPr>
            <w:r w:rsidRPr="00207F8A">
              <w:rPr>
                <w:b/>
              </w:rPr>
              <w:t>Non-Indigenous</w:t>
            </w:r>
          </w:p>
        </w:tc>
      </w:tr>
      <w:tr w:rsidR="002B242E" w:rsidRPr="00207F8A" w14:paraId="57E3D874" w14:textId="77777777" w:rsidTr="00207F8A">
        <w:trPr>
          <w:cnfStyle w:val="000000100000" w:firstRow="0" w:lastRow="0" w:firstColumn="0" w:lastColumn="0" w:oddVBand="0" w:evenVBand="0" w:oddHBand="1" w:evenHBand="0" w:firstRowFirstColumn="0" w:firstRowLastColumn="0" w:lastRowFirstColumn="0" w:lastRowLastColumn="0"/>
        </w:trPr>
        <w:tc>
          <w:tcPr>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6374105" w14:textId="77777777" w:rsidR="002B242E" w:rsidRPr="00207F8A" w:rsidRDefault="002B242E" w:rsidP="00207F8A">
            <w:pPr>
              <w:pStyle w:val="Tabletextleft"/>
              <w:rPr>
                <w:b/>
              </w:rPr>
            </w:pPr>
            <w:r w:rsidRPr="00207F8A">
              <w:rPr>
                <w:b/>
              </w:rPr>
              <w:t>Numerator</w:t>
            </w:r>
          </w:p>
        </w:tc>
        <w:tc>
          <w:tcPr>
            <w:tcW w:w="93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0C64771" w14:textId="77777777" w:rsidR="002B242E" w:rsidRPr="00207F8A" w:rsidRDefault="002B242E" w:rsidP="00207F8A">
            <w:pPr>
              <w:pStyle w:val="Tabletextleft"/>
            </w:pPr>
            <w:r w:rsidRPr="00207F8A">
              <w:t>NNDSS</w:t>
            </w:r>
          </w:p>
        </w:tc>
        <w:tc>
          <w:tcPr>
            <w:tcW w:w="453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1AF7FBB" w14:textId="3B3ECB6A" w:rsidR="002B242E" w:rsidRPr="00207F8A" w:rsidRDefault="002B242E" w:rsidP="00207F8A">
            <w:pPr>
              <w:pStyle w:val="Tabletextleft"/>
            </w:pPr>
            <w:r w:rsidRPr="00207F8A">
              <w:t>Number of infectious syphilis notifications reported in non-Indigenous people by SA3</w:t>
            </w:r>
          </w:p>
        </w:tc>
        <w:tc>
          <w:tcPr>
            <w:tcW w:w="142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4C42649" w14:textId="77777777" w:rsidR="002B242E" w:rsidRPr="00207F8A" w:rsidRDefault="002B242E" w:rsidP="00207F8A">
            <w:pPr>
              <w:pStyle w:val="Tabletextleft"/>
            </w:pPr>
            <w:r w:rsidRPr="00207F8A">
              <w:t>Australian Centre for Disease Control</w:t>
            </w:r>
          </w:p>
        </w:tc>
        <w:tc>
          <w:tcPr>
            <w:tcW w:w="149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3FDBA61" w14:textId="77777777" w:rsidR="002B242E" w:rsidRPr="00207F8A" w:rsidRDefault="002B242E" w:rsidP="00207F8A">
            <w:pPr>
              <w:pStyle w:val="Tabletextleft"/>
            </w:pPr>
            <w:r w:rsidRPr="00207F8A">
              <w:t>Quarterly</w:t>
            </w:r>
          </w:p>
        </w:tc>
      </w:tr>
      <w:tr w:rsidR="002B242E" w:rsidRPr="00207F8A" w14:paraId="12A37C33" w14:textId="77777777" w:rsidTr="00207F8A">
        <w:tc>
          <w:tcPr>
            <w:tcW w:w="1471" w:type="dxa"/>
            <w:vAlign w:val="top"/>
          </w:tcPr>
          <w:p w14:paraId="5AF3C357" w14:textId="77777777" w:rsidR="002B242E" w:rsidRPr="00207F8A" w:rsidRDefault="002B242E" w:rsidP="00207F8A">
            <w:pPr>
              <w:pStyle w:val="Tabletextleft"/>
              <w:rPr>
                <w:b/>
              </w:rPr>
            </w:pPr>
            <w:r w:rsidRPr="00207F8A">
              <w:rPr>
                <w:b/>
              </w:rPr>
              <w:t>Denominator</w:t>
            </w:r>
          </w:p>
        </w:tc>
        <w:tc>
          <w:tcPr>
            <w:tcW w:w="934" w:type="dxa"/>
            <w:vAlign w:val="top"/>
          </w:tcPr>
          <w:p w14:paraId="5499BB58" w14:textId="77777777" w:rsidR="002B242E" w:rsidRPr="00207F8A" w:rsidRDefault="002B242E" w:rsidP="00207F8A">
            <w:pPr>
              <w:pStyle w:val="Tabletextleft"/>
            </w:pPr>
            <w:r w:rsidRPr="00207F8A">
              <w:t>ABS</w:t>
            </w:r>
          </w:p>
        </w:tc>
        <w:tc>
          <w:tcPr>
            <w:tcW w:w="4536" w:type="dxa"/>
            <w:vAlign w:val="top"/>
          </w:tcPr>
          <w:p w14:paraId="28B4F789" w14:textId="132EE3B9" w:rsidR="002B242E" w:rsidRPr="00207F8A" w:rsidRDefault="002B242E" w:rsidP="00207F8A">
            <w:pPr>
              <w:pStyle w:val="Tabletextleft"/>
            </w:pPr>
            <w:r w:rsidRPr="00207F8A">
              <w:t>Non-Indigenous population estimates by SA3</w:t>
            </w:r>
          </w:p>
        </w:tc>
        <w:tc>
          <w:tcPr>
            <w:tcW w:w="1422" w:type="dxa"/>
            <w:vAlign w:val="top"/>
          </w:tcPr>
          <w:p w14:paraId="41891112" w14:textId="77777777" w:rsidR="002B242E" w:rsidRPr="00207F8A" w:rsidRDefault="002B242E" w:rsidP="00207F8A">
            <w:pPr>
              <w:pStyle w:val="Tabletextleft"/>
            </w:pPr>
            <w:r w:rsidRPr="00207F8A">
              <w:t>Australian Bureau of Statistics</w:t>
            </w:r>
          </w:p>
        </w:tc>
        <w:tc>
          <w:tcPr>
            <w:tcW w:w="1493" w:type="dxa"/>
            <w:vAlign w:val="top"/>
          </w:tcPr>
          <w:p w14:paraId="4260B243" w14:textId="77777777" w:rsidR="002B242E" w:rsidRPr="00207F8A" w:rsidRDefault="002B242E" w:rsidP="00207F8A">
            <w:pPr>
              <w:pStyle w:val="Tabletextleft"/>
            </w:pPr>
            <w:r w:rsidRPr="00207F8A">
              <w:t>Annually</w:t>
            </w:r>
          </w:p>
        </w:tc>
      </w:tr>
    </w:tbl>
    <w:p w14:paraId="5EB13E67" w14:textId="77777777" w:rsidR="003D1552" w:rsidRPr="00207F8A" w:rsidRDefault="003D1552" w:rsidP="00207F8A">
      <w:r w:rsidRPr="00207F8A">
        <w:br w:type="page"/>
      </w:r>
    </w:p>
    <w:p w14:paraId="6A581295" w14:textId="4E5F12BB" w:rsidR="008F1C00" w:rsidRPr="008333C9" w:rsidRDefault="002D3309" w:rsidP="007E531B">
      <w:pPr>
        <w:pStyle w:val="Tableheadings"/>
      </w:pPr>
      <w:r>
        <w:lastRenderedPageBreak/>
        <w:t>2.</w:t>
      </w:r>
      <w:r w:rsidR="006461DA">
        <w:t>4</w:t>
      </w:r>
      <w:r>
        <w:t xml:space="preserve"> </w:t>
      </w:r>
      <w:r w:rsidR="008F1C00" w:rsidRPr="008333C9">
        <w:t>Notification rate of infectious syphilis in women of reproductive age</w:t>
      </w:r>
      <w:bookmarkStart w:id="29" w:name="_Ref204155168"/>
      <w:r w:rsidR="002207C6" w:rsidRPr="00E50B9D">
        <w:rPr>
          <w:bCs/>
          <w:vertAlign w:val="superscript"/>
        </w:rPr>
        <w:footnoteReference w:id="12"/>
      </w:r>
      <w:bookmarkEnd w:id="29"/>
      <w:r w:rsidR="008F1C00" w:rsidRPr="008333C9">
        <w:t xml:space="preserve"> (15-44 years) by Indigenous status and remoteness area</w:t>
      </w:r>
      <w:r w:rsidR="002207C6" w:rsidRPr="002207C6">
        <w:rPr>
          <w:vertAlign w:val="superscript"/>
        </w:rPr>
        <w:fldChar w:fldCharType="begin"/>
      </w:r>
      <w:r w:rsidR="002207C6" w:rsidRPr="002207C6">
        <w:rPr>
          <w:vertAlign w:val="superscript"/>
        </w:rPr>
        <w:instrText xml:space="preserve"> NOTEREF _Ref204154426 \h </w:instrText>
      </w:r>
      <w:r w:rsidR="002207C6">
        <w:rPr>
          <w:vertAlign w:val="superscript"/>
        </w:rPr>
        <w:instrText xml:space="preserve"> \* MERGEFORMAT </w:instrText>
      </w:r>
      <w:r w:rsidR="002207C6" w:rsidRPr="002207C6">
        <w:rPr>
          <w:vertAlign w:val="superscript"/>
        </w:rPr>
      </w:r>
      <w:r w:rsidR="002207C6" w:rsidRPr="002207C6">
        <w:rPr>
          <w:vertAlign w:val="superscript"/>
        </w:rPr>
        <w:fldChar w:fldCharType="separate"/>
      </w:r>
      <w:r w:rsidR="002207C6" w:rsidRPr="002207C6">
        <w:rPr>
          <w:vertAlign w:val="superscript"/>
        </w:rPr>
        <w:t>9</w:t>
      </w:r>
      <w:r w:rsidR="002207C6" w:rsidRPr="002207C6">
        <w:rPr>
          <w:vertAlign w:val="superscript"/>
        </w:rPr>
        <w:fldChar w:fldCharType="end"/>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933"/>
        <w:gridCol w:w="4250"/>
        <w:gridCol w:w="1555"/>
        <w:gridCol w:w="1632"/>
      </w:tblGrid>
      <w:tr w:rsidR="008F1C00" w:rsidRPr="007E531B" w14:paraId="574D0FA0" w14:textId="77777777" w:rsidTr="007E531B">
        <w:trPr>
          <w:cnfStyle w:val="100000000000" w:firstRow="1" w:lastRow="0" w:firstColumn="0" w:lastColumn="0" w:oddVBand="0" w:evenVBand="0" w:oddHBand="0" w:evenHBand="0" w:firstRowFirstColumn="0" w:firstRowLastColumn="0" w:lastRowFirstColumn="0" w:lastRowLastColumn="0"/>
          <w:tblHeader/>
        </w:trPr>
        <w:tc>
          <w:tcPr>
            <w:tcW w:w="1471" w:type="dxa"/>
            <w:vAlign w:val="top"/>
          </w:tcPr>
          <w:p w14:paraId="4FCDDEDB" w14:textId="77777777" w:rsidR="008F1C00" w:rsidRPr="007E531B" w:rsidRDefault="008F1C00" w:rsidP="007E531B">
            <w:pPr>
              <w:pStyle w:val="Tabletextleft"/>
              <w:rPr>
                <w:b/>
              </w:rPr>
            </w:pPr>
            <w:r w:rsidRPr="007E531B">
              <w:rPr>
                <w:b/>
              </w:rPr>
              <w:t>Indicator components</w:t>
            </w:r>
          </w:p>
        </w:tc>
        <w:tc>
          <w:tcPr>
            <w:tcW w:w="934" w:type="dxa"/>
            <w:vAlign w:val="top"/>
          </w:tcPr>
          <w:p w14:paraId="27EB53A6" w14:textId="77777777" w:rsidR="008F1C00" w:rsidRPr="007E531B" w:rsidRDefault="008F1C00" w:rsidP="007E531B">
            <w:pPr>
              <w:pStyle w:val="Tabletextleft"/>
              <w:rPr>
                <w:b/>
              </w:rPr>
            </w:pPr>
            <w:r w:rsidRPr="007E531B">
              <w:rPr>
                <w:b/>
              </w:rPr>
              <w:t>Source</w:t>
            </w:r>
          </w:p>
        </w:tc>
        <w:tc>
          <w:tcPr>
            <w:tcW w:w="4262" w:type="dxa"/>
            <w:vAlign w:val="top"/>
          </w:tcPr>
          <w:p w14:paraId="09F4C3DA" w14:textId="77777777" w:rsidR="008F1C00" w:rsidRPr="007E531B" w:rsidRDefault="008F1C00" w:rsidP="007E531B">
            <w:pPr>
              <w:pStyle w:val="Tabletextleft"/>
              <w:rPr>
                <w:b/>
              </w:rPr>
            </w:pPr>
            <w:r w:rsidRPr="007E531B">
              <w:rPr>
                <w:b/>
              </w:rPr>
              <w:t>Description</w:t>
            </w:r>
          </w:p>
        </w:tc>
        <w:tc>
          <w:tcPr>
            <w:tcW w:w="1556" w:type="dxa"/>
            <w:vAlign w:val="top"/>
          </w:tcPr>
          <w:p w14:paraId="0E0A2CAF" w14:textId="77777777" w:rsidR="008F1C00" w:rsidRPr="007E531B" w:rsidRDefault="008F1C00" w:rsidP="007E531B">
            <w:pPr>
              <w:pStyle w:val="Tabletextleft"/>
              <w:rPr>
                <w:b/>
              </w:rPr>
            </w:pPr>
            <w:r w:rsidRPr="007E531B">
              <w:rPr>
                <w:b/>
              </w:rPr>
              <w:t>Custodian/</w:t>
            </w:r>
          </w:p>
          <w:p w14:paraId="3760E8AD" w14:textId="77777777" w:rsidR="008F1C00" w:rsidRPr="007E531B" w:rsidRDefault="008F1C00" w:rsidP="007E531B">
            <w:pPr>
              <w:pStyle w:val="Tabletextleft"/>
              <w:rPr>
                <w:b/>
              </w:rPr>
            </w:pPr>
            <w:r w:rsidRPr="007E531B">
              <w:rPr>
                <w:b/>
              </w:rPr>
              <w:t>stakeholder</w:t>
            </w:r>
          </w:p>
        </w:tc>
        <w:tc>
          <w:tcPr>
            <w:tcW w:w="1633" w:type="dxa"/>
            <w:vAlign w:val="top"/>
          </w:tcPr>
          <w:p w14:paraId="1BCB0A0B" w14:textId="77777777" w:rsidR="008F1C00" w:rsidRPr="007E531B" w:rsidRDefault="008F1C00" w:rsidP="007E531B">
            <w:pPr>
              <w:pStyle w:val="Tabletextleft"/>
              <w:rPr>
                <w:b/>
              </w:rPr>
            </w:pPr>
            <w:r w:rsidRPr="007E531B">
              <w:rPr>
                <w:b/>
              </w:rPr>
              <w:t>Availability of data for reporting</w:t>
            </w:r>
          </w:p>
        </w:tc>
      </w:tr>
      <w:tr w:rsidR="008F1C00" w:rsidRPr="007E531B" w14:paraId="13329878" w14:textId="77777777" w:rsidTr="007E531B">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425D5FD7" w14:textId="77777777" w:rsidR="008F1C00" w:rsidRPr="007E531B" w:rsidRDefault="008F1C00" w:rsidP="007E531B">
            <w:pPr>
              <w:pStyle w:val="Tabletextleft"/>
              <w:rPr>
                <w:b/>
              </w:rPr>
            </w:pPr>
            <w:r w:rsidRPr="007E531B">
              <w:rPr>
                <w:b/>
              </w:rPr>
              <w:t>Indigenous</w:t>
            </w:r>
          </w:p>
        </w:tc>
      </w:tr>
      <w:tr w:rsidR="008F1C00" w:rsidRPr="007E531B" w14:paraId="77573AE0" w14:textId="77777777" w:rsidTr="007E531B">
        <w:tc>
          <w:tcPr>
            <w:tcW w:w="1471" w:type="dxa"/>
            <w:vAlign w:val="top"/>
          </w:tcPr>
          <w:p w14:paraId="170FF383" w14:textId="77777777" w:rsidR="008F1C00" w:rsidRPr="007E531B" w:rsidRDefault="008F1C00" w:rsidP="007E531B">
            <w:pPr>
              <w:pStyle w:val="Tabletextleft"/>
              <w:rPr>
                <w:b/>
              </w:rPr>
            </w:pPr>
            <w:r w:rsidRPr="007E531B">
              <w:rPr>
                <w:b/>
              </w:rPr>
              <w:t>Numerator</w:t>
            </w:r>
          </w:p>
        </w:tc>
        <w:tc>
          <w:tcPr>
            <w:tcW w:w="934" w:type="dxa"/>
            <w:vAlign w:val="top"/>
          </w:tcPr>
          <w:p w14:paraId="59FD99BE" w14:textId="77777777" w:rsidR="008F1C00" w:rsidRPr="007E531B" w:rsidRDefault="008F1C00" w:rsidP="007E531B">
            <w:pPr>
              <w:pStyle w:val="Tabletextleft"/>
            </w:pPr>
            <w:r w:rsidRPr="007E531B">
              <w:t>NNDSS</w:t>
            </w:r>
          </w:p>
        </w:tc>
        <w:tc>
          <w:tcPr>
            <w:tcW w:w="4262" w:type="dxa"/>
            <w:vAlign w:val="top"/>
          </w:tcPr>
          <w:p w14:paraId="70FFEDDB" w14:textId="7B30603D" w:rsidR="008F1C00" w:rsidRPr="007E531B" w:rsidRDefault="008F1C00" w:rsidP="007E531B">
            <w:pPr>
              <w:pStyle w:val="Tabletextleft"/>
            </w:pPr>
            <w:r w:rsidRPr="007E531B">
              <w:t>Number of infectious syphilis notifications reported in Indigenous women of reproductive age (15-44 years) by remoteness area</w:t>
            </w:r>
            <w:r w:rsidR="00371A65" w:rsidRPr="007E531B">
              <w:t xml:space="preserve"> classification</w:t>
            </w:r>
          </w:p>
        </w:tc>
        <w:tc>
          <w:tcPr>
            <w:tcW w:w="1556" w:type="dxa"/>
            <w:vAlign w:val="top"/>
          </w:tcPr>
          <w:p w14:paraId="2554D09D" w14:textId="77777777" w:rsidR="008F1C00" w:rsidRPr="007E531B" w:rsidRDefault="00C13F86" w:rsidP="007E531B">
            <w:pPr>
              <w:pStyle w:val="Tabletextleft"/>
            </w:pPr>
            <w:r w:rsidRPr="007E531B">
              <w:t>Australian Centre for Disease Control</w:t>
            </w:r>
          </w:p>
        </w:tc>
        <w:tc>
          <w:tcPr>
            <w:tcW w:w="1633" w:type="dxa"/>
            <w:vAlign w:val="top"/>
          </w:tcPr>
          <w:p w14:paraId="41D3D9CC" w14:textId="77777777" w:rsidR="008F1C00" w:rsidRPr="007E531B" w:rsidRDefault="008F1C00" w:rsidP="007E531B">
            <w:pPr>
              <w:pStyle w:val="Tabletextleft"/>
            </w:pPr>
            <w:r w:rsidRPr="007E531B">
              <w:t>Quarterly</w:t>
            </w:r>
          </w:p>
        </w:tc>
      </w:tr>
      <w:tr w:rsidR="008F1C00" w:rsidRPr="007E531B" w14:paraId="2F6CDAD6" w14:textId="77777777" w:rsidTr="007E531B">
        <w:trPr>
          <w:cnfStyle w:val="000000100000" w:firstRow="0" w:lastRow="0" w:firstColumn="0" w:lastColumn="0" w:oddVBand="0" w:evenVBand="0" w:oddHBand="1" w:evenHBand="0" w:firstRowFirstColumn="0" w:firstRowLastColumn="0" w:lastRowFirstColumn="0" w:lastRowLastColumn="0"/>
        </w:trPr>
        <w:tc>
          <w:tcPr>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87AA66C" w14:textId="77777777" w:rsidR="008F1C00" w:rsidRPr="007E531B" w:rsidRDefault="008F1C00" w:rsidP="007E531B">
            <w:pPr>
              <w:pStyle w:val="Tabletextleft"/>
              <w:rPr>
                <w:b/>
              </w:rPr>
            </w:pPr>
            <w:r w:rsidRPr="007E531B">
              <w:rPr>
                <w:b/>
              </w:rPr>
              <w:t>Denominator</w:t>
            </w:r>
          </w:p>
        </w:tc>
        <w:tc>
          <w:tcPr>
            <w:tcW w:w="93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44F7199" w14:textId="77777777" w:rsidR="008F1C00" w:rsidRPr="007E531B" w:rsidRDefault="008F1C00" w:rsidP="007E531B">
            <w:pPr>
              <w:pStyle w:val="Tabletextleft"/>
            </w:pPr>
            <w:r w:rsidRPr="007E531B">
              <w:t>ABS</w:t>
            </w:r>
          </w:p>
        </w:tc>
        <w:tc>
          <w:tcPr>
            <w:tcW w:w="426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6C5D7CB" w14:textId="4A8C950E" w:rsidR="008F1C00" w:rsidRPr="007E531B" w:rsidRDefault="008F1C00" w:rsidP="007E531B">
            <w:pPr>
              <w:pStyle w:val="Tabletextleft"/>
            </w:pPr>
            <w:r w:rsidRPr="007E531B">
              <w:t>Population estimates for Indigenous women aged 15-44 years of age reported by remoteness area</w:t>
            </w:r>
            <w:r w:rsidR="00371A65" w:rsidRPr="007E531B">
              <w:t xml:space="preserve"> classification</w:t>
            </w:r>
          </w:p>
        </w:tc>
        <w:tc>
          <w:tcPr>
            <w:tcW w:w="155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EF45F16" w14:textId="77777777" w:rsidR="008F1C00" w:rsidRPr="007E531B" w:rsidRDefault="008F1C00" w:rsidP="007E531B">
            <w:pPr>
              <w:pStyle w:val="Tabletextleft"/>
            </w:pPr>
            <w:r w:rsidRPr="007E531B">
              <w:t>Australian Bureau of Statistics</w:t>
            </w:r>
          </w:p>
        </w:tc>
        <w:tc>
          <w:tcPr>
            <w:tcW w:w="163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FF0AEC0" w14:textId="77777777" w:rsidR="008F1C00" w:rsidRPr="007E531B" w:rsidRDefault="008F1C00" w:rsidP="007E531B">
            <w:pPr>
              <w:pStyle w:val="Tabletextleft"/>
            </w:pPr>
            <w:r w:rsidRPr="007E531B">
              <w:t>Annually</w:t>
            </w:r>
          </w:p>
        </w:tc>
      </w:tr>
      <w:tr w:rsidR="008F1C00" w:rsidRPr="007E531B" w14:paraId="61E2AFC7" w14:textId="77777777" w:rsidTr="007E531B">
        <w:tc>
          <w:tcPr>
            <w:tcW w:w="9856" w:type="dxa"/>
            <w:gridSpan w:val="5"/>
            <w:shd w:val="clear" w:color="auto" w:fill="BEFEE9"/>
            <w:vAlign w:val="top"/>
          </w:tcPr>
          <w:p w14:paraId="7E140A79" w14:textId="77777777" w:rsidR="008F1C00" w:rsidRPr="007E531B" w:rsidRDefault="008F1C00" w:rsidP="007E531B">
            <w:pPr>
              <w:pStyle w:val="Tabletextleft"/>
              <w:rPr>
                <w:b/>
              </w:rPr>
            </w:pPr>
            <w:r w:rsidRPr="007E531B">
              <w:rPr>
                <w:b/>
              </w:rPr>
              <w:t>Non-Indigenous</w:t>
            </w:r>
          </w:p>
        </w:tc>
      </w:tr>
      <w:tr w:rsidR="008F1C00" w:rsidRPr="007E531B" w14:paraId="12009926" w14:textId="77777777" w:rsidTr="007E531B">
        <w:trPr>
          <w:cnfStyle w:val="000000100000" w:firstRow="0" w:lastRow="0" w:firstColumn="0" w:lastColumn="0" w:oddVBand="0" w:evenVBand="0" w:oddHBand="1" w:evenHBand="0" w:firstRowFirstColumn="0" w:firstRowLastColumn="0" w:lastRowFirstColumn="0" w:lastRowLastColumn="0"/>
        </w:trPr>
        <w:tc>
          <w:tcPr>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07E4DD1" w14:textId="77777777" w:rsidR="008F1C00" w:rsidRPr="007E531B" w:rsidRDefault="008F1C00" w:rsidP="007E531B">
            <w:pPr>
              <w:pStyle w:val="Tabletextleft"/>
              <w:rPr>
                <w:b/>
              </w:rPr>
            </w:pPr>
            <w:r w:rsidRPr="007E531B">
              <w:rPr>
                <w:b/>
              </w:rPr>
              <w:t>Numerator</w:t>
            </w:r>
          </w:p>
        </w:tc>
        <w:tc>
          <w:tcPr>
            <w:tcW w:w="93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87C33AE" w14:textId="77777777" w:rsidR="008F1C00" w:rsidRPr="007E531B" w:rsidRDefault="008F1C00" w:rsidP="007E531B">
            <w:pPr>
              <w:pStyle w:val="Tabletextleft"/>
            </w:pPr>
            <w:r w:rsidRPr="007E531B">
              <w:t>NNDSS</w:t>
            </w:r>
          </w:p>
        </w:tc>
        <w:tc>
          <w:tcPr>
            <w:tcW w:w="426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FD74B23" w14:textId="0B40518E" w:rsidR="008F1C00" w:rsidRPr="007E531B" w:rsidRDefault="008F1C00" w:rsidP="007E531B">
            <w:pPr>
              <w:pStyle w:val="Tabletextleft"/>
            </w:pPr>
            <w:r w:rsidRPr="007E531B">
              <w:t>Number of infectious syphilis notifications in non-Indigenous women of reproductive age (15-44 years of age) by remoteness area</w:t>
            </w:r>
            <w:r w:rsidR="00371A65" w:rsidRPr="007E531B">
              <w:t xml:space="preserve"> classification</w:t>
            </w:r>
          </w:p>
        </w:tc>
        <w:tc>
          <w:tcPr>
            <w:tcW w:w="155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16A6F02" w14:textId="77777777" w:rsidR="008F1C00" w:rsidRPr="007E531B" w:rsidRDefault="00C13F86" w:rsidP="007E531B">
            <w:pPr>
              <w:pStyle w:val="Tabletextleft"/>
            </w:pPr>
            <w:r w:rsidRPr="007E531B">
              <w:t>Australian Centre for Disease Control</w:t>
            </w:r>
          </w:p>
        </w:tc>
        <w:tc>
          <w:tcPr>
            <w:tcW w:w="163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B316BC7" w14:textId="77777777" w:rsidR="008F1C00" w:rsidRPr="007E531B" w:rsidRDefault="008F1C00" w:rsidP="007E531B">
            <w:pPr>
              <w:pStyle w:val="Tabletextleft"/>
            </w:pPr>
            <w:r w:rsidRPr="007E531B">
              <w:t>Quarterly</w:t>
            </w:r>
          </w:p>
        </w:tc>
      </w:tr>
      <w:tr w:rsidR="008F1C00" w:rsidRPr="007E531B" w14:paraId="27BE9B73" w14:textId="77777777" w:rsidTr="007E531B">
        <w:tc>
          <w:tcPr>
            <w:tcW w:w="1471" w:type="dxa"/>
            <w:vAlign w:val="top"/>
          </w:tcPr>
          <w:p w14:paraId="3BFFF0D7" w14:textId="77777777" w:rsidR="008F1C00" w:rsidRPr="007E531B" w:rsidRDefault="008F1C00" w:rsidP="007E531B">
            <w:pPr>
              <w:pStyle w:val="Tabletextleft"/>
              <w:rPr>
                <w:b/>
              </w:rPr>
            </w:pPr>
            <w:r w:rsidRPr="007E531B">
              <w:rPr>
                <w:b/>
              </w:rPr>
              <w:t>Denominator</w:t>
            </w:r>
          </w:p>
        </w:tc>
        <w:tc>
          <w:tcPr>
            <w:tcW w:w="934" w:type="dxa"/>
            <w:vAlign w:val="top"/>
          </w:tcPr>
          <w:p w14:paraId="64C73E1F" w14:textId="77777777" w:rsidR="008F1C00" w:rsidRPr="007E531B" w:rsidRDefault="008F1C00" w:rsidP="007E531B">
            <w:pPr>
              <w:pStyle w:val="Tabletextleft"/>
            </w:pPr>
            <w:r w:rsidRPr="007E531B">
              <w:t>ABS</w:t>
            </w:r>
          </w:p>
        </w:tc>
        <w:tc>
          <w:tcPr>
            <w:tcW w:w="4262" w:type="dxa"/>
            <w:vAlign w:val="top"/>
          </w:tcPr>
          <w:p w14:paraId="4AA7192E" w14:textId="0E10246B" w:rsidR="008F1C00" w:rsidRPr="007E531B" w:rsidRDefault="008F1C00" w:rsidP="007E531B">
            <w:pPr>
              <w:pStyle w:val="Tabletextleft"/>
            </w:pPr>
            <w:r w:rsidRPr="007E531B">
              <w:t>Population estimates for non-Indigenous women aged 15-44 years of age reported by remoteness area</w:t>
            </w:r>
            <w:r w:rsidR="00371A65" w:rsidRPr="007E531B">
              <w:t xml:space="preserve"> classification</w:t>
            </w:r>
          </w:p>
        </w:tc>
        <w:tc>
          <w:tcPr>
            <w:tcW w:w="1556" w:type="dxa"/>
            <w:vAlign w:val="top"/>
          </w:tcPr>
          <w:p w14:paraId="077DE576" w14:textId="77777777" w:rsidR="008F1C00" w:rsidRPr="007E531B" w:rsidRDefault="008F1C00" w:rsidP="007E531B">
            <w:pPr>
              <w:pStyle w:val="Tabletextleft"/>
            </w:pPr>
            <w:r w:rsidRPr="007E531B">
              <w:t>Australian Bureau of Statistics</w:t>
            </w:r>
          </w:p>
        </w:tc>
        <w:tc>
          <w:tcPr>
            <w:tcW w:w="1633" w:type="dxa"/>
            <w:vAlign w:val="top"/>
          </w:tcPr>
          <w:p w14:paraId="03D89AFD" w14:textId="77777777" w:rsidR="008F1C00" w:rsidRPr="007E531B" w:rsidRDefault="008F1C00" w:rsidP="007E531B">
            <w:pPr>
              <w:pStyle w:val="Tabletextleft"/>
            </w:pPr>
            <w:r w:rsidRPr="007E531B">
              <w:t>Annually</w:t>
            </w:r>
          </w:p>
        </w:tc>
      </w:tr>
    </w:tbl>
    <w:p w14:paraId="4FB0395D" w14:textId="5DCEAFE7" w:rsidR="00C13F86" w:rsidRPr="001D6FDA" w:rsidRDefault="002D3309" w:rsidP="007E531B">
      <w:pPr>
        <w:pStyle w:val="Tableheadings"/>
      </w:pPr>
      <w:r w:rsidRPr="0088431A">
        <w:t>2.</w:t>
      </w:r>
      <w:r w:rsidR="006461DA">
        <w:t>5</w:t>
      </w:r>
      <w:r w:rsidRPr="0088431A">
        <w:t xml:space="preserve"> </w:t>
      </w:r>
      <w:r w:rsidR="00C13F86" w:rsidRPr="0088431A">
        <w:t>Proportion</w:t>
      </w:r>
      <w:r w:rsidR="00C13F86" w:rsidRPr="001D6FDA">
        <w:t xml:space="preserve"> of infectious syphilis notifications in men reporting sexual exposure</w:t>
      </w:r>
      <w:bookmarkStart w:id="30" w:name="_Ref204154560"/>
      <w:r w:rsidR="003656E8" w:rsidRPr="00E50B9D">
        <w:rPr>
          <w:bCs/>
          <w:vertAlign w:val="superscript"/>
        </w:rPr>
        <w:footnoteReference w:id="13"/>
      </w:r>
      <w:bookmarkEnd w:id="30"/>
      <w:r w:rsidR="00C13F86" w:rsidRPr="001D6FDA">
        <w:t xml:space="preserve"> with men only</w:t>
      </w: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4252"/>
        <w:gridCol w:w="1418"/>
        <w:gridCol w:w="1559"/>
      </w:tblGrid>
      <w:tr w:rsidR="00C13F86" w:rsidRPr="007E531B" w14:paraId="0AC0B7B6" w14:textId="77777777" w:rsidTr="005650A5">
        <w:trPr>
          <w:cnfStyle w:val="100000000000" w:firstRow="1" w:lastRow="0" w:firstColumn="0" w:lastColumn="0" w:oddVBand="0" w:evenVBand="0" w:oddHBand="0" w:evenHBand="0" w:firstRowFirstColumn="0" w:firstRowLastColumn="0" w:lastRowFirstColumn="0" w:lastRowLastColumn="0"/>
          <w:cantSplit/>
          <w:tblHeader/>
        </w:trPr>
        <w:tc>
          <w:tcPr>
            <w:tcW w:w="1555" w:type="dxa"/>
            <w:vAlign w:val="top"/>
          </w:tcPr>
          <w:p w14:paraId="3695873E" w14:textId="77777777" w:rsidR="00C13F86" w:rsidRPr="007E531B" w:rsidRDefault="00C13F86" w:rsidP="007E531B">
            <w:pPr>
              <w:pStyle w:val="Tabletextleft"/>
              <w:rPr>
                <w:b/>
              </w:rPr>
            </w:pPr>
            <w:r w:rsidRPr="007E531B">
              <w:rPr>
                <w:b/>
              </w:rPr>
              <w:t>Indicator components</w:t>
            </w:r>
          </w:p>
        </w:tc>
        <w:tc>
          <w:tcPr>
            <w:tcW w:w="992" w:type="dxa"/>
            <w:vAlign w:val="top"/>
          </w:tcPr>
          <w:p w14:paraId="217222ED" w14:textId="77777777" w:rsidR="00C13F86" w:rsidRPr="007E531B" w:rsidRDefault="00C13F86" w:rsidP="007E531B">
            <w:pPr>
              <w:pStyle w:val="Tabletextleft"/>
              <w:rPr>
                <w:b/>
              </w:rPr>
            </w:pPr>
            <w:r w:rsidRPr="007E531B">
              <w:rPr>
                <w:b/>
              </w:rPr>
              <w:t>Source</w:t>
            </w:r>
          </w:p>
        </w:tc>
        <w:tc>
          <w:tcPr>
            <w:tcW w:w="4252" w:type="dxa"/>
            <w:vAlign w:val="top"/>
          </w:tcPr>
          <w:p w14:paraId="32B2A9ED" w14:textId="77777777" w:rsidR="00C13F86" w:rsidRPr="007E531B" w:rsidRDefault="00C13F86" w:rsidP="007E531B">
            <w:pPr>
              <w:pStyle w:val="Tabletextleft"/>
              <w:rPr>
                <w:b/>
              </w:rPr>
            </w:pPr>
            <w:r w:rsidRPr="007E531B">
              <w:rPr>
                <w:b/>
              </w:rPr>
              <w:t>Description</w:t>
            </w:r>
          </w:p>
        </w:tc>
        <w:tc>
          <w:tcPr>
            <w:tcW w:w="1418" w:type="dxa"/>
            <w:vAlign w:val="top"/>
          </w:tcPr>
          <w:p w14:paraId="0B2DBC0C" w14:textId="77777777" w:rsidR="00C13F86" w:rsidRPr="007E531B" w:rsidRDefault="00C13F86" w:rsidP="007E531B">
            <w:pPr>
              <w:pStyle w:val="Tabletextleft"/>
              <w:rPr>
                <w:b/>
              </w:rPr>
            </w:pPr>
            <w:r w:rsidRPr="007E531B">
              <w:rPr>
                <w:b/>
              </w:rPr>
              <w:t>Custodian/</w:t>
            </w:r>
          </w:p>
          <w:p w14:paraId="7493CEC1" w14:textId="77777777" w:rsidR="00C13F86" w:rsidRPr="007E531B" w:rsidRDefault="00C13F86" w:rsidP="007E531B">
            <w:pPr>
              <w:pStyle w:val="Tabletextleft"/>
              <w:rPr>
                <w:b/>
              </w:rPr>
            </w:pPr>
            <w:r w:rsidRPr="007E531B">
              <w:rPr>
                <w:b/>
              </w:rPr>
              <w:t>stakeholder</w:t>
            </w:r>
          </w:p>
        </w:tc>
        <w:tc>
          <w:tcPr>
            <w:tcW w:w="1559" w:type="dxa"/>
            <w:vAlign w:val="top"/>
          </w:tcPr>
          <w:p w14:paraId="656FBD5E" w14:textId="77777777" w:rsidR="00C13F86" w:rsidRPr="007E531B" w:rsidRDefault="00C13F86" w:rsidP="007E531B">
            <w:pPr>
              <w:pStyle w:val="Tabletextleft"/>
              <w:rPr>
                <w:b/>
              </w:rPr>
            </w:pPr>
            <w:r w:rsidRPr="007E531B">
              <w:rPr>
                <w:b/>
              </w:rPr>
              <w:t>Availability of data for reporting</w:t>
            </w:r>
          </w:p>
        </w:tc>
      </w:tr>
      <w:tr w:rsidR="00C13F86" w:rsidRPr="007E531B" w14:paraId="6B9C4847" w14:textId="77777777" w:rsidTr="005650A5">
        <w:trPr>
          <w:cnfStyle w:val="000000100000" w:firstRow="0" w:lastRow="0" w:firstColumn="0" w:lastColumn="0" w:oddVBand="0" w:evenVBand="0" w:oddHBand="1" w:evenHBand="0" w:firstRowFirstColumn="0" w:firstRowLastColumn="0" w:lastRowFirstColumn="0" w:lastRowLastColumn="0"/>
          <w:cantSplit/>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E547E90" w14:textId="77777777" w:rsidR="00C13F86" w:rsidRPr="007E531B" w:rsidRDefault="00C13F86" w:rsidP="007E531B">
            <w:pPr>
              <w:pStyle w:val="Tabletextleft"/>
              <w:rPr>
                <w:b/>
              </w:rPr>
            </w:pPr>
            <w:r w:rsidRPr="007E531B">
              <w:rPr>
                <w:b/>
              </w:rPr>
              <w:t>Numerator</w:t>
            </w:r>
          </w:p>
        </w:tc>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A880BB1" w14:textId="3015079B" w:rsidR="00C13F86" w:rsidRPr="007E531B" w:rsidRDefault="00C13F86" w:rsidP="007E531B">
            <w:pPr>
              <w:pStyle w:val="Tabletextleft"/>
            </w:pPr>
            <w:r w:rsidRPr="007E531B">
              <w:t>NNDSS</w:t>
            </w:r>
          </w:p>
        </w:tc>
        <w:tc>
          <w:tcPr>
            <w:tcW w:w="425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03553AD" w14:textId="08F7D21A" w:rsidR="00C13F86" w:rsidRPr="007E531B" w:rsidRDefault="00C13F86" w:rsidP="007E531B">
            <w:pPr>
              <w:pStyle w:val="Tabletextleft"/>
            </w:pPr>
            <w:r w:rsidRPr="007E531B">
              <w:t xml:space="preserve">Number of infectious syphilis </w:t>
            </w:r>
            <w:r w:rsidR="00B66FF2" w:rsidRPr="007E531B">
              <w:t>n</w:t>
            </w:r>
            <w:r w:rsidRPr="007E531B">
              <w:t>otifications reporting sexual exposure with men only to the NNDSS</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8D7ED89" w14:textId="77777777" w:rsidR="00C13F86" w:rsidRPr="007E531B" w:rsidRDefault="00C13F86" w:rsidP="007E531B">
            <w:pPr>
              <w:pStyle w:val="Tabletextleft"/>
            </w:pPr>
            <w:r w:rsidRPr="007E531B">
              <w:t>Australian Centre for Disease Control</w:t>
            </w:r>
          </w:p>
        </w:tc>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EC08ADE" w14:textId="77777777" w:rsidR="00C13F86" w:rsidRPr="007E531B" w:rsidRDefault="00C13F86" w:rsidP="007E531B">
            <w:pPr>
              <w:pStyle w:val="Tabletextleft"/>
            </w:pPr>
            <w:r w:rsidRPr="007E531B">
              <w:t>Quarterly</w:t>
            </w:r>
          </w:p>
        </w:tc>
      </w:tr>
      <w:tr w:rsidR="00C13F86" w:rsidRPr="007E531B" w14:paraId="0EE10ECC" w14:textId="77777777" w:rsidTr="005650A5">
        <w:trPr>
          <w:cantSplit/>
        </w:trPr>
        <w:tc>
          <w:tcPr>
            <w:tcW w:w="1555" w:type="dxa"/>
            <w:vAlign w:val="top"/>
          </w:tcPr>
          <w:p w14:paraId="658DBFB4" w14:textId="77777777" w:rsidR="00C13F86" w:rsidRPr="007E531B" w:rsidRDefault="00C13F86" w:rsidP="007E531B">
            <w:pPr>
              <w:pStyle w:val="Tabletextleft"/>
              <w:rPr>
                <w:b/>
              </w:rPr>
            </w:pPr>
            <w:r w:rsidRPr="007E531B">
              <w:rPr>
                <w:b/>
              </w:rPr>
              <w:lastRenderedPageBreak/>
              <w:t>Denominator</w:t>
            </w:r>
          </w:p>
        </w:tc>
        <w:tc>
          <w:tcPr>
            <w:tcW w:w="992" w:type="dxa"/>
            <w:vAlign w:val="top"/>
          </w:tcPr>
          <w:p w14:paraId="0A005C99" w14:textId="4E0910C4" w:rsidR="00C13F86" w:rsidRPr="007E531B" w:rsidRDefault="001F316C" w:rsidP="007E531B">
            <w:pPr>
              <w:pStyle w:val="Tabletextleft"/>
            </w:pPr>
            <w:r w:rsidRPr="007E531B">
              <w:t>NNDSS</w:t>
            </w:r>
          </w:p>
        </w:tc>
        <w:tc>
          <w:tcPr>
            <w:tcW w:w="4252" w:type="dxa"/>
            <w:vAlign w:val="top"/>
          </w:tcPr>
          <w:p w14:paraId="4AED04E4" w14:textId="77777777" w:rsidR="00C13F86" w:rsidRPr="007E531B" w:rsidRDefault="00C13F86" w:rsidP="007E531B">
            <w:pPr>
              <w:pStyle w:val="Tabletextleft"/>
            </w:pPr>
            <w:r w:rsidRPr="007E531B">
              <w:t xml:space="preserve">Total number of infectious syphilis notifications reporting sexual exposure to the NNDSS </w:t>
            </w:r>
          </w:p>
        </w:tc>
        <w:tc>
          <w:tcPr>
            <w:tcW w:w="1418" w:type="dxa"/>
            <w:vAlign w:val="top"/>
          </w:tcPr>
          <w:p w14:paraId="01E17839" w14:textId="77777777" w:rsidR="00C13F86" w:rsidRPr="007E531B" w:rsidRDefault="00C13F86" w:rsidP="007E531B">
            <w:pPr>
              <w:pStyle w:val="Tabletextleft"/>
            </w:pPr>
            <w:r w:rsidRPr="007E531B">
              <w:t>Australian Centre for Disease Control</w:t>
            </w:r>
          </w:p>
        </w:tc>
        <w:tc>
          <w:tcPr>
            <w:tcW w:w="1559" w:type="dxa"/>
            <w:vAlign w:val="top"/>
          </w:tcPr>
          <w:p w14:paraId="41CDCA92" w14:textId="77777777" w:rsidR="00C13F86" w:rsidRPr="007E531B" w:rsidRDefault="00C13F86" w:rsidP="007E531B">
            <w:pPr>
              <w:pStyle w:val="Tabletextleft"/>
            </w:pPr>
            <w:r w:rsidRPr="007E531B">
              <w:t>Quarterly</w:t>
            </w:r>
          </w:p>
        </w:tc>
      </w:tr>
    </w:tbl>
    <w:p w14:paraId="438FC975" w14:textId="377CF6AE" w:rsidR="00C13F86" w:rsidRPr="00F34393" w:rsidRDefault="002D3309" w:rsidP="005650A5">
      <w:pPr>
        <w:pStyle w:val="Tableheadings"/>
      </w:pPr>
      <w:r>
        <w:t>2.</w:t>
      </w:r>
      <w:r w:rsidR="006461DA">
        <w:t>6</w:t>
      </w:r>
      <w:r>
        <w:t xml:space="preserve"> </w:t>
      </w:r>
      <w:r w:rsidR="00C13F86" w:rsidRPr="00F34393">
        <w:t>Proportion of infectious syphilis notifications in men reporting sexual exposure</w:t>
      </w:r>
      <w:r w:rsidR="002207C6" w:rsidRPr="002207C6">
        <w:rPr>
          <w:vertAlign w:val="superscript"/>
        </w:rPr>
        <w:fldChar w:fldCharType="begin"/>
      </w:r>
      <w:r w:rsidR="002207C6" w:rsidRPr="002207C6">
        <w:rPr>
          <w:vertAlign w:val="superscript"/>
        </w:rPr>
        <w:instrText xml:space="preserve"> NOTEREF _Ref204154560 \h </w:instrText>
      </w:r>
      <w:r w:rsidR="002207C6">
        <w:rPr>
          <w:vertAlign w:val="superscript"/>
        </w:rPr>
        <w:instrText xml:space="preserve"> \* MERGEFORMAT </w:instrText>
      </w:r>
      <w:r w:rsidR="002207C6" w:rsidRPr="002207C6">
        <w:rPr>
          <w:vertAlign w:val="superscript"/>
        </w:rPr>
      </w:r>
      <w:r w:rsidR="002207C6" w:rsidRPr="002207C6">
        <w:rPr>
          <w:vertAlign w:val="superscript"/>
        </w:rPr>
        <w:fldChar w:fldCharType="separate"/>
      </w:r>
      <w:r w:rsidR="002207C6" w:rsidRPr="002207C6">
        <w:rPr>
          <w:vertAlign w:val="superscript"/>
        </w:rPr>
        <w:t>12</w:t>
      </w:r>
      <w:r w:rsidR="002207C6" w:rsidRPr="002207C6">
        <w:rPr>
          <w:vertAlign w:val="superscript"/>
        </w:rPr>
        <w:fldChar w:fldCharType="end"/>
      </w:r>
      <w:r w:rsidR="00C13F86" w:rsidRPr="00F34393">
        <w:t xml:space="preserve"> with men and women</w:t>
      </w:r>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075"/>
        <w:gridCol w:w="4240"/>
        <w:gridCol w:w="1418"/>
        <w:gridCol w:w="1699"/>
      </w:tblGrid>
      <w:tr w:rsidR="00C13F86" w:rsidRPr="005650A5" w14:paraId="2AE12D7B" w14:textId="77777777" w:rsidTr="001501A6">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7E306CBC" w14:textId="77777777" w:rsidR="00C13F86" w:rsidRPr="005650A5" w:rsidRDefault="00C13F86" w:rsidP="005650A5">
            <w:pPr>
              <w:pStyle w:val="Tabletextleft"/>
              <w:rPr>
                <w:b/>
              </w:rPr>
            </w:pPr>
            <w:r w:rsidRPr="005650A5">
              <w:rPr>
                <w:b/>
              </w:rPr>
              <w:t>Indicator components</w:t>
            </w:r>
          </w:p>
        </w:tc>
        <w:tc>
          <w:tcPr>
            <w:tcW w:w="1076" w:type="dxa"/>
            <w:vAlign w:val="top"/>
          </w:tcPr>
          <w:p w14:paraId="22C86355" w14:textId="77777777" w:rsidR="00C13F86" w:rsidRPr="005650A5" w:rsidRDefault="00C13F86" w:rsidP="005650A5">
            <w:pPr>
              <w:pStyle w:val="Tabletextleft"/>
              <w:rPr>
                <w:b/>
              </w:rPr>
            </w:pPr>
            <w:r w:rsidRPr="005650A5">
              <w:rPr>
                <w:b/>
              </w:rPr>
              <w:t>Source</w:t>
            </w:r>
          </w:p>
        </w:tc>
        <w:tc>
          <w:tcPr>
            <w:tcW w:w="4252" w:type="dxa"/>
            <w:vAlign w:val="top"/>
          </w:tcPr>
          <w:p w14:paraId="7C97713E" w14:textId="77777777" w:rsidR="00C13F86" w:rsidRPr="005650A5" w:rsidRDefault="00C13F86" w:rsidP="005650A5">
            <w:pPr>
              <w:pStyle w:val="Tabletextleft"/>
              <w:rPr>
                <w:b/>
              </w:rPr>
            </w:pPr>
            <w:r w:rsidRPr="005650A5">
              <w:rPr>
                <w:b/>
              </w:rPr>
              <w:t>Description</w:t>
            </w:r>
          </w:p>
        </w:tc>
        <w:tc>
          <w:tcPr>
            <w:tcW w:w="1418" w:type="dxa"/>
            <w:vAlign w:val="top"/>
          </w:tcPr>
          <w:p w14:paraId="58E04EA9" w14:textId="77777777" w:rsidR="00C13F86" w:rsidRPr="005650A5" w:rsidRDefault="00C13F86" w:rsidP="005650A5">
            <w:pPr>
              <w:pStyle w:val="Tabletextleft"/>
              <w:rPr>
                <w:b/>
              </w:rPr>
            </w:pPr>
            <w:r w:rsidRPr="005650A5">
              <w:rPr>
                <w:b/>
              </w:rPr>
              <w:t>Custodian/</w:t>
            </w:r>
          </w:p>
          <w:p w14:paraId="30367C0B" w14:textId="77777777" w:rsidR="00C13F86" w:rsidRPr="005650A5" w:rsidRDefault="00C13F86" w:rsidP="005650A5">
            <w:pPr>
              <w:pStyle w:val="Tabletextleft"/>
              <w:rPr>
                <w:b/>
              </w:rPr>
            </w:pPr>
            <w:r w:rsidRPr="005650A5">
              <w:rPr>
                <w:b/>
              </w:rPr>
              <w:t>stakeholder</w:t>
            </w:r>
          </w:p>
        </w:tc>
        <w:tc>
          <w:tcPr>
            <w:tcW w:w="1701" w:type="dxa"/>
            <w:vAlign w:val="top"/>
          </w:tcPr>
          <w:p w14:paraId="354172E3" w14:textId="77777777" w:rsidR="00C13F86" w:rsidRPr="005650A5" w:rsidRDefault="00C13F86" w:rsidP="005650A5">
            <w:pPr>
              <w:pStyle w:val="Tabletextleft"/>
              <w:rPr>
                <w:b/>
              </w:rPr>
            </w:pPr>
            <w:r w:rsidRPr="005650A5">
              <w:rPr>
                <w:b/>
              </w:rPr>
              <w:t>Availability of data for reporting</w:t>
            </w:r>
          </w:p>
        </w:tc>
      </w:tr>
      <w:tr w:rsidR="00C13F86" w:rsidRPr="005650A5" w14:paraId="0013C093" w14:textId="77777777" w:rsidTr="005650A5">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B9A984F" w14:textId="77777777" w:rsidR="00C13F86" w:rsidRPr="005650A5" w:rsidRDefault="00C13F86" w:rsidP="005650A5">
            <w:pPr>
              <w:pStyle w:val="Tabletextleft"/>
              <w:rPr>
                <w:b/>
              </w:rPr>
            </w:pPr>
            <w:r w:rsidRPr="005650A5">
              <w:rPr>
                <w:b/>
              </w:rPr>
              <w:t>Numerator</w:t>
            </w:r>
          </w:p>
        </w:tc>
        <w:tc>
          <w:tcPr>
            <w:tcW w:w="107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4D1D343" w14:textId="224B80E5" w:rsidR="00C13F86" w:rsidRPr="005650A5" w:rsidRDefault="00C13F86" w:rsidP="005650A5">
            <w:pPr>
              <w:pStyle w:val="Tabletextleft"/>
            </w:pPr>
            <w:r w:rsidRPr="005650A5">
              <w:t>NNDSS</w:t>
            </w:r>
          </w:p>
        </w:tc>
        <w:tc>
          <w:tcPr>
            <w:tcW w:w="425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0A26C88" w14:textId="2643E4DF" w:rsidR="00C13F86" w:rsidRPr="005650A5" w:rsidRDefault="00C13F86" w:rsidP="005650A5">
            <w:pPr>
              <w:pStyle w:val="Tabletextleft"/>
            </w:pPr>
            <w:r w:rsidRPr="005650A5">
              <w:t>Number of infectious syphilis notifications reporting sexual exposure with both men and women to the NNDSS</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22A8A48" w14:textId="77777777" w:rsidR="00C13F86" w:rsidRPr="005650A5" w:rsidRDefault="00C13F86" w:rsidP="005650A5">
            <w:pPr>
              <w:pStyle w:val="Tabletextleft"/>
            </w:pPr>
            <w:r w:rsidRPr="005650A5">
              <w:t>Australian Centre for Disease Control</w:t>
            </w:r>
          </w:p>
        </w:tc>
        <w:tc>
          <w:tcPr>
            <w:tcW w:w="170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5079CB6" w14:textId="77777777" w:rsidR="00C13F86" w:rsidRPr="005650A5" w:rsidRDefault="00C13F86" w:rsidP="005650A5">
            <w:pPr>
              <w:pStyle w:val="Tabletextleft"/>
            </w:pPr>
            <w:r w:rsidRPr="005650A5">
              <w:t>Quarterly</w:t>
            </w:r>
          </w:p>
        </w:tc>
      </w:tr>
      <w:tr w:rsidR="00C13F86" w:rsidRPr="005650A5" w14:paraId="2EDEC51C" w14:textId="77777777" w:rsidTr="005650A5">
        <w:tc>
          <w:tcPr>
            <w:tcW w:w="0" w:type="auto"/>
            <w:vAlign w:val="top"/>
          </w:tcPr>
          <w:p w14:paraId="10CF7257" w14:textId="77777777" w:rsidR="00C13F86" w:rsidRPr="005650A5" w:rsidRDefault="00C13F86" w:rsidP="005650A5">
            <w:pPr>
              <w:pStyle w:val="Tabletextleft"/>
              <w:rPr>
                <w:b/>
              </w:rPr>
            </w:pPr>
            <w:r w:rsidRPr="005650A5">
              <w:rPr>
                <w:b/>
              </w:rPr>
              <w:t>Denominator</w:t>
            </w:r>
          </w:p>
        </w:tc>
        <w:tc>
          <w:tcPr>
            <w:tcW w:w="1076" w:type="dxa"/>
            <w:vAlign w:val="top"/>
          </w:tcPr>
          <w:p w14:paraId="01622A29" w14:textId="6CFC342A" w:rsidR="00C13F86" w:rsidRPr="005650A5" w:rsidRDefault="001F316C" w:rsidP="005650A5">
            <w:pPr>
              <w:pStyle w:val="Tabletextleft"/>
            </w:pPr>
            <w:r w:rsidRPr="005650A5">
              <w:t>NNDSS</w:t>
            </w:r>
          </w:p>
        </w:tc>
        <w:tc>
          <w:tcPr>
            <w:tcW w:w="4252" w:type="dxa"/>
            <w:vAlign w:val="top"/>
          </w:tcPr>
          <w:p w14:paraId="2DF80AA8" w14:textId="77777777" w:rsidR="00C13F86" w:rsidRPr="005650A5" w:rsidRDefault="00C13F86" w:rsidP="005650A5">
            <w:pPr>
              <w:pStyle w:val="Tabletextleft"/>
            </w:pPr>
            <w:r w:rsidRPr="005650A5">
              <w:t xml:space="preserve">Total number of infectious syphilis notifications reporting sexual exposure to the NNDSS </w:t>
            </w:r>
          </w:p>
        </w:tc>
        <w:tc>
          <w:tcPr>
            <w:tcW w:w="1418" w:type="dxa"/>
            <w:vAlign w:val="top"/>
          </w:tcPr>
          <w:p w14:paraId="1FBD9350" w14:textId="77777777" w:rsidR="00C13F86" w:rsidRPr="005650A5" w:rsidRDefault="00C13F86" w:rsidP="005650A5">
            <w:pPr>
              <w:pStyle w:val="Tabletextleft"/>
            </w:pPr>
            <w:r w:rsidRPr="005650A5">
              <w:t>Australian Centre for Disease Control</w:t>
            </w:r>
          </w:p>
        </w:tc>
        <w:tc>
          <w:tcPr>
            <w:tcW w:w="1701" w:type="dxa"/>
            <w:vAlign w:val="top"/>
          </w:tcPr>
          <w:p w14:paraId="46C92D61" w14:textId="77777777" w:rsidR="00C13F86" w:rsidRPr="005650A5" w:rsidRDefault="00C13F86" w:rsidP="005650A5">
            <w:pPr>
              <w:pStyle w:val="Tabletextleft"/>
            </w:pPr>
            <w:r w:rsidRPr="005650A5">
              <w:t>Quarterly</w:t>
            </w:r>
          </w:p>
        </w:tc>
      </w:tr>
    </w:tbl>
    <w:p w14:paraId="651E527B" w14:textId="5A32F2DC" w:rsidR="0006113E" w:rsidRDefault="002D3309" w:rsidP="005650A5">
      <w:pPr>
        <w:pStyle w:val="Tableheadings"/>
      </w:pPr>
      <w:r>
        <w:t>2.</w:t>
      </w:r>
      <w:r w:rsidR="006461DA">
        <w:t>7</w:t>
      </w:r>
      <w:r>
        <w:t xml:space="preserve"> </w:t>
      </w:r>
      <w:r w:rsidR="0006113E" w:rsidRPr="00F34393">
        <w:t xml:space="preserve">Proportion of infectious syphilis notifications </w:t>
      </w:r>
      <w:r w:rsidR="00174F68">
        <w:t xml:space="preserve">by </w:t>
      </w:r>
      <w:r w:rsidR="001B34E4">
        <w:t xml:space="preserve">primary </w:t>
      </w:r>
      <w:r w:rsidR="00174F68">
        <w:t>reason for testing</w:t>
      </w:r>
      <w:r w:rsidR="000E5924" w:rsidRPr="00E50B9D">
        <w:rPr>
          <w:bCs/>
          <w:vertAlign w:val="superscript"/>
        </w:rPr>
        <w:footnoteReference w:id="14"/>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074"/>
        <w:gridCol w:w="4241"/>
        <w:gridCol w:w="1559"/>
        <w:gridCol w:w="1496"/>
      </w:tblGrid>
      <w:tr w:rsidR="00603A81" w:rsidRPr="005A5438" w14:paraId="09EFF6B7" w14:textId="77777777" w:rsidTr="001501A6">
        <w:trPr>
          <w:cnfStyle w:val="100000000000" w:firstRow="1" w:lastRow="0" w:firstColumn="0" w:lastColumn="0" w:oddVBand="0" w:evenVBand="0" w:oddHBand="0" w:evenHBand="0" w:firstRowFirstColumn="0" w:firstRowLastColumn="0" w:lastRowFirstColumn="0" w:lastRowLastColumn="0"/>
          <w:cantSplit/>
          <w:tblHeader/>
        </w:trPr>
        <w:tc>
          <w:tcPr>
            <w:tcW w:w="1472" w:type="dxa"/>
            <w:vAlign w:val="top"/>
          </w:tcPr>
          <w:p w14:paraId="6241324B" w14:textId="77777777" w:rsidR="004B6F86" w:rsidRPr="005A5438" w:rsidRDefault="004B6F86" w:rsidP="005A5438">
            <w:pPr>
              <w:pStyle w:val="Tabletextleft"/>
              <w:rPr>
                <w:b/>
              </w:rPr>
            </w:pPr>
            <w:r w:rsidRPr="005A5438">
              <w:rPr>
                <w:b/>
              </w:rPr>
              <w:t>Indicator components</w:t>
            </w:r>
          </w:p>
        </w:tc>
        <w:tc>
          <w:tcPr>
            <w:tcW w:w="1075" w:type="dxa"/>
            <w:vAlign w:val="top"/>
          </w:tcPr>
          <w:p w14:paraId="7A3351CA" w14:textId="77777777" w:rsidR="004B6F86" w:rsidRPr="005A5438" w:rsidRDefault="004B6F86" w:rsidP="005A5438">
            <w:pPr>
              <w:pStyle w:val="Tabletextleft"/>
              <w:rPr>
                <w:b/>
              </w:rPr>
            </w:pPr>
            <w:r w:rsidRPr="005A5438">
              <w:rPr>
                <w:b/>
              </w:rPr>
              <w:t>Source</w:t>
            </w:r>
          </w:p>
        </w:tc>
        <w:tc>
          <w:tcPr>
            <w:tcW w:w="4252" w:type="dxa"/>
            <w:vAlign w:val="top"/>
          </w:tcPr>
          <w:p w14:paraId="1DD5BDD4" w14:textId="77777777" w:rsidR="004B6F86" w:rsidRPr="005A5438" w:rsidRDefault="004B6F86" w:rsidP="005A5438">
            <w:pPr>
              <w:pStyle w:val="Tabletextleft"/>
              <w:rPr>
                <w:b/>
              </w:rPr>
            </w:pPr>
            <w:r w:rsidRPr="005A5438">
              <w:rPr>
                <w:b/>
              </w:rPr>
              <w:t>Description</w:t>
            </w:r>
          </w:p>
        </w:tc>
        <w:tc>
          <w:tcPr>
            <w:tcW w:w="1560" w:type="dxa"/>
            <w:vAlign w:val="top"/>
          </w:tcPr>
          <w:p w14:paraId="2BE022D7" w14:textId="77777777" w:rsidR="004B6F86" w:rsidRPr="005A5438" w:rsidRDefault="004B6F86" w:rsidP="005A5438">
            <w:pPr>
              <w:pStyle w:val="Tabletextleft"/>
              <w:rPr>
                <w:b/>
              </w:rPr>
            </w:pPr>
            <w:r w:rsidRPr="005A5438">
              <w:rPr>
                <w:b/>
              </w:rPr>
              <w:t>Custodian/</w:t>
            </w:r>
          </w:p>
          <w:p w14:paraId="50A56E1E" w14:textId="77777777" w:rsidR="004B6F86" w:rsidRPr="005A5438" w:rsidRDefault="004B6F86" w:rsidP="005A5438">
            <w:pPr>
              <w:pStyle w:val="Tabletextleft"/>
              <w:rPr>
                <w:b/>
              </w:rPr>
            </w:pPr>
            <w:r w:rsidRPr="005A5438">
              <w:rPr>
                <w:b/>
              </w:rPr>
              <w:t>stakeholder</w:t>
            </w:r>
          </w:p>
        </w:tc>
        <w:tc>
          <w:tcPr>
            <w:tcW w:w="1497" w:type="dxa"/>
            <w:vAlign w:val="top"/>
          </w:tcPr>
          <w:p w14:paraId="757E50D5" w14:textId="77777777" w:rsidR="004B6F86" w:rsidRPr="005A5438" w:rsidRDefault="004B6F86" w:rsidP="005A5438">
            <w:pPr>
              <w:pStyle w:val="Tabletextleft"/>
              <w:rPr>
                <w:b/>
              </w:rPr>
            </w:pPr>
            <w:r w:rsidRPr="005A5438">
              <w:rPr>
                <w:b/>
              </w:rPr>
              <w:t>Availability of data for reporting</w:t>
            </w:r>
          </w:p>
        </w:tc>
      </w:tr>
      <w:tr w:rsidR="004B6F86" w:rsidRPr="005A5438" w14:paraId="6D4DF2B5" w14:textId="77777777" w:rsidTr="005A5438">
        <w:trPr>
          <w:cnfStyle w:val="000000100000" w:firstRow="0" w:lastRow="0" w:firstColumn="0" w:lastColumn="0" w:oddVBand="0" w:evenVBand="0" w:oddHBand="1" w:evenHBand="0" w:firstRowFirstColumn="0" w:firstRowLastColumn="0" w:lastRowFirstColumn="0" w:lastRowLastColumn="0"/>
          <w:cantSplit/>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55D87D5B" w14:textId="77777777" w:rsidR="004B6F86" w:rsidRPr="005A5438" w:rsidRDefault="004B6F86" w:rsidP="005A5438">
            <w:pPr>
              <w:pStyle w:val="Tabletextleft"/>
              <w:rPr>
                <w:b/>
              </w:rPr>
            </w:pPr>
            <w:r w:rsidRPr="005A5438">
              <w:rPr>
                <w:b/>
              </w:rPr>
              <w:t>Indigenous</w:t>
            </w:r>
          </w:p>
        </w:tc>
      </w:tr>
      <w:tr w:rsidR="00603A81" w:rsidRPr="005A5438" w14:paraId="19348D7E" w14:textId="77777777" w:rsidTr="005A5438">
        <w:trPr>
          <w:cantSplit/>
        </w:trPr>
        <w:tc>
          <w:tcPr>
            <w:tcW w:w="1472" w:type="dxa"/>
            <w:vAlign w:val="top"/>
          </w:tcPr>
          <w:p w14:paraId="6265041C" w14:textId="77777777" w:rsidR="004B6F86" w:rsidRPr="005A5438" w:rsidRDefault="004B6F86" w:rsidP="005A5438">
            <w:pPr>
              <w:pStyle w:val="Tabletextleft"/>
              <w:rPr>
                <w:b/>
              </w:rPr>
            </w:pPr>
            <w:r w:rsidRPr="005A5438">
              <w:rPr>
                <w:b/>
              </w:rPr>
              <w:t>Numerator</w:t>
            </w:r>
          </w:p>
        </w:tc>
        <w:tc>
          <w:tcPr>
            <w:tcW w:w="1075" w:type="dxa"/>
            <w:vAlign w:val="top"/>
          </w:tcPr>
          <w:p w14:paraId="585B97D6" w14:textId="674D5FA7" w:rsidR="004B6F86" w:rsidRPr="005A5438" w:rsidRDefault="004B6F86" w:rsidP="005A5438">
            <w:pPr>
              <w:pStyle w:val="Tabletextleft"/>
            </w:pPr>
            <w:r w:rsidRPr="005A5438">
              <w:t>NNDSS</w:t>
            </w:r>
          </w:p>
        </w:tc>
        <w:tc>
          <w:tcPr>
            <w:tcW w:w="4252" w:type="dxa"/>
            <w:vAlign w:val="top"/>
          </w:tcPr>
          <w:p w14:paraId="4CDCDBA3" w14:textId="7AE79150" w:rsidR="004B6F86" w:rsidRPr="005A5438" w:rsidRDefault="004B6F86" w:rsidP="005A5438">
            <w:pPr>
              <w:pStyle w:val="Tabletextleft"/>
            </w:pPr>
            <w:r w:rsidRPr="005A5438">
              <w:t xml:space="preserve">Number of infectious syphilis notifications reported in Indigenous </w:t>
            </w:r>
            <w:r w:rsidR="00CD1C00" w:rsidRPr="005A5438">
              <w:t>people by</w:t>
            </w:r>
            <w:r w:rsidR="001B34E4" w:rsidRPr="005A5438">
              <w:t xml:space="preserve"> primary</w:t>
            </w:r>
            <w:r w:rsidR="00CD1C00" w:rsidRPr="005A5438">
              <w:t xml:space="preserve"> reason for testing</w:t>
            </w:r>
          </w:p>
        </w:tc>
        <w:tc>
          <w:tcPr>
            <w:tcW w:w="1560" w:type="dxa"/>
            <w:vAlign w:val="top"/>
          </w:tcPr>
          <w:p w14:paraId="4FE2CF76" w14:textId="77777777" w:rsidR="004B6F86" w:rsidRPr="005A5438" w:rsidRDefault="004B6F86" w:rsidP="005A5438">
            <w:pPr>
              <w:pStyle w:val="Tabletextleft"/>
            </w:pPr>
            <w:r w:rsidRPr="005A5438">
              <w:t>Australian Centre for Disease Control</w:t>
            </w:r>
          </w:p>
        </w:tc>
        <w:tc>
          <w:tcPr>
            <w:tcW w:w="1497" w:type="dxa"/>
            <w:vAlign w:val="top"/>
          </w:tcPr>
          <w:p w14:paraId="4B3DB423" w14:textId="4FC8E339" w:rsidR="004B6F86" w:rsidRPr="005A5438" w:rsidRDefault="004B6F86" w:rsidP="005A5438">
            <w:pPr>
              <w:pStyle w:val="Tabletextleft"/>
            </w:pPr>
            <w:r w:rsidRPr="005A5438">
              <w:t>Annually</w:t>
            </w:r>
          </w:p>
        </w:tc>
      </w:tr>
      <w:tr w:rsidR="00603A81" w:rsidRPr="005A5438" w14:paraId="29CB08CE" w14:textId="77777777" w:rsidTr="005A5438">
        <w:trPr>
          <w:cnfStyle w:val="000000100000" w:firstRow="0" w:lastRow="0" w:firstColumn="0" w:lastColumn="0" w:oddVBand="0" w:evenVBand="0" w:oddHBand="1" w:evenHBand="0" w:firstRowFirstColumn="0" w:firstRowLastColumn="0" w:lastRowFirstColumn="0" w:lastRowLastColumn="0"/>
          <w:cantSplit/>
        </w:trPr>
        <w:tc>
          <w:tcPr>
            <w:tcW w:w="147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024C809" w14:textId="77777777" w:rsidR="004B6F86" w:rsidRPr="005A5438" w:rsidRDefault="004B6F86" w:rsidP="005A5438">
            <w:pPr>
              <w:pStyle w:val="Tabletextleft"/>
              <w:rPr>
                <w:b/>
              </w:rPr>
            </w:pPr>
            <w:r w:rsidRPr="005A5438">
              <w:rPr>
                <w:b/>
              </w:rPr>
              <w:t>Denominator</w:t>
            </w:r>
          </w:p>
        </w:tc>
        <w:tc>
          <w:tcPr>
            <w:tcW w:w="107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E1AA9A7" w14:textId="4C5C990D" w:rsidR="004B6F86" w:rsidRPr="005A5438" w:rsidRDefault="001F316C" w:rsidP="005A5438">
            <w:pPr>
              <w:pStyle w:val="Tabletextleft"/>
            </w:pPr>
            <w:r w:rsidRPr="005A5438">
              <w:t>NNDSS</w:t>
            </w:r>
          </w:p>
        </w:tc>
        <w:tc>
          <w:tcPr>
            <w:tcW w:w="425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FEB6834" w14:textId="7954A206" w:rsidR="004B6F86" w:rsidRPr="005A5438" w:rsidRDefault="00425357" w:rsidP="005A5438">
            <w:pPr>
              <w:pStyle w:val="Tabletextleft"/>
            </w:pPr>
            <w:r w:rsidRPr="005A5438">
              <w:t xml:space="preserve">Total number of infectious syphilis notifications reported in </w:t>
            </w:r>
            <w:r w:rsidR="00026996" w:rsidRPr="005A5438">
              <w:t xml:space="preserve">Indigenous people </w:t>
            </w:r>
            <w:r w:rsidRPr="005A5438">
              <w:t xml:space="preserve">reporting a </w:t>
            </w:r>
            <w:r w:rsidR="0060296D" w:rsidRPr="005A5438">
              <w:t xml:space="preserve">primary </w:t>
            </w:r>
            <w:r w:rsidRPr="005A5438">
              <w:t>reason for testing to the NNDSS</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509422B" w14:textId="21D2121F" w:rsidR="004B6F86" w:rsidRPr="005A5438" w:rsidRDefault="00425357" w:rsidP="005A5438">
            <w:pPr>
              <w:pStyle w:val="Tabletextleft"/>
            </w:pPr>
            <w:r w:rsidRPr="005A5438">
              <w:t>Australian Centre for Disease Control</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F3C5D10" w14:textId="77777777" w:rsidR="004B6F86" w:rsidRPr="005A5438" w:rsidRDefault="004B6F86" w:rsidP="005A5438">
            <w:pPr>
              <w:pStyle w:val="Tabletextleft"/>
            </w:pPr>
            <w:r w:rsidRPr="005A5438">
              <w:t>Annually</w:t>
            </w:r>
          </w:p>
        </w:tc>
      </w:tr>
      <w:tr w:rsidR="004B6F86" w:rsidRPr="005A5438" w14:paraId="1FC776C7" w14:textId="77777777" w:rsidTr="005A5438">
        <w:trPr>
          <w:cantSplit/>
        </w:trPr>
        <w:tc>
          <w:tcPr>
            <w:tcW w:w="9856" w:type="dxa"/>
            <w:gridSpan w:val="5"/>
            <w:shd w:val="clear" w:color="auto" w:fill="BEFEE9"/>
            <w:vAlign w:val="top"/>
          </w:tcPr>
          <w:p w14:paraId="6D1D8014" w14:textId="77777777" w:rsidR="004B6F86" w:rsidRPr="005A5438" w:rsidRDefault="004B6F86" w:rsidP="005A5438">
            <w:pPr>
              <w:pStyle w:val="Tabletextleft"/>
              <w:keepNext/>
              <w:rPr>
                <w:b/>
              </w:rPr>
            </w:pPr>
            <w:r w:rsidRPr="005A5438">
              <w:rPr>
                <w:b/>
              </w:rPr>
              <w:lastRenderedPageBreak/>
              <w:t>Non-Indigenous</w:t>
            </w:r>
          </w:p>
        </w:tc>
      </w:tr>
      <w:tr w:rsidR="00603A81" w:rsidRPr="005A5438" w14:paraId="3A372BF4" w14:textId="77777777" w:rsidTr="005A5438">
        <w:trPr>
          <w:cnfStyle w:val="000000100000" w:firstRow="0" w:lastRow="0" w:firstColumn="0" w:lastColumn="0" w:oddVBand="0" w:evenVBand="0" w:oddHBand="1" w:evenHBand="0" w:firstRowFirstColumn="0" w:firstRowLastColumn="0" w:lastRowFirstColumn="0" w:lastRowLastColumn="0"/>
          <w:cantSplit/>
        </w:trPr>
        <w:tc>
          <w:tcPr>
            <w:tcW w:w="147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2247F58" w14:textId="77777777" w:rsidR="00425357" w:rsidRPr="005A5438" w:rsidRDefault="00425357" w:rsidP="005A5438">
            <w:pPr>
              <w:pStyle w:val="Tabletextleft"/>
              <w:rPr>
                <w:b/>
              </w:rPr>
            </w:pPr>
            <w:r w:rsidRPr="005A5438">
              <w:rPr>
                <w:b/>
              </w:rPr>
              <w:t>Numerator</w:t>
            </w:r>
          </w:p>
        </w:tc>
        <w:tc>
          <w:tcPr>
            <w:tcW w:w="107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D361EA6" w14:textId="299846C5" w:rsidR="00425357" w:rsidRPr="005A5438" w:rsidRDefault="00425357" w:rsidP="005A5438">
            <w:pPr>
              <w:pStyle w:val="Tabletextleft"/>
            </w:pPr>
            <w:r w:rsidRPr="005A5438">
              <w:t>NNDSS</w:t>
            </w:r>
          </w:p>
        </w:tc>
        <w:tc>
          <w:tcPr>
            <w:tcW w:w="425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0428B50" w14:textId="0966D302" w:rsidR="00425357" w:rsidRPr="005A5438" w:rsidRDefault="00425357" w:rsidP="005A5438">
            <w:pPr>
              <w:pStyle w:val="Tabletextleft"/>
            </w:pPr>
            <w:r w:rsidRPr="005A5438">
              <w:t xml:space="preserve">Number of infectious syphilis notifications reported in </w:t>
            </w:r>
            <w:r w:rsidR="000E5924" w:rsidRPr="005A5438">
              <w:t>non-</w:t>
            </w:r>
            <w:r w:rsidRPr="005A5438">
              <w:t xml:space="preserve">Indigenous people by </w:t>
            </w:r>
            <w:r w:rsidR="0060296D" w:rsidRPr="005A5438">
              <w:t xml:space="preserve">primary </w:t>
            </w:r>
            <w:r w:rsidRPr="005A5438">
              <w:t>reason for testing</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3E76111" w14:textId="1E535745" w:rsidR="00425357" w:rsidRPr="005A5438" w:rsidRDefault="00425357" w:rsidP="005A5438">
            <w:pPr>
              <w:pStyle w:val="Tabletextleft"/>
            </w:pPr>
            <w:r w:rsidRPr="005A5438">
              <w:t>Australian Centre for Disease Control</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E839D53" w14:textId="2232C2CB" w:rsidR="00425357" w:rsidRPr="005A5438" w:rsidRDefault="00425357" w:rsidP="005A5438">
            <w:pPr>
              <w:pStyle w:val="Tabletextleft"/>
            </w:pPr>
            <w:r w:rsidRPr="005A5438">
              <w:t>Annually</w:t>
            </w:r>
          </w:p>
        </w:tc>
      </w:tr>
      <w:tr w:rsidR="00603A81" w:rsidRPr="005A5438" w14:paraId="57637294" w14:textId="77777777" w:rsidTr="005A5438">
        <w:trPr>
          <w:cantSplit/>
        </w:trPr>
        <w:tc>
          <w:tcPr>
            <w:tcW w:w="1472" w:type="dxa"/>
            <w:vAlign w:val="top"/>
          </w:tcPr>
          <w:p w14:paraId="719E0F52" w14:textId="77777777" w:rsidR="00425357" w:rsidRPr="005A5438" w:rsidRDefault="00425357" w:rsidP="005A5438">
            <w:pPr>
              <w:pStyle w:val="Tabletextleft"/>
              <w:rPr>
                <w:b/>
              </w:rPr>
            </w:pPr>
            <w:r w:rsidRPr="005A5438">
              <w:rPr>
                <w:b/>
              </w:rPr>
              <w:t>Denominator</w:t>
            </w:r>
          </w:p>
        </w:tc>
        <w:tc>
          <w:tcPr>
            <w:tcW w:w="1075" w:type="dxa"/>
            <w:vAlign w:val="top"/>
          </w:tcPr>
          <w:p w14:paraId="57BEBB44" w14:textId="0BDBAF0F" w:rsidR="00425357" w:rsidRPr="005A5438" w:rsidRDefault="001F316C" w:rsidP="005A5438">
            <w:pPr>
              <w:pStyle w:val="Tabletextleft"/>
            </w:pPr>
            <w:r w:rsidRPr="005A5438">
              <w:t>NNDSS</w:t>
            </w:r>
          </w:p>
        </w:tc>
        <w:tc>
          <w:tcPr>
            <w:tcW w:w="4252" w:type="dxa"/>
            <w:vAlign w:val="top"/>
          </w:tcPr>
          <w:p w14:paraId="4B2310EB" w14:textId="4F3C594A" w:rsidR="00425357" w:rsidRPr="005A5438" w:rsidRDefault="00425357" w:rsidP="005A5438">
            <w:pPr>
              <w:pStyle w:val="Tabletextleft"/>
            </w:pPr>
            <w:r w:rsidRPr="005A5438">
              <w:t xml:space="preserve">Total number of infectious syphilis notifications reported in non-Indigenous people reporting a </w:t>
            </w:r>
            <w:r w:rsidR="0060296D" w:rsidRPr="005A5438">
              <w:t xml:space="preserve">primary </w:t>
            </w:r>
            <w:r w:rsidRPr="005A5438">
              <w:t>reason for testing to the NNDSS</w:t>
            </w:r>
          </w:p>
        </w:tc>
        <w:tc>
          <w:tcPr>
            <w:tcW w:w="1560" w:type="dxa"/>
            <w:vAlign w:val="top"/>
          </w:tcPr>
          <w:p w14:paraId="1B4CF2D2" w14:textId="50E2C555" w:rsidR="00425357" w:rsidRPr="005A5438" w:rsidRDefault="00425357" w:rsidP="005A5438">
            <w:pPr>
              <w:pStyle w:val="Tabletextleft"/>
            </w:pPr>
            <w:r w:rsidRPr="005A5438">
              <w:t>Australian Centre for Disease Control</w:t>
            </w:r>
          </w:p>
        </w:tc>
        <w:tc>
          <w:tcPr>
            <w:tcW w:w="1497" w:type="dxa"/>
            <w:vAlign w:val="top"/>
          </w:tcPr>
          <w:p w14:paraId="720C27E5" w14:textId="29550296" w:rsidR="00425357" w:rsidRPr="005A5438" w:rsidRDefault="00425357" w:rsidP="005A5438">
            <w:pPr>
              <w:pStyle w:val="Tabletextleft"/>
            </w:pPr>
            <w:r w:rsidRPr="005A5438">
              <w:t>Annually</w:t>
            </w:r>
          </w:p>
        </w:tc>
      </w:tr>
    </w:tbl>
    <w:p w14:paraId="5D0F3C96" w14:textId="168A2E5B" w:rsidR="0006113E" w:rsidRPr="00F34393" w:rsidRDefault="002D3309" w:rsidP="001501A6">
      <w:pPr>
        <w:pStyle w:val="Tableheadings"/>
      </w:pPr>
      <w:r>
        <w:t>2.</w:t>
      </w:r>
      <w:r w:rsidR="006461DA">
        <w:t>8</w:t>
      </w:r>
      <w:r>
        <w:t xml:space="preserve"> </w:t>
      </w:r>
      <w:r w:rsidR="0006113E" w:rsidRPr="00F34393">
        <w:t xml:space="preserve">Proportion </w:t>
      </w:r>
      <w:r w:rsidR="00A85F92">
        <w:t>of</w:t>
      </w:r>
      <w:r w:rsidR="001F316C">
        <w:t xml:space="preserve"> infectious syphilis notification in</w:t>
      </w:r>
      <w:r w:rsidR="00A85F92">
        <w:t xml:space="preserve"> </w:t>
      </w:r>
      <w:r w:rsidR="00867187">
        <w:t>gay</w:t>
      </w:r>
      <w:r w:rsidR="009367A0">
        <w:t xml:space="preserve">, </w:t>
      </w:r>
      <w:r w:rsidR="00867187">
        <w:t>bisexual</w:t>
      </w:r>
      <w:r w:rsidR="009367A0">
        <w:t>, and other</w:t>
      </w:r>
      <w:r w:rsidR="00867187">
        <w:t xml:space="preserve"> men who have sex with men</w:t>
      </w:r>
      <w:r w:rsidR="008B2FC6" w:rsidRPr="00E50B9D">
        <w:rPr>
          <w:bCs/>
          <w:vertAlign w:val="superscript"/>
        </w:rPr>
        <w:footnoteReference w:id="15"/>
      </w:r>
      <w:r w:rsidR="009336A6">
        <w:t xml:space="preserve"> </w:t>
      </w:r>
      <w:r w:rsidR="001F316C">
        <w:t xml:space="preserve">reporting HIV </w:t>
      </w:r>
      <w:proofErr w:type="spellStart"/>
      <w:r w:rsidR="001F316C">
        <w:t>PrEP</w:t>
      </w:r>
      <w:proofErr w:type="spellEnd"/>
      <w:r w:rsidR="001F316C">
        <w:t xml:space="preserve"> use</w:t>
      </w:r>
      <w:r w:rsidR="00FE3760" w:rsidRPr="00E50B9D">
        <w:rPr>
          <w:bCs/>
          <w:vertAlign w:val="superscript"/>
        </w:rPr>
        <w:footnoteReference w:id="16"/>
      </w:r>
      <w:r w:rsidR="001F316C">
        <w:t xml:space="preserve"> at time of syphilis diagnosis</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322"/>
        <w:gridCol w:w="3990"/>
        <w:gridCol w:w="1558"/>
        <w:gridCol w:w="1278"/>
      </w:tblGrid>
      <w:tr w:rsidR="00A063B7" w:rsidRPr="001442C7" w14:paraId="3F5E0F81" w14:textId="77777777" w:rsidTr="001442C7">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4" w:space="0" w:color="auto"/>
            </w:tcBorders>
            <w:vAlign w:val="top"/>
          </w:tcPr>
          <w:p w14:paraId="2C94323E" w14:textId="77777777" w:rsidR="0006113E" w:rsidRPr="001442C7" w:rsidRDefault="0006113E" w:rsidP="001442C7">
            <w:pPr>
              <w:pStyle w:val="Tabletextleft"/>
              <w:rPr>
                <w:b/>
              </w:rPr>
            </w:pPr>
            <w:r w:rsidRPr="001442C7">
              <w:rPr>
                <w:b/>
              </w:rPr>
              <w:t>Indicator components</w:t>
            </w:r>
          </w:p>
        </w:tc>
        <w:tc>
          <w:tcPr>
            <w:tcW w:w="1325" w:type="dxa"/>
            <w:tcBorders>
              <w:bottom w:val="single" w:sz="4" w:space="0" w:color="auto"/>
            </w:tcBorders>
            <w:vAlign w:val="top"/>
          </w:tcPr>
          <w:p w14:paraId="4C582FA4" w14:textId="77777777" w:rsidR="0006113E" w:rsidRPr="001442C7" w:rsidRDefault="0006113E" w:rsidP="001442C7">
            <w:pPr>
              <w:pStyle w:val="Tabletextleft"/>
              <w:rPr>
                <w:b/>
              </w:rPr>
            </w:pPr>
            <w:r w:rsidRPr="001442C7">
              <w:rPr>
                <w:b/>
              </w:rPr>
              <w:t>Source</w:t>
            </w:r>
          </w:p>
        </w:tc>
        <w:tc>
          <w:tcPr>
            <w:tcW w:w="4003" w:type="dxa"/>
            <w:tcBorders>
              <w:bottom w:val="single" w:sz="4" w:space="0" w:color="auto"/>
            </w:tcBorders>
            <w:vAlign w:val="top"/>
          </w:tcPr>
          <w:p w14:paraId="6E288C7A" w14:textId="77777777" w:rsidR="0006113E" w:rsidRPr="001442C7" w:rsidRDefault="0006113E" w:rsidP="001442C7">
            <w:pPr>
              <w:pStyle w:val="Tabletextleft"/>
              <w:rPr>
                <w:b/>
              </w:rPr>
            </w:pPr>
            <w:r w:rsidRPr="001442C7">
              <w:rPr>
                <w:b/>
              </w:rPr>
              <w:t>Description</w:t>
            </w:r>
          </w:p>
        </w:tc>
        <w:tc>
          <w:tcPr>
            <w:tcW w:w="1559" w:type="dxa"/>
            <w:tcBorders>
              <w:bottom w:val="single" w:sz="4" w:space="0" w:color="auto"/>
            </w:tcBorders>
            <w:vAlign w:val="top"/>
          </w:tcPr>
          <w:p w14:paraId="24A225B9" w14:textId="77777777" w:rsidR="0006113E" w:rsidRPr="001442C7" w:rsidRDefault="0006113E" w:rsidP="001442C7">
            <w:pPr>
              <w:pStyle w:val="Tabletextleft"/>
              <w:rPr>
                <w:b/>
              </w:rPr>
            </w:pPr>
            <w:r w:rsidRPr="001442C7">
              <w:rPr>
                <w:b/>
              </w:rPr>
              <w:t>Custodian/</w:t>
            </w:r>
          </w:p>
          <w:p w14:paraId="7B8DF85B" w14:textId="77777777" w:rsidR="0006113E" w:rsidRPr="001442C7" w:rsidRDefault="0006113E" w:rsidP="001442C7">
            <w:pPr>
              <w:pStyle w:val="Tabletextleft"/>
              <w:rPr>
                <w:b/>
              </w:rPr>
            </w:pPr>
            <w:r w:rsidRPr="001442C7">
              <w:rPr>
                <w:b/>
              </w:rPr>
              <w:t>stakeholder</w:t>
            </w:r>
          </w:p>
        </w:tc>
        <w:tc>
          <w:tcPr>
            <w:tcW w:w="1276" w:type="dxa"/>
            <w:tcBorders>
              <w:bottom w:val="single" w:sz="4" w:space="0" w:color="auto"/>
            </w:tcBorders>
            <w:vAlign w:val="top"/>
          </w:tcPr>
          <w:p w14:paraId="107DA636" w14:textId="77777777" w:rsidR="0006113E" w:rsidRPr="001442C7" w:rsidRDefault="0006113E" w:rsidP="001442C7">
            <w:pPr>
              <w:pStyle w:val="Tabletextleft"/>
              <w:rPr>
                <w:b/>
              </w:rPr>
            </w:pPr>
            <w:r w:rsidRPr="001442C7">
              <w:rPr>
                <w:b/>
              </w:rPr>
              <w:t>Availability of data for reporting</w:t>
            </w:r>
          </w:p>
        </w:tc>
      </w:tr>
      <w:tr w:rsidR="00A063B7" w:rsidRPr="001442C7" w14:paraId="6F7EE7D1" w14:textId="77777777" w:rsidTr="001442C7">
        <w:trPr>
          <w:cnfStyle w:val="000000100000" w:firstRow="0" w:lastRow="0" w:firstColumn="0" w:lastColumn="0" w:oddVBand="0" w:evenVBand="0" w:oddHBand="1" w:evenHBand="0"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vAlign w:val="top"/>
          </w:tcPr>
          <w:p w14:paraId="16858FF2" w14:textId="77777777" w:rsidR="0006113E" w:rsidRPr="001442C7" w:rsidRDefault="0006113E" w:rsidP="001442C7">
            <w:pPr>
              <w:pStyle w:val="Tabletextleft"/>
              <w:rPr>
                <w:b/>
              </w:rPr>
            </w:pPr>
            <w:r w:rsidRPr="001442C7">
              <w:rPr>
                <w:b/>
              </w:rPr>
              <w:t>Numerator</w:t>
            </w:r>
          </w:p>
        </w:tc>
        <w:tc>
          <w:tcPr>
            <w:tcW w:w="1325" w:type="dxa"/>
            <w:tcBorders>
              <w:top w:val="single" w:sz="4" w:space="0" w:color="auto"/>
              <w:left w:val="single" w:sz="4" w:space="0" w:color="auto"/>
              <w:bottom w:val="single" w:sz="4" w:space="0" w:color="auto"/>
              <w:right w:val="single" w:sz="4" w:space="0" w:color="auto"/>
            </w:tcBorders>
            <w:vAlign w:val="top"/>
          </w:tcPr>
          <w:p w14:paraId="1CF006B7" w14:textId="1B3517D7" w:rsidR="0006113E" w:rsidRPr="001442C7" w:rsidRDefault="0006113E" w:rsidP="001442C7">
            <w:pPr>
              <w:pStyle w:val="Tabletextleft"/>
            </w:pPr>
            <w:r w:rsidRPr="001442C7">
              <w:t>NNDSS</w:t>
            </w:r>
          </w:p>
        </w:tc>
        <w:tc>
          <w:tcPr>
            <w:tcW w:w="4003" w:type="dxa"/>
            <w:tcBorders>
              <w:top w:val="single" w:sz="4" w:space="0" w:color="auto"/>
              <w:left w:val="single" w:sz="4" w:space="0" w:color="auto"/>
              <w:bottom w:val="single" w:sz="4" w:space="0" w:color="auto"/>
              <w:right w:val="single" w:sz="4" w:space="0" w:color="auto"/>
            </w:tcBorders>
            <w:vAlign w:val="top"/>
          </w:tcPr>
          <w:p w14:paraId="3F3E5F1D" w14:textId="4E210424" w:rsidR="0006113E" w:rsidRPr="001442C7" w:rsidRDefault="00D87C6D" w:rsidP="001442C7">
            <w:pPr>
              <w:pStyle w:val="Tabletextleft"/>
            </w:pPr>
            <w:r w:rsidRPr="001442C7">
              <w:t>Number of infectious syphilis notifications reported in gay</w:t>
            </w:r>
            <w:r w:rsidR="00462BD0">
              <w:t>,</w:t>
            </w:r>
            <w:r w:rsidRPr="001442C7">
              <w:t xml:space="preserve"> bisexual</w:t>
            </w:r>
            <w:r w:rsidR="00BD03F4">
              <w:t>, and other</w:t>
            </w:r>
            <w:r w:rsidRPr="001442C7">
              <w:t xml:space="preserve"> men who have sex with men </w:t>
            </w:r>
            <w:r w:rsidR="004012E1" w:rsidRPr="001442C7">
              <w:t xml:space="preserve">by HIV </w:t>
            </w:r>
            <w:proofErr w:type="spellStart"/>
            <w:r w:rsidR="004012E1" w:rsidRPr="001442C7">
              <w:t>PrEP</w:t>
            </w:r>
            <w:proofErr w:type="spellEnd"/>
            <w:r w:rsidR="004012E1" w:rsidRPr="001442C7">
              <w:t xml:space="preserve"> use at time of syphilis diagnosis</w:t>
            </w:r>
          </w:p>
        </w:tc>
        <w:tc>
          <w:tcPr>
            <w:tcW w:w="1559" w:type="dxa"/>
            <w:tcBorders>
              <w:top w:val="single" w:sz="4" w:space="0" w:color="auto"/>
              <w:left w:val="single" w:sz="4" w:space="0" w:color="auto"/>
              <w:bottom w:val="single" w:sz="4" w:space="0" w:color="auto"/>
              <w:right w:val="single" w:sz="4" w:space="0" w:color="auto"/>
            </w:tcBorders>
            <w:vAlign w:val="top"/>
          </w:tcPr>
          <w:p w14:paraId="56D3C40F" w14:textId="77777777" w:rsidR="0006113E" w:rsidRPr="001442C7" w:rsidRDefault="0006113E" w:rsidP="001442C7">
            <w:pPr>
              <w:pStyle w:val="Tabletextleft"/>
            </w:pPr>
            <w:r w:rsidRPr="001442C7">
              <w:t>Australian Centre for Disease Control</w:t>
            </w:r>
          </w:p>
        </w:tc>
        <w:tc>
          <w:tcPr>
            <w:tcW w:w="1276" w:type="dxa"/>
            <w:tcBorders>
              <w:top w:val="single" w:sz="4" w:space="0" w:color="auto"/>
              <w:left w:val="single" w:sz="4" w:space="0" w:color="auto"/>
              <w:bottom w:val="single" w:sz="4" w:space="0" w:color="auto"/>
              <w:right w:val="single" w:sz="4" w:space="0" w:color="auto"/>
            </w:tcBorders>
            <w:vAlign w:val="top"/>
          </w:tcPr>
          <w:p w14:paraId="15155C34" w14:textId="77232A4F" w:rsidR="0006113E" w:rsidRPr="001442C7" w:rsidRDefault="001F316C" w:rsidP="001442C7">
            <w:pPr>
              <w:pStyle w:val="Tabletextleft"/>
            </w:pPr>
            <w:r w:rsidRPr="001442C7">
              <w:t>Annually</w:t>
            </w:r>
          </w:p>
        </w:tc>
      </w:tr>
      <w:tr w:rsidR="004012E1" w:rsidRPr="001442C7" w14:paraId="03051661" w14:textId="77777777" w:rsidTr="001442C7">
        <w:tc>
          <w:tcPr>
            <w:tcW w:w="0" w:type="auto"/>
            <w:tcBorders>
              <w:top w:val="single" w:sz="4" w:space="0" w:color="auto"/>
            </w:tcBorders>
            <w:vAlign w:val="top"/>
          </w:tcPr>
          <w:p w14:paraId="72902E37" w14:textId="77777777" w:rsidR="004012E1" w:rsidRPr="001442C7" w:rsidRDefault="004012E1" w:rsidP="001442C7">
            <w:pPr>
              <w:pStyle w:val="Tabletextleft"/>
              <w:rPr>
                <w:b/>
              </w:rPr>
            </w:pPr>
            <w:r w:rsidRPr="001442C7">
              <w:rPr>
                <w:b/>
              </w:rPr>
              <w:t>Denominator</w:t>
            </w:r>
          </w:p>
        </w:tc>
        <w:tc>
          <w:tcPr>
            <w:tcW w:w="1325" w:type="dxa"/>
            <w:tcBorders>
              <w:top w:val="single" w:sz="4" w:space="0" w:color="auto"/>
            </w:tcBorders>
            <w:vAlign w:val="top"/>
          </w:tcPr>
          <w:p w14:paraId="2049E666" w14:textId="6FD6B8CB" w:rsidR="004012E1" w:rsidRPr="001442C7" w:rsidRDefault="004012E1" w:rsidP="001442C7">
            <w:pPr>
              <w:pStyle w:val="Tabletextleft"/>
            </w:pPr>
            <w:r w:rsidRPr="001442C7">
              <w:t>NNDSS</w:t>
            </w:r>
          </w:p>
        </w:tc>
        <w:tc>
          <w:tcPr>
            <w:tcW w:w="4003" w:type="dxa"/>
            <w:tcBorders>
              <w:top w:val="single" w:sz="4" w:space="0" w:color="auto"/>
            </w:tcBorders>
            <w:vAlign w:val="top"/>
          </w:tcPr>
          <w:p w14:paraId="4E18989E" w14:textId="799D7DD8" w:rsidR="004012E1" w:rsidRPr="001442C7" w:rsidRDefault="004012E1" w:rsidP="001442C7">
            <w:pPr>
              <w:pStyle w:val="Tabletextleft"/>
            </w:pPr>
            <w:r w:rsidRPr="001442C7">
              <w:t>Total number of infectious syphilis notifications reported in gay</w:t>
            </w:r>
            <w:r w:rsidR="00BD03F4">
              <w:t>,</w:t>
            </w:r>
            <w:r w:rsidR="00E31A50">
              <w:t xml:space="preserve"> </w:t>
            </w:r>
            <w:r w:rsidRPr="001442C7">
              <w:t>bisexual</w:t>
            </w:r>
            <w:r w:rsidR="00E0656F">
              <w:t>, and other</w:t>
            </w:r>
            <w:r w:rsidRPr="001442C7">
              <w:t xml:space="preserve"> men who have sex with men </w:t>
            </w:r>
            <w:r w:rsidR="00FD36CF" w:rsidRPr="001442C7">
              <w:t xml:space="preserve">reporting HIV </w:t>
            </w:r>
            <w:proofErr w:type="spellStart"/>
            <w:r w:rsidR="00FD36CF" w:rsidRPr="001442C7">
              <w:t>PrEP</w:t>
            </w:r>
            <w:proofErr w:type="spellEnd"/>
            <w:r w:rsidR="00925D41" w:rsidRPr="001442C7">
              <w:t xml:space="preserve"> use at </w:t>
            </w:r>
            <w:r w:rsidR="00FE3760" w:rsidRPr="001442C7">
              <w:t>time of syphilis diagnosis</w:t>
            </w:r>
          </w:p>
        </w:tc>
        <w:tc>
          <w:tcPr>
            <w:tcW w:w="1559" w:type="dxa"/>
            <w:tcBorders>
              <w:top w:val="single" w:sz="4" w:space="0" w:color="auto"/>
            </w:tcBorders>
            <w:vAlign w:val="top"/>
          </w:tcPr>
          <w:p w14:paraId="20A3BCC4" w14:textId="77777777" w:rsidR="004012E1" w:rsidRPr="001442C7" w:rsidRDefault="004012E1" w:rsidP="001442C7">
            <w:pPr>
              <w:pStyle w:val="Tabletextleft"/>
            </w:pPr>
            <w:r w:rsidRPr="001442C7">
              <w:t>Australian Centre for Disease Control</w:t>
            </w:r>
          </w:p>
        </w:tc>
        <w:tc>
          <w:tcPr>
            <w:tcW w:w="1276" w:type="dxa"/>
            <w:tcBorders>
              <w:top w:val="single" w:sz="4" w:space="0" w:color="auto"/>
            </w:tcBorders>
            <w:vAlign w:val="top"/>
          </w:tcPr>
          <w:p w14:paraId="448D7D1A" w14:textId="71F2CB46" w:rsidR="004012E1" w:rsidRPr="001442C7" w:rsidRDefault="004012E1" w:rsidP="001442C7">
            <w:pPr>
              <w:pStyle w:val="Tabletextleft"/>
            </w:pPr>
            <w:r w:rsidRPr="001442C7">
              <w:t>Annually</w:t>
            </w:r>
          </w:p>
        </w:tc>
      </w:tr>
    </w:tbl>
    <w:p w14:paraId="3762A4FC" w14:textId="52646AB9" w:rsidR="00AD5300" w:rsidRDefault="008158AD" w:rsidP="001442C7">
      <w:pPr>
        <w:pStyle w:val="Tableheadings"/>
        <w:pageBreakBefore/>
      </w:pPr>
      <w:r>
        <w:lastRenderedPageBreak/>
        <w:t>2.</w:t>
      </w:r>
      <w:r w:rsidR="006461DA">
        <w:t>9</w:t>
      </w:r>
      <w:r>
        <w:t xml:space="preserve"> </w:t>
      </w:r>
      <w:r w:rsidR="00AD5300" w:rsidRPr="00F34393">
        <w:t xml:space="preserve">Proportion of infectious syphilis notifications </w:t>
      </w:r>
      <w:r w:rsidR="00AD5300">
        <w:t xml:space="preserve">by </w:t>
      </w:r>
      <w:r w:rsidR="000A00AA">
        <w:t>clinical facility</w:t>
      </w:r>
      <w:r w:rsidRPr="00E50B9D">
        <w:rPr>
          <w:bCs/>
          <w:vertAlign w:val="superscript"/>
        </w:rPr>
        <w:footnoteReference w:id="17"/>
      </w:r>
      <w:r w:rsidR="000A00AA">
        <w:t xml:space="preserve"> where the </w:t>
      </w:r>
      <w:r w:rsidR="00400F10">
        <w:t>syphilis infection was diagnosed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42"/>
        <w:gridCol w:w="4110"/>
        <w:gridCol w:w="1607"/>
        <w:gridCol w:w="1278"/>
      </w:tblGrid>
      <w:tr w:rsidR="00AD5300" w:rsidRPr="001442C7" w14:paraId="753D07FA" w14:textId="77777777" w:rsidTr="001442C7">
        <w:trPr>
          <w:cnfStyle w:val="100000000000" w:firstRow="1" w:lastRow="0" w:firstColumn="0" w:lastColumn="0" w:oddVBand="0" w:evenVBand="0" w:oddHBand="0" w:evenHBand="0" w:firstRowFirstColumn="0" w:firstRowLastColumn="0" w:lastRowFirstColumn="0" w:lastRowLastColumn="0"/>
          <w:cantSplit/>
        </w:trPr>
        <w:tc>
          <w:tcPr>
            <w:tcW w:w="0" w:type="auto"/>
            <w:vAlign w:val="top"/>
          </w:tcPr>
          <w:p w14:paraId="5E602FF6" w14:textId="77777777" w:rsidR="00AD5300" w:rsidRPr="001442C7" w:rsidRDefault="00AD5300" w:rsidP="001442C7">
            <w:pPr>
              <w:pStyle w:val="Tabletextleft"/>
              <w:rPr>
                <w:b/>
              </w:rPr>
            </w:pPr>
            <w:r w:rsidRPr="001442C7">
              <w:rPr>
                <w:b/>
              </w:rPr>
              <w:t>Indicator components</w:t>
            </w:r>
          </w:p>
        </w:tc>
        <w:tc>
          <w:tcPr>
            <w:tcW w:w="1142" w:type="dxa"/>
            <w:vAlign w:val="top"/>
          </w:tcPr>
          <w:p w14:paraId="2B1CD718" w14:textId="77777777" w:rsidR="00AD5300" w:rsidRPr="001442C7" w:rsidRDefault="00AD5300" w:rsidP="001442C7">
            <w:pPr>
              <w:pStyle w:val="Tabletextleft"/>
              <w:rPr>
                <w:b/>
              </w:rPr>
            </w:pPr>
            <w:r w:rsidRPr="001442C7">
              <w:rPr>
                <w:b/>
              </w:rPr>
              <w:t>Source</w:t>
            </w:r>
          </w:p>
        </w:tc>
        <w:tc>
          <w:tcPr>
            <w:tcW w:w="4110" w:type="dxa"/>
            <w:vAlign w:val="top"/>
          </w:tcPr>
          <w:p w14:paraId="0C748EAF" w14:textId="77777777" w:rsidR="00AD5300" w:rsidRPr="001442C7" w:rsidRDefault="00AD5300" w:rsidP="001442C7">
            <w:pPr>
              <w:pStyle w:val="Tabletextleft"/>
              <w:rPr>
                <w:b/>
              </w:rPr>
            </w:pPr>
            <w:r w:rsidRPr="001442C7">
              <w:rPr>
                <w:b/>
              </w:rPr>
              <w:t>Description</w:t>
            </w:r>
          </w:p>
        </w:tc>
        <w:tc>
          <w:tcPr>
            <w:tcW w:w="1607" w:type="dxa"/>
            <w:vAlign w:val="top"/>
          </w:tcPr>
          <w:p w14:paraId="6E9296AE" w14:textId="77777777" w:rsidR="00AD5300" w:rsidRPr="001442C7" w:rsidRDefault="00AD5300" w:rsidP="001442C7">
            <w:pPr>
              <w:pStyle w:val="Tabletextleft"/>
              <w:rPr>
                <w:b/>
              </w:rPr>
            </w:pPr>
            <w:r w:rsidRPr="001442C7">
              <w:rPr>
                <w:b/>
              </w:rPr>
              <w:t>Custodian/</w:t>
            </w:r>
          </w:p>
          <w:p w14:paraId="08AB7984" w14:textId="77777777" w:rsidR="00AD5300" w:rsidRPr="001442C7" w:rsidRDefault="00AD5300" w:rsidP="001442C7">
            <w:pPr>
              <w:pStyle w:val="Tabletextleft"/>
              <w:rPr>
                <w:b/>
              </w:rPr>
            </w:pPr>
            <w:r w:rsidRPr="001442C7">
              <w:rPr>
                <w:b/>
              </w:rPr>
              <w:t>stakeholder</w:t>
            </w:r>
          </w:p>
        </w:tc>
        <w:tc>
          <w:tcPr>
            <w:tcW w:w="1276" w:type="dxa"/>
            <w:vAlign w:val="top"/>
          </w:tcPr>
          <w:p w14:paraId="35616A70" w14:textId="77777777" w:rsidR="00AD5300" w:rsidRPr="001442C7" w:rsidRDefault="00AD5300" w:rsidP="001442C7">
            <w:pPr>
              <w:pStyle w:val="Tabletextleft"/>
              <w:rPr>
                <w:b/>
              </w:rPr>
            </w:pPr>
            <w:r w:rsidRPr="001442C7">
              <w:rPr>
                <w:b/>
              </w:rPr>
              <w:t>Availability of data for reporting</w:t>
            </w:r>
          </w:p>
        </w:tc>
      </w:tr>
      <w:tr w:rsidR="00AD5300" w:rsidRPr="001442C7" w14:paraId="4BBB4D9A" w14:textId="77777777" w:rsidTr="001442C7">
        <w:trPr>
          <w:cnfStyle w:val="000000100000" w:firstRow="0" w:lastRow="0" w:firstColumn="0" w:lastColumn="0" w:oddVBand="0" w:evenVBand="0" w:oddHBand="1" w:evenHBand="0" w:firstRowFirstColumn="0" w:firstRowLastColumn="0" w:lastRowFirstColumn="0" w:lastRowLastColumn="0"/>
          <w:cantSplit/>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4167F1FD" w14:textId="77777777" w:rsidR="00AD5300" w:rsidRPr="001442C7" w:rsidRDefault="00AD5300" w:rsidP="001442C7">
            <w:pPr>
              <w:pStyle w:val="Tabletextleft"/>
              <w:rPr>
                <w:b/>
              </w:rPr>
            </w:pPr>
            <w:r w:rsidRPr="001442C7">
              <w:rPr>
                <w:b/>
              </w:rPr>
              <w:t>Indigenous</w:t>
            </w:r>
          </w:p>
        </w:tc>
      </w:tr>
      <w:tr w:rsidR="00AD5300" w:rsidRPr="001442C7" w14:paraId="76A51E99" w14:textId="77777777" w:rsidTr="001442C7">
        <w:trPr>
          <w:cantSplit/>
        </w:trPr>
        <w:tc>
          <w:tcPr>
            <w:tcW w:w="0" w:type="auto"/>
            <w:vAlign w:val="top"/>
          </w:tcPr>
          <w:p w14:paraId="6B9CECDA" w14:textId="77777777" w:rsidR="00AD5300" w:rsidRPr="001442C7" w:rsidRDefault="00AD5300" w:rsidP="001442C7">
            <w:pPr>
              <w:pStyle w:val="Tabletextleft"/>
              <w:rPr>
                <w:b/>
              </w:rPr>
            </w:pPr>
            <w:r w:rsidRPr="001442C7">
              <w:rPr>
                <w:b/>
              </w:rPr>
              <w:t>Numerator</w:t>
            </w:r>
          </w:p>
        </w:tc>
        <w:tc>
          <w:tcPr>
            <w:tcW w:w="1142" w:type="dxa"/>
            <w:vAlign w:val="top"/>
          </w:tcPr>
          <w:p w14:paraId="7E375436" w14:textId="23BF923D" w:rsidR="00AD5300" w:rsidRPr="001442C7" w:rsidRDefault="00AD5300" w:rsidP="001442C7">
            <w:pPr>
              <w:pStyle w:val="Tabletextleft"/>
            </w:pPr>
            <w:r w:rsidRPr="001442C7">
              <w:t>NNDSS</w:t>
            </w:r>
          </w:p>
        </w:tc>
        <w:tc>
          <w:tcPr>
            <w:tcW w:w="4110" w:type="dxa"/>
            <w:vAlign w:val="top"/>
          </w:tcPr>
          <w:p w14:paraId="2BA6A6E9" w14:textId="64FE653D" w:rsidR="00AD5300" w:rsidRPr="001442C7" w:rsidRDefault="00AD5300" w:rsidP="001442C7">
            <w:pPr>
              <w:pStyle w:val="Tabletextleft"/>
            </w:pPr>
            <w:r w:rsidRPr="001442C7">
              <w:t xml:space="preserve">Number of infectious syphilis notifications reported in Indigenous people by </w:t>
            </w:r>
            <w:r w:rsidR="00400F10" w:rsidRPr="001442C7">
              <w:t xml:space="preserve">clinical facility </w:t>
            </w:r>
          </w:p>
        </w:tc>
        <w:tc>
          <w:tcPr>
            <w:tcW w:w="1607" w:type="dxa"/>
            <w:vAlign w:val="top"/>
          </w:tcPr>
          <w:p w14:paraId="335E05E6" w14:textId="77777777" w:rsidR="00AD5300" w:rsidRPr="001442C7" w:rsidRDefault="00AD5300" w:rsidP="001442C7">
            <w:pPr>
              <w:pStyle w:val="Tabletextleft"/>
            </w:pPr>
            <w:r w:rsidRPr="001442C7">
              <w:t>Australian Centre for Disease Control</w:t>
            </w:r>
          </w:p>
        </w:tc>
        <w:tc>
          <w:tcPr>
            <w:tcW w:w="1276" w:type="dxa"/>
            <w:vAlign w:val="top"/>
          </w:tcPr>
          <w:p w14:paraId="39150672" w14:textId="77777777" w:rsidR="00AD5300" w:rsidRPr="001442C7" w:rsidRDefault="00AD5300" w:rsidP="001442C7">
            <w:pPr>
              <w:pStyle w:val="Tabletextleft"/>
            </w:pPr>
            <w:r w:rsidRPr="001442C7">
              <w:t>Annually</w:t>
            </w:r>
          </w:p>
        </w:tc>
      </w:tr>
      <w:tr w:rsidR="00716A85" w:rsidRPr="001442C7" w14:paraId="0FF23660" w14:textId="77777777" w:rsidTr="001442C7">
        <w:trPr>
          <w:cnfStyle w:val="000000100000" w:firstRow="0" w:lastRow="0" w:firstColumn="0" w:lastColumn="0" w:oddVBand="0" w:evenVBand="0" w:oddHBand="1" w:evenHBand="0" w:firstRowFirstColumn="0" w:firstRowLastColumn="0" w:lastRowFirstColumn="0" w:lastRowLastColumn="0"/>
          <w:cantSplit/>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793D5F5" w14:textId="77777777" w:rsidR="00AD5300" w:rsidRPr="001442C7" w:rsidRDefault="00AD5300" w:rsidP="001442C7">
            <w:pPr>
              <w:pStyle w:val="Tabletextleft"/>
              <w:rPr>
                <w:b/>
              </w:rPr>
            </w:pPr>
            <w:r w:rsidRPr="001442C7">
              <w:rPr>
                <w:b/>
              </w:rPr>
              <w:t>Denominator</w:t>
            </w:r>
          </w:p>
        </w:tc>
        <w:tc>
          <w:tcPr>
            <w:tcW w:w="114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D83F3F1" w14:textId="044DB90D" w:rsidR="00AD5300" w:rsidRPr="001442C7" w:rsidRDefault="00AD5300" w:rsidP="001442C7">
            <w:pPr>
              <w:pStyle w:val="Tabletextleft"/>
            </w:pPr>
            <w:r w:rsidRPr="001442C7">
              <w:t>NNDSS</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A323986" w14:textId="4B07E1CF" w:rsidR="00AD5300" w:rsidRPr="001442C7" w:rsidRDefault="00AD5300" w:rsidP="001442C7">
            <w:pPr>
              <w:pStyle w:val="Tabletextleft"/>
            </w:pPr>
            <w:r w:rsidRPr="001442C7">
              <w:t xml:space="preserve">Total number of infectious syphilis notifications reported in Indigenous people reporting </w:t>
            </w:r>
            <w:r w:rsidR="00400F10" w:rsidRPr="001442C7">
              <w:t xml:space="preserve">clinical facility </w:t>
            </w:r>
            <w:proofErr w:type="gramStart"/>
            <w:r w:rsidR="00400F10" w:rsidRPr="001442C7">
              <w:t>where</w:t>
            </w:r>
            <w:proofErr w:type="gramEnd"/>
            <w:r w:rsidR="00400F10" w:rsidRPr="001442C7">
              <w:t xml:space="preserve"> diagnosed</w:t>
            </w:r>
            <w:r w:rsidRPr="001442C7">
              <w:t xml:space="preserve"> to the NNDSS</w:t>
            </w:r>
          </w:p>
        </w:tc>
        <w:tc>
          <w:tcPr>
            <w:tcW w:w="160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3D57C68" w14:textId="77777777" w:rsidR="00AD5300" w:rsidRPr="001442C7" w:rsidRDefault="00AD5300" w:rsidP="001442C7">
            <w:pPr>
              <w:pStyle w:val="Tabletextleft"/>
            </w:pPr>
            <w:r w:rsidRPr="001442C7">
              <w:t>Australian Centre for Disease Control</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0127A7E" w14:textId="77777777" w:rsidR="00AD5300" w:rsidRPr="001442C7" w:rsidRDefault="00AD5300" w:rsidP="001442C7">
            <w:pPr>
              <w:pStyle w:val="Tabletextleft"/>
            </w:pPr>
            <w:r w:rsidRPr="001442C7">
              <w:t>Annually</w:t>
            </w:r>
          </w:p>
        </w:tc>
      </w:tr>
      <w:tr w:rsidR="00AD5300" w:rsidRPr="001442C7" w14:paraId="1DB50A8A" w14:textId="77777777" w:rsidTr="001442C7">
        <w:trPr>
          <w:cantSplit/>
        </w:trPr>
        <w:tc>
          <w:tcPr>
            <w:tcW w:w="9856" w:type="dxa"/>
            <w:gridSpan w:val="5"/>
            <w:shd w:val="clear" w:color="auto" w:fill="BEFEE9"/>
            <w:vAlign w:val="top"/>
          </w:tcPr>
          <w:p w14:paraId="5A1CCB6D" w14:textId="77777777" w:rsidR="00AD5300" w:rsidRPr="001442C7" w:rsidRDefault="00AD5300" w:rsidP="001442C7">
            <w:pPr>
              <w:pStyle w:val="Tabletextleft"/>
              <w:rPr>
                <w:b/>
              </w:rPr>
            </w:pPr>
            <w:r w:rsidRPr="001442C7">
              <w:rPr>
                <w:b/>
              </w:rPr>
              <w:t>Non-Indigenous</w:t>
            </w:r>
          </w:p>
        </w:tc>
      </w:tr>
      <w:tr w:rsidR="00716A85" w:rsidRPr="001442C7" w14:paraId="7FCECB1A" w14:textId="77777777" w:rsidTr="001442C7">
        <w:trPr>
          <w:cnfStyle w:val="000000100000" w:firstRow="0" w:lastRow="0" w:firstColumn="0" w:lastColumn="0" w:oddVBand="0" w:evenVBand="0" w:oddHBand="1" w:evenHBand="0" w:firstRowFirstColumn="0" w:firstRowLastColumn="0" w:lastRowFirstColumn="0" w:lastRowLastColumn="0"/>
          <w:cantSplit/>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561FFDD" w14:textId="77777777" w:rsidR="00400F10" w:rsidRPr="001442C7" w:rsidRDefault="00400F10" w:rsidP="001442C7">
            <w:pPr>
              <w:pStyle w:val="Tabletextleft"/>
              <w:rPr>
                <w:b/>
              </w:rPr>
            </w:pPr>
            <w:r w:rsidRPr="001442C7">
              <w:rPr>
                <w:b/>
              </w:rPr>
              <w:t>Numerator</w:t>
            </w:r>
          </w:p>
        </w:tc>
        <w:tc>
          <w:tcPr>
            <w:tcW w:w="114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BA18FCF" w14:textId="179994B5" w:rsidR="00400F10" w:rsidRPr="001442C7" w:rsidRDefault="00400F10" w:rsidP="001442C7">
            <w:pPr>
              <w:pStyle w:val="Tabletextleft"/>
            </w:pPr>
            <w:r w:rsidRPr="001442C7">
              <w:t>NNDSS</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016DFD3" w14:textId="654D63E6" w:rsidR="00400F10" w:rsidRPr="001442C7" w:rsidRDefault="00400F10" w:rsidP="001442C7">
            <w:pPr>
              <w:pStyle w:val="Tabletextleft"/>
            </w:pPr>
            <w:r w:rsidRPr="001442C7">
              <w:t xml:space="preserve">Number of infectious syphilis notifications reported in non-Indigenous people by clinical facility </w:t>
            </w:r>
          </w:p>
        </w:tc>
        <w:tc>
          <w:tcPr>
            <w:tcW w:w="160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8958382" w14:textId="77777777" w:rsidR="00400F10" w:rsidRPr="001442C7" w:rsidRDefault="00400F10" w:rsidP="001442C7">
            <w:pPr>
              <w:pStyle w:val="Tabletextleft"/>
            </w:pPr>
            <w:r w:rsidRPr="001442C7">
              <w:t>Australian Centre for Disease Control</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AE2F49B" w14:textId="77777777" w:rsidR="00400F10" w:rsidRPr="001442C7" w:rsidRDefault="00400F10" w:rsidP="001442C7">
            <w:pPr>
              <w:pStyle w:val="Tabletextleft"/>
            </w:pPr>
            <w:r w:rsidRPr="001442C7">
              <w:t>Annually</w:t>
            </w:r>
          </w:p>
        </w:tc>
      </w:tr>
      <w:tr w:rsidR="00400F10" w:rsidRPr="001442C7" w14:paraId="170F7630" w14:textId="77777777" w:rsidTr="001442C7">
        <w:trPr>
          <w:cantSplit/>
        </w:trPr>
        <w:tc>
          <w:tcPr>
            <w:tcW w:w="0" w:type="auto"/>
            <w:vAlign w:val="top"/>
          </w:tcPr>
          <w:p w14:paraId="3B529AC2" w14:textId="77777777" w:rsidR="00400F10" w:rsidRPr="001442C7" w:rsidRDefault="00400F10" w:rsidP="001442C7">
            <w:pPr>
              <w:pStyle w:val="Tabletextleft"/>
              <w:rPr>
                <w:b/>
              </w:rPr>
            </w:pPr>
            <w:r w:rsidRPr="001442C7">
              <w:rPr>
                <w:b/>
              </w:rPr>
              <w:t>Denominator</w:t>
            </w:r>
          </w:p>
        </w:tc>
        <w:tc>
          <w:tcPr>
            <w:tcW w:w="1142" w:type="dxa"/>
            <w:vAlign w:val="top"/>
          </w:tcPr>
          <w:p w14:paraId="6B07D71F" w14:textId="0180BD1C" w:rsidR="00400F10" w:rsidRPr="001442C7" w:rsidRDefault="00400F10" w:rsidP="001442C7">
            <w:pPr>
              <w:pStyle w:val="Tabletextleft"/>
            </w:pPr>
            <w:r w:rsidRPr="001442C7">
              <w:t>NNDSS</w:t>
            </w:r>
          </w:p>
        </w:tc>
        <w:tc>
          <w:tcPr>
            <w:tcW w:w="4110" w:type="dxa"/>
            <w:vAlign w:val="top"/>
          </w:tcPr>
          <w:p w14:paraId="26D4A784" w14:textId="2BA28B76" w:rsidR="00400F10" w:rsidRPr="001442C7" w:rsidRDefault="00400F10" w:rsidP="001442C7">
            <w:pPr>
              <w:pStyle w:val="Tabletextleft"/>
            </w:pPr>
            <w:r w:rsidRPr="001442C7">
              <w:t xml:space="preserve">Total number of infectious syphilis notifications reported in non-Indigenous people reporting clinical facility </w:t>
            </w:r>
            <w:proofErr w:type="gramStart"/>
            <w:r w:rsidRPr="001442C7">
              <w:t>where</w:t>
            </w:r>
            <w:proofErr w:type="gramEnd"/>
            <w:r w:rsidRPr="001442C7">
              <w:t xml:space="preserve"> diagnosed to the NNDSS</w:t>
            </w:r>
          </w:p>
        </w:tc>
        <w:tc>
          <w:tcPr>
            <w:tcW w:w="1607" w:type="dxa"/>
            <w:vAlign w:val="top"/>
          </w:tcPr>
          <w:p w14:paraId="472B321E" w14:textId="77777777" w:rsidR="00400F10" w:rsidRPr="001442C7" w:rsidRDefault="00400F10" w:rsidP="001442C7">
            <w:pPr>
              <w:pStyle w:val="Tabletextleft"/>
            </w:pPr>
            <w:r w:rsidRPr="001442C7">
              <w:t>Australian Centre for Disease Control</w:t>
            </w:r>
          </w:p>
        </w:tc>
        <w:tc>
          <w:tcPr>
            <w:tcW w:w="1276" w:type="dxa"/>
            <w:vAlign w:val="top"/>
          </w:tcPr>
          <w:p w14:paraId="5F2E8775" w14:textId="77777777" w:rsidR="00400F10" w:rsidRPr="001442C7" w:rsidRDefault="00400F10" w:rsidP="001442C7">
            <w:pPr>
              <w:pStyle w:val="Tabletextleft"/>
            </w:pPr>
            <w:r w:rsidRPr="001442C7">
              <w:t>Annually</w:t>
            </w:r>
          </w:p>
        </w:tc>
      </w:tr>
    </w:tbl>
    <w:p w14:paraId="4BBA16AD" w14:textId="43E0E963" w:rsidR="004B1F79" w:rsidRDefault="004B1F79" w:rsidP="008E1103">
      <w:pPr>
        <w:pStyle w:val="Tableheadings"/>
      </w:pPr>
      <w:r>
        <w:t>2.</w:t>
      </w:r>
      <w:r w:rsidR="006461DA">
        <w:t>10</w:t>
      </w:r>
      <w:r>
        <w:t xml:space="preserve"> </w:t>
      </w:r>
      <w:r w:rsidRPr="00F34393">
        <w:t xml:space="preserve">Proportion of infectious syphilis notifications </w:t>
      </w:r>
      <w:r w:rsidR="002617CA">
        <w:t>receiving treatment</w:t>
      </w:r>
      <w:r w:rsidR="00461067" w:rsidRPr="00E50B9D">
        <w:rPr>
          <w:bCs/>
          <w:vertAlign w:val="superscript"/>
        </w:rPr>
        <w:footnoteReference w:id="18"/>
      </w:r>
      <w:r w:rsidR="00D850B6">
        <w:t>, by time to treatment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323"/>
        <w:gridCol w:w="4133"/>
        <w:gridCol w:w="1418"/>
        <w:gridCol w:w="1496"/>
      </w:tblGrid>
      <w:tr w:rsidR="004B1F79" w:rsidRPr="008E1103" w14:paraId="33231C4B" w14:textId="77777777" w:rsidTr="008E1103">
        <w:trPr>
          <w:cnfStyle w:val="100000000000" w:firstRow="1" w:lastRow="0" w:firstColumn="0" w:lastColumn="0" w:oddVBand="0" w:evenVBand="0" w:oddHBand="0" w:evenHBand="0" w:firstRowFirstColumn="0" w:firstRowLastColumn="0" w:lastRowFirstColumn="0" w:lastRowLastColumn="0"/>
          <w:tblHeader/>
        </w:trPr>
        <w:tc>
          <w:tcPr>
            <w:tcW w:w="0" w:type="auto"/>
            <w:vAlign w:val="top"/>
          </w:tcPr>
          <w:p w14:paraId="3D04C487" w14:textId="77777777" w:rsidR="004B1F79" w:rsidRPr="008E1103" w:rsidRDefault="004B1F79" w:rsidP="008E1103">
            <w:pPr>
              <w:pStyle w:val="Tabletextleft"/>
              <w:rPr>
                <w:b/>
              </w:rPr>
            </w:pPr>
            <w:r w:rsidRPr="008E1103">
              <w:rPr>
                <w:b/>
              </w:rPr>
              <w:t>Indicator components</w:t>
            </w:r>
          </w:p>
        </w:tc>
        <w:tc>
          <w:tcPr>
            <w:tcW w:w="1325" w:type="dxa"/>
            <w:vAlign w:val="top"/>
          </w:tcPr>
          <w:p w14:paraId="7AF449DA" w14:textId="77777777" w:rsidR="004B1F79" w:rsidRPr="008E1103" w:rsidRDefault="004B1F79" w:rsidP="008E1103">
            <w:pPr>
              <w:pStyle w:val="Tabletextleft"/>
              <w:rPr>
                <w:b/>
              </w:rPr>
            </w:pPr>
            <w:r w:rsidRPr="008E1103">
              <w:rPr>
                <w:b/>
              </w:rPr>
              <w:t>Source</w:t>
            </w:r>
          </w:p>
        </w:tc>
        <w:tc>
          <w:tcPr>
            <w:tcW w:w="4145" w:type="dxa"/>
            <w:vAlign w:val="top"/>
          </w:tcPr>
          <w:p w14:paraId="08C23619" w14:textId="77777777" w:rsidR="004B1F79" w:rsidRPr="008E1103" w:rsidRDefault="004B1F79" w:rsidP="008E1103">
            <w:pPr>
              <w:pStyle w:val="Tabletextleft"/>
              <w:rPr>
                <w:b/>
              </w:rPr>
            </w:pPr>
            <w:r w:rsidRPr="008E1103">
              <w:rPr>
                <w:b/>
              </w:rPr>
              <w:t>Description</w:t>
            </w:r>
          </w:p>
        </w:tc>
        <w:tc>
          <w:tcPr>
            <w:tcW w:w="1418" w:type="dxa"/>
            <w:vAlign w:val="top"/>
          </w:tcPr>
          <w:p w14:paraId="1DA200FA" w14:textId="77777777" w:rsidR="004B1F79" w:rsidRPr="008E1103" w:rsidRDefault="004B1F79" w:rsidP="008E1103">
            <w:pPr>
              <w:pStyle w:val="Tabletextleft"/>
              <w:rPr>
                <w:b/>
              </w:rPr>
            </w:pPr>
            <w:r w:rsidRPr="008E1103">
              <w:rPr>
                <w:b/>
              </w:rPr>
              <w:t>Custodian/</w:t>
            </w:r>
          </w:p>
          <w:p w14:paraId="6B0C2A85" w14:textId="77777777" w:rsidR="004B1F79" w:rsidRPr="008E1103" w:rsidRDefault="004B1F79" w:rsidP="008E1103">
            <w:pPr>
              <w:pStyle w:val="Tabletextleft"/>
              <w:rPr>
                <w:b/>
              </w:rPr>
            </w:pPr>
            <w:r w:rsidRPr="008E1103">
              <w:rPr>
                <w:b/>
              </w:rPr>
              <w:t>stakeholder</w:t>
            </w:r>
          </w:p>
        </w:tc>
        <w:tc>
          <w:tcPr>
            <w:tcW w:w="1497" w:type="dxa"/>
            <w:vAlign w:val="top"/>
          </w:tcPr>
          <w:p w14:paraId="4CC816E5" w14:textId="77777777" w:rsidR="004B1F79" w:rsidRPr="008E1103" w:rsidRDefault="004B1F79" w:rsidP="008E1103">
            <w:pPr>
              <w:pStyle w:val="Tabletextleft"/>
              <w:rPr>
                <w:b/>
              </w:rPr>
            </w:pPr>
            <w:r w:rsidRPr="008E1103">
              <w:rPr>
                <w:b/>
              </w:rPr>
              <w:t>Availability of data for reporting</w:t>
            </w:r>
          </w:p>
        </w:tc>
      </w:tr>
      <w:tr w:rsidR="004B1F79" w:rsidRPr="008E1103" w14:paraId="7BF05ABD" w14:textId="77777777" w:rsidTr="008E1103">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65013F90" w14:textId="77777777" w:rsidR="004B1F79" w:rsidRPr="008E1103" w:rsidRDefault="004B1F79" w:rsidP="008E1103">
            <w:pPr>
              <w:pStyle w:val="Tabletextleft"/>
              <w:rPr>
                <w:b/>
              </w:rPr>
            </w:pPr>
            <w:r w:rsidRPr="008E1103">
              <w:rPr>
                <w:b/>
              </w:rPr>
              <w:t>Indigenous</w:t>
            </w:r>
          </w:p>
        </w:tc>
      </w:tr>
      <w:tr w:rsidR="004B1F79" w:rsidRPr="008E1103" w14:paraId="5D1F6790" w14:textId="77777777" w:rsidTr="008E1103">
        <w:tc>
          <w:tcPr>
            <w:tcW w:w="0" w:type="auto"/>
            <w:vAlign w:val="top"/>
          </w:tcPr>
          <w:p w14:paraId="4ED60649" w14:textId="77777777" w:rsidR="004B1F79" w:rsidRPr="008E1103" w:rsidRDefault="004B1F79" w:rsidP="008E1103">
            <w:pPr>
              <w:pStyle w:val="Tabletextleft"/>
              <w:rPr>
                <w:b/>
              </w:rPr>
            </w:pPr>
            <w:r w:rsidRPr="008E1103">
              <w:rPr>
                <w:b/>
              </w:rPr>
              <w:t>Numerator</w:t>
            </w:r>
          </w:p>
        </w:tc>
        <w:tc>
          <w:tcPr>
            <w:tcW w:w="1325" w:type="dxa"/>
            <w:vAlign w:val="top"/>
          </w:tcPr>
          <w:p w14:paraId="03BC01A7" w14:textId="5818510D" w:rsidR="004B1F79" w:rsidRPr="008E1103" w:rsidRDefault="004B1F79" w:rsidP="008E1103">
            <w:pPr>
              <w:pStyle w:val="Tabletextleft"/>
            </w:pPr>
            <w:r w:rsidRPr="008E1103">
              <w:t>NNDSS</w:t>
            </w:r>
          </w:p>
        </w:tc>
        <w:tc>
          <w:tcPr>
            <w:tcW w:w="4145" w:type="dxa"/>
            <w:vAlign w:val="top"/>
          </w:tcPr>
          <w:p w14:paraId="5E98230E" w14:textId="7DCCD349" w:rsidR="004B1F79" w:rsidRPr="008E1103" w:rsidRDefault="004B1F79" w:rsidP="008E1103">
            <w:pPr>
              <w:pStyle w:val="Tabletextleft"/>
            </w:pPr>
            <w:r w:rsidRPr="008E1103">
              <w:t xml:space="preserve">Number of infectious syphilis notifications reported in Indigenous </w:t>
            </w:r>
            <w:r w:rsidRPr="008E1103">
              <w:lastRenderedPageBreak/>
              <w:t xml:space="preserve">people </w:t>
            </w:r>
            <w:r w:rsidR="00D850B6" w:rsidRPr="008E1103">
              <w:t>receiving</w:t>
            </w:r>
            <w:r w:rsidR="008F7A61" w:rsidRPr="008E1103">
              <w:t xml:space="preserve"> treatment</w:t>
            </w:r>
            <w:r w:rsidR="00D850B6" w:rsidRPr="008E1103">
              <w:t>, by time to treatment</w:t>
            </w:r>
          </w:p>
        </w:tc>
        <w:tc>
          <w:tcPr>
            <w:tcW w:w="1418" w:type="dxa"/>
            <w:vAlign w:val="top"/>
          </w:tcPr>
          <w:p w14:paraId="0D85C38E" w14:textId="77777777" w:rsidR="004B1F79" w:rsidRPr="008E1103" w:rsidRDefault="004B1F79" w:rsidP="008E1103">
            <w:pPr>
              <w:pStyle w:val="Tabletextleft"/>
            </w:pPr>
            <w:r w:rsidRPr="008E1103">
              <w:lastRenderedPageBreak/>
              <w:t xml:space="preserve">Australian Centre for </w:t>
            </w:r>
            <w:r w:rsidRPr="008E1103">
              <w:lastRenderedPageBreak/>
              <w:t>Disease Control</w:t>
            </w:r>
          </w:p>
        </w:tc>
        <w:tc>
          <w:tcPr>
            <w:tcW w:w="1497" w:type="dxa"/>
            <w:vAlign w:val="top"/>
          </w:tcPr>
          <w:p w14:paraId="5FABCE8A" w14:textId="77777777" w:rsidR="004B1F79" w:rsidRPr="008E1103" w:rsidRDefault="004B1F79" w:rsidP="008E1103">
            <w:pPr>
              <w:pStyle w:val="Tabletextleft"/>
            </w:pPr>
            <w:r w:rsidRPr="008E1103">
              <w:lastRenderedPageBreak/>
              <w:t>Annually</w:t>
            </w:r>
          </w:p>
        </w:tc>
      </w:tr>
      <w:tr w:rsidR="004B1F79" w:rsidRPr="008E1103" w14:paraId="08FD7935" w14:textId="77777777" w:rsidTr="008E1103">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8D4DA94" w14:textId="77777777" w:rsidR="004B1F79" w:rsidRPr="008E1103" w:rsidRDefault="004B1F79" w:rsidP="008E1103">
            <w:pPr>
              <w:pStyle w:val="Tabletextleft"/>
              <w:rPr>
                <w:b/>
              </w:rPr>
            </w:pPr>
            <w:r w:rsidRPr="008E1103">
              <w:rPr>
                <w:b/>
              </w:rPr>
              <w:t>Denominator</w:t>
            </w:r>
          </w:p>
        </w:tc>
        <w:tc>
          <w:tcPr>
            <w:tcW w:w="132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8D21C62" w14:textId="41E7A4FE" w:rsidR="004B1F79" w:rsidRPr="008E1103" w:rsidRDefault="004B1F79" w:rsidP="008E1103">
            <w:pPr>
              <w:pStyle w:val="Tabletextleft"/>
            </w:pPr>
            <w:r w:rsidRPr="008E1103">
              <w:t>NNDSS</w:t>
            </w:r>
          </w:p>
        </w:tc>
        <w:tc>
          <w:tcPr>
            <w:tcW w:w="414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F97B36A" w14:textId="01132A4A" w:rsidR="004B1F79" w:rsidRPr="008E1103" w:rsidRDefault="004B1F79" w:rsidP="008E1103">
            <w:pPr>
              <w:pStyle w:val="Tabletextleft"/>
            </w:pPr>
            <w:r w:rsidRPr="008E1103">
              <w:t xml:space="preserve">Total number of infectious syphilis notifications reported in Indigenous people reporting </w:t>
            </w:r>
            <w:r w:rsidR="00461067" w:rsidRPr="008E1103">
              <w:t xml:space="preserve">treatment to </w:t>
            </w:r>
            <w:r w:rsidRPr="008E1103">
              <w:t>the NNDSS</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9CAE537" w14:textId="77777777" w:rsidR="004B1F79" w:rsidRPr="008E1103" w:rsidRDefault="004B1F79" w:rsidP="008E1103">
            <w:pPr>
              <w:pStyle w:val="Tabletextleft"/>
            </w:pPr>
            <w:r w:rsidRPr="008E1103">
              <w:t>Australian Centre for Disease Control</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7C8449F" w14:textId="77777777" w:rsidR="004B1F79" w:rsidRPr="008E1103" w:rsidRDefault="004B1F79" w:rsidP="008E1103">
            <w:pPr>
              <w:pStyle w:val="Tabletextleft"/>
            </w:pPr>
            <w:r w:rsidRPr="008E1103">
              <w:t>Annually</w:t>
            </w:r>
          </w:p>
        </w:tc>
      </w:tr>
      <w:tr w:rsidR="004B1F79" w:rsidRPr="00A43EE9" w14:paraId="7A5F2C58" w14:textId="77777777" w:rsidTr="00A43EE9">
        <w:tc>
          <w:tcPr>
            <w:tcW w:w="9856" w:type="dxa"/>
            <w:gridSpan w:val="5"/>
            <w:shd w:val="clear" w:color="auto" w:fill="BEFEE9"/>
            <w:vAlign w:val="top"/>
          </w:tcPr>
          <w:p w14:paraId="7F1F99E0" w14:textId="77777777" w:rsidR="004B1F79" w:rsidRPr="00A43EE9" w:rsidRDefault="004B1F79" w:rsidP="00A43EE9">
            <w:pPr>
              <w:pStyle w:val="Tabletextleft"/>
              <w:rPr>
                <w:b/>
              </w:rPr>
            </w:pPr>
            <w:r w:rsidRPr="00A43EE9">
              <w:rPr>
                <w:b/>
              </w:rPr>
              <w:t>Non-Indigenous</w:t>
            </w:r>
          </w:p>
        </w:tc>
      </w:tr>
      <w:tr w:rsidR="00461067" w:rsidRPr="008E1103" w14:paraId="76F07C2C" w14:textId="77777777" w:rsidTr="008E1103">
        <w:trPr>
          <w:cnfStyle w:val="000000100000" w:firstRow="0" w:lastRow="0" w:firstColumn="0" w:lastColumn="0" w:oddVBand="0" w:evenVBand="0" w:oddHBand="1" w:evenHBand="0" w:firstRowFirstColumn="0" w:firstRowLastColumn="0" w:lastRowFirstColumn="0" w:lastRowLastColumn="0"/>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035237B" w14:textId="77777777" w:rsidR="00461067" w:rsidRPr="00A43EE9" w:rsidRDefault="00461067" w:rsidP="00A43EE9">
            <w:pPr>
              <w:pStyle w:val="Tabletextleft"/>
              <w:rPr>
                <w:b/>
              </w:rPr>
            </w:pPr>
            <w:r w:rsidRPr="00A43EE9">
              <w:rPr>
                <w:b/>
              </w:rPr>
              <w:t>Numerator</w:t>
            </w:r>
          </w:p>
        </w:tc>
        <w:tc>
          <w:tcPr>
            <w:tcW w:w="132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19EF4BD" w14:textId="3E20AB82" w:rsidR="00461067" w:rsidRPr="008E1103" w:rsidRDefault="00461067" w:rsidP="008E1103">
            <w:pPr>
              <w:pStyle w:val="Tabletextleft"/>
            </w:pPr>
            <w:r w:rsidRPr="008E1103">
              <w:t>NNDSS</w:t>
            </w:r>
          </w:p>
        </w:tc>
        <w:tc>
          <w:tcPr>
            <w:tcW w:w="414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A1F9BF9" w14:textId="2EE12E52" w:rsidR="00461067" w:rsidRPr="008E1103" w:rsidRDefault="00D850B6" w:rsidP="008E1103">
            <w:pPr>
              <w:pStyle w:val="Tabletextleft"/>
            </w:pPr>
            <w:r w:rsidRPr="008E1103">
              <w:t>Number of infectious syphilis notifications reported in non-Indigenous people receiving treatment, by time to treatment</w:t>
            </w: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9AF8AD5" w14:textId="77777777" w:rsidR="00461067" w:rsidRPr="008E1103" w:rsidRDefault="00461067" w:rsidP="008E1103">
            <w:pPr>
              <w:pStyle w:val="Tabletextleft"/>
            </w:pPr>
            <w:r w:rsidRPr="008E1103">
              <w:t>Australian Centre for Disease Control</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E6DD77C" w14:textId="77777777" w:rsidR="00461067" w:rsidRPr="008E1103" w:rsidRDefault="00461067" w:rsidP="008E1103">
            <w:pPr>
              <w:pStyle w:val="Tabletextleft"/>
            </w:pPr>
            <w:r w:rsidRPr="008E1103">
              <w:t>Annually</w:t>
            </w:r>
          </w:p>
        </w:tc>
      </w:tr>
      <w:tr w:rsidR="00461067" w:rsidRPr="008E1103" w14:paraId="09847DF5" w14:textId="77777777" w:rsidTr="008E1103">
        <w:tc>
          <w:tcPr>
            <w:tcW w:w="0" w:type="auto"/>
            <w:vAlign w:val="top"/>
          </w:tcPr>
          <w:p w14:paraId="02D892CF" w14:textId="77777777" w:rsidR="00461067" w:rsidRPr="00A43EE9" w:rsidRDefault="00461067" w:rsidP="00A43EE9">
            <w:pPr>
              <w:pStyle w:val="Tabletextleft"/>
              <w:rPr>
                <w:b/>
              </w:rPr>
            </w:pPr>
            <w:r w:rsidRPr="00A43EE9">
              <w:rPr>
                <w:b/>
              </w:rPr>
              <w:t>Denominator</w:t>
            </w:r>
          </w:p>
        </w:tc>
        <w:tc>
          <w:tcPr>
            <w:tcW w:w="1325" w:type="dxa"/>
            <w:vAlign w:val="top"/>
          </w:tcPr>
          <w:p w14:paraId="4984B530" w14:textId="1E69B301" w:rsidR="00461067" w:rsidRPr="008E1103" w:rsidRDefault="00461067" w:rsidP="008E1103">
            <w:pPr>
              <w:pStyle w:val="Tabletextleft"/>
            </w:pPr>
            <w:r w:rsidRPr="008E1103">
              <w:t>NNDSS</w:t>
            </w:r>
          </w:p>
        </w:tc>
        <w:tc>
          <w:tcPr>
            <w:tcW w:w="4145" w:type="dxa"/>
            <w:vAlign w:val="top"/>
          </w:tcPr>
          <w:p w14:paraId="0327CFCE" w14:textId="550374AA" w:rsidR="00461067" w:rsidRPr="008E1103" w:rsidRDefault="00461067" w:rsidP="008E1103">
            <w:pPr>
              <w:pStyle w:val="Tabletextleft"/>
            </w:pPr>
            <w:r w:rsidRPr="008E1103">
              <w:t>Total number of infectious syphilis notifications reported in non-Indigenous people reporting treatment to the NNDSS</w:t>
            </w:r>
          </w:p>
        </w:tc>
        <w:tc>
          <w:tcPr>
            <w:tcW w:w="1418" w:type="dxa"/>
            <w:vAlign w:val="top"/>
          </w:tcPr>
          <w:p w14:paraId="295BC264" w14:textId="77777777" w:rsidR="00461067" w:rsidRPr="008E1103" w:rsidRDefault="00461067" w:rsidP="008E1103">
            <w:pPr>
              <w:pStyle w:val="Tabletextleft"/>
            </w:pPr>
            <w:r w:rsidRPr="008E1103">
              <w:t>Australian Centre for Disease Control</w:t>
            </w:r>
          </w:p>
        </w:tc>
        <w:tc>
          <w:tcPr>
            <w:tcW w:w="1497" w:type="dxa"/>
            <w:vAlign w:val="top"/>
          </w:tcPr>
          <w:p w14:paraId="403D44C8" w14:textId="77777777" w:rsidR="00461067" w:rsidRPr="008E1103" w:rsidRDefault="00461067" w:rsidP="008E1103">
            <w:pPr>
              <w:pStyle w:val="Tabletextleft"/>
            </w:pPr>
            <w:r w:rsidRPr="008E1103">
              <w:t>Annually</w:t>
            </w:r>
          </w:p>
        </w:tc>
      </w:tr>
    </w:tbl>
    <w:p w14:paraId="09B60E95" w14:textId="77777777" w:rsidR="00716A85" w:rsidRPr="00A43EE9" w:rsidRDefault="00716A85" w:rsidP="00A43EE9">
      <w:pPr>
        <w:rPr>
          <w:highlight w:val="yellow"/>
        </w:rPr>
      </w:pPr>
      <w:r w:rsidRPr="00A43EE9">
        <w:rPr>
          <w:highlight w:val="yellow"/>
        </w:rPr>
        <w:br w:type="page"/>
      </w:r>
    </w:p>
    <w:p w14:paraId="4E3B137A" w14:textId="2A886544" w:rsidR="005B0DA2" w:rsidRPr="00A43EE9" w:rsidRDefault="005B0DA2" w:rsidP="00A43EE9">
      <w:pPr>
        <w:pStyle w:val="Heading2"/>
      </w:pPr>
      <w:bookmarkStart w:id="31" w:name="_Goal_3_-"/>
      <w:bookmarkStart w:id="32" w:name="_Toc230091254"/>
      <w:bookmarkEnd w:id="31"/>
      <w:r w:rsidRPr="00A43EE9">
        <w:lastRenderedPageBreak/>
        <w:t xml:space="preserve">Goal 3 </w:t>
      </w:r>
      <w:r w:rsidR="00A43EE9" w:rsidRPr="00A43EE9">
        <w:t>–</w:t>
      </w:r>
      <w:r w:rsidRPr="00A43EE9">
        <w:t xml:space="preserve"> Reduce morbidity and mortality associated with syphilis</w:t>
      </w:r>
      <w:bookmarkEnd w:id="32"/>
    </w:p>
    <w:p w14:paraId="4B671EE3" w14:textId="77777777" w:rsidR="005B0DA2" w:rsidRPr="00ED3C0F" w:rsidRDefault="005B0DA2" w:rsidP="003C3D8B">
      <w:pPr>
        <w:pStyle w:val="Boxgreenheading"/>
      </w:pPr>
      <w:r w:rsidRPr="00ED3C0F">
        <w:t>Indicators</w:t>
      </w:r>
    </w:p>
    <w:p w14:paraId="3E397C62" w14:textId="4A61AB2C" w:rsidR="00F53EBD" w:rsidRPr="00ED3C0F" w:rsidRDefault="00F53EBD" w:rsidP="003C3D8B">
      <w:pPr>
        <w:pStyle w:val="Boxgreentext"/>
        <w:spacing w:after="60"/>
        <w:ind w:left="709" w:hanging="709"/>
      </w:pPr>
      <w:r w:rsidRPr="00ED3C0F">
        <w:t>3.1</w:t>
      </w:r>
      <w:r w:rsidR="003C3D8B">
        <w:tab/>
      </w:r>
      <w:r w:rsidRPr="00ED3C0F">
        <w:t>Number of syphilis related deaths (ICD-10 coded), by stage of infection</w:t>
      </w:r>
    </w:p>
    <w:p w14:paraId="4E18D610" w14:textId="6AA323D0" w:rsidR="005B0DA2" w:rsidRPr="00ED3C0F" w:rsidRDefault="00F53EBD" w:rsidP="003C3D8B">
      <w:pPr>
        <w:pStyle w:val="Boxgreentext"/>
        <w:spacing w:after="60"/>
        <w:ind w:left="709" w:hanging="709"/>
      </w:pPr>
      <w:r w:rsidRPr="00ED3C0F">
        <w:t>3.2</w:t>
      </w:r>
      <w:r w:rsidR="003C3D8B">
        <w:tab/>
      </w:r>
      <w:r w:rsidRPr="00ED3C0F">
        <w:t>Number of hospitalisations with a principal diagnosis of syphilis (ICD-10 coded)</w:t>
      </w:r>
    </w:p>
    <w:p w14:paraId="03964C35" w14:textId="4FE1723F" w:rsidR="005B0DA2" w:rsidRPr="00ED3C0F" w:rsidRDefault="00F53EBD" w:rsidP="003C3D8B">
      <w:pPr>
        <w:pStyle w:val="Boxgreentext"/>
        <w:spacing w:after="60"/>
        <w:ind w:left="709" w:hanging="709"/>
      </w:pPr>
      <w:r w:rsidRPr="00ED3C0F">
        <w:t>3.3</w:t>
      </w:r>
      <w:r w:rsidR="003C3D8B">
        <w:tab/>
      </w:r>
      <w:r w:rsidRPr="00ED3C0F">
        <w:t>Estimated number of Disability-adjusted life years (DALY) due to syphilis</w:t>
      </w:r>
    </w:p>
    <w:p w14:paraId="37F6412E" w14:textId="77777777" w:rsidR="00A3484F" w:rsidRPr="00530D43" w:rsidRDefault="00A3484F" w:rsidP="00530D43">
      <w:pPr>
        <w:pStyle w:val="Heading3"/>
      </w:pPr>
      <w:r w:rsidRPr="00530D43">
        <w:t>Why is this goal important?</w:t>
      </w:r>
    </w:p>
    <w:p w14:paraId="27595BD5" w14:textId="54905617" w:rsidR="00B543E2" w:rsidRPr="00530D43" w:rsidRDefault="00B543E2" w:rsidP="00530D43">
      <w:r w:rsidRPr="00530D43">
        <w:t>Goal 3</w:t>
      </w:r>
      <w:r w:rsidR="00316C7D" w:rsidRPr="00530D43">
        <w:t xml:space="preserve"> is important as it quantifies the significant health impacts </w:t>
      </w:r>
      <w:r w:rsidR="00220450" w:rsidRPr="00530D43">
        <w:t>of</w:t>
      </w:r>
      <w:r w:rsidR="00117FDF" w:rsidRPr="00530D43">
        <w:t xml:space="preserve"> untreated</w:t>
      </w:r>
      <w:r w:rsidR="00220450" w:rsidRPr="00530D43">
        <w:t xml:space="preserve"> syphilis, including </w:t>
      </w:r>
      <w:r w:rsidR="00E8141B" w:rsidRPr="00530D43">
        <w:t>hospitalisations due to disease</w:t>
      </w:r>
      <w:r w:rsidR="001A0AE8" w:rsidRPr="00530D43">
        <w:t>, severe disease outcomes</w:t>
      </w:r>
      <w:r w:rsidR="00E8141B" w:rsidRPr="00530D43">
        <w:t xml:space="preserve"> and mortality. </w:t>
      </w:r>
      <w:r w:rsidR="00A8310C" w:rsidRPr="00530D43">
        <w:t>Reporting against this goal will provide information to</w:t>
      </w:r>
      <w:r w:rsidR="00C42CC3" w:rsidRPr="00530D43">
        <w:t xml:space="preserve"> evaluate the long-term impact of </w:t>
      </w:r>
      <w:r w:rsidR="00706940" w:rsidRPr="00530D43">
        <w:t xml:space="preserve">non-congenital </w:t>
      </w:r>
      <w:r w:rsidR="00C42CC3" w:rsidRPr="00530D43">
        <w:t xml:space="preserve">syphilis </w:t>
      </w:r>
      <w:r w:rsidR="00EB11E4" w:rsidRPr="00530D43">
        <w:t>(congenital syphilis outlined in goal 4</w:t>
      </w:r>
      <w:r w:rsidR="0099468F" w:rsidRPr="00530D43">
        <w:t>)</w:t>
      </w:r>
      <w:r w:rsidR="00482767" w:rsidRPr="00530D43">
        <w:t xml:space="preserve"> and support </w:t>
      </w:r>
      <w:r w:rsidR="00763D72" w:rsidRPr="00530D43">
        <w:t xml:space="preserve">interventions to </w:t>
      </w:r>
      <w:r w:rsidR="00477E35" w:rsidRPr="00530D43">
        <w:t>minimise ‘missed’ opportunities within populations at-risk in Australia</w:t>
      </w:r>
      <w:r w:rsidR="00EB11E4" w:rsidRPr="00530D43">
        <w:t>.</w:t>
      </w:r>
    </w:p>
    <w:p w14:paraId="7D2F56D3" w14:textId="77777777" w:rsidR="00A3484F" w:rsidRPr="00530D43" w:rsidRDefault="00A3484F" w:rsidP="00530D43">
      <w:pPr>
        <w:pStyle w:val="Heading3"/>
      </w:pPr>
      <w:r w:rsidRPr="00530D43">
        <w:t>Data gaps</w:t>
      </w:r>
    </w:p>
    <w:p w14:paraId="18252227" w14:textId="1B1C6932" w:rsidR="00397BE7" w:rsidRPr="00530D43" w:rsidRDefault="009C509A" w:rsidP="00530D43">
      <w:r w:rsidRPr="00530D43">
        <w:t xml:space="preserve">Death and hospitalisations data reported to the NNDSS </w:t>
      </w:r>
      <w:r w:rsidR="007172F2" w:rsidRPr="00530D43">
        <w:t>are</w:t>
      </w:r>
      <w:r w:rsidRPr="00530D43">
        <w:t xml:space="preserve"> not used in reporting against this goal due to poor completeness and </w:t>
      </w:r>
      <w:r w:rsidR="000B1A7D" w:rsidRPr="00530D43">
        <w:t>inconsistencies in reporting</w:t>
      </w:r>
      <w:r w:rsidR="00047042" w:rsidRPr="00530D43">
        <w:t>.</w:t>
      </w:r>
      <w:r w:rsidR="00BB0A63">
        <w:t xml:space="preserve"> </w:t>
      </w:r>
      <w:r w:rsidR="00AE6D9F" w:rsidRPr="00530D43">
        <w:t>Mo</w:t>
      </w:r>
      <w:r w:rsidR="003F7EC4" w:rsidRPr="00530D43">
        <w:t>re comprehensive data are available through ABS and AIHW data collections, however these data are less timely with at least a minimum 1</w:t>
      </w:r>
      <w:r w:rsidR="00530D43">
        <w:t>–</w:t>
      </w:r>
      <w:proofErr w:type="gramStart"/>
      <w:r w:rsidR="003F7EC4" w:rsidRPr="00530D43">
        <w:t>2 year</w:t>
      </w:r>
      <w:proofErr w:type="gramEnd"/>
      <w:r w:rsidR="003F7EC4" w:rsidRPr="00530D43">
        <w:t xml:space="preserve"> delay from the reporting year.</w:t>
      </w:r>
    </w:p>
    <w:p w14:paraId="1C22EA0B" w14:textId="124FBD7D" w:rsidR="005B0DA2" w:rsidRPr="00530D43" w:rsidRDefault="005B0DA2" w:rsidP="00530D43">
      <w:pPr>
        <w:pStyle w:val="Heading3"/>
      </w:pPr>
      <w:r w:rsidRPr="00530D43">
        <w:t>Indicator notes</w:t>
      </w:r>
    </w:p>
    <w:p w14:paraId="69FE9F2F" w14:textId="37D5DCB1" w:rsidR="000130A7" w:rsidRPr="00530D43" w:rsidRDefault="00DE3AAB" w:rsidP="00530D43">
      <w:pPr>
        <w:rPr>
          <w:highlight w:val="yellow"/>
        </w:rPr>
      </w:pPr>
      <w:r w:rsidRPr="00530D43">
        <w:t>Reporting against this goal will include descriptions of</w:t>
      </w:r>
      <w:r w:rsidR="0051428E" w:rsidRPr="00530D43">
        <w:t xml:space="preserve"> published ABS and AIHW data</w:t>
      </w:r>
      <w:r w:rsidR="00183167" w:rsidRPr="00530D43">
        <w:t xml:space="preserve"> for International Classification of Diseases (ICD) coded </w:t>
      </w:r>
      <w:r w:rsidR="00A50346" w:rsidRPr="00530D43">
        <w:t xml:space="preserve">syphilis (early syphilis A51, late syphilis A52, other and unspecified syphilis A53) </w:t>
      </w:r>
      <w:r w:rsidR="00183167" w:rsidRPr="00530D43">
        <w:t>deaths and hospitalisations</w:t>
      </w:r>
      <w:r w:rsidR="0022143B" w:rsidRPr="00530D43">
        <w:t xml:space="preserve">, noting the availability of these data </w:t>
      </w:r>
      <w:r w:rsidR="00FC2078" w:rsidRPr="00530D43">
        <w:t xml:space="preserve">is </w:t>
      </w:r>
      <w:r w:rsidR="00E1386A" w:rsidRPr="00530D43">
        <w:t>delayed 1</w:t>
      </w:r>
      <w:r w:rsidR="0084326B">
        <w:t>–</w:t>
      </w:r>
      <w:r w:rsidR="00E1386A" w:rsidRPr="00530D43">
        <w:t xml:space="preserve">2 years (for example 2022 data </w:t>
      </w:r>
      <w:r w:rsidR="00BE0DBA" w:rsidRPr="00530D43">
        <w:t xml:space="preserve">is </w:t>
      </w:r>
      <w:r w:rsidR="00E1386A" w:rsidRPr="00530D43">
        <w:t>available in 2024).</w:t>
      </w:r>
      <w:r w:rsidR="000130A7" w:rsidRPr="00530D43">
        <w:t xml:space="preserve"> Where data are available disaggregation by clinical manifestations of syphilis infection, including neurosyphilis, will be reported.</w:t>
      </w:r>
    </w:p>
    <w:p w14:paraId="241F3697" w14:textId="33E41919" w:rsidR="007C0E0E" w:rsidRPr="0084326B" w:rsidRDefault="007C0E0E" w:rsidP="0084326B">
      <w:pPr>
        <w:pStyle w:val="Heading4"/>
      </w:pPr>
      <w:r w:rsidRPr="0084326B">
        <w:t>Causes of death</w:t>
      </w:r>
      <w:r w:rsidR="00D40506" w:rsidRPr="0084326B">
        <w:t xml:space="preserve"> </w:t>
      </w:r>
      <w:r w:rsidR="004E762D">
        <w:t>–</w:t>
      </w:r>
      <w:r w:rsidR="00D40506" w:rsidRPr="0084326B">
        <w:t xml:space="preserve"> ABS</w:t>
      </w:r>
    </w:p>
    <w:p w14:paraId="4E4318CF" w14:textId="2FF3EA37" w:rsidR="007C0E0E" w:rsidRPr="0084326B" w:rsidRDefault="00AA16BD" w:rsidP="0084326B">
      <w:r w:rsidRPr="0084326B">
        <w:t xml:space="preserve">The </w:t>
      </w:r>
      <w:hyperlink r:id="rId32" w:history="1">
        <w:r w:rsidRPr="0084326B">
          <w:rPr>
            <w:rStyle w:val="Hyperlink"/>
          </w:rPr>
          <w:t>ABS Causes of Death</w:t>
        </w:r>
      </w:hyperlink>
      <w:r w:rsidRPr="0084326B">
        <w:t xml:space="preserve"> collection includes all deaths that occurred and were registered in Australia, including deaths of persons whose usual residence was overseas. Deaths of Australian residents that occurred outside Australia may be registered by individual registries but are not included in ABS deaths or causes of death statistics.</w:t>
      </w:r>
      <w:r w:rsidR="00B91E66" w:rsidRPr="0084326B">
        <w:t xml:space="preserve"> Conditions on the medical </w:t>
      </w:r>
      <w:r w:rsidR="00B91E66" w:rsidRPr="0084326B">
        <w:lastRenderedPageBreak/>
        <w:t>certificate of cause of death are coded to the ICD.</w:t>
      </w:r>
      <w:r w:rsidR="00C252FA" w:rsidRPr="0084326B">
        <w:t xml:space="preserve"> </w:t>
      </w:r>
      <w:r w:rsidR="007C0E0E" w:rsidRPr="0084326B">
        <w:t>The ICD is the international standard classification for epidemiological purposes and is designed to promote international comparability in the collection, processing, classification, and presentation of causes of death statistics. The classification is used to classify diseases and causes of disease or injury as recorded on many types of medical records as well as death records. The ICD has been revised periodically to incorporate changes in the medical field. Currently the ICD 10th revision is used for Australian causes of death statistics.</w:t>
      </w:r>
    </w:p>
    <w:p w14:paraId="77E8D8E3" w14:textId="01CFAFF7" w:rsidR="00361801" w:rsidRPr="0084326B" w:rsidRDefault="008278A9" w:rsidP="0084326B">
      <w:pPr>
        <w:rPr>
          <w:highlight w:val="yellow"/>
        </w:rPr>
      </w:pPr>
      <w:r w:rsidRPr="0084326B">
        <w:t>S</w:t>
      </w:r>
      <w:r w:rsidR="00361801" w:rsidRPr="0084326B">
        <w:t>yphilis as a cause of death is</w:t>
      </w:r>
      <w:r w:rsidRPr="0084326B">
        <w:t xml:space="preserve"> expected to be </w:t>
      </w:r>
      <w:r w:rsidR="00361801" w:rsidRPr="0084326B">
        <w:t>underreported due to incomplete death certificates and attribution of death to more immediate causes (e.g. sepsis), rather than syphilis</w:t>
      </w:r>
      <w:r w:rsidR="00F31DF1" w:rsidRPr="0084326B">
        <w:t>.</w:t>
      </w:r>
    </w:p>
    <w:p w14:paraId="14055CE4" w14:textId="633F8A04" w:rsidR="00D40506" w:rsidRPr="00272DCD" w:rsidRDefault="00D40506" w:rsidP="00272DCD">
      <w:pPr>
        <w:pStyle w:val="Heading4"/>
      </w:pPr>
      <w:r w:rsidRPr="00272DCD">
        <w:t xml:space="preserve">Hospitalisations </w:t>
      </w:r>
      <w:r w:rsidR="00272DCD">
        <w:t>–</w:t>
      </w:r>
      <w:r w:rsidRPr="00272DCD">
        <w:t xml:space="preserve"> AIHW</w:t>
      </w:r>
    </w:p>
    <w:p w14:paraId="53054087" w14:textId="21979DC9" w:rsidR="00191088" w:rsidRPr="00C97AED" w:rsidRDefault="00EA4A32" w:rsidP="00C97AED">
      <w:r w:rsidRPr="00C97AED">
        <w:t xml:space="preserve">Hospitalisations data are sourced from the </w:t>
      </w:r>
      <w:hyperlink r:id="rId33" w:history="1">
        <w:r w:rsidR="00045B99" w:rsidRPr="00C97AED">
          <w:rPr>
            <w:rStyle w:val="Hyperlink"/>
          </w:rPr>
          <w:t>National Hospital Morbidity Database</w:t>
        </w:r>
      </w:hyperlink>
      <w:r w:rsidR="00045B99" w:rsidRPr="00C97AED">
        <w:t>. It contains separation statistics for all separations excluding newborns with only unqualified days, boarders and posthumous organ procurement.</w:t>
      </w:r>
      <w:r w:rsidR="00036436" w:rsidRPr="00C97AED">
        <w:t xml:space="preserve"> The separations are </w:t>
      </w:r>
      <w:r w:rsidR="00205C47" w:rsidRPr="00C97AED">
        <w:t xml:space="preserve">categorised by </w:t>
      </w:r>
      <w:r w:rsidR="00B81947" w:rsidRPr="00C97AED">
        <w:t>ICD</w:t>
      </w:r>
      <w:r w:rsidR="00DE07B2" w:rsidRPr="00C97AED">
        <w:t xml:space="preserve"> code for the </w:t>
      </w:r>
      <w:r w:rsidR="00205C47" w:rsidRPr="00C97AED">
        <w:t>principal diagnosis</w:t>
      </w:r>
      <w:r w:rsidR="00750E36" w:rsidRPr="00C97AED">
        <w:t xml:space="preserve">, which </w:t>
      </w:r>
      <w:r w:rsidR="002001C9" w:rsidRPr="00C97AED">
        <w:t xml:space="preserve">is defined as </w:t>
      </w:r>
      <w:r w:rsidR="002001C9" w:rsidRPr="00C97AED">
        <w:rPr>
          <w:b/>
          <w:bCs/>
        </w:rPr>
        <w:t>the diagnosis established after study to be chiefly responsible for occasioning the patient’s episode of care in hospital</w:t>
      </w:r>
      <w:r w:rsidR="002001C9" w:rsidRPr="00C97AED">
        <w:t xml:space="preserve">. </w:t>
      </w:r>
      <w:r w:rsidR="00191088" w:rsidRPr="00C97AED">
        <w:t>Data on principal diagnoses provide information on the diseases, such as syphilis, for which hospitalisations occur and can provide an indirect measure of community morbidity.</w:t>
      </w:r>
    </w:p>
    <w:p w14:paraId="531DCF8E" w14:textId="1A4BFCFB" w:rsidR="006D5202" w:rsidRPr="00C97AED" w:rsidRDefault="00C65CA4" w:rsidP="00C97AED">
      <w:r w:rsidRPr="00C97AED">
        <w:t>H</w:t>
      </w:r>
      <w:r w:rsidR="007D7A04" w:rsidRPr="00C97AED">
        <w:t xml:space="preserve">ospitalisations due to </w:t>
      </w:r>
      <w:r w:rsidR="006D5202" w:rsidRPr="00C97AED">
        <w:t>syphilis</w:t>
      </w:r>
      <w:r w:rsidRPr="00C97AED">
        <w:t xml:space="preserve"> </w:t>
      </w:r>
      <w:r w:rsidR="007D7A04" w:rsidRPr="00C97AED">
        <w:t>is</w:t>
      </w:r>
      <w:r w:rsidRPr="00C97AED">
        <w:t xml:space="preserve"> expected to be</w:t>
      </w:r>
      <w:r w:rsidR="007D7A04" w:rsidRPr="00C97AED">
        <w:t xml:space="preserve"> underreported as the data are limited to </w:t>
      </w:r>
      <w:r w:rsidR="007A596F" w:rsidRPr="00C97AED">
        <w:t>a</w:t>
      </w:r>
      <w:r w:rsidR="007172F2" w:rsidRPr="00C97AED">
        <w:t xml:space="preserve"> (single)</w:t>
      </w:r>
      <w:r w:rsidR="007A596F" w:rsidRPr="00C97AED">
        <w:t xml:space="preserve"> </w:t>
      </w:r>
      <w:r w:rsidR="006D5202" w:rsidRPr="00C97AED">
        <w:t>principal diagnosis</w:t>
      </w:r>
      <w:r w:rsidR="007D7A04" w:rsidRPr="00C97AED">
        <w:t>, and do not include any subsequent co-morbidity diagnoses such as syphilis.</w:t>
      </w:r>
    </w:p>
    <w:p w14:paraId="67A0EEB8" w14:textId="16D13771" w:rsidR="007C0E0E" w:rsidRPr="001C2D37" w:rsidRDefault="00EC0665" w:rsidP="001C2D37">
      <w:pPr>
        <w:pStyle w:val="Heading4"/>
      </w:pPr>
      <w:r w:rsidRPr="001C2D37">
        <w:t>Burden of disease</w:t>
      </w:r>
      <w:r w:rsidR="00D40506" w:rsidRPr="001C2D37">
        <w:t xml:space="preserve"> </w:t>
      </w:r>
      <w:r w:rsidR="001C2D37">
        <w:t>–</w:t>
      </w:r>
      <w:r w:rsidR="00D40506" w:rsidRPr="001C2D37">
        <w:t xml:space="preserve"> AIHW</w:t>
      </w:r>
    </w:p>
    <w:p w14:paraId="3D1AB570" w14:textId="57528748" w:rsidR="006B2833" w:rsidRPr="00C36291" w:rsidRDefault="006B2833" w:rsidP="00C36291">
      <w:hyperlink r:id="rId34">
        <w:r w:rsidRPr="00C36291">
          <w:rPr>
            <w:rStyle w:val="Hyperlink"/>
          </w:rPr>
          <w:t>Burden of disease analysis</w:t>
        </w:r>
      </w:hyperlink>
      <w:r w:rsidRPr="00C36291">
        <w:t xml:space="preserve"> measures the impact of disease and injury in a population by estimating the years of life lost (YLL, fatal burden) and years lived with disability (YLD, non-fatal burden). The sum of fatal and </w:t>
      </w:r>
      <w:r w:rsidR="006762CB" w:rsidRPr="00C36291">
        <w:t>non-</w:t>
      </w:r>
      <w:r w:rsidRPr="00C36291">
        <w:t>fatal burden equates to the total burden (disability-adjusted life year, DALY).</w:t>
      </w:r>
      <w:r w:rsidR="0054331D" w:rsidRPr="00C36291">
        <w:t xml:space="preserve"> One (1)</w:t>
      </w:r>
      <w:r w:rsidRPr="00C36291">
        <w:t xml:space="preserve"> DALY is equivalent to 1 year of healthy life lost.</w:t>
      </w:r>
      <w:r w:rsidR="009E59F1" w:rsidRPr="00C36291">
        <w:t xml:space="preserve"> </w:t>
      </w:r>
      <w:r w:rsidR="00DE70B6" w:rsidRPr="00C36291">
        <w:t>Calculating syphilis YLL and YLD estimates, includes data inputs from ABS mortality data</w:t>
      </w:r>
      <w:r w:rsidR="008724F5" w:rsidRPr="00C36291">
        <w:t xml:space="preserve">, </w:t>
      </w:r>
      <w:r w:rsidR="00DE70B6" w:rsidRPr="00C36291">
        <w:t>NNDSS notification data</w:t>
      </w:r>
      <w:r w:rsidR="008724F5" w:rsidRPr="00C36291">
        <w:t xml:space="preserve">, </w:t>
      </w:r>
      <w:r w:rsidR="008759F4" w:rsidRPr="00C36291">
        <w:t xml:space="preserve">disability </w:t>
      </w:r>
      <w:r w:rsidR="008724F5" w:rsidRPr="00C36291">
        <w:t xml:space="preserve">weightings of the </w:t>
      </w:r>
      <w:r w:rsidR="00DF71F0" w:rsidRPr="00C36291">
        <w:t>syphilis stage, duration of illness</w:t>
      </w:r>
      <w:r w:rsidR="008759F4" w:rsidRPr="00C36291">
        <w:t xml:space="preserve"> and life expectancy.</w:t>
      </w:r>
    </w:p>
    <w:p w14:paraId="16988E95" w14:textId="7889311B" w:rsidR="006B2833" w:rsidRPr="00C36291" w:rsidRDefault="006B2833" w:rsidP="00C36291">
      <w:r w:rsidRPr="00C36291">
        <w:t>Burden of disease studies allow the impact of both deaths and living with illness to be compared and reported in a consistent manner. The health impacts and distribution of diseases</w:t>
      </w:r>
      <w:r w:rsidR="00D549B0" w:rsidRPr="00C36291">
        <w:t xml:space="preserve"> such as syphilis </w:t>
      </w:r>
      <w:r w:rsidRPr="00C36291">
        <w:t>contribute to the evidence base to inform health policy and programs, and service delivery.</w:t>
      </w:r>
    </w:p>
    <w:p w14:paraId="09125074" w14:textId="298B02D6" w:rsidR="005B0DA2" w:rsidRPr="00530D43" w:rsidRDefault="005B0DA2" w:rsidP="00C36291">
      <w:pPr>
        <w:pStyle w:val="Heading3"/>
        <w:pageBreakBefore/>
      </w:pPr>
      <w:r w:rsidRPr="00530D43">
        <w:lastRenderedPageBreak/>
        <w:t>Reporting against indicators</w:t>
      </w:r>
    </w:p>
    <w:p w14:paraId="1EA53176" w14:textId="7AF5E18D" w:rsidR="005B0DA2" w:rsidRPr="007667F5" w:rsidRDefault="00F53EBD" w:rsidP="00C36291">
      <w:pPr>
        <w:pStyle w:val="Tableheadings"/>
      </w:pPr>
      <w:r>
        <w:t xml:space="preserve">3.1 </w:t>
      </w:r>
      <w:r w:rsidR="004472EA" w:rsidRPr="007667F5">
        <w:t>Number of syphilis related deaths (ICD</w:t>
      </w:r>
      <w:r w:rsidR="0008653F">
        <w:t>-10</w:t>
      </w:r>
      <w:r w:rsidR="004472EA" w:rsidRPr="007667F5">
        <w:t xml:space="preserve"> coded), by </w:t>
      </w:r>
      <w:r w:rsidR="00FE5C65" w:rsidRPr="007667F5">
        <w:t>stage of infection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4394"/>
        <w:gridCol w:w="1417"/>
        <w:gridCol w:w="1356"/>
      </w:tblGrid>
      <w:tr w:rsidR="005B0DA2" w:rsidRPr="00C36291" w14:paraId="0E786405" w14:textId="77777777" w:rsidTr="00153AE5">
        <w:trPr>
          <w:cnfStyle w:val="100000000000" w:firstRow="1" w:lastRow="0" w:firstColumn="0" w:lastColumn="0" w:oddVBand="0" w:evenVBand="0" w:oddHBand="0" w:evenHBand="0" w:firstRowFirstColumn="0" w:firstRowLastColumn="0" w:lastRowFirstColumn="0" w:lastRowLastColumn="0"/>
          <w:tblHeader/>
        </w:trPr>
        <w:tc>
          <w:tcPr>
            <w:tcW w:w="1555" w:type="dxa"/>
            <w:vAlign w:val="top"/>
          </w:tcPr>
          <w:p w14:paraId="426732A1" w14:textId="77777777" w:rsidR="005B0DA2" w:rsidRPr="00C36291" w:rsidRDefault="005B0DA2" w:rsidP="00C36291">
            <w:pPr>
              <w:pStyle w:val="Tabletextleft"/>
              <w:rPr>
                <w:b/>
              </w:rPr>
            </w:pPr>
            <w:r w:rsidRPr="00C36291">
              <w:rPr>
                <w:b/>
              </w:rPr>
              <w:t>Indicator components</w:t>
            </w:r>
          </w:p>
        </w:tc>
        <w:tc>
          <w:tcPr>
            <w:tcW w:w="1134" w:type="dxa"/>
            <w:vAlign w:val="top"/>
          </w:tcPr>
          <w:p w14:paraId="0C0E32FB" w14:textId="77777777" w:rsidR="005B0DA2" w:rsidRPr="00C36291" w:rsidRDefault="005B0DA2" w:rsidP="00C36291">
            <w:pPr>
              <w:pStyle w:val="Tabletextleft"/>
              <w:rPr>
                <w:b/>
              </w:rPr>
            </w:pPr>
            <w:r w:rsidRPr="00C36291">
              <w:rPr>
                <w:b/>
              </w:rPr>
              <w:t>Source</w:t>
            </w:r>
          </w:p>
        </w:tc>
        <w:tc>
          <w:tcPr>
            <w:tcW w:w="4394" w:type="dxa"/>
            <w:vAlign w:val="top"/>
          </w:tcPr>
          <w:p w14:paraId="17C672F2" w14:textId="77777777" w:rsidR="005B0DA2" w:rsidRPr="00C36291" w:rsidRDefault="005B0DA2" w:rsidP="00C36291">
            <w:pPr>
              <w:pStyle w:val="Tabletextleft"/>
              <w:rPr>
                <w:b/>
              </w:rPr>
            </w:pPr>
            <w:r w:rsidRPr="00C36291">
              <w:rPr>
                <w:b/>
              </w:rPr>
              <w:t>Description</w:t>
            </w:r>
          </w:p>
        </w:tc>
        <w:tc>
          <w:tcPr>
            <w:tcW w:w="1417" w:type="dxa"/>
            <w:vAlign w:val="top"/>
          </w:tcPr>
          <w:p w14:paraId="33346463" w14:textId="64AAD62C" w:rsidR="005B0DA2" w:rsidRPr="00C36291" w:rsidRDefault="005B0DA2" w:rsidP="00C36291">
            <w:pPr>
              <w:pStyle w:val="Tabletextleft"/>
              <w:rPr>
                <w:b/>
              </w:rPr>
            </w:pPr>
            <w:r w:rsidRPr="00C36291">
              <w:rPr>
                <w:b/>
              </w:rPr>
              <w:t>Custodian/</w:t>
            </w:r>
            <w:r w:rsidR="00FE5C65" w:rsidRPr="00C36291">
              <w:rPr>
                <w:b/>
              </w:rPr>
              <w:t xml:space="preserve"> </w:t>
            </w:r>
            <w:r w:rsidRPr="00C36291">
              <w:rPr>
                <w:b/>
              </w:rPr>
              <w:t>stakeholder</w:t>
            </w:r>
          </w:p>
        </w:tc>
        <w:tc>
          <w:tcPr>
            <w:tcW w:w="1356" w:type="dxa"/>
            <w:vAlign w:val="top"/>
          </w:tcPr>
          <w:p w14:paraId="7BFC05D3" w14:textId="77777777" w:rsidR="005B0DA2" w:rsidRPr="00C36291" w:rsidRDefault="005B0DA2" w:rsidP="00C36291">
            <w:pPr>
              <w:pStyle w:val="Tabletextleft"/>
              <w:rPr>
                <w:b/>
              </w:rPr>
            </w:pPr>
            <w:r w:rsidRPr="00C36291">
              <w:rPr>
                <w:b/>
              </w:rPr>
              <w:t>Availability of data for reporting</w:t>
            </w:r>
          </w:p>
        </w:tc>
      </w:tr>
      <w:tr w:rsidR="005B0DA2" w:rsidRPr="00C36291" w14:paraId="62D68F22" w14:textId="77777777" w:rsidTr="00C36291">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BA1CABD" w14:textId="66D85E13" w:rsidR="005B0DA2" w:rsidRPr="00153AE5" w:rsidRDefault="004472EA" w:rsidP="00153AE5">
            <w:pPr>
              <w:pStyle w:val="Tabletextleft"/>
              <w:rPr>
                <w:b/>
              </w:rPr>
            </w:pPr>
            <w:r w:rsidRPr="00153AE5">
              <w:rPr>
                <w:b/>
              </w:rPr>
              <w:t>Single measure</w:t>
            </w:r>
          </w:p>
        </w:tc>
        <w:tc>
          <w:tcPr>
            <w:tcW w:w="113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8EB93F8" w14:textId="06051C09" w:rsidR="005B0DA2" w:rsidRPr="00C36291" w:rsidRDefault="000C001E" w:rsidP="00C36291">
            <w:pPr>
              <w:pStyle w:val="Tabletextleft"/>
            </w:pPr>
            <w:r w:rsidRPr="00C36291">
              <w:t>C</w:t>
            </w:r>
            <w:r w:rsidR="00C37537" w:rsidRPr="00C36291">
              <w:t>auses of Death</w:t>
            </w:r>
          </w:p>
        </w:tc>
        <w:tc>
          <w:tcPr>
            <w:tcW w:w="439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0986CBC" w14:textId="43CA8BB8" w:rsidR="005B0DA2" w:rsidRPr="00C36291" w:rsidRDefault="00B539BD" w:rsidP="00C36291">
            <w:pPr>
              <w:pStyle w:val="Tabletextleft"/>
            </w:pPr>
            <w:r w:rsidRPr="00C36291">
              <w:t xml:space="preserve">Number of </w:t>
            </w:r>
            <w:r w:rsidR="00B40A65" w:rsidRPr="00C36291">
              <w:t>deaths with the cause repo</w:t>
            </w:r>
            <w:r w:rsidR="00CE65C3" w:rsidRPr="00C36291">
              <w:t xml:space="preserve">rted </w:t>
            </w:r>
            <w:r w:rsidR="005A475F" w:rsidRPr="00C36291">
              <w:t xml:space="preserve">as syphilis </w:t>
            </w:r>
            <w:r w:rsidR="00232EFE" w:rsidRPr="00C36291">
              <w:t>(early syphilis A51, late syphilis A52, other and unspecified</w:t>
            </w:r>
            <w:r w:rsidR="007667F5" w:rsidRPr="00C36291">
              <w:t xml:space="preserve"> syphilis A53)</w:t>
            </w:r>
          </w:p>
        </w:tc>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2902164" w14:textId="30E397F2" w:rsidR="005B0DA2" w:rsidRPr="00C36291" w:rsidRDefault="00AD7F56" w:rsidP="00C36291">
            <w:pPr>
              <w:pStyle w:val="Tabletextleft"/>
            </w:pPr>
            <w:r w:rsidRPr="00C36291">
              <w:t>Australian Bureau of Statistics</w:t>
            </w:r>
          </w:p>
        </w:tc>
        <w:tc>
          <w:tcPr>
            <w:tcW w:w="135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E5DE2E7" w14:textId="6ECF438A" w:rsidR="005B0DA2" w:rsidRPr="00C36291" w:rsidRDefault="00FE5C65" w:rsidP="00C36291">
            <w:pPr>
              <w:pStyle w:val="Tabletextleft"/>
            </w:pPr>
            <w:r w:rsidRPr="00C36291">
              <w:t>Annually*</w:t>
            </w:r>
          </w:p>
        </w:tc>
      </w:tr>
    </w:tbl>
    <w:p w14:paraId="0C1A6F54" w14:textId="77777777" w:rsidR="005C1306" w:rsidRDefault="00FE5C65" w:rsidP="00C36291">
      <w:pPr>
        <w:pStyle w:val="Caption"/>
      </w:pPr>
      <w:r w:rsidRPr="00C36291">
        <w:t>* Data reported annually, however there is a delay of 1</w:t>
      </w:r>
      <w:r w:rsidR="00C36291">
        <w:t>–</w:t>
      </w:r>
      <w:r w:rsidRPr="00C36291">
        <w:t>2 years for each calendar year</w:t>
      </w:r>
      <w:r w:rsidR="005C1306">
        <w:t>.</w:t>
      </w:r>
    </w:p>
    <w:p w14:paraId="092F99D8" w14:textId="507DFB31" w:rsidR="00E91C06" w:rsidRPr="007667F5" w:rsidRDefault="00F53EBD" w:rsidP="00153AE5">
      <w:pPr>
        <w:pStyle w:val="Tableheadings"/>
      </w:pPr>
      <w:r w:rsidRPr="2BAC145B">
        <w:t xml:space="preserve">3.2 </w:t>
      </w:r>
      <w:r w:rsidR="00E91C06" w:rsidRPr="2BAC145B">
        <w:t xml:space="preserve">Number of hospitalisations with a principal diagnosis of </w:t>
      </w:r>
      <w:r w:rsidR="00BA7021" w:rsidRPr="2BAC145B">
        <w:t>syphilis</w:t>
      </w:r>
      <w:r w:rsidR="00E91C06" w:rsidRPr="2BAC145B">
        <w:t xml:space="preserve"> (ICD-10 coded)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3969"/>
        <w:gridCol w:w="1560"/>
        <w:gridCol w:w="1497"/>
      </w:tblGrid>
      <w:tr w:rsidR="00E91C06" w:rsidRPr="00153AE5" w14:paraId="6840BCD2" w14:textId="77777777" w:rsidTr="00153AE5">
        <w:trPr>
          <w:cnfStyle w:val="100000000000" w:firstRow="1" w:lastRow="0" w:firstColumn="0" w:lastColumn="0" w:oddVBand="0" w:evenVBand="0" w:oddHBand="0" w:evenHBand="0" w:firstRowFirstColumn="0" w:firstRowLastColumn="0" w:lastRowFirstColumn="0" w:lastRowLastColumn="0"/>
          <w:tblHeader/>
        </w:trPr>
        <w:tc>
          <w:tcPr>
            <w:tcW w:w="1555" w:type="dxa"/>
            <w:vAlign w:val="top"/>
          </w:tcPr>
          <w:p w14:paraId="022DB449" w14:textId="77777777" w:rsidR="00E91C06" w:rsidRPr="00153AE5" w:rsidRDefault="00E91C06" w:rsidP="00153AE5">
            <w:pPr>
              <w:pStyle w:val="Tabletextleft"/>
              <w:rPr>
                <w:b/>
              </w:rPr>
            </w:pPr>
            <w:r w:rsidRPr="00153AE5">
              <w:rPr>
                <w:b/>
              </w:rPr>
              <w:t>Indicator components</w:t>
            </w:r>
          </w:p>
        </w:tc>
        <w:tc>
          <w:tcPr>
            <w:tcW w:w="1275" w:type="dxa"/>
            <w:vAlign w:val="top"/>
          </w:tcPr>
          <w:p w14:paraId="2E6A0C91" w14:textId="77777777" w:rsidR="00E91C06" w:rsidRPr="00153AE5" w:rsidRDefault="00E91C06" w:rsidP="00153AE5">
            <w:pPr>
              <w:pStyle w:val="Tabletextleft"/>
              <w:rPr>
                <w:b/>
              </w:rPr>
            </w:pPr>
            <w:r w:rsidRPr="00153AE5">
              <w:rPr>
                <w:b/>
              </w:rPr>
              <w:t>Source</w:t>
            </w:r>
          </w:p>
        </w:tc>
        <w:tc>
          <w:tcPr>
            <w:tcW w:w="3969" w:type="dxa"/>
            <w:vAlign w:val="top"/>
          </w:tcPr>
          <w:p w14:paraId="3570EB6C" w14:textId="77777777" w:rsidR="00E91C06" w:rsidRPr="00153AE5" w:rsidRDefault="00E91C06" w:rsidP="00153AE5">
            <w:pPr>
              <w:pStyle w:val="Tabletextleft"/>
              <w:rPr>
                <w:b/>
              </w:rPr>
            </w:pPr>
            <w:r w:rsidRPr="00153AE5">
              <w:rPr>
                <w:b/>
              </w:rPr>
              <w:t>Description</w:t>
            </w:r>
          </w:p>
        </w:tc>
        <w:tc>
          <w:tcPr>
            <w:tcW w:w="1560" w:type="dxa"/>
            <w:vAlign w:val="top"/>
          </w:tcPr>
          <w:p w14:paraId="4804696C" w14:textId="77777777" w:rsidR="00E91C06" w:rsidRPr="00153AE5" w:rsidRDefault="00E91C06" w:rsidP="00153AE5">
            <w:pPr>
              <w:pStyle w:val="Tabletextleft"/>
              <w:rPr>
                <w:b/>
              </w:rPr>
            </w:pPr>
            <w:r w:rsidRPr="00153AE5">
              <w:rPr>
                <w:b/>
              </w:rPr>
              <w:t>Custodian/ stakeholder</w:t>
            </w:r>
          </w:p>
        </w:tc>
        <w:tc>
          <w:tcPr>
            <w:tcW w:w="1497" w:type="dxa"/>
            <w:vAlign w:val="top"/>
          </w:tcPr>
          <w:p w14:paraId="6C4D303E" w14:textId="77777777" w:rsidR="00E91C06" w:rsidRPr="00153AE5" w:rsidRDefault="00E91C06" w:rsidP="00153AE5">
            <w:pPr>
              <w:pStyle w:val="Tabletextleft"/>
              <w:rPr>
                <w:b/>
              </w:rPr>
            </w:pPr>
            <w:r w:rsidRPr="00153AE5">
              <w:rPr>
                <w:b/>
              </w:rPr>
              <w:t>Availability of data for reporting</w:t>
            </w:r>
          </w:p>
        </w:tc>
      </w:tr>
      <w:tr w:rsidR="00E91C06" w:rsidRPr="00153AE5" w14:paraId="59701588" w14:textId="77777777" w:rsidTr="00153AE5">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698BFB3" w14:textId="77777777" w:rsidR="00E91C06" w:rsidRPr="00153AE5" w:rsidRDefault="00E91C06" w:rsidP="00153AE5">
            <w:pPr>
              <w:pStyle w:val="Tabletextleft"/>
              <w:rPr>
                <w:b/>
              </w:rPr>
            </w:pPr>
            <w:r w:rsidRPr="00153AE5">
              <w:rPr>
                <w:b/>
              </w:rPr>
              <w:t>Single measure</w:t>
            </w:r>
          </w:p>
        </w:tc>
        <w:tc>
          <w:tcPr>
            <w:tcW w:w="127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CFEEFB8" w14:textId="66446938" w:rsidR="00E91C06" w:rsidRPr="00153AE5" w:rsidRDefault="0033433E" w:rsidP="00153AE5">
            <w:r w:rsidRPr="00153AE5">
              <w:t>National Hospital Morbidity Database</w:t>
            </w:r>
          </w:p>
        </w:tc>
        <w:tc>
          <w:tcPr>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B3F60CD" w14:textId="53B243E9" w:rsidR="00E91C06" w:rsidRPr="00153AE5" w:rsidRDefault="009A29B7" w:rsidP="00153AE5">
            <w:r w:rsidRPr="00153AE5">
              <w:t>Number of hospitalisations with a principal diagnosis</w:t>
            </w:r>
            <w:r w:rsidR="00B25772" w:rsidRPr="00153AE5">
              <w:t xml:space="preserve"> of</w:t>
            </w:r>
            <w:r w:rsidRPr="00153AE5">
              <w:t xml:space="preserve"> syphilis (early syphilis A51, late syphilis A52, other and unspecified syphilis A53)</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9717529" w14:textId="4CD6D4FE" w:rsidR="00E91C06" w:rsidRPr="00153AE5" w:rsidRDefault="00C148D9" w:rsidP="00153AE5">
            <w:r w:rsidRPr="00153AE5">
              <w:t>Australian Institute of Health and Welfare</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0A873D3" w14:textId="52BF6947" w:rsidR="00E91C06" w:rsidRPr="00153AE5" w:rsidRDefault="00B25772" w:rsidP="00153AE5">
            <w:r w:rsidRPr="00153AE5">
              <w:t>Financial year</w:t>
            </w:r>
            <w:r w:rsidR="00E91C06" w:rsidRPr="00153AE5">
              <w:t>*</w:t>
            </w:r>
          </w:p>
        </w:tc>
      </w:tr>
    </w:tbl>
    <w:p w14:paraId="7866F4C7" w14:textId="77777777" w:rsidR="005C1306" w:rsidRDefault="00E91C06" w:rsidP="00153AE5">
      <w:pPr>
        <w:pStyle w:val="Caption"/>
      </w:pPr>
      <w:r w:rsidRPr="00153AE5">
        <w:t xml:space="preserve">* Data reported </w:t>
      </w:r>
      <w:r w:rsidR="00B25772" w:rsidRPr="00153AE5">
        <w:t>by financial year</w:t>
      </w:r>
      <w:r w:rsidRPr="00153AE5">
        <w:t xml:space="preserve">, however there is a delay of 1-2 years for each </w:t>
      </w:r>
      <w:r w:rsidR="00C912DC" w:rsidRPr="00153AE5">
        <w:t>financial</w:t>
      </w:r>
      <w:r w:rsidRPr="00153AE5">
        <w:t xml:space="preserve"> year</w:t>
      </w:r>
      <w:r w:rsidR="005C1306">
        <w:t>.</w:t>
      </w:r>
    </w:p>
    <w:p w14:paraId="3DEE8F16" w14:textId="0BCAA6A0" w:rsidR="0094655B" w:rsidRPr="007667F5" w:rsidRDefault="00F53EBD" w:rsidP="000D471B">
      <w:pPr>
        <w:pStyle w:val="Tableheadings"/>
      </w:pPr>
      <w:r>
        <w:t xml:space="preserve">3.3 </w:t>
      </w:r>
      <w:r w:rsidR="0048771F">
        <w:t xml:space="preserve">Estimated </w:t>
      </w:r>
      <w:r w:rsidR="00070A2F">
        <w:t xml:space="preserve">number of </w:t>
      </w:r>
      <w:r w:rsidR="005E52AC">
        <w:t>Disability-adjusted life years (DALY)</w:t>
      </w:r>
      <w:r w:rsidR="00D568CE">
        <w:t xml:space="preserve"> </w:t>
      </w:r>
      <w:r w:rsidR="00BE7DA4">
        <w:t>due to syphilis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25"/>
        <w:gridCol w:w="3736"/>
        <w:gridCol w:w="1560"/>
        <w:gridCol w:w="1497"/>
      </w:tblGrid>
      <w:tr w:rsidR="0094655B" w:rsidRPr="000D471B" w14:paraId="67B2F942" w14:textId="77777777" w:rsidTr="000D471B">
        <w:trPr>
          <w:cnfStyle w:val="100000000000" w:firstRow="1" w:lastRow="0" w:firstColumn="0" w:lastColumn="0" w:oddVBand="0" w:evenVBand="0" w:oddHBand="0" w:evenHBand="0" w:firstRowFirstColumn="0" w:firstRowLastColumn="0" w:lastRowFirstColumn="0" w:lastRowLastColumn="0"/>
          <w:trHeight w:val="947"/>
          <w:tblHeader/>
        </w:trPr>
        <w:tc>
          <w:tcPr>
            <w:tcW w:w="1838" w:type="dxa"/>
            <w:vAlign w:val="top"/>
          </w:tcPr>
          <w:p w14:paraId="03F40414" w14:textId="77777777" w:rsidR="0094655B" w:rsidRPr="000D471B" w:rsidRDefault="0094655B" w:rsidP="000D471B">
            <w:pPr>
              <w:pStyle w:val="Tabletextleft"/>
              <w:rPr>
                <w:b/>
              </w:rPr>
            </w:pPr>
            <w:r w:rsidRPr="000D471B">
              <w:rPr>
                <w:b/>
              </w:rPr>
              <w:t>Indicator components</w:t>
            </w:r>
          </w:p>
        </w:tc>
        <w:tc>
          <w:tcPr>
            <w:tcW w:w="1225" w:type="dxa"/>
            <w:vAlign w:val="top"/>
          </w:tcPr>
          <w:p w14:paraId="434D38E0" w14:textId="77777777" w:rsidR="0094655B" w:rsidRPr="000D471B" w:rsidRDefault="0094655B" w:rsidP="000D471B">
            <w:pPr>
              <w:pStyle w:val="Tabletextleft"/>
              <w:rPr>
                <w:b/>
              </w:rPr>
            </w:pPr>
            <w:r w:rsidRPr="000D471B">
              <w:rPr>
                <w:b/>
              </w:rPr>
              <w:t>Source</w:t>
            </w:r>
          </w:p>
        </w:tc>
        <w:tc>
          <w:tcPr>
            <w:tcW w:w="3736" w:type="dxa"/>
            <w:vAlign w:val="top"/>
          </w:tcPr>
          <w:p w14:paraId="048BB967" w14:textId="77777777" w:rsidR="0094655B" w:rsidRPr="000D471B" w:rsidRDefault="0094655B" w:rsidP="000D471B">
            <w:pPr>
              <w:pStyle w:val="Tabletextleft"/>
              <w:rPr>
                <w:b/>
              </w:rPr>
            </w:pPr>
            <w:r w:rsidRPr="000D471B">
              <w:rPr>
                <w:b/>
              </w:rPr>
              <w:t>Description</w:t>
            </w:r>
          </w:p>
        </w:tc>
        <w:tc>
          <w:tcPr>
            <w:tcW w:w="1560" w:type="dxa"/>
            <w:vAlign w:val="top"/>
          </w:tcPr>
          <w:p w14:paraId="7F545797" w14:textId="77777777" w:rsidR="0094655B" w:rsidRPr="000D471B" w:rsidRDefault="0094655B" w:rsidP="000D471B">
            <w:pPr>
              <w:pStyle w:val="Tabletextleft"/>
              <w:rPr>
                <w:b/>
              </w:rPr>
            </w:pPr>
            <w:r w:rsidRPr="000D471B">
              <w:rPr>
                <w:b/>
              </w:rPr>
              <w:t>Custodian/ stakeholder</w:t>
            </w:r>
          </w:p>
        </w:tc>
        <w:tc>
          <w:tcPr>
            <w:tcW w:w="1497" w:type="dxa"/>
            <w:vAlign w:val="top"/>
          </w:tcPr>
          <w:p w14:paraId="61B13E61" w14:textId="77777777" w:rsidR="0094655B" w:rsidRPr="000D471B" w:rsidRDefault="0094655B" w:rsidP="000D471B">
            <w:pPr>
              <w:pStyle w:val="Tabletextleft"/>
              <w:rPr>
                <w:b/>
              </w:rPr>
            </w:pPr>
            <w:r w:rsidRPr="000D471B">
              <w:rPr>
                <w:b/>
              </w:rPr>
              <w:t>Availability of data for reporting</w:t>
            </w:r>
          </w:p>
        </w:tc>
      </w:tr>
      <w:tr w:rsidR="00582C17" w:rsidRPr="000D471B" w14:paraId="6F3CA6B7" w14:textId="77777777" w:rsidTr="000D471B">
        <w:trPr>
          <w:cnfStyle w:val="000000100000" w:firstRow="0" w:lastRow="0" w:firstColumn="0" w:lastColumn="0" w:oddVBand="0" w:evenVBand="0" w:oddHBand="1" w:evenHBand="0" w:firstRowFirstColumn="0" w:firstRowLastColumn="0" w:lastRowFirstColumn="0" w:lastRowLastColumn="0"/>
          <w:trHeight w:val="1277"/>
        </w:trPr>
        <w:tc>
          <w:tcPr>
            <w:tcW w:w="183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B55657F" w14:textId="4734116D" w:rsidR="00582C17" w:rsidRPr="000D471B" w:rsidRDefault="00582C17" w:rsidP="000D471B">
            <w:pPr>
              <w:pStyle w:val="Tabletextleft"/>
              <w:rPr>
                <w:b/>
              </w:rPr>
            </w:pPr>
            <w:r w:rsidRPr="000D471B">
              <w:rPr>
                <w:b/>
              </w:rPr>
              <w:t>Single measures</w:t>
            </w:r>
          </w:p>
        </w:tc>
        <w:tc>
          <w:tcPr>
            <w:tcW w:w="122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623A39B" w14:textId="3F2550A8" w:rsidR="00582C17" w:rsidRPr="000D471B" w:rsidRDefault="00582C17" w:rsidP="000D471B">
            <w:pPr>
              <w:pStyle w:val="Tabletextleft"/>
            </w:pPr>
            <w:r w:rsidRPr="000D471B">
              <w:t xml:space="preserve">Burden of Disease </w:t>
            </w:r>
            <w:r w:rsidR="003D553B" w:rsidRPr="000D471B">
              <w:t>Study</w:t>
            </w:r>
          </w:p>
        </w:tc>
        <w:tc>
          <w:tcPr>
            <w:tcW w:w="3736"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04875C8" w14:textId="12ACFC19" w:rsidR="00582C17" w:rsidRPr="000D471B" w:rsidRDefault="00582C17" w:rsidP="000D471B">
            <w:pPr>
              <w:pStyle w:val="Tabletextleft"/>
            </w:pPr>
            <w:r w:rsidRPr="000D471B">
              <w:t xml:space="preserve">Estimated </w:t>
            </w:r>
            <w:r w:rsidR="00D568CE" w:rsidRPr="000D471B">
              <w:t>number of DALYs due to syphilis</w:t>
            </w:r>
            <w:r w:rsidR="005E4D5D" w:rsidRPr="000D471B">
              <w:t>, by sex and age</w:t>
            </w:r>
          </w:p>
        </w:tc>
        <w:tc>
          <w:tcPr>
            <w:tcW w:w="15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6DB58E5" w14:textId="11D8EA4B" w:rsidR="00582C17" w:rsidRPr="000D471B" w:rsidRDefault="00582C17" w:rsidP="000D471B">
            <w:pPr>
              <w:pStyle w:val="Tabletextleft"/>
            </w:pPr>
            <w:r w:rsidRPr="000D471B">
              <w:t>Australian Institute of Health and Welfare</w:t>
            </w:r>
          </w:p>
        </w:tc>
        <w:tc>
          <w:tcPr>
            <w:tcW w:w="14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7EDF780" w14:textId="49A0F9EA" w:rsidR="00582C17" w:rsidRPr="000D471B" w:rsidRDefault="00582C17" w:rsidP="000D471B">
            <w:pPr>
              <w:pStyle w:val="Tabletextleft"/>
            </w:pPr>
            <w:r w:rsidRPr="000D471B">
              <w:t>Annually*</w:t>
            </w:r>
          </w:p>
        </w:tc>
      </w:tr>
    </w:tbl>
    <w:p w14:paraId="7244F1ED" w14:textId="598979F2" w:rsidR="008278A9" w:rsidRPr="000D471B" w:rsidRDefault="00530DF9" w:rsidP="000D471B">
      <w:pPr>
        <w:pStyle w:val="Caption"/>
      </w:pPr>
      <w:r w:rsidRPr="000D471B">
        <w:t>* Data reported annually, however there is a delay of 1-2 years for each calendar year. For example, 2023 data reported in 2024.</w:t>
      </w:r>
    </w:p>
    <w:p w14:paraId="702B0E44" w14:textId="48D25108" w:rsidR="005B0DA2" w:rsidRPr="007251B8" w:rsidRDefault="005B0DA2" w:rsidP="00EC2D5E">
      <w:pPr>
        <w:pStyle w:val="Heading2"/>
        <w:pageBreakBefore/>
        <w:rPr>
          <w:highlight w:val="cyan"/>
        </w:rPr>
      </w:pPr>
      <w:bookmarkStart w:id="33" w:name="_Toc230091255"/>
      <w:r w:rsidRPr="00534992">
        <w:lastRenderedPageBreak/>
        <w:t xml:space="preserve">Goal 4 </w:t>
      </w:r>
      <w:r w:rsidR="00A43EE9">
        <w:t>–</w:t>
      </w:r>
      <w:r w:rsidRPr="00534992">
        <w:t xml:space="preserve"> Eliminate congenital syphilis (defined as sustained zero congenital syphilis cases)</w:t>
      </w:r>
      <w:bookmarkEnd w:id="33"/>
    </w:p>
    <w:p w14:paraId="3ECF2C28" w14:textId="77777777" w:rsidR="005B0DA2" w:rsidRPr="000D471B" w:rsidRDefault="005B0DA2" w:rsidP="000D471B">
      <w:pPr>
        <w:pStyle w:val="Boxgreenheading"/>
      </w:pPr>
      <w:r w:rsidRPr="000D471B">
        <w:t>Indicators</w:t>
      </w:r>
    </w:p>
    <w:p w14:paraId="2CDDD246" w14:textId="6429EB94" w:rsidR="005B0DA2" w:rsidRPr="000D471B" w:rsidRDefault="005405DD" w:rsidP="00E71314">
      <w:pPr>
        <w:pStyle w:val="Boxgreentext"/>
        <w:spacing w:after="60"/>
        <w:ind w:left="709" w:hanging="709"/>
      </w:pPr>
      <w:r>
        <w:t>4.1</w:t>
      </w:r>
      <w:r>
        <w:tab/>
      </w:r>
      <w:r w:rsidR="005E01DA" w:rsidRPr="000D471B">
        <w:t>Number of congenital syphilis cases by remoteness area and Indigenous status</w:t>
      </w:r>
    </w:p>
    <w:p w14:paraId="006FB128" w14:textId="393B5A66" w:rsidR="004F6B2C" w:rsidRPr="000D471B" w:rsidRDefault="00EC2D5E" w:rsidP="00E71314">
      <w:pPr>
        <w:pStyle w:val="Boxgreentext"/>
        <w:spacing w:after="60"/>
        <w:ind w:left="709" w:hanging="709"/>
      </w:pPr>
      <w:r>
        <w:t>4.2</w:t>
      </w:r>
      <w:r>
        <w:tab/>
      </w:r>
      <w:r w:rsidR="004F6B2C" w:rsidRPr="000D471B">
        <w:t>Number of congenital syphilis related deaths by Indigenous status</w:t>
      </w:r>
    </w:p>
    <w:p w14:paraId="28C51688" w14:textId="47709D1B" w:rsidR="005E01DA" w:rsidRPr="000D471B" w:rsidRDefault="00EC2D5E" w:rsidP="00E71314">
      <w:pPr>
        <w:pStyle w:val="Boxgreentext"/>
        <w:spacing w:after="60"/>
        <w:ind w:left="709" w:hanging="709"/>
      </w:pPr>
      <w:r>
        <w:t>4.3</w:t>
      </w:r>
      <w:r>
        <w:tab/>
      </w:r>
      <w:r w:rsidR="005E01DA" w:rsidRPr="000D471B">
        <w:t>Notification rate of congenital syphilis per 100,000 live births by remoteness area and Indigenous status</w:t>
      </w:r>
    </w:p>
    <w:p w14:paraId="037CF69D" w14:textId="5EEC0CBB" w:rsidR="004F6B2C" w:rsidRPr="000D471B" w:rsidRDefault="00EC2D5E" w:rsidP="00E71314">
      <w:pPr>
        <w:pStyle w:val="Boxgreentext"/>
        <w:spacing w:after="60"/>
        <w:ind w:left="709" w:hanging="709"/>
      </w:pPr>
      <w:r>
        <w:t>4.4</w:t>
      </w:r>
      <w:r>
        <w:tab/>
      </w:r>
      <w:r w:rsidR="004F6B2C" w:rsidRPr="000D471B">
        <w:t>Proportion of syphilis notifications among women of reproductive age (15- 44 years) who were pregnant at time of diagnosis, by remoteness area and Indigenous status</w:t>
      </w:r>
    </w:p>
    <w:p w14:paraId="61973204" w14:textId="7F08F618" w:rsidR="005E01DA" w:rsidRPr="000D471B" w:rsidRDefault="00EC2D5E" w:rsidP="00E71314">
      <w:pPr>
        <w:pStyle w:val="Boxgreentext"/>
        <w:spacing w:after="60"/>
        <w:ind w:left="709" w:hanging="709"/>
      </w:pPr>
      <w:r>
        <w:t>4.5</w:t>
      </w:r>
      <w:r>
        <w:tab/>
      </w:r>
      <w:r w:rsidR="005E01DA" w:rsidRPr="000D471B">
        <w:t>Number of women giving birth to an infant with congenital syphilis who were diagnosed with syphilis ‘late’ in pregnancy by Indigenous status</w:t>
      </w:r>
    </w:p>
    <w:p w14:paraId="04B2875B" w14:textId="7EBFF88A" w:rsidR="005E01DA" w:rsidRPr="000D471B" w:rsidRDefault="00EC2D5E" w:rsidP="00E71314">
      <w:pPr>
        <w:pStyle w:val="Boxgreentext"/>
        <w:spacing w:after="60"/>
        <w:ind w:left="709" w:hanging="709"/>
      </w:pPr>
      <w:r>
        <w:t>4.6</w:t>
      </w:r>
      <w:r>
        <w:tab/>
      </w:r>
      <w:r w:rsidR="005E01DA" w:rsidRPr="000D471B">
        <w:t>Proportion of people giving birth to an infant with congenital syphilis receiving adequate treatment prior to delivery</w:t>
      </w:r>
    </w:p>
    <w:p w14:paraId="2A5C65E9" w14:textId="5291169E" w:rsidR="00BE7742" w:rsidRPr="000D471B" w:rsidRDefault="00EC2D5E" w:rsidP="00E71314">
      <w:pPr>
        <w:pStyle w:val="Boxgreentext"/>
        <w:spacing w:after="60"/>
        <w:ind w:left="709" w:hanging="709"/>
      </w:pPr>
      <w:r>
        <w:t>4.7</w:t>
      </w:r>
      <w:r>
        <w:tab/>
      </w:r>
      <w:r w:rsidR="00BE7742" w:rsidRPr="000D471B">
        <w:t>Number of people giving birth to an infant with congenital syphilis by number of syphilis tests received during their pregnancy</w:t>
      </w:r>
    </w:p>
    <w:p w14:paraId="6BB32276" w14:textId="52CCC2FE" w:rsidR="00BE7742" w:rsidRPr="000D471B" w:rsidRDefault="0036452A" w:rsidP="00E71314">
      <w:pPr>
        <w:pStyle w:val="Boxgreentext"/>
        <w:spacing w:after="60"/>
        <w:ind w:left="709" w:hanging="709"/>
      </w:pPr>
      <w:r>
        <w:t>4.8</w:t>
      </w:r>
      <w:r>
        <w:tab/>
      </w:r>
      <w:r w:rsidR="00BE7742" w:rsidRPr="000D471B">
        <w:t>Number of people giving birth to an infant with congenital syphilis reinfected during their pregnancy</w:t>
      </w:r>
    </w:p>
    <w:p w14:paraId="4BD0385F" w14:textId="357E2885" w:rsidR="00BE7742" w:rsidRPr="000D471B" w:rsidRDefault="0036452A" w:rsidP="00E71314">
      <w:pPr>
        <w:pStyle w:val="Boxgreentext"/>
        <w:spacing w:after="60"/>
        <w:ind w:left="709" w:hanging="709"/>
      </w:pPr>
      <w:r>
        <w:t>4.9</w:t>
      </w:r>
      <w:r>
        <w:tab/>
      </w:r>
      <w:r w:rsidR="00BE7742" w:rsidRPr="000D471B">
        <w:t>Number of women of reproductive age (15-44 years) hospitalised with a principal diagnosis of syphilis (ICD-10 coded)</w:t>
      </w:r>
    </w:p>
    <w:p w14:paraId="13F7D987" w14:textId="6CA275A4" w:rsidR="005B0DA2" w:rsidRPr="000D471B" w:rsidRDefault="0036452A" w:rsidP="00E71314">
      <w:pPr>
        <w:pStyle w:val="Boxgreentext"/>
        <w:spacing w:after="60"/>
        <w:ind w:left="709" w:hanging="709"/>
      </w:pPr>
      <w:r>
        <w:t>4.10</w:t>
      </w:r>
      <w:r>
        <w:tab/>
      </w:r>
      <w:r w:rsidR="00BE7742" w:rsidRPr="000D471B">
        <w:t>Number of people hospitalised with a principal diagnosis of syphilis in pregnancy, childbirth and puerperium (ICD-10 coded)</w:t>
      </w:r>
    </w:p>
    <w:p w14:paraId="2660D3C8" w14:textId="77777777" w:rsidR="00A3484F" w:rsidRPr="0036452A" w:rsidRDefault="00A3484F" w:rsidP="0036452A">
      <w:pPr>
        <w:pStyle w:val="Heading3"/>
      </w:pPr>
      <w:r w:rsidRPr="0036452A">
        <w:t>Why is this goal important?</w:t>
      </w:r>
    </w:p>
    <w:p w14:paraId="1EFC88E3" w14:textId="77777777" w:rsidR="005C1306" w:rsidRDefault="00471C3C" w:rsidP="0036452A">
      <w:r w:rsidRPr="0036452A">
        <w:t xml:space="preserve">Goal 4 is important as it </w:t>
      </w:r>
      <w:r w:rsidR="006949B2" w:rsidRPr="0036452A">
        <w:t>sets the target for elimination of congenital syphilis in Australia. Monitoring</w:t>
      </w:r>
      <w:r w:rsidR="00CE172E" w:rsidRPr="0036452A">
        <w:t xml:space="preserve"> congenital syphilis case</w:t>
      </w:r>
      <w:r w:rsidR="007E161A" w:rsidRPr="0036452A">
        <w:t>s</w:t>
      </w:r>
      <w:r w:rsidR="004563AE" w:rsidRPr="0036452A">
        <w:t>,</w:t>
      </w:r>
      <w:r w:rsidR="007E161A" w:rsidRPr="0036452A">
        <w:t xml:space="preserve"> incidents</w:t>
      </w:r>
      <w:r w:rsidR="00067A7B" w:rsidRPr="0036452A">
        <w:t xml:space="preserve"> and care of pregnant people with syphilis </w:t>
      </w:r>
      <w:r w:rsidR="004563AE" w:rsidRPr="0036452A">
        <w:t xml:space="preserve">provides critical information to </w:t>
      </w:r>
      <w:r w:rsidR="008B33DF" w:rsidRPr="0036452A">
        <w:t xml:space="preserve">monitor the effectiveness of antenatal care in relation to syphilis and </w:t>
      </w:r>
      <w:r w:rsidR="004446B6" w:rsidRPr="0036452A">
        <w:t xml:space="preserve">develop and refine prevention strategies </w:t>
      </w:r>
      <w:r w:rsidR="00A57088" w:rsidRPr="0036452A">
        <w:t xml:space="preserve">to mitigate the risk of </w:t>
      </w:r>
      <w:r w:rsidR="00D00A03" w:rsidRPr="0036452A">
        <w:t>severe outcomes (e.g. congenital syphilis)</w:t>
      </w:r>
      <w:r w:rsidR="005C1306">
        <w:t>.</w:t>
      </w:r>
    </w:p>
    <w:p w14:paraId="5B120392" w14:textId="1090D308" w:rsidR="00A3484F" w:rsidRPr="0036452A" w:rsidRDefault="00A3484F" w:rsidP="0036452A">
      <w:pPr>
        <w:pStyle w:val="Heading3"/>
      </w:pPr>
      <w:r w:rsidRPr="0036452A">
        <w:lastRenderedPageBreak/>
        <w:t>Data gaps</w:t>
      </w:r>
    </w:p>
    <w:p w14:paraId="5A06E289" w14:textId="53CFAF4E" w:rsidR="00CA3B05" w:rsidRPr="0036452A" w:rsidRDefault="00CA3B05" w:rsidP="0036452A">
      <w:r w:rsidRPr="0036452A">
        <w:t xml:space="preserve">As noted in </w:t>
      </w:r>
      <w:hyperlink w:anchor="_Goal_1_-" w:history="1">
        <w:r w:rsidRPr="0036452A">
          <w:rPr>
            <w:rStyle w:val="Hyperlink"/>
          </w:rPr>
          <w:t>goal 1</w:t>
        </w:r>
      </w:hyperlink>
      <w:r w:rsidRPr="0036452A">
        <w:t xml:space="preserve"> </w:t>
      </w:r>
      <w:r w:rsidR="00004A76" w:rsidRPr="0036452A">
        <w:t>population level</w:t>
      </w:r>
      <w:r w:rsidRPr="0036452A">
        <w:t xml:space="preserve"> syphili</w:t>
      </w:r>
      <w:r w:rsidR="00004A76" w:rsidRPr="0036452A">
        <w:t xml:space="preserve">s testing data during pregnancy is a current limitation </w:t>
      </w:r>
      <w:r w:rsidR="00485F27" w:rsidRPr="0036452A">
        <w:t xml:space="preserve">of </w:t>
      </w:r>
      <w:r w:rsidR="00004A76" w:rsidRPr="0036452A">
        <w:t>national data collections, noting the considerable on-going work to address this issue.</w:t>
      </w:r>
    </w:p>
    <w:p w14:paraId="2D7AC018" w14:textId="38E8F45B" w:rsidR="005B0DA2" w:rsidRPr="0036452A" w:rsidRDefault="005B0DA2" w:rsidP="0036452A">
      <w:pPr>
        <w:pStyle w:val="Heading3"/>
      </w:pPr>
      <w:r w:rsidRPr="0036452A">
        <w:t>Indicator notes</w:t>
      </w:r>
    </w:p>
    <w:p w14:paraId="17EF1C04" w14:textId="751F0165" w:rsidR="00B57E21" w:rsidRPr="0036452A" w:rsidRDefault="00B57E21" w:rsidP="0036452A">
      <w:r w:rsidRPr="0036452A">
        <w:t xml:space="preserve">Congenital syphilis is a nationally notifiable disease. Although </w:t>
      </w:r>
      <w:proofErr w:type="gramStart"/>
      <w:r w:rsidRPr="0036452A">
        <w:t>the majority of</w:t>
      </w:r>
      <w:proofErr w:type="gramEnd"/>
      <w:r w:rsidRPr="0036452A">
        <w:t xml:space="preserve"> congenital syphilis cases are diagnosed at birth, diagnosis can occur at a later stage in life.</w:t>
      </w:r>
    </w:p>
    <w:p w14:paraId="4B12887A" w14:textId="0A2A480A" w:rsidR="00B57E21" w:rsidRPr="0036452A" w:rsidRDefault="00AE57BA" w:rsidP="0036452A">
      <w:r w:rsidRPr="0036452A">
        <w:t xml:space="preserve">Notification rates for congenital syphilis are calculated using cases notified to the NNDSS as the numerator and </w:t>
      </w:r>
      <w:hyperlink r:id="rId35" w:history="1">
        <w:r w:rsidRPr="0036452A">
          <w:rPr>
            <w:rStyle w:val="Hyperlink"/>
          </w:rPr>
          <w:t>live-birth data</w:t>
        </w:r>
      </w:hyperlink>
      <w:r w:rsidRPr="0036452A">
        <w:t xml:space="preserve"> sourced from the ABS as the denominator.</w:t>
      </w:r>
      <w:r w:rsidR="00BB0A63">
        <w:t xml:space="preserve"> </w:t>
      </w:r>
      <w:r w:rsidRPr="0036452A">
        <w:t xml:space="preserve">The </w:t>
      </w:r>
      <w:r w:rsidR="00B57E21" w:rsidRPr="0036452A">
        <w:t>number of</w:t>
      </w:r>
      <w:r w:rsidR="00E15832" w:rsidRPr="0036452A">
        <w:t xml:space="preserve"> </w:t>
      </w:r>
      <w:proofErr w:type="gramStart"/>
      <w:r w:rsidR="00E15832" w:rsidRPr="0036452A">
        <w:t>live-</w:t>
      </w:r>
      <w:r w:rsidR="00B57E21" w:rsidRPr="0036452A">
        <w:t>births</w:t>
      </w:r>
      <w:proofErr w:type="gramEnd"/>
      <w:r w:rsidR="00E15832" w:rsidRPr="0036452A">
        <w:t xml:space="preserve"> refers to births</w:t>
      </w:r>
      <w:r w:rsidR="00B57E21" w:rsidRPr="0036452A">
        <w:t xml:space="preserve"> that occurred in Australia including births to mothers whose place of usual residence was overseas. Stillbirths and </w:t>
      </w:r>
      <w:proofErr w:type="spellStart"/>
      <w:r w:rsidR="00B57E21" w:rsidRPr="0036452A">
        <w:t>fetal</w:t>
      </w:r>
      <w:proofErr w:type="spellEnd"/>
      <w:r w:rsidR="00B57E21" w:rsidRPr="0036452A">
        <w:t xml:space="preserve"> deaths are excluded.</w:t>
      </w:r>
      <w:r w:rsidR="00CE2FBA" w:rsidRPr="0036452A">
        <w:t xml:space="preserve"> The numerator </w:t>
      </w:r>
      <w:r w:rsidR="00B770DD" w:rsidRPr="0036452A">
        <w:t>for any calculation of rate in this section includes all congenital syphilis cases notified in th</w:t>
      </w:r>
      <w:r w:rsidR="001B1980" w:rsidRPr="0036452A">
        <w:t xml:space="preserve">e specified period regardless of the clinical outcome. This means that the numerator </w:t>
      </w:r>
      <w:r w:rsidR="006E349B" w:rsidRPr="0036452A">
        <w:t xml:space="preserve">will include still-births and deaths post-birth </w:t>
      </w:r>
      <w:r w:rsidR="00D27579" w:rsidRPr="0036452A">
        <w:t>as well as live-births.</w:t>
      </w:r>
    </w:p>
    <w:p w14:paraId="210A894D" w14:textId="76E71974" w:rsidR="00B57E21" w:rsidRPr="0036452A" w:rsidRDefault="00B57E21" w:rsidP="0036452A">
      <w:r w:rsidRPr="0036452A">
        <w:t xml:space="preserve">Indigenous </w:t>
      </w:r>
      <w:r w:rsidR="7D548754" w:rsidRPr="0036452A">
        <w:t xml:space="preserve">births are recorded </w:t>
      </w:r>
      <w:r w:rsidRPr="0036452A">
        <w:t>where at least one parent reported themselves as being an Aboriginal person, Torres Strait Islander, or both on the birth registration form. Therefore</w:t>
      </w:r>
      <w:r w:rsidR="00CE4F7B" w:rsidRPr="0036452A">
        <w:t>,</w:t>
      </w:r>
      <w:r w:rsidRPr="0036452A">
        <w:t xml:space="preserve"> Indigenous births may be attributed to either:</w:t>
      </w:r>
    </w:p>
    <w:p w14:paraId="2C420A05" w14:textId="4930AAB4" w:rsidR="00B57E21" w:rsidRPr="0004521D" w:rsidRDefault="00B57E21" w:rsidP="0004521D">
      <w:pPr>
        <w:pStyle w:val="ListBullet"/>
      </w:pPr>
      <w:r w:rsidRPr="0004521D">
        <w:t>Aboriginal and/or Torres Strait Islander mothers, including births where both the mother and father are Aboriginal and/or Torres Strait Islander Australians; or</w:t>
      </w:r>
    </w:p>
    <w:p w14:paraId="7C871A62" w14:textId="0BD4F11E" w:rsidR="00B57E21" w:rsidRPr="0004521D" w:rsidRDefault="00B57E21" w:rsidP="0004521D">
      <w:pPr>
        <w:pStyle w:val="ListBullet"/>
      </w:pPr>
      <w:r w:rsidRPr="0004521D">
        <w:t>Aboriginal and/or Torres Strait Islander fathers and non-Indigenous mothers.</w:t>
      </w:r>
    </w:p>
    <w:p w14:paraId="338B4A4C" w14:textId="7A011DDA" w:rsidR="00BC42D9" w:rsidRPr="00CA4AA6" w:rsidRDefault="00BC42D9" w:rsidP="00CA4AA6">
      <w:pPr>
        <w:pStyle w:val="Heading4"/>
      </w:pPr>
      <w:r w:rsidRPr="00CA4AA6">
        <w:t>Deaths and hospitalisations</w:t>
      </w:r>
      <w:r w:rsidR="002139A2" w:rsidRPr="00CA4AA6">
        <w:t xml:space="preserve"> </w:t>
      </w:r>
      <w:r w:rsidR="00CA4AA6">
        <w:t>–</w:t>
      </w:r>
      <w:r w:rsidR="002139A2" w:rsidRPr="00CA4AA6">
        <w:t xml:space="preserve"> </w:t>
      </w:r>
      <w:r w:rsidRPr="00CA4AA6">
        <w:t>NNDSS</w:t>
      </w:r>
    </w:p>
    <w:p w14:paraId="01BAB47E" w14:textId="25FF1B76" w:rsidR="002139A2" w:rsidRPr="00CA4AA6" w:rsidRDefault="002139A2" w:rsidP="00CA4AA6">
      <w:r w:rsidRPr="00CA4AA6">
        <w:t>Reporting of deaths and hospitalisations due to congenital syphilis varies across jurisdictions. Core data reported to NNDSS will be interpreted in conjunction with enhanced congenital syphilis data to present the most accurate reflection of the incident.</w:t>
      </w:r>
    </w:p>
    <w:p w14:paraId="660C271F" w14:textId="1B997057" w:rsidR="00B57E21" w:rsidRPr="00CA4AA6" w:rsidRDefault="00B57E21" w:rsidP="00CA4AA6">
      <w:pPr>
        <w:pStyle w:val="Heading4"/>
      </w:pPr>
      <w:r w:rsidRPr="00CA4AA6">
        <w:t>Pregnancy</w:t>
      </w:r>
      <w:r w:rsidR="00BC42D9" w:rsidRPr="00CA4AA6">
        <w:t xml:space="preserve"> </w:t>
      </w:r>
      <w:r w:rsidR="00CA4AA6" w:rsidRPr="00CA4AA6">
        <w:t>–</w:t>
      </w:r>
      <w:r w:rsidR="00672094" w:rsidRPr="00CA4AA6">
        <w:t xml:space="preserve"> NNDSS</w:t>
      </w:r>
    </w:p>
    <w:p w14:paraId="7B45C479" w14:textId="77777777" w:rsidR="00B57E21" w:rsidRPr="00CA4AA6" w:rsidRDefault="00B57E21" w:rsidP="00CA4AA6">
      <w:r w:rsidRPr="00CA4AA6">
        <w:t>Where data are available jurisdictions will provide additional information on female infectious syphilis cases including:</w:t>
      </w:r>
    </w:p>
    <w:p w14:paraId="3E8F4B98" w14:textId="0A0B1475" w:rsidR="00B57E21" w:rsidRPr="00CA4AA6" w:rsidRDefault="00B57E21" w:rsidP="00CA4AA6">
      <w:pPr>
        <w:pStyle w:val="ListBullet"/>
      </w:pPr>
      <w:r w:rsidRPr="00CA4AA6">
        <w:t>Pregnancy status at time of diagnosis;</w:t>
      </w:r>
    </w:p>
    <w:p w14:paraId="1A53E6F4" w14:textId="192CDB22" w:rsidR="00B57E21" w:rsidRPr="00CA4AA6" w:rsidRDefault="00B57E21" w:rsidP="00CA4AA6">
      <w:pPr>
        <w:pStyle w:val="ListBullet"/>
      </w:pPr>
      <w:r w:rsidRPr="00CA4AA6">
        <w:t>Reason for testing (e.g. antenatal screen);</w:t>
      </w:r>
    </w:p>
    <w:p w14:paraId="1FCFE53A" w14:textId="5DF3CE6F" w:rsidR="00B57E21" w:rsidRPr="00CA4AA6" w:rsidRDefault="00B57E21" w:rsidP="00CA4AA6">
      <w:pPr>
        <w:pStyle w:val="ListBullet"/>
      </w:pPr>
      <w:r w:rsidRPr="00CA4AA6">
        <w:t>Maternal stage of pregnancy at diagnosis.</w:t>
      </w:r>
    </w:p>
    <w:p w14:paraId="16C6A5CF" w14:textId="7B336CF7" w:rsidR="00C56EA1" w:rsidRPr="00CA4AA6" w:rsidRDefault="00C56EA1" w:rsidP="00CA4AA6">
      <w:pPr>
        <w:pStyle w:val="Heading4"/>
      </w:pPr>
      <w:r w:rsidRPr="00CA4AA6">
        <w:t>Enhanced congenital syphilis data</w:t>
      </w:r>
      <w:r w:rsidR="00672094" w:rsidRPr="00CA4AA6">
        <w:t xml:space="preserve"> </w:t>
      </w:r>
      <w:r w:rsidR="00CA4AA6" w:rsidRPr="00CA4AA6">
        <w:t>–</w:t>
      </w:r>
      <w:r w:rsidR="00672094" w:rsidRPr="00CA4AA6">
        <w:t xml:space="preserve"> NNDSS</w:t>
      </w:r>
    </w:p>
    <w:p w14:paraId="037446A1" w14:textId="1FE1F8C1" w:rsidR="0040638F" w:rsidRPr="00CA4AA6" w:rsidRDefault="0040638F" w:rsidP="00CA4AA6">
      <w:r w:rsidRPr="00CA4AA6">
        <w:t xml:space="preserve">Refer to the </w:t>
      </w:r>
      <w:hyperlink w:anchor="_Goal_1_-" w:history="1">
        <w:r w:rsidRPr="00CA4AA6">
          <w:rPr>
            <w:rStyle w:val="Hyperlink"/>
          </w:rPr>
          <w:t>indicator notes</w:t>
        </w:r>
      </w:hyperlink>
      <w:r w:rsidRPr="00CA4AA6">
        <w:t xml:space="preserve"> section of goal 1.</w:t>
      </w:r>
    </w:p>
    <w:p w14:paraId="43D1DC6A" w14:textId="2E2B29D6" w:rsidR="00741D1C" w:rsidRPr="00CA4AA6" w:rsidRDefault="00741D1C" w:rsidP="00CA4AA6">
      <w:pPr>
        <w:pStyle w:val="Heading4"/>
      </w:pPr>
      <w:r w:rsidRPr="00CA4AA6">
        <w:lastRenderedPageBreak/>
        <w:t>Hospitalisations</w:t>
      </w:r>
      <w:r w:rsidR="007E5B8C" w:rsidRPr="00CA4AA6">
        <w:t xml:space="preserve"> (</w:t>
      </w:r>
      <w:r w:rsidRPr="00CA4AA6">
        <w:t>AIHW</w:t>
      </w:r>
      <w:r w:rsidR="007E5B8C" w:rsidRPr="00CA4AA6">
        <w:t xml:space="preserve">) and </w:t>
      </w:r>
      <w:r w:rsidR="0012428A">
        <w:t>c</w:t>
      </w:r>
      <w:r w:rsidR="0012428A" w:rsidRPr="00CA4AA6">
        <w:t xml:space="preserve">auses </w:t>
      </w:r>
      <w:r w:rsidR="007E5B8C" w:rsidRPr="00CA4AA6">
        <w:t>of death (ABS)</w:t>
      </w:r>
    </w:p>
    <w:p w14:paraId="3A835D57" w14:textId="1C99B23A" w:rsidR="007E5B8C" w:rsidRPr="00CA4AA6" w:rsidRDefault="007E5B8C" w:rsidP="00CA4AA6">
      <w:r w:rsidRPr="00CA4AA6">
        <w:t xml:space="preserve">Refer to </w:t>
      </w:r>
      <w:r w:rsidR="00B81402" w:rsidRPr="00CA4AA6">
        <w:t xml:space="preserve">the </w:t>
      </w:r>
      <w:hyperlink w:anchor="_Goal_3_-" w:history="1">
        <w:r w:rsidR="00B81402" w:rsidRPr="00CA4AA6">
          <w:rPr>
            <w:rStyle w:val="Hyperlink"/>
          </w:rPr>
          <w:t>indicator notes</w:t>
        </w:r>
      </w:hyperlink>
      <w:r w:rsidR="00B81402" w:rsidRPr="00CA4AA6">
        <w:t xml:space="preserve"> section of goal 3.</w:t>
      </w:r>
    </w:p>
    <w:p w14:paraId="59282D9C" w14:textId="00FB4D51" w:rsidR="005B0DA2" w:rsidRPr="0036452A" w:rsidRDefault="005B0DA2" w:rsidP="0036452A">
      <w:pPr>
        <w:pStyle w:val="Heading3"/>
      </w:pPr>
      <w:r w:rsidRPr="0036452A">
        <w:t>Reporting against indicators</w:t>
      </w:r>
    </w:p>
    <w:p w14:paraId="756AB227" w14:textId="70F1DBF3" w:rsidR="005B0DA2" w:rsidRPr="007D6DD8" w:rsidRDefault="005E01DA" w:rsidP="00EB2AEB">
      <w:pPr>
        <w:pStyle w:val="Tableheadings"/>
      </w:pPr>
      <w:r>
        <w:t xml:space="preserve">4.1 </w:t>
      </w:r>
      <w:r w:rsidR="00E31BC9" w:rsidRPr="007D6DD8">
        <w:t>Number of congenital syphilis cases by remoteness area</w:t>
      </w:r>
      <w:r w:rsidR="00262925" w:rsidRPr="00262925">
        <w:rPr>
          <w:vertAlign w:val="superscript"/>
        </w:rPr>
        <w:fldChar w:fldCharType="begin"/>
      </w:r>
      <w:r w:rsidR="00262925" w:rsidRPr="00262925">
        <w:rPr>
          <w:vertAlign w:val="superscript"/>
        </w:rPr>
        <w:instrText xml:space="preserve"> NOTEREF _Ref204154426 \h </w:instrText>
      </w:r>
      <w:r w:rsidR="00262925">
        <w:rPr>
          <w:vertAlign w:val="superscript"/>
        </w:rPr>
        <w:instrText xml:space="preserve"> \* MERGEFORMAT </w:instrText>
      </w:r>
      <w:r w:rsidR="00262925" w:rsidRPr="00262925">
        <w:rPr>
          <w:vertAlign w:val="superscript"/>
        </w:rPr>
      </w:r>
      <w:r w:rsidR="00262925" w:rsidRPr="00262925">
        <w:rPr>
          <w:vertAlign w:val="superscript"/>
        </w:rPr>
        <w:fldChar w:fldCharType="separate"/>
      </w:r>
      <w:r w:rsidR="00262925" w:rsidRPr="00262925">
        <w:rPr>
          <w:vertAlign w:val="superscript"/>
        </w:rPr>
        <w:t>9</w:t>
      </w:r>
      <w:r w:rsidR="00262925" w:rsidRPr="00262925">
        <w:rPr>
          <w:vertAlign w:val="superscript"/>
        </w:rPr>
        <w:fldChar w:fldCharType="end"/>
      </w:r>
      <w:r w:rsidR="00E31BC9" w:rsidRPr="007D6DD8">
        <w:t xml:space="preserve"> and Indigenous status</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050"/>
        <w:gridCol w:w="4350"/>
        <w:gridCol w:w="1503"/>
        <w:gridCol w:w="1408"/>
      </w:tblGrid>
      <w:tr w:rsidR="005B0DA2" w:rsidRPr="00EB2AEB" w14:paraId="6EA482CB" w14:textId="77777777" w:rsidTr="00EB2AEB">
        <w:trPr>
          <w:cnfStyle w:val="100000000000" w:firstRow="1" w:lastRow="0" w:firstColumn="0" w:lastColumn="0" w:oddVBand="0" w:evenVBand="0" w:oddHBand="0" w:evenHBand="0" w:firstRowFirstColumn="0" w:firstRowLastColumn="0" w:lastRowFirstColumn="0" w:lastRowLastColumn="0"/>
          <w:tblHeader/>
        </w:trPr>
        <w:tc>
          <w:tcPr>
            <w:tcW w:w="1545" w:type="dxa"/>
            <w:vAlign w:val="top"/>
          </w:tcPr>
          <w:p w14:paraId="1941855F" w14:textId="77777777" w:rsidR="005B0DA2" w:rsidRPr="00EB2AEB" w:rsidRDefault="005B0DA2" w:rsidP="00EB2AEB">
            <w:pPr>
              <w:pStyle w:val="Tabletextleft"/>
              <w:rPr>
                <w:b/>
              </w:rPr>
            </w:pPr>
            <w:r w:rsidRPr="00EB2AEB">
              <w:rPr>
                <w:b/>
              </w:rPr>
              <w:t>Indicator components</w:t>
            </w:r>
          </w:p>
        </w:tc>
        <w:tc>
          <w:tcPr>
            <w:tcW w:w="1050" w:type="dxa"/>
            <w:vAlign w:val="top"/>
          </w:tcPr>
          <w:p w14:paraId="01A64317" w14:textId="77777777" w:rsidR="005B0DA2" w:rsidRPr="00EB2AEB" w:rsidRDefault="005B0DA2" w:rsidP="00EB2AEB">
            <w:pPr>
              <w:pStyle w:val="Tabletextleft"/>
              <w:rPr>
                <w:b/>
              </w:rPr>
            </w:pPr>
            <w:r w:rsidRPr="00EB2AEB">
              <w:rPr>
                <w:b/>
              </w:rPr>
              <w:t>Source</w:t>
            </w:r>
          </w:p>
        </w:tc>
        <w:tc>
          <w:tcPr>
            <w:tcW w:w="4350" w:type="dxa"/>
            <w:vAlign w:val="top"/>
          </w:tcPr>
          <w:p w14:paraId="626877F6" w14:textId="77777777" w:rsidR="005B0DA2" w:rsidRPr="00EB2AEB" w:rsidRDefault="005B0DA2" w:rsidP="00EB2AEB">
            <w:pPr>
              <w:pStyle w:val="Tabletextleft"/>
              <w:rPr>
                <w:b/>
              </w:rPr>
            </w:pPr>
            <w:r w:rsidRPr="00EB2AEB">
              <w:rPr>
                <w:b/>
              </w:rPr>
              <w:t>Description</w:t>
            </w:r>
          </w:p>
        </w:tc>
        <w:tc>
          <w:tcPr>
            <w:tcW w:w="1503" w:type="dxa"/>
            <w:vAlign w:val="top"/>
          </w:tcPr>
          <w:p w14:paraId="5CCEF175" w14:textId="603B642F" w:rsidR="005B0DA2" w:rsidRPr="00EB2AEB" w:rsidRDefault="005B0DA2" w:rsidP="00EB2AEB">
            <w:pPr>
              <w:pStyle w:val="Tabletextleft"/>
              <w:rPr>
                <w:b/>
              </w:rPr>
            </w:pPr>
            <w:r w:rsidRPr="00EB2AEB">
              <w:rPr>
                <w:b/>
              </w:rPr>
              <w:t>Custodian/</w:t>
            </w:r>
            <w:r w:rsidR="00136297" w:rsidRPr="00EB2AEB">
              <w:rPr>
                <w:b/>
              </w:rPr>
              <w:t xml:space="preserve"> </w:t>
            </w:r>
            <w:r w:rsidRPr="00EB2AEB">
              <w:rPr>
                <w:b/>
              </w:rPr>
              <w:t>stakeholder</w:t>
            </w:r>
          </w:p>
        </w:tc>
        <w:tc>
          <w:tcPr>
            <w:tcW w:w="1408" w:type="dxa"/>
            <w:vAlign w:val="top"/>
          </w:tcPr>
          <w:p w14:paraId="0A11F9B0" w14:textId="77777777" w:rsidR="005B0DA2" w:rsidRPr="00EB2AEB" w:rsidRDefault="005B0DA2" w:rsidP="00EB2AEB">
            <w:pPr>
              <w:pStyle w:val="Tabletextleft"/>
              <w:rPr>
                <w:b/>
              </w:rPr>
            </w:pPr>
            <w:r w:rsidRPr="00EB2AEB">
              <w:rPr>
                <w:b/>
              </w:rPr>
              <w:t>Availability of data for reporting</w:t>
            </w:r>
          </w:p>
        </w:tc>
      </w:tr>
      <w:tr w:rsidR="00136297" w:rsidRPr="00EB2AEB" w14:paraId="775BE640" w14:textId="77777777" w:rsidTr="00EB2AEB">
        <w:trPr>
          <w:cnfStyle w:val="000000100000" w:firstRow="0" w:lastRow="0" w:firstColumn="0" w:lastColumn="0" w:oddVBand="0" w:evenVBand="0" w:oddHBand="1" w:evenHBand="0" w:firstRowFirstColumn="0" w:firstRowLastColumn="0" w:lastRowFirstColumn="0" w:lastRowLastColumn="0"/>
          <w:trHeight w:val="15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0F3ECD6F" w14:textId="070284B1" w:rsidR="00136297" w:rsidRPr="00EB2AEB" w:rsidRDefault="00136297" w:rsidP="00EB2AEB">
            <w:pPr>
              <w:pStyle w:val="Tabletextleft"/>
              <w:rPr>
                <w:b/>
              </w:rPr>
            </w:pPr>
            <w:r w:rsidRPr="00EB2AEB">
              <w:rPr>
                <w:b/>
              </w:rPr>
              <w:t>Indigenous</w:t>
            </w:r>
          </w:p>
        </w:tc>
      </w:tr>
      <w:tr w:rsidR="00136297" w:rsidRPr="00EB2AEB" w14:paraId="1808C537" w14:textId="77777777" w:rsidTr="00EB2AEB">
        <w:tc>
          <w:tcPr>
            <w:tcW w:w="1545" w:type="dxa"/>
            <w:vAlign w:val="top"/>
          </w:tcPr>
          <w:p w14:paraId="60766BF0" w14:textId="6AA1E65B" w:rsidR="00136297" w:rsidRPr="00EB2AEB" w:rsidRDefault="00136297" w:rsidP="00EB2AEB">
            <w:pPr>
              <w:pStyle w:val="Tabletextleft"/>
              <w:rPr>
                <w:b/>
              </w:rPr>
            </w:pPr>
            <w:r w:rsidRPr="00EB2AEB">
              <w:rPr>
                <w:b/>
              </w:rPr>
              <w:t>Single measure</w:t>
            </w:r>
          </w:p>
        </w:tc>
        <w:tc>
          <w:tcPr>
            <w:tcW w:w="1050" w:type="dxa"/>
            <w:vAlign w:val="top"/>
          </w:tcPr>
          <w:p w14:paraId="3A17B100" w14:textId="600F11B7" w:rsidR="00136297" w:rsidRPr="00EB2AEB" w:rsidRDefault="00136297" w:rsidP="00EB2AEB">
            <w:pPr>
              <w:pStyle w:val="Tabletextleft"/>
            </w:pPr>
            <w:r w:rsidRPr="00EB2AEB">
              <w:t>NNDSS</w:t>
            </w:r>
          </w:p>
        </w:tc>
        <w:tc>
          <w:tcPr>
            <w:tcW w:w="4350" w:type="dxa"/>
            <w:vAlign w:val="top"/>
          </w:tcPr>
          <w:p w14:paraId="39EE2C89" w14:textId="3D277F75" w:rsidR="00136297" w:rsidRPr="00EB2AEB" w:rsidRDefault="00136297" w:rsidP="00EB2AEB">
            <w:pPr>
              <w:pStyle w:val="Tabletextleft"/>
            </w:pPr>
            <w:r w:rsidRPr="00EB2AEB">
              <w:t>Number of Indigenous congenital syphilis notifications reported to NNDSS by remoteness area classification</w:t>
            </w:r>
          </w:p>
        </w:tc>
        <w:tc>
          <w:tcPr>
            <w:tcW w:w="1503" w:type="dxa"/>
            <w:vAlign w:val="top"/>
          </w:tcPr>
          <w:p w14:paraId="012F4DF4" w14:textId="43A323E6" w:rsidR="00136297" w:rsidRPr="00EB2AEB" w:rsidRDefault="00136297" w:rsidP="00EB2AEB">
            <w:pPr>
              <w:pStyle w:val="Tabletextleft"/>
            </w:pPr>
            <w:r w:rsidRPr="00EB2AEB">
              <w:t>Australian Centre for Disease Control</w:t>
            </w:r>
          </w:p>
        </w:tc>
        <w:tc>
          <w:tcPr>
            <w:tcW w:w="1408" w:type="dxa"/>
            <w:vAlign w:val="top"/>
          </w:tcPr>
          <w:p w14:paraId="0ECE3660" w14:textId="282094CF" w:rsidR="00136297" w:rsidRPr="00EB2AEB" w:rsidRDefault="00136297" w:rsidP="00EB2AEB">
            <w:pPr>
              <w:pStyle w:val="Tabletextleft"/>
            </w:pPr>
            <w:r w:rsidRPr="00EB2AEB">
              <w:t>Quarterly</w:t>
            </w:r>
          </w:p>
        </w:tc>
      </w:tr>
      <w:tr w:rsidR="00136297" w:rsidRPr="00EB2AEB" w14:paraId="2362A28F" w14:textId="77777777" w:rsidTr="00EB2AEB">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5F6E3E8D" w14:textId="2F389C6E" w:rsidR="00136297" w:rsidRPr="00EB2AEB" w:rsidRDefault="00136297" w:rsidP="00EB2AEB">
            <w:pPr>
              <w:pStyle w:val="Tabletextleft"/>
              <w:rPr>
                <w:b/>
              </w:rPr>
            </w:pPr>
            <w:r w:rsidRPr="00EB2AEB">
              <w:rPr>
                <w:b/>
              </w:rPr>
              <w:t>Non-Indigenous</w:t>
            </w:r>
          </w:p>
        </w:tc>
      </w:tr>
      <w:tr w:rsidR="00136297" w:rsidRPr="00EB2AEB" w14:paraId="17E145A2" w14:textId="77777777" w:rsidTr="00EB2AEB">
        <w:trPr>
          <w:trHeight w:val="1214"/>
        </w:trPr>
        <w:tc>
          <w:tcPr>
            <w:tcW w:w="1545" w:type="dxa"/>
            <w:vAlign w:val="top"/>
          </w:tcPr>
          <w:p w14:paraId="1B9D17AB" w14:textId="602D413B" w:rsidR="00136297" w:rsidRPr="00EB2AEB" w:rsidRDefault="00136297" w:rsidP="00EB2AEB">
            <w:pPr>
              <w:pStyle w:val="Tabletextleft"/>
              <w:rPr>
                <w:b/>
              </w:rPr>
            </w:pPr>
            <w:r w:rsidRPr="00EB2AEB">
              <w:rPr>
                <w:b/>
              </w:rPr>
              <w:t>Single measure</w:t>
            </w:r>
          </w:p>
        </w:tc>
        <w:tc>
          <w:tcPr>
            <w:tcW w:w="1050" w:type="dxa"/>
            <w:vAlign w:val="top"/>
          </w:tcPr>
          <w:p w14:paraId="74A1BCAE" w14:textId="432C5DEF" w:rsidR="00136297" w:rsidRPr="00EB2AEB" w:rsidRDefault="00136297" w:rsidP="00EB2AEB">
            <w:pPr>
              <w:pStyle w:val="Tabletextleft"/>
            </w:pPr>
            <w:r w:rsidRPr="00EB2AEB">
              <w:t>NNDSS</w:t>
            </w:r>
          </w:p>
        </w:tc>
        <w:tc>
          <w:tcPr>
            <w:tcW w:w="4350" w:type="dxa"/>
            <w:vAlign w:val="top"/>
          </w:tcPr>
          <w:p w14:paraId="7BD05CF0" w14:textId="181C6A13" w:rsidR="00136297" w:rsidRPr="00EB2AEB" w:rsidRDefault="00136297" w:rsidP="00EB2AEB">
            <w:pPr>
              <w:pStyle w:val="Tabletextleft"/>
            </w:pPr>
            <w:r w:rsidRPr="00EB2AEB">
              <w:t>Number of non-Indigenous congenital syphilis notifications reported to NNDSS by remoteness area classification</w:t>
            </w:r>
          </w:p>
        </w:tc>
        <w:tc>
          <w:tcPr>
            <w:tcW w:w="1503" w:type="dxa"/>
            <w:vAlign w:val="top"/>
          </w:tcPr>
          <w:p w14:paraId="038A5B9A" w14:textId="6334437E" w:rsidR="00136297" w:rsidRPr="00EB2AEB" w:rsidRDefault="00136297" w:rsidP="00EB2AEB">
            <w:pPr>
              <w:pStyle w:val="Tabletextleft"/>
            </w:pPr>
            <w:r w:rsidRPr="00EB2AEB">
              <w:t>Australian Centre for Disease Control</w:t>
            </w:r>
          </w:p>
        </w:tc>
        <w:tc>
          <w:tcPr>
            <w:tcW w:w="1408" w:type="dxa"/>
            <w:vAlign w:val="top"/>
          </w:tcPr>
          <w:p w14:paraId="6DE8D286" w14:textId="26EC0929" w:rsidR="00136297" w:rsidRPr="00EB2AEB" w:rsidRDefault="00136297" w:rsidP="00EB2AEB">
            <w:pPr>
              <w:pStyle w:val="Tabletextleft"/>
            </w:pPr>
            <w:r w:rsidRPr="00EB2AEB">
              <w:t>Quarterly</w:t>
            </w:r>
          </w:p>
        </w:tc>
      </w:tr>
    </w:tbl>
    <w:p w14:paraId="38392182" w14:textId="1B8DB929" w:rsidR="005B0DA2" w:rsidRPr="007D6DD8" w:rsidRDefault="005E01DA" w:rsidP="00A43F5F">
      <w:pPr>
        <w:pStyle w:val="Tableheadings"/>
      </w:pPr>
      <w:r>
        <w:t>4.</w:t>
      </w:r>
      <w:r w:rsidR="00262925">
        <w:t>2</w:t>
      </w:r>
      <w:r>
        <w:t xml:space="preserve"> </w:t>
      </w:r>
      <w:r w:rsidR="008C3AA7" w:rsidRPr="007D6DD8">
        <w:t>Number of congenital syphilis related deaths by Indigenous status</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020"/>
        <w:gridCol w:w="4305"/>
        <w:gridCol w:w="1515"/>
        <w:gridCol w:w="1471"/>
      </w:tblGrid>
      <w:tr w:rsidR="00F63A67" w:rsidRPr="00A43F5F" w14:paraId="408D6DA8" w14:textId="77777777" w:rsidTr="00A43F5F">
        <w:trPr>
          <w:cnfStyle w:val="100000000000" w:firstRow="1" w:lastRow="0" w:firstColumn="0" w:lastColumn="0" w:oddVBand="0" w:evenVBand="0" w:oddHBand="0" w:evenHBand="0" w:firstRowFirstColumn="0" w:firstRowLastColumn="0" w:lastRowFirstColumn="0" w:lastRowLastColumn="0"/>
          <w:tblHeader/>
        </w:trPr>
        <w:tc>
          <w:tcPr>
            <w:tcW w:w="1545" w:type="dxa"/>
            <w:vAlign w:val="top"/>
          </w:tcPr>
          <w:p w14:paraId="54923398" w14:textId="77777777" w:rsidR="00F63A67" w:rsidRPr="00A43F5F" w:rsidRDefault="00F63A67" w:rsidP="00A43F5F">
            <w:pPr>
              <w:pStyle w:val="Tabletextleft"/>
              <w:rPr>
                <w:b/>
              </w:rPr>
            </w:pPr>
            <w:r w:rsidRPr="00A43F5F">
              <w:rPr>
                <w:b/>
              </w:rPr>
              <w:t>Indicator components</w:t>
            </w:r>
          </w:p>
        </w:tc>
        <w:tc>
          <w:tcPr>
            <w:tcW w:w="1020" w:type="dxa"/>
            <w:vAlign w:val="top"/>
          </w:tcPr>
          <w:p w14:paraId="07D22BA8" w14:textId="77777777" w:rsidR="00F63A67" w:rsidRPr="00A43F5F" w:rsidRDefault="00F63A67" w:rsidP="00A43F5F">
            <w:pPr>
              <w:pStyle w:val="Tabletextleft"/>
              <w:rPr>
                <w:b/>
              </w:rPr>
            </w:pPr>
            <w:r w:rsidRPr="00A43F5F">
              <w:rPr>
                <w:b/>
              </w:rPr>
              <w:t>Source</w:t>
            </w:r>
          </w:p>
        </w:tc>
        <w:tc>
          <w:tcPr>
            <w:tcW w:w="4305" w:type="dxa"/>
            <w:vAlign w:val="top"/>
          </w:tcPr>
          <w:p w14:paraId="24E192EA" w14:textId="77777777" w:rsidR="00F63A67" w:rsidRPr="00A43F5F" w:rsidRDefault="00F63A67" w:rsidP="00A43F5F">
            <w:pPr>
              <w:pStyle w:val="Tabletextleft"/>
              <w:rPr>
                <w:b/>
              </w:rPr>
            </w:pPr>
            <w:r w:rsidRPr="00A43F5F">
              <w:rPr>
                <w:b/>
              </w:rPr>
              <w:t>Description</w:t>
            </w:r>
          </w:p>
        </w:tc>
        <w:tc>
          <w:tcPr>
            <w:tcW w:w="1515" w:type="dxa"/>
            <w:vAlign w:val="top"/>
          </w:tcPr>
          <w:p w14:paraId="7CCDEE66" w14:textId="77777777" w:rsidR="00F63A67" w:rsidRPr="00A43F5F" w:rsidRDefault="00F63A67" w:rsidP="00A43F5F">
            <w:pPr>
              <w:pStyle w:val="Tabletextleft"/>
              <w:rPr>
                <w:b/>
              </w:rPr>
            </w:pPr>
            <w:r w:rsidRPr="00A43F5F">
              <w:rPr>
                <w:b/>
              </w:rPr>
              <w:t>Custodian/ stakeholder</w:t>
            </w:r>
          </w:p>
        </w:tc>
        <w:tc>
          <w:tcPr>
            <w:tcW w:w="1471" w:type="dxa"/>
            <w:vAlign w:val="top"/>
          </w:tcPr>
          <w:p w14:paraId="033FC5A1" w14:textId="77777777" w:rsidR="00F63A67" w:rsidRPr="00A43F5F" w:rsidRDefault="00F63A67" w:rsidP="00A43F5F">
            <w:pPr>
              <w:pStyle w:val="Tabletextleft"/>
              <w:rPr>
                <w:b/>
              </w:rPr>
            </w:pPr>
            <w:r w:rsidRPr="00A43F5F">
              <w:rPr>
                <w:b/>
              </w:rPr>
              <w:t>Availability of data for reporting</w:t>
            </w:r>
          </w:p>
        </w:tc>
      </w:tr>
      <w:tr w:rsidR="00F63A67" w:rsidRPr="00A43F5F" w14:paraId="07944022" w14:textId="77777777" w:rsidTr="00A43F5F">
        <w:trPr>
          <w:cnfStyle w:val="000000100000" w:firstRow="0" w:lastRow="0" w:firstColumn="0" w:lastColumn="0" w:oddVBand="0" w:evenVBand="0" w:oddHBand="1" w:evenHBand="0" w:firstRowFirstColumn="0" w:firstRowLastColumn="0" w:lastRowFirstColumn="0" w:lastRowLastColumn="0"/>
          <w:trHeight w:val="15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0CB49A68" w14:textId="77777777" w:rsidR="00F63A67" w:rsidRPr="00A43F5F" w:rsidRDefault="00F63A67" w:rsidP="00A43F5F">
            <w:pPr>
              <w:pStyle w:val="Tabletextleft"/>
              <w:rPr>
                <w:b/>
              </w:rPr>
            </w:pPr>
            <w:r w:rsidRPr="00A43F5F">
              <w:rPr>
                <w:b/>
              </w:rPr>
              <w:t>Indigenous</w:t>
            </w:r>
          </w:p>
        </w:tc>
      </w:tr>
      <w:tr w:rsidR="00F63A67" w:rsidRPr="00A43F5F" w14:paraId="7B013BBA" w14:textId="77777777" w:rsidTr="00A43F5F">
        <w:trPr>
          <w:trHeight w:val="1129"/>
        </w:trPr>
        <w:tc>
          <w:tcPr>
            <w:tcW w:w="1545" w:type="dxa"/>
            <w:vAlign w:val="top"/>
          </w:tcPr>
          <w:p w14:paraId="5D6CFC3E" w14:textId="77777777" w:rsidR="00F63A67" w:rsidRPr="00A43F5F" w:rsidRDefault="00F63A67" w:rsidP="00A43F5F">
            <w:pPr>
              <w:pStyle w:val="Tabletextleft"/>
              <w:rPr>
                <w:b/>
              </w:rPr>
            </w:pPr>
            <w:r w:rsidRPr="00A43F5F">
              <w:rPr>
                <w:b/>
              </w:rPr>
              <w:t>Single measure</w:t>
            </w:r>
          </w:p>
        </w:tc>
        <w:tc>
          <w:tcPr>
            <w:tcW w:w="1020" w:type="dxa"/>
            <w:vAlign w:val="top"/>
          </w:tcPr>
          <w:p w14:paraId="3915B097" w14:textId="77777777" w:rsidR="00F63A67" w:rsidRPr="00A43F5F" w:rsidRDefault="00F63A67" w:rsidP="00A43F5F">
            <w:pPr>
              <w:pStyle w:val="Tabletextleft"/>
            </w:pPr>
            <w:r w:rsidRPr="00A43F5F">
              <w:t>NNDSS</w:t>
            </w:r>
          </w:p>
        </w:tc>
        <w:tc>
          <w:tcPr>
            <w:tcW w:w="4305" w:type="dxa"/>
            <w:vAlign w:val="top"/>
          </w:tcPr>
          <w:p w14:paraId="10245112" w14:textId="1E924909" w:rsidR="00F63A67" w:rsidRPr="00A43F5F" w:rsidRDefault="00A06180" w:rsidP="00A43F5F">
            <w:pPr>
              <w:pStyle w:val="Tabletextleft"/>
            </w:pPr>
            <w:r w:rsidRPr="00A43F5F">
              <w:t>Number of Indigenous congenital syphilis notifications reported to NNDSS reported to have died</w:t>
            </w:r>
          </w:p>
        </w:tc>
        <w:tc>
          <w:tcPr>
            <w:tcW w:w="1515" w:type="dxa"/>
            <w:vAlign w:val="top"/>
          </w:tcPr>
          <w:p w14:paraId="5C46EC90" w14:textId="77777777" w:rsidR="00F63A67" w:rsidRPr="00A43F5F" w:rsidRDefault="00F63A67" w:rsidP="00A43F5F">
            <w:pPr>
              <w:pStyle w:val="Tabletextleft"/>
            </w:pPr>
            <w:r w:rsidRPr="00A43F5F">
              <w:t>Australian Centre for Disease Control</w:t>
            </w:r>
          </w:p>
        </w:tc>
        <w:tc>
          <w:tcPr>
            <w:tcW w:w="1471" w:type="dxa"/>
            <w:vAlign w:val="top"/>
          </w:tcPr>
          <w:p w14:paraId="27EE4607" w14:textId="77777777" w:rsidR="00F63A67" w:rsidRPr="00A43F5F" w:rsidRDefault="00F63A67" w:rsidP="00A43F5F">
            <w:pPr>
              <w:pStyle w:val="Tabletextleft"/>
            </w:pPr>
            <w:r w:rsidRPr="00A43F5F">
              <w:t>Quarterly</w:t>
            </w:r>
          </w:p>
        </w:tc>
      </w:tr>
      <w:tr w:rsidR="00F63A67" w:rsidRPr="00A43F5F" w14:paraId="0BCC11DF" w14:textId="77777777" w:rsidTr="00A43F5F">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795D4FD2" w14:textId="77777777" w:rsidR="00F63A67" w:rsidRPr="00A43F5F" w:rsidRDefault="00F63A67" w:rsidP="00A43F5F">
            <w:pPr>
              <w:pStyle w:val="Tabletextleft"/>
              <w:rPr>
                <w:b/>
              </w:rPr>
            </w:pPr>
            <w:r w:rsidRPr="00A43F5F">
              <w:rPr>
                <w:b/>
              </w:rPr>
              <w:t>Non-Indigenous</w:t>
            </w:r>
          </w:p>
        </w:tc>
      </w:tr>
      <w:tr w:rsidR="00F63A67" w:rsidRPr="00A43F5F" w14:paraId="7F839F85" w14:textId="77777777" w:rsidTr="00A43F5F">
        <w:trPr>
          <w:trHeight w:val="1318"/>
        </w:trPr>
        <w:tc>
          <w:tcPr>
            <w:tcW w:w="1545" w:type="dxa"/>
            <w:vAlign w:val="top"/>
          </w:tcPr>
          <w:p w14:paraId="2ED63EC0" w14:textId="77777777" w:rsidR="00F63A67" w:rsidRPr="00A43F5F" w:rsidRDefault="00F63A67" w:rsidP="00A43F5F">
            <w:pPr>
              <w:pStyle w:val="Tabletextleft"/>
              <w:rPr>
                <w:b/>
              </w:rPr>
            </w:pPr>
            <w:r w:rsidRPr="00A43F5F">
              <w:rPr>
                <w:b/>
              </w:rPr>
              <w:t>Single measure</w:t>
            </w:r>
          </w:p>
        </w:tc>
        <w:tc>
          <w:tcPr>
            <w:tcW w:w="1020" w:type="dxa"/>
            <w:vAlign w:val="top"/>
          </w:tcPr>
          <w:p w14:paraId="6C322211" w14:textId="77777777" w:rsidR="00F63A67" w:rsidRPr="00A43F5F" w:rsidRDefault="00F63A67" w:rsidP="00A43F5F">
            <w:pPr>
              <w:pStyle w:val="Tabletextleft"/>
            </w:pPr>
            <w:r w:rsidRPr="00A43F5F">
              <w:t>NNDSS</w:t>
            </w:r>
          </w:p>
        </w:tc>
        <w:tc>
          <w:tcPr>
            <w:tcW w:w="4305" w:type="dxa"/>
            <w:vAlign w:val="top"/>
          </w:tcPr>
          <w:p w14:paraId="5A51C99B" w14:textId="2288F139" w:rsidR="00F63A67" w:rsidRPr="00A43F5F" w:rsidRDefault="008D5F31" w:rsidP="00A43F5F">
            <w:pPr>
              <w:pStyle w:val="Tabletextleft"/>
            </w:pPr>
            <w:r w:rsidRPr="00A43F5F">
              <w:t>Number of non-Indigenous congenital syphilis notifications reported to NNDSS reported to have died</w:t>
            </w:r>
          </w:p>
        </w:tc>
        <w:tc>
          <w:tcPr>
            <w:tcW w:w="1515" w:type="dxa"/>
            <w:vAlign w:val="top"/>
          </w:tcPr>
          <w:p w14:paraId="0EB01AA6" w14:textId="77777777" w:rsidR="00F63A67" w:rsidRPr="00A43F5F" w:rsidRDefault="00F63A67" w:rsidP="00A43F5F">
            <w:pPr>
              <w:pStyle w:val="Tabletextleft"/>
            </w:pPr>
            <w:r w:rsidRPr="00A43F5F">
              <w:t>Australian Centre for Disease Control</w:t>
            </w:r>
          </w:p>
        </w:tc>
        <w:tc>
          <w:tcPr>
            <w:tcW w:w="1471" w:type="dxa"/>
            <w:vAlign w:val="top"/>
          </w:tcPr>
          <w:p w14:paraId="14FB15E5" w14:textId="77777777" w:rsidR="00F63A67" w:rsidRPr="00A43F5F" w:rsidRDefault="00F63A67" w:rsidP="00A43F5F">
            <w:pPr>
              <w:pStyle w:val="Tabletextleft"/>
            </w:pPr>
            <w:r w:rsidRPr="00A43F5F">
              <w:t>Quarterly</w:t>
            </w:r>
          </w:p>
        </w:tc>
      </w:tr>
    </w:tbl>
    <w:p w14:paraId="3E719468" w14:textId="38467A2D" w:rsidR="00F17CA1" w:rsidRPr="00F17CA1" w:rsidRDefault="005E01DA" w:rsidP="00A43F5F">
      <w:pPr>
        <w:pStyle w:val="Tableheadings"/>
      </w:pPr>
      <w:r>
        <w:lastRenderedPageBreak/>
        <w:t>4.</w:t>
      </w:r>
      <w:r w:rsidR="00E31663">
        <w:t>3</w:t>
      </w:r>
      <w:r>
        <w:t xml:space="preserve"> </w:t>
      </w:r>
      <w:r w:rsidR="00F17CA1" w:rsidRPr="00F17CA1">
        <w:t>Notification rate of congenital syphilis per 100,000 live births</w:t>
      </w:r>
      <w:r w:rsidR="00C40E7F" w:rsidRPr="00E50B9D">
        <w:rPr>
          <w:bCs/>
          <w:vertAlign w:val="superscript"/>
        </w:rPr>
        <w:footnoteReference w:id="19"/>
      </w:r>
      <w:r w:rsidR="00F17CA1" w:rsidRPr="00F17CA1">
        <w:t xml:space="preserve"> by remoteness area</w:t>
      </w:r>
      <w:r w:rsidR="00E31663" w:rsidRPr="00E31663">
        <w:rPr>
          <w:vertAlign w:val="superscript"/>
        </w:rPr>
        <w:fldChar w:fldCharType="begin"/>
      </w:r>
      <w:r w:rsidR="00E31663" w:rsidRPr="00E31663">
        <w:rPr>
          <w:vertAlign w:val="superscript"/>
        </w:rPr>
        <w:instrText xml:space="preserve"> NOTEREF _Ref204154426 \h </w:instrText>
      </w:r>
      <w:r w:rsidR="00E31663">
        <w:rPr>
          <w:vertAlign w:val="superscript"/>
        </w:rPr>
        <w:instrText xml:space="preserve"> \* MERGEFORMAT </w:instrText>
      </w:r>
      <w:r w:rsidR="00E31663" w:rsidRPr="00E31663">
        <w:rPr>
          <w:vertAlign w:val="superscript"/>
        </w:rPr>
      </w:r>
      <w:r w:rsidR="00E31663" w:rsidRPr="00E31663">
        <w:rPr>
          <w:vertAlign w:val="superscript"/>
        </w:rPr>
        <w:fldChar w:fldCharType="separate"/>
      </w:r>
      <w:r w:rsidR="00E31663" w:rsidRPr="00E31663">
        <w:rPr>
          <w:vertAlign w:val="superscript"/>
        </w:rPr>
        <w:t>9</w:t>
      </w:r>
      <w:r w:rsidR="00E31663" w:rsidRPr="00E31663">
        <w:rPr>
          <w:vertAlign w:val="superscript"/>
        </w:rPr>
        <w:fldChar w:fldCharType="end"/>
      </w:r>
      <w:r w:rsidR="00F17CA1" w:rsidRPr="00F17CA1">
        <w:t xml:space="preserve"> and Indigenous status</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080"/>
        <w:gridCol w:w="4230"/>
        <w:gridCol w:w="1470"/>
        <w:gridCol w:w="1471"/>
      </w:tblGrid>
      <w:tr w:rsidR="008666C8" w:rsidRPr="00A43F5F" w14:paraId="64918A11" w14:textId="77777777" w:rsidTr="00A43F5F">
        <w:trPr>
          <w:cnfStyle w:val="100000000000" w:firstRow="1" w:lastRow="0" w:firstColumn="0" w:lastColumn="0" w:oddVBand="0" w:evenVBand="0" w:oddHBand="0" w:evenHBand="0" w:firstRowFirstColumn="0" w:firstRowLastColumn="0" w:lastRowFirstColumn="0" w:lastRowLastColumn="0"/>
          <w:tblHeader/>
        </w:trPr>
        <w:tc>
          <w:tcPr>
            <w:tcW w:w="1605" w:type="dxa"/>
            <w:vAlign w:val="top"/>
          </w:tcPr>
          <w:p w14:paraId="64B76AD1" w14:textId="77777777" w:rsidR="00F17CA1" w:rsidRPr="00A43F5F" w:rsidRDefault="00F17CA1" w:rsidP="00A43F5F">
            <w:pPr>
              <w:pStyle w:val="Tabletextleft"/>
              <w:rPr>
                <w:b/>
              </w:rPr>
            </w:pPr>
            <w:r w:rsidRPr="00A43F5F">
              <w:rPr>
                <w:b/>
              </w:rPr>
              <w:t>Indicator components</w:t>
            </w:r>
          </w:p>
        </w:tc>
        <w:tc>
          <w:tcPr>
            <w:tcW w:w="1080" w:type="dxa"/>
            <w:vAlign w:val="top"/>
          </w:tcPr>
          <w:p w14:paraId="6B89C644" w14:textId="77777777" w:rsidR="00F17CA1" w:rsidRPr="00A43F5F" w:rsidRDefault="00F17CA1" w:rsidP="00A43F5F">
            <w:pPr>
              <w:pStyle w:val="Tabletextleft"/>
              <w:rPr>
                <w:b/>
              </w:rPr>
            </w:pPr>
            <w:r w:rsidRPr="00A43F5F">
              <w:rPr>
                <w:b/>
              </w:rPr>
              <w:t>Source</w:t>
            </w:r>
          </w:p>
        </w:tc>
        <w:tc>
          <w:tcPr>
            <w:tcW w:w="4230" w:type="dxa"/>
            <w:vAlign w:val="top"/>
          </w:tcPr>
          <w:p w14:paraId="1F87FF96" w14:textId="77777777" w:rsidR="00F17CA1" w:rsidRPr="00A43F5F" w:rsidRDefault="00F17CA1" w:rsidP="00A43F5F">
            <w:pPr>
              <w:pStyle w:val="Tabletextleft"/>
              <w:rPr>
                <w:b/>
              </w:rPr>
            </w:pPr>
            <w:r w:rsidRPr="00A43F5F">
              <w:rPr>
                <w:b/>
              </w:rPr>
              <w:t>Description</w:t>
            </w:r>
          </w:p>
        </w:tc>
        <w:tc>
          <w:tcPr>
            <w:tcW w:w="1470" w:type="dxa"/>
            <w:vAlign w:val="top"/>
          </w:tcPr>
          <w:p w14:paraId="3F64F216" w14:textId="77777777" w:rsidR="00F17CA1" w:rsidRPr="00A43F5F" w:rsidRDefault="00F17CA1" w:rsidP="00A43F5F">
            <w:pPr>
              <w:pStyle w:val="Tabletextleft"/>
              <w:rPr>
                <w:b/>
              </w:rPr>
            </w:pPr>
            <w:r w:rsidRPr="00A43F5F">
              <w:rPr>
                <w:b/>
              </w:rPr>
              <w:t>Custodian/</w:t>
            </w:r>
          </w:p>
          <w:p w14:paraId="1EA8129B" w14:textId="77777777" w:rsidR="00F17CA1" w:rsidRPr="00A43F5F" w:rsidRDefault="00F17CA1" w:rsidP="00A43F5F">
            <w:pPr>
              <w:pStyle w:val="Tabletextleft"/>
              <w:rPr>
                <w:b/>
              </w:rPr>
            </w:pPr>
            <w:r w:rsidRPr="00A43F5F">
              <w:rPr>
                <w:b/>
              </w:rPr>
              <w:t>stakeholder</w:t>
            </w:r>
          </w:p>
        </w:tc>
        <w:tc>
          <w:tcPr>
            <w:tcW w:w="1471" w:type="dxa"/>
            <w:vAlign w:val="top"/>
          </w:tcPr>
          <w:p w14:paraId="30DE8B44" w14:textId="77777777" w:rsidR="00F17CA1" w:rsidRPr="00A43F5F" w:rsidRDefault="00F17CA1" w:rsidP="00A43F5F">
            <w:pPr>
              <w:pStyle w:val="Tabletextleft"/>
              <w:rPr>
                <w:b/>
              </w:rPr>
            </w:pPr>
            <w:r w:rsidRPr="00A43F5F">
              <w:rPr>
                <w:b/>
              </w:rPr>
              <w:t>Availability of data for reporting</w:t>
            </w:r>
          </w:p>
        </w:tc>
      </w:tr>
      <w:tr w:rsidR="00F17CA1" w:rsidRPr="00A43F5F" w14:paraId="18470F3F" w14:textId="77777777" w:rsidTr="00A43F5F">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3E6A8A43" w14:textId="77777777" w:rsidR="00F17CA1" w:rsidRPr="00A43F5F" w:rsidRDefault="00F17CA1" w:rsidP="00A43F5F">
            <w:pPr>
              <w:pStyle w:val="Tabletextleft"/>
              <w:rPr>
                <w:b/>
              </w:rPr>
            </w:pPr>
            <w:r w:rsidRPr="00A43F5F">
              <w:rPr>
                <w:b/>
              </w:rPr>
              <w:t>Indigenous</w:t>
            </w:r>
          </w:p>
        </w:tc>
      </w:tr>
      <w:tr w:rsidR="008666C8" w:rsidRPr="00A43F5F" w14:paraId="3F5BDFB9" w14:textId="77777777" w:rsidTr="00A43F5F">
        <w:tc>
          <w:tcPr>
            <w:tcW w:w="1605" w:type="dxa"/>
            <w:vAlign w:val="top"/>
          </w:tcPr>
          <w:p w14:paraId="7920B4BB" w14:textId="77777777" w:rsidR="00AC004C" w:rsidRPr="00A43F5F" w:rsidRDefault="00AC004C" w:rsidP="00A43F5F">
            <w:pPr>
              <w:pStyle w:val="Tabletextleft"/>
              <w:rPr>
                <w:b/>
              </w:rPr>
            </w:pPr>
            <w:r w:rsidRPr="00A43F5F">
              <w:rPr>
                <w:b/>
              </w:rPr>
              <w:t>Numerator</w:t>
            </w:r>
          </w:p>
        </w:tc>
        <w:tc>
          <w:tcPr>
            <w:tcW w:w="1080" w:type="dxa"/>
            <w:vAlign w:val="top"/>
          </w:tcPr>
          <w:p w14:paraId="76C269C2" w14:textId="7206F088" w:rsidR="00AC004C" w:rsidRPr="00A43F5F" w:rsidRDefault="00AC004C" w:rsidP="00A43F5F">
            <w:pPr>
              <w:pStyle w:val="Tabletextleft"/>
            </w:pPr>
            <w:r w:rsidRPr="00A43F5F">
              <w:t>NNDSS</w:t>
            </w:r>
          </w:p>
        </w:tc>
        <w:tc>
          <w:tcPr>
            <w:tcW w:w="4230" w:type="dxa"/>
            <w:vAlign w:val="top"/>
          </w:tcPr>
          <w:p w14:paraId="1B603330" w14:textId="0F467A89" w:rsidR="00AC004C" w:rsidRPr="00A43F5F" w:rsidRDefault="00AC004C" w:rsidP="00A43F5F">
            <w:pPr>
              <w:pStyle w:val="Tabletextleft"/>
            </w:pPr>
            <w:r w:rsidRPr="00A43F5F">
              <w:t>Number of Indigenous congenital syphilis notifications reported to NNDSS by remoteness area classifications</w:t>
            </w:r>
          </w:p>
        </w:tc>
        <w:tc>
          <w:tcPr>
            <w:tcW w:w="1470" w:type="dxa"/>
            <w:vAlign w:val="top"/>
          </w:tcPr>
          <w:p w14:paraId="549867B7" w14:textId="77777777" w:rsidR="00AC004C" w:rsidRPr="00A43F5F" w:rsidRDefault="00AC004C" w:rsidP="00A43F5F">
            <w:pPr>
              <w:pStyle w:val="Tabletextleft"/>
            </w:pPr>
            <w:r w:rsidRPr="00A43F5F">
              <w:t>Australian Centre for Disease Control</w:t>
            </w:r>
          </w:p>
        </w:tc>
        <w:tc>
          <w:tcPr>
            <w:tcW w:w="1471" w:type="dxa"/>
            <w:vAlign w:val="top"/>
          </w:tcPr>
          <w:p w14:paraId="75CFC8EB" w14:textId="0AD963CC" w:rsidR="00AC004C" w:rsidRPr="00A43F5F" w:rsidRDefault="00AC004C" w:rsidP="00A43F5F">
            <w:pPr>
              <w:pStyle w:val="Tabletextleft"/>
            </w:pPr>
            <w:r w:rsidRPr="00A43F5F">
              <w:t>Quarterly</w:t>
            </w:r>
          </w:p>
        </w:tc>
      </w:tr>
      <w:tr w:rsidR="008666C8" w:rsidRPr="00A43F5F" w14:paraId="79AB5A93" w14:textId="77777777" w:rsidTr="00A43F5F">
        <w:trPr>
          <w:cnfStyle w:val="000000100000" w:firstRow="0" w:lastRow="0" w:firstColumn="0" w:lastColumn="0" w:oddVBand="0" w:evenVBand="0" w:oddHBand="1" w:evenHBand="0" w:firstRowFirstColumn="0" w:firstRowLastColumn="0" w:lastRowFirstColumn="0" w:lastRowLastColumn="0"/>
        </w:trPr>
        <w:tc>
          <w:tcPr>
            <w:tcW w:w="160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2A29BE4" w14:textId="77777777" w:rsidR="00AC004C" w:rsidRPr="00A43F5F" w:rsidRDefault="00AC004C" w:rsidP="00A43F5F">
            <w:pPr>
              <w:pStyle w:val="Tabletextleft"/>
              <w:rPr>
                <w:b/>
              </w:rPr>
            </w:pPr>
            <w:r w:rsidRPr="00A43F5F">
              <w:rPr>
                <w:b/>
              </w:rPr>
              <w:t>Denominator</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34351F1" w14:textId="1DD78741" w:rsidR="00AC004C" w:rsidRPr="00A43F5F" w:rsidRDefault="00AC004C" w:rsidP="00A43F5F">
            <w:pPr>
              <w:pStyle w:val="Tabletextleft"/>
            </w:pPr>
            <w:r w:rsidRPr="00A43F5F">
              <w:t>ABS</w:t>
            </w:r>
          </w:p>
        </w:tc>
        <w:tc>
          <w:tcPr>
            <w:tcW w:w="423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8AB7BC4" w14:textId="706C85E7" w:rsidR="00AC004C" w:rsidRPr="00A43F5F" w:rsidRDefault="00AC004C" w:rsidP="00A43F5F">
            <w:pPr>
              <w:pStyle w:val="Tabletextleft"/>
            </w:pPr>
            <w:r w:rsidRPr="00A43F5F">
              <w:t>Number of registered Indigenous births in Australia by remoteness area classification</w:t>
            </w:r>
          </w:p>
        </w:tc>
        <w:tc>
          <w:tcPr>
            <w:tcW w:w="14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5B7F9B9" w14:textId="35E1DBEF" w:rsidR="00AC004C" w:rsidRPr="00A43F5F" w:rsidRDefault="00AC004C" w:rsidP="00A43F5F">
            <w:pPr>
              <w:pStyle w:val="Tabletextleft"/>
            </w:pPr>
            <w:r w:rsidRPr="00A43F5F">
              <w:t>Australian Bureau of Statistics</w:t>
            </w:r>
          </w:p>
        </w:tc>
        <w:tc>
          <w:tcPr>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DF42138" w14:textId="243C71F6" w:rsidR="00AC004C" w:rsidRPr="00A43F5F" w:rsidRDefault="00AC004C" w:rsidP="00A43F5F">
            <w:pPr>
              <w:pStyle w:val="Tabletextleft"/>
            </w:pPr>
            <w:r w:rsidRPr="00A43F5F">
              <w:t>Annually</w:t>
            </w:r>
          </w:p>
        </w:tc>
      </w:tr>
      <w:tr w:rsidR="00F17CA1" w:rsidRPr="00A43F5F" w14:paraId="5848080A" w14:textId="77777777" w:rsidTr="00A43F5F">
        <w:tc>
          <w:tcPr>
            <w:tcW w:w="9856" w:type="dxa"/>
            <w:gridSpan w:val="5"/>
            <w:shd w:val="clear" w:color="auto" w:fill="BEFEE9"/>
            <w:vAlign w:val="top"/>
          </w:tcPr>
          <w:p w14:paraId="3DBEB58F" w14:textId="77777777" w:rsidR="00F17CA1" w:rsidRPr="00A43F5F" w:rsidRDefault="00F17CA1" w:rsidP="00A43F5F">
            <w:pPr>
              <w:pStyle w:val="Tabletextleft"/>
              <w:rPr>
                <w:b/>
              </w:rPr>
            </w:pPr>
            <w:r w:rsidRPr="00A43F5F">
              <w:rPr>
                <w:b/>
              </w:rPr>
              <w:t>Non-Indigenous</w:t>
            </w:r>
          </w:p>
        </w:tc>
      </w:tr>
      <w:tr w:rsidR="008666C8" w:rsidRPr="00A43F5F" w14:paraId="0C25624D" w14:textId="77777777" w:rsidTr="00A43F5F">
        <w:trPr>
          <w:cnfStyle w:val="000000100000" w:firstRow="0" w:lastRow="0" w:firstColumn="0" w:lastColumn="0" w:oddVBand="0" w:evenVBand="0" w:oddHBand="1" w:evenHBand="0" w:firstRowFirstColumn="0" w:firstRowLastColumn="0" w:lastRowFirstColumn="0" w:lastRowLastColumn="0"/>
        </w:trPr>
        <w:tc>
          <w:tcPr>
            <w:tcW w:w="160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E694059" w14:textId="77777777" w:rsidR="002E2567" w:rsidRPr="00A43F5F" w:rsidRDefault="002E2567" w:rsidP="00A43F5F">
            <w:pPr>
              <w:pStyle w:val="Tabletextleft"/>
              <w:rPr>
                <w:b/>
              </w:rPr>
            </w:pPr>
            <w:r w:rsidRPr="00A43F5F">
              <w:rPr>
                <w:b/>
              </w:rPr>
              <w:t>Numerator</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6D67293" w14:textId="39069706" w:rsidR="002E2567" w:rsidRPr="00A43F5F" w:rsidRDefault="002E2567" w:rsidP="00A43F5F">
            <w:pPr>
              <w:pStyle w:val="Tabletextleft"/>
            </w:pPr>
            <w:r w:rsidRPr="00A43F5F">
              <w:t>NNDSS</w:t>
            </w:r>
          </w:p>
        </w:tc>
        <w:tc>
          <w:tcPr>
            <w:tcW w:w="423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BF61584" w14:textId="4CDC9B51" w:rsidR="002E2567" w:rsidRPr="00A43F5F" w:rsidRDefault="002E2567" w:rsidP="00A43F5F">
            <w:pPr>
              <w:pStyle w:val="Tabletextleft"/>
            </w:pPr>
            <w:r w:rsidRPr="00A43F5F">
              <w:t>Number of non-Indigenous congenital syphilis notifications reported to NNDSS by remoteness area classifications</w:t>
            </w:r>
          </w:p>
        </w:tc>
        <w:tc>
          <w:tcPr>
            <w:tcW w:w="14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AA457EC" w14:textId="490ECBBD" w:rsidR="002E2567" w:rsidRPr="00A43F5F" w:rsidRDefault="002E2567" w:rsidP="00A43F5F">
            <w:pPr>
              <w:pStyle w:val="Tabletextleft"/>
            </w:pPr>
            <w:r w:rsidRPr="00A43F5F">
              <w:t>Australian Centre for Disease Control</w:t>
            </w:r>
          </w:p>
        </w:tc>
        <w:tc>
          <w:tcPr>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DCDD305" w14:textId="57AB00C7" w:rsidR="002E2567" w:rsidRPr="00A43F5F" w:rsidRDefault="002E2567" w:rsidP="00A43F5F">
            <w:pPr>
              <w:pStyle w:val="Tabletextleft"/>
            </w:pPr>
            <w:r w:rsidRPr="00A43F5F">
              <w:t>Quarterly</w:t>
            </w:r>
          </w:p>
        </w:tc>
      </w:tr>
      <w:tr w:rsidR="008666C8" w:rsidRPr="00A43F5F" w14:paraId="76ABDE00" w14:textId="77777777" w:rsidTr="00A43F5F">
        <w:tc>
          <w:tcPr>
            <w:tcW w:w="1605" w:type="dxa"/>
            <w:vAlign w:val="top"/>
          </w:tcPr>
          <w:p w14:paraId="1138E4A4" w14:textId="77777777" w:rsidR="002E2567" w:rsidRPr="00A43F5F" w:rsidRDefault="002E2567" w:rsidP="00A43F5F">
            <w:pPr>
              <w:pStyle w:val="Tabletextleft"/>
              <w:rPr>
                <w:b/>
              </w:rPr>
            </w:pPr>
            <w:r w:rsidRPr="00A43F5F">
              <w:rPr>
                <w:b/>
              </w:rPr>
              <w:t>Denominator</w:t>
            </w:r>
          </w:p>
        </w:tc>
        <w:tc>
          <w:tcPr>
            <w:tcW w:w="1080" w:type="dxa"/>
            <w:vAlign w:val="top"/>
          </w:tcPr>
          <w:p w14:paraId="4EA811B0" w14:textId="463F5FF9" w:rsidR="002E2567" w:rsidRPr="00A43F5F" w:rsidRDefault="002E2567" w:rsidP="00A43F5F">
            <w:pPr>
              <w:pStyle w:val="Tabletextleft"/>
            </w:pPr>
            <w:r w:rsidRPr="00A43F5F">
              <w:t>ABS</w:t>
            </w:r>
          </w:p>
        </w:tc>
        <w:tc>
          <w:tcPr>
            <w:tcW w:w="4230" w:type="dxa"/>
            <w:vAlign w:val="top"/>
          </w:tcPr>
          <w:p w14:paraId="20BB69ED" w14:textId="08519C5E" w:rsidR="002E2567" w:rsidRPr="00A43F5F" w:rsidRDefault="002E2567" w:rsidP="00A43F5F">
            <w:pPr>
              <w:pStyle w:val="Tabletextleft"/>
            </w:pPr>
            <w:r w:rsidRPr="00A43F5F">
              <w:t>Number of registered non-Indigenous births in Australia by remoteness area classification</w:t>
            </w:r>
          </w:p>
        </w:tc>
        <w:tc>
          <w:tcPr>
            <w:tcW w:w="1470" w:type="dxa"/>
            <w:vAlign w:val="top"/>
          </w:tcPr>
          <w:p w14:paraId="50DB6C88" w14:textId="5649BA71" w:rsidR="002E2567" w:rsidRPr="00A43F5F" w:rsidRDefault="002E2567" w:rsidP="00A43F5F">
            <w:pPr>
              <w:pStyle w:val="Tabletextleft"/>
            </w:pPr>
            <w:r w:rsidRPr="00A43F5F">
              <w:t>Australian Bureau of Statistics</w:t>
            </w:r>
          </w:p>
        </w:tc>
        <w:tc>
          <w:tcPr>
            <w:tcW w:w="1471" w:type="dxa"/>
            <w:vAlign w:val="top"/>
          </w:tcPr>
          <w:p w14:paraId="0CDF8988" w14:textId="65826D52" w:rsidR="002E2567" w:rsidRPr="00A43F5F" w:rsidRDefault="002E2567" w:rsidP="00A43F5F">
            <w:pPr>
              <w:pStyle w:val="Tabletextleft"/>
            </w:pPr>
            <w:r w:rsidRPr="00A43F5F">
              <w:t>Annually</w:t>
            </w:r>
          </w:p>
        </w:tc>
      </w:tr>
    </w:tbl>
    <w:p w14:paraId="54699754" w14:textId="77777777" w:rsidR="00832AF9" w:rsidRPr="00A43F5F" w:rsidRDefault="00832AF9" w:rsidP="00A43F5F">
      <w:r w:rsidRPr="00A43F5F">
        <w:br w:type="page"/>
      </w:r>
    </w:p>
    <w:p w14:paraId="3CAB994C" w14:textId="521E3ED0" w:rsidR="004547A6" w:rsidRPr="005B1877" w:rsidRDefault="005E01DA" w:rsidP="008B2D46">
      <w:pPr>
        <w:pStyle w:val="Tableheadings"/>
      </w:pPr>
      <w:r>
        <w:lastRenderedPageBreak/>
        <w:t>4.</w:t>
      </w:r>
      <w:r w:rsidR="009644B8">
        <w:t>4</w:t>
      </w:r>
      <w:r>
        <w:t xml:space="preserve"> </w:t>
      </w:r>
      <w:r w:rsidR="004F6B2C">
        <w:t xml:space="preserve">Proportion of infectious syphilis notifications among </w:t>
      </w:r>
      <w:r w:rsidR="003E0F99">
        <w:t>women</w:t>
      </w:r>
      <w:r w:rsidR="009644B8" w:rsidRPr="009644B8">
        <w:rPr>
          <w:vertAlign w:val="superscript"/>
        </w:rPr>
        <w:fldChar w:fldCharType="begin"/>
      </w:r>
      <w:r w:rsidR="009644B8" w:rsidRPr="009644B8">
        <w:rPr>
          <w:vertAlign w:val="superscript"/>
        </w:rPr>
        <w:instrText xml:space="preserve"> NOTEREF _Ref204154090 \h </w:instrText>
      </w:r>
      <w:r w:rsidR="009644B8">
        <w:rPr>
          <w:vertAlign w:val="superscript"/>
        </w:rPr>
        <w:instrText xml:space="preserve"> \* MERGEFORMAT </w:instrText>
      </w:r>
      <w:r w:rsidR="009644B8" w:rsidRPr="009644B8">
        <w:rPr>
          <w:vertAlign w:val="superscript"/>
        </w:rPr>
      </w:r>
      <w:r w:rsidR="009644B8" w:rsidRPr="009644B8">
        <w:rPr>
          <w:vertAlign w:val="superscript"/>
        </w:rPr>
        <w:fldChar w:fldCharType="separate"/>
      </w:r>
      <w:r w:rsidR="009644B8" w:rsidRPr="009644B8">
        <w:rPr>
          <w:vertAlign w:val="superscript"/>
        </w:rPr>
        <w:t>2</w:t>
      </w:r>
      <w:r w:rsidR="009644B8" w:rsidRPr="009644B8">
        <w:rPr>
          <w:vertAlign w:val="superscript"/>
        </w:rPr>
        <w:fldChar w:fldCharType="end"/>
      </w:r>
      <w:r w:rsidR="003E0F99">
        <w:t xml:space="preserve"> </w:t>
      </w:r>
      <w:r w:rsidR="004F6B2C">
        <w:t>of reproductive age (15-44 years) who were pregnant at the time of diagnosis</w:t>
      </w:r>
      <w:r w:rsidR="005B1877" w:rsidRPr="005B1877">
        <w:t xml:space="preserve"> by </w:t>
      </w:r>
      <w:r w:rsidR="00433512">
        <w:t>remoteness area</w:t>
      </w:r>
      <w:r w:rsidR="009644B8" w:rsidRPr="009644B8">
        <w:rPr>
          <w:vertAlign w:val="superscript"/>
        </w:rPr>
        <w:fldChar w:fldCharType="begin"/>
      </w:r>
      <w:r w:rsidR="009644B8" w:rsidRPr="009644B8">
        <w:rPr>
          <w:vertAlign w:val="superscript"/>
        </w:rPr>
        <w:instrText xml:space="preserve"> NOTEREF _Ref204154426 \h </w:instrText>
      </w:r>
      <w:r w:rsidR="009644B8">
        <w:rPr>
          <w:vertAlign w:val="superscript"/>
        </w:rPr>
        <w:instrText xml:space="preserve"> \* MERGEFORMAT </w:instrText>
      </w:r>
      <w:r w:rsidR="009644B8" w:rsidRPr="009644B8">
        <w:rPr>
          <w:vertAlign w:val="superscript"/>
        </w:rPr>
      </w:r>
      <w:r w:rsidR="009644B8" w:rsidRPr="009644B8">
        <w:rPr>
          <w:vertAlign w:val="superscript"/>
        </w:rPr>
        <w:fldChar w:fldCharType="separate"/>
      </w:r>
      <w:r w:rsidR="009644B8" w:rsidRPr="009644B8">
        <w:rPr>
          <w:vertAlign w:val="superscript"/>
        </w:rPr>
        <w:t>9</w:t>
      </w:r>
      <w:r w:rsidR="009644B8" w:rsidRPr="009644B8">
        <w:rPr>
          <w:vertAlign w:val="superscript"/>
        </w:rPr>
        <w:fldChar w:fldCharType="end"/>
      </w:r>
      <w:r w:rsidR="005B1877" w:rsidRPr="005B1877">
        <w:t xml:space="preserve"> and Indigenous status</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110"/>
        <w:gridCol w:w="4185"/>
        <w:gridCol w:w="1470"/>
        <w:gridCol w:w="1471"/>
      </w:tblGrid>
      <w:tr w:rsidR="008666C8" w:rsidRPr="008B2D46" w14:paraId="001F0930" w14:textId="77777777" w:rsidTr="008B2D46">
        <w:trPr>
          <w:cnfStyle w:val="100000000000" w:firstRow="1" w:lastRow="0" w:firstColumn="0" w:lastColumn="0" w:oddVBand="0" w:evenVBand="0" w:oddHBand="0" w:evenHBand="0" w:firstRowFirstColumn="0" w:firstRowLastColumn="0" w:lastRowFirstColumn="0" w:lastRowLastColumn="0"/>
          <w:tblHeader/>
        </w:trPr>
        <w:tc>
          <w:tcPr>
            <w:tcW w:w="1620" w:type="dxa"/>
            <w:vAlign w:val="top"/>
          </w:tcPr>
          <w:p w14:paraId="336E5587" w14:textId="77777777" w:rsidR="00B20CE5" w:rsidRPr="008B2D46" w:rsidRDefault="00B20CE5" w:rsidP="008B2D46">
            <w:pPr>
              <w:pStyle w:val="Tabletextleft"/>
              <w:rPr>
                <w:b/>
              </w:rPr>
            </w:pPr>
            <w:r w:rsidRPr="008B2D46">
              <w:rPr>
                <w:b/>
              </w:rPr>
              <w:t>Indicator components</w:t>
            </w:r>
          </w:p>
        </w:tc>
        <w:tc>
          <w:tcPr>
            <w:tcW w:w="1110" w:type="dxa"/>
            <w:vAlign w:val="top"/>
          </w:tcPr>
          <w:p w14:paraId="2AD3FC54" w14:textId="77777777" w:rsidR="00B20CE5" w:rsidRPr="008B2D46" w:rsidRDefault="00B20CE5" w:rsidP="008B2D46">
            <w:pPr>
              <w:pStyle w:val="Tabletextleft"/>
              <w:rPr>
                <w:b/>
              </w:rPr>
            </w:pPr>
            <w:r w:rsidRPr="008B2D46">
              <w:rPr>
                <w:b/>
              </w:rPr>
              <w:t>Source</w:t>
            </w:r>
          </w:p>
        </w:tc>
        <w:tc>
          <w:tcPr>
            <w:tcW w:w="4185" w:type="dxa"/>
            <w:vAlign w:val="top"/>
          </w:tcPr>
          <w:p w14:paraId="2183E5A7" w14:textId="77777777" w:rsidR="00B20CE5" w:rsidRPr="008B2D46" w:rsidRDefault="00B20CE5" w:rsidP="008B2D46">
            <w:pPr>
              <w:pStyle w:val="Tabletextleft"/>
              <w:rPr>
                <w:b/>
              </w:rPr>
            </w:pPr>
            <w:r w:rsidRPr="008B2D46">
              <w:rPr>
                <w:b/>
              </w:rPr>
              <w:t>Description</w:t>
            </w:r>
          </w:p>
        </w:tc>
        <w:tc>
          <w:tcPr>
            <w:tcW w:w="1470" w:type="dxa"/>
            <w:vAlign w:val="top"/>
          </w:tcPr>
          <w:p w14:paraId="5C0E07EA" w14:textId="77777777" w:rsidR="00B20CE5" w:rsidRPr="008B2D46" w:rsidRDefault="00B20CE5" w:rsidP="008B2D46">
            <w:pPr>
              <w:pStyle w:val="Tabletextleft"/>
              <w:rPr>
                <w:b/>
              </w:rPr>
            </w:pPr>
            <w:r w:rsidRPr="008B2D46">
              <w:rPr>
                <w:b/>
              </w:rPr>
              <w:t>Custodian/</w:t>
            </w:r>
          </w:p>
          <w:p w14:paraId="21528A74" w14:textId="77777777" w:rsidR="00B20CE5" w:rsidRPr="008B2D46" w:rsidRDefault="00B20CE5" w:rsidP="008B2D46">
            <w:pPr>
              <w:pStyle w:val="Tabletextleft"/>
              <w:rPr>
                <w:b/>
              </w:rPr>
            </w:pPr>
            <w:r w:rsidRPr="008B2D46">
              <w:rPr>
                <w:b/>
              </w:rPr>
              <w:t>stakeholder</w:t>
            </w:r>
          </w:p>
        </w:tc>
        <w:tc>
          <w:tcPr>
            <w:tcW w:w="1471" w:type="dxa"/>
            <w:vAlign w:val="top"/>
          </w:tcPr>
          <w:p w14:paraId="769653F0" w14:textId="77777777" w:rsidR="00B20CE5" w:rsidRPr="008B2D46" w:rsidRDefault="00B20CE5" w:rsidP="008B2D46">
            <w:pPr>
              <w:pStyle w:val="Tabletextleft"/>
              <w:rPr>
                <w:b/>
              </w:rPr>
            </w:pPr>
            <w:r w:rsidRPr="008B2D46">
              <w:rPr>
                <w:b/>
              </w:rPr>
              <w:t>Availability of data for reporting</w:t>
            </w:r>
          </w:p>
        </w:tc>
      </w:tr>
      <w:tr w:rsidR="00B20CE5" w:rsidRPr="008B2D46" w14:paraId="20782E56" w14:textId="77777777" w:rsidTr="008B2D46">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41B03899" w14:textId="77777777" w:rsidR="00B20CE5" w:rsidRPr="008B2D46" w:rsidRDefault="00B20CE5" w:rsidP="008B2D46">
            <w:pPr>
              <w:pStyle w:val="Tabletextleft"/>
              <w:rPr>
                <w:b/>
              </w:rPr>
            </w:pPr>
            <w:r w:rsidRPr="008B2D46">
              <w:rPr>
                <w:b/>
              </w:rPr>
              <w:t>Indigenous</w:t>
            </w:r>
          </w:p>
        </w:tc>
      </w:tr>
      <w:tr w:rsidR="008666C8" w:rsidRPr="008B2D46" w14:paraId="4E056691" w14:textId="77777777" w:rsidTr="008B2D46">
        <w:tc>
          <w:tcPr>
            <w:tcW w:w="1620" w:type="dxa"/>
            <w:vAlign w:val="top"/>
          </w:tcPr>
          <w:p w14:paraId="3D96588F" w14:textId="77777777" w:rsidR="00364B94" w:rsidRPr="008B2D46" w:rsidRDefault="00364B94" w:rsidP="008B2D46">
            <w:pPr>
              <w:pStyle w:val="Tabletextleft"/>
              <w:rPr>
                <w:b/>
              </w:rPr>
            </w:pPr>
            <w:r w:rsidRPr="008B2D46">
              <w:rPr>
                <w:b/>
              </w:rPr>
              <w:t>Numerator</w:t>
            </w:r>
          </w:p>
        </w:tc>
        <w:tc>
          <w:tcPr>
            <w:tcW w:w="1110" w:type="dxa"/>
            <w:vAlign w:val="top"/>
          </w:tcPr>
          <w:p w14:paraId="4BD02C15" w14:textId="637D0A56" w:rsidR="00364B94" w:rsidRPr="008B2D46" w:rsidRDefault="00364B94" w:rsidP="008B2D46">
            <w:pPr>
              <w:pStyle w:val="Tabletextleft"/>
            </w:pPr>
            <w:r w:rsidRPr="008B2D46">
              <w:t>NNDSS</w:t>
            </w:r>
          </w:p>
        </w:tc>
        <w:tc>
          <w:tcPr>
            <w:tcW w:w="4185" w:type="dxa"/>
            <w:vAlign w:val="top"/>
          </w:tcPr>
          <w:p w14:paraId="0C37FC12" w14:textId="69709464" w:rsidR="00364B94" w:rsidRPr="008B2D46" w:rsidRDefault="00364B94" w:rsidP="008B2D46">
            <w:pPr>
              <w:pStyle w:val="Tabletextleft"/>
            </w:pPr>
            <w:r w:rsidRPr="008B2D46">
              <w:t>Number of syphilis notifications in Indigenous women pregnant at the time of diagnosis by remoteness area classification</w:t>
            </w:r>
          </w:p>
        </w:tc>
        <w:tc>
          <w:tcPr>
            <w:tcW w:w="1470" w:type="dxa"/>
            <w:vAlign w:val="top"/>
          </w:tcPr>
          <w:p w14:paraId="5ACDFB3B" w14:textId="0770E95D" w:rsidR="00364B94" w:rsidRPr="008B2D46" w:rsidRDefault="00364B94" w:rsidP="008B2D46">
            <w:pPr>
              <w:pStyle w:val="Tabletextleft"/>
            </w:pPr>
            <w:r w:rsidRPr="008B2D46">
              <w:t>Australian Centre for Disease Control</w:t>
            </w:r>
          </w:p>
        </w:tc>
        <w:tc>
          <w:tcPr>
            <w:tcW w:w="1471" w:type="dxa"/>
            <w:vAlign w:val="top"/>
          </w:tcPr>
          <w:p w14:paraId="2B2BE538" w14:textId="30636224" w:rsidR="00364B94" w:rsidRPr="008B2D46" w:rsidRDefault="00364B94" w:rsidP="008B2D46">
            <w:pPr>
              <w:pStyle w:val="Tabletextleft"/>
            </w:pPr>
            <w:r w:rsidRPr="008B2D46">
              <w:t>Quarterly</w:t>
            </w:r>
          </w:p>
        </w:tc>
      </w:tr>
      <w:tr w:rsidR="008666C8" w:rsidRPr="008B2D46" w14:paraId="10130BEA" w14:textId="77777777" w:rsidTr="008B2D46">
        <w:trPr>
          <w:cnfStyle w:val="000000100000" w:firstRow="0" w:lastRow="0" w:firstColumn="0" w:lastColumn="0" w:oddVBand="0" w:evenVBand="0" w:oddHBand="1" w:evenHBand="0" w:firstRowFirstColumn="0" w:firstRowLastColumn="0" w:lastRowFirstColumn="0" w:lastRowLastColumn="0"/>
        </w:trPr>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03C9E9E" w14:textId="77777777" w:rsidR="00364B94" w:rsidRPr="008B2D46" w:rsidRDefault="00364B94" w:rsidP="008B2D46">
            <w:pPr>
              <w:pStyle w:val="Tabletextleft"/>
              <w:rPr>
                <w:b/>
              </w:rPr>
            </w:pPr>
            <w:r w:rsidRPr="008B2D46">
              <w:rPr>
                <w:b/>
              </w:rPr>
              <w:t>Denominator</w:t>
            </w:r>
          </w:p>
        </w:tc>
        <w:tc>
          <w:tcPr>
            <w:tcW w:w="111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09DFA59" w14:textId="6FB8C7FB" w:rsidR="00364B94" w:rsidRPr="008B2D46" w:rsidRDefault="00364B94" w:rsidP="008B2D46">
            <w:pPr>
              <w:pStyle w:val="Tabletextleft"/>
            </w:pPr>
            <w:r w:rsidRPr="008B2D46">
              <w:t>NNDSS</w:t>
            </w:r>
          </w:p>
        </w:tc>
        <w:tc>
          <w:tcPr>
            <w:tcW w:w="418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79A1832" w14:textId="1EDCDE46" w:rsidR="00364B94" w:rsidRPr="008B2D46" w:rsidRDefault="00364B94" w:rsidP="008B2D46">
            <w:pPr>
              <w:pStyle w:val="Tabletextleft"/>
            </w:pPr>
            <w:r w:rsidRPr="008B2D46">
              <w:t>Total number of syphilis notifications in Indigenous women of reproductive age reported to the NNDSS by remoteness area classification</w:t>
            </w:r>
          </w:p>
        </w:tc>
        <w:tc>
          <w:tcPr>
            <w:tcW w:w="14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D9F3DB5" w14:textId="4A88543C" w:rsidR="00364B94" w:rsidRPr="008B2D46" w:rsidRDefault="00364B94" w:rsidP="008B2D46">
            <w:pPr>
              <w:pStyle w:val="Tabletextleft"/>
            </w:pPr>
            <w:r w:rsidRPr="008B2D46">
              <w:t>Australian Centre for Disease Control</w:t>
            </w:r>
          </w:p>
        </w:tc>
        <w:tc>
          <w:tcPr>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10F3939" w14:textId="5293425D" w:rsidR="00364B94" w:rsidRPr="008B2D46" w:rsidRDefault="00364B94" w:rsidP="008B2D46">
            <w:pPr>
              <w:pStyle w:val="Tabletextleft"/>
            </w:pPr>
            <w:r w:rsidRPr="008B2D46">
              <w:t>Quarterly</w:t>
            </w:r>
          </w:p>
        </w:tc>
      </w:tr>
      <w:tr w:rsidR="00B20CE5" w:rsidRPr="008B2D46" w14:paraId="7414AFB1" w14:textId="77777777" w:rsidTr="008B2D46">
        <w:tc>
          <w:tcPr>
            <w:tcW w:w="9856" w:type="dxa"/>
            <w:gridSpan w:val="5"/>
            <w:shd w:val="clear" w:color="auto" w:fill="BEFEE9"/>
            <w:vAlign w:val="top"/>
          </w:tcPr>
          <w:p w14:paraId="45BCB912" w14:textId="77777777" w:rsidR="00B20CE5" w:rsidRPr="008B2D46" w:rsidRDefault="00B20CE5" w:rsidP="008B2D46">
            <w:pPr>
              <w:pStyle w:val="Tabletextleft"/>
              <w:rPr>
                <w:b/>
              </w:rPr>
            </w:pPr>
            <w:r w:rsidRPr="008B2D46">
              <w:rPr>
                <w:b/>
              </w:rPr>
              <w:t>Non-Indigenous</w:t>
            </w:r>
          </w:p>
        </w:tc>
      </w:tr>
      <w:tr w:rsidR="008666C8" w:rsidRPr="008B2D46" w14:paraId="387E4501" w14:textId="77777777" w:rsidTr="008B2D46">
        <w:trPr>
          <w:cnfStyle w:val="000000100000" w:firstRow="0" w:lastRow="0" w:firstColumn="0" w:lastColumn="0" w:oddVBand="0" w:evenVBand="0" w:oddHBand="1" w:evenHBand="0" w:firstRowFirstColumn="0" w:firstRowLastColumn="0" w:lastRowFirstColumn="0" w:lastRowLastColumn="0"/>
        </w:trPr>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8A5166E" w14:textId="77777777" w:rsidR="008D3A10" w:rsidRPr="008B2D46" w:rsidRDefault="008D3A10" w:rsidP="008B2D46">
            <w:pPr>
              <w:pStyle w:val="Tabletextleft"/>
              <w:rPr>
                <w:b/>
              </w:rPr>
            </w:pPr>
            <w:r w:rsidRPr="008B2D46">
              <w:rPr>
                <w:b/>
              </w:rPr>
              <w:t>Numerator</w:t>
            </w:r>
          </w:p>
        </w:tc>
        <w:tc>
          <w:tcPr>
            <w:tcW w:w="111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05A60FD" w14:textId="4BE4E910" w:rsidR="008D3A10" w:rsidRPr="008B2D46" w:rsidRDefault="008D3A10" w:rsidP="008B2D46">
            <w:pPr>
              <w:pStyle w:val="Tabletextleft"/>
            </w:pPr>
            <w:r w:rsidRPr="008B2D46">
              <w:t>NNDSS</w:t>
            </w:r>
          </w:p>
        </w:tc>
        <w:tc>
          <w:tcPr>
            <w:tcW w:w="418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6479A62" w14:textId="1EF9BB23" w:rsidR="008D3A10" w:rsidRPr="008B2D46" w:rsidRDefault="008D3A10" w:rsidP="008B2D46">
            <w:pPr>
              <w:pStyle w:val="Tabletextleft"/>
            </w:pPr>
            <w:r w:rsidRPr="008B2D46">
              <w:t>Number of syphilis notifications in non-Indigenous women pregnant at the time of diagnosis by remoteness area classification</w:t>
            </w:r>
          </w:p>
        </w:tc>
        <w:tc>
          <w:tcPr>
            <w:tcW w:w="14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3FA7E96" w14:textId="20E1853D" w:rsidR="008D3A10" w:rsidRPr="008B2D46" w:rsidRDefault="008D3A10" w:rsidP="008B2D46">
            <w:pPr>
              <w:pStyle w:val="Tabletextleft"/>
            </w:pPr>
            <w:r w:rsidRPr="008B2D46">
              <w:t>Australian Centre for Disease Control</w:t>
            </w:r>
          </w:p>
        </w:tc>
        <w:tc>
          <w:tcPr>
            <w:tcW w:w="147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BD72A4A" w14:textId="06C13C92" w:rsidR="008D3A10" w:rsidRPr="008B2D46" w:rsidRDefault="008D3A10" w:rsidP="008B2D46">
            <w:pPr>
              <w:pStyle w:val="Tabletextleft"/>
            </w:pPr>
            <w:r w:rsidRPr="008B2D46">
              <w:t>Quarterly</w:t>
            </w:r>
          </w:p>
        </w:tc>
      </w:tr>
      <w:tr w:rsidR="008666C8" w:rsidRPr="008B2D46" w14:paraId="05ED1ECD" w14:textId="77777777" w:rsidTr="008B2D46">
        <w:tc>
          <w:tcPr>
            <w:tcW w:w="1620" w:type="dxa"/>
            <w:vAlign w:val="top"/>
          </w:tcPr>
          <w:p w14:paraId="5F2A1566" w14:textId="77777777" w:rsidR="008D3A10" w:rsidRPr="008B2D46" w:rsidRDefault="008D3A10" w:rsidP="008B2D46">
            <w:pPr>
              <w:pStyle w:val="Tabletextleft"/>
              <w:rPr>
                <w:b/>
              </w:rPr>
            </w:pPr>
            <w:r w:rsidRPr="008B2D46">
              <w:rPr>
                <w:b/>
              </w:rPr>
              <w:t>Denominator</w:t>
            </w:r>
          </w:p>
        </w:tc>
        <w:tc>
          <w:tcPr>
            <w:tcW w:w="1110" w:type="dxa"/>
            <w:vAlign w:val="top"/>
          </w:tcPr>
          <w:p w14:paraId="6C83C251" w14:textId="22F9383B" w:rsidR="008D3A10" w:rsidRPr="008B2D46" w:rsidRDefault="008D3A10" w:rsidP="008B2D46">
            <w:pPr>
              <w:pStyle w:val="Tabletextleft"/>
            </w:pPr>
            <w:r w:rsidRPr="008B2D46">
              <w:t>NNDSS</w:t>
            </w:r>
          </w:p>
        </w:tc>
        <w:tc>
          <w:tcPr>
            <w:tcW w:w="4185" w:type="dxa"/>
            <w:vAlign w:val="top"/>
          </w:tcPr>
          <w:p w14:paraId="15C29C95" w14:textId="17BCC7D3" w:rsidR="008D3A10" w:rsidRPr="008B2D46" w:rsidRDefault="008D3A10" w:rsidP="008B2D46">
            <w:pPr>
              <w:pStyle w:val="Tabletextleft"/>
            </w:pPr>
            <w:r w:rsidRPr="008B2D46">
              <w:t>Total number of syphilis notifications in non-Indigenous women of reproductive age reported to the NNDSS by remoteness area classification</w:t>
            </w:r>
          </w:p>
        </w:tc>
        <w:tc>
          <w:tcPr>
            <w:tcW w:w="1470" w:type="dxa"/>
            <w:vAlign w:val="top"/>
          </w:tcPr>
          <w:p w14:paraId="65FDBD0B" w14:textId="3E3D647D" w:rsidR="008D3A10" w:rsidRPr="008B2D46" w:rsidRDefault="008D3A10" w:rsidP="008B2D46">
            <w:pPr>
              <w:pStyle w:val="Tabletextleft"/>
            </w:pPr>
            <w:r w:rsidRPr="008B2D46">
              <w:t>Australian Centre for Disease Control</w:t>
            </w:r>
          </w:p>
        </w:tc>
        <w:tc>
          <w:tcPr>
            <w:tcW w:w="1471" w:type="dxa"/>
            <w:vAlign w:val="top"/>
          </w:tcPr>
          <w:p w14:paraId="524A42AF" w14:textId="5444D2C5" w:rsidR="008D3A10" w:rsidRPr="008B2D46" w:rsidRDefault="008D3A10" w:rsidP="008B2D46">
            <w:pPr>
              <w:pStyle w:val="Tabletextleft"/>
            </w:pPr>
            <w:r w:rsidRPr="008B2D46">
              <w:t>Quarterly</w:t>
            </w:r>
          </w:p>
        </w:tc>
      </w:tr>
    </w:tbl>
    <w:p w14:paraId="7721D3ED" w14:textId="36680908" w:rsidR="00BC481B" w:rsidRPr="00BC481B" w:rsidRDefault="00945FBA" w:rsidP="008B2D46">
      <w:pPr>
        <w:pStyle w:val="Tableheadings"/>
        <w:rPr>
          <w:lang w:val="en-US"/>
        </w:rPr>
      </w:pPr>
      <w:r>
        <w:rPr>
          <w:lang w:val="en-US"/>
        </w:rPr>
        <w:t>4</w:t>
      </w:r>
      <w:r w:rsidR="005E01DA">
        <w:rPr>
          <w:lang w:val="en-US"/>
        </w:rPr>
        <w:t>.</w:t>
      </w:r>
      <w:r w:rsidR="009644B8">
        <w:rPr>
          <w:lang w:val="en-US"/>
        </w:rPr>
        <w:t>5</w:t>
      </w:r>
      <w:r w:rsidR="005E01DA">
        <w:rPr>
          <w:lang w:val="en-US"/>
        </w:rPr>
        <w:t xml:space="preserve"> </w:t>
      </w:r>
      <w:r w:rsidR="00BC481B" w:rsidRPr="00BC481B">
        <w:rPr>
          <w:lang w:val="en-US"/>
        </w:rPr>
        <w:t xml:space="preserve">Number of </w:t>
      </w:r>
      <w:r w:rsidR="003E0F99">
        <w:rPr>
          <w:lang w:val="en-US"/>
        </w:rPr>
        <w:t>women</w:t>
      </w:r>
      <w:r w:rsidR="009644B8" w:rsidRPr="009644B8">
        <w:rPr>
          <w:vertAlign w:val="superscript"/>
          <w:lang w:val="en-US"/>
        </w:rPr>
        <w:fldChar w:fldCharType="begin"/>
      </w:r>
      <w:r w:rsidR="009644B8" w:rsidRPr="009644B8">
        <w:rPr>
          <w:vertAlign w:val="superscript"/>
          <w:lang w:val="en-US"/>
        </w:rPr>
        <w:instrText xml:space="preserve"> NOTEREF _Ref204154090 \h  \* MERGEFORMAT </w:instrText>
      </w:r>
      <w:r w:rsidR="009644B8" w:rsidRPr="009644B8">
        <w:rPr>
          <w:vertAlign w:val="superscript"/>
          <w:lang w:val="en-US"/>
        </w:rPr>
      </w:r>
      <w:r w:rsidR="009644B8" w:rsidRPr="009644B8">
        <w:rPr>
          <w:vertAlign w:val="superscript"/>
          <w:lang w:val="en-US"/>
        </w:rPr>
        <w:fldChar w:fldCharType="separate"/>
      </w:r>
      <w:r w:rsidR="009644B8" w:rsidRPr="009644B8">
        <w:rPr>
          <w:vertAlign w:val="superscript"/>
          <w:lang w:val="en-US"/>
        </w:rPr>
        <w:t>2</w:t>
      </w:r>
      <w:r w:rsidR="009644B8" w:rsidRPr="009644B8">
        <w:rPr>
          <w:vertAlign w:val="superscript"/>
          <w:lang w:val="en-US"/>
        </w:rPr>
        <w:fldChar w:fldCharType="end"/>
      </w:r>
      <w:r w:rsidR="00BC481B" w:rsidRPr="00BC481B">
        <w:rPr>
          <w:lang w:val="en-US"/>
        </w:rPr>
        <w:t xml:space="preserve"> giving birth to an infant with congenital syphilis who were diagnosed with syphilis ‘late’</w:t>
      </w:r>
      <w:r w:rsidR="00BC481B" w:rsidRPr="00CA2432">
        <w:rPr>
          <w:bCs/>
          <w:vertAlign w:val="superscript"/>
        </w:rPr>
        <w:footnoteReference w:id="20"/>
      </w:r>
      <w:r w:rsidR="00BC481B" w:rsidRPr="00BC481B">
        <w:rPr>
          <w:lang w:val="en-US"/>
        </w:rPr>
        <w:t xml:space="preserve"> in pregnancy by Indigenous status</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065"/>
        <w:gridCol w:w="4245"/>
        <w:gridCol w:w="1533"/>
        <w:gridCol w:w="1423"/>
      </w:tblGrid>
      <w:tr w:rsidR="00991A52" w:rsidRPr="008B2D46" w14:paraId="37DF9E91" w14:textId="77777777" w:rsidTr="008B2D46">
        <w:trPr>
          <w:cnfStyle w:val="100000000000" w:firstRow="1" w:lastRow="0" w:firstColumn="0" w:lastColumn="0" w:oddVBand="0" w:evenVBand="0" w:oddHBand="0" w:evenHBand="0" w:firstRowFirstColumn="0" w:firstRowLastColumn="0" w:lastRowFirstColumn="0" w:lastRowLastColumn="0"/>
          <w:tblHeader/>
        </w:trPr>
        <w:tc>
          <w:tcPr>
            <w:tcW w:w="1590" w:type="dxa"/>
            <w:vAlign w:val="top"/>
          </w:tcPr>
          <w:p w14:paraId="6A84AAE3" w14:textId="77777777" w:rsidR="00991A52" w:rsidRPr="008B2D46" w:rsidRDefault="00991A52" w:rsidP="008B2D46">
            <w:pPr>
              <w:pStyle w:val="Tabletextleft"/>
              <w:rPr>
                <w:b/>
              </w:rPr>
            </w:pPr>
            <w:r w:rsidRPr="008B2D46">
              <w:rPr>
                <w:b/>
              </w:rPr>
              <w:t>Indicator components</w:t>
            </w:r>
          </w:p>
        </w:tc>
        <w:tc>
          <w:tcPr>
            <w:tcW w:w="1065" w:type="dxa"/>
            <w:vAlign w:val="top"/>
          </w:tcPr>
          <w:p w14:paraId="7E9CC684" w14:textId="77777777" w:rsidR="00991A52" w:rsidRPr="008B2D46" w:rsidRDefault="00991A52" w:rsidP="008B2D46">
            <w:pPr>
              <w:pStyle w:val="Tabletextleft"/>
              <w:rPr>
                <w:b/>
              </w:rPr>
            </w:pPr>
            <w:r w:rsidRPr="008B2D46">
              <w:rPr>
                <w:b/>
              </w:rPr>
              <w:t>Source</w:t>
            </w:r>
          </w:p>
        </w:tc>
        <w:tc>
          <w:tcPr>
            <w:tcW w:w="4245" w:type="dxa"/>
            <w:vAlign w:val="top"/>
          </w:tcPr>
          <w:p w14:paraId="5F78A00D" w14:textId="77777777" w:rsidR="00991A52" w:rsidRPr="008B2D46" w:rsidRDefault="00991A52" w:rsidP="008B2D46">
            <w:pPr>
              <w:pStyle w:val="Tabletextleft"/>
              <w:rPr>
                <w:b/>
              </w:rPr>
            </w:pPr>
            <w:r w:rsidRPr="008B2D46">
              <w:rPr>
                <w:b/>
              </w:rPr>
              <w:t>Description</w:t>
            </w:r>
          </w:p>
        </w:tc>
        <w:tc>
          <w:tcPr>
            <w:tcW w:w="1533" w:type="dxa"/>
            <w:vAlign w:val="top"/>
          </w:tcPr>
          <w:p w14:paraId="0CFE3AC6" w14:textId="77777777" w:rsidR="00E76AA6" w:rsidRDefault="00991A52" w:rsidP="008B2D46">
            <w:pPr>
              <w:pStyle w:val="Tabletextleft"/>
              <w:rPr>
                <w:b/>
              </w:rPr>
            </w:pPr>
            <w:r w:rsidRPr="008B2D46">
              <w:rPr>
                <w:b/>
              </w:rPr>
              <w:t>Custodian/</w:t>
            </w:r>
          </w:p>
          <w:p w14:paraId="31A0F45B" w14:textId="219FDD6C" w:rsidR="00991A52" w:rsidRPr="008B2D46" w:rsidRDefault="00991A52" w:rsidP="008B2D46">
            <w:pPr>
              <w:pStyle w:val="Tabletextleft"/>
              <w:rPr>
                <w:b/>
              </w:rPr>
            </w:pPr>
            <w:r w:rsidRPr="008B2D46">
              <w:rPr>
                <w:b/>
              </w:rPr>
              <w:t>stakeholder</w:t>
            </w:r>
          </w:p>
        </w:tc>
        <w:tc>
          <w:tcPr>
            <w:tcW w:w="1423" w:type="dxa"/>
            <w:vAlign w:val="top"/>
          </w:tcPr>
          <w:p w14:paraId="06CB148A" w14:textId="77777777" w:rsidR="00991A52" w:rsidRPr="008B2D46" w:rsidRDefault="00991A52" w:rsidP="008B2D46">
            <w:pPr>
              <w:pStyle w:val="Tabletextleft"/>
              <w:rPr>
                <w:b/>
              </w:rPr>
            </w:pPr>
            <w:r w:rsidRPr="008B2D46">
              <w:rPr>
                <w:b/>
              </w:rPr>
              <w:t>Availability of data for reporting</w:t>
            </w:r>
          </w:p>
        </w:tc>
      </w:tr>
      <w:tr w:rsidR="00991A52" w:rsidRPr="008B2D46" w14:paraId="6F3ADEA2" w14:textId="77777777" w:rsidTr="008B2D46">
        <w:trPr>
          <w:cnfStyle w:val="000000100000" w:firstRow="0" w:lastRow="0" w:firstColumn="0" w:lastColumn="0" w:oddVBand="0" w:evenVBand="0" w:oddHBand="1" w:evenHBand="0" w:firstRowFirstColumn="0" w:firstRowLastColumn="0" w:lastRowFirstColumn="0" w:lastRowLastColumn="0"/>
          <w:trHeight w:val="15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18D2EF81" w14:textId="77777777" w:rsidR="00991A52" w:rsidRPr="008B2D46" w:rsidRDefault="00991A52" w:rsidP="008B2D46">
            <w:pPr>
              <w:pStyle w:val="Tabletextleft"/>
              <w:rPr>
                <w:b/>
              </w:rPr>
            </w:pPr>
            <w:r w:rsidRPr="008B2D46">
              <w:rPr>
                <w:b/>
              </w:rPr>
              <w:t>Indigenous</w:t>
            </w:r>
          </w:p>
        </w:tc>
      </w:tr>
      <w:tr w:rsidR="00991A52" w:rsidRPr="008B2D46" w14:paraId="345E8CEE" w14:textId="77777777" w:rsidTr="008B2D46">
        <w:tc>
          <w:tcPr>
            <w:tcW w:w="1590" w:type="dxa"/>
            <w:vAlign w:val="top"/>
          </w:tcPr>
          <w:p w14:paraId="407BE496" w14:textId="77777777" w:rsidR="00991A52" w:rsidRPr="008B2D46" w:rsidRDefault="00991A52" w:rsidP="008B2D46">
            <w:pPr>
              <w:pStyle w:val="Tabletextleft"/>
              <w:rPr>
                <w:b/>
              </w:rPr>
            </w:pPr>
            <w:r w:rsidRPr="008B2D46">
              <w:rPr>
                <w:b/>
              </w:rPr>
              <w:t>Single measure</w:t>
            </w:r>
          </w:p>
        </w:tc>
        <w:tc>
          <w:tcPr>
            <w:tcW w:w="1065" w:type="dxa"/>
            <w:vAlign w:val="top"/>
          </w:tcPr>
          <w:p w14:paraId="6BFD3285" w14:textId="77777777" w:rsidR="00991A52" w:rsidRPr="008B2D46" w:rsidRDefault="00991A52" w:rsidP="008B2D46">
            <w:pPr>
              <w:pStyle w:val="Tabletextleft"/>
            </w:pPr>
            <w:r w:rsidRPr="008B2D46">
              <w:t>NNDSS</w:t>
            </w:r>
          </w:p>
        </w:tc>
        <w:tc>
          <w:tcPr>
            <w:tcW w:w="4245" w:type="dxa"/>
            <w:vAlign w:val="top"/>
          </w:tcPr>
          <w:p w14:paraId="6B8804F6" w14:textId="036B5146" w:rsidR="00991A52" w:rsidRPr="008B2D46" w:rsidRDefault="00764EDC" w:rsidP="008B2D46">
            <w:pPr>
              <w:pStyle w:val="Tabletextleft"/>
            </w:pPr>
            <w:r w:rsidRPr="008B2D46">
              <w:t>Number of Indigenous women giving birth to an infant with congenital syphilis diagnosed late in pregnancy</w:t>
            </w:r>
          </w:p>
        </w:tc>
        <w:tc>
          <w:tcPr>
            <w:tcW w:w="1533" w:type="dxa"/>
            <w:vAlign w:val="top"/>
          </w:tcPr>
          <w:p w14:paraId="5C3339E4" w14:textId="77777777" w:rsidR="00991A52" w:rsidRPr="008B2D46" w:rsidRDefault="00991A52" w:rsidP="008B2D46">
            <w:pPr>
              <w:pStyle w:val="Tabletextleft"/>
            </w:pPr>
            <w:r w:rsidRPr="008B2D46">
              <w:t>Australian Centre for Disease Control</w:t>
            </w:r>
          </w:p>
        </w:tc>
        <w:tc>
          <w:tcPr>
            <w:tcW w:w="1423" w:type="dxa"/>
            <w:vAlign w:val="top"/>
          </w:tcPr>
          <w:p w14:paraId="3440C8A7" w14:textId="77777777" w:rsidR="00991A52" w:rsidRPr="008B2D46" w:rsidRDefault="00991A52" w:rsidP="008B2D46">
            <w:pPr>
              <w:pStyle w:val="Tabletextleft"/>
            </w:pPr>
            <w:r w:rsidRPr="008B2D46">
              <w:t>Quarterly</w:t>
            </w:r>
          </w:p>
        </w:tc>
      </w:tr>
      <w:tr w:rsidR="00991A52" w:rsidRPr="008B2D46" w14:paraId="0C0E1C7F" w14:textId="77777777" w:rsidTr="008B2D46">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2A514D45" w14:textId="77777777" w:rsidR="00991A52" w:rsidRPr="008B2D46" w:rsidRDefault="00991A52" w:rsidP="008B2D46">
            <w:pPr>
              <w:pStyle w:val="Tabletextleft"/>
              <w:keepNext/>
            </w:pPr>
            <w:r w:rsidRPr="008B2D46">
              <w:lastRenderedPageBreak/>
              <w:t>Non-Indigenous</w:t>
            </w:r>
          </w:p>
        </w:tc>
      </w:tr>
      <w:tr w:rsidR="00991A52" w:rsidRPr="008B2D46" w14:paraId="5F8DAE25" w14:textId="77777777" w:rsidTr="008B2D46">
        <w:trPr>
          <w:trHeight w:val="1318"/>
        </w:trPr>
        <w:tc>
          <w:tcPr>
            <w:tcW w:w="1590" w:type="dxa"/>
            <w:vAlign w:val="top"/>
          </w:tcPr>
          <w:p w14:paraId="1467F21B" w14:textId="77777777" w:rsidR="00991A52" w:rsidRPr="008B2D46" w:rsidRDefault="00991A52" w:rsidP="008B2D46">
            <w:pPr>
              <w:pStyle w:val="Tabletextleft"/>
              <w:rPr>
                <w:b/>
              </w:rPr>
            </w:pPr>
            <w:r w:rsidRPr="008B2D46">
              <w:rPr>
                <w:b/>
              </w:rPr>
              <w:t>Single measure</w:t>
            </w:r>
          </w:p>
        </w:tc>
        <w:tc>
          <w:tcPr>
            <w:tcW w:w="1065" w:type="dxa"/>
            <w:vAlign w:val="top"/>
          </w:tcPr>
          <w:p w14:paraId="72BFB199" w14:textId="77777777" w:rsidR="00991A52" w:rsidRPr="008B2D46" w:rsidRDefault="00991A52" w:rsidP="008B2D46">
            <w:pPr>
              <w:pStyle w:val="Tabletextleft"/>
            </w:pPr>
            <w:r w:rsidRPr="008B2D46">
              <w:t>NNDSS</w:t>
            </w:r>
          </w:p>
        </w:tc>
        <w:tc>
          <w:tcPr>
            <w:tcW w:w="4245" w:type="dxa"/>
            <w:vAlign w:val="top"/>
          </w:tcPr>
          <w:p w14:paraId="3F0D38D6" w14:textId="6D8CFC63" w:rsidR="00991A52" w:rsidRPr="008B2D46" w:rsidRDefault="003167D1" w:rsidP="008B2D46">
            <w:pPr>
              <w:pStyle w:val="Tabletextleft"/>
            </w:pPr>
            <w:r w:rsidRPr="008B2D46">
              <w:t>Number of non-Indigenous women giving birth to an infant with congenital syphilis diagnosed late in pregnancy</w:t>
            </w:r>
          </w:p>
        </w:tc>
        <w:tc>
          <w:tcPr>
            <w:tcW w:w="1533" w:type="dxa"/>
            <w:vAlign w:val="top"/>
          </w:tcPr>
          <w:p w14:paraId="794A4620" w14:textId="77777777" w:rsidR="00991A52" w:rsidRPr="008B2D46" w:rsidRDefault="00991A52" w:rsidP="008B2D46">
            <w:pPr>
              <w:pStyle w:val="Tabletextleft"/>
            </w:pPr>
            <w:r w:rsidRPr="008B2D46">
              <w:t>Australian Centre for Disease Control</w:t>
            </w:r>
          </w:p>
        </w:tc>
        <w:tc>
          <w:tcPr>
            <w:tcW w:w="1423" w:type="dxa"/>
            <w:vAlign w:val="top"/>
          </w:tcPr>
          <w:p w14:paraId="31713868" w14:textId="77777777" w:rsidR="00991A52" w:rsidRPr="008B2D46" w:rsidRDefault="00991A52" w:rsidP="008B2D46">
            <w:pPr>
              <w:pStyle w:val="Tabletextleft"/>
            </w:pPr>
            <w:r w:rsidRPr="008B2D46">
              <w:t>Quarterly</w:t>
            </w:r>
          </w:p>
        </w:tc>
      </w:tr>
    </w:tbl>
    <w:p w14:paraId="5AC06CBA" w14:textId="769EEA30" w:rsidR="00991A52" w:rsidRPr="00A64653" w:rsidRDefault="005E01DA" w:rsidP="001104E0">
      <w:pPr>
        <w:pStyle w:val="Tableheadings"/>
      </w:pPr>
      <w:r>
        <w:t>4.</w:t>
      </w:r>
      <w:r w:rsidR="009644B8">
        <w:t>6</w:t>
      </w:r>
      <w:r>
        <w:t xml:space="preserve"> </w:t>
      </w:r>
      <w:r w:rsidR="009A4A32" w:rsidRPr="00A64653">
        <w:t xml:space="preserve">Proportion of </w:t>
      </w:r>
      <w:r w:rsidR="00433512">
        <w:t>women</w:t>
      </w:r>
      <w:r w:rsidR="009644B8" w:rsidRPr="009644B8">
        <w:rPr>
          <w:vertAlign w:val="superscript"/>
        </w:rPr>
        <w:fldChar w:fldCharType="begin"/>
      </w:r>
      <w:r w:rsidR="009644B8" w:rsidRPr="009644B8">
        <w:rPr>
          <w:vertAlign w:val="superscript"/>
        </w:rPr>
        <w:instrText xml:space="preserve"> NOTEREF _Ref204154090 \h </w:instrText>
      </w:r>
      <w:r w:rsidR="009644B8">
        <w:rPr>
          <w:vertAlign w:val="superscript"/>
        </w:rPr>
        <w:instrText xml:space="preserve"> \* MERGEFORMAT </w:instrText>
      </w:r>
      <w:r w:rsidR="009644B8" w:rsidRPr="009644B8">
        <w:rPr>
          <w:vertAlign w:val="superscript"/>
        </w:rPr>
      </w:r>
      <w:r w:rsidR="009644B8" w:rsidRPr="009644B8">
        <w:rPr>
          <w:vertAlign w:val="superscript"/>
        </w:rPr>
        <w:fldChar w:fldCharType="separate"/>
      </w:r>
      <w:r w:rsidR="009644B8" w:rsidRPr="009644B8">
        <w:rPr>
          <w:vertAlign w:val="superscript"/>
        </w:rPr>
        <w:t>2</w:t>
      </w:r>
      <w:r w:rsidR="009644B8" w:rsidRPr="009644B8">
        <w:rPr>
          <w:vertAlign w:val="superscript"/>
        </w:rPr>
        <w:fldChar w:fldCharType="end"/>
      </w:r>
      <w:r w:rsidR="009644B8">
        <w:t xml:space="preserve"> </w:t>
      </w:r>
      <w:r w:rsidR="009A4A32" w:rsidRPr="00A64653">
        <w:t xml:space="preserve">giving birth to an infant </w:t>
      </w:r>
      <w:r w:rsidR="00A64653" w:rsidRPr="00A64653">
        <w:t>with congenital syphilis receiving adequate treatment</w:t>
      </w:r>
      <w:r w:rsidR="00056925" w:rsidRPr="00E50B9D">
        <w:rPr>
          <w:bCs/>
          <w:vertAlign w:val="superscript"/>
        </w:rPr>
        <w:footnoteReference w:id="21"/>
      </w:r>
      <w:r w:rsidR="00A64653" w:rsidRPr="00A64653">
        <w:t xml:space="preserve"> prior to delivery</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080"/>
        <w:gridCol w:w="4215"/>
        <w:gridCol w:w="1500"/>
        <w:gridCol w:w="1441"/>
      </w:tblGrid>
      <w:tr w:rsidR="0013436A" w:rsidRPr="00E76AA6" w14:paraId="2F8A3F5C" w14:textId="77777777" w:rsidTr="00E76AA6">
        <w:trPr>
          <w:cnfStyle w:val="100000000000" w:firstRow="1" w:lastRow="0" w:firstColumn="0" w:lastColumn="0" w:oddVBand="0" w:evenVBand="0" w:oddHBand="0" w:evenHBand="0" w:firstRowFirstColumn="0" w:firstRowLastColumn="0" w:lastRowFirstColumn="0" w:lastRowLastColumn="0"/>
        </w:trPr>
        <w:tc>
          <w:tcPr>
            <w:tcW w:w="1620" w:type="dxa"/>
            <w:vAlign w:val="top"/>
          </w:tcPr>
          <w:p w14:paraId="277B9EEC" w14:textId="77777777" w:rsidR="00A213CD" w:rsidRPr="00E76AA6" w:rsidRDefault="00A213CD" w:rsidP="00E76AA6">
            <w:pPr>
              <w:pStyle w:val="Tabletextleft"/>
              <w:rPr>
                <w:b/>
              </w:rPr>
            </w:pPr>
            <w:r w:rsidRPr="00E76AA6">
              <w:rPr>
                <w:b/>
              </w:rPr>
              <w:t>Indicator components</w:t>
            </w:r>
          </w:p>
        </w:tc>
        <w:tc>
          <w:tcPr>
            <w:tcW w:w="1080" w:type="dxa"/>
            <w:vAlign w:val="top"/>
          </w:tcPr>
          <w:p w14:paraId="4C8C8632" w14:textId="77777777" w:rsidR="00A213CD" w:rsidRPr="00E76AA6" w:rsidRDefault="00A213CD" w:rsidP="00E76AA6">
            <w:pPr>
              <w:pStyle w:val="Tabletextleft"/>
              <w:rPr>
                <w:b/>
              </w:rPr>
            </w:pPr>
            <w:r w:rsidRPr="00E76AA6">
              <w:rPr>
                <w:b/>
              </w:rPr>
              <w:t>Source</w:t>
            </w:r>
          </w:p>
        </w:tc>
        <w:tc>
          <w:tcPr>
            <w:tcW w:w="4215" w:type="dxa"/>
            <w:vAlign w:val="top"/>
          </w:tcPr>
          <w:p w14:paraId="46050A6C" w14:textId="77777777" w:rsidR="00A213CD" w:rsidRPr="00E76AA6" w:rsidRDefault="00A213CD" w:rsidP="00E76AA6">
            <w:pPr>
              <w:pStyle w:val="Tabletextleft"/>
              <w:rPr>
                <w:b/>
              </w:rPr>
            </w:pPr>
            <w:r w:rsidRPr="00E76AA6">
              <w:rPr>
                <w:b/>
              </w:rPr>
              <w:t>Description</w:t>
            </w:r>
          </w:p>
        </w:tc>
        <w:tc>
          <w:tcPr>
            <w:tcW w:w="1500" w:type="dxa"/>
            <w:vAlign w:val="top"/>
          </w:tcPr>
          <w:p w14:paraId="4A6DBE68" w14:textId="77777777" w:rsidR="00A213CD" w:rsidRPr="00E76AA6" w:rsidRDefault="00A213CD" w:rsidP="00E76AA6">
            <w:pPr>
              <w:pStyle w:val="Tabletextleft"/>
              <w:rPr>
                <w:b/>
              </w:rPr>
            </w:pPr>
            <w:r w:rsidRPr="00E76AA6">
              <w:rPr>
                <w:b/>
              </w:rPr>
              <w:t>Custodian/</w:t>
            </w:r>
          </w:p>
          <w:p w14:paraId="6F2E6835" w14:textId="77777777" w:rsidR="00A213CD" w:rsidRPr="00E76AA6" w:rsidRDefault="00A213CD" w:rsidP="00E76AA6">
            <w:pPr>
              <w:pStyle w:val="Tabletextleft"/>
              <w:rPr>
                <w:b/>
              </w:rPr>
            </w:pPr>
            <w:r w:rsidRPr="00E76AA6">
              <w:rPr>
                <w:b/>
              </w:rPr>
              <w:t>stakeholder</w:t>
            </w:r>
          </w:p>
        </w:tc>
        <w:tc>
          <w:tcPr>
            <w:tcW w:w="1441" w:type="dxa"/>
            <w:vAlign w:val="top"/>
          </w:tcPr>
          <w:p w14:paraId="62609D95" w14:textId="77777777" w:rsidR="00A213CD" w:rsidRPr="00E76AA6" w:rsidRDefault="00A213CD" w:rsidP="00E76AA6">
            <w:pPr>
              <w:pStyle w:val="Tabletextleft"/>
              <w:rPr>
                <w:b/>
              </w:rPr>
            </w:pPr>
            <w:r w:rsidRPr="00E76AA6">
              <w:rPr>
                <w:b/>
              </w:rPr>
              <w:t>Availability of data for reporting</w:t>
            </w:r>
          </w:p>
        </w:tc>
      </w:tr>
      <w:tr w:rsidR="00A213CD" w:rsidRPr="00E76AA6" w14:paraId="4DC52159" w14:textId="77777777" w:rsidTr="00E76AA6">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65AD8B47" w14:textId="77777777" w:rsidR="00A213CD" w:rsidRPr="00E76AA6" w:rsidRDefault="00A213CD" w:rsidP="00E76AA6">
            <w:pPr>
              <w:pStyle w:val="Tabletextleft"/>
              <w:rPr>
                <w:b/>
              </w:rPr>
            </w:pPr>
            <w:r w:rsidRPr="00E76AA6">
              <w:rPr>
                <w:b/>
              </w:rPr>
              <w:t>Indigenous</w:t>
            </w:r>
          </w:p>
        </w:tc>
      </w:tr>
      <w:tr w:rsidR="0013436A" w:rsidRPr="00E76AA6" w14:paraId="3F351FC0" w14:textId="77777777" w:rsidTr="00E76AA6">
        <w:tc>
          <w:tcPr>
            <w:tcW w:w="1620" w:type="dxa"/>
            <w:vAlign w:val="top"/>
          </w:tcPr>
          <w:p w14:paraId="1E9D2528" w14:textId="77777777" w:rsidR="00A9042F" w:rsidRPr="00E76AA6" w:rsidRDefault="00A9042F" w:rsidP="00E76AA6">
            <w:pPr>
              <w:pStyle w:val="Tabletextleft"/>
              <w:rPr>
                <w:b/>
              </w:rPr>
            </w:pPr>
            <w:r w:rsidRPr="00E76AA6">
              <w:rPr>
                <w:b/>
              </w:rPr>
              <w:t>Numerator</w:t>
            </w:r>
          </w:p>
        </w:tc>
        <w:tc>
          <w:tcPr>
            <w:tcW w:w="1080" w:type="dxa"/>
            <w:vAlign w:val="top"/>
          </w:tcPr>
          <w:p w14:paraId="0DA7307F" w14:textId="32EB048A" w:rsidR="00A9042F" w:rsidRPr="00E76AA6" w:rsidRDefault="00A9042F" w:rsidP="00E76AA6">
            <w:pPr>
              <w:pStyle w:val="Tabletextleft"/>
            </w:pPr>
            <w:r w:rsidRPr="00E76AA6">
              <w:t>NNDSS</w:t>
            </w:r>
          </w:p>
        </w:tc>
        <w:tc>
          <w:tcPr>
            <w:tcW w:w="4215" w:type="dxa"/>
            <w:vAlign w:val="top"/>
          </w:tcPr>
          <w:p w14:paraId="61FC3E1E" w14:textId="6637CF03" w:rsidR="00A9042F" w:rsidRPr="00E76AA6" w:rsidRDefault="00A9042F" w:rsidP="00E76AA6">
            <w:pPr>
              <w:pStyle w:val="Tabletextleft"/>
            </w:pPr>
            <w:r w:rsidRPr="00E76AA6">
              <w:t xml:space="preserve">Number of infectious syphilis notifications in Indigenous </w:t>
            </w:r>
            <w:r w:rsidR="00433512" w:rsidRPr="00E76AA6">
              <w:t>women</w:t>
            </w:r>
            <w:r w:rsidR="009644B8" w:rsidRPr="00E76AA6">
              <w:t xml:space="preserve"> </w:t>
            </w:r>
            <w:r w:rsidRPr="00E76AA6">
              <w:t>giving birth to an infant with congenital syphilis receiving adequate treatment prior to delivery</w:t>
            </w:r>
            <w:r w:rsidR="0013436A" w:rsidRPr="00E76AA6">
              <w:t xml:space="preserve"> reported to the NNDSS</w:t>
            </w:r>
          </w:p>
        </w:tc>
        <w:tc>
          <w:tcPr>
            <w:tcW w:w="1500" w:type="dxa"/>
            <w:vAlign w:val="top"/>
          </w:tcPr>
          <w:p w14:paraId="24E7F7C4" w14:textId="77777777" w:rsidR="00A9042F" w:rsidRPr="00E76AA6" w:rsidRDefault="00A9042F" w:rsidP="00E76AA6">
            <w:pPr>
              <w:pStyle w:val="Tabletextleft"/>
            </w:pPr>
            <w:r w:rsidRPr="00E76AA6">
              <w:t>Australian Centre for Disease Control</w:t>
            </w:r>
          </w:p>
        </w:tc>
        <w:tc>
          <w:tcPr>
            <w:tcW w:w="1441" w:type="dxa"/>
            <w:vAlign w:val="top"/>
          </w:tcPr>
          <w:p w14:paraId="7218DF22" w14:textId="0241380B" w:rsidR="00A9042F" w:rsidRPr="00E76AA6" w:rsidRDefault="00A9042F" w:rsidP="00E76AA6">
            <w:pPr>
              <w:pStyle w:val="Tabletextleft"/>
            </w:pPr>
            <w:r w:rsidRPr="00E76AA6">
              <w:t>Quarterly</w:t>
            </w:r>
          </w:p>
        </w:tc>
      </w:tr>
      <w:tr w:rsidR="0013436A" w:rsidRPr="00E76AA6" w14:paraId="32B50513" w14:textId="77777777" w:rsidTr="00E76AA6">
        <w:trPr>
          <w:cnfStyle w:val="000000100000" w:firstRow="0" w:lastRow="0" w:firstColumn="0" w:lastColumn="0" w:oddVBand="0" w:evenVBand="0" w:oddHBand="1" w:evenHBand="0" w:firstRowFirstColumn="0" w:firstRowLastColumn="0" w:lastRowFirstColumn="0" w:lastRowLastColumn="0"/>
        </w:trPr>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40FE116" w14:textId="77777777" w:rsidR="00A9042F" w:rsidRPr="00E76AA6" w:rsidRDefault="00A9042F" w:rsidP="00E76AA6">
            <w:pPr>
              <w:pStyle w:val="Tabletextleft"/>
              <w:rPr>
                <w:b/>
              </w:rPr>
            </w:pPr>
            <w:r w:rsidRPr="00E76AA6">
              <w:rPr>
                <w:b/>
              </w:rPr>
              <w:t>Denominator</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03B0F1E" w14:textId="5322E017" w:rsidR="00A9042F" w:rsidRPr="00E76AA6" w:rsidRDefault="00A9042F" w:rsidP="00E76AA6">
            <w:pPr>
              <w:pStyle w:val="Tabletextleft"/>
            </w:pPr>
            <w:r w:rsidRPr="00E76AA6">
              <w:t>NNDSS</w:t>
            </w:r>
          </w:p>
        </w:tc>
        <w:tc>
          <w:tcPr>
            <w:tcW w:w="421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4BFAAC6" w14:textId="4C50135E" w:rsidR="00A9042F" w:rsidRPr="00E76AA6" w:rsidRDefault="00A9042F" w:rsidP="00E76AA6">
            <w:pPr>
              <w:pStyle w:val="Tabletextleft"/>
            </w:pPr>
            <w:r w:rsidRPr="00E76AA6">
              <w:t xml:space="preserve">Total number of infectious syphilis notifications in Indigenous </w:t>
            </w:r>
            <w:r w:rsidR="00433512" w:rsidRPr="00E76AA6">
              <w:t xml:space="preserve">women </w:t>
            </w:r>
            <w:r w:rsidRPr="00E76AA6">
              <w:t>giving birth to an infant with congenital syphilis reported to the NNDSS</w:t>
            </w:r>
          </w:p>
        </w:tc>
        <w:tc>
          <w:tcPr>
            <w:tcW w:w="150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8071C3D" w14:textId="77777777" w:rsidR="00A9042F" w:rsidRPr="00E76AA6" w:rsidRDefault="00A9042F" w:rsidP="00E76AA6">
            <w:pPr>
              <w:pStyle w:val="Tabletextleft"/>
            </w:pPr>
            <w:r w:rsidRPr="00E76AA6">
              <w:t>Australian Centre for Disease Control</w:t>
            </w:r>
          </w:p>
        </w:tc>
        <w:tc>
          <w:tcPr>
            <w:tcW w:w="144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3D30D60" w14:textId="4493DB12" w:rsidR="00A9042F" w:rsidRPr="00E76AA6" w:rsidRDefault="00A9042F" w:rsidP="00E76AA6">
            <w:pPr>
              <w:pStyle w:val="Tabletextleft"/>
            </w:pPr>
            <w:r w:rsidRPr="00E76AA6">
              <w:t>Quarterly</w:t>
            </w:r>
          </w:p>
        </w:tc>
      </w:tr>
      <w:tr w:rsidR="00A213CD" w:rsidRPr="00E76AA6" w14:paraId="743D6024" w14:textId="77777777" w:rsidTr="00E76AA6">
        <w:tc>
          <w:tcPr>
            <w:tcW w:w="9856" w:type="dxa"/>
            <w:gridSpan w:val="5"/>
            <w:shd w:val="clear" w:color="auto" w:fill="BEFEE9"/>
            <w:vAlign w:val="top"/>
          </w:tcPr>
          <w:p w14:paraId="659084A3" w14:textId="77777777" w:rsidR="00A213CD" w:rsidRPr="00E76AA6" w:rsidRDefault="00A213CD" w:rsidP="00E76AA6">
            <w:pPr>
              <w:pStyle w:val="Tabletextleft"/>
              <w:rPr>
                <w:b/>
              </w:rPr>
            </w:pPr>
            <w:r w:rsidRPr="00E76AA6">
              <w:rPr>
                <w:b/>
              </w:rPr>
              <w:t>Non-Indigenous</w:t>
            </w:r>
          </w:p>
        </w:tc>
      </w:tr>
      <w:tr w:rsidR="0013436A" w:rsidRPr="00E76AA6" w14:paraId="231BE0A5" w14:textId="77777777" w:rsidTr="00E76AA6">
        <w:trPr>
          <w:cnfStyle w:val="000000100000" w:firstRow="0" w:lastRow="0" w:firstColumn="0" w:lastColumn="0" w:oddVBand="0" w:evenVBand="0" w:oddHBand="1" w:evenHBand="0" w:firstRowFirstColumn="0" w:firstRowLastColumn="0" w:lastRowFirstColumn="0" w:lastRowLastColumn="0"/>
        </w:trPr>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19E39BD" w14:textId="77777777" w:rsidR="0013436A" w:rsidRPr="00E76AA6" w:rsidRDefault="0013436A" w:rsidP="00E76AA6">
            <w:pPr>
              <w:pStyle w:val="Tabletextleft"/>
              <w:rPr>
                <w:b/>
              </w:rPr>
            </w:pPr>
            <w:r w:rsidRPr="00E76AA6">
              <w:rPr>
                <w:b/>
              </w:rPr>
              <w:t>Numerator</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E1A00D1" w14:textId="04E988E5" w:rsidR="0013436A" w:rsidRPr="00E76AA6" w:rsidRDefault="0013436A" w:rsidP="00E76AA6">
            <w:pPr>
              <w:pStyle w:val="Tabletextleft"/>
            </w:pPr>
            <w:r w:rsidRPr="00E76AA6">
              <w:t>NNDSS</w:t>
            </w:r>
          </w:p>
        </w:tc>
        <w:tc>
          <w:tcPr>
            <w:tcW w:w="421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69E4731" w14:textId="4DEF70F5" w:rsidR="0013436A" w:rsidRPr="00E76AA6" w:rsidRDefault="0013436A" w:rsidP="00E76AA6">
            <w:pPr>
              <w:pStyle w:val="Tabletextleft"/>
            </w:pPr>
            <w:r w:rsidRPr="00E76AA6">
              <w:t xml:space="preserve">Number of infectious syphilis notifications in non-Indigenous </w:t>
            </w:r>
            <w:r w:rsidR="00433512" w:rsidRPr="00E76AA6">
              <w:t xml:space="preserve">women </w:t>
            </w:r>
            <w:r w:rsidRPr="00E76AA6">
              <w:t>giving birth to an infant with congenital syphilis receiving adequate treatment prior to delivery reported to the NNDSS</w:t>
            </w:r>
          </w:p>
        </w:tc>
        <w:tc>
          <w:tcPr>
            <w:tcW w:w="150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11DE08B" w14:textId="77777777" w:rsidR="0013436A" w:rsidRPr="00E76AA6" w:rsidRDefault="0013436A" w:rsidP="00E76AA6">
            <w:pPr>
              <w:pStyle w:val="Tabletextleft"/>
            </w:pPr>
            <w:r w:rsidRPr="00E76AA6">
              <w:t>Australian Centre for Disease Control</w:t>
            </w:r>
          </w:p>
        </w:tc>
        <w:tc>
          <w:tcPr>
            <w:tcW w:w="144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23C01C0" w14:textId="06207223" w:rsidR="0013436A" w:rsidRPr="00E76AA6" w:rsidRDefault="0013436A" w:rsidP="00E76AA6">
            <w:pPr>
              <w:pStyle w:val="Tabletextleft"/>
            </w:pPr>
            <w:r w:rsidRPr="00E76AA6">
              <w:t>Quarterly</w:t>
            </w:r>
          </w:p>
        </w:tc>
      </w:tr>
      <w:tr w:rsidR="0013436A" w:rsidRPr="00E76AA6" w14:paraId="10006975" w14:textId="77777777" w:rsidTr="00E76AA6">
        <w:tc>
          <w:tcPr>
            <w:tcW w:w="1620" w:type="dxa"/>
            <w:vAlign w:val="top"/>
          </w:tcPr>
          <w:p w14:paraId="7F85CEC3" w14:textId="77777777" w:rsidR="0013436A" w:rsidRPr="00E76AA6" w:rsidRDefault="0013436A" w:rsidP="00E76AA6">
            <w:pPr>
              <w:pStyle w:val="Tabletextleft"/>
              <w:rPr>
                <w:b/>
              </w:rPr>
            </w:pPr>
            <w:r w:rsidRPr="00E76AA6">
              <w:rPr>
                <w:b/>
              </w:rPr>
              <w:t>Denominator</w:t>
            </w:r>
          </w:p>
        </w:tc>
        <w:tc>
          <w:tcPr>
            <w:tcW w:w="1080" w:type="dxa"/>
            <w:vAlign w:val="top"/>
          </w:tcPr>
          <w:p w14:paraId="4B5A1137" w14:textId="1289D958" w:rsidR="0013436A" w:rsidRPr="00E76AA6" w:rsidRDefault="0013436A" w:rsidP="00E76AA6">
            <w:pPr>
              <w:pStyle w:val="Tabletextleft"/>
            </w:pPr>
            <w:r w:rsidRPr="00E76AA6">
              <w:t>NNDSS</w:t>
            </w:r>
          </w:p>
        </w:tc>
        <w:tc>
          <w:tcPr>
            <w:tcW w:w="4215" w:type="dxa"/>
            <w:vAlign w:val="top"/>
          </w:tcPr>
          <w:p w14:paraId="595346EB" w14:textId="1C5D8870" w:rsidR="0013436A" w:rsidRPr="00E76AA6" w:rsidRDefault="0013436A" w:rsidP="00E76AA6">
            <w:pPr>
              <w:pStyle w:val="Tabletextleft"/>
            </w:pPr>
            <w:r w:rsidRPr="00E76AA6">
              <w:t xml:space="preserve">Total number of infectious syphilis notifications in non-Indigenous </w:t>
            </w:r>
            <w:r w:rsidR="00433512" w:rsidRPr="00E76AA6">
              <w:t xml:space="preserve">women </w:t>
            </w:r>
            <w:r w:rsidRPr="00E76AA6">
              <w:t>giving birth to an infant with congenital syphilis reported to the NNDSS</w:t>
            </w:r>
          </w:p>
        </w:tc>
        <w:tc>
          <w:tcPr>
            <w:tcW w:w="1500" w:type="dxa"/>
            <w:vAlign w:val="top"/>
          </w:tcPr>
          <w:p w14:paraId="6AD47A56" w14:textId="77777777" w:rsidR="0013436A" w:rsidRPr="00E76AA6" w:rsidRDefault="0013436A" w:rsidP="00E76AA6">
            <w:pPr>
              <w:pStyle w:val="Tabletextleft"/>
            </w:pPr>
            <w:r w:rsidRPr="00E76AA6">
              <w:t>Australian Centre for Disease Control</w:t>
            </w:r>
          </w:p>
        </w:tc>
        <w:tc>
          <w:tcPr>
            <w:tcW w:w="1441" w:type="dxa"/>
            <w:vAlign w:val="top"/>
          </w:tcPr>
          <w:p w14:paraId="746634B1" w14:textId="6E4D9CC5" w:rsidR="0013436A" w:rsidRPr="00E76AA6" w:rsidRDefault="0013436A" w:rsidP="00E76AA6">
            <w:pPr>
              <w:pStyle w:val="Tabletextleft"/>
            </w:pPr>
            <w:r w:rsidRPr="00E76AA6">
              <w:t>Quarterly</w:t>
            </w:r>
          </w:p>
        </w:tc>
      </w:tr>
    </w:tbl>
    <w:p w14:paraId="231CB88D" w14:textId="77777777" w:rsidR="00832AF9" w:rsidRPr="008B0C19" w:rsidRDefault="00832AF9" w:rsidP="008B0C19">
      <w:r w:rsidRPr="008B0C19">
        <w:br w:type="page"/>
      </w:r>
    </w:p>
    <w:p w14:paraId="1BE03FA9" w14:textId="4B370325" w:rsidR="00F6214F" w:rsidRPr="00A64653" w:rsidRDefault="005E01DA" w:rsidP="008B0C19">
      <w:pPr>
        <w:pStyle w:val="Tableheadings"/>
      </w:pPr>
      <w:r>
        <w:lastRenderedPageBreak/>
        <w:t>4.</w:t>
      </w:r>
      <w:r w:rsidR="009644B8">
        <w:t>7</w:t>
      </w:r>
      <w:r>
        <w:t xml:space="preserve"> </w:t>
      </w:r>
      <w:r w:rsidR="00C4376F">
        <w:t>Number of</w:t>
      </w:r>
      <w:r w:rsidR="00F6214F" w:rsidRPr="00A64653">
        <w:t xml:space="preserve"> </w:t>
      </w:r>
      <w:r w:rsidR="00433512">
        <w:t>women</w:t>
      </w:r>
      <w:r w:rsidR="009644B8" w:rsidRPr="009644B8">
        <w:rPr>
          <w:vertAlign w:val="superscript"/>
        </w:rPr>
        <w:fldChar w:fldCharType="begin"/>
      </w:r>
      <w:r w:rsidR="009644B8" w:rsidRPr="009644B8">
        <w:rPr>
          <w:vertAlign w:val="superscript"/>
        </w:rPr>
        <w:instrText xml:space="preserve"> NOTEREF _Ref204154090 \h </w:instrText>
      </w:r>
      <w:r w:rsidR="009644B8">
        <w:rPr>
          <w:vertAlign w:val="superscript"/>
        </w:rPr>
        <w:instrText xml:space="preserve"> \* MERGEFORMAT </w:instrText>
      </w:r>
      <w:r w:rsidR="009644B8" w:rsidRPr="009644B8">
        <w:rPr>
          <w:vertAlign w:val="superscript"/>
        </w:rPr>
      </w:r>
      <w:r w:rsidR="009644B8" w:rsidRPr="009644B8">
        <w:rPr>
          <w:vertAlign w:val="superscript"/>
        </w:rPr>
        <w:fldChar w:fldCharType="separate"/>
      </w:r>
      <w:r w:rsidR="009644B8" w:rsidRPr="009644B8">
        <w:rPr>
          <w:vertAlign w:val="superscript"/>
        </w:rPr>
        <w:t>2</w:t>
      </w:r>
      <w:r w:rsidR="009644B8" w:rsidRPr="009644B8">
        <w:rPr>
          <w:vertAlign w:val="superscript"/>
        </w:rPr>
        <w:fldChar w:fldCharType="end"/>
      </w:r>
      <w:r w:rsidR="00433512">
        <w:t xml:space="preserve"> </w:t>
      </w:r>
      <w:r w:rsidR="00F6214F" w:rsidRPr="00A64653">
        <w:t xml:space="preserve">giving birth to an infant with congenital syphilis </w:t>
      </w:r>
      <w:r w:rsidR="00A9042F">
        <w:t>by number of syphilis tests received during their pregnancy</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020"/>
        <w:gridCol w:w="4413"/>
        <w:gridCol w:w="1417"/>
        <w:gridCol w:w="1356"/>
      </w:tblGrid>
      <w:tr w:rsidR="00F6214F" w:rsidRPr="00C14869" w14:paraId="0AC07AD0" w14:textId="77777777" w:rsidTr="00C14869">
        <w:trPr>
          <w:cnfStyle w:val="100000000000" w:firstRow="1" w:lastRow="0" w:firstColumn="0" w:lastColumn="0" w:oddVBand="0" w:evenVBand="0" w:oddHBand="0" w:evenHBand="0" w:firstRowFirstColumn="0" w:firstRowLastColumn="0" w:lastRowFirstColumn="0" w:lastRowLastColumn="0"/>
          <w:tblHeader/>
        </w:trPr>
        <w:tc>
          <w:tcPr>
            <w:tcW w:w="1650" w:type="dxa"/>
            <w:vAlign w:val="top"/>
          </w:tcPr>
          <w:p w14:paraId="04F6FF14" w14:textId="77777777" w:rsidR="00F6214F" w:rsidRPr="00C14869" w:rsidRDefault="00F6214F" w:rsidP="00C14869">
            <w:pPr>
              <w:pStyle w:val="Tabletextleft"/>
              <w:rPr>
                <w:b/>
              </w:rPr>
            </w:pPr>
            <w:r w:rsidRPr="00C14869">
              <w:rPr>
                <w:b/>
              </w:rPr>
              <w:t>Indicator components</w:t>
            </w:r>
          </w:p>
        </w:tc>
        <w:tc>
          <w:tcPr>
            <w:tcW w:w="1020" w:type="dxa"/>
            <w:vAlign w:val="top"/>
          </w:tcPr>
          <w:p w14:paraId="12A45D16" w14:textId="77777777" w:rsidR="00F6214F" w:rsidRPr="00C14869" w:rsidRDefault="00F6214F" w:rsidP="00C14869">
            <w:pPr>
              <w:pStyle w:val="Tabletextleft"/>
              <w:rPr>
                <w:b/>
              </w:rPr>
            </w:pPr>
            <w:r w:rsidRPr="00C14869">
              <w:rPr>
                <w:b/>
              </w:rPr>
              <w:t>Source</w:t>
            </w:r>
          </w:p>
        </w:tc>
        <w:tc>
          <w:tcPr>
            <w:tcW w:w="4413" w:type="dxa"/>
            <w:vAlign w:val="top"/>
          </w:tcPr>
          <w:p w14:paraId="4693DF05" w14:textId="77777777" w:rsidR="00F6214F" w:rsidRPr="00C14869" w:rsidRDefault="00F6214F" w:rsidP="00C14869">
            <w:pPr>
              <w:pStyle w:val="Tabletextleft"/>
              <w:rPr>
                <w:b/>
              </w:rPr>
            </w:pPr>
            <w:r w:rsidRPr="00C14869">
              <w:rPr>
                <w:b/>
              </w:rPr>
              <w:t>Description</w:t>
            </w:r>
          </w:p>
        </w:tc>
        <w:tc>
          <w:tcPr>
            <w:tcW w:w="1417" w:type="dxa"/>
            <w:vAlign w:val="top"/>
          </w:tcPr>
          <w:p w14:paraId="31DFAE57" w14:textId="77777777" w:rsidR="00F6214F" w:rsidRPr="00C14869" w:rsidRDefault="00F6214F" w:rsidP="00C14869">
            <w:pPr>
              <w:pStyle w:val="Tabletextleft"/>
              <w:rPr>
                <w:b/>
              </w:rPr>
            </w:pPr>
            <w:r w:rsidRPr="00C14869">
              <w:rPr>
                <w:b/>
              </w:rPr>
              <w:t>Custodian/</w:t>
            </w:r>
          </w:p>
          <w:p w14:paraId="6D300C2E" w14:textId="77777777" w:rsidR="00F6214F" w:rsidRPr="00C14869" w:rsidRDefault="00F6214F" w:rsidP="00C14869">
            <w:pPr>
              <w:pStyle w:val="Tabletextleft"/>
              <w:rPr>
                <w:b/>
              </w:rPr>
            </w:pPr>
            <w:r w:rsidRPr="00C14869">
              <w:rPr>
                <w:b/>
              </w:rPr>
              <w:t>stakeholder</w:t>
            </w:r>
          </w:p>
        </w:tc>
        <w:tc>
          <w:tcPr>
            <w:tcW w:w="1356" w:type="dxa"/>
            <w:vAlign w:val="top"/>
          </w:tcPr>
          <w:p w14:paraId="675032F9" w14:textId="77777777" w:rsidR="00F6214F" w:rsidRPr="00C14869" w:rsidRDefault="00F6214F" w:rsidP="00C14869">
            <w:pPr>
              <w:pStyle w:val="Tabletextleft"/>
              <w:rPr>
                <w:b/>
              </w:rPr>
            </w:pPr>
            <w:r w:rsidRPr="00C14869">
              <w:rPr>
                <w:b/>
              </w:rPr>
              <w:t>Availability of data for reporting</w:t>
            </w:r>
          </w:p>
        </w:tc>
      </w:tr>
      <w:tr w:rsidR="00F6214F" w:rsidRPr="00C14869" w14:paraId="0F27745A" w14:textId="77777777" w:rsidTr="00C14869">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153436D0" w14:textId="77777777" w:rsidR="00F6214F" w:rsidRPr="00C14869" w:rsidRDefault="00F6214F" w:rsidP="00C14869">
            <w:pPr>
              <w:pStyle w:val="Tabletextleft"/>
              <w:rPr>
                <w:b/>
              </w:rPr>
            </w:pPr>
            <w:r w:rsidRPr="00C14869">
              <w:rPr>
                <w:b/>
              </w:rPr>
              <w:t>Indigenous</w:t>
            </w:r>
          </w:p>
        </w:tc>
      </w:tr>
      <w:tr w:rsidR="00F6214F" w:rsidRPr="00DC3CB8" w14:paraId="685D9C95" w14:textId="77777777" w:rsidTr="00DC3CB8">
        <w:tc>
          <w:tcPr>
            <w:tcW w:w="1650" w:type="dxa"/>
            <w:vAlign w:val="top"/>
          </w:tcPr>
          <w:p w14:paraId="77A7494E" w14:textId="143E14A4" w:rsidR="00F6214F" w:rsidRPr="00C14869" w:rsidRDefault="00433512" w:rsidP="00C14869">
            <w:pPr>
              <w:pStyle w:val="Tabletextleft"/>
              <w:rPr>
                <w:b/>
              </w:rPr>
            </w:pPr>
            <w:r w:rsidRPr="00C14869">
              <w:rPr>
                <w:b/>
              </w:rPr>
              <w:t>Single measure</w:t>
            </w:r>
          </w:p>
        </w:tc>
        <w:tc>
          <w:tcPr>
            <w:tcW w:w="1020" w:type="dxa"/>
            <w:vAlign w:val="top"/>
          </w:tcPr>
          <w:p w14:paraId="67B42068" w14:textId="77777777" w:rsidR="00F6214F" w:rsidRPr="00DC3CB8" w:rsidRDefault="00F6214F" w:rsidP="00007134">
            <w:pPr>
              <w:pStyle w:val="Tabletextleft"/>
            </w:pPr>
            <w:r w:rsidRPr="00DC3CB8">
              <w:t>NNDSS</w:t>
            </w:r>
          </w:p>
        </w:tc>
        <w:tc>
          <w:tcPr>
            <w:tcW w:w="4413" w:type="dxa"/>
            <w:vAlign w:val="top"/>
          </w:tcPr>
          <w:p w14:paraId="044C255A" w14:textId="57EA73AD" w:rsidR="00F6214F" w:rsidRPr="00DC3CB8" w:rsidRDefault="00F6214F" w:rsidP="00007134">
            <w:pPr>
              <w:pStyle w:val="Tabletextleft"/>
            </w:pPr>
            <w:r w:rsidRPr="00DC3CB8">
              <w:t xml:space="preserve">Number of infectious syphilis notifications in </w:t>
            </w:r>
            <w:r w:rsidR="00A9042F" w:rsidRPr="00DC3CB8">
              <w:t xml:space="preserve">Indigenous </w:t>
            </w:r>
            <w:r w:rsidR="00433512" w:rsidRPr="00DC3CB8">
              <w:t xml:space="preserve">women </w:t>
            </w:r>
            <w:r w:rsidRPr="00DC3CB8">
              <w:t xml:space="preserve">giving birth to an infant with congenital syphilis </w:t>
            </w:r>
            <w:r w:rsidR="00A348CC" w:rsidRPr="00DC3CB8">
              <w:t>reported to the NNDSS by number of syphilis tests</w:t>
            </w:r>
          </w:p>
        </w:tc>
        <w:tc>
          <w:tcPr>
            <w:tcW w:w="1417" w:type="dxa"/>
            <w:vAlign w:val="top"/>
          </w:tcPr>
          <w:p w14:paraId="7841B2ED" w14:textId="77777777" w:rsidR="00F6214F" w:rsidRPr="00DC3CB8" w:rsidRDefault="00F6214F" w:rsidP="00007134">
            <w:pPr>
              <w:pStyle w:val="Tabletextleft"/>
            </w:pPr>
            <w:r w:rsidRPr="00DC3CB8">
              <w:t>Australian Centre for Disease Control</w:t>
            </w:r>
          </w:p>
        </w:tc>
        <w:tc>
          <w:tcPr>
            <w:tcW w:w="1356" w:type="dxa"/>
            <w:vAlign w:val="top"/>
          </w:tcPr>
          <w:p w14:paraId="0B7A2802" w14:textId="3E86AB66" w:rsidR="00F6214F" w:rsidRPr="00DC3CB8" w:rsidRDefault="00A348CC" w:rsidP="00007134">
            <w:pPr>
              <w:pStyle w:val="Tabletextleft"/>
            </w:pPr>
            <w:r w:rsidRPr="00DC3CB8">
              <w:t>Quarterly</w:t>
            </w:r>
          </w:p>
        </w:tc>
      </w:tr>
      <w:tr w:rsidR="00F6214F" w:rsidRPr="00C14869" w14:paraId="0803EE70" w14:textId="77777777" w:rsidTr="00C14869">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754C37C1" w14:textId="77777777" w:rsidR="00F6214F" w:rsidRPr="00C14869" w:rsidRDefault="00F6214F" w:rsidP="00C14869">
            <w:pPr>
              <w:pStyle w:val="Tabletextleft"/>
              <w:rPr>
                <w:b/>
              </w:rPr>
            </w:pPr>
            <w:r w:rsidRPr="00C14869">
              <w:rPr>
                <w:b/>
              </w:rPr>
              <w:t>Non-Indigenous</w:t>
            </w:r>
          </w:p>
        </w:tc>
      </w:tr>
      <w:tr w:rsidR="00F6214F" w:rsidRPr="00DC3CB8" w14:paraId="16BB43A5" w14:textId="77777777" w:rsidTr="00DC3CB8">
        <w:tc>
          <w:tcPr>
            <w:tcW w:w="1650" w:type="dxa"/>
            <w:vAlign w:val="top"/>
          </w:tcPr>
          <w:p w14:paraId="19DEF3F7" w14:textId="4BE3ED9A" w:rsidR="00F6214F" w:rsidRPr="00C14869" w:rsidRDefault="00433512" w:rsidP="00C14869">
            <w:pPr>
              <w:pStyle w:val="Tabletextleft"/>
              <w:rPr>
                <w:b/>
              </w:rPr>
            </w:pPr>
            <w:r w:rsidRPr="00C14869">
              <w:rPr>
                <w:b/>
              </w:rPr>
              <w:t>Single measure</w:t>
            </w:r>
          </w:p>
        </w:tc>
        <w:tc>
          <w:tcPr>
            <w:tcW w:w="1020" w:type="dxa"/>
            <w:vAlign w:val="top"/>
          </w:tcPr>
          <w:p w14:paraId="194203D4" w14:textId="15A80A57" w:rsidR="00F6214F" w:rsidRPr="00DC3CB8" w:rsidRDefault="00F6214F" w:rsidP="00007134">
            <w:pPr>
              <w:pStyle w:val="Tabletextleft"/>
            </w:pPr>
            <w:r w:rsidRPr="00DC3CB8">
              <w:t>NNDSS</w:t>
            </w:r>
          </w:p>
        </w:tc>
        <w:tc>
          <w:tcPr>
            <w:tcW w:w="4413" w:type="dxa"/>
            <w:vAlign w:val="top"/>
          </w:tcPr>
          <w:p w14:paraId="14999F3B" w14:textId="659AAA78" w:rsidR="00F6214F" w:rsidRPr="00DC3CB8" w:rsidRDefault="00101517" w:rsidP="00007134">
            <w:pPr>
              <w:pStyle w:val="Tabletextleft"/>
            </w:pPr>
            <w:r w:rsidRPr="00DC3CB8">
              <w:t xml:space="preserve">Number of infectious syphilis notifications in non-Indigenous </w:t>
            </w:r>
            <w:r w:rsidR="00433512" w:rsidRPr="00DC3CB8">
              <w:t xml:space="preserve">women </w:t>
            </w:r>
            <w:r w:rsidRPr="00DC3CB8">
              <w:t>giving birth to an infant with congenital syphilis reported to the NNDSS by number of syphilis tests</w:t>
            </w:r>
          </w:p>
        </w:tc>
        <w:tc>
          <w:tcPr>
            <w:tcW w:w="1417" w:type="dxa"/>
            <w:vAlign w:val="top"/>
          </w:tcPr>
          <w:p w14:paraId="647E4B49" w14:textId="77777777" w:rsidR="00F6214F" w:rsidRPr="00DC3CB8" w:rsidRDefault="00F6214F" w:rsidP="00007134">
            <w:pPr>
              <w:pStyle w:val="Tabletextleft"/>
            </w:pPr>
            <w:r w:rsidRPr="00DC3CB8">
              <w:t>Australian Centre for Disease Control</w:t>
            </w:r>
          </w:p>
        </w:tc>
        <w:tc>
          <w:tcPr>
            <w:tcW w:w="1356" w:type="dxa"/>
            <w:vAlign w:val="top"/>
          </w:tcPr>
          <w:p w14:paraId="5C1B19D7" w14:textId="5C7BACE0" w:rsidR="00F6214F" w:rsidRPr="00DC3CB8" w:rsidRDefault="00A348CC" w:rsidP="00007134">
            <w:pPr>
              <w:pStyle w:val="Tabletextleft"/>
            </w:pPr>
            <w:r w:rsidRPr="00DC3CB8">
              <w:t>Quarterly</w:t>
            </w:r>
          </w:p>
        </w:tc>
      </w:tr>
    </w:tbl>
    <w:p w14:paraId="0EED21C3" w14:textId="0D12F9EC" w:rsidR="00D00FD5" w:rsidRPr="00A64653" w:rsidRDefault="005E01DA" w:rsidP="00C14869">
      <w:pPr>
        <w:pStyle w:val="Tableheadings"/>
      </w:pPr>
      <w:r>
        <w:t>4.</w:t>
      </w:r>
      <w:r w:rsidR="009644B8">
        <w:t>8</w:t>
      </w:r>
      <w:r>
        <w:t xml:space="preserve"> </w:t>
      </w:r>
      <w:r w:rsidR="00D00FD5">
        <w:t>Number of</w:t>
      </w:r>
      <w:r w:rsidR="00D00FD5" w:rsidRPr="00A64653">
        <w:t xml:space="preserve"> </w:t>
      </w:r>
      <w:r w:rsidR="00433512">
        <w:t>women</w:t>
      </w:r>
      <w:r w:rsidR="009644B8" w:rsidRPr="009644B8">
        <w:rPr>
          <w:vertAlign w:val="superscript"/>
        </w:rPr>
        <w:fldChar w:fldCharType="begin"/>
      </w:r>
      <w:r w:rsidR="009644B8" w:rsidRPr="009644B8">
        <w:rPr>
          <w:vertAlign w:val="superscript"/>
        </w:rPr>
        <w:instrText xml:space="preserve"> NOTEREF _Ref204154090 \h </w:instrText>
      </w:r>
      <w:r w:rsidR="009644B8">
        <w:rPr>
          <w:vertAlign w:val="superscript"/>
        </w:rPr>
        <w:instrText xml:space="preserve"> \* MERGEFORMAT </w:instrText>
      </w:r>
      <w:r w:rsidR="009644B8" w:rsidRPr="009644B8">
        <w:rPr>
          <w:vertAlign w:val="superscript"/>
        </w:rPr>
      </w:r>
      <w:r w:rsidR="009644B8" w:rsidRPr="009644B8">
        <w:rPr>
          <w:vertAlign w:val="superscript"/>
        </w:rPr>
        <w:fldChar w:fldCharType="separate"/>
      </w:r>
      <w:r w:rsidR="009644B8" w:rsidRPr="009644B8">
        <w:rPr>
          <w:vertAlign w:val="superscript"/>
        </w:rPr>
        <w:t>2</w:t>
      </w:r>
      <w:r w:rsidR="009644B8" w:rsidRPr="009644B8">
        <w:rPr>
          <w:vertAlign w:val="superscript"/>
        </w:rPr>
        <w:fldChar w:fldCharType="end"/>
      </w:r>
      <w:r w:rsidR="00D00FD5" w:rsidRPr="00A64653">
        <w:t xml:space="preserve"> giving birth to an infant with congenital syphilis </w:t>
      </w:r>
      <w:r w:rsidR="00D00FD5">
        <w:t>reinfected during their pregnancy</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110"/>
        <w:gridCol w:w="4200"/>
        <w:gridCol w:w="1560"/>
        <w:gridCol w:w="1411"/>
      </w:tblGrid>
      <w:tr w:rsidR="005B0D0D" w:rsidRPr="002B43CA" w14:paraId="12FCCDA4" w14:textId="77777777" w:rsidTr="002B43CA">
        <w:trPr>
          <w:cnfStyle w:val="100000000000" w:firstRow="1" w:lastRow="0" w:firstColumn="0" w:lastColumn="0" w:oddVBand="0" w:evenVBand="0" w:oddHBand="0" w:evenHBand="0" w:firstRowFirstColumn="0" w:firstRowLastColumn="0" w:lastRowFirstColumn="0" w:lastRowLastColumn="0"/>
          <w:tblHeader/>
        </w:trPr>
        <w:tc>
          <w:tcPr>
            <w:tcW w:w="1575" w:type="dxa"/>
            <w:vAlign w:val="top"/>
          </w:tcPr>
          <w:p w14:paraId="3A34FEE5" w14:textId="77777777" w:rsidR="00D00FD5" w:rsidRPr="002B43CA" w:rsidRDefault="00D00FD5" w:rsidP="002B43CA">
            <w:pPr>
              <w:pStyle w:val="Tabletextleft"/>
              <w:rPr>
                <w:b/>
              </w:rPr>
            </w:pPr>
            <w:r w:rsidRPr="002B43CA">
              <w:rPr>
                <w:b/>
              </w:rPr>
              <w:t>Indicator components</w:t>
            </w:r>
          </w:p>
        </w:tc>
        <w:tc>
          <w:tcPr>
            <w:tcW w:w="1110" w:type="dxa"/>
            <w:vAlign w:val="top"/>
          </w:tcPr>
          <w:p w14:paraId="1E2374DB" w14:textId="77777777" w:rsidR="00D00FD5" w:rsidRPr="002B43CA" w:rsidRDefault="00D00FD5" w:rsidP="002B43CA">
            <w:pPr>
              <w:pStyle w:val="Tabletextleft"/>
              <w:rPr>
                <w:b/>
              </w:rPr>
            </w:pPr>
            <w:r w:rsidRPr="002B43CA">
              <w:rPr>
                <w:b/>
              </w:rPr>
              <w:t>Source</w:t>
            </w:r>
          </w:p>
        </w:tc>
        <w:tc>
          <w:tcPr>
            <w:tcW w:w="4200" w:type="dxa"/>
            <w:vAlign w:val="top"/>
          </w:tcPr>
          <w:p w14:paraId="5146AAFB" w14:textId="77777777" w:rsidR="00D00FD5" w:rsidRPr="002B43CA" w:rsidRDefault="00D00FD5" w:rsidP="002B43CA">
            <w:pPr>
              <w:pStyle w:val="Tabletextleft"/>
              <w:rPr>
                <w:b/>
              </w:rPr>
            </w:pPr>
            <w:r w:rsidRPr="002B43CA">
              <w:rPr>
                <w:b/>
              </w:rPr>
              <w:t>Description</w:t>
            </w:r>
          </w:p>
        </w:tc>
        <w:tc>
          <w:tcPr>
            <w:tcW w:w="1560" w:type="dxa"/>
            <w:vAlign w:val="top"/>
          </w:tcPr>
          <w:p w14:paraId="1F1A4C95" w14:textId="77777777" w:rsidR="00D00FD5" w:rsidRPr="002B43CA" w:rsidRDefault="00D00FD5" w:rsidP="002B43CA">
            <w:pPr>
              <w:pStyle w:val="Tabletextleft"/>
              <w:rPr>
                <w:b/>
              </w:rPr>
            </w:pPr>
            <w:r w:rsidRPr="002B43CA">
              <w:rPr>
                <w:b/>
              </w:rPr>
              <w:t>Custodian/</w:t>
            </w:r>
          </w:p>
          <w:p w14:paraId="4EF8AB19" w14:textId="77777777" w:rsidR="00D00FD5" w:rsidRPr="002B43CA" w:rsidRDefault="00D00FD5" w:rsidP="002B43CA">
            <w:pPr>
              <w:pStyle w:val="Tabletextleft"/>
              <w:rPr>
                <w:b/>
              </w:rPr>
            </w:pPr>
            <w:r w:rsidRPr="002B43CA">
              <w:rPr>
                <w:b/>
              </w:rPr>
              <w:t>stakeholder</w:t>
            </w:r>
          </w:p>
        </w:tc>
        <w:tc>
          <w:tcPr>
            <w:tcW w:w="1411" w:type="dxa"/>
            <w:vAlign w:val="top"/>
          </w:tcPr>
          <w:p w14:paraId="34C8B60D" w14:textId="77777777" w:rsidR="00D00FD5" w:rsidRPr="002B43CA" w:rsidRDefault="00D00FD5" w:rsidP="002B43CA">
            <w:pPr>
              <w:pStyle w:val="Tabletextleft"/>
              <w:rPr>
                <w:b/>
              </w:rPr>
            </w:pPr>
            <w:r w:rsidRPr="002B43CA">
              <w:rPr>
                <w:b/>
              </w:rPr>
              <w:t>Availability of data for reporting</w:t>
            </w:r>
          </w:p>
        </w:tc>
      </w:tr>
      <w:tr w:rsidR="00D00FD5" w:rsidRPr="002B43CA" w14:paraId="02D95E25" w14:textId="77777777" w:rsidTr="002B43CA">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0769D9E8" w14:textId="77777777" w:rsidR="00D00FD5" w:rsidRPr="002B43CA" w:rsidRDefault="00D00FD5" w:rsidP="002B43CA">
            <w:pPr>
              <w:pStyle w:val="Tabletextleft"/>
              <w:rPr>
                <w:b/>
              </w:rPr>
            </w:pPr>
            <w:r w:rsidRPr="002B43CA">
              <w:rPr>
                <w:b/>
              </w:rPr>
              <w:t>Indigenous</w:t>
            </w:r>
          </w:p>
        </w:tc>
      </w:tr>
      <w:tr w:rsidR="00D00FD5" w:rsidRPr="002B43CA" w14:paraId="67CBEEAA" w14:textId="77777777" w:rsidTr="003279BE">
        <w:tc>
          <w:tcPr>
            <w:tcW w:w="1575" w:type="dxa"/>
            <w:vAlign w:val="top"/>
          </w:tcPr>
          <w:p w14:paraId="67FD6225" w14:textId="77777777" w:rsidR="00D00FD5" w:rsidRPr="002B43CA" w:rsidRDefault="00D00FD5" w:rsidP="002B43CA">
            <w:pPr>
              <w:pStyle w:val="Tabletextleft"/>
              <w:rPr>
                <w:b/>
              </w:rPr>
            </w:pPr>
            <w:r w:rsidRPr="002B43CA">
              <w:rPr>
                <w:b/>
              </w:rPr>
              <w:t>Numerator</w:t>
            </w:r>
          </w:p>
        </w:tc>
        <w:tc>
          <w:tcPr>
            <w:tcW w:w="1110" w:type="dxa"/>
            <w:vAlign w:val="top"/>
          </w:tcPr>
          <w:p w14:paraId="7EAB01D4" w14:textId="77777777" w:rsidR="00D00FD5" w:rsidRPr="002B43CA" w:rsidRDefault="00D00FD5" w:rsidP="002B43CA">
            <w:pPr>
              <w:pStyle w:val="Tabletextleft"/>
            </w:pPr>
            <w:r w:rsidRPr="002B43CA">
              <w:t>NNDSS</w:t>
            </w:r>
          </w:p>
        </w:tc>
        <w:tc>
          <w:tcPr>
            <w:tcW w:w="4200" w:type="dxa"/>
            <w:vAlign w:val="top"/>
          </w:tcPr>
          <w:p w14:paraId="01721170" w14:textId="79E7C291" w:rsidR="00D00FD5" w:rsidRPr="002B43CA" w:rsidRDefault="00D00FD5" w:rsidP="002B43CA">
            <w:pPr>
              <w:pStyle w:val="Tabletextleft"/>
            </w:pPr>
            <w:r w:rsidRPr="002B43CA">
              <w:t xml:space="preserve">Number of infectious syphilis notifications in Indigenous </w:t>
            </w:r>
            <w:r w:rsidR="00433512" w:rsidRPr="002B43CA">
              <w:t>women</w:t>
            </w:r>
            <w:r w:rsidR="009644B8" w:rsidRPr="002B43CA">
              <w:t xml:space="preserve"> </w:t>
            </w:r>
            <w:r w:rsidRPr="002B43CA">
              <w:t xml:space="preserve">giving birth to an infant with congenital syphilis reported to the NNDSS </w:t>
            </w:r>
            <w:r w:rsidR="000E2EE6" w:rsidRPr="002B43CA">
              <w:t>reinfected during their pregnancy</w:t>
            </w:r>
          </w:p>
        </w:tc>
        <w:tc>
          <w:tcPr>
            <w:tcW w:w="1560" w:type="dxa"/>
            <w:vAlign w:val="top"/>
          </w:tcPr>
          <w:p w14:paraId="1013AD10" w14:textId="77777777" w:rsidR="00D00FD5" w:rsidRPr="002B43CA" w:rsidRDefault="00D00FD5" w:rsidP="002B43CA">
            <w:pPr>
              <w:pStyle w:val="Tabletextleft"/>
            </w:pPr>
            <w:r w:rsidRPr="002B43CA">
              <w:t>Australian Centre for Disease Control</w:t>
            </w:r>
          </w:p>
        </w:tc>
        <w:tc>
          <w:tcPr>
            <w:tcW w:w="1411" w:type="dxa"/>
            <w:vAlign w:val="top"/>
          </w:tcPr>
          <w:p w14:paraId="5DE2FB34" w14:textId="77777777" w:rsidR="00D00FD5" w:rsidRPr="002B43CA" w:rsidRDefault="00D00FD5" w:rsidP="002B43CA">
            <w:pPr>
              <w:pStyle w:val="Tabletextleft"/>
            </w:pPr>
            <w:r w:rsidRPr="002B43CA">
              <w:t>Quarterly</w:t>
            </w:r>
          </w:p>
        </w:tc>
      </w:tr>
      <w:tr w:rsidR="00D00FD5" w:rsidRPr="002B43CA" w14:paraId="4B96FD54" w14:textId="77777777" w:rsidTr="002B43CA">
        <w:trPr>
          <w:cnfStyle w:val="000000100000" w:firstRow="0" w:lastRow="0" w:firstColumn="0" w:lastColumn="0" w:oddVBand="0" w:evenVBand="0" w:oddHBand="1" w:evenHBand="0" w:firstRowFirstColumn="0" w:firstRowLastColumn="0" w:lastRowFirstColumn="0" w:lastRowLastColumn="0"/>
        </w:trPr>
        <w:tc>
          <w:tcPr>
            <w:tcW w:w="9856"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158FE027" w14:textId="77777777" w:rsidR="00D00FD5" w:rsidRPr="002B43CA" w:rsidRDefault="00D00FD5" w:rsidP="002B43CA">
            <w:pPr>
              <w:pStyle w:val="Tabletextleft"/>
              <w:rPr>
                <w:b/>
              </w:rPr>
            </w:pPr>
            <w:r w:rsidRPr="002B43CA">
              <w:rPr>
                <w:b/>
              </w:rPr>
              <w:t>Non-Indigenous</w:t>
            </w:r>
          </w:p>
        </w:tc>
      </w:tr>
      <w:tr w:rsidR="005B0D0D" w:rsidRPr="002B43CA" w14:paraId="102C9004" w14:textId="77777777" w:rsidTr="003279BE">
        <w:tc>
          <w:tcPr>
            <w:tcW w:w="1575" w:type="dxa"/>
            <w:vAlign w:val="top"/>
          </w:tcPr>
          <w:p w14:paraId="7A814C17" w14:textId="77777777" w:rsidR="00D00FD5" w:rsidRPr="002B43CA" w:rsidRDefault="00D00FD5" w:rsidP="002B43CA">
            <w:pPr>
              <w:pStyle w:val="Tabletextleft"/>
              <w:rPr>
                <w:b/>
              </w:rPr>
            </w:pPr>
            <w:r w:rsidRPr="002B43CA">
              <w:rPr>
                <w:b/>
              </w:rPr>
              <w:t>Numerator</w:t>
            </w:r>
          </w:p>
        </w:tc>
        <w:tc>
          <w:tcPr>
            <w:tcW w:w="1110" w:type="dxa"/>
            <w:vAlign w:val="top"/>
          </w:tcPr>
          <w:p w14:paraId="4D51009F" w14:textId="77777777" w:rsidR="00D00FD5" w:rsidRPr="002B43CA" w:rsidRDefault="00D00FD5" w:rsidP="002B43CA">
            <w:pPr>
              <w:pStyle w:val="Tabletextleft"/>
            </w:pPr>
            <w:r w:rsidRPr="002B43CA">
              <w:t>NNDSS</w:t>
            </w:r>
          </w:p>
        </w:tc>
        <w:tc>
          <w:tcPr>
            <w:tcW w:w="4200" w:type="dxa"/>
            <w:vAlign w:val="top"/>
          </w:tcPr>
          <w:p w14:paraId="3791ADC0" w14:textId="70452751" w:rsidR="00D00FD5" w:rsidRPr="002B43CA" w:rsidRDefault="000E2EE6" w:rsidP="002B43CA">
            <w:pPr>
              <w:pStyle w:val="Tabletextleft"/>
            </w:pPr>
            <w:r w:rsidRPr="002B43CA">
              <w:t xml:space="preserve">Number of infectious syphilis notifications in non-Indigenous </w:t>
            </w:r>
            <w:r w:rsidR="00433512" w:rsidRPr="002B43CA">
              <w:t xml:space="preserve">women </w:t>
            </w:r>
            <w:r w:rsidRPr="002B43CA">
              <w:t>giving birth to an infant with congenital syphilis reported to the NNDSS reinfected during their pregnancy</w:t>
            </w:r>
          </w:p>
        </w:tc>
        <w:tc>
          <w:tcPr>
            <w:tcW w:w="1560" w:type="dxa"/>
            <w:vAlign w:val="top"/>
          </w:tcPr>
          <w:p w14:paraId="6AC37E5B" w14:textId="77777777" w:rsidR="00D00FD5" w:rsidRPr="002B43CA" w:rsidRDefault="00D00FD5" w:rsidP="002B43CA">
            <w:pPr>
              <w:pStyle w:val="Tabletextleft"/>
            </w:pPr>
            <w:r w:rsidRPr="002B43CA">
              <w:t>Australian Centre for Disease Control</w:t>
            </w:r>
          </w:p>
        </w:tc>
        <w:tc>
          <w:tcPr>
            <w:tcW w:w="1411" w:type="dxa"/>
            <w:vAlign w:val="top"/>
          </w:tcPr>
          <w:p w14:paraId="68D36091" w14:textId="77777777" w:rsidR="00D00FD5" w:rsidRPr="002B43CA" w:rsidRDefault="00D00FD5" w:rsidP="002B43CA">
            <w:pPr>
              <w:pStyle w:val="Tabletextleft"/>
            </w:pPr>
            <w:r w:rsidRPr="002B43CA">
              <w:t>Quarterly</w:t>
            </w:r>
          </w:p>
        </w:tc>
      </w:tr>
    </w:tbl>
    <w:p w14:paraId="407EBB3A" w14:textId="77777777" w:rsidR="00832AF9" w:rsidRPr="002B43CA" w:rsidRDefault="00832AF9" w:rsidP="002B43CA">
      <w:r w:rsidRPr="002B43CA">
        <w:br w:type="page"/>
      </w:r>
    </w:p>
    <w:p w14:paraId="1F0F00C3" w14:textId="7F51457B" w:rsidR="001C6DCB" w:rsidRPr="007667F5" w:rsidRDefault="005E01DA" w:rsidP="002B43CA">
      <w:pPr>
        <w:pStyle w:val="Tableheadings"/>
      </w:pPr>
      <w:r>
        <w:lastRenderedPageBreak/>
        <w:t>4.</w:t>
      </w:r>
      <w:r w:rsidR="009644B8">
        <w:t>9</w:t>
      </w:r>
      <w:r>
        <w:t xml:space="preserve"> </w:t>
      </w:r>
      <w:r w:rsidR="001C6DCB" w:rsidRPr="007667F5">
        <w:t xml:space="preserve">Number of </w:t>
      </w:r>
      <w:r w:rsidR="001C6DCB">
        <w:t>women of reproductive age</w:t>
      </w:r>
      <w:r w:rsidR="009644B8" w:rsidRPr="009644B8">
        <w:rPr>
          <w:vertAlign w:val="superscript"/>
        </w:rPr>
        <w:fldChar w:fldCharType="begin"/>
      </w:r>
      <w:r w:rsidR="009644B8" w:rsidRPr="009644B8">
        <w:rPr>
          <w:vertAlign w:val="superscript"/>
        </w:rPr>
        <w:instrText xml:space="preserve"> NOTEREF _Ref204155168 \h </w:instrText>
      </w:r>
      <w:r w:rsidR="009644B8">
        <w:rPr>
          <w:vertAlign w:val="superscript"/>
        </w:rPr>
        <w:instrText xml:space="preserve"> \* MERGEFORMAT </w:instrText>
      </w:r>
      <w:r w:rsidR="009644B8" w:rsidRPr="009644B8">
        <w:rPr>
          <w:vertAlign w:val="superscript"/>
        </w:rPr>
      </w:r>
      <w:r w:rsidR="009644B8" w:rsidRPr="009644B8">
        <w:rPr>
          <w:vertAlign w:val="superscript"/>
        </w:rPr>
        <w:fldChar w:fldCharType="separate"/>
      </w:r>
      <w:r w:rsidR="009644B8" w:rsidRPr="009644B8">
        <w:rPr>
          <w:vertAlign w:val="superscript"/>
        </w:rPr>
        <w:t>11</w:t>
      </w:r>
      <w:r w:rsidR="009644B8" w:rsidRPr="009644B8">
        <w:rPr>
          <w:vertAlign w:val="superscript"/>
        </w:rPr>
        <w:fldChar w:fldCharType="end"/>
      </w:r>
      <w:r w:rsidR="001C6DCB">
        <w:t xml:space="preserve"> </w:t>
      </w:r>
      <w:r w:rsidR="00AC3F85">
        <w:t xml:space="preserve">(15-44 years) </w:t>
      </w:r>
      <w:r w:rsidR="001C6DCB">
        <w:t>hospitalis</w:t>
      </w:r>
      <w:r w:rsidR="00AC3F85">
        <w:t>ed</w:t>
      </w:r>
      <w:r w:rsidR="001C6DCB">
        <w:t xml:space="preserve"> with a principal diagnosis of syphilis</w:t>
      </w:r>
      <w:r w:rsidR="001C6DCB" w:rsidRPr="007667F5">
        <w:t xml:space="preserve"> (ICD</w:t>
      </w:r>
      <w:r w:rsidR="001C6DCB">
        <w:t>-10</w:t>
      </w:r>
      <w:r w:rsidR="001C6DCB" w:rsidRPr="007667F5">
        <w:t xml:space="preserve"> coded)</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140"/>
        <w:gridCol w:w="4110"/>
        <w:gridCol w:w="1590"/>
        <w:gridCol w:w="1441"/>
      </w:tblGrid>
      <w:tr w:rsidR="001C6DCB" w:rsidRPr="00F70E49" w14:paraId="24B77481" w14:textId="77777777" w:rsidTr="002B43CA">
        <w:trPr>
          <w:cnfStyle w:val="100000000000" w:firstRow="1" w:lastRow="0" w:firstColumn="0" w:lastColumn="0" w:oddVBand="0" w:evenVBand="0" w:oddHBand="0" w:evenHBand="0" w:firstRowFirstColumn="0" w:firstRowLastColumn="0" w:lastRowFirstColumn="0" w:lastRowLastColumn="0"/>
        </w:trPr>
        <w:tc>
          <w:tcPr>
            <w:tcW w:w="1575" w:type="dxa"/>
            <w:vAlign w:val="top"/>
          </w:tcPr>
          <w:p w14:paraId="1D9CFCBA" w14:textId="77777777" w:rsidR="001C6DCB" w:rsidRPr="00F70E49" w:rsidRDefault="001C6DCB" w:rsidP="00F70E49">
            <w:pPr>
              <w:pStyle w:val="Tabletextleft"/>
              <w:rPr>
                <w:b/>
              </w:rPr>
            </w:pPr>
            <w:r w:rsidRPr="00F70E49">
              <w:rPr>
                <w:b/>
              </w:rPr>
              <w:t>Indicator components</w:t>
            </w:r>
          </w:p>
        </w:tc>
        <w:tc>
          <w:tcPr>
            <w:tcW w:w="1140" w:type="dxa"/>
            <w:vAlign w:val="top"/>
          </w:tcPr>
          <w:p w14:paraId="2A9834C7" w14:textId="77777777" w:rsidR="001C6DCB" w:rsidRPr="00F70E49" w:rsidRDefault="001C6DCB" w:rsidP="00F70E49">
            <w:pPr>
              <w:pStyle w:val="Tabletextleft"/>
              <w:rPr>
                <w:b/>
              </w:rPr>
            </w:pPr>
            <w:r w:rsidRPr="00F70E49">
              <w:rPr>
                <w:b/>
              </w:rPr>
              <w:t>Source</w:t>
            </w:r>
          </w:p>
        </w:tc>
        <w:tc>
          <w:tcPr>
            <w:tcW w:w="4110" w:type="dxa"/>
            <w:vAlign w:val="top"/>
          </w:tcPr>
          <w:p w14:paraId="2C2D7B87" w14:textId="77777777" w:rsidR="001C6DCB" w:rsidRPr="00F70E49" w:rsidRDefault="001C6DCB" w:rsidP="00F70E49">
            <w:pPr>
              <w:pStyle w:val="Tabletextleft"/>
              <w:rPr>
                <w:b/>
              </w:rPr>
            </w:pPr>
            <w:r w:rsidRPr="00F70E49">
              <w:rPr>
                <w:b/>
              </w:rPr>
              <w:t>Description</w:t>
            </w:r>
          </w:p>
        </w:tc>
        <w:tc>
          <w:tcPr>
            <w:tcW w:w="1590" w:type="dxa"/>
            <w:vAlign w:val="top"/>
          </w:tcPr>
          <w:p w14:paraId="67E8BD96" w14:textId="77777777" w:rsidR="001C6DCB" w:rsidRPr="00F70E49" w:rsidRDefault="001C6DCB" w:rsidP="00F70E49">
            <w:pPr>
              <w:pStyle w:val="Tabletextleft"/>
              <w:rPr>
                <w:b/>
              </w:rPr>
            </w:pPr>
            <w:r w:rsidRPr="00F70E49">
              <w:rPr>
                <w:b/>
              </w:rPr>
              <w:t>Custodian/ stakeholder</w:t>
            </w:r>
          </w:p>
        </w:tc>
        <w:tc>
          <w:tcPr>
            <w:tcW w:w="1441" w:type="dxa"/>
            <w:vAlign w:val="top"/>
          </w:tcPr>
          <w:p w14:paraId="66BE11A2" w14:textId="77777777" w:rsidR="001C6DCB" w:rsidRPr="00F70E49" w:rsidRDefault="001C6DCB" w:rsidP="00F70E49">
            <w:pPr>
              <w:pStyle w:val="Tabletextleft"/>
              <w:rPr>
                <w:b/>
              </w:rPr>
            </w:pPr>
            <w:r w:rsidRPr="00F70E49">
              <w:rPr>
                <w:b/>
              </w:rPr>
              <w:t>Availability of data for reporting</w:t>
            </w:r>
          </w:p>
        </w:tc>
      </w:tr>
      <w:tr w:rsidR="001C6DCB" w:rsidRPr="002B43CA" w14:paraId="25CB3E8B" w14:textId="77777777" w:rsidTr="002B43CA">
        <w:trPr>
          <w:cnfStyle w:val="000000100000" w:firstRow="0" w:lastRow="0" w:firstColumn="0" w:lastColumn="0" w:oddVBand="0" w:evenVBand="0" w:oddHBand="1" w:evenHBand="0" w:firstRowFirstColumn="0" w:firstRowLastColumn="0" w:lastRowFirstColumn="0" w:lastRowLastColumn="0"/>
        </w:trPr>
        <w:tc>
          <w:tcPr>
            <w:tcW w:w="157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CFD4DFC" w14:textId="77777777" w:rsidR="001C6DCB" w:rsidRPr="00F70E49" w:rsidRDefault="001C6DCB" w:rsidP="00F70E49">
            <w:pPr>
              <w:pStyle w:val="Tabletextleft"/>
              <w:rPr>
                <w:b/>
              </w:rPr>
            </w:pPr>
            <w:r w:rsidRPr="00F70E49">
              <w:rPr>
                <w:b/>
              </w:rPr>
              <w:t>Single measure</w:t>
            </w:r>
          </w:p>
        </w:tc>
        <w:tc>
          <w:tcPr>
            <w:tcW w:w="114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CA57D37" w14:textId="77777777" w:rsidR="001C6DCB" w:rsidRPr="002B43CA" w:rsidRDefault="001C6DCB" w:rsidP="00F70E49">
            <w:pPr>
              <w:pStyle w:val="Tabletextleft"/>
            </w:pPr>
            <w:r w:rsidRPr="002B43CA">
              <w:t>National Hospital Morbidity Database</w:t>
            </w:r>
          </w:p>
        </w:tc>
        <w:tc>
          <w:tcPr>
            <w:tcW w:w="411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3C15117" w14:textId="76841564" w:rsidR="001C6DCB" w:rsidRPr="002B43CA" w:rsidRDefault="001C6DCB" w:rsidP="00F70E49">
            <w:pPr>
              <w:pStyle w:val="Tabletextleft"/>
            </w:pPr>
            <w:r w:rsidRPr="002B43CA">
              <w:t xml:space="preserve">Number of </w:t>
            </w:r>
            <w:r w:rsidR="00AC3F85" w:rsidRPr="002B43CA">
              <w:t>women of reproductive age (15-44 years) hospitalised</w:t>
            </w:r>
            <w:r w:rsidRPr="002B43CA">
              <w:t xml:space="preserve"> with a principal diagnosis of syphilis (early syphilis A51, late syphilis A52, other and unspecified syphilis A53)</w:t>
            </w:r>
          </w:p>
        </w:tc>
        <w:tc>
          <w:tcPr>
            <w:tcW w:w="159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A50BC57" w14:textId="77777777" w:rsidR="001C6DCB" w:rsidRPr="002B43CA" w:rsidRDefault="001C6DCB" w:rsidP="00F70E49">
            <w:pPr>
              <w:pStyle w:val="Tabletextleft"/>
            </w:pPr>
            <w:r w:rsidRPr="002B43CA">
              <w:t>Australian Institute of Health and Welfare</w:t>
            </w:r>
          </w:p>
        </w:tc>
        <w:tc>
          <w:tcPr>
            <w:tcW w:w="144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6563F68" w14:textId="77777777" w:rsidR="001C6DCB" w:rsidRPr="002B43CA" w:rsidRDefault="001C6DCB" w:rsidP="00F70E49">
            <w:pPr>
              <w:pStyle w:val="Tabletextleft"/>
            </w:pPr>
            <w:r w:rsidRPr="002B43CA">
              <w:t>Financial year*</w:t>
            </w:r>
          </w:p>
        </w:tc>
      </w:tr>
    </w:tbl>
    <w:p w14:paraId="3E4514A6" w14:textId="0AEB2212" w:rsidR="00956777" w:rsidRPr="00F70E49" w:rsidRDefault="001C6DCB" w:rsidP="00F70E49">
      <w:pPr>
        <w:pStyle w:val="Caption"/>
      </w:pPr>
      <w:r w:rsidRPr="00F70E49">
        <w:t>* Data reported by financial year, however there is a delay of 1</w:t>
      </w:r>
      <w:r w:rsidR="00852B3B">
        <w:t>–</w:t>
      </w:r>
      <w:r w:rsidRPr="00F70E49">
        <w:t>2 years for each financial year.</w:t>
      </w:r>
    </w:p>
    <w:p w14:paraId="6F9D4155" w14:textId="5C21DBBD" w:rsidR="00956777" w:rsidRPr="007667F5" w:rsidRDefault="005E01DA" w:rsidP="00F70E49">
      <w:pPr>
        <w:pStyle w:val="Tableheadings"/>
      </w:pPr>
      <w:r>
        <w:t>4.1</w:t>
      </w:r>
      <w:r w:rsidR="009644B8">
        <w:t>0</w:t>
      </w:r>
      <w:r>
        <w:t xml:space="preserve"> </w:t>
      </w:r>
      <w:r w:rsidR="00956777" w:rsidRPr="007667F5">
        <w:t xml:space="preserve">Number of </w:t>
      </w:r>
      <w:r w:rsidR="00433512">
        <w:t>women</w:t>
      </w:r>
      <w:r w:rsidR="009644B8" w:rsidRPr="009644B8">
        <w:rPr>
          <w:vertAlign w:val="superscript"/>
        </w:rPr>
        <w:fldChar w:fldCharType="begin"/>
      </w:r>
      <w:r w:rsidR="009644B8" w:rsidRPr="009644B8">
        <w:rPr>
          <w:vertAlign w:val="superscript"/>
        </w:rPr>
        <w:instrText xml:space="preserve"> NOTEREF _Ref204154090 \h </w:instrText>
      </w:r>
      <w:r w:rsidR="009644B8">
        <w:rPr>
          <w:vertAlign w:val="superscript"/>
        </w:rPr>
        <w:instrText xml:space="preserve"> \* MERGEFORMAT </w:instrText>
      </w:r>
      <w:r w:rsidR="009644B8" w:rsidRPr="009644B8">
        <w:rPr>
          <w:vertAlign w:val="superscript"/>
        </w:rPr>
      </w:r>
      <w:r w:rsidR="009644B8" w:rsidRPr="009644B8">
        <w:rPr>
          <w:vertAlign w:val="superscript"/>
        </w:rPr>
        <w:fldChar w:fldCharType="separate"/>
      </w:r>
      <w:r w:rsidR="009644B8" w:rsidRPr="009644B8">
        <w:rPr>
          <w:vertAlign w:val="superscript"/>
        </w:rPr>
        <w:t>2</w:t>
      </w:r>
      <w:r w:rsidR="009644B8" w:rsidRPr="009644B8">
        <w:rPr>
          <w:vertAlign w:val="superscript"/>
        </w:rPr>
        <w:fldChar w:fldCharType="end"/>
      </w:r>
      <w:r w:rsidR="00433512">
        <w:t xml:space="preserve"> </w:t>
      </w:r>
      <w:r w:rsidR="00956777">
        <w:t xml:space="preserve">hospitalised with </w:t>
      </w:r>
      <w:r w:rsidR="005E2F86">
        <w:t>a principal diagnosis</w:t>
      </w:r>
      <w:r w:rsidR="00956777">
        <w:t xml:space="preserve"> of syphilis</w:t>
      </w:r>
      <w:r w:rsidR="005E2F86">
        <w:t xml:space="preserve"> in pregnancy, childbirth and puerperium</w:t>
      </w:r>
      <w:r w:rsidR="00956777" w:rsidRPr="007667F5">
        <w:t xml:space="preserve"> (ICD</w:t>
      </w:r>
      <w:r w:rsidR="00956777">
        <w:t>-10</w:t>
      </w:r>
      <w:r w:rsidR="00956777" w:rsidRPr="007667F5">
        <w:t xml:space="preserve"> coded)</w:t>
      </w:r>
    </w:p>
    <w:tbl>
      <w:tblPr>
        <w:tblStyle w:val="TableGrid"/>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185"/>
        <w:gridCol w:w="4029"/>
        <w:gridCol w:w="1550"/>
        <w:gridCol w:w="1487"/>
      </w:tblGrid>
      <w:tr w:rsidR="00956777" w:rsidRPr="00852B3B" w14:paraId="6497613E" w14:textId="77777777" w:rsidTr="00852B3B">
        <w:trPr>
          <w:cnfStyle w:val="100000000000" w:firstRow="1" w:lastRow="0" w:firstColumn="0" w:lastColumn="0" w:oddVBand="0" w:evenVBand="0" w:oddHBand="0" w:evenHBand="0" w:firstRowFirstColumn="0" w:firstRowLastColumn="0" w:lastRowFirstColumn="0" w:lastRowLastColumn="0"/>
          <w:tblHeader/>
        </w:trPr>
        <w:tc>
          <w:tcPr>
            <w:tcW w:w="1605" w:type="dxa"/>
            <w:vAlign w:val="top"/>
          </w:tcPr>
          <w:p w14:paraId="7EE04FD0" w14:textId="77777777" w:rsidR="00956777" w:rsidRPr="00852B3B" w:rsidRDefault="00956777" w:rsidP="00852B3B">
            <w:pPr>
              <w:pStyle w:val="Tabletextleft"/>
              <w:rPr>
                <w:b/>
              </w:rPr>
            </w:pPr>
            <w:r w:rsidRPr="00852B3B">
              <w:rPr>
                <w:b/>
              </w:rPr>
              <w:t>Indicator components</w:t>
            </w:r>
          </w:p>
        </w:tc>
        <w:tc>
          <w:tcPr>
            <w:tcW w:w="1185" w:type="dxa"/>
            <w:vAlign w:val="top"/>
          </w:tcPr>
          <w:p w14:paraId="7E62DB2A" w14:textId="77777777" w:rsidR="00956777" w:rsidRPr="00852B3B" w:rsidRDefault="00956777" w:rsidP="00852B3B">
            <w:pPr>
              <w:pStyle w:val="Tabletextleft"/>
              <w:rPr>
                <w:b/>
              </w:rPr>
            </w:pPr>
            <w:r w:rsidRPr="00852B3B">
              <w:rPr>
                <w:b/>
              </w:rPr>
              <w:t>Source</w:t>
            </w:r>
          </w:p>
        </w:tc>
        <w:tc>
          <w:tcPr>
            <w:tcW w:w="4029" w:type="dxa"/>
            <w:vAlign w:val="top"/>
          </w:tcPr>
          <w:p w14:paraId="317EDD29" w14:textId="77777777" w:rsidR="00956777" w:rsidRPr="00852B3B" w:rsidRDefault="00956777" w:rsidP="00852B3B">
            <w:pPr>
              <w:pStyle w:val="Tabletextleft"/>
              <w:rPr>
                <w:b/>
              </w:rPr>
            </w:pPr>
            <w:r w:rsidRPr="00852B3B">
              <w:rPr>
                <w:b/>
              </w:rPr>
              <w:t>Description</w:t>
            </w:r>
          </w:p>
        </w:tc>
        <w:tc>
          <w:tcPr>
            <w:tcW w:w="1550" w:type="dxa"/>
            <w:vAlign w:val="top"/>
          </w:tcPr>
          <w:p w14:paraId="6AF72DF5" w14:textId="77777777" w:rsidR="00956777" w:rsidRPr="00852B3B" w:rsidRDefault="00956777" w:rsidP="00852B3B">
            <w:pPr>
              <w:pStyle w:val="Tabletextleft"/>
              <w:rPr>
                <w:b/>
              </w:rPr>
            </w:pPr>
            <w:r w:rsidRPr="00852B3B">
              <w:rPr>
                <w:b/>
              </w:rPr>
              <w:t>Custodian/ stakeholder</w:t>
            </w:r>
          </w:p>
        </w:tc>
        <w:tc>
          <w:tcPr>
            <w:tcW w:w="1487" w:type="dxa"/>
            <w:vAlign w:val="top"/>
          </w:tcPr>
          <w:p w14:paraId="27AAF575" w14:textId="77777777" w:rsidR="00956777" w:rsidRPr="00852B3B" w:rsidRDefault="00956777" w:rsidP="00852B3B">
            <w:pPr>
              <w:pStyle w:val="Tabletextleft"/>
              <w:rPr>
                <w:b/>
              </w:rPr>
            </w:pPr>
            <w:r w:rsidRPr="00852B3B">
              <w:rPr>
                <w:b/>
              </w:rPr>
              <w:t>Availability of data for reporting</w:t>
            </w:r>
          </w:p>
        </w:tc>
      </w:tr>
      <w:tr w:rsidR="00956777" w:rsidRPr="00852B3B" w14:paraId="45C63784" w14:textId="77777777" w:rsidTr="00852B3B">
        <w:trPr>
          <w:cnfStyle w:val="000000100000" w:firstRow="0" w:lastRow="0" w:firstColumn="0" w:lastColumn="0" w:oddVBand="0" w:evenVBand="0" w:oddHBand="1" w:evenHBand="0" w:firstRowFirstColumn="0" w:firstRowLastColumn="0" w:lastRowFirstColumn="0" w:lastRowLastColumn="0"/>
        </w:trPr>
        <w:tc>
          <w:tcPr>
            <w:tcW w:w="160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E7A7C44" w14:textId="77777777" w:rsidR="00956777" w:rsidRPr="00852B3B" w:rsidRDefault="00956777" w:rsidP="00852B3B">
            <w:pPr>
              <w:pStyle w:val="Tabletextleft"/>
              <w:rPr>
                <w:b/>
              </w:rPr>
            </w:pPr>
            <w:r w:rsidRPr="00852B3B">
              <w:rPr>
                <w:b/>
              </w:rPr>
              <w:t>Single measure</w:t>
            </w:r>
          </w:p>
        </w:tc>
        <w:tc>
          <w:tcPr>
            <w:tcW w:w="118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BFDF007" w14:textId="77777777" w:rsidR="00956777" w:rsidRPr="00852B3B" w:rsidRDefault="00956777" w:rsidP="00852B3B">
            <w:pPr>
              <w:pStyle w:val="Tabletextleft"/>
            </w:pPr>
            <w:r w:rsidRPr="00852B3B">
              <w:t>National Hospital Morbidity Database</w:t>
            </w:r>
          </w:p>
        </w:tc>
        <w:tc>
          <w:tcPr>
            <w:tcW w:w="402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7EE26A4" w14:textId="585B3E2E" w:rsidR="00956777" w:rsidRPr="00852B3B" w:rsidRDefault="00956777" w:rsidP="00852B3B">
            <w:pPr>
              <w:pStyle w:val="Tabletextleft"/>
            </w:pPr>
            <w:r w:rsidRPr="00852B3B">
              <w:t xml:space="preserve">Number of </w:t>
            </w:r>
            <w:r w:rsidR="003E7B77" w:rsidRPr="00852B3B">
              <w:t xml:space="preserve">people </w:t>
            </w:r>
            <w:r w:rsidRPr="00852B3B">
              <w:t xml:space="preserve">hospitalised with a principal diagnosis of syphilis </w:t>
            </w:r>
            <w:r w:rsidR="003E7B77" w:rsidRPr="00852B3B">
              <w:t>in pregnancy, childbirth and puerperium</w:t>
            </w:r>
            <w:r w:rsidR="00893A46" w:rsidRPr="00852B3B">
              <w:t xml:space="preserve"> (O98.1)</w:t>
            </w:r>
          </w:p>
        </w:tc>
        <w:tc>
          <w:tcPr>
            <w:tcW w:w="155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64D4336" w14:textId="77777777" w:rsidR="00956777" w:rsidRPr="00852B3B" w:rsidRDefault="00956777" w:rsidP="00852B3B">
            <w:pPr>
              <w:pStyle w:val="Tabletextleft"/>
            </w:pPr>
            <w:r w:rsidRPr="00852B3B">
              <w:t>Australian Institute of Health and Welfare</w:t>
            </w:r>
          </w:p>
        </w:tc>
        <w:tc>
          <w:tcPr>
            <w:tcW w:w="148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D183C18" w14:textId="77777777" w:rsidR="00956777" w:rsidRPr="00852B3B" w:rsidRDefault="00956777" w:rsidP="00852B3B">
            <w:pPr>
              <w:pStyle w:val="Tabletextleft"/>
            </w:pPr>
            <w:r w:rsidRPr="00852B3B">
              <w:t>Financial year*</w:t>
            </w:r>
          </w:p>
        </w:tc>
      </w:tr>
    </w:tbl>
    <w:p w14:paraId="45033DA6" w14:textId="48CD30D9" w:rsidR="005B0D0D" w:rsidRPr="00852B3B" w:rsidRDefault="00956777" w:rsidP="00852B3B">
      <w:pPr>
        <w:pStyle w:val="Caption"/>
      </w:pPr>
      <w:r w:rsidRPr="00852B3B">
        <w:t>* Data reported by financial year, however there is a delay of 1</w:t>
      </w:r>
      <w:r w:rsidR="00852B3B" w:rsidRPr="00852B3B">
        <w:t>–</w:t>
      </w:r>
      <w:r w:rsidRPr="00852B3B">
        <w:t>2 years for each financial year.</w:t>
      </w:r>
    </w:p>
    <w:p w14:paraId="169CD044" w14:textId="77777777" w:rsidR="005B0DA2" w:rsidRPr="00852B3B" w:rsidRDefault="005B0DA2" w:rsidP="00852B3B">
      <w:pPr>
        <w:pStyle w:val="Caption"/>
        <w:sectPr w:rsidR="005B0DA2" w:rsidRPr="00852B3B" w:rsidSect="00CD05C2">
          <w:headerReference w:type="default" r:id="rId36"/>
          <w:pgSz w:w="11900" w:h="16840" w:code="9"/>
          <w:pgMar w:top="709" w:right="560" w:bottom="1474" w:left="1474" w:header="567" w:footer="425" w:gutter="0"/>
          <w:cols w:space="708"/>
          <w:docGrid w:linePitch="360"/>
        </w:sectPr>
      </w:pPr>
    </w:p>
    <w:p w14:paraId="18EE7681" w14:textId="2601F66D" w:rsidR="0041406C" w:rsidRPr="00852B3B" w:rsidRDefault="0041406C" w:rsidP="00852B3B">
      <w:pPr>
        <w:pStyle w:val="Heading1"/>
      </w:pPr>
      <w:bookmarkStart w:id="34" w:name="_Appendix_A_–"/>
      <w:bookmarkStart w:id="35" w:name="_Toc230091256"/>
      <w:bookmarkEnd w:id="34"/>
      <w:r w:rsidRPr="00852B3B">
        <w:lastRenderedPageBreak/>
        <w:t xml:space="preserve">Appendix A </w:t>
      </w:r>
      <w:r w:rsidR="00852B3B" w:rsidRPr="00852B3B">
        <w:t>–</w:t>
      </w:r>
      <w:r w:rsidRPr="00852B3B">
        <w:t xml:space="preserve"> Data considerations for Aboriginal and Torres Strait Islander populations</w:t>
      </w:r>
      <w:bookmarkEnd w:id="35"/>
    </w:p>
    <w:p w14:paraId="0F44F661" w14:textId="77777777" w:rsidR="0041406C" w:rsidRPr="00945BDA" w:rsidRDefault="0041406C" w:rsidP="00945BDA">
      <w:r w:rsidRPr="00945BDA">
        <w:t>Aboriginal and Torres Strait Islander peoples reserve the right to determine culturally appropriate forms for data reporting, and therefore the right to grant or withhold permission from other agencies or organisations for its use. All Aboriginal and Torres Strait Islander data should undergo a cultural review by Aboriginal and Torres Strait Islander peoples within a culturally appropriate governance model.</w:t>
      </w:r>
    </w:p>
    <w:p w14:paraId="63AC8D9A" w14:textId="1129DA50" w:rsidR="0041406C" w:rsidRPr="00945BDA" w:rsidRDefault="0041406C" w:rsidP="00945BDA">
      <w:r w:rsidRPr="00945BDA">
        <w:t>The National Aboriginal and Torres Strait Islander Health Protection (NATSIHP) Subcommittee of the Australian Health Protection Principal Committee has endorsed the following considerations in relation to the Plan:</w:t>
      </w:r>
    </w:p>
    <w:p w14:paraId="6DC126C8" w14:textId="2BC0C44F" w:rsidR="0041406C" w:rsidRPr="003414ED" w:rsidRDefault="0041406C" w:rsidP="003414ED">
      <w:pPr>
        <w:pStyle w:val="ListBullet"/>
      </w:pPr>
      <w:r w:rsidRPr="003414ED">
        <w:t>A strength</w:t>
      </w:r>
      <w:r w:rsidR="00D041C7">
        <w:t>s</w:t>
      </w:r>
      <w:r w:rsidRPr="003414ED">
        <w:t>-based approach to health and wellbeing for Aboriginal and Torres Strait Islander peoples is the focus, and deficits which can have a negative impact on health outcomes, are not emphasised</w:t>
      </w:r>
      <w:r w:rsidR="00792256" w:rsidRPr="003414ED">
        <w:t xml:space="preserve"> </w:t>
      </w:r>
      <w:r w:rsidR="00792256" w:rsidRPr="003414ED">
        <w:fldChar w:fldCharType="begin"/>
      </w:r>
      <w:r w:rsidR="00792256" w:rsidRPr="003414ED">
        <w:instrText xml:space="preserve"> ADDIN EN.CITE &lt;EndNote&gt;&lt;Cite&gt;&lt;Author&gt;Fogarty&lt;/Author&gt;&lt;Year&gt;2018&lt;/Year&gt;&lt;RecNum&gt;15&lt;/RecNum&gt;&lt;DisplayText&gt;[5]&lt;/DisplayText&gt;&lt;record&gt;&lt;rec-number&gt;15&lt;/rec-number&gt;&lt;foreign-keys&gt;&lt;key app="EN" db-id="rerr5wt9dra05fetxw4p02tp0vtzztp05ef0" timestamp="1753227537"&gt;15&lt;/key&gt;&lt;/foreign-keys&gt;&lt;ref-type name="Report"&gt;27&lt;/ref-type&gt;&lt;contributors&gt;&lt;authors&gt;&lt;author&gt;Fogarty, W&lt;/author&gt;&lt;author&gt;Lovell, M&lt;/author&gt;&lt;author&gt;Langenberg, J&lt;/author&gt;&lt;author&gt;Heron, M-J&lt;/author&gt;&lt;/authors&gt;&lt;/contributors&gt;&lt;titles&gt;&lt;title&gt;Deficit Discourse and Strengths-based Approaches: Changing the Narrative of Aboriginal and Torres Strait Islander Health and Wellbeing&lt;/title&gt;&lt;/titles&gt;&lt;dates&gt;&lt;year&gt;2018&lt;/year&gt;&lt;/dates&gt;&lt;pub-location&gt;Melbourne&lt;/pub-location&gt;&lt;publisher&gt;The Lowitja Institute&lt;/publisher&gt;&lt;urls&gt;&lt;/urls&gt;&lt;/record&gt;&lt;/Cite&gt;&lt;/EndNote&gt;</w:instrText>
      </w:r>
      <w:r w:rsidR="00792256" w:rsidRPr="003414ED">
        <w:fldChar w:fldCharType="separate"/>
      </w:r>
      <w:r w:rsidR="00792256" w:rsidRPr="003414ED">
        <w:t>[5]</w:t>
      </w:r>
      <w:r w:rsidR="00792256" w:rsidRPr="003414ED">
        <w:fldChar w:fldCharType="end"/>
      </w:r>
      <w:r w:rsidRPr="003414ED">
        <w:t>.</w:t>
      </w:r>
    </w:p>
    <w:p w14:paraId="25F9BEB1" w14:textId="7E3EF94C" w:rsidR="0041406C" w:rsidRPr="003414ED" w:rsidRDefault="0041406C" w:rsidP="003414ED">
      <w:pPr>
        <w:pStyle w:val="ListBullet"/>
      </w:pPr>
      <w:r w:rsidRPr="003414ED">
        <w:t xml:space="preserve">The public health context for Aboriginal and Torres Strait Islander peoples </w:t>
      </w:r>
      <w:proofErr w:type="gramStart"/>
      <w:r w:rsidRPr="003414ED">
        <w:t>are</w:t>
      </w:r>
      <w:proofErr w:type="gramEnd"/>
      <w:r w:rsidRPr="003414ED">
        <w:t xml:space="preserve"> </w:t>
      </w:r>
      <w:r w:rsidR="00002C28" w:rsidRPr="003414ED">
        <w:t>considered</w:t>
      </w:r>
      <w:r w:rsidRPr="003414ED">
        <w:t>, for example:</w:t>
      </w:r>
    </w:p>
    <w:p w14:paraId="791565D6" w14:textId="1E778309" w:rsidR="0041406C" w:rsidRPr="00176232" w:rsidRDefault="0041406C" w:rsidP="00176232">
      <w:pPr>
        <w:pStyle w:val="ListBullet2"/>
      </w:pPr>
      <w:r w:rsidRPr="00176232">
        <w:t>Aboriginal and Torres Strait Islander peoples live in many different settings across Australia, including urban, regional, remote, and very remote locations</w:t>
      </w:r>
      <w:r w:rsidR="00B42E34" w:rsidRPr="00176232">
        <w:t>.</w:t>
      </w:r>
    </w:p>
    <w:p w14:paraId="44F0C544" w14:textId="6DBF5DAC" w:rsidR="0041406C" w:rsidRPr="00176232" w:rsidRDefault="00B42E34" w:rsidP="00176232">
      <w:pPr>
        <w:pStyle w:val="ListBullet2"/>
      </w:pPr>
      <w:r w:rsidRPr="00176232">
        <w:t>S</w:t>
      </w:r>
      <w:r w:rsidR="0041406C" w:rsidRPr="00176232">
        <w:t>pecial considerations are needed for Aboriginal and Torres Strait Islander peoples living in hostels; detention centres; aged care and other residential facilities; town camps; and homeless populations</w:t>
      </w:r>
      <w:r w:rsidRPr="00176232">
        <w:t>.</w:t>
      </w:r>
    </w:p>
    <w:p w14:paraId="63CCABBA" w14:textId="0AD2DB01" w:rsidR="0041406C" w:rsidRPr="00176232" w:rsidRDefault="00B42E34" w:rsidP="00176232">
      <w:pPr>
        <w:pStyle w:val="ListBullet2"/>
      </w:pPr>
      <w:r w:rsidRPr="00176232">
        <w:t>M</w:t>
      </w:r>
      <w:r w:rsidR="0041406C" w:rsidRPr="00176232">
        <w:t>any communities experience shortages of housing, and/or inadequate housing infrastructure</w:t>
      </w:r>
      <w:r w:rsidRPr="00176232">
        <w:t>.</w:t>
      </w:r>
    </w:p>
    <w:p w14:paraId="3DE4D93C" w14:textId="75A47972" w:rsidR="0041406C" w:rsidRPr="00176232" w:rsidRDefault="00B42E34" w:rsidP="00176232">
      <w:pPr>
        <w:pStyle w:val="ListBullet2"/>
      </w:pPr>
      <w:r w:rsidRPr="00176232">
        <w:t>T</w:t>
      </w:r>
      <w:r w:rsidR="0041406C" w:rsidRPr="00176232">
        <w:t xml:space="preserve">he strength and leadership of the Aboriginal and Torres Strait Islander community-controlled health sector means that </w:t>
      </w:r>
      <w:r w:rsidR="00002C28" w:rsidRPr="00176232">
        <w:t>locally led</w:t>
      </w:r>
      <w:r w:rsidR="0041406C" w:rsidRPr="00176232">
        <w:t xml:space="preserve"> holistic, comprehensive, and culturally appropriate and safe primary health care can be delivered to communities. However, many Aboriginal and Torres Strait Islander peoples still experience reduced access to acute and primary health care (including testing) and other health services. This can be due to factors such as location, lack of workforce, lack of available transport and differing health care literacy. This can also occur because of concerns of racism; feelings of shame; fear of separation from loved ones and family or mistrust of mainstream health services. These factors could lead to reduced syphilis presentations or unwell people presenting later in the disease progression.</w:t>
      </w:r>
    </w:p>
    <w:p w14:paraId="0F6EA466" w14:textId="5F35AD9E" w:rsidR="0041406C" w:rsidRPr="003414ED" w:rsidRDefault="0041406C" w:rsidP="00176232">
      <w:pPr>
        <w:pStyle w:val="ListBullet2"/>
      </w:pPr>
      <w:r w:rsidRPr="00176232">
        <w:t xml:space="preserve">Aboriginal and Torres Strait Islander peoples experience a disproportionately high burden of syphilis (and other sexually transmissible infections) and are </w:t>
      </w:r>
      <w:r w:rsidRPr="00176232">
        <w:lastRenderedPageBreak/>
        <w:t xml:space="preserve">therefore more susceptible to severe outcomes, including infections in-utero causing congenital syphilis, miscarriage and </w:t>
      </w:r>
      <w:proofErr w:type="spellStart"/>
      <w:r w:rsidRPr="00176232">
        <w:t>fetal</w:t>
      </w:r>
      <w:proofErr w:type="spellEnd"/>
      <w:r w:rsidRPr="00176232">
        <w:t xml:space="preserve"> death.</w:t>
      </w:r>
    </w:p>
    <w:p w14:paraId="22A5891D" w14:textId="77777777" w:rsidR="0041406C" w:rsidRPr="00176232" w:rsidRDefault="0041406C" w:rsidP="00176232">
      <w:pPr>
        <w:pStyle w:val="ListBullet"/>
      </w:pPr>
      <w:r w:rsidRPr="00176232">
        <w:t>Data quality and completeness for Aboriginal and Torres Strait Islander status influences the representativeness of the data. Factors contributing to the level of data completeness include:</w:t>
      </w:r>
    </w:p>
    <w:p w14:paraId="4389EFE2" w14:textId="2B32FFB8" w:rsidR="0041406C" w:rsidRPr="00176232" w:rsidRDefault="0041406C" w:rsidP="00176232">
      <w:pPr>
        <w:pStyle w:val="ListBullet2"/>
      </w:pPr>
      <w:r w:rsidRPr="00176232">
        <w:t>the structure of the data collection systems</w:t>
      </w:r>
      <w:r w:rsidR="00F34A00" w:rsidRPr="00176232">
        <w:t>;</w:t>
      </w:r>
    </w:p>
    <w:p w14:paraId="1DC47C7B" w14:textId="632FBC83" w:rsidR="0041406C" w:rsidRPr="00176232" w:rsidRDefault="0041406C" w:rsidP="00176232">
      <w:pPr>
        <w:pStyle w:val="ListBullet2"/>
      </w:pPr>
      <w:r w:rsidRPr="00176232">
        <w:t>the influence of systemic racism on the willingness of Aboriginal and Torres Strait Islander peoples to identify based on the perceived consequences</w:t>
      </w:r>
      <w:r w:rsidR="00F34A00" w:rsidRPr="00176232">
        <w:t>; and</w:t>
      </w:r>
    </w:p>
    <w:p w14:paraId="15E84A2F" w14:textId="59A94715" w:rsidR="0041406C" w:rsidRPr="00176232" w:rsidRDefault="0041406C" w:rsidP="00176232">
      <w:pPr>
        <w:pStyle w:val="ListBullet2"/>
      </w:pPr>
      <w:r w:rsidRPr="00176232">
        <w:t>that Aboriginal and Torres Strait Islander peoples may also wish to identify retrospectively, which may require historical data to be revised</w:t>
      </w:r>
      <w:r w:rsidR="00B3120E" w:rsidRPr="00176232">
        <w:t>.</w:t>
      </w:r>
    </w:p>
    <w:p w14:paraId="0B72BC34" w14:textId="77777777" w:rsidR="0041406C" w:rsidRPr="00176232" w:rsidRDefault="0041406C" w:rsidP="00176232">
      <w:pPr>
        <w:pStyle w:val="ListBullet"/>
      </w:pPr>
      <w:r w:rsidRPr="00176232">
        <w:t>It is important to note limitations of data sources, particularly those that do not have complete population ascertainment and may not be representative of Aboriginal and Torres Strait Islander peoples. Therefore, it is particularly important that for the relevant datasets, the proportion of people without a known Aboriginal and Torres Strait Islander status is reported where possible.</w:t>
      </w:r>
    </w:p>
    <w:p w14:paraId="4BAAC32C" w14:textId="77777777" w:rsidR="0041406C" w:rsidRPr="00424638" w:rsidRDefault="0041406C" w:rsidP="00424638">
      <w:pPr>
        <w:pStyle w:val="ListBullet"/>
      </w:pPr>
      <w:r w:rsidRPr="00424638">
        <w:t>Data on Aboriginal and Torres Strait Islander status should be interpreted with caution where completeness is low.</w:t>
      </w:r>
    </w:p>
    <w:p w14:paraId="710E563C" w14:textId="77777777" w:rsidR="0041406C" w:rsidRPr="00424638" w:rsidRDefault="0041406C" w:rsidP="00424638">
      <w:r w:rsidRPr="00424638">
        <w:t xml:space="preserve">Where possible, data are to be made available to Aboriginal and Torres Strait Islander communities and organisations. The </w:t>
      </w:r>
      <w:hyperlink r:id="rId37" w:history="1">
        <w:r w:rsidRPr="00424638">
          <w:rPr>
            <w:rStyle w:val="Hyperlink"/>
            <w:i/>
            <w:iCs/>
          </w:rPr>
          <w:t>National Agreement on Closing the Gap</w:t>
        </w:r>
      </w:hyperlink>
      <w:r w:rsidRPr="00424638">
        <w:t xml:space="preserve"> highlights the importance of sharing disaggregated data and information so Aboriginal and Torres Strait Islander organisations and communities can make informed decisions while meeting privacy requirements and ensuring data security and integrity.</w:t>
      </w:r>
    </w:p>
    <w:p w14:paraId="4E0F212D" w14:textId="77777777" w:rsidR="0041406C" w:rsidRPr="00424638" w:rsidRDefault="0041406C" w:rsidP="00424638">
      <w:r w:rsidRPr="00424638">
        <w:t>The decision to report on small numbers requires that the benefits of, and the need for information to inform decision-making and responses in communities be balanced against the potential privacy implications for individuals and communities.</w:t>
      </w:r>
    </w:p>
    <w:p w14:paraId="35788C0C" w14:textId="77777777" w:rsidR="0041406C" w:rsidRPr="00424638" w:rsidRDefault="0041406C" w:rsidP="00424638">
      <w:r w:rsidRPr="00424638">
        <w:t xml:space="preserve">Further surveillance and epidemiological considerations for Aboriginal and Torres Strait Islander populations </w:t>
      </w:r>
      <w:proofErr w:type="gramStart"/>
      <w:r w:rsidRPr="00424638">
        <w:t>are located in</w:t>
      </w:r>
      <w:proofErr w:type="gramEnd"/>
      <w:r w:rsidRPr="00424638">
        <w:t xml:space="preserve"> other documents such as </w:t>
      </w:r>
      <w:hyperlink r:id="rId38" w:history="1">
        <w:r w:rsidRPr="00424638">
          <w:rPr>
            <w:rStyle w:val="Hyperlink"/>
            <w:i/>
            <w:iCs/>
          </w:rPr>
          <w:t>the National Aboriginal and Torres Strait Islander Health Plan 2021–2031</w:t>
        </w:r>
      </w:hyperlink>
      <w:r w:rsidRPr="00424638">
        <w:t>.</w:t>
      </w:r>
    </w:p>
    <w:p w14:paraId="6CA173E2" w14:textId="77777777" w:rsidR="0041406C" w:rsidRPr="00424638" w:rsidRDefault="0041406C" w:rsidP="00424638">
      <w:r w:rsidRPr="00424638">
        <w:br w:type="page"/>
      </w:r>
    </w:p>
    <w:p w14:paraId="08E7A8E7" w14:textId="77777777" w:rsidR="0041406C" w:rsidRDefault="0041406C" w:rsidP="005B0DA2">
      <w:pPr>
        <w:pStyle w:val="Heading1"/>
        <w:sectPr w:rsidR="0041406C" w:rsidSect="0041406C">
          <w:headerReference w:type="default" r:id="rId39"/>
          <w:pgSz w:w="11900" w:h="16840" w:code="9"/>
          <w:pgMar w:top="1474" w:right="936" w:bottom="1474" w:left="1474" w:header="709" w:footer="425" w:gutter="0"/>
          <w:cols w:space="708"/>
          <w:docGrid w:linePitch="360"/>
        </w:sectPr>
      </w:pPr>
    </w:p>
    <w:p w14:paraId="3A476CE0" w14:textId="1F660333" w:rsidR="005B0DA2" w:rsidRPr="00424638" w:rsidRDefault="005B0DA2" w:rsidP="00424638">
      <w:pPr>
        <w:pStyle w:val="Heading1"/>
      </w:pPr>
      <w:bookmarkStart w:id="36" w:name="_Appendix_B_–"/>
      <w:bookmarkStart w:id="37" w:name="_Toc230091257"/>
      <w:bookmarkEnd w:id="36"/>
      <w:r w:rsidRPr="00424638">
        <w:lastRenderedPageBreak/>
        <w:t xml:space="preserve">Appendix </w:t>
      </w:r>
      <w:r w:rsidR="0041406C" w:rsidRPr="00424638">
        <w:t>B</w:t>
      </w:r>
      <w:r w:rsidRPr="00424638">
        <w:t xml:space="preserve"> </w:t>
      </w:r>
      <w:r w:rsidR="00424638" w:rsidRPr="00424638">
        <w:t>–</w:t>
      </w:r>
      <w:r w:rsidRPr="00424638">
        <w:t xml:space="preserve"> Data sources and reporting schedule</w:t>
      </w:r>
      <w:bookmarkEnd w:id="37"/>
    </w:p>
    <w:p w14:paraId="6128A7BD" w14:textId="337BEA07" w:rsidR="005B0DA2" w:rsidRPr="00A3484F" w:rsidRDefault="00A3484F" w:rsidP="00716F8F">
      <w:pPr>
        <w:pStyle w:val="Tableheadings"/>
      </w:pPr>
      <w:r w:rsidRPr="00A3484F">
        <w:t xml:space="preserve">Table 1: </w:t>
      </w:r>
      <w:r w:rsidR="00B53419">
        <w:t>Data completeness indicators</w:t>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2"/>
        <w:gridCol w:w="2835"/>
        <w:gridCol w:w="2127"/>
      </w:tblGrid>
      <w:tr w:rsidR="00A3484F" w:rsidRPr="00857415" w14:paraId="43FBDB37" w14:textId="77777777" w:rsidTr="00857415">
        <w:trPr>
          <w:cnfStyle w:val="100000000000" w:firstRow="1" w:lastRow="0" w:firstColumn="0" w:lastColumn="0" w:oddVBand="0" w:evenVBand="0" w:oddHBand="0" w:evenHBand="0" w:firstRowFirstColumn="0" w:firstRowLastColumn="0" w:lastRowFirstColumn="0" w:lastRowLastColumn="0"/>
          <w:tblHeader/>
        </w:trPr>
        <w:tc>
          <w:tcPr>
            <w:tcW w:w="1555" w:type="dxa"/>
            <w:vAlign w:val="top"/>
          </w:tcPr>
          <w:p w14:paraId="6FB7D9BF" w14:textId="77777777" w:rsidR="00A3484F" w:rsidRPr="00857415" w:rsidRDefault="00A3484F" w:rsidP="00857415">
            <w:pPr>
              <w:pStyle w:val="Tabletextleft"/>
              <w:rPr>
                <w:rFonts w:eastAsiaTheme="majorEastAsia"/>
                <w:b/>
              </w:rPr>
            </w:pPr>
            <w:r w:rsidRPr="00857415">
              <w:rPr>
                <w:rFonts w:eastAsiaTheme="majorEastAsia"/>
                <w:b/>
              </w:rPr>
              <w:t>No. Indicator</w:t>
            </w:r>
          </w:p>
        </w:tc>
        <w:tc>
          <w:tcPr>
            <w:tcW w:w="7512" w:type="dxa"/>
            <w:vAlign w:val="top"/>
          </w:tcPr>
          <w:p w14:paraId="7B29574A" w14:textId="77777777" w:rsidR="00A3484F" w:rsidRPr="00857415" w:rsidRDefault="00A3484F" w:rsidP="00857415">
            <w:pPr>
              <w:pStyle w:val="Tabletextleft"/>
              <w:rPr>
                <w:rFonts w:eastAsiaTheme="majorEastAsia"/>
                <w:b/>
              </w:rPr>
            </w:pPr>
            <w:r w:rsidRPr="00857415">
              <w:rPr>
                <w:rFonts w:eastAsiaTheme="majorEastAsia"/>
                <w:b/>
              </w:rPr>
              <w:t>Indicator</w:t>
            </w:r>
          </w:p>
        </w:tc>
        <w:tc>
          <w:tcPr>
            <w:tcW w:w="2835" w:type="dxa"/>
            <w:vAlign w:val="top"/>
          </w:tcPr>
          <w:p w14:paraId="7C06A917" w14:textId="77777777" w:rsidR="00A3484F" w:rsidRPr="00857415" w:rsidRDefault="00A3484F" w:rsidP="00857415">
            <w:pPr>
              <w:pStyle w:val="Tabletextleft"/>
              <w:rPr>
                <w:rFonts w:eastAsiaTheme="majorEastAsia"/>
                <w:b/>
              </w:rPr>
            </w:pPr>
            <w:r w:rsidRPr="00857415">
              <w:rPr>
                <w:rFonts w:eastAsiaTheme="majorEastAsia"/>
                <w:b/>
              </w:rPr>
              <w:t>Data source (s)</w:t>
            </w:r>
          </w:p>
        </w:tc>
        <w:tc>
          <w:tcPr>
            <w:tcW w:w="2127" w:type="dxa"/>
            <w:vAlign w:val="top"/>
          </w:tcPr>
          <w:p w14:paraId="2691D743" w14:textId="7D4EA733" w:rsidR="00A3484F" w:rsidRPr="00857415" w:rsidRDefault="00A3484F" w:rsidP="00857415">
            <w:pPr>
              <w:pStyle w:val="Tabletextleft"/>
              <w:rPr>
                <w:rFonts w:eastAsiaTheme="majorEastAsia"/>
                <w:b/>
              </w:rPr>
            </w:pPr>
            <w:r w:rsidRPr="00857415">
              <w:rPr>
                <w:rFonts w:eastAsiaTheme="majorEastAsia"/>
                <w:b/>
              </w:rPr>
              <w:t>Reporting</w:t>
            </w:r>
          </w:p>
        </w:tc>
      </w:tr>
      <w:tr w:rsidR="00A3484F" w:rsidRPr="00857415" w14:paraId="47605279" w14:textId="77777777" w:rsidTr="00857415">
        <w:trPr>
          <w:cnfStyle w:val="000000100000" w:firstRow="0" w:lastRow="0" w:firstColumn="0" w:lastColumn="0" w:oddVBand="0" w:evenVBand="0" w:oddHBand="1" w:evenHBand="0" w:firstRowFirstColumn="0" w:firstRowLastColumn="0" w:lastRowFirstColumn="0" w:lastRowLastColumn="0"/>
        </w:trPr>
        <w:tc>
          <w:tcPr>
            <w:tcW w:w="1402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30159776" w14:textId="6D070358" w:rsidR="00A3484F" w:rsidRPr="00857415" w:rsidRDefault="00345874" w:rsidP="00857415">
            <w:pPr>
              <w:pStyle w:val="Tabletextleft"/>
              <w:rPr>
                <w:rFonts w:eastAsiaTheme="majorEastAsia"/>
                <w:b/>
              </w:rPr>
            </w:pPr>
            <w:r w:rsidRPr="00857415">
              <w:rPr>
                <w:rFonts w:eastAsiaTheme="majorEastAsia"/>
                <w:b/>
              </w:rPr>
              <w:t>Data</w:t>
            </w:r>
            <w:r w:rsidR="00A3484F" w:rsidRPr="00857415">
              <w:rPr>
                <w:rFonts w:eastAsiaTheme="majorEastAsia"/>
                <w:b/>
              </w:rPr>
              <w:t xml:space="preserve"> completeness</w:t>
            </w:r>
          </w:p>
        </w:tc>
      </w:tr>
      <w:tr w:rsidR="000B51B3" w:rsidRPr="00857415" w14:paraId="68F71316" w14:textId="77777777" w:rsidTr="00857415">
        <w:tc>
          <w:tcPr>
            <w:tcW w:w="1555" w:type="dxa"/>
            <w:vAlign w:val="top"/>
          </w:tcPr>
          <w:p w14:paraId="5548C62B" w14:textId="2ED19303" w:rsidR="000B51B3" w:rsidRPr="00857415" w:rsidRDefault="000B51B3" w:rsidP="00857415">
            <w:pPr>
              <w:pStyle w:val="Tabletextleft"/>
              <w:rPr>
                <w:rFonts w:eastAsiaTheme="majorEastAsia"/>
              </w:rPr>
            </w:pPr>
            <w:r w:rsidRPr="00857415">
              <w:rPr>
                <w:rFonts w:eastAsiaTheme="majorEastAsia"/>
              </w:rPr>
              <w:t>I.C. 1</w:t>
            </w:r>
          </w:p>
        </w:tc>
        <w:tc>
          <w:tcPr>
            <w:tcW w:w="7512" w:type="dxa"/>
            <w:vMerge w:val="restart"/>
            <w:vAlign w:val="top"/>
          </w:tcPr>
          <w:p w14:paraId="73368C46" w14:textId="77777777" w:rsidR="000B51B3" w:rsidRPr="00857415" w:rsidRDefault="000B51B3" w:rsidP="00857415">
            <w:pPr>
              <w:pStyle w:val="Tabletextleft"/>
              <w:rPr>
                <w:rFonts w:eastAsiaTheme="majorEastAsia"/>
              </w:rPr>
            </w:pPr>
            <w:r w:rsidRPr="00857415">
              <w:rPr>
                <w:rFonts w:eastAsiaTheme="majorEastAsia"/>
              </w:rPr>
              <w:t>Proportion of notifications with Indigenous status field completed</w:t>
            </w:r>
          </w:p>
          <w:p w14:paraId="5184E863" w14:textId="455574C6" w:rsidR="000B51B3" w:rsidRPr="00857415" w:rsidRDefault="000B51B3" w:rsidP="002A497B">
            <w:pPr>
              <w:pStyle w:val="Tablelistbullet"/>
              <w:rPr>
                <w:rFonts w:eastAsiaTheme="majorEastAsia"/>
              </w:rPr>
            </w:pPr>
            <w:r w:rsidRPr="00857415">
              <w:rPr>
                <w:rFonts w:eastAsiaTheme="majorEastAsia"/>
              </w:rPr>
              <w:t>Infectious syphilis (&lt;2 years duration)</w:t>
            </w:r>
          </w:p>
          <w:p w14:paraId="52498756" w14:textId="2115991F" w:rsidR="000B51B3" w:rsidRPr="00857415" w:rsidRDefault="000B51B3" w:rsidP="002A497B">
            <w:pPr>
              <w:pStyle w:val="Tablelistbullet"/>
              <w:rPr>
                <w:rFonts w:eastAsiaTheme="majorEastAsia"/>
              </w:rPr>
            </w:pPr>
            <w:r w:rsidRPr="00857415">
              <w:rPr>
                <w:rFonts w:eastAsiaTheme="majorEastAsia"/>
              </w:rPr>
              <w:t>Congenital syphilis</w:t>
            </w:r>
          </w:p>
          <w:p w14:paraId="63E75422" w14:textId="74EF754C" w:rsidR="000B51B3" w:rsidRPr="00857415" w:rsidRDefault="000B51B3" w:rsidP="002A497B">
            <w:pPr>
              <w:pStyle w:val="Tablelistbullet"/>
              <w:rPr>
                <w:rFonts w:eastAsiaTheme="majorEastAsia"/>
              </w:rPr>
            </w:pPr>
            <w:r w:rsidRPr="00857415">
              <w:rPr>
                <w:rFonts w:eastAsiaTheme="majorEastAsia"/>
              </w:rPr>
              <w:t>Unspecified syphilis (&gt;2</w:t>
            </w:r>
            <w:r w:rsidR="00BB0A63">
              <w:rPr>
                <w:rFonts w:eastAsiaTheme="majorEastAsia"/>
              </w:rPr>
              <w:t xml:space="preserve"> </w:t>
            </w:r>
            <w:r w:rsidRPr="00857415">
              <w:rPr>
                <w:rFonts w:eastAsiaTheme="majorEastAsia"/>
              </w:rPr>
              <w:t>years or unspecified duration)</w:t>
            </w:r>
          </w:p>
        </w:tc>
        <w:tc>
          <w:tcPr>
            <w:tcW w:w="2835" w:type="dxa"/>
            <w:vMerge w:val="restart"/>
            <w:vAlign w:val="top"/>
          </w:tcPr>
          <w:p w14:paraId="3C938780" w14:textId="7B71AB77" w:rsidR="000B51B3" w:rsidRPr="00857415" w:rsidRDefault="006A04C2" w:rsidP="00857415">
            <w:pPr>
              <w:pStyle w:val="Tabletextleft"/>
              <w:rPr>
                <w:rFonts w:eastAsiaTheme="majorEastAsia"/>
              </w:rPr>
            </w:pPr>
            <w:r w:rsidRPr="00857415">
              <w:rPr>
                <w:rFonts w:eastAsiaTheme="majorEastAsia"/>
              </w:rPr>
              <w:t>NNDSS</w:t>
            </w:r>
          </w:p>
        </w:tc>
        <w:tc>
          <w:tcPr>
            <w:tcW w:w="2127" w:type="dxa"/>
            <w:vMerge w:val="restart"/>
            <w:vAlign w:val="top"/>
          </w:tcPr>
          <w:p w14:paraId="02C2099A" w14:textId="42CB0C25" w:rsidR="000B51B3" w:rsidRPr="00857415" w:rsidRDefault="006A04C2" w:rsidP="00857415">
            <w:pPr>
              <w:pStyle w:val="Tabletextleft"/>
              <w:rPr>
                <w:rFonts w:eastAsiaTheme="majorEastAsia"/>
              </w:rPr>
            </w:pPr>
            <w:r w:rsidRPr="00857415">
              <w:rPr>
                <w:rFonts w:eastAsiaTheme="majorEastAsia"/>
              </w:rPr>
              <w:t>Quarterly</w:t>
            </w:r>
          </w:p>
        </w:tc>
      </w:tr>
      <w:tr w:rsidR="000B51B3" w:rsidRPr="00857415" w14:paraId="74AB35E9" w14:textId="77777777" w:rsidTr="00857415">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9A43165" w14:textId="7BD84FC0" w:rsidR="00734D16" w:rsidRPr="00857415" w:rsidRDefault="000B51B3" w:rsidP="00857415">
            <w:pPr>
              <w:pStyle w:val="Tabletextleft"/>
              <w:rPr>
                <w:rFonts w:eastAsiaTheme="majorEastAsia"/>
              </w:rPr>
            </w:pPr>
            <w:r w:rsidRPr="00857415">
              <w:rPr>
                <w:rFonts w:eastAsiaTheme="majorEastAsia"/>
              </w:rPr>
              <w:t>I.C. 2</w:t>
            </w:r>
          </w:p>
        </w:tc>
        <w:tc>
          <w:tcPr>
            <w:tcW w:w="7512" w:type="dxa"/>
            <w:vMerge/>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B07F0F1" w14:textId="77777777" w:rsidR="000B51B3" w:rsidRPr="00857415" w:rsidRDefault="000B51B3" w:rsidP="00857415">
            <w:pPr>
              <w:pStyle w:val="Tabletextleft"/>
              <w:rPr>
                <w:rFonts w:eastAsiaTheme="majorEastAsia"/>
              </w:rPr>
            </w:pPr>
          </w:p>
        </w:tc>
        <w:tc>
          <w:tcPr>
            <w:tcW w:w="2835" w:type="dxa"/>
            <w:vMerge/>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AB3340D" w14:textId="77777777" w:rsidR="000B51B3" w:rsidRPr="00857415" w:rsidRDefault="000B51B3" w:rsidP="00857415">
            <w:pPr>
              <w:pStyle w:val="Tabletextleft"/>
              <w:rPr>
                <w:rFonts w:eastAsiaTheme="majorEastAsia"/>
              </w:rPr>
            </w:pPr>
          </w:p>
        </w:tc>
        <w:tc>
          <w:tcPr>
            <w:tcW w:w="2127" w:type="dxa"/>
            <w:vMerge/>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7E0C325" w14:textId="77777777" w:rsidR="000B51B3" w:rsidRPr="00857415" w:rsidRDefault="000B51B3" w:rsidP="00857415">
            <w:pPr>
              <w:pStyle w:val="Tabletextleft"/>
              <w:rPr>
                <w:rFonts w:eastAsiaTheme="majorEastAsia"/>
              </w:rPr>
            </w:pPr>
          </w:p>
        </w:tc>
      </w:tr>
      <w:tr w:rsidR="000B51B3" w:rsidRPr="00857415" w14:paraId="5A6FBCD1" w14:textId="77777777" w:rsidTr="00857415">
        <w:tc>
          <w:tcPr>
            <w:tcW w:w="1555" w:type="dxa"/>
            <w:vAlign w:val="top"/>
          </w:tcPr>
          <w:p w14:paraId="674012D2" w14:textId="00DCFE46" w:rsidR="00734D16" w:rsidRPr="00857415" w:rsidRDefault="000B51B3" w:rsidP="00857415">
            <w:pPr>
              <w:pStyle w:val="Tabletextleft"/>
              <w:rPr>
                <w:rFonts w:eastAsiaTheme="majorEastAsia"/>
              </w:rPr>
            </w:pPr>
            <w:r w:rsidRPr="00857415">
              <w:rPr>
                <w:rFonts w:eastAsiaTheme="majorEastAsia"/>
              </w:rPr>
              <w:t>I.C. 3</w:t>
            </w:r>
          </w:p>
        </w:tc>
        <w:tc>
          <w:tcPr>
            <w:tcW w:w="7512" w:type="dxa"/>
            <w:vMerge/>
            <w:vAlign w:val="top"/>
          </w:tcPr>
          <w:p w14:paraId="201EE0C7" w14:textId="77777777" w:rsidR="000B51B3" w:rsidRPr="00857415" w:rsidRDefault="000B51B3" w:rsidP="00857415">
            <w:pPr>
              <w:pStyle w:val="Tabletextleft"/>
              <w:rPr>
                <w:rFonts w:eastAsiaTheme="majorEastAsia"/>
              </w:rPr>
            </w:pPr>
          </w:p>
        </w:tc>
        <w:tc>
          <w:tcPr>
            <w:tcW w:w="2835" w:type="dxa"/>
            <w:vMerge/>
            <w:vAlign w:val="top"/>
          </w:tcPr>
          <w:p w14:paraId="5BA1E7A4" w14:textId="77777777" w:rsidR="000B51B3" w:rsidRPr="00857415" w:rsidRDefault="000B51B3" w:rsidP="00857415">
            <w:pPr>
              <w:pStyle w:val="Tabletextleft"/>
              <w:rPr>
                <w:rFonts w:eastAsiaTheme="majorEastAsia"/>
              </w:rPr>
            </w:pPr>
          </w:p>
        </w:tc>
        <w:tc>
          <w:tcPr>
            <w:tcW w:w="2127" w:type="dxa"/>
            <w:vMerge/>
            <w:vAlign w:val="top"/>
          </w:tcPr>
          <w:p w14:paraId="6D406501" w14:textId="77777777" w:rsidR="000B51B3" w:rsidRPr="00857415" w:rsidRDefault="000B51B3" w:rsidP="00857415">
            <w:pPr>
              <w:pStyle w:val="Tabletextleft"/>
              <w:rPr>
                <w:rFonts w:eastAsiaTheme="majorEastAsia"/>
              </w:rPr>
            </w:pPr>
          </w:p>
        </w:tc>
      </w:tr>
      <w:tr w:rsidR="00CA5758" w:rsidRPr="00857415" w14:paraId="361DD30D" w14:textId="77777777" w:rsidTr="00857415">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3E0070B" w14:textId="01813DB9" w:rsidR="00CA5758" w:rsidRPr="00857415" w:rsidRDefault="00CA5758" w:rsidP="00857415">
            <w:pPr>
              <w:pStyle w:val="Tabletextleft"/>
              <w:rPr>
                <w:rFonts w:eastAsiaTheme="majorEastAsia"/>
              </w:rPr>
            </w:pPr>
            <w:r w:rsidRPr="00857415">
              <w:rPr>
                <w:rFonts w:eastAsiaTheme="majorEastAsia"/>
              </w:rPr>
              <w:t>E.C. 1</w:t>
            </w:r>
          </w:p>
        </w:tc>
        <w:tc>
          <w:tcPr>
            <w:tcW w:w="7512"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0410D5B" w14:textId="77777777" w:rsidR="00CA5758" w:rsidRPr="00857415" w:rsidRDefault="00CA5758" w:rsidP="00857415">
            <w:pPr>
              <w:pStyle w:val="Tabletextleft"/>
              <w:rPr>
                <w:rFonts w:eastAsiaTheme="majorEastAsia"/>
              </w:rPr>
            </w:pPr>
            <w:r w:rsidRPr="00857415">
              <w:rPr>
                <w:rFonts w:eastAsiaTheme="majorEastAsia"/>
              </w:rPr>
              <w:t>Proportion of notifications with enhanced data field completed:</w:t>
            </w:r>
          </w:p>
          <w:p w14:paraId="34D3F58A" w14:textId="2DAFCE53" w:rsidR="00CA5758" w:rsidRPr="00857415" w:rsidRDefault="00CA5758" w:rsidP="001568D6">
            <w:pPr>
              <w:pStyle w:val="Tablelistbullet"/>
              <w:rPr>
                <w:rFonts w:eastAsiaTheme="majorEastAsia"/>
              </w:rPr>
            </w:pPr>
            <w:r w:rsidRPr="00857415">
              <w:rPr>
                <w:rFonts w:eastAsiaTheme="majorEastAsia"/>
              </w:rPr>
              <w:t>Infectious syphilis (&lt;2 years duration)</w:t>
            </w:r>
          </w:p>
          <w:p w14:paraId="447ADC01" w14:textId="4179625B" w:rsidR="00CA5758" w:rsidRPr="00857415" w:rsidRDefault="00CA5758" w:rsidP="001568D6">
            <w:pPr>
              <w:pStyle w:val="Tablelistbullet"/>
              <w:rPr>
                <w:rFonts w:eastAsiaTheme="majorEastAsia"/>
              </w:rPr>
            </w:pPr>
            <w:r w:rsidRPr="00857415">
              <w:rPr>
                <w:rFonts w:eastAsiaTheme="majorEastAsia"/>
              </w:rPr>
              <w:t>Congenital syphilis</w:t>
            </w:r>
          </w:p>
        </w:tc>
        <w:tc>
          <w:tcPr>
            <w:tcW w:w="2835"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856F63E" w14:textId="050B824F" w:rsidR="00CA5758" w:rsidRPr="00857415" w:rsidRDefault="006A04C2" w:rsidP="00857415">
            <w:pPr>
              <w:pStyle w:val="Tabletextleft"/>
              <w:rPr>
                <w:rFonts w:eastAsiaTheme="majorEastAsia"/>
              </w:rPr>
            </w:pPr>
            <w:r w:rsidRPr="00857415">
              <w:rPr>
                <w:rFonts w:eastAsiaTheme="majorEastAsia"/>
              </w:rPr>
              <w:t>NNDSS</w:t>
            </w:r>
          </w:p>
        </w:tc>
        <w:tc>
          <w:tcPr>
            <w:tcW w:w="2127"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B31873B" w14:textId="6DBBE047" w:rsidR="00CA5758" w:rsidRPr="00857415" w:rsidRDefault="006A04C2" w:rsidP="00857415">
            <w:pPr>
              <w:pStyle w:val="Tabletextleft"/>
              <w:rPr>
                <w:rFonts w:eastAsiaTheme="majorEastAsia"/>
              </w:rPr>
            </w:pPr>
            <w:r w:rsidRPr="00857415">
              <w:rPr>
                <w:rFonts w:eastAsiaTheme="majorEastAsia"/>
              </w:rPr>
              <w:t>Quarterly</w:t>
            </w:r>
          </w:p>
        </w:tc>
      </w:tr>
      <w:tr w:rsidR="00CA5758" w:rsidRPr="00857415" w14:paraId="514E892D" w14:textId="77777777" w:rsidTr="00857415">
        <w:tc>
          <w:tcPr>
            <w:tcW w:w="1555" w:type="dxa"/>
            <w:vAlign w:val="top"/>
          </w:tcPr>
          <w:p w14:paraId="0ACAF4BD" w14:textId="70BBD4B6" w:rsidR="00CA5758" w:rsidRPr="00857415" w:rsidRDefault="00CA5758" w:rsidP="00857415">
            <w:pPr>
              <w:pStyle w:val="Tabletextleft"/>
              <w:rPr>
                <w:rFonts w:eastAsiaTheme="majorEastAsia"/>
              </w:rPr>
            </w:pPr>
            <w:r w:rsidRPr="00857415">
              <w:rPr>
                <w:rFonts w:eastAsiaTheme="majorEastAsia"/>
              </w:rPr>
              <w:t>E.C. 2</w:t>
            </w:r>
          </w:p>
        </w:tc>
        <w:tc>
          <w:tcPr>
            <w:tcW w:w="7512" w:type="dxa"/>
            <w:vMerge/>
            <w:vAlign w:val="top"/>
          </w:tcPr>
          <w:p w14:paraId="271BBCF2" w14:textId="77777777" w:rsidR="00CA5758" w:rsidRPr="00857415" w:rsidRDefault="00CA5758" w:rsidP="00857415">
            <w:pPr>
              <w:pStyle w:val="Tabletextleft"/>
              <w:rPr>
                <w:rFonts w:eastAsiaTheme="majorEastAsia"/>
              </w:rPr>
            </w:pPr>
          </w:p>
        </w:tc>
        <w:tc>
          <w:tcPr>
            <w:tcW w:w="2835" w:type="dxa"/>
            <w:vMerge/>
            <w:vAlign w:val="top"/>
          </w:tcPr>
          <w:p w14:paraId="6E2C51EC" w14:textId="77777777" w:rsidR="00CA5758" w:rsidRPr="00857415" w:rsidRDefault="00CA5758" w:rsidP="00857415">
            <w:pPr>
              <w:pStyle w:val="Tabletextleft"/>
              <w:rPr>
                <w:rFonts w:eastAsiaTheme="majorEastAsia"/>
              </w:rPr>
            </w:pPr>
          </w:p>
        </w:tc>
        <w:tc>
          <w:tcPr>
            <w:tcW w:w="2127" w:type="dxa"/>
            <w:vMerge/>
            <w:vAlign w:val="top"/>
          </w:tcPr>
          <w:p w14:paraId="354FCBE9" w14:textId="77777777" w:rsidR="00CA5758" w:rsidRPr="00857415" w:rsidRDefault="00CA5758" w:rsidP="00857415">
            <w:pPr>
              <w:pStyle w:val="Tabletextleft"/>
              <w:rPr>
                <w:rFonts w:eastAsiaTheme="majorEastAsia"/>
              </w:rPr>
            </w:pPr>
          </w:p>
        </w:tc>
      </w:tr>
    </w:tbl>
    <w:p w14:paraId="0BAB75AC" w14:textId="302B5626" w:rsidR="005B0DA2" w:rsidRPr="00595172" w:rsidRDefault="005B0DA2" w:rsidP="001568D6">
      <w:pPr>
        <w:pStyle w:val="Tableheadings"/>
      </w:pPr>
      <w:r w:rsidRPr="00595172">
        <w:t xml:space="preserve">Table </w:t>
      </w:r>
      <w:r w:rsidR="00A3484F" w:rsidRPr="00595172">
        <w:t>2</w:t>
      </w:r>
      <w:r w:rsidRPr="00595172">
        <w:t xml:space="preserve">: </w:t>
      </w:r>
      <w:r w:rsidR="00595172" w:rsidRPr="00595172">
        <w:t>National syphilis goals and indicators</w:t>
      </w: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2"/>
        <w:gridCol w:w="2835"/>
        <w:gridCol w:w="2127"/>
      </w:tblGrid>
      <w:tr w:rsidR="00A3484F" w:rsidRPr="00CC0ECE" w14:paraId="57167414" w14:textId="77777777" w:rsidTr="00CC0ECE">
        <w:trPr>
          <w:cnfStyle w:val="100000000000" w:firstRow="1" w:lastRow="0" w:firstColumn="0" w:lastColumn="0" w:oddVBand="0" w:evenVBand="0" w:oddHBand="0" w:evenHBand="0" w:firstRowFirstColumn="0" w:firstRowLastColumn="0" w:lastRowFirstColumn="0" w:lastRowLastColumn="0"/>
          <w:tblHeader/>
        </w:trPr>
        <w:tc>
          <w:tcPr>
            <w:tcW w:w="1555" w:type="dxa"/>
            <w:vAlign w:val="top"/>
          </w:tcPr>
          <w:p w14:paraId="4BCDEF7F" w14:textId="77777777" w:rsidR="00A3484F" w:rsidRPr="00CC0ECE" w:rsidRDefault="00A3484F" w:rsidP="00CC0ECE">
            <w:pPr>
              <w:pStyle w:val="Tabletextleft"/>
              <w:rPr>
                <w:rFonts w:eastAsiaTheme="majorEastAsia"/>
                <w:b/>
              </w:rPr>
            </w:pPr>
            <w:r w:rsidRPr="00CC0ECE">
              <w:rPr>
                <w:rFonts w:eastAsiaTheme="majorEastAsia"/>
                <w:b/>
              </w:rPr>
              <w:t>No. Indicator</w:t>
            </w:r>
          </w:p>
        </w:tc>
        <w:tc>
          <w:tcPr>
            <w:tcW w:w="7512" w:type="dxa"/>
            <w:vAlign w:val="top"/>
          </w:tcPr>
          <w:p w14:paraId="3669B4D4" w14:textId="77777777" w:rsidR="00A3484F" w:rsidRPr="00CC0ECE" w:rsidRDefault="00A3484F" w:rsidP="00CC0ECE">
            <w:pPr>
              <w:pStyle w:val="Tabletextleft"/>
              <w:rPr>
                <w:rFonts w:eastAsiaTheme="majorEastAsia"/>
                <w:b/>
              </w:rPr>
            </w:pPr>
            <w:r w:rsidRPr="00CC0ECE">
              <w:rPr>
                <w:rFonts w:eastAsiaTheme="majorEastAsia"/>
                <w:b/>
              </w:rPr>
              <w:t>Indicator</w:t>
            </w:r>
          </w:p>
        </w:tc>
        <w:tc>
          <w:tcPr>
            <w:tcW w:w="2835" w:type="dxa"/>
            <w:vAlign w:val="top"/>
          </w:tcPr>
          <w:p w14:paraId="104AECC1" w14:textId="77777777" w:rsidR="00A3484F" w:rsidRPr="00CC0ECE" w:rsidRDefault="00A3484F" w:rsidP="00CC0ECE">
            <w:pPr>
              <w:pStyle w:val="Tabletextleft"/>
              <w:rPr>
                <w:rFonts w:eastAsiaTheme="majorEastAsia"/>
                <w:b/>
              </w:rPr>
            </w:pPr>
            <w:r w:rsidRPr="00CC0ECE">
              <w:rPr>
                <w:rFonts w:eastAsiaTheme="majorEastAsia"/>
                <w:b/>
              </w:rPr>
              <w:t>Data source (s)</w:t>
            </w:r>
          </w:p>
        </w:tc>
        <w:tc>
          <w:tcPr>
            <w:tcW w:w="2127" w:type="dxa"/>
            <w:vAlign w:val="top"/>
          </w:tcPr>
          <w:p w14:paraId="25696362" w14:textId="3C755BC7" w:rsidR="00A3484F" w:rsidRPr="00CC0ECE" w:rsidRDefault="00A3484F" w:rsidP="00CC0ECE">
            <w:pPr>
              <w:pStyle w:val="Tabletextleft"/>
              <w:rPr>
                <w:rFonts w:eastAsiaTheme="majorEastAsia"/>
                <w:b/>
              </w:rPr>
            </w:pPr>
            <w:r w:rsidRPr="00CC0ECE">
              <w:rPr>
                <w:rFonts w:eastAsiaTheme="majorEastAsia"/>
                <w:b/>
              </w:rPr>
              <w:t>Reporting</w:t>
            </w:r>
          </w:p>
        </w:tc>
      </w:tr>
      <w:tr w:rsidR="00A3484F" w:rsidRPr="00CC0ECE" w14:paraId="493F92A3" w14:textId="77777777" w:rsidTr="00CC0ECE">
        <w:trPr>
          <w:cnfStyle w:val="000000100000" w:firstRow="0" w:lastRow="0" w:firstColumn="0" w:lastColumn="0" w:oddVBand="0" w:evenVBand="0" w:oddHBand="1" w:evenHBand="0" w:firstRowFirstColumn="0" w:firstRowLastColumn="0" w:lastRowFirstColumn="0" w:lastRowLastColumn="0"/>
        </w:trPr>
        <w:tc>
          <w:tcPr>
            <w:tcW w:w="1402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136FF610" w14:textId="192F939C" w:rsidR="00A3484F" w:rsidRPr="00CC0ECE" w:rsidRDefault="00A3484F" w:rsidP="00CC0ECE">
            <w:pPr>
              <w:pStyle w:val="Tabletextleft"/>
              <w:rPr>
                <w:rFonts w:eastAsiaTheme="majorEastAsia"/>
                <w:b/>
              </w:rPr>
            </w:pPr>
            <w:r w:rsidRPr="00CC0ECE">
              <w:rPr>
                <w:rFonts w:eastAsiaTheme="majorEastAsia"/>
                <w:b/>
              </w:rPr>
              <w:t xml:space="preserve">GOAL 1 </w:t>
            </w:r>
            <w:r w:rsidR="002A0342">
              <w:rPr>
                <w:rFonts w:eastAsiaTheme="majorEastAsia"/>
                <w:b/>
              </w:rPr>
              <w:t>–</w:t>
            </w:r>
            <w:r w:rsidRPr="00CC0ECE">
              <w:rPr>
                <w:rFonts w:eastAsiaTheme="majorEastAsia"/>
                <w:b/>
              </w:rPr>
              <w:t xml:space="preserve"> Strengthen prevention and testing strategies for syphilis in priority populations and settings, targeting high-burden areas</w:t>
            </w:r>
          </w:p>
        </w:tc>
      </w:tr>
      <w:tr w:rsidR="001C2DC0" w:rsidRPr="00CC0ECE" w14:paraId="60D1215D" w14:textId="77777777" w:rsidTr="00CC0ECE">
        <w:trPr>
          <w:trHeight w:val="467"/>
        </w:trPr>
        <w:tc>
          <w:tcPr>
            <w:tcW w:w="1555" w:type="dxa"/>
            <w:vAlign w:val="top"/>
          </w:tcPr>
          <w:p w14:paraId="26E9545A" w14:textId="43A7B8C1" w:rsidR="001C2DC0" w:rsidRPr="00F31C2D" w:rsidRDefault="001C2DC0" w:rsidP="00F31C2D">
            <w:pPr>
              <w:pStyle w:val="Tabletextleft"/>
              <w:rPr>
                <w:rFonts w:eastAsiaTheme="majorEastAsia"/>
                <w:b/>
              </w:rPr>
            </w:pPr>
            <w:r w:rsidRPr="00F31C2D">
              <w:rPr>
                <w:b/>
              </w:rPr>
              <w:t>1.1</w:t>
            </w:r>
          </w:p>
        </w:tc>
        <w:tc>
          <w:tcPr>
            <w:tcW w:w="7512" w:type="dxa"/>
            <w:vAlign w:val="top"/>
          </w:tcPr>
          <w:p w14:paraId="6055D211" w14:textId="146791AB" w:rsidR="001C2DC0" w:rsidRPr="00CC0ECE" w:rsidRDefault="001C2DC0" w:rsidP="00CC0ECE">
            <w:pPr>
              <w:pStyle w:val="Tabletextleft"/>
              <w:rPr>
                <w:rFonts w:eastAsiaTheme="majorEastAsia"/>
              </w:rPr>
            </w:pPr>
            <w:r w:rsidRPr="00CC0ECE">
              <w:t>Reported risk factors for people giving birth to an infant with congenital syphilis</w:t>
            </w:r>
          </w:p>
        </w:tc>
        <w:tc>
          <w:tcPr>
            <w:tcW w:w="2835" w:type="dxa"/>
            <w:vAlign w:val="top"/>
          </w:tcPr>
          <w:p w14:paraId="5768BA0E" w14:textId="050C0EFC" w:rsidR="001C2DC0" w:rsidRPr="00CC0ECE" w:rsidRDefault="004E546E" w:rsidP="00CC0ECE">
            <w:pPr>
              <w:pStyle w:val="Tabletextleft"/>
              <w:rPr>
                <w:rFonts w:eastAsiaTheme="majorEastAsia"/>
              </w:rPr>
            </w:pPr>
            <w:r w:rsidRPr="00CC0ECE">
              <w:rPr>
                <w:rFonts w:eastAsiaTheme="majorEastAsia"/>
              </w:rPr>
              <w:t>NNDSS</w:t>
            </w:r>
          </w:p>
        </w:tc>
        <w:tc>
          <w:tcPr>
            <w:tcW w:w="2127" w:type="dxa"/>
            <w:vAlign w:val="top"/>
          </w:tcPr>
          <w:p w14:paraId="67B689CB" w14:textId="69D99751" w:rsidR="001C2DC0" w:rsidRPr="00CC0ECE" w:rsidRDefault="004E546E" w:rsidP="00CC0ECE">
            <w:pPr>
              <w:pStyle w:val="Tabletextleft"/>
              <w:rPr>
                <w:rFonts w:eastAsiaTheme="majorEastAsia"/>
              </w:rPr>
            </w:pPr>
            <w:r w:rsidRPr="00CC0ECE">
              <w:rPr>
                <w:rFonts w:eastAsiaTheme="majorEastAsia"/>
              </w:rPr>
              <w:t>Quarterly</w:t>
            </w:r>
          </w:p>
        </w:tc>
      </w:tr>
      <w:tr w:rsidR="001C2DC0" w:rsidRPr="00CC0ECE" w14:paraId="440C5D6E"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1F9C6D9" w14:textId="644C0085" w:rsidR="001C2DC0" w:rsidRPr="00F31C2D" w:rsidRDefault="001C2DC0" w:rsidP="00F31C2D">
            <w:pPr>
              <w:pStyle w:val="Tabletextleft"/>
              <w:rPr>
                <w:rFonts w:eastAsiaTheme="majorEastAsia"/>
                <w:b/>
              </w:rPr>
            </w:pPr>
            <w:r w:rsidRPr="00F31C2D">
              <w:rPr>
                <w:b/>
              </w:rPr>
              <w:t>1.2</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64E5968" w14:textId="52BCDF62" w:rsidR="001C2DC0" w:rsidRPr="00CC0ECE" w:rsidRDefault="001C2DC0" w:rsidP="00CC0ECE">
            <w:pPr>
              <w:pStyle w:val="Tabletextleft"/>
              <w:rPr>
                <w:rFonts w:eastAsiaTheme="majorEastAsia"/>
              </w:rPr>
            </w:pPr>
            <w:r w:rsidRPr="00CC0ECE">
              <w:t>Cumulative number of syphilis tests delivered through participating ACCHS, by target and total population</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6C8DE2C" w14:textId="311E2C37" w:rsidR="001C2DC0" w:rsidRPr="00CC0ECE" w:rsidRDefault="00035080" w:rsidP="00CC0ECE">
            <w:pPr>
              <w:pStyle w:val="Tabletextleft"/>
              <w:rPr>
                <w:rFonts w:eastAsiaTheme="majorEastAsia"/>
              </w:rPr>
            </w:pPr>
            <w:r w:rsidRPr="00CC0ECE">
              <w:rPr>
                <w:rFonts w:eastAsiaTheme="majorEastAsia"/>
              </w:rPr>
              <w:t>ACCHS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3000D55" w14:textId="6BE0B508" w:rsidR="001C2DC0" w:rsidRPr="00CC0ECE" w:rsidRDefault="00035080" w:rsidP="00CC0ECE">
            <w:pPr>
              <w:pStyle w:val="Tabletextleft"/>
              <w:rPr>
                <w:rFonts w:eastAsiaTheme="majorEastAsia"/>
              </w:rPr>
            </w:pPr>
            <w:r w:rsidRPr="00CC0ECE">
              <w:rPr>
                <w:rFonts w:eastAsiaTheme="majorEastAsia"/>
              </w:rPr>
              <w:t>Quarterly</w:t>
            </w:r>
          </w:p>
        </w:tc>
      </w:tr>
      <w:tr w:rsidR="001C2DC0" w:rsidRPr="00CC0ECE" w14:paraId="4C3D470A" w14:textId="77777777" w:rsidTr="00CC0ECE">
        <w:tc>
          <w:tcPr>
            <w:tcW w:w="1555" w:type="dxa"/>
            <w:vAlign w:val="top"/>
          </w:tcPr>
          <w:p w14:paraId="69813CA4" w14:textId="32D2901D" w:rsidR="001C2DC0" w:rsidRPr="00F31C2D" w:rsidRDefault="001C2DC0" w:rsidP="00F31C2D">
            <w:pPr>
              <w:pStyle w:val="Tabletextleft"/>
              <w:rPr>
                <w:rFonts w:eastAsiaTheme="majorEastAsia"/>
                <w:b/>
              </w:rPr>
            </w:pPr>
            <w:r w:rsidRPr="00F31C2D">
              <w:rPr>
                <w:b/>
              </w:rPr>
              <w:lastRenderedPageBreak/>
              <w:t>1.3</w:t>
            </w:r>
          </w:p>
        </w:tc>
        <w:tc>
          <w:tcPr>
            <w:tcW w:w="7512" w:type="dxa"/>
            <w:vAlign w:val="top"/>
          </w:tcPr>
          <w:p w14:paraId="1E005897" w14:textId="52EF7663" w:rsidR="001C2DC0" w:rsidRPr="00CC0ECE" w:rsidRDefault="001C2DC0" w:rsidP="00CC0ECE">
            <w:pPr>
              <w:pStyle w:val="Tabletextleft"/>
              <w:rPr>
                <w:rFonts w:eastAsiaTheme="majorEastAsia"/>
              </w:rPr>
            </w:pPr>
            <w:r w:rsidRPr="00CC0ECE">
              <w:t>Proportion of people attending participating ACCHS receiving a syphilis test within the previous 12 months, by target and total population (syphilis testing coverage)</w:t>
            </w:r>
          </w:p>
        </w:tc>
        <w:tc>
          <w:tcPr>
            <w:tcW w:w="2835" w:type="dxa"/>
            <w:vAlign w:val="top"/>
          </w:tcPr>
          <w:p w14:paraId="0E5359BF" w14:textId="0834C9B5" w:rsidR="001C2DC0" w:rsidRPr="00CC0ECE" w:rsidRDefault="00035080" w:rsidP="00CC0ECE">
            <w:pPr>
              <w:pStyle w:val="Tabletextleft"/>
              <w:rPr>
                <w:rFonts w:eastAsiaTheme="majorEastAsia"/>
              </w:rPr>
            </w:pPr>
            <w:r w:rsidRPr="00CC0ECE">
              <w:rPr>
                <w:rFonts w:eastAsiaTheme="majorEastAsia"/>
              </w:rPr>
              <w:t>ACCHS</w:t>
            </w:r>
          </w:p>
        </w:tc>
        <w:tc>
          <w:tcPr>
            <w:tcW w:w="2127" w:type="dxa"/>
            <w:vAlign w:val="top"/>
          </w:tcPr>
          <w:p w14:paraId="2EA6B367" w14:textId="7D9E04D4" w:rsidR="001C2DC0" w:rsidRPr="00CC0ECE" w:rsidRDefault="00035080" w:rsidP="00CC0ECE">
            <w:pPr>
              <w:pStyle w:val="Tabletextleft"/>
              <w:rPr>
                <w:rFonts w:eastAsiaTheme="majorEastAsia"/>
              </w:rPr>
            </w:pPr>
            <w:r w:rsidRPr="00CC0ECE">
              <w:rPr>
                <w:rFonts w:eastAsiaTheme="majorEastAsia"/>
              </w:rPr>
              <w:t>Quarterly</w:t>
            </w:r>
          </w:p>
        </w:tc>
      </w:tr>
      <w:tr w:rsidR="001C2DC0" w:rsidRPr="00CC0ECE" w14:paraId="47FD4A35"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EC9949C" w14:textId="479D833D" w:rsidR="001C2DC0" w:rsidRPr="00F31C2D" w:rsidRDefault="001C2DC0" w:rsidP="00F31C2D">
            <w:pPr>
              <w:pStyle w:val="Tabletextleft"/>
              <w:rPr>
                <w:rFonts w:eastAsiaTheme="majorEastAsia"/>
                <w:b/>
              </w:rPr>
            </w:pPr>
            <w:r w:rsidRPr="00F31C2D">
              <w:rPr>
                <w:b/>
              </w:rPr>
              <w:t>1.4</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6572BB2" w14:textId="4F30AEE1" w:rsidR="001C2DC0" w:rsidRPr="00CC0ECE" w:rsidRDefault="001C2DC0" w:rsidP="00CC0ECE">
            <w:pPr>
              <w:pStyle w:val="Tabletextleft"/>
              <w:rPr>
                <w:rFonts w:eastAsiaTheme="majorEastAsia"/>
              </w:rPr>
            </w:pPr>
            <w:r w:rsidRPr="00CC0ECE">
              <w:t xml:space="preserve">Proportion of </w:t>
            </w:r>
            <w:r w:rsidR="00393284" w:rsidRPr="00CC0ECE">
              <w:t xml:space="preserve">people from priority populations </w:t>
            </w:r>
            <w:r w:rsidRPr="00CC0ECE">
              <w:t xml:space="preserve">tested for syphilis </w:t>
            </w:r>
            <w:r w:rsidR="00393284" w:rsidRPr="00CC0ECE">
              <w:t>in the p</w:t>
            </w:r>
            <w:r w:rsidRPr="00CC0ECE">
              <w:t>revious 12 months attending a site within the ACCESS network</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9340B6E" w14:textId="0B48912B" w:rsidR="001C2DC0" w:rsidRPr="00CC0ECE" w:rsidRDefault="00035080" w:rsidP="00CC0ECE">
            <w:pPr>
              <w:pStyle w:val="Tabletextleft"/>
              <w:rPr>
                <w:rFonts w:eastAsiaTheme="majorEastAsia"/>
              </w:rPr>
            </w:pPr>
            <w:r w:rsidRPr="00CC0ECE">
              <w:rPr>
                <w:rFonts w:eastAsiaTheme="majorEastAsia"/>
              </w:rPr>
              <w:t>ACCESS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CA7448A" w14:textId="36ACC04A" w:rsidR="001C2DC0" w:rsidRPr="00CC0ECE" w:rsidRDefault="00035080" w:rsidP="00CC0ECE">
            <w:pPr>
              <w:pStyle w:val="Tabletextleft"/>
              <w:rPr>
                <w:rFonts w:eastAsiaTheme="majorEastAsia"/>
              </w:rPr>
            </w:pPr>
            <w:r w:rsidRPr="00CC0ECE">
              <w:rPr>
                <w:rFonts w:eastAsiaTheme="majorEastAsia"/>
              </w:rPr>
              <w:t>Annually</w:t>
            </w:r>
          </w:p>
        </w:tc>
      </w:tr>
      <w:tr w:rsidR="001C2DC0" w:rsidRPr="00CC0ECE" w14:paraId="4CF537A9" w14:textId="77777777" w:rsidTr="00CC0ECE">
        <w:trPr>
          <w:trHeight w:val="778"/>
        </w:trPr>
        <w:tc>
          <w:tcPr>
            <w:tcW w:w="1555" w:type="dxa"/>
            <w:vAlign w:val="top"/>
          </w:tcPr>
          <w:p w14:paraId="32FAFEC0" w14:textId="7823A708" w:rsidR="001C2DC0" w:rsidRPr="00F31C2D" w:rsidRDefault="001C2DC0" w:rsidP="00F31C2D">
            <w:pPr>
              <w:pStyle w:val="Tabletextleft"/>
              <w:rPr>
                <w:rFonts w:eastAsiaTheme="majorEastAsia"/>
                <w:b/>
              </w:rPr>
            </w:pPr>
            <w:r w:rsidRPr="00F31C2D">
              <w:rPr>
                <w:b/>
              </w:rPr>
              <w:t>1.5</w:t>
            </w:r>
          </w:p>
        </w:tc>
        <w:tc>
          <w:tcPr>
            <w:tcW w:w="7512" w:type="dxa"/>
            <w:vAlign w:val="top"/>
          </w:tcPr>
          <w:p w14:paraId="620BD0E8" w14:textId="0ACBC40A" w:rsidR="001C2DC0" w:rsidRPr="00CC0ECE" w:rsidRDefault="001C2DC0" w:rsidP="00CC0ECE">
            <w:pPr>
              <w:pStyle w:val="Tabletextleft"/>
              <w:rPr>
                <w:rFonts w:eastAsiaTheme="majorEastAsia"/>
              </w:rPr>
            </w:pPr>
            <w:r w:rsidRPr="00CC0ECE">
              <w:t>Proportion of gay and bisexual men who have sex with men who have been tested for syphilis three or more times in the previous 12 months attending a site within the ACCESS network</w:t>
            </w:r>
          </w:p>
        </w:tc>
        <w:tc>
          <w:tcPr>
            <w:tcW w:w="2835" w:type="dxa"/>
            <w:vAlign w:val="top"/>
          </w:tcPr>
          <w:p w14:paraId="7A5A4738" w14:textId="775D49B7" w:rsidR="001C2DC0" w:rsidRPr="00CC0ECE" w:rsidRDefault="00035080" w:rsidP="00CC0ECE">
            <w:pPr>
              <w:pStyle w:val="Tabletextleft"/>
              <w:rPr>
                <w:rFonts w:eastAsiaTheme="majorEastAsia"/>
              </w:rPr>
            </w:pPr>
            <w:r w:rsidRPr="00CC0ECE">
              <w:rPr>
                <w:rFonts w:eastAsiaTheme="majorEastAsia"/>
              </w:rPr>
              <w:t>ACCESS</w:t>
            </w:r>
          </w:p>
        </w:tc>
        <w:tc>
          <w:tcPr>
            <w:tcW w:w="2127" w:type="dxa"/>
            <w:vAlign w:val="top"/>
          </w:tcPr>
          <w:p w14:paraId="746B219B" w14:textId="01791C33" w:rsidR="001C2DC0" w:rsidRPr="00CC0ECE" w:rsidRDefault="00035080" w:rsidP="00CC0ECE">
            <w:pPr>
              <w:pStyle w:val="Tabletextleft"/>
              <w:rPr>
                <w:rFonts w:eastAsiaTheme="majorEastAsia"/>
              </w:rPr>
            </w:pPr>
            <w:r w:rsidRPr="00CC0ECE">
              <w:rPr>
                <w:rFonts w:eastAsiaTheme="majorEastAsia"/>
              </w:rPr>
              <w:t>Annually</w:t>
            </w:r>
          </w:p>
        </w:tc>
      </w:tr>
      <w:tr w:rsidR="001C2DC0" w:rsidRPr="00CC0ECE" w14:paraId="6AC5B663"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69BEA77" w14:textId="462C6277" w:rsidR="001C2DC0" w:rsidRPr="00F31C2D" w:rsidRDefault="001C2DC0" w:rsidP="00F31C2D">
            <w:pPr>
              <w:pStyle w:val="Tabletextleft"/>
              <w:rPr>
                <w:rFonts w:eastAsiaTheme="majorEastAsia"/>
                <w:b/>
              </w:rPr>
            </w:pPr>
            <w:r w:rsidRPr="00F31C2D">
              <w:rPr>
                <w:b/>
              </w:rPr>
              <w:t>1.6</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67EA740" w14:textId="2FCA36DD" w:rsidR="001C2DC0" w:rsidRPr="00CC0ECE" w:rsidRDefault="001C2DC0" w:rsidP="00CC0ECE">
            <w:pPr>
              <w:pStyle w:val="Tabletextleft"/>
              <w:rPr>
                <w:rFonts w:eastAsiaTheme="majorEastAsia"/>
              </w:rPr>
            </w:pPr>
            <w:r w:rsidRPr="00CC0ECE">
              <w:t>Proportion of women who gave birth, by duration of pregnancy at first antenatal visit</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3E34228" w14:textId="3C9E329E" w:rsidR="001C2DC0" w:rsidRPr="00CC0ECE" w:rsidRDefault="003B57B4" w:rsidP="00CC0ECE">
            <w:pPr>
              <w:pStyle w:val="Tabletextleft"/>
              <w:rPr>
                <w:rFonts w:eastAsiaTheme="majorEastAsia"/>
              </w:rPr>
            </w:pPr>
            <w:r w:rsidRPr="00CC0ECE">
              <w:rPr>
                <w:rFonts w:eastAsiaTheme="majorEastAsia"/>
              </w:rPr>
              <w:t>NPDC</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06DAE54" w14:textId="0506EB53" w:rsidR="001C2DC0" w:rsidRPr="00CC0ECE" w:rsidRDefault="003B57B4" w:rsidP="00CC0ECE">
            <w:pPr>
              <w:pStyle w:val="Tabletextleft"/>
              <w:rPr>
                <w:rFonts w:eastAsiaTheme="majorEastAsia"/>
              </w:rPr>
            </w:pPr>
            <w:r w:rsidRPr="00CC0ECE">
              <w:rPr>
                <w:rFonts w:eastAsiaTheme="majorEastAsia"/>
              </w:rPr>
              <w:t>Annually</w:t>
            </w:r>
          </w:p>
        </w:tc>
      </w:tr>
      <w:tr w:rsidR="001C2DC0" w:rsidRPr="00CC0ECE" w14:paraId="58ED5C37" w14:textId="77777777" w:rsidTr="00CC0ECE">
        <w:tc>
          <w:tcPr>
            <w:tcW w:w="1555" w:type="dxa"/>
            <w:vAlign w:val="top"/>
          </w:tcPr>
          <w:p w14:paraId="0ED7B94F" w14:textId="7BA788A2" w:rsidR="001C2DC0" w:rsidRPr="00F31C2D" w:rsidRDefault="001C2DC0" w:rsidP="00F31C2D">
            <w:pPr>
              <w:pStyle w:val="Tabletextleft"/>
              <w:rPr>
                <w:rFonts w:eastAsiaTheme="majorEastAsia"/>
                <w:b/>
              </w:rPr>
            </w:pPr>
            <w:r w:rsidRPr="00F31C2D">
              <w:rPr>
                <w:b/>
              </w:rPr>
              <w:t>1.7</w:t>
            </w:r>
          </w:p>
        </w:tc>
        <w:tc>
          <w:tcPr>
            <w:tcW w:w="7512" w:type="dxa"/>
            <w:vAlign w:val="top"/>
          </w:tcPr>
          <w:p w14:paraId="04ECB810" w14:textId="7C63F352" w:rsidR="001C2DC0" w:rsidRPr="00CC0ECE" w:rsidRDefault="001C2DC0" w:rsidP="00CC0ECE">
            <w:pPr>
              <w:pStyle w:val="Tabletextleft"/>
              <w:rPr>
                <w:rFonts w:eastAsiaTheme="majorEastAsia"/>
              </w:rPr>
            </w:pPr>
            <w:r w:rsidRPr="00CC0ECE">
              <w:t>Proportion of women who gave birth, by duration of pregnancy at first antenatal visit, by remoteness area</w:t>
            </w:r>
            <w:r w:rsidR="00393284" w:rsidRPr="00CC0ECE">
              <w:t xml:space="preserve"> </w:t>
            </w:r>
          </w:p>
        </w:tc>
        <w:tc>
          <w:tcPr>
            <w:tcW w:w="2835" w:type="dxa"/>
            <w:vAlign w:val="top"/>
          </w:tcPr>
          <w:p w14:paraId="085DDF4F" w14:textId="12D22AF6" w:rsidR="001C2DC0" w:rsidRPr="00CC0ECE" w:rsidRDefault="00035080" w:rsidP="00CC0ECE">
            <w:pPr>
              <w:pStyle w:val="Tabletextleft"/>
              <w:rPr>
                <w:rFonts w:eastAsiaTheme="majorEastAsia"/>
              </w:rPr>
            </w:pPr>
            <w:r w:rsidRPr="00CC0ECE">
              <w:rPr>
                <w:rFonts w:eastAsiaTheme="majorEastAsia"/>
              </w:rPr>
              <w:t>NPDC</w:t>
            </w:r>
          </w:p>
        </w:tc>
        <w:tc>
          <w:tcPr>
            <w:tcW w:w="2127" w:type="dxa"/>
            <w:vAlign w:val="top"/>
          </w:tcPr>
          <w:p w14:paraId="144C9499" w14:textId="2F68D0CC" w:rsidR="001C2DC0" w:rsidRPr="00CC0ECE" w:rsidRDefault="00035080" w:rsidP="00CC0ECE">
            <w:pPr>
              <w:pStyle w:val="Tabletextleft"/>
              <w:rPr>
                <w:rFonts w:eastAsiaTheme="majorEastAsia"/>
              </w:rPr>
            </w:pPr>
            <w:r w:rsidRPr="00CC0ECE">
              <w:rPr>
                <w:rFonts w:eastAsiaTheme="majorEastAsia"/>
              </w:rPr>
              <w:t>Annually</w:t>
            </w:r>
          </w:p>
        </w:tc>
      </w:tr>
      <w:tr w:rsidR="001C2DC0" w:rsidRPr="00CC0ECE" w14:paraId="00A414A6"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768B0EF" w14:textId="3E9C97D4" w:rsidR="001C2DC0" w:rsidRPr="00F31C2D" w:rsidRDefault="001C2DC0" w:rsidP="00F31C2D">
            <w:pPr>
              <w:pStyle w:val="Tabletextleft"/>
              <w:rPr>
                <w:rFonts w:eastAsiaTheme="majorEastAsia"/>
                <w:b/>
              </w:rPr>
            </w:pPr>
            <w:r w:rsidRPr="00F31C2D">
              <w:rPr>
                <w:b/>
              </w:rPr>
              <w:t>1.8</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658847B" w14:textId="18798579" w:rsidR="001C2DC0" w:rsidRPr="00CC0ECE" w:rsidRDefault="001C2DC0" w:rsidP="00CC0ECE">
            <w:pPr>
              <w:pStyle w:val="Tabletextleft"/>
              <w:rPr>
                <w:rFonts w:eastAsiaTheme="majorEastAsia"/>
              </w:rPr>
            </w:pPr>
            <w:r w:rsidRPr="00CC0ECE">
              <w:t>Proportion of women who gave birth, by number of antenatal visits</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CDF63B6" w14:textId="245C6FB8" w:rsidR="001C2DC0" w:rsidRPr="00CC0ECE" w:rsidRDefault="00035080" w:rsidP="00CC0ECE">
            <w:pPr>
              <w:pStyle w:val="Tabletextleft"/>
              <w:rPr>
                <w:rFonts w:eastAsiaTheme="majorEastAsia"/>
              </w:rPr>
            </w:pPr>
            <w:r w:rsidRPr="00CC0ECE">
              <w:rPr>
                <w:rFonts w:eastAsiaTheme="majorEastAsia"/>
              </w:rPr>
              <w:t>NPDC</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1010EDD" w14:textId="039AFD7D" w:rsidR="001C2DC0" w:rsidRPr="00CC0ECE" w:rsidRDefault="00035080" w:rsidP="00CC0ECE">
            <w:pPr>
              <w:pStyle w:val="Tabletextleft"/>
              <w:rPr>
                <w:rFonts w:eastAsiaTheme="majorEastAsia"/>
              </w:rPr>
            </w:pPr>
            <w:r w:rsidRPr="00CC0ECE">
              <w:rPr>
                <w:rFonts w:eastAsiaTheme="majorEastAsia"/>
              </w:rPr>
              <w:t>Annually</w:t>
            </w:r>
          </w:p>
        </w:tc>
      </w:tr>
      <w:tr w:rsidR="001C2DC0" w:rsidRPr="00CC0ECE" w14:paraId="334F83C3" w14:textId="77777777" w:rsidTr="00CC0ECE">
        <w:tc>
          <w:tcPr>
            <w:tcW w:w="1555" w:type="dxa"/>
            <w:vAlign w:val="top"/>
          </w:tcPr>
          <w:p w14:paraId="6355C3AB" w14:textId="09022430" w:rsidR="001C2DC0" w:rsidRPr="00F31C2D" w:rsidRDefault="001C2DC0" w:rsidP="00F31C2D">
            <w:pPr>
              <w:pStyle w:val="Tabletextleft"/>
              <w:rPr>
                <w:rFonts w:eastAsiaTheme="majorEastAsia"/>
                <w:b/>
              </w:rPr>
            </w:pPr>
            <w:r w:rsidRPr="00F31C2D">
              <w:rPr>
                <w:b/>
              </w:rPr>
              <w:t>1.9</w:t>
            </w:r>
          </w:p>
        </w:tc>
        <w:tc>
          <w:tcPr>
            <w:tcW w:w="7512" w:type="dxa"/>
            <w:vAlign w:val="top"/>
          </w:tcPr>
          <w:p w14:paraId="6C405DFF" w14:textId="217A87A1" w:rsidR="001C2DC0" w:rsidRPr="00CC0ECE" w:rsidRDefault="001C2DC0" w:rsidP="00CC0ECE">
            <w:pPr>
              <w:pStyle w:val="Tabletextleft"/>
              <w:rPr>
                <w:rFonts w:eastAsiaTheme="majorEastAsia"/>
              </w:rPr>
            </w:pPr>
            <w:r w:rsidRPr="00CC0ECE">
              <w:t>Proportion of women who gave birth, by number of antenatal visits, by remoteness area</w:t>
            </w:r>
            <w:r w:rsidR="00393284" w:rsidRPr="00CC0ECE">
              <w:t xml:space="preserve"> </w:t>
            </w:r>
          </w:p>
        </w:tc>
        <w:tc>
          <w:tcPr>
            <w:tcW w:w="2835" w:type="dxa"/>
            <w:vAlign w:val="top"/>
          </w:tcPr>
          <w:p w14:paraId="7C62E888" w14:textId="6688D24F" w:rsidR="001C2DC0" w:rsidRPr="00CC0ECE" w:rsidRDefault="00035080" w:rsidP="00CC0ECE">
            <w:pPr>
              <w:pStyle w:val="Tabletextleft"/>
              <w:rPr>
                <w:rFonts w:eastAsiaTheme="majorEastAsia"/>
              </w:rPr>
            </w:pPr>
            <w:r w:rsidRPr="00CC0ECE">
              <w:rPr>
                <w:rFonts w:eastAsiaTheme="majorEastAsia"/>
              </w:rPr>
              <w:t>NPDC</w:t>
            </w:r>
          </w:p>
        </w:tc>
        <w:tc>
          <w:tcPr>
            <w:tcW w:w="2127" w:type="dxa"/>
            <w:vAlign w:val="top"/>
          </w:tcPr>
          <w:p w14:paraId="797FB4FF" w14:textId="301410C9" w:rsidR="001C2DC0" w:rsidRPr="00CC0ECE" w:rsidRDefault="00035080" w:rsidP="00CC0ECE">
            <w:pPr>
              <w:pStyle w:val="Tabletextleft"/>
              <w:rPr>
                <w:rFonts w:eastAsiaTheme="majorEastAsia"/>
              </w:rPr>
            </w:pPr>
            <w:r w:rsidRPr="00CC0ECE">
              <w:rPr>
                <w:rFonts w:eastAsiaTheme="majorEastAsia"/>
              </w:rPr>
              <w:t>Annually</w:t>
            </w:r>
          </w:p>
        </w:tc>
      </w:tr>
      <w:tr w:rsidR="001C2DC0" w:rsidRPr="00CC0ECE" w14:paraId="63BABDEF"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4816A1B" w14:textId="6A75444E" w:rsidR="001C2DC0" w:rsidRPr="00F31C2D" w:rsidRDefault="001C2DC0" w:rsidP="00F31C2D">
            <w:pPr>
              <w:pStyle w:val="Tabletextleft"/>
              <w:rPr>
                <w:rFonts w:eastAsiaTheme="majorEastAsia"/>
                <w:b/>
              </w:rPr>
            </w:pPr>
            <w:r w:rsidRPr="00F31C2D">
              <w:rPr>
                <w:b/>
              </w:rPr>
              <w:t>1.10</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3D05477" w14:textId="2FCA4DB0" w:rsidR="001C2DC0" w:rsidRPr="00CC0ECE" w:rsidRDefault="001C2DC0" w:rsidP="00CC0ECE">
            <w:pPr>
              <w:pStyle w:val="Tabletextleft"/>
              <w:rPr>
                <w:rFonts w:eastAsiaTheme="majorEastAsia"/>
              </w:rPr>
            </w:pPr>
            <w:r w:rsidRPr="00CC0ECE">
              <w:t>Proportion of women who gave birth, by country of birth</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A453E16" w14:textId="44622602" w:rsidR="001C2DC0" w:rsidRPr="00CC0ECE" w:rsidRDefault="00035080" w:rsidP="00CC0ECE">
            <w:pPr>
              <w:pStyle w:val="Tabletextleft"/>
              <w:rPr>
                <w:rFonts w:eastAsiaTheme="majorEastAsia"/>
              </w:rPr>
            </w:pPr>
            <w:r w:rsidRPr="00CC0ECE">
              <w:rPr>
                <w:rFonts w:eastAsiaTheme="majorEastAsia"/>
              </w:rPr>
              <w:t>NPDC</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D6B9833" w14:textId="657D6FF5" w:rsidR="001C2DC0" w:rsidRPr="00CC0ECE" w:rsidRDefault="00035080" w:rsidP="00CC0ECE">
            <w:pPr>
              <w:pStyle w:val="Tabletextleft"/>
              <w:rPr>
                <w:rFonts w:eastAsiaTheme="majorEastAsia"/>
              </w:rPr>
            </w:pPr>
            <w:r w:rsidRPr="00CC0ECE">
              <w:rPr>
                <w:rFonts w:eastAsiaTheme="majorEastAsia"/>
              </w:rPr>
              <w:t>Annually</w:t>
            </w:r>
          </w:p>
        </w:tc>
      </w:tr>
      <w:tr w:rsidR="00A3484F" w:rsidRPr="00F31C2D" w14:paraId="40F7AE56" w14:textId="77777777" w:rsidTr="00F31C2D">
        <w:tc>
          <w:tcPr>
            <w:tcW w:w="14029" w:type="dxa"/>
            <w:gridSpan w:val="4"/>
            <w:shd w:val="clear" w:color="auto" w:fill="BEFEE9"/>
            <w:vAlign w:val="top"/>
          </w:tcPr>
          <w:p w14:paraId="29691FDA" w14:textId="708F44CA" w:rsidR="00A3484F" w:rsidRPr="00F31C2D" w:rsidRDefault="00A3484F" w:rsidP="00F31C2D">
            <w:pPr>
              <w:pStyle w:val="Tabletextleft"/>
              <w:rPr>
                <w:rFonts w:eastAsiaTheme="majorEastAsia"/>
                <w:b/>
              </w:rPr>
            </w:pPr>
            <w:r w:rsidRPr="00F31C2D">
              <w:rPr>
                <w:rFonts w:eastAsiaTheme="majorEastAsia"/>
                <w:b/>
              </w:rPr>
              <w:t xml:space="preserve">GOAL 2 </w:t>
            </w:r>
            <w:r w:rsidR="002A0342" w:rsidRPr="002A0342">
              <w:rPr>
                <w:rFonts w:eastAsiaTheme="majorEastAsia"/>
                <w:b/>
              </w:rPr>
              <w:t>–</w:t>
            </w:r>
            <w:r w:rsidRPr="00F31C2D">
              <w:rPr>
                <w:rFonts w:eastAsiaTheme="majorEastAsia"/>
                <w:b/>
              </w:rPr>
              <w:t xml:space="preserve"> Reduce ongoing transmission and incidence of syphilis across priority populations</w:t>
            </w:r>
          </w:p>
        </w:tc>
      </w:tr>
      <w:tr w:rsidR="00587DD4" w:rsidRPr="00CC0ECE" w14:paraId="1450D015"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8E7DF4C" w14:textId="72FAAEEB" w:rsidR="00587DD4" w:rsidRPr="00F31C2D" w:rsidRDefault="00587DD4" w:rsidP="00F31C2D">
            <w:pPr>
              <w:pStyle w:val="Tabletextleft"/>
              <w:rPr>
                <w:rFonts w:eastAsiaTheme="majorEastAsia"/>
                <w:b/>
              </w:rPr>
            </w:pPr>
            <w:r w:rsidRPr="00F31C2D">
              <w:rPr>
                <w:b/>
              </w:rPr>
              <w:t>2.1</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26E6071" w14:textId="4AEC06DD" w:rsidR="00587DD4" w:rsidRPr="00CC0ECE" w:rsidRDefault="00587DD4" w:rsidP="00CC0ECE">
            <w:pPr>
              <w:pStyle w:val="Tabletextleft"/>
              <w:rPr>
                <w:rFonts w:eastAsiaTheme="majorEastAsia"/>
              </w:rPr>
            </w:pPr>
            <w:r w:rsidRPr="00CC0ECE">
              <w:t>Notification rate of infectious syphilis by Indigenous status, sex, age and remoteness area</w:t>
            </w:r>
            <w:r w:rsidR="00393284" w:rsidRPr="00CC0ECE">
              <w:t xml:space="preserve"> classification</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F76B661" w14:textId="2715BCA6" w:rsidR="00587DD4" w:rsidRPr="00CC0ECE" w:rsidRDefault="007E2C23" w:rsidP="00CC0ECE">
            <w:pPr>
              <w:pStyle w:val="Tabletextleft"/>
              <w:rPr>
                <w:rFonts w:eastAsiaTheme="majorEastAsia"/>
              </w:rPr>
            </w:pPr>
            <w:r w:rsidRPr="00CC0ECE">
              <w:rPr>
                <w:rFonts w:eastAsiaTheme="majorEastAsia"/>
              </w:rPr>
              <w:t>NNDSS/ABS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83F6D4C" w14:textId="2565DAED" w:rsidR="00587DD4" w:rsidRPr="00CC0ECE" w:rsidRDefault="00AA453D" w:rsidP="00CC0ECE">
            <w:pPr>
              <w:pStyle w:val="Tabletextleft"/>
              <w:rPr>
                <w:rFonts w:eastAsiaTheme="majorEastAsia"/>
              </w:rPr>
            </w:pPr>
            <w:r w:rsidRPr="00CC0ECE">
              <w:rPr>
                <w:rFonts w:eastAsiaTheme="majorEastAsia"/>
              </w:rPr>
              <w:t>Quarterly</w:t>
            </w:r>
          </w:p>
        </w:tc>
      </w:tr>
      <w:tr w:rsidR="00587DD4" w:rsidRPr="00CC0ECE" w14:paraId="74E4BA92" w14:textId="77777777" w:rsidTr="00CC0ECE">
        <w:tc>
          <w:tcPr>
            <w:tcW w:w="1555" w:type="dxa"/>
            <w:vAlign w:val="top"/>
          </w:tcPr>
          <w:p w14:paraId="7B4B7670" w14:textId="0ED3604B" w:rsidR="00587DD4" w:rsidRPr="00F31C2D" w:rsidRDefault="00581157" w:rsidP="00F31C2D">
            <w:pPr>
              <w:pStyle w:val="Tabletextleft"/>
              <w:rPr>
                <w:rFonts w:eastAsiaTheme="majorEastAsia"/>
                <w:b/>
              </w:rPr>
            </w:pPr>
            <w:r w:rsidRPr="00F31C2D">
              <w:rPr>
                <w:rFonts w:eastAsiaTheme="majorEastAsia"/>
                <w:b/>
              </w:rPr>
              <w:t>2.2</w:t>
            </w:r>
          </w:p>
        </w:tc>
        <w:tc>
          <w:tcPr>
            <w:tcW w:w="7512" w:type="dxa"/>
            <w:vAlign w:val="top"/>
          </w:tcPr>
          <w:p w14:paraId="190BAB77" w14:textId="5AF67FF0" w:rsidR="00587DD4" w:rsidRPr="00CC0ECE" w:rsidRDefault="00587DD4" w:rsidP="00CC0ECE">
            <w:pPr>
              <w:pStyle w:val="Tabletextleft"/>
              <w:rPr>
                <w:rFonts w:eastAsiaTheme="majorEastAsia"/>
              </w:rPr>
            </w:pPr>
            <w:r w:rsidRPr="00CC0ECE">
              <w:t>Notification rate of infectious syphilis in Aboriginal and Torres Strait Islander peoples by Indigenous Areas (IAREs)</w:t>
            </w:r>
          </w:p>
        </w:tc>
        <w:tc>
          <w:tcPr>
            <w:tcW w:w="2835" w:type="dxa"/>
            <w:vAlign w:val="top"/>
          </w:tcPr>
          <w:p w14:paraId="6FBDA29C" w14:textId="68F65A96" w:rsidR="00587DD4" w:rsidRPr="00CC0ECE" w:rsidRDefault="007E2C23" w:rsidP="00CC0ECE">
            <w:pPr>
              <w:pStyle w:val="Tabletextleft"/>
              <w:rPr>
                <w:rFonts w:eastAsiaTheme="majorEastAsia"/>
              </w:rPr>
            </w:pPr>
            <w:r w:rsidRPr="00CC0ECE">
              <w:rPr>
                <w:rFonts w:eastAsiaTheme="majorEastAsia"/>
              </w:rPr>
              <w:t>NNDSS/ABS</w:t>
            </w:r>
          </w:p>
        </w:tc>
        <w:tc>
          <w:tcPr>
            <w:tcW w:w="2127" w:type="dxa"/>
            <w:vAlign w:val="top"/>
          </w:tcPr>
          <w:p w14:paraId="59142538" w14:textId="693AA6DA" w:rsidR="00587DD4" w:rsidRPr="00CC0ECE" w:rsidRDefault="00AA453D" w:rsidP="00CC0ECE">
            <w:pPr>
              <w:pStyle w:val="Tabletextleft"/>
              <w:rPr>
                <w:rFonts w:eastAsiaTheme="majorEastAsia"/>
              </w:rPr>
            </w:pPr>
            <w:r w:rsidRPr="00CC0ECE">
              <w:rPr>
                <w:rFonts w:eastAsiaTheme="majorEastAsia"/>
              </w:rPr>
              <w:t>Quarterly</w:t>
            </w:r>
          </w:p>
        </w:tc>
      </w:tr>
      <w:tr w:rsidR="00587DD4" w:rsidRPr="00CC0ECE" w14:paraId="02338EAB"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850DF6F" w14:textId="1615633C" w:rsidR="00587DD4" w:rsidRPr="00F31C2D" w:rsidRDefault="00587DD4" w:rsidP="00F31C2D">
            <w:pPr>
              <w:pStyle w:val="Tabletextleft"/>
              <w:rPr>
                <w:rFonts w:eastAsiaTheme="majorEastAsia"/>
                <w:b/>
              </w:rPr>
            </w:pPr>
            <w:r w:rsidRPr="00F31C2D">
              <w:rPr>
                <w:b/>
              </w:rPr>
              <w:lastRenderedPageBreak/>
              <w:t>2.3</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198701B" w14:textId="7EBCBEC8" w:rsidR="00587DD4" w:rsidRPr="00CC0ECE" w:rsidRDefault="00587DD4" w:rsidP="00CC0ECE">
            <w:pPr>
              <w:pStyle w:val="Tabletextleft"/>
              <w:rPr>
                <w:rFonts w:eastAsiaTheme="majorEastAsia"/>
              </w:rPr>
            </w:pPr>
            <w:r w:rsidRPr="00CC0ECE">
              <w:t>Notification rate of infectious syphilis by Statistical Area 3 (SA3), by Indigenous status</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01179ED" w14:textId="5AA16398" w:rsidR="00587DD4" w:rsidRPr="00CC0ECE" w:rsidRDefault="007E2C23" w:rsidP="00CC0ECE">
            <w:pPr>
              <w:pStyle w:val="Tabletextleft"/>
              <w:rPr>
                <w:rFonts w:eastAsiaTheme="majorEastAsia"/>
              </w:rPr>
            </w:pPr>
            <w:r w:rsidRPr="00CC0ECE">
              <w:rPr>
                <w:rFonts w:eastAsiaTheme="majorEastAsia"/>
              </w:rPr>
              <w:t>NNDSS/ABS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97F42D3" w14:textId="5D404C09" w:rsidR="00587DD4" w:rsidRPr="00CC0ECE" w:rsidRDefault="00AA453D" w:rsidP="00CC0ECE">
            <w:pPr>
              <w:pStyle w:val="Tabletextleft"/>
              <w:rPr>
                <w:rFonts w:eastAsiaTheme="majorEastAsia"/>
              </w:rPr>
            </w:pPr>
            <w:r w:rsidRPr="00CC0ECE">
              <w:rPr>
                <w:rFonts w:eastAsiaTheme="majorEastAsia"/>
              </w:rPr>
              <w:t>Quarterly</w:t>
            </w:r>
          </w:p>
        </w:tc>
      </w:tr>
      <w:tr w:rsidR="00587DD4" w:rsidRPr="00CC0ECE" w14:paraId="69D8CE5F" w14:textId="77777777" w:rsidTr="00CC0ECE">
        <w:tc>
          <w:tcPr>
            <w:tcW w:w="1555" w:type="dxa"/>
            <w:vAlign w:val="top"/>
          </w:tcPr>
          <w:p w14:paraId="1358BCE9" w14:textId="4D8CC3FF" w:rsidR="00587DD4" w:rsidRPr="00F31C2D" w:rsidRDefault="00587DD4" w:rsidP="00F31C2D">
            <w:pPr>
              <w:pStyle w:val="Tabletextleft"/>
              <w:rPr>
                <w:rFonts w:eastAsiaTheme="majorEastAsia"/>
                <w:b/>
              </w:rPr>
            </w:pPr>
            <w:r w:rsidRPr="00F31C2D">
              <w:rPr>
                <w:b/>
              </w:rPr>
              <w:t>2.4</w:t>
            </w:r>
          </w:p>
        </w:tc>
        <w:tc>
          <w:tcPr>
            <w:tcW w:w="7512" w:type="dxa"/>
            <w:vAlign w:val="top"/>
          </w:tcPr>
          <w:p w14:paraId="4E53FEE0" w14:textId="40B860BC" w:rsidR="00587DD4" w:rsidRPr="00CC0ECE" w:rsidRDefault="00587DD4" w:rsidP="00CC0ECE">
            <w:pPr>
              <w:pStyle w:val="Tabletextleft"/>
              <w:rPr>
                <w:rFonts w:eastAsiaTheme="majorEastAsia"/>
              </w:rPr>
            </w:pPr>
            <w:r w:rsidRPr="00CC0ECE">
              <w:t>Notification rate of infectious syphilis in women of reproductive age (15-44 years) by Indigenous status and remoteness area</w:t>
            </w:r>
          </w:p>
        </w:tc>
        <w:tc>
          <w:tcPr>
            <w:tcW w:w="2835" w:type="dxa"/>
            <w:vAlign w:val="top"/>
          </w:tcPr>
          <w:p w14:paraId="0765B51D" w14:textId="05B795F1" w:rsidR="00587DD4" w:rsidRPr="00CC0ECE" w:rsidRDefault="007E2C23" w:rsidP="00CC0ECE">
            <w:pPr>
              <w:pStyle w:val="Tabletextleft"/>
              <w:rPr>
                <w:rFonts w:eastAsiaTheme="majorEastAsia"/>
              </w:rPr>
            </w:pPr>
            <w:r w:rsidRPr="00CC0ECE">
              <w:rPr>
                <w:rFonts w:eastAsiaTheme="majorEastAsia"/>
              </w:rPr>
              <w:t>NNDSS/ABS</w:t>
            </w:r>
          </w:p>
        </w:tc>
        <w:tc>
          <w:tcPr>
            <w:tcW w:w="2127" w:type="dxa"/>
            <w:vAlign w:val="top"/>
          </w:tcPr>
          <w:p w14:paraId="63E1D5ED" w14:textId="3C038EE1" w:rsidR="00587DD4" w:rsidRPr="00CC0ECE" w:rsidRDefault="00821718" w:rsidP="00CC0ECE">
            <w:pPr>
              <w:pStyle w:val="Tabletextleft"/>
              <w:rPr>
                <w:rFonts w:eastAsiaTheme="majorEastAsia"/>
              </w:rPr>
            </w:pPr>
            <w:r w:rsidRPr="00CC0ECE">
              <w:rPr>
                <w:rFonts w:eastAsiaTheme="majorEastAsia"/>
              </w:rPr>
              <w:t>Quarterly</w:t>
            </w:r>
          </w:p>
        </w:tc>
      </w:tr>
      <w:tr w:rsidR="00587DD4" w:rsidRPr="00CC0ECE" w14:paraId="4339D5FC"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0A6CFEC" w14:textId="2C47E741" w:rsidR="00587DD4" w:rsidRPr="00F31C2D" w:rsidRDefault="00587DD4" w:rsidP="00F31C2D">
            <w:pPr>
              <w:pStyle w:val="Tabletextleft"/>
              <w:rPr>
                <w:rFonts w:eastAsiaTheme="majorEastAsia"/>
                <w:b/>
              </w:rPr>
            </w:pPr>
            <w:r w:rsidRPr="00F31C2D">
              <w:rPr>
                <w:b/>
              </w:rPr>
              <w:t>2.5</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A834D81" w14:textId="3116E7FB" w:rsidR="00587DD4" w:rsidRPr="00CC0ECE" w:rsidRDefault="00587DD4" w:rsidP="00CC0ECE">
            <w:pPr>
              <w:pStyle w:val="Tabletextleft"/>
              <w:rPr>
                <w:rFonts w:eastAsiaTheme="majorEastAsia"/>
              </w:rPr>
            </w:pPr>
            <w:r w:rsidRPr="00CC0ECE">
              <w:t>Proportion of infectious syphilis notifications in men reporting sexual exposure with men only</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A410D41" w14:textId="057219ED" w:rsidR="00587DD4" w:rsidRPr="00CC0ECE" w:rsidRDefault="007E2C23" w:rsidP="00CC0ECE">
            <w:pPr>
              <w:pStyle w:val="Tabletextleft"/>
              <w:rPr>
                <w:rFonts w:eastAsiaTheme="majorEastAsia"/>
              </w:rPr>
            </w:pPr>
            <w:r w:rsidRPr="00CC0ECE">
              <w:rPr>
                <w:rFonts w:eastAsiaTheme="majorEastAsia"/>
              </w:rPr>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CA64F37" w14:textId="7990ED62" w:rsidR="00587DD4" w:rsidRPr="00CC0ECE" w:rsidRDefault="007E2C23" w:rsidP="00CC0ECE">
            <w:pPr>
              <w:pStyle w:val="Tabletextleft"/>
              <w:rPr>
                <w:rFonts w:eastAsiaTheme="majorEastAsia"/>
              </w:rPr>
            </w:pPr>
            <w:r w:rsidRPr="00CC0ECE">
              <w:rPr>
                <w:rFonts w:eastAsiaTheme="majorEastAsia"/>
              </w:rPr>
              <w:t>Quarterly</w:t>
            </w:r>
          </w:p>
        </w:tc>
      </w:tr>
      <w:tr w:rsidR="00587DD4" w:rsidRPr="00CC0ECE" w14:paraId="4737100D" w14:textId="77777777" w:rsidTr="00CC0ECE">
        <w:tc>
          <w:tcPr>
            <w:tcW w:w="1555" w:type="dxa"/>
            <w:vAlign w:val="top"/>
          </w:tcPr>
          <w:p w14:paraId="5B0FE27A" w14:textId="5D7F6561" w:rsidR="00587DD4" w:rsidRPr="00F31C2D" w:rsidRDefault="00587DD4" w:rsidP="00F31C2D">
            <w:pPr>
              <w:pStyle w:val="Tabletextleft"/>
              <w:rPr>
                <w:rFonts w:eastAsiaTheme="majorEastAsia"/>
                <w:b/>
              </w:rPr>
            </w:pPr>
            <w:r w:rsidRPr="00F31C2D">
              <w:rPr>
                <w:b/>
              </w:rPr>
              <w:t>2.6</w:t>
            </w:r>
          </w:p>
        </w:tc>
        <w:tc>
          <w:tcPr>
            <w:tcW w:w="7512" w:type="dxa"/>
            <w:vAlign w:val="top"/>
          </w:tcPr>
          <w:p w14:paraId="0B704DC5" w14:textId="11640A4F" w:rsidR="00587DD4" w:rsidRPr="00CC0ECE" w:rsidRDefault="00587DD4" w:rsidP="00CC0ECE">
            <w:pPr>
              <w:pStyle w:val="Tabletextleft"/>
              <w:rPr>
                <w:rFonts w:eastAsiaTheme="majorEastAsia"/>
              </w:rPr>
            </w:pPr>
            <w:r w:rsidRPr="00CC0ECE">
              <w:t>Proportion of infectious syphilis notifications in men reporting sexual exposure with men and women</w:t>
            </w:r>
          </w:p>
        </w:tc>
        <w:tc>
          <w:tcPr>
            <w:tcW w:w="2835" w:type="dxa"/>
            <w:vAlign w:val="top"/>
          </w:tcPr>
          <w:p w14:paraId="6E64442C" w14:textId="272B437A" w:rsidR="00587DD4" w:rsidRPr="00CC0ECE" w:rsidRDefault="007E2C23" w:rsidP="00CC0ECE">
            <w:pPr>
              <w:pStyle w:val="Tabletextleft"/>
              <w:rPr>
                <w:rFonts w:eastAsiaTheme="majorEastAsia"/>
              </w:rPr>
            </w:pPr>
            <w:r w:rsidRPr="00CC0ECE">
              <w:rPr>
                <w:rFonts w:eastAsiaTheme="majorEastAsia"/>
              </w:rPr>
              <w:t>NNDSS</w:t>
            </w:r>
          </w:p>
        </w:tc>
        <w:tc>
          <w:tcPr>
            <w:tcW w:w="2127" w:type="dxa"/>
            <w:vAlign w:val="top"/>
          </w:tcPr>
          <w:p w14:paraId="17984260" w14:textId="702316BF" w:rsidR="00587DD4" w:rsidRPr="00CC0ECE" w:rsidRDefault="007E2C23" w:rsidP="00CC0ECE">
            <w:pPr>
              <w:pStyle w:val="Tabletextleft"/>
              <w:rPr>
                <w:rFonts w:eastAsiaTheme="majorEastAsia"/>
              </w:rPr>
            </w:pPr>
            <w:r w:rsidRPr="00CC0ECE">
              <w:rPr>
                <w:rFonts w:eastAsiaTheme="majorEastAsia"/>
              </w:rPr>
              <w:t>Quarterly</w:t>
            </w:r>
          </w:p>
        </w:tc>
      </w:tr>
      <w:tr w:rsidR="00587DD4" w:rsidRPr="00CC0ECE" w14:paraId="1E3E2F21"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0EB24B4" w14:textId="7B611FFD" w:rsidR="00587DD4" w:rsidRPr="00F31C2D" w:rsidRDefault="00587DD4" w:rsidP="00F31C2D">
            <w:pPr>
              <w:pStyle w:val="Tabletextleft"/>
              <w:rPr>
                <w:rFonts w:eastAsiaTheme="majorEastAsia"/>
                <w:b/>
              </w:rPr>
            </w:pPr>
            <w:r w:rsidRPr="00F31C2D">
              <w:rPr>
                <w:b/>
              </w:rPr>
              <w:t>2.7</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7EBC092" w14:textId="02BCB0ED" w:rsidR="00587DD4" w:rsidRPr="00CC0ECE" w:rsidRDefault="00587DD4" w:rsidP="00CC0ECE">
            <w:pPr>
              <w:pStyle w:val="Tabletextleft"/>
              <w:rPr>
                <w:rFonts w:eastAsiaTheme="majorEastAsia"/>
              </w:rPr>
            </w:pPr>
            <w:r w:rsidRPr="00CC0ECE">
              <w:t xml:space="preserve">Proportion of infectious syphilis notifications by </w:t>
            </w:r>
            <w:r w:rsidR="00D91FAF" w:rsidRPr="00CC0ECE">
              <w:t xml:space="preserve">primary </w:t>
            </w:r>
            <w:r w:rsidRPr="00CC0ECE">
              <w:t>reason for testing</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A4756D7" w14:textId="386C9683" w:rsidR="00587DD4" w:rsidRPr="00CC0ECE" w:rsidRDefault="007E2C23" w:rsidP="00CC0ECE">
            <w:pPr>
              <w:pStyle w:val="Tabletextleft"/>
              <w:rPr>
                <w:rFonts w:eastAsiaTheme="majorEastAsia"/>
              </w:rPr>
            </w:pPr>
            <w:r w:rsidRPr="00CC0ECE">
              <w:rPr>
                <w:rFonts w:eastAsiaTheme="majorEastAsia"/>
              </w:rPr>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DDB399E" w14:textId="22702662" w:rsidR="00587DD4" w:rsidRPr="00CC0ECE" w:rsidRDefault="00AA453D" w:rsidP="00CC0ECE">
            <w:pPr>
              <w:pStyle w:val="Tabletextleft"/>
              <w:rPr>
                <w:rFonts w:eastAsiaTheme="majorEastAsia"/>
              </w:rPr>
            </w:pPr>
            <w:r w:rsidRPr="00CC0ECE">
              <w:rPr>
                <w:rFonts w:eastAsiaTheme="majorEastAsia"/>
              </w:rPr>
              <w:t>Annually</w:t>
            </w:r>
          </w:p>
        </w:tc>
      </w:tr>
      <w:tr w:rsidR="00587DD4" w:rsidRPr="00CC0ECE" w14:paraId="3FD6A790" w14:textId="77777777" w:rsidTr="00CC0ECE">
        <w:tc>
          <w:tcPr>
            <w:tcW w:w="1555" w:type="dxa"/>
            <w:vAlign w:val="top"/>
          </w:tcPr>
          <w:p w14:paraId="01C4C8DB" w14:textId="58152060" w:rsidR="00587DD4" w:rsidRPr="00F31C2D" w:rsidRDefault="00587DD4" w:rsidP="00F31C2D">
            <w:pPr>
              <w:pStyle w:val="Tabletextleft"/>
              <w:rPr>
                <w:rFonts w:eastAsiaTheme="majorEastAsia"/>
                <w:b/>
              </w:rPr>
            </w:pPr>
            <w:r w:rsidRPr="00F31C2D">
              <w:rPr>
                <w:b/>
              </w:rPr>
              <w:t>2.8</w:t>
            </w:r>
          </w:p>
        </w:tc>
        <w:tc>
          <w:tcPr>
            <w:tcW w:w="7512" w:type="dxa"/>
            <w:vAlign w:val="top"/>
          </w:tcPr>
          <w:p w14:paraId="755A1F2B" w14:textId="3909BE42" w:rsidR="00587DD4" w:rsidRPr="00CC0ECE" w:rsidRDefault="00587DD4" w:rsidP="00CC0ECE">
            <w:pPr>
              <w:pStyle w:val="Tabletextleft"/>
              <w:rPr>
                <w:rFonts w:eastAsiaTheme="majorEastAsia"/>
              </w:rPr>
            </w:pPr>
            <w:r w:rsidRPr="00CC0ECE">
              <w:t xml:space="preserve">Proportion of infectious syphilis notifications in gay and bisexual men who have sex with men reporting HIV </w:t>
            </w:r>
            <w:proofErr w:type="spellStart"/>
            <w:r w:rsidRPr="00CC0ECE">
              <w:t>PrEP</w:t>
            </w:r>
            <w:proofErr w:type="spellEnd"/>
            <w:r w:rsidRPr="00CC0ECE">
              <w:t xml:space="preserve"> use at time of syphilis diagnosis</w:t>
            </w:r>
          </w:p>
        </w:tc>
        <w:tc>
          <w:tcPr>
            <w:tcW w:w="2835" w:type="dxa"/>
            <w:vAlign w:val="top"/>
          </w:tcPr>
          <w:p w14:paraId="1D6ABBDF" w14:textId="301E0BCC" w:rsidR="00587DD4" w:rsidRPr="00CC0ECE" w:rsidRDefault="00AA453D" w:rsidP="00CC0ECE">
            <w:pPr>
              <w:pStyle w:val="Tabletextleft"/>
              <w:rPr>
                <w:rFonts w:eastAsiaTheme="majorEastAsia"/>
              </w:rPr>
            </w:pPr>
            <w:r w:rsidRPr="00CC0ECE">
              <w:rPr>
                <w:rFonts w:eastAsiaTheme="majorEastAsia"/>
              </w:rPr>
              <w:t>NNDSS</w:t>
            </w:r>
          </w:p>
        </w:tc>
        <w:tc>
          <w:tcPr>
            <w:tcW w:w="2127" w:type="dxa"/>
            <w:vAlign w:val="top"/>
          </w:tcPr>
          <w:p w14:paraId="22B61F2C" w14:textId="1E71DD42" w:rsidR="00587DD4" w:rsidRPr="00CC0ECE" w:rsidRDefault="00AA453D" w:rsidP="00CC0ECE">
            <w:pPr>
              <w:pStyle w:val="Tabletextleft"/>
              <w:rPr>
                <w:rFonts w:eastAsiaTheme="majorEastAsia"/>
              </w:rPr>
            </w:pPr>
            <w:r w:rsidRPr="00CC0ECE">
              <w:rPr>
                <w:rFonts w:eastAsiaTheme="majorEastAsia"/>
              </w:rPr>
              <w:t>Annually</w:t>
            </w:r>
          </w:p>
        </w:tc>
      </w:tr>
      <w:tr w:rsidR="00587DD4" w:rsidRPr="00CC0ECE" w14:paraId="75EC364A"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FA20E0F" w14:textId="3D87D945" w:rsidR="00587DD4" w:rsidRPr="00F31C2D" w:rsidRDefault="00587DD4" w:rsidP="00F31C2D">
            <w:pPr>
              <w:pStyle w:val="Tabletextleft"/>
              <w:rPr>
                <w:rFonts w:eastAsiaTheme="majorEastAsia"/>
                <w:b/>
              </w:rPr>
            </w:pPr>
            <w:r w:rsidRPr="00F31C2D">
              <w:rPr>
                <w:b/>
              </w:rPr>
              <w:t>2.9</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7020541" w14:textId="5644E209" w:rsidR="00587DD4" w:rsidRPr="00CC0ECE" w:rsidRDefault="00587DD4" w:rsidP="00CC0ECE">
            <w:pPr>
              <w:pStyle w:val="Tabletextleft"/>
              <w:rPr>
                <w:rFonts w:eastAsiaTheme="majorEastAsia"/>
              </w:rPr>
            </w:pPr>
            <w:r w:rsidRPr="00CC0ECE">
              <w:t>Proportion of infectious syphilis notifications by clinical facility where the syphilis infection was diagnosed</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390641C" w14:textId="25B4727C" w:rsidR="00587DD4" w:rsidRPr="00CC0ECE" w:rsidRDefault="00AA453D" w:rsidP="00CC0ECE">
            <w:pPr>
              <w:pStyle w:val="Tabletextleft"/>
              <w:rPr>
                <w:rFonts w:eastAsiaTheme="majorEastAsia"/>
              </w:rPr>
            </w:pPr>
            <w:r w:rsidRPr="00CC0ECE">
              <w:rPr>
                <w:rFonts w:eastAsiaTheme="majorEastAsia"/>
              </w:rPr>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55D4350" w14:textId="2939CB28" w:rsidR="00587DD4" w:rsidRPr="00CC0ECE" w:rsidRDefault="00AA453D" w:rsidP="00CC0ECE">
            <w:pPr>
              <w:pStyle w:val="Tabletextleft"/>
              <w:rPr>
                <w:rFonts w:eastAsiaTheme="majorEastAsia"/>
              </w:rPr>
            </w:pPr>
            <w:r w:rsidRPr="00CC0ECE">
              <w:rPr>
                <w:rFonts w:eastAsiaTheme="majorEastAsia"/>
              </w:rPr>
              <w:t>Annually</w:t>
            </w:r>
          </w:p>
        </w:tc>
      </w:tr>
      <w:tr w:rsidR="00587DD4" w:rsidRPr="00CC0ECE" w14:paraId="6BC9F1D6" w14:textId="77777777" w:rsidTr="00CC0ECE">
        <w:tc>
          <w:tcPr>
            <w:tcW w:w="1555" w:type="dxa"/>
            <w:vAlign w:val="top"/>
          </w:tcPr>
          <w:p w14:paraId="0B827616" w14:textId="1FA6F01B" w:rsidR="00587DD4" w:rsidRPr="00F31C2D" w:rsidRDefault="00587DD4" w:rsidP="00F31C2D">
            <w:pPr>
              <w:pStyle w:val="Tabletextleft"/>
              <w:rPr>
                <w:rFonts w:eastAsiaTheme="majorEastAsia"/>
                <w:b/>
              </w:rPr>
            </w:pPr>
            <w:r w:rsidRPr="00F31C2D">
              <w:rPr>
                <w:b/>
              </w:rPr>
              <w:t>2.10</w:t>
            </w:r>
          </w:p>
        </w:tc>
        <w:tc>
          <w:tcPr>
            <w:tcW w:w="7512" w:type="dxa"/>
            <w:vAlign w:val="top"/>
          </w:tcPr>
          <w:p w14:paraId="26F8F047" w14:textId="150D878C" w:rsidR="00587DD4" w:rsidRPr="00CC0ECE" w:rsidRDefault="00587DD4" w:rsidP="00CC0ECE">
            <w:pPr>
              <w:pStyle w:val="Tabletextleft"/>
              <w:rPr>
                <w:rFonts w:eastAsiaTheme="majorEastAsia"/>
              </w:rPr>
            </w:pPr>
            <w:r w:rsidRPr="00CC0ECE">
              <w:t>Proportion of infectious syphilis notifications receiving treatment, by time to treatment</w:t>
            </w:r>
          </w:p>
        </w:tc>
        <w:tc>
          <w:tcPr>
            <w:tcW w:w="2835" w:type="dxa"/>
            <w:vAlign w:val="top"/>
          </w:tcPr>
          <w:p w14:paraId="372695CE" w14:textId="06394CDF" w:rsidR="00587DD4" w:rsidRPr="00CC0ECE" w:rsidRDefault="00AA453D" w:rsidP="00CC0ECE">
            <w:pPr>
              <w:pStyle w:val="Tabletextleft"/>
              <w:rPr>
                <w:rFonts w:eastAsiaTheme="majorEastAsia"/>
              </w:rPr>
            </w:pPr>
            <w:r w:rsidRPr="00CC0ECE">
              <w:rPr>
                <w:rFonts w:eastAsiaTheme="majorEastAsia"/>
              </w:rPr>
              <w:t>NNDSS</w:t>
            </w:r>
          </w:p>
        </w:tc>
        <w:tc>
          <w:tcPr>
            <w:tcW w:w="2127" w:type="dxa"/>
            <w:vAlign w:val="top"/>
          </w:tcPr>
          <w:p w14:paraId="5E4DDAA6" w14:textId="18CED8F7" w:rsidR="00587DD4" w:rsidRPr="00CC0ECE" w:rsidRDefault="00AA453D" w:rsidP="00CC0ECE">
            <w:pPr>
              <w:pStyle w:val="Tabletextleft"/>
              <w:rPr>
                <w:rFonts w:eastAsiaTheme="majorEastAsia"/>
              </w:rPr>
            </w:pPr>
            <w:r w:rsidRPr="00CC0ECE">
              <w:rPr>
                <w:rFonts w:eastAsiaTheme="majorEastAsia"/>
              </w:rPr>
              <w:t>Annually</w:t>
            </w:r>
          </w:p>
        </w:tc>
      </w:tr>
      <w:tr w:rsidR="00A3484F" w:rsidRPr="00F31C2D" w14:paraId="0B97AB4F" w14:textId="77777777" w:rsidTr="00F31C2D">
        <w:trPr>
          <w:cnfStyle w:val="000000100000" w:firstRow="0" w:lastRow="0" w:firstColumn="0" w:lastColumn="0" w:oddVBand="0" w:evenVBand="0" w:oddHBand="1" w:evenHBand="0" w:firstRowFirstColumn="0" w:firstRowLastColumn="0" w:lastRowFirstColumn="0" w:lastRowLastColumn="0"/>
        </w:trPr>
        <w:tc>
          <w:tcPr>
            <w:tcW w:w="1402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05D65C18" w14:textId="723ECE37" w:rsidR="00A3484F" w:rsidRPr="00F31C2D" w:rsidRDefault="00A3484F" w:rsidP="00F31C2D">
            <w:pPr>
              <w:pStyle w:val="Tabletextleft"/>
              <w:rPr>
                <w:rFonts w:eastAsiaTheme="majorEastAsia"/>
                <w:b/>
              </w:rPr>
            </w:pPr>
            <w:r w:rsidRPr="00F31C2D">
              <w:rPr>
                <w:rFonts w:eastAsiaTheme="majorEastAsia"/>
                <w:b/>
              </w:rPr>
              <w:t xml:space="preserve">GOAL 3 </w:t>
            </w:r>
            <w:r w:rsidR="002A0342" w:rsidRPr="002A0342">
              <w:rPr>
                <w:rFonts w:eastAsiaTheme="majorEastAsia"/>
                <w:b/>
              </w:rPr>
              <w:t>–</w:t>
            </w:r>
            <w:r w:rsidRPr="00F31C2D">
              <w:rPr>
                <w:rFonts w:eastAsiaTheme="majorEastAsia"/>
                <w:b/>
              </w:rPr>
              <w:t xml:space="preserve"> Reduce morbidity and mortality associated with syphilis</w:t>
            </w:r>
          </w:p>
        </w:tc>
      </w:tr>
      <w:tr w:rsidR="00D90468" w:rsidRPr="00CC0ECE" w14:paraId="435D3F63" w14:textId="77777777" w:rsidTr="00CC0ECE">
        <w:tc>
          <w:tcPr>
            <w:tcW w:w="1555" w:type="dxa"/>
            <w:vAlign w:val="top"/>
          </w:tcPr>
          <w:p w14:paraId="5493BE14" w14:textId="690E5346" w:rsidR="00D90468" w:rsidRPr="00F31C2D" w:rsidRDefault="00D90468" w:rsidP="00F31C2D">
            <w:pPr>
              <w:pStyle w:val="Tabletextleft"/>
              <w:rPr>
                <w:rFonts w:eastAsiaTheme="majorEastAsia"/>
                <w:b/>
              </w:rPr>
            </w:pPr>
            <w:r w:rsidRPr="00F31C2D">
              <w:rPr>
                <w:rFonts w:eastAsiaTheme="majorEastAsia"/>
                <w:b/>
              </w:rPr>
              <w:t>3.1</w:t>
            </w:r>
          </w:p>
        </w:tc>
        <w:tc>
          <w:tcPr>
            <w:tcW w:w="7512" w:type="dxa"/>
            <w:vAlign w:val="top"/>
          </w:tcPr>
          <w:p w14:paraId="42EFF0F0" w14:textId="57B14F4B" w:rsidR="00D90468" w:rsidRPr="00CC0ECE" w:rsidRDefault="00D90468" w:rsidP="00CC0ECE">
            <w:pPr>
              <w:pStyle w:val="Tabletextleft"/>
              <w:rPr>
                <w:rFonts w:eastAsiaTheme="majorEastAsia"/>
              </w:rPr>
            </w:pPr>
            <w:r w:rsidRPr="00CC0ECE">
              <w:t>Number of syphilis related deaths (ICD-10 coded), by stage of infection</w:t>
            </w:r>
          </w:p>
        </w:tc>
        <w:tc>
          <w:tcPr>
            <w:tcW w:w="2835" w:type="dxa"/>
            <w:vAlign w:val="top"/>
          </w:tcPr>
          <w:p w14:paraId="09FB01B4" w14:textId="4E633425" w:rsidR="00D90468" w:rsidRPr="00CC0ECE" w:rsidRDefault="009163ED" w:rsidP="00CC0ECE">
            <w:pPr>
              <w:pStyle w:val="Tabletextleft"/>
              <w:rPr>
                <w:rFonts w:eastAsiaTheme="majorEastAsia"/>
              </w:rPr>
            </w:pPr>
            <w:r w:rsidRPr="00CC0ECE">
              <w:rPr>
                <w:rFonts w:eastAsiaTheme="majorEastAsia"/>
              </w:rPr>
              <w:t>Causes of Death (ABS)</w:t>
            </w:r>
          </w:p>
        </w:tc>
        <w:tc>
          <w:tcPr>
            <w:tcW w:w="2127" w:type="dxa"/>
            <w:vAlign w:val="top"/>
          </w:tcPr>
          <w:p w14:paraId="7D7D1A0C" w14:textId="464AFA28" w:rsidR="00D90468" w:rsidRPr="00CC0ECE" w:rsidRDefault="009163ED" w:rsidP="00CC0ECE">
            <w:pPr>
              <w:pStyle w:val="Tabletextleft"/>
              <w:rPr>
                <w:rFonts w:eastAsiaTheme="majorEastAsia"/>
              </w:rPr>
            </w:pPr>
            <w:r w:rsidRPr="00CC0ECE">
              <w:rPr>
                <w:rFonts w:eastAsiaTheme="majorEastAsia"/>
              </w:rPr>
              <w:t>Annually</w:t>
            </w:r>
          </w:p>
        </w:tc>
      </w:tr>
      <w:tr w:rsidR="00D90468" w:rsidRPr="00CC0ECE" w14:paraId="50B402CE"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B558AB6" w14:textId="41B28ABE" w:rsidR="00D90468" w:rsidRPr="00F31C2D" w:rsidRDefault="00D90468" w:rsidP="00F31C2D">
            <w:pPr>
              <w:pStyle w:val="Tabletextleft"/>
              <w:rPr>
                <w:rFonts w:eastAsiaTheme="majorEastAsia"/>
                <w:b/>
              </w:rPr>
            </w:pPr>
            <w:r w:rsidRPr="00F31C2D">
              <w:rPr>
                <w:rFonts w:eastAsiaTheme="majorEastAsia"/>
                <w:b/>
              </w:rPr>
              <w:t>3.2</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BB74879" w14:textId="2215140F" w:rsidR="00D90468" w:rsidRPr="00CC0ECE" w:rsidRDefault="00D90468" w:rsidP="00CC0ECE">
            <w:pPr>
              <w:pStyle w:val="Tabletextleft"/>
              <w:rPr>
                <w:rFonts w:eastAsiaTheme="majorEastAsia"/>
              </w:rPr>
            </w:pPr>
            <w:r w:rsidRPr="00CC0ECE">
              <w:t>Number of hospitalisations with a principal diagnosis of syphilis (ICD-10 coded)</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1643A93" w14:textId="09FB1EED" w:rsidR="00D90468" w:rsidRPr="00CC0ECE" w:rsidRDefault="0084177F" w:rsidP="00CC0ECE">
            <w:pPr>
              <w:pStyle w:val="Tabletextleft"/>
              <w:rPr>
                <w:rFonts w:eastAsiaTheme="majorEastAsia"/>
              </w:rPr>
            </w:pPr>
            <w:r w:rsidRPr="00CC0ECE">
              <w:rPr>
                <w:rFonts w:eastAsiaTheme="majorEastAsia"/>
              </w:rPr>
              <w:t>National Hospital Mor</w:t>
            </w:r>
            <w:r w:rsidR="008C2617" w:rsidRPr="00CC0ECE">
              <w:rPr>
                <w:rFonts w:eastAsiaTheme="majorEastAsia"/>
              </w:rPr>
              <w:t>bidity Database (AIHW)</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D27F378" w14:textId="10798377" w:rsidR="00D90468" w:rsidRPr="00CC0ECE" w:rsidRDefault="008C2617" w:rsidP="00CC0ECE">
            <w:pPr>
              <w:pStyle w:val="Tabletextleft"/>
              <w:rPr>
                <w:rFonts w:eastAsiaTheme="majorEastAsia"/>
              </w:rPr>
            </w:pPr>
            <w:r w:rsidRPr="00CC0ECE">
              <w:rPr>
                <w:rFonts w:eastAsiaTheme="majorEastAsia"/>
              </w:rPr>
              <w:t>Annually</w:t>
            </w:r>
          </w:p>
        </w:tc>
      </w:tr>
      <w:tr w:rsidR="00D90468" w:rsidRPr="00CC0ECE" w14:paraId="7CFBD5DF" w14:textId="77777777" w:rsidTr="00CC0ECE">
        <w:tc>
          <w:tcPr>
            <w:tcW w:w="1555" w:type="dxa"/>
            <w:vAlign w:val="top"/>
          </w:tcPr>
          <w:p w14:paraId="145E438D" w14:textId="08B71DDD" w:rsidR="00D90468" w:rsidRPr="00F31C2D" w:rsidRDefault="00D90468" w:rsidP="00F31C2D">
            <w:pPr>
              <w:pStyle w:val="Tabletextleft"/>
              <w:rPr>
                <w:rFonts w:eastAsiaTheme="majorEastAsia"/>
                <w:b/>
              </w:rPr>
            </w:pPr>
            <w:r w:rsidRPr="00F31C2D">
              <w:rPr>
                <w:rFonts w:eastAsiaTheme="majorEastAsia"/>
                <w:b/>
              </w:rPr>
              <w:t>3.3</w:t>
            </w:r>
          </w:p>
        </w:tc>
        <w:tc>
          <w:tcPr>
            <w:tcW w:w="7512" w:type="dxa"/>
            <w:vAlign w:val="top"/>
          </w:tcPr>
          <w:p w14:paraId="7F524638" w14:textId="315A55DD" w:rsidR="00D90468" w:rsidRPr="00CC0ECE" w:rsidRDefault="00D90468" w:rsidP="00CC0ECE">
            <w:pPr>
              <w:pStyle w:val="Tabletextleft"/>
              <w:rPr>
                <w:rFonts w:eastAsiaTheme="majorEastAsia"/>
              </w:rPr>
            </w:pPr>
            <w:r w:rsidRPr="00CC0ECE">
              <w:t>Estimated number of Disability-adjusted life years (DALY) due to syphilis</w:t>
            </w:r>
          </w:p>
        </w:tc>
        <w:tc>
          <w:tcPr>
            <w:tcW w:w="2835" w:type="dxa"/>
            <w:vAlign w:val="top"/>
          </w:tcPr>
          <w:p w14:paraId="125CD5EC" w14:textId="30013B23" w:rsidR="00D90468" w:rsidRPr="00CC0ECE" w:rsidRDefault="008C2617" w:rsidP="00CC0ECE">
            <w:pPr>
              <w:pStyle w:val="Tabletextleft"/>
              <w:rPr>
                <w:rFonts w:eastAsiaTheme="majorEastAsia"/>
              </w:rPr>
            </w:pPr>
            <w:r w:rsidRPr="00CC0ECE">
              <w:rPr>
                <w:rFonts w:eastAsiaTheme="majorEastAsia"/>
              </w:rPr>
              <w:t>Burden of Disease (AIHW)</w:t>
            </w:r>
          </w:p>
        </w:tc>
        <w:tc>
          <w:tcPr>
            <w:tcW w:w="2127" w:type="dxa"/>
            <w:vAlign w:val="top"/>
          </w:tcPr>
          <w:p w14:paraId="0E8770B7" w14:textId="0A18FC60" w:rsidR="00D90468" w:rsidRPr="00CC0ECE" w:rsidRDefault="008C2617" w:rsidP="00CC0ECE">
            <w:pPr>
              <w:pStyle w:val="Tabletextleft"/>
              <w:rPr>
                <w:rFonts w:eastAsiaTheme="majorEastAsia"/>
              </w:rPr>
            </w:pPr>
            <w:r w:rsidRPr="00CC0ECE">
              <w:rPr>
                <w:rFonts w:eastAsiaTheme="majorEastAsia"/>
              </w:rPr>
              <w:t>Annually</w:t>
            </w:r>
          </w:p>
        </w:tc>
      </w:tr>
      <w:tr w:rsidR="00A3484F" w:rsidRPr="00F31C2D" w14:paraId="3BFC5C6C" w14:textId="77777777" w:rsidTr="00F31C2D">
        <w:trPr>
          <w:cnfStyle w:val="000000100000" w:firstRow="0" w:lastRow="0" w:firstColumn="0" w:lastColumn="0" w:oddVBand="0" w:evenVBand="0" w:oddHBand="1" w:evenHBand="0" w:firstRowFirstColumn="0" w:firstRowLastColumn="0" w:lastRowFirstColumn="0" w:lastRowLastColumn="0"/>
        </w:trPr>
        <w:tc>
          <w:tcPr>
            <w:tcW w:w="1402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EFEE9"/>
            <w:vAlign w:val="top"/>
          </w:tcPr>
          <w:p w14:paraId="24DC8C3A" w14:textId="681DEE6F" w:rsidR="00A3484F" w:rsidRPr="00F31C2D" w:rsidRDefault="00A3484F" w:rsidP="00F31C2D">
            <w:pPr>
              <w:pStyle w:val="Tabletextleft"/>
              <w:rPr>
                <w:rFonts w:eastAsiaTheme="majorEastAsia"/>
                <w:b/>
              </w:rPr>
            </w:pPr>
            <w:r w:rsidRPr="00F31C2D">
              <w:rPr>
                <w:rFonts w:eastAsiaTheme="majorEastAsia"/>
                <w:b/>
              </w:rPr>
              <w:lastRenderedPageBreak/>
              <w:t xml:space="preserve">GOAL 4 </w:t>
            </w:r>
            <w:r w:rsidR="002A0342" w:rsidRPr="002A0342">
              <w:rPr>
                <w:rFonts w:eastAsiaTheme="majorEastAsia"/>
                <w:b/>
              </w:rPr>
              <w:t>–</w:t>
            </w:r>
            <w:r w:rsidRPr="00F31C2D">
              <w:rPr>
                <w:rFonts w:eastAsiaTheme="majorEastAsia"/>
                <w:b/>
              </w:rPr>
              <w:t xml:space="preserve"> Eliminate congenital syphilis (defined as sustained zero congenital syphilis cases)</w:t>
            </w:r>
          </w:p>
        </w:tc>
      </w:tr>
      <w:tr w:rsidR="00C560C1" w:rsidRPr="00CC0ECE" w14:paraId="450BBFCF" w14:textId="77777777" w:rsidTr="00CC0ECE">
        <w:tc>
          <w:tcPr>
            <w:tcW w:w="1555" w:type="dxa"/>
            <w:vAlign w:val="top"/>
          </w:tcPr>
          <w:p w14:paraId="5B725C6C" w14:textId="4E56131B" w:rsidR="00C560C1" w:rsidRPr="00F31C2D" w:rsidRDefault="00C560C1" w:rsidP="00F31C2D">
            <w:pPr>
              <w:pStyle w:val="Tabletextleft"/>
              <w:rPr>
                <w:rFonts w:eastAsiaTheme="majorEastAsia"/>
                <w:b/>
              </w:rPr>
            </w:pPr>
            <w:r w:rsidRPr="00F31C2D">
              <w:rPr>
                <w:rFonts w:eastAsiaTheme="majorEastAsia"/>
                <w:b/>
              </w:rPr>
              <w:t>4.1</w:t>
            </w:r>
          </w:p>
        </w:tc>
        <w:tc>
          <w:tcPr>
            <w:tcW w:w="7512" w:type="dxa"/>
            <w:vAlign w:val="top"/>
          </w:tcPr>
          <w:p w14:paraId="4D50761F" w14:textId="2A8FFB01" w:rsidR="00C560C1" w:rsidRPr="00CC0ECE" w:rsidRDefault="00C560C1" w:rsidP="00CC0ECE">
            <w:pPr>
              <w:pStyle w:val="Tabletextleft"/>
              <w:rPr>
                <w:rFonts w:eastAsiaTheme="majorEastAsia"/>
              </w:rPr>
            </w:pPr>
            <w:r w:rsidRPr="00CC0ECE">
              <w:t>Number of congenital syphilis cases by remoteness area and Indigenous status</w:t>
            </w:r>
          </w:p>
        </w:tc>
        <w:tc>
          <w:tcPr>
            <w:tcW w:w="2835" w:type="dxa"/>
            <w:vAlign w:val="top"/>
          </w:tcPr>
          <w:p w14:paraId="22D069C4" w14:textId="6F9D1C37" w:rsidR="00C560C1" w:rsidRPr="00CC0ECE" w:rsidRDefault="000A0C12" w:rsidP="00CC0ECE">
            <w:pPr>
              <w:pStyle w:val="Tabletextleft"/>
              <w:rPr>
                <w:rFonts w:eastAsiaTheme="majorEastAsia"/>
              </w:rPr>
            </w:pPr>
            <w:r w:rsidRPr="00CC0ECE">
              <w:rPr>
                <w:rFonts w:eastAsiaTheme="majorEastAsia"/>
              </w:rPr>
              <w:t>NNDSS</w:t>
            </w:r>
          </w:p>
        </w:tc>
        <w:tc>
          <w:tcPr>
            <w:tcW w:w="2127" w:type="dxa"/>
            <w:vAlign w:val="top"/>
          </w:tcPr>
          <w:p w14:paraId="30764A43" w14:textId="1A24ABCB" w:rsidR="00C560C1" w:rsidRPr="00CC0ECE" w:rsidRDefault="000A0C12" w:rsidP="00CC0ECE">
            <w:pPr>
              <w:pStyle w:val="Tabletextleft"/>
              <w:rPr>
                <w:rFonts w:eastAsiaTheme="majorEastAsia"/>
              </w:rPr>
            </w:pPr>
            <w:r w:rsidRPr="00CC0ECE">
              <w:rPr>
                <w:rFonts w:eastAsiaTheme="majorEastAsia"/>
              </w:rPr>
              <w:t>Quarterly</w:t>
            </w:r>
          </w:p>
        </w:tc>
      </w:tr>
      <w:tr w:rsidR="00C560C1" w:rsidRPr="00CC0ECE" w14:paraId="100F5A6A"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0E338D1" w14:textId="4E6624F2" w:rsidR="00C560C1" w:rsidRPr="00F31C2D" w:rsidRDefault="00D87083" w:rsidP="00F31C2D">
            <w:pPr>
              <w:pStyle w:val="Tabletextleft"/>
              <w:rPr>
                <w:rFonts w:eastAsiaTheme="majorEastAsia"/>
                <w:b/>
              </w:rPr>
            </w:pPr>
            <w:r w:rsidRPr="00F31C2D">
              <w:rPr>
                <w:rFonts w:eastAsiaTheme="majorEastAsia"/>
                <w:b/>
              </w:rPr>
              <w:t>4.</w:t>
            </w:r>
            <w:r w:rsidR="005C1BCC" w:rsidRPr="00F31C2D">
              <w:rPr>
                <w:rFonts w:eastAsiaTheme="majorEastAsia"/>
                <w:b/>
              </w:rPr>
              <w:t>2</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8077680" w14:textId="556B7AA1" w:rsidR="00C560C1" w:rsidRPr="00CC0ECE" w:rsidRDefault="00C560C1" w:rsidP="00CC0ECE">
            <w:pPr>
              <w:pStyle w:val="Tabletextleft"/>
              <w:rPr>
                <w:rFonts w:eastAsiaTheme="majorEastAsia"/>
              </w:rPr>
            </w:pPr>
            <w:r w:rsidRPr="00CC0ECE">
              <w:t>Number of congenital syphilis related deaths by Indigenous status</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159FEC4" w14:textId="2B58341F" w:rsidR="00C560C1" w:rsidRPr="00CC0ECE" w:rsidRDefault="000A0C12" w:rsidP="00CC0ECE">
            <w:pPr>
              <w:pStyle w:val="Tabletextleft"/>
              <w:rPr>
                <w:rFonts w:eastAsiaTheme="majorEastAsia"/>
              </w:rPr>
            </w:pPr>
            <w:r w:rsidRPr="00CC0ECE">
              <w:rPr>
                <w:rFonts w:eastAsiaTheme="majorEastAsia"/>
              </w:rPr>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48F7F32" w14:textId="1B2984FA" w:rsidR="00C560C1" w:rsidRPr="00CC0ECE" w:rsidRDefault="000A0C12" w:rsidP="00CC0ECE">
            <w:pPr>
              <w:pStyle w:val="Tabletextleft"/>
              <w:rPr>
                <w:rFonts w:eastAsiaTheme="majorEastAsia"/>
              </w:rPr>
            </w:pPr>
            <w:r w:rsidRPr="00CC0ECE">
              <w:rPr>
                <w:rFonts w:eastAsiaTheme="majorEastAsia"/>
              </w:rPr>
              <w:t>Quarterly</w:t>
            </w:r>
          </w:p>
        </w:tc>
      </w:tr>
      <w:tr w:rsidR="00C560C1" w:rsidRPr="00CC0ECE" w14:paraId="67915D24" w14:textId="77777777" w:rsidTr="00CC0ECE">
        <w:tc>
          <w:tcPr>
            <w:tcW w:w="1555" w:type="dxa"/>
            <w:vAlign w:val="top"/>
          </w:tcPr>
          <w:p w14:paraId="6FEFE0A0" w14:textId="1B2F129B" w:rsidR="00C560C1" w:rsidRPr="00F31C2D" w:rsidRDefault="00D87083" w:rsidP="00F31C2D">
            <w:pPr>
              <w:pStyle w:val="Tabletextleft"/>
              <w:rPr>
                <w:rFonts w:eastAsiaTheme="majorEastAsia"/>
                <w:b/>
              </w:rPr>
            </w:pPr>
            <w:r w:rsidRPr="00F31C2D">
              <w:rPr>
                <w:rFonts w:eastAsiaTheme="majorEastAsia"/>
                <w:b/>
              </w:rPr>
              <w:t>4.</w:t>
            </w:r>
            <w:r w:rsidR="005C1BCC" w:rsidRPr="00F31C2D">
              <w:rPr>
                <w:rFonts w:eastAsiaTheme="majorEastAsia"/>
                <w:b/>
              </w:rPr>
              <w:t>3</w:t>
            </w:r>
          </w:p>
        </w:tc>
        <w:tc>
          <w:tcPr>
            <w:tcW w:w="7512" w:type="dxa"/>
            <w:vAlign w:val="top"/>
          </w:tcPr>
          <w:p w14:paraId="60895827" w14:textId="174C4330" w:rsidR="00C560C1" w:rsidRPr="00CC0ECE" w:rsidRDefault="00C560C1" w:rsidP="00CC0ECE">
            <w:pPr>
              <w:pStyle w:val="Tabletextleft"/>
              <w:rPr>
                <w:rFonts w:eastAsiaTheme="majorEastAsia"/>
              </w:rPr>
            </w:pPr>
            <w:r w:rsidRPr="00CC0ECE">
              <w:t>Notification rate of congenital syphilis per 100,000 live births by remoteness area and Indigenous status</w:t>
            </w:r>
          </w:p>
        </w:tc>
        <w:tc>
          <w:tcPr>
            <w:tcW w:w="2835" w:type="dxa"/>
            <w:vAlign w:val="top"/>
          </w:tcPr>
          <w:p w14:paraId="1007BE17" w14:textId="3B58638B" w:rsidR="00C560C1" w:rsidRPr="00CC0ECE" w:rsidRDefault="000A0C12" w:rsidP="00CC0ECE">
            <w:pPr>
              <w:pStyle w:val="Tabletextleft"/>
              <w:rPr>
                <w:rFonts w:eastAsiaTheme="majorEastAsia"/>
              </w:rPr>
            </w:pPr>
            <w:r w:rsidRPr="00CC0ECE">
              <w:rPr>
                <w:rFonts w:eastAsiaTheme="majorEastAsia"/>
              </w:rPr>
              <w:t>NNDSS/ABS</w:t>
            </w:r>
          </w:p>
        </w:tc>
        <w:tc>
          <w:tcPr>
            <w:tcW w:w="2127" w:type="dxa"/>
            <w:vAlign w:val="top"/>
          </w:tcPr>
          <w:p w14:paraId="14143DBE" w14:textId="4FE645B9" w:rsidR="00C560C1" w:rsidRPr="00CC0ECE" w:rsidRDefault="00821718" w:rsidP="00CC0ECE">
            <w:pPr>
              <w:pStyle w:val="Tabletextleft"/>
              <w:rPr>
                <w:rFonts w:eastAsiaTheme="majorEastAsia"/>
              </w:rPr>
            </w:pPr>
            <w:r w:rsidRPr="00CC0ECE">
              <w:rPr>
                <w:rFonts w:eastAsiaTheme="majorEastAsia"/>
              </w:rPr>
              <w:t>Quarterly</w:t>
            </w:r>
          </w:p>
        </w:tc>
      </w:tr>
      <w:tr w:rsidR="00C560C1" w:rsidRPr="00CC0ECE" w14:paraId="0F32F690"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F70C4F6" w14:textId="52129249" w:rsidR="00C560C1" w:rsidRPr="00F31C2D" w:rsidRDefault="00D87083" w:rsidP="00F31C2D">
            <w:pPr>
              <w:pStyle w:val="Tabletextleft"/>
              <w:rPr>
                <w:rFonts w:eastAsiaTheme="majorEastAsia"/>
                <w:b/>
              </w:rPr>
            </w:pPr>
            <w:r w:rsidRPr="00F31C2D">
              <w:rPr>
                <w:rFonts w:eastAsiaTheme="majorEastAsia"/>
                <w:b/>
              </w:rPr>
              <w:t>4.</w:t>
            </w:r>
            <w:r w:rsidR="005C1BCC" w:rsidRPr="00F31C2D">
              <w:rPr>
                <w:rFonts w:eastAsiaTheme="majorEastAsia"/>
                <w:b/>
              </w:rPr>
              <w:t>4</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440F180" w14:textId="5B2B532B" w:rsidR="00C560C1" w:rsidRPr="00CC0ECE" w:rsidRDefault="00C560C1" w:rsidP="00CC0ECE">
            <w:pPr>
              <w:pStyle w:val="Tabletextleft"/>
              <w:rPr>
                <w:rFonts w:eastAsiaTheme="majorEastAsia"/>
              </w:rPr>
            </w:pPr>
            <w:r w:rsidRPr="00CC0ECE">
              <w:t xml:space="preserve">Number of </w:t>
            </w:r>
            <w:r w:rsidR="00BE3AEF" w:rsidRPr="00CC0ECE">
              <w:t>women</w:t>
            </w:r>
            <w:r w:rsidRPr="00CC0ECE">
              <w:t xml:space="preserve"> giving birth to an infant with congenital syphilis who were diagnosed with syphilis in pregnancy by </w:t>
            </w:r>
            <w:r w:rsidR="001F4B71" w:rsidRPr="00CC0ECE">
              <w:t>remoteness area</w:t>
            </w:r>
            <w:r w:rsidRPr="00CC0ECE">
              <w:t xml:space="preserve"> and Indigenous status</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5A7D9723" w14:textId="15A7FC8D" w:rsidR="00C560C1" w:rsidRPr="00CC0ECE" w:rsidRDefault="00821718" w:rsidP="00CC0ECE">
            <w:pPr>
              <w:pStyle w:val="Tabletextleft"/>
              <w:rPr>
                <w:rFonts w:eastAsiaTheme="majorEastAsia"/>
              </w:rPr>
            </w:pPr>
            <w:r w:rsidRPr="00CC0ECE">
              <w:rPr>
                <w:rFonts w:eastAsiaTheme="majorEastAsia"/>
              </w:rPr>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F1BF92D" w14:textId="6AAED9C9" w:rsidR="00C560C1" w:rsidRPr="00CC0ECE" w:rsidRDefault="008C59CB" w:rsidP="00CC0ECE">
            <w:pPr>
              <w:pStyle w:val="Tabletextleft"/>
              <w:rPr>
                <w:rFonts w:eastAsiaTheme="majorEastAsia"/>
              </w:rPr>
            </w:pPr>
            <w:r w:rsidRPr="00CC0ECE">
              <w:rPr>
                <w:rFonts w:eastAsiaTheme="majorEastAsia"/>
              </w:rPr>
              <w:t>Quarterly</w:t>
            </w:r>
          </w:p>
        </w:tc>
      </w:tr>
      <w:tr w:rsidR="00C560C1" w:rsidRPr="00CC0ECE" w14:paraId="41A50D8A" w14:textId="77777777" w:rsidTr="00CC0ECE">
        <w:tc>
          <w:tcPr>
            <w:tcW w:w="1555" w:type="dxa"/>
            <w:vAlign w:val="top"/>
          </w:tcPr>
          <w:p w14:paraId="2B4B7CB3" w14:textId="11CB800F" w:rsidR="00C560C1" w:rsidRPr="00F31C2D" w:rsidRDefault="00D87083" w:rsidP="00F31C2D">
            <w:pPr>
              <w:pStyle w:val="Tabletextleft"/>
              <w:rPr>
                <w:rFonts w:eastAsiaTheme="majorEastAsia"/>
                <w:b/>
              </w:rPr>
            </w:pPr>
            <w:r w:rsidRPr="00F31C2D">
              <w:rPr>
                <w:rFonts w:eastAsiaTheme="majorEastAsia"/>
                <w:b/>
              </w:rPr>
              <w:t>4.</w:t>
            </w:r>
            <w:r w:rsidR="005C1BCC" w:rsidRPr="00F31C2D">
              <w:rPr>
                <w:rFonts w:eastAsiaTheme="majorEastAsia"/>
                <w:b/>
              </w:rPr>
              <w:t>5</w:t>
            </w:r>
          </w:p>
        </w:tc>
        <w:tc>
          <w:tcPr>
            <w:tcW w:w="7512" w:type="dxa"/>
            <w:vAlign w:val="top"/>
          </w:tcPr>
          <w:p w14:paraId="09FBA34A" w14:textId="0B1E928A" w:rsidR="00C560C1" w:rsidRPr="00CC0ECE" w:rsidRDefault="00C560C1" w:rsidP="00CC0ECE">
            <w:pPr>
              <w:pStyle w:val="Tabletextleft"/>
              <w:rPr>
                <w:rFonts w:eastAsiaTheme="majorEastAsia"/>
              </w:rPr>
            </w:pPr>
            <w:r w:rsidRPr="00CC0ECE">
              <w:t xml:space="preserve">Number of </w:t>
            </w:r>
            <w:r w:rsidR="00BE3AEF" w:rsidRPr="00CC0ECE">
              <w:t>women</w:t>
            </w:r>
            <w:r w:rsidRPr="00CC0ECE">
              <w:t xml:space="preserve"> giving birth to an infant with congenital syphilis who were diagnosed with syphilis ‘late’ in pregnancy by Indigenous status</w:t>
            </w:r>
          </w:p>
        </w:tc>
        <w:tc>
          <w:tcPr>
            <w:tcW w:w="2835" w:type="dxa"/>
            <w:vAlign w:val="top"/>
          </w:tcPr>
          <w:p w14:paraId="15B41392" w14:textId="55C3249D" w:rsidR="00C560C1" w:rsidRPr="00CC0ECE" w:rsidRDefault="008C59CB" w:rsidP="00CC0ECE">
            <w:pPr>
              <w:pStyle w:val="Tabletextleft"/>
              <w:rPr>
                <w:rFonts w:eastAsiaTheme="majorEastAsia"/>
              </w:rPr>
            </w:pPr>
            <w:r w:rsidRPr="00CC0ECE">
              <w:rPr>
                <w:rFonts w:eastAsiaTheme="majorEastAsia"/>
              </w:rPr>
              <w:t>NNDSS</w:t>
            </w:r>
          </w:p>
        </w:tc>
        <w:tc>
          <w:tcPr>
            <w:tcW w:w="2127" w:type="dxa"/>
            <w:vAlign w:val="top"/>
          </w:tcPr>
          <w:p w14:paraId="385F78AB" w14:textId="0D3BF1EB" w:rsidR="00C560C1" w:rsidRPr="00CC0ECE" w:rsidRDefault="008C59CB" w:rsidP="00CC0ECE">
            <w:pPr>
              <w:pStyle w:val="Tabletextleft"/>
              <w:rPr>
                <w:rFonts w:eastAsiaTheme="majorEastAsia"/>
              </w:rPr>
            </w:pPr>
            <w:r w:rsidRPr="00CC0ECE">
              <w:rPr>
                <w:rFonts w:eastAsiaTheme="majorEastAsia"/>
              </w:rPr>
              <w:t>Quarterly</w:t>
            </w:r>
          </w:p>
        </w:tc>
      </w:tr>
      <w:tr w:rsidR="00C560C1" w:rsidRPr="00CC0ECE" w14:paraId="74F58A0D"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48DA60D" w14:textId="5F02720F" w:rsidR="00C560C1" w:rsidRPr="00F31C2D" w:rsidRDefault="00D87083" w:rsidP="00F31C2D">
            <w:pPr>
              <w:pStyle w:val="Tabletextleft"/>
              <w:rPr>
                <w:rFonts w:eastAsiaTheme="majorEastAsia"/>
                <w:b/>
              </w:rPr>
            </w:pPr>
            <w:r w:rsidRPr="00F31C2D">
              <w:rPr>
                <w:rFonts w:eastAsiaTheme="majorEastAsia"/>
                <w:b/>
              </w:rPr>
              <w:t>4.</w:t>
            </w:r>
            <w:r w:rsidR="005C1BCC" w:rsidRPr="00F31C2D">
              <w:rPr>
                <w:rFonts w:eastAsiaTheme="majorEastAsia"/>
                <w:b/>
              </w:rPr>
              <w:t>6</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9280090" w14:textId="486FEB1C" w:rsidR="00C560C1" w:rsidRPr="00CC0ECE" w:rsidRDefault="00C560C1" w:rsidP="00CC0ECE">
            <w:pPr>
              <w:pStyle w:val="Tabletextleft"/>
              <w:rPr>
                <w:rFonts w:eastAsiaTheme="majorEastAsia"/>
              </w:rPr>
            </w:pPr>
            <w:r w:rsidRPr="00CC0ECE">
              <w:t xml:space="preserve">Proportion of </w:t>
            </w:r>
            <w:r w:rsidR="00BE3AEF" w:rsidRPr="00CC0ECE">
              <w:t>women</w:t>
            </w:r>
            <w:r w:rsidRPr="00CC0ECE">
              <w:t xml:space="preserve"> giving birth to an infant with congenital syphilis receiving adequate treatment prior to delivery</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EAA64DC" w14:textId="1253B29A" w:rsidR="00C560C1" w:rsidRPr="00CC0ECE" w:rsidRDefault="008C59CB" w:rsidP="00CC0ECE">
            <w:pPr>
              <w:pStyle w:val="Tabletextleft"/>
              <w:rPr>
                <w:rFonts w:eastAsiaTheme="majorEastAsia"/>
              </w:rPr>
            </w:pPr>
            <w:r w:rsidRPr="00CC0ECE">
              <w:rPr>
                <w:rFonts w:eastAsiaTheme="majorEastAsia"/>
              </w:rPr>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9EC2FDF" w14:textId="2DD96843" w:rsidR="00C560C1" w:rsidRPr="00CC0ECE" w:rsidRDefault="00957A43" w:rsidP="00CC0ECE">
            <w:pPr>
              <w:pStyle w:val="Tabletextleft"/>
              <w:rPr>
                <w:rFonts w:eastAsiaTheme="majorEastAsia"/>
              </w:rPr>
            </w:pPr>
            <w:r w:rsidRPr="00CC0ECE">
              <w:rPr>
                <w:rFonts w:eastAsiaTheme="majorEastAsia"/>
              </w:rPr>
              <w:t>Quarterly</w:t>
            </w:r>
          </w:p>
        </w:tc>
      </w:tr>
      <w:tr w:rsidR="00C560C1" w:rsidRPr="00CC0ECE" w14:paraId="708C8AF0" w14:textId="77777777" w:rsidTr="00CC0ECE">
        <w:tc>
          <w:tcPr>
            <w:tcW w:w="1555" w:type="dxa"/>
            <w:vAlign w:val="top"/>
          </w:tcPr>
          <w:p w14:paraId="66BEA4C9" w14:textId="25D4D7B9" w:rsidR="00C560C1" w:rsidRPr="00F31C2D" w:rsidRDefault="00D87083" w:rsidP="00F31C2D">
            <w:pPr>
              <w:pStyle w:val="Tabletextleft"/>
              <w:rPr>
                <w:rFonts w:eastAsiaTheme="majorEastAsia"/>
                <w:b/>
              </w:rPr>
            </w:pPr>
            <w:r w:rsidRPr="00F31C2D">
              <w:rPr>
                <w:rFonts w:eastAsiaTheme="majorEastAsia"/>
                <w:b/>
              </w:rPr>
              <w:t>4.</w:t>
            </w:r>
            <w:r w:rsidR="005C1BCC" w:rsidRPr="00F31C2D">
              <w:rPr>
                <w:rFonts w:eastAsiaTheme="majorEastAsia"/>
                <w:b/>
              </w:rPr>
              <w:t>7</w:t>
            </w:r>
          </w:p>
        </w:tc>
        <w:tc>
          <w:tcPr>
            <w:tcW w:w="7512" w:type="dxa"/>
            <w:vAlign w:val="top"/>
          </w:tcPr>
          <w:p w14:paraId="3AC49E3E" w14:textId="5B72AC99" w:rsidR="00C560C1" w:rsidRPr="00CC0ECE" w:rsidRDefault="00C560C1" w:rsidP="00CC0ECE">
            <w:pPr>
              <w:pStyle w:val="Tabletextleft"/>
              <w:rPr>
                <w:rFonts w:eastAsiaTheme="majorEastAsia"/>
              </w:rPr>
            </w:pPr>
            <w:r w:rsidRPr="00CC0ECE">
              <w:t xml:space="preserve">Number of </w:t>
            </w:r>
            <w:r w:rsidR="00BE3AEF" w:rsidRPr="00CC0ECE">
              <w:t>women</w:t>
            </w:r>
            <w:r w:rsidRPr="00CC0ECE">
              <w:t xml:space="preserve"> giving birth to an infant with congenital syphilis by number of syphilis tests received during their pregnancy</w:t>
            </w:r>
          </w:p>
        </w:tc>
        <w:tc>
          <w:tcPr>
            <w:tcW w:w="2835" w:type="dxa"/>
            <w:vAlign w:val="top"/>
          </w:tcPr>
          <w:p w14:paraId="23F78798" w14:textId="37C395E4" w:rsidR="00C560C1" w:rsidRPr="00CC0ECE" w:rsidRDefault="003F2996" w:rsidP="00CC0ECE">
            <w:pPr>
              <w:pStyle w:val="Tabletextleft"/>
              <w:rPr>
                <w:rFonts w:eastAsiaTheme="majorEastAsia"/>
              </w:rPr>
            </w:pPr>
            <w:r w:rsidRPr="00CC0ECE">
              <w:rPr>
                <w:rFonts w:eastAsiaTheme="majorEastAsia"/>
              </w:rPr>
              <w:t>NNDSS</w:t>
            </w:r>
          </w:p>
        </w:tc>
        <w:tc>
          <w:tcPr>
            <w:tcW w:w="2127" w:type="dxa"/>
            <w:vAlign w:val="top"/>
          </w:tcPr>
          <w:p w14:paraId="6A19883D" w14:textId="2035BF6C" w:rsidR="00C560C1" w:rsidRPr="00CC0ECE" w:rsidRDefault="003F2996" w:rsidP="00CC0ECE">
            <w:pPr>
              <w:pStyle w:val="Tabletextleft"/>
              <w:rPr>
                <w:rFonts w:eastAsiaTheme="majorEastAsia"/>
              </w:rPr>
            </w:pPr>
            <w:r w:rsidRPr="00CC0ECE">
              <w:rPr>
                <w:rFonts w:eastAsiaTheme="majorEastAsia"/>
              </w:rPr>
              <w:t>Quarterly</w:t>
            </w:r>
          </w:p>
        </w:tc>
      </w:tr>
      <w:tr w:rsidR="00C560C1" w:rsidRPr="00CC0ECE" w14:paraId="28DAFFDE"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E798C15" w14:textId="3DEBDA3D" w:rsidR="00C560C1" w:rsidRPr="00F31C2D" w:rsidRDefault="00D87083" w:rsidP="00F31C2D">
            <w:pPr>
              <w:pStyle w:val="Tabletextleft"/>
              <w:rPr>
                <w:rFonts w:eastAsiaTheme="majorEastAsia"/>
                <w:b/>
              </w:rPr>
            </w:pPr>
            <w:r w:rsidRPr="00F31C2D">
              <w:rPr>
                <w:rFonts w:eastAsiaTheme="majorEastAsia"/>
                <w:b/>
              </w:rPr>
              <w:t>4.</w:t>
            </w:r>
            <w:r w:rsidR="005C1BCC" w:rsidRPr="00F31C2D">
              <w:rPr>
                <w:rFonts w:eastAsiaTheme="majorEastAsia"/>
                <w:b/>
              </w:rPr>
              <w:t>8</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7FFE1C3" w14:textId="271794F7" w:rsidR="00C560C1" w:rsidRPr="00CC0ECE" w:rsidRDefault="00C560C1" w:rsidP="00CC0ECE">
            <w:pPr>
              <w:pStyle w:val="Tabletextleft"/>
              <w:rPr>
                <w:rFonts w:eastAsiaTheme="majorEastAsia"/>
              </w:rPr>
            </w:pPr>
            <w:r w:rsidRPr="00CC0ECE">
              <w:t xml:space="preserve">Number of </w:t>
            </w:r>
            <w:r w:rsidR="00BE3AEF" w:rsidRPr="00CC0ECE">
              <w:t>women</w:t>
            </w:r>
            <w:r w:rsidRPr="00CC0ECE">
              <w:t xml:space="preserve"> giving birth to an infant with congenital syphilis reinfected during their pregnancy</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E84D17A" w14:textId="18455B18" w:rsidR="00C560C1" w:rsidRPr="00CC0ECE" w:rsidRDefault="003F2996" w:rsidP="00CC0ECE">
            <w:pPr>
              <w:pStyle w:val="Tabletextleft"/>
              <w:rPr>
                <w:rFonts w:eastAsiaTheme="majorEastAsia"/>
              </w:rPr>
            </w:pPr>
            <w:r w:rsidRPr="00CC0ECE">
              <w:rPr>
                <w:rFonts w:eastAsiaTheme="majorEastAsia"/>
              </w:rPr>
              <w:t>NNDSS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86514C8" w14:textId="2D6C85F6" w:rsidR="00C560C1" w:rsidRPr="00CC0ECE" w:rsidRDefault="003F2996" w:rsidP="00CC0ECE">
            <w:pPr>
              <w:pStyle w:val="Tabletextleft"/>
              <w:rPr>
                <w:rFonts w:eastAsiaTheme="majorEastAsia"/>
              </w:rPr>
            </w:pPr>
            <w:r w:rsidRPr="00CC0ECE">
              <w:rPr>
                <w:rFonts w:eastAsiaTheme="majorEastAsia"/>
              </w:rPr>
              <w:t>Quarterly</w:t>
            </w:r>
          </w:p>
        </w:tc>
      </w:tr>
      <w:tr w:rsidR="00C560C1" w:rsidRPr="00CC0ECE" w14:paraId="01F24146" w14:textId="77777777" w:rsidTr="00CC0ECE">
        <w:tc>
          <w:tcPr>
            <w:tcW w:w="1555" w:type="dxa"/>
            <w:vAlign w:val="top"/>
          </w:tcPr>
          <w:p w14:paraId="23AA88BA" w14:textId="3B71AC91" w:rsidR="00C560C1" w:rsidRPr="00F31C2D" w:rsidRDefault="00D87083" w:rsidP="00F31C2D">
            <w:pPr>
              <w:pStyle w:val="Tabletextleft"/>
              <w:rPr>
                <w:rFonts w:eastAsiaTheme="majorEastAsia"/>
                <w:b/>
              </w:rPr>
            </w:pPr>
            <w:r w:rsidRPr="00F31C2D">
              <w:rPr>
                <w:rFonts w:eastAsiaTheme="majorEastAsia"/>
                <w:b/>
              </w:rPr>
              <w:t>4.</w:t>
            </w:r>
            <w:r w:rsidR="005C1BCC" w:rsidRPr="00F31C2D">
              <w:rPr>
                <w:rFonts w:eastAsiaTheme="majorEastAsia"/>
                <w:b/>
              </w:rPr>
              <w:t>9</w:t>
            </w:r>
          </w:p>
        </w:tc>
        <w:tc>
          <w:tcPr>
            <w:tcW w:w="7512" w:type="dxa"/>
            <w:vAlign w:val="top"/>
          </w:tcPr>
          <w:p w14:paraId="604C0C34" w14:textId="3C97FD63" w:rsidR="00C560C1" w:rsidRPr="00CC0ECE" w:rsidRDefault="00C560C1" w:rsidP="00CC0ECE">
            <w:pPr>
              <w:pStyle w:val="Tabletextleft"/>
              <w:rPr>
                <w:rFonts w:eastAsiaTheme="majorEastAsia"/>
              </w:rPr>
            </w:pPr>
            <w:r w:rsidRPr="00CC0ECE">
              <w:t>Number of women of reproductive age (15-44 years) hospitalised with a principal diagnosis of syphilis (ICD-10 coded)</w:t>
            </w:r>
          </w:p>
        </w:tc>
        <w:tc>
          <w:tcPr>
            <w:tcW w:w="2835" w:type="dxa"/>
            <w:vAlign w:val="top"/>
          </w:tcPr>
          <w:p w14:paraId="607D0F6A" w14:textId="7C75285F" w:rsidR="00C560C1" w:rsidRPr="00CC0ECE" w:rsidRDefault="003F2996" w:rsidP="00CC0ECE">
            <w:pPr>
              <w:pStyle w:val="Tabletextleft"/>
              <w:rPr>
                <w:rFonts w:eastAsiaTheme="majorEastAsia"/>
              </w:rPr>
            </w:pPr>
            <w:r w:rsidRPr="00CC0ECE">
              <w:rPr>
                <w:rFonts w:eastAsiaTheme="majorEastAsia"/>
              </w:rPr>
              <w:t xml:space="preserve">National </w:t>
            </w:r>
            <w:r w:rsidR="0075327F" w:rsidRPr="00CC0ECE">
              <w:rPr>
                <w:rFonts w:eastAsiaTheme="majorEastAsia"/>
              </w:rPr>
              <w:t xml:space="preserve">Hospital </w:t>
            </w:r>
            <w:r w:rsidRPr="00CC0ECE">
              <w:rPr>
                <w:rFonts w:eastAsiaTheme="majorEastAsia"/>
              </w:rPr>
              <w:t xml:space="preserve">Morbidity </w:t>
            </w:r>
            <w:r w:rsidR="0075327F" w:rsidRPr="00CC0ECE">
              <w:rPr>
                <w:rFonts w:eastAsiaTheme="majorEastAsia"/>
              </w:rPr>
              <w:t>Database (AIHW)</w:t>
            </w:r>
          </w:p>
        </w:tc>
        <w:tc>
          <w:tcPr>
            <w:tcW w:w="2127" w:type="dxa"/>
            <w:vAlign w:val="top"/>
          </w:tcPr>
          <w:p w14:paraId="38C53E42" w14:textId="015EAC80" w:rsidR="00C560C1" w:rsidRPr="00CC0ECE" w:rsidRDefault="0075327F" w:rsidP="00CC0ECE">
            <w:pPr>
              <w:pStyle w:val="Tabletextleft"/>
              <w:rPr>
                <w:rFonts w:eastAsiaTheme="majorEastAsia"/>
              </w:rPr>
            </w:pPr>
            <w:r w:rsidRPr="00CC0ECE">
              <w:rPr>
                <w:rFonts w:eastAsiaTheme="majorEastAsia"/>
              </w:rPr>
              <w:t>Annually</w:t>
            </w:r>
          </w:p>
        </w:tc>
      </w:tr>
      <w:tr w:rsidR="0075327F" w:rsidRPr="00CC0ECE" w14:paraId="461BFE8B" w14:textId="77777777" w:rsidTr="00CC0ECE">
        <w:trPr>
          <w:cnfStyle w:val="000000100000" w:firstRow="0" w:lastRow="0" w:firstColumn="0" w:lastColumn="0" w:oddVBand="0" w:evenVBand="0" w:oddHBand="1" w:evenHBand="0" w:firstRowFirstColumn="0" w:firstRowLastColumn="0" w:lastRowFirstColumn="0" w:lastRowLastColumn="0"/>
        </w:trPr>
        <w:tc>
          <w:tcPr>
            <w:tcW w:w="155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ECA4F5F" w14:textId="01AB6EBF" w:rsidR="0075327F" w:rsidRPr="00F31C2D" w:rsidRDefault="0075327F" w:rsidP="00F31C2D">
            <w:pPr>
              <w:pStyle w:val="Tabletextleft"/>
              <w:rPr>
                <w:rFonts w:eastAsiaTheme="majorEastAsia"/>
                <w:b/>
              </w:rPr>
            </w:pPr>
            <w:r w:rsidRPr="00F31C2D">
              <w:rPr>
                <w:rFonts w:eastAsiaTheme="majorEastAsia"/>
                <w:b/>
              </w:rPr>
              <w:t>4.1</w:t>
            </w:r>
            <w:r w:rsidR="005C1BCC" w:rsidRPr="00F31C2D">
              <w:rPr>
                <w:rFonts w:eastAsiaTheme="majorEastAsia"/>
                <w:b/>
              </w:rPr>
              <w:t>0</w:t>
            </w:r>
          </w:p>
        </w:tc>
        <w:tc>
          <w:tcPr>
            <w:tcW w:w="751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253F448" w14:textId="7507DD59" w:rsidR="0075327F" w:rsidRPr="00CC0ECE" w:rsidRDefault="0075327F" w:rsidP="00CC0ECE">
            <w:pPr>
              <w:pStyle w:val="Tabletextleft"/>
              <w:rPr>
                <w:rFonts w:eastAsiaTheme="majorEastAsia"/>
              </w:rPr>
            </w:pPr>
            <w:r w:rsidRPr="00CC0ECE">
              <w:t xml:space="preserve">Number of </w:t>
            </w:r>
            <w:r w:rsidR="00627426" w:rsidRPr="00CC0ECE">
              <w:t>women</w:t>
            </w:r>
            <w:r w:rsidRPr="00CC0ECE">
              <w:t xml:space="preserve"> hospitalised with a principal diagnosis of syphilis in pregnancy, childbirth and puerperium (ICD-10 coded)</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9CF6943" w14:textId="7898C724" w:rsidR="0075327F" w:rsidRPr="00CC0ECE" w:rsidRDefault="0075327F" w:rsidP="00CC0ECE">
            <w:pPr>
              <w:pStyle w:val="Tabletextleft"/>
              <w:rPr>
                <w:rFonts w:eastAsiaTheme="majorEastAsia"/>
              </w:rPr>
            </w:pPr>
            <w:r w:rsidRPr="00CC0ECE">
              <w:rPr>
                <w:rFonts w:eastAsiaTheme="majorEastAsia"/>
              </w:rPr>
              <w:t>National Hospital Morbidity Database (AIHW)</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350619E4" w14:textId="181C9D07" w:rsidR="0075327F" w:rsidRPr="00CC0ECE" w:rsidRDefault="0075327F" w:rsidP="00CC0ECE">
            <w:pPr>
              <w:pStyle w:val="Tabletextleft"/>
              <w:rPr>
                <w:rFonts w:eastAsiaTheme="majorEastAsia"/>
              </w:rPr>
            </w:pPr>
            <w:r w:rsidRPr="00CC0ECE">
              <w:rPr>
                <w:rFonts w:eastAsiaTheme="majorEastAsia"/>
              </w:rPr>
              <w:t>Annually</w:t>
            </w:r>
          </w:p>
        </w:tc>
      </w:tr>
    </w:tbl>
    <w:p w14:paraId="26945148" w14:textId="77777777" w:rsidR="004354A3" w:rsidRDefault="004354A3" w:rsidP="00F31C2D">
      <w:pPr>
        <w:sectPr w:rsidR="004354A3" w:rsidSect="005B0DA2">
          <w:headerReference w:type="default" r:id="rId40"/>
          <w:footerReference w:type="default" r:id="rId41"/>
          <w:pgSz w:w="16840" w:h="11900" w:orient="landscape" w:code="9"/>
          <w:pgMar w:top="1474" w:right="1474" w:bottom="936" w:left="1474" w:header="709" w:footer="425" w:gutter="0"/>
          <w:cols w:space="708"/>
          <w:docGrid w:linePitch="360"/>
        </w:sectPr>
      </w:pPr>
    </w:p>
    <w:p w14:paraId="64D8B02E" w14:textId="56BE0165" w:rsidR="005B0DA2" w:rsidRPr="008E6D79" w:rsidRDefault="00957A43" w:rsidP="008E6D79">
      <w:pPr>
        <w:pStyle w:val="Heading1"/>
      </w:pPr>
      <w:bookmarkStart w:id="38" w:name="_Toc230091258"/>
      <w:r w:rsidRPr="008E6D79">
        <w:lastRenderedPageBreak/>
        <w:t>References</w:t>
      </w:r>
      <w:bookmarkEnd w:id="38"/>
    </w:p>
    <w:p w14:paraId="7850E0C5" w14:textId="7648EF71" w:rsidR="00792256" w:rsidRPr="00FB0BCA" w:rsidRDefault="00004883" w:rsidP="00FB0BCA">
      <w:pPr>
        <w:pStyle w:val="EndNoteBibliography"/>
      </w:pPr>
      <w:r>
        <w:fldChar w:fldCharType="begin"/>
      </w:r>
      <w:r>
        <w:instrText xml:space="preserve"> ADDIN EN.REFLIST </w:instrText>
      </w:r>
      <w:r>
        <w:fldChar w:fldCharType="separate"/>
      </w:r>
      <w:r w:rsidR="00792256" w:rsidRPr="00FB0BCA">
        <w:t>1.</w:t>
      </w:r>
      <w:r w:rsidR="00792256" w:rsidRPr="00FB0BCA">
        <w:tab/>
        <w:t xml:space="preserve">Australian Government Department of Health and Aged Care. </w:t>
      </w:r>
      <w:r w:rsidR="00792256" w:rsidRPr="004354A3">
        <w:rPr>
          <w:i/>
          <w:iCs/>
        </w:rPr>
        <w:t>National Health Security Act 2007</w:t>
      </w:r>
      <w:r w:rsidR="00792256" w:rsidRPr="00FB0BCA">
        <w:t>.</w:t>
      </w:r>
      <w:r w:rsidR="00BB0A63">
        <w:t xml:space="preserve"> </w:t>
      </w:r>
      <w:r w:rsidR="00792256" w:rsidRPr="00FB0BCA">
        <w:t xml:space="preserve">[cited 2025 24 April]; Available from: </w:t>
      </w:r>
      <w:hyperlink r:id="rId42" w:history="1">
        <w:r w:rsidR="00792256" w:rsidRPr="00FB0BCA">
          <w:rPr>
            <w:rStyle w:val="Hyperlink"/>
            <w:color w:val="auto"/>
            <w:u w:val="none"/>
          </w:rPr>
          <w:t>https://www.legislation.gov.au/C2007A00174/latest/text</w:t>
        </w:r>
      </w:hyperlink>
      <w:r w:rsidR="00792256" w:rsidRPr="00FB0BCA">
        <w:t>.</w:t>
      </w:r>
    </w:p>
    <w:p w14:paraId="41887409" w14:textId="6DA8BAA2" w:rsidR="00792256" w:rsidRPr="00792256" w:rsidRDefault="00792256" w:rsidP="00FB0BCA">
      <w:pPr>
        <w:pStyle w:val="EndNoteBibliography"/>
      </w:pPr>
      <w:r w:rsidRPr="00792256">
        <w:t>2.</w:t>
      </w:r>
      <w:r w:rsidRPr="00792256">
        <w:tab/>
      </w:r>
      <w:r w:rsidRPr="00792256">
        <w:rPr>
          <w:i/>
        </w:rPr>
        <w:t>Syphilis – CDNA National Guidelines for Public Health Units</w:t>
      </w:r>
      <w:r w:rsidRPr="00792256">
        <w:t>.</w:t>
      </w:r>
      <w:r w:rsidR="00BB0A63">
        <w:t xml:space="preserve"> </w:t>
      </w:r>
      <w:r w:rsidRPr="00792256">
        <w:t xml:space="preserve">[cited 2025 30 April]; Available from: </w:t>
      </w:r>
      <w:hyperlink r:id="rId43" w:history="1">
        <w:r w:rsidRPr="00792256">
          <w:rPr>
            <w:rStyle w:val="Hyperlink"/>
          </w:rPr>
          <w:t>https://www.health.gov.au/resources/publications/syphilis-cdna-national-guidelines-for-public-health-units?language=en</w:t>
        </w:r>
      </w:hyperlink>
      <w:r w:rsidRPr="00792256">
        <w:t>.</w:t>
      </w:r>
    </w:p>
    <w:p w14:paraId="5B8A01F3" w14:textId="77777777" w:rsidR="00792256" w:rsidRPr="00792256" w:rsidRDefault="00792256" w:rsidP="00FB0BCA">
      <w:pPr>
        <w:pStyle w:val="EndNoteBibliography"/>
      </w:pPr>
      <w:r w:rsidRPr="00792256">
        <w:t>3.</w:t>
      </w:r>
      <w:r w:rsidRPr="00792256">
        <w:tab/>
        <w:t xml:space="preserve">Riley, B. and N. Medland, </w:t>
      </w:r>
      <w:r w:rsidRPr="004354A3">
        <w:rPr>
          <w:i/>
          <w:iCs/>
        </w:rPr>
        <w:t>Australian consensus statement on doxycycline post-exposure prophylaxis (doxy-PEP) for the prevention of syphilis, chlamydia and gonorrhoea among gay, bisexual and other men who have sex with men</w:t>
      </w:r>
      <w:r w:rsidRPr="00792256">
        <w:t xml:space="preserve">. Medical Journal of Australia, 2024. </w:t>
      </w:r>
      <w:r w:rsidRPr="00792256">
        <w:rPr>
          <w:b/>
        </w:rPr>
        <w:t>220</w:t>
      </w:r>
      <w:r w:rsidRPr="00792256">
        <w:t>(7): p. 381-386.</w:t>
      </w:r>
    </w:p>
    <w:p w14:paraId="4B15D2D9" w14:textId="0479E98A" w:rsidR="00792256" w:rsidRPr="00792256" w:rsidRDefault="00792256" w:rsidP="00FB0BCA">
      <w:pPr>
        <w:pStyle w:val="EndNoteBibliography"/>
      </w:pPr>
      <w:r w:rsidRPr="00792256">
        <w:t>4.</w:t>
      </w:r>
      <w:r w:rsidRPr="00792256">
        <w:tab/>
      </w:r>
      <w:r w:rsidRPr="00F60BBD">
        <w:rPr>
          <w:i/>
          <w:iCs/>
        </w:rPr>
        <w:t>The Australian Collaboration for Coordinated Enhanced Sentinel Surveillance of Sexually Transmissible Infections and Blood Borne Viruses</w:t>
      </w:r>
      <w:r w:rsidRPr="00792256">
        <w:t xml:space="preserve">. Available from: </w:t>
      </w:r>
      <w:hyperlink r:id="rId44" w:history="1">
        <w:r w:rsidRPr="00792256">
          <w:rPr>
            <w:rStyle w:val="Hyperlink"/>
          </w:rPr>
          <w:t>https://accessproject.org.au/</w:t>
        </w:r>
      </w:hyperlink>
      <w:r w:rsidRPr="00792256">
        <w:t>.</w:t>
      </w:r>
    </w:p>
    <w:p w14:paraId="0B7ABFFF" w14:textId="77777777" w:rsidR="00792256" w:rsidRPr="00792256" w:rsidRDefault="00792256" w:rsidP="00FB0BCA">
      <w:pPr>
        <w:pStyle w:val="EndNoteBibliography"/>
      </w:pPr>
      <w:r w:rsidRPr="00792256">
        <w:t>5.</w:t>
      </w:r>
      <w:r w:rsidRPr="00792256">
        <w:tab/>
        <w:t xml:space="preserve">Fogarty, W., et al., </w:t>
      </w:r>
      <w:r w:rsidRPr="00F60BBD">
        <w:rPr>
          <w:i/>
          <w:iCs/>
        </w:rPr>
        <w:t>Deficit Discourse and Strengths-based Approaches: Changing the Narrative of Aboriginal and Torres Strait Islander Health and Wellbeing</w:t>
      </w:r>
      <w:r w:rsidRPr="00792256">
        <w:t>. 2018, The Lowitja Institute: Melbourne.</w:t>
      </w:r>
    </w:p>
    <w:p w14:paraId="567346C0" w14:textId="7808FA64" w:rsidR="00392A4D" w:rsidRPr="00CE4437" w:rsidRDefault="00004883" w:rsidP="00CE4437">
      <w:r>
        <w:fldChar w:fldCharType="end"/>
      </w:r>
    </w:p>
    <w:sectPr w:rsidR="00392A4D" w:rsidRPr="00CE4437" w:rsidSect="00121E5A">
      <w:headerReference w:type="default" r:id="rId45"/>
      <w:footerReference w:type="default" r:id="rId46"/>
      <w:pgSz w:w="11900" w:h="16840" w:code="9"/>
      <w:pgMar w:top="1474" w:right="934" w:bottom="1474" w:left="147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AE57" w14:textId="77777777" w:rsidR="008F2428" w:rsidRDefault="008F2428" w:rsidP="00BD640A">
      <w:pPr>
        <w:spacing w:before="0" w:after="0" w:line="240" w:lineRule="auto"/>
      </w:pPr>
      <w:r>
        <w:separator/>
      </w:r>
    </w:p>
  </w:endnote>
  <w:endnote w:type="continuationSeparator" w:id="0">
    <w:p w14:paraId="42130134" w14:textId="77777777" w:rsidR="008F2428" w:rsidRDefault="008F2428" w:rsidP="00BD640A">
      <w:pPr>
        <w:spacing w:before="0" w:after="0" w:line="240" w:lineRule="auto"/>
      </w:pPr>
      <w:r>
        <w:continuationSeparator/>
      </w:r>
    </w:p>
  </w:endnote>
  <w:endnote w:type="continuationNotice" w:id="1">
    <w:p w14:paraId="289DE0A2" w14:textId="77777777" w:rsidR="008F2428" w:rsidRDefault="008F242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B878" w14:textId="5DD54E17" w:rsidR="001819E5" w:rsidRDefault="001819E5">
    <w:pPr>
      <w:pStyle w:val="Footer"/>
    </w:pPr>
    <w:r>
      <w:rPr>
        <w:noProof/>
      </w:rPr>
      <mc:AlternateContent>
        <mc:Choice Requires="wps">
          <w:drawing>
            <wp:anchor distT="0" distB="0" distL="0" distR="0" simplePos="0" relativeHeight="251658242" behindDoc="0" locked="0" layoutInCell="1" allowOverlap="1" wp14:anchorId="5B21C363" wp14:editId="7A35B6F4">
              <wp:simplePos x="635" y="635"/>
              <wp:positionH relativeFrom="page">
                <wp:align>center</wp:align>
              </wp:positionH>
              <wp:positionV relativeFrom="page">
                <wp:align>bottom</wp:align>
              </wp:positionV>
              <wp:extent cx="622300" cy="480695"/>
              <wp:effectExtent l="0" t="0" r="6350" b="0"/>
              <wp:wrapNone/>
              <wp:docPr id="168326474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0D14068" w14:textId="16A087FC" w:rsidR="001819E5" w:rsidRPr="001819E5" w:rsidRDefault="001819E5" w:rsidP="001819E5">
                          <w:pPr>
                            <w:spacing w:after="0"/>
                            <w:rPr>
                              <w:rFonts w:ascii="Aptos" w:eastAsia="Aptos" w:hAnsi="Aptos" w:cs="Aptos"/>
                              <w:noProof/>
                              <w:color w:val="FF0000"/>
                            </w:rPr>
                          </w:pPr>
                          <w:r w:rsidRPr="001819E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21C363" id="_x0000_t202" coordsize="21600,21600" o:spt="202" path="m,l,21600r21600,l21600,xe">
              <v:stroke joinstyle="miter"/>
              <v:path gradientshapeok="t" o:connecttype="rect"/>
            </v:shapetype>
            <v:shape id="Text Box 9" o:spid="_x0000_s1027"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20D14068" w14:textId="16A087FC" w:rsidR="001819E5" w:rsidRPr="001819E5" w:rsidRDefault="001819E5" w:rsidP="001819E5">
                    <w:pPr>
                      <w:spacing w:after="0"/>
                      <w:rPr>
                        <w:rFonts w:ascii="Aptos" w:eastAsia="Aptos" w:hAnsi="Aptos" w:cs="Aptos"/>
                        <w:noProof/>
                        <w:color w:val="FF0000"/>
                      </w:rPr>
                    </w:pPr>
                    <w:r w:rsidRPr="001819E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C2C4" w14:textId="7E781EFB" w:rsidR="00121E5A" w:rsidRPr="00CA11E3" w:rsidRDefault="00121E5A" w:rsidP="00121E5A">
    <w:pPr>
      <w:pStyle w:val="Footer"/>
      <w:tabs>
        <w:tab w:val="clear" w:pos="4513"/>
        <w:tab w:val="clear" w:pos="9026"/>
        <w:tab w:val="right" w:pos="13892"/>
      </w:tabs>
      <w:rPr>
        <w:color w:val="FFFFFF" w:themeColor="background1"/>
      </w:rPr>
    </w:pPr>
    <w:r w:rsidRPr="00B71832">
      <w:t>Australian Centre for Disease Contro</w:t>
    </w:r>
    <w:r w:rsidR="009457D1">
      <w:t>l</w:t>
    </w:r>
    <w:r w:rsidRPr="00B71832">
      <w:tab/>
    </w:r>
    <w:r w:rsidRPr="00B71832">
      <w:fldChar w:fldCharType="begin"/>
    </w:r>
    <w:r w:rsidRPr="00B71832">
      <w:instrText xml:space="preserve"> PAGE   \* MERGEFORMAT </w:instrText>
    </w:r>
    <w:r w:rsidRPr="00B71832">
      <w:fldChar w:fldCharType="separate"/>
    </w:r>
    <w:r w:rsidRPr="00B71832">
      <w:rPr>
        <w:noProof/>
      </w:rPr>
      <w:t>1</w:t>
    </w:r>
    <w:r w:rsidRPr="00B71832">
      <w:rPr>
        <w:noProof/>
      </w:rPr>
      <w:fldChar w:fldCharType="end"/>
    </w:r>
    <w:r w:rsidRPr="00DD7044">
      <w:rPr>
        <w:noProof/>
        <w:color w:val="FFFFFF" w:themeColor="background1"/>
      </w:rPr>
      <w:drawing>
        <wp:anchor distT="0" distB="0" distL="114300" distR="114300" simplePos="0" relativeHeight="251658240" behindDoc="1" locked="1" layoutInCell="1" allowOverlap="1" wp14:anchorId="5DE90E69" wp14:editId="543D691B">
          <wp:simplePos x="0" y="0"/>
          <wp:positionH relativeFrom="page">
            <wp:posOffset>-1571625</wp:posOffset>
          </wp:positionH>
          <wp:positionV relativeFrom="page">
            <wp:posOffset>9877425</wp:posOffset>
          </wp:positionV>
          <wp:extent cx="9100820" cy="787400"/>
          <wp:effectExtent l="0" t="0" r="5080" b="0"/>
          <wp:wrapNone/>
          <wp:docPr id="1313295818" name="Picture 13132958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95818" name="Picture 13132958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0082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DFFB" w14:textId="6B4D6C9D" w:rsidR="004B339D" w:rsidRPr="00CA11E3" w:rsidRDefault="004B339D" w:rsidP="00121E5A">
    <w:pPr>
      <w:pStyle w:val="Footer"/>
      <w:tabs>
        <w:tab w:val="clear" w:pos="4513"/>
        <w:tab w:val="clear" w:pos="9026"/>
        <w:tab w:val="right" w:pos="13892"/>
      </w:tabs>
      <w:rPr>
        <w:color w:val="FFFFFF" w:themeColor="background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6A2D" w14:textId="0E7BA926" w:rsidR="00230258" w:rsidRPr="00CA11E3" w:rsidRDefault="00230258" w:rsidP="00121E5A">
    <w:pPr>
      <w:pStyle w:val="Footer"/>
      <w:tabs>
        <w:tab w:val="clear" w:pos="4513"/>
        <w:tab w:val="clear" w:pos="9026"/>
        <w:tab w:val="right" w:pos="13892"/>
      </w:tabs>
      <w:rPr>
        <w:color w:val="FFFFFF" w:themeColor="background1"/>
      </w:rPr>
    </w:pPr>
    <w:r>
      <w:rPr>
        <w:noProof/>
      </w:rPr>
      <w:drawing>
        <wp:anchor distT="0" distB="0" distL="114300" distR="114300" simplePos="0" relativeHeight="251658245" behindDoc="1" locked="0" layoutInCell="1" allowOverlap="1" wp14:anchorId="492E0A27" wp14:editId="7038FFF4">
          <wp:simplePos x="0" y="0"/>
          <wp:positionH relativeFrom="column">
            <wp:posOffset>-907415</wp:posOffset>
          </wp:positionH>
          <wp:positionV relativeFrom="paragraph">
            <wp:posOffset>-76835</wp:posOffset>
          </wp:positionV>
          <wp:extent cx="10692000" cy="651895"/>
          <wp:effectExtent l="0" t="0" r="0" b="0"/>
          <wp:wrapNone/>
          <wp:docPr id="156274674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46745"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2000" cy="651895"/>
                  </a:xfrm>
                  <a:prstGeom prst="rect">
                    <a:avLst/>
                  </a:prstGeom>
                </pic:spPr>
              </pic:pic>
            </a:graphicData>
          </a:graphic>
          <wp14:sizeRelH relativeFrom="page">
            <wp14:pctWidth>0</wp14:pctWidth>
          </wp14:sizeRelH>
          <wp14:sizeRelV relativeFrom="page">
            <wp14:pctHeight>0</wp14:pctHeight>
          </wp14:sizeRelV>
        </wp:anchor>
      </w:drawing>
    </w:r>
    <w:r w:rsidRPr="00B71832">
      <w:t>Australian Centre for Disease Control</w:t>
    </w:r>
    <w:r w:rsidRPr="00B71832">
      <w:tab/>
    </w:r>
    <w:r w:rsidRPr="00B71832">
      <w:fldChar w:fldCharType="begin"/>
    </w:r>
    <w:r w:rsidRPr="00B71832">
      <w:instrText xml:space="preserve"> PAGE   \* MERGEFORMAT </w:instrText>
    </w:r>
    <w:r w:rsidRPr="00B71832">
      <w:fldChar w:fldCharType="separate"/>
    </w:r>
    <w:r w:rsidRPr="00B71832">
      <w:rPr>
        <w:noProof/>
      </w:rPr>
      <w:t>1</w:t>
    </w:r>
    <w:r w:rsidRPr="00B71832">
      <w:rPr>
        <w:noProof/>
      </w:rPr>
      <w:fldChar w:fldCharType="end"/>
    </w:r>
    <w:r w:rsidRPr="00DD7044">
      <w:rPr>
        <w:noProof/>
        <w:color w:val="FFFFFF" w:themeColor="background1"/>
      </w:rPr>
      <w:drawing>
        <wp:anchor distT="0" distB="0" distL="114300" distR="114300" simplePos="0" relativeHeight="251658244" behindDoc="1" locked="1" layoutInCell="1" allowOverlap="1" wp14:anchorId="1F5007F6" wp14:editId="2CEA44C2">
          <wp:simplePos x="0" y="0"/>
          <wp:positionH relativeFrom="page">
            <wp:posOffset>-1571625</wp:posOffset>
          </wp:positionH>
          <wp:positionV relativeFrom="page">
            <wp:posOffset>9877425</wp:posOffset>
          </wp:positionV>
          <wp:extent cx="9100820" cy="787400"/>
          <wp:effectExtent l="0" t="0" r="5080" b="0"/>
          <wp:wrapNone/>
          <wp:docPr id="1530143808" name="Picture 15301438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143808" name="Picture 153014380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0082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20BF" w14:textId="0C05CCF6" w:rsidR="009457D1" w:rsidRPr="00CA11E3" w:rsidRDefault="009457D1" w:rsidP="00121E5A">
    <w:pPr>
      <w:pStyle w:val="Footer"/>
      <w:tabs>
        <w:tab w:val="clear" w:pos="4513"/>
        <w:tab w:val="clear" w:pos="9026"/>
        <w:tab w:val="right" w:pos="13892"/>
      </w:tabs>
      <w:rPr>
        <w:color w:val="FFFFFF" w:themeColor="background1"/>
      </w:rPr>
    </w:pPr>
    <w:r w:rsidRPr="00B71832">
      <w:t>Australian Centre for Disease Control</w:t>
    </w:r>
    <w:r w:rsidRPr="00B71832">
      <w:tab/>
    </w:r>
    <w:r w:rsidRPr="00B71832">
      <w:fldChar w:fldCharType="begin"/>
    </w:r>
    <w:r w:rsidRPr="00B71832">
      <w:instrText xml:space="preserve"> PAGE   \* MERGEFORMAT </w:instrText>
    </w:r>
    <w:r w:rsidRPr="00B71832">
      <w:fldChar w:fldCharType="separate"/>
    </w:r>
    <w:r w:rsidRPr="00B71832">
      <w:rPr>
        <w:noProof/>
      </w:rPr>
      <w:t>1</w:t>
    </w:r>
    <w:r w:rsidRPr="00B71832">
      <w:rPr>
        <w:noProof/>
      </w:rPr>
      <w:fldChar w:fldCharType="end"/>
    </w:r>
    <w:r w:rsidR="00E97A48" w:rsidRPr="00DD7044">
      <w:rPr>
        <w:noProof/>
        <w:color w:val="FFFFFF" w:themeColor="background1"/>
      </w:rPr>
      <w:drawing>
        <wp:anchor distT="0" distB="0" distL="114300" distR="114300" simplePos="0" relativeHeight="251658246" behindDoc="1" locked="1" layoutInCell="1" allowOverlap="1" wp14:anchorId="3772C07D" wp14:editId="44D1CDD8">
          <wp:simplePos x="0" y="0"/>
          <wp:positionH relativeFrom="page">
            <wp:posOffset>12065</wp:posOffset>
          </wp:positionH>
          <wp:positionV relativeFrom="page">
            <wp:align>bottom</wp:align>
          </wp:positionV>
          <wp:extent cx="7560000" cy="654089"/>
          <wp:effectExtent l="0" t="0" r="3175" b="0"/>
          <wp:wrapNone/>
          <wp:docPr id="2022524698" name="Picture 20225246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24698" name="Picture 202252469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65408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4EB6" w14:textId="77777777" w:rsidR="008F2428" w:rsidRDefault="008F2428" w:rsidP="00BD640A">
      <w:pPr>
        <w:spacing w:before="0" w:after="0" w:line="240" w:lineRule="auto"/>
      </w:pPr>
      <w:r>
        <w:separator/>
      </w:r>
    </w:p>
  </w:footnote>
  <w:footnote w:type="continuationSeparator" w:id="0">
    <w:p w14:paraId="2C7F8937" w14:textId="77777777" w:rsidR="008F2428" w:rsidRDefault="008F2428" w:rsidP="00BD640A">
      <w:pPr>
        <w:spacing w:before="0" w:after="0" w:line="240" w:lineRule="auto"/>
      </w:pPr>
      <w:r>
        <w:continuationSeparator/>
      </w:r>
    </w:p>
  </w:footnote>
  <w:footnote w:type="continuationNotice" w:id="1">
    <w:p w14:paraId="62AC9447" w14:textId="77777777" w:rsidR="008F2428" w:rsidRDefault="008F2428">
      <w:pPr>
        <w:spacing w:before="0" w:after="0" w:line="240" w:lineRule="auto"/>
      </w:pPr>
    </w:p>
  </w:footnote>
  <w:footnote w:id="2">
    <w:p w14:paraId="37C12DCF" w14:textId="5A56E857" w:rsidR="0041406C" w:rsidRDefault="0041406C" w:rsidP="0041406C">
      <w:pPr>
        <w:pStyle w:val="FootnoteText"/>
      </w:pPr>
      <w:r>
        <w:rPr>
          <w:rStyle w:val="FootnoteReference"/>
        </w:rPr>
        <w:footnoteRef/>
      </w:r>
      <w:r>
        <w:t xml:space="preserve"> 1 LGBTIQA+ refers to lesbian, gay, bisexual, transgender, intersex, queer, asexual and other sexually or gender diverse</w:t>
      </w:r>
      <w:r w:rsidR="00CF19B7">
        <w:t xml:space="preserve"> </w:t>
      </w:r>
      <w:r w:rsidR="009D655C">
        <w:t>identities</w:t>
      </w:r>
      <w:r>
        <w:t>. Other variations of this acronym exist. Acronym choice can vary depending on the groups or issues being discussed and the available evidence.</w:t>
      </w:r>
    </w:p>
  </w:footnote>
  <w:footnote w:id="3">
    <w:p w14:paraId="4DDB8F43" w14:textId="172B7D33" w:rsidR="003C07ED" w:rsidRDefault="003C07ED">
      <w:pPr>
        <w:pStyle w:val="FootnoteText"/>
      </w:pPr>
      <w:r>
        <w:rPr>
          <w:rStyle w:val="FootnoteReference"/>
        </w:rPr>
        <w:footnoteRef/>
      </w:r>
      <w:r>
        <w:t xml:space="preserve"> </w:t>
      </w:r>
      <w:r w:rsidRPr="000163F4">
        <w:t xml:space="preserve">The term women </w:t>
      </w:r>
      <w:proofErr w:type="gramStart"/>
      <w:r w:rsidRPr="000163F4">
        <w:t>is</w:t>
      </w:r>
      <w:proofErr w:type="gramEnd"/>
      <w:r w:rsidRPr="000163F4">
        <w:t xml:space="preserve"> used, but it acknowledged that this may also include people with a uterus who </w:t>
      </w:r>
      <w:r w:rsidR="00807F05">
        <w:t>do not identify as women</w:t>
      </w:r>
      <w:r w:rsidRPr="000163F4">
        <w:t>.</w:t>
      </w:r>
    </w:p>
  </w:footnote>
  <w:footnote w:id="4">
    <w:p w14:paraId="09072FE0" w14:textId="77777777" w:rsidR="003656E8" w:rsidRDefault="003656E8">
      <w:pPr>
        <w:pStyle w:val="FootnoteText"/>
      </w:pPr>
      <w:r>
        <w:rPr>
          <w:rStyle w:val="FootnoteReference"/>
        </w:rPr>
        <w:footnoteRef/>
      </w:r>
      <w:r>
        <w:t xml:space="preserve"> </w:t>
      </w:r>
      <w:r w:rsidRPr="004717F7">
        <w:t>Syphilis tests include point of care and/or serology.</w:t>
      </w:r>
    </w:p>
  </w:footnote>
  <w:footnote w:id="5">
    <w:p w14:paraId="73C45766" w14:textId="77777777" w:rsidR="004717F7" w:rsidRDefault="004717F7">
      <w:pPr>
        <w:pStyle w:val="FootnoteText"/>
      </w:pPr>
      <w:r>
        <w:rPr>
          <w:rStyle w:val="FootnoteReference"/>
        </w:rPr>
        <w:footnoteRef/>
      </w:r>
      <w:r>
        <w:t xml:space="preserve"> </w:t>
      </w:r>
      <w:r w:rsidRPr="004717F7">
        <w:t>Participating services refers to ACCHS currently funded by the Australian Government Department of Health</w:t>
      </w:r>
      <w:r>
        <w:t xml:space="preserve"> and Aged Care</w:t>
      </w:r>
      <w:r w:rsidRPr="004717F7">
        <w:t xml:space="preserve"> as part of the </w:t>
      </w:r>
      <w:r>
        <w:t>national</w:t>
      </w:r>
      <w:r w:rsidRPr="004717F7">
        <w:t xml:space="preserve"> </w:t>
      </w:r>
      <w:r>
        <w:t xml:space="preserve">syphilis </w:t>
      </w:r>
      <w:r w:rsidRPr="004717F7">
        <w:t>response.</w:t>
      </w:r>
    </w:p>
  </w:footnote>
  <w:footnote w:id="6">
    <w:p w14:paraId="4E59D8A4" w14:textId="641BCDD9" w:rsidR="008A378E" w:rsidRDefault="008A378E">
      <w:pPr>
        <w:pStyle w:val="FootnoteText"/>
      </w:pPr>
      <w:r>
        <w:rPr>
          <w:rStyle w:val="FootnoteReference"/>
        </w:rPr>
        <w:footnoteRef/>
      </w:r>
      <w:r>
        <w:t xml:space="preserve"> Target age group is currently defined as </w:t>
      </w:r>
      <w:proofErr w:type="gramStart"/>
      <w:r>
        <w:t>15</w:t>
      </w:r>
      <w:r w:rsidR="004D2964">
        <w:t xml:space="preserve"> to </w:t>
      </w:r>
      <w:r>
        <w:t>34 year olds</w:t>
      </w:r>
      <w:proofErr w:type="gramEnd"/>
      <w:r>
        <w:t>.</w:t>
      </w:r>
    </w:p>
  </w:footnote>
  <w:footnote w:id="7">
    <w:p w14:paraId="1561F251" w14:textId="712BBF33" w:rsidR="008333C9" w:rsidRDefault="008333C9" w:rsidP="008333C9">
      <w:pPr>
        <w:pStyle w:val="FootnoteText"/>
      </w:pPr>
      <w:r>
        <w:rPr>
          <w:rStyle w:val="FootnoteReference"/>
        </w:rPr>
        <w:footnoteRef/>
      </w:r>
      <w:r>
        <w:t xml:space="preserve"> Priority populations include people from culturally and linguistically diverse populations, and people born overseas, Aboriginal and Torres Strait Islander people, gay</w:t>
      </w:r>
      <w:r w:rsidR="00DF36C9">
        <w:t xml:space="preserve">, </w:t>
      </w:r>
      <w:r>
        <w:t>bisexual</w:t>
      </w:r>
      <w:r w:rsidR="00DF36C9">
        <w:t>, and other</w:t>
      </w:r>
      <w:r>
        <w:t xml:space="preserve"> men who have sex with men</w:t>
      </w:r>
      <w:r w:rsidR="00DF36C9">
        <w:t xml:space="preserve">, </w:t>
      </w:r>
      <w:r>
        <w:t>Trans and gender diverse people, pregnant people, adolescents and young adults, sex workers</w:t>
      </w:r>
      <w:r w:rsidR="00E360CA">
        <w:t>,</w:t>
      </w:r>
      <w:r>
        <w:t xml:space="preserve"> and people who inject drugs.</w:t>
      </w:r>
    </w:p>
  </w:footnote>
  <w:footnote w:id="8">
    <w:p w14:paraId="7C66908B" w14:textId="360EFC94" w:rsidR="00A14FA3" w:rsidRDefault="00A14FA3">
      <w:pPr>
        <w:pStyle w:val="FootnoteText"/>
      </w:pPr>
      <w:r>
        <w:rPr>
          <w:rStyle w:val="FootnoteReference"/>
        </w:rPr>
        <w:footnoteRef/>
      </w:r>
      <w:r>
        <w:t xml:space="preserve"> </w:t>
      </w:r>
      <w:r w:rsidRPr="00A14FA3">
        <w:t>Sites within the ACCESS network include sexual health clinics, general practice, hospital clinics, community sites, drug and alcohol services and pathology laboratories.</w:t>
      </w:r>
    </w:p>
  </w:footnote>
  <w:footnote w:id="9">
    <w:p w14:paraId="5373B176" w14:textId="77777777" w:rsidR="004717F7" w:rsidRDefault="004717F7">
      <w:pPr>
        <w:pStyle w:val="FootnoteText"/>
      </w:pPr>
      <w:r>
        <w:rPr>
          <w:rStyle w:val="FootnoteReference"/>
        </w:rPr>
        <w:footnoteRef/>
      </w:r>
      <w:r>
        <w:t xml:space="preserve"> Duration of pregnancy categorised as: less than 14 weeks; 14-19 weeks; 20 weeks or more; not applicable (no care), and; not stated.</w:t>
      </w:r>
    </w:p>
  </w:footnote>
  <w:footnote w:id="10">
    <w:p w14:paraId="61AB567C" w14:textId="4AB3EBBC" w:rsidR="00D42900" w:rsidRDefault="00D42900">
      <w:pPr>
        <w:pStyle w:val="FootnoteText"/>
      </w:pPr>
      <w:r>
        <w:rPr>
          <w:rStyle w:val="FootnoteReference"/>
        </w:rPr>
        <w:footnoteRef/>
      </w:r>
      <w:r>
        <w:t xml:space="preserve"> ABS ASGS remoteness area categories reported under three remoteness area categories: major cities; inner and outer regional; and remote and very remote.</w:t>
      </w:r>
    </w:p>
  </w:footnote>
  <w:footnote w:id="11">
    <w:p w14:paraId="186BD064" w14:textId="0ECD669D" w:rsidR="004717F7" w:rsidRDefault="004717F7">
      <w:pPr>
        <w:pStyle w:val="FootnoteText"/>
      </w:pPr>
      <w:r>
        <w:rPr>
          <w:rStyle w:val="FootnoteReference"/>
        </w:rPr>
        <w:footnoteRef/>
      </w:r>
      <w:r>
        <w:t xml:space="preserve"> Number of antenatal visits categorised as: no visits; 1 visit; 2-4 visits; 5 or more visits</w:t>
      </w:r>
      <w:r w:rsidR="00071A58">
        <w:t>;</w:t>
      </w:r>
      <w:r>
        <w:t xml:space="preserve"> </w:t>
      </w:r>
      <w:r w:rsidR="00071A58">
        <w:t>and</w:t>
      </w:r>
      <w:r>
        <w:t xml:space="preserve"> not stated.</w:t>
      </w:r>
    </w:p>
  </w:footnote>
  <w:footnote w:id="12">
    <w:p w14:paraId="3746E36E" w14:textId="13F885A4" w:rsidR="002207C6" w:rsidRDefault="002207C6">
      <w:pPr>
        <w:pStyle w:val="FootnoteText"/>
      </w:pPr>
      <w:r>
        <w:rPr>
          <w:rStyle w:val="FootnoteReference"/>
        </w:rPr>
        <w:footnoteRef/>
      </w:r>
      <w:r>
        <w:t xml:space="preserve"> For the purposes of reporting, notifications that report sex at birth as ‘female’ will be used as a proxy for people who are more likely to get pregnant (15-44 years), including </w:t>
      </w:r>
      <w:r w:rsidRPr="00647F58">
        <w:t>people with a uterus who are non-female identifying</w:t>
      </w:r>
      <w:r>
        <w:t>.</w:t>
      </w:r>
    </w:p>
  </w:footnote>
  <w:footnote w:id="13">
    <w:p w14:paraId="25E39F03" w14:textId="61442AFE" w:rsidR="003656E8" w:rsidRDefault="003656E8">
      <w:pPr>
        <w:pStyle w:val="FootnoteText"/>
      </w:pPr>
      <w:r w:rsidRPr="00D74ECB">
        <w:rPr>
          <w:rStyle w:val="FootnoteReference"/>
        </w:rPr>
        <w:footnoteRef/>
      </w:r>
      <w:r w:rsidR="00BB0A63">
        <w:t xml:space="preserve"> </w:t>
      </w:r>
      <w:r w:rsidRPr="00D74ECB">
        <w:t xml:space="preserve">‘Sexual exposure’ refers to the sex of the sexual contact of the notified case and can be reported as either: person (s) of </w:t>
      </w:r>
      <w:r w:rsidR="00131752" w:rsidRPr="00D74ECB">
        <w:t xml:space="preserve">different </w:t>
      </w:r>
      <w:r w:rsidRPr="00D74ECB">
        <w:t xml:space="preserve">sex only; person (s) of same sex only; person (s) of </w:t>
      </w:r>
      <w:r w:rsidR="00555FA8" w:rsidRPr="00D74ECB">
        <w:t>different sex</w:t>
      </w:r>
      <w:r w:rsidR="008E744F" w:rsidRPr="00D74ECB">
        <w:t xml:space="preserve"> AND person</w:t>
      </w:r>
      <w:r w:rsidR="00C35999" w:rsidRPr="00D74ECB">
        <w:t>(s) of same sex</w:t>
      </w:r>
      <w:r w:rsidR="006B4F78">
        <w:t>;</w:t>
      </w:r>
      <w:r w:rsidR="00C35999" w:rsidRPr="00D74ECB">
        <w:t xml:space="preserve"> </w:t>
      </w:r>
      <w:r w:rsidRPr="00D74ECB">
        <w:t>and sexual exposure unknown.</w:t>
      </w:r>
    </w:p>
  </w:footnote>
  <w:footnote w:id="14">
    <w:p w14:paraId="741219BE" w14:textId="27E59203" w:rsidR="000E5924" w:rsidRDefault="000E5924">
      <w:pPr>
        <w:pStyle w:val="FootnoteText"/>
      </w:pPr>
      <w:r>
        <w:rPr>
          <w:rStyle w:val="FootnoteReference"/>
        </w:rPr>
        <w:footnoteRef/>
      </w:r>
      <w:r>
        <w:t xml:space="preserve"> </w:t>
      </w:r>
      <w:r w:rsidR="00646D37">
        <w:t>‘Reason for testing’ refers to the primary reason for testing for syphilis infection</w:t>
      </w:r>
      <w:r w:rsidR="000C76E3">
        <w:t xml:space="preserve"> and can be reported as</w:t>
      </w:r>
      <w:r w:rsidR="00A01211">
        <w:t xml:space="preserve"> either: clinical symptoms; sexual contact of a person(s) with</w:t>
      </w:r>
      <w:r w:rsidR="005E43E2">
        <w:t xml:space="preserve"> an STI; screening associated with pregnancy</w:t>
      </w:r>
      <w:r w:rsidR="003C6071">
        <w:t>; correctional service/justice health screening; STI screening</w:t>
      </w:r>
      <w:r w:rsidR="00B808E0">
        <w:t>; confirm</w:t>
      </w:r>
      <w:r w:rsidR="006B4F78">
        <w:t xml:space="preserve"> reactive </w:t>
      </w:r>
      <w:proofErr w:type="spellStart"/>
      <w:r w:rsidR="006B4F78">
        <w:t>PoCT</w:t>
      </w:r>
      <w:proofErr w:type="spellEnd"/>
      <w:r w:rsidR="006B4F78">
        <w:t>; and other.</w:t>
      </w:r>
    </w:p>
  </w:footnote>
  <w:footnote w:id="15">
    <w:p w14:paraId="7FDBD1D4" w14:textId="5710D194" w:rsidR="008B2FC6" w:rsidRDefault="008B2FC6">
      <w:pPr>
        <w:pStyle w:val="FootnoteText"/>
      </w:pPr>
      <w:r>
        <w:rPr>
          <w:rStyle w:val="FootnoteReference"/>
        </w:rPr>
        <w:footnoteRef/>
      </w:r>
      <w:r>
        <w:t xml:space="preserve"> Defined as men reporting sexual</w:t>
      </w:r>
      <w:r w:rsidR="00C8031D">
        <w:t xml:space="preserve"> contact with</w:t>
      </w:r>
      <w:r>
        <w:t xml:space="preserve"> </w:t>
      </w:r>
      <w:r w:rsidR="00C8031D" w:rsidRPr="00D74ECB">
        <w:t>person(s) of same sex only</w:t>
      </w:r>
      <w:r w:rsidR="00C8031D">
        <w:t xml:space="preserve"> </w:t>
      </w:r>
      <w:r w:rsidR="009336A6">
        <w:t xml:space="preserve">and </w:t>
      </w:r>
      <w:r w:rsidR="00C8031D" w:rsidRPr="00D74ECB">
        <w:t>person(s) of different sex AND person(s) of same sex</w:t>
      </w:r>
      <w:r w:rsidR="009336A6">
        <w:t>.</w:t>
      </w:r>
    </w:p>
  </w:footnote>
  <w:footnote w:id="16">
    <w:p w14:paraId="2C1E1762" w14:textId="77777777" w:rsidR="005C1306" w:rsidRDefault="00FE3760">
      <w:pPr>
        <w:pStyle w:val="FootnoteText"/>
      </w:pPr>
      <w:r>
        <w:rPr>
          <w:rStyle w:val="FootnoteReference"/>
        </w:rPr>
        <w:footnoteRef/>
      </w:r>
      <w:r>
        <w:t xml:space="preserve"> </w:t>
      </w:r>
      <w:r w:rsidR="00DB0680">
        <w:t xml:space="preserve">‘HIV </w:t>
      </w:r>
      <w:proofErr w:type="spellStart"/>
      <w:r w:rsidR="00DB0680">
        <w:t>PrEP</w:t>
      </w:r>
      <w:proofErr w:type="spellEnd"/>
      <w:r w:rsidR="001617DA">
        <w:t xml:space="preserve"> </w:t>
      </w:r>
      <w:r w:rsidR="00DB0680">
        <w:t>use at syphilis diagnosis’</w:t>
      </w:r>
      <w:r w:rsidR="00E30F69">
        <w:t xml:space="preserve"> is categorised as either </w:t>
      </w:r>
      <w:r w:rsidR="006630D2">
        <w:t>yes or no</w:t>
      </w:r>
      <w:r w:rsidR="005C1306">
        <w:t>.</w:t>
      </w:r>
    </w:p>
    <w:p w14:paraId="73F438A1" w14:textId="591C4208" w:rsidR="00FE3760" w:rsidRDefault="00FE3760">
      <w:pPr>
        <w:pStyle w:val="FootnoteText"/>
      </w:pPr>
    </w:p>
  </w:footnote>
  <w:footnote w:id="17">
    <w:p w14:paraId="74E4457A" w14:textId="62962B61" w:rsidR="008158AD" w:rsidRDefault="008158AD">
      <w:pPr>
        <w:pStyle w:val="FootnoteText"/>
      </w:pPr>
      <w:r>
        <w:rPr>
          <w:rStyle w:val="FootnoteReference"/>
        </w:rPr>
        <w:footnoteRef/>
      </w:r>
      <w:r>
        <w:t xml:space="preserve"> </w:t>
      </w:r>
      <w:r w:rsidR="00E13BAA">
        <w:t xml:space="preserve">‘Clinical facility’ </w:t>
      </w:r>
      <w:r w:rsidR="00055C44">
        <w:t>can be reported as: public hospital; private hospital; sexual health clinic; family planning clinic; general practice; other; correction</w:t>
      </w:r>
      <w:r w:rsidR="00077884">
        <w:t>al service/justice health; Aboriginal health service; migration services; dru</w:t>
      </w:r>
      <w:r w:rsidR="00524B81">
        <w:t>g and alcohol services; and online services.</w:t>
      </w:r>
    </w:p>
  </w:footnote>
  <w:footnote w:id="18">
    <w:p w14:paraId="07A32259" w14:textId="77777777" w:rsidR="005C1306" w:rsidRDefault="00461067">
      <w:pPr>
        <w:pStyle w:val="FootnoteText"/>
      </w:pPr>
      <w:r>
        <w:rPr>
          <w:rStyle w:val="FootnoteReference"/>
        </w:rPr>
        <w:footnoteRef/>
      </w:r>
      <w:r>
        <w:t xml:space="preserve"> </w:t>
      </w:r>
      <w:r w:rsidR="007F7245">
        <w:t>‘</w:t>
      </w:r>
      <w:r w:rsidR="00D850B6">
        <w:t>Trea</w:t>
      </w:r>
      <w:r w:rsidR="007F7245">
        <w:t xml:space="preserve">tment’ </w:t>
      </w:r>
      <w:r w:rsidR="00BF5BA9">
        <w:t>refers to whether the current infection has been trea</w:t>
      </w:r>
      <w:r w:rsidR="00A8320D">
        <w:t>ted in-line with the local treatment guidelines</w:t>
      </w:r>
      <w:r w:rsidR="005C1306">
        <w:t>.</w:t>
      </w:r>
    </w:p>
    <w:p w14:paraId="57EC8CC5" w14:textId="08F3AF92" w:rsidR="00461067" w:rsidRDefault="00461067">
      <w:pPr>
        <w:pStyle w:val="FootnoteText"/>
      </w:pPr>
    </w:p>
  </w:footnote>
  <w:footnote w:id="19">
    <w:p w14:paraId="27187F8A" w14:textId="295280C2" w:rsidR="00C40E7F" w:rsidRDefault="00C40E7F">
      <w:pPr>
        <w:pStyle w:val="FootnoteText"/>
      </w:pPr>
      <w:r>
        <w:rPr>
          <w:rStyle w:val="FootnoteReference"/>
        </w:rPr>
        <w:footnoteRef/>
      </w:r>
      <w:r>
        <w:t xml:space="preserve"> </w:t>
      </w:r>
      <w:r w:rsidR="00955CD2">
        <w:t>The numerator includes all notified congenital syphilis cases regardless of the clinical outcome</w:t>
      </w:r>
      <w:r w:rsidR="002517D8">
        <w:t xml:space="preserve"> (e.g. live-born, </w:t>
      </w:r>
      <w:r w:rsidR="006D4ACD">
        <w:t>still-births and death post-birth</w:t>
      </w:r>
      <w:r w:rsidR="00141D56">
        <w:t xml:space="preserve"> due to infection</w:t>
      </w:r>
      <w:r w:rsidR="002517D8">
        <w:t>)</w:t>
      </w:r>
      <w:r w:rsidR="00BE332B">
        <w:t>. The denominator is based on live-births and excludes any</w:t>
      </w:r>
      <w:r w:rsidR="00CD4FA3">
        <w:t xml:space="preserve"> still-births or </w:t>
      </w:r>
      <w:proofErr w:type="spellStart"/>
      <w:r w:rsidR="00CD4FA3">
        <w:t>fetal</w:t>
      </w:r>
      <w:proofErr w:type="spellEnd"/>
      <w:r w:rsidR="00CD4FA3">
        <w:t xml:space="preserve"> deaths.</w:t>
      </w:r>
    </w:p>
  </w:footnote>
  <w:footnote w:id="20">
    <w:p w14:paraId="67CC1EEF" w14:textId="0056E6A0" w:rsidR="00BC481B" w:rsidRPr="00E72F44" w:rsidRDefault="00BC481B" w:rsidP="00BC481B">
      <w:pPr>
        <w:pStyle w:val="FootnoteText"/>
        <w:rPr>
          <w:lang w:val="en-US"/>
        </w:rPr>
      </w:pPr>
      <w:r w:rsidRPr="003958FA">
        <w:rPr>
          <w:rStyle w:val="FootnoteReference"/>
        </w:rPr>
        <w:footnoteRef/>
      </w:r>
      <w:r w:rsidRPr="003958FA">
        <w:t xml:space="preserve"> </w:t>
      </w:r>
      <w:r w:rsidRPr="003958FA">
        <w:rPr>
          <w:lang w:val="en-US"/>
        </w:rPr>
        <w:t>Late diagnosis is defined as a diagnosis of infection</w:t>
      </w:r>
      <w:r>
        <w:rPr>
          <w:lang w:val="en-US"/>
        </w:rPr>
        <w:t xml:space="preserve"> within 30 days prior to delivery,</w:t>
      </w:r>
      <w:r w:rsidRPr="003958FA">
        <w:rPr>
          <w:lang w:val="en-US"/>
        </w:rPr>
        <w:t xml:space="preserve"> at birth (day of delivery)</w:t>
      </w:r>
      <w:r w:rsidR="00C1593E">
        <w:rPr>
          <w:lang w:val="en-US"/>
        </w:rPr>
        <w:t>,</w:t>
      </w:r>
      <w:r w:rsidRPr="003958FA">
        <w:rPr>
          <w:lang w:val="en-US"/>
        </w:rPr>
        <w:t xml:space="preserve"> or post birth.</w:t>
      </w:r>
    </w:p>
  </w:footnote>
  <w:footnote w:id="21">
    <w:p w14:paraId="58660B04" w14:textId="2AD08439" w:rsidR="00056925" w:rsidRDefault="00056925" w:rsidP="00056925">
      <w:pPr>
        <w:pStyle w:val="FootnoteText"/>
      </w:pPr>
      <w:r>
        <w:rPr>
          <w:rStyle w:val="FootnoteReference"/>
        </w:rPr>
        <w:footnoteRef/>
      </w:r>
      <w:r>
        <w:t xml:space="preserve"> Adequate treatment of syphilis in pregnancy, treatment must be completed at a minimum of one month (30 days) prior to delivery.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F949" w14:textId="50E62FAC" w:rsidR="001819E5" w:rsidRDefault="001819E5">
    <w:pPr>
      <w:pStyle w:val="Header"/>
    </w:pPr>
    <w:r>
      <w:rPr>
        <w:noProof/>
      </w:rPr>
      <mc:AlternateContent>
        <mc:Choice Requires="wps">
          <w:drawing>
            <wp:anchor distT="0" distB="0" distL="0" distR="0" simplePos="0" relativeHeight="251658241" behindDoc="0" locked="0" layoutInCell="1" allowOverlap="1" wp14:anchorId="29BFBF04" wp14:editId="250DDDD7">
              <wp:simplePos x="635" y="635"/>
              <wp:positionH relativeFrom="page">
                <wp:align>center</wp:align>
              </wp:positionH>
              <wp:positionV relativeFrom="page">
                <wp:align>top</wp:align>
              </wp:positionV>
              <wp:extent cx="622300" cy="480695"/>
              <wp:effectExtent l="0" t="0" r="6350" b="14605"/>
              <wp:wrapNone/>
              <wp:docPr id="702793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EEE73DB" w14:textId="3CDF5806" w:rsidR="001819E5" w:rsidRPr="001819E5" w:rsidRDefault="001819E5" w:rsidP="001819E5">
                          <w:pPr>
                            <w:spacing w:after="0"/>
                            <w:rPr>
                              <w:rFonts w:ascii="Aptos" w:eastAsia="Aptos" w:hAnsi="Aptos" w:cs="Aptos"/>
                              <w:noProof/>
                              <w:color w:val="FF0000"/>
                            </w:rPr>
                          </w:pPr>
                          <w:r w:rsidRPr="001819E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FBF04"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EEE73DB" w14:textId="3CDF5806" w:rsidR="001819E5" w:rsidRPr="001819E5" w:rsidRDefault="001819E5" w:rsidP="001819E5">
                    <w:pPr>
                      <w:spacing w:after="0"/>
                      <w:rPr>
                        <w:rFonts w:ascii="Aptos" w:eastAsia="Aptos" w:hAnsi="Aptos" w:cs="Aptos"/>
                        <w:noProof/>
                        <w:color w:val="FF0000"/>
                      </w:rPr>
                    </w:pPr>
                    <w:r w:rsidRPr="001819E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36BC" w14:textId="2AE2A677" w:rsidR="001819E5" w:rsidRDefault="005B57A7">
    <w:pPr>
      <w:pStyle w:val="Header"/>
    </w:pPr>
    <w:r>
      <w:rPr>
        <w:noProof/>
      </w:rPr>
      <w:drawing>
        <wp:anchor distT="0" distB="0" distL="114300" distR="114300" simplePos="0" relativeHeight="251658243" behindDoc="1" locked="0" layoutInCell="1" allowOverlap="1" wp14:anchorId="5418DBCD" wp14:editId="46C06148">
          <wp:simplePos x="0" y="0"/>
          <wp:positionH relativeFrom="page">
            <wp:align>left</wp:align>
          </wp:positionH>
          <wp:positionV relativeFrom="paragraph">
            <wp:posOffset>-450215</wp:posOffset>
          </wp:positionV>
          <wp:extent cx="7548865" cy="10677525"/>
          <wp:effectExtent l="0" t="0" r="0" b="0"/>
          <wp:wrapNone/>
          <wp:docPr id="945320297" name="Picture 12" descr="Australian Centre for Disease Cont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320297" name="Picture 12" descr="Australian Centre for Disease Control logo"/>
                  <pic:cNvPicPr/>
                </pic:nvPicPr>
                <pic:blipFill>
                  <a:blip r:embed="rId1">
                    <a:extLst>
                      <a:ext uri="{28A0092B-C50C-407E-A947-70E740481C1C}">
                        <a14:useLocalDpi xmlns:a14="http://schemas.microsoft.com/office/drawing/2010/main" val="0"/>
                      </a:ext>
                    </a:extLst>
                  </a:blip>
                  <a:stretch>
                    <a:fillRect/>
                  </a:stretch>
                </pic:blipFill>
                <pic:spPr>
                  <a:xfrm>
                    <a:off x="0" y="0"/>
                    <a:ext cx="7558425" cy="1069104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56C3" w14:textId="7CFDF1BF" w:rsidR="00E60824" w:rsidRDefault="00E608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F800D43" w14:paraId="18A6662C" w14:textId="77777777" w:rsidTr="7F800D43">
      <w:trPr>
        <w:trHeight w:val="300"/>
      </w:trPr>
      <w:tc>
        <w:tcPr>
          <w:tcW w:w="3160" w:type="dxa"/>
        </w:tcPr>
        <w:p w14:paraId="224A3B96" w14:textId="0D51DDA4" w:rsidR="7F800D43" w:rsidRDefault="7F800D43" w:rsidP="7F800D43">
          <w:pPr>
            <w:pStyle w:val="Header"/>
            <w:ind w:left="-115"/>
          </w:pPr>
        </w:p>
      </w:tc>
      <w:tc>
        <w:tcPr>
          <w:tcW w:w="3160" w:type="dxa"/>
        </w:tcPr>
        <w:p w14:paraId="6459E851" w14:textId="3BC6120B" w:rsidR="7F800D43" w:rsidRDefault="7F800D43" w:rsidP="7F800D43">
          <w:pPr>
            <w:pStyle w:val="Header"/>
            <w:jc w:val="center"/>
          </w:pPr>
        </w:p>
      </w:tc>
      <w:tc>
        <w:tcPr>
          <w:tcW w:w="3160" w:type="dxa"/>
        </w:tcPr>
        <w:p w14:paraId="6D8DD51C" w14:textId="6F7059B5" w:rsidR="7F800D43" w:rsidRDefault="7F800D43" w:rsidP="7F800D43">
          <w:pPr>
            <w:pStyle w:val="Header"/>
            <w:ind w:right="-115"/>
            <w:jc w:val="right"/>
          </w:pPr>
        </w:p>
      </w:tc>
    </w:tr>
  </w:tbl>
  <w:p w14:paraId="7BBBAC5D" w14:textId="270EE2CD" w:rsidR="00E60824" w:rsidRDefault="00E608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6B9C" w14:textId="233A789A" w:rsidR="00E60824" w:rsidRDefault="00E608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A254" w14:textId="6F6FDBF0" w:rsidR="00E60824" w:rsidRDefault="00E60824">
    <w:pPr>
      <w:pStyle w:val="Header"/>
    </w:pPr>
  </w:p>
</w:hdr>
</file>

<file path=word/intelligence2.xml><?xml version="1.0" encoding="utf-8"?>
<int2:intelligence xmlns:int2="http://schemas.microsoft.com/office/intelligence/2020/intelligence" xmlns:oel="http://schemas.microsoft.com/office/2019/extlst">
  <int2:observations>
    <int2:textHash int2:hashCode="KRanK8MB6zyw0H" int2:id="wb94amp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F695C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776346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349BB"/>
    <w:multiLevelType w:val="multilevel"/>
    <w:tmpl w:val="7AB4C0C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5B4DD9"/>
    <w:multiLevelType w:val="hybridMultilevel"/>
    <w:tmpl w:val="4E86DCF6"/>
    <w:lvl w:ilvl="0" w:tplc="68E2246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7B4E42"/>
    <w:multiLevelType w:val="hybridMultilevel"/>
    <w:tmpl w:val="42366F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5E23D41"/>
    <w:multiLevelType w:val="hybridMultilevel"/>
    <w:tmpl w:val="5470AA0E"/>
    <w:lvl w:ilvl="0" w:tplc="7564F708">
      <w:start w:val="1"/>
      <w:numFmt w:val="bullet"/>
      <w:pStyle w:val="Boxgreen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802566"/>
    <w:multiLevelType w:val="multilevel"/>
    <w:tmpl w:val="DC149FE0"/>
    <w:styleLink w:val="Bulletlist"/>
    <w:lvl w:ilvl="0">
      <w:start w:val="1"/>
      <w:numFmt w:val="bullet"/>
      <w:lvlText w:val=""/>
      <w:lvlJc w:val="left"/>
      <w:pPr>
        <w:ind w:left="720" w:hanging="360"/>
      </w:pPr>
      <w:rPr>
        <w:rFonts w:ascii="Symbol" w:hAnsi="Symbol"/>
        <w:kern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02CBE"/>
    <w:multiLevelType w:val="hybridMultilevel"/>
    <w:tmpl w:val="579443F2"/>
    <w:lvl w:ilvl="0" w:tplc="61E4EA3A">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52F7C"/>
    <w:multiLevelType w:val="hybridMultilevel"/>
    <w:tmpl w:val="D7F46F0E"/>
    <w:lvl w:ilvl="0" w:tplc="61465080">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FC0BDE"/>
    <w:multiLevelType w:val="hybridMultilevel"/>
    <w:tmpl w:val="7D521D2C"/>
    <w:lvl w:ilvl="0" w:tplc="61465080">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A8775E"/>
    <w:multiLevelType w:val="hybridMultilevel"/>
    <w:tmpl w:val="510CAD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457DF4"/>
    <w:multiLevelType w:val="hybridMultilevel"/>
    <w:tmpl w:val="DC149F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D83BAF"/>
    <w:multiLevelType w:val="hybridMultilevel"/>
    <w:tmpl w:val="C2D62DC6"/>
    <w:lvl w:ilvl="0" w:tplc="BB60FD04">
      <w:start w:val="1"/>
      <w:numFmt w:val="decimal"/>
      <w:pStyle w:val="Figuretitle"/>
      <w:lvlText w:val="Figure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B03EB5"/>
    <w:multiLevelType w:val="hybridMultilevel"/>
    <w:tmpl w:val="C3F2A288"/>
    <w:lvl w:ilvl="0" w:tplc="1CB23032">
      <w:start w:val="1"/>
      <w:numFmt w:val="bullet"/>
      <w:pStyle w:val="Copyrightbulletlis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407E5488"/>
    <w:multiLevelType w:val="hybridMultilevel"/>
    <w:tmpl w:val="41223106"/>
    <w:lvl w:ilvl="0" w:tplc="6F80DEDC">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410B7558"/>
    <w:multiLevelType w:val="hybridMultilevel"/>
    <w:tmpl w:val="EA123BAE"/>
    <w:lvl w:ilvl="0" w:tplc="68E2246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9607D8"/>
    <w:multiLevelType w:val="hybridMultilevel"/>
    <w:tmpl w:val="27A68F7E"/>
    <w:lvl w:ilvl="0" w:tplc="76808468">
      <w:start w:val="1"/>
      <w:numFmt w:val="bullet"/>
      <w:pStyle w:val="ListBullet2"/>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8" w15:restartNumberingAfterBreak="0">
    <w:nsid w:val="55CB0B0F"/>
    <w:multiLevelType w:val="multilevel"/>
    <w:tmpl w:val="7AB4C0C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B7792F"/>
    <w:multiLevelType w:val="hybridMultilevel"/>
    <w:tmpl w:val="FAF07762"/>
    <w:lvl w:ilvl="0" w:tplc="D21E6E9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6422CF"/>
    <w:multiLevelType w:val="hybridMultilevel"/>
    <w:tmpl w:val="31448B12"/>
    <w:lvl w:ilvl="0" w:tplc="CFC8E5C4">
      <w:start w:val="1"/>
      <w:numFmt w:val="bullet"/>
      <w:pStyle w:val="Boxpurp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820573"/>
    <w:multiLevelType w:val="hybridMultilevel"/>
    <w:tmpl w:val="3132B3A2"/>
    <w:lvl w:ilvl="0" w:tplc="C142832C">
      <w:start w:val="1"/>
      <w:numFmt w:val="decimal"/>
      <w:pStyle w:val="Tabletitle"/>
      <w:lvlText w:val="Table %1."/>
      <w:lvlJc w:val="left"/>
      <w:pPr>
        <w:tabs>
          <w:tab w:val="num" w:pos="1247"/>
        </w:tabs>
        <w:ind w:left="1247" w:hanging="88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F8287E"/>
    <w:multiLevelType w:val="hybridMultilevel"/>
    <w:tmpl w:val="63E60AC8"/>
    <w:lvl w:ilvl="0" w:tplc="0D001382">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E33750E"/>
    <w:multiLevelType w:val="hybridMultilevel"/>
    <w:tmpl w:val="F454E07C"/>
    <w:lvl w:ilvl="0" w:tplc="928A354E">
      <w:start w:val="1"/>
      <w:numFmt w:val="bullet"/>
      <w:pStyle w:val="Boxreversedbulletgreen"/>
      <w:lvlText w:val=""/>
      <w:lvlJc w:val="left"/>
      <w:pPr>
        <w:ind w:left="720" w:hanging="360"/>
      </w:pPr>
      <w:rPr>
        <w:rFonts w:ascii="Symbol" w:hAnsi="Symbol" w:hint="default"/>
        <w:color w:val="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754B2F"/>
    <w:multiLevelType w:val="hybridMultilevel"/>
    <w:tmpl w:val="FE186E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B64403"/>
    <w:multiLevelType w:val="hybridMultilevel"/>
    <w:tmpl w:val="D3E4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D639C6"/>
    <w:multiLevelType w:val="hybridMultilevel"/>
    <w:tmpl w:val="710C5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596CE0"/>
    <w:multiLevelType w:val="hybridMultilevel"/>
    <w:tmpl w:val="06286F70"/>
    <w:lvl w:ilvl="0" w:tplc="CB16BCE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134077">
    <w:abstractNumId w:val="12"/>
  </w:num>
  <w:num w:numId="2" w16cid:durableId="561913990">
    <w:abstractNumId w:val="26"/>
  </w:num>
  <w:num w:numId="3" w16cid:durableId="250240057">
    <w:abstractNumId w:val="1"/>
  </w:num>
  <w:num w:numId="4" w16cid:durableId="1658458674">
    <w:abstractNumId w:val="15"/>
  </w:num>
  <w:num w:numId="5" w16cid:durableId="110519345">
    <w:abstractNumId w:val="19"/>
  </w:num>
  <w:num w:numId="6" w16cid:durableId="452864766">
    <w:abstractNumId w:val="2"/>
  </w:num>
  <w:num w:numId="7" w16cid:durableId="101729763">
    <w:abstractNumId w:val="18"/>
  </w:num>
  <w:num w:numId="8" w16cid:durableId="62222803">
    <w:abstractNumId w:val="3"/>
  </w:num>
  <w:num w:numId="9" w16cid:durableId="230893615">
    <w:abstractNumId w:val="16"/>
  </w:num>
  <w:num w:numId="10" w16cid:durableId="1329670300">
    <w:abstractNumId w:val="9"/>
  </w:num>
  <w:num w:numId="11" w16cid:durableId="1091514062">
    <w:abstractNumId w:val="10"/>
  </w:num>
  <w:num w:numId="12" w16cid:durableId="34547383">
    <w:abstractNumId w:val="4"/>
  </w:num>
  <w:num w:numId="13" w16cid:durableId="638342162">
    <w:abstractNumId w:val="27"/>
  </w:num>
  <w:num w:numId="14" w16cid:durableId="960917676">
    <w:abstractNumId w:val="8"/>
  </w:num>
  <w:num w:numId="15" w16cid:durableId="1597979285">
    <w:abstractNumId w:val="5"/>
  </w:num>
  <w:num w:numId="16" w16cid:durableId="535578531">
    <w:abstractNumId w:val="28"/>
  </w:num>
  <w:num w:numId="17" w16cid:durableId="1099327610">
    <w:abstractNumId w:val="7"/>
  </w:num>
  <w:num w:numId="18" w16cid:durableId="1566719625">
    <w:abstractNumId w:val="14"/>
  </w:num>
  <w:num w:numId="19" w16cid:durableId="1257832775">
    <w:abstractNumId w:val="6"/>
  </w:num>
  <w:num w:numId="20" w16cid:durableId="970131344">
    <w:abstractNumId w:val="22"/>
  </w:num>
  <w:num w:numId="21" w16cid:durableId="1046951554">
    <w:abstractNumId w:val="13"/>
  </w:num>
  <w:num w:numId="22" w16cid:durableId="1180969234">
    <w:abstractNumId w:val="21"/>
  </w:num>
  <w:num w:numId="23" w16cid:durableId="1213495758">
    <w:abstractNumId w:val="23"/>
  </w:num>
  <w:num w:numId="24" w16cid:durableId="92359003">
    <w:abstractNumId w:val="25"/>
  </w:num>
  <w:num w:numId="25" w16cid:durableId="1389651782">
    <w:abstractNumId w:val="0"/>
  </w:num>
  <w:num w:numId="26" w16cid:durableId="1222595506">
    <w:abstractNumId w:val="11"/>
  </w:num>
  <w:num w:numId="27" w16cid:durableId="11999482">
    <w:abstractNumId w:val="17"/>
  </w:num>
  <w:num w:numId="28" w16cid:durableId="689721745">
    <w:abstractNumId w:val="5"/>
  </w:num>
  <w:num w:numId="29" w16cid:durableId="2020347843">
    <w:abstractNumId w:val="20"/>
  </w:num>
  <w:num w:numId="30" w16cid:durableId="1533759677">
    <w:abstractNumId w:val="24"/>
  </w:num>
  <w:num w:numId="31" w16cid:durableId="711924316">
    <w:abstractNumId w:val="24"/>
  </w:num>
  <w:num w:numId="32" w16cid:durableId="1743212756">
    <w:abstractNumId w:val="13"/>
  </w:num>
  <w:num w:numId="33" w16cid:durableId="165367662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4"/>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rr5wt9dra05fetxw4p02tp0vtzztp05ef0&quot;&gt;CDI syphilis My EndNote Library&lt;record-ids&gt;&lt;item&gt;11&lt;/item&gt;&lt;item&gt;12&lt;/item&gt;&lt;item&gt;13&lt;/item&gt;&lt;item&gt;14&lt;/item&gt;&lt;item&gt;15&lt;/item&gt;&lt;/record-ids&gt;&lt;/item&gt;&lt;/Libraries&gt;"/>
  </w:docVars>
  <w:rsids>
    <w:rsidRoot w:val="008333C9"/>
    <w:rsid w:val="0000135D"/>
    <w:rsid w:val="000014E5"/>
    <w:rsid w:val="00002C28"/>
    <w:rsid w:val="00003EB7"/>
    <w:rsid w:val="00004439"/>
    <w:rsid w:val="00004883"/>
    <w:rsid w:val="00004A76"/>
    <w:rsid w:val="00005564"/>
    <w:rsid w:val="00007134"/>
    <w:rsid w:val="00007A48"/>
    <w:rsid w:val="0001090B"/>
    <w:rsid w:val="000124B7"/>
    <w:rsid w:val="000130A7"/>
    <w:rsid w:val="000163F4"/>
    <w:rsid w:val="0002256E"/>
    <w:rsid w:val="00022EBB"/>
    <w:rsid w:val="000231B1"/>
    <w:rsid w:val="00025A4D"/>
    <w:rsid w:val="0002624B"/>
    <w:rsid w:val="000263EA"/>
    <w:rsid w:val="00026996"/>
    <w:rsid w:val="00026AFD"/>
    <w:rsid w:val="000315D9"/>
    <w:rsid w:val="00033641"/>
    <w:rsid w:val="000345B9"/>
    <w:rsid w:val="00034A2E"/>
    <w:rsid w:val="00035080"/>
    <w:rsid w:val="00036436"/>
    <w:rsid w:val="000368E6"/>
    <w:rsid w:val="00037959"/>
    <w:rsid w:val="0004023A"/>
    <w:rsid w:val="00040406"/>
    <w:rsid w:val="000432CC"/>
    <w:rsid w:val="0004521D"/>
    <w:rsid w:val="00045B99"/>
    <w:rsid w:val="00047042"/>
    <w:rsid w:val="000479DC"/>
    <w:rsid w:val="00052B80"/>
    <w:rsid w:val="0005364C"/>
    <w:rsid w:val="00055C44"/>
    <w:rsid w:val="000566E4"/>
    <w:rsid w:val="00056925"/>
    <w:rsid w:val="0006113E"/>
    <w:rsid w:val="00061373"/>
    <w:rsid w:val="0006407F"/>
    <w:rsid w:val="00067337"/>
    <w:rsid w:val="00067A7B"/>
    <w:rsid w:val="000701E0"/>
    <w:rsid w:val="0007049B"/>
    <w:rsid w:val="00070656"/>
    <w:rsid w:val="00070A2F"/>
    <w:rsid w:val="000713E8"/>
    <w:rsid w:val="00071A58"/>
    <w:rsid w:val="00072C41"/>
    <w:rsid w:val="00075878"/>
    <w:rsid w:val="00077884"/>
    <w:rsid w:val="000839BA"/>
    <w:rsid w:val="00085EB0"/>
    <w:rsid w:val="0008653F"/>
    <w:rsid w:val="00091876"/>
    <w:rsid w:val="00091D18"/>
    <w:rsid w:val="00092751"/>
    <w:rsid w:val="00097A79"/>
    <w:rsid w:val="00097BFE"/>
    <w:rsid w:val="000A00AA"/>
    <w:rsid w:val="000A0C12"/>
    <w:rsid w:val="000A2260"/>
    <w:rsid w:val="000A3931"/>
    <w:rsid w:val="000A3EF0"/>
    <w:rsid w:val="000A3F21"/>
    <w:rsid w:val="000A5120"/>
    <w:rsid w:val="000A74FE"/>
    <w:rsid w:val="000B167B"/>
    <w:rsid w:val="000B1A7D"/>
    <w:rsid w:val="000B2E83"/>
    <w:rsid w:val="000B51B3"/>
    <w:rsid w:val="000B56F3"/>
    <w:rsid w:val="000B5C18"/>
    <w:rsid w:val="000B5D73"/>
    <w:rsid w:val="000C001E"/>
    <w:rsid w:val="000C3A2B"/>
    <w:rsid w:val="000C4984"/>
    <w:rsid w:val="000C54D7"/>
    <w:rsid w:val="000C5A77"/>
    <w:rsid w:val="000C5D60"/>
    <w:rsid w:val="000C6BF1"/>
    <w:rsid w:val="000C6DBC"/>
    <w:rsid w:val="000C76E3"/>
    <w:rsid w:val="000C77A7"/>
    <w:rsid w:val="000C7896"/>
    <w:rsid w:val="000D3E82"/>
    <w:rsid w:val="000D471B"/>
    <w:rsid w:val="000D78AF"/>
    <w:rsid w:val="000E01E9"/>
    <w:rsid w:val="000E2EE6"/>
    <w:rsid w:val="000E2FBB"/>
    <w:rsid w:val="000E3E85"/>
    <w:rsid w:val="000E5924"/>
    <w:rsid w:val="000E5CD5"/>
    <w:rsid w:val="000F0C60"/>
    <w:rsid w:val="000F17BE"/>
    <w:rsid w:val="000F1FE6"/>
    <w:rsid w:val="000F3623"/>
    <w:rsid w:val="000F61F3"/>
    <w:rsid w:val="000F6B0C"/>
    <w:rsid w:val="000F6EEE"/>
    <w:rsid w:val="000F734D"/>
    <w:rsid w:val="00100C04"/>
    <w:rsid w:val="00101517"/>
    <w:rsid w:val="0010179C"/>
    <w:rsid w:val="0010601B"/>
    <w:rsid w:val="001104E0"/>
    <w:rsid w:val="001130A7"/>
    <w:rsid w:val="001130E4"/>
    <w:rsid w:val="0011367F"/>
    <w:rsid w:val="00115005"/>
    <w:rsid w:val="00115C1B"/>
    <w:rsid w:val="00115E84"/>
    <w:rsid w:val="00117FDF"/>
    <w:rsid w:val="00121D19"/>
    <w:rsid w:val="00121E5A"/>
    <w:rsid w:val="0012428A"/>
    <w:rsid w:val="00124B03"/>
    <w:rsid w:val="00125626"/>
    <w:rsid w:val="00127D25"/>
    <w:rsid w:val="001311AA"/>
    <w:rsid w:val="00131752"/>
    <w:rsid w:val="001318C2"/>
    <w:rsid w:val="0013270B"/>
    <w:rsid w:val="0013436A"/>
    <w:rsid w:val="00136297"/>
    <w:rsid w:val="00136764"/>
    <w:rsid w:val="001376B2"/>
    <w:rsid w:val="00141D56"/>
    <w:rsid w:val="0014200D"/>
    <w:rsid w:val="0014301B"/>
    <w:rsid w:val="001442C7"/>
    <w:rsid w:val="001463B3"/>
    <w:rsid w:val="001464D9"/>
    <w:rsid w:val="0014768C"/>
    <w:rsid w:val="001501A6"/>
    <w:rsid w:val="001507D2"/>
    <w:rsid w:val="00150B74"/>
    <w:rsid w:val="001515D3"/>
    <w:rsid w:val="0015290A"/>
    <w:rsid w:val="00153AE5"/>
    <w:rsid w:val="00153F23"/>
    <w:rsid w:val="00155FD6"/>
    <w:rsid w:val="00156421"/>
    <w:rsid w:val="001568D6"/>
    <w:rsid w:val="001617DA"/>
    <w:rsid w:val="00161E23"/>
    <w:rsid w:val="001631FE"/>
    <w:rsid w:val="001643FF"/>
    <w:rsid w:val="00164E68"/>
    <w:rsid w:val="00164FCC"/>
    <w:rsid w:val="00166771"/>
    <w:rsid w:val="0017219B"/>
    <w:rsid w:val="00173374"/>
    <w:rsid w:val="00173CAC"/>
    <w:rsid w:val="001745B1"/>
    <w:rsid w:val="00174F68"/>
    <w:rsid w:val="00175DA0"/>
    <w:rsid w:val="00176232"/>
    <w:rsid w:val="00180D6C"/>
    <w:rsid w:val="0018135A"/>
    <w:rsid w:val="001819E5"/>
    <w:rsid w:val="00181C07"/>
    <w:rsid w:val="00182A0C"/>
    <w:rsid w:val="00183167"/>
    <w:rsid w:val="00187577"/>
    <w:rsid w:val="0019043B"/>
    <w:rsid w:val="00191088"/>
    <w:rsid w:val="00193110"/>
    <w:rsid w:val="001952C5"/>
    <w:rsid w:val="001974B4"/>
    <w:rsid w:val="001A0909"/>
    <w:rsid w:val="001A0AE8"/>
    <w:rsid w:val="001A23E7"/>
    <w:rsid w:val="001A6E9A"/>
    <w:rsid w:val="001B0940"/>
    <w:rsid w:val="001B196F"/>
    <w:rsid w:val="001B1980"/>
    <w:rsid w:val="001B1D60"/>
    <w:rsid w:val="001B20D4"/>
    <w:rsid w:val="001B2912"/>
    <w:rsid w:val="001B34E4"/>
    <w:rsid w:val="001B3B8B"/>
    <w:rsid w:val="001B6A05"/>
    <w:rsid w:val="001B7A42"/>
    <w:rsid w:val="001C1922"/>
    <w:rsid w:val="001C1EB2"/>
    <w:rsid w:val="001C213B"/>
    <w:rsid w:val="001C2D37"/>
    <w:rsid w:val="001C2DC0"/>
    <w:rsid w:val="001C3090"/>
    <w:rsid w:val="001C386F"/>
    <w:rsid w:val="001C6DCB"/>
    <w:rsid w:val="001C6E15"/>
    <w:rsid w:val="001C721B"/>
    <w:rsid w:val="001D00C7"/>
    <w:rsid w:val="001D1F3C"/>
    <w:rsid w:val="001D339F"/>
    <w:rsid w:val="001D65CE"/>
    <w:rsid w:val="001D6FDA"/>
    <w:rsid w:val="001E0FF6"/>
    <w:rsid w:val="001E1333"/>
    <w:rsid w:val="001E7087"/>
    <w:rsid w:val="001E7693"/>
    <w:rsid w:val="001F1152"/>
    <w:rsid w:val="001F316C"/>
    <w:rsid w:val="001F42B9"/>
    <w:rsid w:val="001F4719"/>
    <w:rsid w:val="001F4B71"/>
    <w:rsid w:val="001F6E18"/>
    <w:rsid w:val="001F74C0"/>
    <w:rsid w:val="002001C9"/>
    <w:rsid w:val="00200D5D"/>
    <w:rsid w:val="0020173E"/>
    <w:rsid w:val="00204CB3"/>
    <w:rsid w:val="00205C47"/>
    <w:rsid w:val="00205DEC"/>
    <w:rsid w:val="002061A2"/>
    <w:rsid w:val="0020678F"/>
    <w:rsid w:val="0020739C"/>
    <w:rsid w:val="00207CCD"/>
    <w:rsid w:val="00207F8A"/>
    <w:rsid w:val="00213045"/>
    <w:rsid w:val="002139A2"/>
    <w:rsid w:val="00215D1A"/>
    <w:rsid w:val="00216275"/>
    <w:rsid w:val="00220414"/>
    <w:rsid w:val="00220450"/>
    <w:rsid w:val="002207C6"/>
    <w:rsid w:val="0022143B"/>
    <w:rsid w:val="00221A7A"/>
    <w:rsid w:val="002220EA"/>
    <w:rsid w:val="00223D69"/>
    <w:rsid w:val="00224232"/>
    <w:rsid w:val="002242F9"/>
    <w:rsid w:val="002248E8"/>
    <w:rsid w:val="00224C14"/>
    <w:rsid w:val="0022612A"/>
    <w:rsid w:val="00226AC2"/>
    <w:rsid w:val="0022767C"/>
    <w:rsid w:val="00230258"/>
    <w:rsid w:val="002310AB"/>
    <w:rsid w:val="00232EFE"/>
    <w:rsid w:val="00234C0E"/>
    <w:rsid w:val="00236F95"/>
    <w:rsid w:val="00244209"/>
    <w:rsid w:val="00245253"/>
    <w:rsid w:val="00245EF8"/>
    <w:rsid w:val="00247110"/>
    <w:rsid w:val="0025036F"/>
    <w:rsid w:val="0025068A"/>
    <w:rsid w:val="002517D8"/>
    <w:rsid w:val="00252463"/>
    <w:rsid w:val="002567C1"/>
    <w:rsid w:val="0025784A"/>
    <w:rsid w:val="00257945"/>
    <w:rsid w:val="00260F13"/>
    <w:rsid w:val="002617CA"/>
    <w:rsid w:val="00261F84"/>
    <w:rsid w:val="00262925"/>
    <w:rsid w:val="00263754"/>
    <w:rsid w:val="00272DCD"/>
    <w:rsid w:val="00274B79"/>
    <w:rsid w:val="00276898"/>
    <w:rsid w:val="00280487"/>
    <w:rsid w:val="002827B3"/>
    <w:rsid w:val="002865ED"/>
    <w:rsid w:val="00290CCF"/>
    <w:rsid w:val="00292B36"/>
    <w:rsid w:val="00293210"/>
    <w:rsid w:val="00296652"/>
    <w:rsid w:val="00296AE9"/>
    <w:rsid w:val="002A0342"/>
    <w:rsid w:val="002A14EB"/>
    <w:rsid w:val="002A189E"/>
    <w:rsid w:val="002A21DC"/>
    <w:rsid w:val="002A32B2"/>
    <w:rsid w:val="002A497B"/>
    <w:rsid w:val="002B1EDB"/>
    <w:rsid w:val="002B242E"/>
    <w:rsid w:val="002B43CA"/>
    <w:rsid w:val="002C372F"/>
    <w:rsid w:val="002C4FC1"/>
    <w:rsid w:val="002C5140"/>
    <w:rsid w:val="002C5855"/>
    <w:rsid w:val="002C7142"/>
    <w:rsid w:val="002C7B7E"/>
    <w:rsid w:val="002D07FE"/>
    <w:rsid w:val="002D3309"/>
    <w:rsid w:val="002D7DA2"/>
    <w:rsid w:val="002E0E53"/>
    <w:rsid w:val="002E2567"/>
    <w:rsid w:val="002E52A9"/>
    <w:rsid w:val="002E56B1"/>
    <w:rsid w:val="002E5BE3"/>
    <w:rsid w:val="002E73F4"/>
    <w:rsid w:val="002F1198"/>
    <w:rsid w:val="002F1484"/>
    <w:rsid w:val="002F24AD"/>
    <w:rsid w:val="002F4790"/>
    <w:rsid w:val="002F486E"/>
    <w:rsid w:val="002F4B54"/>
    <w:rsid w:val="002F509B"/>
    <w:rsid w:val="002F65C3"/>
    <w:rsid w:val="002F699B"/>
    <w:rsid w:val="002F7169"/>
    <w:rsid w:val="00303548"/>
    <w:rsid w:val="003045D8"/>
    <w:rsid w:val="00310C59"/>
    <w:rsid w:val="00311AB9"/>
    <w:rsid w:val="00311B93"/>
    <w:rsid w:val="00312DFA"/>
    <w:rsid w:val="003141B9"/>
    <w:rsid w:val="003167D1"/>
    <w:rsid w:val="00316A71"/>
    <w:rsid w:val="00316C7D"/>
    <w:rsid w:val="00317B47"/>
    <w:rsid w:val="00325F0D"/>
    <w:rsid w:val="003279BE"/>
    <w:rsid w:val="00330EF0"/>
    <w:rsid w:val="003329DB"/>
    <w:rsid w:val="0033433E"/>
    <w:rsid w:val="00335EDA"/>
    <w:rsid w:val="0033788A"/>
    <w:rsid w:val="00337EC1"/>
    <w:rsid w:val="003414ED"/>
    <w:rsid w:val="00341CDD"/>
    <w:rsid w:val="00342B7C"/>
    <w:rsid w:val="003432C9"/>
    <w:rsid w:val="00345874"/>
    <w:rsid w:val="0034588A"/>
    <w:rsid w:val="00346C59"/>
    <w:rsid w:val="00353E73"/>
    <w:rsid w:val="003543B4"/>
    <w:rsid w:val="00354BE1"/>
    <w:rsid w:val="00355744"/>
    <w:rsid w:val="00355C48"/>
    <w:rsid w:val="00355D2B"/>
    <w:rsid w:val="00360486"/>
    <w:rsid w:val="00360617"/>
    <w:rsid w:val="00361801"/>
    <w:rsid w:val="00361D79"/>
    <w:rsid w:val="00362247"/>
    <w:rsid w:val="00362405"/>
    <w:rsid w:val="00362447"/>
    <w:rsid w:val="00364499"/>
    <w:rsid w:val="0036452A"/>
    <w:rsid w:val="00364B94"/>
    <w:rsid w:val="003656E8"/>
    <w:rsid w:val="0037164E"/>
    <w:rsid w:val="00371A65"/>
    <w:rsid w:val="00372335"/>
    <w:rsid w:val="003746C8"/>
    <w:rsid w:val="00374F34"/>
    <w:rsid w:val="0037523C"/>
    <w:rsid w:val="0038295D"/>
    <w:rsid w:val="00383B66"/>
    <w:rsid w:val="0038494D"/>
    <w:rsid w:val="00392A4D"/>
    <w:rsid w:val="00393284"/>
    <w:rsid w:val="0039485C"/>
    <w:rsid w:val="003950C9"/>
    <w:rsid w:val="00397BE7"/>
    <w:rsid w:val="003A2134"/>
    <w:rsid w:val="003A4D29"/>
    <w:rsid w:val="003A532B"/>
    <w:rsid w:val="003A7321"/>
    <w:rsid w:val="003B216F"/>
    <w:rsid w:val="003B3F2C"/>
    <w:rsid w:val="003B57B4"/>
    <w:rsid w:val="003B7AEB"/>
    <w:rsid w:val="003C07ED"/>
    <w:rsid w:val="003C1827"/>
    <w:rsid w:val="003C397C"/>
    <w:rsid w:val="003C3D8B"/>
    <w:rsid w:val="003C6071"/>
    <w:rsid w:val="003D1552"/>
    <w:rsid w:val="003D1BBF"/>
    <w:rsid w:val="003D46DC"/>
    <w:rsid w:val="003D52DD"/>
    <w:rsid w:val="003D553B"/>
    <w:rsid w:val="003D5B87"/>
    <w:rsid w:val="003E0F99"/>
    <w:rsid w:val="003E49C9"/>
    <w:rsid w:val="003E5919"/>
    <w:rsid w:val="003E6706"/>
    <w:rsid w:val="003E7B77"/>
    <w:rsid w:val="003F2996"/>
    <w:rsid w:val="003F6208"/>
    <w:rsid w:val="003F6D03"/>
    <w:rsid w:val="003F7EC4"/>
    <w:rsid w:val="00400F10"/>
    <w:rsid w:val="004012E1"/>
    <w:rsid w:val="0040386A"/>
    <w:rsid w:val="0040638F"/>
    <w:rsid w:val="004063E2"/>
    <w:rsid w:val="00406481"/>
    <w:rsid w:val="0041065A"/>
    <w:rsid w:val="004132C9"/>
    <w:rsid w:val="004136DB"/>
    <w:rsid w:val="0041406C"/>
    <w:rsid w:val="00414785"/>
    <w:rsid w:val="0041729F"/>
    <w:rsid w:val="00420FF9"/>
    <w:rsid w:val="00421C8C"/>
    <w:rsid w:val="004221DF"/>
    <w:rsid w:val="00423915"/>
    <w:rsid w:val="00424638"/>
    <w:rsid w:val="00425357"/>
    <w:rsid w:val="00425696"/>
    <w:rsid w:val="00427ED4"/>
    <w:rsid w:val="00430523"/>
    <w:rsid w:val="00430842"/>
    <w:rsid w:val="004323B6"/>
    <w:rsid w:val="00433512"/>
    <w:rsid w:val="00434573"/>
    <w:rsid w:val="004354A3"/>
    <w:rsid w:val="0043780B"/>
    <w:rsid w:val="0043785C"/>
    <w:rsid w:val="004446B6"/>
    <w:rsid w:val="00446986"/>
    <w:rsid w:val="004472EA"/>
    <w:rsid w:val="004473F8"/>
    <w:rsid w:val="00450D46"/>
    <w:rsid w:val="004547A6"/>
    <w:rsid w:val="004563AE"/>
    <w:rsid w:val="00457CF7"/>
    <w:rsid w:val="00461067"/>
    <w:rsid w:val="00461C4C"/>
    <w:rsid w:val="00462BD0"/>
    <w:rsid w:val="0046536F"/>
    <w:rsid w:val="00465527"/>
    <w:rsid w:val="00465AA4"/>
    <w:rsid w:val="00470B4F"/>
    <w:rsid w:val="004717F7"/>
    <w:rsid w:val="00471C3C"/>
    <w:rsid w:val="0047388D"/>
    <w:rsid w:val="0047501E"/>
    <w:rsid w:val="0047616C"/>
    <w:rsid w:val="00477E35"/>
    <w:rsid w:val="0048142E"/>
    <w:rsid w:val="00482767"/>
    <w:rsid w:val="00483C51"/>
    <w:rsid w:val="00485281"/>
    <w:rsid w:val="00485F27"/>
    <w:rsid w:val="004874F3"/>
    <w:rsid w:val="00487535"/>
    <w:rsid w:val="0048771F"/>
    <w:rsid w:val="00490990"/>
    <w:rsid w:val="00491C1D"/>
    <w:rsid w:val="00492852"/>
    <w:rsid w:val="00493169"/>
    <w:rsid w:val="004934C7"/>
    <w:rsid w:val="004975B1"/>
    <w:rsid w:val="004A557F"/>
    <w:rsid w:val="004A603E"/>
    <w:rsid w:val="004B035B"/>
    <w:rsid w:val="004B04EB"/>
    <w:rsid w:val="004B169F"/>
    <w:rsid w:val="004B1F79"/>
    <w:rsid w:val="004B339D"/>
    <w:rsid w:val="004B3A07"/>
    <w:rsid w:val="004B3BF4"/>
    <w:rsid w:val="004B3DFB"/>
    <w:rsid w:val="004B6F86"/>
    <w:rsid w:val="004C0EED"/>
    <w:rsid w:val="004C1C16"/>
    <w:rsid w:val="004C1F56"/>
    <w:rsid w:val="004C2A08"/>
    <w:rsid w:val="004C5569"/>
    <w:rsid w:val="004C563A"/>
    <w:rsid w:val="004C70C3"/>
    <w:rsid w:val="004C7BD9"/>
    <w:rsid w:val="004D176D"/>
    <w:rsid w:val="004D2964"/>
    <w:rsid w:val="004D2A10"/>
    <w:rsid w:val="004D2EA6"/>
    <w:rsid w:val="004D38F0"/>
    <w:rsid w:val="004D3D0B"/>
    <w:rsid w:val="004D3E51"/>
    <w:rsid w:val="004D5A99"/>
    <w:rsid w:val="004D5B16"/>
    <w:rsid w:val="004D5E69"/>
    <w:rsid w:val="004E17B2"/>
    <w:rsid w:val="004E4195"/>
    <w:rsid w:val="004E4339"/>
    <w:rsid w:val="004E546E"/>
    <w:rsid w:val="004E6482"/>
    <w:rsid w:val="004E677A"/>
    <w:rsid w:val="004E6D3F"/>
    <w:rsid w:val="004E7486"/>
    <w:rsid w:val="004E762D"/>
    <w:rsid w:val="004F0B66"/>
    <w:rsid w:val="004F135D"/>
    <w:rsid w:val="004F4174"/>
    <w:rsid w:val="004F6B2C"/>
    <w:rsid w:val="00500820"/>
    <w:rsid w:val="00500E54"/>
    <w:rsid w:val="00502357"/>
    <w:rsid w:val="005035B6"/>
    <w:rsid w:val="00505137"/>
    <w:rsid w:val="005057A3"/>
    <w:rsid w:val="00510C53"/>
    <w:rsid w:val="00512C8E"/>
    <w:rsid w:val="0051428E"/>
    <w:rsid w:val="00521F5C"/>
    <w:rsid w:val="0052247B"/>
    <w:rsid w:val="005243B8"/>
    <w:rsid w:val="00524B81"/>
    <w:rsid w:val="00526DE0"/>
    <w:rsid w:val="00530D43"/>
    <w:rsid w:val="00530DF9"/>
    <w:rsid w:val="00531112"/>
    <w:rsid w:val="00534992"/>
    <w:rsid w:val="005405DD"/>
    <w:rsid w:val="00541023"/>
    <w:rsid w:val="00543245"/>
    <w:rsid w:val="0054331D"/>
    <w:rsid w:val="00543754"/>
    <w:rsid w:val="00545F8D"/>
    <w:rsid w:val="005460C9"/>
    <w:rsid w:val="00546F49"/>
    <w:rsid w:val="005529E0"/>
    <w:rsid w:val="00552C7B"/>
    <w:rsid w:val="00554BDF"/>
    <w:rsid w:val="005552FF"/>
    <w:rsid w:val="00555FA8"/>
    <w:rsid w:val="00556B85"/>
    <w:rsid w:val="00556C38"/>
    <w:rsid w:val="00557BA1"/>
    <w:rsid w:val="00560BBB"/>
    <w:rsid w:val="00561332"/>
    <w:rsid w:val="005625A1"/>
    <w:rsid w:val="00562D4B"/>
    <w:rsid w:val="005634E5"/>
    <w:rsid w:val="0056412D"/>
    <w:rsid w:val="005650A5"/>
    <w:rsid w:val="0056565D"/>
    <w:rsid w:val="00565A09"/>
    <w:rsid w:val="00565CE8"/>
    <w:rsid w:val="00567D1C"/>
    <w:rsid w:val="00570A4A"/>
    <w:rsid w:val="00571CA8"/>
    <w:rsid w:val="00571F5E"/>
    <w:rsid w:val="00580ABD"/>
    <w:rsid w:val="00581157"/>
    <w:rsid w:val="00581459"/>
    <w:rsid w:val="00582C17"/>
    <w:rsid w:val="00585CE6"/>
    <w:rsid w:val="0058697A"/>
    <w:rsid w:val="00587DD4"/>
    <w:rsid w:val="00590DBF"/>
    <w:rsid w:val="00592E52"/>
    <w:rsid w:val="00592F8F"/>
    <w:rsid w:val="00594373"/>
    <w:rsid w:val="0059485A"/>
    <w:rsid w:val="00595172"/>
    <w:rsid w:val="00595548"/>
    <w:rsid w:val="00596E5F"/>
    <w:rsid w:val="005A0088"/>
    <w:rsid w:val="005A2C38"/>
    <w:rsid w:val="005A420C"/>
    <w:rsid w:val="005A43CD"/>
    <w:rsid w:val="005A4608"/>
    <w:rsid w:val="005A460B"/>
    <w:rsid w:val="005A475F"/>
    <w:rsid w:val="005A5438"/>
    <w:rsid w:val="005A5734"/>
    <w:rsid w:val="005B0D0D"/>
    <w:rsid w:val="005B0DA2"/>
    <w:rsid w:val="005B1263"/>
    <w:rsid w:val="005B1877"/>
    <w:rsid w:val="005B45A1"/>
    <w:rsid w:val="005B491E"/>
    <w:rsid w:val="005B57A7"/>
    <w:rsid w:val="005C0045"/>
    <w:rsid w:val="005C1306"/>
    <w:rsid w:val="005C1BCC"/>
    <w:rsid w:val="005C1DA5"/>
    <w:rsid w:val="005C22AD"/>
    <w:rsid w:val="005C3CA5"/>
    <w:rsid w:val="005C587E"/>
    <w:rsid w:val="005C6502"/>
    <w:rsid w:val="005C6967"/>
    <w:rsid w:val="005D2120"/>
    <w:rsid w:val="005D4091"/>
    <w:rsid w:val="005D4673"/>
    <w:rsid w:val="005D702D"/>
    <w:rsid w:val="005E01DA"/>
    <w:rsid w:val="005E1D24"/>
    <w:rsid w:val="005E2A5B"/>
    <w:rsid w:val="005E2F86"/>
    <w:rsid w:val="005E43E2"/>
    <w:rsid w:val="005E462A"/>
    <w:rsid w:val="005E4D5D"/>
    <w:rsid w:val="005E52AC"/>
    <w:rsid w:val="005F38E2"/>
    <w:rsid w:val="005F66E2"/>
    <w:rsid w:val="0060296D"/>
    <w:rsid w:val="00603A81"/>
    <w:rsid w:val="00604C05"/>
    <w:rsid w:val="00606B52"/>
    <w:rsid w:val="00610D29"/>
    <w:rsid w:val="00610F26"/>
    <w:rsid w:val="00612464"/>
    <w:rsid w:val="006135A5"/>
    <w:rsid w:val="006137E5"/>
    <w:rsid w:val="0061587C"/>
    <w:rsid w:val="00615971"/>
    <w:rsid w:val="0061642A"/>
    <w:rsid w:val="00616CCB"/>
    <w:rsid w:val="00620B1A"/>
    <w:rsid w:val="00620DC2"/>
    <w:rsid w:val="006270DE"/>
    <w:rsid w:val="00627426"/>
    <w:rsid w:val="006279B6"/>
    <w:rsid w:val="00630E19"/>
    <w:rsid w:val="00633A70"/>
    <w:rsid w:val="0063733C"/>
    <w:rsid w:val="006461DA"/>
    <w:rsid w:val="00646D37"/>
    <w:rsid w:val="00647F58"/>
    <w:rsid w:val="00647F95"/>
    <w:rsid w:val="00647FD6"/>
    <w:rsid w:val="00651DD3"/>
    <w:rsid w:val="006530AB"/>
    <w:rsid w:val="006540AA"/>
    <w:rsid w:val="0065619A"/>
    <w:rsid w:val="00657A31"/>
    <w:rsid w:val="00657BB7"/>
    <w:rsid w:val="0066010F"/>
    <w:rsid w:val="006630D2"/>
    <w:rsid w:val="00670A3C"/>
    <w:rsid w:val="00672094"/>
    <w:rsid w:val="006731AE"/>
    <w:rsid w:val="006737E1"/>
    <w:rsid w:val="006738DC"/>
    <w:rsid w:val="00673AE2"/>
    <w:rsid w:val="00674901"/>
    <w:rsid w:val="0067608F"/>
    <w:rsid w:val="006762CB"/>
    <w:rsid w:val="00676FF0"/>
    <w:rsid w:val="00681662"/>
    <w:rsid w:val="00681B5F"/>
    <w:rsid w:val="00682D5E"/>
    <w:rsid w:val="00683978"/>
    <w:rsid w:val="00685304"/>
    <w:rsid w:val="00687365"/>
    <w:rsid w:val="006907E2"/>
    <w:rsid w:val="00690AB3"/>
    <w:rsid w:val="00692A73"/>
    <w:rsid w:val="00693C66"/>
    <w:rsid w:val="00693DFB"/>
    <w:rsid w:val="006947E9"/>
    <w:rsid w:val="006949B2"/>
    <w:rsid w:val="00694E60"/>
    <w:rsid w:val="00695E94"/>
    <w:rsid w:val="006A04C2"/>
    <w:rsid w:val="006B07BF"/>
    <w:rsid w:val="006B2833"/>
    <w:rsid w:val="006B45EC"/>
    <w:rsid w:val="006B4D4F"/>
    <w:rsid w:val="006B4F78"/>
    <w:rsid w:val="006B5A55"/>
    <w:rsid w:val="006B7CB6"/>
    <w:rsid w:val="006C147D"/>
    <w:rsid w:val="006C1A38"/>
    <w:rsid w:val="006C1CCC"/>
    <w:rsid w:val="006C2ABB"/>
    <w:rsid w:val="006C4D92"/>
    <w:rsid w:val="006C5756"/>
    <w:rsid w:val="006C7CDB"/>
    <w:rsid w:val="006D46AA"/>
    <w:rsid w:val="006D4ACD"/>
    <w:rsid w:val="006D4C92"/>
    <w:rsid w:val="006D5202"/>
    <w:rsid w:val="006D609A"/>
    <w:rsid w:val="006E08FB"/>
    <w:rsid w:val="006E349B"/>
    <w:rsid w:val="006F1541"/>
    <w:rsid w:val="006F2428"/>
    <w:rsid w:val="006F5534"/>
    <w:rsid w:val="006F62E7"/>
    <w:rsid w:val="006F6B13"/>
    <w:rsid w:val="00700770"/>
    <w:rsid w:val="0070150E"/>
    <w:rsid w:val="00701BC6"/>
    <w:rsid w:val="0070534A"/>
    <w:rsid w:val="007054DB"/>
    <w:rsid w:val="00706940"/>
    <w:rsid w:val="00707DA5"/>
    <w:rsid w:val="00710A41"/>
    <w:rsid w:val="0071127D"/>
    <w:rsid w:val="00711C0F"/>
    <w:rsid w:val="0071420D"/>
    <w:rsid w:val="00715ABD"/>
    <w:rsid w:val="00716A85"/>
    <w:rsid w:val="00716F8F"/>
    <w:rsid w:val="007172F2"/>
    <w:rsid w:val="00720CCF"/>
    <w:rsid w:val="00721678"/>
    <w:rsid w:val="007251B8"/>
    <w:rsid w:val="007277CA"/>
    <w:rsid w:val="00727C38"/>
    <w:rsid w:val="00730AE0"/>
    <w:rsid w:val="00734D16"/>
    <w:rsid w:val="007358CC"/>
    <w:rsid w:val="00737AD8"/>
    <w:rsid w:val="00741D1C"/>
    <w:rsid w:val="007428E9"/>
    <w:rsid w:val="00746155"/>
    <w:rsid w:val="00750E36"/>
    <w:rsid w:val="00751F8D"/>
    <w:rsid w:val="00752237"/>
    <w:rsid w:val="0075327F"/>
    <w:rsid w:val="00753E22"/>
    <w:rsid w:val="0075733B"/>
    <w:rsid w:val="00757A63"/>
    <w:rsid w:val="007615BB"/>
    <w:rsid w:val="00763551"/>
    <w:rsid w:val="00763D72"/>
    <w:rsid w:val="00764963"/>
    <w:rsid w:val="00764B7A"/>
    <w:rsid w:val="00764EDC"/>
    <w:rsid w:val="00765707"/>
    <w:rsid w:val="0076581D"/>
    <w:rsid w:val="007667F5"/>
    <w:rsid w:val="00767A9A"/>
    <w:rsid w:val="00767EC5"/>
    <w:rsid w:val="0077024C"/>
    <w:rsid w:val="00770C67"/>
    <w:rsid w:val="0077565E"/>
    <w:rsid w:val="00775E39"/>
    <w:rsid w:val="00776679"/>
    <w:rsid w:val="0077773D"/>
    <w:rsid w:val="00780E4B"/>
    <w:rsid w:val="00783541"/>
    <w:rsid w:val="0078558D"/>
    <w:rsid w:val="00790545"/>
    <w:rsid w:val="00792256"/>
    <w:rsid w:val="007947D9"/>
    <w:rsid w:val="00794AC5"/>
    <w:rsid w:val="00796BDD"/>
    <w:rsid w:val="007A3F05"/>
    <w:rsid w:val="007A512D"/>
    <w:rsid w:val="007A596F"/>
    <w:rsid w:val="007A611F"/>
    <w:rsid w:val="007A6A7A"/>
    <w:rsid w:val="007B026B"/>
    <w:rsid w:val="007B3A4B"/>
    <w:rsid w:val="007B6485"/>
    <w:rsid w:val="007B6664"/>
    <w:rsid w:val="007C0E0E"/>
    <w:rsid w:val="007C204F"/>
    <w:rsid w:val="007C286B"/>
    <w:rsid w:val="007C69A9"/>
    <w:rsid w:val="007D0F13"/>
    <w:rsid w:val="007D14B0"/>
    <w:rsid w:val="007D1B40"/>
    <w:rsid w:val="007D29B6"/>
    <w:rsid w:val="007D4D18"/>
    <w:rsid w:val="007D59B3"/>
    <w:rsid w:val="007D68B4"/>
    <w:rsid w:val="007D6DD8"/>
    <w:rsid w:val="007D7A04"/>
    <w:rsid w:val="007E161A"/>
    <w:rsid w:val="007E2C23"/>
    <w:rsid w:val="007E3655"/>
    <w:rsid w:val="007E45D9"/>
    <w:rsid w:val="007E531B"/>
    <w:rsid w:val="007E596F"/>
    <w:rsid w:val="007E5B8C"/>
    <w:rsid w:val="007E6A22"/>
    <w:rsid w:val="007F27D0"/>
    <w:rsid w:val="007F43E2"/>
    <w:rsid w:val="007F6CE7"/>
    <w:rsid w:val="007F7245"/>
    <w:rsid w:val="007F7CB3"/>
    <w:rsid w:val="008018F9"/>
    <w:rsid w:val="00801916"/>
    <w:rsid w:val="008034B3"/>
    <w:rsid w:val="0080355B"/>
    <w:rsid w:val="00806E50"/>
    <w:rsid w:val="008076A5"/>
    <w:rsid w:val="00807F05"/>
    <w:rsid w:val="00810D99"/>
    <w:rsid w:val="00811AD1"/>
    <w:rsid w:val="008134C0"/>
    <w:rsid w:val="00813622"/>
    <w:rsid w:val="008158AD"/>
    <w:rsid w:val="008167C0"/>
    <w:rsid w:val="008176A8"/>
    <w:rsid w:val="00820B7B"/>
    <w:rsid w:val="00821718"/>
    <w:rsid w:val="008243F1"/>
    <w:rsid w:val="008278A9"/>
    <w:rsid w:val="00832AF9"/>
    <w:rsid w:val="008333C9"/>
    <w:rsid w:val="008341E1"/>
    <w:rsid w:val="00834B12"/>
    <w:rsid w:val="0083580E"/>
    <w:rsid w:val="008400C8"/>
    <w:rsid w:val="0084084D"/>
    <w:rsid w:val="0084177F"/>
    <w:rsid w:val="008417A6"/>
    <w:rsid w:val="00843051"/>
    <w:rsid w:val="0084326B"/>
    <w:rsid w:val="008436B5"/>
    <w:rsid w:val="008436F3"/>
    <w:rsid w:val="00843B73"/>
    <w:rsid w:val="0084449F"/>
    <w:rsid w:val="00846AED"/>
    <w:rsid w:val="00847163"/>
    <w:rsid w:val="00847529"/>
    <w:rsid w:val="00852B3B"/>
    <w:rsid w:val="0085426C"/>
    <w:rsid w:val="008546A0"/>
    <w:rsid w:val="00857415"/>
    <w:rsid w:val="0086372A"/>
    <w:rsid w:val="00863D9E"/>
    <w:rsid w:val="008666C8"/>
    <w:rsid w:val="00867187"/>
    <w:rsid w:val="008701B2"/>
    <w:rsid w:val="008724F5"/>
    <w:rsid w:val="008725CE"/>
    <w:rsid w:val="00872F5B"/>
    <w:rsid w:val="00874609"/>
    <w:rsid w:val="008759F4"/>
    <w:rsid w:val="00880154"/>
    <w:rsid w:val="008817CB"/>
    <w:rsid w:val="00882C2F"/>
    <w:rsid w:val="0088431A"/>
    <w:rsid w:val="008847B6"/>
    <w:rsid w:val="0089085B"/>
    <w:rsid w:val="0089255F"/>
    <w:rsid w:val="00893A46"/>
    <w:rsid w:val="00893EB3"/>
    <w:rsid w:val="008A0664"/>
    <w:rsid w:val="008A109C"/>
    <w:rsid w:val="008A240E"/>
    <w:rsid w:val="008A24E7"/>
    <w:rsid w:val="008A2B23"/>
    <w:rsid w:val="008A378E"/>
    <w:rsid w:val="008A795E"/>
    <w:rsid w:val="008B0C19"/>
    <w:rsid w:val="008B1D1A"/>
    <w:rsid w:val="008B218D"/>
    <w:rsid w:val="008B2D46"/>
    <w:rsid w:val="008B2FC6"/>
    <w:rsid w:val="008B33DF"/>
    <w:rsid w:val="008C1DD4"/>
    <w:rsid w:val="008C2617"/>
    <w:rsid w:val="008C2AE1"/>
    <w:rsid w:val="008C3AA7"/>
    <w:rsid w:val="008C59CB"/>
    <w:rsid w:val="008C66F8"/>
    <w:rsid w:val="008C7256"/>
    <w:rsid w:val="008C75F0"/>
    <w:rsid w:val="008C7841"/>
    <w:rsid w:val="008D06F0"/>
    <w:rsid w:val="008D2856"/>
    <w:rsid w:val="008D2E32"/>
    <w:rsid w:val="008D3A10"/>
    <w:rsid w:val="008D3AB7"/>
    <w:rsid w:val="008D57C4"/>
    <w:rsid w:val="008D5E2C"/>
    <w:rsid w:val="008D5F31"/>
    <w:rsid w:val="008D7284"/>
    <w:rsid w:val="008D7CDF"/>
    <w:rsid w:val="008E1103"/>
    <w:rsid w:val="008E17D1"/>
    <w:rsid w:val="008E1CFA"/>
    <w:rsid w:val="008E372B"/>
    <w:rsid w:val="008E3741"/>
    <w:rsid w:val="008E55CF"/>
    <w:rsid w:val="008E55D2"/>
    <w:rsid w:val="008E6194"/>
    <w:rsid w:val="008E61DF"/>
    <w:rsid w:val="008E6D79"/>
    <w:rsid w:val="008E744F"/>
    <w:rsid w:val="008E761A"/>
    <w:rsid w:val="008E7F06"/>
    <w:rsid w:val="008F0AB1"/>
    <w:rsid w:val="008F1104"/>
    <w:rsid w:val="008F1C00"/>
    <w:rsid w:val="008F2428"/>
    <w:rsid w:val="008F361E"/>
    <w:rsid w:val="008F392B"/>
    <w:rsid w:val="008F54FD"/>
    <w:rsid w:val="008F6D9A"/>
    <w:rsid w:val="008F7A61"/>
    <w:rsid w:val="008F7E7E"/>
    <w:rsid w:val="00901C02"/>
    <w:rsid w:val="00902419"/>
    <w:rsid w:val="00902E7B"/>
    <w:rsid w:val="009031EB"/>
    <w:rsid w:val="0090393A"/>
    <w:rsid w:val="0090477D"/>
    <w:rsid w:val="00906464"/>
    <w:rsid w:val="00910335"/>
    <w:rsid w:val="0091116E"/>
    <w:rsid w:val="00911A9B"/>
    <w:rsid w:val="009142CC"/>
    <w:rsid w:val="00915E4D"/>
    <w:rsid w:val="009163ED"/>
    <w:rsid w:val="0091697A"/>
    <w:rsid w:val="00917DA3"/>
    <w:rsid w:val="0092014B"/>
    <w:rsid w:val="00920E11"/>
    <w:rsid w:val="00921403"/>
    <w:rsid w:val="00925990"/>
    <w:rsid w:val="00925D41"/>
    <w:rsid w:val="009276D5"/>
    <w:rsid w:val="00931379"/>
    <w:rsid w:val="00931BFF"/>
    <w:rsid w:val="00932756"/>
    <w:rsid w:val="00932834"/>
    <w:rsid w:val="009336A6"/>
    <w:rsid w:val="00934A90"/>
    <w:rsid w:val="00935D58"/>
    <w:rsid w:val="009367A0"/>
    <w:rsid w:val="00936826"/>
    <w:rsid w:val="0094061D"/>
    <w:rsid w:val="00941EAD"/>
    <w:rsid w:val="00942EFA"/>
    <w:rsid w:val="00944FDB"/>
    <w:rsid w:val="009457D1"/>
    <w:rsid w:val="00945BDA"/>
    <w:rsid w:val="00945FBA"/>
    <w:rsid w:val="0094655B"/>
    <w:rsid w:val="00950C54"/>
    <w:rsid w:val="00952A49"/>
    <w:rsid w:val="00955CD2"/>
    <w:rsid w:val="00956777"/>
    <w:rsid w:val="00956B93"/>
    <w:rsid w:val="00956FB2"/>
    <w:rsid w:val="00957A43"/>
    <w:rsid w:val="00957D00"/>
    <w:rsid w:val="00961540"/>
    <w:rsid w:val="00961D7A"/>
    <w:rsid w:val="0096324C"/>
    <w:rsid w:val="009637F6"/>
    <w:rsid w:val="009644B8"/>
    <w:rsid w:val="00965A89"/>
    <w:rsid w:val="00967779"/>
    <w:rsid w:val="00970AD3"/>
    <w:rsid w:val="009728B7"/>
    <w:rsid w:val="009752F5"/>
    <w:rsid w:val="009807B8"/>
    <w:rsid w:val="009814D3"/>
    <w:rsid w:val="00981B51"/>
    <w:rsid w:val="009844EC"/>
    <w:rsid w:val="00985281"/>
    <w:rsid w:val="009860BC"/>
    <w:rsid w:val="009863AD"/>
    <w:rsid w:val="00986748"/>
    <w:rsid w:val="00991A52"/>
    <w:rsid w:val="00991B5D"/>
    <w:rsid w:val="00991C91"/>
    <w:rsid w:val="00993405"/>
    <w:rsid w:val="0099468F"/>
    <w:rsid w:val="0099596A"/>
    <w:rsid w:val="0099767A"/>
    <w:rsid w:val="009A23D7"/>
    <w:rsid w:val="009A29B7"/>
    <w:rsid w:val="009A2E17"/>
    <w:rsid w:val="009A3376"/>
    <w:rsid w:val="009A4A32"/>
    <w:rsid w:val="009B0534"/>
    <w:rsid w:val="009B2177"/>
    <w:rsid w:val="009B6242"/>
    <w:rsid w:val="009B734B"/>
    <w:rsid w:val="009C3F86"/>
    <w:rsid w:val="009C4FC2"/>
    <w:rsid w:val="009C509A"/>
    <w:rsid w:val="009C6027"/>
    <w:rsid w:val="009D0578"/>
    <w:rsid w:val="009D14A2"/>
    <w:rsid w:val="009D2175"/>
    <w:rsid w:val="009D5867"/>
    <w:rsid w:val="009D5A0D"/>
    <w:rsid w:val="009D63AF"/>
    <w:rsid w:val="009D655C"/>
    <w:rsid w:val="009D7D36"/>
    <w:rsid w:val="009E59F1"/>
    <w:rsid w:val="009F11C6"/>
    <w:rsid w:val="009F647E"/>
    <w:rsid w:val="009F6A63"/>
    <w:rsid w:val="00A01211"/>
    <w:rsid w:val="00A02F73"/>
    <w:rsid w:val="00A04886"/>
    <w:rsid w:val="00A04A02"/>
    <w:rsid w:val="00A0524E"/>
    <w:rsid w:val="00A06180"/>
    <w:rsid w:val="00A063B7"/>
    <w:rsid w:val="00A10A6A"/>
    <w:rsid w:val="00A12906"/>
    <w:rsid w:val="00A12C52"/>
    <w:rsid w:val="00A14FA3"/>
    <w:rsid w:val="00A16F48"/>
    <w:rsid w:val="00A17C2D"/>
    <w:rsid w:val="00A17D0B"/>
    <w:rsid w:val="00A21169"/>
    <w:rsid w:val="00A213CD"/>
    <w:rsid w:val="00A230E0"/>
    <w:rsid w:val="00A3076B"/>
    <w:rsid w:val="00A315B3"/>
    <w:rsid w:val="00A323C2"/>
    <w:rsid w:val="00A32A70"/>
    <w:rsid w:val="00A34567"/>
    <w:rsid w:val="00A3484F"/>
    <w:rsid w:val="00A348CC"/>
    <w:rsid w:val="00A34D75"/>
    <w:rsid w:val="00A35AA1"/>
    <w:rsid w:val="00A372CF"/>
    <w:rsid w:val="00A37D1C"/>
    <w:rsid w:val="00A40431"/>
    <w:rsid w:val="00A40763"/>
    <w:rsid w:val="00A4161B"/>
    <w:rsid w:val="00A4325C"/>
    <w:rsid w:val="00A436FC"/>
    <w:rsid w:val="00A43BFD"/>
    <w:rsid w:val="00A43EE9"/>
    <w:rsid w:val="00A43F5F"/>
    <w:rsid w:val="00A441CE"/>
    <w:rsid w:val="00A474C2"/>
    <w:rsid w:val="00A479CC"/>
    <w:rsid w:val="00A50289"/>
    <w:rsid w:val="00A50346"/>
    <w:rsid w:val="00A508F3"/>
    <w:rsid w:val="00A50ED8"/>
    <w:rsid w:val="00A51FFD"/>
    <w:rsid w:val="00A548AC"/>
    <w:rsid w:val="00A54B7B"/>
    <w:rsid w:val="00A54D70"/>
    <w:rsid w:val="00A559A1"/>
    <w:rsid w:val="00A57088"/>
    <w:rsid w:val="00A57ACB"/>
    <w:rsid w:val="00A60E5C"/>
    <w:rsid w:val="00A61C1B"/>
    <w:rsid w:val="00A61CF2"/>
    <w:rsid w:val="00A64653"/>
    <w:rsid w:val="00A6689E"/>
    <w:rsid w:val="00A67BED"/>
    <w:rsid w:val="00A7020B"/>
    <w:rsid w:val="00A70909"/>
    <w:rsid w:val="00A7121D"/>
    <w:rsid w:val="00A74BDA"/>
    <w:rsid w:val="00A815D6"/>
    <w:rsid w:val="00A81683"/>
    <w:rsid w:val="00A81842"/>
    <w:rsid w:val="00A81A9E"/>
    <w:rsid w:val="00A81DA1"/>
    <w:rsid w:val="00A81FC4"/>
    <w:rsid w:val="00A82191"/>
    <w:rsid w:val="00A8310C"/>
    <w:rsid w:val="00A8320D"/>
    <w:rsid w:val="00A842FD"/>
    <w:rsid w:val="00A84D6C"/>
    <w:rsid w:val="00A85579"/>
    <w:rsid w:val="00A85F92"/>
    <w:rsid w:val="00A865FA"/>
    <w:rsid w:val="00A86DB2"/>
    <w:rsid w:val="00A9042F"/>
    <w:rsid w:val="00A935A2"/>
    <w:rsid w:val="00A951AA"/>
    <w:rsid w:val="00A9618B"/>
    <w:rsid w:val="00A966E0"/>
    <w:rsid w:val="00A97714"/>
    <w:rsid w:val="00AA10E2"/>
    <w:rsid w:val="00AA15BF"/>
    <w:rsid w:val="00AA16BD"/>
    <w:rsid w:val="00AA17F4"/>
    <w:rsid w:val="00AA37D1"/>
    <w:rsid w:val="00AA453D"/>
    <w:rsid w:val="00AA6F38"/>
    <w:rsid w:val="00AB0889"/>
    <w:rsid w:val="00AB1146"/>
    <w:rsid w:val="00AB2325"/>
    <w:rsid w:val="00AB7308"/>
    <w:rsid w:val="00AC004C"/>
    <w:rsid w:val="00AC154F"/>
    <w:rsid w:val="00AC3F85"/>
    <w:rsid w:val="00AC6EDE"/>
    <w:rsid w:val="00AD2173"/>
    <w:rsid w:val="00AD5300"/>
    <w:rsid w:val="00AD53DA"/>
    <w:rsid w:val="00AD5553"/>
    <w:rsid w:val="00AD647B"/>
    <w:rsid w:val="00AD7F56"/>
    <w:rsid w:val="00AD7FD7"/>
    <w:rsid w:val="00AE49FF"/>
    <w:rsid w:val="00AE5527"/>
    <w:rsid w:val="00AE57BA"/>
    <w:rsid w:val="00AE5A50"/>
    <w:rsid w:val="00AE6301"/>
    <w:rsid w:val="00AE6441"/>
    <w:rsid w:val="00AE6D9F"/>
    <w:rsid w:val="00AE7EC9"/>
    <w:rsid w:val="00AF1252"/>
    <w:rsid w:val="00AF13EF"/>
    <w:rsid w:val="00AF2258"/>
    <w:rsid w:val="00AF4426"/>
    <w:rsid w:val="00B0117F"/>
    <w:rsid w:val="00B03914"/>
    <w:rsid w:val="00B05A0B"/>
    <w:rsid w:val="00B0601C"/>
    <w:rsid w:val="00B07390"/>
    <w:rsid w:val="00B07943"/>
    <w:rsid w:val="00B07D62"/>
    <w:rsid w:val="00B1178D"/>
    <w:rsid w:val="00B12784"/>
    <w:rsid w:val="00B12A7E"/>
    <w:rsid w:val="00B12F27"/>
    <w:rsid w:val="00B12F57"/>
    <w:rsid w:val="00B17EB0"/>
    <w:rsid w:val="00B17EC4"/>
    <w:rsid w:val="00B20464"/>
    <w:rsid w:val="00B20AC0"/>
    <w:rsid w:val="00B20CE5"/>
    <w:rsid w:val="00B20FB8"/>
    <w:rsid w:val="00B22240"/>
    <w:rsid w:val="00B22D52"/>
    <w:rsid w:val="00B241E5"/>
    <w:rsid w:val="00B25772"/>
    <w:rsid w:val="00B2722F"/>
    <w:rsid w:val="00B27723"/>
    <w:rsid w:val="00B3120E"/>
    <w:rsid w:val="00B31EF3"/>
    <w:rsid w:val="00B32B62"/>
    <w:rsid w:val="00B33234"/>
    <w:rsid w:val="00B354DE"/>
    <w:rsid w:val="00B36880"/>
    <w:rsid w:val="00B36A63"/>
    <w:rsid w:val="00B40698"/>
    <w:rsid w:val="00B40A65"/>
    <w:rsid w:val="00B40D99"/>
    <w:rsid w:val="00B4120F"/>
    <w:rsid w:val="00B416C7"/>
    <w:rsid w:val="00B42E34"/>
    <w:rsid w:val="00B44511"/>
    <w:rsid w:val="00B44D6F"/>
    <w:rsid w:val="00B458F5"/>
    <w:rsid w:val="00B4747C"/>
    <w:rsid w:val="00B505EC"/>
    <w:rsid w:val="00B5152D"/>
    <w:rsid w:val="00B51683"/>
    <w:rsid w:val="00B51EC2"/>
    <w:rsid w:val="00B51F21"/>
    <w:rsid w:val="00B53419"/>
    <w:rsid w:val="00B539BD"/>
    <w:rsid w:val="00B53BDA"/>
    <w:rsid w:val="00B543E2"/>
    <w:rsid w:val="00B54780"/>
    <w:rsid w:val="00B54A0F"/>
    <w:rsid w:val="00B57547"/>
    <w:rsid w:val="00B57E21"/>
    <w:rsid w:val="00B60E17"/>
    <w:rsid w:val="00B614F1"/>
    <w:rsid w:val="00B63DF7"/>
    <w:rsid w:val="00B66FF2"/>
    <w:rsid w:val="00B70FB2"/>
    <w:rsid w:val="00B717FF"/>
    <w:rsid w:val="00B71832"/>
    <w:rsid w:val="00B72021"/>
    <w:rsid w:val="00B7475B"/>
    <w:rsid w:val="00B759F0"/>
    <w:rsid w:val="00B770DD"/>
    <w:rsid w:val="00B77915"/>
    <w:rsid w:val="00B77EF4"/>
    <w:rsid w:val="00B8076C"/>
    <w:rsid w:val="00B808E0"/>
    <w:rsid w:val="00B8114B"/>
    <w:rsid w:val="00B81402"/>
    <w:rsid w:val="00B81947"/>
    <w:rsid w:val="00B82647"/>
    <w:rsid w:val="00B83A97"/>
    <w:rsid w:val="00B8481A"/>
    <w:rsid w:val="00B901BE"/>
    <w:rsid w:val="00B91E66"/>
    <w:rsid w:val="00B922CB"/>
    <w:rsid w:val="00B93688"/>
    <w:rsid w:val="00B9375F"/>
    <w:rsid w:val="00B940ED"/>
    <w:rsid w:val="00B964EB"/>
    <w:rsid w:val="00BA25DB"/>
    <w:rsid w:val="00BA4B74"/>
    <w:rsid w:val="00BA677F"/>
    <w:rsid w:val="00BA7021"/>
    <w:rsid w:val="00BB0954"/>
    <w:rsid w:val="00BB0A63"/>
    <w:rsid w:val="00BB5416"/>
    <w:rsid w:val="00BB61D9"/>
    <w:rsid w:val="00BB6413"/>
    <w:rsid w:val="00BB7585"/>
    <w:rsid w:val="00BC2095"/>
    <w:rsid w:val="00BC3ED8"/>
    <w:rsid w:val="00BC42D9"/>
    <w:rsid w:val="00BC481B"/>
    <w:rsid w:val="00BC4EF1"/>
    <w:rsid w:val="00BC5CEB"/>
    <w:rsid w:val="00BC66CC"/>
    <w:rsid w:val="00BD03F4"/>
    <w:rsid w:val="00BD640A"/>
    <w:rsid w:val="00BE0DBA"/>
    <w:rsid w:val="00BE1177"/>
    <w:rsid w:val="00BE3036"/>
    <w:rsid w:val="00BE332B"/>
    <w:rsid w:val="00BE3AEF"/>
    <w:rsid w:val="00BE7733"/>
    <w:rsid w:val="00BE7742"/>
    <w:rsid w:val="00BE7DA4"/>
    <w:rsid w:val="00BF1A21"/>
    <w:rsid w:val="00BF248C"/>
    <w:rsid w:val="00BF36E3"/>
    <w:rsid w:val="00BF5B5B"/>
    <w:rsid w:val="00BF5BA9"/>
    <w:rsid w:val="00BF7B09"/>
    <w:rsid w:val="00BF7CD5"/>
    <w:rsid w:val="00C01B32"/>
    <w:rsid w:val="00C02480"/>
    <w:rsid w:val="00C02C77"/>
    <w:rsid w:val="00C04C82"/>
    <w:rsid w:val="00C05C4C"/>
    <w:rsid w:val="00C05DBC"/>
    <w:rsid w:val="00C13D2D"/>
    <w:rsid w:val="00C13F86"/>
    <w:rsid w:val="00C14869"/>
    <w:rsid w:val="00C148D9"/>
    <w:rsid w:val="00C14BF9"/>
    <w:rsid w:val="00C14C1E"/>
    <w:rsid w:val="00C1526D"/>
    <w:rsid w:val="00C1593E"/>
    <w:rsid w:val="00C16C72"/>
    <w:rsid w:val="00C20DB4"/>
    <w:rsid w:val="00C24FBC"/>
    <w:rsid w:val="00C252FA"/>
    <w:rsid w:val="00C26C99"/>
    <w:rsid w:val="00C26D38"/>
    <w:rsid w:val="00C26F89"/>
    <w:rsid w:val="00C2790E"/>
    <w:rsid w:val="00C316F1"/>
    <w:rsid w:val="00C34692"/>
    <w:rsid w:val="00C35999"/>
    <w:rsid w:val="00C35F1D"/>
    <w:rsid w:val="00C35FED"/>
    <w:rsid w:val="00C36291"/>
    <w:rsid w:val="00C37537"/>
    <w:rsid w:val="00C37BAF"/>
    <w:rsid w:val="00C40E7F"/>
    <w:rsid w:val="00C411D4"/>
    <w:rsid w:val="00C42CC3"/>
    <w:rsid w:val="00C42F65"/>
    <w:rsid w:val="00C4376F"/>
    <w:rsid w:val="00C46EDB"/>
    <w:rsid w:val="00C50428"/>
    <w:rsid w:val="00C51295"/>
    <w:rsid w:val="00C522D2"/>
    <w:rsid w:val="00C54317"/>
    <w:rsid w:val="00C5603B"/>
    <w:rsid w:val="00C560C1"/>
    <w:rsid w:val="00C56312"/>
    <w:rsid w:val="00C569AA"/>
    <w:rsid w:val="00C56EA1"/>
    <w:rsid w:val="00C600FF"/>
    <w:rsid w:val="00C60121"/>
    <w:rsid w:val="00C60A2E"/>
    <w:rsid w:val="00C64919"/>
    <w:rsid w:val="00C64BBA"/>
    <w:rsid w:val="00C65CA4"/>
    <w:rsid w:val="00C711E7"/>
    <w:rsid w:val="00C740F7"/>
    <w:rsid w:val="00C778C3"/>
    <w:rsid w:val="00C8031D"/>
    <w:rsid w:val="00C80396"/>
    <w:rsid w:val="00C814BE"/>
    <w:rsid w:val="00C814C2"/>
    <w:rsid w:val="00C81B29"/>
    <w:rsid w:val="00C829D4"/>
    <w:rsid w:val="00C834F2"/>
    <w:rsid w:val="00C8696F"/>
    <w:rsid w:val="00C874EE"/>
    <w:rsid w:val="00C912DC"/>
    <w:rsid w:val="00C920FF"/>
    <w:rsid w:val="00C92173"/>
    <w:rsid w:val="00C938C7"/>
    <w:rsid w:val="00C93912"/>
    <w:rsid w:val="00C96F6C"/>
    <w:rsid w:val="00C97AED"/>
    <w:rsid w:val="00CA10B5"/>
    <w:rsid w:val="00CA11E3"/>
    <w:rsid w:val="00CA183D"/>
    <w:rsid w:val="00CA1D93"/>
    <w:rsid w:val="00CA2432"/>
    <w:rsid w:val="00CA3B05"/>
    <w:rsid w:val="00CA3F73"/>
    <w:rsid w:val="00CA4AA6"/>
    <w:rsid w:val="00CA4C21"/>
    <w:rsid w:val="00CA5758"/>
    <w:rsid w:val="00CA65F6"/>
    <w:rsid w:val="00CB0322"/>
    <w:rsid w:val="00CB1665"/>
    <w:rsid w:val="00CB4C71"/>
    <w:rsid w:val="00CB6DFB"/>
    <w:rsid w:val="00CB7F7B"/>
    <w:rsid w:val="00CC0ECE"/>
    <w:rsid w:val="00CC25CF"/>
    <w:rsid w:val="00CC2CB4"/>
    <w:rsid w:val="00CC445D"/>
    <w:rsid w:val="00CC4C52"/>
    <w:rsid w:val="00CC6A04"/>
    <w:rsid w:val="00CC7513"/>
    <w:rsid w:val="00CC7957"/>
    <w:rsid w:val="00CD05C2"/>
    <w:rsid w:val="00CD1C00"/>
    <w:rsid w:val="00CD1C14"/>
    <w:rsid w:val="00CD2A54"/>
    <w:rsid w:val="00CD4FA3"/>
    <w:rsid w:val="00CE008D"/>
    <w:rsid w:val="00CE172E"/>
    <w:rsid w:val="00CE25D2"/>
    <w:rsid w:val="00CE2FBA"/>
    <w:rsid w:val="00CE3ED9"/>
    <w:rsid w:val="00CE4437"/>
    <w:rsid w:val="00CE4F7B"/>
    <w:rsid w:val="00CE5A96"/>
    <w:rsid w:val="00CE65C3"/>
    <w:rsid w:val="00CE7004"/>
    <w:rsid w:val="00CF03EE"/>
    <w:rsid w:val="00CF12B1"/>
    <w:rsid w:val="00CF19B7"/>
    <w:rsid w:val="00CF271F"/>
    <w:rsid w:val="00CF3356"/>
    <w:rsid w:val="00CF6994"/>
    <w:rsid w:val="00D00A03"/>
    <w:rsid w:val="00D00FD5"/>
    <w:rsid w:val="00D0300C"/>
    <w:rsid w:val="00D04001"/>
    <w:rsid w:val="00D04093"/>
    <w:rsid w:val="00D041C7"/>
    <w:rsid w:val="00D04CA6"/>
    <w:rsid w:val="00D07235"/>
    <w:rsid w:val="00D0791C"/>
    <w:rsid w:val="00D10638"/>
    <w:rsid w:val="00D1301B"/>
    <w:rsid w:val="00D15FBE"/>
    <w:rsid w:val="00D16BA6"/>
    <w:rsid w:val="00D2027E"/>
    <w:rsid w:val="00D202E3"/>
    <w:rsid w:val="00D21615"/>
    <w:rsid w:val="00D21C7E"/>
    <w:rsid w:val="00D22BF7"/>
    <w:rsid w:val="00D236FE"/>
    <w:rsid w:val="00D27579"/>
    <w:rsid w:val="00D31120"/>
    <w:rsid w:val="00D32407"/>
    <w:rsid w:val="00D3603F"/>
    <w:rsid w:val="00D36BB0"/>
    <w:rsid w:val="00D40506"/>
    <w:rsid w:val="00D40D10"/>
    <w:rsid w:val="00D42900"/>
    <w:rsid w:val="00D42C66"/>
    <w:rsid w:val="00D441B7"/>
    <w:rsid w:val="00D457A3"/>
    <w:rsid w:val="00D45F82"/>
    <w:rsid w:val="00D5219F"/>
    <w:rsid w:val="00D52D81"/>
    <w:rsid w:val="00D52DF0"/>
    <w:rsid w:val="00D549B0"/>
    <w:rsid w:val="00D550D6"/>
    <w:rsid w:val="00D568CE"/>
    <w:rsid w:val="00D60357"/>
    <w:rsid w:val="00D608EC"/>
    <w:rsid w:val="00D620C7"/>
    <w:rsid w:val="00D6607B"/>
    <w:rsid w:val="00D66A0F"/>
    <w:rsid w:val="00D7215E"/>
    <w:rsid w:val="00D73A03"/>
    <w:rsid w:val="00D74ECB"/>
    <w:rsid w:val="00D80977"/>
    <w:rsid w:val="00D81789"/>
    <w:rsid w:val="00D819CE"/>
    <w:rsid w:val="00D8229C"/>
    <w:rsid w:val="00D850B6"/>
    <w:rsid w:val="00D8655D"/>
    <w:rsid w:val="00D86D50"/>
    <w:rsid w:val="00D87083"/>
    <w:rsid w:val="00D878EC"/>
    <w:rsid w:val="00D87C6D"/>
    <w:rsid w:val="00D87DBE"/>
    <w:rsid w:val="00D90468"/>
    <w:rsid w:val="00D91FAF"/>
    <w:rsid w:val="00D95E55"/>
    <w:rsid w:val="00D97762"/>
    <w:rsid w:val="00D97922"/>
    <w:rsid w:val="00DA0B6D"/>
    <w:rsid w:val="00DA3283"/>
    <w:rsid w:val="00DA3C1C"/>
    <w:rsid w:val="00DA4A38"/>
    <w:rsid w:val="00DA4ABC"/>
    <w:rsid w:val="00DA4BE1"/>
    <w:rsid w:val="00DA5A9B"/>
    <w:rsid w:val="00DA78B0"/>
    <w:rsid w:val="00DB006C"/>
    <w:rsid w:val="00DB0680"/>
    <w:rsid w:val="00DB0CBE"/>
    <w:rsid w:val="00DB183B"/>
    <w:rsid w:val="00DB7ECE"/>
    <w:rsid w:val="00DB7FD2"/>
    <w:rsid w:val="00DC21AC"/>
    <w:rsid w:val="00DC23C5"/>
    <w:rsid w:val="00DC3B4A"/>
    <w:rsid w:val="00DC3CB8"/>
    <w:rsid w:val="00DC4D01"/>
    <w:rsid w:val="00DC5547"/>
    <w:rsid w:val="00DC5BE1"/>
    <w:rsid w:val="00DD01C4"/>
    <w:rsid w:val="00DD205F"/>
    <w:rsid w:val="00DD299E"/>
    <w:rsid w:val="00DD7044"/>
    <w:rsid w:val="00DE05AB"/>
    <w:rsid w:val="00DE07B2"/>
    <w:rsid w:val="00DE29C4"/>
    <w:rsid w:val="00DE3AAB"/>
    <w:rsid w:val="00DE4174"/>
    <w:rsid w:val="00DE4DAC"/>
    <w:rsid w:val="00DE6064"/>
    <w:rsid w:val="00DE68C3"/>
    <w:rsid w:val="00DE70B6"/>
    <w:rsid w:val="00DE7A39"/>
    <w:rsid w:val="00DF338A"/>
    <w:rsid w:val="00DF36C9"/>
    <w:rsid w:val="00DF4C6B"/>
    <w:rsid w:val="00DF71F0"/>
    <w:rsid w:val="00E00107"/>
    <w:rsid w:val="00E00D88"/>
    <w:rsid w:val="00E03FA5"/>
    <w:rsid w:val="00E04073"/>
    <w:rsid w:val="00E04929"/>
    <w:rsid w:val="00E0656F"/>
    <w:rsid w:val="00E10D47"/>
    <w:rsid w:val="00E116BF"/>
    <w:rsid w:val="00E1386A"/>
    <w:rsid w:val="00E13BAA"/>
    <w:rsid w:val="00E15832"/>
    <w:rsid w:val="00E16061"/>
    <w:rsid w:val="00E20A3A"/>
    <w:rsid w:val="00E21635"/>
    <w:rsid w:val="00E2289B"/>
    <w:rsid w:val="00E24F33"/>
    <w:rsid w:val="00E2528B"/>
    <w:rsid w:val="00E260D7"/>
    <w:rsid w:val="00E266B8"/>
    <w:rsid w:val="00E2685D"/>
    <w:rsid w:val="00E30F69"/>
    <w:rsid w:val="00E30F75"/>
    <w:rsid w:val="00E31663"/>
    <w:rsid w:val="00E31A50"/>
    <w:rsid w:val="00E31BC9"/>
    <w:rsid w:val="00E35C31"/>
    <w:rsid w:val="00E3603A"/>
    <w:rsid w:val="00E360CA"/>
    <w:rsid w:val="00E3626C"/>
    <w:rsid w:val="00E36F5A"/>
    <w:rsid w:val="00E40F73"/>
    <w:rsid w:val="00E41048"/>
    <w:rsid w:val="00E42A3A"/>
    <w:rsid w:val="00E4429E"/>
    <w:rsid w:val="00E46E1A"/>
    <w:rsid w:val="00E47673"/>
    <w:rsid w:val="00E502E9"/>
    <w:rsid w:val="00E509A5"/>
    <w:rsid w:val="00E50B9D"/>
    <w:rsid w:val="00E53FF3"/>
    <w:rsid w:val="00E60824"/>
    <w:rsid w:val="00E60B59"/>
    <w:rsid w:val="00E61E52"/>
    <w:rsid w:val="00E61F76"/>
    <w:rsid w:val="00E62BC0"/>
    <w:rsid w:val="00E65EE5"/>
    <w:rsid w:val="00E669EF"/>
    <w:rsid w:val="00E67218"/>
    <w:rsid w:val="00E67930"/>
    <w:rsid w:val="00E67ACA"/>
    <w:rsid w:val="00E70231"/>
    <w:rsid w:val="00E71314"/>
    <w:rsid w:val="00E71AA4"/>
    <w:rsid w:val="00E74EF4"/>
    <w:rsid w:val="00E76AA6"/>
    <w:rsid w:val="00E804D0"/>
    <w:rsid w:val="00E8123C"/>
    <w:rsid w:val="00E8141B"/>
    <w:rsid w:val="00E8738A"/>
    <w:rsid w:val="00E91242"/>
    <w:rsid w:val="00E91C06"/>
    <w:rsid w:val="00E920DB"/>
    <w:rsid w:val="00E92EE4"/>
    <w:rsid w:val="00E93CA3"/>
    <w:rsid w:val="00E94DF1"/>
    <w:rsid w:val="00E96D83"/>
    <w:rsid w:val="00E96F61"/>
    <w:rsid w:val="00E97A48"/>
    <w:rsid w:val="00EA1BF6"/>
    <w:rsid w:val="00EA4A32"/>
    <w:rsid w:val="00EB11E4"/>
    <w:rsid w:val="00EB2AEB"/>
    <w:rsid w:val="00EC0665"/>
    <w:rsid w:val="00EC091C"/>
    <w:rsid w:val="00EC22F8"/>
    <w:rsid w:val="00EC2A66"/>
    <w:rsid w:val="00EC2D5E"/>
    <w:rsid w:val="00EC5DEA"/>
    <w:rsid w:val="00ED11C7"/>
    <w:rsid w:val="00ED3C0F"/>
    <w:rsid w:val="00ED42FA"/>
    <w:rsid w:val="00ED6A21"/>
    <w:rsid w:val="00ED7259"/>
    <w:rsid w:val="00ED7EB0"/>
    <w:rsid w:val="00EE03C8"/>
    <w:rsid w:val="00EE36B1"/>
    <w:rsid w:val="00EE55F1"/>
    <w:rsid w:val="00EF2492"/>
    <w:rsid w:val="00EF3360"/>
    <w:rsid w:val="00EF7002"/>
    <w:rsid w:val="00F00FED"/>
    <w:rsid w:val="00F06441"/>
    <w:rsid w:val="00F11AF4"/>
    <w:rsid w:val="00F14057"/>
    <w:rsid w:val="00F165B9"/>
    <w:rsid w:val="00F17CA1"/>
    <w:rsid w:val="00F221DF"/>
    <w:rsid w:val="00F240FE"/>
    <w:rsid w:val="00F2418C"/>
    <w:rsid w:val="00F250F2"/>
    <w:rsid w:val="00F252D2"/>
    <w:rsid w:val="00F27EB1"/>
    <w:rsid w:val="00F3017D"/>
    <w:rsid w:val="00F30E42"/>
    <w:rsid w:val="00F31C2D"/>
    <w:rsid w:val="00F31DF1"/>
    <w:rsid w:val="00F34393"/>
    <w:rsid w:val="00F34A00"/>
    <w:rsid w:val="00F3591D"/>
    <w:rsid w:val="00F359DF"/>
    <w:rsid w:val="00F367A5"/>
    <w:rsid w:val="00F3782A"/>
    <w:rsid w:val="00F40769"/>
    <w:rsid w:val="00F408CC"/>
    <w:rsid w:val="00F42D92"/>
    <w:rsid w:val="00F44E18"/>
    <w:rsid w:val="00F4541B"/>
    <w:rsid w:val="00F45515"/>
    <w:rsid w:val="00F47B31"/>
    <w:rsid w:val="00F5193C"/>
    <w:rsid w:val="00F51C90"/>
    <w:rsid w:val="00F5274C"/>
    <w:rsid w:val="00F53EBD"/>
    <w:rsid w:val="00F5602D"/>
    <w:rsid w:val="00F60BBD"/>
    <w:rsid w:val="00F61973"/>
    <w:rsid w:val="00F6214F"/>
    <w:rsid w:val="00F635E5"/>
    <w:rsid w:val="00F63A67"/>
    <w:rsid w:val="00F671E8"/>
    <w:rsid w:val="00F67992"/>
    <w:rsid w:val="00F70E49"/>
    <w:rsid w:val="00F726AC"/>
    <w:rsid w:val="00F74809"/>
    <w:rsid w:val="00F813EE"/>
    <w:rsid w:val="00F8377E"/>
    <w:rsid w:val="00F84177"/>
    <w:rsid w:val="00F84627"/>
    <w:rsid w:val="00F856A7"/>
    <w:rsid w:val="00F8694C"/>
    <w:rsid w:val="00F920FE"/>
    <w:rsid w:val="00F92C05"/>
    <w:rsid w:val="00F96215"/>
    <w:rsid w:val="00F97219"/>
    <w:rsid w:val="00FA5156"/>
    <w:rsid w:val="00FA57DF"/>
    <w:rsid w:val="00FA7450"/>
    <w:rsid w:val="00FA7B77"/>
    <w:rsid w:val="00FB0A2F"/>
    <w:rsid w:val="00FB0BCA"/>
    <w:rsid w:val="00FB0D64"/>
    <w:rsid w:val="00FB4F5A"/>
    <w:rsid w:val="00FB6CA9"/>
    <w:rsid w:val="00FC00A9"/>
    <w:rsid w:val="00FC103E"/>
    <w:rsid w:val="00FC16D1"/>
    <w:rsid w:val="00FC2078"/>
    <w:rsid w:val="00FC24E7"/>
    <w:rsid w:val="00FC2D1A"/>
    <w:rsid w:val="00FC3CC3"/>
    <w:rsid w:val="00FC4E50"/>
    <w:rsid w:val="00FC5FBA"/>
    <w:rsid w:val="00FC61F5"/>
    <w:rsid w:val="00FC66C1"/>
    <w:rsid w:val="00FC7DB3"/>
    <w:rsid w:val="00FD36CF"/>
    <w:rsid w:val="00FD4C9F"/>
    <w:rsid w:val="00FD4F8C"/>
    <w:rsid w:val="00FD5901"/>
    <w:rsid w:val="00FD6E22"/>
    <w:rsid w:val="00FE005F"/>
    <w:rsid w:val="00FE3760"/>
    <w:rsid w:val="00FE4EA4"/>
    <w:rsid w:val="00FE5C65"/>
    <w:rsid w:val="00FE7413"/>
    <w:rsid w:val="00FE7E48"/>
    <w:rsid w:val="00FF4EF3"/>
    <w:rsid w:val="01C89528"/>
    <w:rsid w:val="027884FD"/>
    <w:rsid w:val="028D4702"/>
    <w:rsid w:val="02CA7AA3"/>
    <w:rsid w:val="03EA1172"/>
    <w:rsid w:val="044E8B49"/>
    <w:rsid w:val="060944B0"/>
    <w:rsid w:val="074F12E4"/>
    <w:rsid w:val="0A59AB0E"/>
    <w:rsid w:val="0B0D3151"/>
    <w:rsid w:val="0B1B6AD2"/>
    <w:rsid w:val="0B78B2C8"/>
    <w:rsid w:val="0BC00EFC"/>
    <w:rsid w:val="0C183073"/>
    <w:rsid w:val="0C339FAB"/>
    <w:rsid w:val="0D15F323"/>
    <w:rsid w:val="0DF08446"/>
    <w:rsid w:val="0E753FD6"/>
    <w:rsid w:val="0EA373F9"/>
    <w:rsid w:val="0F6765C0"/>
    <w:rsid w:val="0FC902AA"/>
    <w:rsid w:val="122E5EA1"/>
    <w:rsid w:val="1282987A"/>
    <w:rsid w:val="1304C07F"/>
    <w:rsid w:val="135F31C5"/>
    <w:rsid w:val="14F1ABD3"/>
    <w:rsid w:val="14FB11AB"/>
    <w:rsid w:val="15987AE9"/>
    <w:rsid w:val="15FDBE07"/>
    <w:rsid w:val="189FB43D"/>
    <w:rsid w:val="1AA6C7DC"/>
    <w:rsid w:val="1AFC9840"/>
    <w:rsid w:val="1B5A684D"/>
    <w:rsid w:val="1CB2A83F"/>
    <w:rsid w:val="1D9B6938"/>
    <w:rsid w:val="1E4842CB"/>
    <w:rsid w:val="1E930E54"/>
    <w:rsid w:val="211312C6"/>
    <w:rsid w:val="21BAB4DC"/>
    <w:rsid w:val="22D5FD6B"/>
    <w:rsid w:val="23E332C8"/>
    <w:rsid w:val="252D8BE7"/>
    <w:rsid w:val="25E20258"/>
    <w:rsid w:val="29D51944"/>
    <w:rsid w:val="2A7F7F95"/>
    <w:rsid w:val="2B16FE74"/>
    <w:rsid w:val="2BAC145B"/>
    <w:rsid w:val="2BF9DF70"/>
    <w:rsid w:val="2FC7B084"/>
    <w:rsid w:val="3057DA26"/>
    <w:rsid w:val="34429547"/>
    <w:rsid w:val="34B51980"/>
    <w:rsid w:val="354E4978"/>
    <w:rsid w:val="3554EACA"/>
    <w:rsid w:val="3667C3FF"/>
    <w:rsid w:val="37C847C5"/>
    <w:rsid w:val="37ED53AB"/>
    <w:rsid w:val="3D6D2F24"/>
    <w:rsid w:val="3D78376B"/>
    <w:rsid w:val="3F87B053"/>
    <w:rsid w:val="40BDEFD4"/>
    <w:rsid w:val="42253553"/>
    <w:rsid w:val="43F01216"/>
    <w:rsid w:val="449DC242"/>
    <w:rsid w:val="451D7434"/>
    <w:rsid w:val="463E3862"/>
    <w:rsid w:val="4833A6AC"/>
    <w:rsid w:val="48D1E2A5"/>
    <w:rsid w:val="4A465F92"/>
    <w:rsid w:val="4A55C685"/>
    <w:rsid w:val="4BA7478C"/>
    <w:rsid w:val="4BD8EB61"/>
    <w:rsid w:val="4C4AB024"/>
    <w:rsid w:val="4C5087EA"/>
    <w:rsid w:val="4DF693C2"/>
    <w:rsid w:val="4FE6DA1B"/>
    <w:rsid w:val="50A6285E"/>
    <w:rsid w:val="518E6E16"/>
    <w:rsid w:val="53234FFD"/>
    <w:rsid w:val="53302E05"/>
    <w:rsid w:val="53B01FD3"/>
    <w:rsid w:val="54886484"/>
    <w:rsid w:val="5563C637"/>
    <w:rsid w:val="562A7905"/>
    <w:rsid w:val="56C45BFA"/>
    <w:rsid w:val="574CDEFD"/>
    <w:rsid w:val="5756D9D4"/>
    <w:rsid w:val="57FC78D9"/>
    <w:rsid w:val="58B46274"/>
    <w:rsid w:val="5C101AF4"/>
    <w:rsid w:val="5E310474"/>
    <w:rsid w:val="5E4A2B9B"/>
    <w:rsid w:val="5FCC9CD7"/>
    <w:rsid w:val="6058F8FE"/>
    <w:rsid w:val="6181F242"/>
    <w:rsid w:val="61966D2F"/>
    <w:rsid w:val="623FC346"/>
    <w:rsid w:val="65ECFC74"/>
    <w:rsid w:val="673F4AB0"/>
    <w:rsid w:val="67BF3650"/>
    <w:rsid w:val="6830F97F"/>
    <w:rsid w:val="6851CA05"/>
    <w:rsid w:val="6899EFFE"/>
    <w:rsid w:val="68A2F719"/>
    <w:rsid w:val="68B7C970"/>
    <w:rsid w:val="699D4E2D"/>
    <w:rsid w:val="6B95BEEE"/>
    <w:rsid w:val="6BE3B097"/>
    <w:rsid w:val="6FB02BA7"/>
    <w:rsid w:val="70CDB96C"/>
    <w:rsid w:val="7110482D"/>
    <w:rsid w:val="73D07206"/>
    <w:rsid w:val="74663B66"/>
    <w:rsid w:val="75479545"/>
    <w:rsid w:val="79765820"/>
    <w:rsid w:val="79C27109"/>
    <w:rsid w:val="7D548754"/>
    <w:rsid w:val="7D5D17AC"/>
    <w:rsid w:val="7D80D056"/>
    <w:rsid w:val="7F800D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2AD6C"/>
  <w15:chartTrackingRefBased/>
  <w15:docId w15:val="{22A42FEF-F9DF-41E2-A8FC-44D49C5D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9E5"/>
    <w:pPr>
      <w:spacing w:before="120" w:after="120" w:line="276" w:lineRule="auto"/>
    </w:pPr>
    <w:rPr>
      <w:rFonts w:ascii="Segoe UI" w:hAnsi="Segoe UI"/>
    </w:rPr>
  </w:style>
  <w:style w:type="paragraph" w:styleId="Heading1">
    <w:name w:val="heading 1"/>
    <w:basedOn w:val="Normal"/>
    <w:next w:val="Normal"/>
    <w:link w:val="Heading1Char"/>
    <w:uiPriority w:val="9"/>
    <w:qFormat/>
    <w:rsid w:val="00B759F0"/>
    <w:pPr>
      <w:keepNext/>
      <w:keepLines/>
      <w:pBdr>
        <w:bottom w:val="single" w:sz="12" w:space="6" w:color="00DCA1" w:themeColor="background2"/>
      </w:pBdr>
      <w:spacing w:before="240" w:line="240" w:lineRule="auto"/>
      <w:outlineLvl w:val="0"/>
    </w:pPr>
    <w:rPr>
      <w:rFonts w:eastAsiaTheme="majorEastAsia" w:cs="Segoe UI"/>
      <w:b/>
      <w:color w:val="025F5D"/>
      <w:sz w:val="40"/>
      <w:szCs w:val="72"/>
    </w:rPr>
  </w:style>
  <w:style w:type="paragraph" w:styleId="Heading2">
    <w:name w:val="heading 2"/>
    <w:basedOn w:val="Normal"/>
    <w:next w:val="Normal"/>
    <w:link w:val="Heading2Char"/>
    <w:uiPriority w:val="9"/>
    <w:unhideWhenUsed/>
    <w:qFormat/>
    <w:rsid w:val="00A43BFD"/>
    <w:pPr>
      <w:keepNext/>
      <w:keepLines/>
      <w:spacing w:before="360" w:line="240" w:lineRule="auto"/>
      <w:outlineLvl w:val="1"/>
    </w:pPr>
    <w:rPr>
      <w:rFonts w:eastAsiaTheme="majorEastAsia" w:cstheme="majorBidi"/>
      <w:b/>
      <w:color w:val="025F5D"/>
      <w:sz w:val="36"/>
      <w:szCs w:val="36"/>
    </w:rPr>
  </w:style>
  <w:style w:type="paragraph" w:styleId="Heading3">
    <w:name w:val="heading 3"/>
    <w:basedOn w:val="Normal"/>
    <w:next w:val="Normal"/>
    <w:link w:val="Heading3Char"/>
    <w:uiPriority w:val="9"/>
    <w:unhideWhenUsed/>
    <w:qFormat/>
    <w:rsid w:val="00A43BFD"/>
    <w:pPr>
      <w:keepNext/>
      <w:keepLines/>
      <w:spacing w:before="360"/>
      <w:outlineLvl w:val="2"/>
    </w:pPr>
    <w:rPr>
      <w:rFonts w:eastAsiaTheme="majorEastAsia" w:cstheme="majorBidi"/>
      <w:b/>
      <w:bCs/>
      <w:color w:val="025F5D"/>
      <w:sz w:val="32"/>
      <w:szCs w:val="40"/>
    </w:rPr>
  </w:style>
  <w:style w:type="paragraph" w:styleId="Heading4">
    <w:name w:val="heading 4"/>
    <w:basedOn w:val="Normal"/>
    <w:next w:val="Normal"/>
    <w:link w:val="Heading4Char"/>
    <w:uiPriority w:val="9"/>
    <w:unhideWhenUsed/>
    <w:qFormat/>
    <w:rsid w:val="00A43BFD"/>
    <w:pPr>
      <w:keepNext/>
      <w:keepLines/>
      <w:spacing w:before="240"/>
      <w:outlineLvl w:val="3"/>
    </w:pPr>
    <w:rPr>
      <w:rFonts w:eastAsiaTheme="majorEastAsia" w:cstheme="majorBidi"/>
      <w:b/>
      <w:bCs/>
      <w:iCs/>
      <w:color w:val="025F5D"/>
      <w:sz w:val="28"/>
      <w:szCs w:val="36"/>
    </w:rPr>
  </w:style>
  <w:style w:type="paragraph" w:styleId="Heading5">
    <w:name w:val="heading 5"/>
    <w:basedOn w:val="Normal"/>
    <w:next w:val="Normal"/>
    <w:link w:val="Heading5Char"/>
    <w:uiPriority w:val="9"/>
    <w:unhideWhenUsed/>
    <w:qFormat/>
    <w:rsid w:val="00A43BFD"/>
    <w:pPr>
      <w:keepNext/>
      <w:keepLines/>
      <w:spacing w:before="240"/>
      <w:outlineLvl w:val="4"/>
    </w:pPr>
    <w:rPr>
      <w:rFonts w:ascii="Segoe UI Semibold" w:eastAsiaTheme="majorEastAsia" w:hAnsi="Segoe UI Semibold" w:cstheme="majorBidi"/>
      <w:sz w:val="28"/>
      <w:szCs w:val="28"/>
    </w:rPr>
  </w:style>
  <w:style w:type="paragraph" w:styleId="Heading6">
    <w:name w:val="heading 6"/>
    <w:basedOn w:val="Normal"/>
    <w:next w:val="Normal"/>
    <w:link w:val="Heading6Char"/>
    <w:uiPriority w:val="9"/>
    <w:unhideWhenUsed/>
    <w:qFormat/>
    <w:rsid w:val="00A43BFD"/>
    <w:pPr>
      <w:keepNext/>
      <w:keepLines/>
      <w:outlineLvl w:val="5"/>
    </w:pPr>
    <w:rPr>
      <w:rFonts w:ascii="Segoe UI Semibold" w:eastAsiaTheme="majorEastAsia" w:hAnsi="Segoe UI Semibold" w:cs="Segoe UI Semibold"/>
      <w:iCs/>
      <w:color w:val="000000" w:themeColor="text1"/>
      <w:szCs w:val="28"/>
    </w:rPr>
  </w:style>
  <w:style w:type="paragraph" w:styleId="Heading7">
    <w:name w:val="heading 7"/>
    <w:basedOn w:val="Normal"/>
    <w:next w:val="Normal"/>
    <w:link w:val="Heading7Char"/>
    <w:uiPriority w:val="9"/>
    <w:unhideWhenUsed/>
    <w:qFormat/>
    <w:rsid w:val="00A43BFD"/>
    <w:pPr>
      <w:keepNext/>
      <w:keepLines/>
      <w:spacing w:before="40" w:after="0"/>
      <w:outlineLvl w:val="6"/>
    </w:pPr>
    <w:rPr>
      <w:rFonts w:ascii="Segoe UI Semibold" w:eastAsiaTheme="majorEastAsia" w:hAnsi="Segoe UI Semibold" w:cs="Segoe UI Semibold"/>
      <w:iCs/>
      <w:color w:val="025F5D"/>
    </w:rPr>
  </w:style>
  <w:style w:type="paragraph" w:styleId="Heading8">
    <w:name w:val="heading 8"/>
    <w:basedOn w:val="Normal"/>
    <w:next w:val="Normal"/>
    <w:link w:val="Heading8Char"/>
    <w:uiPriority w:val="9"/>
    <w:semiHidden/>
    <w:unhideWhenUsed/>
    <w:qFormat/>
    <w:rsid w:val="00A43BFD"/>
    <w:pPr>
      <w:keepNext/>
      <w:keepLines/>
      <w:spacing w:before="40" w:after="0"/>
      <w:outlineLvl w:val="7"/>
    </w:pPr>
    <w:rPr>
      <w:rFonts w:eastAsiaTheme="majorEastAsia" w:cstheme="majorBidi"/>
      <w:color w:val="000000" w:themeColor="text1"/>
      <w:szCs w:val="21"/>
    </w:rPr>
  </w:style>
  <w:style w:type="paragraph" w:styleId="Heading9">
    <w:name w:val="heading 9"/>
    <w:basedOn w:val="Normal"/>
    <w:next w:val="Normal"/>
    <w:link w:val="Heading9Char"/>
    <w:uiPriority w:val="9"/>
    <w:unhideWhenUsed/>
    <w:rsid w:val="00A43B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9F0"/>
    <w:rPr>
      <w:rFonts w:ascii="Segoe UI" w:eastAsiaTheme="majorEastAsia" w:hAnsi="Segoe UI" w:cs="Segoe UI"/>
      <w:b/>
      <w:color w:val="025F5D"/>
      <w:sz w:val="40"/>
      <w:szCs w:val="72"/>
    </w:rPr>
  </w:style>
  <w:style w:type="paragraph" w:styleId="NoSpacing">
    <w:name w:val="No Spacing"/>
    <w:uiPriority w:val="1"/>
    <w:qFormat/>
    <w:rsid w:val="001819E5"/>
    <w:rPr>
      <w:rFonts w:ascii="Arial" w:hAnsi="Arial"/>
    </w:rPr>
  </w:style>
  <w:style w:type="character" w:customStyle="1" w:styleId="Heading2Char">
    <w:name w:val="Heading 2 Char"/>
    <w:basedOn w:val="DefaultParagraphFont"/>
    <w:link w:val="Heading2"/>
    <w:uiPriority w:val="9"/>
    <w:rsid w:val="00A43BFD"/>
    <w:rPr>
      <w:rFonts w:ascii="Segoe UI" w:eastAsiaTheme="majorEastAsia" w:hAnsi="Segoe UI" w:cstheme="majorBidi"/>
      <w:b/>
      <w:color w:val="025F5D"/>
      <w:sz w:val="36"/>
      <w:szCs w:val="36"/>
    </w:rPr>
  </w:style>
  <w:style w:type="paragraph" w:styleId="Title">
    <w:name w:val="Title"/>
    <w:basedOn w:val="Normal"/>
    <w:next w:val="Normal"/>
    <w:link w:val="TitleChar"/>
    <w:uiPriority w:val="10"/>
    <w:qFormat/>
    <w:rsid w:val="001819E5"/>
    <w:pPr>
      <w:spacing w:before="1200" w:after="240" w:line="240" w:lineRule="auto"/>
      <w:contextualSpacing/>
    </w:pPr>
    <w:rPr>
      <w:rFonts w:ascii="Segoe UI Semibold" w:eastAsiaTheme="majorEastAsia" w:hAnsi="Segoe UI Semibold" w:cs="Segoe UI Semibold"/>
      <w:bCs/>
      <w:spacing w:val="-10"/>
      <w:kern w:val="28"/>
      <w:sz w:val="56"/>
      <w:szCs w:val="56"/>
    </w:rPr>
  </w:style>
  <w:style w:type="character" w:customStyle="1" w:styleId="TitleChar">
    <w:name w:val="Title Char"/>
    <w:basedOn w:val="DefaultParagraphFont"/>
    <w:link w:val="Title"/>
    <w:uiPriority w:val="10"/>
    <w:rsid w:val="001819E5"/>
    <w:rPr>
      <w:rFonts w:ascii="Segoe UI Semibold" w:eastAsiaTheme="majorEastAsia" w:hAnsi="Segoe UI Semibold" w:cs="Segoe UI Semibold"/>
      <w:bCs/>
      <w:spacing w:val="-10"/>
      <w:kern w:val="28"/>
      <w:sz w:val="56"/>
      <w:szCs w:val="56"/>
    </w:rPr>
  </w:style>
  <w:style w:type="paragraph" w:styleId="Subtitle">
    <w:name w:val="Subtitle"/>
    <w:basedOn w:val="Normal"/>
    <w:next w:val="Normal"/>
    <w:link w:val="SubtitleChar"/>
    <w:uiPriority w:val="11"/>
    <w:qFormat/>
    <w:rsid w:val="001819E5"/>
    <w:pPr>
      <w:numPr>
        <w:ilvl w:val="1"/>
      </w:numPr>
      <w:spacing w:after="240" w:line="240" w:lineRule="auto"/>
    </w:pPr>
    <w:rPr>
      <w:rFonts w:ascii="Segoe UI Semibold" w:eastAsiaTheme="minorEastAsia" w:hAnsi="Segoe UI Semibold" w:cs="Times New Roman (Body CS)"/>
      <w:sz w:val="36"/>
      <w:szCs w:val="22"/>
    </w:rPr>
  </w:style>
  <w:style w:type="character" w:customStyle="1" w:styleId="SubtitleChar">
    <w:name w:val="Subtitle Char"/>
    <w:basedOn w:val="DefaultParagraphFont"/>
    <w:link w:val="Subtitle"/>
    <w:uiPriority w:val="11"/>
    <w:rsid w:val="001819E5"/>
    <w:rPr>
      <w:rFonts w:ascii="Segoe UI Semibold" w:eastAsiaTheme="minorEastAsia" w:hAnsi="Segoe UI Semibold" w:cs="Times New Roman (Body CS)"/>
      <w:sz w:val="36"/>
      <w:szCs w:val="22"/>
    </w:rPr>
  </w:style>
  <w:style w:type="character" w:styleId="SubtleEmphasis">
    <w:name w:val="Subtle Emphasis"/>
    <w:basedOn w:val="DefaultParagraphFont"/>
    <w:uiPriority w:val="19"/>
    <w:qFormat/>
    <w:rsid w:val="001819E5"/>
    <w:rPr>
      <w:rFonts w:ascii="Arial" w:hAnsi="Arial"/>
      <w:i/>
      <w:iCs/>
      <w:color w:val="404040" w:themeColor="text1" w:themeTint="BF"/>
    </w:rPr>
  </w:style>
  <w:style w:type="character" w:styleId="Emphasis">
    <w:name w:val="Emphasis"/>
    <w:basedOn w:val="DefaultParagraphFont"/>
    <w:qFormat/>
    <w:rsid w:val="001819E5"/>
    <w:rPr>
      <w:rFonts w:ascii="Arial" w:hAnsi="Arial"/>
      <w:i/>
      <w:iCs/>
    </w:rPr>
  </w:style>
  <w:style w:type="character" w:styleId="IntenseEmphasis">
    <w:name w:val="Intense Emphasis"/>
    <w:basedOn w:val="DefaultParagraphFont"/>
    <w:uiPriority w:val="21"/>
    <w:rsid w:val="001819E5"/>
    <w:rPr>
      <w:rFonts w:ascii="Arial" w:hAnsi="Arial"/>
      <w:i/>
      <w:iCs/>
      <w:color w:val="033636" w:themeColor="text2"/>
    </w:rPr>
  </w:style>
  <w:style w:type="character" w:styleId="Strong">
    <w:name w:val="Strong"/>
    <w:basedOn w:val="DefaultParagraphFont"/>
    <w:uiPriority w:val="22"/>
    <w:qFormat/>
    <w:rsid w:val="001819E5"/>
    <w:rPr>
      <w:b/>
      <w:bCs/>
    </w:rPr>
  </w:style>
  <w:style w:type="paragraph" w:styleId="Quote">
    <w:name w:val="Quote"/>
    <w:basedOn w:val="Normal"/>
    <w:next w:val="Normal"/>
    <w:link w:val="QuoteChar"/>
    <w:uiPriority w:val="29"/>
    <w:qFormat/>
    <w:rsid w:val="001819E5"/>
    <w:pPr>
      <w:spacing w:before="200" w:after="160"/>
      <w:ind w:left="864" w:right="864"/>
      <w:jc w:val="center"/>
    </w:pPr>
    <w:rPr>
      <w:i/>
      <w:iCs/>
      <w:color w:val="033636" w:themeColor="text2"/>
    </w:rPr>
  </w:style>
  <w:style w:type="character" w:customStyle="1" w:styleId="QuoteChar">
    <w:name w:val="Quote Char"/>
    <w:basedOn w:val="DefaultParagraphFont"/>
    <w:link w:val="Quote"/>
    <w:uiPriority w:val="29"/>
    <w:rsid w:val="001819E5"/>
    <w:rPr>
      <w:rFonts w:ascii="Segoe UI" w:hAnsi="Segoe UI"/>
      <w:i/>
      <w:iCs/>
      <w:color w:val="033636" w:themeColor="text2"/>
    </w:rPr>
  </w:style>
  <w:style w:type="paragraph" w:styleId="IntenseQuote">
    <w:name w:val="Intense Quote"/>
    <w:basedOn w:val="Normal"/>
    <w:next w:val="Normal"/>
    <w:link w:val="IntenseQuoteChar"/>
    <w:uiPriority w:val="30"/>
    <w:qFormat/>
    <w:rsid w:val="001819E5"/>
    <w:pPr>
      <w:pBdr>
        <w:top w:val="single" w:sz="4" w:space="10" w:color="00DCA1" w:themeColor="background2"/>
        <w:bottom w:val="single" w:sz="4" w:space="10" w:color="00DCA1" w:themeColor="background2"/>
      </w:pBdr>
      <w:spacing w:before="360" w:after="360"/>
      <w:ind w:left="864" w:right="864"/>
      <w:jc w:val="center"/>
    </w:pPr>
    <w:rPr>
      <w:i/>
      <w:iCs/>
      <w:color w:val="033636" w:themeColor="text2"/>
    </w:rPr>
  </w:style>
  <w:style w:type="character" w:customStyle="1" w:styleId="IntenseQuoteChar">
    <w:name w:val="Intense Quote Char"/>
    <w:basedOn w:val="DefaultParagraphFont"/>
    <w:link w:val="IntenseQuote"/>
    <w:uiPriority w:val="30"/>
    <w:rsid w:val="001819E5"/>
    <w:rPr>
      <w:rFonts w:ascii="Segoe UI" w:hAnsi="Segoe UI"/>
      <w:i/>
      <w:iCs/>
      <w:color w:val="033636" w:themeColor="text2"/>
    </w:rPr>
  </w:style>
  <w:style w:type="character" w:customStyle="1" w:styleId="Heading3Char">
    <w:name w:val="Heading 3 Char"/>
    <w:basedOn w:val="DefaultParagraphFont"/>
    <w:link w:val="Heading3"/>
    <w:uiPriority w:val="9"/>
    <w:rsid w:val="00A43BFD"/>
    <w:rPr>
      <w:rFonts w:ascii="Segoe UI" w:eastAsiaTheme="majorEastAsia" w:hAnsi="Segoe UI" w:cstheme="majorBidi"/>
      <w:b/>
      <w:bCs/>
      <w:color w:val="025F5D"/>
      <w:sz w:val="32"/>
      <w:szCs w:val="40"/>
    </w:rPr>
  </w:style>
  <w:style w:type="character" w:customStyle="1" w:styleId="Heading4Char">
    <w:name w:val="Heading 4 Char"/>
    <w:basedOn w:val="DefaultParagraphFont"/>
    <w:link w:val="Heading4"/>
    <w:uiPriority w:val="9"/>
    <w:rsid w:val="00A43BFD"/>
    <w:rPr>
      <w:rFonts w:ascii="Segoe UI" w:eastAsiaTheme="majorEastAsia" w:hAnsi="Segoe UI" w:cstheme="majorBidi"/>
      <w:b/>
      <w:bCs/>
      <w:iCs/>
      <w:color w:val="025F5D"/>
      <w:sz w:val="28"/>
      <w:szCs w:val="36"/>
    </w:rPr>
  </w:style>
  <w:style w:type="character" w:customStyle="1" w:styleId="Heading5Char">
    <w:name w:val="Heading 5 Char"/>
    <w:basedOn w:val="DefaultParagraphFont"/>
    <w:link w:val="Heading5"/>
    <w:uiPriority w:val="9"/>
    <w:rsid w:val="00A43BFD"/>
    <w:rPr>
      <w:rFonts w:ascii="Segoe UI Semibold" w:eastAsiaTheme="majorEastAsia" w:hAnsi="Segoe UI Semibold" w:cstheme="majorBidi"/>
      <w:sz w:val="28"/>
      <w:szCs w:val="28"/>
    </w:rPr>
  </w:style>
  <w:style w:type="character" w:customStyle="1" w:styleId="Heading6Char">
    <w:name w:val="Heading 6 Char"/>
    <w:basedOn w:val="DefaultParagraphFont"/>
    <w:link w:val="Heading6"/>
    <w:uiPriority w:val="9"/>
    <w:rsid w:val="00A43BFD"/>
    <w:rPr>
      <w:rFonts w:ascii="Segoe UI Semibold" w:eastAsiaTheme="majorEastAsia" w:hAnsi="Segoe UI Semibold" w:cs="Segoe UI Semibold"/>
      <w:iCs/>
      <w:color w:val="000000" w:themeColor="text1"/>
      <w:szCs w:val="28"/>
    </w:rPr>
  </w:style>
  <w:style w:type="character" w:customStyle="1" w:styleId="Heading7Char">
    <w:name w:val="Heading 7 Char"/>
    <w:basedOn w:val="DefaultParagraphFont"/>
    <w:link w:val="Heading7"/>
    <w:uiPriority w:val="9"/>
    <w:rsid w:val="00A43BFD"/>
    <w:rPr>
      <w:rFonts w:ascii="Segoe UI Semibold" w:eastAsiaTheme="majorEastAsia" w:hAnsi="Segoe UI Semibold" w:cs="Segoe UI Semibold"/>
      <w:iCs/>
      <w:color w:val="025F5D"/>
    </w:rPr>
  </w:style>
  <w:style w:type="character" w:customStyle="1" w:styleId="Heading8Char">
    <w:name w:val="Heading 8 Char"/>
    <w:basedOn w:val="DefaultParagraphFont"/>
    <w:link w:val="Heading8"/>
    <w:uiPriority w:val="9"/>
    <w:semiHidden/>
    <w:rsid w:val="00A43BFD"/>
    <w:rPr>
      <w:rFonts w:ascii="Segoe UI" w:eastAsiaTheme="majorEastAsia" w:hAnsi="Segoe UI" w:cstheme="majorBidi"/>
      <w:color w:val="000000" w:themeColor="text1"/>
      <w:szCs w:val="21"/>
    </w:rPr>
  </w:style>
  <w:style w:type="character" w:customStyle="1" w:styleId="Heading9Char">
    <w:name w:val="Heading 9 Char"/>
    <w:basedOn w:val="DefaultParagraphFont"/>
    <w:link w:val="Heading9"/>
    <w:uiPriority w:val="9"/>
    <w:rsid w:val="00A43BF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819E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19E5"/>
    <w:rPr>
      <w:rFonts w:ascii="Segoe UI" w:hAnsi="Segoe UI"/>
    </w:rPr>
  </w:style>
  <w:style w:type="paragraph" w:styleId="Footer">
    <w:name w:val="footer"/>
    <w:basedOn w:val="Normal"/>
    <w:link w:val="FooterChar"/>
    <w:uiPriority w:val="99"/>
    <w:unhideWhenUsed/>
    <w:qFormat/>
    <w:rsid w:val="001819E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19E5"/>
    <w:rPr>
      <w:rFonts w:ascii="Segoe UI" w:hAnsi="Segoe UI"/>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D7044"/>
    <w:pPr>
      <w:ind w:left="720"/>
      <w:contextualSpacing/>
    </w:pPr>
  </w:style>
  <w:style w:type="character" w:styleId="PageNumber">
    <w:name w:val="page number"/>
    <w:basedOn w:val="DefaultParagraphFont"/>
    <w:uiPriority w:val="99"/>
    <w:semiHidden/>
    <w:unhideWhenUsed/>
    <w:rsid w:val="001819E5"/>
  </w:style>
  <w:style w:type="paragraph" w:styleId="NormalWeb">
    <w:name w:val="Normal (Web)"/>
    <w:basedOn w:val="Normal"/>
    <w:uiPriority w:val="99"/>
    <w:unhideWhenUsed/>
    <w:rsid w:val="00BF1A21"/>
    <w:pPr>
      <w:spacing w:before="100" w:beforeAutospacing="1" w:after="100" w:afterAutospacing="1" w:line="240" w:lineRule="auto"/>
    </w:pPr>
    <w:rPr>
      <w:rFonts w:asciiTheme="minorHAnsi" w:eastAsia="Times New Roman" w:hAnsiTheme="minorHAnsi" w:cs="Times New Roman"/>
      <w:kern w:val="0"/>
      <w:lang w:eastAsia="en-GB"/>
      <w14:ligatures w14:val="none"/>
    </w:rPr>
  </w:style>
  <w:style w:type="character" w:styleId="Hyperlink">
    <w:name w:val="Hyperlink"/>
    <w:basedOn w:val="DefaultParagraphFont"/>
    <w:uiPriority w:val="99"/>
    <w:unhideWhenUsed/>
    <w:qFormat/>
    <w:rsid w:val="001819E5"/>
    <w:rPr>
      <w:color w:val="0000EE"/>
      <w:u w:val="single"/>
    </w:rPr>
  </w:style>
  <w:style w:type="character" w:styleId="UnresolvedMention">
    <w:name w:val="Unresolved Mention"/>
    <w:basedOn w:val="DefaultParagraphFont"/>
    <w:uiPriority w:val="99"/>
    <w:semiHidden/>
    <w:unhideWhenUsed/>
    <w:rsid w:val="00C14BF9"/>
    <w:rPr>
      <w:color w:val="605E5C"/>
      <w:shd w:val="clear" w:color="auto" w:fill="E1DFDD"/>
    </w:rPr>
  </w:style>
  <w:style w:type="table" w:styleId="TableGrid">
    <w:name w:val="Table Grid"/>
    <w:basedOn w:val="TableNormal"/>
    <w:uiPriority w:val="39"/>
    <w:rsid w:val="001819E5"/>
    <w:pPr>
      <w:spacing w:before="40" w:after="40"/>
    </w:pPr>
    <w:rPr>
      <w:rFonts w:eastAsia="Times New Roman" w:cs="Times New Roman"/>
      <w:kern w:val="0"/>
      <w:sz w:val="20"/>
      <w:szCs w:val="20"/>
      <w:lang w:eastAsia="en-AU"/>
      <w14:ligatures w14:val="none"/>
    </w:rPr>
    <w:tblPr>
      <w:tblStyleRowBandSize w:val="1"/>
      <w:tblBorders>
        <w:top w:val="single" w:sz="6" w:space="0" w:color="00DCA1" w:themeColor="background2"/>
        <w:bottom w:val="single" w:sz="6" w:space="0" w:color="00DCA1" w:themeColor="background2"/>
        <w:insideH w:val="single" w:sz="6" w:space="0" w:color="00DCA1" w:themeColor="background2"/>
      </w:tblBorders>
    </w:tblPr>
    <w:tcPr>
      <w:tcMar>
        <w:top w:w="57" w:type="dxa"/>
        <w:left w:w="57" w:type="dxa"/>
        <w:bottom w:w="57" w:type="dxa"/>
        <w:right w:w="57" w:type="dxa"/>
      </w:tcMar>
      <w:vAlign w:val="center"/>
    </w:tcPr>
    <w:tblStylePr w:type="firstRow">
      <w:tblPr/>
      <w:tcPr>
        <w:shd w:val="clear" w:color="auto" w:fill="00DCA1" w:themeFill="background2"/>
        <w:vAlign w:val="center"/>
      </w:tcPr>
    </w:tblStylePr>
    <w:tblStylePr w:type="lastRow">
      <w:rPr>
        <w:rFonts w:asciiTheme="minorHAnsi" w:hAnsiTheme="minorHAnsi"/>
        <w:b/>
        <w:sz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locked/>
    <w:rsid w:val="00C14BF9"/>
    <w:rPr>
      <w:rFonts w:ascii="Arial" w:hAnsi="Arial"/>
    </w:rPr>
  </w:style>
  <w:style w:type="numbering" w:customStyle="1" w:styleId="CurrentList1">
    <w:name w:val="Current List1"/>
    <w:uiPriority w:val="99"/>
    <w:rsid w:val="001819E5"/>
    <w:pPr>
      <w:numPr>
        <w:numId w:val="19"/>
      </w:numPr>
    </w:pPr>
  </w:style>
  <w:style w:type="paragraph" w:customStyle="1" w:styleId="BoxBulletEmerald">
    <w:name w:val="Box Bullet Emerald"/>
    <w:basedOn w:val="Normal"/>
    <w:qFormat/>
    <w:rsid w:val="001819E5"/>
    <w:pPr>
      <w:pBdr>
        <w:top w:val="single" w:sz="8" w:space="1" w:color="033636" w:themeColor="text2"/>
        <w:left w:val="single" w:sz="8" w:space="4" w:color="033636" w:themeColor="text2"/>
        <w:bottom w:val="single" w:sz="8" w:space="1" w:color="033636" w:themeColor="text2"/>
        <w:right w:val="single" w:sz="8" w:space="4" w:color="033636" w:themeColor="text2"/>
      </w:pBdr>
      <w:contextualSpacing/>
    </w:pPr>
  </w:style>
  <w:style w:type="paragraph" w:customStyle="1" w:styleId="BoxtextEmerald">
    <w:name w:val="Box text Emerald"/>
    <w:basedOn w:val="Normal"/>
    <w:qFormat/>
    <w:rsid w:val="001819E5"/>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Emerald">
    <w:name w:val="Box Heading Emerald"/>
    <w:basedOn w:val="Heading3"/>
    <w:qFormat/>
    <w:rsid w:val="001819E5"/>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Green">
    <w:name w:val="Box Heading Green"/>
    <w:basedOn w:val="BoxHeading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TextGreen">
    <w:name w:val="Box Text Green"/>
    <w:basedOn w:val="Boxtex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BulletGreen">
    <w:name w:val="Box Bullet Green"/>
    <w:basedOn w:val="BoxBulle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headingNavy">
    <w:name w:val="Box heading Navy"/>
    <w:basedOn w:val="BoxHeading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rPr>
      <w:color w:val="000000" w:themeColor="text1"/>
    </w:rPr>
  </w:style>
  <w:style w:type="paragraph" w:customStyle="1" w:styleId="BoxtextNavy">
    <w:name w:val="Box text Navy"/>
    <w:basedOn w:val="Boxtex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BulletNavy">
    <w:name w:val="Box Bullet Navy"/>
    <w:basedOn w:val="BoxBulle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headingpink">
    <w:name w:val="Box heading pink"/>
    <w:basedOn w:val="BoxHeadingGreen"/>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textpink">
    <w:name w:val="Box text pink"/>
    <w:basedOn w:val="BoxtextEmerald"/>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Bulletpink">
    <w:name w:val="Box Bullet pink"/>
    <w:basedOn w:val="BoxBulletNavy"/>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HeadingReversed">
    <w:name w:val="Box Heading Reversed"/>
    <w:basedOn w:val="BoxHeadingEmerald"/>
    <w:qFormat/>
    <w:rsid w:val="00BF1A21"/>
    <w:pPr>
      <w:shd w:val="clear" w:color="auto" w:fill="033636" w:themeFill="text2"/>
    </w:pPr>
    <w:rPr>
      <w:color w:val="FFFFFF" w:themeColor="background1"/>
    </w:rPr>
  </w:style>
  <w:style w:type="paragraph" w:customStyle="1" w:styleId="Boxreversedbullet">
    <w:name w:val="Box reversed bullet"/>
    <w:basedOn w:val="Boxpinkbullet"/>
    <w:qFormat/>
    <w:rsid w:val="001819E5"/>
    <w:pPr>
      <w:pBdr>
        <w:top w:val="single" w:sz="8" w:space="1" w:color="033636" w:themeColor="text2"/>
        <w:left w:val="single" w:sz="8" w:space="4" w:color="033636" w:themeColor="text2"/>
        <w:bottom w:val="single" w:sz="8" w:space="1" w:color="033636" w:themeColor="text2"/>
        <w:right w:val="single" w:sz="8" w:space="4" w:color="033636" w:themeColor="text2"/>
      </w:pBdr>
      <w:shd w:val="clear" w:color="auto" w:fill="025F5D"/>
    </w:pPr>
    <w:rPr>
      <w:color w:val="FFFFFF" w:themeColor="background1"/>
    </w:rPr>
  </w:style>
  <w:style w:type="paragraph" w:customStyle="1" w:styleId="Boxtextreversed">
    <w:name w:val="Box text reversed"/>
    <w:basedOn w:val="BoxtextEmerald"/>
    <w:qFormat/>
    <w:rsid w:val="00BF1A21"/>
    <w:pPr>
      <w:shd w:val="clear" w:color="auto" w:fill="033636" w:themeFill="text2"/>
    </w:pPr>
    <w:rPr>
      <w:color w:val="FFFFFF" w:themeColor="background1"/>
    </w:rPr>
  </w:style>
  <w:style w:type="paragraph" w:styleId="TOCHeading">
    <w:name w:val="TOC Heading"/>
    <w:basedOn w:val="Heading1"/>
    <w:next w:val="Normal"/>
    <w:uiPriority w:val="39"/>
    <w:unhideWhenUsed/>
    <w:qFormat/>
    <w:rsid w:val="00FB6CA9"/>
    <w:pPr>
      <w:pBdr>
        <w:bottom w:val="single" w:sz="12" w:space="2" w:color="00DCA1" w:themeColor="background2"/>
      </w:pBdr>
      <w:spacing w:before="480" w:after="0"/>
      <w:outlineLvl w:val="9"/>
    </w:pPr>
    <w:rPr>
      <w:rFonts w:cstheme="majorBidi"/>
      <w:kern w:val="0"/>
      <w:szCs w:val="28"/>
      <w:lang w:val="en-US"/>
      <w14:ligatures w14:val="none"/>
    </w:rPr>
  </w:style>
  <w:style w:type="paragraph" w:styleId="TOC1">
    <w:name w:val="toc 1"/>
    <w:basedOn w:val="Normal"/>
    <w:next w:val="Normal"/>
    <w:autoRedefine/>
    <w:uiPriority w:val="39"/>
    <w:unhideWhenUsed/>
    <w:rsid w:val="008134C0"/>
    <w:pPr>
      <w:tabs>
        <w:tab w:val="right" w:leader="dot" w:pos="9482"/>
      </w:tabs>
      <w:spacing w:after="0"/>
    </w:pPr>
    <w:rPr>
      <w:rFonts w:ascii="Segoe UI Semibold" w:hAnsi="Segoe UI Semibold" w:cstheme="minorHAnsi"/>
      <w:b/>
      <w:bCs/>
      <w:iCs/>
    </w:rPr>
  </w:style>
  <w:style w:type="paragraph" w:styleId="TOC2">
    <w:name w:val="toc 2"/>
    <w:basedOn w:val="Normal"/>
    <w:next w:val="Normal"/>
    <w:autoRedefine/>
    <w:uiPriority w:val="39"/>
    <w:unhideWhenUsed/>
    <w:rsid w:val="001819E5"/>
    <w:pPr>
      <w:spacing w:after="0"/>
      <w:ind w:left="240"/>
    </w:pPr>
    <w:rPr>
      <w:rFonts w:ascii="Segoe UI Semibold" w:hAnsi="Segoe UI Semibold" w:cstheme="minorHAnsi"/>
      <w:bCs/>
      <w:sz w:val="22"/>
      <w:szCs w:val="22"/>
    </w:rPr>
  </w:style>
  <w:style w:type="paragraph" w:styleId="TOC3">
    <w:name w:val="toc 3"/>
    <w:basedOn w:val="Normal"/>
    <w:next w:val="Normal"/>
    <w:autoRedefine/>
    <w:uiPriority w:val="39"/>
    <w:unhideWhenUsed/>
    <w:rsid w:val="001819E5"/>
    <w:pPr>
      <w:spacing w:before="0" w:after="0"/>
      <w:ind w:left="480"/>
    </w:pPr>
    <w:rPr>
      <w:rFonts w:cstheme="minorHAnsi"/>
      <w:sz w:val="20"/>
      <w:szCs w:val="20"/>
    </w:rPr>
  </w:style>
  <w:style w:type="paragraph" w:styleId="TOC4">
    <w:name w:val="toc 4"/>
    <w:basedOn w:val="Normal"/>
    <w:next w:val="Normal"/>
    <w:autoRedefine/>
    <w:uiPriority w:val="39"/>
    <w:semiHidden/>
    <w:unhideWhenUsed/>
    <w:rsid w:val="001819E5"/>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1819E5"/>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1819E5"/>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1819E5"/>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1819E5"/>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1819E5"/>
    <w:pPr>
      <w:spacing w:before="0" w:after="0"/>
      <w:ind w:left="1920"/>
    </w:pPr>
    <w:rPr>
      <w:rFonts w:asciiTheme="minorHAnsi" w:hAnsiTheme="minorHAnsi" w:cstheme="minorHAnsi"/>
      <w:sz w:val="20"/>
      <w:szCs w:val="20"/>
    </w:rPr>
  </w:style>
  <w:style w:type="paragraph" w:styleId="TableofFigures">
    <w:name w:val="table of figures"/>
    <w:basedOn w:val="Normal"/>
    <w:next w:val="Normal"/>
    <w:uiPriority w:val="99"/>
    <w:unhideWhenUsed/>
    <w:rsid w:val="001819E5"/>
    <w:pPr>
      <w:spacing w:after="0"/>
    </w:pPr>
  </w:style>
  <w:style w:type="paragraph" w:styleId="TOAHeading">
    <w:name w:val="toa heading"/>
    <w:basedOn w:val="Normal"/>
    <w:next w:val="Normal"/>
    <w:uiPriority w:val="99"/>
    <w:semiHidden/>
    <w:unhideWhenUsed/>
    <w:rsid w:val="001819E5"/>
    <w:rPr>
      <w:rFonts w:asciiTheme="majorHAnsi" w:eastAsiaTheme="majorEastAsia" w:hAnsiTheme="majorHAnsi" w:cstheme="majorBidi"/>
      <w:b/>
      <w:bCs/>
    </w:rPr>
  </w:style>
  <w:style w:type="paragraph" w:customStyle="1" w:styleId="Footerpagenumber">
    <w:name w:val="Footer_page number"/>
    <w:basedOn w:val="Footer"/>
    <w:qFormat/>
    <w:rsid w:val="001819E5"/>
    <w:pPr>
      <w:tabs>
        <w:tab w:val="clear" w:pos="4513"/>
        <w:tab w:val="clear" w:pos="9026"/>
        <w:tab w:val="right" w:pos="9498"/>
      </w:tabs>
    </w:pPr>
    <w:rPr>
      <w:color w:val="FFFFFF" w:themeColor="background1"/>
    </w:rPr>
  </w:style>
  <w:style w:type="paragraph" w:customStyle="1" w:styleId="Bullet">
    <w:name w:val="Bullet"/>
    <w:basedOn w:val="Normal"/>
    <w:qFormat/>
    <w:rsid w:val="001819E5"/>
    <w:pPr>
      <w:numPr>
        <w:numId w:val="16"/>
      </w:numPr>
      <w:contextualSpacing/>
    </w:pPr>
    <w:rPr>
      <w:rFonts w:eastAsia="Times New Roman" w:cs="Times New Roman"/>
      <w:kern w:val="0"/>
      <w:sz w:val="20"/>
      <w:szCs w:val="20"/>
      <w:lang w:eastAsia="en-AU"/>
      <w14:ligatures w14:val="none"/>
    </w:rPr>
  </w:style>
  <w:style w:type="paragraph" w:customStyle="1" w:styleId="CDCBullet">
    <w:name w:val="CDC_Bullet"/>
    <w:basedOn w:val="Normal"/>
    <w:rsid w:val="001819E5"/>
    <w:pPr>
      <w:contextualSpacing/>
    </w:pPr>
    <w:rPr>
      <w:rFonts w:eastAsia="Times New Roman" w:cs="Times New Roman"/>
      <w:kern w:val="0"/>
      <w:sz w:val="20"/>
      <w:szCs w:val="20"/>
      <w:lang w:eastAsia="en-AU"/>
      <w14:ligatures w14:val="none"/>
    </w:rPr>
  </w:style>
  <w:style w:type="paragraph" w:customStyle="1" w:styleId="Tabletext-Indented">
    <w:name w:val="Table text-Indented"/>
    <w:basedOn w:val="Normal"/>
    <w:qFormat/>
    <w:rsid w:val="001819E5"/>
    <w:pPr>
      <w:spacing w:before="0" w:after="0"/>
      <w:ind w:left="113"/>
    </w:pPr>
    <w:rPr>
      <w:rFonts w:eastAsia="Times New Roman" w:cs="Times New Roman"/>
      <w:kern w:val="0"/>
      <w:sz w:val="20"/>
      <w:szCs w:val="20"/>
      <w:lang w:eastAsia="en-AU"/>
      <w14:ligatures w14:val="none"/>
    </w:rPr>
  </w:style>
  <w:style w:type="paragraph" w:styleId="ListBullet2">
    <w:name w:val="List Bullet 2"/>
    <w:basedOn w:val="ListBullet"/>
    <w:rsid w:val="00176232"/>
    <w:pPr>
      <w:numPr>
        <w:numId w:val="27"/>
      </w:numPr>
      <w:tabs>
        <w:tab w:val="num" w:pos="717"/>
      </w:tabs>
      <w:ind w:left="1071" w:hanging="357"/>
    </w:pPr>
  </w:style>
  <w:style w:type="paragraph" w:customStyle="1" w:styleId="Tabletextleft">
    <w:name w:val="Table text left"/>
    <w:autoRedefine/>
    <w:qFormat/>
    <w:locked/>
    <w:rsid w:val="00FE7E48"/>
    <w:pPr>
      <w:spacing w:before="60" w:after="60"/>
    </w:pPr>
    <w:rPr>
      <w:rFonts w:ascii="Segoe UI" w:eastAsia="Times New Roman" w:hAnsi="Segoe UI" w:cs="Times New Roman"/>
      <w:bCs/>
      <w:color w:val="000000" w:themeColor="text1"/>
      <w:kern w:val="0"/>
      <w:sz w:val="22"/>
      <w:szCs w:val="20"/>
      <w:lang w:eastAsia="en-AU"/>
      <w14:ligatures w14:val="none"/>
    </w:rPr>
  </w:style>
  <w:style w:type="paragraph" w:customStyle="1" w:styleId="Tablelistbullet">
    <w:name w:val="Table list bullet"/>
    <w:basedOn w:val="Tabletextleft"/>
    <w:qFormat/>
    <w:rsid w:val="001819E5"/>
    <w:pPr>
      <w:numPr>
        <w:numId w:val="23"/>
      </w:numPr>
    </w:pPr>
  </w:style>
  <w:style w:type="table" w:customStyle="1" w:styleId="DepartmentofHealthtable">
    <w:name w:val="Department of Health table"/>
    <w:basedOn w:val="TableNormal"/>
    <w:uiPriority w:val="99"/>
    <w:rsid w:val="001819E5"/>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listbullet2">
    <w:name w:val="Table list bullet 2"/>
    <w:basedOn w:val="ListBullet2"/>
    <w:link w:val="Tablelistbullet2Char"/>
    <w:qFormat/>
    <w:rsid w:val="001819E5"/>
  </w:style>
  <w:style w:type="character" w:customStyle="1" w:styleId="Tablelistbullet2Char">
    <w:name w:val="Table list bullet 2 Char"/>
    <w:basedOn w:val="DefaultParagraphFont"/>
    <w:link w:val="Tablelistbullet2"/>
    <w:rsid w:val="001819E5"/>
    <w:rPr>
      <w:rFonts w:ascii="Segoe UI" w:eastAsia="Times New Roman" w:hAnsi="Segoe UI" w:cs="Times New Roman"/>
      <w:color w:val="000000" w:themeColor="text1"/>
      <w:kern w:val="0"/>
      <w:sz w:val="20"/>
      <w14:ligatures w14:val="none"/>
    </w:rPr>
  </w:style>
  <w:style w:type="paragraph" w:styleId="ListNumber2">
    <w:name w:val="List Number 2"/>
    <w:basedOn w:val="Normal"/>
    <w:uiPriority w:val="99"/>
    <w:semiHidden/>
    <w:unhideWhenUsed/>
    <w:rsid w:val="001819E5"/>
    <w:pPr>
      <w:ind w:left="644" w:hanging="360"/>
      <w:contextualSpacing/>
    </w:pPr>
  </w:style>
  <w:style w:type="numbering" w:customStyle="1" w:styleId="CurrentList2">
    <w:name w:val="Current List2"/>
    <w:uiPriority w:val="99"/>
    <w:rsid w:val="001819E5"/>
    <w:pPr>
      <w:numPr>
        <w:numId w:val="20"/>
      </w:numPr>
    </w:pPr>
  </w:style>
  <w:style w:type="paragraph" w:styleId="CommentText">
    <w:name w:val="annotation text"/>
    <w:basedOn w:val="Normal"/>
    <w:link w:val="CommentTextChar"/>
    <w:uiPriority w:val="99"/>
    <w:unhideWhenUsed/>
    <w:rsid w:val="001819E5"/>
    <w:pPr>
      <w:spacing w:after="16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1819E5"/>
    <w:rPr>
      <w:rFonts w:ascii="Times New Roman" w:hAnsi="Times New Roman" w:cs="Times New Roman"/>
      <w:kern w:val="0"/>
      <w:sz w:val="20"/>
      <w:szCs w:val="20"/>
      <w14:ligatures w14:val="none"/>
    </w:rPr>
  </w:style>
  <w:style w:type="character" w:styleId="CommentReference">
    <w:name w:val="annotation reference"/>
    <w:basedOn w:val="DefaultParagraphFont"/>
    <w:unhideWhenUsed/>
    <w:rsid w:val="001819E5"/>
    <w:rPr>
      <w:sz w:val="16"/>
      <w:szCs w:val="16"/>
    </w:rPr>
  </w:style>
  <w:style w:type="character" w:styleId="Mention">
    <w:name w:val="Mention"/>
    <w:basedOn w:val="DefaultParagraphFont"/>
    <w:uiPriority w:val="99"/>
    <w:unhideWhenUsed/>
    <w:rsid w:val="001819E5"/>
    <w:rPr>
      <w:color w:val="2B579A"/>
      <w:shd w:val="clear" w:color="auto" w:fill="E1DFDD"/>
    </w:rPr>
  </w:style>
  <w:style w:type="table" w:styleId="GridTable4-Accent1">
    <w:name w:val="Grid Table 4 Accent 1"/>
    <w:basedOn w:val="TableNormal"/>
    <w:uiPriority w:val="49"/>
    <w:rsid w:val="001819E5"/>
    <w:rPr>
      <w:rFonts w:eastAsia="Times New Roman" w:cs="Times New Roman"/>
      <w:kern w:val="0"/>
      <w:sz w:val="20"/>
      <w:szCs w:val="20"/>
      <w:lang w:eastAsia="en-AU"/>
      <w14:ligatures w14:val="none"/>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FFFFFF"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paragraph" w:styleId="BodyText">
    <w:name w:val="Body Text"/>
    <w:basedOn w:val="Normal"/>
    <w:link w:val="BodyTextChar"/>
    <w:uiPriority w:val="1"/>
    <w:qFormat/>
    <w:rsid w:val="004D5B16"/>
    <w:pPr>
      <w:widowControl w:val="0"/>
      <w:spacing w:before="240" w:after="0" w:line="250" w:lineRule="auto"/>
      <w:ind w:right="726"/>
      <w:jc w:val="both"/>
    </w:pPr>
    <w:rPr>
      <w:rFonts w:eastAsia="Arial"/>
      <w:color w:val="231F20"/>
      <w:kern w:val="0"/>
      <w:lang w:val="en-US"/>
      <w14:ligatures w14:val="none"/>
    </w:rPr>
  </w:style>
  <w:style w:type="character" w:customStyle="1" w:styleId="BodyTextChar">
    <w:name w:val="Body Text Char"/>
    <w:basedOn w:val="DefaultParagraphFont"/>
    <w:link w:val="BodyText"/>
    <w:uiPriority w:val="1"/>
    <w:rsid w:val="004D5B16"/>
    <w:rPr>
      <w:rFonts w:ascii="Arial" w:eastAsia="Arial" w:hAnsi="Arial"/>
      <w:color w:val="231F20"/>
      <w:kern w:val="0"/>
      <w:lang w:val="en-US"/>
      <w14:ligatures w14:val="none"/>
    </w:rPr>
  </w:style>
  <w:style w:type="table" w:styleId="PlainTable2">
    <w:name w:val="Plain Table 2"/>
    <w:basedOn w:val="TableNormal"/>
    <w:uiPriority w:val="42"/>
    <w:rsid w:val="004D5B16"/>
    <w:rPr>
      <w:rFonts w:ascii="Times New Roman" w:hAnsi="Times New Roman" w:cs="Times New Roman"/>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text">
    <w:name w:val="Paragraph text"/>
    <w:basedOn w:val="Normal"/>
    <w:qFormat/>
    <w:rsid w:val="004D5B16"/>
    <w:pPr>
      <w:spacing w:after="60" w:line="240" w:lineRule="auto"/>
    </w:pPr>
    <w:rPr>
      <w:rFonts w:eastAsia="Times New Roman" w:cs="Times New Roman"/>
      <w:color w:val="000000" w:themeColor="text1"/>
      <w:kern w:val="0"/>
      <w:sz w:val="21"/>
      <w14:ligatures w14:val="none"/>
    </w:rPr>
  </w:style>
  <w:style w:type="paragraph" w:customStyle="1" w:styleId="Tableheadings">
    <w:name w:val="Table headings"/>
    <w:basedOn w:val="Normal"/>
    <w:qFormat/>
    <w:rsid w:val="00A7020B"/>
    <w:pPr>
      <w:spacing w:before="240" w:line="240" w:lineRule="auto"/>
      <w:jc w:val="both"/>
    </w:pPr>
    <w:rPr>
      <w:rFonts w:eastAsia="Calibri" w:cs="Times New Roman"/>
      <w:b/>
      <w:color w:val="025F5D"/>
      <w:kern w:val="0"/>
      <w:szCs w:val="22"/>
      <w14:ligatures w14:val="none"/>
    </w:rPr>
  </w:style>
  <w:style w:type="table" w:styleId="GridTable1Light">
    <w:name w:val="Grid Table 1 Light"/>
    <w:basedOn w:val="TableNormal"/>
    <w:uiPriority w:val="46"/>
    <w:rsid w:val="00A54B7B"/>
    <w:pPr>
      <w:widowControl w:val="0"/>
    </w:pPr>
    <w:rPr>
      <w:kern w:val="0"/>
      <w:sz w:val="22"/>
      <w:szCs w:val="22"/>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
    <w:name w:val="List Bullet"/>
    <w:basedOn w:val="Normal"/>
    <w:uiPriority w:val="99"/>
    <w:unhideWhenUsed/>
    <w:rsid w:val="0080355B"/>
    <w:pPr>
      <w:numPr>
        <w:numId w:val="3"/>
      </w:numPr>
      <w:ind w:left="714" w:hanging="357"/>
      <w:contextualSpacing/>
    </w:pPr>
  </w:style>
  <w:style w:type="character" w:styleId="FootnoteReference">
    <w:name w:val="footnote reference"/>
    <w:basedOn w:val="DefaultParagraphFont"/>
    <w:uiPriority w:val="99"/>
    <w:unhideWhenUsed/>
    <w:rsid w:val="0041406C"/>
    <w:rPr>
      <w:vertAlign w:val="superscript"/>
    </w:rPr>
  </w:style>
  <w:style w:type="paragraph" w:styleId="FootnoteText">
    <w:name w:val="footnote text"/>
    <w:basedOn w:val="Normal"/>
    <w:link w:val="FootnoteTextChar"/>
    <w:uiPriority w:val="99"/>
    <w:rsid w:val="00D16BA6"/>
    <w:pPr>
      <w:spacing w:before="0" w:after="0" w:line="240" w:lineRule="auto"/>
    </w:pPr>
    <w:rPr>
      <w:rFonts w:cs="Times New Roman"/>
      <w:kern w:val="0"/>
      <w:sz w:val="20"/>
      <w:szCs w:val="20"/>
      <w14:ligatures w14:val="none"/>
    </w:rPr>
  </w:style>
  <w:style w:type="character" w:customStyle="1" w:styleId="FootnoteTextChar">
    <w:name w:val="Footnote Text Char"/>
    <w:basedOn w:val="DefaultParagraphFont"/>
    <w:link w:val="FootnoteText"/>
    <w:uiPriority w:val="99"/>
    <w:rsid w:val="00D16BA6"/>
    <w:rPr>
      <w:rFonts w:ascii="Segoe UI" w:hAnsi="Segoe UI" w:cs="Times New Roman"/>
      <w:kern w:val="0"/>
      <w:sz w:val="20"/>
      <w:szCs w:val="20"/>
      <w14:ligatures w14:val="none"/>
    </w:rPr>
  </w:style>
  <w:style w:type="character" w:customStyle="1" w:styleId="normaltextrun">
    <w:name w:val="normaltextrun"/>
    <w:basedOn w:val="DefaultParagraphFont"/>
    <w:rsid w:val="0041406C"/>
  </w:style>
  <w:style w:type="character" w:styleId="FollowedHyperlink">
    <w:name w:val="FollowedHyperlink"/>
    <w:basedOn w:val="DefaultParagraphFont"/>
    <w:uiPriority w:val="99"/>
    <w:semiHidden/>
    <w:unhideWhenUsed/>
    <w:rsid w:val="0041406C"/>
    <w:rPr>
      <w:color w:val="6D6D70" w:themeColor="followedHyperlink"/>
      <w:u w:val="single"/>
    </w:rPr>
  </w:style>
  <w:style w:type="table" w:customStyle="1" w:styleId="TableGrid1">
    <w:name w:val="Table Grid1"/>
    <w:basedOn w:val="TableNormal"/>
    <w:next w:val="TableGrid"/>
    <w:uiPriority w:val="39"/>
    <w:rsid w:val="00AB0889"/>
    <w:pPr>
      <w:spacing w:before="40" w:after="40"/>
    </w:pPr>
    <w:rPr>
      <w:rFonts w:eastAsia="Times New Roman" w:cs="Times New Roman"/>
      <w:kern w:val="0"/>
      <w:sz w:val="20"/>
      <w:szCs w:val="20"/>
      <w:lang w:eastAsia="en-AU"/>
      <w14:ligatures w14:val="none"/>
    </w:rPr>
    <w:tblPr>
      <w:tblStyleRowBandSize w:val="1"/>
      <w:tblBorders>
        <w:top w:val="single" w:sz="6" w:space="0" w:color="00DCA1"/>
        <w:bottom w:val="single" w:sz="6" w:space="0" w:color="00DCA1"/>
        <w:insideH w:val="single" w:sz="6" w:space="0" w:color="00DCA1"/>
      </w:tblBorders>
    </w:tblPr>
    <w:tcPr>
      <w:tcMar>
        <w:top w:w="57" w:type="dxa"/>
        <w:left w:w="57" w:type="dxa"/>
        <w:bottom w:w="57" w:type="dxa"/>
        <w:right w:w="57" w:type="dxa"/>
      </w:tcMar>
      <w:vAlign w:val="center"/>
    </w:tcPr>
    <w:tblStylePr w:type="firstRow">
      <w:tblPr/>
      <w:tcPr>
        <w:shd w:val="clear" w:color="auto" w:fill="00DCA1"/>
        <w:vAlign w:val="center"/>
      </w:tcPr>
    </w:tblStylePr>
    <w:tblStylePr w:type="lastRow">
      <w:rPr>
        <w:rFonts w:ascii="Arial" w:hAnsi="Arial"/>
        <w:b/>
        <w:sz w:val="20"/>
      </w:rPr>
    </w:tblStylePr>
    <w:tblStylePr w:type="band1Horz">
      <w:tblPr/>
      <w:tcPr>
        <w:tcBorders>
          <w:top w:val="single" w:sz="4" w:space="0" w:color="00DCA1"/>
          <w:left w:val="nil"/>
          <w:bottom w:val="single" w:sz="4" w:space="0" w:color="00DCA1"/>
          <w:right w:val="nil"/>
          <w:insideH w:val="nil"/>
          <w:insideV w:val="nil"/>
          <w:tl2br w:val="nil"/>
          <w:tr2bl w:val="nil"/>
        </w:tcBorders>
      </w:tcPr>
    </w:tblStylePr>
  </w:style>
  <w:style w:type="paragraph" w:customStyle="1" w:styleId="EndNoteBibliographyTitle">
    <w:name w:val="EndNote Bibliography Title"/>
    <w:basedOn w:val="Normal"/>
    <w:link w:val="EndNoteBibliographyTitleChar"/>
    <w:rsid w:val="00004883"/>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004883"/>
    <w:rPr>
      <w:rFonts w:ascii="Arial" w:hAnsi="Arial" w:cs="Arial"/>
      <w:noProof/>
      <w:lang w:val="en-US"/>
    </w:rPr>
  </w:style>
  <w:style w:type="paragraph" w:customStyle="1" w:styleId="EndNoteBibliography">
    <w:name w:val="EndNote Bibliography"/>
    <w:basedOn w:val="Normal"/>
    <w:link w:val="EndNoteBibliographyChar"/>
    <w:rsid w:val="00FB0BCA"/>
    <w:pPr>
      <w:spacing w:after="0" w:line="240" w:lineRule="auto"/>
      <w:ind w:left="720" w:hanging="720"/>
    </w:pPr>
    <w:rPr>
      <w:rFonts w:cs="Arial"/>
      <w:noProof/>
      <w:lang w:val="en-US"/>
    </w:rPr>
  </w:style>
  <w:style w:type="character" w:customStyle="1" w:styleId="EndNoteBibliographyChar">
    <w:name w:val="EndNote Bibliography Char"/>
    <w:basedOn w:val="DefaultParagraphFont"/>
    <w:link w:val="EndNoteBibliography"/>
    <w:rsid w:val="00FB0BCA"/>
    <w:rPr>
      <w:rFonts w:ascii="Segoe UI" w:hAnsi="Segoe UI" w:cs="Arial"/>
      <w:noProof/>
      <w:lang w:val="en-US"/>
    </w:rPr>
  </w:style>
  <w:style w:type="paragraph" w:styleId="CommentSubject">
    <w:name w:val="annotation subject"/>
    <w:basedOn w:val="CommentText"/>
    <w:next w:val="CommentText"/>
    <w:link w:val="CommentSubjectChar"/>
    <w:uiPriority w:val="99"/>
    <w:semiHidden/>
    <w:unhideWhenUsed/>
    <w:rsid w:val="004717F7"/>
    <w:pPr>
      <w:spacing w:after="120"/>
    </w:pPr>
    <w:rPr>
      <w:rFonts w:ascii="Arial" w:hAnsi="Arial"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717F7"/>
    <w:rPr>
      <w:rFonts w:ascii="Arial" w:hAnsi="Arial" w:cs="Times New Roman"/>
      <w:b/>
      <w:bCs/>
      <w:kern w:val="0"/>
      <w:sz w:val="20"/>
      <w:szCs w:val="20"/>
      <w14:ligatures w14:val="none"/>
    </w:rPr>
  </w:style>
  <w:style w:type="paragraph" w:customStyle="1" w:styleId="TableParagraph">
    <w:name w:val="Table Paragraph"/>
    <w:basedOn w:val="Normal"/>
    <w:uiPriority w:val="1"/>
    <w:qFormat/>
    <w:rsid w:val="00CC7957"/>
    <w:pPr>
      <w:widowControl w:val="0"/>
      <w:autoSpaceDE w:val="0"/>
      <w:autoSpaceDN w:val="0"/>
      <w:spacing w:before="0" w:after="0" w:line="240" w:lineRule="auto"/>
    </w:pPr>
    <w:rPr>
      <w:rFonts w:ascii="Calibri" w:eastAsia="Calibri" w:hAnsi="Calibri" w:cs="Calibri"/>
      <w:kern w:val="0"/>
      <w:sz w:val="22"/>
      <w:szCs w:val="22"/>
      <w:lang w:val="en-US"/>
      <w14:ligatures w14:val="none"/>
    </w:rPr>
  </w:style>
  <w:style w:type="paragraph" w:styleId="Revision">
    <w:name w:val="Revision"/>
    <w:hidden/>
    <w:uiPriority w:val="99"/>
    <w:semiHidden/>
    <w:rsid w:val="008A378E"/>
    <w:rPr>
      <w:rFonts w:ascii="Arial" w:hAnsi="Arial"/>
    </w:rPr>
  </w:style>
  <w:style w:type="paragraph" w:customStyle="1" w:styleId="Default">
    <w:name w:val="Default"/>
    <w:rsid w:val="00581459"/>
    <w:pPr>
      <w:autoSpaceDE w:val="0"/>
      <w:autoSpaceDN w:val="0"/>
      <w:adjustRightInd w:val="0"/>
    </w:pPr>
    <w:rPr>
      <w:rFonts w:ascii="Times New Roman" w:hAnsi="Times New Roman" w:cs="Times New Roman"/>
      <w:color w:val="000000"/>
      <w:kern w:val="0"/>
    </w:rPr>
  </w:style>
  <w:style w:type="paragraph" w:customStyle="1" w:styleId="Boxbullet">
    <w:name w:val="Box bullet"/>
    <w:basedOn w:val="Normal"/>
    <w:qFormat/>
    <w:rsid w:val="001819E5"/>
    <w:pPr>
      <w:keepNext/>
      <w:keepLines/>
      <w:numPr>
        <w:numId w:val="14"/>
      </w:numPr>
      <w:pBdr>
        <w:top w:val="single" w:sz="8" w:space="1" w:color="025F5D"/>
        <w:left w:val="single" w:sz="8" w:space="4" w:color="025F5D"/>
        <w:bottom w:val="single" w:sz="8" w:space="1" w:color="025F5D"/>
        <w:right w:val="single" w:sz="8" w:space="4" w:color="025F5D"/>
      </w:pBdr>
      <w:spacing w:before="240" w:after="0"/>
      <w:outlineLvl w:val="2"/>
    </w:pPr>
    <w:rPr>
      <w:rFonts w:eastAsia="Times New Roman" w:cs="Times New Roman"/>
      <w:color w:val="025F5D"/>
      <w:szCs w:val="20"/>
    </w:rPr>
  </w:style>
  <w:style w:type="paragraph" w:customStyle="1" w:styleId="Boxemeraldbullet">
    <w:name w:val="Box emerald bullet"/>
    <w:basedOn w:val="Normal"/>
    <w:rsid w:val="001819E5"/>
    <w:pPr>
      <w:pBdr>
        <w:top w:val="single" w:sz="8" w:space="1" w:color="033636" w:themeColor="text2"/>
        <w:left w:val="single" w:sz="8" w:space="4" w:color="033636" w:themeColor="text2"/>
        <w:bottom w:val="single" w:sz="8" w:space="1" w:color="033636" w:themeColor="text2"/>
        <w:right w:val="single" w:sz="8" w:space="4" w:color="033636" w:themeColor="text2"/>
      </w:pBdr>
      <w:ind w:left="720"/>
      <w:contextualSpacing/>
    </w:pPr>
    <w:rPr>
      <w:rFonts w:eastAsia="Times New Roman" w:cs="Times New Roman"/>
      <w:szCs w:val="20"/>
    </w:rPr>
  </w:style>
  <w:style w:type="paragraph" w:customStyle="1" w:styleId="Boxgreenbullet">
    <w:name w:val="Box green bullet"/>
    <w:basedOn w:val="Normal"/>
    <w:qFormat/>
    <w:rsid w:val="0022612A"/>
    <w:pPr>
      <w:numPr>
        <w:numId w:val="28"/>
      </w:numPr>
      <w:pBdr>
        <w:top w:val="single" w:sz="12" w:space="4" w:color="025F5D"/>
        <w:left w:val="single" w:sz="12" w:space="4" w:color="025F5D"/>
        <w:bottom w:val="single" w:sz="12" w:space="5" w:color="025F5D"/>
        <w:right w:val="single" w:sz="12" w:space="4" w:color="025F5D"/>
      </w:pBdr>
      <w:spacing w:after="240"/>
      <w:contextualSpacing/>
    </w:pPr>
  </w:style>
  <w:style w:type="paragraph" w:customStyle="1" w:styleId="Boxemeraldbullet2">
    <w:name w:val="Box emerald bullet 2"/>
    <w:basedOn w:val="Boxgreenbullet"/>
    <w:qFormat/>
    <w:rsid w:val="001819E5"/>
    <w:pPr>
      <w:pBdr>
        <w:top w:val="single" w:sz="8" w:space="1" w:color="025F5D"/>
        <w:left w:val="single" w:sz="8" w:space="4" w:color="025F5D"/>
        <w:bottom w:val="single" w:sz="8" w:space="1" w:color="025F5D"/>
        <w:right w:val="single" w:sz="8" w:space="4" w:color="025F5D"/>
      </w:pBdr>
    </w:pPr>
  </w:style>
  <w:style w:type="paragraph" w:customStyle="1" w:styleId="Boxgreenheading">
    <w:name w:val="Box green heading"/>
    <w:basedOn w:val="Normal"/>
    <w:qFormat/>
    <w:rsid w:val="00DD205F"/>
    <w:pPr>
      <w:keepNext/>
      <w:keepLines/>
      <w:pBdr>
        <w:top w:val="single" w:sz="12" w:space="4" w:color="025F5D"/>
        <w:left w:val="single" w:sz="12" w:space="4" w:color="025F5D"/>
        <w:bottom w:val="single" w:sz="12" w:space="5" w:color="025F5D"/>
        <w:right w:val="single" w:sz="12" w:space="4" w:color="025F5D"/>
      </w:pBdr>
      <w:spacing w:before="360"/>
      <w:outlineLvl w:val="2"/>
    </w:pPr>
    <w:rPr>
      <w:rFonts w:ascii="Segoe UI Semibold" w:eastAsiaTheme="majorEastAsia" w:hAnsi="Segoe UI Semibold" w:cstheme="majorBidi"/>
      <w:bCs/>
      <w:color w:val="025F5D"/>
      <w:sz w:val="36"/>
      <w:szCs w:val="40"/>
    </w:rPr>
  </w:style>
  <w:style w:type="paragraph" w:customStyle="1" w:styleId="Boxgreentext">
    <w:name w:val="Box green text"/>
    <w:basedOn w:val="Normal"/>
    <w:qFormat/>
    <w:rsid w:val="0022612A"/>
    <w:pPr>
      <w:pBdr>
        <w:top w:val="single" w:sz="12" w:space="4" w:color="025F5D"/>
        <w:left w:val="single" w:sz="12" w:space="4" w:color="025F5D"/>
        <w:bottom w:val="single" w:sz="12" w:space="5" w:color="025F5D"/>
        <w:right w:val="single" w:sz="12" w:space="4" w:color="025F5D"/>
      </w:pBdr>
      <w:spacing w:after="240"/>
    </w:pPr>
  </w:style>
  <w:style w:type="paragraph" w:customStyle="1" w:styleId="Boxpurplebullet">
    <w:name w:val="Box purple bullet"/>
    <w:basedOn w:val="Normal"/>
    <w:qFormat/>
    <w:rsid w:val="0022612A"/>
    <w:pPr>
      <w:numPr>
        <w:numId w:val="29"/>
      </w:numPr>
      <w:pBdr>
        <w:top w:val="single" w:sz="12" w:space="4" w:color="511D81"/>
        <w:left w:val="single" w:sz="12" w:space="4" w:color="511D81"/>
        <w:bottom w:val="single" w:sz="12" w:space="5" w:color="511D81"/>
        <w:right w:val="single" w:sz="12" w:space="4" w:color="511D81"/>
      </w:pBdr>
      <w:spacing w:after="240"/>
      <w:contextualSpacing/>
    </w:pPr>
  </w:style>
  <w:style w:type="paragraph" w:customStyle="1" w:styleId="Boxpinkbullet">
    <w:name w:val="Box pink bullet"/>
    <w:basedOn w:val="Boxpurplebullet"/>
    <w:qFormat/>
    <w:rsid w:val="001819E5"/>
    <w:pPr>
      <w:pBdr>
        <w:top w:val="single" w:sz="8" w:space="1" w:color="F78DE3"/>
        <w:left w:val="single" w:sz="8" w:space="4" w:color="F78DE3"/>
        <w:bottom w:val="single" w:sz="8" w:space="1" w:color="F78DE3"/>
        <w:right w:val="single" w:sz="8" w:space="4" w:color="F78DE3"/>
      </w:pBdr>
    </w:pPr>
  </w:style>
  <w:style w:type="paragraph" w:customStyle="1" w:styleId="Boxpinkheading">
    <w:name w:val="Box pink heading"/>
    <w:basedOn w:val="Boxgreenheading"/>
    <w:qFormat/>
    <w:rsid w:val="001819E5"/>
    <w:pPr>
      <w:pBdr>
        <w:top w:val="single" w:sz="8" w:space="1" w:color="F78DE3"/>
        <w:left w:val="single" w:sz="8" w:space="4" w:color="F78DE3"/>
        <w:bottom w:val="single" w:sz="8" w:space="1" w:color="F78DE3"/>
        <w:right w:val="single" w:sz="8" w:space="4" w:color="F78DE3"/>
      </w:pBdr>
    </w:pPr>
    <w:rPr>
      <w:color w:val="8C0A73"/>
    </w:rPr>
  </w:style>
  <w:style w:type="paragraph" w:customStyle="1" w:styleId="Boxpinktext">
    <w:name w:val="Box pink text"/>
    <w:basedOn w:val="BoxtextEmerald"/>
    <w:qFormat/>
    <w:rsid w:val="001819E5"/>
    <w:pPr>
      <w:pBdr>
        <w:top w:val="single" w:sz="8" w:space="1" w:color="F78DE3"/>
        <w:left w:val="single" w:sz="8" w:space="4" w:color="F78DE3"/>
        <w:bottom w:val="single" w:sz="8" w:space="1" w:color="F78DE3"/>
        <w:right w:val="single" w:sz="8" w:space="4" w:color="F78DE3"/>
      </w:pBdr>
    </w:pPr>
  </w:style>
  <w:style w:type="paragraph" w:customStyle="1" w:styleId="Boxpurpleheading">
    <w:name w:val="Box purple heading"/>
    <w:basedOn w:val="Normal"/>
    <w:qFormat/>
    <w:rsid w:val="0022612A"/>
    <w:pPr>
      <w:keepNext/>
      <w:keepLines/>
      <w:pBdr>
        <w:top w:val="single" w:sz="12" w:space="4" w:color="511D81"/>
        <w:left w:val="single" w:sz="12" w:space="4" w:color="511D81"/>
        <w:bottom w:val="single" w:sz="12" w:space="5" w:color="511D81"/>
        <w:right w:val="single" w:sz="12" w:space="4" w:color="511D81"/>
      </w:pBdr>
      <w:spacing w:before="360"/>
      <w:outlineLvl w:val="2"/>
    </w:pPr>
    <w:rPr>
      <w:rFonts w:ascii="Segoe UI Semibold" w:eastAsiaTheme="majorEastAsia" w:hAnsi="Segoe UI Semibold" w:cstheme="majorBidi"/>
      <w:bCs/>
      <w:color w:val="511D81"/>
      <w:sz w:val="36"/>
      <w:szCs w:val="40"/>
    </w:rPr>
  </w:style>
  <w:style w:type="paragraph" w:customStyle="1" w:styleId="Boxpurpletext">
    <w:name w:val="Box purple text"/>
    <w:basedOn w:val="Normal"/>
    <w:qFormat/>
    <w:rsid w:val="0022612A"/>
    <w:pPr>
      <w:pBdr>
        <w:top w:val="single" w:sz="12" w:space="4" w:color="511D81"/>
        <w:left w:val="single" w:sz="12" w:space="4" w:color="511D81"/>
        <w:bottom w:val="single" w:sz="12" w:space="5" w:color="511D81"/>
        <w:right w:val="single" w:sz="12" w:space="4" w:color="511D81"/>
      </w:pBdr>
      <w:spacing w:after="240"/>
    </w:pPr>
  </w:style>
  <w:style w:type="paragraph" w:customStyle="1" w:styleId="Boxreversedheading">
    <w:name w:val="Box reversed heading"/>
    <w:basedOn w:val="BoxHeadingEmerald"/>
    <w:qFormat/>
    <w:rsid w:val="001819E5"/>
    <w:pPr>
      <w:shd w:val="clear" w:color="auto" w:fill="025F5D"/>
    </w:pPr>
    <w:rPr>
      <w:color w:val="FFFFFF" w:themeColor="background1"/>
    </w:rPr>
  </w:style>
  <w:style w:type="paragraph" w:customStyle="1" w:styleId="Boxreversedtext">
    <w:name w:val="Box reversed text"/>
    <w:basedOn w:val="BoxtextEmerald"/>
    <w:qFormat/>
    <w:rsid w:val="001819E5"/>
    <w:pPr>
      <w:shd w:val="clear" w:color="auto" w:fill="025F5D"/>
      <w:spacing w:after="240"/>
    </w:pPr>
    <w:rPr>
      <w:color w:val="FFFFFF" w:themeColor="background1"/>
    </w:rPr>
  </w:style>
  <w:style w:type="numbering" w:customStyle="1" w:styleId="Bulletlist">
    <w:name w:val="Bullet list"/>
    <w:basedOn w:val="NoList"/>
    <w:rsid w:val="001819E5"/>
    <w:pPr>
      <w:numPr>
        <w:numId w:val="17"/>
      </w:numPr>
    </w:pPr>
  </w:style>
  <w:style w:type="paragraph" w:styleId="Caption">
    <w:name w:val="caption"/>
    <w:basedOn w:val="Normal"/>
    <w:next w:val="Normal"/>
    <w:uiPriority w:val="35"/>
    <w:unhideWhenUsed/>
    <w:qFormat/>
    <w:rsid w:val="001819E5"/>
    <w:pPr>
      <w:spacing w:after="240"/>
    </w:pPr>
    <w:rPr>
      <w:iCs/>
      <w:sz w:val="20"/>
      <w:szCs w:val="18"/>
    </w:rPr>
  </w:style>
  <w:style w:type="paragraph" w:customStyle="1" w:styleId="Copyrightbulletlist">
    <w:name w:val="Copyright bullet list"/>
    <w:basedOn w:val="Normal"/>
    <w:qFormat/>
    <w:rsid w:val="00F42D92"/>
    <w:pPr>
      <w:numPr>
        <w:numId w:val="18"/>
      </w:numPr>
      <w:ind w:left="714" w:hanging="357"/>
    </w:pPr>
    <w:rPr>
      <w:sz w:val="18"/>
    </w:rPr>
  </w:style>
  <w:style w:type="paragraph" w:customStyle="1" w:styleId="Copyrighttext">
    <w:name w:val="Copyright text"/>
    <w:qFormat/>
    <w:rsid w:val="001819E5"/>
    <w:pPr>
      <w:spacing w:before="120" w:after="120" w:line="276" w:lineRule="auto"/>
    </w:pPr>
    <w:rPr>
      <w:rFonts w:ascii="Segoe UI" w:eastAsia="Times New Roman" w:hAnsi="Segoe UI" w:cs="Arial"/>
      <w:color w:val="000000"/>
      <w:kern w:val="0"/>
      <w:sz w:val="18"/>
      <w:szCs w:val="18"/>
      <w:lang w:eastAsia="en-GB"/>
      <w14:ligatures w14:val="none"/>
    </w:rPr>
  </w:style>
  <w:style w:type="paragraph" w:customStyle="1" w:styleId="Figureheading">
    <w:name w:val="Figure heading"/>
    <w:basedOn w:val="Normal"/>
    <w:qFormat/>
    <w:rsid w:val="001819E5"/>
    <w:pPr>
      <w:spacing w:before="240"/>
    </w:pPr>
    <w:rPr>
      <w:b/>
      <w:noProof/>
      <w:color w:val="025F5D"/>
    </w:rPr>
  </w:style>
  <w:style w:type="character" w:customStyle="1" w:styleId="StyleBold">
    <w:name w:val="Style Bold"/>
    <w:basedOn w:val="DefaultParagraphFont"/>
    <w:rsid w:val="001819E5"/>
    <w:rPr>
      <w:rFonts w:ascii="Segoe UI Semibold" w:hAnsi="Segoe UI Semibold"/>
      <w:b/>
      <w:bCs/>
    </w:rPr>
  </w:style>
  <w:style w:type="paragraph" w:customStyle="1" w:styleId="StyleListParagraph">
    <w:name w:val="Style List Paragraph"/>
    <w:basedOn w:val="Normal"/>
    <w:rsid w:val="001819E5"/>
    <w:pPr>
      <w:pBdr>
        <w:top w:val="single" w:sz="8" w:space="1" w:color="033636" w:themeColor="text2"/>
        <w:left w:val="single" w:sz="8" w:space="4" w:color="033636" w:themeColor="text2"/>
        <w:bottom w:val="single" w:sz="8" w:space="1" w:color="033636" w:themeColor="text2"/>
        <w:right w:val="single" w:sz="8" w:space="4" w:color="033636" w:themeColor="text2"/>
      </w:pBdr>
      <w:ind w:left="720"/>
      <w:contextualSpacing/>
    </w:pPr>
    <w:rPr>
      <w:rFonts w:eastAsia="Times New Roman" w:cs="Times New Roman"/>
      <w:szCs w:val="20"/>
    </w:rPr>
  </w:style>
  <w:style w:type="paragraph" w:customStyle="1" w:styleId="StyleListParagraphBulletpointBulletsCVtextDotptF5ListPa">
    <w:name w:val="Style List ParagraphBullet pointBulletsCV textDot ptF5 List Pa..."/>
    <w:basedOn w:val="Normal"/>
    <w:rsid w:val="001819E5"/>
    <w:pPr>
      <w:ind w:left="720"/>
      <w:contextualSpacing/>
    </w:pPr>
    <w:rPr>
      <w:color w:val="184174" w:themeColor="hyperlink"/>
      <w:u w:val="single"/>
    </w:rPr>
  </w:style>
  <w:style w:type="paragraph" w:customStyle="1" w:styleId="Tableheading">
    <w:name w:val="Table heading"/>
    <w:basedOn w:val="Normal"/>
    <w:qFormat/>
    <w:rsid w:val="001819E5"/>
    <w:pPr>
      <w:spacing w:before="240"/>
    </w:pPr>
    <w:rPr>
      <w:b/>
      <w:bCs/>
      <w:color w:val="025F5D"/>
    </w:rPr>
  </w:style>
  <w:style w:type="paragraph" w:styleId="ListNumber">
    <w:name w:val="List Number"/>
    <w:basedOn w:val="Normal"/>
    <w:uiPriority w:val="99"/>
    <w:unhideWhenUsed/>
    <w:rsid w:val="004874F3"/>
    <w:pPr>
      <w:numPr>
        <w:numId w:val="25"/>
      </w:numPr>
      <w:contextualSpacing/>
    </w:pPr>
  </w:style>
  <w:style w:type="paragraph" w:customStyle="1" w:styleId="StyleTabletextleft10ptBold">
    <w:name w:val="Style Table text left + 10 pt Bold"/>
    <w:basedOn w:val="Tabletextleft"/>
    <w:rsid w:val="0092014B"/>
    <w:rPr>
      <w:b/>
    </w:rPr>
  </w:style>
  <w:style w:type="paragraph" w:customStyle="1" w:styleId="Boxreversedbulletgreen">
    <w:name w:val="Box reversed bullet green"/>
    <w:basedOn w:val="Normal"/>
    <w:qFormat/>
    <w:rsid w:val="0022612A"/>
    <w:pPr>
      <w:numPr>
        <w:numId w:val="31"/>
      </w:numPr>
      <w:pBdr>
        <w:top w:val="single" w:sz="12" w:space="4" w:color="025F5D"/>
        <w:left w:val="single" w:sz="12" w:space="4" w:color="025F5D"/>
        <w:bottom w:val="single" w:sz="12" w:space="5" w:color="025F5D"/>
        <w:right w:val="single" w:sz="12" w:space="4" w:color="025F5D"/>
      </w:pBdr>
      <w:shd w:val="clear" w:color="auto" w:fill="025F5D"/>
      <w:spacing w:after="240"/>
      <w:contextualSpacing/>
    </w:pPr>
    <w:rPr>
      <w:color w:val="FFFFFF" w:themeColor="background1"/>
    </w:rPr>
  </w:style>
  <w:style w:type="paragraph" w:customStyle="1" w:styleId="Boxreversedbulletpurple">
    <w:name w:val="Box reversed bullet purple"/>
    <w:basedOn w:val="Boxreversedbulletgreen"/>
    <w:qFormat/>
    <w:rsid w:val="0022612A"/>
    <w:pPr>
      <w:pBdr>
        <w:top w:val="single" w:sz="12" w:space="4" w:color="511D81"/>
        <w:left w:val="single" w:sz="12" w:space="4" w:color="511D81"/>
        <w:bottom w:val="single" w:sz="12" w:space="5" w:color="511D81"/>
        <w:right w:val="single" w:sz="12" w:space="4" w:color="511D81"/>
      </w:pBdr>
      <w:shd w:val="clear" w:color="auto" w:fill="511D81"/>
      <w:ind w:left="357" w:hanging="357"/>
    </w:pPr>
  </w:style>
  <w:style w:type="paragraph" w:customStyle="1" w:styleId="Boxreversedheadinggreen">
    <w:name w:val="Box reversed heading green"/>
    <w:basedOn w:val="Normal"/>
    <w:qFormat/>
    <w:rsid w:val="0022612A"/>
    <w:pPr>
      <w:keepNext/>
      <w:keepLines/>
      <w:pBdr>
        <w:top w:val="single" w:sz="12" w:space="4" w:color="025F5D"/>
        <w:left w:val="single" w:sz="12" w:space="4" w:color="025F5D"/>
        <w:bottom w:val="single" w:sz="12" w:space="5" w:color="025F5D"/>
        <w:right w:val="single" w:sz="12" w:space="4" w:color="025F5D"/>
      </w:pBdr>
      <w:shd w:val="clear" w:color="auto" w:fill="025F5D"/>
      <w:spacing w:before="360"/>
      <w:outlineLvl w:val="2"/>
    </w:pPr>
    <w:rPr>
      <w:rFonts w:ascii="Segoe UI Semibold" w:eastAsiaTheme="majorEastAsia" w:hAnsi="Segoe UI Semibold" w:cstheme="majorBidi"/>
      <w:bCs/>
      <w:color w:val="FFFFFF" w:themeColor="background1"/>
      <w:sz w:val="36"/>
      <w:szCs w:val="40"/>
    </w:rPr>
  </w:style>
  <w:style w:type="paragraph" w:customStyle="1" w:styleId="Boxreversedheadingpurple">
    <w:name w:val="Box reversed heading purple"/>
    <w:basedOn w:val="Boxreversedheadinggreen"/>
    <w:qFormat/>
    <w:rsid w:val="0022612A"/>
    <w:pPr>
      <w:pBdr>
        <w:top w:val="single" w:sz="12" w:space="4" w:color="511D81"/>
        <w:left w:val="single" w:sz="12" w:space="4" w:color="511D81"/>
        <w:bottom w:val="single" w:sz="12" w:space="5" w:color="511D81"/>
        <w:right w:val="single" w:sz="12" w:space="4" w:color="511D81"/>
      </w:pBdr>
      <w:shd w:val="clear" w:color="auto" w:fill="511D81"/>
    </w:pPr>
  </w:style>
  <w:style w:type="paragraph" w:customStyle="1" w:styleId="Boxreversedtextgreen">
    <w:name w:val="Box reversed text green"/>
    <w:basedOn w:val="Normal"/>
    <w:qFormat/>
    <w:rsid w:val="0022612A"/>
    <w:pPr>
      <w:pBdr>
        <w:top w:val="single" w:sz="12" w:space="4" w:color="025F5D"/>
        <w:left w:val="single" w:sz="12" w:space="4" w:color="025F5D"/>
        <w:bottom w:val="single" w:sz="12" w:space="5" w:color="025F5D"/>
        <w:right w:val="single" w:sz="12" w:space="4" w:color="025F5D"/>
      </w:pBdr>
      <w:shd w:val="clear" w:color="auto" w:fill="025F5D"/>
      <w:spacing w:after="240"/>
    </w:pPr>
    <w:rPr>
      <w:color w:val="FFFFFF" w:themeColor="background1"/>
    </w:rPr>
  </w:style>
  <w:style w:type="paragraph" w:customStyle="1" w:styleId="Boxreversedtextpurple">
    <w:name w:val="Box reversed text purple"/>
    <w:basedOn w:val="Boxreversedtextgreen"/>
    <w:qFormat/>
    <w:rsid w:val="0022612A"/>
    <w:pPr>
      <w:pBdr>
        <w:top w:val="single" w:sz="12" w:space="4" w:color="511D81"/>
        <w:left w:val="single" w:sz="12" w:space="4" w:color="511D81"/>
        <w:bottom w:val="single" w:sz="12" w:space="5" w:color="511D81"/>
        <w:right w:val="single" w:sz="12" w:space="4" w:color="511D81"/>
      </w:pBdr>
      <w:shd w:val="clear" w:color="auto" w:fill="511D81"/>
    </w:pPr>
  </w:style>
  <w:style w:type="paragraph" w:customStyle="1" w:styleId="Figuretitle">
    <w:name w:val="Figure title"/>
    <w:basedOn w:val="Normal"/>
    <w:qFormat/>
    <w:rsid w:val="00DD205F"/>
    <w:pPr>
      <w:numPr>
        <w:numId w:val="32"/>
      </w:numPr>
      <w:spacing w:before="240"/>
    </w:pPr>
    <w:rPr>
      <w:rFonts w:ascii="Segoe UI Semibold" w:hAnsi="Segoe UI Semibold"/>
      <w:noProof/>
      <w:color w:val="025F5D"/>
      <w:sz w:val="20"/>
    </w:rPr>
  </w:style>
  <w:style w:type="paragraph" w:customStyle="1" w:styleId="Tabletitle">
    <w:name w:val="Table title"/>
    <w:basedOn w:val="Normal"/>
    <w:qFormat/>
    <w:rsid w:val="00DD205F"/>
    <w:pPr>
      <w:numPr>
        <w:numId w:val="33"/>
      </w:numPr>
      <w:spacing w:before="240"/>
    </w:pPr>
    <w:rPr>
      <w:b/>
      <w:bCs/>
      <w:color w:val="025F5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03344">
      <w:bodyDiv w:val="1"/>
      <w:marLeft w:val="0"/>
      <w:marRight w:val="0"/>
      <w:marTop w:val="0"/>
      <w:marBottom w:val="0"/>
      <w:divBdr>
        <w:top w:val="none" w:sz="0" w:space="0" w:color="auto"/>
        <w:left w:val="none" w:sz="0" w:space="0" w:color="auto"/>
        <w:bottom w:val="none" w:sz="0" w:space="0" w:color="auto"/>
        <w:right w:val="none" w:sz="0" w:space="0" w:color="auto"/>
      </w:divBdr>
    </w:div>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 w:id="1972831419">
      <w:bodyDiv w:val="1"/>
      <w:marLeft w:val="0"/>
      <w:marRight w:val="0"/>
      <w:marTop w:val="0"/>
      <w:marBottom w:val="0"/>
      <w:divBdr>
        <w:top w:val="none" w:sz="0" w:space="0" w:color="auto"/>
        <w:left w:val="none" w:sz="0" w:space="0" w:color="auto"/>
        <w:bottom w:val="none" w:sz="0" w:space="0" w:color="auto"/>
        <w:right w:val="none" w:sz="0" w:space="0" w:color="auto"/>
      </w:divBdr>
    </w:div>
    <w:div w:id="201726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national-response-to-syphilis" TargetMode="External"/><Relationship Id="rId18" Type="http://schemas.openxmlformats.org/officeDocument/2006/relationships/hyperlink" Target="https://www.abs.gov.au/methodologies/causes-death-australia-methodology/2023" TargetMode="External"/><Relationship Id="rId26" Type="http://schemas.openxmlformats.org/officeDocument/2006/relationships/hyperlink" Target="https://www.aihw.gov.au/about-our-data/our-data-collections/national-perinatal-data-collection" TargetMode="External"/><Relationship Id="rId39" Type="http://schemas.openxmlformats.org/officeDocument/2006/relationships/header" Target="header4.xml"/><Relationship Id="rId21" Type="http://schemas.openxmlformats.org/officeDocument/2006/relationships/footer" Target="footer2.xml"/><Relationship Id="rId34" Type="http://schemas.openxmlformats.org/officeDocument/2006/relationships/hyperlink" Target="https://www.aihw.gov.au/reports-data/health-conditions-disability-deaths/burden-of-disease/overview" TargetMode="External"/><Relationship Id="rId42" Type="http://schemas.openxmlformats.org/officeDocument/2006/relationships/hyperlink" Target="https://www.legislation.gov.au/C2007A00174/latest/text"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ihw.gov.au/reports-data/population-groups/mothers-babies/overview" TargetMode="External"/><Relationship Id="rId29" Type="http://schemas.openxmlformats.org/officeDocument/2006/relationships/hyperlink" Target="https://www.abs.gov.au/statistics/standards/australian-statistical-geography-standard-asgs-edition-3/jul2021-jun2026/remoteness-structure" TargetMode="External"/><Relationship Id="rId11" Type="http://schemas.openxmlformats.org/officeDocument/2006/relationships/hyperlink" Target="mailto:comms@cdc.gov.au" TargetMode="External"/><Relationship Id="rId24" Type="http://schemas.openxmlformats.org/officeDocument/2006/relationships/hyperlink" Target="https://accessproject.org.au" TargetMode="External"/><Relationship Id="rId32" Type="http://schemas.openxmlformats.org/officeDocument/2006/relationships/hyperlink" Target="https://www.abs.gov.au/methodologies/causes-death-australia-methodology/2023" TargetMode="External"/><Relationship Id="rId37" Type="http://schemas.openxmlformats.org/officeDocument/2006/relationships/hyperlink" Target="https://coalitionofpeaks.org.au/wp-content/uploads/2020/07/FINAL-National-Agreement-on-Closing-the-Gap-1.pdf" TargetMode="External"/><Relationship Id="rId40" Type="http://schemas.openxmlformats.org/officeDocument/2006/relationships/header" Target="header5.xm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aihw.gov.au/about-our-data/our-data-collections/national-hospitals-data-collection" TargetMode="External"/><Relationship Id="rId23" Type="http://schemas.openxmlformats.org/officeDocument/2006/relationships/footer" Target="footer3.xml"/><Relationship Id="rId28" Type="http://schemas.openxmlformats.org/officeDocument/2006/relationships/hyperlink" Target="https://www.abs.gov.au/statistics/standards/australian-statistical-geography-standard-asgs-edition-3/jul2021-jun2026/main-structure-and-greater-capital-city-statistical-areas/statistical-area-level-3" TargetMode="External"/><Relationship Id="rId36" Type="http://schemas.openxmlformats.org/officeDocument/2006/relationships/header" Target="header3.xml"/><Relationship Id="rId4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abs.gov.au/" TargetMode="External"/><Relationship Id="rId44" Type="http://schemas.openxmlformats.org/officeDocument/2006/relationships/hyperlink" Target="https://accessproject.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u/resources/collections/cdna-surveillance-case-definitions" TargetMode="External"/><Relationship Id="rId22" Type="http://schemas.openxmlformats.org/officeDocument/2006/relationships/header" Target="header2.xml"/><Relationship Id="rId27" Type="http://schemas.openxmlformats.org/officeDocument/2006/relationships/hyperlink" Target="https://www.abs.gov.au/statistics/standards/australian-statistical-geography-standard-asgs-edition-3/jul2021-jun2026/remoteness-structure" TargetMode="External"/><Relationship Id="rId30" Type="http://schemas.openxmlformats.org/officeDocument/2006/relationships/hyperlink" Target="https://www.abs.gov.au/statistics/standards/australian-statistical-geography-standard-asgs-edition-3/jul2021-jun2026/indigenous-structure" TargetMode="External"/><Relationship Id="rId35" Type="http://schemas.openxmlformats.org/officeDocument/2006/relationships/hyperlink" Target="https://www.abs.gov.au/statistics/people/population/births-australia/latest-release" TargetMode="External"/><Relationship Id="rId43" Type="http://schemas.openxmlformats.org/officeDocument/2006/relationships/hyperlink" Target="https://www.health.gov.au/resources/publications/syphilis-cdna-national-guidelines-for-public-health-units?language=en"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dc.gov.au/resources/publications/national-syphilis-response-plan-2023-2030" TargetMode="External"/><Relationship Id="rId17" Type="http://schemas.openxmlformats.org/officeDocument/2006/relationships/hyperlink" Target="https://www.aihw.gov.au/reports-data/health-conditions-disability-deaths/burden-of-disease/overview" TargetMode="External"/><Relationship Id="rId25" Type="http://schemas.openxmlformats.org/officeDocument/2006/relationships/hyperlink" Target="https://www.aihw.gov.au/reports-data/population-groups/mothers-babies/overview" TargetMode="External"/><Relationship Id="rId33" Type="http://schemas.openxmlformats.org/officeDocument/2006/relationships/hyperlink" Target="https://www.aihw.gov.au/about-our-data/our-data-collections/national-hospitals-data-collection" TargetMode="External"/><Relationship Id="rId38" Type="http://schemas.openxmlformats.org/officeDocument/2006/relationships/hyperlink" Target="https://www.health.gov.au/resources/publications/national-aboriginal-and-torres-strait-islander-health-plan-2021-2031?language=en" TargetMode="External"/><Relationship Id="rId46" Type="http://schemas.openxmlformats.org/officeDocument/2006/relationships/footer" Target="footer5.xml"/><Relationship Id="rId20" Type="http://schemas.openxmlformats.org/officeDocument/2006/relationships/footer" Target="footer1.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C">
  <a:themeElements>
    <a:clrScheme name="CDC">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0"/>
      </a:accent6>
      <a:hlink>
        <a:srgbClr val="184174"/>
      </a:hlink>
      <a:folHlink>
        <a:srgbClr val="6D6D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C96BF79B263478F32DAA0597FB74D" ma:contentTypeVersion="21" ma:contentTypeDescription="Create a new document." ma:contentTypeScope="" ma:versionID="4df880610c0c0189043fa86f3589bc24">
  <xsd:schema xmlns:xsd="http://www.w3.org/2001/XMLSchema" xmlns:xs="http://www.w3.org/2001/XMLSchema" xmlns:p="http://schemas.microsoft.com/office/2006/metadata/properties" xmlns:ns2="719085c8-530d-4d40-b8b9-63d5f51fab06" xmlns:ns3="64d0b66a-745c-439f-bf76-03889c346bed" targetNamespace="http://schemas.microsoft.com/office/2006/metadata/properties" ma:root="true" ma:fieldsID="ab45a8cef752eb1d7f6840ccc76f5c69" ns2:_="" ns3:_="">
    <xsd:import namespace="719085c8-530d-4d40-b8b9-63d5f51fab06"/>
    <xsd:import namespace="64d0b66a-745c-439f-bf76-03889c346b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Order0"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085c8-530d-4d40-b8b9-63d5f51fab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ed5d9c-7db4-4a96-bdcf-870c4507bb78}" ma:internalName="TaxCatchAll" ma:showField="CatchAllData" ma:web="719085c8-530d-4d40-b8b9-63d5f51fab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d0b66a-745c-439f-bf76-03889c346b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0" ma:index="25" nillable="true" ma:displayName="Order" ma:format="Dropdown" ma:internalName="Order0">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d0b66a-745c-439f-bf76-03889c346bed">
      <Terms xmlns="http://schemas.microsoft.com/office/infopath/2007/PartnerControls"/>
    </lcf76f155ced4ddcb4097134ff3c332f>
    <TaxCatchAll xmlns="719085c8-530d-4d40-b8b9-63d5f51fab06"/>
    <Order0 xmlns="64d0b66a-745c-439f-bf76-03889c346b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DA91A-C435-4EB5-8E82-C6713DDCE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085c8-530d-4d40-b8b9-63d5f51fab06"/>
    <ds:schemaRef ds:uri="64d0b66a-745c-439f-bf76-03889c346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ABA88-CBE0-FC4A-8C00-4C64D752A964}">
  <ds:schemaRefs>
    <ds:schemaRef ds:uri="http://schemas.openxmlformats.org/officeDocument/2006/bibliography"/>
  </ds:schemaRefs>
</ds:datastoreItem>
</file>

<file path=customXml/itemProps3.xml><?xml version="1.0" encoding="utf-8"?>
<ds:datastoreItem xmlns:ds="http://schemas.openxmlformats.org/officeDocument/2006/customXml" ds:itemID="{5DBA868E-2592-455D-816C-475A3962B9A8}">
  <ds:schemaRefs>
    <ds:schemaRef ds:uri="http://schemas.microsoft.com/office/2006/metadata/properties"/>
    <ds:schemaRef ds:uri="http://schemas.microsoft.com/office/infopath/2007/PartnerControls"/>
    <ds:schemaRef ds:uri="64d0b66a-745c-439f-bf76-03889c346bed"/>
    <ds:schemaRef ds:uri="719085c8-530d-4d40-b8b9-63d5f51fab06"/>
  </ds:schemaRefs>
</ds:datastoreItem>
</file>

<file path=customXml/itemProps4.xml><?xml version="1.0" encoding="utf-8"?>
<ds:datastoreItem xmlns:ds="http://schemas.openxmlformats.org/officeDocument/2006/customXml" ds:itemID="{B82177AB-C943-4402-B68A-D71AF4654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50</Pages>
  <Words>11543</Words>
  <Characters>70649</Characters>
  <Application>Microsoft Office Word</Application>
  <DocSecurity>0</DocSecurity>
  <Lines>2523</Lines>
  <Paragraphs>1611</Paragraphs>
  <ScaleCrop>false</ScaleCrop>
  <HeadingPairs>
    <vt:vector size="2" baseType="variant">
      <vt:variant>
        <vt:lpstr>Title</vt:lpstr>
      </vt:variant>
      <vt:variant>
        <vt:i4>1</vt:i4>
      </vt:variant>
    </vt:vector>
  </HeadingPairs>
  <TitlesOfParts>
    <vt:vector size="1" baseType="lpstr">
      <vt:lpstr>National syphilis surveillance and monitoring plan 2025</vt:lpstr>
    </vt:vector>
  </TitlesOfParts>
  <Company/>
  <LinksUpToDate>false</LinksUpToDate>
  <CharactersWithSpaces>80581</CharactersWithSpaces>
  <SharedDoc>false</SharedDoc>
  <HLinks>
    <vt:vector size="300" baseType="variant">
      <vt:variant>
        <vt:i4>1572950</vt:i4>
      </vt:variant>
      <vt:variant>
        <vt:i4>290</vt:i4>
      </vt:variant>
      <vt:variant>
        <vt:i4>0</vt:i4>
      </vt:variant>
      <vt:variant>
        <vt:i4>5</vt:i4>
      </vt:variant>
      <vt:variant>
        <vt:lpwstr>https://accessproject.org.au/</vt:lpwstr>
      </vt:variant>
      <vt:variant>
        <vt:lpwstr/>
      </vt:variant>
      <vt:variant>
        <vt:i4>2818101</vt:i4>
      </vt:variant>
      <vt:variant>
        <vt:i4>287</vt:i4>
      </vt:variant>
      <vt:variant>
        <vt:i4>0</vt:i4>
      </vt:variant>
      <vt:variant>
        <vt:i4>5</vt:i4>
      </vt:variant>
      <vt:variant>
        <vt:lpwstr>https://www.health.gov.au/resources/publications/syphilis-cdna-national-guidelines-for-public-health-units?language=en</vt:lpwstr>
      </vt:variant>
      <vt:variant>
        <vt:lpwstr/>
      </vt:variant>
      <vt:variant>
        <vt:i4>2949174</vt:i4>
      </vt:variant>
      <vt:variant>
        <vt:i4>284</vt:i4>
      </vt:variant>
      <vt:variant>
        <vt:i4>0</vt:i4>
      </vt:variant>
      <vt:variant>
        <vt:i4>5</vt:i4>
      </vt:variant>
      <vt:variant>
        <vt:lpwstr>https://www.legislation.gov.au/C2007A00174/latest/text</vt:lpwstr>
      </vt:variant>
      <vt:variant>
        <vt:lpwstr/>
      </vt:variant>
      <vt:variant>
        <vt:i4>1441798</vt:i4>
      </vt:variant>
      <vt:variant>
        <vt:i4>279</vt:i4>
      </vt:variant>
      <vt:variant>
        <vt:i4>0</vt:i4>
      </vt:variant>
      <vt:variant>
        <vt:i4>5</vt:i4>
      </vt:variant>
      <vt:variant>
        <vt:lpwstr>https://www.health.gov.au/resources/publications/national-aboriginal-and-torres-strait-islander-health-plan-2021-2031?language=en</vt:lpwstr>
      </vt:variant>
      <vt:variant>
        <vt:lpwstr/>
      </vt:variant>
      <vt:variant>
        <vt:i4>65565</vt:i4>
      </vt:variant>
      <vt:variant>
        <vt:i4>276</vt:i4>
      </vt:variant>
      <vt:variant>
        <vt:i4>0</vt:i4>
      </vt:variant>
      <vt:variant>
        <vt:i4>5</vt:i4>
      </vt:variant>
      <vt:variant>
        <vt:lpwstr>https://coalitionofpeaks.org.au/wp-content/uploads/2020/07/FINAL-National-Agreement-on-Closing-the-Gap-1.pdf</vt:lpwstr>
      </vt:variant>
      <vt:variant>
        <vt:lpwstr/>
      </vt:variant>
      <vt:variant>
        <vt:i4>393327</vt:i4>
      </vt:variant>
      <vt:variant>
        <vt:i4>240</vt:i4>
      </vt:variant>
      <vt:variant>
        <vt:i4>0</vt:i4>
      </vt:variant>
      <vt:variant>
        <vt:i4>5</vt:i4>
      </vt:variant>
      <vt:variant>
        <vt:lpwstr/>
      </vt:variant>
      <vt:variant>
        <vt:lpwstr>_Goal_3_-</vt:lpwstr>
      </vt:variant>
      <vt:variant>
        <vt:i4>393325</vt:i4>
      </vt:variant>
      <vt:variant>
        <vt:i4>237</vt:i4>
      </vt:variant>
      <vt:variant>
        <vt:i4>0</vt:i4>
      </vt:variant>
      <vt:variant>
        <vt:i4>5</vt:i4>
      </vt:variant>
      <vt:variant>
        <vt:lpwstr/>
      </vt:variant>
      <vt:variant>
        <vt:lpwstr>_Goal_1_-</vt:lpwstr>
      </vt:variant>
      <vt:variant>
        <vt:i4>7143480</vt:i4>
      </vt:variant>
      <vt:variant>
        <vt:i4>234</vt:i4>
      </vt:variant>
      <vt:variant>
        <vt:i4>0</vt:i4>
      </vt:variant>
      <vt:variant>
        <vt:i4>5</vt:i4>
      </vt:variant>
      <vt:variant>
        <vt:lpwstr>https://www.abs.gov.au/statistics/people/population/births-australia/latest-release</vt:lpwstr>
      </vt:variant>
      <vt:variant>
        <vt:lpwstr/>
      </vt:variant>
      <vt:variant>
        <vt:i4>393325</vt:i4>
      </vt:variant>
      <vt:variant>
        <vt:i4>231</vt:i4>
      </vt:variant>
      <vt:variant>
        <vt:i4>0</vt:i4>
      </vt:variant>
      <vt:variant>
        <vt:i4>5</vt:i4>
      </vt:variant>
      <vt:variant>
        <vt:lpwstr/>
      </vt:variant>
      <vt:variant>
        <vt:lpwstr>_Goal_1_-</vt:lpwstr>
      </vt:variant>
      <vt:variant>
        <vt:i4>8323187</vt:i4>
      </vt:variant>
      <vt:variant>
        <vt:i4>228</vt:i4>
      </vt:variant>
      <vt:variant>
        <vt:i4>0</vt:i4>
      </vt:variant>
      <vt:variant>
        <vt:i4>5</vt:i4>
      </vt:variant>
      <vt:variant>
        <vt:lpwstr>https://www.aihw.gov.au/reports-data/health-conditions-disability-deaths/burden-of-disease/overview</vt:lpwstr>
      </vt:variant>
      <vt:variant>
        <vt:lpwstr/>
      </vt:variant>
      <vt:variant>
        <vt:i4>3342387</vt:i4>
      </vt:variant>
      <vt:variant>
        <vt:i4>225</vt:i4>
      </vt:variant>
      <vt:variant>
        <vt:i4>0</vt:i4>
      </vt:variant>
      <vt:variant>
        <vt:i4>5</vt:i4>
      </vt:variant>
      <vt:variant>
        <vt:lpwstr>https://www.aihw.gov.au/about-our-data/our-data-collections/national-hospitals-data-collection</vt:lpwstr>
      </vt:variant>
      <vt:variant>
        <vt:lpwstr/>
      </vt:variant>
      <vt:variant>
        <vt:i4>5505099</vt:i4>
      </vt:variant>
      <vt:variant>
        <vt:i4>222</vt:i4>
      </vt:variant>
      <vt:variant>
        <vt:i4>0</vt:i4>
      </vt:variant>
      <vt:variant>
        <vt:i4>5</vt:i4>
      </vt:variant>
      <vt:variant>
        <vt:lpwstr>https://www.abs.gov.au/methodologies/causes-death-australia-methodology/2023</vt:lpwstr>
      </vt:variant>
      <vt:variant>
        <vt:lpwstr/>
      </vt:variant>
      <vt:variant>
        <vt:i4>3145762</vt:i4>
      </vt:variant>
      <vt:variant>
        <vt:i4>210</vt:i4>
      </vt:variant>
      <vt:variant>
        <vt:i4>0</vt:i4>
      </vt:variant>
      <vt:variant>
        <vt:i4>5</vt:i4>
      </vt:variant>
      <vt:variant>
        <vt:lpwstr>https://www.abs.gov.au/</vt:lpwstr>
      </vt:variant>
      <vt:variant>
        <vt:lpwstr/>
      </vt:variant>
      <vt:variant>
        <vt:i4>1572865</vt:i4>
      </vt:variant>
      <vt:variant>
        <vt:i4>207</vt:i4>
      </vt:variant>
      <vt:variant>
        <vt:i4>0</vt:i4>
      </vt:variant>
      <vt:variant>
        <vt:i4>5</vt:i4>
      </vt:variant>
      <vt:variant>
        <vt:lpwstr>https://www.abs.gov.au/statistics/standards/australian-statistical-geography-standard-asgs-edition-3/jul2021-jun2026/indigenous-structure</vt:lpwstr>
      </vt:variant>
      <vt:variant>
        <vt:lpwstr/>
      </vt:variant>
      <vt:variant>
        <vt:i4>2031622</vt:i4>
      </vt:variant>
      <vt:variant>
        <vt:i4>204</vt:i4>
      </vt:variant>
      <vt:variant>
        <vt:i4>0</vt:i4>
      </vt:variant>
      <vt:variant>
        <vt:i4>5</vt:i4>
      </vt:variant>
      <vt:variant>
        <vt:lpwstr>https://www.abs.gov.au/statistics/standards/australian-statistical-geography-standard-asgs-edition-3/jul2021-jun2026/remoteness-structure</vt:lpwstr>
      </vt:variant>
      <vt:variant>
        <vt:lpwstr/>
      </vt:variant>
      <vt:variant>
        <vt:i4>8323196</vt:i4>
      </vt:variant>
      <vt:variant>
        <vt:i4>201</vt:i4>
      </vt:variant>
      <vt:variant>
        <vt:i4>0</vt:i4>
      </vt:variant>
      <vt:variant>
        <vt:i4>5</vt:i4>
      </vt:variant>
      <vt:variant>
        <vt:lpwstr>https://www.abs.gov.au/statistics/standards/australian-statistical-geography-standard-asgs-edition-3/jul2021-jun2026/main-structure-and-greater-capital-city-statistical-areas/statistical-area-level-3</vt:lpwstr>
      </vt:variant>
      <vt:variant>
        <vt:lpwstr/>
      </vt:variant>
      <vt:variant>
        <vt:i4>393325</vt:i4>
      </vt:variant>
      <vt:variant>
        <vt:i4>198</vt:i4>
      </vt:variant>
      <vt:variant>
        <vt:i4>0</vt:i4>
      </vt:variant>
      <vt:variant>
        <vt:i4>5</vt:i4>
      </vt:variant>
      <vt:variant>
        <vt:lpwstr/>
      </vt:variant>
      <vt:variant>
        <vt:lpwstr>_Goal_1_-</vt:lpwstr>
      </vt:variant>
      <vt:variant>
        <vt:i4>2031622</vt:i4>
      </vt:variant>
      <vt:variant>
        <vt:i4>165</vt:i4>
      </vt:variant>
      <vt:variant>
        <vt:i4>0</vt:i4>
      </vt:variant>
      <vt:variant>
        <vt:i4>5</vt:i4>
      </vt:variant>
      <vt:variant>
        <vt:lpwstr>https://www.abs.gov.au/statistics/standards/australian-statistical-geography-standard-asgs-edition-3/jul2021-jun2026/remoteness-structure</vt:lpwstr>
      </vt:variant>
      <vt:variant>
        <vt:lpwstr/>
      </vt:variant>
      <vt:variant>
        <vt:i4>2555960</vt:i4>
      </vt:variant>
      <vt:variant>
        <vt:i4>162</vt:i4>
      </vt:variant>
      <vt:variant>
        <vt:i4>0</vt:i4>
      </vt:variant>
      <vt:variant>
        <vt:i4>5</vt:i4>
      </vt:variant>
      <vt:variant>
        <vt:lpwstr>https://www.aihw.gov.au/about-our-data/our-data-collections/national-perinatal-data-collection</vt:lpwstr>
      </vt:variant>
      <vt:variant>
        <vt:lpwstr/>
      </vt:variant>
      <vt:variant>
        <vt:i4>2818174</vt:i4>
      </vt:variant>
      <vt:variant>
        <vt:i4>159</vt:i4>
      </vt:variant>
      <vt:variant>
        <vt:i4>0</vt:i4>
      </vt:variant>
      <vt:variant>
        <vt:i4>5</vt:i4>
      </vt:variant>
      <vt:variant>
        <vt:lpwstr>https://www.aihw.gov.au/reports-data/population-groups/mothers-babies/overview</vt:lpwstr>
      </vt:variant>
      <vt:variant>
        <vt:lpwstr/>
      </vt:variant>
      <vt:variant>
        <vt:i4>1572950</vt:i4>
      </vt:variant>
      <vt:variant>
        <vt:i4>153</vt:i4>
      </vt:variant>
      <vt:variant>
        <vt:i4>0</vt:i4>
      </vt:variant>
      <vt:variant>
        <vt:i4>5</vt:i4>
      </vt:variant>
      <vt:variant>
        <vt:lpwstr>https://accessproject.org.au/</vt:lpwstr>
      </vt:variant>
      <vt:variant>
        <vt:lpwstr/>
      </vt:variant>
      <vt:variant>
        <vt:i4>5505099</vt:i4>
      </vt:variant>
      <vt:variant>
        <vt:i4>147</vt:i4>
      </vt:variant>
      <vt:variant>
        <vt:i4>0</vt:i4>
      </vt:variant>
      <vt:variant>
        <vt:i4>5</vt:i4>
      </vt:variant>
      <vt:variant>
        <vt:lpwstr>https://www.abs.gov.au/methodologies/causes-death-australia-methodology/2023</vt:lpwstr>
      </vt:variant>
      <vt:variant>
        <vt:lpwstr/>
      </vt:variant>
      <vt:variant>
        <vt:i4>8323187</vt:i4>
      </vt:variant>
      <vt:variant>
        <vt:i4>144</vt:i4>
      </vt:variant>
      <vt:variant>
        <vt:i4>0</vt:i4>
      </vt:variant>
      <vt:variant>
        <vt:i4>5</vt:i4>
      </vt:variant>
      <vt:variant>
        <vt:lpwstr>https://www.aihw.gov.au/reports-data/health-conditions-disability-deaths/burden-of-disease/overview</vt:lpwstr>
      </vt:variant>
      <vt:variant>
        <vt:lpwstr/>
      </vt:variant>
      <vt:variant>
        <vt:i4>2818174</vt:i4>
      </vt:variant>
      <vt:variant>
        <vt:i4>141</vt:i4>
      </vt:variant>
      <vt:variant>
        <vt:i4>0</vt:i4>
      </vt:variant>
      <vt:variant>
        <vt:i4>5</vt:i4>
      </vt:variant>
      <vt:variant>
        <vt:lpwstr>https://www.aihw.gov.au/reports-data/population-groups/mothers-babies/overview</vt:lpwstr>
      </vt:variant>
      <vt:variant>
        <vt:lpwstr/>
      </vt:variant>
      <vt:variant>
        <vt:i4>3342387</vt:i4>
      </vt:variant>
      <vt:variant>
        <vt:i4>138</vt:i4>
      </vt:variant>
      <vt:variant>
        <vt:i4>0</vt:i4>
      </vt:variant>
      <vt:variant>
        <vt:i4>5</vt:i4>
      </vt:variant>
      <vt:variant>
        <vt:lpwstr>https://www.aihw.gov.au/about-our-data/our-data-collections/national-hospitals-data-collection</vt:lpwstr>
      </vt:variant>
      <vt:variant>
        <vt:lpwstr/>
      </vt:variant>
      <vt:variant>
        <vt:i4>2228276</vt:i4>
      </vt:variant>
      <vt:variant>
        <vt:i4>135</vt:i4>
      </vt:variant>
      <vt:variant>
        <vt:i4>0</vt:i4>
      </vt:variant>
      <vt:variant>
        <vt:i4>5</vt:i4>
      </vt:variant>
      <vt:variant>
        <vt:lpwstr>https://www.cdc.gov.au/resources/collections/cdna-surveillance-case-definitions</vt:lpwstr>
      </vt:variant>
      <vt:variant>
        <vt:lpwstr/>
      </vt:variant>
      <vt:variant>
        <vt:i4>1441844</vt:i4>
      </vt:variant>
      <vt:variant>
        <vt:i4>129</vt:i4>
      </vt:variant>
      <vt:variant>
        <vt:i4>0</vt:i4>
      </vt:variant>
      <vt:variant>
        <vt:i4>5</vt:i4>
      </vt:variant>
      <vt:variant>
        <vt:lpwstr/>
      </vt:variant>
      <vt:variant>
        <vt:lpwstr>_Appendix_B_–</vt:lpwstr>
      </vt:variant>
      <vt:variant>
        <vt:i4>1441847</vt:i4>
      </vt:variant>
      <vt:variant>
        <vt:i4>126</vt:i4>
      </vt:variant>
      <vt:variant>
        <vt:i4>0</vt:i4>
      </vt:variant>
      <vt:variant>
        <vt:i4>5</vt:i4>
      </vt:variant>
      <vt:variant>
        <vt:lpwstr/>
      </vt:variant>
      <vt:variant>
        <vt:lpwstr>_Appendix_A_–</vt:lpwstr>
      </vt:variant>
      <vt:variant>
        <vt:i4>5898310</vt:i4>
      </vt:variant>
      <vt:variant>
        <vt:i4>123</vt:i4>
      </vt:variant>
      <vt:variant>
        <vt:i4>0</vt:i4>
      </vt:variant>
      <vt:variant>
        <vt:i4>5</vt:i4>
      </vt:variant>
      <vt:variant>
        <vt:lpwstr>https://www.health.gov.au/our-work/national-response-to-syphilis</vt:lpwstr>
      </vt:variant>
      <vt:variant>
        <vt:lpwstr/>
      </vt:variant>
      <vt:variant>
        <vt:i4>6553639</vt:i4>
      </vt:variant>
      <vt:variant>
        <vt:i4>120</vt:i4>
      </vt:variant>
      <vt:variant>
        <vt:i4>0</vt:i4>
      </vt:variant>
      <vt:variant>
        <vt:i4>5</vt:i4>
      </vt:variant>
      <vt:variant>
        <vt:lpwstr>https://www.cdc.gov.au/resources/publications/national-syphilis-response-plan-2023-2030</vt:lpwstr>
      </vt:variant>
      <vt:variant>
        <vt:lpwstr/>
      </vt:variant>
      <vt:variant>
        <vt:i4>1048633</vt:i4>
      </vt:variant>
      <vt:variant>
        <vt:i4>113</vt:i4>
      </vt:variant>
      <vt:variant>
        <vt:i4>0</vt:i4>
      </vt:variant>
      <vt:variant>
        <vt:i4>5</vt:i4>
      </vt:variant>
      <vt:variant>
        <vt:lpwstr/>
      </vt:variant>
      <vt:variant>
        <vt:lpwstr>_Toc230091258</vt:lpwstr>
      </vt:variant>
      <vt:variant>
        <vt:i4>1048633</vt:i4>
      </vt:variant>
      <vt:variant>
        <vt:i4>107</vt:i4>
      </vt:variant>
      <vt:variant>
        <vt:i4>0</vt:i4>
      </vt:variant>
      <vt:variant>
        <vt:i4>5</vt:i4>
      </vt:variant>
      <vt:variant>
        <vt:lpwstr/>
      </vt:variant>
      <vt:variant>
        <vt:lpwstr>_Toc230091257</vt:lpwstr>
      </vt:variant>
      <vt:variant>
        <vt:i4>1048633</vt:i4>
      </vt:variant>
      <vt:variant>
        <vt:i4>101</vt:i4>
      </vt:variant>
      <vt:variant>
        <vt:i4>0</vt:i4>
      </vt:variant>
      <vt:variant>
        <vt:i4>5</vt:i4>
      </vt:variant>
      <vt:variant>
        <vt:lpwstr/>
      </vt:variant>
      <vt:variant>
        <vt:lpwstr>_Toc230091256</vt:lpwstr>
      </vt:variant>
      <vt:variant>
        <vt:i4>1048633</vt:i4>
      </vt:variant>
      <vt:variant>
        <vt:i4>95</vt:i4>
      </vt:variant>
      <vt:variant>
        <vt:i4>0</vt:i4>
      </vt:variant>
      <vt:variant>
        <vt:i4>5</vt:i4>
      </vt:variant>
      <vt:variant>
        <vt:lpwstr/>
      </vt:variant>
      <vt:variant>
        <vt:lpwstr>_Toc230091255</vt:lpwstr>
      </vt:variant>
      <vt:variant>
        <vt:i4>1048633</vt:i4>
      </vt:variant>
      <vt:variant>
        <vt:i4>89</vt:i4>
      </vt:variant>
      <vt:variant>
        <vt:i4>0</vt:i4>
      </vt:variant>
      <vt:variant>
        <vt:i4>5</vt:i4>
      </vt:variant>
      <vt:variant>
        <vt:lpwstr/>
      </vt:variant>
      <vt:variant>
        <vt:lpwstr>_Toc230091254</vt:lpwstr>
      </vt:variant>
      <vt:variant>
        <vt:i4>1048633</vt:i4>
      </vt:variant>
      <vt:variant>
        <vt:i4>83</vt:i4>
      </vt:variant>
      <vt:variant>
        <vt:i4>0</vt:i4>
      </vt:variant>
      <vt:variant>
        <vt:i4>5</vt:i4>
      </vt:variant>
      <vt:variant>
        <vt:lpwstr/>
      </vt:variant>
      <vt:variant>
        <vt:lpwstr>_Toc230091253</vt:lpwstr>
      </vt:variant>
      <vt:variant>
        <vt:i4>1048633</vt:i4>
      </vt:variant>
      <vt:variant>
        <vt:i4>77</vt:i4>
      </vt:variant>
      <vt:variant>
        <vt:i4>0</vt:i4>
      </vt:variant>
      <vt:variant>
        <vt:i4>5</vt:i4>
      </vt:variant>
      <vt:variant>
        <vt:lpwstr/>
      </vt:variant>
      <vt:variant>
        <vt:lpwstr>_Toc230091252</vt:lpwstr>
      </vt:variant>
      <vt:variant>
        <vt:i4>1048633</vt:i4>
      </vt:variant>
      <vt:variant>
        <vt:i4>71</vt:i4>
      </vt:variant>
      <vt:variant>
        <vt:i4>0</vt:i4>
      </vt:variant>
      <vt:variant>
        <vt:i4>5</vt:i4>
      </vt:variant>
      <vt:variant>
        <vt:lpwstr/>
      </vt:variant>
      <vt:variant>
        <vt:lpwstr>_Toc230091251</vt:lpwstr>
      </vt:variant>
      <vt:variant>
        <vt:i4>1048633</vt:i4>
      </vt:variant>
      <vt:variant>
        <vt:i4>65</vt:i4>
      </vt:variant>
      <vt:variant>
        <vt:i4>0</vt:i4>
      </vt:variant>
      <vt:variant>
        <vt:i4>5</vt:i4>
      </vt:variant>
      <vt:variant>
        <vt:lpwstr/>
      </vt:variant>
      <vt:variant>
        <vt:lpwstr>_Toc230091250</vt:lpwstr>
      </vt:variant>
      <vt:variant>
        <vt:i4>1114169</vt:i4>
      </vt:variant>
      <vt:variant>
        <vt:i4>59</vt:i4>
      </vt:variant>
      <vt:variant>
        <vt:i4>0</vt:i4>
      </vt:variant>
      <vt:variant>
        <vt:i4>5</vt:i4>
      </vt:variant>
      <vt:variant>
        <vt:lpwstr/>
      </vt:variant>
      <vt:variant>
        <vt:lpwstr>_Toc230091249</vt:lpwstr>
      </vt:variant>
      <vt:variant>
        <vt:i4>1114169</vt:i4>
      </vt:variant>
      <vt:variant>
        <vt:i4>53</vt:i4>
      </vt:variant>
      <vt:variant>
        <vt:i4>0</vt:i4>
      </vt:variant>
      <vt:variant>
        <vt:i4>5</vt:i4>
      </vt:variant>
      <vt:variant>
        <vt:lpwstr/>
      </vt:variant>
      <vt:variant>
        <vt:lpwstr>_Toc230091248</vt:lpwstr>
      </vt:variant>
      <vt:variant>
        <vt:i4>1114169</vt:i4>
      </vt:variant>
      <vt:variant>
        <vt:i4>47</vt:i4>
      </vt:variant>
      <vt:variant>
        <vt:i4>0</vt:i4>
      </vt:variant>
      <vt:variant>
        <vt:i4>5</vt:i4>
      </vt:variant>
      <vt:variant>
        <vt:lpwstr/>
      </vt:variant>
      <vt:variant>
        <vt:lpwstr>_Toc230091247</vt:lpwstr>
      </vt:variant>
      <vt:variant>
        <vt:i4>1114169</vt:i4>
      </vt:variant>
      <vt:variant>
        <vt:i4>41</vt:i4>
      </vt:variant>
      <vt:variant>
        <vt:i4>0</vt:i4>
      </vt:variant>
      <vt:variant>
        <vt:i4>5</vt:i4>
      </vt:variant>
      <vt:variant>
        <vt:lpwstr/>
      </vt:variant>
      <vt:variant>
        <vt:lpwstr>_Toc230091246</vt:lpwstr>
      </vt:variant>
      <vt:variant>
        <vt:i4>1114169</vt:i4>
      </vt:variant>
      <vt:variant>
        <vt:i4>35</vt:i4>
      </vt:variant>
      <vt:variant>
        <vt:i4>0</vt:i4>
      </vt:variant>
      <vt:variant>
        <vt:i4>5</vt:i4>
      </vt:variant>
      <vt:variant>
        <vt:lpwstr/>
      </vt:variant>
      <vt:variant>
        <vt:lpwstr>_Toc230091245</vt:lpwstr>
      </vt:variant>
      <vt:variant>
        <vt:i4>1114169</vt:i4>
      </vt:variant>
      <vt:variant>
        <vt:i4>29</vt:i4>
      </vt:variant>
      <vt:variant>
        <vt:i4>0</vt:i4>
      </vt:variant>
      <vt:variant>
        <vt:i4>5</vt:i4>
      </vt:variant>
      <vt:variant>
        <vt:lpwstr/>
      </vt:variant>
      <vt:variant>
        <vt:lpwstr>_Toc230091244</vt:lpwstr>
      </vt:variant>
      <vt:variant>
        <vt:i4>1114169</vt:i4>
      </vt:variant>
      <vt:variant>
        <vt:i4>23</vt:i4>
      </vt:variant>
      <vt:variant>
        <vt:i4>0</vt:i4>
      </vt:variant>
      <vt:variant>
        <vt:i4>5</vt:i4>
      </vt:variant>
      <vt:variant>
        <vt:lpwstr/>
      </vt:variant>
      <vt:variant>
        <vt:lpwstr>_Toc230091243</vt:lpwstr>
      </vt:variant>
      <vt:variant>
        <vt:i4>1114169</vt:i4>
      </vt:variant>
      <vt:variant>
        <vt:i4>17</vt:i4>
      </vt:variant>
      <vt:variant>
        <vt:i4>0</vt:i4>
      </vt:variant>
      <vt:variant>
        <vt:i4>5</vt:i4>
      </vt:variant>
      <vt:variant>
        <vt:lpwstr/>
      </vt:variant>
      <vt:variant>
        <vt:lpwstr>_Toc230091242</vt:lpwstr>
      </vt:variant>
      <vt:variant>
        <vt:i4>1114169</vt:i4>
      </vt:variant>
      <vt:variant>
        <vt:i4>11</vt:i4>
      </vt:variant>
      <vt:variant>
        <vt:i4>0</vt:i4>
      </vt:variant>
      <vt:variant>
        <vt:i4>5</vt:i4>
      </vt:variant>
      <vt:variant>
        <vt:lpwstr/>
      </vt:variant>
      <vt:variant>
        <vt:lpwstr>_Toc230091241</vt:lpwstr>
      </vt:variant>
      <vt:variant>
        <vt:i4>1114169</vt:i4>
      </vt:variant>
      <vt:variant>
        <vt:i4>5</vt:i4>
      </vt:variant>
      <vt:variant>
        <vt:i4>0</vt:i4>
      </vt:variant>
      <vt:variant>
        <vt:i4>5</vt:i4>
      </vt:variant>
      <vt:variant>
        <vt:lpwstr/>
      </vt:variant>
      <vt:variant>
        <vt:lpwstr>_Toc230091240</vt:lpwstr>
      </vt:variant>
      <vt:variant>
        <vt:i4>7798796</vt:i4>
      </vt:variant>
      <vt:variant>
        <vt:i4>0</vt:i4>
      </vt:variant>
      <vt:variant>
        <vt:i4>0</vt:i4>
      </vt:variant>
      <vt:variant>
        <vt:i4>5</vt:i4>
      </vt:variant>
      <vt:variant>
        <vt:lpwstr>mailto:copyright@health.gov.au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syphilis surveillance and monitoring plan 2025</dc:title>
  <dc:subject>Communicable diseases prevention and control</dc:subject>
  <dc:creator>Australian Centre for Disease Control</dc:creator>
  <cp:keywords/>
  <dc:description/>
  <cp:revision>107</cp:revision>
  <dcterms:created xsi:type="dcterms:W3CDTF">2026-05-22T06:09:00Z</dcterms:created>
  <dcterms:modified xsi:type="dcterms:W3CDTF">2026-06-10T04:51:00Z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54a3823d,4306098,23a5acb8,21478793,6519f215,433275b7,44f66991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3e73597a,645494e7,77c80975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2026-05-18T07:00:04Z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9b6cfdbb-941e-4b6d-b45f-da36734eda4e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