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28"/>
          <w:szCs w:val="28"/>
        </w:rPr>
        <w:id w:val="-1859646906"/>
        <w:docPartObj>
          <w:docPartGallery w:val="Cover Pages"/>
          <w:docPartUnique/>
        </w:docPartObj>
      </w:sdtPr>
      <w:sdtEndPr>
        <w:rPr>
          <w:sz w:val="40"/>
          <w:szCs w:val="40"/>
        </w:rPr>
      </w:sdtEndPr>
      <w:sdtContent>
        <w:p w14:paraId="5F6B2A9A" w14:textId="77777777" w:rsidR="00DA5941" w:rsidRPr="00761FAC" w:rsidRDefault="00DA5941" w:rsidP="00F767AE">
          <w:pPr>
            <w:pStyle w:val="Title"/>
          </w:pPr>
          <w:r w:rsidRPr="00761FAC">
            <w:t xml:space="preserve">Guidance on climate risk assessment and adaptation </w:t>
          </w:r>
          <w:r w:rsidRPr="000472A8">
            <w:t>planning</w:t>
          </w:r>
          <w:r w:rsidRPr="00761FAC">
            <w:t xml:space="preserve"> for Australian health system organisations</w:t>
          </w:r>
        </w:p>
        <w:p w14:paraId="607D8BFF" w14:textId="6D554A28" w:rsidR="0047616C" w:rsidRPr="00A63F5A" w:rsidRDefault="00631357" w:rsidP="00982A4F">
          <w:pPr>
            <w:pStyle w:val="Subtitle"/>
            <w:spacing w:before="240"/>
          </w:pPr>
          <w:r w:rsidRPr="000472A8">
            <w:t>Overview</w:t>
          </w:r>
        </w:p>
      </w:sdtContent>
    </w:sdt>
    <w:p w14:paraId="4B70B23E" w14:textId="77777777" w:rsidR="00BD640A" w:rsidRPr="00761FAC" w:rsidRDefault="0047616C" w:rsidP="00B05675">
      <w:r w:rsidRPr="00761FAC">
        <w:br w:type="page"/>
      </w:r>
    </w:p>
    <w:p w14:paraId="3A14843E" w14:textId="5938C2C6" w:rsidR="00580ABD" w:rsidRPr="00543089" w:rsidRDefault="00DA341D" w:rsidP="0053058C">
      <w:pPr>
        <w:pStyle w:val="Heading1"/>
      </w:pPr>
      <w:bookmarkStart w:id="0" w:name="_Toc228892562"/>
      <w:r w:rsidRPr="00543089">
        <w:lastRenderedPageBreak/>
        <w:t>Director-General</w:t>
      </w:r>
      <w:r w:rsidR="0034399F" w:rsidRPr="00543089">
        <w:t>’s</w:t>
      </w:r>
      <w:r w:rsidR="0053058C" w:rsidRPr="00543089">
        <w:t xml:space="preserve"> foreword</w:t>
      </w:r>
      <w:bookmarkEnd w:id="0"/>
    </w:p>
    <w:p w14:paraId="28524B16" w14:textId="65D838AE" w:rsidR="002300F5" w:rsidRPr="00761FAC" w:rsidRDefault="00C71335" w:rsidP="000448D7">
      <w:pPr>
        <w:pStyle w:val="BodyText"/>
      </w:pPr>
      <w:r w:rsidRPr="00761FAC">
        <w:t xml:space="preserve">Australia’s health system </w:t>
      </w:r>
      <w:r w:rsidR="000F4F5D" w:rsidRPr="00761FAC">
        <w:t xml:space="preserve">is </w:t>
      </w:r>
      <w:r w:rsidR="00F81124">
        <w:t>facing</w:t>
      </w:r>
      <w:r w:rsidR="00F81124" w:rsidRPr="00761FAC">
        <w:t xml:space="preserve"> </w:t>
      </w:r>
      <w:r w:rsidR="000F4F5D" w:rsidRPr="00761FAC">
        <w:t>profound challenges</w:t>
      </w:r>
      <w:r w:rsidRPr="00761FAC">
        <w:t>.</w:t>
      </w:r>
    </w:p>
    <w:p w14:paraId="5DE907F1" w14:textId="77777777" w:rsidR="00796D1E" w:rsidRPr="00761FAC" w:rsidRDefault="00E722BC" w:rsidP="000448D7">
      <w:pPr>
        <w:pStyle w:val="BodyText"/>
      </w:pPr>
      <w:r w:rsidRPr="00761FAC">
        <w:t>From more</w:t>
      </w:r>
      <w:r w:rsidR="00C71335" w:rsidRPr="00761FAC">
        <w:t xml:space="preserve"> extreme weather and stronger heatwaves to shifting disease patterns, climate change is already having direct impacts on our health and wellbeing.</w:t>
      </w:r>
    </w:p>
    <w:p w14:paraId="36424A72" w14:textId="34F4CD98" w:rsidR="00796D1E" w:rsidRPr="00761FAC" w:rsidRDefault="00E722BC" w:rsidP="00F076AC">
      <w:pPr>
        <w:pStyle w:val="BodyText"/>
      </w:pPr>
      <w:r w:rsidRPr="00761FAC">
        <w:t>Disruption to critical infrastructure – like electricity, water supply, and roads – and increased demand on health services compound to further stretch our services, workforce and resources.</w:t>
      </w:r>
    </w:p>
    <w:p w14:paraId="47B2B59C" w14:textId="1C8BB242" w:rsidR="003B5F49" w:rsidRPr="00A747E2" w:rsidRDefault="003B5F49" w:rsidP="48A9AA3F">
      <w:pPr>
        <w:pStyle w:val="BodyText"/>
        <w:rPr>
          <w:kern w:val="0"/>
          <w14:ligatures w14:val="none"/>
        </w:rPr>
      </w:pPr>
      <w:r w:rsidRPr="00A747E2">
        <w:t>The risks for health system organisations from climate change are complex and many, demanding urgent attention, strategic planning, and decisive action.</w:t>
      </w:r>
    </w:p>
    <w:p w14:paraId="73EC8F02" w14:textId="58F26063" w:rsidR="00796D1E" w:rsidRPr="00761FAC" w:rsidRDefault="003B5F49" w:rsidP="00F076AC">
      <w:pPr>
        <w:pStyle w:val="BodyText"/>
      </w:pPr>
      <w:r w:rsidRPr="00761FAC">
        <w:t xml:space="preserve">As </w:t>
      </w:r>
      <w:r w:rsidR="00BF52BE" w:rsidRPr="00761FAC">
        <w:t>custodians</w:t>
      </w:r>
      <w:r w:rsidRPr="00761FAC">
        <w:t xml:space="preserve"> of public </w:t>
      </w:r>
      <w:proofErr w:type="spellStart"/>
      <w:r w:rsidRPr="00761FAC">
        <w:t>health,</w:t>
      </w:r>
      <w:proofErr w:type="spellEnd"/>
      <w:r w:rsidRPr="00761FAC">
        <w:t xml:space="preserve"> we are entrusted not only with responding to these challenges, but also with leading the way in adaptation and resilience.</w:t>
      </w:r>
    </w:p>
    <w:p w14:paraId="3B2BF48B" w14:textId="34F16380" w:rsidR="00796D1E" w:rsidRPr="00761FAC" w:rsidRDefault="003B5F49" w:rsidP="00F076AC">
      <w:pPr>
        <w:pStyle w:val="BodyText"/>
      </w:pPr>
      <w:r w:rsidRPr="00761FAC">
        <w:t xml:space="preserve">It is our duty to ensure future generations inherit health services that are prepared for and resilient </w:t>
      </w:r>
      <w:r w:rsidR="00BF52BE" w:rsidRPr="00761FAC">
        <w:t>to</w:t>
      </w:r>
      <w:r w:rsidRPr="00761FAC">
        <w:t xml:space="preserve"> climate risks.</w:t>
      </w:r>
    </w:p>
    <w:p w14:paraId="0998BDC9" w14:textId="33D7CEC3" w:rsidR="003B5F49" w:rsidRPr="00A747E2" w:rsidRDefault="003B5F49" w:rsidP="48A9AA3F">
      <w:pPr>
        <w:pStyle w:val="BodyText"/>
      </w:pPr>
      <w:r w:rsidRPr="00A747E2">
        <w:t xml:space="preserve">Our detailed guidance seeks to help health system organisations identify, assess and manage climate-related risks, </w:t>
      </w:r>
      <w:r w:rsidR="00BF52BE" w:rsidRPr="00A747E2">
        <w:t xml:space="preserve">and to </w:t>
      </w:r>
      <w:r w:rsidRPr="00A747E2">
        <w:t>develop robust adaptation plans tailored to the unique needs of their communities and regions.</w:t>
      </w:r>
    </w:p>
    <w:p w14:paraId="463F390F" w14:textId="3BFC12E4" w:rsidR="00796D1E" w:rsidRPr="00761FAC" w:rsidRDefault="003B5F49" w:rsidP="00F076AC">
      <w:pPr>
        <w:pStyle w:val="BodyText"/>
      </w:pPr>
      <w:r w:rsidRPr="00761FAC">
        <w:t xml:space="preserve">The practical </w:t>
      </w:r>
      <w:r w:rsidR="009560C4" w:rsidRPr="00761FAC">
        <w:t xml:space="preserve">manual, templates and </w:t>
      </w:r>
      <w:r w:rsidR="00CC1F88" w:rsidRPr="00761FAC">
        <w:t>district-level data are</w:t>
      </w:r>
      <w:r w:rsidRPr="00761FAC">
        <w:t xml:space="preserve"> designed to empower health leaders, practitioners and planners.</w:t>
      </w:r>
    </w:p>
    <w:p w14:paraId="75CA5462" w14:textId="77777777" w:rsidR="00796D1E" w:rsidRPr="00761FAC" w:rsidRDefault="003B5F49" w:rsidP="00F076AC">
      <w:pPr>
        <w:pStyle w:val="BodyText"/>
      </w:pPr>
      <w:r w:rsidRPr="00761FAC">
        <w:t>I urge all health system stakeholders to make full use of this guidance.</w:t>
      </w:r>
    </w:p>
    <w:p w14:paraId="258A81DE" w14:textId="3011B88C" w:rsidR="003B5F49" w:rsidRPr="00A747E2" w:rsidRDefault="003B5F49" w:rsidP="48A9AA3F">
      <w:pPr>
        <w:pStyle w:val="BodyText"/>
      </w:pPr>
      <w:r w:rsidRPr="00A747E2">
        <w:t xml:space="preserve">With proactive planning, open dialogue and a commitment to continuous improvement, we can strengthen our collective resilience to minimise </w:t>
      </w:r>
      <w:proofErr w:type="gramStart"/>
      <w:r w:rsidRPr="00A747E2">
        <w:t>disruption, and</w:t>
      </w:r>
      <w:proofErr w:type="gramEnd"/>
      <w:r w:rsidRPr="00A747E2">
        <w:t xml:space="preserve"> continue to deliver quality care in a changing </w:t>
      </w:r>
      <w:r w:rsidR="0098715A" w:rsidRPr="00A747E2">
        <w:t>climate</w:t>
      </w:r>
      <w:r w:rsidRPr="00A747E2">
        <w:t>.</w:t>
      </w:r>
    </w:p>
    <w:p w14:paraId="4DA4E60F" w14:textId="3CD7EB14" w:rsidR="003B5F49" w:rsidRPr="00761FAC" w:rsidRDefault="003B5F49" w:rsidP="00F076AC">
      <w:pPr>
        <w:pStyle w:val="BodyText"/>
      </w:pPr>
      <w:r w:rsidRPr="00761FAC">
        <w:t>Let this guidance be a cornerstone for our shared journey towards a healthier, more sustainable future for all Australians in the face of climate risk.</w:t>
      </w:r>
    </w:p>
    <w:p w14:paraId="4A1AA112" w14:textId="78D6B404" w:rsidR="003B5F49" w:rsidRPr="00761FAC" w:rsidRDefault="00CE4258" w:rsidP="00F076AC">
      <w:pPr>
        <w:pStyle w:val="BodyText"/>
      </w:pPr>
      <w:r>
        <w:rPr>
          <w:noProof/>
        </w:rPr>
        <w:drawing>
          <wp:inline distT="0" distB="0" distL="0" distR="0" wp14:anchorId="3E5D6F71" wp14:editId="09528D6F">
            <wp:extent cx="1035685" cy="1551940"/>
            <wp:effectExtent l="19050" t="19050" r="12065" b="10160"/>
            <wp:docPr id="1319622817" name="Picture 1" descr="Image of Professor Zoe Wainer, Director-General of the Australian Centre for Disease Contro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22817" name="Picture 1" descr="Image of Professor Zoe Wainer, Director-General of the Australian Centre for Disease Control&#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685" cy="1551940"/>
                    </a:xfrm>
                    <a:prstGeom prst="rect">
                      <a:avLst/>
                    </a:prstGeom>
                    <a:noFill/>
                    <a:ln>
                      <a:solidFill>
                        <a:schemeClr val="tx2"/>
                      </a:solidFill>
                    </a:ln>
                  </pic:spPr>
                </pic:pic>
              </a:graphicData>
            </a:graphic>
          </wp:inline>
        </w:drawing>
      </w:r>
    </w:p>
    <w:p w14:paraId="2EEBB950" w14:textId="3FE0904F" w:rsidR="00E75278" w:rsidRPr="000448D7" w:rsidRDefault="00E75278" w:rsidP="000448D7">
      <w:pPr>
        <w:pStyle w:val="NoSpacing"/>
      </w:pPr>
      <w:r w:rsidRPr="005660BF">
        <w:t>Profe</w:t>
      </w:r>
      <w:r w:rsidRPr="000448D7">
        <w:t>ssor Zoe Waine</w:t>
      </w:r>
      <w:r w:rsidR="0067719D" w:rsidRPr="000448D7">
        <w:t>r</w:t>
      </w:r>
      <w:r w:rsidRPr="000448D7">
        <w:t xml:space="preserve"> </w:t>
      </w:r>
    </w:p>
    <w:p w14:paraId="4B98F8E1" w14:textId="77777777" w:rsidR="005660BF" w:rsidRPr="000448D7" w:rsidRDefault="00E75278" w:rsidP="000448D7">
      <w:pPr>
        <w:pStyle w:val="NoSpacing"/>
      </w:pPr>
      <w:r w:rsidRPr="000448D7">
        <w:t>Director-General</w:t>
      </w:r>
    </w:p>
    <w:p w14:paraId="233F3648" w14:textId="119F33F0" w:rsidR="005660BF" w:rsidRPr="005660BF" w:rsidRDefault="00E75278" w:rsidP="000448D7">
      <w:pPr>
        <w:pStyle w:val="NoSpacing"/>
      </w:pPr>
      <w:r w:rsidRPr="000448D7">
        <w:t xml:space="preserve">Australian Centre </w:t>
      </w:r>
      <w:r w:rsidR="0067719D" w:rsidRPr="000448D7">
        <w:t>for Dise</w:t>
      </w:r>
      <w:r w:rsidR="0067719D">
        <w:t>ase Control</w:t>
      </w:r>
    </w:p>
    <w:p w14:paraId="0D2E238B" w14:textId="6D6B00A3" w:rsidR="00F276DA" w:rsidRPr="00C9714F" w:rsidRDefault="00C837D2" w:rsidP="000448D7">
      <w:pPr>
        <w:pStyle w:val="Heading1"/>
      </w:pPr>
      <w:r w:rsidRPr="00C9714F">
        <w:lastRenderedPageBreak/>
        <w:t>Acknowledgement of Country</w:t>
      </w:r>
    </w:p>
    <w:p w14:paraId="4176A74E" w14:textId="507A2B6A" w:rsidR="00FF5C47" w:rsidRPr="00FF5C47" w:rsidRDefault="00FF5C47" w:rsidP="000448D7">
      <w:pPr>
        <w:pStyle w:val="BodyText"/>
      </w:pPr>
      <w:r>
        <w:t xml:space="preserve">The Australian Centre for Disease Control acknowledges the Traditional Custodians of Country </w:t>
      </w:r>
      <w:r w:rsidR="00955625">
        <w:t xml:space="preserve">throughout Australia and their connections to land, sea, and community. We pay our respects to their Elders past and present and extend that respect to all Aboriginal and Torres Strait Islander people. </w:t>
      </w:r>
    </w:p>
    <w:p w14:paraId="032A9A32" w14:textId="5C27D86C" w:rsidR="00E54D45" w:rsidRPr="00761FAC" w:rsidRDefault="00E54D45" w:rsidP="00294911">
      <w:pPr>
        <w:pStyle w:val="Heading1"/>
      </w:pPr>
      <w:bookmarkStart w:id="1" w:name="_Toc228892564"/>
      <w:r w:rsidRPr="00761FAC">
        <w:lastRenderedPageBreak/>
        <w:t>Executive Summary</w:t>
      </w:r>
    </w:p>
    <w:p w14:paraId="5BE0DCF6" w14:textId="280A831F" w:rsidR="003600F4" w:rsidRDefault="003600F4" w:rsidP="009A1261">
      <w:pPr>
        <w:pStyle w:val="BodyText"/>
      </w:pPr>
      <w:r w:rsidRPr="00E97AB3">
        <w:t xml:space="preserve">This </w:t>
      </w:r>
      <w:r w:rsidR="00953C6A">
        <w:t xml:space="preserve">guidance package </w:t>
      </w:r>
      <w:r w:rsidR="001F1213">
        <w:t>has been designed to support</w:t>
      </w:r>
      <w:r w:rsidRPr="00E97AB3">
        <w:t xml:space="preserve"> Australian health system organisations to identify, assess and manage risks posed by climate change to service delivery, infrastructure and population health.</w:t>
      </w:r>
      <w:r w:rsidR="009A1261">
        <w:t xml:space="preserve"> It consists of the following:</w:t>
      </w:r>
    </w:p>
    <w:p w14:paraId="7FEC804C" w14:textId="508D2EF8" w:rsidR="008C15D7" w:rsidRPr="00847200" w:rsidRDefault="008C15D7" w:rsidP="000448D7">
      <w:pPr>
        <w:pStyle w:val="ListParagraph"/>
      </w:pPr>
      <w:r>
        <w:rPr>
          <w:b/>
          <w:bCs/>
        </w:rPr>
        <w:t>Overview</w:t>
      </w:r>
      <w:r>
        <w:t>: an introduction for decision-makers to the purpose and scope of climate risk assessment and adaptation planning and the structure of the guidance package.</w:t>
      </w:r>
    </w:p>
    <w:p w14:paraId="2F02E5B0" w14:textId="77777777" w:rsidR="008C15D7" w:rsidRPr="00761FAC" w:rsidRDefault="008C15D7" w:rsidP="000448D7">
      <w:pPr>
        <w:pStyle w:val="ListNumber"/>
      </w:pPr>
      <w:r w:rsidRPr="48A9AA3F">
        <w:rPr>
          <w:b/>
          <w:bCs/>
        </w:rPr>
        <w:t>Manual</w:t>
      </w:r>
      <w:r w:rsidRPr="48A9AA3F">
        <w:t>:</w:t>
      </w:r>
      <w:r w:rsidRPr="48A9AA3F">
        <w:rPr>
          <w:b/>
          <w:bCs/>
        </w:rPr>
        <w:t xml:space="preserve"> </w:t>
      </w:r>
      <w:r w:rsidRPr="48A9AA3F">
        <w:t>step-by-step instructions on how to conduct a climate risk assessment, develop an adaptation plan, and conduct associated monitoring and reporting activities. Additional supporting materials are included in appendices.</w:t>
      </w:r>
    </w:p>
    <w:p w14:paraId="1D325101" w14:textId="77777777" w:rsidR="008C15D7" w:rsidRPr="00761FAC" w:rsidRDefault="008C15D7" w:rsidP="000448D7">
      <w:pPr>
        <w:pStyle w:val="ListNumber"/>
      </w:pPr>
      <w:r w:rsidRPr="48A9AA3F">
        <w:rPr>
          <w:b/>
          <w:bCs/>
        </w:rPr>
        <w:t>Templates</w:t>
      </w:r>
      <w:r w:rsidRPr="48A9AA3F">
        <w:t>:</w:t>
      </w:r>
      <w:r w:rsidRPr="48A9AA3F">
        <w:rPr>
          <w:b/>
          <w:bCs/>
        </w:rPr>
        <w:t xml:space="preserve"> </w:t>
      </w:r>
      <w:r w:rsidRPr="48A9AA3F">
        <w:t>a set of templates that can be used to complete your risk assessment and adaptation plan. These are designed to be flexible, allowing users to tailor them to suit their organisation’s needs, preferences, and context. Users are encouraged to modify the templates as required, and to use them alongside any relevant risk management frameworks, templates, or resources already in use within their organisation.</w:t>
      </w:r>
    </w:p>
    <w:p w14:paraId="1C02A28B" w14:textId="02931A4E" w:rsidR="009A1261" w:rsidRPr="00E97AB3" w:rsidRDefault="008C15D7" w:rsidP="000448D7">
      <w:pPr>
        <w:pStyle w:val="ListNumber"/>
      </w:pPr>
      <w:r w:rsidRPr="00761FAC">
        <w:rPr>
          <w:b/>
        </w:rPr>
        <w:t>Climate and Health Hazard Data</w:t>
      </w:r>
      <w:r w:rsidRPr="00761FAC">
        <w:t xml:space="preserve">: a compendium of climate </w:t>
      </w:r>
      <w:r>
        <w:t>hazard</w:t>
      </w:r>
      <w:r w:rsidRPr="00761FAC">
        <w:t xml:space="preserve"> and demographic information for 53 health districts across the country to support </w:t>
      </w:r>
      <w:r w:rsidR="00E11B6E">
        <w:t>development of climate risk assessments.</w:t>
      </w:r>
    </w:p>
    <w:p w14:paraId="290485E2" w14:textId="42CDB05F" w:rsidR="003600F4" w:rsidRPr="000448D7" w:rsidRDefault="008977D6" w:rsidP="000448D7">
      <w:pPr>
        <w:pStyle w:val="BodyText"/>
      </w:pPr>
      <w:r>
        <w:t>The first part of the manual provides step-by-step instructions on conducting a risk assessment</w:t>
      </w:r>
      <w:r w:rsidR="005E3DEA">
        <w:t xml:space="preserve">, in two stages. </w:t>
      </w:r>
      <w:r w:rsidR="00DF1B96">
        <w:t>A</w:t>
      </w:r>
      <w:r w:rsidR="00DF1B96" w:rsidRPr="00E97AB3">
        <w:t xml:space="preserve"> </w:t>
      </w:r>
      <w:r w:rsidR="003600F4" w:rsidRPr="00E97AB3">
        <w:t>first-pass assessment</w:t>
      </w:r>
      <w:r w:rsidR="003600F4" w:rsidRPr="00E97AB3" w:rsidDel="00DF1B96">
        <w:t xml:space="preserve"> </w:t>
      </w:r>
      <w:r w:rsidR="003600F4" w:rsidRPr="00E97AB3">
        <w:rPr>
          <w:b/>
        </w:rPr>
        <w:t>identif</w:t>
      </w:r>
      <w:r w:rsidR="0055015F">
        <w:rPr>
          <w:b/>
        </w:rPr>
        <w:t>i</w:t>
      </w:r>
      <w:r w:rsidR="00DF1B96">
        <w:rPr>
          <w:b/>
        </w:rPr>
        <w:t>es</w:t>
      </w:r>
      <w:r w:rsidR="003600F4" w:rsidRPr="00E97AB3">
        <w:rPr>
          <w:b/>
        </w:rPr>
        <w:t xml:space="preserve"> </w:t>
      </w:r>
      <w:r w:rsidR="003600F4" w:rsidRPr="00E97AB3">
        <w:t xml:space="preserve">relevant climate hazards for your organisation, as well as associated </w:t>
      </w:r>
      <w:r w:rsidR="003600F4" w:rsidRPr="00E97AB3">
        <w:rPr>
          <w:b/>
        </w:rPr>
        <w:t>risks</w:t>
      </w:r>
      <w:r w:rsidR="003600F4" w:rsidRPr="00E97AB3">
        <w:t xml:space="preserve"> to population </w:t>
      </w:r>
      <w:proofErr w:type="spellStart"/>
      <w:r w:rsidR="003600F4" w:rsidRPr="00E97AB3">
        <w:t>health,</w:t>
      </w:r>
      <w:proofErr w:type="spellEnd"/>
      <w:r w:rsidR="003600F4" w:rsidRPr="00E97AB3">
        <w:t xml:space="preserve"> service delivery and infrastructure.</w:t>
      </w:r>
      <w:r w:rsidR="004908E3">
        <w:t xml:space="preserve"> </w:t>
      </w:r>
      <w:r w:rsidR="003600F4" w:rsidRPr="00E97AB3">
        <w:t xml:space="preserve">Organisations can choose to stop after conducting a first-pass assessment, or alternatively, the first-pass assessment can inform a second-pass assessment involving </w:t>
      </w:r>
      <w:r w:rsidR="003600F4" w:rsidRPr="00E97AB3">
        <w:rPr>
          <w:b/>
        </w:rPr>
        <w:t>risk</w:t>
      </w:r>
      <w:r w:rsidR="003600F4" w:rsidRPr="00E97AB3">
        <w:t xml:space="preserve"> </w:t>
      </w:r>
      <w:r w:rsidR="003600F4" w:rsidRPr="00E97AB3">
        <w:rPr>
          <w:b/>
        </w:rPr>
        <w:t>analysis</w:t>
      </w:r>
      <w:r w:rsidR="003600F4" w:rsidRPr="00E97AB3">
        <w:t>, which culminates in assessing the likelihood and consequence of these risks and prioritising them for adaptation action.</w:t>
      </w:r>
    </w:p>
    <w:p w14:paraId="562DC678" w14:textId="50F48B34" w:rsidR="003600F4" w:rsidRPr="00E97AB3" w:rsidRDefault="008977D6" w:rsidP="00CC08FE">
      <w:pPr>
        <w:pStyle w:val="BodyText"/>
      </w:pPr>
      <w:r>
        <w:t xml:space="preserve">The </w:t>
      </w:r>
      <w:r w:rsidR="0088502A">
        <w:t xml:space="preserve">second part of the </w:t>
      </w:r>
      <w:r>
        <w:t xml:space="preserve">manual </w:t>
      </w:r>
      <w:r w:rsidR="003600F4" w:rsidRPr="00E97AB3">
        <w:t>provide</w:t>
      </w:r>
      <w:r w:rsidR="0088502A">
        <w:t>s</w:t>
      </w:r>
      <w:r w:rsidR="003600F4" w:rsidRPr="00E97AB3">
        <w:t xml:space="preserve"> step-by-step instructions for developing an adaptation plan (including an associated business case) and then implementing the plan (including monitoring and evaluation of progress).</w:t>
      </w:r>
    </w:p>
    <w:p w14:paraId="2C426311" w14:textId="71EFE76E" w:rsidR="003600F4" w:rsidRPr="00E92451" w:rsidRDefault="003600F4" w:rsidP="00CC08FE">
      <w:pPr>
        <w:pStyle w:val="BodyText"/>
      </w:pPr>
      <w:r w:rsidRPr="00E92451">
        <w:t>As well as providing a practical how-to guide and accompanying resources and templates, this guidance aims to support Australian health system organisations to embed consideration of climate risks into organisation-wide governance, risk management, planning and procedures – for instance into an organisational enterprise risk management framework.</w:t>
      </w:r>
    </w:p>
    <w:p w14:paraId="646B4D37" w14:textId="7E32E556" w:rsidR="007255A8" w:rsidRPr="00AF158D" w:rsidRDefault="003600F4" w:rsidP="005449E7">
      <w:pPr>
        <w:pStyle w:val="BodyText"/>
      </w:pPr>
      <w:r w:rsidRPr="00854B93">
        <w:t>The guidance may be used by a wide range of staff across all types of organisations that make up the Australian health system. The guidance is not intended to supersede existing climate risk or disaster management arrangements</w:t>
      </w:r>
      <w:r w:rsidR="005449E7" w:rsidRPr="00854B93">
        <w:t xml:space="preserve">, and is intended to build on and complement </w:t>
      </w:r>
      <w:r w:rsidRPr="00854B93">
        <w:t xml:space="preserve">existing Australian Government climate risk and adaptation initiatives, including </w:t>
      </w:r>
      <w:r w:rsidRPr="00854B93">
        <w:lastRenderedPageBreak/>
        <w:t xml:space="preserve">Australia’s first National Climate Risk Assessment and National Adaptation Plan, the Climate Risk and Opportunity Management Program (CROMP) for the </w:t>
      </w:r>
      <w:bookmarkStart w:id="2" w:name="_Ref226538174"/>
      <w:r w:rsidR="0028512B">
        <w:t>for the public sector</w:t>
      </w:r>
      <w:r w:rsidR="007255A8" w:rsidRPr="00854B93">
        <w:t xml:space="preserve">, and </w:t>
      </w:r>
      <w:r w:rsidR="007255A8">
        <w:t xml:space="preserve">amendments to the </w:t>
      </w:r>
      <w:r w:rsidR="007255A8">
        <w:rPr>
          <w:i/>
          <w:iCs/>
        </w:rPr>
        <w:t xml:space="preserve">Corporations Act 2001 </w:t>
      </w:r>
      <w:r w:rsidR="007255A8">
        <w:t>introducing climate-related financial disclosure requirements for selected entities</w:t>
      </w:r>
      <w:r w:rsidR="0057608F" w:rsidRPr="0074442C">
        <w:t>.</w:t>
      </w:r>
      <w:bookmarkStart w:id="3" w:name="_Ref229994959"/>
      <w:r w:rsidRPr="0074442C">
        <w:rPr>
          <w:rStyle w:val="EndnoteReference"/>
        </w:rPr>
        <w:endnoteReference w:id="1"/>
      </w:r>
      <w:bookmarkEnd w:id="2"/>
      <w:bookmarkEnd w:id="3"/>
      <w:r w:rsidR="00AD18EF" w:rsidRPr="00AF158D">
        <w:rPr>
          <w:vertAlign w:val="superscript"/>
        </w:rPr>
        <w:t>,</w:t>
      </w:r>
      <w:bookmarkStart w:id="4" w:name="_Ref229994942"/>
      <w:r w:rsidRPr="0074442C">
        <w:rPr>
          <w:rStyle w:val="EndnoteReference"/>
        </w:rPr>
        <w:endnoteReference w:id="2"/>
      </w:r>
      <w:bookmarkEnd w:id="4"/>
      <w:r w:rsidR="0057608F" w:rsidRPr="00AF158D">
        <w:rPr>
          <w:vertAlign w:val="superscript"/>
        </w:rPr>
        <w:t>,</w:t>
      </w:r>
      <w:bookmarkStart w:id="5" w:name="_Ref229994945"/>
      <w:r w:rsidRPr="00AF158D">
        <w:rPr>
          <w:rStyle w:val="EndnoteReference"/>
        </w:rPr>
        <w:endnoteReference w:id="3"/>
      </w:r>
      <w:bookmarkEnd w:id="5"/>
      <w:r w:rsidR="00BD4F50" w:rsidRPr="00AF158D">
        <w:rPr>
          <w:vertAlign w:val="superscript"/>
        </w:rPr>
        <w:t>,</w:t>
      </w:r>
      <w:bookmarkStart w:id="6" w:name="_Ref229994883"/>
      <w:r w:rsidR="005D782F" w:rsidRPr="00AF158D">
        <w:rPr>
          <w:rStyle w:val="EndnoteReference"/>
        </w:rPr>
        <w:endnoteReference w:id="4"/>
      </w:r>
      <w:bookmarkEnd w:id="6"/>
    </w:p>
    <w:p w14:paraId="687C3AA5" w14:textId="7D2E5DD3" w:rsidR="00CF5E1F" w:rsidRPr="003D784D" w:rsidRDefault="003600F4" w:rsidP="00CC08FE">
      <w:pPr>
        <w:pStyle w:val="BodyText"/>
      </w:pPr>
      <w:r w:rsidRPr="00CC08FE">
        <w:t xml:space="preserve">Access to the full suite of products developed as part of the guidance is available on the Australian Centre for Disease Control website: </w:t>
      </w:r>
      <w:hyperlink r:id="rId12" w:history="1">
        <w:r w:rsidR="003D784D" w:rsidRPr="00A572E7">
          <w:rPr>
            <w:rStyle w:val="Hyperlink"/>
            <w:color w:val="062E74" w:themeColor="accent1" w:themeShade="BF"/>
          </w:rPr>
          <w:t>Guidance on climate risk assessment and adaptation planning.</w:t>
        </w:r>
      </w:hyperlink>
    </w:p>
    <w:p w14:paraId="1AA25E9D" w14:textId="7483E665" w:rsidR="00BB7407" w:rsidRPr="00761FAC" w:rsidRDefault="00294911" w:rsidP="00294911">
      <w:pPr>
        <w:pStyle w:val="Heading1"/>
      </w:pPr>
      <w:r w:rsidRPr="00761FAC">
        <w:lastRenderedPageBreak/>
        <w:t>Purpose</w:t>
      </w:r>
      <w:bookmarkEnd w:id="1"/>
    </w:p>
    <w:p w14:paraId="282B9C54" w14:textId="77777777" w:rsidR="003E13D5" w:rsidRPr="00761FAC" w:rsidRDefault="003E13D5" w:rsidP="003E13D5">
      <w:pPr>
        <w:pStyle w:val="BodyText"/>
      </w:pPr>
      <w:r w:rsidRPr="00761FAC">
        <w:t>Climate change is affecting health and wellbeing in Australia. In the last decade, catastrophic floods, devastating fires, and intensifying heat have taken a physical and mental toll on people across the country. In the years ahead, even with a rapid acceleration of global mitigation efforts, climate change will increase pressures on the natural and social systems that support population health and wellbeing.</w:t>
      </w:r>
    </w:p>
    <w:p w14:paraId="2C1910E4" w14:textId="432AABA2" w:rsidR="003E13D5" w:rsidRPr="00761FAC" w:rsidRDefault="003E13D5" w:rsidP="00AD6DA9">
      <w:pPr>
        <w:pStyle w:val="BodyText"/>
      </w:pPr>
      <w:r w:rsidRPr="00761FAC">
        <w:t>To support Australian health system organisations to address climate-related risks to health and health systems, the Australian Centre for Disease Control (CDC) has prepared</w:t>
      </w:r>
      <w:r w:rsidR="003E1E8E">
        <w:t xml:space="preserve"> this</w:t>
      </w:r>
      <w:r w:rsidRPr="00761FAC">
        <w:t xml:space="preserve"> </w:t>
      </w:r>
      <w:hyperlink r:id="rId13" w:history="1">
        <w:r w:rsidRPr="00A572E7">
          <w:rPr>
            <w:rStyle w:val="Hyperlink"/>
            <w:color w:val="062E74" w:themeColor="accent1" w:themeShade="BF"/>
          </w:rPr>
          <w:t xml:space="preserve">Guidance on </w:t>
        </w:r>
        <w:r w:rsidR="006C3D0C" w:rsidRPr="00A572E7">
          <w:rPr>
            <w:rStyle w:val="Hyperlink"/>
            <w:color w:val="062E74" w:themeColor="accent1" w:themeShade="BF"/>
          </w:rPr>
          <w:t>c</w:t>
        </w:r>
        <w:r w:rsidRPr="00A572E7">
          <w:rPr>
            <w:rStyle w:val="Hyperlink"/>
            <w:color w:val="062E74" w:themeColor="accent1" w:themeShade="BF"/>
          </w:rPr>
          <w:t xml:space="preserve">limate </w:t>
        </w:r>
        <w:r w:rsidR="006C3D0C" w:rsidRPr="00A572E7">
          <w:rPr>
            <w:rStyle w:val="Hyperlink"/>
            <w:color w:val="062E74" w:themeColor="accent1" w:themeShade="BF"/>
          </w:rPr>
          <w:t>r</w:t>
        </w:r>
        <w:r w:rsidRPr="00A572E7">
          <w:rPr>
            <w:rStyle w:val="Hyperlink"/>
            <w:color w:val="062E74" w:themeColor="accent1" w:themeShade="BF"/>
          </w:rPr>
          <w:t xml:space="preserve">isk </w:t>
        </w:r>
        <w:r w:rsidR="006C3D0C" w:rsidRPr="00A572E7">
          <w:rPr>
            <w:rStyle w:val="Hyperlink"/>
            <w:color w:val="062E74" w:themeColor="accent1" w:themeShade="BF"/>
          </w:rPr>
          <w:t>a</w:t>
        </w:r>
        <w:r w:rsidRPr="00A572E7">
          <w:rPr>
            <w:rStyle w:val="Hyperlink"/>
            <w:color w:val="062E74" w:themeColor="accent1" w:themeShade="BF"/>
          </w:rPr>
          <w:t xml:space="preserve">ssessment and </w:t>
        </w:r>
        <w:r w:rsidR="006C3D0C" w:rsidRPr="00A572E7">
          <w:rPr>
            <w:rStyle w:val="Hyperlink"/>
            <w:color w:val="062E74" w:themeColor="accent1" w:themeShade="BF"/>
          </w:rPr>
          <w:t>a</w:t>
        </w:r>
        <w:r w:rsidRPr="00A572E7">
          <w:rPr>
            <w:rStyle w:val="Hyperlink"/>
            <w:color w:val="062E74" w:themeColor="accent1" w:themeShade="BF"/>
          </w:rPr>
          <w:t xml:space="preserve">daptation </w:t>
        </w:r>
        <w:r w:rsidR="006C3D0C" w:rsidRPr="00A572E7">
          <w:rPr>
            <w:rStyle w:val="Hyperlink"/>
            <w:color w:val="062E74" w:themeColor="accent1" w:themeShade="BF"/>
          </w:rPr>
          <w:t>p</w:t>
        </w:r>
        <w:r w:rsidRPr="00A572E7">
          <w:rPr>
            <w:rStyle w:val="Hyperlink"/>
            <w:color w:val="062E74" w:themeColor="accent1" w:themeShade="BF"/>
          </w:rPr>
          <w:t>lanning</w:t>
        </w:r>
      </w:hyperlink>
      <w:r w:rsidRPr="008C0B5B">
        <w:t xml:space="preserve"> </w:t>
      </w:r>
      <w:r w:rsidR="00AD6DA9" w:rsidRPr="008C0B5B">
        <w:t>package</w:t>
      </w:r>
      <w:r w:rsidR="00AD6DA9" w:rsidRPr="00C16555">
        <w:rPr>
          <w:rStyle w:val="SubtleEmphasis"/>
          <w:rFonts w:ascii="Segoe UI" w:hAnsi="Segoe UI"/>
        </w:rPr>
        <w:t xml:space="preserve"> </w:t>
      </w:r>
      <w:r w:rsidRPr="00761FAC">
        <w:t xml:space="preserve">to support Australian health system organisations to identify, assess and manage risks posed by climate change to service delivery, infrastructure and population health. The guidance package consists of </w:t>
      </w:r>
      <w:r w:rsidR="003C3E23">
        <w:t xml:space="preserve">this overview, </w:t>
      </w:r>
      <w:r w:rsidRPr="00761FAC">
        <w:t>a manual</w:t>
      </w:r>
      <w:r w:rsidR="003C3E23">
        <w:t xml:space="preserve"> (or step-by-step guide)</w:t>
      </w:r>
      <w:r w:rsidRPr="00761FAC">
        <w:t>, templates</w:t>
      </w:r>
      <w:r w:rsidR="003C3E23">
        <w:t>,</w:t>
      </w:r>
      <w:r w:rsidRPr="00761FAC">
        <w:t xml:space="preserve"> and </w:t>
      </w:r>
      <w:r w:rsidR="003C3E23">
        <w:t xml:space="preserve">a </w:t>
      </w:r>
      <w:r w:rsidRPr="00761FAC">
        <w:t>Climate and Health Hazard Data resource</w:t>
      </w:r>
      <w:r w:rsidR="003C3E23">
        <w:t xml:space="preserve"> providing demographic and climate hazard data for 53 health districts across the country</w:t>
      </w:r>
      <w:r w:rsidRPr="00761FAC">
        <w:t>. Publication of the guidance fulfils Action 3.3 of the National Health and Climate Strategy.</w:t>
      </w:r>
      <w:bookmarkStart w:id="7" w:name="_Ref229995143"/>
      <w:r w:rsidRPr="00761FAC">
        <w:rPr>
          <w:vertAlign w:val="superscript"/>
        </w:rPr>
        <w:endnoteReference w:id="5"/>
      </w:r>
      <w:bookmarkEnd w:id="7"/>
    </w:p>
    <w:p w14:paraId="09E5A0CF" w14:textId="481E8D6E" w:rsidR="00796D1E" w:rsidRPr="00761FAC" w:rsidRDefault="007D0FFD" w:rsidP="003E13D5">
      <w:pPr>
        <w:pStyle w:val="BodyText"/>
      </w:pPr>
      <w:r>
        <w:t>This</w:t>
      </w:r>
      <w:r w:rsidRPr="00761FAC">
        <w:t xml:space="preserve"> </w:t>
      </w:r>
      <w:r w:rsidR="003E13D5" w:rsidRPr="00761FAC">
        <w:t>guidance aims to support Australian health system organisations to embed consideration of climate risks into organisation-wide governance, risk management, planning and procedures – for instance into an organisational enterprise risk management framework.</w:t>
      </w:r>
    </w:p>
    <w:p w14:paraId="064AB60E" w14:textId="4C9AD9BC" w:rsidR="003E13D5" w:rsidRPr="00761FAC" w:rsidRDefault="003E13D5" w:rsidP="003E13D5">
      <w:pPr>
        <w:pStyle w:val="BodyText"/>
      </w:pPr>
      <w:r w:rsidRPr="00761FAC">
        <w:t xml:space="preserve">The guidance </w:t>
      </w:r>
      <w:r w:rsidR="007D0FFD">
        <w:t>can</w:t>
      </w:r>
      <w:r w:rsidR="007D0FFD" w:rsidRPr="00761FAC">
        <w:t xml:space="preserve"> </w:t>
      </w:r>
      <w:r w:rsidRPr="00761FAC">
        <w:t xml:space="preserve">be used by all types of organisations that make up the Australian health system. The guidance </w:t>
      </w:r>
      <w:r w:rsidR="000F0408">
        <w:t>does not</w:t>
      </w:r>
      <w:r w:rsidRPr="00761FAC">
        <w:t xml:space="preserve"> supersede existing climate risk or disaster management planning </w:t>
      </w:r>
      <w:proofErr w:type="gramStart"/>
      <w:r w:rsidRPr="00761FAC">
        <w:t>arrangements</w:t>
      </w:r>
      <w:r w:rsidR="001F5570">
        <w:t>,</w:t>
      </w:r>
      <w:r w:rsidRPr="00761FAC">
        <w:t xml:space="preserve"> but</w:t>
      </w:r>
      <w:proofErr w:type="gramEnd"/>
      <w:r w:rsidR="001F5570">
        <w:t xml:space="preserve"> can help to </w:t>
      </w:r>
      <w:r w:rsidRPr="00761FAC">
        <w:t xml:space="preserve">enable organisations to embed climate risk </w:t>
      </w:r>
      <w:r w:rsidR="0011307D">
        <w:t xml:space="preserve">assessment </w:t>
      </w:r>
      <w:r w:rsidRPr="00761FAC">
        <w:t xml:space="preserve">and adaptation planning into </w:t>
      </w:r>
      <w:r w:rsidR="0011307D">
        <w:t xml:space="preserve">operational decision-making, risk management, and planning and strategy development </w:t>
      </w:r>
      <w:r w:rsidRPr="00761FAC">
        <w:t>processes. Users of the guidance should consider existing obligations to report on and consider climate risk.</w:t>
      </w:r>
    </w:p>
    <w:p w14:paraId="5128B5F1" w14:textId="44EEE225" w:rsidR="003E13D5" w:rsidRPr="00761FAC" w:rsidRDefault="003E13D5" w:rsidP="003E13D5">
      <w:pPr>
        <w:pStyle w:val="Heading2"/>
      </w:pPr>
      <w:r w:rsidRPr="00761FAC">
        <w:t>Scope</w:t>
      </w:r>
    </w:p>
    <w:p w14:paraId="67FFA272" w14:textId="60FB6A90" w:rsidR="009B7AE3" w:rsidRPr="00761FAC" w:rsidRDefault="3DC3D721" w:rsidP="48A9AA3F">
      <w:pPr>
        <w:pStyle w:val="BodyText"/>
      </w:pPr>
      <w:r w:rsidRPr="48A9AA3F">
        <w:t xml:space="preserve">This </w:t>
      </w:r>
      <w:r w:rsidR="7F3C4374" w:rsidRPr="48A9AA3F">
        <w:t xml:space="preserve">Australian CDC’s </w:t>
      </w:r>
      <w:r w:rsidRPr="48A9AA3F">
        <w:t>guidance supports Australian health system organisations to identify climate risks, and to develop and implement climate adaptation plans. It helps organisations embed assessment and management of climate risks into their governance, risk management, planning and procedures. This integration is critical to ensuring climate risks are assessed and managed effectively.</w:t>
      </w:r>
    </w:p>
    <w:p w14:paraId="5507F07A" w14:textId="77777777" w:rsidR="009B7AE3" w:rsidRPr="00761FAC" w:rsidRDefault="009B7AE3" w:rsidP="00517195">
      <w:pPr>
        <w:pStyle w:val="BodyText"/>
        <w:spacing w:after="0"/>
      </w:pPr>
      <w:r w:rsidRPr="00761FAC">
        <w:t>Users of this guidance may include:</w:t>
      </w:r>
    </w:p>
    <w:p w14:paraId="2CA1609F" w14:textId="77777777" w:rsidR="009B7AE3" w:rsidRPr="000448D7" w:rsidRDefault="009B7AE3" w:rsidP="000448D7">
      <w:pPr>
        <w:pStyle w:val="ListBullet"/>
      </w:pPr>
      <w:r w:rsidRPr="000448D7">
        <w:t>hospitals</w:t>
      </w:r>
    </w:p>
    <w:p w14:paraId="4604879B" w14:textId="77777777" w:rsidR="009B7AE3" w:rsidRPr="000448D7" w:rsidRDefault="009B7AE3" w:rsidP="000448D7">
      <w:pPr>
        <w:pStyle w:val="ListBullet"/>
      </w:pPr>
      <w:r w:rsidRPr="000448D7">
        <w:t>aged care providers</w:t>
      </w:r>
    </w:p>
    <w:p w14:paraId="5DD75589" w14:textId="77777777" w:rsidR="009B7AE3" w:rsidRPr="000448D7" w:rsidRDefault="009B7AE3" w:rsidP="000448D7">
      <w:pPr>
        <w:pStyle w:val="ListBullet"/>
      </w:pPr>
      <w:r w:rsidRPr="000448D7">
        <w:t>local health networks</w:t>
      </w:r>
    </w:p>
    <w:p w14:paraId="28F93F63" w14:textId="77777777" w:rsidR="009B7AE3" w:rsidRPr="000448D7" w:rsidRDefault="009B7AE3" w:rsidP="000448D7">
      <w:pPr>
        <w:pStyle w:val="ListBullet"/>
      </w:pPr>
      <w:r w:rsidRPr="000448D7">
        <w:t>Primary Health Networks</w:t>
      </w:r>
    </w:p>
    <w:p w14:paraId="7D0191E7" w14:textId="07683F7E" w:rsidR="009B7AE3" w:rsidRPr="00761FAC" w:rsidRDefault="009B7AE3" w:rsidP="000448D7">
      <w:pPr>
        <w:pStyle w:val="ListBullet"/>
      </w:pPr>
      <w:r w:rsidRPr="00761FAC">
        <w:lastRenderedPageBreak/>
        <w:t>Aboriginal Community</w:t>
      </w:r>
      <w:r w:rsidR="00F95714" w:rsidRPr="00761FAC">
        <w:t xml:space="preserve"> </w:t>
      </w:r>
      <w:r w:rsidRPr="00761FAC">
        <w:t>Controlled Health Services</w:t>
      </w:r>
    </w:p>
    <w:p w14:paraId="44FC473E" w14:textId="77777777" w:rsidR="00C677B1" w:rsidRDefault="009B7AE3" w:rsidP="000448D7">
      <w:pPr>
        <w:pStyle w:val="ListBullet"/>
      </w:pPr>
      <w:r w:rsidRPr="00761FAC">
        <w:t>other primary and secondary care services</w:t>
      </w:r>
    </w:p>
    <w:p w14:paraId="40473C0F" w14:textId="1D9CCCC5" w:rsidR="009B7AE3" w:rsidRPr="00761FAC" w:rsidRDefault="00C677B1" w:rsidP="000448D7">
      <w:pPr>
        <w:pStyle w:val="ListBullet"/>
      </w:pPr>
      <w:r w:rsidRPr="00761FAC">
        <w:t>state and territory health departments</w:t>
      </w:r>
      <w:r w:rsidR="009B7AE3" w:rsidRPr="00761FAC">
        <w:t>.</w:t>
      </w:r>
    </w:p>
    <w:p w14:paraId="353496EA" w14:textId="72DC085B" w:rsidR="00796D1E" w:rsidRPr="00761FAC" w:rsidRDefault="009B7AE3" w:rsidP="002F7027">
      <w:pPr>
        <w:pStyle w:val="BodyText"/>
      </w:pPr>
      <w:r w:rsidRPr="00761FAC">
        <w:t xml:space="preserve">A wide range of staff within these organisations can use this guidance: no </w:t>
      </w:r>
      <w:proofErr w:type="gramStart"/>
      <w:r w:rsidRPr="00761FAC">
        <w:t>particular professional</w:t>
      </w:r>
      <w:proofErr w:type="gramEnd"/>
      <w:r w:rsidRPr="00761FAC">
        <w:t xml:space="preserve"> background or skillset is assumed</w:t>
      </w:r>
      <w:r w:rsidR="00664752">
        <w:t>,</w:t>
      </w:r>
      <w:r w:rsidRPr="00761FAC">
        <w:t xml:space="preserve"> in recognition </w:t>
      </w:r>
      <w:r w:rsidRPr="00761FAC" w:rsidDel="004D6554">
        <w:t>that</w:t>
      </w:r>
      <w:r w:rsidRPr="00761FAC">
        <w:t xml:space="preserve"> responsibility for climate risk assessment and adaptation planning can vary significantly between organisations.</w:t>
      </w:r>
    </w:p>
    <w:p w14:paraId="2242E1BA" w14:textId="136898DE" w:rsidR="008931D0" w:rsidRDefault="009B7AE3" w:rsidP="00A14122">
      <w:pPr>
        <w:pStyle w:val="BodyText"/>
      </w:pPr>
      <w:r w:rsidRPr="00761FAC">
        <w:t>Th</w:t>
      </w:r>
      <w:r w:rsidR="0057064B" w:rsidRPr="00761FAC">
        <w:t>e</w:t>
      </w:r>
      <w:r w:rsidRPr="00761FAC">
        <w:t xml:space="preserve"> guidance focuses primarily on the assessment and management of physical climate risks – </w:t>
      </w:r>
      <w:r w:rsidRPr="00761FAC">
        <w:rPr>
          <w:rFonts w:cstheme="minorHAnsi"/>
        </w:rPr>
        <w:t>risks that arise directly from the physical impacts of climate change, such as damage to infrastructure from extreme weather, increased illness during heatwaves, or disruptions to services caused by flooding.</w:t>
      </w:r>
      <w:r w:rsidRPr="00761FAC">
        <w:t xml:space="preserve"> </w:t>
      </w:r>
      <w:r w:rsidR="00BB2E1F">
        <w:t xml:space="preserve">The </w:t>
      </w:r>
      <w:r w:rsidR="00B460D5" w:rsidRPr="00B460D5">
        <w:rPr>
          <w:i/>
          <w:iCs/>
        </w:rPr>
        <w:fldChar w:fldCharType="begin"/>
      </w:r>
      <w:r w:rsidR="00B460D5" w:rsidRPr="00B460D5">
        <w:rPr>
          <w:i/>
          <w:iCs/>
        </w:rPr>
        <w:instrText xml:space="preserve"> REF _Ref228369997 \h  \* MERGEFORMAT </w:instrText>
      </w:r>
      <w:r w:rsidR="00B460D5" w:rsidRPr="00B460D5">
        <w:rPr>
          <w:i/>
          <w:iCs/>
        </w:rPr>
      </w:r>
      <w:r w:rsidR="00B460D5" w:rsidRPr="00B460D5">
        <w:rPr>
          <w:i/>
          <w:iCs/>
        </w:rPr>
        <w:fldChar w:fldCharType="separate"/>
      </w:r>
      <w:r w:rsidR="00B460D5" w:rsidRPr="00B460D5">
        <w:rPr>
          <w:i/>
          <w:iCs/>
        </w:rPr>
        <w:t>Key concepts</w:t>
      </w:r>
      <w:r w:rsidR="00B460D5" w:rsidRPr="00B460D5">
        <w:rPr>
          <w:i/>
          <w:iCs/>
        </w:rPr>
        <w:fldChar w:fldCharType="end"/>
      </w:r>
      <w:r w:rsidR="00B460D5">
        <w:rPr>
          <w:i/>
          <w:iCs/>
        </w:rPr>
        <w:t xml:space="preserve"> </w:t>
      </w:r>
      <w:r w:rsidR="00BB2E1F">
        <w:t>section below discusses o</w:t>
      </w:r>
      <w:r w:rsidR="008711C6">
        <w:t xml:space="preserve">ther types of climate risk, including transition risks and liability risks. </w:t>
      </w:r>
      <w:r w:rsidRPr="00761FAC">
        <w:t>This focus on physical risk</w:t>
      </w:r>
      <w:r w:rsidRPr="00761FAC" w:rsidDel="00852412">
        <w:t xml:space="preserve"> </w:t>
      </w:r>
      <w:r w:rsidRPr="00761FAC">
        <w:t>helps keep the climate risk assessment process practical and achievable for health system organisations still developing their climate risk capacity and capability. Health system organisations seeking to comprehensively assess transition and liability risks should supplement this guidance with other available resources, outlined i</w:t>
      </w:r>
      <w:r w:rsidR="00E769B5" w:rsidRPr="00761FAC">
        <w:t xml:space="preserve">n </w:t>
      </w:r>
      <w:r w:rsidR="005D6AFF">
        <w:t>the manua</w:t>
      </w:r>
      <w:r w:rsidR="005D6AFF" w:rsidRPr="005D6AFF">
        <w:t>l</w:t>
      </w:r>
      <w:r w:rsidR="00E769B5" w:rsidRPr="00EB1FAD">
        <w:t>.</w:t>
      </w:r>
      <w:r w:rsidR="008931D0">
        <w:t xml:space="preserve"> For example, Treasury’s</w:t>
      </w:r>
      <w:r w:rsidR="008931D0" w:rsidRPr="008F5D47">
        <w:t xml:space="preserve"> </w:t>
      </w:r>
      <w:r w:rsidR="008931D0">
        <w:t>forthcoming</w:t>
      </w:r>
      <w:r w:rsidR="008931D0" w:rsidRPr="008F5D47">
        <w:t xml:space="preserve"> voluntary guidance on Climate-related Transition Planning </w:t>
      </w:r>
      <w:r w:rsidR="008931D0">
        <w:t xml:space="preserve">which covers an organisation’s internal transition planning to address </w:t>
      </w:r>
      <w:r w:rsidR="008931D0" w:rsidRPr="008F5D47">
        <w:t xml:space="preserve">both </w:t>
      </w:r>
      <w:r w:rsidR="008931D0">
        <w:t>tr</w:t>
      </w:r>
      <w:r w:rsidR="008931D0" w:rsidRPr="008F5D47">
        <w:t xml:space="preserve">ansition </w:t>
      </w:r>
      <w:r w:rsidR="008931D0">
        <w:t xml:space="preserve">and </w:t>
      </w:r>
      <w:r w:rsidR="008931D0" w:rsidRPr="008F5D47">
        <w:t>physical risks and opportunities</w:t>
      </w:r>
      <w:r w:rsidR="008931D0">
        <w:t xml:space="preserve"> </w:t>
      </w:r>
      <w:r w:rsidR="00D912AC">
        <w:t>by</w:t>
      </w:r>
      <w:r w:rsidR="008931D0">
        <w:t xml:space="preserve"> developing and </w:t>
      </w:r>
      <w:r w:rsidR="00987A39">
        <w:t>working towards achieving</w:t>
      </w:r>
      <w:r w:rsidR="008931D0">
        <w:t xml:space="preserve"> mitigation and adaptation objectives.</w:t>
      </w:r>
      <w:r w:rsidR="00770012">
        <w:rPr>
          <w:rStyle w:val="EndnoteReference"/>
        </w:rPr>
        <w:endnoteReference w:id="6"/>
      </w:r>
      <w:r w:rsidR="008931D0">
        <w:t xml:space="preserve"> </w:t>
      </w:r>
    </w:p>
    <w:p w14:paraId="42BA31D2" w14:textId="06797506" w:rsidR="00662657" w:rsidRDefault="0024639F" w:rsidP="00A14122">
      <w:pPr>
        <w:pStyle w:val="BodyText"/>
      </w:pPr>
      <w:r w:rsidRPr="005D6AFF">
        <w:t>I</w:t>
      </w:r>
      <w:r>
        <w:rPr>
          <w:iCs/>
        </w:rPr>
        <w:t xml:space="preserve">n addition to this guidance package, </w:t>
      </w:r>
      <w:r>
        <w:t>u</w:t>
      </w:r>
      <w:r w:rsidR="009B7AE3" w:rsidRPr="00761FAC">
        <w:t>sers should review any context-specific requirements (legislative</w:t>
      </w:r>
      <w:r w:rsidR="00176ACC">
        <w:t xml:space="preserve"> and/or</w:t>
      </w:r>
      <w:r w:rsidR="009B7AE3" w:rsidRPr="00761FAC">
        <w:t xml:space="preserve"> regulatory) in relation to climate risk assessment and disclosure to ensure compliance</w:t>
      </w:r>
    </w:p>
    <w:p w14:paraId="66181ED4" w14:textId="32380628" w:rsidR="0076482E" w:rsidRPr="00FF1517" w:rsidRDefault="003F5598" w:rsidP="00A14122">
      <w:pPr>
        <w:pStyle w:val="BodyText"/>
      </w:pPr>
      <w:r>
        <w:t xml:space="preserve">Importantly, the guidance does not prescribe how reporting </w:t>
      </w:r>
      <w:r w:rsidR="00765FE8">
        <w:t xml:space="preserve">entities should meet climate scenario requirements under the </w:t>
      </w:r>
      <w:r w:rsidR="00765FE8" w:rsidRPr="00B3277B">
        <w:t>Corporations Act</w:t>
      </w:r>
      <w:r w:rsidR="00765FE8" w:rsidRPr="006F04AF">
        <w:t xml:space="preserve"> or </w:t>
      </w:r>
      <w:r w:rsidR="00765FE8" w:rsidRPr="00B3277B">
        <w:t>AASB S2.</w:t>
      </w:r>
      <w:r w:rsidR="00765FE8">
        <w:rPr>
          <w:i/>
          <w:iCs/>
        </w:rPr>
        <w:t xml:space="preserve"> </w:t>
      </w:r>
      <w:r w:rsidR="00A244AE">
        <w:t xml:space="preserve">The Australian Accounting Standards Board (AASB) issued </w:t>
      </w:r>
      <w:hyperlink r:id="rId14" w:history="1">
        <w:r w:rsidR="00A244AE" w:rsidRPr="00A572E7">
          <w:rPr>
            <w:rStyle w:val="Hyperlink"/>
            <w:color w:val="062E74" w:themeColor="accent1" w:themeShade="BF"/>
          </w:rPr>
          <w:t>AASB S2 Climate-related Disclosures</w:t>
        </w:r>
      </w:hyperlink>
      <w:r w:rsidR="00A244AE">
        <w:t xml:space="preserve"> to </w:t>
      </w:r>
      <w:r w:rsidR="006E22EF">
        <w:t xml:space="preserve">mandate climate-related financial disclosures for certain entities via the </w:t>
      </w:r>
      <w:r w:rsidR="006E22EF">
        <w:rPr>
          <w:i/>
          <w:iCs/>
        </w:rPr>
        <w:t>Corporations Act 2001.</w:t>
      </w:r>
      <w:r w:rsidR="00651FFD">
        <w:rPr>
          <w:rStyle w:val="EndnoteReference"/>
          <w:i/>
          <w:iCs/>
        </w:rPr>
        <w:endnoteReference w:id="7"/>
      </w:r>
      <w:r w:rsidR="00AF46BD">
        <w:rPr>
          <w:i/>
          <w:iCs/>
        </w:rPr>
        <w:t xml:space="preserve"> </w:t>
      </w:r>
      <w:r w:rsidR="007A6E68" w:rsidRPr="00B3277B">
        <w:t>AASB S2 sets out the requirements for an entity to disclose information about its climate-related risks and opportunities, including climate-related scenario analysis requirements.</w:t>
      </w:r>
      <w:r w:rsidR="007A6E68" w:rsidRPr="007A6E68">
        <w:rPr>
          <w:i/>
          <w:iCs/>
        </w:rPr>
        <w:t xml:space="preserve"> </w:t>
      </w:r>
      <w:r w:rsidR="00AF46BD">
        <w:t xml:space="preserve">This guidance for health system organisations is not part of the AASB S2 and does </w:t>
      </w:r>
      <w:r w:rsidR="0056237F">
        <w:t xml:space="preserve">not add or change the requirements in AASB S2 or </w:t>
      </w:r>
      <w:r w:rsidR="0056237F" w:rsidRPr="006F04AF">
        <w:t xml:space="preserve">the </w:t>
      </w:r>
      <w:r w:rsidR="0056237F" w:rsidRPr="00B3277B">
        <w:t>Corporations Act.</w:t>
      </w:r>
      <w:r w:rsidR="0056237F">
        <w:rPr>
          <w:i/>
          <w:iCs/>
        </w:rPr>
        <w:t xml:space="preserve"> </w:t>
      </w:r>
      <w:r w:rsidR="004668F7" w:rsidRPr="00B3277B">
        <w:t xml:space="preserve">The Australian Securities and Investments Commission (ASIC), as the regulator responsible for administering the sustainability reporting requirements, provides general guidance on these requirements and their intent in </w:t>
      </w:r>
      <w:hyperlink r:id="rId15" w:history="1">
        <w:r w:rsidR="004668F7" w:rsidRPr="00A572E7">
          <w:rPr>
            <w:rStyle w:val="Hyperlink"/>
            <w:color w:val="062E74" w:themeColor="accent1" w:themeShade="BF"/>
          </w:rPr>
          <w:t>ASIC Regulatory Guide RG 280: Sustainability reporting (RG 280)</w:t>
        </w:r>
      </w:hyperlink>
      <w:r w:rsidR="004668F7" w:rsidRPr="00B3277B">
        <w:t>, particularly sections RG 280.98 to RG 280.101.</w:t>
      </w:r>
      <w:r w:rsidR="004668F7">
        <w:t xml:space="preserve"> ASIC </w:t>
      </w:r>
      <w:r w:rsidR="00F9439E">
        <w:t xml:space="preserve">may </w:t>
      </w:r>
      <w:r w:rsidR="000D4926">
        <w:t>issue further guidance as needed.</w:t>
      </w:r>
      <w:r w:rsidR="000E3110">
        <w:rPr>
          <w:rStyle w:val="EndnoteReference"/>
        </w:rPr>
        <w:endnoteReference w:id="8"/>
      </w:r>
    </w:p>
    <w:p w14:paraId="41C58241" w14:textId="64CF85BA" w:rsidR="00612388" w:rsidRPr="0076482E" w:rsidRDefault="00D51680" w:rsidP="000448D7">
      <w:pPr>
        <w:pStyle w:val="BodyText"/>
      </w:pPr>
      <w:hyperlink r:id="rId16" w:history="1">
        <w:r w:rsidRPr="00A572E7">
          <w:rPr>
            <w:rStyle w:val="Hyperlink"/>
            <w:color w:val="062E74" w:themeColor="accent1" w:themeShade="BF"/>
          </w:rPr>
          <w:t>Commonwealth Climate Disclosure</w:t>
        </w:r>
      </w:hyperlink>
      <w:r>
        <w:t xml:space="preserve"> is the </w:t>
      </w:r>
      <w:r w:rsidR="00D13CF7">
        <w:t>Australian</w:t>
      </w:r>
      <w:r>
        <w:t xml:space="preserve"> Government’s</w:t>
      </w:r>
      <w:r w:rsidR="00D13CF7">
        <w:t xml:space="preserve"> policy for Commonwealth entities and Commonwealth companies to publicly report on their exposure to climate risks and opportunities</w:t>
      </w:r>
      <w:r w:rsidR="00024B7C">
        <w:t xml:space="preserve">, as well as their actions to manage them. To view the full </w:t>
      </w:r>
      <w:r w:rsidR="0084048F">
        <w:t>Requirements,</w:t>
      </w:r>
      <w:r w:rsidR="00024B7C">
        <w:t xml:space="preserve"> </w:t>
      </w:r>
      <w:hyperlink r:id="rId17" w:history="1">
        <w:r w:rsidR="00024B7C" w:rsidRPr="00A572E7">
          <w:rPr>
            <w:rStyle w:val="Hyperlink"/>
            <w:color w:val="062E74" w:themeColor="accent1" w:themeShade="BF"/>
          </w:rPr>
          <w:t>visit</w:t>
        </w:r>
        <w:r w:rsidR="0084048F" w:rsidRPr="00A572E7">
          <w:rPr>
            <w:rStyle w:val="Hyperlink"/>
            <w:color w:val="062E74" w:themeColor="accent1" w:themeShade="BF"/>
          </w:rPr>
          <w:t xml:space="preserve"> </w:t>
        </w:r>
        <w:r w:rsidR="006F5297" w:rsidRPr="00A572E7">
          <w:rPr>
            <w:rStyle w:val="Hyperlink"/>
            <w:color w:val="062E74" w:themeColor="accent1" w:themeShade="BF"/>
          </w:rPr>
          <w:t xml:space="preserve">the </w:t>
        </w:r>
        <w:r w:rsidR="0084048F" w:rsidRPr="00A572E7">
          <w:rPr>
            <w:rStyle w:val="Hyperlink"/>
            <w:color w:val="062E74" w:themeColor="accent1" w:themeShade="BF"/>
          </w:rPr>
          <w:t>Commonwealth Climate Disclosure Requirements</w:t>
        </w:r>
      </w:hyperlink>
      <w:r w:rsidR="006F5297">
        <w:t xml:space="preserve"> </w:t>
      </w:r>
      <w:r w:rsidR="001C72FA">
        <w:t>web</w:t>
      </w:r>
      <w:r w:rsidR="006F5297">
        <w:t xml:space="preserve"> page</w:t>
      </w:r>
      <w:r w:rsidR="00D13CF7">
        <w:t xml:space="preserve">. </w:t>
      </w:r>
      <w:r w:rsidR="005D1C99">
        <w:t xml:space="preserve">This guidance </w:t>
      </w:r>
      <w:r w:rsidR="00DE42D9">
        <w:t xml:space="preserve">does not </w:t>
      </w:r>
      <w:r w:rsidR="00DE42D9">
        <w:lastRenderedPageBreak/>
        <w:t xml:space="preserve">add or change </w:t>
      </w:r>
      <w:r w:rsidR="00BE085F">
        <w:t xml:space="preserve">the requirements for </w:t>
      </w:r>
      <w:r w:rsidR="00A25D2E">
        <w:t xml:space="preserve">Commonwealth entities and Commonwealth </w:t>
      </w:r>
      <w:r w:rsidR="004376B9">
        <w:t xml:space="preserve">companies </w:t>
      </w:r>
      <w:r w:rsidR="004B394A">
        <w:t xml:space="preserve">meet requirements under the Commonwealth </w:t>
      </w:r>
      <w:r w:rsidR="000A0FC3">
        <w:t>Climate Disclosure policy.</w:t>
      </w:r>
    </w:p>
    <w:p w14:paraId="608C0EBD" w14:textId="77777777" w:rsidR="00662657" w:rsidRDefault="00662657" w:rsidP="00662657">
      <w:pPr>
        <w:pStyle w:val="Heading2"/>
      </w:pPr>
      <w:r>
        <w:t>Policy context</w:t>
      </w:r>
    </w:p>
    <w:p w14:paraId="610784E1" w14:textId="31B11D12" w:rsidR="00662657" w:rsidRDefault="00662657" w:rsidP="000448D7">
      <w:pPr>
        <w:pStyle w:val="BodyText"/>
      </w:pPr>
      <w:r>
        <w:t>This</w:t>
      </w:r>
      <w:r w:rsidRPr="00761FAC">
        <w:t xml:space="preserve"> guidance</w:t>
      </w:r>
      <w:r>
        <w:t xml:space="preserve"> package</w:t>
      </w:r>
      <w:r w:rsidRPr="00761FAC">
        <w:t xml:space="preserve"> complements </w:t>
      </w:r>
      <w:r>
        <w:t xml:space="preserve">and builds on </w:t>
      </w:r>
      <w:r w:rsidRPr="00761FAC">
        <w:t xml:space="preserve">a series of recent landmark Australian Government initiatives on climate risk </w:t>
      </w:r>
      <w:r>
        <w:t xml:space="preserve">assessment </w:t>
      </w:r>
      <w:r w:rsidRPr="00761FAC">
        <w:t>and adaptation planning. These include</w:t>
      </w:r>
      <w:r>
        <w:t>:</w:t>
      </w:r>
    </w:p>
    <w:p w14:paraId="7881A006" w14:textId="2B084FBC" w:rsidR="00662657" w:rsidRPr="00594B1D" w:rsidRDefault="00662657" w:rsidP="000448D7">
      <w:pPr>
        <w:pStyle w:val="ListBullet"/>
        <w:rPr>
          <w:rFonts w:cstheme="minorHAnsi"/>
        </w:rPr>
      </w:pPr>
      <w:r w:rsidRPr="00761FAC">
        <w:t xml:space="preserve">Australia’s first </w:t>
      </w:r>
      <w:hyperlink r:id="rId18" w:history="1">
        <w:r w:rsidRPr="000D2189">
          <w:rPr>
            <w:rStyle w:val="Hyperlink"/>
            <w:color w:val="062E74" w:themeColor="accent1" w:themeShade="BF"/>
          </w:rPr>
          <w:t>National Climate Risk Assessment</w:t>
        </w:r>
      </w:hyperlink>
      <w:r>
        <w:t xml:space="preserve"> </w:t>
      </w:r>
      <w:r w:rsidRPr="00761FAC">
        <w:t xml:space="preserve">and </w:t>
      </w:r>
      <w:hyperlink r:id="rId19" w:history="1">
        <w:r w:rsidRPr="000D2189">
          <w:rPr>
            <w:rStyle w:val="Hyperlink"/>
            <w:color w:val="062E74" w:themeColor="accent1" w:themeShade="BF"/>
          </w:rPr>
          <w:t>National Adaptation Plan</w:t>
        </w:r>
      </w:hyperlink>
      <w:r w:rsidRPr="00761FAC">
        <w:t>, which provide a comprehensive understanding of Australia’s climate risks and adaptation actions</w:t>
      </w:r>
      <w:r w:rsidR="00C832A0">
        <w:t>.</w:t>
      </w:r>
      <w:r w:rsidR="008F41D6" w:rsidRPr="008F41D6">
        <w:rPr>
          <w:rFonts w:cstheme="minorHAnsi"/>
          <w:vertAlign w:val="superscript"/>
        </w:rPr>
        <w:fldChar w:fldCharType="begin"/>
      </w:r>
      <w:r w:rsidR="008F41D6" w:rsidRPr="008F41D6">
        <w:rPr>
          <w:vertAlign w:val="superscript"/>
        </w:rPr>
        <w:instrText xml:space="preserve"> NOTEREF _Ref229994959 \h </w:instrText>
      </w:r>
      <w:r w:rsidR="008F41D6" w:rsidRPr="008F41D6">
        <w:rPr>
          <w:rFonts w:cstheme="minorHAnsi"/>
          <w:vertAlign w:val="superscript"/>
        </w:rPr>
        <w:instrText xml:space="preserve"> \* MERGEFORMAT </w:instrText>
      </w:r>
      <w:r w:rsidR="008F41D6" w:rsidRPr="008F41D6">
        <w:rPr>
          <w:rFonts w:cstheme="minorHAnsi"/>
          <w:vertAlign w:val="superscript"/>
        </w:rPr>
      </w:r>
      <w:r w:rsidR="008F41D6" w:rsidRPr="008F41D6">
        <w:rPr>
          <w:rFonts w:cstheme="minorHAnsi"/>
          <w:vertAlign w:val="superscript"/>
        </w:rPr>
        <w:fldChar w:fldCharType="separate"/>
      </w:r>
      <w:r w:rsidR="008F41D6" w:rsidRPr="008F41D6">
        <w:rPr>
          <w:vertAlign w:val="superscript"/>
        </w:rPr>
        <w:t>1</w:t>
      </w:r>
      <w:r w:rsidR="008F41D6" w:rsidRPr="008F41D6">
        <w:rPr>
          <w:rFonts w:cstheme="minorHAnsi"/>
          <w:vertAlign w:val="superscript"/>
        </w:rPr>
        <w:fldChar w:fldCharType="end"/>
      </w:r>
      <w:r w:rsidR="008F41D6">
        <w:rPr>
          <w:rFonts w:cstheme="minorHAnsi"/>
          <w:vertAlign w:val="superscript"/>
        </w:rPr>
        <w:t>,</w:t>
      </w:r>
      <w:r w:rsidR="008F41D6" w:rsidRPr="008F41D6">
        <w:rPr>
          <w:rFonts w:cstheme="minorHAnsi"/>
          <w:vertAlign w:val="superscript"/>
        </w:rPr>
        <w:fldChar w:fldCharType="begin"/>
      </w:r>
      <w:r w:rsidR="008F41D6" w:rsidRPr="008F41D6">
        <w:rPr>
          <w:rFonts w:cstheme="minorHAnsi"/>
          <w:vertAlign w:val="superscript"/>
        </w:rPr>
        <w:instrText xml:space="preserve"> NOTEREF _Ref229994942 \h  \* MERGEFORMAT </w:instrText>
      </w:r>
      <w:r w:rsidR="008F41D6" w:rsidRPr="008F41D6">
        <w:rPr>
          <w:rFonts w:cstheme="minorHAnsi"/>
          <w:vertAlign w:val="superscript"/>
        </w:rPr>
      </w:r>
      <w:r w:rsidR="008F41D6" w:rsidRPr="008F41D6">
        <w:rPr>
          <w:rFonts w:cstheme="minorHAnsi"/>
          <w:vertAlign w:val="superscript"/>
        </w:rPr>
        <w:fldChar w:fldCharType="separate"/>
      </w:r>
      <w:r w:rsidR="008F41D6" w:rsidRPr="008F41D6">
        <w:rPr>
          <w:rFonts w:cstheme="minorHAnsi"/>
          <w:vertAlign w:val="superscript"/>
        </w:rPr>
        <w:t>2</w:t>
      </w:r>
      <w:r w:rsidR="008F41D6" w:rsidRPr="008F41D6">
        <w:rPr>
          <w:rFonts w:cstheme="minorHAnsi"/>
          <w:vertAlign w:val="superscript"/>
        </w:rPr>
        <w:fldChar w:fldCharType="end"/>
      </w:r>
    </w:p>
    <w:p w14:paraId="1FE502CA" w14:textId="0FE8A595" w:rsidR="00662657" w:rsidRDefault="00662657" w:rsidP="000448D7">
      <w:pPr>
        <w:pStyle w:val="ListBullet"/>
        <w:rPr>
          <w:rFonts w:cstheme="minorHAnsi"/>
        </w:rPr>
      </w:pPr>
      <w:r>
        <w:t>T</w:t>
      </w:r>
      <w:r w:rsidRPr="00761FAC">
        <w:t xml:space="preserve">he </w:t>
      </w:r>
      <w:hyperlink r:id="rId20" w:history="1">
        <w:r w:rsidRPr="000D2189">
          <w:rPr>
            <w:rStyle w:val="Hyperlink"/>
            <w:color w:val="062E74" w:themeColor="accent1" w:themeShade="BF"/>
          </w:rPr>
          <w:t>Climate Risk and Opportunity Management Program</w:t>
        </w:r>
      </w:hyperlink>
      <w:r w:rsidRPr="00761FAC">
        <w:t xml:space="preserve"> </w:t>
      </w:r>
      <w:r>
        <w:t>(CROMP)</w:t>
      </w:r>
      <w:r w:rsidR="00355ADF">
        <w:t>,</w:t>
      </w:r>
      <w:r>
        <w:t xml:space="preserve"> </w:t>
      </w:r>
      <w:r w:rsidRPr="00761FAC">
        <w:t>which provides guidance</w:t>
      </w:r>
      <w:r w:rsidR="002965AF">
        <w:t>, support</w:t>
      </w:r>
      <w:r w:rsidRPr="00761FAC">
        <w:t xml:space="preserve"> and </w:t>
      </w:r>
      <w:r w:rsidR="002965AF">
        <w:t xml:space="preserve">a </w:t>
      </w:r>
      <w:r w:rsidRPr="00761FAC">
        <w:t>digital tool for entities</w:t>
      </w:r>
      <w:r w:rsidR="002965AF">
        <w:t xml:space="preserve"> from all levels of government</w:t>
      </w:r>
      <w:r w:rsidRPr="00761FAC">
        <w:t xml:space="preserve"> to identify and manage climate risks and opportunities</w:t>
      </w:r>
      <w:r w:rsidR="00C832A0">
        <w:t>.</w:t>
      </w:r>
      <w:r w:rsidR="00D83942" w:rsidRPr="00D83942">
        <w:rPr>
          <w:rFonts w:cstheme="minorHAnsi"/>
          <w:vertAlign w:val="superscript"/>
        </w:rPr>
        <w:fldChar w:fldCharType="begin"/>
      </w:r>
      <w:r w:rsidR="00D83942" w:rsidRPr="00D83942">
        <w:rPr>
          <w:vertAlign w:val="superscript"/>
        </w:rPr>
        <w:instrText xml:space="preserve"> NOTEREF _Ref229994945 \h </w:instrText>
      </w:r>
      <w:r w:rsidR="00D83942">
        <w:rPr>
          <w:rFonts w:cstheme="minorHAnsi"/>
          <w:vertAlign w:val="superscript"/>
        </w:rPr>
        <w:instrText xml:space="preserve"> \* MERGEFORMAT </w:instrText>
      </w:r>
      <w:r w:rsidR="00D83942" w:rsidRPr="00D83942">
        <w:rPr>
          <w:rFonts w:cstheme="minorHAnsi"/>
          <w:vertAlign w:val="superscript"/>
        </w:rPr>
      </w:r>
      <w:r w:rsidR="00D83942" w:rsidRPr="00D83942">
        <w:rPr>
          <w:rFonts w:cstheme="minorHAnsi"/>
          <w:vertAlign w:val="superscript"/>
        </w:rPr>
        <w:fldChar w:fldCharType="separate"/>
      </w:r>
      <w:r w:rsidR="00D83942" w:rsidRPr="00D83942">
        <w:rPr>
          <w:vertAlign w:val="superscript"/>
        </w:rPr>
        <w:t>3</w:t>
      </w:r>
      <w:r w:rsidR="00D83942" w:rsidRPr="00D83942">
        <w:rPr>
          <w:rFonts w:cstheme="minorHAnsi"/>
          <w:vertAlign w:val="superscript"/>
        </w:rPr>
        <w:fldChar w:fldCharType="end"/>
      </w:r>
    </w:p>
    <w:p w14:paraId="2FA8B58F" w14:textId="66C96D5F" w:rsidR="00662657" w:rsidRDefault="00662657" w:rsidP="000448D7">
      <w:pPr>
        <w:pStyle w:val="ListBullet"/>
      </w:pPr>
      <w:r>
        <w:t xml:space="preserve">Amendments to the </w:t>
      </w:r>
      <w:r>
        <w:rPr>
          <w:i/>
          <w:iCs/>
        </w:rPr>
        <w:t xml:space="preserve">Corporations Act 2001, </w:t>
      </w:r>
      <w:r>
        <w:t>which introduced climate-related financial disclosure requirements for selected entities.</w:t>
      </w:r>
      <w:r w:rsidR="00B460D5" w:rsidRPr="00B460D5">
        <w:rPr>
          <w:vertAlign w:val="superscript"/>
        </w:rPr>
        <w:fldChar w:fldCharType="begin"/>
      </w:r>
      <w:r w:rsidR="00B460D5" w:rsidRPr="00B460D5">
        <w:rPr>
          <w:vertAlign w:val="superscript"/>
        </w:rPr>
        <w:instrText xml:space="preserve"> NOTEREF _Ref229994883 \h  \* MERGEFORMAT </w:instrText>
      </w:r>
      <w:r w:rsidR="00B460D5" w:rsidRPr="00B460D5">
        <w:rPr>
          <w:vertAlign w:val="superscript"/>
        </w:rPr>
      </w:r>
      <w:r w:rsidR="00B460D5" w:rsidRPr="00B460D5">
        <w:rPr>
          <w:vertAlign w:val="superscript"/>
        </w:rPr>
        <w:fldChar w:fldCharType="separate"/>
      </w:r>
      <w:r w:rsidR="00B460D5" w:rsidRPr="00B460D5">
        <w:rPr>
          <w:vertAlign w:val="superscript"/>
        </w:rPr>
        <w:t>4</w:t>
      </w:r>
      <w:r w:rsidR="00B460D5" w:rsidRPr="00B460D5">
        <w:rPr>
          <w:vertAlign w:val="superscript"/>
        </w:rPr>
        <w:fldChar w:fldCharType="end"/>
      </w:r>
    </w:p>
    <w:p w14:paraId="739989D1" w14:textId="49EBCA97" w:rsidR="00CB2B79" w:rsidRDefault="00DB4949" w:rsidP="000448D7">
      <w:pPr>
        <w:pStyle w:val="BodyText"/>
      </w:pPr>
      <w:r>
        <w:t xml:space="preserve">The Australian Government is also working to reduce emissions to help limit the worst impacts of climate change, with a target to reduce emissions </w:t>
      </w:r>
      <w:r w:rsidR="002B6D2D" w:rsidRPr="002B6D2D">
        <w:t>to 62-70% below 2005 levels by 2035</w:t>
      </w:r>
      <w:r w:rsidR="00C24756">
        <w:t xml:space="preserve"> and </w:t>
      </w:r>
      <w:r w:rsidR="00C11C02">
        <w:t xml:space="preserve">achieve </w:t>
      </w:r>
      <w:r w:rsidR="00C24756">
        <w:t xml:space="preserve">net zero by 2050. </w:t>
      </w:r>
      <w:r w:rsidR="00F566DF">
        <w:t>These targets were set out in Australia’s latest Nationally Determined Contribution</w:t>
      </w:r>
      <w:r w:rsidR="006F39E4">
        <w:t xml:space="preserve">, which was </w:t>
      </w:r>
      <w:r w:rsidR="005152E3">
        <w:t xml:space="preserve">submitted to the United Nations </w:t>
      </w:r>
      <w:r w:rsidR="00BD786E">
        <w:t>Framework Convention on Climate Change</w:t>
      </w:r>
      <w:r w:rsidR="005152E3">
        <w:t xml:space="preserve"> </w:t>
      </w:r>
      <w:r w:rsidR="00BE753C">
        <w:t>in September 2025.</w:t>
      </w:r>
      <w:r w:rsidR="00834C72">
        <w:rPr>
          <w:rStyle w:val="EndnoteReference"/>
          <w:rFonts w:cstheme="minorHAnsi"/>
        </w:rPr>
        <w:endnoteReference w:id="9"/>
      </w:r>
      <w:r w:rsidR="00E85B1D">
        <w:t xml:space="preserve"> </w:t>
      </w:r>
      <w:r w:rsidR="00F47D7E">
        <w:t xml:space="preserve">The Net Zero Plan </w:t>
      </w:r>
      <w:r w:rsidR="005C0D27" w:rsidRPr="005C0D27">
        <w:t xml:space="preserve">sets out how </w:t>
      </w:r>
      <w:r w:rsidR="005C0D27">
        <w:t>Australia</w:t>
      </w:r>
      <w:r w:rsidR="005C0D27" w:rsidRPr="005C0D27">
        <w:t xml:space="preserve"> will achieve </w:t>
      </w:r>
      <w:r w:rsidR="001C6267">
        <w:t>these targets</w:t>
      </w:r>
      <w:r w:rsidR="00ED7C56">
        <w:t>, and is supported by six sector emissions reduction plans.</w:t>
      </w:r>
      <w:r w:rsidR="00CF535E">
        <w:rPr>
          <w:rStyle w:val="EndnoteReference"/>
          <w:rFonts w:cstheme="minorHAnsi"/>
        </w:rPr>
        <w:endnoteReference w:id="10"/>
      </w:r>
      <w:r w:rsidR="00776CC4" w:rsidRPr="00776CC4">
        <w:rPr>
          <w:vertAlign w:val="superscript"/>
        </w:rPr>
        <w:t>,</w:t>
      </w:r>
      <w:r w:rsidR="00DE5E30">
        <w:rPr>
          <w:rStyle w:val="EndnoteReference"/>
          <w:rFonts w:cstheme="minorHAnsi"/>
        </w:rPr>
        <w:endnoteReference w:id="11"/>
      </w:r>
    </w:p>
    <w:p w14:paraId="7649EEEF" w14:textId="2FCD5744" w:rsidR="00662657" w:rsidRPr="00E36545" w:rsidRDefault="00662657" w:rsidP="000448D7">
      <w:pPr>
        <w:pStyle w:val="BodyText"/>
      </w:pPr>
      <w:r w:rsidRPr="0002642A">
        <w:t>Th</w:t>
      </w:r>
      <w:r>
        <w:t>e</w:t>
      </w:r>
      <w:r w:rsidRPr="0002642A">
        <w:t xml:space="preserve"> </w:t>
      </w:r>
      <w:r w:rsidRPr="00761FAC">
        <w:t xml:space="preserve">guidance </w:t>
      </w:r>
      <w:r>
        <w:t>also</w:t>
      </w:r>
      <w:r w:rsidRPr="00761FAC">
        <w:t xml:space="preserve"> complements</w:t>
      </w:r>
      <w:r>
        <w:t xml:space="preserve"> and builds on</w:t>
      </w:r>
      <w:r w:rsidRPr="00761FAC">
        <w:t xml:space="preserve"> existing </w:t>
      </w:r>
      <w:r>
        <w:t>guidance</w:t>
      </w:r>
      <w:r w:rsidRPr="00761FAC">
        <w:t xml:space="preserve"> by jurisdictional health departments, such as Queensland Health’s </w:t>
      </w:r>
      <w:hyperlink r:id="rId21" w:history="1">
        <w:r w:rsidRPr="000D2189">
          <w:rPr>
            <w:rStyle w:val="Hyperlink"/>
            <w:rFonts w:cstheme="minorHAnsi"/>
            <w:color w:val="062E74" w:themeColor="accent1" w:themeShade="BF"/>
          </w:rPr>
          <w:t>Climate Change Adaptation Planning Guidance</w:t>
        </w:r>
      </w:hyperlink>
      <w:r w:rsidRPr="00761FAC">
        <w:t xml:space="preserve"> and the Victorian Department of Health’s climate risk toolkit for Victorian health services.</w:t>
      </w:r>
      <w:r w:rsidRPr="00E97AB3">
        <w:rPr>
          <w:rStyle w:val="EndnoteReference"/>
        </w:rPr>
        <w:endnoteReference w:id="12"/>
      </w:r>
      <w:r w:rsidR="004141B5" w:rsidRPr="004141B5">
        <w:rPr>
          <w:vertAlign w:val="superscript"/>
        </w:rPr>
        <w:t>,</w:t>
      </w:r>
      <w:r w:rsidR="00F11A13">
        <w:rPr>
          <w:rStyle w:val="EndnoteReference"/>
          <w:rFonts w:cstheme="minorHAnsi"/>
        </w:rPr>
        <w:endnoteReference w:id="13"/>
      </w:r>
    </w:p>
    <w:p w14:paraId="0D604BAD" w14:textId="57BDF61D" w:rsidR="00662657" w:rsidRPr="000448D7" w:rsidRDefault="00662657" w:rsidP="000448D7">
      <w:pPr>
        <w:pStyle w:val="BodyText"/>
      </w:pPr>
      <w:r w:rsidRPr="00761FAC">
        <w:t>This guidance delivers a key commitment from the National Health and Climate Strategy (the strategy), released by the Australian Government in December 2023.</w:t>
      </w:r>
      <w:r w:rsidR="007C3563" w:rsidRPr="007C3563">
        <w:rPr>
          <w:vertAlign w:val="superscript"/>
        </w:rPr>
        <w:fldChar w:fldCharType="begin"/>
      </w:r>
      <w:r w:rsidR="007C3563" w:rsidRPr="007C3563">
        <w:rPr>
          <w:vertAlign w:val="superscript"/>
        </w:rPr>
        <w:instrText xml:space="preserve"> NOTEREF _Ref229995143 \h </w:instrText>
      </w:r>
      <w:r w:rsidR="007C3563">
        <w:rPr>
          <w:vertAlign w:val="superscript"/>
        </w:rPr>
        <w:instrText xml:space="preserve"> \* MERGEFORMAT </w:instrText>
      </w:r>
      <w:r w:rsidR="007C3563" w:rsidRPr="007C3563">
        <w:rPr>
          <w:vertAlign w:val="superscript"/>
        </w:rPr>
      </w:r>
      <w:r w:rsidR="007C3563" w:rsidRPr="007C3563">
        <w:rPr>
          <w:vertAlign w:val="superscript"/>
        </w:rPr>
        <w:fldChar w:fldCharType="separate"/>
      </w:r>
      <w:r w:rsidR="007C3563" w:rsidRPr="007C3563">
        <w:rPr>
          <w:vertAlign w:val="superscript"/>
        </w:rPr>
        <w:t>5</w:t>
      </w:r>
      <w:r w:rsidR="007C3563" w:rsidRPr="007C3563">
        <w:rPr>
          <w:vertAlign w:val="superscript"/>
        </w:rPr>
        <w:fldChar w:fldCharType="end"/>
      </w:r>
      <w:r w:rsidR="007C3563">
        <w:t xml:space="preserve"> </w:t>
      </w:r>
      <w:r w:rsidRPr="00761FAC">
        <w:t>The strategy sets out a whole-of-government plan for achieving a climate-resilient health system that protects and promote</w:t>
      </w:r>
      <w:r w:rsidRPr="000448D7">
        <w:t>s the health and wellbeing of people in Australia in a changing climate.</w:t>
      </w:r>
    </w:p>
    <w:p w14:paraId="4243E146" w14:textId="77777777" w:rsidR="00662657" w:rsidRPr="000448D7" w:rsidRDefault="00662657" w:rsidP="000448D7">
      <w:pPr>
        <w:pStyle w:val="BodyText"/>
      </w:pPr>
      <w:r w:rsidRPr="000448D7">
        <w:t>Consultations undertaken to inform development of the strategy identified a need for practical guidance to support health system organisations across Australia to assess and manage climate-related risks.</w:t>
      </w:r>
      <w:r w:rsidRPr="000448D7">
        <w:rPr>
          <w:rStyle w:val="EndnoteReference"/>
          <w:vertAlign w:val="baseline"/>
        </w:rPr>
        <w:endnoteReference w:id="14"/>
      </w:r>
      <w:r w:rsidRPr="000448D7">
        <w:t xml:space="preserve"> Stakeholders emphasised that this guidance should be usable by a wide range of health system organisations, support place-based identification of local risks, facilitate integration of climate risks into existing enterprise risk management systems, and address both risks to service delivery and risks to population health.</w:t>
      </w:r>
    </w:p>
    <w:p w14:paraId="27EDE64D" w14:textId="77777777" w:rsidR="00DD6619" w:rsidRDefault="00662657" w:rsidP="000448D7">
      <w:pPr>
        <w:pStyle w:val="BodyText"/>
      </w:pPr>
      <w:r w:rsidRPr="000448D7">
        <w:t>To address this identified need, Action 3.3 of the strategy committed to developing nationally relevant g</w:t>
      </w:r>
      <w:r w:rsidRPr="48A9AA3F">
        <w:t xml:space="preserve">uidance on climate risk assessment and adaptation planning for health system organisations. This commitment recognises that undertaking climate risk assessments and developing adaptation plans is a critical first step in developing evidence-based, strategic </w:t>
      </w:r>
      <w:r w:rsidRPr="48A9AA3F">
        <w:lastRenderedPageBreak/>
        <w:t xml:space="preserve">responses to climate impacts on population health and health systems. </w:t>
      </w:r>
      <w:r>
        <w:t xml:space="preserve">The commitment is also in line with expanding regulatory expectations across jurisdictions and globally </w:t>
      </w:r>
      <w:r w:rsidRPr="48A9AA3F">
        <w:t>for organisations to identify, disclose, and manage climate-related risks.</w:t>
      </w:r>
      <w:bookmarkStart w:id="8" w:name="_Ref229996440"/>
      <w:r w:rsidRPr="48A9AA3F">
        <w:rPr>
          <w:rStyle w:val="EndnoteReference"/>
        </w:rPr>
        <w:endnoteReference w:id="15"/>
      </w:r>
      <w:bookmarkEnd w:id="8"/>
      <w:r w:rsidRPr="00A73BE2">
        <w:rPr>
          <w:vertAlign w:val="superscript"/>
        </w:rPr>
        <w:t>,</w:t>
      </w:r>
      <w:r w:rsidRPr="48A9AA3F">
        <w:rPr>
          <w:rStyle w:val="EndnoteReference"/>
        </w:rPr>
        <w:endnoteReference w:id="16"/>
      </w:r>
      <w:r w:rsidRPr="48A9AA3F">
        <w:rPr>
          <w:vertAlign w:val="superscript"/>
        </w:rPr>
        <w:t>,</w:t>
      </w:r>
      <w:r w:rsidRPr="48A9AA3F">
        <w:rPr>
          <w:rStyle w:val="EndnoteReference"/>
        </w:rPr>
        <w:endnoteReference w:id="17"/>
      </w:r>
      <w:r w:rsidRPr="48A9AA3F">
        <w:rPr>
          <w:vertAlign w:val="superscript"/>
        </w:rPr>
        <w:t>,</w:t>
      </w:r>
      <w:r w:rsidRPr="48A9AA3F">
        <w:rPr>
          <w:rStyle w:val="EndnoteReference"/>
        </w:rPr>
        <w:endnoteReference w:id="18"/>
      </w:r>
    </w:p>
    <w:p w14:paraId="41AE72FD" w14:textId="77777777" w:rsidR="00DD6619" w:rsidRPr="00761FAC" w:rsidRDefault="00DD6619" w:rsidP="00982A4F">
      <w:pPr>
        <w:pStyle w:val="Heading2"/>
      </w:pPr>
      <w:r w:rsidRPr="00761FAC">
        <w:t>Why is it important to assess climate risks and adapt?</w:t>
      </w:r>
    </w:p>
    <w:p w14:paraId="5C7E18C5" w14:textId="77777777" w:rsidR="00DD6619" w:rsidRPr="00EB2BEA" w:rsidRDefault="00DD6619" w:rsidP="00DD6619">
      <w:pPr>
        <w:pStyle w:val="BodyText"/>
      </w:pPr>
      <w:r w:rsidRPr="00EB2BEA">
        <w:t>Health system organisations can achieve many organisational objectives by undertaking climate risk assessment and adaptation planning. These include:</w:t>
      </w:r>
    </w:p>
    <w:p w14:paraId="6C8914A1" w14:textId="77777777" w:rsidR="00DD6619" w:rsidRPr="00EB2BEA" w:rsidRDefault="00DD6619" w:rsidP="000448D7">
      <w:pPr>
        <w:pStyle w:val="ListBullet"/>
      </w:pPr>
      <w:r w:rsidRPr="00761FAC">
        <w:rPr>
          <w:b/>
        </w:rPr>
        <w:t>P</w:t>
      </w:r>
      <w:r w:rsidRPr="00EB2BEA">
        <w:rPr>
          <w:b/>
        </w:rPr>
        <w:t>rotecting population health:</w:t>
      </w:r>
      <w:r w:rsidRPr="00EB2BEA">
        <w:t xml:space="preserve"> </w:t>
      </w:r>
      <w:r w:rsidRPr="00761FAC">
        <w:t>I</w:t>
      </w:r>
      <w:r w:rsidRPr="00EB2BEA">
        <w:t>dentifying and proactively managing climate-related risks will help to</w:t>
      </w:r>
      <w:r w:rsidRPr="00EB2BEA" w:rsidDel="00A87E38">
        <w:t xml:space="preserve"> </w:t>
      </w:r>
      <w:r w:rsidRPr="00EB2BEA">
        <w:t>maintain population health and reduce preventable illness</w:t>
      </w:r>
      <w:r w:rsidRPr="00761FAC">
        <w:t>.</w:t>
      </w:r>
    </w:p>
    <w:p w14:paraId="61E9673D" w14:textId="77777777" w:rsidR="00DD6619" w:rsidRPr="000448D7" w:rsidRDefault="00DD6619" w:rsidP="000448D7">
      <w:pPr>
        <w:pStyle w:val="ListBullet"/>
      </w:pPr>
      <w:r w:rsidRPr="00761FAC">
        <w:rPr>
          <w:b/>
        </w:rPr>
        <w:t>B</w:t>
      </w:r>
      <w:r w:rsidRPr="00EB2BEA">
        <w:rPr>
          <w:b/>
        </w:rPr>
        <w:t>uilding long-term system resilience and ensuring business continuity:</w:t>
      </w:r>
      <w:r w:rsidRPr="00EB2BEA">
        <w:t xml:space="preserve"> </w:t>
      </w:r>
      <w:r w:rsidRPr="00761FAC">
        <w:t>I</w:t>
      </w:r>
      <w:r w:rsidRPr="00EB2BEA">
        <w:t xml:space="preserve">dentifying and </w:t>
      </w:r>
      <w:r>
        <w:t>managing</w:t>
      </w:r>
      <w:r w:rsidRPr="00EB2BEA">
        <w:t xml:space="preserve"> climate risks to service delivery supports long-term resilience</w:t>
      </w:r>
      <w:r>
        <w:t xml:space="preserve">, </w:t>
      </w:r>
      <w:r w:rsidRPr="00EB2BEA">
        <w:t>business continuity and efficiency during extreme weather events and climate-related disruptions, helping to ensure health system organisations can continue to deliver critical services</w:t>
      </w:r>
      <w:r w:rsidRPr="000448D7">
        <w:t>.</w:t>
      </w:r>
    </w:p>
    <w:p w14:paraId="522A67A6" w14:textId="77777777" w:rsidR="00DD6619" w:rsidRPr="000448D7" w:rsidRDefault="00DD6619" w:rsidP="00DD6619">
      <w:pPr>
        <w:pStyle w:val="BulletUnindented"/>
      </w:pPr>
      <w:r w:rsidRPr="00761FAC">
        <w:rPr>
          <w:b/>
        </w:rPr>
        <w:t>M</w:t>
      </w:r>
      <w:r w:rsidRPr="00EB2BEA">
        <w:rPr>
          <w:b/>
        </w:rPr>
        <w:t>anaging financial impacts</w:t>
      </w:r>
      <w:r w:rsidRPr="00EB2BEA">
        <w:rPr>
          <w:bCs/>
        </w:rPr>
        <w:t>:</w:t>
      </w:r>
      <w:r w:rsidRPr="00EB2BEA">
        <w:t xml:space="preserve"> </w:t>
      </w:r>
      <w:r w:rsidRPr="00761FAC">
        <w:t>C</w:t>
      </w:r>
      <w:r w:rsidRPr="00EB2BEA">
        <w:t xml:space="preserve">limate change can increase costs through damage to infrastructure and utilities, and increased demand for medications and care. </w:t>
      </w:r>
      <w:r>
        <w:t>Adaptation p</w:t>
      </w:r>
      <w:r w:rsidRPr="00EB2BEA">
        <w:t>lanning helps organisations prepare for and manage these financial pressures</w:t>
      </w:r>
      <w:r w:rsidRPr="000448D7">
        <w:t>.</w:t>
      </w:r>
    </w:p>
    <w:p w14:paraId="3FD73900" w14:textId="77777777" w:rsidR="00DD6619" w:rsidRPr="00EB2BEA" w:rsidRDefault="00DD6619" w:rsidP="000448D7">
      <w:pPr>
        <w:pStyle w:val="ListBullet"/>
      </w:pPr>
      <w:r w:rsidRPr="00761FAC">
        <w:rPr>
          <w:b/>
        </w:rPr>
        <w:t>M</w:t>
      </w:r>
      <w:r w:rsidRPr="00EB2BEA">
        <w:rPr>
          <w:b/>
        </w:rPr>
        <w:t>eeting disclosure requirements:</w:t>
      </w:r>
      <w:r w:rsidRPr="00EB2BEA">
        <w:t xml:space="preserve"> </w:t>
      </w:r>
      <w:r w:rsidRPr="00761FAC">
        <w:t>O</w:t>
      </w:r>
      <w:r w:rsidRPr="00EB2BEA">
        <w:t>rganisations are increasingly expected to report how they are identifying and managing climate-related risks in financial disclosures, in line with emerging international standards</w:t>
      </w:r>
      <w:r>
        <w:t>.</w:t>
      </w:r>
      <w:r w:rsidRPr="004712DB">
        <w:t xml:space="preserve"> </w:t>
      </w:r>
      <w:r>
        <w:t xml:space="preserve">In using this guidance package, practitioners </w:t>
      </w:r>
      <w:r w:rsidRPr="00EB2BEA">
        <w:t xml:space="preserve">should </w:t>
      </w:r>
      <w:r>
        <w:t xml:space="preserve">also </w:t>
      </w:r>
      <w:r w:rsidRPr="00EB2BEA">
        <w:t>review any specific requirements (legislative, regulatory, or policy-based) that may apply to their organisation to ensure compliance with context-specific obligations</w:t>
      </w:r>
      <w:r w:rsidRPr="00761FAC">
        <w:t>.</w:t>
      </w:r>
    </w:p>
    <w:p w14:paraId="3EB28BD8" w14:textId="77777777" w:rsidR="00DD6619" w:rsidRPr="00EB2BEA" w:rsidRDefault="00DD6619" w:rsidP="000448D7">
      <w:pPr>
        <w:pStyle w:val="ListBullet"/>
      </w:pPr>
      <w:r w:rsidRPr="00761FAC">
        <w:rPr>
          <w:b/>
        </w:rPr>
        <w:t>S</w:t>
      </w:r>
      <w:r w:rsidRPr="00EB2BEA">
        <w:rPr>
          <w:b/>
        </w:rPr>
        <w:t>upporting environmental sustainability</w:t>
      </w:r>
      <w:r w:rsidRPr="00EB2BEA">
        <w:rPr>
          <w:bCs/>
        </w:rPr>
        <w:t>:</w:t>
      </w:r>
      <w:r w:rsidRPr="00EB2BEA">
        <w:t xml:space="preserve"> </w:t>
      </w:r>
      <w:r w:rsidRPr="00761FAC">
        <w:t>A</w:t>
      </w:r>
      <w:r w:rsidRPr="00EB2BEA">
        <w:t>daptation actions to improve resilience, like installing solar panels or improving water and energy efficiency, can reduce emissions and improve service reliability and sustainability. To avoid maladaptation, it is important that adaptation actions support environmental sustainability to the greatest extent possible</w:t>
      </w:r>
      <w:r w:rsidRPr="00761FAC">
        <w:t>.</w:t>
      </w:r>
    </w:p>
    <w:p w14:paraId="51090ACA" w14:textId="62ABA4F3" w:rsidR="00093C33" w:rsidRPr="00761FAC" w:rsidRDefault="00DD6619" w:rsidP="000448D7">
      <w:pPr>
        <w:pStyle w:val="ListBullet"/>
      </w:pPr>
      <w:r w:rsidRPr="00761FAC">
        <w:rPr>
          <w:b/>
        </w:rPr>
        <w:t>E</w:t>
      </w:r>
      <w:r w:rsidRPr="00EB2BEA">
        <w:rPr>
          <w:b/>
        </w:rPr>
        <w:t>nhancing reputation:</w:t>
      </w:r>
      <w:r w:rsidRPr="00EB2BEA">
        <w:t xml:space="preserve"> </w:t>
      </w:r>
      <w:r w:rsidRPr="00761FAC">
        <w:t>T</w:t>
      </w:r>
      <w:r w:rsidRPr="00EB2BEA">
        <w:t>aking meaningful action to manage climate risks can strengthen an organisation’s reputation, helping attract and retain staff</w:t>
      </w:r>
      <w:r>
        <w:t>, meeting patient and community expectations,</w:t>
      </w:r>
      <w:r w:rsidRPr="00EB2BEA">
        <w:t xml:space="preserve"> and demonstrating leadership in environmental stewardship</w:t>
      </w:r>
      <w:r w:rsidRPr="00FF6B4E">
        <w:rPr>
          <w:bCs/>
        </w:rPr>
        <w:t>.</w:t>
      </w:r>
      <w:r w:rsidR="00093C33" w:rsidRPr="00761FAC">
        <w:br w:type="page"/>
      </w:r>
    </w:p>
    <w:p w14:paraId="2C26D4F4" w14:textId="625A4B7B" w:rsidR="009B7AE3" w:rsidRPr="00761FAC" w:rsidRDefault="00093C33" w:rsidP="00093C33">
      <w:pPr>
        <w:pStyle w:val="Heading1"/>
      </w:pPr>
      <w:bookmarkStart w:id="9" w:name="_Toc228892565"/>
      <w:r w:rsidRPr="00761FAC">
        <w:lastRenderedPageBreak/>
        <w:t>Structure</w:t>
      </w:r>
      <w:bookmarkEnd w:id="9"/>
    </w:p>
    <w:p w14:paraId="50312172" w14:textId="63698BC0" w:rsidR="0072433C" w:rsidRDefault="007C5CAE" w:rsidP="00705647">
      <w:pPr>
        <w:pStyle w:val="BodyText"/>
      </w:pPr>
      <w:r w:rsidRPr="00761FAC">
        <w:t>The guidance provides a detailed guide to conducting a climate risk assessment and developing an adaptation plan.</w:t>
      </w:r>
      <w:r w:rsidRPr="00761FAC">
        <w:rPr>
          <w:b/>
        </w:rPr>
        <w:t xml:space="preserve"> </w:t>
      </w:r>
      <w:r w:rsidRPr="00761FAC">
        <w:t xml:space="preserve">It has </w:t>
      </w:r>
      <w:r w:rsidR="0072433C">
        <w:t>four</w:t>
      </w:r>
      <w:r w:rsidR="00A3107F">
        <w:t xml:space="preserve"> parts</w:t>
      </w:r>
      <w:r w:rsidR="00573341">
        <w:t xml:space="preserve">, summarised in </w:t>
      </w:r>
      <w:r w:rsidR="00D7394B">
        <w:fldChar w:fldCharType="begin"/>
      </w:r>
      <w:r w:rsidR="00D7394B">
        <w:instrText xml:space="preserve"> REF _Ref229657579 \n \h </w:instrText>
      </w:r>
      <w:r w:rsidR="00D7394B">
        <w:fldChar w:fldCharType="separate"/>
      </w:r>
      <w:r w:rsidR="005D782F">
        <w:t>Figure 1</w:t>
      </w:r>
      <w:r w:rsidR="00D7394B">
        <w:fldChar w:fldCharType="end"/>
      </w:r>
      <w:r w:rsidR="00D7394B">
        <w:t>.</w:t>
      </w:r>
    </w:p>
    <w:p w14:paraId="72A299F0" w14:textId="1C3DBAFB" w:rsidR="00114AC2" w:rsidRDefault="00114AC2" w:rsidP="00624FDB">
      <w:pPr>
        <w:pStyle w:val="Figureheading"/>
      </w:pPr>
      <w:bookmarkStart w:id="10" w:name="_Ref229657579"/>
      <w:r w:rsidRPr="00BF3AE0">
        <w:t>Structure of guidance package</w:t>
      </w:r>
      <w:bookmarkEnd w:id="10"/>
    </w:p>
    <w:p w14:paraId="7C8017BF" w14:textId="591C0753" w:rsidR="005C45F3" w:rsidRPr="005C45F3" w:rsidRDefault="005C45F3" w:rsidP="005C45F3">
      <w:pPr>
        <w:pStyle w:val="BodyText"/>
      </w:pPr>
      <w:r>
        <w:rPr>
          <w:noProof/>
        </w:rPr>
        <w:drawing>
          <wp:inline distT="0" distB="0" distL="0" distR="0" wp14:anchorId="2351EE9E" wp14:editId="222829DD">
            <wp:extent cx="6300000" cy="2887200"/>
            <wp:effectExtent l="0" t="0" r="5715" b="8890"/>
            <wp:docPr id="372956452" name="Picture 1" descr="Figure 1 is a diagram depicting the four main components of the Guidance package. Includes: (1) Overview, (2) Manual, (3) Templates and (4) Climate and Health Hazard Da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56452" name="Picture 1" descr="Figure 1 is a diagram depicting the four main components of the Guidance package. Includes: (1) Overview, (2) Manual, (3) Templates and (4) Climate and Health Hazard Data. "/>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0361"/>
                    <a:stretch>
                      <a:fillRect/>
                    </a:stretch>
                  </pic:blipFill>
                  <pic:spPr bwMode="auto">
                    <a:xfrm>
                      <a:off x="0" y="0"/>
                      <a:ext cx="6300000" cy="2887200"/>
                    </a:xfrm>
                    <a:prstGeom prst="rect">
                      <a:avLst/>
                    </a:prstGeom>
                    <a:noFill/>
                    <a:ln>
                      <a:noFill/>
                    </a:ln>
                    <a:extLst>
                      <a:ext uri="{53640926-AAD7-44D8-BBD7-CCE9431645EC}">
                        <a14:shadowObscured xmlns:a14="http://schemas.microsoft.com/office/drawing/2010/main"/>
                      </a:ext>
                    </a:extLst>
                  </pic:spPr>
                </pic:pic>
              </a:graphicData>
            </a:graphic>
          </wp:inline>
        </w:drawing>
      </w:r>
    </w:p>
    <w:p w14:paraId="76D2D1C9" w14:textId="2E0E5935" w:rsidR="0072433C" w:rsidRPr="00847200" w:rsidRDefault="0072433C" w:rsidP="000448D7">
      <w:pPr>
        <w:pStyle w:val="ListNumber"/>
      </w:pPr>
      <w:r>
        <w:rPr>
          <w:b/>
          <w:bCs/>
        </w:rPr>
        <w:t>Overview</w:t>
      </w:r>
      <w:r w:rsidR="004D091E">
        <w:t xml:space="preserve">: </w:t>
      </w:r>
      <w:r w:rsidR="00DE413B">
        <w:t>a</w:t>
      </w:r>
      <w:r w:rsidR="00C27027">
        <w:t>n</w:t>
      </w:r>
      <w:r w:rsidR="00DE413B">
        <w:t xml:space="preserve"> introduction </w:t>
      </w:r>
      <w:r w:rsidR="007B23B8">
        <w:t xml:space="preserve">for decision-makers </w:t>
      </w:r>
      <w:r w:rsidR="00DE413B">
        <w:t>to the purpose</w:t>
      </w:r>
      <w:r w:rsidR="005538AD">
        <w:t xml:space="preserve"> and</w:t>
      </w:r>
      <w:r w:rsidR="00DE413B">
        <w:t xml:space="preserve"> scope </w:t>
      </w:r>
      <w:r w:rsidR="001D044C">
        <w:t xml:space="preserve">of climate risk assessment and adaptation planning </w:t>
      </w:r>
      <w:r w:rsidR="00D477E9">
        <w:t>and the structure of the guidance package</w:t>
      </w:r>
      <w:r w:rsidR="001D044C">
        <w:t>.</w:t>
      </w:r>
    </w:p>
    <w:p w14:paraId="5E2547AC" w14:textId="1B7BC8CB" w:rsidR="007C5CAE" w:rsidRPr="00761FAC" w:rsidRDefault="6A32EB15" w:rsidP="000448D7">
      <w:pPr>
        <w:pStyle w:val="ListNumber"/>
      </w:pPr>
      <w:r w:rsidRPr="48A9AA3F">
        <w:rPr>
          <w:b/>
          <w:bCs/>
        </w:rPr>
        <w:t>Manual</w:t>
      </w:r>
      <w:r w:rsidRPr="48A9AA3F">
        <w:t>:</w:t>
      </w:r>
      <w:r w:rsidRPr="48A9AA3F">
        <w:rPr>
          <w:b/>
          <w:bCs/>
        </w:rPr>
        <w:t xml:space="preserve"> </w:t>
      </w:r>
      <w:r w:rsidRPr="48A9AA3F">
        <w:t>step-by-step instructions on how to conduct a climate risk assessment, develop an adaptation plan, and conduct associated monitoring and reporting activities. Additional supporting materials are included in appendices.</w:t>
      </w:r>
    </w:p>
    <w:p w14:paraId="1B987C15" w14:textId="3B806F30" w:rsidR="007C5CAE" w:rsidRPr="00761FAC" w:rsidRDefault="6A32EB15" w:rsidP="000448D7">
      <w:pPr>
        <w:pStyle w:val="ListNumber"/>
      </w:pPr>
      <w:r w:rsidRPr="48A9AA3F">
        <w:rPr>
          <w:b/>
          <w:bCs/>
        </w:rPr>
        <w:t>Templates</w:t>
      </w:r>
      <w:r w:rsidRPr="48A9AA3F">
        <w:t>:</w:t>
      </w:r>
      <w:r w:rsidRPr="48A9AA3F">
        <w:rPr>
          <w:b/>
          <w:bCs/>
        </w:rPr>
        <w:t xml:space="preserve"> </w:t>
      </w:r>
      <w:r w:rsidRPr="48A9AA3F">
        <w:t>a set of templates that can be used to complete your risk assessment and adaptation plan. These are designed to be flexible, allowing users to tailor them to suit their organisation’s needs, preferences, and context. Users are encouraged to modify the templates as required, and to use them alongside any relevant risk management frameworks, templates, or resources already in use within their organisation.</w:t>
      </w:r>
    </w:p>
    <w:p w14:paraId="616DD7A2" w14:textId="7E377F93" w:rsidR="007C5CAE" w:rsidRPr="00761FAC" w:rsidRDefault="0087046C" w:rsidP="000448D7">
      <w:pPr>
        <w:pStyle w:val="ListNumber"/>
      </w:pPr>
      <w:r w:rsidRPr="00761FAC">
        <w:rPr>
          <w:b/>
        </w:rPr>
        <w:t>Climate and Health Hazard Data</w:t>
      </w:r>
      <w:r w:rsidR="007C5CAE" w:rsidRPr="00761FAC">
        <w:t xml:space="preserve">: a compendium of climate </w:t>
      </w:r>
      <w:r w:rsidR="005C526A">
        <w:t>hazard</w:t>
      </w:r>
      <w:r w:rsidR="005C526A" w:rsidRPr="00761FAC">
        <w:t xml:space="preserve"> </w:t>
      </w:r>
      <w:r w:rsidR="007C5CAE" w:rsidRPr="00761FAC">
        <w:t>and demographic information for 53 health districts across the country to support you in delivering in your risk assessment and adaptation plan. Th</w:t>
      </w:r>
      <w:r w:rsidR="00B944DB" w:rsidRPr="00761FAC">
        <w:t xml:space="preserve">is resource </w:t>
      </w:r>
      <w:r w:rsidR="007C5CAE" w:rsidRPr="00761FAC">
        <w:t>is available in two different formats:</w:t>
      </w:r>
    </w:p>
    <w:p w14:paraId="09228AFB" w14:textId="10BAA0DD" w:rsidR="00FE59A7" w:rsidRPr="00761FAC" w:rsidRDefault="00FE59A7" w:rsidP="000448D7">
      <w:pPr>
        <w:pStyle w:val="ListNumber2"/>
      </w:pPr>
      <w:r w:rsidRPr="00FE59A7">
        <w:rPr>
          <w:b/>
          <w:bCs/>
        </w:rPr>
        <w:t>Downloadable document (PDF)</w:t>
      </w:r>
      <w:r w:rsidRPr="48A9AA3F">
        <w:t>: provides information on a district-by-district basis. There is one document per state or territory containing information for each health district in that jurisdiction (except for the ACT and NSW, which are provided in a single document).</w:t>
      </w:r>
    </w:p>
    <w:p w14:paraId="0102AB70" w14:textId="77777777" w:rsidR="000D1A05" w:rsidRPr="00761FAC" w:rsidRDefault="000D1A05" w:rsidP="000448D7">
      <w:pPr>
        <w:pStyle w:val="ListNumber2"/>
      </w:pPr>
      <w:r w:rsidRPr="00761FAC">
        <w:rPr>
          <w:b/>
        </w:rPr>
        <w:lastRenderedPageBreak/>
        <w:t>Online dashboard</w:t>
      </w:r>
      <w:r w:rsidRPr="00761FAC">
        <w:t>: provides district-by-district information and allows for more detailed and in-depth exploration of hazard and demographic data within each health district.</w:t>
      </w:r>
    </w:p>
    <w:p w14:paraId="33B1465E" w14:textId="570D7789" w:rsidR="00B373EC" w:rsidRPr="00761FAC" w:rsidRDefault="007C5CAE" w:rsidP="000448D7">
      <w:r w:rsidRPr="00761FAC">
        <w:t xml:space="preserve">A detailed </w:t>
      </w:r>
      <w:r w:rsidR="00A32071" w:rsidRPr="002A2561">
        <w:rPr>
          <w:b/>
          <w:bCs/>
        </w:rPr>
        <w:t>M</w:t>
      </w:r>
      <w:r w:rsidR="000D1A05" w:rsidRPr="00A32071">
        <w:rPr>
          <w:b/>
          <w:bCs/>
        </w:rPr>
        <w:t>e</w:t>
      </w:r>
      <w:r w:rsidR="000D1A05" w:rsidRPr="00761FAC">
        <w:rPr>
          <w:b/>
          <w:bCs/>
        </w:rPr>
        <w:t>thodological</w:t>
      </w:r>
      <w:r w:rsidRPr="00761FAC">
        <w:rPr>
          <w:b/>
          <w:bCs/>
        </w:rPr>
        <w:t xml:space="preserve"> </w:t>
      </w:r>
      <w:r w:rsidR="00A32071">
        <w:rPr>
          <w:b/>
          <w:bCs/>
        </w:rPr>
        <w:t>R</w:t>
      </w:r>
      <w:r w:rsidRPr="00761FAC">
        <w:rPr>
          <w:b/>
          <w:bCs/>
        </w:rPr>
        <w:t xml:space="preserve">eport </w:t>
      </w:r>
      <w:r w:rsidRPr="00761FAC">
        <w:t xml:space="preserve">accompanies the </w:t>
      </w:r>
      <w:r w:rsidR="0087046C" w:rsidRPr="00761FAC">
        <w:t>Climate and Health Hazard Data</w:t>
      </w:r>
      <w:r w:rsidRPr="00761FAC">
        <w:t xml:space="preserve">, which provides detailed descriptions of the concepts, datasets, and analytical methods used to </w:t>
      </w:r>
      <w:r w:rsidR="005C526A">
        <w:t>estimate reported exposure to</w:t>
      </w:r>
      <w:r w:rsidR="005C526A" w:rsidRPr="00761FAC">
        <w:t xml:space="preserve"> </w:t>
      </w:r>
      <w:r w:rsidRPr="00761FAC">
        <w:t>climate-related hazards.</w:t>
      </w:r>
    </w:p>
    <w:p w14:paraId="19E01E06" w14:textId="57D4B2F3" w:rsidR="00751998" w:rsidRDefault="00751998" w:rsidP="00751998">
      <w:pPr>
        <w:pStyle w:val="BodyText"/>
      </w:pPr>
      <w:bookmarkStart w:id="11" w:name="_Toc228892566"/>
      <w:r w:rsidRPr="00761FAC">
        <w:t>Users of the guidance are encouraged to work sequentially through the steps outlined in the manual</w:t>
      </w:r>
      <w:r w:rsidR="00573341">
        <w:t xml:space="preserve"> (summarised in </w:t>
      </w:r>
      <w:r w:rsidR="001D044C">
        <w:fldChar w:fldCharType="begin"/>
      </w:r>
      <w:r w:rsidR="001D044C">
        <w:instrText xml:space="preserve"> REF _Ref229657964 \n \h </w:instrText>
      </w:r>
      <w:r w:rsidR="001D044C">
        <w:fldChar w:fldCharType="separate"/>
      </w:r>
      <w:r w:rsidR="005D782F">
        <w:t>Figure 2</w:t>
      </w:r>
      <w:r w:rsidR="001D044C">
        <w:fldChar w:fldCharType="end"/>
      </w:r>
      <w:r w:rsidR="001D044C">
        <w:t xml:space="preserve"> </w:t>
      </w:r>
      <w:r w:rsidR="00573341">
        <w:t>below)</w:t>
      </w:r>
      <w:r w:rsidRPr="00761FAC">
        <w:t>, informed by information in the Climate and Health Hazard Data, appendices, and any relevant external resources as needed. As users progress through each step, findings and decisions can be recorded using the templates and adapted to suit an organisation’s specific needs and context.</w:t>
      </w:r>
    </w:p>
    <w:p w14:paraId="69B90F96" w14:textId="77777777" w:rsidR="00CB7225" w:rsidRPr="00761FAC" w:rsidRDefault="00CB7225" w:rsidP="00CB7225">
      <w:pPr>
        <w:pStyle w:val="BodyText"/>
      </w:pPr>
      <w:r w:rsidRPr="00761FAC">
        <w:t>Throughout the risk assessment and adaptation planning process, organisations are encouraged to draw on information beyond what is included in the guidance, such as:</w:t>
      </w:r>
    </w:p>
    <w:p w14:paraId="7B97D723" w14:textId="77777777" w:rsidR="00CB7225" w:rsidRPr="00236E38" w:rsidRDefault="00CB7225" w:rsidP="000448D7">
      <w:pPr>
        <w:pStyle w:val="ListBullet"/>
      </w:pPr>
      <w:r>
        <w:t>d</w:t>
      </w:r>
      <w:r w:rsidRPr="00236E38">
        <w:t>esktop research and document reviews</w:t>
      </w:r>
    </w:p>
    <w:p w14:paraId="0B255E44" w14:textId="77777777" w:rsidR="00CB7225" w:rsidRPr="00236E38" w:rsidRDefault="00CB7225" w:rsidP="000448D7">
      <w:pPr>
        <w:pStyle w:val="ListBullet"/>
      </w:pPr>
      <w:r>
        <w:t>i</w:t>
      </w:r>
      <w:r w:rsidRPr="00236E38">
        <w:t>ndividual interviews with staff, stakeholders, or subject matter experts</w:t>
      </w:r>
    </w:p>
    <w:p w14:paraId="339E169E" w14:textId="77777777" w:rsidR="00CB7225" w:rsidRPr="00236E38" w:rsidRDefault="00CB7225" w:rsidP="000448D7">
      <w:pPr>
        <w:pStyle w:val="ListBullet"/>
      </w:pPr>
      <w:r>
        <w:t>q</w:t>
      </w:r>
      <w:r w:rsidRPr="00236E38">
        <w:t>uestionnaires or surveys to gather input from a broader group</w:t>
      </w:r>
    </w:p>
    <w:p w14:paraId="167F6C32" w14:textId="52D682EA" w:rsidR="00CB7225" w:rsidRDefault="00CB7225" w:rsidP="000448D7">
      <w:pPr>
        <w:pStyle w:val="ListBullet"/>
      </w:pPr>
      <w:r>
        <w:t>w</w:t>
      </w:r>
      <w:r w:rsidRPr="00236E38">
        <w:t>orkshops or group brainstorming sessions to facilitate structured discussion and consensus-building</w:t>
      </w:r>
      <w:r>
        <w:t>.</w:t>
      </w:r>
    </w:p>
    <w:p w14:paraId="4C26C79A" w14:textId="2AF526D9" w:rsidR="00B373EC" w:rsidRPr="00761FAC" w:rsidRDefault="00EE5605" w:rsidP="000D2189">
      <w:pPr>
        <w:pStyle w:val="Heading2"/>
      </w:pPr>
      <w:r w:rsidRPr="00761FAC">
        <w:t>Risk assessment process</w:t>
      </w:r>
      <w:bookmarkEnd w:id="11"/>
    </w:p>
    <w:p w14:paraId="150C2578" w14:textId="184F1872" w:rsidR="00796D1E" w:rsidRPr="00761FAC" w:rsidRDefault="00016E50" w:rsidP="00FE4AE4">
      <w:pPr>
        <w:pStyle w:val="BodyText"/>
      </w:pPr>
      <w:r>
        <w:t xml:space="preserve">The first part of the manual provides step-by-step instructions on conducting a risk assessment. </w:t>
      </w:r>
      <w:r w:rsidR="00D522F5" w:rsidRPr="00761FAC">
        <w:t>T</w:t>
      </w:r>
      <w:r w:rsidR="005C274D" w:rsidRPr="00761FAC">
        <w:t xml:space="preserve">he risk assessment process </w:t>
      </w:r>
      <w:r w:rsidR="002D1589">
        <w:t>is</w:t>
      </w:r>
      <w:r w:rsidR="005C274D" w:rsidRPr="00761FAC">
        <w:t xml:space="preserve"> divided into 2 stages. The first-pass assessment identif</w:t>
      </w:r>
      <w:r w:rsidR="004B6C44">
        <w:t>ies</w:t>
      </w:r>
      <w:r w:rsidR="005C274D" w:rsidRPr="00761FAC">
        <w:rPr>
          <w:b/>
          <w:bCs/>
        </w:rPr>
        <w:t xml:space="preserve"> </w:t>
      </w:r>
      <w:r w:rsidR="005C274D" w:rsidRPr="00761FAC">
        <w:t xml:space="preserve">relevant climate hazards for </w:t>
      </w:r>
      <w:r w:rsidR="00A22F69" w:rsidRPr="00761FAC">
        <w:t>an</w:t>
      </w:r>
      <w:r w:rsidR="005C274D" w:rsidRPr="00761FAC">
        <w:t xml:space="preserve"> organisation, as well as associated risks to population </w:t>
      </w:r>
      <w:proofErr w:type="spellStart"/>
      <w:r w:rsidR="005C274D" w:rsidRPr="00761FAC">
        <w:t>health,</w:t>
      </w:r>
      <w:proofErr w:type="spellEnd"/>
      <w:r w:rsidR="005C274D" w:rsidRPr="00761FAC">
        <w:t xml:space="preserve"> service delivery and infrastructure.</w:t>
      </w:r>
    </w:p>
    <w:p w14:paraId="60DEF910" w14:textId="77777777" w:rsidR="00796D1E" w:rsidRPr="00761FAC" w:rsidRDefault="005C274D" w:rsidP="003C7879">
      <w:pPr>
        <w:pStyle w:val="BodyText"/>
      </w:pPr>
      <w:r w:rsidRPr="00761FAC">
        <w:t>Organisations can choose to stop after conducting a first-pass assessment, or alternatively, the first-pass assessment can inform a second-pass assessment involving risk analysis, which culminates in assessing the likelihood and consequence of these risks and prioritising them for adaptation action.</w:t>
      </w:r>
    </w:p>
    <w:p w14:paraId="38433876" w14:textId="17A99C54" w:rsidR="00E63180" w:rsidRPr="00761FAC" w:rsidRDefault="00E63180" w:rsidP="000D2189">
      <w:pPr>
        <w:pStyle w:val="Heading2"/>
      </w:pPr>
      <w:bookmarkStart w:id="12" w:name="_Toc228892567"/>
      <w:r w:rsidRPr="00761FAC">
        <w:t>Adaptation planning process</w:t>
      </w:r>
      <w:bookmarkEnd w:id="12"/>
    </w:p>
    <w:p w14:paraId="0B150B4B" w14:textId="1E7E1D16" w:rsidR="00FD2E19" w:rsidRDefault="37D228B9" w:rsidP="00734FB3">
      <w:pPr>
        <w:pStyle w:val="BodyText"/>
        <w:sectPr w:rsidR="00FD2E19" w:rsidSect="000448D7">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0" w:h="16840"/>
          <w:pgMar w:top="1361" w:right="843" w:bottom="851" w:left="1134" w:header="0" w:footer="364" w:gutter="0"/>
          <w:cols w:space="708"/>
          <w:noEndnote/>
          <w:titlePg/>
          <w:docGrid w:linePitch="360"/>
        </w:sectPr>
      </w:pPr>
      <w:r w:rsidRPr="48A9AA3F">
        <w:t>The remaining sections of the manual provide step-by-step instructions for developing an adaptation plan (including an associated business case) and then implementing the plan (including monitoring and evaluation of progress). Appendices provide a review of evidence on climate risks to population health and additional resources on running consultation workshops and identifying climate risks and adaptation options.</w:t>
      </w:r>
    </w:p>
    <w:p w14:paraId="3C7206E8" w14:textId="259064B9" w:rsidR="00CA3E66" w:rsidRDefault="00A25205" w:rsidP="00C81212">
      <w:pPr>
        <w:pStyle w:val="Figureheading"/>
      </w:pPr>
      <w:bookmarkStart w:id="13" w:name="_Ref229657964"/>
      <w:r w:rsidRPr="00BF3AE0">
        <w:lastRenderedPageBreak/>
        <w:t>Overview of the climate risk assessment and adaptation planning process</w:t>
      </w:r>
      <w:bookmarkEnd w:id="13"/>
    </w:p>
    <w:p w14:paraId="2B6D4B6F" w14:textId="1AF3B1E0" w:rsidR="00CC33A2" w:rsidRDefault="00CA3E66" w:rsidP="00CA3E66">
      <w:r>
        <w:rPr>
          <w:noProof/>
        </w:rPr>
        <w:drawing>
          <wp:inline distT="0" distB="0" distL="0" distR="0" wp14:anchorId="11FB9BF8" wp14:editId="4ECB8122">
            <wp:extent cx="8893175" cy="4889828"/>
            <wp:effectExtent l="0" t="0" r="3175" b="6350"/>
            <wp:docPr id="1153424340" name="Picture 1" descr="Figure 2 is a diagram depicting the four steps of the climate risk assessment and adaptation planning process. Includes Step 1: First-pass assessment, Step 2: Second-pass assessment, Step 3: Climate adaptation plan, and Step 4: Implementation, monitoring and repor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24340" name="Picture 1" descr="Figure 2 is a diagram depicting the four steps of the climate risk assessment and adaptation planning process. Includes Step 1: First-pass assessment, Step 2: Second-pass assessment, Step 3: Climate adaptation plan, and Step 4: Implementation, monitoring and reporting.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93175" cy="4889828"/>
                    </a:xfrm>
                    <a:prstGeom prst="rect">
                      <a:avLst/>
                    </a:prstGeom>
                    <a:noFill/>
                    <a:ln>
                      <a:noFill/>
                    </a:ln>
                  </pic:spPr>
                </pic:pic>
              </a:graphicData>
            </a:graphic>
          </wp:inline>
        </w:drawing>
      </w:r>
    </w:p>
    <w:p w14:paraId="7E02D92C" w14:textId="77777777" w:rsidR="00CC33A2" w:rsidRDefault="00CC33A2" w:rsidP="00AA7196">
      <w:pPr>
        <w:pStyle w:val="BulletUnindented"/>
        <w:numPr>
          <w:ilvl w:val="0"/>
          <w:numId w:val="0"/>
        </w:numPr>
      </w:pPr>
    </w:p>
    <w:p w14:paraId="3E306FCF" w14:textId="77777777" w:rsidR="00352CFB" w:rsidRDefault="00352CFB">
      <w:pPr>
        <w:spacing w:line="240" w:lineRule="auto"/>
        <w:sectPr w:rsidR="00352CFB" w:rsidSect="008C4BF0">
          <w:endnotePr>
            <w:numFmt w:val="decimal"/>
          </w:endnotePr>
          <w:pgSz w:w="16840" w:h="11900" w:orient="landscape"/>
          <w:pgMar w:top="1134" w:right="1361" w:bottom="845" w:left="1474" w:header="0" w:footer="363" w:gutter="0"/>
          <w:cols w:space="708"/>
          <w:noEndnote/>
          <w:docGrid w:linePitch="360"/>
        </w:sectPr>
      </w:pPr>
    </w:p>
    <w:p w14:paraId="11B86226" w14:textId="19E996DA" w:rsidR="00A50863" w:rsidRPr="00761FAC" w:rsidRDefault="004564C5" w:rsidP="004564C5">
      <w:pPr>
        <w:pStyle w:val="Heading1"/>
      </w:pPr>
      <w:bookmarkStart w:id="14" w:name="_Ref228369997"/>
      <w:bookmarkStart w:id="15" w:name="_Toc228892571"/>
      <w:r w:rsidRPr="00761FAC">
        <w:lastRenderedPageBreak/>
        <w:t>Key concepts</w:t>
      </w:r>
      <w:bookmarkEnd w:id="14"/>
      <w:bookmarkEnd w:id="15"/>
    </w:p>
    <w:p w14:paraId="4D5DF5C4" w14:textId="77777777" w:rsidR="00412FBC" w:rsidRPr="00761FAC" w:rsidRDefault="00412FBC" w:rsidP="000D2189">
      <w:pPr>
        <w:pStyle w:val="Heading2"/>
      </w:pPr>
      <w:bookmarkStart w:id="16" w:name="_Toc227854546"/>
      <w:bookmarkStart w:id="17" w:name="_Toc228892572"/>
      <w:r w:rsidRPr="00761FAC">
        <w:t>What is climate risk?</w:t>
      </w:r>
      <w:bookmarkEnd w:id="16"/>
      <w:bookmarkEnd w:id="17"/>
    </w:p>
    <w:p w14:paraId="28AA4FB3" w14:textId="540E178F" w:rsidR="00412FBC" w:rsidRPr="00073F0D" w:rsidRDefault="00412FBC" w:rsidP="00412FBC">
      <w:pPr>
        <w:pStyle w:val="BodyText"/>
        <w:rPr>
          <w:b/>
        </w:rPr>
      </w:pPr>
      <w:r w:rsidRPr="00073F0D">
        <w:t>Climate risk refers to the potential for harm or disruption caused by climate change and/or efforts to limit it.</w:t>
      </w:r>
      <w:r w:rsidR="00086523" w:rsidRPr="00086523">
        <w:rPr>
          <w:vertAlign w:val="superscript"/>
        </w:rPr>
        <w:fldChar w:fldCharType="begin"/>
      </w:r>
      <w:r w:rsidR="00086523" w:rsidRPr="00086523">
        <w:rPr>
          <w:vertAlign w:val="superscript"/>
        </w:rPr>
        <w:instrText xml:space="preserve"> NOTEREF _Ref229994945 \h </w:instrText>
      </w:r>
      <w:r w:rsidR="00086523">
        <w:rPr>
          <w:vertAlign w:val="superscript"/>
        </w:rPr>
        <w:instrText xml:space="preserve"> \* MERGEFORMAT </w:instrText>
      </w:r>
      <w:r w:rsidR="00086523" w:rsidRPr="00086523">
        <w:rPr>
          <w:vertAlign w:val="superscript"/>
        </w:rPr>
      </w:r>
      <w:r w:rsidR="00086523" w:rsidRPr="00086523">
        <w:rPr>
          <w:vertAlign w:val="superscript"/>
        </w:rPr>
        <w:fldChar w:fldCharType="separate"/>
      </w:r>
      <w:r w:rsidR="00086523" w:rsidRPr="00086523">
        <w:rPr>
          <w:vertAlign w:val="superscript"/>
        </w:rPr>
        <w:t>3</w:t>
      </w:r>
      <w:r w:rsidR="00086523" w:rsidRPr="00086523">
        <w:rPr>
          <w:vertAlign w:val="superscript"/>
        </w:rPr>
        <w:fldChar w:fldCharType="end"/>
      </w:r>
      <w:r>
        <w:t xml:space="preserve"> </w:t>
      </w:r>
      <w:r w:rsidRPr="00073F0D">
        <w:t>Climate risks can be grouped in the following categories:</w:t>
      </w:r>
    </w:p>
    <w:p w14:paraId="28C0444B" w14:textId="7FE72F53" w:rsidR="00412FBC" w:rsidRPr="007D6F56" w:rsidRDefault="00412FBC" w:rsidP="00F25792">
      <w:pPr>
        <w:pStyle w:val="BulletUnindented"/>
        <w:numPr>
          <w:ilvl w:val="0"/>
          <w:numId w:val="56"/>
        </w:numPr>
        <w:rPr>
          <w:b/>
        </w:rPr>
      </w:pPr>
      <w:r w:rsidRPr="00823082">
        <w:rPr>
          <w:rStyle w:val="BodyTextChar"/>
          <w:b/>
        </w:rPr>
        <w:t>Physical risks:</w:t>
      </w:r>
      <w:r w:rsidRPr="00823082">
        <w:rPr>
          <w:rStyle w:val="BodyTextChar"/>
        </w:rPr>
        <w:t xml:space="preserve"> </w:t>
      </w:r>
      <w:r w:rsidRPr="00F25792">
        <w:rPr>
          <w:rStyle w:val="BodyTextChar"/>
        </w:rPr>
        <w:t xml:space="preserve">these </w:t>
      </w:r>
      <w:r w:rsidR="002B6685" w:rsidRPr="00F25792">
        <w:rPr>
          <w:rStyle w:val="BodyTextChar"/>
        </w:rPr>
        <w:t xml:space="preserve">risks </w:t>
      </w:r>
      <w:r w:rsidRPr="00F25792">
        <w:rPr>
          <w:rStyle w:val="BodyTextChar"/>
        </w:rPr>
        <w:t>arise directly from the physical impacts of climate change, such</w:t>
      </w:r>
      <w:r w:rsidRPr="007D6F56">
        <w:t xml:space="preserve"> as damage to infrastructure from extreme weather, increased illness during heatwaves, or disruptions to services caused by flooding. Physical climate risks arise when </w:t>
      </w:r>
      <w:r w:rsidR="0097513C" w:rsidRPr="007D6F56">
        <w:t xml:space="preserve">people, natural systems, services, infrastructure, resources, or other assets </w:t>
      </w:r>
      <w:r w:rsidR="0097513C">
        <w:t xml:space="preserve">are exposed to </w:t>
      </w:r>
      <w:r w:rsidRPr="007D6F56">
        <w:t>climate-related hazards (such as heatwaves, bushfires, floods, or storms).</w:t>
      </w:r>
    </w:p>
    <w:p w14:paraId="7308C8E9" w14:textId="66D98B55" w:rsidR="00412FBC" w:rsidRPr="007D6F56" w:rsidRDefault="00412FBC" w:rsidP="00F25792">
      <w:pPr>
        <w:pStyle w:val="BulletUnindented"/>
        <w:numPr>
          <w:ilvl w:val="0"/>
          <w:numId w:val="56"/>
        </w:numPr>
        <w:rPr>
          <w:b/>
        </w:rPr>
      </w:pPr>
      <w:r w:rsidRPr="00823082">
        <w:rPr>
          <w:rStyle w:val="BodyTextChar"/>
          <w:b/>
        </w:rPr>
        <w:t>Transition risks:</w:t>
      </w:r>
      <w:r w:rsidRPr="00F25792">
        <w:rPr>
          <w:rStyle w:val="BodyTextChar"/>
        </w:rPr>
        <w:t xml:space="preserve"> these</w:t>
      </w:r>
      <w:r w:rsidR="002B6685" w:rsidRPr="00F25792">
        <w:rPr>
          <w:rStyle w:val="BodyTextChar"/>
        </w:rPr>
        <w:t xml:space="preserve"> risks</w:t>
      </w:r>
      <w:r w:rsidRPr="00F25792">
        <w:rPr>
          <w:rStyle w:val="BodyTextChar"/>
        </w:rPr>
        <w:t xml:space="preserve"> are associated with the shift to a low-emissions economy.</w:t>
      </w:r>
      <w:r w:rsidRPr="007D6F56">
        <w:t xml:space="preserve"> Transition risks are typically thought of in the following categories:</w:t>
      </w:r>
    </w:p>
    <w:p w14:paraId="3310806A" w14:textId="3BD1D4E6" w:rsidR="00412FBC" w:rsidRPr="007D6F56" w:rsidRDefault="00412FBC" w:rsidP="00E60822">
      <w:pPr>
        <w:pStyle w:val="BulletIndent1"/>
        <w:rPr>
          <w:b/>
        </w:rPr>
      </w:pPr>
      <w:r w:rsidRPr="007D6F56">
        <w:rPr>
          <w:b/>
          <w:bCs/>
        </w:rPr>
        <w:t xml:space="preserve">Policy, legal &amp; regulatory: </w:t>
      </w:r>
      <w:r w:rsidRPr="007D6F56">
        <w:t>risks from laws, regulations, or policies aimed at reducing emissions or improving sustainability.</w:t>
      </w:r>
    </w:p>
    <w:p w14:paraId="1B1B4065" w14:textId="54400DDD" w:rsidR="00412FBC" w:rsidRPr="007D6F56" w:rsidRDefault="00412FBC" w:rsidP="00E60822">
      <w:pPr>
        <w:pStyle w:val="BulletIndent1"/>
        <w:rPr>
          <w:b/>
        </w:rPr>
      </w:pPr>
      <w:r w:rsidRPr="007D6F56">
        <w:rPr>
          <w:b/>
          <w:bCs/>
        </w:rPr>
        <w:t xml:space="preserve">Reputational: </w:t>
      </w:r>
      <w:r w:rsidRPr="007D6F56">
        <w:t>risks of negative public perceptions and/or reactions if an organisation is perceived to have failed to take appropriate climate action.</w:t>
      </w:r>
    </w:p>
    <w:p w14:paraId="7F822D04" w14:textId="0FF683D6" w:rsidR="00412FBC" w:rsidRPr="007D6F56" w:rsidRDefault="00412FBC" w:rsidP="00E60822">
      <w:pPr>
        <w:pStyle w:val="BulletIndent1"/>
        <w:rPr>
          <w:b/>
        </w:rPr>
      </w:pPr>
      <w:r w:rsidRPr="007D6F56">
        <w:rPr>
          <w:b/>
          <w:bCs/>
        </w:rPr>
        <w:t xml:space="preserve">Technology: </w:t>
      </w:r>
      <w:r w:rsidRPr="007D6F56">
        <w:t>risks associated with shifts to new, lower-emissions technologies.</w:t>
      </w:r>
    </w:p>
    <w:p w14:paraId="4005F9D9" w14:textId="4D1332CE" w:rsidR="00412FBC" w:rsidRPr="007D6F56" w:rsidRDefault="00412FBC" w:rsidP="00E60822">
      <w:pPr>
        <w:pStyle w:val="BulletIndent1"/>
      </w:pPr>
      <w:r w:rsidRPr="007D6F56">
        <w:rPr>
          <w:b/>
          <w:bCs/>
        </w:rPr>
        <w:t xml:space="preserve">Market: </w:t>
      </w:r>
      <w:r w:rsidRPr="007D6F56">
        <w:t>risks from shifts in market conditions, such as changes in demand, supply chains, or costs due to the transition to a low-carbon economy.</w:t>
      </w:r>
    </w:p>
    <w:p w14:paraId="404EDC5D" w14:textId="3C2FD50D" w:rsidR="00412FBC" w:rsidRPr="007D6F56" w:rsidRDefault="00412FBC" w:rsidP="00F25792">
      <w:pPr>
        <w:pStyle w:val="BulletUnindented"/>
        <w:numPr>
          <w:ilvl w:val="0"/>
          <w:numId w:val="56"/>
        </w:numPr>
        <w:rPr>
          <w:b/>
        </w:rPr>
      </w:pPr>
      <w:r w:rsidRPr="00823082">
        <w:rPr>
          <w:rStyle w:val="BodyTextChar"/>
          <w:b/>
        </w:rPr>
        <w:t>Liability risks:</w:t>
      </w:r>
      <w:r w:rsidRPr="00F25792">
        <w:rPr>
          <w:rStyle w:val="BodyTextChar"/>
        </w:rPr>
        <w:t xml:space="preserve"> these </w:t>
      </w:r>
      <w:r w:rsidR="002B6685" w:rsidRPr="00F25792">
        <w:rPr>
          <w:rStyle w:val="BodyTextChar"/>
        </w:rPr>
        <w:t xml:space="preserve">risks </w:t>
      </w:r>
      <w:r w:rsidRPr="00F25792">
        <w:rPr>
          <w:rStyle w:val="BodyTextChar"/>
        </w:rPr>
        <w:t>are associated with people or businesses seeking compensation</w:t>
      </w:r>
      <w:r w:rsidRPr="007D6F56">
        <w:t xml:space="preserve"> for losses they may have suffered </w:t>
      </w:r>
      <w:r w:rsidR="009F4505">
        <w:t>due to</w:t>
      </w:r>
      <w:r w:rsidRPr="007D6F56">
        <w:t xml:space="preserve"> climate change, including </w:t>
      </w:r>
      <w:r w:rsidR="009F4505">
        <w:t>losses relating to</w:t>
      </w:r>
      <w:r w:rsidRPr="007D6F56">
        <w:t xml:space="preserve"> physical and transition risks.</w:t>
      </w:r>
    </w:p>
    <w:p w14:paraId="16591F75" w14:textId="5F3A8607" w:rsidR="004C4550" w:rsidRDefault="00412FBC" w:rsidP="00097624">
      <w:pPr>
        <w:pStyle w:val="BodyText"/>
      </w:pPr>
      <w:r w:rsidRPr="48A9AA3F">
        <w:t xml:space="preserve">This guidance focuses on physical climate risks to minimise complexity for health system organisations still developing capacity and capability in climate risk assessment. </w:t>
      </w:r>
      <w:r w:rsidR="00AE6378" w:rsidRPr="00761FAC">
        <w:t xml:space="preserve">Physical climate risks to </w:t>
      </w:r>
      <w:proofErr w:type="spellStart"/>
      <w:r w:rsidR="00AE6378" w:rsidRPr="00761FAC">
        <w:t>health,</w:t>
      </w:r>
      <w:proofErr w:type="spellEnd"/>
      <w:r w:rsidR="00AE6378" w:rsidRPr="00761FAC">
        <w:t xml:space="preserve"> wellbeing and health systems eventuate when climate hazards (both extreme weather events and gradual environmental changes) interact with exposed and vulnerable people, natural systems, services, infrastructure, resources, or other assets. These risks can be thought of in two interconnected domains: risks to population health and risks to the health system</w:t>
      </w:r>
      <w:r w:rsidR="00AE6378">
        <w:t xml:space="preserve">, as seen in </w:t>
      </w:r>
      <w:r w:rsidR="001F027F">
        <w:rPr>
          <w:rFonts w:eastAsiaTheme="majorEastAsia" w:cstheme="majorBidi"/>
          <w:color w:val="025F5D"/>
          <w:sz w:val="32"/>
        </w:rPr>
        <w:fldChar w:fldCharType="begin"/>
      </w:r>
      <w:r w:rsidR="001F027F">
        <w:instrText xml:space="preserve"> REF _Ref229995750 \n \h </w:instrText>
      </w:r>
      <w:r w:rsidR="001F027F">
        <w:rPr>
          <w:rFonts w:eastAsiaTheme="majorEastAsia" w:cstheme="majorBidi"/>
          <w:color w:val="025F5D"/>
          <w:sz w:val="32"/>
        </w:rPr>
      </w:r>
      <w:r w:rsidR="001F027F">
        <w:rPr>
          <w:rFonts w:eastAsiaTheme="majorEastAsia" w:cstheme="majorBidi"/>
          <w:color w:val="025F5D"/>
          <w:sz w:val="32"/>
        </w:rPr>
        <w:fldChar w:fldCharType="separate"/>
      </w:r>
      <w:r w:rsidR="001F027F">
        <w:t>Figure 3</w:t>
      </w:r>
      <w:r w:rsidR="001F027F">
        <w:rPr>
          <w:rFonts w:eastAsiaTheme="majorEastAsia" w:cstheme="majorBidi"/>
          <w:color w:val="025F5D"/>
          <w:sz w:val="32"/>
        </w:rPr>
        <w:fldChar w:fldCharType="end"/>
      </w:r>
      <w:r w:rsidR="001F027F">
        <w:rPr>
          <w:rFonts w:eastAsiaTheme="majorEastAsia" w:cstheme="majorBidi"/>
          <w:color w:val="025F5D"/>
          <w:sz w:val="32"/>
        </w:rPr>
        <w:t xml:space="preserve">. </w:t>
      </w:r>
      <w:r w:rsidRPr="48A9AA3F">
        <w:t xml:space="preserve">However, it is generally considered best practice </w:t>
      </w:r>
      <w:r w:rsidR="00BC09DA">
        <w:t xml:space="preserve">for climate risk assessment to encompass consideration of </w:t>
      </w:r>
      <w:r w:rsidRPr="48A9AA3F">
        <w:t>transition</w:t>
      </w:r>
      <w:r w:rsidR="009601E8">
        <w:t xml:space="preserve"> and liability</w:t>
      </w:r>
      <w:r w:rsidRPr="48A9AA3F">
        <w:t xml:space="preserve"> risks where possible.</w:t>
      </w:r>
      <w:r w:rsidR="004C4550">
        <w:br w:type="page"/>
      </w:r>
    </w:p>
    <w:p w14:paraId="0C793E5D" w14:textId="77777777" w:rsidR="004C4550" w:rsidRDefault="004C4550" w:rsidP="004C4550">
      <w:pPr>
        <w:pStyle w:val="Figureheading"/>
      </w:pPr>
      <w:bookmarkStart w:id="18" w:name="_Ref229995750"/>
      <w:r w:rsidRPr="00BF3AE0">
        <w:lastRenderedPageBreak/>
        <w:t>Climate risks to health, wellbeing and health systems</w:t>
      </w:r>
      <w:bookmarkEnd w:id="18"/>
    </w:p>
    <w:p w14:paraId="225A3F71" w14:textId="77777777" w:rsidR="004C4550" w:rsidRPr="00A20FAC" w:rsidRDefault="004C4550" w:rsidP="004C4550">
      <w:pPr>
        <w:pStyle w:val="BodyText"/>
        <w:jc w:val="center"/>
      </w:pPr>
      <w:r>
        <w:rPr>
          <w:noProof/>
        </w:rPr>
        <w:drawing>
          <wp:inline distT="0" distB="0" distL="0" distR="0" wp14:anchorId="7B409ABA" wp14:editId="0683CCD7">
            <wp:extent cx="6285540" cy="6739619"/>
            <wp:effectExtent l="0" t="0" r="1270" b="4445"/>
            <wp:docPr id="507007765" name="Picture 4" descr="Figure 3 is a diagram depicting how population vulnerability and climate-related hazards can impact human health and health system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07765" name="Picture 4" descr="Figure 3 is a diagram depicting how population vulnerability and climate-related hazards can impact human health and health system outcomes."/>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1852" b="2401"/>
                    <a:stretch>
                      <a:fillRect/>
                    </a:stretch>
                  </pic:blipFill>
                  <pic:spPr bwMode="auto">
                    <a:xfrm>
                      <a:off x="0" y="0"/>
                      <a:ext cx="6297174" cy="6752094"/>
                    </a:xfrm>
                    <a:prstGeom prst="rect">
                      <a:avLst/>
                    </a:prstGeom>
                    <a:noFill/>
                    <a:ln>
                      <a:noFill/>
                    </a:ln>
                    <a:extLst>
                      <a:ext uri="{53640926-AAD7-44D8-BBD7-CCE9431645EC}">
                        <a14:shadowObscured xmlns:a14="http://schemas.microsoft.com/office/drawing/2010/main"/>
                      </a:ext>
                    </a:extLst>
                  </pic:spPr>
                </pic:pic>
              </a:graphicData>
            </a:graphic>
          </wp:inline>
        </w:drawing>
      </w:r>
    </w:p>
    <w:p w14:paraId="7A9DA7D8" w14:textId="77777777" w:rsidR="00810C5E" w:rsidRPr="000448D7" w:rsidRDefault="00810C5E" w:rsidP="000448D7">
      <w:r w:rsidRPr="000448D7">
        <w:br w:type="page"/>
      </w:r>
    </w:p>
    <w:p w14:paraId="599F2A50" w14:textId="76DAD7DF" w:rsidR="009B025F" w:rsidRPr="00761FAC" w:rsidRDefault="009B025F" w:rsidP="000D2189">
      <w:pPr>
        <w:pStyle w:val="Heading2"/>
      </w:pPr>
      <w:bookmarkStart w:id="19" w:name="_Toc227854547"/>
      <w:bookmarkStart w:id="20" w:name="_Toc228892573"/>
      <w:r w:rsidRPr="00761FAC">
        <w:lastRenderedPageBreak/>
        <w:t>What is a climate risk assessment?</w:t>
      </w:r>
      <w:bookmarkEnd w:id="19"/>
      <w:bookmarkEnd w:id="20"/>
    </w:p>
    <w:p w14:paraId="4A272F88" w14:textId="77777777" w:rsidR="009B025F" w:rsidRDefault="009B025F" w:rsidP="009B025F">
      <w:pPr>
        <w:pStyle w:val="BodyText"/>
      </w:pPr>
      <w:r w:rsidRPr="48A9AA3F">
        <w:t>A climate risk assessment is the process of identifying and evaluating how climate change could affect people, natural systems, services, infrastructure, resources, or other assets. The goal is to support decisions and actions that reduce harm and improve preparedness for a changing climate. Importantly, climate risk assessments should be treated as an ongoing and dynamic process, which should be revisited and updated as climate and other conditions change over time.</w:t>
      </w:r>
      <w:bookmarkStart w:id="21" w:name="_Toc227854550"/>
      <w:bookmarkStart w:id="22" w:name="_Toc228892576"/>
    </w:p>
    <w:p w14:paraId="5C574088" w14:textId="77777777" w:rsidR="009B025F" w:rsidRDefault="009B025F" w:rsidP="009B025F">
      <w:pPr>
        <w:pStyle w:val="BodyText"/>
      </w:pPr>
      <w:r>
        <w:t xml:space="preserve">As well as considering current risks, climate risk assessments typically consider two or more ‘climate scenarios’ (often using Shared Socioeconomic Pathways or SSPs) outlining </w:t>
      </w:r>
      <w:r w:rsidRPr="48A9AA3F">
        <w:t>how climate conditions might change under different levels of global greenhouse gas emissions and resulting atmospheric concentrations</w:t>
      </w:r>
      <w:r>
        <w:t xml:space="preserve">. Uncertainty about current and future risks is managed by </w:t>
      </w:r>
      <w:r w:rsidRPr="00761FAC">
        <w:t>clearly stating assumptions, using scenarios to explore different futures, and designing actions that can be adjusted over time</w:t>
      </w:r>
      <w:r>
        <w:t>. The manual provides further information on these topics.</w:t>
      </w:r>
    </w:p>
    <w:p w14:paraId="1A53903A" w14:textId="77777777" w:rsidR="009B025F" w:rsidRPr="00761FAC" w:rsidRDefault="009B025F" w:rsidP="000D2189">
      <w:pPr>
        <w:pStyle w:val="Heading2"/>
      </w:pPr>
      <w:r w:rsidRPr="00761FAC">
        <w:t>What about climate-related opportunities?</w:t>
      </w:r>
      <w:bookmarkEnd w:id="21"/>
      <w:bookmarkEnd w:id="22"/>
    </w:p>
    <w:p w14:paraId="12D0CD5A" w14:textId="77777777" w:rsidR="009B025F" w:rsidRPr="00C6613C" w:rsidRDefault="009B025F" w:rsidP="009B025F">
      <w:pPr>
        <w:pStyle w:val="BodyText"/>
      </w:pPr>
      <w:r w:rsidRPr="00C6613C">
        <w:t xml:space="preserve">The impacts of climate change for </w:t>
      </w:r>
      <w:proofErr w:type="spellStart"/>
      <w:r w:rsidRPr="00C6613C">
        <w:t>health,</w:t>
      </w:r>
      <w:proofErr w:type="spellEnd"/>
      <w:r w:rsidRPr="00C6613C">
        <w:t xml:space="preserve"> wellbeing and health systems are overwhelmingly negative.</w:t>
      </w:r>
      <w:r>
        <w:rPr>
          <w:rStyle w:val="EndnoteReference"/>
        </w:rPr>
        <w:endnoteReference w:id="19"/>
      </w:r>
      <w:r>
        <w:t xml:space="preserve"> </w:t>
      </w:r>
      <w:r w:rsidRPr="00C6613C">
        <w:t xml:space="preserve">As such, </w:t>
      </w:r>
      <w:r>
        <w:t>this guidance</w:t>
      </w:r>
      <w:r w:rsidRPr="00C6613C">
        <w:t xml:space="preserve"> focus</w:t>
      </w:r>
      <w:r>
        <w:t>es</w:t>
      </w:r>
      <w:r w:rsidRPr="00C6613C">
        <w:t xml:space="preserve"> on supporting health system organisations to prevent and/or manage </w:t>
      </w:r>
      <w:r>
        <w:t xml:space="preserve">the </w:t>
      </w:r>
      <w:r w:rsidRPr="00C6613C">
        <w:t xml:space="preserve">potential adverse consequences of climate change. However, climate change mitigation and adaptation measures present significant opportunities to improve health outcomes, enhance resilience, and </w:t>
      </w:r>
      <w:r>
        <w:t>achieve</w:t>
      </w:r>
      <w:r w:rsidRPr="00C6613C">
        <w:t xml:space="preserve"> operational efficiencies. For example, improving building insulation can help maintain safe indoor temperatures during extreme heat, reducing risks to patients and staff while lowering demand on cooling systems. This increases operational resilience</w:t>
      </w:r>
      <w:r>
        <w:t xml:space="preserve"> as well as reducing </w:t>
      </w:r>
      <w:r w:rsidRPr="00C6613C">
        <w:t>energy use, emissions, and costs.</w:t>
      </w:r>
    </w:p>
    <w:p w14:paraId="04DA377A" w14:textId="5264B458" w:rsidR="00E47847" w:rsidRDefault="00F802E8" w:rsidP="00810C5E">
      <w:pPr>
        <w:pStyle w:val="BodyText"/>
      </w:pPr>
      <w:bookmarkStart w:id="23" w:name="_Ref229657023"/>
      <w:r w:rsidRPr="00C6613C">
        <w:t>Many recent climate risk assessment frameworks, including the CROMP, prompt the identification of climate-related opportunities alongside risks</w:t>
      </w:r>
      <w:r w:rsidR="008439D0">
        <w:t>.</w:t>
      </w:r>
      <w:r w:rsidR="0063336F" w:rsidRPr="00DD3EDE">
        <w:rPr>
          <w:vertAlign w:val="superscript"/>
        </w:rPr>
        <w:fldChar w:fldCharType="begin"/>
      </w:r>
      <w:r w:rsidR="0063336F" w:rsidRPr="00DD3EDE">
        <w:rPr>
          <w:vertAlign w:val="superscript"/>
        </w:rPr>
        <w:instrText xml:space="preserve"> NOTEREF _Ref229996440 \h </w:instrText>
      </w:r>
      <w:r w:rsidR="00DD3EDE">
        <w:rPr>
          <w:vertAlign w:val="superscript"/>
        </w:rPr>
        <w:instrText xml:space="preserve"> \* MERGEFORMAT </w:instrText>
      </w:r>
      <w:r w:rsidR="0063336F" w:rsidRPr="00DD3EDE">
        <w:rPr>
          <w:vertAlign w:val="superscript"/>
        </w:rPr>
      </w:r>
      <w:r w:rsidR="0063336F" w:rsidRPr="00DD3EDE">
        <w:rPr>
          <w:vertAlign w:val="superscript"/>
        </w:rPr>
        <w:fldChar w:fldCharType="separate"/>
      </w:r>
      <w:r w:rsidR="0063336F" w:rsidRPr="00DD3EDE">
        <w:rPr>
          <w:vertAlign w:val="superscript"/>
        </w:rPr>
        <w:t>8</w:t>
      </w:r>
      <w:r w:rsidR="0063336F" w:rsidRPr="00DD3EDE">
        <w:rPr>
          <w:vertAlign w:val="superscript"/>
        </w:rPr>
        <w:fldChar w:fldCharType="end"/>
      </w:r>
      <w:r w:rsidR="00DD3EDE">
        <w:rPr>
          <w:vertAlign w:val="superscript"/>
        </w:rPr>
        <w:t>,</w:t>
      </w:r>
      <w:r w:rsidR="00DD3EDE">
        <w:rPr>
          <w:rStyle w:val="EndnoteReference"/>
        </w:rPr>
        <w:endnoteReference w:id="20"/>
      </w:r>
      <w:r w:rsidR="008439D0">
        <w:t xml:space="preserve"> </w:t>
      </w:r>
      <w:r w:rsidRPr="00C6613C">
        <w:t>Although not the focus of this guidance, routinely considering and pursuing the opportunities and co-benefits of climate mitigation and adaptation measures is extremely worthwhile. Users should review any specific requirements (legislative, regulatory, or policy-based) that may apply to their organisation in relation to the assessment of climate-related opportunities to ensure compliance with context-specific obligations.</w:t>
      </w:r>
      <w:r w:rsidR="00E47847">
        <w:br w:type="page"/>
      </w:r>
    </w:p>
    <w:p w14:paraId="77B99658" w14:textId="77777777" w:rsidR="00412FBC" w:rsidRPr="00761FAC" w:rsidRDefault="00412FBC" w:rsidP="000D2189">
      <w:pPr>
        <w:pStyle w:val="Heading2"/>
      </w:pPr>
      <w:bookmarkStart w:id="24" w:name="_Toc227854551"/>
      <w:bookmarkStart w:id="25" w:name="_Toc228892577"/>
      <w:bookmarkEnd w:id="23"/>
      <w:r w:rsidRPr="00761FAC">
        <w:lastRenderedPageBreak/>
        <w:t>What is climate adaptation?</w:t>
      </w:r>
      <w:bookmarkEnd w:id="24"/>
      <w:bookmarkEnd w:id="25"/>
    </w:p>
    <w:p w14:paraId="25C99599" w14:textId="63E23655" w:rsidR="00412FBC" w:rsidRPr="00761FAC" w:rsidRDefault="00412FBC" w:rsidP="48A9AA3F">
      <w:pPr>
        <w:pStyle w:val="BodyText"/>
      </w:pPr>
      <w:r w:rsidRPr="48A9AA3F">
        <w:t xml:space="preserve">Climate adaptation is a process of preparing for and/or adjusting to the impacts of climate change. It involves taking practical steps to reduce harm and protect people, natural systems, services, infrastructure, resources, or other assets. It is a complex and ongoing process, consisting of an ongoing cycle of </w:t>
      </w:r>
      <w:r w:rsidR="009E15B6">
        <w:t xml:space="preserve">four </w:t>
      </w:r>
      <w:r w:rsidRPr="48A9AA3F">
        <w:t>activities</w:t>
      </w:r>
      <w:r w:rsidR="00ED734D">
        <w:t>, outlined in</w:t>
      </w:r>
      <w:r w:rsidR="00DD3EDE">
        <w:t xml:space="preserve"> </w:t>
      </w:r>
      <w:r w:rsidR="00DD3EDE">
        <w:fldChar w:fldCharType="begin"/>
      </w:r>
      <w:r w:rsidR="00DD3EDE">
        <w:instrText xml:space="preserve"> REF _Ref229996515 \n \h </w:instrText>
      </w:r>
      <w:r w:rsidR="00DD3EDE">
        <w:fldChar w:fldCharType="separate"/>
      </w:r>
      <w:r w:rsidR="00DD3EDE">
        <w:t>Figure 4</w:t>
      </w:r>
      <w:r w:rsidR="00DD3EDE">
        <w:fldChar w:fldCharType="end"/>
      </w:r>
      <w:r w:rsidR="00DD3EDE">
        <w:t>:</w:t>
      </w:r>
      <w:r w:rsidRPr="48A9AA3F">
        <w:t xml:space="preserve"> understand and assess; prioritise and plan; adapt and respond; and monitor change</w:t>
      </w:r>
      <w:r w:rsidR="235D6549" w:rsidRPr="48A9AA3F">
        <w:t>.</w:t>
      </w:r>
      <w:r w:rsidR="42A886D5" w:rsidRPr="48A9AA3F">
        <w:t xml:space="preserve"> </w:t>
      </w:r>
      <w:r w:rsidRPr="48A9AA3F">
        <w:t>For health system organisations, climate adaptation could, for instance, involve planning to ensure facilities remain operational during extreme weather, or providing advice and support to priority populations to help them prevent and/or manage the health impacts of bushfire smoke. Effective adaptation can build climate resilience</w:t>
      </w:r>
      <w:r w:rsidR="008552C6">
        <w:t xml:space="preserve"> – </w:t>
      </w:r>
      <w:r w:rsidRPr="48A9AA3F">
        <w:t>the capacity to prepare for, respond to, and recover from climate impacts.</w:t>
      </w:r>
      <w:r w:rsidRPr="48A9AA3F">
        <w:rPr>
          <w:rStyle w:val="EndnoteReference"/>
        </w:rPr>
        <w:endnoteReference w:id="21"/>
      </w:r>
    </w:p>
    <w:p w14:paraId="38555A49" w14:textId="36B4C6EC" w:rsidR="00074DA0" w:rsidRDefault="007B515D" w:rsidP="48A9AA3F">
      <w:pPr>
        <w:pStyle w:val="Figureheading"/>
      </w:pPr>
      <w:bookmarkStart w:id="26" w:name="_Ref229996515"/>
      <w:r w:rsidRPr="00BF3AE0">
        <w:t>The cycle for adapting to climate change</w:t>
      </w:r>
      <w:r w:rsidR="007D4BA7" w:rsidRPr="00BF3AE0">
        <w:t xml:space="preserve"> (a</w:t>
      </w:r>
      <w:r w:rsidRPr="00BF3AE0">
        <w:t xml:space="preserve">dapted from the </w:t>
      </w:r>
      <w:hyperlink r:id="rId31" w:history="1">
        <w:r w:rsidRPr="000D2189">
          <w:rPr>
            <w:rStyle w:val="Hyperlink"/>
            <w:color w:val="062E74" w:themeColor="accent1" w:themeShade="BF"/>
          </w:rPr>
          <w:t>National Adaptation Plan</w:t>
        </w:r>
      </w:hyperlink>
      <w:r w:rsidR="007D4BA7" w:rsidRPr="00BF3AE0">
        <w:t>)</w:t>
      </w:r>
      <w:bookmarkEnd w:id="26"/>
    </w:p>
    <w:p w14:paraId="4924BC1B" w14:textId="2151407C" w:rsidR="0018206D" w:rsidRPr="0018206D" w:rsidRDefault="0018206D" w:rsidP="0018206D">
      <w:pPr>
        <w:pStyle w:val="BodyText"/>
        <w:jc w:val="center"/>
      </w:pPr>
      <w:r>
        <w:rPr>
          <w:noProof/>
        </w:rPr>
        <w:drawing>
          <wp:inline distT="0" distB="0" distL="0" distR="0" wp14:anchorId="4523A55F" wp14:editId="1EA8DA4D">
            <wp:extent cx="3844290" cy="3468914"/>
            <wp:effectExtent l="0" t="0" r="3810" b="0"/>
            <wp:docPr id="2048788185" name="Picture 2" descr="Figure 5 is a diagram depicting the cycle for adapting to climate change. Includes: (1) Understand and assess, (2) Prioritise and plan, (3) Adapt and respond, and (4) Monitor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88185" name="Picture 2" descr="Figure 5 is a diagram depicting the cycle for adapting to climate change. Includes: (1) Understand and assess, (2) Prioritise and plan, (3) Adapt and respond, and (4) Monitor change. "/>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5762" b="5374"/>
                    <a:stretch>
                      <a:fillRect/>
                    </a:stretch>
                  </pic:blipFill>
                  <pic:spPr bwMode="auto">
                    <a:xfrm>
                      <a:off x="0" y="0"/>
                      <a:ext cx="3844800" cy="3469374"/>
                    </a:xfrm>
                    <a:prstGeom prst="rect">
                      <a:avLst/>
                    </a:prstGeom>
                    <a:noFill/>
                    <a:ln>
                      <a:noFill/>
                    </a:ln>
                    <a:extLst>
                      <a:ext uri="{53640926-AAD7-44D8-BBD7-CCE9431645EC}">
                        <a14:shadowObscured xmlns:a14="http://schemas.microsoft.com/office/drawing/2010/main"/>
                      </a:ext>
                    </a:extLst>
                  </pic:spPr>
                </pic:pic>
              </a:graphicData>
            </a:graphic>
          </wp:inline>
        </w:drawing>
      </w:r>
    </w:p>
    <w:p w14:paraId="417CCA26" w14:textId="04A9EF91" w:rsidR="00412FBC" w:rsidRPr="004712DB" w:rsidRDefault="00412FBC" w:rsidP="48A9AA3F">
      <w:pPr>
        <w:pStyle w:val="BodyText"/>
      </w:pPr>
      <w:r w:rsidRPr="48A9AA3F">
        <w:t xml:space="preserve">Adaptation is different </w:t>
      </w:r>
      <w:r w:rsidR="0087210C">
        <w:t>to</w:t>
      </w:r>
      <w:r w:rsidRPr="48A9AA3F">
        <w:t xml:space="preserve">, but closely connected to, mitigation, which focuses on reducing the greenhouse gas emissions that cause climate change. While emissions mitigation aims to slow or prevent future climate change, adaptation </w:t>
      </w:r>
      <w:r w:rsidR="00430C63">
        <w:t>aims</w:t>
      </w:r>
      <w:r w:rsidR="00430C63" w:rsidRPr="48A9AA3F">
        <w:t xml:space="preserve"> </w:t>
      </w:r>
      <w:r w:rsidRPr="48A9AA3F">
        <w:t>to reduce the likelihood of climate impacts eventuating and/or the severity of impacts when they do occur. Both adaptation and mitigation are essential, and both can have significant benefits for health and wellbeing</w:t>
      </w:r>
      <w:r w:rsidR="002C64BE">
        <w:t>; indeed,</w:t>
      </w:r>
      <w:r w:rsidRPr="48A9AA3F" w:rsidDel="00DA488F">
        <w:t xml:space="preserve"> e</w:t>
      </w:r>
      <w:r w:rsidRPr="48A9AA3F">
        <w:t>ffective adaptation requires credible mitigation strategies to address the root causes of climate risks and impacts.</w:t>
      </w:r>
    </w:p>
    <w:p w14:paraId="6B63FD27" w14:textId="5ADB64AE" w:rsidR="00412FBC" w:rsidRPr="00761FAC" w:rsidRDefault="00412FBC" w:rsidP="000D2189">
      <w:pPr>
        <w:pStyle w:val="Heading2"/>
      </w:pPr>
      <w:bookmarkStart w:id="27" w:name="_Toc227854552"/>
      <w:bookmarkStart w:id="28" w:name="_Toc228892578"/>
      <w:r w:rsidRPr="00761FAC">
        <w:lastRenderedPageBreak/>
        <w:t>What is an adaptation plan?</w:t>
      </w:r>
      <w:bookmarkEnd w:id="27"/>
      <w:bookmarkEnd w:id="28"/>
    </w:p>
    <w:p w14:paraId="4CED6C78" w14:textId="569F61D1" w:rsidR="00972B46" w:rsidRDefault="00412FBC" w:rsidP="00982A4F">
      <w:pPr>
        <w:pStyle w:val="BodyText"/>
        <w:rPr>
          <w:rFonts w:eastAsiaTheme="majorEastAsia" w:cstheme="majorBidi"/>
          <w:iCs/>
          <w:color w:val="025F5D"/>
          <w:sz w:val="28"/>
        </w:rPr>
      </w:pPr>
      <w:r w:rsidRPr="48A9AA3F">
        <w:t>A climate adaptation plan outlines the actions an organisation will take to prevent, prepare for, and respond to the impacts of climate change. It is based on an understanding of climate risks</w:t>
      </w:r>
      <w:r w:rsidR="00012D15">
        <w:t xml:space="preserve"> (typically obtained via a preceding risk assessment)</w:t>
      </w:r>
      <w:r w:rsidRPr="48A9AA3F">
        <w:t>, and focuses on reducing vulnerability (and, where possible, exposure) to climate-related hazards to minimise the likelihood or consequence of a climate risk being realised. Its aim is to prevent or minimise harm, protect people, assets and services, and strengthen resilience. For health system organisations, this includes planning for events like heatwaves, bushfires, floods, and climate-sensitive disease outbreaks, and ensuring infrastructure, workforce, and communities are ready to respond to changing conditions.</w:t>
      </w:r>
      <w:bookmarkStart w:id="29" w:name="_Toc227854548"/>
      <w:bookmarkStart w:id="30" w:name="_Toc228892574"/>
      <w:bookmarkStart w:id="31" w:name="_Toc227854549"/>
      <w:bookmarkStart w:id="32" w:name="_Toc228892575"/>
    </w:p>
    <w:p w14:paraId="0BF99917" w14:textId="1BC69306" w:rsidR="00E722BC" w:rsidRPr="00761FAC" w:rsidRDefault="00B4601A" w:rsidP="00F93543">
      <w:pPr>
        <w:pStyle w:val="Heading1"/>
        <w:spacing w:before="0"/>
        <w:sectPr w:rsidR="00E722BC" w:rsidRPr="00761FAC" w:rsidSect="008C4BF0">
          <w:endnotePr>
            <w:numFmt w:val="decimal"/>
          </w:endnotePr>
          <w:pgSz w:w="11900" w:h="16840"/>
          <w:pgMar w:top="1361" w:right="845" w:bottom="1474" w:left="1134" w:header="0" w:footer="363" w:gutter="0"/>
          <w:cols w:space="708"/>
          <w:docGrid w:linePitch="360"/>
        </w:sectPr>
      </w:pPr>
      <w:bookmarkStart w:id="33" w:name="_Toc228892582"/>
      <w:bookmarkEnd w:id="29"/>
      <w:bookmarkEnd w:id="30"/>
      <w:bookmarkEnd w:id="31"/>
      <w:bookmarkEnd w:id="32"/>
      <w:r w:rsidRPr="00761FAC">
        <w:lastRenderedPageBreak/>
        <w:t>References</w:t>
      </w:r>
      <w:bookmarkEnd w:id="33"/>
    </w:p>
    <w:p w14:paraId="562AF3A7" w14:textId="7477303F" w:rsidR="00011960" w:rsidRDefault="00011960" w:rsidP="007E72A6">
      <w:pPr>
        <w:sectPr w:rsidR="00011960" w:rsidSect="00930BA8">
          <w:footerReference w:type="default" r:id="rId33"/>
          <w:pgSz w:w="11900" w:h="16840" w:code="9"/>
          <w:pgMar w:top="1276" w:right="936" w:bottom="1134" w:left="1474" w:header="709" w:footer="0" w:gutter="0"/>
          <w:cols w:space="708"/>
          <w:noEndnote/>
          <w:docGrid w:linePitch="360"/>
        </w:sectPr>
      </w:pPr>
    </w:p>
    <w:p w14:paraId="69111D13" w14:textId="1B82CA03" w:rsidR="00392A4D" w:rsidRPr="00761FAC" w:rsidRDefault="00011960" w:rsidP="007E72A6">
      <w:r w:rsidRPr="008A7E9A">
        <w:rPr>
          <w:noProof/>
        </w:rPr>
        <w:lastRenderedPageBreak/>
        <w:drawing>
          <wp:anchor distT="0" distB="0" distL="114300" distR="114300" simplePos="0" relativeHeight="251658240" behindDoc="1" locked="0" layoutInCell="1" allowOverlap="1" wp14:anchorId="2E5DDEFB" wp14:editId="5A0C2308">
            <wp:simplePos x="0" y="0"/>
            <wp:positionH relativeFrom="page">
              <wp:posOffset>0</wp:posOffset>
            </wp:positionH>
            <wp:positionV relativeFrom="page">
              <wp:posOffset>0</wp:posOffset>
            </wp:positionV>
            <wp:extent cx="7684770" cy="10861675"/>
            <wp:effectExtent l="0" t="0" r="0" b="0"/>
            <wp:wrapNone/>
            <wp:docPr id="499333056" name="Picture 6" descr="C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CDC logo."/>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684770" cy="10861675"/>
                    </a:xfrm>
                    <a:prstGeom prst="rect">
                      <a:avLst/>
                    </a:prstGeom>
                  </pic:spPr>
                </pic:pic>
              </a:graphicData>
            </a:graphic>
            <wp14:sizeRelH relativeFrom="page">
              <wp14:pctWidth>0</wp14:pctWidth>
            </wp14:sizeRelH>
            <wp14:sizeRelV relativeFrom="page">
              <wp14:pctHeight>0</wp14:pctHeight>
            </wp14:sizeRelV>
          </wp:anchor>
        </w:drawing>
      </w:r>
    </w:p>
    <w:sectPr w:rsidR="00392A4D" w:rsidRPr="00761FAC" w:rsidSect="00930BA8">
      <w:pgSz w:w="11900" w:h="16840" w:code="9"/>
      <w:pgMar w:top="1276" w:right="936" w:bottom="1134" w:left="1474" w:header="709" w:footer="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DD666" w14:textId="77777777" w:rsidR="00B26D78" w:rsidRDefault="00B26D78" w:rsidP="00BD640A">
      <w:pPr>
        <w:spacing w:line="240" w:lineRule="auto"/>
      </w:pPr>
      <w:r>
        <w:separator/>
      </w:r>
    </w:p>
  </w:endnote>
  <w:endnote w:type="continuationSeparator" w:id="0">
    <w:p w14:paraId="287665C8" w14:textId="77777777" w:rsidR="00B26D78" w:rsidRDefault="00B26D78" w:rsidP="00BD640A">
      <w:pPr>
        <w:spacing w:line="240" w:lineRule="auto"/>
      </w:pPr>
      <w:r>
        <w:continuationSeparator/>
      </w:r>
    </w:p>
  </w:endnote>
  <w:endnote w:id="1">
    <w:p w14:paraId="7D972E44" w14:textId="2B5DC620" w:rsidR="003600F4" w:rsidRPr="00E47F5D" w:rsidRDefault="003600F4" w:rsidP="002F67D2">
      <w:pPr>
        <w:pStyle w:val="EndnoteText"/>
        <w:spacing w:before="0" w:after="40"/>
      </w:pPr>
      <w:r w:rsidRPr="00E47F5D">
        <w:rPr>
          <w:rStyle w:val="EndnoteReference"/>
        </w:rPr>
        <w:endnoteRef/>
      </w:r>
      <w:r w:rsidRPr="00E47F5D">
        <w:t xml:space="preserve"> Australian Climate Service, </w:t>
      </w:r>
      <w:hyperlink r:id="rId1" w:history="1">
        <w:r w:rsidRPr="000D2189">
          <w:rPr>
            <w:rStyle w:val="Hyperlink"/>
            <w:i/>
            <w:iCs/>
            <w:color w:val="062E74" w:themeColor="accent1" w:themeShade="BF"/>
          </w:rPr>
          <w:t>National Climate Risk Assessment</w:t>
        </w:r>
      </w:hyperlink>
      <w:r w:rsidRPr="00E47F5D">
        <w:t>, Australian Government, 2025</w:t>
      </w:r>
      <w:r w:rsidR="004E169E" w:rsidRPr="00E47F5D">
        <w:t xml:space="preserve">, accessed </w:t>
      </w:r>
      <w:r w:rsidR="001F55D4" w:rsidRPr="00E47F5D">
        <w:t>18 May 2026</w:t>
      </w:r>
      <w:r w:rsidR="00803B9D" w:rsidRPr="00E47F5D">
        <w:t>.</w:t>
      </w:r>
    </w:p>
  </w:endnote>
  <w:endnote w:id="2">
    <w:p w14:paraId="2BD6D8F8" w14:textId="47ED6116" w:rsidR="003600F4" w:rsidRPr="00E47F5D" w:rsidRDefault="003600F4" w:rsidP="002F67D2">
      <w:pPr>
        <w:pStyle w:val="EndnoteText"/>
        <w:spacing w:before="0" w:after="40"/>
      </w:pPr>
      <w:r w:rsidRPr="00E47F5D">
        <w:rPr>
          <w:rStyle w:val="EndnoteReference"/>
        </w:rPr>
        <w:endnoteRef/>
      </w:r>
      <w:r w:rsidRPr="00E47F5D">
        <w:t xml:space="preserve"> Australian Department of Climate Change, Energy, the Environment and Water, </w:t>
      </w:r>
      <w:hyperlink r:id="rId2" w:history="1">
        <w:r w:rsidRPr="000D2189">
          <w:rPr>
            <w:rStyle w:val="Hyperlink"/>
            <w:i/>
            <w:iCs/>
            <w:color w:val="062E74" w:themeColor="accent1" w:themeShade="BF"/>
          </w:rPr>
          <w:t>National Adaptation Plan</w:t>
        </w:r>
      </w:hyperlink>
      <w:r w:rsidRPr="00E47F5D">
        <w:t>, Australian Government, 2025</w:t>
      </w:r>
      <w:r w:rsidR="001F55D4" w:rsidRPr="00E47F5D">
        <w:t>, accessed 18 May 2026</w:t>
      </w:r>
      <w:r w:rsidRPr="00E47F5D">
        <w:t>.</w:t>
      </w:r>
    </w:p>
  </w:endnote>
  <w:endnote w:id="3">
    <w:p w14:paraId="6C4E7C15" w14:textId="14F0DE4A" w:rsidR="003600F4" w:rsidRPr="00E47F5D" w:rsidRDefault="003600F4" w:rsidP="002F67D2">
      <w:pPr>
        <w:pStyle w:val="EndnoteText"/>
        <w:spacing w:before="0" w:after="40"/>
      </w:pPr>
      <w:r w:rsidRPr="00E47F5D">
        <w:rPr>
          <w:rStyle w:val="EndnoteReference"/>
        </w:rPr>
        <w:endnoteRef/>
      </w:r>
      <w:r w:rsidR="00373DFA" w:rsidRPr="00E47F5D">
        <w:t xml:space="preserve"> </w:t>
      </w:r>
      <w:r w:rsidR="001923FE" w:rsidRPr="00E47F5D">
        <w:t>Australian Department of Climate Change, Energy, the Environment and Water</w:t>
      </w:r>
      <w:r w:rsidR="00373DFA" w:rsidRPr="00E47F5D">
        <w:t>,</w:t>
      </w:r>
      <w:r w:rsidRPr="00E47F5D">
        <w:t xml:space="preserve"> </w:t>
      </w:r>
      <w:hyperlink r:id="rId3" w:history="1">
        <w:r w:rsidRPr="000D2189">
          <w:rPr>
            <w:rStyle w:val="Hyperlink"/>
            <w:i/>
            <w:iCs/>
            <w:color w:val="062E74" w:themeColor="accent1" w:themeShade="BF"/>
          </w:rPr>
          <w:t>Climate Risk and Opportunity Management Program Technical Guidance</w:t>
        </w:r>
      </w:hyperlink>
      <w:r w:rsidRPr="00E47F5D">
        <w:t>, Australian Government, 2025</w:t>
      </w:r>
      <w:r w:rsidR="001F55D4" w:rsidRPr="00E47F5D">
        <w:t>, accessed 18 May 2026</w:t>
      </w:r>
      <w:r w:rsidRPr="00E47F5D">
        <w:t>.</w:t>
      </w:r>
    </w:p>
  </w:endnote>
  <w:endnote w:id="4">
    <w:p w14:paraId="776B8B9D" w14:textId="3AE12C64" w:rsidR="005D782F" w:rsidRPr="00E47F5D" w:rsidRDefault="005D782F" w:rsidP="002F67D2">
      <w:pPr>
        <w:pStyle w:val="EndnoteText"/>
        <w:spacing w:before="0" w:after="40"/>
      </w:pPr>
      <w:r w:rsidRPr="00E47F5D">
        <w:rPr>
          <w:rStyle w:val="EndnoteReference"/>
        </w:rPr>
        <w:endnoteRef/>
      </w:r>
      <w:r w:rsidRPr="00E47F5D">
        <w:t xml:space="preserve"> </w:t>
      </w:r>
      <w:r w:rsidR="00E50B73" w:rsidRPr="00E47F5D">
        <w:t>Australian Department of Treasury</w:t>
      </w:r>
      <w:r w:rsidR="007E2949" w:rsidRPr="00E47F5D">
        <w:t xml:space="preserve">, </w:t>
      </w:r>
      <w:hyperlink r:id="rId4" w:history="1">
        <w:r w:rsidR="007E2949" w:rsidRPr="000D2189">
          <w:rPr>
            <w:rStyle w:val="Hyperlink"/>
            <w:i/>
            <w:iCs/>
            <w:color w:val="062E74" w:themeColor="accent1" w:themeShade="BF"/>
          </w:rPr>
          <w:t>Climate related financial reporting and guidance</w:t>
        </w:r>
      </w:hyperlink>
      <w:r w:rsidR="007E2949" w:rsidRPr="00E47F5D">
        <w:rPr>
          <w:i/>
          <w:iCs/>
        </w:rPr>
        <w:t xml:space="preserve">, </w:t>
      </w:r>
      <w:r w:rsidR="007E2949" w:rsidRPr="00E47F5D">
        <w:t>Australian Government, 2025</w:t>
      </w:r>
      <w:r w:rsidR="001F55D4" w:rsidRPr="00E47F5D">
        <w:t>, accessed 18 May 2026</w:t>
      </w:r>
      <w:r w:rsidR="007E2949" w:rsidRPr="00E47F5D">
        <w:t>.</w:t>
      </w:r>
    </w:p>
  </w:endnote>
  <w:endnote w:id="5">
    <w:p w14:paraId="05FC5A8A" w14:textId="5966A8CB" w:rsidR="003E13D5" w:rsidRPr="00E47F5D" w:rsidRDefault="003E13D5" w:rsidP="002F67D2">
      <w:pPr>
        <w:pStyle w:val="EndnoteText"/>
        <w:spacing w:before="0" w:after="40"/>
      </w:pPr>
      <w:r w:rsidRPr="00E47F5D">
        <w:rPr>
          <w:rStyle w:val="EndnoteReference"/>
        </w:rPr>
        <w:endnoteRef/>
      </w:r>
      <w:r w:rsidRPr="00E47F5D">
        <w:t xml:space="preserve"> </w:t>
      </w:r>
      <w:r w:rsidR="00F02B47" w:rsidRPr="00E47F5D">
        <w:t>Australian Department of Health</w:t>
      </w:r>
      <w:r w:rsidR="006B6E85" w:rsidRPr="00E47F5D">
        <w:t xml:space="preserve"> and Aged Care</w:t>
      </w:r>
      <w:r w:rsidRPr="00E47F5D">
        <w:t xml:space="preserve">, </w:t>
      </w:r>
      <w:hyperlink r:id="rId5" w:history="1">
        <w:r w:rsidRPr="000D2189">
          <w:rPr>
            <w:rStyle w:val="Hyperlink"/>
            <w:i/>
            <w:iCs/>
            <w:color w:val="062E74" w:themeColor="accent1" w:themeShade="BF"/>
          </w:rPr>
          <w:t>National Health and Climate Strategy</w:t>
        </w:r>
      </w:hyperlink>
      <w:r w:rsidRPr="00E47F5D">
        <w:t>, Australian Government, 2023</w:t>
      </w:r>
      <w:r w:rsidR="001F55D4" w:rsidRPr="00E47F5D">
        <w:t>, accessed 18 May 2026</w:t>
      </w:r>
      <w:r w:rsidRPr="00E47F5D">
        <w:t>.</w:t>
      </w:r>
    </w:p>
  </w:endnote>
  <w:endnote w:id="6">
    <w:p w14:paraId="05264EAA" w14:textId="5298A677" w:rsidR="00770012" w:rsidRPr="00E47F5D" w:rsidRDefault="00770012" w:rsidP="002F67D2">
      <w:pPr>
        <w:pStyle w:val="EndnoteText"/>
        <w:spacing w:before="0" w:after="40"/>
      </w:pPr>
      <w:r w:rsidRPr="00E47F5D">
        <w:rPr>
          <w:rStyle w:val="EndnoteReference"/>
        </w:rPr>
        <w:endnoteRef/>
      </w:r>
      <w:r w:rsidRPr="00E47F5D">
        <w:t xml:space="preserve"> </w:t>
      </w:r>
      <w:r w:rsidR="002B3D30" w:rsidRPr="00E47F5D">
        <w:t xml:space="preserve">Australian </w:t>
      </w:r>
      <w:r w:rsidR="006E01C5" w:rsidRPr="00E47F5D">
        <w:t>Department of the</w:t>
      </w:r>
      <w:r w:rsidR="002B3D30" w:rsidRPr="00E47F5D">
        <w:t xml:space="preserve"> </w:t>
      </w:r>
      <w:r w:rsidRPr="00E47F5D">
        <w:t xml:space="preserve">Treasury, </w:t>
      </w:r>
      <w:hyperlink r:id="rId6" w:history="1">
        <w:r w:rsidR="008E3D2E">
          <w:rPr>
            <w:rStyle w:val="Hyperlink"/>
            <w:i/>
            <w:iCs/>
            <w:color w:val="062E74" w:themeColor="accent1" w:themeShade="BF"/>
          </w:rPr>
          <w:t>Climate-related transition planning: Voluntary Guidance</w:t>
        </w:r>
      </w:hyperlink>
      <w:r w:rsidRPr="00E47F5D">
        <w:rPr>
          <w:i/>
          <w:iCs/>
        </w:rPr>
        <w:t>,</w:t>
      </w:r>
      <w:r w:rsidRPr="00E47F5D">
        <w:t xml:space="preserve"> Australian Government, </w:t>
      </w:r>
      <w:r w:rsidR="008E3D2E">
        <w:t>accessed 22 September 2026</w:t>
      </w:r>
      <w:r w:rsidRPr="00E47F5D">
        <w:t>.</w:t>
      </w:r>
    </w:p>
  </w:endnote>
  <w:endnote w:id="7">
    <w:p w14:paraId="2A50F01E" w14:textId="064B49C5" w:rsidR="00651FFD" w:rsidRPr="00E47F5D" w:rsidRDefault="00651FFD" w:rsidP="002F67D2">
      <w:pPr>
        <w:pStyle w:val="EndnoteText"/>
        <w:spacing w:before="0" w:after="40"/>
      </w:pPr>
      <w:r w:rsidRPr="00E47F5D">
        <w:rPr>
          <w:rStyle w:val="EndnoteReference"/>
        </w:rPr>
        <w:endnoteRef/>
      </w:r>
      <w:r w:rsidRPr="00E47F5D">
        <w:t xml:space="preserve"> Australian Accounting Standards Board (AASB), </w:t>
      </w:r>
      <w:hyperlink r:id="rId7" w:history="1">
        <w:r w:rsidRPr="000D2189">
          <w:rPr>
            <w:rStyle w:val="Hyperlink"/>
            <w:i/>
            <w:iCs/>
            <w:color w:val="062E74" w:themeColor="accent1" w:themeShade="BF"/>
          </w:rPr>
          <w:t>Australian Sustainability Reporting Standard AASB S2</w:t>
        </w:r>
      </w:hyperlink>
      <w:r w:rsidRPr="00E47F5D">
        <w:t>, Australian Government, 2024, accessed 27 May 2026.</w:t>
      </w:r>
    </w:p>
  </w:endnote>
  <w:endnote w:id="8">
    <w:p w14:paraId="2ADE5824" w14:textId="59EACCF2" w:rsidR="000E3110" w:rsidRPr="00E47F5D" w:rsidRDefault="000E3110" w:rsidP="002F67D2">
      <w:pPr>
        <w:pStyle w:val="EndnoteText"/>
        <w:spacing w:before="0" w:after="40"/>
      </w:pPr>
      <w:r w:rsidRPr="00E47F5D">
        <w:rPr>
          <w:rStyle w:val="EndnoteReference"/>
        </w:rPr>
        <w:endnoteRef/>
      </w:r>
      <w:r w:rsidRPr="00E47F5D">
        <w:t xml:space="preserve"> </w:t>
      </w:r>
      <w:r w:rsidR="00D12716" w:rsidRPr="00E47F5D">
        <w:t xml:space="preserve">Australian Securities &amp; Investments Commission (ASIC), </w:t>
      </w:r>
      <w:hyperlink r:id="rId8" w:history="1">
        <w:r w:rsidR="00D12716" w:rsidRPr="000D2189">
          <w:rPr>
            <w:rStyle w:val="Hyperlink"/>
            <w:i/>
            <w:iCs/>
            <w:color w:val="062E74" w:themeColor="accent1" w:themeShade="BF"/>
          </w:rPr>
          <w:t>REP 809 Response to submissions on CP 380 Sustainability reporting</w:t>
        </w:r>
      </w:hyperlink>
      <w:r w:rsidR="00D12716" w:rsidRPr="00E47F5D">
        <w:t>, ASIC, 2025, accessed 21 May 2026.</w:t>
      </w:r>
    </w:p>
  </w:endnote>
  <w:endnote w:id="9">
    <w:p w14:paraId="1E5E26C8" w14:textId="3B0E683D" w:rsidR="00834C72" w:rsidRPr="00E47F5D" w:rsidRDefault="00834C72" w:rsidP="002F67D2">
      <w:pPr>
        <w:pStyle w:val="EndnoteText"/>
        <w:spacing w:before="0" w:after="40"/>
      </w:pPr>
      <w:r w:rsidRPr="00E47F5D">
        <w:rPr>
          <w:rStyle w:val="EndnoteReference"/>
        </w:rPr>
        <w:endnoteRef/>
      </w:r>
      <w:r w:rsidRPr="00E47F5D">
        <w:t xml:space="preserve"> Australian Department of Climate Change, Energy, the Environment and Water, </w:t>
      </w:r>
      <w:hyperlink r:id="rId9" w:history="1">
        <w:r w:rsidRPr="000D2189">
          <w:rPr>
            <w:rStyle w:val="Hyperlink"/>
            <w:i/>
            <w:iCs/>
            <w:color w:val="062E74" w:themeColor="accent1" w:themeShade="BF"/>
          </w:rPr>
          <w:t>Australia’s 2035 Nationally Determined Contribution</w:t>
        </w:r>
      </w:hyperlink>
      <w:r w:rsidRPr="00E47F5D">
        <w:t>, Australian Government, 2025, accessed 27 May 2025.</w:t>
      </w:r>
    </w:p>
  </w:endnote>
  <w:endnote w:id="10">
    <w:p w14:paraId="12B5EFE4" w14:textId="3E70D571" w:rsidR="00CF535E" w:rsidRPr="00E47F5D" w:rsidRDefault="00CF535E" w:rsidP="002F67D2">
      <w:pPr>
        <w:pStyle w:val="EndnoteText"/>
        <w:spacing w:before="0" w:after="40"/>
      </w:pPr>
      <w:r w:rsidRPr="00E47F5D">
        <w:rPr>
          <w:rStyle w:val="EndnoteReference"/>
        </w:rPr>
        <w:endnoteRef/>
      </w:r>
      <w:r w:rsidRPr="00E47F5D">
        <w:t xml:space="preserve"> </w:t>
      </w:r>
      <w:r w:rsidR="00E73205" w:rsidRPr="00E47F5D">
        <w:t xml:space="preserve">Department of Climate Change, Energy, the Environment and Water, </w:t>
      </w:r>
      <w:hyperlink r:id="rId10" w:history="1">
        <w:r w:rsidR="00E73205" w:rsidRPr="000D2189">
          <w:rPr>
            <w:rStyle w:val="Hyperlink"/>
            <w:i/>
            <w:iCs/>
            <w:color w:val="062E74" w:themeColor="accent1" w:themeShade="BF"/>
          </w:rPr>
          <w:t>Australia’s Net Zero Plan</w:t>
        </w:r>
      </w:hyperlink>
      <w:r w:rsidR="00E73205" w:rsidRPr="00E47F5D">
        <w:t>, Australian Government, 202</w:t>
      </w:r>
      <w:r w:rsidR="00483350" w:rsidRPr="00E47F5D">
        <w:t>5, accessed 27 May 2026.</w:t>
      </w:r>
    </w:p>
  </w:endnote>
  <w:endnote w:id="11">
    <w:p w14:paraId="6F683FB9" w14:textId="0D79DA66" w:rsidR="00DE5E30" w:rsidRPr="00E47F5D" w:rsidRDefault="00DE5E30" w:rsidP="002F67D2">
      <w:pPr>
        <w:pStyle w:val="EndnoteText"/>
        <w:spacing w:before="0" w:after="40"/>
      </w:pPr>
      <w:r w:rsidRPr="00E47F5D">
        <w:rPr>
          <w:rStyle w:val="EndnoteReference"/>
        </w:rPr>
        <w:endnoteRef/>
      </w:r>
      <w:r w:rsidRPr="00E47F5D">
        <w:t xml:space="preserve"> Department of Climate Change, Energy, the Environment and Water, </w:t>
      </w:r>
      <w:hyperlink r:id="rId11" w:history="1">
        <w:r w:rsidRPr="000D2189">
          <w:rPr>
            <w:rStyle w:val="Hyperlink"/>
            <w:i/>
            <w:iCs/>
            <w:color w:val="062E74" w:themeColor="accent1" w:themeShade="BF"/>
          </w:rPr>
          <w:t>Annual Climate Change Statement 2025</w:t>
        </w:r>
      </w:hyperlink>
      <w:r w:rsidRPr="00E47F5D">
        <w:t>,</w:t>
      </w:r>
      <w:r w:rsidR="00834C72" w:rsidRPr="00E47F5D">
        <w:t xml:space="preserve"> Australian Government, 2025, accessed 27 May 2026.</w:t>
      </w:r>
    </w:p>
  </w:endnote>
  <w:endnote w:id="12">
    <w:p w14:paraId="17A163D7" w14:textId="7C503627" w:rsidR="00662657" w:rsidRPr="00E47F5D" w:rsidRDefault="00662657" w:rsidP="002F67D2">
      <w:pPr>
        <w:pStyle w:val="EndnoteText"/>
        <w:spacing w:before="0" w:after="40"/>
      </w:pPr>
      <w:r w:rsidRPr="00E47F5D">
        <w:rPr>
          <w:rStyle w:val="EndnoteReference"/>
        </w:rPr>
        <w:endnoteRef/>
      </w:r>
      <w:r w:rsidRPr="00E47F5D">
        <w:t xml:space="preserve"> Queensland Health, </w:t>
      </w:r>
      <w:hyperlink r:id="rId12" w:history="1">
        <w:r w:rsidRPr="000D2189">
          <w:rPr>
            <w:rStyle w:val="Hyperlink"/>
            <w:i/>
            <w:iCs/>
            <w:color w:val="062E74" w:themeColor="accent1" w:themeShade="BF"/>
          </w:rPr>
          <w:t>Climate Change Adaptation Planning Guidance Guidelines</w:t>
        </w:r>
      </w:hyperlink>
      <w:r w:rsidRPr="00E47F5D">
        <w:t>, Queensland Government, 2019</w:t>
      </w:r>
      <w:r w:rsidR="001F55D4" w:rsidRPr="00E47F5D">
        <w:t>, accessed 18 May 2026</w:t>
      </w:r>
      <w:r w:rsidRPr="00E47F5D">
        <w:t>.</w:t>
      </w:r>
    </w:p>
  </w:endnote>
  <w:endnote w:id="13">
    <w:p w14:paraId="2908524E" w14:textId="4F457D42" w:rsidR="00F11A13" w:rsidRPr="00E47F5D" w:rsidRDefault="00F11A13" w:rsidP="002F67D2">
      <w:pPr>
        <w:pStyle w:val="EndnoteText"/>
        <w:spacing w:before="0" w:after="40"/>
      </w:pPr>
      <w:r w:rsidRPr="00E47F5D">
        <w:rPr>
          <w:rStyle w:val="EndnoteReference"/>
        </w:rPr>
        <w:endnoteRef/>
      </w:r>
      <w:r w:rsidRPr="00E47F5D">
        <w:t xml:space="preserve"> </w:t>
      </w:r>
      <w:r w:rsidR="004141B5" w:rsidRPr="00E47F5D">
        <w:t xml:space="preserve">Victoria Department of Health, </w:t>
      </w:r>
      <w:r w:rsidR="004141B5" w:rsidRPr="00E47F5D">
        <w:rPr>
          <w:i/>
          <w:iCs/>
        </w:rPr>
        <w:t xml:space="preserve">Climate change risk toolkit for Victorian health services </w:t>
      </w:r>
      <w:r w:rsidR="004141B5" w:rsidRPr="00E47F5D">
        <w:t>(internal policy document), Victoria State Government, 2025.</w:t>
      </w:r>
    </w:p>
  </w:endnote>
  <w:endnote w:id="14">
    <w:p w14:paraId="257FE5F4" w14:textId="3EBF9D4B" w:rsidR="00662657" w:rsidRPr="00E47F5D" w:rsidRDefault="00662657" w:rsidP="002F67D2">
      <w:pPr>
        <w:pStyle w:val="EndnoteText"/>
        <w:spacing w:before="0" w:after="40"/>
      </w:pPr>
      <w:r w:rsidRPr="00E47F5D">
        <w:rPr>
          <w:rStyle w:val="EndnoteReference"/>
        </w:rPr>
        <w:endnoteRef/>
      </w:r>
      <w:r w:rsidRPr="00E47F5D">
        <w:t xml:space="preserve"> </w:t>
      </w:r>
      <w:r w:rsidR="00802507" w:rsidRPr="00E47F5D">
        <w:t>Australian Department of Health</w:t>
      </w:r>
      <w:r w:rsidR="004A49F2" w:rsidRPr="00E47F5D">
        <w:t xml:space="preserve"> and Aged Care</w:t>
      </w:r>
      <w:r w:rsidRPr="00E47F5D">
        <w:t xml:space="preserve">, </w:t>
      </w:r>
      <w:hyperlink r:id="rId13" w:history="1">
        <w:r w:rsidRPr="002A2561">
          <w:rPr>
            <w:rStyle w:val="Hyperlink"/>
            <w:i/>
            <w:iCs/>
            <w:color w:val="062E74" w:themeColor="accent1" w:themeShade="BF"/>
          </w:rPr>
          <w:t>National Health and Climate Strategy Final thematic stakeholder engagement report</w:t>
        </w:r>
      </w:hyperlink>
      <w:r w:rsidRPr="00E47F5D">
        <w:t>, Australian Government, 2023</w:t>
      </w:r>
      <w:r w:rsidR="005F1EE8" w:rsidRPr="00E47F5D">
        <w:t>, accessed 18 May 2026</w:t>
      </w:r>
      <w:r w:rsidRPr="00E47F5D">
        <w:t>.</w:t>
      </w:r>
    </w:p>
  </w:endnote>
  <w:endnote w:id="15">
    <w:p w14:paraId="36A599FB" w14:textId="13E884FA" w:rsidR="00662657" w:rsidRPr="00E47F5D" w:rsidRDefault="00662657" w:rsidP="002F67D2">
      <w:pPr>
        <w:pStyle w:val="EndnoteText"/>
        <w:spacing w:before="0" w:after="40"/>
      </w:pPr>
      <w:r w:rsidRPr="00E47F5D">
        <w:rPr>
          <w:rStyle w:val="EndnoteReference"/>
        </w:rPr>
        <w:endnoteRef/>
      </w:r>
      <w:r w:rsidRPr="00E47F5D">
        <w:t xml:space="preserve"> </w:t>
      </w:r>
      <w:r w:rsidR="004A49F2" w:rsidRPr="00E47F5D">
        <w:t>Australian Department of Climate Change, Energy, the Environment and Water</w:t>
      </w:r>
      <w:r w:rsidR="00373DFA" w:rsidRPr="00E47F5D">
        <w:t>,</w:t>
      </w:r>
      <w:r w:rsidRPr="00E47F5D">
        <w:t xml:space="preserve"> </w:t>
      </w:r>
      <w:hyperlink r:id="rId14" w:history="1">
        <w:r w:rsidRPr="002A2561">
          <w:rPr>
            <w:rStyle w:val="Hyperlink"/>
            <w:i/>
            <w:iCs/>
            <w:color w:val="062E74" w:themeColor="accent1" w:themeShade="BF"/>
          </w:rPr>
          <w:t>Climate Risk Management: The Australian Government’s Approach to Climate Risk and Opportunity Management in the Public Sector 2024-2026</w:t>
        </w:r>
      </w:hyperlink>
      <w:r w:rsidRPr="00E47F5D">
        <w:t>, Australian Government, 2024.</w:t>
      </w:r>
    </w:p>
  </w:endnote>
  <w:endnote w:id="16">
    <w:p w14:paraId="0A1111F2" w14:textId="519D763A" w:rsidR="00662657" w:rsidRPr="00E47F5D" w:rsidRDefault="00662657" w:rsidP="002F67D2">
      <w:pPr>
        <w:pStyle w:val="EndnoteText"/>
        <w:spacing w:before="0" w:after="40"/>
      </w:pPr>
      <w:r w:rsidRPr="00E47F5D">
        <w:rPr>
          <w:rStyle w:val="EndnoteReference"/>
        </w:rPr>
        <w:endnoteRef/>
      </w:r>
      <w:r w:rsidRPr="00E47F5D">
        <w:t xml:space="preserve"> Australian Department of </w:t>
      </w:r>
      <w:r w:rsidR="00E87DE2" w:rsidRPr="00E47F5D">
        <w:t xml:space="preserve">the </w:t>
      </w:r>
      <w:r w:rsidRPr="00E47F5D">
        <w:t xml:space="preserve">Treasury, </w:t>
      </w:r>
      <w:hyperlink r:id="rId15" w:history="1">
        <w:r w:rsidRPr="002A2561">
          <w:rPr>
            <w:rStyle w:val="Hyperlink"/>
            <w:i/>
            <w:iCs/>
            <w:color w:val="062E74" w:themeColor="accent1" w:themeShade="BF"/>
          </w:rPr>
          <w:t>Policy Impact Analysis: Climate-related financial disclosures</w:t>
        </w:r>
      </w:hyperlink>
      <w:r w:rsidRPr="00E47F5D">
        <w:t>, Australian Government, 2022</w:t>
      </w:r>
      <w:r w:rsidR="00474DBA" w:rsidRPr="00E47F5D">
        <w:t>, accessed 18 May 2026</w:t>
      </w:r>
      <w:r w:rsidRPr="00E47F5D">
        <w:t>.</w:t>
      </w:r>
    </w:p>
  </w:endnote>
  <w:endnote w:id="17">
    <w:p w14:paraId="4BEA29A2" w14:textId="5605F60E" w:rsidR="00662657" w:rsidRPr="00E47F5D" w:rsidRDefault="00662657" w:rsidP="002F67D2">
      <w:pPr>
        <w:pStyle w:val="EndnoteText"/>
        <w:spacing w:before="0" w:after="40"/>
      </w:pPr>
      <w:r w:rsidRPr="00E47F5D">
        <w:rPr>
          <w:rStyle w:val="EndnoteReference"/>
        </w:rPr>
        <w:endnoteRef/>
      </w:r>
      <w:r w:rsidRPr="00E47F5D">
        <w:t xml:space="preserve"> Australian Accounting Standards Board,</w:t>
      </w:r>
      <w:r w:rsidRPr="00E47F5D">
        <w:rPr>
          <w:i/>
          <w:iCs/>
        </w:rPr>
        <w:t xml:space="preserve"> </w:t>
      </w:r>
      <w:hyperlink r:id="rId16" w:history="1">
        <w:r w:rsidRPr="002A2561">
          <w:rPr>
            <w:rStyle w:val="Hyperlink"/>
            <w:i/>
            <w:iCs/>
            <w:color w:val="062E74" w:themeColor="accent1" w:themeShade="BF"/>
          </w:rPr>
          <w:t>Climate-Related Disclosures</w:t>
        </w:r>
      </w:hyperlink>
      <w:r w:rsidRPr="00E47F5D">
        <w:t>, Australian Government, 2024</w:t>
      </w:r>
      <w:r w:rsidR="00474DBA" w:rsidRPr="00E47F5D">
        <w:t>, accessed 18 May 2026</w:t>
      </w:r>
      <w:r w:rsidRPr="00E47F5D">
        <w:t>.</w:t>
      </w:r>
    </w:p>
  </w:endnote>
  <w:endnote w:id="18">
    <w:p w14:paraId="714C18F2" w14:textId="70AEAF2B" w:rsidR="00662657" w:rsidRPr="00E47F5D" w:rsidRDefault="00662657" w:rsidP="002F67D2">
      <w:pPr>
        <w:pStyle w:val="EndnoteText"/>
        <w:spacing w:before="0" w:after="40"/>
      </w:pPr>
      <w:r w:rsidRPr="00E47F5D">
        <w:rPr>
          <w:rStyle w:val="EndnoteReference"/>
        </w:rPr>
        <w:endnoteRef/>
      </w:r>
      <w:r w:rsidRPr="00E47F5D">
        <w:t xml:space="preserve"> NHS England, </w:t>
      </w:r>
      <w:hyperlink r:id="rId17" w:history="1">
        <w:r w:rsidRPr="002A2561">
          <w:rPr>
            <w:rStyle w:val="Hyperlink"/>
            <w:color w:val="062E74" w:themeColor="accent1" w:themeShade="BF"/>
          </w:rPr>
          <w:t>NHS Climate Change Risk Assessment (CCRA) tool</w:t>
        </w:r>
      </w:hyperlink>
      <w:r w:rsidRPr="00E47F5D">
        <w:t>, NHS England, 2025</w:t>
      </w:r>
      <w:r w:rsidR="00474DBA" w:rsidRPr="00E47F5D">
        <w:t>, accessed 18 May 2026</w:t>
      </w:r>
      <w:r w:rsidRPr="00E47F5D">
        <w:t>.</w:t>
      </w:r>
    </w:p>
  </w:endnote>
  <w:endnote w:id="19">
    <w:p w14:paraId="367C949B" w14:textId="29E09B2C" w:rsidR="009B025F" w:rsidRPr="00E47F5D" w:rsidRDefault="009B025F" w:rsidP="002F67D2">
      <w:pPr>
        <w:pStyle w:val="EndnoteText"/>
        <w:spacing w:before="0" w:after="40"/>
      </w:pPr>
      <w:r w:rsidRPr="00E47F5D">
        <w:rPr>
          <w:rStyle w:val="EndnoteReference"/>
        </w:rPr>
        <w:endnoteRef/>
      </w:r>
      <w:r w:rsidRPr="00E47F5D">
        <w:t xml:space="preserve"> Intergovernmental Panel on Climate Change Working Group II, </w:t>
      </w:r>
      <w:hyperlink r:id="rId18" w:history="1">
        <w:r w:rsidRPr="002A2561">
          <w:rPr>
            <w:rStyle w:val="Hyperlink"/>
            <w:color w:val="062E74" w:themeColor="accent1" w:themeShade="BF"/>
          </w:rPr>
          <w:t>Fact Sheet – Health: Climate Change Impacts and Risks</w:t>
        </w:r>
      </w:hyperlink>
      <w:r w:rsidRPr="00E47F5D">
        <w:t>, World Meteorological Organisation and United Nations Environment Programme, 2023</w:t>
      </w:r>
      <w:r w:rsidR="00474DBA" w:rsidRPr="00E47F5D">
        <w:t>, accessed 18 May 2026</w:t>
      </w:r>
      <w:r w:rsidRPr="00E47F5D">
        <w:t>.</w:t>
      </w:r>
    </w:p>
  </w:endnote>
  <w:endnote w:id="20">
    <w:p w14:paraId="51AA24DD" w14:textId="52AC3977" w:rsidR="00DD3EDE" w:rsidRPr="00E47F5D" w:rsidRDefault="00DD3EDE" w:rsidP="002F67D2">
      <w:pPr>
        <w:pStyle w:val="EndnoteText"/>
        <w:spacing w:before="0" w:after="40"/>
      </w:pPr>
      <w:r w:rsidRPr="00E47F5D">
        <w:rPr>
          <w:rStyle w:val="EndnoteReference"/>
        </w:rPr>
        <w:endnoteRef/>
      </w:r>
      <w:r w:rsidRPr="00E47F5D">
        <w:t xml:space="preserve"> Adapt New South Wales, </w:t>
      </w:r>
      <w:hyperlink r:id="rId19" w:history="1">
        <w:r w:rsidRPr="002A2561">
          <w:rPr>
            <w:rStyle w:val="Hyperlink"/>
            <w:i/>
            <w:color w:val="062E74" w:themeColor="accent1" w:themeShade="BF"/>
          </w:rPr>
          <w:t>Climate Risk Ready NSW Guide</w:t>
        </w:r>
      </w:hyperlink>
      <w:r w:rsidRPr="00E47F5D">
        <w:t xml:space="preserve">, </w:t>
      </w:r>
      <w:r w:rsidR="00910009" w:rsidRPr="00E47F5D">
        <w:t>New South Wales</w:t>
      </w:r>
      <w:r w:rsidRPr="00E47F5D">
        <w:t xml:space="preserve"> Government, 2021</w:t>
      </w:r>
      <w:r w:rsidR="00474DBA" w:rsidRPr="00E47F5D">
        <w:t>, accessed 18 May 2026</w:t>
      </w:r>
      <w:r w:rsidRPr="00E47F5D">
        <w:t>.</w:t>
      </w:r>
    </w:p>
  </w:endnote>
  <w:endnote w:id="21">
    <w:p w14:paraId="65C528C8" w14:textId="3F7D3F14" w:rsidR="00580578" w:rsidRPr="00E47F5D" w:rsidRDefault="00412FBC" w:rsidP="002F67D2">
      <w:pPr>
        <w:pStyle w:val="EndnoteText"/>
        <w:spacing w:before="0" w:after="40"/>
      </w:pPr>
      <w:r w:rsidRPr="00E47F5D">
        <w:rPr>
          <w:rStyle w:val="EndnoteReference"/>
        </w:rPr>
        <w:endnoteRef/>
      </w:r>
      <w:r w:rsidRPr="00E47F5D">
        <w:t xml:space="preserve"> S Mehryar</w:t>
      </w:r>
      <w:r w:rsidR="00232BBC" w:rsidRPr="00E47F5D">
        <w:t xml:space="preserve">, </w:t>
      </w:r>
      <w:hyperlink r:id="rId20" w:history="1">
        <w:r w:rsidRPr="002A2561">
          <w:rPr>
            <w:rStyle w:val="Hyperlink"/>
            <w:i/>
            <w:iCs/>
            <w:color w:val="062E74" w:themeColor="accent1" w:themeShade="BF"/>
          </w:rPr>
          <w:t xml:space="preserve">What is the difference between climate change adaptation and </w:t>
        </w:r>
        <w:r w:rsidR="00CF2A87" w:rsidRPr="002A2561">
          <w:rPr>
            <w:rStyle w:val="Hyperlink"/>
            <w:i/>
            <w:iCs/>
            <w:color w:val="062E74" w:themeColor="accent1" w:themeShade="BF"/>
          </w:rPr>
          <w:t>resilience?</w:t>
        </w:r>
      </w:hyperlink>
      <w:r w:rsidR="00DA7B30" w:rsidRPr="00E47F5D">
        <w:t>,</w:t>
      </w:r>
      <w:r w:rsidR="00CF2A87" w:rsidRPr="00E47F5D">
        <w:t xml:space="preserve"> Grantham</w:t>
      </w:r>
      <w:r w:rsidRPr="00E47F5D">
        <w:t xml:space="preserve"> Research Institute on Climate Change and the Environment, 2022</w:t>
      </w:r>
      <w:r w:rsidR="00474DBA" w:rsidRPr="00E47F5D">
        <w:t>, accessed 18 May 2026</w:t>
      </w:r>
      <w:r w:rsidRPr="00E47F5D">
        <w:t>.</w:t>
      </w:r>
      <w:r w:rsidR="00580578">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Segoe UI Semibold">
    <w:altName w:val="Segoe UI Semibold"/>
    <w:panose1 w:val="020B07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CE1D" w14:textId="77777777" w:rsidR="000D71BB" w:rsidRDefault="005F6735">
    <w:pPr>
      <w:pStyle w:val="Footer"/>
    </w:pPr>
    <w:r>
      <w:rPr>
        <w:noProof/>
      </w:rPr>
      <mc:AlternateContent>
        <mc:Choice Requires="wps">
          <w:drawing>
            <wp:anchor distT="0" distB="0" distL="0" distR="0" simplePos="0" relativeHeight="251658244" behindDoc="0" locked="0" layoutInCell="1" allowOverlap="1" wp14:anchorId="3E2AA04F" wp14:editId="3709534B">
              <wp:simplePos x="635" y="635"/>
              <wp:positionH relativeFrom="page">
                <wp:align>center</wp:align>
              </wp:positionH>
              <wp:positionV relativeFrom="page">
                <wp:align>bottom</wp:align>
              </wp:positionV>
              <wp:extent cx="622300" cy="480695"/>
              <wp:effectExtent l="0" t="0" r="6350" b="0"/>
              <wp:wrapNone/>
              <wp:docPr id="19051115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AFB8ED5"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2AA04F" id="_x0000_t202" coordsize="21600,21600" o:spt="202" path="m,l,21600r21600,l21600,xe">
              <v:stroke joinstyle="miter"/>
              <v:path gradientshapeok="t" o:connecttype="rect"/>
            </v:shapetype>
            <v:shape id="Text Box 6" o:spid="_x0000_s1027"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0AFB8ED5"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BD24" w14:textId="0E22F4BB" w:rsidR="00121E5A" w:rsidRPr="000D2189" w:rsidRDefault="00100A34" w:rsidP="00E70694">
    <w:pPr>
      <w:pStyle w:val="Footer"/>
      <w:tabs>
        <w:tab w:val="clear" w:pos="4513"/>
        <w:tab w:val="clear" w:pos="9026"/>
        <w:tab w:val="right" w:pos="13892"/>
      </w:tabs>
      <w:ind w:left="-284" w:right="-291"/>
    </w:pPr>
    <w:r>
      <w:rPr>
        <w:rFonts w:ascii="Segoe UI Semibold" w:hAnsi="Segoe UI Semibold" w:cs="Segoe UI Semibold"/>
        <w:noProof/>
        <w:color w:val="FFFFFF" w:themeColor="background1"/>
      </w:rPr>
      <w:drawing>
        <wp:anchor distT="0" distB="0" distL="114300" distR="114300" simplePos="0" relativeHeight="251658246" behindDoc="1" locked="0" layoutInCell="1" allowOverlap="1" wp14:anchorId="7D950DCF" wp14:editId="326C40D1">
          <wp:simplePos x="0" y="0"/>
          <wp:positionH relativeFrom="page">
            <wp:align>right</wp:align>
          </wp:positionH>
          <wp:positionV relativeFrom="paragraph">
            <wp:posOffset>-173990</wp:posOffset>
          </wp:positionV>
          <wp:extent cx="10708455" cy="680720"/>
          <wp:effectExtent l="0" t="0" r="0" b="5080"/>
          <wp:wrapNone/>
          <wp:docPr id="770323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16707"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708455" cy="680720"/>
                  </a:xfrm>
                  <a:prstGeom prst="rect">
                    <a:avLst/>
                  </a:prstGeom>
                </pic:spPr>
              </pic:pic>
            </a:graphicData>
          </a:graphic>
          <wp14:sizeRelH relativeFrom="page">
            <wp14:pctWidth>0</wp14:pctWidth>
          </wp14:sizeRelH>
          <wp14:sizeRelV relativeFrom="page">
            <wp14:pctHeight>0</wp14:pctHeight>
          </wp14:sizeRelV>
        </wp:anchor>
      </w:drawing>
    </w:r>
    <w:r w:rsidR="00121E5A" w:rsidRPr="000D2189">
      <w:rPr>
        <w:rFonts w:ascii="Segoe UI Semibold" w:hAnsi="Segoe UI Semibold" w:cs="Segoe UI Semibold"/>
      </w:rPr>
      <w:t>Australian Centre for Disease Control</w:t>
    </w:r>
    <w:r w:rsidR="00121E5A" w:rsidRPr="000D2189">
      <w:tab/>
    </w:r>
    <w:r w:rsidR="00121E5A" w:rsidRPr="000D2189">
      <w:rPr>
        <w:rFonts w:ascii="Segoe UI Semibold" w:hAnsi="Segoe UI Semibold" w:cs="Segoe UI Semibold"/>
      </w:rPr>
      <w:fldChar w:fldCharType="begin"/>
    </w:r>
    <w:r w:rsidR="00121E5A" w:rsidRPr="000D2189">
      <w:rPr>
        <w:rFonts w:ascii="Segoe UI Semibold" w:hAnsi="Segoe UI Semibold" w:cs="Segoe UI Semibold"/>
      </w:rPr>
      <w:instrText xml:space="preserve"> PAGE   \* MERGEFORMAT </w:instrText>
    </w:r>
    <w:r w:rsidR="00121E5A" w:rsidRPr="000D2189">
      <w:rPr>
        <w:rFonts w:ascii="Segoe UI Semibold" w:hAnsi="Segoe UI Semibold" w:cs="Segoe UI Semibold"/>
      </w:rPr>
      <w:fldChar w:fldCharType="separate"/>
    </w:r>
    <w:r w:rsidR="00121E5A" w:rsidRPr="000D2189">
      <w:rPr>
        <w:rFonts w:ascii="Segoe UI Semibold" w:hAnsi="Segoe UI Semibold" w:cs="Segoe UI Semibold"/>
        <w:noProof/>
      </w:rPr>
      <w:t>1</w:t>
    </w:r>
    <w:r w:rsidR="00121E5A" w:rsidRPr="000D2189">
      <w:rPr>
        <w:rFonts w:ascii="Segoe UI Semibold" w:hAnsi="Segoe UI Semibold" w:cs="Segoe UI Semibold"/>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5975" w14:textId="568D18D1" w:rsidR="004B339D" w:rsidRPr="000D2189" w:rsidRDefault="00121E5A" w:rsidP="00121E5A">
    <w:pPr>
      <w:pStyle w:val="Footer"/>
      <w:tabs>
        <w:tab w:val="clear" w:pos="4513"/>
        <w:tab w:val="clear" w:pos="9026"/>
        <w:tab w:val="right" w:pos="13892"/>
      </w:tabs>
    </w:pPr>
    <w:r w:rsidRPr="000D2189">
      <w:t>Australian Centre for Disease Control</w:t>
    </w:r>
    <w:r w:rsidRPr="000D218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4221" w14:textId="30852348" w:rsidR="00381AD9" w:rsidRPr="000D2189" w:rsidRDefault="00381AD9" w:rsidP="00381AD9">
    <w:pPr>
      <w:pStyle w:val="Footer"/>
      <w:tabs>
        <w:tab w:val="clear" w:pos="4513"/>
        <w:tab w:val="clear" w:pos="9026"/>
        <w:tab w:val="right" w:pos="13892"/>
      </w:tabs>
      <w:ind w:left="-284" w:right="-291"/>
    </w:pPr>
    <w:r>
      <w:rPr>
        <w:rFonts w:ascii="Segoe UI Semibold" w:hAnsi="Segoe UI Semibold" w:cs="Segoe UI Semibold"/>
        <w:noProof/>
        <w:color w:val="FFFFFF" w:themeColor="background1"/>
      </w:rPr>
      <w:drawing>
        <wp:anchor distT="0" distB="0" distL="114300" distR="114300" simplePos="0" relativeHeight="251658240" behindDoc="1" locked="0" layoutInCell="1" allowOverlap="1" wp14:anchorId="080954E2" wp14:editId="7EA73E5F">
          <wp:simplePos x="0" y="0"/>
          <wp:positionH relativeFrom="margin">
            <wp:align>center</wp:align>
          </wp:positionH>
          <wp:positionV relativeFrom="paragraph">
            <wp:posOffset>-170815</wp:posOffset>
          </wp:positionV>
          <wp:extent cx="7912100" cy="681355"/>
          <wp:effectExtent l="0" t="0" r="0" b="4445"/>
          <wp:wrapNone/>
          <wp:docPr id="210753064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30640"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Pr="000D2189">
      <w:rPr>
        <w:rFonts w:ascii="Segoe UI Semibold" w:hAnsi="Segoe UI Semibold" w:cs="Segoe UI Semibold"/>
      </w:rPr>
      <w:t>Australian Centre for Disease Control</w:t>
    </w:r>
    <w:r w:rsidRPr="000D2189">
      <w:tab/>
    </w:r>
    <w:r w:rsidRPr="000D2189">
      <w:rPr>
        <w:rFonts w:ascii="Segoe UI Semibold" w:hAnsi="Segoe UI Semibold" w:cs="Segoe UI Semibold"/>
      </w:rPr>
      <w:fldChar w:fldCharType="begin"/>
    </w:r>
    <w:r w:rsidRPr="000D2189">
      <w:rPr>
        <w:rFonts w:ascii="Segoe UI Semibold" w:hAnsi="Segoe UI Semibold" w:cs="Segoe UI Semibold"/>
      </w:rPr>
      <w:instrText xml:space="preserve"> PAGE   \* MERGEFORMAT </w:instrText>
    </w:r>
    <w:r w:rsidRPr="000D2189">
      <w:rPr>
        <w:rFonts w:ascii="Segoe UI Semibold" w:hAnsi="Segoe UI Semibold" w:cs="Segoe UI Semibold"/>
      </w:rPr>
      <w:fldChar w:fldCharType="separate"/>
    </w:r>
    <w:r w:rsidRPr="000D2189">
      <w:rPr>
        <w:rFonts w:ascii="Segoe UI Semibold" w:hAnsi="Segoe UI Semibold" w:cs="Segoe UI Semibold"/>
      </w:rPr>
      <w:t>9</w:t>
    </w:r>
    <w:r w:rsidRPr="000D2189">
      <w:rPr>
        <w:rFonts w:ascii="Segoe UI Semibold" w:hAnsi="Segoe UI Semibold" w:cs="Segoe UI Semibold"/>
        <w:noProof/>
      </w:rPr>
      <w:fldChar w:fldCharType="end"/>
    </w:r>
  </w:p>
  <w:p w14:paraId="7219C719" w14:textId="77777777" w:rsidR="0086733D" w:rsidRPr="000D2189" w:rsidRDefault="0086733D" w:rsidP="00AA4BE1">
    <w:pPr>
      <w:pStyle w:val="Footer"/>
      <w:tabs>
        <w:tab w:val="clear" w:pos="4513"/>
        <w:tab w:val="clear" w:pos="9026"/>
        <w:tab w:val="left" w:pos="11010"/>
        <w:tab w:val="right" w:pos="13892"/>
      </w:tabs>
      <w:ind w:left="-1418" w:right="-90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8F48" w14:textId="77777777" w:rsidR="00B26D78" w:rsidRDefault="00B26D78" w:rsidP="00BD640A">
      <w:pPr>
        <w:spacing w:line="240" w:lineRule="auto"/>
      </w:pPr>
      <w:r>
        <w:separator/>
      </w:r>
    </w:p>
  </w:footnote>
  <w:footnote w:type="continuationSeparator" w:id="0">
    <w:p w14:paraId="68EEBC38" w14:textId="77777777" w:rsidR="00B26D78" w:rsidRDefault="00B26D78" w:rsidP="00BD64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FE2A" w14:textId="77777777" w:rsidR="000D71BB" w:rsidRDefault="005F6735">
    <w:pPr>
      <w:pStyle w:val="Header"/>
    </w:pPr>
    <w:r>
      <w:rPr>
        <w:noProof/>
      </w:rPr>
      <mc:AlternateContent>
        <mc:Choice Requires="wps">
          <w:drawing>
            <wp:anchor distT="0" distB="0" distL="0" distR="0" simplePos="0" relativeHeight="251658242" behindDoc="0" locked="0" layoutInCell="1" allowOverlap="1" wp14:anchorId="7F1CC0FA" wp14:editId="44A3D03F">
              <wp:simplePos x="635" y="635"/>
              <wp:positionH relativeFrom="page">
                <wp:align>center</wp:align>
              </wp:positionH>
              <wp:positionV relativeFrom="page">
                <wp:align>top</wp:align>
              </wp:positionV>
              <wp:extent cx="622300" cy="480695"/>
              <wp:effectExtent l="0" t="0" r="6350" b="14605"/>
              <wp:wrapNone/>
              <wp:docPr id="169361536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90BEC0E"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1CC0FA"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690BEC0E"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7807" w14:textId="74EC7340" w:rsidR="0073193E" w:rsidRDefault="0073193E" w:rsidP="00E70694">
    <w:pPr>
      <w:pStyle w:val="Header"/>
      <w:tabs>
        <w:tab w:val="clear" w:pos="4513"/>
        <w:tab w:val="clear" w:pos="9026"/>
        <w:tab w:val="right" w:pos="13892"/>
      </w:tabs>
    </w:pPr>
    <w:r>
      <w:rPr>
        <w:rFonts w:ascii="Segoe UI Semibold" w:hAnsi="Segoe UI Semibold" w:cs="Segoe UI Semibold"/>
        <w:noProof/>
        <w:color w:val="FFFFFF" w:themeColor="background1"/>
      </w:rPr>
      <w:drawing>
        <wp:anchor distT="0" distB="0" distL="114300" distR="114300" simplePos="0" relativeHeight="251658243" behindDoc="1" locked="0" layoutInCell="1" allowOverlap="1" wp14:anchorId="7F903F6F" wp14:editId="167D1D52">
          <wp:simplePos x="0" y="0"/>
          <wp:positionH relativeFrom="page">
            <wp:posOffset>278912</wp:posOffset>
          </wp:positionH>
          <wp:positionV relativeFrom="paragraph">
            <wp:posOffset>-2383986</wp:posOffset>
          </wp:positionV>
          <wp:extent cx="11990300" cy="611505"/>
          <wp:effectExtent l="0" t="0" r="0" b="0"/>
          <wp:wrapNone/>
          <wp:docPr id="205563674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58221"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990300" cy="61150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7262" w14:textId="02F8E4C1" w:rsidR="00EA5EEB" w:rsidRDefault="009343D8" w:rsidP="006B13B3">
    <w:pPr>
      <w:pStyle w:val="Header"/>
      <w:ind w:left="-1418"/>
    </w:pPr>
    <w:r>
      <w:rPr>
        <w:noProof/>
        <w:lang w:val="en-US"/>
      </w:rPr>
      <w:drawing>
        <wp:anchor distT="0" distB="0" distL="114300" distR="114300" simplePos="0" relativeHeight="251658245" behindDoc="1" locked="0" layoutInCell="1" allowOverlap="1" wp14:anchorId="405B9F15" wp14:editId="18B57B41">
          <wp:simplePos x="0" y="0"/>
          <wp:positionH relativeFrom="column">
            <wp:posOffset>-900430</wp:posOffset>
          </wp:positionH>
          <wp:positionV relativeFrom="paragraph">
            <wp:posOffset>0</wp:posOffset>
          </wp:positionV>
          <wp:extent cx="8776800" cy="12405600"/>
          <wp:effectExtent l="0" t="0" r="5715" b="0"/>
          <wp:wrapNone/>
          <wp:docPr id="699935194" name="Picture 6" descr="Cover page - Overview: Guidance on climate risk assessment and adaptation planning for Australian health system organisations. Image is of native Australian bus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9101" name="Picture 6" descr="Cover page - Overview: Guidance on climate risk assessment and adaptation planning for Australian health system organisations. Image is of native Australian bush.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76800" cy="12405600"/>
                  </a:xfrm>
                  <a:prstGeom prst="rect">
                    <a:avLst/>
                  </a:prstGeom>
                  <a:noFill/>
                  <a:ln>
                    <a:noFill/>
                  </a:ln>
                </pic:spPr>
              </pic:pic>
            </a:graphicData>
          </a:graphic>
          <wp14:sizeRelH relativeFrom="margin">
            <wp14:pctWidth>0</wp14:pctWidth>
          </wp14:sizeRelH>
          <wp14:sizeRelV relativeFrom="margin">
            <wp14:pctHeight>0</wp14:pctHeight>
          </wp14:sizeRelV>
        </wp:anchor>
      </w:drawing>
    </w:r>
    <w:r>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8F65F4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93BAC46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A42F38"/>
    <w:multiLevelType w:val="hybridMultilevel"/>
    <w:tmpl w:val="BB2AC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644F31"/>
    <w:multiLevelType w:val="hybridMultilevel"/>
    <w:tmpl w:val="E2CE90A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4DC22B2"/>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8681FFA"/>
    <w:multiLevelType w:val="hybridMultilevel"/>
    <w:tmpl w:val="58008C3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6769AC"/>
    <w:multiLevelType w:val="multilevel"/>
    <w:tmpl w:val="2232323A"/>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484E0B"/>
    <w:multiLevelType w:val="hybridMultilevel"/>
    <w:tmpl w:val="97AE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C06983"/>
    <w:multiLevelType w:val="hybridMultilevel"/>
    <w:tmpl w:val="55E4A408"/>
    <w:lvl w:ilvl="0" w:tplc="52F28F4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0391223"/>
    <w:multiLevelType w:val="hybridMultilevel"/>
    <w:tmpl w:val="B120BE52"/>
    <w:lvl w:ilvl="0" w:tplc="BFC8F6E4">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5E23D41"/>
    <w:multiLevelType w:val="hybridMultilevel"/>
    <w:tmpl w:val="5470AA0E"/>
    <w:lvl w:ilvl="0" w:tplc="7564F70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3D64D5"/>
    <w:multiLevelType w:val="hybridMultilevel"/>
    <w:tmpl w:val="D3447EFA"/>
    <w:lvl w:ilvl="0" w:tplc="BE58D1D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7C051BB"/>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AB5A39"/>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F746B8D"/>
    <w:multiLevelType w:val="hybridMultilevel"/>
    <w:tmpl w:val="B798D17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F87392D"/>
    <w:multiLevelType w:val="hybridMultilevel"/>
    <w:tmpl w:val="C5D0334A"/>
    <w:lvl w:ilvl="0" w:tplc="FEC45572">
      <w:start w:val="1"/>
      <w:numFmt w:val="lowerRoman"/>
      <w:pStyle w:val="RomanNumeralsList"/>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0A93B78"/>
    <w:multiLevelType w:val="hybridMultilevel"/>
    <w:tmpl w:val="70A843E2"/>
    <w:lvl w:ilvl="0" w:tplc="ED4C45D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2D02CBE"/>
    <w:multiLevelType w:val="hybridMultilevel"/>
    <w:tmpl w:val="579443F2"/>
    <w:lvl w:ilvl="0" w:tplc="61E4EA3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9AD13D1"/>
    <w:multiLevelType w:val="hybridMultilevel"/>
    <w:tmpl w:val="EEC22C2E"/>
    <w:lvl w:ilvl="0" w:tplc="430EE9A8">
      <w:start w:val="1"/>
      <w:numFmt w:val="bullet"/>
      <w:lvlText w:val=""/>
      <w:lvlJc w:val="left"/>
      <w:pPr>
        <w:ind w:left="1080" w:hanging="360"/>
      </w:pPr>
      <w:rPr>
        <w:rFonts w:ascii="Symbol" w:hAnsi="Symbol"/>
      </w:rPr>
    </w:lvl>
    <w:lvl w:ilvl="1" w:tplc="7DC8C94A">
      <w:start w:val="1"/>
      <w:numFmt w:val="bullet"/>
      <w:lvlText w:val=""/>
      <w:lvlJc w:val="left"/>
      <w:pPr>
        <w:ind w:left="1080" w:hanging="360"/>
      </w:pPr>
      <w:rPr>
        <w:rFonts w:ascii="Symbol" w:hAnsi="Symbol"/>
      </w:rPr>
    </w:lvl>
    <w:lvl w:ilvl="2" w:tplc="B0C06C04">
      <w:start w:val="1"/>
      <w:numFmt w:val="bullet"/>
      <w:lvlText w:val=""/>
      <w:lvlJc w:val="left"/>
      <w:pPr>
        <w:ind w:left="1080" w:hanging="360"/>
      </w:pPr>
      <w:rPr>
        <w:rFonts w:ascii="Symbol" w:hAnsi="Symbol"/>
      </w:rPr>
    </w:lvl>
    <w:lvl w:ilvl="3" w:tplc="5AB07854">
      <w:start w:val="1"/>
      <w:numFmt w:val="bullet"/>
      <w:lvlText w:val=""/>
      <w:lvlJc w:val="left"/>
      <w:pPr>
        <w:ind w:left="1080" w:hanging="360"/>
      </w:pPr>
      <w:rPr>
        <w:rFonts w:ascii="Symbol" w:hAnsi="Symbol"/>
      </w:rPr>
    </w:lvl>
    <w:lvl w:ilvl="4" w:tplc="C7F484E6">
      <w:start w:val="1"/>
      <w:numFmt w:val="bullet"/>
      <w:lvlText w:val=""/>
      <w:lvlJc w:val="left"/>
      <w:pPr>
        <w:ind w:left="1080" w:hanging="360"/>
      </w:pPr>
      <w:rPr>
        <w:rFonts w:ascii="Symbol" w:hAnsi="Symbol"/>
      </w:rPr>
    </w:lvl>
    <w:lvl w:ilvl="5" w:tplc="F7540EFE">
      <w:start w:val="1"/>
      <w:numFmt w:val="bullet"/>
      <w:lvlText w:val=""/>
      <w:lvlJc w:val="left"/>
      <w:pPr>
        <w:ind w:left="1080" w:hanging="360"/>
      </w:pPr>
      <w:rPr>
        <w:rFonts w:ascii="Symbol" w:hAnsi="Symbol"/>
      </w:rPr>
    </w:lvl>
    <w:lvl w:ilvl="6" w:tplc="6A04B22A">
      <w:start w:val="1"/>
      <w:numFmt w:val="bullet"/>
      <w:lvlText w:val=""/>
      <w:lvlJc w:val="left"/>
      <w:pPr>
        <w:ind w:left="1080" w:hanging="360"/>
      </w:pPr>
      <w:rPr>
        <w:rFonts w:ascii="Symbol" w:hAnsi="Symbol"/>
      </w:rPr>
    </w:lvl>
    <w:lvl w:ilvl="7" w:tplc="930EEF7E">
      <w:start w:val="1"/>
      <w:numFmt w:val="bullet"/>
      <w:lvlText w:val=""/>
      <w:lvlJc w:val="left"/>
      <w:pPr>
        <w:ind w:left="1080" w:hanging="360"/>
      </w:pPr>
      <w:rPr>
        <w:rFonts w:ascii="Symbol" w:hAnsi="Symbol"/>
      </w:rPr>
    </w:lvl>
    <w:lvl w:ilvl="8" w:tplc="592EAF8C">
      <w:start w:val="1"/>
      <w:numFmt w:val="bullet"/>
      <w:lvlText w:val=""/>
      <w:lvlJc w:val="left"/>
      <w:pPr>
        <w:ind w:left="1080" w:hanging="360"/>
      </w:pPr>
      <w:rPr>
        <w:rFonts w:ascii="Symbol" w:hAnsi="Symbol"/>
      </w:rPr>
    </w:lvl>
  </w:abstractNum>
  <w:abstractNum w:abstractNumId="20" w15:restartNumberingAfterBreak="0">
    <w:nsid w:val="2A425BBC"/>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C0B6CE8"/>
    <w:multiLevelType w:val="hybridMultilevel"/>
    <w:tmpl w:val="8B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3646B6"/>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D457DF4"/>
    <w:multiLevelType w:val="hybridMultilevel"/>
    <w:tmpl w:val="DC149F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1BA751C"/>
    <w:multiLevelType w:val="hybridMultilevel"/>
    <w:tmpl w:val="26AA8D5E"/>
    <w:lvl w:ilvl="0" w:tplc="B124430A">
      <w:start w:val="1"/>
      <w:numFmt w:val="lowerLetter"/>
      <w:pStyle w:val="RomanLetterList"/>
      <w:lvlText w:val="%1."/>
      <w:lvlJc w:val="left"/>
      <w:pPr>
        <w:ind w:left="360" w:hanging="360"/>
      </w:pPr>
      <w:rPr>
        <w:rFonts w:hint="default"/>
      </w:rPr>
    </w:lvl>
    <w:lvl w:ilvl="1" w:tplc="0F7EAF06">
      <w:start w:val="1"/>
      <w:numFmt w:val="lowerRoman"/>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35A4FFE"/>
    <w:multiLevelType w:val="hybridMultilevel"/>
    <w:tmpl w:val="9AB813CC"/>
    <w:lvl w:ilvl="0" w:tplc="73C4C7F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106BC0"/>
    <w:multiLevelType w:val="hybridMultilevel"/>
    <w:tmpl w:val="0BC86F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9C91594"/>
    <w:multiLevelType w:val="hybridMultilevel"/>
    <w:tmpl w:val="A7641D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A673388"/>
    <w:multiLevelType w:val="hybridMultilevel"/>
    <w:tmpl w:val="178E0966"/>
    <w:lvl w:ilvl="0" w:tplc="390A7D6C">
      <w:numFmt w:val="bullet"/>
      <w:lvlText w:val="-"/>
      <w:lvlJc w:val="left"/>
      <w:pPr>
        <w:ind w:left="643" w:hanging="360"/>
      </w:pPr>
      <w:rPr>
        <w:rFonts w:ascii="Calibri" w:eastAsia="Times New Roman" w:hAnsi="Calibri" w:cs="Calibri"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9" w15:restartNumberingAfterBreak="0">
    <w:nsid w:val="3A725B79"/>
    <w:multiLevelType w:val="hybridMultilevel"/>
    <w:tmpl w:val="F38CCC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A7730F8"/>
    <w:multiLevelType w:val="hybridMultilevel"/>
    <w:tmpl w:val="BDE487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3AD83BAF"/>
    <w:multiLevelType w:val="hybridMultilevel"/>
    <w:tmpl w:val="9342DD40"/>
    <w:lvl w:ilvl="0" w:tplc="4DECC438">
      <w:start w:val="1"/>
      <w:numFmt w:val="decimal"/>
      <w:pStyle w:val="Figureheading"/>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33" w15:restartNumberingAfterBreak="0">
    <w:nsid w:val="40AC3C0B"/>
    <w:multiLevelType w:val="hybridMultilevel"/>
    <w:tmpl w:val="F6CC74A2"/>
    <w:lvl w:ilvl="0" w:tplc="22FEEE5C">
      <w:start w:val="1"/>
      <w:numFmt w:val="decimal"/>
      <w:pStyle w:val="ListParagraph"/>
      <w:lvlText w:val="%1."/>
      <w:lvlJc w:val="left"/>
      <w:pPr>
        <w:ind w:left="720" w:hanging="360"/>
      </w:pPr>
      <w:rPr>
        <w:rFonts w:ascii="Segoe UI" w:hAnsi="Segoe UI" w:hint="default"/>
        <w:sz w:val="24"/>
      </w:rPr>
    </w:lvl>
    <w:lvl w:ilvl="1" w:tplc="DD629558">
      <w:start w:val="1"/>
      <w:numFmt w:val="lowerLetter"/>
      <w:pStyle w:val="ListNumber2"/>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58255ED"/>
    <w:multiLevelType w:val="multilevel"/>
    <w:tmpl w:val="7DD02210"/>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4AC701BE"/>
    <w:multiLevelType w:val="hybridMultilevel"/>
    <w:tmpl w:val="2E74730C"/>
    <w:lvl w:ilvl="0" w:tplc="EEF02EF6">
      <w:start w:val="1"/>
      <w:numFmt w:val="bullet"/>
      <w:lvlText w:val=""/>
      <w:lvlJc w:val="left"/>
      <w:pPr>
        <w:ind w:left="1080" w:hanging="360"/>
      </w:pPr>
      <w:rPr>
        <w:rFonts w:ascii="Symbol" w:hAnsi="Symbol"/>
      </w:rPr>
    </w:lvl>
    <w:lvl w:ilvl="1" w:tplc="02B8CE32">
      <w:start w:val="1"/>
      <w:numFmt w:val="bullet"/>
      <w:lvlText w:val=""/>
      <w:lvlJc w:val="left"/>
      <w:pPr>
        <w:ind w:left="1080" w:hanging="360"/>
      </w:pPr>
      <w:rPr>
        <w:rFonts w:ascii="Symbol" w:hAnsi="Symbol"/>
      </w:rPr>
    </w:lvl>
    <w:lvl w:ilvl="2" w:tplc="F0023258">
      <w:start w:val="1"/>
      <w:numFmt w:val="bullet"/>
      <w:lvlText w:val=""/>
      <w:lvlJc w:val="left"/>
      <w:pPr>
        <w:ind w:left="1080" w:hanging="360"/>
      </w:pPr>
      <w:rPr>
        <w:rFonts w:ascii="Symbol" w:hAnsi="Symbol"/>
      </w:rPr>
    </w:lvl>
    <w:lvl w:ilvl="3" w:tplc="AEEAC7CE">
      <w:start w:val="1"/>
      <w:numFmt w:val="bullet"/>
      <w:lvlText w:val=""/>
      <w:lvlJc w:val="left"/>
      <w:pPr>
        <w:ind w:left="1080" w:hanging="360"/>
      </w:pPr>
      <w:rPr>
        <w:rFonts w:ascii="Symbol" w:hAnsi="Symbol"/>
      </w:rPr>
    </w:lvl>
    <w:lvl w:ilvl="4" w:tplc="A90A95A4">
      <w:start w:val="1"/>
      <w:numFmt w:val="bullet"/>
      <w:lvlText w:val=""/>
      <w:lvlJc w:val="left"/>
      <w:pPr>
        <w:ind w:left="1080" w:hanging="360"/>
      </w:pPr>
      <w:rPr>
        <w:rFonts w:ascii="Symbol" w:hAnsi="Symbol"/>
      </w:rPr>
    </w:lvl>
    <w:lvl w:ilvl="5" w:tplc="21227DAA">
      <w:start w:val="1"/>
      <w:numFmt w:val="bullet"/>
      <w:lvlText w:val=""/>
      <w:lvlJc w:val="left"/>
      <w:pPr>
        <w:ind w:left="1080" w:hanging="360"/>
      </w:pPr>
      <w:rPr>
        <w:rFonts w:ascii="Symbol" w:hAnsi="Symbol"/>
      </w:rPr>
    </w:lvl>
    <w:lvl w:ilvl="6" w:tplc="691850B8">
      <w:start w:val="1"/>
      <w:numFmt w:val="bullet"/>
      <w:lvlText w:val=""/>
      <w:lvlJc w:val="left"/>
      <w:pPr>
        <w:ind w:left="1080" w:hanging="360"/>
      </w:pPr>
      <w:rPr>
        <w:rFonts w:ascii="Symbol" w:hAnsi="Symbol"/>
      </w:rPr>
    </w:lvl>
    <w:lvl w:ilvl="7" w:tplc="29949E4C">
      <w:start w:val="1"/>
      <w:numFmt w:val="bullet"/>
      <w:lvlText w:val=""/>
      <w:lvlJc w:val="left"/>
      <w:pPr>
        <w:ind w:left="1080" w:hanging="360"/>
      </w:pPr>
      <w:rPr>
        <w:rFonts w:ascii="Symbol" w:hAnsi="Symbol"/>
      </w:rPr>
    </w:lvl>
    <w:lvl w:ilvl="8" w:tplc="4814B1D6">
      <w:start w:val="1"/>
      <w:numFmt w:val="bullet"/>
      <w:lvlText w:val=""/>
      <w:lvlJc w:val="left"/>
      <w:pPr>
        <w:ind w:left="1080" w:hanging="360"/>
      </w:pPr>
      <w:rPr>
        <w:rFonts w:ascii="Symbol" w:hAnsi="Symbol"/>
      </w:rPr>
    </w:lvl>
  </w:abstractNum>
  <w:abstractNum w:abstractNumId="36" w15:restartNumberingAfterBreak="0">
    <w:nsid w:val="4D172985"/>
    <w:multiLevelType w:val="hybridMultilevel"/>
    <w:tmpl w:val="65FCD970"/>
    <w:lvl w:ilvl="0" w:tplc="E8FEDF4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EEC04C7"/>
    <w:multiLevelType w:val="hybridMultilevel"/>
    <w:tmpl w:val="C52E3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1B42302"/>
    <w:multiLevelType w:val="hybridMultilevel"/>
    <w:tmpl w:val="70026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5C95755"/>
    <w:multiLevelType w:val="hybridMultilevel"/>
    <w:tmpl w:val="738AF930"/>
    <w:lvl w:ilvl="0" w:tplc="0E288CBE">
      <w:numFmt w:val="bullet"/>
      <w:pStyle w:val="BulletUnindented"/>
      <w:lvlText w:val=""/>
      <w:lvlJc w:val="left"/>
      <w:pPr>
        <w:ind w:left="360" w:hanging="360"/>
      </w:pPr>
      <w:rPr>
        <w:rFonts w:ascii="Symbol" w:eastAsiaTheme="minorHAnsi" w:hAnsi="Symbol" w:cs="Times New Roman" w:hint="default"/>
      </w:rPr>
    </w:lvl>
    <w:lvl w:ilvl="1" w:tplc="663A27BE">
      <w:start w:val="1"/>
      <w:numFmt w:val="bullet"/>
      <w:pStyle w:val="BulletIndent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A48481B"/>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5AA11BB5"/>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5D53712C"/>
    <w:multiLevelType w:val="hybridMultilevel"/>
    <w:tmpl w:val="327C289A"/>
    <w:lvl w:ilvl="0" w:tplc="0C09000F">
      <w:start w:val="1"/>
      <w:numFmt w:val="decimal"/>
      <w:lvlText w:val="%1."/>
      <w:lvlJc w:val="left"/>
      <w:pPr>
        <w:ind w:left="360" w:hanging="360"/>
      </w:pPr>
      <w:rPr>
        <w:rFonts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5D820573"/>
    <w:multiLevelType w:val="hybridMultilevel"/>
    <w:tmpl w:val="3132B3A2"/>
    <w:lvl w:ilvl="0" w:tplc="C142832C">
      <w:start w:val="1"/>
      <w:numFmt w:val="decimal"/>
      <w:pStyle w:val="Tableheading"/>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2855CBE"/>
    <w:multiLevelType w:val="hybridMultilevel"/>
    <w:tmpl w:val="8DEE7778"/>
    <w:lvl w:ilvl="0" w:tplc="058C4B00">
      <w:numFmt w:val="bullet"/>
      <w:lvlText w:val="-"/>
      <w:lvlJc w:val="left"/>
      <w:pPr>
        <w:ind w:left="643" w:hanging="360"/>
      </w:pPr>
      <w:rPr>
        <w:rFonts w:ascii="Calibri" w:eastAsia="Times New Roman" w:hAnsi="Calibri" w:cs="Calibri"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45"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67D10CFB"/>
    <w:multiLevelType w:val="hybridMultilevel"/>
    <w:tmpl w:val="338C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8457AF8"/>
    <w:multiLevelType w:val="hybridMultilevel"/>
    <w:tmpl w:val="A48C2640"/>
    <w:lvl w:ilvl="0" w:tplc="0C09000F">
      <w:start w:val="1"/>
      <w:numFmt w:val="decimal"/>
      <w:lvlText w:val="%1."/>
      <w:lvlJc w:val="left"/>
      <w:pPr>
        <w:ind w:left="360" w:hanging="360"/>
      </w:pPr>
      <w:rPr>
        <w:rFonts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6D261B16"/>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6E9936A3"/>
    <w:multiLevelType w:val="hybridMultilevel"/>
    <w:tmpl w:val="34CA88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42342DB"/>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74B64403"/>
    <w:multiLevelType w:val="hybridMultilevel"/>
    <w:tmpl w:val="D3E44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7B06D20"/>
    <w:multiLevelType w:val="hybridMultilevel"/>
    <w:tmpl w:val="0C067F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A4C0509"/>
    <w:multiLevelType w:val="multilevel"/>
    <w:tmpl w:val="DC149FE0"/>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7A596CE0"/>
    <w:multiLevelType w:val="hybridMultilevel"/>
    <w:tmpl w:val="28665394"/>
    <w:lvl w:ilvl="0" w:tplc="CB16BC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B4C6E8D"/>
    <w:multiLevelType w:val="hybridMultilevel"/>
    <w:tmpl w:val="5394EB1E"/>
    <w:lvl w:ilvl="0" w:tplc="0928A73C">
      <w:start w:val="1"/>
      <w:numFmt w:val="decimal"/>
      <w:lvlText w:val="%1."/>
      <w:lvlJc w:val="left"/>
      <w:pPr>
        <w:ind w:left="360" w:hanging="360"/>
      </w:pPr>
      <w:rPr>
        <w:rFonts w:ascii="Segoe UI" w:hAnsi="Segoe UI" w:hint="default"/>
        <w:b w:val="0"/>
        <w:i w:val="0"/>
        <w:sz w:val="24"/>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E391716"/>
    <w:multiLevelType w:val="hybridMultilevel"/>
    <w:tmpl w:val="70DAFC76"/>
    <w:lvl w:ilvl="0" w:tplc="C908B35C">
      <w:start w:val="1"/>
      <w:numFmt w:val="bullet"/>
      <w:lvlText w:val="-"/>
      <w:lvlJc w:val="left"/>
      <w:pPr>
        <w:ind w:left="644" w:hanging="360"/>
      </w:pPr>
      <w:rPr>
        <w:rFonts w:ascii="Courier New" w:hAnsi="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661813044">
    <w:abstractNumId w:val="30"/>
  </w:num>
  <w:num w:numId="2" w16cid:durableId="1871189198">
    <w:abstractNumId w:val="46"/>
  </w:num>
  <w:num w:numId="3" w16cid:durableId="618923822">
    <w:abstractNumId w:val="21"/>
  </w:num>
  <w:num w:numId="4" w16cid:durableId="1677536720">
    <w:abstractNumId w:val="25"/>
  </w:num>
  <w:num w:numId="5" w16cid:durableId="1601134077">
    <w:abstractNumId w:val="23"/>
  </w:num>
  <w:num w:numId="6" w16cid:durableId="1008754037">
    <w:abstractNumId w:val="7"/>
  </w:num>
  <w:num w:numId="7" w16cid:durableId="2107185229">
    <w:abstractNumId w:val="36"/>
  </w:num>
  <w:num w:numId="8" w16cid:durableId="988829585">
    <w:abstractNumId w:val="50"/>
  </w:num>
  <w:num w:numId="9" w16cid:durableId="561913990">
    <w:abstractNumId w:val="52"/>
  </w:num>
  <w:num w:numId="10" w16cid:durableId="1819804961">
    <w:abstractNumId w:val="37"/>
  </w:num>
  <w:num w:numId="11" w16cid:durableId="1660041357">
    <w:abstractNumId w:val="28"/>
  </w:num>
  <w:num w:numId="12" w16cid:durableId="1821144484">
    <w:abstractNumId w:val="43"/>
  </w:num>
  <w:num w:numId="13" w16cid:durableId="1128666264">
    <w:abstractNumId w:val="31"/>
  </w:num>
  <w:num w:numId="14" w16cid:durableId="585654748">
    <w:abstractNumId w:val="13"/>
  </w:num>
  <w:num w:numId="15" w16cid:durableId="1674411436">
    <w:abstractNumId w:val="10"/>
  </w:num>
  <w:num w:numId="16" w16cid:durableId="1587111512">
    <w:abstractNumId w:val="44"/>
  </w:num>
  <w:num w:numId="17" w16cid:durableId="406080009">
    <w:abstractNumId w:val="55"/>
  </w:num>
  <w:num w:numId="18" w16cid:durableId="1672641317">
    <w:abstractNumId w:val="48"/>
  </w:num>
  <w:num w:numId="19" w16cid:durableId="2826113">
    <w:abstractNumId w:val="57"/>
  </w:num>
  <w:num w:numId="20" w16cid:durableId="972638051">
    <w:abstractNumId w:val="8"/>
  </w:num>
  <w:num w:numId="21" w16cid:durableId="197360763">
    <w:abstractNumId w:val="45"/>
  </w:num>
  <w:num w:numId="22" w16cid:durableId="272398987">
    <w:abstractNumId w:val="2"/>
  </w:num>
  <w:num w:numId="23" w16cid:durableId="174924647">
    <w:abstractNumId w:val="12"/>
  </w:num>
  <w:num w:numId="24" w16cid:durableId="2110854043">
    <w:abstractNumId w:val="51"/>
  </w:num>
  <w:num w:numId="25" w16cid:durableId="1437562194">
    <w:abstractNumId w:val="6"/>
  </w:num>
  <w:num w:numId="26" w16cid:durableId="1338196495">
    <w:abstractNumId w:val="41"/>
  </w:num>
  <w:num w:numId="27" w16cid:durableId="1078400573">
    <w:abstractNumId w:val="4"/>
  </w:num>
  <w:num w:numId="28" w16cid:durableId="1523399682">
    <w:abstractNumId w:val="14"/>
  </w:num>
  <w:num w:numId="29" w16cid:durableId="206572905">
    <w:abstractNumId w:val="40"/>
  </w:num>
  <w:num w:numId="30" w16cid:durableId="1402747870">
    <w:abstractNumId w:val="49"/>
  </w:num>
  <w:num w:numId="31" w16cid:durableId="372658380">
    <w:abstractNumId w:val="22"/>
  </w:num>
  <w:num w:numId="32" w16cid:durableId="779683429">
    <w:abstractNumId w:val="20"/>
  </w:num>
  <w:num w:numId="33" w16cid:durableId="420568393">
    <w:abstractNumId w:val="54"/>
  </w:num>
  <w:num w:numId="34" w16cid:durableId="1217618433">
    <w:abstractNumId w:val="34"/>
  </w:num>
  <w:num w:numId="35" w16cid:durableId="991366926">
    <w:abstractNumId w:val="32"/>
  </w:num>
  <w:num w:numId="36" w16cid:durableId="711150303">
    <w:abstractNumId w:val="18"/>
  </w:num>
  <w:num w:numId="37" w16cid:durableId="1844779490">
    <w:abstractNumId w:val="17"/>
  </w:num>
  <w:num w:numId="38" w16cid:durableId="959455771">
    <w:abstractNumId w:val="39"/>
  </w:num>
  <w:num w:numId="39" w16cid:durableId="1299342815">
    <w:abstractNumId w:val="24"/>
  </w:num>
  <w:num w:numId="40" w16cid:durableId="1992753956">
    <w:abstractNumId w:val="16"/>
    <w:lvlOverride w:ilvl="0">
      <w:startOverride w:val="1"/>
    </w:lvlOverride>
  </w:num>
  <w:num w:numId="41" w16cid:durableId="1167600657">
    <w:abstractNumId w:val="33"/>
  </w:num>
  <w:num w:numId="42" w16cid:durableId="1774978691">
    <w:abstractNumId w:val="35"/>
  </w:num>
  <w:num w:numId="43" w16cid:durableId="924261600">
    <w:abstractNumId w:val="3"/>
  </w:num>
  <w:num w:numId="44" w16cid:durableId="113255668">
    <w:abstractNumId w:val="11"/>
  </w:num>
  <w:num w:numId="45" w16cid:durableId="1959142570">
    <w:abstractNumId w:val="38"/>
  </w:num>
  <w:num w:numId="46" w16cid:durableId="1291545553">
    <w:abstractNumId w:val="53"/>
  </w:num>
  <w:num w:numId="47" w16cid:durableId="1741975076">
    <w:abstractNumId w:val="5"/>
  </w:num>
  <w:num w:numId="48" w16cid:durableId="1423574160">
    <w:abstractNumId w:val="9"/>
  </w:num>
  <w:num w:numId="49" w16cid:durableId="44305913">
    <w:abstractNumId w:val="19"/>
  </w:num>
  <w:num w:numId="50" w16cid:durableId="1024551311">
    <w:abstractNumId w:val="27"/>
  </w:num>
  <w:num w:numId="51" w16cid:durableId="1303922789">
    <w:abstractNumId w:val="15"/>
  </w:num>
  <w:num w:numId="52" w16cid:durableId="1999528473">
    <w:abstractNumId w:val="42"/>
  </w:num>
  <w:num w:numId="53" w16cid:durableId="1045131663">
    <w:abstractNumId w:val="47"/>
  </w:num>
  <w:num w:numId="54" w16cid:durableId="1817916620">
    <w:abstractNumId w:val="29"/>
  </w:num>
  <w:num w:numId="55" w16cid:durableId="799767876">
    <w:abstractNumId w:val="33"/>
    <w:lvlOverride w:ilvl="0">
      <w:startOverride w:val="1"/>
    </w:lvlOverride>
  </w:num>
  <w:num w:numId="56" w16cid:durableId="1999259851">
    <w:abstractNumId w:val="56"/>
  </w:num>
  <w:num w:numId="57" w16cid:durableId="1399791397">
    <w:abstractNumId w:val="26"/>
  </w:num>
  <w:num w:numId="58" w16cid:durableId="2078088151">
    <w:abstractNumId w:val="33"/>
    <w:lvlOverride w:ilvl="0">
      <w:startOverride w:val="1"/>
    </w:lvlOverride>
  </w:num>
  <w:num w:numId="59" w16cid:durableId="1181318633">
    <w:abstractNumId w:val="0"/>
  </w:num>
  <w:num w:numId="60" w16cid:durableId="999503930">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04" w:allStyles="0" w:customStyles="0" w:latentStyles="1"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ED"/>
    <w:rsid w:val="000016F9"/>
    <w:rsid w:val="00002D3E"/>
    <w:rsid w:val="0000446A"/>
    <w:rsid w:val="0000521E"/>
    <w:rsid w:val="000054C9"/>
    <w:rsid w:val="00005ACD"/>
    <w:rsid w:val="00005E03"/>
    <w:rsid w:val="00007699"/>
    <w:rsid w:val="00007A26"/>
    <w:rsid w:val="00010936"/>
    <w:rsid w:val="000118EA"/>
    <w:rsid w:val="00011960"/>
    <w:rsid w:val="00012D15"/>
    <w:rsid w:val="00012F79"/>
    <w:rsid w:val="00013DE1"/>
    <w:rsid w:val="000140F6"/>
    <w:rsid w:val="00014D36"/>
    <w:rsid w:val="00014DDC"/>
    <w:rsid w:val="0001506B"/>
    <w:rsid w:val="0001635A"/>
    <w:rsid w:val="00016C91"/>
    <w:rsid w:val="00016E50"/>
    <w:rsid w:val="00016FFA"/>
    <w:rsid w:val="00020402"/>
    <w:rsid w:val="0002158E"/>
    <w:rsid w:val="000217C4"/>
    <w:rsid w:val="00024010"/>
    <w:rsid w:val="000246D0"/>
    <w:rsid w:val="00024B7C"/>
    <w:rsid w:val="00025ABC"/>
    <w:rsid w:val="0002607C"/>
    <w:rsid w:val="0002642A"/>
    <w:rsid w:val="00032000"/>
    <w:rsid w:val="0003326D"/>
    <w:rsid w:val="00033964"/>
    <w:rsid w:val="00034E83"/>
    <w:rsid w:val="00036B16"/>
    <w:rsid w:val="0003731B"/>
    <w:rsid w:val="0003754D"/>
    <w:rsid w:val="00037C7E"/>
    <w:rsid w:val="00041837"/>
    <w:rsid w:val="0004441B"/>
    <w:rsid w:val="000448D7"/>
    <w:rsid w:val="00044A1D"/>
    <w:rsid w:val="00044E5E"/>
    <w:rsid w:val="000455DF"/>
    <w:rsid w:val="000472A8"/>
    <w:rsid w:val="0005138E"/>
    <w:rsid w:val="0005210F"/>
    <w:rsid w:val="0005294D"/>
    <w:rsid w:val="00052FAE"/>
    <w:rsid w:val="0005311A"/>
    <w:rsid w:val="000531D3"/>
    <w:rsid w:val="00054385"/>
    <w:rsid w:val="000546C2"/>
    <w:rsid w:val="00055794"/>
    <w:rsid w:val="0005605E"/>
    <w:rsid w:val="000569FE"/>
    <w:rsid w:val="00060099"/>
    <w:rsid w:val="00065D0D"/>
    <w:rsid w:val="00065F54"/>
    <w:rsid w:val="000663B2"/>
    <w:rsid w:val="000665A8"/>
    <w:rsid w:val="0006705C"/>
    <w:rsid w:val="00067C91"/>
    <w:rsid w:val="00070087"/>
    <w:rsid w:val="0007056C"/>
    <w:rsid w:val="0007141B"/>
    <w:rsid w:val="00074D58"/>
    <w:rsid w:val="00074DA0"/>
    <w:rsid w:val="00074EAB"/>
    <w:rsid w:val="00074F6A"/>
    <w:rsid w:val="00075686"/>
    <w:rsid w:val="00076341"/>
    <w:rsid w:val="00081F64"/>
    <w:rsid w:val="00084D5B"/>
    <w:rsid w:val="00085453"/>
    <w:rsid w:val="00085BC7"/>
    <w:rsid w:val="00085D4A"/>
    <w:rsid w:val="00086523"/>
    <w:rsid w:val="000877FD"/>
    <w:rsid w:val="000879ED"/>
    <w:rsid w:val="0009282A"/>
    <w:rsid w:val="00092FCC"/>
    <w:rsid w:val="00093069"/>
    <w:rsid w:val="0009350B"/>
    <w:rsid w:val="00093737"/>
    <w:rsid w:val="00093C33"/>
    <w:rsid w:val="00093F53"/>
    <w:rsid w:val="0009591E"/>
    <w:rsid w:val="00097624"/>
    <w:rsid w:val="000A055E"/>
    <w:rsid w:val="000A0628"/>
    <w:rsid w:val="000A0862"/>
    <w:rsid w:val="000A0FC3"/>
    <w:rsid w:val="000A10C4"/>
    <w:rsid w:val="000A13AC"/>
    <w:rsid w:val="000A1D5A"/>
    <w:rsid w:val="000A3647"/>
    <w:rsid w:val="000A4B85"/>
    <w:rsid w:val="000A525F"/>
    <w:rsid w:val="000A55BE"/>
    <w:rsid w:val="000B2611"/>
    <w:rsid w:val="000B3B81"/>
    <w:rsid w:val="000B4370"/>
    <w:rsid w:val="000B4D72"/>
    <w:rsid w:val="000B5B18"/>
    <w:rsid w:val="000B5D73"/>
    <w:rsid w:val="000B6902"/>
    <w:rsid w:val="000B74C5"/>
    <w:rsid w:val="000B75AB"/>
    <w:rsid w:val="000C00C0"/>
    <w:rsid w:val="000C0638"/>
    <w:rsid w:val="000C08B3"/>
    <w:rsid w:val="000C1C44"/>
    <w:rsid w:val="000C1D3B"/>
    <w:rsid w:val="000C1EE3"/>
    <w:rsid w:val="000C36F5"/>
    <w:rsid w:val="000C3FF7"/>
    <w:rsid w:val="000C422D"/>
    <w:rsid w:val="000C436A"/>
    <w:rsid w:val="000C644D"/>
    <w:rsid w:val="000C6B43"/>
    <w:rsid w:val="000D0F60"/>
    <w:rsid w:val="000D1A05"/>
    <w:rsid w:val="000D2189"/>
    <w:rsid w:val="000D238C"/>
    <w:rsid w:val="000D2571"/>
    <w:rsid w:val="000D2CBB"/>
    <w:rsid w:val="000D4225"/>
    <w:rsid w:val="000D4926"/>
    <w:rsid w:val="000D5525"/>
    <w:rsid w:val="000D67CC"/>
    <w:rsid w:val="000D71BB"/>
    <w:rsid w:val="000D74A6"/>
    <w:rsid w:val="000D78AF"/>
    <w:rsid w:val="000D7B6C"/>
    <w:rsid w:val="000E0CB5"/>
    <w:rsid w:val="000E3110"/>
    <w:rsid w:val="000E36D0"/>
    <w:rsid w:val="000E3BF1"/>
    <w:rsid w:val="000E40CB"/>
    <w:rsid w:val="000E4F38"/>
    <w:rsid w:val="000E4FFE"/>
    <w:rsid w:val="000E51B9"/>
    <w:rsid w:val="000E56AC"/>
    <w:rsid w:val="000E737B"/>
    <w:rsid w:val="000E7495"/>
    <w:rsid w:val="000E7933"/>
    <w:rsid w:val="000E7F24"/>
    <w:rsid w:val="000F0408"/>
    <w:rsid w:val="000F0E6D"/>
    <w:rsid w:val="000F1521"/>
    <w:rsid w:val="000F183A"/>
    <w:rsid w:val="000F4F5D"/>
    <w:rsid w:val="000F6221"/>
    <w:rsid w:val="000F66DE"/>
    <w:rsid w:val="000F6E4E"/>
    <w:rsid w:val="00100A34"/>
    <w:rsid w:val="001020C5"/>
    <w:rsid w:val="00104C04"/>
    <w:rsid w:val="00104ECF"/>
    <w:rsid w:val="0010661E"/>
    <w:rsid w:val="001104C8"/>
    <w:rsid w:val="00110EBE"/>
    <w:rsid w:val="0011307D"/>
    <w:rsid w:val="001130A7"/>
    <w:rsid w:val="001130E4"/>
    <w:rsid w:val="001142C4"/>
    <w:rsid w:val="00114AC2"/>
    <w:rsid w:val="00114D2E"/>
    <w:rsid w:val="00114DE5"/>
    <w:rsid w:val="00121E5A"/>
    <w:rsid w:val="00123E44"/>
    <w:rsid w:val="00124096"/>
    <w:rsid w:val="00124800"/>
    <w:rsid w:val="001255B1"/>
    <w:rsid w:val="00125DAA"/>
    <w:rsid w:val="00125F95"/>
    <w:rsid w:val="00126D23"/>
    <w:rsid w:val="00126DD3"/>
    <w:rsid w:val="00127D8A"/>
    <w:rsid w:val="00130BF7"/>
    <w:rsid w:val="00131F59"/>
    <w:rsid w:val="001336ED"/>
    <w:rsid w:val="00133832"/>
    <w:rsid w:val="00136D7C"/>
    <w:rsid w:val="00137011"/>
    <w:rsid w:val="00137099"/>
    <w:rsid w:val="001376B2"/>
    <w:rsid w:val="00142223"/>
    <w:rsid w:val="0014283A"/>
    <w:rsid w:val="00142E2C"/>
    <w:rsid w:val="00146B28"/>
    <w:rsid w:val="001479AB"/>
    <w:rsid w:val="00147E13"/>
    <w:rsid w:val="001515AA"/>
    <w:rsid w:val="00151841"/>
    <w:rsid w:val="00152621"/>
    <w:rsid w:val="00152BA0"/>
    <w:rsid w:val="0015341A"/>
    <w:rsid w:val="00153867"/>
    <w:rsid w:val="00153889"/>
    <w:rsid w:val="00153BF4"/>
    <w:rsid w:val="0015572E"/>
    <w:rsid w:val="00155ABA"/>
    <w:rsid w:val="001572A0"/>
    <w:rsid w:val="001602E0"/>
    <w:rsid w:val="00160E08"/>
    <w:rsid w:val="00162CBF"/>
    <w:rsid w:val="00163C02"/>
    <w:rsid w:val="001644B7"/>
    <w:rsid w:val="00164FCC"/>
    <w:rsid w:val="00165734"/>
    <w:rsid w:val="00165987"/>
    <w:rsid w:val="00165F5A"/>
    <w:rsid w:val="00167B10"/>
    <w:rsid w:val="00167F37"/>
    <w:rsid w:val="00170CFC"/>
    <w:rsid w:val="00170E85"/>
    <w:rsid w:val="001721C7"/>
    <w:rsid w:val="00173EF6"/>
    <w:rsid w:val="001762A7"/>
    <w:rsid w:val="00176ACC"/>
    <w:rsid w:val="00176EE6"/>
    <w:rsid w:val="00177167"/>
    <w:rsid w:val="001779AE"/>
    <w:rsid w:val="00181AAE"/>
    <w:rsid w:val="0018206D"/>
    <w:rsid w:val="001825A4"/>
    <w:rsid w:val="00182969"/>
    <w:rsid w:val="00182EC6"/>
    <w:rsid w:val="0018343E"/>
    <w:rsid w:val="00184190"/>
    <w:rsid w:val="00184D4E"/>
    <w:rsid w:val="00184DF2"/>
    <w:rsid w:val="00185007"/>
    <w:rsid w:val="0018716B"/>
    <w:rsid w:val="001905C1"/>
    <w:rsid w:val="00191CD6"/>
    <w:rsid w:val="001923C7"/>
    <w:rsid w:val="001923FE"/>
    <w:rsid w:val="001929B0"/>
    <w:rsid w:val="001938AA"/>
    <w:rsid w:val="00193F54"/>
    <w:rsid w:val="00194889"/>
    <w:rsid w:val="00195A79"/>
    <w:rsid w:val="00196F4F"/>
    <w:rsid w:val="0019797F"/>
    <w:rsid w:val="001A1D3A"/>
    <w:rsid w:val="001A2EA3"/>
    <w:rsid w:val="001A5E9F"/>
    <w:rsid w:val="001A6EE9"/>
    <w:rsid w:val="001B03D3"/>
    <w:rsid w:val="001B0F72"/>
    <w:rsid w:val="001B20D4"/>
    <w:rsid w:val="001B3A1F"/>
    <w:rsid w:val="001B4117"/>
    <w:rsid w:val="001B740A"/>
    <w:rsid w:val="001B7B38"/>
    <w:rsid w:val="001C0413"/>
    <w:rsid w:val="001C085E"/>
    <w:rsid w:val="001C235A"/>
    <w:rsid w:val="001C2588"/>
    <w:rsid w:val="001C25D4"/>
    <w:rsid w:val="001C3090"/>
    <w:rsid w:val="001C3A6F"/>
    <w:rsid w:val="001C6267"/>
    <w:rsid w:val="001C6D70"/>
    <w:rsid w:val="001C72FA"/>
    <w:rsid w:val="001C7390"/>
    <w:rsid w:val="001C78C4"/>
    <w:rsid w:val="001C7A90"/>
    <w:rsid w:val="001C7E6D"/>
    <w:rsid w:val="001D044C"/>
    <w:rsid w:val="001D2923"/>
    <w:rsid w:val="001D29B7"/>
    <w:rsid w:val="001D2D50"/>
    <w:rsid w:val="001D3AB1"/>
    <w:rsid w:val="001D467F"/>
    <w:rsid w:val="001D54EC"/>
    <w:rsid w:val="001D6FAC"/>
    <w:rsid w:val="001D764E"/>
    <w:rsid w:val="001D792E"/>
    <w:rsid w:val="001E268E"/>
    <w:rsid w:val="001E36CA"/>
    <w:rsid w:val="001E6D89"/>
    <w:rsid w:val="001E6E4A"/>
    <w:rsid w:val="001E7087"/>
    <w:rsid w:val="001F027F"/>
    <w:rsid w:val="001F1213"/>
    <w:rsid w:val="001F18AE"/>
    <w:rsid w:val="001F1C28"/>
    <w:rsid w:val="001F22B9"/>
    <w:rsid w:val="001F2513"/>
    <w:rsid w:val="001F27AA"/>
    <w:rsid w:val="001F51B2"/>
    <w:rsid w:val="001F5570"/>
    <w:rsid w:val="001F55D4"/>
    <w:rsid w:val="001F6A7D"/>
    <w:rsid w:val="002002A8"/>
    <w:rsid w:val="00203105"/>
    <w:rsid w:val="002033E3"/>
    <w:rsid w:val="00204571"/>
    <w:rsid w:val="00204605"/>
    <w:rsid w:val="00204D41"/>
    <w:rsid w:val="00205222"/>
    <w:rsid w:val="00205DEC"/>
    <w:rsid w:val="002060F9"/>
    <w:rsid w:val="0020797C"/>
    <w:rsid w:val="00207C8C"/>
    <w:rsid w:val="00207CC7"/>
    <w:rsid w:val="002111BD"/>
    <w:rsid w:val="00211537"/>
    <w:rsid w:val="00213834"/>
    <w:rsid w:val="00214C6D"/>
    <w:rsid w:val="00214F09"/>
    <w:rsid w:val="00215944"/>
    <w:rsid w:val="00216CBA"/>
    <w:rsid w:val="0022012E"/>
    <w:rsid w:val="00221132"/>
    <w:rsid w:val="00221475"/>
    <w:rsid w:val="002216D4"/>
    <w:rsid w:val="002233FC"/>
    <w:rsid w:val="002245A4"/>
    <w:rsid w:val="00224E78"/>
    <w:rsid w:val="002251C6"/>
    <w:rsid w:val="0022615C"/>
    <w:rsid w:val="00226853"/>
    <w:rsid w:val="00227742"/>
    <w:rsid w:val="00227F75"/>
    <w:rsid w:val="002300F5"/>
    <w:rsid w:val="00232BBC"/>
    <w:rsid w:val="002339FF"/>
    <w:rsid w:val="002341A3"/>
    <w:rsid w:val="0023533F"/>
    <w:rsid w:val="002353F9"/>
    <w:rsid w:val="00235692"/>
    <w:rsid w:val="00235B94"/>
    <w:rsid w:val="002407EF"/>
    <w:rsid w:val="00242F7C"/>
    <w:rsid w:val="0024466B"/>
    <w:rsid w:val="002446CE"/>
    <w:rsid w:val="0024639F"/>
    <w:rsid w:val="00246418"/>
    <w:rsid w:val="00246F2B"/>
    <w:rsid w:val="00246F68"/>
    <w:rsid w:val="002500C6"/>
    <w:rsid w:val="00250C11"/>
    <w:rsid w:val="00250F66"/>
    <w:rsid w:val="00252F32"/>
    <w:rsid w:val="002555D3"/>
    <w:rsid w:val="00256F21"/>
    <w:rsid w:val="00257D5A"/>
    <w:rsid w:val="00262264"/>
    <w:rsid w:val="002645EF"/>
    <w:rsid w:val="002658BF"/>
    <w:rsid w:val="002679BF"/>
    <w:rsid w:val="0027070D"/>
    <w:rsid w:val="00270CF9"/>
    <w:rsid w:val="00270D6E"/>
    <w:rsid w:val="002711AF"/>
    <w:rsid w:val="00271B0D"/>
    <w:rsid w:val="002723F7"/>
    <w:rsid w:val="00272619"/>
    <w:rsid w:val="00273BE1"/>
    <w:rsid w:val="00273C00"/>
    <w:rsid w:val="00274E48"/>
    <w:rsid w:val="0027547C"/>
    <w:rsid w:val="00276A9B"/>
    <w:rsid w:val="00277478"/>
    <w:rsid w:val="00280BB9"/>
    <w:rsid w:val="00280DF0"/>
    <w:rsid w:val="00280F25"/>
    <w:rsid w:val="00282165"/>
    <w:rsid w:val="00282622"/>
    <w:rsid w:val="00282640"/>
    <w:rsid w:val="002830F7"/>
    <w:rsid w:val="002840F8"/>
    <w:rsid w:val="00284684"/>
    <w:rsid w:val="00285025"/>
    <w:rsid w:val="0028512B"/>
    <w:rsid w:val="00285FE2"/>
    <w:rsid w:val="00286196"/>
    <w:rsid w:val="00287659"/>
    <w:rsid w:val="00290465"/>
    <w:rsid w:val="00290CCA"/>
    <w:rsid w:val="00290CCF"/>
    <w:rsid w:val="00292041"/>
    <w:rsid w:val="00294911"/>
    <w:rsid w:val="00294CCA"/>
    <w:rsid w:val="00295670"/>
    <w:rsid w:val="00296225"/>
    <w:rsid w:val="002965AF"/>
    <w:rsid w:val="00296768"/>
    <w:rsid w:val="00296F68"/>
    <w:rsid w:val="002A0F12"/>
    <w:rsid w:val="002A2143"/>
    <w:rsid w:val="002A2561"/>
    <w:rsid w:val="002A3909"/>
    <w:rsid w:val="002A44C6"/>
    <w:rsid w:val="002A559C"/>
    <w:rsid w:val="002A7F60"/>
    <w:rsid w:val="002B0130"/>
    <w:rsid w:val="002B121E"/>
    <w:rsid w:val="002B14F8"/>
    <w:rsid w:val="002B2910"/>
    <w:rsid w:val="002B38E2"/>
    <w:rsid w:val="002B3D30"/>
    <w:rsid w:val="002B4FDF"/>
    <w:rsid w:val="002B53FA"/>
    <w:rsid w:val="002B5531"/>
    <w:rsid w:val="002B5A38"/>
    <w:rsid w:val="002B6685"/>
    <w:rsid w:val="002B6884"/>
    <w:rsid w:val="002B6CB6"/>
    <w:rsid w:val="002B6D2D"/>
    <w:rsid w:val="002C0369"/>
    <w:rsid w:val="002C15F5"/>
    <w:rsid w:val="002C1E8D"/>
    <w:rsid w:val="002C2463"/>
    <w:rsid w:val="002C3929"/>
    <w:rsid w:val="002C422E"/>
    <w:rsid w:val="002C45A9"/>
    <w:rsid w:val="002C4959"/>
    <w:rsid w:val="002C4980"/>
    <w:rsid w:val="002C5D49"/>
    <w:rsid w:val="002C64BE"/>
    <w:rsid w:val="002D06FC"/>
    <w:rsid w:val="002D0FBF"/>
    <w:rsid w:val="002D1589"/>
    <w:rsid w:val="002D2512"/>
    <w:rsid w:val="002D2CF8"/>
    <w:rsid w:val="002D320F"/>
    <w:rsid w:val="002D33A0"/>
    <w:rsid w:val="002D512A"/>
    <w:rsid w:val="002D5914"/>
    <w:rsid w:val="002E0E53"/>
    <w:rsid w:val="002E174C"/>
    <w:rsid w:val="002E380F"/>
    <w:rsid w:val="002E3C7D"/>
    <w:rsid w:val="002E3F3C"/>
    <w:rsid w:val="002E4641"/>
    <w:rsid w:val="002E505C"/>
    <w:rsid w:val="002E52B2"/>
    <w:rsid w:val="002E588A"/>
    <w:rsid w:val="002E6989"/>
    <w:rsid w:val="002E7801"/>
    <w:rsid w:val="002F031B"/>
    <w:rsid w:val="002F0FC4"/>
    <w:rsid w:val="002F2952"/>
    <w:rsid w:val="002F2E31"/>
    <w:rsid w:val="002F47F4"/>
    <w:rsid w:val="002F5C20"/>
    <w:rsid w:val="002F63C0"/>
    <w:rsid w:val="002F6799"/>
    <w:rsid w:val="002F67D2"/>
    <w:rsid w:val="002F7027"/>
    <w:rsid w:val="002F70FF"/>
    <w:rsid w:val="003009AD"/>
    <w:rsid w:val="00300C95"/>
    <w:rsid w:val="00302B5D"/>
    <w:rsid w:val="003039B9"/>
    <w:rsid w:val="00304738"/>
    <w:rsid w:val="00304D1F"/>
    <w:rsid w:val="00305EB3"/>
    <w:rsid w:val="00306A6A"/>
    <w:rsid w:val="003072B1"/>
    <w:rsid w:val="00310312"/>
    <w:rsid w:val="0031097E"/>
    <w:rsid w:val="0031100C"/>
    <w:rsid w:val="00313CE0"/>
    <w:rsid w:val="003141D5"/>
    <w:rsid w:val="00315B86"/>
    <w:rsid w:val="003172FF"/>
    <w:rsid w:val="003176D1"/>
    <w:rsid w:val="00317D53"/>
    <w:rsid w:val="00317EA2"/>
    <w:rsid w:val="0032245B"/>
    <w:rsid w:val="00322E1A"/>
    <w:rsid w:val="00323194"/>
    <w:rsid w:val="00323BBB"/>
    <w:rsid w:val="003250C5"/>
    <w:rsid w:val="00325892"/>
    <w:rsid w:val="0032653E"/>
    <w:rsid w:val="003274D2"/>
    <w:rsid w:val="00330C14"/>
    <w:rsid w:val="00330F74"/>
    <w:rsid w:val="003325BC"/>
    <w:rsid w:val="0033694F"/>
    <w:rsid w:val="00336B89"/>
    <w:rsid w:val="00336C8A"/>
    <w:rsid w:val="003374DF"/>
    <w:rsid w:val="00337F79"/>
    <w:rsid w:val="00342AE7"/>
    <w:rsid w:val="0034399F"/>
    <w:rsid w:val="00346830"/>
    <w:rsid w:val="00346AF3"/>
    <w:rsid w:val="00346C59"/>
    <w:rsid w:val="0034793B"/>
    <w:rsid w:val="00350B1D"/>
    <w:rsid w:val="0035265C"/>
    <w:rsid w:val="00352937"/>
    <w:rsid w:val="00352CFB"/>
    <w:rsid w:val="0035371E"/>
    <w:rsid w:val="003539C2"/>
    <w:rsid w:val="00354B1A"/>
    <w:rsid w:val="003552CA"/>
    <w:rsid w:val="003555ED"/>
    <w:rsid w:val="00355ADF"/>
    <w:rsid w:val="00355F18"/>
    <w:rsid w:val="003561DA"/>
    <w:rsid w:val="003561FE"/>
    <w:rsid w:val="00356D31"/>
    <w:rsid w:val="00356F86"/>
    <w:rsid w:val="003600F4"/>
    <w:rsid w:val="003602A1"/>
    <w:rsid w:val="00360740"/>
    <w:rsid w:val="0036234D"/>
    <w:rsid w:val="00362990"/>
    <w:rsid w:val="00363022"/>
    <w:rsid w:val="00364000"/>
    <w:rsid w:val="00364E63"/>
    <w:rsid w:val="003652C8"/>
    <w:rsid w:val="00366536"/>
    <w:rsid w:val="00367153"/>
    <w:rsid w:val="00367386"/>
    <w:rsid w:val="00371421"/>
    <w:rsid w:val="00373031"/>
    <w:rsid w:val="00373439"/>
    <w:rsid w:val="00373DFA"/>
    <w:rsid w:val="00375729"/>
    <w:rsid w:val="003765C2"/>
    <w:rsid w:val="00377B0B"/>
    <w:rsid w:val="003800B0"/>
    <w:rsid w:val="00380DC5"/>
    <w:rsid w:val="0038167D"/>
    <w:rsid w:val="00381AD9"/>
    <w:rsid w:val="003826B5"/>
    <w:rsid w:val="003827FA"/>
    <w:rsid w:val="0038359C"/>
    <w:rsid w:val="00384C49"/>
    <w:rsid w:val="0038572F"/>
    <w:rsid w:val="003857C6"/>
    <w:rsid w:val="00386873"/>
    <w:rsid w:val="00386EB5"/>
    <w:rsid w:val="00387497"/>
    <w:rsid w:val="003908AC"/>
    <w:rsid w:val="00390FED"/>
    <w:rsid w:val="00391381"/>
    <w:rsid w:val="003921F6"/>
    <w:rsid w:val="0039225A"/>
    <w:rsid w:val="003922BD"/>
    <w:rsid w:val="00392992"/>
    <w:rsid w:val="00392A4D"/>
    <w:rsid w:val="00392BED"/>
    <w:rsid w:val="00392D8B"/>
    <w:rsid w:val="00394269"/>
    <w:rsid w:val="0039500F"/>
    <w:rsid w:val="003963CD"/>
    <w:rsid w:val="003A0CC3"/>
    <w:rsid w:val="003A133E"/>
    <w:rsid w:val="003A39BC"/>
    <w:rsid w:val="003A3FE5"/>
    <w:rsid w:val="003A44AB"/>
    <w:rsid w:val="003A4CA9"/>
    <w:rsid w:val="003A5916"/>
    <w:rsid w:val="003A6E3B"/>
    <w:rsid w:val="003B041F"/>
    <w:rsid w:val="003B0A8D"/>
    <w:rsid w:val="003B0EDD"/>
    <w:rsid w:val="003B251B"/>
    <w:rsid w:val="003B26B5"/>
    <w:rsid w:val="003B4137"/>
    <w:rsid w:val="003B48D5"/>
    <w:rsid w:val="003B5F49"/>
    <w:rsid w:val="003B617F"/>
    <w:rsid w:val="003B739F"/>
    <w:rsid w:val="003C0C09"/>
    <w:rsid w:val="003C2398"/>
    <w:rsid w:val="003C3D80"/>
    <w:rsid w:val="003C3E23"/>
    <w:rsid w:val="003C415F"/>
    <w:rsid w:val="003C6275"/>
    <w:rsid w:val="003C658C"/>
    <w:rsid w:val="003C6F5D"/>
    <w:rsid w:val="003C76B4"/>
    <w:rsid w:val="003C7879"/>
    <w:rsid w:val="003D01EE"/>
    <w:rsid w:val="003D13FB"/>
    <w:rsid w:val="003D18B3"/>
    <w:rsid w:val="003D1CAD"/>
    <w:rsid w:val="003D2FFD"/>
    <w:rsid w:val="003D3087"/>
    <w:rsid w:val="003D3FD8"/>
    <w:rsid w:val="003D46DC"/>
    <w:rsid w:val="003D4772"/>
    <w:rsid w:val="003D60E1"/>
    <w:rsid w:val="003D6122"/>
    <w:rsid w:val="003D6754"/>
    <w:rsid w:val="003D6784"/>
    <w:rsid w:val="003D6BD9"/>
    <w:rsid w:val="003D76F5"/>
    <w:rsid w:val="003D784D"/>
    <w:rsid w:val="003E03C5"/>
    <w:rsid w:val="003E0C99"/>
    <w:rsid w:val="003E0D09"/>
    <w:rsid w:val="003E0E62"/>
    <w:rsid w:val="003E1395"/>
    <w:rsid w:val="003E13D5"/>
    <w:rsid w:val="003E154B"/>
    <w:rsid w:val="003E178C"/>
    <w:rsid w:val="003E1E8E"/>
    <w:rsid w:val="003E49C9"/>
    <w:rsid w:val="003E531A"/>
    <w:rsid w:val="003E6FAE"/>
    <w:rsid w:val="003F0E9F"/>
    <w:rsid w:val="003F1AEA"/>
    <w:rsid w:val="003F1D07"/>
    <w:rsid w:val="003F28A0"/>
    <w:rsid w:val="003F297F"/>
    <w:rsid w:val="003F329B"/>
    <w:rsid w:val="003F377A"/>
    <w:rsid w:val="003F4548"/>
    <w:rsid w:val="003F469B"/>
    <w:rsid w:val="003F5598"/>
    <w:rsid w:val="003F5937"/>
    <w:rsid w:val="003F7652"/>
    <w:rsid w:val="003F7808"/>
    <w:rsid w:val="003F7BE7"/>
    <w:rsid w:val="003F7CC7"/>
    <w:rsid w:val="00400CA7"/>
    <w:rsid w:val="00400E49"/>
    <w:rsid w:val="00401FE1"/>
    <w:rsid w:val="00402476"/>
    <w:rsid w:val="004028A6"/>
    <w:rsid w:val="00404522"/>
    <w:rsid w:val="004046F1"/>
    <w:rsid w:val="0040523E"/>
    <w:rsid w:val="0041191C"/>
    <w:rsid w:val="00412FBC"/>
    <w:rsid w:val="004130E2"/>
    <w:rsid w:val="00413879"/>
    <w:rsid w:val="004141B5"/>
    <w:rsid w:val="00414591"/>
    <w:rsid w:val="00416245"/>
    <w:rsid w:val="004200E6"/>
    <w:rsid w:val="004209D3"/>
    <w:rsid w:val="00421242"/>
    <w:rsid w:val="00422F66"/>
    <w:rsid w:val="004231FA"/>
    <w:rsid w:val="00423BDF"/>
    <w:rsid w:val="00423F2D"/>
    <w:rsid w:val="004246FF"/>
    <w:rsid w:val="00424C5B"/>
    <w:rsid w:val="00425BA4"/>
    <w:rsid w:val="00426005"/>
    <w:rsid w:val="00426EB8"/>
    <w:rsid w:val="00427DE1"/>
    <w:rsid w:val="00427F5A"/>
    <w:rsid w:val="0043019C"/>
    <w:rsid w:val="004303BC"/>
    <w:rsid w:val="00430C63"/>
    <w:rsid w:val="00431EFC"/>
    <w:rsid w:val="00432BB5"/>
    <w:rsid w:val="0043333E"/>
    <w:rsid w:val="00435492"/>
    <w:rsid w:val="004358DE"/>
    <w:rsid w:val="004369ED"/>
    <w:rsid w:val="00436A7A"/>
    <w:rsid w:val="004376B9"/>
    <w:rsid w:val="004379E4"/>
    <w:rsid w:val="00437B5B"/>
    <w:rsid w:val="00442261"/>
    <w:rsid w:val="00445052"/>
    <w:rsid w:val="00445E88"/>
    <w:rsid w:val="00446166"/>
    <w:rsid w:val="00446D57"/>
    <w:rsid w:val="004477AF"/>
    <w:rsid w:val="0045297A"/>
    <w:rsid w:val="004529E9"/>
    <w:rsid w:val="00452E1B"/>
    <w:rsid w:val="00452F6E"/>
    <w:rsid w:val="00453D45"/>
    <w:rsid w:val="00453EFB"/>
    <w:rsid w:val="00454C5E"/>
    <w:rsid w:val="00455889"/>
    <w:rsid w:val="00455D3F"/>
    <w:rsid w:val="00455FF5"/>
    <w:rsid w:val="004564C5"/>
    <w:rsid w:val="00457852"/>
    <w:rsid w:val="00460135"/>
    <w:rsid w:val="00460BD2"/>
    <w:rsid w:val="00461CBC"/>
    <w:rsid w:val="004625F1"/>
    <w:rsid w:val="0046360E"/>
    <w:rsid w:val="004644A7"/>
    <w:rsid w:val="0046467D"/>
    <w:rsid w:val="00464BAA"/>
    <w:rsid w:val="00464BFE"/>
    <w:rsid w:val="0046654C"/>
    <w:rsid w:val="004668F7"/>
    <w:rsid w:val="00466C9D"/>
    <w:rsid w:val="004712D3"/>
    <w:rsid w:val="004712DB"/>
    <w:rsid w:val="0047365C"/>
    <w:rsid w:val="004740B1"/>
    <w:rsid w:val="00474DBA"/>
    <w:rsid w:val="0047525F"/>
    <w:rsid w:val="004756A3"/>
    <w:rsid w:val="00475AE1"/>
    <w:rsid w:val="0047616C"/>
    <w:rsid w:val="00477EE9"/>
    <w:rsid w:val="004801A1"/>
    <w:rsid w:val="004820AD"/>
    <w:rsid w:val="00482ECD"/>
    <w:rsid w:val="00482EE3"/>
    <w:rsid w:val="00483350"/>
    <w:rsid w:val="0048425F"/>
    <w:rsid w:val="004844E3"/>
    <w:rsid w:val="004848C5"/>
    <w:rsid w:val="00485B1E"/>
    <w:rsid w:val="004868C3"/>
    <w:rsid w:val="00486D11"/>
    <w:rsid w:val="004871BD"/>
    <w:rsid w:val="00487535"/>
    <w:rsid w:val="00487FF7"/>
    <w:rsid w:val="004908E3"/>
    <w:rsid w:val="00491510"/>
    <w:rsid w:val="004917EA"/>
    <w:rsid w:val="00491FC6"/>
    <w:rsid w:val="00494AB6"/>
    <w:rsid w:val="0049540F"/>
    <w:rsid w:val="004955F0"/>
    <w:rsid w:val="0049571E"/>
    <w:rsid w:val="00495DF8"/>
    <w:rsid w:val="004972AD"/>
    <w:rsid w:val="004979D2"/>
    <w:rsid w:val="004A230F"/>
    <w:rsid w:val="004A307B"/>
    <w:rsid w:val="004A42CB"/>
    <w:rsid w:val="004A42E1"/>
    <w:rsid w:val="004A49F2"/>
    <w:rsid w:val="004A4FB3"/>
    <w:rsid w:val="004A59D7"/>
    <w:rsid w:val="004A5BF7"/>
    <w:rsid w:val="004A61BA"/>
    <w:rsid w:val="004A6999"/>
    <w:rsid w:val="004A70DE"/>
    <w:rsid w:val="004A73F2"/>
    <w:rsid w:val="004B1596"/>
    <w:rsid w:val="004B339D"/>
    <w:rsid w:val="004B3600"/>
    <w:rsid w:val="004B394A"/>
    <w:rsid w:val="004B4B47"/>
    <w:rsid w:val="004B55C4"/>
    <w:rsid w:val="004B6C44"/>
    <w:rsid w:val="004C0CF6"/>
    <w:rsid w:val="004C12BA"/>
    <w:rsid w:val="004C143C"/>
    <w:rsid w:val="004C4050"/>
    <w:rsid w:val="004C4550"/>
    <w:rsid w:val="004C4A53"/>
    <w:rsid w:val="004C4DE1"/>
    <w:rsid w:val="004C57D1"/>
    <w:rsid w:val="004C634F"/>
    <w:rsid w:val="004C6754"/>
    <w:rsid w:val="004C6A1F"/>
    <w:rsid w:val="004C751E"/>
    <w:rsid w:val="004C7750"/>
    <w:rsid w:val="004C7B9A"/>
    <w:rsid w:val="004D091E"/>
    <w:rsid w:val="004D2E69"/>
    <w:rsid w:val="004D3C89"/>
    <w:rsid w:val="004D5352"/>
    <w:rsid w:val="004D6FD4"/>
    <w:rsid w:val="004D7FA7"/>
    <w:rsid w:val="004E0E2A"/>
    <w:rsid w:val="004E169E"/>
    <w:rsid w:val="004E1A93"/>
    <w:rsid w:val="004E1C4B"/>
    <w:rsid w:val="004E1D9D"/>
    <w:rsid w:val="004E3291"/>
    <w:rsid w:val="004E3BC8"/>
    <w:rsid w:val="004E7895"/>
    <w:rsid w:val="004E7F2F"/>
    <w:rsid w:val="004E7F58"/>
    <w:rsid w:val="004F0523"/>
    <w:rsid w:val="004F0B39"/>
    <w:rsid w:val="004F0FD8"/>
    <w:rsid w:val="004F1874"/>
    <w:rsid w:val="004F1E13"/>
    <w:rsid w:val="004F1FE7"/>
    <w:rsid w:val="004F2D99"/>
    <w:rsid w:val="004F49B4"/>
    <w:rsid w:val="004F5163"/>
    <w:rsid w:val="004F5DF8"/>
    <w:rsid w:val="004F6218"/>
    <w:rsid w:val="004F7400"/>
    <w:rsid w:val="004F7DEE"/>
    <w:rsid w:val="005006AC"/>
    <w:rsid w:val="00500744"/>
    <w:rsid w:val="00500EB5"/>
    <w:rsid w:val="00502597"/>
    <w:rsid w:val="005025B2"/>
    <w:rsid w:val="005035B6"/>
    <w:rsid w:val="00504CFA"/>
    <w:rsid w:val="0050556F"/>
    <w:rsid w:val="00506E71"/>
    <w:rsid w:val="00506F46"/>
    <w:rsid w:val="00507AD0"/>
    <w:rsid w:val="00510543"/>
    <w:rsid w:val="00511898"/>
    <w:rsid w:val="00511D4E"/>
    <w:rsid w:val="005135B7"/>
    <w:rsid w:val="005139B1"/>
    <w:rsid w:val="005148EE"/>
    <w:rsid w:val="00514FE6"/>
    <w:rsid w:val="005152E3"/>
    <w:rsid w:val="005157E1"/>
    <w:rsid w:val="005166CF"/>
    <w:rsid w:val="00517195"/>
    <w:rsid w:val="00520494"/>
    <w:rsid w:val="00520586"/>
    <w:rsid w:val="00520C32"/>
    <w:rsid w:val="0052119D"/>
    <w:rsid w:val="005214AC"/>
    <w:rsid w:val="005216B4"/>
    <w:rsid w:val="00522A4F"/>
    <w:rsid w:val="00527718"/>
    <w:rsid w:val="00527D3B"/>
    <w:rsid w:val="00527D8C"/>
    <w:rsid w:val="0053058C"/>
    <w:rsid w:val="00530E6D"/>
    <w:rsid w:val="0053295B"/>
    <w:rsid w:val="0053317F"/>
    <w:rsid w:val="00533281"/>
    <w:rsid w:val="005333F2"/>
    <w:rsid w:val="00533D9E"/>
    <w:rsid w:val="005365B4"/>
    <w:rsid w:val="005367C5"/>
    <w:rsid w:val="00536821"/>
    <w:rsid w:val="0054002F"/>
    <w:rsid w:val="005425DB"/>
    <w:rsid w:val="00542C5A"/>
    <w:rsid w:val="00543089"/>
    <w:rsid w:val="00544143"/>
    <w:rsid w:val="005442C8"/>
    <w:rsid w:val="005449E7"/>
    <w:rsid w:val="0055001C"/>
    <w:rsid w:val="00550080"/>
    <w:rsid w:val="0055015F"/>
    <w:rsid w:val="0055130A"/>
    <w:rsid w:val="00551B23"/>
    <w:rsid w:val="005538AD"/>
    <w:rsid w:val="0055403A"/>
    <w:rsid w:val="00554C46"/>
    <w:rsid w:val="005554B3"/>
    <w:rsid w:val="00556388"/>
    <w:rsid w:val="00556E84"/>
    <w:rsid w:val="00560389"/>
    <w:rsid w:val="005610A8"/>
    <w:rsid w:val="00562011"/>
    <w:rsid w:val="005621BD"/>
    <w:rsid w:val="0056237F"/>
    <w:rsid w:val="0056312E"/>
    <w:rsid w:val="005633E8"/>
    <w:rsid w:val="00563634"/>
    <w:rsid w:val="00563D0D"/>
    <w:rsid w:val="00563FB7"/>
    <w:rsid w:val="00564424"/>
    <w:rsid w:val="00564D5D"/>
    <w:rsid w:val="00565E36"/>
    <w:rsid w:val="005660BF"/>
    <w:rsid w:val="0056647A"/>
    <w:rsid w:val="00566926"/>
    <w:rsid w:val="00566A01"/>
    <w:rsid w:val="0057064B"/>
    <w:rsid w:val="005708AF"/>
    <w:rsid w:val="00571B1A"/>
    <w:rsid w:val="00571F16"/>
    <w:rsid w:val="0057212C"/>
    <w:rsid w:val="00572369"/>
    <w:rsid w:val="0057237C"/>
    <w:rsid w:val="005726C7"/>
    <w:rsid w:val="00572D96"/>
    <w:rsid w:val="00573341"/>
    <w:rsid w:val="00574235"/>
    <w:rsid w:val="00574359"/>
    <w:rsid w:val="00574B40"/>
    <w:rsid w:val="00574F2E"/>
    <w:rsid w:val="0057608F"/>
    <w:rsid w:val="00580578"/>
    <w:rsid w:val="00580ABD"/>
    <w:rsid w:val="005815CF"/>
    <w:rsid w:val="0058170E"/>
    <w:rsid w:val="005824B8"/>
    <w:rsid w:val="00584290"/>
    <w:rsid w:val="00584A30"/>
    <w:rsid w:val="00584C36"/>
    <w:rsid w:val="005854D2"/>
    <w:rsid w:val="00585750"/>
    <w:rsid w:val="00586293"/>
    <w:rsid w:val="00586959"/>
    <w:rsid w:val="00586AA3"/>
    <w:rsid w:val="005875F9"/>
    <w:rsid w:val="00587999"/>
    <w:rsid w:val="00590298"/>
    <w:rsid w:val="0059059E"/>
    <w:rsid w:val="00590FDF"/>
    <w:rsid w:val="005926FA"/>
    <w:rsid w:val="00592EF7"/>
    <w:rsid w:val="00592F8F"/>
    <w:rsid w:val="0059326A"/>
    <w:rsid w:val="00594556"/>
    <w:rsid w:val="00594B1D"/>
    <w:rsid w:val="005952B6"/>
    <w:rsid w:val="00595E02"/>
    <w:rsid w:val="00596012"/>
    <w:rsid w:val="00597F63"/>
    <w:rsid w:val="005A0501"/>
    <w:rsid w:val="005A1F41"/>
    <w:rsid w:val="005A2094"/>
    <w:rsid w:val="005A2943"/>
    <w:rsid w:val="005A338E"/>
    <w:rsid w:val="005A4314"/>
    <w:rsid w:val="005A4C10"/>
    <w:rsid w:val="005A680A"/>
    <w:rsid w:val="005A69F6"/>
    <w:rsid w:val="005A6A0F"/>
    <w:rsid w:val="005B137C"/>
    <w:rsid w:val="005B1CF3"/>
    <w:rsid w:val="005B2993"/>
    <w:rsid w:val="005B2D18"/>
    <w:rsid w:val="005B427F"/>
    <w:rsid w:val="005B4619"/>
    <w:rsid w:val="005B4B47"/>
    <w:rsid w:val="005B4EBC"/>
    <w:rsid w:val="005B5014"/>
    <w:rsid w:val="005B5483"/>
    <w:rsid w:val="005C0D27"/>
    <w:rsid w:val="005C1ED0"/>
    <w:rsid w:val="005C209F"/>
    <w:rsid w:val="005C274D"/>
    <w:rsid w:val="005C27B4"/>
    <w:rsid w:val="005C2C66"/>
    <w:rsid w:val="005C2D1B"/>
    <w:rsid w:val="005C45F3"/>
    <w:rsid w:val="005C4C81"/>
    <w:rsid w:val="005C526A"/>
    <w:rsid w:val="005C6029"/>
    <w:rsid w:val="005C6791"/>
    <w:rsid w:val="005C7FF3"/>
    <w:rsid w:val="005D1971"/>
    <w:rsid w:val="005D1C99"/>
    <w:rsid w:val="005D2FA1"/>
    <w:rsid w:val="005D4673"/>
    <w:rsid w:val="005D4710"/>
    <w:rsid w:val="005D47AD"/>
    <w:rsid w:val="005D4C5D"/>
    <w:rsid w:val="005D68DC"/>
    <w:rsid w:val="005D6AFF"/>
    <w:rsid w:val="005D6F09"/>
    <w:rsid w:val="005D782F"/>
    <w:rsid w:val="005E04E9"/>
    <w:rsid w:val="005E3636"/>
    <w:rsid w:val="005E3DEA"/>
    <w:rsid w:val="005E4DB5"/>
    <w:rsid w:val="005E6A75"/>
    <w:rsid w:val="005E78AD"/>
    <w:rsid w:val="005F0307"/>
    <w:rsid w:val="005F0A5F"/>
    <w:rsid w:val="005F10F5"/>
    <w:rsid w:val="005F1EE8"/>
    <w:rsid w:val="005F1FFC"/>
    <w:rsid w:val="005F371B"/>
    <w:rsid w:val="005F6201"/>
    <w:rsid w:val="005F6735"/>
    <w:rsid w:val="005F6870"/>
    <w:rsid w:val="005F7659"/>
    <w:rsid w:val="00600108"/>
    <w:rsid w:val="00600129"/>
    <w:rsid w:val="00600835"/>
    <w:rsid w:val="006022F0"/>
    <w:rsid w:val="0060407F"/>
    <w:rsid w:val="00606256"/>
    <w:rsid w:val="00606D1B"/>
    <w:rsid w:val="00607440"/>
    <w:rsid w:val="006104D0"/>
    <w:rsid w:val="00610BA4"/>
    <w:rsid w:val="00611EEE"/>
    <w:rsid w:val="00612388"/>
    <w:rsid w:val="006135A5"/>
    <w:rsid w:val="00613A76"/>
    <w:rsid w:val="00620333"/>
    <w:rsid w:val="00620FA4"/>
    <w:rsid w:val="0062340F"/>
    <w:rsid w:val="006237EC"/>
    <w:rsid w:val="00624FDB"/>
    <w:rsid w:val="00625144"/>
    <w:rsid w:val="00625F68"/>
    <w:rsid w:val="00626E25"/>
    <w:rsid w:val="00627566"/>
    <w:rsid w:val="006302AA"/>
    <w:rsid w:val="00630AE0"/>
    <w:rsid w:val="00630DE4"/>
    <w:rsid w:val="00631357"/>
    <w:rsid w:val="0063336F"/>
    <w:rsid w:val="0063345C"/>
    <w:rsid w:val="00634099"/>
    <w:rsid w:val="006343D0"/>
    <w:rsid w:val="006355DD"/>
    <w:rsid w:val="00635995"/>
    <w:rsid w:val="006362DE"/>
    <w:rsid w:val="0063661D"/>
    <w:rsid w:val="00640041"/>
    <w:rsid w:val="00642C8C"/>
    <w:rsid w:val="00645CA4"/>
    <w:rsid w:val="00645DC2"/>
    <w:rsid w:val="00645FEC"/>
    <w:rsid w:val="00646FB8"/>
    <w:rsid w:val="00647622"/>
    <w:rsid w:val="00651FFD"/>
    <w:rsid w:val="00655426"/>
    <w:rsid w:val="00655AB8"/>
    <w:rsid w:val="0065618C"/>
    <w:rsid w:val="00656463"/>
    <w:rsid w:val="006569C0"/>
    <w:rsid w:val="00657465"/>
    <w:rsid w:val="00657B5F"/>
    <w:rsid w:val="00660E84"/>
    <w:rsid w:val="00661E95"/>
    <w:rsid w:val="00662122"/>
    <w:rsid w:val="00662657"/>
    <w:rsid w:val="0066275D"/>
    <w:rsid w:val="006631BE"/>
    <w:rsid w:val="00664138"/>
    <w:rsid w:val="00664752"/>
    <w:rsid w:val="006647DE"/>
    <w:rsid w:val="006647F2"/>
    <w:rsid w:val="00665B8A"/>
    <w:rsid w:val="0066635A"/>
    <w:rsid w:val="00666A0B"/>
    <w:rsid w:val="006711E5"/>
    <w:rsid w:val="00672469"/>
    <w:rsid w:val="006733D1"/>
    <w:rsid w:val="006738DC"/>
    <w:rsid w:val="00674626"/>
    <w:rsid w:val="006753FE"/>
    <w:rsid w:val="006757DF"/>
    <w:rsid w:val="00676590"/>
    <w:rsid w:val="0067699C"/>
    <w:rsid w:val="0067719D"/>
    <w:rsid w:val="006774B1"/>
    <w:rsid w:val="00677DB7"/>
    <w:rsid w:val="00680D48"/>
    <w:rsid w:val="006814AE"/>
    <w:rsid w:val="00682718"/>
    <w:rsid w:val="006856E5"/>
    <w:rsid w:val="00685BA9"/>
    <w:rsid w:val="00685EC4"/>
    <w:rsid w:val="00692440"/>
    <w:rsid w:val="00693302"/>
    <w:rsid w:val="0069438B"/>
    <w:rsid w:val="00694D98"/>
    <w:rsid w:val="0069517F"/>
    <w:rsid w:val="006952C9"/>
    <w:rsid w:val="00695F7B"/>
    <w:rsid w:val="006961D6"/>
    <w:rsid w:val="00697129"/>
    <w:rsid w:val="006976EB"/>
    <w:rsid w:val="006A09C7"/>
    <w:rsid w:val="006A1B9E"/>
    <w:rsid w:val="006A206F"/>
    <w:rsid w:val="006A27EE"/>
    <w:rsid w:val="006A4878"/>
    <w:rsid w:val="006A5F05"/>
    <w:rsid w:val="006A634E"/>
    <w:rsid w:val="006A6AEA"/>
    <w:rsid w:val="006B08E7"/>
    <w:rsid w:val="006B0FBF"/>
    <w:rsid w:val="006B0FCC"/>
    <w:rsid w:val="006B13B3"/>
    <w:rsid w:val="006B142D"/>
    <w:rsid w:val="006B154A"/>
    <w:rsid w:val="006B204D"/>
    <w:rsid w:val="006B3AF1"/>
    <w:rsid w:val="006B4450"/>
    <w:rsid w:val="006B54B1"/>
    <w:rsid w:val="006B66B2"/>
    <w:rsid w:val="006B6E85"/>
    <w:rsid w:val="006C15EF"/>
    <w:rsid w:val="006C1A7A"/>
    <w:rsid w:val="006C211C"/>
    <w:rsid w:val="006C242E"/>
    <w:rsid w:val="006C3BA9"/>
    <w:rsid w:val="006C3D0C"/>
    <w:rsid w:val="006C6E6C"/>
    <w:rsid w:val="006C72A9"/>
    <w:rsid w:val="006C788A"/>
    <w:rsid w:val="006D03A2"/>
    <w:rsid w:val="006D046F"/>
    <w:rsid w:val="006D0F29"/>
    <w:rsid w:val="006D1B90"/>
    <w:rsid w:val="006D2684"/>
    <w:rsid w:val="006D3558"/>
    <w:rsid w:val="006D483D"/>
    <w:rsid w:val="006D58A0"/>
    <w:rsid w:val="006D65A1"/>
    <w:rsid w:val="006D6848"/>
    <w:rsid w:val="006D6DD1"/>
    <w:rsid w:val="006D72AD"/>
    <w:rsid w:val="006D740B"/>
    <w:rsid w:val="006D7AF4"/>
    <w:rsid w:val="006E01C5"/>
    <w:rsid w:val="006E0293"/>
    <w:rsid w:val="006E05FA"/>
    <w:rsid w:val="006E0CF4"/>
    <w:rsid w:val="006E2129"/>
    <w:rsid w:val="006E22EF"/>
    <w:rsid w:val="006E3191"/>
    <w:rsid w:val="006E4801"/>
    <w:rsid w:val="006E551B"/>
    <w:rsid w:val="006E5989"/>
    <w:rsid w:val="006E59C7"/>
    <w:rsid w:val="006E6D1A"/>
    <w:rsid w:val="006E751E"/>
    <w:rsid w:val="006F0063"/>
    <w:rsid w:val="006F04AF"/>
    <w:rsid w:val="006F0B11"/>
    <w:rsid w:val="006F2464"/>
    <w:rsid w:val="006F2A29"/>
    <w:rsid w:val="006F3946"/>
    <w:rsid w:val="006F39E4"/>
    <w:rsid w:val="006F4B13"/>
    <w:rsid w:val="006F5297"/>
    <w:rsid w:val="006F6A2E"/>
    <w:rsid w:val="006F6A48"/>
    <w:rsid w:val="006F6AC5"/>
    <w:rsid w:val="006F73C0"/>
    <w:rsid w:val="0070104D"/>
    <w:rsid w:val="00701A0C"/>
    <w:rsid w:val="00702FCC"/>
    <w:rsid w:val="0070459A"/>
    <w:rsid w:val="00705647"/>
    <w:rsid w:val="007062DF"/>
    <w:rsid w:val="00707F9D"/>
    <w:rsid w:val="007106A0"/>
    <w:rsid w:val="00710825"/>
    <w:rsid w:val="0071379C"/>
    <w:rsid w:val="00715715"/>
    <w:rsid w:val="007175F8"/>
    <w:rsid w:val="007179CF"/>
    <w:rsid w:val="007207F3"/>
    <w:rsid w:val="007222C9"/>
    <w:rsid w:val="007228E8"/>
    <w:rsid w:val="007239BF"/>
    <w:rsid w:val="00723C72"/>
    <w:rsid w:val="00723F13"/>
    <w:rsid w:val="007242C5"/>
    <w:rsid w:val="0072433C"/>
    <w:rsid w:val="00725104"/>
    <w:rsid w:val="007255A8"/>
    <w:rsid w:val="00725744"/>
    <w:rsid w:val="0072605C"/>
    <w:rsid w:val="007268DD"/>
    <w:rsid w:val="00726C97"/>
    <w:rsid w:val="00726D6A"/>
    <w:rsid w:val="00727649"/>
    <w:rsid w:val="0073193E"/>
    <w:rsid w:val="00734FB3"/>
    <w:rsid w:val="0073551E"/>
    <w:rsid w:val="00735848"/>
    <w:rsid w:val="00737784"/>
    <w:rsid w:val="00737B9C"/>
    <w:rsid w:val="0074045E"/>
    <w:rsid w:val="007413D2"/>
    <w:rsid w:val="007414BA"/>
    <w:rsid w:val="007421E6"/>
    <w:rsid w:val="007422CC"/>
    <w:rsid w:val="00742753"/>
    <w:rsid w:val="007432D4"/>
    <w:rsid w:val="0074442C"/>
    <w:rsid w:val="00744543"/>
    <w:rsid w:val="00746BDD"/>
    <w:rsid w:val="00746FFC"/>
    <w:rsid w:val="0075030C"/>
    <w:rsid w:val="00750E32"/>
    <w:rsid w:val="0075188B"/>
    <w:rsid w:val="00751998"/>
    <w:rsid w:val="0075213B"/>
    <w:rsid w:val="007532E7"/>
    <w:rsid w:val="007540BA"/>
    <w:rsid w:val="00754243"/>
    <w:rsid w:val="00754990"/>
    <w:rsid w:val="00755DF9"/>
    <w:rsid w:val="007563F3"/>
    <w:rsid w:val="0076106F"/>
    <w:rsid w:val="00761FAC"/>
    <w:rsid w:val="0076274E"/>
    <w:rsid w:val="007627A1"/>
    <w:rsid w:val="00764261"/>
    <w:rsid w:val="007647CB"/>
    <w:rsid w:val="0076482E"/>
    <w:rsid w:val="00764C33"/>
    <w:rsid w:val="00764FF4"/>
    <w:rsid w:val="00765FE8"/>
    <w:rsid w:val="00766F32"/>
    <w:rsid w:val="00767439"/>
    <w:rsid w:val="00767EC5"/>
    <w:rsid w:val="00770012"/>
    <w:rsid w:val="00770BD0"/>
    <w:rsid w:val="007716D5"/>
    <w:rsid w:val="0077170D"/>
    <w:rsid w:val="00772D04"/>
    <w:rsid w:val="00773626"/>
    <w:rsid w:val="007760C3"/>
    <w:rsid w:val="00776772"/>
    <w:rsid w:val="00776CC4"/>
    <w:rsid w:val="00780950"/>
    <w:rsid w:val="00782835"/>
    <w:rsid w:val="00783201"/>
    <w:rsid w:val="007835A3"/>
    <w:rsid w:val="00783BED"/>
    <w:rsid w:val="00784558"/>
    <w:rsid w:val="00785099"/>
    <w:rsid w:val="00785934"/>
    <w:rsid w:val="00786210"/>
    <w:rsid w:val="007869ED"/>
    <w:rsid w:val="00787A9F"/>
    <w:rsid w:val="007921E5"/>
    <w:rsid w:val="007926CE"/>
    <w:rsid w:val="00792A88"/>
    <w:rsid w:val="00793646"/>
    <w:rsid w:val="0079364C"/>
    <w:rsid w:val="0079369A"/>
    <w:rsid w:val="00793C75"/>
    <w:rsid w:val="0079471B"/>
    <w:rsid w:val="007951AD"/>
    <w:rsid w:val="007958E2"/>
    <w:rsid w:val="00796D1E"/>
    <w:rsid w:val="00797350"/>
    <w:rsid w:val="00797626"/>
    <w:rsid w:val="007A01E4"/>
    <w:rsid w:val="007A267C"/>
    <w:rsid w:val="007A2934"/>
    <w:rsid w:val="007A4151"/>
    <w:rsid w:val="007A5223"/>
    <w:rsid w:val="007A56D6"/>
    <w:rsid w:val="007A5C47"/>
    <w:rsid w:val="007A66C6"/>
    <w:rsid w:val="007A6E68"/>
    <w:rsid w:val="007A6ED8"/>
    <w:rsid w:val="007B0FA6"/>
    <w:rsid w:val="007B11A7"/>
    <w:rsid w:val="007B126D"/>
    <w:rsid w:val="007B19EA"/>
    <w:rsid w:val="007B23B8"/>
    <w:rsid w:val="007B286B"/>
    <w:rsid w:val="007B3147"/>
    <w:rsid w:val="007B33E1"/>
    <w:rsid w:val="007B344B"/>
    <w:rsid w:val="007B4198"/>
    <w:rsid w:val="007B41D1"/>
    <w:rsid w:val="007B46B1"/>
    <w:rsid w:val="007B515D"/>
    <w:rsid w:val="007B5314"/>
    <w:rsid w:val="007B6485"/>
    <w:rsid w:val="007B6A70"/>
    <w:rsid w:val="007B7C25"/>
    <w:rsid w:val="007C0350"/>
    <w:rsid w:val="007C0614"/>
    <w:rsid w:val="007C08FB"/>
    <w:rsid w:val="007C0AB5"/>
    <w:rsid w:val="007C2298"/>
    <w:rsid w:val="007C3086"/>
    <w:rsid w:val="007C34F1"/>
    <w:rsid w:val="007C3563"/>
    <w:rsid w:val="007C3998"/>
    <w:rsid w:val="007C4B5A"/>
    <w:rsid w:val="007C4BE2"/>
    <w:rsid w:val="007C5CAE"/>
    <w:rsid w:val="007C7834"/>
    <w:rsid w:val="007D017C"/>
    <w:rsid w:val="007D0FFD"/>
    <w:rsid w:val="007D100F"/>
    <w:rsid w:val="007D4BA7"/>
    <w:rsid w:val="007D6614"/>
    <w:rsid w:val="007D6E7F"/>
    <w:rsid w:val="007D7530"/>
    <w:rsid w:val="007E1431"/>
    <w:rsid w:val="007E1BCA"/>
    <w:rsid w:val="007E26F4"/>
    <w:rsid w:val="007E2949"/>
    <w:rsid w:val="007E3708"/>
    <w:rsid w:val="007E596F"/>
    <w:rsid w:val="007E646D"/>
    <w:rsid w:val="007E64C0"/>
    <w:rsid w:val="007E6657"/>
    <w:rsid w:val="007E6F51"/>
    <w:rsid w:val="007E72A6"/>
    <w:rsid w:val="007F0811"/>
    <w:rsid w:val="007F0BEB"/>
    <w:rsid w:val="007F0F05"/>
    <w:rsid w:val="007F10FD"/>
    <w:rsid w:val="007F1696"/>
    <w:rsid w:val="007F1E1B"/>
    <w:rsid w:val="007F1E57"/>
    <w:rsid w:val="007F2853"/>
    <w:rsid w:val="007F2C97"/>
    <w:rsid w:val="007F30D4"/>
    <w:rsid w:val="007F38AE"/>
    <w:rsid w:val="007F6244"/>
    <w:rsid w:val="007F766F"/>
    <w:rsid w:val="007F7C82"/>
    <w:rsid w:val="00802507"/>
    <w:rsid w:val="00803B9D"/>
    <w:rsid w:val="00803CE1"/>
    <w:rsid w:val="0080549E"/>
    <w:rsid w:val="00805DB3"/>
    <w:rsid w:val="008065FD"/>
    <w:rsid w:val="0080713B"/>
    <w:rsid w:val="0080723B"/>
    <w:rsid w:val="008079CB"/>
    <w:rsid w:val="00810630"/>
    <w:rsid w:val="00810C5E"/>
    <w:rsid w:val="00810C7A"/>
    <w:rsid w:val="00811F46"/>
    <w:rsid w:val="00812128"/>
    <w:rsid w:val="00813F55"/>
    <w:rsid w:val="00815226"/>
    <w:rsid w:val="00815E69"/>
    <w:rsid w:val="0082099B"/>
    <w:rsid w:val="00822ADA"/>
    <w:rsid w:val="00822C0A"/>
    <w:rsid w:val="00823082"/>
    <w:rsid w:val="0082534E"/>
    <w:rsid w:val="008263CE"/>
    <w:rsid w:val="0082703B"/>
    <w:rsid w:val="00830035"/>
    <w:rsid w:val="0083101E"/>
    <w:rsid w:val="00831B2B"/>
    <w:rsid w:val="0083255E"/>
    <w:rsid w:val="00832D31"/>
    <w:rsid w:val="00833582"/>
    <w:rsid w:val="0083375A"/>
    <w:rsid w:val="00833AFF"/>
    <w:rsid w:val="00833C9C"/>
    <w:rsid w:val="00834C72"/>
    <w:rsid w:val="00835FF6"/>
    <w:rsid w:val="00836FEF"/>
    <w:rsid w:val="0083770D"/>
    <w:rsid w:val="0084048F"/>
    <w:rsid w:val="0084177E"/>
    <w:rsid w:val="00841C46"/>
    <w:rsid w:val="00843782"/>
    <w:rsid w:val="008439D0"/>
    <w:rsid w:val="00847200"/>
    <w:rsid w:val="008502A3"/>
    <w:rsid w:val="00850603"/>
    <w:rsid w:val="00851337"/>
    <w:rsid w:val="008524B4"/>
    <w:rsid w:val="00852862"/>
    <w:rsid w:val="00853ADF"/>
    <w:rsid w:val="0085420E"/>
    <w:rsid w:val="0085426C"/>
    <w:rsid w:val="0085471A"/>
    <w:rsid w:val="00854943"/>
    <w:rsid w:val="008549F6"/>
    <w:rsid w:val="00854B93"/>
    <w:rsid w:val="008551B6"/>
    <w:rsid w:val="008552C6"/>
    <w:rsid w:val="008554A0"/>
    <w:rsid w:val="00855733"/>
    <w:rsid w:val="00855BB2"/>
    <w:rsid w:val="008605C5"/>
    <w:rsid w:val="00860A02"/>
    <w:rsid w:val="00861B0F"/>
    <w:rsid w:val="00861BC5"/>
    <w:rsid w:val="00861CE6"/>
    <w:rsid w:val="0086278E"/>
    <w:rsid w:val="008653BE"/>
    <w:rsid w:val="00866AB5"/>
    <w:rsid w:val="0086733D"/>
    <w:rsid w:val="00867FD3"/>
    <w:rsid w:val="0087046C"/>
    <w:rsid w:val="00870845"/>
    <w:rsid w:val="008711C6"/>
    <w:rsid w:val="00871A8D"/>
    <w:rsid w:val="0087210C"/>
    <w:rsid w:val="0087324F"/>
    <w:rsid w:val="008736F0"/>
    <w:rsid w:val="00874954"/>
    <w:rsid w:val="008752FC"/>
    <w:rsid w:val="00875BEB"/>
    <w:rsid w:val="00877785"/>
    <w:rsid w:val="0087790A"/>
    <w:rsid w:val="00880EE9"/>
    <w:rsid w:val="008843A5"/>
    <w:rsid w:val="0088502A"/>
    <w:rsid w:val="008866AD"/>
    <w:rsid w:val="00886CCF"/>
    <w:rsid w:val="00886E5B"/>
    <w:rsid w:val="00887977"/>
    <w:rsid w:val="00887A0E"/>
    <w:rsid w:val="0089036F"/>
    <w:rsid w:val="00892D2D"/>
    <w:rsid w:val="0089317B"/>
    <w:rsid w:val="00893196"/>
    <w:rsid w:val="008931D0"/>
    <w:rsid w:val="00894665"/>
    <w:rsid w:val="00895B9D"/>
    <w:rsid w:val="008977D6"/>
    <w:rsid w:val="00897820"/>
    <w:rsid w:val="008A12A2"/>
    <w:rsid w:val="008A1315"/>
    <w:rsid w:val="008A1A1A"/>
    <w:rsid w:val="008A1B8D"/>
    <w:rsid w:val="008A1F52"/>
    <w:rsid w:val="008A31D8"/>
    <w:rsid w:val="008A492B"/>
    <w:rsid w:val="008A4B95"/>
    <w:rsid w:val="008A4E18"/>
    <w:rsid w:val="008A574C"/>
    <w:rsid w:val="008A587D"/>
    <w:rsid w:val="008A65FE"/>
    <w:rsid w:val="008A66DC"/>
    <w:rsid w:val="008A7E9A"/>
    <w:rsid w:val="008B1520"/>
    <w:rsid w:val="008B196C"/>
    <w:rsid w:val="008B263D"/>
    <w:rsid w:val="008B3507"/>
    <w:rsid w:val="008B4543"/>
    <w:rsid w:val="008B47C9"/>
    <w:rsid w:val="008B4D43"/>
    <w:rsid w:val="008B610E"/>
    <w:rsid w:val="008B7F86"/>
    <w:rsid w:val="008C0B5B"/>
    <w:rsid w:val="008C1047"/>
    <w:rsid w:val="008C13A7"/>
    <w:rsid w:val="008C15D7"/>
    <w:rsid w:val="008C169E"/>
    <w:rsid w:val="008C24BD"/>
    <w:rsid w:val="008C2675"/>
    <w:rsid w:val="008C3D70"/>
    <w:rsid w:val="008C4BF0"/>
    <w:rsid w:val="008C5E2E"/>
    <w:rsid w:val="008C6804"/>
    <w:rsid w:val="008C6C85"/>
    <w:rsid w:val="008C6D3B"/>
    <w:rsid w:val="008C778F"/>
    <w:rsid w:val="008C7A69"/>
    <w:rsid w:val="008D1DC3"/>
    <w:rsid w:val="008D1F50"/>
    <w:rsid w:val="008D2864"/>
    <w:rsid w:val="008D38FF"/>
    <w:rsid w:val="008D4968"/>
    <w:rsid w:val="008D54D8"/>
    <w:rsid w:val="008D6D01"/>
    <w:rsid w:val="008D72DD"/>
    <w:rsid w:val="008E0739"/>
    <w:rsid w:val="008E2DAB"/>
    <w:rsid w:val="008E2DB0"/>
    <w:rsid w:val="008E345C"/>
    <w:rsid w:val="008E347B"/>
    <w:rsid w:val="008E397E"/>
    <w:rsid w:val="008E3D2E"/>
    <w:rsid w:val="008E5185"/>
    <w:rsid w:val="008E75E2"/>
    <w:rsid w:val="008E761A"/>
    <w:rsid w:val="008F41D6"/>
    <w:rsid w:val="008F4FD2"/>
    <w:rsid w:val="008F5293"/>
    <w:rsid w:val="008F5F97"/>
    <w:rsid w:val="008F68C4"/>
    <w:rsid w:val="008F6C4B"/>
    <w:rsid w:val="008F7C3A"/>
    <w:rsid w:val="00900656"/>
    <w:rsid w:val="00901ADE"/>
    <w:rsid w:val="00902E7B"/>
    <w:rsid w:val="00902F4C"/>
    <w:rsid w:val="009035FC"/>
    <w:rsid w:val="00904223"/>
    <w:rsid w:val="0090477D"/>
    <w:rsid w:val="00906021"/>
    <w:rsid w:val="00906E77"/>
    <w:rsid w:val="00910009"/>
    <w:rsid w:val="0091169A"/>
    <w:rsid w:val="009123B7"/>
    <w:rsid w:val="009138DD"/>
    <w:rsid w:val="00913A22"/>
    <w:rsid w:val="009141F6"/>
    <w:rsid w:val="00914635"/>
    <w:rsid w:val="00914F40"/>
    <w:rsid w:val="009150EE"/>
    <w:rsid w:val="0092028C"/>
    <w:rsid w:val="0092109A"/>
    <w:rsid w:val="00921403"/>
    <w:rsid w:val="009222D0"/>
    <w:rsid w:val="0092681B"/>
    <w:rsid w:val="009273F2"/>
    <w:rsid w:val="00927B23"/>
    <w:rsid w:val="00930BA8"/>
    <w:rsid w:val="00930CDC"/>
    <w:rsid w:val="009317B5"/>
    <w:rsid w:val="0093307B"/>
    <w:rsid w:val="0093311C"/>
    <w:rsid w:val="009341B7"/>
    <w:rsid w:val="009343D8"/>
    <w:rsid w:val="0093555F"/>
    <w:rsid w:val="00935A48"/>
    <w:rsid w:val="00936CCF"/>
    <w:rsid w:val="00936EBF"/>
    <w:rsid w:val="00937482"/>
    <w:rsid w:val="00940899"/>
    <w:rsid w:val="009408DF"/>
    <w:rsid w:val="009412DB"/>
    <w:rsid w:val="009419E8"/>
    <w:rsid w:val="00941A45"/>
    <w:rsid w:val="00942CA4"/>
    <w:rsid w:val="009431D9"/>
    <w:rsid w:val="00943E20"/>
    <w:rsid w:val="009449D7"/>
    <w:rsid w:val="00947BB7"/>
    <w:rsid w:val="00950869"/>
    <w:rsid w:val="00951122"/>
    <w:rsid w:val="00952331"/>
    <w:rsid w:val="00953C6A"/>
    <w:rsid w:val="0095543F"/>
    <w:rsid w:val="00955625"/>
    <w:rsid w:val="00955A7E"/>
    <w:rsid w:val="009560C4"/>
    <w:rsid w:val="0095728A"/>
    <w:rsid w:val="00957961"/>
    <w:rsid w:val="00957D2C"/>
    <w:rsid w:val="009601E8"/>
    <w:rsid w:val="009606C4"/>
    <w:rsid w:val="00960E08"/>
    <w:rsid w:val="0096119C"/>
    <w:rsid w:val="009614CC"/>
    <w:rsid w:val="009626CE"/>
    <w:rsid w:val="00962B18"/>
    <w:rsid w:val="00963918"/>
    <w:rsid w:val="0096627D"/>
    <w:rsid w:val="00967F6B"/>
    <w:rsid w:val="00970F70"/>
    <w:rsid w:val="00972B46"/>
    <w:rsid w:val="009730BD"/>
    <w:rsid w:val="0097513C"/>
    <w:rsid w:val="009752F5"/>
    <w:rsid w:val="00976EBB"/>
    <w:rsid w:val="0098025B"/>
    <w:rsid w:val="00982353"/>
    <w:rsid w:val="00982A4F"/>
    <w:rsid w:val="0098332D"/>
    <w:rsid w:val="00984390"/>
    <w:rsid w:val="00984F11"/>
    <w:rsid w:val="00984FED"/>
    <w:rsid w:val="009868C3"/>
    <w:rsid w:val="0098715A"/>
    <w:rsid w:val="00987A39"/>
    <w:rsid w:val="00990461"/>
    <w:rsid w:val="00990E01"/>
    <w:rsid w:val="009947AE"/>
    <w:rsid w:val="009947B0"/>
    <w:rsid w:val="009949AB"/>
    <w:rsid w:val="00995DA7"/>
    <w:rsid w:val="0099630B"/>
    <w:rsid w:val="009963B3"/>
    <w:rsid w:val="0099730A"/>
    <w:rsid w:val="009A1261"/>
    <w:rsid w:val="009A195C"/>
    <w:rsid w:val="009A2823"/>
    <w:rsid w:val="009A2CAA"/>
    <w:rsid w:val="009A4A64"/>
    <w:rsid w:val="009A55B7"/>
    <w:rsid w:val="009A643C"/>
    <w:rsid w:val="009A6574"/>
    <w:rsid w:val="009A678E"/>
    <w:rsid w:val="009A6CB0"/>
    <w:rsid w:val="009A709D"/>
    <w:rsid w:val="009B025F"/>
    <w:rsid w:val="009B1867"/>
    <w:rsid w:val="009B1BCE"/>
    <w:rsid w:val="009B3484"/>
    <w:rsid w:val="009B3BD6"/>
    <w:rsid w:val="009B43BB"/>
    <w:rsid w:val="009B60A2"/>
    <w:rsid w:val="009B6FCF"/>
    <w:rsid w:val="009B732F"/>
    <w:rsid w:val="009B78D9"/>
    <w:rsid w:val="009B7AE3"/>
    <w:rsid w:val="009B7B03"/>
    <w:rsid w:val="009C32AC"/>
    <w:rsid w:val="009C33CE"/>
    <w:rsid w:val="009C341B"/>
    <w:rsid w:val="009C36A5"/>
    <w:rsid w:val="009C3C9D"/>
    <w:rsid w:val="009C48D3"/>
    <w:rsid w:val="009C4A3C"/>
    <w:rsid w:val="009C6131"/>
    <w:rsid w:val="009C696F"/>
    <w:rsid w:val="009C6A0D"/>
    <w:rsid w:val="009D07AA"/>
    <w:rsid w:val="009D0F72"/>
    <w:rsid w:val="009D2175"/>
    <w:rsid w:val="009D27B8"/>
    <w:rsid w:val="009D46D3"/>
    <w:rsid w:val="009D6312"/>
    <w:rsid w:val="009D7E1E"/>
    <w:rsid w:val="009E15B6"/>
    <w:rsid w:val="009E2093"/>
    <w:rsid w:val="009E2507"/>
    <w:rsid w:val="009E361C"/>
    <w:rsid w:val="009E3CD5"/>
    <w:rsid w:val="009E4200"/>
    <w:rsid w:val="009E4521"/>
    <w:rsid w:val="009E50C5"/>
    <w:rsid w:val="009E5195"/>
    <w:rsid w:val="009E5C8C"/>
    <w:rsid w:val="009E6067"/>
    <w:rsid w:val="009E6250"/>
    <w:rsid w:val="009E70E1"/>
    <w:rsid w:val="009F13AA"/>
    <w:rsid w:val="009F2A93"/>
    <w:rsid w:val="009F310D"/>
    <w:rsid w:val="009F4505"/>
    <w:rsid w:val="009F56F9"/>
    <w:rsid w:val="009F6926"/>
    <w:rsid w:val="009F7307"/>
    <w:rsid w:val="009F736F"/>
    <w:rsid w:val="00A00C5B"/>
    <w:rsid w:val="00A013B8"/>
    <w:rsid w:val="00A01A86"/>
    <w:rsid w:val="00A02E42"/>
    <w:rsid w:val="00A041FA"/>
    <w:rsid w:val="00A05681"/>
    <w:rsid w:val="00A05EE1"/>
    <w:rsid w:val="00A079DC"/>
    <w:rsid w:val="00A10479"/>
    <w:rsid w:val="00A10CFE"/>
    <w:rsid w:val="00A110F7"/>
    <w:rsid w:val="00A12385"/>
    <w:rsid w:val="00A12E1F"/>
    <w:rsid w:val="00A12F9E"/>
    <w:rsid w:val="00A13761"/>
    <w:rsid w:val="00A14122"/>
    <w:rsid w:val="00A16CA9"/>
    <w:rsid w:val="00A20FAC"/>
    <w:rsid w:val="00A21B9E"/>
    <w:rsid w:val="00A21D72"/>
    <w:rsid w:val="00A22F69"/>
    <w:rsid w:val="00A23F57"/>
    <w:rsid w:val="00A24054"/>
    <w:rsid w:val="00A24171"/>
    <w:rsid w:val="00A244AE"/>
    <w:rsid w:val="00A24969"/>
    <w:rsid w:val="00A24CB5"/>
    <w:rsid w:val="00A25036"/>
    <w:rsid w:val="00A25205"/>
    <w:rsid w:val="00A25D2E"/>
    <w:rsid w:val="00A2646B"/>
    <w:rsid w:val="00A26784"/>
    <w:rsid w:val="00A26D78"/>
    <w:rsid w:val="00A273DC"/>
    <w:rsid w:val="00A27EDA"/>
    <w:rsid w:val="00A3039C"/>
    <w:rsid w:val="00A3107F"/>
    <w:rsid w:val="00A31B02"/>
    <w:rsid w:val="00A32071"/>
    <w:rsid w:val="00A322E2"/>
    <w:rsid w:val="00A40DA5"/>
    <w:rsid w:val="00A41925"/>
    <w:rsid w:val="00A41FAE"/>
    <w:rsid w:val="00A429B0"/>
    <w:rsid w:val="00A42AA7"/>
    <w:rsid w:val="00A42EF5"/>
    <w:rsid w:val="00A4508D"/>
    <w:rsid w:val="00A45F58"/>
    <w:rsid w:val="00A461A0"/>
    <w:rsid w:val="00A463F5"/>
    <w:rsid w:val="00A46CB4"/>
    <w:rsid w:val="00A472B8"/>
    <w:rsid w:val="00A50863"/>
    <w:rsid w:val="00A508F3"/>
    <w:rsid w:val="00A515A9"/>
    <w:rsid w:val="00A51C03"/>
    <w:rsid w:val="00A51FB5"/>
    <w:rsid w:val="00A5322A"/>
    <w:rsid w:val="00A535BC"/>
    <w:rsid w:val="00A53D7A"/>
    <w:rsid w:val="00A548A4"/>
    <w:rsid w:val="00A54EE3"/>
    <w:rsid w:val="00A557C5"/>
    <w:rsid w:val="00A55BFC"/>
    <w:rsid w:val="00A572E7"/>
    <w:rsid w:val="00A5732A"/>
    <w:rsid w:val="00A604DE"/>
    <w:rsid w:val="00A62213"/>
    <w:rsid w:val="00A63F5A"/>
    <w:rsid w:val="00A64C1F"/>
    <w:rsid w:val="00A66AB3"/>
    <w:rsid w:val="00A67A38"/>
    <w:rsid w:val="00A71614"/>
    <w:rsid w:val="00A719B5"/>
    <w:rsid w:val="00A71E71"/>
    <w:rsid w:val="00A72920"/>
    <w:rsid w:val="00A739A4"/>
    <w:rsid w:val="00A73BE2"/>
    <w:rsid w:val="00A747E2"/>
    <w:rsid w:val="00A74822"/>
    <w:rsid w:val="00A76B26"/>
    <w:rsid w:val="00A76FA7"/>
    <w:rsid w:val="00A77153"/>
    <w:rsid w:val="00A81A9E"/>
    <w:rsid w:val="00A8246A"/>
    <w:rsid w:val="00A837FA"/>
    <w:rsid w:val="00A83840"/>
    <w:rsid w:val="00A83EB0"/>
    <w:rsid w:val="00A85520"/>
    <w:rsid w:val="00A85F26"/>
    <w:rsid w:val="00A87B41"/>
    <w:rsid w:val="00A87E69"/>
    <w:rsid w:val="00A935A2"/>
    <w:rsid w:val="00A93620"/>
    <w:rsid w:val="00A93B8D"/>
    <w:rsid w:val="00A96D55"/>
    <w:rsid w:val="00AA116D"/>
    <w:rsid w:val="00AA17FB"/>
    <w:rsid w:val="00AA1810"/>
    <w:rsid w:val="00AA1ECA"/>
    <w:rsid w:val="00AA26E0"/>
    <w:rsid w:val="00AA4108"/>
    <w:rsid w:val="00AA4519"/>
    <w:rsid w:val="00AA4AF3"/>
    <w:rsid w:val="00AA4BE1"/>
    <w:rsid w:val="00AA649E"/>
    <w:rsid w:val="00AA7196"/>
    <w:rsid w:val="00AA795E"/>
    <w:rsid w:val="00AB03DA"/>
    <w:rsid w:val="00AB0ABB"/>
    <w:rsid w:val="00AB1146"/>
    <w:rsid w:val="00AB11EE"/>
    <w:rsid w:val="00AB140B"/>
    <w:rsid w:val="00AB26A9"/>
    <w:rsid w:val="00AB34A3"/>
    <w:rsid w:val="00AB3C9F"/>
    <w:rsid w:val="00AB44A0"/>
    <w:rsid w:val="00AB457F"/>
    <w:rsid w:val="00AB6BF4"/>
    <w:rsid w:val="00AC0591"/>
    <w:rsid w:val="00AC15F4"/>
    <w:rsid w:val="00AC23BD"/>
    <w:rsid w:val="00AC4A4A"/>
    <w:rsid w:val="00AC6388"/>
    <w:rsid w:val="00AC6BA8"/>
    <w:rsid w:val="00AC738A"/>
    <w:rsid w:val="00AD18EF"/>
    <w:rsid w:val="00AD1AD5"/>
    <w:rsid w:val="00AD24D5"/>
    <w:rsid w:val="00AD293A"/>
    <w:rsid w:val="00AD470F"/>
    <w:rsid w:val="00AD4D72"/>
    <w:rsid w:val="00AD5358"/>
    <w:rsid w:val="00AD5768"/>
    <w:rsid w:val="00AD5BA2"/>
    <w:rsid w:val="00AD6270"/>
    <w:rsid w:val="00AD6345"/>
    <w:rsid w:val="00AD6DA9"/>
    <w:rsid w:val="00AD7819"/>
    <w:rsid w:val="00AD7FD7"/>
    <w:rsid w:val="00AE1006"/>
    <w:rsid w:val="00AE1BB3"/>
    <w:rsid w:val="00AE214A"/>
    <w:rsid w:val="00AE2F1B"/>
    <w:rsid w:val="00AE464D"/>
    <w:rsid w:val="00AE49E0"/>
    <w:rsid w:val="00AE5037"/>
    <w:rsid w:val="00AE6378"/>
    <w:rsid w:val="00AF0625"/>
    <w:rsid w:val="00AF08ED"/>
    <w:rsid w:val="00AF0E45"/>
    <w:rsid w:val="00AF158D"/>
    <w:rsid w:val="00AF455D"/>
    <w:rsid w:val="00AF46BD"/>
    <w:rsid w:val="00AF5D37"/>
    <w:rsid w:val="00AF7976"/>
    <w:rsid w:val="00AF7DE3"/>
    <w:rsid w:val="00B00534"/>
    <w:rsid w:val="00B0094F"/>
    <w:rsid w:val="00B00FEC"/>
    <w:rsid w:val="00B02136"/>
    <w:rsid w:val="00B022ED"/>
    <w:rsid w:val="00B02CA3"/>
    <w:rsid w:val="00B03A16"/>
    <w:rsid w:val="00B05675"/>
    <w:rsid w:val="00B0604C"/>
    <w:rsid w:val="00B06811"/>
    <w:rsid w:val="00B0699F"/>
    <w:rsid w:val="00B06DBB"/>
    <w:rsid w:val="00B0714A"/>
    <w:rsid w:val="00B078EE"/>
    <w:rsid w:val="00B07F16"/>
    <w:rsid w:val="00B107E3"/>
    <w:rsid w:val="00B10FB7"/>
    <w:rsid w:val="00B111A4"/>
    <w:rsid w:val="00B1200F"/>
    <w:rsid w:val="00B123BD"/>
    <w:rsid w:val="00B13722"/>
    <w:rsid w:val="00B13E39"/>
    <w:rsid w:val="00B13FDA"/>
    <w:rsid w:val="00B142EE"/>
    <w:rsid w:val="00B145A4"/>
    <w:rsid w:val="00B15A35"/>
    <w:rsid w:val="00B15D58"/>
    <w:rsid w:val="00B16D86"/>
    <w:rsid w:val="00B16EC1"/>
    <w:rsid w:val="00B17587"/>
    <w:rsid w:val="00B17CDB"/>
    <w:rsid w:val="00B2111C"/>
    <w:rsid w:val="00B21330"/>
    <w:rsid w:val="00B21E87"/>
    <w:rsid w:val="00B227E0"/>
    <w:rsid w:val="00B22E53"/>
    <w:rsid w:val="00B24749"/>
    <w:rsid w:val="00B24D58"/>
    <w:rsid w:val="00B25ADF"/>
    <w:rsid w:val="00B2662C"/>
    <w:rsid w:val="00B26D78"/>
    <w:rsid w:val="00B30E2B"/>
    <w:rsid w:val="00B31CB6"/>
    <w:rsid w:val="00B31CC2"/>
    <w:rsid w:val="00B3277B"/>
    <w:rsid w:val="00B32AFB"/>
    <w:rsid w:val="00B331EC"/>
    <w:rsid w:val="00B33B50"/>
    <w:rsid w:val="00B34BA7"/>
    <w:rsid w:val="00B35188"/>
    <w:rsid w:val="00B36445"/>
    <w:rsid w:val="00B373EC"/>
    <w:rsid w:val="00B4052B"/>
    <w:rsid w:val="00B426F7"/>
    <w:rsid w:val="00B42C91"/>
    <w:rsid w:val="00B43162"/>
    <w:rsid w:val="00B43531"/>
    <w:rsid w:val="00B44189"/>
    <w:rsid w:val="00B44251"/>
    <w:rsid w:val="00B4505A"/>
    <w:rsid w:val="00B4601A"/>
    <w:rsid w:val="00B460D5"/>
    <w:rsid w:val="00B46D09"/>
    <w:rsid w:val="00B46DC3"/>
    <w:rsid w:val="00B4718B"/>
    <w:rsid w:val="00B4722E"/>
    <w:rsid w:val="00B511DA"/>
    <w:rsid w:val="00B51BDF"/>
    <w:rsid w:val="00B53051"/>
    <w:rsid w:val="00B54847"/>
    <w:rsid w:val="00B54CCA"/>
    <w:rsid w:val="00B55D05"/>
    <w:rsid w:val="00B5637F"/>
    <w:rsid w:val="00B573B5"/>
    <w:rsid w:val="00B60291"/>
    <w:rsid w:val="00B611C7"/>
    <w:rsid w:val="00B62AF3"/>
    <w:rsid w:val="00B63816"/>
    <w:rsid w:val="00B638C9"/>
    <w:rsid w:val="00B64D91"/>
    <w:rsid w:val="00B653E1"/>
    <w:rsid w:val="00B66210"/>
    <w:rsid w:val="00B6730A"/>
    <w:rsid w:val="00B70A1E"/>
    <w:rsid w:val="00B71838"/>
    <w:rsid w:val="00B72DF6"/>
    <w:rsid w:val="00B73201"/>
    <w:rsid w:val="00B74B9A"/>
    <w:rsid w:val="00B76A60"/>
    <w:rsid w:val="00B775A1"/>
    <w:rsid w:val="00B77915"/>
    <w:rsid w:val="00B77DFD"/>
    <w:rsid w:val="00B80B07"/>
    <w:rsid w:val="00B83849"/>
    <w:rsid w:val="00B842AD"/>
    <w:rsid w:val="00B84582"/>
    <w:rsid w:val="00B845E8"/>
    <w:rsid w:val="00B8497B"/>
    <w:rsid w:val="00B84AFF"/>
    <w:rsid w:val="00B85B06"/>
    <w:rsid w:val="00B85F62"/>
    <w:rsid w:val="00B86354"/>
    <w:rsid w:val="00B8731C"/>
    <w:rsid w:val="00B90B2B"/>
    <w:rsid w:val="00B90E28"/>
    <w:rsid w:val="00B915D5"/>
    <w:rsid w:val="00B91B08"/>
    <w:rsid w:val="00B944DB"/>
    <w:rsid w:val="00B9584B"/>
    <w:rsid w:val="00B965E2"/>
    <w:rsid w:val="00B96601"/>
    <w:rsid w:val="00B96B27"/>
    <w:rsid w:val="00BA3914"/>
    <w:rsid w:val="00BA4BAB"/>
    <w:rsid w:val="00BA4D26"/>
    <w:rsid w:val="00BA5854"/>
    <w:rsid w:val="00BA6044"/>
    <w:rsid w:val="00BA6EA4"/>
    <w:rsid w:val="00BB0928"/>
    <w:rsid w:val="00BB1D95"/>
    <w:rsid w:val="00BB1EF8"/>
    <w:rsid w:val="00BB2E1F"/>
    <w:rsid w:val="00BB4B63"/>
    <w:rsid w:val="00BB4F75"/>
    <w:rsid w:val="00BB5F05"/>
    <w:rsid w:val="00BB61B6"/>
    <w:rsid w:val="00BB64AC"/>
    <w:rsid w:val="00BB70BE"/>
    <w:rsid w:val="00BB7407"/>
    <w:rsid w:val="00BB7873"/>
    <w:rsid w:val="00BB7A47"/>
    <w:rsid w:val="00BC0350"/>
    <w:rsid w:val="00BC04AE"/>
    <w:rsid w:val="00BC0834"/>
    <w:rsid w:val="00BC09DA"/>
    <w:rsid w:val="00BC1067"/>
    <w:rsid w:val="00BC122F"/>
    <w:rsid w:val="00BC2244"/>
    <w:rsid w:val="00BC309B"/>
    <w:rsid w:val="00BC3153"/>
    <w:rsid w:val="00BC3917"/>
    <w:rsid w:val="00BC4EF1"/>
    <w:rsid w:val="00BC569E"/>
    <w:rsid w:val="00BC68BE"/>
    <w:rsid w:val="00BC7ACD"/>
    <w:rsid w:val="00BD07C1"/>
    <w:rsid w:val="00BD2FBF"/>
    <w:rsid w:val="00BD2FFA"/>
    <w:rsid w:val="00BD3747"/>
    <w:rsid w:val="00BD3DCC"/>
    <w:rsid w:val="00BD4F50"/>
    <w:rsid w:val="00BD640A"/>
    <w:rsid w:val="00BD786E"/>
    <w:rsid w:val="00BE02F0"/>
    <w:rsid w:val="00BE0307"/>
    <w:rsid w:val="00BE085F"/>
    <w:rsid w:val="00BE0EDF"/>
    <w:rsid w:val="00BE15EA"/>
    <w:rsid w:val="00BE1A5A"/>
    <w:rsid w:val="00BE2543"/>
    <w:rsid w:val="00BE3E7A"/>
    <w:rsid w:val="00BE5F5F"/>
    <w:rsid w:val="00BE6293"/>
    <w:rsid w:val="00BE753C"/>
    <w:rsid w:val="00BE7822"/>
    <w:rsid w:val="00BE7CFE"/>
    <w:rsid w:val="00BF05F1"/>
    <w:rsid w:val="00BF09BF"/>
    <w:rsid w:val="00BF1A21"/>
    <w:rsid w:val="00BF1E77"/>
    <w:rsid w:val="00BF2308"/>
    <w:rsid w:val="00BF307A"/>
    <w:rsid w:val="00BF3385"/>
    <w:rsid w:val="00BF3AE0"/>
    <w:rsid w:val="00BF45E9"/>
    <w:rsid w:val="00BF4C2C"/>
    <w:rsid w:val="00BF52BE"/>
    <w:rsid w:val="00BF64F4"/>
    <w:rsid w:val="00BF7036"/>
    <w:rsid w:val="00BF70FB"/>
    <w:rsid w:val="00BF7771"/>
    <w:rsid w:val="00C00FC8"/>
    <w:rsid w:val="00C010C6"/>
    <w:rsid w:val="00C01B18"/>
    <w:rsid w:val="00C04AD8"/>
    <w:rsid w:val="00C05569"/>
    <w:rsid w:val="00C11A5E"/>
    <w:rsid w:val="00C11C02"/>
    <w:rsid w:val="00C12556"/>
    <w:rsid w:val="00C12A83"/>
    <w:rsid w:val="00C14A86"/>
    <w:rsid w:val="00C14BF9"/>
    <w:rsid w:val="00C1530D"/>
    <w:rsid w:val="00C16555"/>
    <w:rsid w:val="00C16797"/>
    <w:rsid w:val="00C20869"/>
    <w:rsid w:val="00C20DB4"/>
    <w:rsid w:val="00C23D1A"/>
    <w:rsid w:val="00C240D3"/>
    <w:rsid w:val="00C24756"/>
    <w:rsid w:val="00C247C4"/>
    <w:rsid w:val="00C24AE3"/>
    <w:rsid w:val="00C25A3E"/>
    <w:rsid w:val="00C27027"/>
    <w:rsid w:val="00C31477"/>
    <w:rsid w:val="00C31E2A"/>
    <w:rsid w:val="00C325AB"/>
    <w:rsid w:val="00C336F8"/>
    <w:rsid w:val="00C33FAE"/>
    <w:rsid w:val="00C36AA4"/>
    <w:rsid w:val="00C3721D"/>
    <w:rsid w:val="00C37C50"/>
    <w:rsid w:val="00C40F55"/>
    <w:rsid w:val="00C417C1"/>
    <w:rsid w:val="00C418B2"/>
    <w:rsid w:val="00C42EC7"/>
    <w:rsid w:val="00C43676"/>
    <w:rsid w:val="00C440EE"/>
    <w:rsid w:val="00C44507"/>
    <w:rsid w:val="00C44995"/>
    <w:rsid w:val="00C44AD6"/>
    <w:rsid w:val="00C451BB"/>
    <w:rsid w:val="00C46808"/>
    <w:rsid w:val="00C4784A"/>
    <w:rsid w:val="00C50C50"/>
    <w:rsid w:val="00C51DB8"/>
    <w:rsid w:val="00C531D9"/>
    <w:rsid w:val="00C53540"/>
    <w:rsid w:val="00C53896"/>
    <w:rsid w:val="00C60105"/>
    <w:rsid w:val="00C6013F"/>
    <w:rsid w:val="00C61403"/>
    <w:rsid w:val="00C6310B"/>
    <w:rsid w:val="00C63945"/>
    <w:rsid w:val="00C64AC4"/>
    <w:rsid w:val="00C65C32"/>
    <w:rsid w:val="00C65C7D"/>
    <w:rsid w:val="00C677B1"/>
    <w:rsid w:val="00C7092B"/>
    <w:rsid w:val="00C71288"/>
    <w:rsid w:val="00C71335"/>
    <w:rsid w:val="00C71739"/>
    <w:rsid w:val="00C71D30"/>
    <w:rsid w:val="00C72961"/>
    <w:rsid w:val="00C7570A"/>
    <w:rsid w:val="00C76D75"/>
    <w:rsid w:val="00C81212"/>
    <w:rsid w:val="00C832A0"/>
    <w:rsid w:val="00C837D2"/>
    <w:rsid w:val="00C853B5"/>
    <w:rsid w:val="00C85B8A"/>
    <w:rsid w:val="00C87477"/>
    <w:rsid w:val="00C910DB"/>
    <w:rsid w:val="00C92173"/>
    <w:rsid w:val="00C92467"/>
    <w:rsid w:val="00C92746"/>
    <w:rsid w:val="00C9351B"/>
    <w:rsid w:val="00C93A56"/>
    <w:rsid w:val="00C9536D"/>
    <w:rsid w:val="00C9714F"/>
    <w:rsid w:val="00CA11E3"/>
    <w:rsid w:val="00CA3644"/>
    <w:rsid w:val="00CA3E66"/>
    <w:rsid w:val="00CA6322"/>
    <w:rsid w:val="00CA6501"/>
    <w:rsid w:val="00CA6621"/>
    <w:rsid w:val="00CA7140"/>
    <w:rsid w:val="00CB009F"/>
    <w:rsid w:val="00CB0AE2"/>
    <w:rsid w:val="00CB0CDA"/>
    <w:rsid w:val="00CB1B01"/>
    <w:rsid w:val="00CB2B79"/>
    <w:rsid w:val="00CB2E3B"/>
    <w:rsid w:val="00CB3193"/>
    <w:rsid w:val="00CB328F"/>
    <w:rsid w:val="00CB47CE"/>
    <w:rsid w:val="00CB509B"/>
    <w:rsid w:val="00CB6CA2"/>
    <w:rsid w:val="00CB7225"/>
    <w:rsid w:val="00CC08FE"/>
    <w:rsid w:val="00CC1F88"/>
    <w:rsid w:val="00CC33A2"/>
    <w:rsid w:val="00CC3C08"/>
    <w:rsid w:val="00CC4EDB"/>
    <w:rsid w:val="00CC5733"/>
    <w:rsid w:val="00CC5F2A"/>
    <w:rsid w:val="00CC6749"/>
    <w:rsid w:val="00CD05A8"/>
    <w:rsid w:val="00CD12F4"/>
    <w:rsid w:val="00CD1986"/>
    <w:rsid w:val="00CD1FB8"/>
    <w:rsid w:val="00CD4DC0"/>
    <w:rsid w:val="00CD54ED"/>
    <w:rsid w:val="00CD5BD8"/>
    <w:rsid w:val="00CD6534"/>
    <w:rsid w:val="00CD75E9"/>
    <w:rsid w:val="00CD7DB7"/>
    <w:rsid w:val="00CE018B"/>
    <w:rsid w:val="00CE15FF"/>
    <w:rsid w:val="00CE2509"/>
    <w:rsid w:val="00CE329F"/>
    <w:rsid w:val="00CE362B"/>
    <w:rsid w:val="00CE4258"/>
    <w:rsid w:val="00CE43D0"/>
    <w:rsid w:val="00CE446E"/>
    <w:rsid w:val="00CE4EC9"/>
    <w:rsid w:val="00CE7B00"/>
    <w:rsid w:val="00CF0578"/>
    <w:rsid w:val="00CF12A8"/>
    <w:rsid w:val="00CF1EBD"/>
    <w:rsid w:val="00CF2A87"/>
    <w:rsid w:val="00CF341D"/>
    <w:rsid w:val="00CF3669"/>
    <w:rsid w:val="00CF44BD"/>
    <w:rsid w:val="00CF4C6F"/>
    <w:rsid w:val="00CF535E"/>
    <w:rsid w:val="00CF5986"/>
    <w:rsid w:val="00CF5E1F"/>
    <w:rsid w:val="00CF612A"/>
    <w:rsid w:val="00CF78D7"/>
    <w:rsid w:val="00CF7F64"/>
    <w:rsid w:val="00D0178A"/>
    <w:rsid w:val="00D02655"/>
    <w:rsid w:val="00D0268F"/>
    <w:rsid w:val="00D036D4"/>
    <w:rsid w:val="00D03F21"/>
    <w:rsid w:val="00D041A9"/>
    <w:rsid w:val="00D0517C"/>
    <w:rsid w:val="00D057C9"/>
    <w:rsid w:val="00D058A7"/>
    <w:rsid w:val="00D060EE"/>
    <w:rsid w:val="00D07AC8"/>
    <w:rsid w:val="00D1154D"/>
    <w:rsid w:val="00D12716"/>
    <w:rsid w:val="00D12E4A"/>
    <w:rsid w:val="00D13CF7"/>
    <w:rsid w:val="00D144C7"/>
    <w:rsid w:val="00D14BFF"/>
    <w:rsid w:val="00D15A36"/>
    <w:rsid w:val="00D16B79"/>
    <w:rsid w:val="00D16C72"/>
    <w:rsid w:val="00D16F87"/>
    <w:rsid w:val="00D2160A"/>
    <w:rsid w:val="00D22EFA"/>
    <w:rsid w:val="00D230D4"/>
    <w:rsid w:val="00D26965"/>
    <w:rsid w:val="00D26F5A"/>
    <w:rsid w:val="00D30A6B"/>
    <w:rsid w:val="00D341C1"/>
    <w:rsid w:val="00D360D6"/>
    <w:rsid w:val="00D406DB"/>
    <w:rsid w:val="00D4140B"/>
    <w:rsid w:val="00D42CA9"/>
    <w:rsid w:val="00D4386C"/>
    <w:rsid w:val="00D43E99"/>
    <w:rsid w:val="00D4416D"/>
    <w:rsid w:val="00D44249"/>
    <w:rsid w:val="00D44D97"/>
    <w:rsid w:val="00D457A3"/>
    <w:rsid w:val="00D45CC0"/>
    <w:rsid w:val="00D46E72"/>
    <w:rsid w:val="00D477E9"/>
    <w:rsid w:val="00D47AB1"/>
    <w:rsid w:val="00D47EE5"/>
    <w:rsid w:val="00D51680"/>
    <w:rsid w:val="00D522F5"/>
    <w:rsid w:val="00D52511"/>
    <w:rsid w:val="00D525B0"/>
    <w:rsid w:val="00D52A27"/>
    <w:rsid w:val="00D52DF0"/>
    <w:rsid w:val="00D52EB5"/>
    <w:rsid w:val="00D53592"/>
    <w:rsid w:val="00D54928"/>
    <w:rsid w:val="00D568A4"/>
    <w:rsid w:val="00D56C4C"/>
    <w:rsid w:val="00D56F75"/>
    <w:rsid w:val="00D5764F"/>
    <w:rsid w:val="00D6057E"/>
    <w:rsid w:val="00D6094E"/>
    <w:rsid w:val="00D60D30"/>
    <w:rsid w:val="00D61696"/>
    <w:rsid w:val="00D62A92"/>
    <w:rsid w:val="00D62EFE"/>
    <w:rsid w:val="00D633E5"/>
    <w:rsid w:val="00D63EA7"/>
    <w:rsid w:val="00D649DA"/>
    <w:rsid w:val="00D64AC0"/>
    <w:rsid w:val="00D6571D"/>
    <w:rsid w:val="00D65D71"/>
    <w:rsid w:val="00D6604A"/>
    <w:rsid w:val="00D66F27"/>
    <w:rsid w:val="00D67F43"/>
    <w:rsid w:val="00D70C9D"/>
    <w:rsid w:val="00D70D5C"/>
    <w:rsid w:val="00D7161E"/>
    <w:rsid w:val="00D72528"/>
    <w:rsid w:val="00D72A69"/>
    <w:rsid w:val="00D72DB4"/>
    <w:rsid w:val="00D72DD7"/>
    <w:rsid w:val="00D7394B"/>
    <w:rsid w:val="00D7537F"/>
    <w:rsid w:val="00D756AA"/>
    <w:rsid w:val="00D757FC"/>
    <w:rsid w:val="00D766D9"/>
    <w:rsid w:val="00D77141"/>
    <w:rsid w:val="00D771B6"/>
    <w:rsid w:val="00D77405"/>
    <w:rsid w:val="00D804EE"/>
    <w:rsid w:val="00D813BE"/>
    <w:rsid w:val="00D81B4F"/>
    <w:rsid w:val="00D823B5"/>
    <w:rsid w:val="00D824E5"/>
    <w:rsid w:val="00D827C7"/>
    <w:rsid w:val="00D82E28"/>
    <w:rsid w:val="00D83942"/>
    <w:rsid w:val="00D84888"/>
    <w:rsid w:val="00D85E04"/>
    <w:rsid w:val="00D85FEF"/>
    <w:rsid w:val="00D875B5"/>
    <w:rsid w:val="00D878FB"/>
    <w:rsid w:val="00D912AC"/>
    <w:rsid w:val="00D9244B"/>
    <w:rsid w:val="00D92D33"/>
    <w:rsid w:val="00D9356F"/>
    <w:rsid w:val="00D94089"/>
    <w:rsid w:val="00D9434C"/>
    <w:rsid w:val="00D94A70"/>
    <w:rsid w:val="00D94C67"/>
    <w:rsid w:val="00D967B5"/>
    <w:rsid w:val="00D97ED2"/>
    <w:rsid w:val="00DA0994"/>
    <w:rsid w:val="00DA0C53"/>
    <w:rsid w:val="00DA1BD8"/>
    <w:rsid w:val="00DA1F94"/>
    <w:rsid w:val="00DA341D"/>
    <w:rsid w:val="00DA5941"/>
    <w:rsid w:val="00DA5A9B"/>
    <w:rsid w:val="00DA72BD"/>
    <w:rsid w:val="00DA7B30"/>
    <w:rsid w:val="00DB006C"/>
    <w:rsid w:val="00DB0102"/>
    <w:rsid w:val="00DB0BC1"/>
    <w:rsid w:val="00DB0CD9"/>
    <w:rsid w:val="00DB1B4E"/>
    <w:rsid w:val="00DB2295"/>
    <w:rsid w:val="00DB40CB"/>
    <w:rsid w:val="00DB4949"/>
    <w:rsid w:val="00DB4A34"/>
    <w:rsid w:val="00DB64C8"/>
    <w:rsid w:val="00DB7DF7"/>
    <w:rsid w:val="00DC02D1"/>
    <w:rsid w:val="00DC0FEB"/>
    <w:rsid w:val="00DC23C5"/>
    <w:rsid w:val="00DC3DB6"/>
    <w:rsid w:val="00DC52A0"/>
    <w:rsid w:val="00DC60C0"/>
    <w:rsid w:val="00DC63DC"/>
    <w:rsid w:val="00DC7676"/>
    <w:rsid w:val="00DC77F2"/>
    <w:rsid w:val="00DD06BA"/>
    <w:rsid w:val="00DD0AF8"/>
    <w:rsid w:val="00DD0B56"/>
    <w:rsid w:val="00DD19EB"/>
    <w:rsid w:val="00DD1D75"/>
    <w:rsid w:val="00DD201C"/>
    <w:rsid w:val="00DD21DC"/>
    <w:rsid w:val="00DD2EE8"/>
    <w:rsid w:val="00DD3EDE"/>
    <w:rsid w:val="00DD4641"/>
    <w:rsid w:val="00DD4DED"/>
    <w:rsid w:val="00DD4F2B"/>
    <w:rsid w:val="00DD6619"/>
    <w:rsid w:val="00DD7044"/>
    <w:rsid w:val="00DE11BB"/>
    <w:rsid w:val="00DE33B6"/>
    <w:rsid w:val="00DE413B"/>
    <w:rsid w:val="00DE42D9"/>
    <w:rsid w:val="00DE4DAC"/>
    <w:rsid w:val="00DE562C"/>
    <w:rsid w:val="00DE5E30"/>
    <w:rsid w:val="00DE73B9"/>
    <w:rsid w:val="00DE7EDA"/>
    <w:rsid w:val="00DF08DA"/>
    <w:rsid w:val="00DF0A84"/>
    <w:rsid w:val="00DF0A96"/>
    <w:rsid w:val="00DF1B96"/>
    <w:rsid w:val="00DF1DDF"/>
    <w:rsid w:val="00DF485C"/>
    <w:rsid w:val="00DF4DAF"/>
    <w:rsid w:val="00DF67A9"/>
    <w:rsid w:val="00DF74AE"/>
    <w:rsid w:val="00E00182"/>
    <w:rsid w:val="00E00679"/>
    <w:rsid w:val="00E0121D"/>
    <w:rsid w:val="00E02CC0"/>
    <w:rsid w:val="00E031D2"/>
    <w:rsid w:val="00E04414"/>
    <w:rsid w:val="00E04B7C"/>
    <w:rsid w:val="00E0549B"/>
    <w:rsid w:val="00E10E6C"/>
    <w:rsid w:val="00E11A1E"/>
    <w:rsid w:val="00E11B6E"/>
    <w:rsid w:val="00E11D3E"/>
    <w:rsid w:val="00E11E3A"/>
    <w:rsid w:val="00E13ACD"/>
    <w:rsid w:val="00E14043"/>
    <w:rsid w:val="00E1464D"/>
    <w:rsid w:val="00E158BF"/>
    <w:rsid w:val="00E15988"/>
    <w:rsid w:val="00E17BE2"/>
    <w:rsid w:val="00E2078C"/>
    <w:rsid w:val="00E20A3A"/>
    <w:rsid w:val="00E22437"/>
    <w:rsid w:val="00E2293F"/>
    <w:rsid w:val="00E245C4"/>
    <w:rsid w:val="00E25B96"/>
    <w:rsid w:val="00E26722"/>
    <w:rsid w:val="00E267E3"/>
    <w:rsid w:val="00E2700E"/>
    <w:rsid w:val="00E2785C"/>
    <w:rsid w:val="00E27B41"/>
    <w:rsid w:val="00E319F2"/>
    <w:rsid w:val="00E31AB4"/>
    <w:rsid w:val="00E32ACB"/>
    <w:rsid w:val="00E32DF6"/>
    <w:rsid w:val="00E3359B"/>
    <w:rsid w:val="00E34B58"/>
    <w:rsid w:val="00E3603A"/>
    <w:rsid w:val="00E36545"/>
    <w:rsid w:val="00E36CF7"/>
    <w:rsid w:val="00E4022D"/>
    <w:rsid w:val="00E414B0"/>
    <w:rsid w:val="00E42D86"/>
    <w:rsid w:val="00E43CDC"/>
    <w:rsid w:val="00E44574"/>
    <w:rsid w:val="00E458A6"/>
    <w:rsid w:val="00E4748B"/>
    <w:rsid w:val="00E47847"/>
    <w:rsid w:val="00E47F5D"/>
    <w:rsid w:val="00E50B73"/>
    <w:rsid w:val="00E51774"/>
    <w:rsid w:val="00E52699"/>
    <w:rsid w:val="00E54D45"/>
    <w:rsid w:val="00E5506D"/>
    <w:rsid w:val="00E55485"/>
    <w:rsid w:val="00E5567F"/>
    <w:rsid w:val="00E55974"/>
    <w:rsid w:val="00E601C4"/>
    <w:rsid w:val="00E60822"/>
    <w:rsid w:val="00E60BC2"/>
    <w:rsid w:val="00E60D5D"/>
    <w:rsid w:val="00E60FF5"/>
    <w:rsid w:val="00E61E52"/>
    <w:rsid w:val="00E63180"/>
    <w:rsid w:val="00E632FF"/>
    <w:rsid w:val="00E64129"/>
    <w:rsid w:val="00E66BAC"/>
    <w:rsid w:val="00E67EE2"/>
    <w:rsid w:val="00E70615"/>
    <w:rsid w:val="00E70694"/>
    <w:rsid w:val="00E70A1D"/>
    <w:rsid w:val="00E70B9E"/>
    <w:rsid w:val="00E70CE4"/>
    <w:rsid w:val="00E7214C"/>
    <w:rsid w:val="00E722BC"/>
    <w:rsid w:val="00E73205"/>
    <w:rsid w:val="00E73BD9"/>
    <w:rsid w:val="00E7437B"/>
    <w:rsid w:val="00E74652"/>
    <w:rsid w:val="00E74EF4"/>
    <w:rsid w:val="00E75278"/>
    <w:rsid w:val="00E76396"/>
    <w:rsid w:val="00E769B5"/>
    <w:rsid w:val="00E76E2E"/>
    <w:rsid w:val="00E80AA2"/>
    <w:rsid w:val="00E80B44"/>
    <w:rsid w:val="00E81D88"/>
    <w:rsid w:val="00E82546"/>
    <w:rsid w:val="00E8277B"/>
    <w:rsid w:val="00E83BFB"/>
    <w:rsid w:val="00E845A9"/>
    <w:rsid w:val="00E85B1D"/>
    <w:rsid w:val="00E87009"/>
    <w:rsid w:val="00E873C5"/>
    <w:rsid w:val="00E87DE2"/>
    <w:rsid w:val="00E90510"/>
    <w:rsid w:val="00E906F2"/>
    <w:rsid w:val="00E90B04"/>
    <w:rsid w:val="00E914FE"/>
    <w:rsid w:val="00E92451"/>
    <w:rsid w:val="00E928C4"/>
    <w:rsid w:val="00E92AB6"/>
    <w:rsid w:val="00E944D9"/>
    <w:rsid w:val="00E97AB3"/>
    <w:rsid w:val="00EA0AA4"/>
    <w:rsid w:val="00EA0B5C"/>
    <w:rsid w:val="00EA0BF1"/>
    <w:rsid w:val="00EA21A8"/>
    <w:rsid w:val="00EA2E85"/>
    <w:rsid w:val="00EA33A6"/>
    <w:rsid w:val="00EA45E5"/>
    <w:rsid w:val="00EA4CC4"/>
    <w:rsid w:val="00EA5BC5"/>
    <w:rsid w:val="00EA5EEB"/>
    <w:rsid w:val="00EA6057"/>
    <w:rsid w:val="00EA7383"/>
    <w:rsid w:val="00EA7411"/>
    <w:rsid w:val="00EA7E8E"/>
    <w:rsid w:val="00EB044E"/>
    <w:rsid w:val="00EB0A99"/>
    <w:rsid w:val="00EB1AA4"/>
    <w:rsid w:val="00EB1FAD"/>
    <w:rsid w:val="00EB3093"/>
    <w:rsid w:val="00EB39FD"/>
    <w:rsid w:val="00EB539A"/>
    <w:rsid w:val="00EB5856"/>
    <w:rsid w:val="00EB5E5C"/>
    <w:rsid w:val="00EB7140"/>
    <w:rsid w:val="00EC2690"/>
    <w:rsid w:val="00EC2AF8"/>
    <w:rsid w:val="00EC2BE0"/>
    <w:rsid w:val="00EC39FF"/>
    <w:rsid w:val="00EC548F"/>
    <w:rsid w:val="00EC6C09"/>
    <w:rsid w:val="00ED32A1"/>
    <w:rsid w:val="00ED3B06"/>
    <w:rsid w:val="00ED4DF8"/>
    <w:rsid w:val="00ED734D"/>
    <w:rsid w:val="00ED770B"/>
    <w:rsid w:val="00ED7C56"/>
    <w:rsid w:val="00EE0B0B"/>
    <w:rsid w:val="00EE13FD"/>
    <w:rsid w:val="00EE2406"/>
    <w:rsid w:val="00EE358B"/>
    <w:rsid w:val="00EE5406"/>
    <w:rsid w:val="00EE54FE"/>
    <w:rsid w:val="00EE5605"/>
    <w:rsid w:val="00EE6A59"/>
    <w:rsid w:val="00EE70B9"/>
    <w:rsid w:val="00EE70FF"/>
    <w:rsid w:val="00EE7CD9"/>
    <w:rsid w:val="00EF0A96"/>
    <w:rsid w:val="00EF0CFE"/>
    <w:rsid w:val="00EF0ED3"/>
    <w:rsid w:val="00EF1763"/>
    <w:rsid w:val="00EF19FE"/>
    <w:rsid w:val="00EF39E1"/>
    <w:rsid w:val="00EF71A0"/>
    <w:rsid w:val="00EF720E"/>
    <w:rsid w:val="00EF7A15"/>
    <w:rsid w:val="00F020DD"/>
    <w:rsid w:val="00F0253D"/>
    <w:rsid w:val="00F02803"/>
    <w:rsid w:val="00F0289C"/>
    <w:rsid w:val="00F02B47"/>
    <w:rsid w:val="00F05F72"/>
    <w:rsid w:val="00F068A0"/>
    <w:rsid w:val="00F06D66"/>
    <w:rsid w:val="00F06DAD"/>
    <w:rsid w:val="00F06FE1"/>
    <w:rsid w:val="00F07297"/>
    <w:rsid w:val="00F076AC"/>
    <w:rsid w:val="00F10D0F"/>
    <w:rsid w:val="00F11233"/>
    <w:rsid w:val="00F11423"/>
    <w:rsid w:val="00F117AC"/>
    <w:rsid w:val="00F11A13"/>
    <w:rsid w:val="00F11AF2"/>
    <w:rsid w:val="00F11D7F"/>
    <w:rsid w:val="00F12822"/>
    <w:rsid w:val="00F12B70"/>
    <w:rsid w:val="00F14CED"/>
    <w:rsid w:val="00F1710C"/>
    <w:rsid w:val="00F17E7B"/>
    <w:rsid w:val="00F223E8"/>
    <w:rsid w:val="00F24092"/>
    <w:rsid w:val="00F2474C"/>
    <w:rsid w:val="00F25384"/>
    <w:rsid w:val="00F25792"/>
    <w:rsid w:val="00F276DA"/>
    <w:rsid w:val="00F27B35"/>
    <w:rsid w:val="00F30EB7"/>
    <w:rsid w:val="00F32BBD"/>
    <w:rsid w:val="00F32BE8"/>
    <w:rsid w:val="00F33041"/>
    <w:rsid w:val="00F353FE"/>
    <w:rsid w:val="00F35CC9"/>
    <w:rsid w:val="00F35E5B"/>
    <w:rsid w:val="00F368D2"/>
    <w:rsid w:val="00F36E28"/>
    <w:rsid w:val="00F37A09"/>
    <w:rsid w:val="00F406D5"/>
    <w:rsid w:val="00F40769"/>
    <w:rsid w:val="00F41289"/>
    <w:rsid w:val="00F42AB8"/>
    <w:rsid w:val="00F44943"/>
    <w:rsid w:val="00F44D22"/>
    <w:rsid w:val="00F44F0B"/>
    <w:rsid w:val="00F460FE"/>
    <w:rsid w:val="00F47223"/>
    <w:rsid w:val="00F47D7E"/>
    <w:rsid w:val="00F5079E"/>
    <w:rsid w:val="00F50CEC"/>
    <w:rsid w:val="00F510C1"/>
    <w:rsid w:val="00F51B45"/>
    <w:rsid w:val="00F51C90"/>
    <w:rsid w:val="00F522F4"/>
    <w:rsid w:val="00F540EB"/>
    <w:rsid w:val="00F54267"/>
    <w:rsid w:val="00F545EA"/>
    <w:rsid w:val="00F54DE5"/>
    <w:rsid w:val="00F566DF"/>
    <w:rsid w:val="00F571FE"/>
    <w:rsid w:val="00F579A9"/>
    <w:rsid w:val="00F57B6D"/>
    <w:rsid w:val="00F60337"/>
    <w:rsid w:val="00F60A72"/>
    <w:rsid w:val="00F6150C"/>
    <w:rsid w:val="00F61975"/>
    <w:rsid w:val="00F639B7"/>
    <w:rsid w:val="00F65632"/>
    <w:rsid w:val="00F65D55"/>
    <w:rsid w:val="00F70399"/>
    <w:rsid w:val="00F70BD2"/>
    <w:rsid w:val="00F70EEF"/>
    <w:rsid w:val="00F70F15"/>
    <w:rsid w:val="00F7201B"/>
    <w:rsid w:val="00F73028"/>
    <w:rsid w:val="00F75FD6"/>
    <w:rsid w:val="00F767AE"/>
    <w:rsid w:val="00F802E8"/>
    <w:rsid w:val="00F80483"/>
    <w:rsid w:val="00F80727"/>
    <w:rsid w:val="00F808E0"/>
    <w:rsid w:val="00F81124"/>
    <w:rsid w:val="00F828F3"/>
    <w:rsid w:val="00F829B4"/>
    <w:rsid w:val="00F82B24"/>
    <w:rsid w:val="00F82C41"/>
    <w:rsid w:val="00F82DD8"/>
    <w:rsid w:val="00F83C80"/>
    <w:rsid w:val="00F849D7"/>
    <w:rsid w:val="00F84B89"/>
    <w:rsid w:val="00F866B4"/>
    <w:rsid w:val="00F87054"/>
    <w:rsid w:val="00F91720"/>
    <w:rsid w:val="00F91802"/>
    <w:rsid w:val="00F919DF"/>
    <w:rsid w:val="00F9230B"/>
    <w:rsid w:val="00F9257C"/>
    <w:rsid w:val="00F92C45"/>
    <w:rsid w:val="00F93543"/>
    <w:rsid w:val="00F93965"/>
    <w:rsid w:val="00F9439E"/>
    <w:rsid w:val="00F953D1"/>
    <w:rsid w:val="00F95714"/>
    <w:rsid w:val="00F95758"/>
    <w:rsid w:val="00F95E73"/>
    <w:rsid w:val="00F96403"/>
    <w:rsid w:val="00F975A0"/>
    <w:rsid w:val="00F976D5"/>
    <w:rsid w:val="00F97E29"/>
    <w:rsid w:val="00FA0DC3"/>
    <w:rsid w:val="00FA0E78"/>
    <w:rsid w:val="00FA1058"/>
    <w:rsid w:val="00FA1D94"/>
    <w:rsid w:val="00FA28FC"/>
    <w:rsid w:val="00FA319E"/>
    <w:rsid w:val="00FA3372"/>
    <w:rsid w:val="00FA5A94"/>
    <w:rsid w:val="00FA5C3B"/>
    <w:rsid w:val="00FA5F1A"/>
    <w:rsid w:val="00FA6ADD"/>
    <w:rsid w:val="00FA789E"/>
    <w:rsid w:val="00FA7A1F"/>
    <w:rsid w:val="00FB0501"/>
    <w:rsid w:val="00FB0907"/>
    <w:rsid w:val="00FB2317"/>
    <w:rsid w:val="00FB258A"/>
    <w:rsid w:val="00FB319F"/>
    <w:rsid w:val="00FB4605"/>
    <w:rsid w:val="00FB47EF"/>
    <w:rsid w:val="00FB55C9"/>
    <w:rsid w:val="00FB77CB"/>
    <w:rsid w:val="00FB7857"/>
    <w:rsid w:val="00FB7A73"/>
    <w:rsid w:val="00FC038D"/>
    <w:rsid w:val="00FC13A1"/>
    <w:rsid w:val="00FC1A8B"/>
    <w:rsid w:val="00FC2264"/>
    <w:rsid w:val="00FC24E7"/>
    <w:rsid w:val="00FC2782"/>
    <w:rsid w:val="00FC2AD9"/>
    <w:rsid w:val="00FC2D4B"/>
    <w:rsid w:val="00FC30C5"/>
    <w:rsid w:val="00FC3304"/>
    <w:rsid w:val="00FC5380"/>
    <w:rsid w:val="00FC630D"/>
    <w:rsid w:val="00FD1206"/>
    <w:rsid w:val="00FD2E19"/>
    <w:rsid w:val="00FD36E8"/>
    <w:rsid w:val="00FD407D"/>
    <w:rsid w:val="00FD423C"/>
    <w:rsid w:val="00FD43DE"/>
    <w:rsid w:val="00FD4E88"/>
    <w:rsid w:val="00FD7873"/>
    <w:rsid w:val="00FE17B7"/>
    <w:rsid w:val="00FE28CD"/>
    <w:rsid w:val="00FE3ABF"/>
    <w:rsid w:val="00FE4AE4"/>
    <w:rsid w:val="00FE4FED"/>
    <w:rsid w:val="00FE59A7"/>
    <w:rsid w:val="00FE6673"/>
    <w:rsid w:val="00FE698B"/>
    <w:rsid w:val="00FE6C68"/>
    <w:rsid w:val="00FE6FA3"/>
    <w:rsid w:val="00FF0BD0"/>
    <w:rsid w:val="00FF1517"/>
    <w:rsid w:val="00FF1D7F"/>
    <w:rsid w:val="00FF2AFB"/>
    <w:rsid w:val="00FF403B"/>
    <w:rsid w:val="00FF41B4"/>
    <w:rsid w:val="00FF5C47"/>
    <w:rsid w:val="00FF6694"/>
    <w:rsid w:val="00FF6B4E"/>
    <w:rsid w:val="00FF71FA"/>
    <w:rsid w:val="024E4FEB"/>
    <w:rsid w:val="0E955385"/>
    <w:rsid w:val="1F4C11C4"/>
    <w:rsid w:val="1F884C9D"/>
    <w:rsid w:val="235D6549"/>
    <w:rsid w:val="33ECA054"/>
    <w:rsid w:val="37D228B9"/>
    <w:rsid w:val="3DC3D721"/>
    <w:rsid w:val="42A886D5"/>
    <w:rsid w:val="48A9AA3F"/>
    <w:rsid w:val="499A3890"/>
    <w:rsid w:val="5531FABD"/>
    <w:rsid w:val="6A32EB15"/>
    <w:rsid w:val="6C3B6BB4"/>
    <w:rsid w:val="7F3C437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C121B"/>
  <w15:chartTrackingRefBased/>
  <w15:docId w15:val="{39D9EE69-FAF5-4AC4-BA87-5E978BA1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8D7"/>
    <w:pPr>
      <w:spacing w:line="276" w:lineRule="auto"/>
    </w:pPr>
    <w:rPr>
      <w:rFonts w:ascii="Segoe UI" w:hAnsi="Segoe UI"/>
      <w:lang w:val="en-GB"/>
    </w:rPr>
  </w:style>
  <w:style w:type="paragraph" w:styleId="Heading1">
    <w:name w:val="heading 1"/>
    <w:basedOn w:val="Normal"/>
    <w:next w:val="BodyText"/>
    <w:link w:val="Heading1Char"/>
    <w:autoRedefine/>
    <w:uiPriority w:val="9"/>
    <w:qFormat/>
    <w:rsid w:val="000448D7"/>
    <w:pPr>
      <w:keepNext/>
      <w:keepLines/>
      <w:pageBreakBefore/>
      <w:pBdr>
        <w:bottom w:val="single" w:sz="12" w:space="10" w:color="00DCA1" w:themeColor="background2"/>
      </w:pBdr>
      <w:spacing w:before="240"/>
      <w:outlineLvl w:val="0"/>
    </w:pPr>
    <w:rPr>
      <w:rFonts w:ascii="Segoe UI Semibold" w:eastAsiaTheme="majorEastAsia" w:hAnsi="Segoe UI Semibold" w:cs="Arial"/>
      <w:bCs/>
      <w:color w:val="025F5D"/>
      <w:sz w:val="48"/>
      <w:szCs w:val="72"/>
    </w:rPr>
  </w:style>
  <w:style w:type="paragraph" w:styleId="Heading2">
    <w:name w:val="heading 2"/>
    <w:basedOn w:val="Normal"/>
    <w:next w:val="BodyText"/>
    <w:link w:val="Heading2Char"/>
    <w:uiPriority w:val="9"/>
    <w:unhideWhenUsed/>
    <w:qFormat/>
    <w:rsid w:val="0056312E"/>
    <w:pPr>
      <w:keepNext/>
      <w:keepLines/>
      <w:outlineLvl w:val="1"/>
    </w:pPr>
    <w:rPr>
      <w:rFonts w:eastAsiaTheme="majorEastAsia" w:cstheme="majorBidi"/>
      <w:b/>
      <w:color w:val="025F5D"/>
      <w:sz w:val="40"/>
      <w:szCs w:val="26"/>
    </w:rPr>
  </w:style>
  <w:style w:type="paragraph" w:styleId="Heading3">
    <w:name w:val="heading 3"/>
    <w:basedOn w:val="Normal"/>
    <w:next w:val="BodyText"/>
    <w:link w:val="Heading3Char"/>
    <w:uiPriority w:val="9"/>
    <w:unhideWhenUsed/>
    <w:qFormat/>
    <w:rsid w:val="0056312E"/>
    <w:pPr>
      <w:keepNext/>
      <w:keepLines/>
      <w:spacing w:before="240"/>
      <w:outlineLvl w:val="2"/>
    </w:pPr>
    <w:rPr>
      <w:rFonts w:eastAsiaTheme="majorEastAsia" w:cstheme="majorBidi"/>
      <w:color w:val="025F5D"/>
      <w:sz w:val="32"/>
    </w:rPr>
  </w:style>
  <w:style w:type="paragraph" w:styleId="Heading4">
    <w:name w:val="heading 4"/>
    <w:basedOn w:val="Normal"/>
    <w:next w:val="BodyText"/>
    <w:link w:val="Heading4Char"/>
    <w:uiPriority w:val="9"/>
    <w:unhideWhenUsed/>
    <w:qFormat/>
    <w:rsid w:val="0056312E"/>
    <w:pPr>
      <w:keepNext/>
      <w:keepLines/>
      <w:spacing w:before="40"/>
      <w:outlineLvl w:val="3"/>
    </w:pPr>
    <w:rPr>
      <w:rFonts w:eastAsiaTheme="majorEastAsia" w:cstheme="majorBidi"/>
      <w:iCs/>
      <w:color w:val="025F5D"/>
      <w:sz w:val="28"/>
    </w:rPr>
  </w:style>
  <w:style w:type="paragraph" w:styleId="Heading5">
    <w:name w:val="heading 5"/>
    <w:basedOn w:val="Normal"/>
    <w:next w:val="Normal"/>
    <w:link w:val="Heading5Char"/>
    <w:uiPriority w:val="9"/>
    <w:unhideWhenUsed/>
    <w:qFormat/>
    <w:rsid w:val="0056312E"/>
    <w:pPr>
      <w:keepNext/>
      <w:keepLines/>
      <w:spacing w:before="40"/>
      <w:outlineLvl w:val="4"/>
    </w:pPr>
    <w:rPr>
      <w:rFonts w:eastAsiaTheme="majorEastAsia" w:cstheme="majorBidi"/>
      <w:b/>
      <w:color w:val="025F5D"/>
    </w:rPr>
  </w:style>
  <w:style w:type="paragraph" w:styleId="Heading6">
    <w:name w:val="heading 6"/>
    <w:basedOn w:val="Normal"/>
    <w:next w:val="Normal"/>
    <w:link w:val="Heading6Char"/>
    <w:uiPriority w:val="9"/>
    <w:unhideWhenUsed/>
    <w:qFormat/>
    <w:rsid w:val="0056312E"/>
    <w:pPr>
      <w:keepNext/>
      <w:keepLines/>
      <w:spacing w:before="40"/>
      <w:outlineLvl w:val="5"/>
    </w:pPr>
    <w:rPr>
      <w:rFonts w:eastAsiaTheme="majorEastAsia" w:cstheme="majorBidi"/>
      <w:i/>
      <w:color w:val="025F5D"/>
    </w:rPr>
  </w:style>
  <w:style w:type="paragraph" w:styleId="Heading7">
    <w:name w:val="heading 7"/>
    <w:basedOn w:val="Normal"/>
    <w:next w:val="Normal"/>
    <w:link w:val="Heading7Char"/>
    <w:uiPriority w:val="9"/>
    <w:unhideWhenUsed/>
    <w:qFormat/>
    <w:rsid w:val="0056312E"/>
    <w:pPr>
      <w:keepNext/>
      <w:keepLines/>
      <w:spacing w:before="40"/>
      <w:outlineLvl w:val="6"/>
    </w:pPr>
    <w:rPr>
      <w:rFonts w:eastAsiaTheme="majorEastAsia" w:cstheme="majorBidi"/>
      <w:iCs/>
      <w:color w:val="025F5D"/>
    </w:rPr>
  </w:style>
  <w:style w:type="paragraph" w:styleId="Heading8">
    <w:name w:val="heading 8"/>
    <w:basedOn w:val="Normal"/>
    <w:next w:val="Normal"/>
    <w:link w:val="Heading8Char"/>
    <w:uiPriority w:val="9"/>
    <w:semiHidden/>
    <w:unhideWhenUsed/>
    <w:qFormat/>
    <w:rsid w:val="001E7087"/>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rsid w:val="001E70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8D7"/>
    <w:rPr>
      <w:rFonts w:ascii="Segoe UI Semibold" w:eastAsiaTheme="majorEastAsia" w:hAnsi="Segoe UI Semibold" w:cs="Arial"/>
      <w:bCs/>
      <w:color w:val="025F5D"/>
      <w:sz w:val="48"/>
      <w:szCs w:val="72"/>
      <w:lang w:val="en-GB"/>
    </w:rPr>
  </w:style>
  <w:style w:type="paragraph" w:styleId="NoSpacing">
    <w:name w:val="No Spacing"/>
    <w:uiPriority w:val="1"/>
    <w:qFormat/>
    <w:rsid w:val="001E7087"/>
    <w:rPr>
      <w:rFonts w:ascii="Arial" w:hAnsi="Arial"/>
    </w:rPr>
  </w:style>
  <w:style w:type="character" w:customStyle="1" w:styleId="Heading2Char">
    <w:name w:val="Heading 2 Char"/>
    <w:basedOn w:val="DefaultParagraphFont"/>
    <w:link w:val="Heading2"/>
    <w:uiPriority w:val="9"/>
    <w:rsid w:val="0056312E"/>
    <w:rPr>
      <w:rFonts w:ascii="Segoe UI" w:eastAsiaTheme="majorEastAsia" w:hAnsi="Segoe UI" w:cstheme="majorBidi"/>
      <w:b/>
      <w:color w:val="025F5D"/>
      <w:sz w:val="40"/>
      <w:szCs w:val="26"/>
    </w:rPr>
  </w:style>
  <w:style w:type="paragraph" w:styleId="Title">
    <w:name w:val="Title"/>
    <w:basedOn w:val="Normal"/>
    <w:next w:val="Normal"/>
    <w:link w:val="TitleChar"/>
    <w:uiPriority w:val="10"/>
    <w:qFormat/>
    <w:rsid w:val="00F767AE"/>
    <w:pPr>
      <w:spacing w:before="2000" w:line="240" w:lineRule="auto"/>
      <w:contextualSpacing/>
    </w:pPr>
    <w:rPr>
      <w:rFonts w:ascii="Segoe UI Semibold" w:eastAsiaTheme="majorEastAsia" w:hAnsi="Segoe UI Semibold" w:cstheme="majorBidi"/>
      <w:spacing w:val="-10"/>
      <w:kern w:val="28"/>
      <w:sz w:val="56"/>
      <w:szCs w:val="56"/>
    </w:rPr>
  </w:style>
  <w:style w:type="character" w:customStyle="1" w:styleId="TitleChar">
    <w:name w:val="Title Char"/>
    <w:basedOn w:val="DefaultParagraphFont"/>
    <w:link w:val="Title"/>
    <w:uiPriority w:val="10"/>
    <w:rsid w:val="007E72A6"/>
    <w:rPr>
      <w:rFonts w:ascii="Segoe UI Semibold" w:eastAsiaTheme="majorEastAsia" w:hAnsi="Segoe UI Semibold" w:cstheme="majorBidi"/>
      <w:spacing w:val="-10"/>
      <w:kern w:val="28"/>
      <w:sz w:val="56"/>
      <w:szCs w:val="56"/>
      <w:lang w:val="en-GB"/>
    </w:rPr>
  </w:style>
  <w:style w:type="paragraph" w:styleId="Subtitle">
    <w:name w:val="Subtitle"/>
    <w:basedOn w:val="Normal"/>
    <w:next w:val="Normal"/>
    <w:link w:val="SubtitleChar"/>
    <w:uiPriority w:val="11"/>
    <w:qFormat/>
    <w:rsid w:val="00F767AE"/>
    <w:pPr>
      <w:numPr>
        <w:ilvl w:val="1"/>
      </w:numPr>
      <w:spacing w:after="160"/>
    </w:pPr>
    <w:rPr>
      <w:rFonts w:eastAsiaTheme="minorEastAsia" w:cs="Times New Roman (Body CS)"/>
      <w:color w:val="025F5D"/>
      <w:sz w:val="36"/>
      <w:szCs w:val="22"/>
    </w:rPr>
  </w:style>
  <w:style w:type="character" w:customStyle="1" w:styleId="SubtitleChar">
    <w:name w:val="Subtitle Char"/>
    <w:basedOn w:val="DefaultParagraphFont"/>
    <w:link w:val="Subtitle"/>
    <w:uiPriority w:val="11"/>
    <w:rsid w:val="007E72A6"/>
    <w:rPr>
      <w:rFonts w:ascii="Segoe UI" w:eastAsiaTheme="minorEastAsia" w:hAnsi="Segoe UI" w:cs="Times New Roman (Body CS)"/>
      <w:color w:val="025F5D"/>
      <w:sz w:val="36"/>
      <w:szCs w:val="22"/>
    </w:rPr>
  </w:style>
  <w:style w:type="character" w:styleId="SubtleEmphasis">
    <w:name w:val="Subtle Emphasis"/>
    <w:basedOn w:val="DefaultParagraphFont"/>
    <w:uiPriority w:val="19"/>
    <w:qFormat/>
    <w:rsid w:val="001E7087"/>
    <w:rPr>
      <w:rFonts w:ascii="Arial" w:hAnsi="Arial"/>
      <w:i/>
      <w:iCs/>
      <w:color w:val="404040" w:themeColor="text1" w:themeTint="BF"/>
    </w:rPr>
  </w:style>
  <w:style w:type="paragraph" w:customStyle="1" w:styleId="BulletUnindented">
    <w:name w:val="Bullet Unindented"/>
    <w:basedOn w:val="ListParagraph"/>
    <w:qFormat/>
    <w:rsid w:val="00A14122"/>
    <w:pPr>
      <w:numPr>
        <w:numId w:val="38"/>
      </w:numPr>
      <w:spacing w:after="120"/>
      <w:ind w:left="357" w:hanging="357"/>
      <w:contextualSpacing w:val="0"/>
    </w:pPr>
  </w:style>
  <w:style w:type="character" w:styleId="IntenseEmphasis">
    <w:name w:val="Intense Emphasis"/>
    <w:basedOn w:val="DefaultParagraphFont"/>
    <w:uiPriority w:val="21"/>
    <w:rsid w:val="001E7087"/>
    <w:rPr>
      <w:rFonts w:ascii="Arial" w:hAnsi="Arial"/>
      <w:i/>
      <w:iCs/>
      <w:color w:val="033636" w:themeColor="text2"/>
    </w:rPr>
  </w:style>
  <w:style w:type="character" w:styleId="Strong">
    <w:name w:val="Strong"/>
    <w:basedOn w:val="DefaultParagraphFont"/>
    <w:uiPriority w:val="22"/>
    <w:qFormat/>
    <w:rsid w:val="001E7087"/>
    <w:rPr>
      <w:b/>
      <w:bCs/>
    </w:rPr>
  </w:style>
  <w:style w:type="paragraph" w:styleId="Quote">
    <w:name w:val="Quote"/>
    <w:basedOn w:val="Normal"/>
    <w:next w:val="Normal"/>
    <w:link w:val="QuoteChar"/>
    <w:uiPriority w:val="29"/>
    <w:qFormat/>
    <w:rsid w:val="001E7087"/>
    <w:pPr>
      <w:spacing w:before="200" w:after="160"/>
      <w:ind w:left="864" w:right="864"/>
      <w:jc w:val="center"/>
    </w:pPr>
    <w:rPr>
      <w:i/>
      <w:iCs/>
      <w:color w:val="033636" w:themeColor="text2"/>
    </w:rPr>
  </w:style>
  <w:style w:type="character" w:customStyle="1" w:styleId="QuoteChar">
    <w:name w:val="Quote Char"/>
    <w:basedOn w:val="DefaultParagraphFont"/>
    <w:link w:val="Quote"/>
    <w:uiPriority w:val="29"/>
    <w:rsid w:val="001E7087"/>
    <w:rPr>
      <w:rFonts w:ascii="Arial" w:hAnsi="Arial"/>
      <w:i/>
      <w:iCs/>
      <w:color w:val="033636" w:themeColor="text2"/>
    </w:rPr>
  </w:style>
  <w:style w:type="paragraph" w:styleId="IntenseQuote">
    <w:name w:val="Intense Quote"/>
    <w:basedOn w:val="Normal"/>
    <w:next w:val="Normal"/>
    <w:link w:val="IntenseQuoteChar"/>
    <w:uiPriority w:val="30"/>
    <w:qFormat/>
    <w:rsid w:val="001E7087"/>
    <w:pPr>
      <w:pBdr>
        <w:top w:val="single" w:sz="4" w:space="10" w:color="00DCA1" w:themeColor="background2"/>
        <w:bottom w:val="single" w:sz="4" w:space="10" w:color="00DCA1" w:themeColor="background2"/>
      </w:pBdr>
      <w:spacing w:before="360" w:after="360"/>
      <w:ind w:left="864" w:right="864"/>
      <w:jc w:val="center"/>
    </w:pPr>
    <w:rPr>
      <w:i/>
      <w:iCs/>
      <w:color w:val="033636" w:themeColor="text2"/>
    </w:rPr>
  </w:style>
  <w:style w:type="character" w:customStyle="1" w:styleId="IntenseQuoteChar">
    <w:name w:val="Intense Quote Char"/>
    <w:basedOn w:val="DefaultParagraphFont"/>
    <w:link w:val="IntenseQuote"/>
    <w:uiPriority w:val="30"/>
    <w:rsid w:val="001E7087"/>
    <w:rPr>
      <w:rFonts w:ascii="Arial" w:hAnsi="Arial"/>
      <w:i/>
      <w:iCs/>
      <w:color w:val="033636" w:themeColor="text2"/>
    </w:rPr>
  </w:style>
  <w:style w:type="character" w:customStyle="1" w:styleId="Heading3Char">
    <w:name w:val="Heading 3 Char"/>
    <w:basedOn w:val="DefaultParagraphFont"/>
    <w:link w:val="Heading3"/>
    <w:uiPriority w:val="9"/>
    <w:rsid w:val="0056312E"/>
    <w:rPr>
      <w:rFonts w:ascii="Segoe UI" w:eastAsiaTheme="majorEastAsia" w:hAnsi="Segoe UI" w:cstheme="majorBidi"/>
      <w:color w:val="025F5D"/>
      <w:sz w:val="32"/>
    </w:rPr>
  </w:style>
  <w:style w:type="character" w:customStyle="1" w:styleId="Heading4Char">
    <w:name w:val="Heading 4 Char"/>
    <w:basedOn w:val="DefaultParagraphFont"/>
    <w:link w:val="Heading4"/>
    <w:uiPriority w:val="9"/>
    <w:rsid w:val="0056312E"/>
    <w:rPr>
      <w:rFonts w:ascii="Segoe UI" w:eastAsiaTheme="majorEastAsia" w:hAnsi="Segoe UI" w:cstheme="majorBidi"/>
      <w:iCs/>
      <w:color w:val="025F5D"/>
      <w:sz w:val="28"/>
    </w:rPr>
  </w:style>
  <w:style w:type="character" w:customStyle="1" w:styleId="Heading5Char">
    <w:name w:val="Heading 5 Char"/>
    <w:basedOn w:val="DefaultParagraphFont"/>
    <w:link w:val="Heading5"/>
    <w:uiPriority w:val="9"/>
    <w:rsid w:val="0056312E"/>
    <w:rPr>
      <w:rFonts w:ascii="Segoe UI" w:eastAsiaTheme="majorEastAsia" w:hAnsi="Segoe UI" w:cstheme="majorBidi"/>
      <w:b/>
      <w:color w:val="025F5D"/>
    </w:rPr>
  </w:style>
  <w:style w:type="character" w:customStyle="1" w:styleId="Heading6Char">
    <w:name w:val="Heading 6 Char"/>
    <w:basedOn w:val="DefaultParagraphFont"/>
    <w:link w:val="Heading6"/>
    <w:uiPriority w:val="9"/>
    <w:rsid w:val="0056312E"/>
    <w:rPr>
      <w:rFonts w:ascii="Segoe UI" w:eastAsiaTheme="majorEastAsia" w:hAnsi="Segoe UI" w:cstheme="majorBidi"/>
      <w:i/>
      <w:color w:val="025F5D"/>
    </w:rPr>
  </w:style>
  <w:style w:type="character" w:customStyle="1" w:styleId="Heading7Char">
    <w:name w:val="Heading 7 Char"/>
    <w:basedOn w:val="DefaultParagraphFont"/>
    <w:link w:val="Heading7"/>
    <w:uiPriority w:val="9"/>
    <w:rsid w:val="0056312E"/>
    <w:rPr>
      <w:rFonts w:ascii="Segoe UI" w:eastAsiaTheme="majorEastAsia" w:hAnsi="Segoe UI" w:cstheme="majorBidi"/>
      <w:iCs/>
      <w:color w:val="025F5D"/>
    </w:rPr>
  </w:style>
  <w:style w:type="character" w:customStyle="1" w:styleId="Heading8Char">
    <w:name w:val="Heading 8 Char"/>
    <w:basedOn w:val="DefaultParagraphFont"/>
    <w:link w:val="Heading8"/>
    <w:uiPriority w:val="9"/>
    <w:semiHidden/>
    <w:rsid w:val="001E7087"/>
    <w:rPr>
      <w:rFonts w:ascii="Segoe UI" w:eastAsiaTheme="majorEastAsia" w:hAnsi="Segoe UI" w:cstheme="majorBidi"/>
      <w:color w:val="000000" w:themeColor="text1"/>
      <w:szCs w:val="21"/>
    </w:rPr>
  </w:style>
  <w:style w:type="character" w:customStyle="1" w:styleId="Heading9Char">
    <w:name w:val="Heading 9 Char"/>
    <w:basedOn w:val="DefaultParagraphFont"/>
    <w:link w:val="Heading9"/>
    <w:uiPriority w:val="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D640A"/>
    <w:pPr>
      <w:tabs>
        <w:tab w:val="center" w:pos="4513"/>
        <w:tab w:val="right" w:pos="9026"/>
      </w:tabs>
      <w:spacing w:line="240" w:lineRule="auto"/>
    </w:pPr>
  </w:style>
  <w:style w:type="character" w:customStyle="1" w:styleId="HeaderChar">
    <w:name w:val="Header Char"/>
    <w:basedOn w:val="DefaultParagraphFont"/>
    <w:link w:val="Header"/>
    <w:uiPriority w:val="99"/>
    <w:rsid w:val="00BD640A"/>
    <w:rPr>
      <w:rFonts w:ascii="Segoe UI" w:hAnsi="Segoe UI"/>
    </w:rPr>
  </w:style>
  <w:style w:type="paragraph" w:styleId="Footer">
    <w:name w:val="footer"/>
    <w:basedOn w:val="Normal"/>
    <w:link w:val="FooterChar"/>
    <w:uiPriority w:val="99"/>
    <w:unhideWhenUsed/>
    <w:qFormat/>
    <w:rsid w:val="00BD640A"/>
    <w:pPr>
      <w:tabs>
        <w:tab w:val="center" w:pos="4513"/>
        <w:tab w:val="right" w:pos="9026"/>
      </w:tabs>
      <w:spacing w:line="240" w:lineRule="auto"/>
    </w:pPr>
  </w:style>
  <w:style w:type="character" w:customStyle="1" w:styleId="FooterChar">
    <w:name w:val="Footer Char"/>
    <w:basedOn w:val="DefaultParagraphFont"/>
    <w:link w:val="Footer"/>
    <w:uiPriority w:val="99"/>
    <w:rsid w:val="00BD640A"/>
    <w:rPr>
      <w:rFonts w:ascii="Segoe UI" w:hAnsi="Segoe UI"/>
    </w:rPr>
  </w:style>
  <w:style w:type="paragraph" w:customStyle="1" w:styleId="Copyrightbulletlist">
    <w:name w:val="Copyright bullet list"/>
    <w:basedOn w:val="Normal"/>
    <w:qFormat/>
    <w:rsid w:val="00C64AC4"/>
    <w:pPr>
      <w:numPr>
        <w:numId w:val="35"/>
      </w:numPr>
      <w:ind w:left="357" w:hanging="357"/>
    </w:pPr>
    <w:rPr>
      <w:sz w:val="18"/>
    </w:rPr>
  </w:style>
  <w:style w:type="character" w:styleId="PageNumber">
    <w:name w:val="page number"/>
    <w:basedOn w:val="DefaultParagraphFont"/>
    <w:uiPriority w:val="99"/>
    <w:semiHidden/>
    <w:unhideWhenUsed/>
    <w:rsid w:val="00DD7044"/>
  </w:style>
  <w:style w:type="paragraph" w:styleId="BodyText">
    <w:name w:val="Body Text"/>
    <w:basedOn w:val="Normal"/>
    <w:link w:val="BodyTextChar"/>
    <w:uiPriority w:val="99"/>
    <w:unhideWhenUsed/>
    <w:qFormat/>
    <w:rsid w:val="00B4718B"/>
    <w:pPr>
      <w:spacing w:before="120" w:after="120"/>
    </w:pPr>
  </w:style>
  <w:style w:type="character" w:styleId="Hyperlink">
    <w:name w:val="Hyperlink"/>
    <w:basedOn w:val="DefaultParagraphFont"/>
    <w:uiPriority w:val="99"/>
    <w:unhideWhenUsed/>
    <w:qFormat/>
    <w:rsid w:val="006F4B13"/>
    <w:rPr>
      <w:color w:val="397DF4" w:themeColor="accent1" w:themeTint="99"/>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qFormat/>
    <w:rsid w:val="00B63816"/>
    <w:pPr>
      <w:spacing w:before="120" w:after="120" w:line="276" w:lineRule="auto"/>
    </w:pPr>
    <w:rPr>
      <w:rFonts w:ascii="Segoe UI" w:eastAsia="Times New Roman" w:hAnsi="Segoe UI" w:cs="Arial"/>
      <w:color w:val="000000"/>
      <w:kern w:val="0"/>
      <w:sz w:val="18"/>
      <w:szCs w:val="18"/>
      <w:lang w:eastAsia="en-GB"/>
      <w14:ligatures w14:val="none"/>
    </w:rPr>
  </w:style>
  <w:style w:type="table" w:styleId="TableGrid">
    <w:name w:val="Table Grid"/>
    <w:aliases w:val="EP Table Grid,MOJ Table Grid,ICB Table,Smart Text Table,UB Table Grid,SW table design,JBA Bordered Table Style,Table No Border,DPS Table Grid"/>
    <w:basedOn w:val="TableNormal"/>
    <w:uiPriority w:val="39"/>
    <w:rsid w:val="00AD7FD7"/>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character" w:customStyle="1" w:styleId="StyleBold">
    <w:name w:val="Style Bold"/>
    <w:basedOn w:val="DefaultParagraphFont"/>
    <w:rsid w:val="00C6013F"/>
    <w:rPr>
      <w:rFonts w:ascii="Segoe UI Semibold" w:hAnsi="Segoe UI Semibold"/>
      <w:b/>
      <w:bCs/>
    </w:rPr>
  </w:style>
  <w:style w:type="paragraph" w:customStyle="1" w:styleId="Tableheading">
    <w:name w:val="Table heading"/>
    <w:basedOn w:val="Normal"/>
    <w:qFormat/>
    <w:rsid w:val="0093555F"/>
    <w:pPr>
      <w:numPr>
        <w:numId w:val="12"/>
      </w:numPr>
      <w:tabs>
        <w:tab w:val="clear" w:pos="1247"/>
        <w:tab w:val="left" w:pos="1021"/>
      </w:tabs>
      <w:spacing w:before="240"/>
      <w:ind w:left="0" w:firstLine="0"/>
    </w:pPr>
    <w:rPr>
      <w:b/>
      <w:bCs/>
      <w:color w:val="025F5D"/>
    </w:rPr>
  </w:style>
  <w:style w:type="paragraph" w:customStyle="1" w:styleId="Figureheading">
    <w:name w:val="Figure heading"/>
    <w:basedOn w:val="Normal"/>
    <w:next w:val="BodyText"/>
    <w:qFormat/>
    <w:rsid w:val="0093555F"/>
    <w:pPr>
      <w:numPr>
        <w:numId w:val="13"/>
      </w:numPr>
      <w:tabs>
        <w:tab w:val="clear" w:pos="1247"/>
        <w:tab w:val="left" w:pos="1021"/>
      </w:tabs>
      <w:spacing w:before="240"/>
      <w:ind w:left="0" w:firstLine="0"/>
    </w:pPr>
    <w:rPr>
      <w:b/>
      <w:noProof/>
      <w:color w:val="025F5D"/>
    </w:rPr>
  </w:style>
  <w:style w:type="numbering" w:customStyle="1" w:styleId="CurrentList1">
    <w:name w:val="Current List1"/>
    <w:uiPriority w:val="99"/>
    <w:rsid w:val="009752F5"/>
    <w:pPr>
      <w:numPr>
        <w:numId w:val="14"/>
      </w:numPr>
    </w:pPr>
  </w:style>
  <w:style w:type="paragraph" w:styleId="ListParagraph">
    <w:name w:val="List Paragraph"/>
    <w:basedOn w:val="Normal"/>
    <w:uiPriority w:val="34"/>
    <w:qFormat/>
    <w:rsid w:val="004C4050"/>
    <w:pPr>
      <w:numPr>
        <w:numId w:val="41"/>
      </w:numPr>
      <w:ind w:left="357" w:hanging="357"/>
      <w:contextualSpacing/>
    </w:pPr>
  </w:style>
  <w:style w:type="paragraph" w:customStyle="1" w:styleId="BulletIndent1">
    <w:name w:val="Bullet Indent 1"/>
    <w:basedOn w:val="BulletUnindented"/>
    <w:qFormat/>
    <w:rsid w:val="00085BC7"/>
    <w:pPr>
      <w:ind w:left="714"/>
    </w:pPr>
  </w:style>
  <w:style w:type="paragraph" w:customStyle="1" w:styleId="BulletIndent2">
    <w:name w:val="Bullet Indent 2"/>
    <w:basedOn w:val="BulletIndent1"/>
    <w:qFormat/>
    <w:rsid w:val="00F41289"/>
    <w:pPr>
      <w:numPr>
        <w:ilvl w:val="1"/>
      </w:numPr>
    </w:pPr>
  </w:style>
  <w:style w:type="paragraph" w:customStyle="1" w:styleId="RomanLetterList">
    <w:name w:val="Roman Letter List"/>
    <w:basedOn w:val="ListParagraph"/>
    <w:qFormat/>
    <w:rsid w:val="0098332D"/>
    <w:pPr>
      <w:numPr>
        <w:numId w:val="39"/>
      </w:numPr>
      <w:spacing w:after="160" w:line="240" w:lineRule="auto"/>
    </w:pPr>
    <w:rPr>
      <w:szCs w:val="22"/>
    </w:rPr>
  </w:style>
  <w:style w:type="paragraph" w:customStyle="1" w:styleId="RomanNumeralsList">
    <w:name w:val="Roman Numerals List"/>
    <w:basedOn w:val="ListParagraph"/>
    <w:qFormat/>
    <w:rsid w:val="0098332D"/>
    <w:pPr>
      <w:numPr>
        <w:numId w:val="40"/>
      </w:numPr>
      <w:spacing w:after="160" w:line="240" w:lineRule="auto"/>
    </w:pPr>
    <w:rPr>
      <w:szCs w:val="22"/>
    </w:rPr>
  </w:style>
  <w:style w:type="character" w:customStyle="1" w:styleId="BodyTextChar">
    <w:name w:val="Body Text Char"/>
    <w:basedOn w:val="DefaultParagraphFont"/>
    <w:link w:val="BodyText"/>
    <w:uiPriority w:val="99"/>
    <w:rsid w:val="00CA6501"/>
    <w:rPr>
      <w:rFonts w:ascii="Segoe UI" w:hAnsi="Segoe UI"/>
    </w:rPr>
  </w:style>
  <w:style w:type="paragraph" w:styleId="FootnoteText">
    <w:name w:val="footnote text"/>
    <w:basedOn w:val="Normal"/>
    <w:link w:val="FootnoteTextChar"/>
    <w:uiPriority w:val="99"/>
    <w:semiHidden/>
    <w:unhideWhenUsed/>
    <w:rsid w:val="0066275D"/>
    <w:pPr>
      <w:spacing w:line="240" w:lineRule="auto"/>
    </w:pPr>
    <w:rPr>
      <w:sz w:val="20"/>
      <w:szCs w:val="20"/>
    </w:rPr>
  </w:style>
  <w:style w:type="character" w:customStyle="1" w:styleId="FootnoteTextChar">
    <w:name w:val="Footnote Text Char"/>
    <w:basedOn w:val="DefaultParagraphFont"/>
    <w:link w:val="FootnoteText"/>
    <w:uiPriority w:val="99"/>
    <w:semiHidden/>
    <w:rsid w:val="0066275D"/>
    <w:rPr>
      <w:rFonts w:ascii="Segoe UI" w:hAnsi="Segoe UI"/>
      <w:sz w:val="20"/>
      <w:szCs w:val="20"/>
    </w:rPr>
  </w:style>
  <w:style w:type="character" w:styleId="FootnoteReference">
    <w:name w:val="footnote reference"/>
    <w:basedOn w:val="DefaultParagraphFont"/>
    <w:uiPriority w:val="99"/>
    <w:semiHidden/>
    <w:unhideWhenUsed/>
    <w:rsid w:val="0066275D"/>
    <w:rPr>
      <w:vertAlign w:val="superscript"/>
    </w:rPr>
  </w:style>
  <w:style w:type="paragraph" w:styleId="CommentSubject">
    <w:name w:val="annotation subject"/>
    <w:basedOn w:val="CommentText"/>
    <w:next w:val="CommentText"/>
    <w:link w:val="CommentSubjectChar"/>
    <w:uiPriority w:val="99"/>
    <w:semiHidden/>
    <w:unhideWhenUsed/>
    <w:rsid w:val="008D4968"/>
    <w:pPr>
      <w:spacing w:after="0"/>
    </w:pPr>
    <w:rPr>
      <w:rFonts w:ascii="Segoe UI" w:hAnsi="Segoe U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D4968"/>
    <w:rPr>
      <w:rFonts w:ascii="Segoe UI" w:hAnsi="Segoe UI" w:cs="Times New Roman"/>
      <w:b/>
      <w:bCs/>
      <w:kern w:val="0"/>
      <w:sz w:val="20"/>
      <w:szCs w:val="20"/>
      <w14:ligatures w14:val="none"/>
    </w:rPr>
  </w:style>
  <w:style w:type="paragraph" w:styleId="TOCHeading">
    <w:name w:val="TOC Heading"/>
    <w:basedOn w:val="Heading1"/>
    <w:next w:val="Normal"/>
    <w:uiPriority w:val="39"/>
    <w:unhideWhenUsed/>
    <w:qFormat/>
    <w:rsid w:val="00F40769"/>
    <w:pPr>
      <w:pBdr>
        <w:bottom w:val="single" w:sz="12" w:space="1" w:color="00DCA1" w:themeColor="background2"/>
      </w:pBdr>
      <w:spacing w:before="480"/>
      <w:outlineLvl w:val="9"/>
    </w:pPr>
    <w:rPr>
      <w:rFonts w:asciiTheme="majorHAnsi" w:hAnsiTheme="majorHAnsi" w:cstheme="majorBidi"/>
      <w:kern w:val="0"/>
      <w:szCs w:val="28"/>
      <w:lang w:val="en-US"/>
      <w14:ligatures w14:val="none"/>
    </w:rPr>
  </w:style>
  <w:style w:type="paragraph" w:styleId="TOC1">
    <w:name w:val="toc 1"/>
    <w:basedOn w:val="Normal"/>
    <w:next w:val="Normal"/>
    <w:autoRedefine/>
    <w:uiPriority w:val="39"/>
    <w:unhideWhenUsed/>
    <w:rsid w:val="00B63816"/>
    <w:rPr>
      <w:rFonts w:ascii="Segoe UI Semibold" w:hAnsi="Segoe UI Semibold" w:cstheme="minorHAnsi"/>
      <w:b/>
      <w:bCs/>
      <w:iCs/>
    </w:rPr>
  </w:style>
  <w:style w:type="paragraph" w:styleId="TOC2">
    <w:name w:val="toc 2"/>
    <w:basedOn w:val="Normal"/>
    <w:next w:val="Normal"/>
    <w:autoRedefine/>
    <w:uiPriority w:val="39"/>
    <w:unhideWhenUsed/>
    <w:rsid w:val="00B63816"/>
    <w:pPr>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B63816"/>
    <w:pPr>
      <w:ind w:left="480"/>
    </w:pPr>
    <w:rPr>
      <w:rFonts w:cstheme="minorHAnsi"/>
      <w:sz w:val="20"/>
      <w:szCs w:val="20"/>
    </w:rPr>
  </w:style>
  <w:style w:type="paragraph" w:styleId="TOC4">
    <w:name w:val="toc 4"/>
    <w:basedOn w:val="Normal"/>
    <w:next w:val="Normal"/>
    <w:autoRedefine/>
    <w:uiPriority w:val="39"/>
    <w:semiHidden/>
    <w:unhideWhenUsed/>
    <w:rsid w:val="00F40769"/>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0769"/>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0769"/>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0769"/>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0769"/>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0769"/>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F40769"/>
  </w:style>
  <w:style w:type="paragraph" w:styleId="TOAHeading">
    <w:name w:val="toa heading"/>
    <w:basedOn w:val="Normal"/>
    <w:next w:val="Normal"/>
    <w:uiPriority w:val="99"/>
    <w:semiHidden/>
    <w:unhideWhenUsed/>
    <w:rsid w:val="00F40769"/>
    <w:rPr>
      <w:rFonts w:asciiTheme="majorHAnsi" w:eastAsiaTheme="majorEastAsia" w:hAnsiTheme="majorHAnsi"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customStyle="1" w:styleId="CDCBullet">
    <w:name w:val="CDC_Bullet"/>
    <w:basedOn w:val="Normal"/>
    <w:rsid w:val="00AD7FD7"/>
    <w:pPr>
      <w:contextualSpacing/>
    </w:pPr>
    <w:rPr>
      <w:rFonts w:eastAsia="Times New Roman" w:cs="Times New Roman"/>
      <w:kern w:val="0"/>
      <w:sz w:val="20"/>
      <w:szCs w:val="20"/>
      <w:lang w:eastAsia="en-AU"/>
      <w14:ligatures w14:val="none"/>
    </w:rPr>
  </w:style>
  <w:style w:type="paragraph" w:customStyle="1" w:styleId="Tabletext-Indented">
    <w:name w:val="Table text-Indented"/>
    <w:basedOn w:val="Normal"/>
    <w:qFormat/>
    <w:rsid w:val="002E0E53"/>
    <w:pPr>
      <w:ind w:left="113"/>
    </w:pPr>
    <w:rPr>
      <w:rFonts w:eastAsia="Times New Roman" w:cs="Times New Roman"/>
      <w:kern w:val="0"/>
      <w:sz w:val="20"/>
      <w:szCs w:val="20"/>
      <w:lang w:eastAsia="en-AU"/>
      <w14:ligatures w14:val="none"/>
    </w:rPr>
  </w:style>
  <w:style w:type="paragraph" w:styleId="ListBullet2">
    <w:name w:val="List Bullet 2"/>
    <w:basedOn w:val="ListNumber2"/>
    <w:rsid w:val="001C3090"/>
    <w:pPr>
      <w:spacing w:before="60" w:after="60" w:line="240" w:lineRule="auto"/>
      <w:contextualSpacing w:val="0"/>
    </w:pPr>
    <w:rPr>
      <w:rFonts w:eastAsia="Times New Roman" w:cs="Times New Roman"/>
      <w:color w:val="000000" w:themeColor="text1"/>
      <w:kern w:val="0"/>
      <w:sz w:val="20"/>
      <w14:ligatures w14:val="none"/>
    </w:rPr>
  </w:style>
  <w:style w:type="paragraph" w:customStyle="1" w:styleId="Tabletextleft">
    <w:name w:val="Table text left"/>
    <w:autoRedefine/>
    <w:qFormat/>
    <w:locked/>
    <w:rsid w:val="0093555F"/>
    <w:pPr>
      <w:spacing w:before="60" w:after="60"/>
    </w:pPr>
    <w:rPr>
      <w:rFonts w:ascii="Segoe UI" w:eastAsia="Times New Roman" w:hAnsi="Segoe UI" w:cs="Segoe UI"/>
      <w:color w:val="000000" w:themeColor="text1"/>
      <w:kern w:val="0"/>
      <w:sz w:val="22"/>
      <w:szCs w:val="20"/>
      <w:lang w:eastAsia="en-AU"/>
      <w14:ligatures w14:val="none"/>
    </w:rPr>
  </w:style>
  <w:style w:type="paragraph" w:customStyle="1" w:styleId="Tablelistbullet">
    <w:name w:val="Table list bullet"/>
    <w:basedOn w:val="Tabletextleft"/>
    <w:qFormat/>
    <w:rsid w:val="001C3090"/>
    <w:pPr>
      <w:numPr>
        <w:numId w:val="18"/>
      </w:numPr>
      <w:ind w:left="438" w:hanging="425"/>
    </w:pPr>
  </w:style>
  <w:style w:type="table" w:customStyle="1" w:styleId="DepartmentofHealthtable">
    <w:name w:val="Department of Health table"/>
    <w:basedOn w:val="TableNormal"/>
    <w:uiPriority w:val="99"/>
    <w:rsid w:val="001C3090"/>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listbullet2">
    <w:name w:val="Table list bullet 2"/>
    <w:basedOn w:val="ListBullet2"/>
    <w:link w:val="Tablelistbullet2Char"/>
    <w:qFormat/>
    <w:rsid w:val="001C3090"/>
  </w:style>
  <w:style w:type="character" w:customStyle="1" w:styleId="Tablelistbullet2Char">
    <w:name w:val="Table list bullet 2 Char"/>
    <w:basedOn w:val="DefaultParagraphFont"/>
    <w:link w:val="Tablelistbullet2"/>
    <w:rsid w:val="001C3090"/>
    <w:rPr>
      <w:rFonts w:ascii="Arial" w:eastAsia="Times New Roman" w:hAnsi="Arial" w:cs="Times New Roman"/>
      <w:color w:val="000000" w:themeColor="text1"/>
      <w:kern w:val="0"/>
      <w:sz w:val="20"/>
      <w14:ligatures w14:val="none"/>
    </w:rPr>
  </w:style>
  <w:style w:type="paragraph" w:styleId="ListNumber2">
    <w:name w:val="List Number 2"/>
    <w:basedOn w:val="ListParagraph"/>
    <w:uiPriority w:val="99"/>
    <w:unhideWhenUsed/>
    <w:rsid w:val="000448D7"/>
    <w:pPr>
      <w:numPr>
        <w:ilvl w:val="1"/>
      </w:numPr>
      <w:ind w:left="714" w:hanging="357"/>
    </w:pPr>
  </w:style>
  <w:style w:type="numbering" w:customStyle="1" w:styleId="CurrentList2">
    <w:name w:val="Current List2"/>
    <w:uiPriority w:val="99"/>
    <w:rsid w:val="001C3090"/>
    <w:pPr>
      <w:numPr>
        <w:numId w:val="21"/>
      </w:numPr>
    </w:pPr>
  </w:style>
  <w:style w:type="paragraph" w:styleId="CommentText">
    <w:name w:val="annotation text"/>
    <w:basedOn w:val="Normal"/>
    <w:link w:val="CommentTextChar"/>
    <w:uiPriority w:val="99"/>
    <w:unhideWhenUsed/>
    <w:rsid w:val="001C3090"/>
    <w:pPr>
      <w:spacing w:after="160" w:line="240" w:lineRule="auto"/>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qFormat/>
    <w:rsid w:val="001C3090"/>
    <w:rPr>
      <w:rFonts w:ascii="Times New Roman" w:hAnsi="Times New Roman" w:cs="Times New Roman"/>
      <w:kern w:val="0"/>
      <w:sz w:val="20"/>
      <w:szCs w:val="20"/>
      <w14:ligatures w14:val="none"/>
    </w:rPr>
  </w:style>
  <w:style w:type="character" w:styleId="CommentReference">
    <w:name w:val="annotation reference"/>
    <w:basedOn w:val="DefaultParagraphFont"/>
    <w:semiHidden/>
    <w:unhideWhenUsed/>
    <w:rsid w:val="001C3090"/>
    <w:rPr>
      <w:sz w:val="16"/>
      <w:szCs w:val="16"/>
    </w:rPr>
  </w:style>
  <w:style w:type="character" w:styleId="Mention">
    <w:name w:val="Mention"/>
    <w:basedOn w:val="DefaultParagraphFont"/>
    <w:uiPriority w:val="99"/>
    <w:unhideWhenUsed/>
    <w:rsid w:val="001C3090"/>
    <w:rPr>
      <w:color w:val="2B579A"/>
      <w:shd w:val="clear" w:color="auto" w:fill="E1DFDD"/>
    </w:rPr>
  </w:style>
  <w:style w:type="table" w:styleId="GridTable4-Accent1">
    <w:name w:val="Grid Table 4 Accent 1"/>
    <w:basedOn w:val="TableNormal"/>
    <w:uiPriority w:val="49"/>
    <w:rsid w:val="001C3090"/>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customStyle="1" w:styleId="StyleHeading3BoxSinglesolidlineText21ptLinewidth">
    <w:name w:val="Style Heading 3 + Box: (Single solid line Text 2  1 pt Line width)"/>
    <w:basedOn w:val="Heading3"/>
    <w:rsid w:val="00506E71"/>
    <w:pPr>
      <w:pBdr>
        <w:top w:val="single" w:sz="8" w:space="1" w:color="033636" w:themeColor="text2"/>
        <w:left w:val="single" w:sz="8" w:space="4" w:color="033636" w:themeColor="text2"/>
        <w:bottom w:val="single" w:sz="8" w:space="1" w:color="033636" w:themeColor="text2"/>
        <w:right w:val="single" w:sz="8" w:space="4" w:color="033636" w:themeColor="text2"/>
      </w:pBdr>
    </w:pPr>
    <w:rPr>
      <w:rFonts w:eastAsia="Times New Roman" w:cs="Times New Roman"/>
      <w:szCs w:val="20"/>
    </w:rPr>
  </w:style>
  <w:style w:type="paragraph" w:customStyle="1" w:styleId="StyleListParagraph">
    <w:name w:val="Style List Paragraph"/>
    <w:basedOn w:val="Normal"/>
    <w:rsid w:val="00F35CC9"/>
    <w:pPr>
      <w:pBdr>
        <w:top w:val="single" w:sz="8" w:space="1" w:color="033636" w:themeColor="text2"/>
        <w:left w:val="single" w:sz="8" w:space="4" w:color="033636" w:themeColor="text2"/>
        <w:bottom w:val="single" w:sz="8" w:space="1" w:color="033636" w:themeColor="text2"/>
        <w:right w:val="single" w:sz="8" w:space="4" w:color="033636" w:themeColor="text2"/>
      </w:pBdr>
      <w:ind w:left="720"/>
      <w:contextualSpacing/>
    </w:pPr>
    <w:rPr>
      <w:rFonts w:eastAsia="Times New Roman" w:cs="Times New Roman"/>
      <w:szCs w:val="20"/>
    </w:rPr>
  </w:style>
  <w:style w:type="paragraph" w:customStyle="1" w:styleId="StyleListParagraphBulletpointBulletsCVtextDotptF5ListPa">
    <w:name w:val="Style List ParagraphBullet pointBulletsCV textDot ptF5 List Pa..."/>
    <w:basedOn w:val="Normal"/>
    <w:rsid w:val="00F35CC9"/>
    <w:pPr>
      <w:ind w:left="720"/>
      <w:contextualSpacing/>
    </w:pPr>
    <w:rPr>
      <w:color w:val="184174" w:themeColor="hyperlink"/>
      <w:u w:val="single"/>
    </w:rPr>
  </w:style>
  <w:style w:type="paragraph" w:styleId="Revision">
    <w:name w:val="Revision"/>
    <w:hidden/>
    <w:uiPriority w:val="99"/>
    <w:semiHidden/>
    <w:rsid w:val="00203105"/>
    <w:rPr>
      <w:rFonts w:ascii="Segoe UI" w:hAnsi="Segoe UI"/>
    </w:rPr>
  </w:style>
  <w:style w:type="paragraph" w:styleId="EndnoteText">
    <w:name w:val="endnote text"/>
    <w:basedOn w:val="Normal"/>
    <w:link w:val="EndnoteTextChar"/>
    <w:uiPriority w:val="99"/>
    <w:semiHidden/>
    <w:unhideWhenUsed/>
    <w:rsid w:val="00352CFB"/>
    <w:pPr>
      <w:spacing w:before="120" w:line="240" w:lineRule="auto"/>
    </w:pPr>
    <w:rPr>
      <w:sz w:val="20"/>
      <w:szCs w:val="20"/>
    </w:rPr>
  </w:style>
  <w:style w:type="character" w:customStyle="1" w:styleId="EndnoteTextChar">
    <w:name w:val="Endnote Text Char"/>
    <w:basedOn w:val="DefaultParagraphFont"/>
    <w:link w:val="EndnoteText"/>
    <w:uiPriority w:val="99"/>
    <w:semiHidden/>
    <w:rsid w:val="00352CFB"/>
    <w:rPr>
      <w:rFonts w:ascii="Segoe UI" w:hAnsi="Segoe UI"/>
      <w:sz w:val="20"/>
      <w:szCs w:val="20"/>
    </w:rPr>
  </w:style>
  <w:style w:type="character" w:styleId="EndnoteReference">
    <w:name w:val="endnote reference"/>
    <w:basedOn w:val="DefaultParagraphFont"/>
    <w:uiPriority w:val="99"/>
    <w:unhideWhenUsed/>
    <w:rsid w:val="0043333E"/>
    <w:rPr>
      <w:vertAlign w:val="superscript"/>
    </w:rPr>
  </w:style>
  <w:style w:type="paragraph" w:styleId="ListNumber">
    <w:name w:val="List Number"/>
    <w:basedOn w:val="ListParagraph"/>
    <w:uiPriority w:val="99"/>
    <w:unhideWhenUsed/>
    <w:rsid w:val="000448D7"/>
    <w:pPr>
      <w:spacing w:before="120" w:after="120"/>
      <w:contextualSpacing w:val="0"/>
    </w:pPr>
  </w:style>
  <w:style w:type="paragraph" w:styleId="Caption">
    <w:name w:val="caption"/>
    <w:basedOn w:val="Normal"/>
    <w:next w:val="Normal"/>
    <w:uiPriority w:val="35"/>
    <w:unhideWhenUsed/>
    <w:rsid w:val="00412FBC"/>
    <w:pPr>
      <w:spacing w:after="200" w:line="240" w:lineRule="auto"/>
    </w:pPr>
    <w:rPr>
      <w:rFonts w:asciiTheme="minorHAnsi" w:hAnsiTheme="minorHAnsi" w:cs="Times New Roman"/>
      <w:i/>
      <w:iCs/>
      <w:color w:val="033636" w:themeColor="text2"/>
      <w:kern w:val="0"/>
      <w:sz w:val="18"/>
      <w:szCs w:val="18"/>
      <w14:ligatures w14:val="none"/>
    </w:rPr>
  </w:style>
  <w:style w:type="table" w:styleId="PlainTable1">
    <w:name w:val="Plain Table 1"/>
    <w:basedOn w:val="TableNormal"/>
    <w:uiPriority w:val="41"/>
    <w:rsid w:val="00412FB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E1E8E"/>
    <w:rPr>
      <w:color w:val="6D6D70" w:themeColor="followedHyperlink"/>
      <w:u w:val="single"/>
    </w:rPr>
  </w:style>
  <w:style w:type="paragraph" w:styleId="NormalWeb">
    <w:name w:val="Normal (Web)"/>
    <w:basedOn w:val="Normal"/>
    <w:uiPriority w:val="99"/>
    <w:semiHidden/>
    <w:unhideWhenUsed/>
    <w:rsid w:val="004141B5"/>
    <w:rPr>
      <w:rFonts w:ascii="Times New Roman" w:hAnsi="Times New Roman" w:cs="Times New Roman"/>
    </w:rPr>
  </w:style>
  <w:style w:type="paragraph" w:styleId="ListBullet">
    <w:name w:val="List Bullet"/>
    <w:basedOn w:val="Normal"/>
    <w:uiPriority w:val="99"/>
    <w:unhideWhenUsed/>
    <w:rsid w:val="000448D7"/>
    <w:pPr>
      <w:numPr>
        <w:numId w:val="6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au/topics/climate-and-health/guidance-risk-assessment" TargetMode="External"/><Relationship Id="rId18" Type="http://schemas.openxmlformats.org/officeDocument/2006/relationships/hyperlink" Target="https://www.acs.gov.au/pages/national-climate-risk-assessmen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health.qld.gov.au/system-governance/strategic-direction/plans/climate-change/climate-change-strategy-and-planning" TargetMode="External"/><Relationship Id="rId34"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https://www.cdc.gov.au/topics/climate-and-health/guidance-risk-assessment" TargetMode="External"/><Relationship Id="rId17" Type="http://schemas.openxmlformats.org/officeDocument/2006/relationships/hyperlink" Target="https://www.finance.gov.au/government/climate-action-government-operations/commonwealth-climate-disclosure-requirements" TargetMode="External"/><Relationship Id="rId25" Type="http://schemas.openxmlformats.org/officeDocument/2006/relationships/footer" Target="footer1.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finance.gov.au/government/climate-action-government-operations/commonwealth-climate-disclosure" TargetMode="External"/><Relationship Id="rId20" Type="http://schemas.openxmlformats.org/officeDocument/2006/relationships/hyperlink" Target="https://www.dcceew.gov.au/climate-change/policy/adaptation/climate-risk-opportunity-management-program"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hyperlink" Target="https://www.asic.gov.au/regulatory-resources/find-a-document/regulatory-guides/rg-280-sustainability-reporting/"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dcceew.gov.au/climate-change/policy/adaptation/nap" TargetMode="External"/><Relationship Id="rId31" Type="http://schemas.openxmlformats.org/officeDocument/2006/relationships/hyperlink" Target="https://www.dcceew.gov.au/sites/default/files/documents/national-adaptation-pla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ndards.aasb.gov.au/aasb-s2-dec-2025" TargetMode="External"/><Relationship Id="rId22" Type="http://schemas.openxmlformats.org/officeDocument/2006/relationships/image" Target="media/image2.png"/><Relationship Id="rId27" Type="http://schemas.openxmlformats.org/officeDocument/2006/relationships/header" Target="header3.xml"/><Relationship Id="rId30" Type="http://schemas.openxmlformats.org/officeDocument/2006/relationships/image" Target="media/image7.png"/><Relationship Id="rId35" Type="http://schemas.openxmlformats.org/officeDocument/2006/relationships/fontTable" Target="fontTable.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s://www.asic.gov.au/regulatory-resources/find-a-document/reports/rep-809-response-to-submissions-on-cp-380-sustainability-reporting/" TargetMode="External"/><Relationship Id="rId13" Type="http://schemas.openxmlformats.org/officeDocument/2006/relationships/hyperlink" Target="https://www.cdc.gov.au/resources/publications/national-health-and-climate-strategy-stakeholder-engagement-report" TargetMode="External"/><Relationship Id="rId18" Type="http://schemas.openxmlformats.org/officeDocument/2006/relationships/hyperlink" Target="https://www.ipcc.ch/report/ar6/wg2/downloads/outreach/IPCC_AR6_WGII_FactSheet_Health.pdf" TargetMode="External"/><Relationship Id="rId3" Type="http://schemas.openxmlformats.org/officeDocument/2006/relationships/hyperlink" Target="https://www.dcceew.gov.au/sites/default/files/documents/climate-risk-management-technical-guidance.pdf" TargetMode="External"/><Relationship Id="rId7" Type="http://schemas.openxmlformats.org/officeDocument/2006/relationships/hyperlink" Target="https://standards.aasb.gov.au/aasb-s2-sep-2024" TargetMode="External"/><Relationship Id="rId12" Type="http://schemas.openxmlformats.org/officeDocument/2006/relationships/hyperlink" Target="https://www.health.qld.gov.au/system-governance/strategic-direction/plans/climate-change/climate-change-strategy-and-planning" TargetMode="External"/><Relationship Id="rId17" Type="http://schemas.openxmlformats.org/officeDocument/2006/relationships/hyperlink" Target="https://www.england.nhs.uk/publication/climate-adaptation-resources/" TargetMode="External"/><Relationship Id="rId2" Type="http://schemas.openxmlformats.org/officeDocument/2006/relationships/hyperlink" Target="https://www.dcceew.gov.au/climate-change/publications/national-adaptation-plan" TargetMode="External"/><Relationship Id="rId16" Type="http://schemas.openxmlformats.org/officeDocument/2006/relationships/hyperlink" Target="https://standards.aasb.gov.au/sites/default/files/2025-01/AASBS2_09-24.pdf" TargetMode="External"/><Relationship Id="rId20" Type="http://schemas.openxmlformats.org/officeDocument/2006/relationships/hyperlink" Target="https://www.lse.ac.uk/granthaminstitute/explainers/what-is-the-difference-between-climate-change-adaptation-and-resilience/" TargetMode="External"/><Relationship Id="rId1" Type="http://schemas.openxmlformats.org/officeDocument/2006/relationships/hyperlink" Target="https://www.acs.gov.au/pages/national-climate-risk-assessment" TargetMode="External"/><Relationship Id="rId6" Type="http://schemas.openxmlformats.org/officeDocument/2006/relationships/hyperlink" Target="https://treasury.gov.au/publication/p2026-782391" TargetMode="External"/><Relationship Id="rId11" Type="http://schemas.openxmlformats.org/officeDocument/2006/relationships/hyperlink" Target="https://www.dcceew.gov.au/climate-change/strategies/annual-climate-change-statement-2025" TargetMode="External"/><Relationship Id="rId5" Type="http://schemas.openxmlformats.org/officeDocument/2006/relationships/hyperlink" Target="https://www.cdc.gov.au/topics/climate-and-health/national-health-and-climate-strategy" TargetMode="External"/><Relationship Id="rId15" Type="http://schemas.openxmlformats.org/officeDocument/2006/relationships/hyperlink" Target="https://treasury.gov.au/sites/default/files/2024-01/c2024-466491-pia.pdf" TargetMode="External"/><Relationship Id="rId10" Type="http://schemas.openxmlformats.org/officeDocument/2006/relationships/hyperlink" Target="https://www.dcceew.gov.au/sites/default/files/documents/net-zero-report.pdf" TargetMode="External"/><Relationship Id="rId19" Type="http://schemas.openxmlformats.org/officeDocument/2006/relationships/hyperlink" Target="https://www.climatechange.environment.nsw.gov.au/resources-and-research/climate-risk-ready-nsw-guide" TargetMode="External"/><Relationship Id="rId4" Type="http://schemas.openxmlformats.org/officeDocument/2006/relationships/hyperlink" Target="https://treasury.gov.au/policy-topics/banking-and-finance/sustainable-finance/climate-financial-reporting-guidance" TargetMode="External"/><Relationship Id="rId9" Type="http://schemas.openxmlformats.org/officeDocument/2006/relationships/hyperlink" Target="https://unfccc.int/sites/default/files/2025-09/Australias%20Second%20NDC.pdf" TargetMode="External"/><Relationship Id="rId14" Type="http://schemas.openxmlformats.org/officeDocument/2006/relationships/hyperlink" Target="https://www.dcceew.gov.au/sites/default/files/documents/climate-risk-management.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URRP\OneDrive%20-%20Department%20of%20Health\NHSCU%20-%20Documents\Files\Adaptation\03.%20Guidance\0.%20FINAL%20COMPLETE%20GUIDANCE%20PACK%20+%20COMMS\For%20Maddie%20Review%20-%20NEW%20TEMPLATE%20FOR%20GUIDANCE.dotx" TargetMode="External"/></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6F32AC-7B53-4CFB-B397-C78591592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796B7-ADDE-43CA-971A-6ACB86ECC87D}">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3.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4.xml><?xml version="1.0" encoding="utf-8"?>
<ds:datastoreItem xmlns:ds="http://schemas.openxmlformats.org/officeDocument/2006/customXml" ds:itemID="{50B53547-3E03-485B-BCFC-3198ADB828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 Maddie Review - NEW TEMPLATE FOR GUIDANCE.dotx</Template>
  <TotalTime>7</TotalTime>
  <Pages>20</Pages>
  <Words>4293</Words>
  <Characters>24475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Guidance on climate risk assessment and adaptation planning for Australian health system organisations</vt:lpstr>
    </vt:vector>
  </TitlesOfParts>
  <Company/>
  <LinksUpToDate>false</LinksUpToDate>
  <CharactersWithSpaces>28711</CharactersWithSpaces>
  <SharedDoc>false</SharedDoc>
  <HLinks>
    <vt:vector size="186" baseType="variant">
      <vt:variant>
        <vt:i4>5832785</vt:i4>
      </vt:variant>
      <vt:variant>
        <vt:i4>66</vt:i4>
      </vt:variant>
      <vt:variant>
        <vt:i4>0</vt:i4>
      </vt:variant>
      <vt:variant>
        <vt:i4>5</vt:i4>
      </vt:variant>
      <vt:variant>
        <vt:lpwstr>https://www.dcceew.gov.au/sites/default/files/documents/national-adaptation-plan.pdf</vt:lpwstr>
      </vt:variant>
      <vt:variant>
        <vt:lpwstr/>
      </vt:variant>
      <vt:variant>
        <vt:i4>786507</vt:i4>
      </vt:variant>
      <vt:variant>
        <vt:i4>42</vt:i4>
      </vt:variant>
      <vt:variant>
        <vt:i4>0</vt:i4>
      </vt:variant>
      <vt:variant>
        <vt:i4>5</vt:i4>
      </vt:variant>
      <vt:variant>
        <vt:lpwstr>https://www.health.qld.gov.au/system-governance/strategic-direction/plans/climate-change/climate-change-strategy-and-planning</vt:lpwstr>
      </vt:variant>
      <vt:variant>
        <vt:lpwstr/>
      </vt:variant>
      <vt:variant>
        <vt:i4>7667759</vt:i4>
      </vt:variant>
      <vt:variant>
        <vt:i4>33</vt:i4>
      </vt:variant>
      <vt:variant>
        <vt:i4>0</vt:i4>
      </vt:variant>
      <vt:variant>
        <vt:i4>5</vt:i4>
      </vt:variant>
      <vt:variant>
        <vt:lpwstr>https://www.dcceew.gov.au/climate-change/policy/adaptation/climate-risk-opportunity-management-program</vt:lpwstr>
      </vt:variant>
      <vt:variant>
        <vt:lpwstr/>
      </vt:variant>
      <vt:variant>
        <vt:i4>6357026</vt:i4>
      </vt:variant>
      <vt:variant>
        <vt:i4>24</vt:i4>
      </vt:variant>
      <vt:variant>
        <vt:i4>0</vt:i4>
      </vt:variant>
      <vt:variant>
        <vt:i4>5</vt:i4>
      </vt:variant>
      <vt:variant>
        <vt:lpwstr>https://www.dcceew.gov.au/climate-change/policy/adaptation/nap</vt:lpwstr>
      </vt:variant>
      <vt:variant>
        <vt:lpwstr/>
      </vt:variant>
      <vt:variant>
        <vt:i4>5505038</vt:i4>
      </vt:variant>
      <vt:variant>
        <vt:i4>21</vt:i4>
      </vt:variant>
      <vt:variant>
        <vt:i4>0</vt:i4>
      </vt:variant>
      <vt:variant>
        <vt:i4>5</vt:i4>
      </vt:variant>
      <vt:variant>
        <vt:lpwstr>https://www.acs.gov.au/pages/national-climate-risk-assessment</vt:lpwstr>
      </vt:variant>
      <vt:variant>
        <vt:lpwstr/>
      </vt:variant>
      <vt:variant>
        <vt:i4>7340083</vt:i4>
      </vt:variant>
      <vt:variant>
        <vt:i4>18</vt:i4>
      </vt:variant>
      <vt:variant>
        <vt:i4>0</vt:i4>
      </vt:variant>
      <vt:variant>
        <vt:i4>5</vt:i4>
      </vt:variant>
      <vt:variant>
        <vt:lpwstr>https://www.finance.gov.au/government/climate-action-government-operations/commonwealth-climate-disclosure-requirements</vt:lpwstr>
      </vt:variant>
      <vt:variant>
        <vt:lpwstr/>
      </vt:variant>
      <vt:variant>
        <vt:i4>7209087</vt:i4>
      </vt:variant>
      <vt:variant>
        <vt:i4>15</vt:i4>
      </vt:variant>
      <vt:variant>
        <vt:i4>0</vt:i4>
      </vt:variant>
      <vt:variant>
        <vt:i4>5</vt:i4>
      </vt:variant>
      <vt:variant>
        <vt:lpwstr>https://www.finance.gov.au/government/climate-action-government-operations/commonwealth-climate-disclosure</vt:lpwstr>
      </vt:variant>
      <vt:variant>
        <vt:lpwstr/>
      </vt:variant>
      <vt:variant>
        <vt:i4>7536763</vt:i4>
      </vt:variant>
      <vt:variant>
        <vt:i4>12</vt:i4>
      </vt:variant>
      <vt:variant>
        <vt:i4>0</vt:i4>
      </vt:variant>
      <vt:variant>
        <vt:i4>5</vt:i4>
      </vt:variant>
      <vt:variant>
        <vt:lpwstr>https://www.asic.gov.au/regulatory-resources/find-a-document/regulatory-guides/rg-280-sustainability-reporting/</vt:lpwstr>
      </vt:variant>
      <vt:variant>
        <vt:lpwstr/>
      </vt:variant>
      <vt:variant>
        <vt:i4>7077941</vt:i4>
      </vt:variant>
      <vt:variant>
        <vt:i4>9</vt:i4>
      </vt:variant>
      <vt:variant>
        <vt:i4>0</vt:i4>
      </vt:variant>
      <vt:variant>
        <vt:i4>5</vt:i4>
      </vt:variant>
      <vt:variant>
        <vt:lpwstr>https://standards.aasb.gov.au/aasb-s2-dec-2025</vt:lpwstr>
      </vt:variant>
      <vt:variant>
        <vt:lpwstr/>
      </vt:variant>
      <vt:variant>
        <vt:i4>4521989</vt:i4>
      </vt:variant>
      <vt:variant>
        <vt:i4>3</vt:i4>
      </vt:variant>
      <vt:variant>
        <vt:i4>0</vt:i4>
      </vt:variant>
      <vt:variant>
        <vt:i4>5</vt:i4>
      </vt:variant>
      <vt:variant>
        <vt:lpwstr>https://www.cdc.gov.au/topics/climate-and-health/guidance-risk-assessment</vt:lpwstr>
      </vt:variant>
      <vt:variant>
        <vt:lpwstr/>
      </vt:variant>
      <vt:variant>
        <vt:i4>4521989</vt:i4>
      </vt:variant>
      <vt:variant>
        <vt:i4>0</vt:i4>
      </vt:variant>
      <vt:variant>
        <vt:i4>0</vt:i4>
      </vt:variant>
      <vt:variant>
        <vt:i4>5</vt:i4>
      </vt:variant>
      <vt:variant>
        <vt:lpwstr>https://www.cdc.gov.au/topics/climate-and-health/guidance-risk-assessment</vt:lpwstr>
      </vt:variant>
      <vt:variant>
        <vt:lpwstr/>
      </vt:variant>
      <vt:variant>
        <vt:i4>7340150</vt:i4>
      </vt:variant>
      <vt:variant>
        <vt:i4>57</vt:i4>
      </vt:variant>
      <vt:variant>
        <vt:i4>0</vt:i4>
      </vt:variant>
      <vt:variant>
        <vt:i4>5</vt:i4>
      </vt:variant>
      <vt:variant>
        <vt:lpwstr>https://www.lse.ac.uk/granthaminstitute/explainers/what-is-the-difference-between-climate-change-adaptation-and-resilience/</vt:lpwstr>
      </vt:variant>
      <vt:variant>
        <vt:lpwstr/>
      </vt:variant>
      <vt:variant>
        <vt:i4>5570653</vt:i4>
      </vt:variant>
      <vt:variant>
        <vt:i4>54</vt:i4>
      </vt:variant>
      <vt:variant>
        <vt:i4>0</vt:i4>
      </vt:variant>
      <vt:variant>
        <vt:i4>5</vt:i4>
      </vt:variant>
      <vt:variant>
        <vt:lpwstr>https://www.climatechange.environment.nsw.gov.au/resources-and-research/climate-risk-ready-nsw-guide</vt:lpwstr>
      </vt:variant>
      <vt:variant>
        <vt:lpwstr/>
      </vt:variant>
      <vt:variant>
        <vt:i4>1114187</vt:i4>
      </vt:variant>
      <vt:variant>
        <vt:i4>51</vt:i4>
      </vt:variant>
      <vt:variant>
        <vt:i4>0</vt:i4>
      </vt:variant>
      <vt:variant>
        <vt:i4>5</vt:i4>
      </vt:variant>
      <vt:variant>
        <vt:lpwstr>https://www.ipcc.ch/report/ar6/wg2/downloads/outreach/IPCC_AR6_WGII_FactSheet_Health.pdf</vt:lpwstr>
      </vt:variant>
      <vt:variant>
        <vt:lpwstr/>
      </vt:variant>
      <vt:variant>
        <vt:i4>4456448</vt:i4>
      </vt:variant>
      <vt:variant>
        <vt:i4>48</vt:i4>
      </vt:variant>
      <vt:variant>
        <vt:i4>0</vt:i4>
      </vt:variant>
      <vt:variant>
        <vt:i4>5</vt:i4>
      </vt:variant>
      <vt:variant>
        <vt:lpwstr>https://www.england.nhs.uk/publication/climate-adaptation-resources/</vt:lpwstr>
      </vt:variant>
      <vt:variant>
        <vt:lpwstr/>
      </vt:variant>
      <vt:variant>
        <vt:i4>3080274</vt:i4>
      </vt:variant>
      <vt:variant>
        <vt:i4>45</vt:i4>
      </vt:variant>
      <vt:variant>
        <vt:i4>0</vt:i4>
      </vt:variant>
      <vt:variant>
        <vt:i4>5</vt:i4>
      </vt:variant>
      <vt:variant>
        <vt:lpwstr>https://standards.aasb.gov.au/sites/default/files/2025-01/AASBS2_09-24.pdf</vt:lpwstr>
      </vt:variant>
      <vt:variant>
        <vt:lpwstr/>
      </vt:variant>
      <vt:variant>
        <vt:i4>1310730</vt:i4>
      </vt:variant>
      <vt:variant>
        <vt:i4>42</vt:i4>
      </vt:variant>
      <vt:variant>
        <vt:i4>0</vt:i4>
      </vt:variant>
      <vt:variant>
        <vt:i4>5</vt:i4>
      </vt:variant>
      <vt:variant>
        <vt:lpwstr>https://treasury.gov.au/sites/default/files/2024-01/c2024-466491-pia.pdf</vt:lpwstr>
      </vt:variant>
      <vt:variant>
        <vt:lpwstr/>
      </vt:variant>
      <vt:variant>
        <vt:i4>7471207</vt:i4>
      </vt:variant>
      <vt:variant>
        <vt:i4>39</vt:i4>
      </vt:variant>
      <vt:variant>
        <vt:i4>0</vt:i4>
      </vt:variant>
      <vt:variant>
        <vt:i4>5</vt:i4>
      </vt:variant>
      <vt:variant>
        <vt:lpwstr>https://www.dcceew.gov.au/sites/default/files/documents/climate-risk-management.pdf</vt:lpwstr>
      </vt:variant>
      <vt:variant>
        <vt:lpwstr/>
      </vt:variant>
      <vt:variant>
        <vt:i4>1245195</vt:i4>
      </vt:variant>
      <vt:variant>
        <vt:i4>36</vt:i4>
      </vt:variant>
      <vt:variant>
        <vt:i4>0</vt:i4>
      </vt:variant>
      <vt:variant>
        <vt:i4>5</vt:i4>
      </vt:variant>
      <vt:variant>
        <vt:lpwstr>https://www.cdc.gov.au/resources/publications/national-health-and-climate-strategy-stakeholder-engagement-report</vt:lpwstr>
      </vt:variant>
      <vt:variant>
        <vt:lpwstr/>
      </vt:variant>
      <vt:variant>
        <vt:i4>786507</vt:i4>
      </vt:variant>
      <vt:variant>
        <vt:i4>33</vt:i4>
      </vt:variant>
      <vt:variant>
        <vt:i4>0</vt:i4>
      </vt:variant>
      <vt:variant>
        <vt:i4>5</vt:i4>
      </vt:variant>
      <vt:variant>
        <vt:lpwstr>https://www.health.qld.gov.au/system-governance/strategic-direction/plans/climate-change/climate-change-strategy-and-planning</vt:lpwstr>
      </vt:variant>
      <vt:variant>
        <vt:lpwstr/>
      </vt:variant>
      <vt:variant>
        <vt:i4>2031624</vt:i4>
      </vt:variant>
      <vt:variant>
        <vt:i4>30</vt:i4>
      </vt:variant>
      <vt:variant>
        <vt:i4>0</vt:i4>
      </vt:variant>
      <vt:variant>
        <vt:i4>5</vt:i4>
      </vt:variant>
      <vt:variant>
        <vt:lpwstr>https://www.dcceew.gov.au/climate-change/strategies/annual-climate-change-statement-2025</vt:lpwstr>
      </vt:variant>
      <vt:variant>
        <vt:lpwstr/>
      </vt:variant>
      <vt:variant>
        <vt:i4>8192112</vt:i4>
      </vt:variant>
      <vt:variant>
        <vt:i4>27</vt:i4>
      </vt:variant>
      <vt:variant>
        <vt:i4>0</vt:i4>
      </vt:variant>
      <vt:variant>
        <vt:i4>5</vt:i4>
      </vt:variant>
      <vt:variant>
        <vt:lpwstr>https://www.dcceew.gov.au/sites/default/files/documents/net-zero-report.pdf</vt:lpwstr>
      </vt:variant>
      <vt:variant>
        <vt:lpwstr/>
      </vt:variant>
      <vt:variant>
        <vt:i4>4194312</vt:i4>
      </vt:variant>
      <vt:variant>
        <vt:i4>24</vt:i4>
      </vt:variant>
      <vt:variant>
        <vt:i4>0</vt:i4>
      </vt:variant>
      <vt:variant>
        <vt:i4>5</vt:i4>
      </vt:variant>
      <vt:variant>
        <vt:lpwstr>https://unfccc.int/sites/default/files/2025-09/Australias Second NDC.pdf</vt:lpwstr>
      </vt:variant>
      <vt:variant>
        <vt:lpwstr/>
      </vt:variant>
      <vt:variant>
        <vt:i4>1638476</vt:i4>
      </vt:variant>
      <vt:variant>
        <vt:i4>21</vt:i4>
      </vt:variant>
      <vt:variant>
        <vt:i4>0</vt:i4>
      </vt:variant>
      <vt:variant>
        <vt:i4>5</vt:i4>
      </vt:variant>
      <vt:variant>
        <vt:lpwstr>https://www.asic.gov.au/regulatory-resources/find-a-document/reports/rep-809-response-to-submissions-on-cp-380-sustainability-reporting/</vt:lpwstr>
      </vt:variant>
      <vt:variant>
        <vt:lpwstr/>
      </vt:variant>
      <vt:variant>
        <vt:i4>7143473</vt:i4>
      </vt:variant>
      <vt:variant>
        <vt:i4>18</vt:i4>
      </vt:variant>
      <vt:variant>
        <vt:i4>0</vt:i4>
      </vt:variant>
      <vt:variant>
        <vt:i4>5</vt:i4>
      </vt:variant>
      <vt:variant>
        <vt:lpwstr>https://standards.aasb.gov.au/aasb-s2-sep-2024</vt:lpwstr>
      </vt:variant>
      <vt:variant>
        <vt:lpwstr/>
      </vt:variant>
      <vt:variant>
        <vt:i4>720903</vt:i4>
      </vt:variant>
      <vt:variant>
        <vt:i4>15</vt:i4>
      </vt:variant>
      <vt:variant>
        <vt:i4>0</vt:i4>
      </vt:variant>
      <vt:variant>
        <vt:i4>5</vt:i4>
      </vt:variant>
      <vt:variant>
        <vt:lpwstr>https://treasury.gov.au/policy-topics/banking-and-finance/sustainable-finance</vt:lpwstr>
      </vt:variant>
      <vt:variant>
        <vt:lpwstr/>
      </vt:variant>
      <vt:variant>
        <vt:i4>4521986</vt:i4>
      </vt:variant>
      <vt:variant>
        <vt:i4>12</vt:i4>
      </vt:variant>
      <vt:variant>
        <vt:i4>0</vt:i4>
      </vt:variant>
      <vt:variant>
        <vt:i4>5</vt:i4>
      </vt:variant>
      <vt:variant>
        <vt:lpwstr>https://www.cdc.gov.au/topics/climate-and-health/national-health-and-climate-strategy</vt:lpwstr>
      </vt:variant>
      <vt:variant>
        <vt:lpwstr/>
      </vt:variant>
      <vt:variant>
        <vt:i4>8126589</vt:i4>
      </vt:variant>
      <vt:variant>
        <vt:i4>9</vt:i4>
      </vt:variant>
      <vt:variant>
        <vt:i4>0</vt:i4>
      </vt:variant>
      <vt:variant>
        <vt:i4>5</vt:i4>
      </vt:variant>
      <vt:variant>
        <vt:lpwstr>https://treasury.gov.au/policy-topics/banking-and-finance/sustainable-finance/climate-financial-reporting-guidance</vt:lpwstr>
      </vt:variant>
      <vt:variant>
        <vt:lpwstr/>
      </vt:variant>
      <vt:variant>
        <vt:i4>3211303</vt:i4>
      </vt:variant>
      <vt:variant>
        <vt:i4>6</vt:i4>
      </vt:variant>
      <vt:variant>
        <vt:i4>0</vt:i4>
      </vt:variant>
      <vt:variant>
        <vt:i4>5</vt:i4>
      </vt:variant>
      <vt:variant>
        <vt:lpwstr>https://www.dcceew.gov.au/sites/default/files/documents/climate-risk-management-technical-guidance.pdf</vt:lpwstr>
      </vt:variant>
      <vt:variant>
        <vt:lpwstr/>
      </vt:variant>
      <vt:variant>
        <vt:i4>2424884</vt:i4>
      </vt:variant>
      <vt:variant>
        <vt:i4>3</vt:i4>
      </vt:variant>
      <vt:variant>
        <vt:i4>0</vt:i4>
      </vt:variant>
      <vt:variant>
        <vt:i4>5</vt:i4>
      </vt:variant>
      <vt:variant>
        <vt:lpwstr>https://www.dcceew.gov.au/climate-change/publications/national-adaptation-plan</vt:lpwstr>
      </vt:variant>
      <vt:variant>
        <vt:lpwstr/>
      </vt:variant>
      <vt:variant>
        <vt:i4>5505038</vt:i4>
      </vt:variant>
      <vt:variant>
        <vt:i4>0</vt:i4>
      </vt:variant>
      <vt:variant>
        <vt:i4>0</vt:i4>
      </vt:variant>
      <vt:variant>
        <vt:i4>5</vt:i4>
      </vt:variant>
      <vt:variant>
        <vt:lpwstr>https://www.acs.gov.au/pages/national-climate-risk-assessment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climate risk assessment and adaptation planning for Australian health system organisations</dc:title>
  <dc:subject>Environmental health</dc:subject>
  <dc:creator>Australian Centre for Disease Control</dc:creator>
  <cp:keywords>Climate assessment</cp:keywords>
  <dc:description/>
  <cp:lastModifiedBy>MASCHKE, Elvia</cp:lastModifiedBy>
  <cp:revision>3</cp:revision>
  <dcterms:created xsi:type="dcterms:W3CDTF">2026-09-22T06:07:00Z</dcterms:created>
  <dcterms:modified xsi:type="dcterms:W3CDTF">2026-09-22T23:42:00Z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0x010100A7DF337C811391409B6C212B2F959029</vt:lpwstr>
  </property>
  <property fmtid="{D5CDD505-2E9C-101B-9397-08002B2CF9AE}" pid="17" name="MediaServiceImageTags">
    <vt:lpwstr/>
  </property>
  <property fmtid="{D5CDD505-2E9C-101B-9397-08002B2CF9AE}" pid="18" name="Order">
    <vt:r8>731100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docLang">
    <vt:lpwstr>en</vt:lpwstr>
  </property>
</Properties>
</file>