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egoe UI" w:eastAsiaTheme="minorEastAsia" w:hAnsi="Segoe UI" w:cs="Times New Roman (Body CS)"/>
          <w:color w:val="025F5D"/>
          <w:spacing w:val="0"/>
          <w:kern w:val="2"/>
          <w:sz w:val="56"/>
          <w:szCs w:val="22"/>
        </w:rPr>
        <w:id w:val="-1859646906"/>
        <w:docPartObj>
          <w:docPartGallery w:val="Cover Pages"/>
          <w:docPartUnique/>
        </w:docPartObj>
      </w:sdtPr>
      <w:sdtEndPr>
        <w:rPr>
          <w:b/>
          <w:bCs/>
          <w:sz w:val="36"/>
          <w:szCs w:val="36"/>
        </w:rPr>
      </w:sdtEndPr>
      <w:sdtContent>
        <w:p w14:paraId="00AF4F30" w14:textId="6812EF95" w:rsidR="0047616C" w:rsidRPr="009C6E3B" w:rsidRDefault="009C6E3B" w:rsidP="007E72A6">
          <w:pPr>
            <w:pStyle w:val="Title"/>
            <w:rPr>
              <w:sz w:val="56"/>
            </w:rPr>
          </w:pPr>
          <w:r w:rsidRPr="009C6E3B">
            <w:rPr>
              <w:sz w:val="56"/>
            </w:rPr>
            <w:t xml:space="preserve">Guidance on climate risk </w:t>
          </w:r>
          <w:r>
            <w:rPr>
              <w:sz w:val="56"/>
            </w:rPr>
            <w:t>assessment and adaptation planning for Australian health system organisations</w:t>
          </w:r>
        </w:p>
        <w:p w14:paraId="0B9BFD6B" w14:textId="1F03D965" w:rsidR="00E021A7" w:rsidRDefault="00024029" w:rsidP="00BD0E2D">
          <w:pPr>
            <w:pStyle w:val="Subtitle"/>
            <w:spacing w:before="240" w:after="0"/>
            <w:rPr>
              <w:b/>
              <w:bCs/>
              <w:sz w:val="36"/>
              <w:szCs w:val="36"/>
            </w:rPr>
          </w:pPr>
          <w:r w:rsidRPr="001110CF">
            <w:rPr>
              <w:b/>
              <w:bCs/>
              <w:sz w:val="36"/>
              <w:szCs w:val="26"/>
            </w:rPr>
            <w:t xml:space="preserve">Climate and </w:t>
          </w:r>
          <w:r w:rsidR="007A03EE">
            <w:rPr>
              <w:b/>
              <w:bCs/>
              <w:sz w:val="36"/>
              <w:szCs w:val="26"/>
            </w:rPr>
            <w:t>H</w:t>
          </w:r>
          <w:r w:rsidRPr="001110CF">
            <w:rPr>
              <w:b/>
              <w:bCs/>
              <w:sz w:val="36"/>
              <w:szCs w:val="26"/>
            </w:rPr>
            <w:t xml:space="preserve">ealth </w:t>
          </w:r>
          <w:r w:rsidR="007A03EE">
            <w:rPr>
              <w:b/>
              <w:bCs/>
              <w:sz w:val="36"/>
              <w:szCs w:val="26"/>
            </w:rPr>
            <w:t>H</w:t>
          </w:r>
          <w:r w:rsidRPr="001110CF">
            <w:rPr>
              <w:b/>
              <w:bCs/>
              <w:sz w:val="36"/>
              <w:szCs w:val="26"/>
            </w:rPr>
            <w:t xml:space="preserve">azard </w:t>
          </w:r>
          <w:r w:rsidR="007A03EE">
            <w:rPr>
              <w:b/>
              <w:bCs/>
              <w:sz w:val="36"/>
              <w:szCs w:val="26"/>
            </w:rPr>
            <w:t>D</w:t>
          </w:r>
          <w:r w:rsidRPr="001110CF">
            <w:rPr>
              <w:b/>
              <w:bCs/>
              <w:sz w:val="36"/>
              <w:szCs w:val="26"/>
            </w:rPr>
            <w:t>ata</w:t>
          </w:r>
          <w:r w:rsidR="004306D0" w:rsidRPr="004306D0">
            <w:rPr>
              <w:b/>
              <w:bCs/>
              <w:sz w:val="36"/>
              <w:szCs w:val="36"/>
            </w:rPr>
            <w:t xml:space="preserve"> – </w:t>
          </w:r>
          <w:r w:rsidR="00E021A7">
            <w:rPr>
              <w:b/>
              <w:bCs/>
              <w:sz w:val="36"/>
              <w:szCs w:val="36"/>
            </w:rPr>
            <w:t>Methodol</w:t>
          </w:r>
          <w:r w:rsidR="00C264E8">
            <w:rPr>
              <w:b/>
              <w:bCs/>
              <w:sz w:val="36"/>
              <w:szCs w:val="36"/>
            </w:rPr>
            <w:t>ogical Report</w:t>
          </w:r>
        </w:p>
      </w:sdtContent>
    </w:sdt>
    <w:p w14:paraId="4088F711" w14:textId="1B9A5AD9" w:rsidR="009560C4" w:rsidRPr="00CA5961" w:rsidRDefault="00331A95" w:rsidP="00CA5961">
      <w:r w:rsidRPr="00CA5961">
        <w:br w:type="page"/>
      </w:r>
    </w:p>
    <w:p w14:paraId="414618DF" w14:textId="77777777" w:rsidR="00C82044" w:rsidRPr="00B63816" w:rsidRDefault="00C82044" w:rsidP="00C82044">
      <w:pPr>
        <w:pStyle w:val="Copyrighttext"/>
      </w:pPr>
      <w:r w:rsidRPr="00B63816">
        <w:lastRenderedPageBreak/>
        <w:t>© Commonwealth of Australia as represented by the Australian Centre for Disease Control</w:t>
      </w:r>
    </w:p>
    <w:p w14:paraId="393502B2" w14:textId="76C86A7A" w:rsidR="00C82044" w:rsidRDefault="00C82044" w:rsidP="00C82044">
      <w:pPr>
        <w:pStyle w:val="Copyrighttext"/>
      </w:pPr>
      <w:r w:rsidRPr="00B63816">
        <w:t>Title:</w:t>
      </w:r>
      <w:r>
        <w:t xml:space="preserve"> Guidance on climate risk assessment and adaptation planning for Australian health system organisations: Climate and </w:t>
      </w:r>
      <w:r w:rsidR="000778A4">
        <w:t>H</w:t>
      </w:r>
      <w:r>
        <w:t xml:space="preserve">ealth </w:t>
      </w:r>
      <w:r w:rsidR="000778A4">
        <w:t>H</w:t>
      </w:r>
      <w:r>
        <w:t xml:space="preserve">azard </w:t>
      </w:r>
      <w:r w:rsidR="000778A4">
        <w:t>D</w:t>
      </w:r>
      <w:r>
        <w:t xml:space="preserve">ata </w:t>
      </w:r>
      <w:r w:rsidR="00C87C75">
        <w:rPr>
          <w:i/>
          <w:iCs/>
        </w:rPr>
        <w:t xml:space="preserve">– </w:t>
      </w:r>
      <w:r>
        <w:t xml:space="preserve">Methodological </w:t>
      </w:r>
      <w:r w:rsidR="000778A4">
        <w:t>R</w:t>
      </w:r>
      <w:r>
        <w:t>eport</w:t>
      </w:r>
    </w:p>
    <w:p w14:paraId="41B53EC8" w14:textId="2BE69292" w:rsidR="00C82044" w:rsidRDefault="00C82044" w:rsidP="00AE0B52">
      <w:pPr>
        <w:pStyle w:val="Copyrighttext"/>
        <w:tabs>
          <w:tab w:val="left" w:pos="8364"/>
        </w:tabs>
        <w:spacing w:before="0" w:after="0"/>
      </w:pPr>
      <w:r>
        <w:rPr>
          <w:b/>
          <w:bCs/>
        </w:rPr>
        <w:t>Citation</w:t>
      </w:r>
    </w:p>
    <w:p w14:paraId="4BEA99F8" w14:textId="35A0E8C6" w:rsidR="0076064B" w:rsidRDefault="00C82044" w:rsidP="00AE0B52">
      <w:pPr>
        <w:pStyle w:val="Copyrighttext"/>
        <w:spacing w:before="0"/>
      </w:pPr>
      <w:r>
        <w:t xml:space="preserve">Australian Centre for Disease Control (CDC). </w:t>
      </w:r>
      <w:r w:rsidR="001E0160" w:rsidRPr="00BD0E2D">
        <w:rPr>
          <w:i/>
          <w:iCs/>
        </w:rPr>
        <w:t>Guidance on climate risk assessment and adaptation planning for Australian health system organisations</w:t>
      </w:r>
      <w:r w:rsidR="001E0160">
        <w:rPr>
          <w:i/>
          <w:iCs/>
        </w:rPr>
        <w:t>:</w:t>
      </w:r>
      <w:r w:rsidR="001E0160" w:rsidRPr="001E0160">
        <w:rPr>
          <w:i/>
          <w:iCs/>
        </w:rPr>
        <w:t xml:space="preserve"> </w:t>
      </w:r>
      <w:r>
        <w:rPr>
          <w:i/>
          <w:iCs/>
        </w:rPr>
        <w:t xml:space="preserve">Climate and </w:t>
      </w:r>
      <w:r w:rsidR="000778A4">
        <w:rPr>
          <w:i/>
          <w:iCs/>
        </w:rPr>
        <w:t>H</w:t>
      </w:r>
      <w:r>
        <w:rPr>
          <w:i/>
          <w:iCs/>
        </w:rPr>
        <w:t xml:space="preserve">ealth </w:t>
      </w:r>
      <w:r w:rsidR="000778A4">
        <w:rPr>
          <w:i/>
          <w:iCs/>
        </w:rPr>
        <w:t>H</w:t>
      </w:r>
      <w:r>
        <w:rPr>
          <w:i/>
          <w:iCs/>
        </w:rPr>
        <w:t xml:space="preserve">azard </w:t>
      </w:r>
      <w:r w:rsidR="000778A4">
        <w:rPr>
          <w:i/>
          <w:iCs/>
        </w:rPr>
        <w:t>D</w:t>
      </w:r>
      <w:r>
        <w:rPr>
          <w:i/>
          <w:iCs/>
        </w:rPr>
        <w:t xml:space="preserve">ata – Methodological </w:t>
      </w:r>
      <w:r w:rsidR="000778A4">
        <w:rPr>
          <w:i/>
          <w:iCs/>
        </w:rPr>
        <w:t>R</w:t>
      </w:r>
      <w:r>
        <w:rPr>
          <w:i/>
          <w:iCs/>
        </w:rPr>
        <w:t xml:space="preserve">eport, </w:t>
      </w:r>
      <w:r>
        <w:t xml:space="preserve">Australian </w:t>
      </w:r>
      <w:r w:rsidR="007E05D0">
        <w:t>CDC</w:t>
      </w:r>
      <w:r>
        <w:t>, Australian Government, 2026.</w:t>
      </w:r>
    </w:p>
    <w:p w14:paraId="7AAEEBAC" w14:textId="64B697CE" w:rsidR="00C82044" w:rsidRPr="004B5819" w:rsidRDefault="00C82044" w:rsidP="00AE0B52">
      <w:pPr>
        <w:pStyle w:val="Copyrighttext"/>
        <w:spacing w:before="0" w:after="0"/>
        <w:rPr>
          <w:rFonts w:cs="Segoe UI"/>
          <w:b/>
          <w:bCs/>
        </w:rPr>
      </w:pPr>
      <w:r w:rsidRPr="004B5819">
        <w:rPr>
          <w:rFonts w:cs="Segoe UI"/>
          <w:b/>
          <w:bCs/>
        </w:rPr>
        <w:t>Contributors</w:t>
      </w:r>
    </w:p>
    <w:p w14:paraId="23941175" w14:textId="08F78C02" w:rsidR="00C82044" w:rsidRPr="004B5819" w:rsidRDefault="00C82044" w:rsidP="00AE0B52">
      <w:pPr>
        <w:spacing w:after="240" w:line="240" w:lineRule="auto"/>
        <w:rPr>
          <w:rFonts w:eastAsia="Arial" w:cs="Segoe UI"/>
          <w:color w:val="000000" w:themeColor="text1"/>
          <w:sz w:val="18"/>
          <w:szCs w:val="18"/>
          <w:lang w:val="en-GB"/>
        </w:rPr>
      </w:pPr>
      <w:r w:rsidRPr="004B5819">
        <w:rPr>
          <w:rFonts w:eastAsia="Arial" w:cs="Segoe UI"/>
          <w:color w:val="000000" w:themeColor="text1"/>
          <w:sz w:val="18"/>
          <w:szCs w:val="18"/>
          <w:lang w:val="en-GB"/>
        </w:rPr>
        <w:t>Anne Cleary, Jamie Ewert, Jake Allen, Adam Brook, Petter Nyman, Pam Wong, Anthony Kiem, Felix Edger, Richard Farr, Robert Morden, Vincent Li Creagh, Tony Weber, Dominic Blackham, Matilda Lehmann</w:t>
      </w:r>
      <w:r w:rsidR="00AE0B52">
        <w:rPr>
          <w:rFonts w:eastAsia="Arial" w:cs="Segoe UI"/>
          <w:color w:val="000000" w:themeColor="text1"/>
          <w:sz w:val="18"/>
          <w:szCs w:val="18"/>
          <w:lang w:val="en-GB"/>
        </w:rPr>
        <w:t>.</w:t>
      </w:r>
    </w:p>
    <w:p w14:paraId="026E859B" w14:textId="77777777" w:rsidR="00C82044" w:rsidRPr="004B5819" w:rsidRDefault="00C82044" w:rsidP="00AE0B52">
      <w:pPr>
        <w:spacing w:line="0" w:lineRule="atLeast"/>
        <w:rPr>
          <w:rFonts w:eastAsia="Arial" w:cs="Segoe UI"/>
          <w:b/>
          <w:color w:val="000000" w:themeColor="text1"/>
          <w:sz w:val="18"/>
          <w:szCs w:val="18"/>
          <w:lang w:val="en-GB"/>
        </w:rPr>
      </w:pPr>
      <w:r w:rsidRPr="004B5819">
        <w:rPr>
          <w:rFonts w:eastAsia="Arial" w:cs="Segoe UI"/>
          <w:b/>
          <w:bCs/>
          <w:color w:val="000000" w:themeColor="text1"/>
          <w:sz w:val="18"/>
          <w:szCs w:val="18"/>
          <w:lang w:val="en-GB"/>
        </w:rPr>
        <w:t>Acknowledgments</w:t>
      </w:r>
    </w:p>
    <w:p w14:paraId="65084573" w14:textId="77777777" w:rsidR="00C82044" w:rsidRPr="004B5819" w:rsidRDefault="00C82044" w:rsidP="00AE0B52">
      <w:pPr>
        <w:spacing w:after="240"/>
        <w:rPr>
          <w:rFonts w:cs="Segoe UI"/>
          <w:color w:val="000000" w:themeColor="text1"/>
          <w:sz w:val="18"/>
          <w:szCs w:val="18"/>
          <w:lang w:val="en-GB"/>
        </w:rPr>
      </w:pPr>
      <w:r w:rsidRPr="004B5819">
        <w:rPr>
          <w:rFonts w:cs="Segoe UI"/>
          <w:color w:val="000000" w:themeColor="text1"/>
          <w:sz w:val="18"/>
          <w:szCs w:val="18"/>
          <w:lang w:val="en-GB"/>
        </w:rPr>
        <w:t>CSIRO National Bushfire Intelligence Capability for assisting with the analysis of the Fire Hazard.</w:t>
      </w:r>
    </w:p>
    <w:p w14:paraId="095D4B30" w14:textId="4791B585" w:rsidR="00C82044" w:rsidRPr="00366EAC" w:rsidRDefault="00C82044" w:rsidP="00AE0B52">
      <w:pPr>
        <w:pStyle w:val="Copyrighttext"/>
        <w:tabs>
          <w:tab w:val="left" w:pos="2955"/>
        </w:tabs>
        <w:spacing w:before="0" w:after="0"/>
        <w:rPr>
          <w:b/>
          <w:bCs/>
        </w:rPr>
      </w:pPr>
      <w:r w:rsidRPr="00366EAC">
        <w:rPr>
          <w:b/>
          <w:bCs/>
        </w:rPr>
        <w:t>Creative Commons Licence</w:t>
      </w:r>
    </w:p>
    <w:p w14:paraId="5B1A24F6" w14:textId="09485CC0" w:rsidR="00C82044" w:rsidRPr="00C14BF9" w:rsidRDefault="00C82044" w:rsidP="00AE0B52">
      <w:pPr>
        <w:pStyle w:val="Copyrighttext"/>
        <w:spacing w:before="0"/>
      </w:pPr>
      <w:r w:rsidRPr="00C14BF9">
        <w:t xml:space="preserve">This publication is licensed under the Creative Commons Attribution 4.0 International Public License available from https://creativecommons.org/licenses/by/4.0/legalcode </w:t>
      </w:r>
      <w:r w:rsidR="00200AE0" w:rsidRPr="00C14BF9">
        <w:t>(</w:t>
      </w:r>
      <w:r w:rsidR="00200AE0">
        <w:t>‘</w:t>
      </w:r>
      <w:r w:rsidRPr="00C14BF9">
        <w:t>Licence</w:t>
      </w:r>
      <w:r w:rsidR="00200AE0">
        <w:t>’</w:t>
      </w:r>
      <w:r w:rsidRPr="00C14BF9">
        <w:t>). You must read and understand the Licence before using any material from this publication.</w:t>
      </w:r>
    </w:p>
    <w:p w14:paraId="1508D7DF" w14:textId="77777777" w:rsidR="00C82044" w:rsidRPr="00B63816" w:rsidRDefault="00C82044" w:rsidP="00AE0B52">
      <w:pPr>
        <w:pStyle w:val="Copyrighttext"/>
        <w:spacing w:before="0" w:after="0"/>
        <w:rPr>
          <w:b/>
          <w:bCs/>
        </w:rPr>
      </w:pPr>
      <w:r w:rsidRPr="00B63816">
        <w:rPr>
          <w:b/>
          <w:bCs/>
        </w:rPr>
        <w:t>Restrictions</w:t>
      </w:r>
    </w:p>
    <w:p w14:paraId="49C92202" w14:textId="6446628F" w:rsidR="00C82044" w:rsidRPr="006B13B3" w:rsidRDefault="00C82044" w:rsidP="00BD0E2D">
      <w:pPr>
        <w:pStyle w:val="Copyrighttext"/>
        <w:spacing w:before="0"/>
      </w:pPr>
      <w:r w:rsidRPr="00C14BF9">
        <w:t>The Licence may not give you all the permissions necessary for your intended use. For example, other rights (such as publicity, privacy and moral rights) may limit how you use the material found in this publication.</w:t>
      </w:r>
      <w:r w:rsidR="00C13523">
        <w:t xml:space="preserve"> </w:t>
      </w:r>
      <w:r w:rsidRPr="006B13B3">
        <w:t>The Licence does not cover, and there is no permission given for, use of any of the following material found in this publication:</w:t>
      </w:r>
    </w:p>
    <w:p w14:paraId="442A8DE7" w14:textId="77777777" w:rsidR="00C82044" w:rsidRPr="00B63816" w:rsidRDefault="00C82044" w:rsidP="00AE0B52">
      <w:pPr>
        <w:pStyle w:val="Copyrightbulletlist"/>
      </w:pPr>
      <w:r w:rsidRPr="00B63816">
        <w:t>the Commonwealth Coat of Arms. (by way of information, the terms under which the Coat of Arms may be used can be found on the Department of Prime Minister and Cabinet website</w:t>
      </w:r>
    </w:p>
    <w:p w14:paraId="2F92B554" w14:textId="77777777" w:rsidR="00C82044" w:rsidRPr="00B63816" w:rsidRDefault="00C82044" w:rsidP="00AE0B52">
      <w:pPr>
        <w:pStyle w:val="Copyrightbulletlist"/>
      </w:pPr>
      <w:r w:rsidRPr="00B63816">
        <w:t>any logos and trademarks</w:t>
      </w:r>
    </w:p>
    <w:p w14:paraId="2A432C43" w14:textId="77777777" w:rsidR="00C82044" w:rsidRPr="00B63816" w:rsidRDefault="00C82044" w:rsidP="00AE0B52">
      <w:pPr>
        <w:pStyle w:val="Copyrightbulletlist"/>
      </w:pPr>
      <w:r w:rsidRPr="00B63816">
        <w:t>any photographs and images</w:t>
      </w:r>
    </w:p>
    <w:p w14:paraId="6E05CA86" w14:textId="77777777" w:rsidR="00C82044" w:rsidRPr="00B63816" w:rsidRDefault="00C82044" w:rsidP="00AE0B52">
      <w:pPr>
        <w:pStyle w:val="Copyrightbulletlist"/>
      </w:pPr>
      <w:r w:rsidRPr="00B63816">
        <w:t>any signatures</w:t>
      </w:r>
    </w:p>
    <w:p w14:paraId="6F375BC1" w14:textId="77777777" w:rsidR="00C82044" w:rsidRPr="00B63816" w:rsidRDefault="00C82044" w:rsidP="00AE0B52">
      <w:pPr>
        <w:pStyle w:val="Copyrightbulletlist"/>
        <w:spacing w:after="240"/>
      </w:pPr>
      <w:r w:rsidRPr="00B63816">
        <w:t>any material belonging to third parties. The third party elements must be included here or have a footnote reference throughout the document showing where they are.</w:t>
      </w:r>
    </w:p>
    <w:p w14:paraId="39C7FCAA" w14:textId="77777777" w:rsidR="00C82044" w:rsidRPr="00B63816" w:rsidRDefault="00C82044" w:rsidP="00AE0B52">
      <w:pPr>
        <w:pStyle w:val="Copyrighttext"/>
        <w:spacing w:before="0" w:after="0"/>
        <w:rPr>
          <w:b/>
          <w:bCs/>
        </w:rPr>
      </w:pPr>
      <w:r w:rsidRPr="00B63816">
        <w:rPr>
          <w:b/>
          <w:bCs/>
        </w:rPr>
        <w:t>Attribution</w:t>
      </w:r>
    </w:p>
    <w:p w14:paraId="4834E1D8" w14:textId="77777777" w:rsidR="00C82044" w:rsidRPr="00C14BF9" w:rsidRDefault="00C82044" w:rsidP="00AE0B52">
      <w:pPr>
        <w:pStyle w:val="Copyrighttext"/>
        <w:spacing w:before="0" w:after="0"/>
      </w:pPr>
      <w:r w:rsidRPr="00C14BF9">
        <w:t xml:space="preserve">Without limiting your obligations under the Licence, the Australian Centre for Disease Control requests that you attribute this publication in your work. Any reasonable form of words may be used </w:t>
      </w:r>
      <w:proofErr w:type="gramStart"/>
      <w:r w:rsidRPr="00C14BF9">
        <w:t>provided that</w:t>
      </w:r>
      <w:proofErr w:type="gramEnd"/>
      <w:r w:rsidRPr="00C14BF9">
        <w:t xml:space="preserve"> you:</w:t>
      </w:r>
    </w:p>
    <w:p w14:paraId="2FC8FE60" w14:textId="77777777" w:rsidR="00C82044" w:rsidRPr="00B63816" w:rsidRDefault="00C82044" w:rsidP="00AE0B52">
      <w:pPr>
        <w:pStyle w:val="Copyrightbulletlist"/>
      </w:pPr>
      <w:r w:rsidRPr="00B63816">
        <w:t>include a reference to this publication and where</w:t>
      </w:r>
      <w:r>
        <w:t xml:space="preserve"> </w:t>
      </w:r>
      <w:r w:rsidRPr="00B63816">
        <w:t>practicable, the relevant page numbers</w:t>
      </w:r>
    </w:p>
    <w:p w14:paraId="4CD379B9" w14:textId="77777777" w:rsidR="00C82044" w:rsidRPr="00B63816" w:rsidRDefault="00C82044" w:rsidP="00AE0B52">
      <w:pPr>
        <w:pStyle w:val="Copyrightbulletlist"/>
      </w:pPr>
      <w:r w:rsidRPr="00B63816">
        <w:t>make it clear that you have permission to use the material under the Creative Commons Attribution 4.0 International Public License</w:t>
      </w:r>
    </w:p>
    <w:p w14:paraId="67F187AB" w14:textId="77777777" w:rsidR="00C82044" w:rsidRPr="00B63816" w:rsidRDefault="00C82044" w:rsidP="00AE0B52">
      <w:pPr>
        <w:pStyle w:val="Copyrightbulletlist"/>
      </w:pPr>
      <w:r w:rsidRPr="00B63816">
        <w:t>make it clear whether or not you have changed the material used from this publication</w:t>
      </w:r>
    </w:p>
    <w:p w14:paraId="37EEA6AE" w14:textId="56B483DA" w:rsidR="00C82044" w:rsidRPr="00B63816" w:rsidRDefault="00C82044" w:rsidP="00AE0B52">
      <w:pPr>
        <w:pStyle w:val="Copyrightbulletlist"/>
      </w:pPr>
      <w:r w:rsidRPr="00B63816">
        <w:t xml:space="preserve">include a copyright notice in relation to the material used. In the case of no change to the material, the words </w:t>
      </w:r>
      <w:r w:rsidR="00200AE0">
        <w:t>‘</w:t>
      </w:r>
      <w:r w:rsidR="00200AE0" w:rsidRPr="00B63816">
        <w:t xml:space="preserve">© </w:t>
      </w:r>
      <w:r w:rsidRPr="00B63816">
        <w:t>Commonwealth of Australia (Australian Centre for Disease Control) 20</w:t>
      </w:r>
      <w:r>
        <w:t>26</w:t>
      </w:r>
      <w:r w:rsidR="00200AE0">
        <w:t>’</w:t>
      </w:r>
      <w:r w:rsidR="00200AE0" w:rsidRPr="00B63816">
        <w:t xml:space="preserve"> </w:t>
      </w:r>
      <w:r w:rsidRPr="00B63816">
        <w:t xml:space="preserve">may be used. In the case where the material has been changed or adapted, the words: </w:t>
      </w:r>
      <w:r w:rsidR="00200AE0">
        <w:t>‘</w:t>
      </w:r>
      <w:r w:rsidRPr="00B63816">
        <w:t>Based on Commonwealth of Australia (Australian Centre for Disease Control) material</w:t>
      </w:r>
      <w:r w:rsidR="00200AE0">
        <w:t>’</w:t>
      </w:r>
      <w:r w:rsidR="00200AE0" w:rsidRPr="00B63816">
        <w:t xml:space="preserve"> </w:t>
      </w:r>
      <w:r w:rsidRPr="00B63816">
        <w:t>may be used</w:t>
      </w:r>
    </w:p>
    <w:p w14:paraId="14AA400D" w14:textId="303F3C04" w:rsidR="00C82044" w:rsidRDefault="00C82044" w:rsidP="000812DC">
      <w:pPr>
        <w:pStyle w:val="Copyrightbulletlist"/>
      </w:pPr>
      <w:r w:rsidRPr="00B63816">
        <w:t>do not suggest that the Australian Centre for Disease Control endorses you or your use of the material.</w:t>
      </w:r>
    </w:p>
    <w:p w14:paraId="12086996" w14:textId="77777777" w:rsidR="00C82044" w:rsidRPr="00B63816" w:rsidRDefault="00C82044" w:rsidP="00C52403">
      <w:pPr>
        <w:pStyle w:val="Copyrighttext"/>
        <w:spacing w:after="0"/>
        <w:rPr>
          <w:b/>
          <w:bCs/>
        </w:rPr>
      </w:pPr>
      <w:r w:rsidRPr="00B63816">
        <w:rPr>
          <w:b/>
          <w:bCs/>
        </w:rPr>
        <w:t>Enquiries</w:t>
      </w:r>
    </w:p>
    <w:p w14:paraId="60ADE21B" w14:textId="60E9569D" w:rsidR="007E05D0" w:rsidRPr="000D7AD0" w:rsidRDefault="00C82044" w:rsidP="00AE0B52">
      <w:pPr>
        <w:pStyle w:val="Copyrighttext"/>
        <w:spacing w:before="0" w:after="0"/>
        <w:rPr>
          <w:rStyle w:val="Hyperlink"/>
          <w:rFonts w:eastAsiaTheme="majorEastAsia"/>
          <w:color w:val="083E9C" w:themeColor="accent1"/>
        </w:rPr>
      </w:pPr>
      <w:r w:rsidRPr="00C14BF9">
        <w:t>Enquiries regarding any other use of this publication should be addressed to th</w:t>
      </w:r>
      <w:r>
        <w:t>e</w:t>
      </w:r>
      <w:r w:rsidRPr="00C14BF9">
        <w:t xml:space="preserve"> Communication </w:t>
      </w:r>
      <w:r>
        <w:t>and Public Information Section</w:t>
      </w:r>
      <w:r w:rsidRPr="00C14BF9">
        <w:t>,</w:t>
      </w:r>
      <w:r>
        <w:t xml:space="preserve"> Strategy and Engagement Branch,</w:t>
      </w:r>
      <w:r w:rsidRPr="00C14BF9">
        <w:t xml:space="preserve"> Australian Centre for Disease Control, GPO Box </w:t>
      </w:r>
      <w:r>
        <w:t>798</w:t>
      </w:r>
      <w:r w:rsidRPr="00C14BF9">
        <w:t xml:space="preserve">, Canberra ACT 2601, or via e-mail to </w:t>
      </w:r>
      <w:bookmarkStart w:id="0" w:name="_Hlk216884248"/>
      <w:r w:rsidRPr="000D7AD0">
        <w:rPr>
          <w:rStyle w:val="Hyperlink"/>
          <w:rFonts w:eastAsiaTheme="majorEastAsia"/>
          <w:color w:val="083E9C" w:themeColor="accent1"/>
        </w:rPr>
        <w:fldChar w:fldCharType="begin"/>
      </w:r>
      <w:r w:rsidRPr="000D7AD0">
        <w:rPr>
          <w:rStyle w:val="Hyperlink"/>
          <w:rFonts w:eastAsiaTheme="majorEastAsia"/>
          <w:color w:val="083E9C" w:themeColor="accent1"/>
        </w:rPr>
        <w:instrText>HYPERLINK "mailto:CDCComms@cdc.gov.au"</w:instrText>
      </w:r>
      <w:r w:rsidRPr="000D7AD0">
        <w:rPr>
          <w:rStyle w:val="Hyperlink"/>
          <w:rFonts w:eastAsiaTheme="majorEastAsia"/>
          <w:color w:val="083E9C" w:themeColor="accent1"/>
        </w:rPr>
      </w:r>
      <w:r w:rsidRPr="000D7AD0">
        <w:rPr>
          <w:rStyle w:val="Hyperlink"/>
          <w:rFonts w:eastAsiaTheme="majorEastAsia"/>
          <w:color w:val="083E9C" w:themeColor="accent1"/>
        </w:rPr>
        <w:fldChar w:fldCharType="separate"/>
      </w:r>
      <w:r w:rsidRPr="000D7AD0">
        <w:rPr>
          <w:rStyle w:val="Hyperlink"/>
          <w:rFonts w:eastAsiaTheme="majorEastAsia"/>
          <w:color w:val="083E9C" w:themeColor="accent1"/>
        </w:rPr>
        <w:t>CDCComms@cdc.gov.au</w:t>
      </w:r>
      <w:r w:rsidRPr="000D7AD0">
        <w:rPr>
          <w:rStyle w:val="Hyperlink"/>
          <w:rFonts w:eastAsiaTheme="majorEastAsia"/>
          <w:color w:val="083E9C" w:themeColor="accent1"/>
        </w:rPr>
        <w:fldChar w:fldCharType="end"/>
      </w:r>
      <w:r w:rsidRPr="000D7AD0">
        <w:rPr>
          <w:rStyle w:val="Hyperlink"/>
          <w:rFonts w:eastAsiaTheme="majorEastAsia"/>
          <w:color w:val="083E9C" w:themeColor="accent1"/>
        </w:rPr>
        <w:t>.</w:t>
      </w:r>
      <w:bookmarkEnd w:id="0"/>
    </w:p>
    <w:p w14:paraId="2DDE3939" w14:textId="502A8F3C" w:rsidR="00C82044" w:rsidRDefault="00C82044" w:rsidP="00C52403">
      <w:pPr>
        <w:pStyle w:val="Copyrighttext"/>
        <w:spacing w:after="0"/>
      </w:pPr>
      <w:r>
        <w:t xml:space="preserve">We welcome feedback and dialogue about this report. Please send all such correspondence to </w:t>
      </w:r>
      <w:hyperlink r:id="rId11" w:history="1">
        <w:r w:rsidRPr="000D7AD0">
          <w:rPr>
            <w:rStyle w:val="Hyperlink"/>
            <w:rFonts w:eastAsiaTheme="majorEastAsia"/>
            <w:color w:val="083E9C" w:themeColor="accent1"/>
          </w:rPr>
          <w:t>NHSC.Unit@cdc.gov.au</w:t>
        </w:r>
      </w:hyperlink>
      <w:r>
        <w:t>.</w:t>
      </w:r>
    </w:p>
    <w:bookmarkStart w:id="1" w:name="_Toc236677583" w:displacedByCustomXml="next"/>
    <w:sdt>
      <w:sdtPr>
        <w:rPr>
          <w:rFonts w:ascii="Segoe UI" w:eastAsiaTheme="minorEastAsia" w:hAnsi="Segoe UI" w:cstheme="minorBidi"/>
          <w:color w:val="auto"/>
          <w:sz w:val="24"/>
          <w:szCs w:val="24"/>
        </w:rPr>
        <w:id w:val="-118530439"/>
        <w:docPartObj>
          <w:docPartGallery w:val="Table of Contents"/>
          <w:docPartUnique/>
        </w:docPartObj>
      </w:sdtPr>
      <w:sdtEndPr>
        <w:rPr>
          <w:lang w:val="en-GB"/>
        </w:rPr>
      </w:sdtEndPr>
      <w:sdtContent>
        <w:bookmarkStart w:id="2" w:name="_Toc235818823" w:displacedByCustomXml="prev"/>
        <w:p w14:paraId="0995F0EC" w14:textId="6B567DF3" w:rsidR="00F276DA" w:rsidRPr="00691756" w:rsidRDefault="00030F18" w:rsidP="00BD0E2D">
          <w:pPr>
            <w:pStyle w:val="Heading1"/>
          </w:pPr>
          <w:r>
            <w:t>Ta</w:t>
          </w:r>
          <w:r w:rsidR="00CA0129">
            <w:t>ble of Contents</w:t>
          </w:r>
          <w:bookmarkEnd w:id="1"/>
          <w:bookmarkEnd w:id="2"/>
        </w:p>
        <w:p w14:paraId="531A85C4" w14:textId="16F53C49" w:rsidR="009D369F" w:rsidRDefault="00F276DA">
          <w:pPr>
            <w:pStyle w:val="TOC1"/>
            <w:tabs>
              <w:tab w:val="right" w:leader="dot" w:pos="9913"/>
            </w:tabs>
            <w:rPr>
              <w:rFonts w:asciiTheme="minorHAnsi" w:eastAsiaTheme="minorEastAsia" w:hAnsiTheme="minorHAnsi" w:cstheme="minorBidi"/>
              <w:b w:val="0"/>
              <w:bCs w:val="0"/>
              <w:iCs w:val="0"/>
              <w:noProof/>
              <w:lang w:eastAsia="en-AU"/>
            </w:rPr>
          </w:pPr>
          <w:r w:rsidRPr="00691756">
            <w:rPr>
              <w:rFonts w:ascii="Segoe UI" w:hAnsi="Segoe UI" w:cs="Segoe UI"/>
            </w:rPr>
            <w:fldChar w:fldCharType="begin"/>
          </w:r>
          <w:r w:rsidRPr="00691756">
            <w:rPr>
              <w:rFonts w:ascii="Segoe UI" w:hAnsi="Segoe UI" w:cs="Segoe UI"/>
            </w:rPr>
            <w:instrText xml:space="preserve"> TOC \o "1-3" \h \z \u </w:instrText>
          </w:r>
          <w:r w:rsidRPr="00691756">
            <w:rPr>
              <w:rFonts w:ascii="Segoe UI" w:hAnsi="Segoe UI" w:cs="Segoe UI"/>
            </w:rPr>
            <w:fldChar w:fldCharType="separate"/>
          </w:r>
          <w:hyperlink w:anchor="_Toc236677583" w:history="1">
            <w:r w:rsidR="009D369F" w:rsidRPr="00AD04EF">
              <w:rPr>
                <w:rStyle w:val="Hyperlink"/>
                <w:noProof/>
              </w:rPr>
              <w:t>Table of Contents</w:t>
            </w:r>
            <w:r w:rsidR="009D369F">
              <w:rPr>
                <w:noProof/>
                <w:webHidden/>
              </w:rPr>
              <w:tab/>
            </w:r>
            <w:r w:rsidR="009D369F">
              <w:rPr>
                <w:noProof/>
                <w:webHidden/>
              </w:rPr>
              <w:fldChar w:fldCharType="begin"/>
            </w:r>
            <w:r w:rsidR="009D369F">
              <w:rPr>
                <w:noProof/>
                <w:webHidden/>
              </w:rPr>
              <w:instrText xml:space="preserve"> PAGEREF _Toc236677583 \h </w:instrText>
            </w:r>
            <w:r w:rsidR="009D369F">
              <w:rPr>
                <w:noProof/>
                <w:webHidden/>
              </w:rPr>
            </w:r>
            <w:r w:rsidR="009D369F">
              <w:rPr>
                <w:noProof/>
                <w:webHidden/>
              </w:rPr>
              <w:fldChar w:fldCharType="separate"/>
            </w:r>
            <w:r w:rsidR="009D369F">
              <w:rPr>
                <w:noProof/>
                <w:webHidden/>
              </w:rPr>
              <w:t>3</w:t>
            </w:r>
            <w:r w:rsidR="009D369F">
              <w:rPr>
                <w:noProof/>
                <w:webHidden/>
              </w:rPr>
              <w:fldChar w:fldCharType="end"/>
            </w:r>
          </w:hyperlink>
        </w:p>
        <w:p w14:paraId="3B8A84F3" w14:textId="4F5FF4F4" w:rsidR="009D369F" w:rsidRDefault="009D369F">
          <w:pPr>
            <w:pStyle w:val="TOC1"/>
            <w:tabs>
              <w:tab w:val="right" w:leader="dot" w:pos="9913"/>
            </w:tabs>
            <w:rPr>
              <w:rFonts w:asciiTheme="minorHAnsi" w:eastAsiaTheme="minorEastAsia" w:hAnsiTheme="minorHAnsi" w:cstheme="minorBidi"/>
              <w:b w:val="0"/>
              <w:bCs w:val="0"/>
              <w:iCs w:val="0"/>
              <w:noProof/>
              <w:lang w:eastAsia="en-AU"/>
            </w:rPr>
          </w:pPr>
          <w:hyperlink w:anchor="_Toc236677584" w:history="1">
            <w:r w:rsidRPr="00AD04EF">
              <w:rPr>
                <w:rStyle w:val="Hyperlink"/>
                <w:noProof/>
              </w:rPr>
              <w:t>Introduction</w:t>
            </w:r>
            <w:r>
              <w:rPr>
                <w:noProof/>
                <w:webHidden/>
              </w:rPr>
              <w:tab/>
            </w:r>
            <w:r>
              <w:rPr>
                <w:noProof/>
                <w:webHidden/>
              </w:rPr>
              <w:fldChar w:fldCharType="begin"/>
            </w:r>
            <w:r>
              <w:rPr>
                <w:noProof/>
                <w:webHidden/>
              </w:rPr>
              <w:instrText xml:space="preserve"> PAGEREF _Toc236677584 \h </w:instrText>
            </w:r>
            <w:r>
              <w:rPr>
                <w:noProof/>
                <w:webHidden/>
              </w:rPr>
            </w:r>
            <w:r>
              <w:rPr>
                <w:noProof/>
                <w:webHidden/>
              </w:rPr>
              <w:fldChar w:fldCharType="separate"/>
            </w:r>
            <w:r>
              <w:rPr>
                <w:noProof/>
                <w:webHidden/>
              </w:rPr>
              <w:t>5</w:t>
            </w:r>
            <w:r>
              <w:rPr>
                <w:noProof/>
                <w:webHidden/>
              </w:rPr>
              <w:fldChar w:fldCharType="end"/>
            </w:r>
          </w:hyperlink>
        </w:p>
        <w:p w14:paraId="4C1B2276" w14:textId="0965BE0C"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585" w:history="1">
            <w:r w:rsidRPr="00AD04EF">
              <w:rPr>
                <w:rStyle w:val="Hyperlink"/>
                <w:noProof/>
              </w:rPr>
              <w:t>About this Methodological Report</w:t>
            </w:r>
            <w:r>
              <w:rPr>
                <w:noProof/>
                <w:webHidden/>
              </w:rPr>
              <w:tab/>
            </w:r>
            <w:r>
              <w:rPr>
                <w:noProof/>
                <w:webHidden/>
              </w:rPr>
              <w:fldChar w:fldCharType="begin"/>
            </w:r>
            <w:r>
              <w:rPr>
                <w:noProof/>
                <w:webHidden/>
              </w:rPr>
              <w:instrText xml:space="preserve"> PAGEREF _Toc236677585 \h </w:instrText>
            </w:r>
            <w:r>
              <w:rPr>
                <w:noProof/>
                <w:webHidden/>
              </w:rPr>
            </w:r>
            <w:r>
              <w:rPr>
                <w:noProof/>
                <w:webHidden/>
              </w:rPr>
              <w:fldChar w:fldCharType="separate"/>
            </w:r>
            <w:r>
              <w:rPr>
                <w:noProof/>
                <w:webHidden/>
              </w:rPr>
              <w:t>5</w:t>
            </w:r>
            <w:r>
              <w:rPr>
                <w:noProof/>
                <w:webHidden/>
              </w:rPr>
              <w:fldChar w:fldCharType="end"/>
            </w:r>
          </w:hyperlink>
        </w:p>
        <w:p w14:paraId="4805EDF2" w14:textId="5542821F"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586" w:history="1">
            <w:r w:rsidRPr="00AD04EF">
              <w:rPr>
                <w:rStyle w:val="Hyperlink"/>
                <w:noProof/>
                <w:lang w:val="en-GB"/>
              </w:rPr>
              <w:t>Health district methodology</w:t>
            </w:r>
            <w:r>
              <w:rPr>
                <w:noProof/>
                <w:webHidden/>
              </w:rPr>
              <w:tab/>
            </w:r>
            <w:r>
              <w:rPr>
                <w:noProof/>
                <w:webHidden/>
              </w:rPr>
              <w:fldChar w:fldCharType="begin"/>
            </w:r>
            <w:r>
              <w:rPr>
                <w:noProof/>
                <w:webHidden/>
              </w:rPr>
              <w:instrText xml:space="preserve"> PAGEREF _Toc236677586 \h </w:instrText>
            </w:r>
            <w:r>
              <w:rPr>
                <w:noProof/>
                <w:webHidden/>
              </w:rPr>
            </w:r>
            <w:r>
              <w:rPr>
                <w:noProof/>
                <w:webHidden/>
              </w:rPr>
              <w:fldChar w:fldCharType="separate"/>
            </w:r>
            <w:r>
              <w:rPr>
                <w:noProof/>
                <w:webHidden/>
              </w:rPr>
              <w:t>6</w:t>
            </w:r>
            <w:r>
              <w:rPr>
                <w:noProof/>
                <w:webHidden/>
              </w:rPr>
              <w:fldChar w:fldCharType="end"/>
            </w:r>
          </w:hyperlink>
        </w:p>
        <w:p w14:paraId="26863807" w14:textId="149FD34A" w:rsidR="009D369F" w:rsidRDefault="009D369F">
          <w:pPr>
            <w:pStyle w:val="TOC1"/>
            <w:tabs>
              <w:tab w:val="right" w:leader="dot" w:pos="9913"/>
            </w:tabs>
            <w:rPr>
              <w:rFonts w:asciiTheme="minorHAnsi" w:eastAsiaTheme="minorEastAsia" w:hAnsiTheme="minorHAnsi" w:cstheme="minorBidi"/>
              <w:b w:val="0"/>
              <w:bCs w:val="0"/>
              <w:iCs w:val="0"/>
              <w:noProof/>
              <w:lang w:eastAsia="en-AU"/>
            </w:rPr>
          </w:pPr>
          <w:hyperlink w:anchor="_Toc236677587" w:history="1">
            <w:r w:rsidRPr="00AD04EF">
              <w:rPr>
                <w:rStyle w:val="Hyperlink"/>
                <w:noProof/>
              </w:rPr>
              <w:t>Timelines and scenarios</w:t>
            </w:r>
            <w:r>
              <w:rPr>
                <w:noProof/>
                <w:webHidden/>
              </w:rPr>
              <w:tab/>
            </w:r>
            <w:r>
              <w:rPr>
                <w:noProof/>
                <w:webHidden/>
              </w:rPr>
              <w:fldChar w:fldCharType="begin"/>
            </w:r>
            <w:r>
              <w:rPr>
                <w:noProof/>
                <w:webHidden/>
              </w:rPr>
              <w:instrText xml:space="preserve"> PAGEREF _Toc236677587 \h </w:instrText>
            </w:r>
            <w:r>
              <w:rPr>
                <w:noProof/>
                <w:webHidden/>
              </w:rPr>
            </w:r>
            <w:r>
              <w:rPr>
                <w:noProof/>
                <w:webHidden/>
              </w:rPr>
              <w:fldChar w:fldCharType="separate"/>
            </w:r>
            <w:r>
              <w:rPr>
                <w:noProof/>
                <w:webHidden/>
              </w:rPr>
              <w:t>8</w:t>
            </w:r>
            <w:r>
              <w:rPr>
                <w:noProof/>
                <w:webHidden/>
              </w:rPr>
              <w:fldChar w:fldCharType="end"/>
            </w:r>
          </w:hyperlink>
        </w:p>
        <w:p w14:paraId="06203997" w14:textId="1A1B0FC8"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588" w:history="1">
            <w:r w:rsidRPr="00AD04EF">
              <w:rPr>
                <w:rStyle w:val="Hyperlink"/>
                <w:noProof/>
              </w:rPr>
              <w:t>Historical baseline conditions</w:t>
            </w:r>
            <w:r>
              <w:rPr>
                <w:noProof/>
                <w:webHidden/>
              </w:rPr>
              <w:tab/>
            </w:r>
            <w:r>
              <w:rPr>
                <w:noProof/>
                <w:webHidden/>
              </w:rPr>
              <w:fldChar w:fldCharType="begin"/>
            </w:r>
            <w:r>
              <w:rPr>
                <w:noProof/>
                <w:webHidden/>
              </w:rPr>
              <w:instrText xml:space="preserve"> PAGEREF _Toc236677588 \h </w:instrText>
            </w:r>
            <w:r>
              <w:rPr>
                <w:noProof/>
                <w:webHidden/>
              </w:rPr>
            </w:r>
            <w:r>
              <w:rPr>
                <w:noProof/>
                <w:webHidden/>
              </w:rPr>
              <w:fldChar w:fldCharType="separate"/>
            </w:r>
            <w:r>
              <w:rPr>
                <w:noProof/>
                <w:webHidden/>
              </w:rPr>
              <w:t>8</w:t>
            </w:r>
            <w:r>
              <w:rPr>
                <w:noProof/>
                <w:webHidden/>
              </w:rPr>
              <w:fldChar w:fldCharType="end"/>
            </w:r>
          </w:hyperlink>
        </w:p>
        <w:p w14:paraId="1D4E0F8D" w14:textId="7DFB3883"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589" w:history="1">
            <w:r w:rsidRPr="00AD04EF">
              <w:rPr>
                <w:rStyle w:val="Hyperlink"/>
                <w:noProof/>
              </w:rPr>
              <w:t>Climate scenarios</w:t>
            </w:r>
            <w:r>
              <w:rPr>
                <w:noProof/>
                <w:webHidden/>
              </w:rPr>
              <w:tab/>
            </w:r>
            <w:r>
              <w:rPr>
                <w:noProof/>
                <w:webHidden/>
              </w:rPr>
              <w:fldChar w:fldCharType="begin"/>
            </w:r>
            <w:r>
              <w:rPr>
                <w:noProof/>
                <w:webHidden/>
              </w:rPr>
              <w:instrText xml:space="preserve"> PAGEREF _Toc236677589 \h </w:instrText>
            </w:r>
            <w:r>
              <w:rPr>
                <w:noProof/>
                <w:webHidden/>
              </w:rPr>
            </w:r>
            <w:r>
              <w:rPr>
                <w:noProof/>
                <w:webHidden/>
              </w:rPr>
              <w:fldChar w:fldCharType="separate"/>
            </w:r>
            <w:r>
              <w:rPr>
                <w:noProof/>
                <w:webHidden/>
              </w:rPr>
              <w:t>8</w:t>
            </w:r>
            <w:r>
              <w:rPr>
                <w:noProof/>
                <w:webHidden/>
              </w:rPr>
              <w:fldChar w:fldCharType="end"/>
            </w:r>
          </w:hyperlink>
        </w:p>
        <w:p w14:paraId="56B768D1" w14:textId="7AAA99A9"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590" w:history="1">
            <w:r w:rsidRPr="00AD04EF">
              <w:rPr>
                <w:rStyle w:val="Hyperlink"/>
                <w:noProof/>
              </w:rPr>
              <w:t>Climate models and time horizons</w:t>
            </w:r>
            <w:r>
              <w:rPr>
                <w:noProof/>
                <w:webHidden/>
              </w:rPr>
              <w:tab/>
            </w:r>
            <w:r>
              <w:rPr>
                <w:noProof/>
                <w:webHidden/>
              </w:rPr>
              <w:fldChar w:fldCharType="begin"/>
            </w:r>
            <w:r>
              <w:rPr>
                <w:noProof/>
                <w:webHidden/>
              </w:rPr>
              <w:instrText xml:space="preserve"> PAGEREF _Toc236677590 \h </w:instrText>
            </w:r>
            <w:r>
              <w:rPr>
                <w:noProof/>
                <w:webHidden/>
              </w:rPr>
            </w:r>
            <w:r>
              <w:rPr>
                <w:noProof/>
                <w:webHidden/>
              </w:rPr>
              <w:fldChar w:fldCharType="separate"/>
            </w:r>
            <w:r>
              <w:rPr>
                <w:noProof/>
                <w:webHidden/>
              </w:rPr>
              <w:t>9</w:t>
            </w:r>
            <w:r>
              <w:rPr>
                <w:noProof/>
                <w:webHidden/>
              </w:rPr>
              <w:fldChar w:fldCharType="end"/>
            </w:r>
          </w:hyperlink>
        </w:p>
        <w:p w14:paraId="553CF689" w14:textId="0FAB458A"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591" w:history="1">
            <w:r w:rsidRPr="00AD04EF">
              <w:rPr>
                <w:rStyle w:val="Hyperlink"/>
                <w:noProof/>
              </w:rPr>
              <w:t>Comparing observed and future scenarios</w:t>
            </w:r>
            <w:r>
              <w:rPr>
                <w:noProof/>
                <w:webHidden/>
              </w:rPr>
              <w:tab/>
            </w:r>
            <w:r>
              <w:rPr>
                <w:noProof/>
                <w:webHidden/>
              </w:rPr>
              <w:fldChar w:fldCharType="begin"/>
            </w:r>
            <w:r>
              <w:rPr>
                <w:noProof/>
                <w:webHidden/>
              </w:rPr>
              <w:instrText xml:space="preserve"> PAGEREF _Toc236677591 \h </w:instrText>
            </w:r>
            <w:r>
              <w:rPr>
                <w:noProof/>
                <w:webHidden/>
              </w:rPr>
            </w:r>
            <w:r>
              <w:rPr>
                <w:noProof/>
                <w:webHidden/>
              </w:rPr>
              <w:fldChar w:fldCharType="separate"/>
            </w:r>
            <w:r>
              <w:rPr>
                <w:noProof/>
                <w:webHidden/>
              </w:rPr>
              <w:t>9</w:t>
            </w:r>
            <w:r>
              <w:rPr>
                <w:noProof/>
                <w:webHidden/>
              </w:rPr>
              <w:fldChar w:fldCharType="end"/>
            </w:r>
          </w:hyperlink>
        </w:p>
        <w:p w14:paraId="1ECAD318" w14:textId="274802FF" w:rsidR="009D369F" w:rsidRDefault="009D369F">
          <w:pPr>
            <w:pStyle w:val="TOC1"/>
            <w:tabs>
              <w:tab w:val="right" w:leader="dot" w:pos="9913"/>
            </w:tabs>
            <w:rPr>
              <w:rFonts w:asciiTheme="minorHAnsi" w:eastAsiaTheme="minorEastAsia" w:hAnsiTheme="minorHAnsi" w:cstheme="minorBidi"/>
              <w:b w:val="0"/>
              <w:bCs w:val="0"/>
              <w:iCs w:val="0"/>
              <w:noProof/>
              <w:lang w:eastAsia="en-AU"/>
            </w:rPr>
          </w:pPr>
          <w:hyperlink w:anchor="_Toc236677592" w:history="1">
            <w:r w:rsidRPr="00AD04EF">
              <w:rPr>
                <w:rStyle w:val="Hyperlink"/>
                <w:noProof/>
              </w:rPr>
              <w:t>Heat and humidity hazard methods</w:t>
            </w:r>
            <w:r>
              <w:rPr>
                <w:noProof/>
                <w:webHidden/>
              </w:rPr>
              <w:tab/>
            </w:r>
            <w:r>
              <w:rPr>
                <w:noProof/>
                <w:webHidden/>
              </w:rPr>
              <w:fldChar w:fldCharType="begin"/>
            </w:r>
            <w:r>
              <w:rPr>
                <w:noProof/>
                <w:webHidden/>
              </w:rPr>
              <w:instrText xml:space="preserve"> PAGEREF _Toc236677592 \h </w:instrText>
            </w:r>
            <w:r>
              <w:rPr>
                <w:noProof/>
                <w:webHidden/>
              </w:rPr>
            </w:r>
            <w:r>
              <w:rPr>
                <w:noProof/>
                <w:webHidden/>
              </w:rPr>
              <w:fldChar w:fldCharType="separate"/>
            </w:r>
            <w:r>
              <w:rPr>
                <w:noProof/>
                <w:webHidden/>
              </w:rPr>
              <w:t>10</w:t>
            </w:r>
            <w:r>
              <w:rPr>
                <w:noProof/>
                <w:webHidden/>
              </w:rPr>
              <w:fldChar w:fldCharType="end"/>
            </w:r>
          </w:hyperlink>
        </w:p>
        <w:p w14:paraId="6610F3B8" w14:textId="0FADC064"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593" w:history="1">
            <w:r w:rsidRPr="00AD04EF">
              <w:rPr>
                <w:rStyle w:val="Hyperlink"/>
                <w:noProof/>
              </w:rPr>
              <w:t>Data source</w:t>
            </w:r>
            <w:r>
              <w:rPr>
                <w:noProof/>
                <w:webHidden/>
              </w:rPr>
              <w:tab/>
            </w:r>
            <w:r>
              <w:rPr>
                <w:noProof/>
                <w:webHidden/>
              </w:rPr>
              <w:fldChar w:fldCharType="begin"/>
            </w:r>
            <w:r>
              <w:rPr>
                <w:noProof/>
                <w:webHidden/>
              </w:rPr>
              <w:instrText xml:space="preserve"> PAGEREF _Toc236677593 \h </w:instrText>
            </w:r>
            <w:r>
              <w:rPr>
                <w:noProof/>
                <w:webHidden/>
              </w:rPr>
            </w:r>
            <w:r>
              <w:rPr>
                <w:noProof/>
                <w:webHidden/>
              </w:rPr>
              <w:fldChar w:fldCharType="separate"/>
            </w:r>
            <w:r>
              <w:rPr>
                <w:noProof/>
                <w:webHidden/>
              </w:rPr>
              <w:t>10</w:t>
            </w:r>
            <w:r>
              <w:rPr>
                <w:noProof/>
                <w:webHidden/>
              </w:rPr>
              <w:fldChar w:fldCharType="end"/>
            </w:r>
          </w:hyperlink>
        </w:p>
        <w:p w14:paraId="3362B5EF" w14:textId="6A0ED916"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594" w:history="1">
            <w:r w:rsidRPr="00AD04EF">
              <w:rPr>
                <w:rStyle w:val="Hyperlink"/>
                <w:noProof/>
              </w:rPr>
              <w:t>Analytical approach</w:t>
            </w:r>
            <w:r>
              <w:rPr>
                <w:noProof/>
                <w:webHidden/>
              </w:rPr>
              <w:tab/>
            </w:r>
            <w:r>
              <w:rPr>
                <w:noProof/>
                <w:webHidden/>
              </w:rPr>
              <w:fldChar w:fldCharType="begin"/>
            </w:r>
            <w:r>
              <w:rPr>
                <w:noProof/>
                <w:webHidden/>
              </w:rPr>
              <w:instrText xml:space="preserve"> PAGEREF _Toc236677594 \h </w:instrText>
            </w:r>
            <w:r>
              <w:rPr>
                <w:noProof/>
                <w:webHidden/>
              </w:rPr>
            </w:r>
            <w:r>
              <w:rPr>
                <w:noProof/>
                <w:webHidden/>
              </w:rPr>
              <w:fldChar w:fldCharType="separate"/>
            </w:r>
            <w:r>
              <w:rPr>
                <w:noProof/>
                <w:webHidden/>
              </w:rPr>
              <w:t>10</w:t>
            </w:r>
            <w:r>
              <w:rPr>
                <w:noProof/>
                <w:webHidden/>
              </w:rPr>
              <w:fldChar w:fldCharType="end"/>
            </w:r>
          </w:hyperlink>
        </w:p>
        <w:p w14:paraId="6CEA4E5D" w14:textId="7CBB1D21" w:rsidR="009D369F" w:rsidRDefault="009D369F">
          <w:pPr>
            <w:pStyle w:val="TOC3"/>
            <w:rPr>
              <w:rFonts w:asciiTheme="minorHAnsi" w:eastAsiaTheme="minorEastAsia" w:hAnsiTheme="minorHAnsi" w:cstheme="minorBidi"/>
              <w:sz w:val="24"/>
              <w:szCs w:val="24"/>
              <w:lang w:eastAsia="en-AU"/>
            </w:rPr>
          </w:pPr>
          <w:hyperlink w:anchor="_Toc236677595" w:history="1">
            <w:r w:rsidRPr="00AD04EF">
              <w:rPr>
                <w:rStyle w:val="Hyperlink"/>
              </w:rPr>
              <w:t>Population-weighted averaging</w:t>
            </w:r>
            <w:r>
              <w:rPr>
                <w:webHidden/>
              </w:rPr>
              <w:tab/>
            </w:r>
            <w:r>
              <w:rPr>
                <w:webHidden/>
              </w:rPr>
              <w:fldChar w:fldCharType="begin"/>
            </w:r>
            <w:r>
              <w:rPr>
                <w:webHidden/>
              </w:rPr>
              <w:instrText xml:space="preserve"> PAGEREF _Toc236677595 \h </w:instrText>
            </w:r>
            <w:r>
              <w:rPr>
                <w:webHidden/>
              </w:rPr>
            </w:r>
            <w:r>
              <w:rPr>
                <w:webHidden/>
              </w:rPr>
              <w:fldChar w:fldCharType="separate"/>
            </w:r>
            <w:r>
              <w:rPr>
                <w:webHidden/>
              </w:rPr>
              <w:t>10</w:t>
            </w:r>
            <w:r>
              <w:rPr>
                <w:webHidden/>
              </w:rPr>
              <w:fldChar w:fldCharType="end"/>
            </w:r>
          </w:hyperlink>
        </w:p>
        <w:p w14:paraId="73CD3CFE" w14:textId="4E1A781A" w:rsidR="009D369F" w:rsidRDefault="009D369F">
          <w:pPr>
            <w:pStyle w:val="TOC3"/>
            <w:rPr>
              <w:rFonts w:asciiTheme="minorHAnsi" w:eastAsiaTheme="minorEastAsia" w:hAnsiTheme="minorHAnsi" w:cstheme="minorBidi"/>
              <w:sz w:val="24"/>
              <w:szCs w:val="24"/>
              <w:lang w:eastAsia="en-AU"/>
            </w:rPr>
          </w:pPr>
          <w:hyperlink w:anchor="_Toc236677596" w:history="1">
            <w:r w:rsidRPr="00AD04EF">
              <w:rPr>
                <w:rStyle w:val="Hyperlink"/>
              </w:rPr>
              <w:t>Average temperature (°C)</w:t>
            </w:r>
            <w:r>
              <w:rPr>
                <w:webHidden/>
              </w:rPr>
              <w:tab/>
            </w:r>
            <w:r>
              <w:rPr>
                <w:webHidden/>
              </w:rPr>
              <w:fldChar w:fldCharType="begin"/>
            </w:r>
            <w:r>
              <w:rPr>
                <w:webHidden/>
              </w:rPr>
              <w:instrText xml:space="preserve"> PAGEREF _Toc236677596 \h </w:instrText>
            </w:r>
            <w:r>
              <w:rPr>
                <w:webHidden/>
              </w:rPr>
            </w:r>
            <w:r>
              <w:rPr>
                <w:webHidden/>
              </w:rPr>
              <w:fldChar w:fldCharType="separate"/>
            </w:r>
            <w:r>
              <w:rPr>
                <w:webHidden/>
              </w:rPr>
              <w:t>11</w:t>
            </w:r>
            <w:r>
              <w:rPr>
                <w:webHidden/>
              </w:rPr>
              <w:fldChar w:fldCharType="end"/>
            </w:r>
          </w:hyperlink>
        </w:p>
        <w:p w14:paraId="23A9DC2E" w14:textId="5417E3F9" w:rsidR="009D369F" w:rsidRDefault="009D369F">
          <w:pPr>
            <w:pStyle w:val="TOC3"/>
            <w:rPr>
              <w:rFonts w:asciiTheme="minorHAnsi" w:eastAsiaTheme="minorEastAsia" w:hAnsiTheme="minorHAnsi" w:cstheme="minorBidi"/>
              <w:sz w:val="24"/>
              <w:szCs w:val="24"/>
              <w:lang w:eastAsia="en-AU"/>
            </w:rPr>
          </w:pPr>
          <w:hyperlink w:anchor="_Toc236677597" w:history="1">
            <w:r w:rsidRPr="00AD04EF">
              <w:rPr>
                <w:rStyle w:val="Hyperlink"/>
              </w:rPr>
              <w:t>Maximum temperature on hot days (°C)</w:t>
            </w:r>
            <w:r>
              <w:rPr>
                <w:webHidden/>
              </w:rPr>
              <w:tab/>
            </w:r>
            <w:r>
              <w:rPr>
                <w:webHidden/>
              </w:rPr>
              <w:fldChar w:fldCharType="begin"/>
            </w:r>
            <w:r>
              <w:rPr>
                <w:webHidden/>
              </w:rPr>
              <w:instrText xml:space="preserve"> PAGEREF _Toc236677597 \h </w:instrText>
            </w:r>
            <w:r>
              <w:rPr>
                <w:webHidden/>
              </w:rPr>
            </w:r>
            <w:r>
              <w:rPr>
                <w:webHidden/>
              </w:rPr>
              <w:fldChar w:fldCharType="separate"/>
            </w:r>
            <w:r>
              <w:rPr>
                <w:webHidden/>
              </w:rPr>
              <w:t>11</w:t>
            </w:r>
            <w:r>
              <w:rPr>
                <w:webHidden/>
              </w:rPr>
              <w:fldChar w:fldCharType="end"/>
            </w:r>
          </w:hyperlink>
        </w:p>
        <w:p w14:paraId="46708696" w14:textId="75220F90" w:rsidR="009D369F" w:rsidRDefault="009D369F">
          <w:pPr>
            <w:pStyle w:val="TOC3"/>
            <w:rPr>
              <w:rFonts w:asciiTheme="minorHAnsi" w:eastAsiaTheme="minorEastAsia" w:hAnsiTheme="minorHAnsi" w:cstheme="minorBidi"/>
              <w:sz w:val="24"/>
              <w:szCs w:val="24"/>
              <w:lang w:eastAsia="en-AU"/>
            </w:rPr>
          </w:pPr>
          <w:hyperlink w:anchor="_Toc236677598" w:history="1">
            <w:r w:rsidRPr="00AD04EF">
              <w:rPr>
                <w:rStyle w:val="Hyperlink"/>
              </w:rPr>
              <w:t>Minimum temperature on hot nights (°C)</w:t>
            </w:r>
            <w:r>
              <w:rPr>
                <w:webHidden/>
              </w:rPr>
              <w:tab/>
            </w:r>
            <w:r>
              <w:rPr>
                <w:webHidden/>
              </w:rPr>
              <w:fldChar w:fldCharType="begin"/>
            </w:r>
            <w:r>
              <w:rPr>
                <w:webHidden/>
              </w:rPr>
              <w:instrText xml:space="preserve"> PAGEREF _Toc236677598 \h </w:instrText>
            </w:r>
            <w:r>
              <w:rPr>
                <w:webHidden/>
              </w:rPr>
            </w:r>
            <w:r>
              <w:rPr>
                <w:webHidden/>
              </w:rPr>
              <w:fldChar w:fldCharType="separate"/>
            </w:r>
            <w:r>
              <w:rPr>
                <w:webHidden/>
              </w:rPr>
              <w:t>11</w:t>
            </w:r>
            <w:r>
              <w:rPr>
                <w:webHidden/>
              </w:rPr>
              <w:fldChar w:fldCharType="end"/>
            </w:r>
          </w:hyperlink>
        </w:p>
        <w:p w14:paraId="65E7F2F8" w14:textId="64EF567E" w:rsidR="009D369F" w:rsidRDefault="009D369F">
          <w:pPr>
            <w:pStyle w:val="TOC3"/>
            <w:rPr>
              <w:rFonts w:asciiTheme="minorHAnsi" w:eastAsiaTheme="minorEastAsia" w:hAnsiTheme="minorHAnsi" w:cstheme="minorBidi"/>
              <w:sz w:val="24"/>
              <w:szCs w:val="24"/>
              <w:lang w:eastAsia="en-AU"/>
            </w:rPr>
          </w:pPr>
          <w:hyperlink w:anchor="_Toc236677599" w:history="1">
            <w:r w:rsidRPr="00AD04EF">
              <w:rPr>
                <w:rStyle w:val="Hyperlink"/>
              </w:rPr>
              <w:t>Average apparent temperature on hot days (°C)</w:t>
            </w:r>
            <w:r>
              <w:rPr>
                <w:webHidden/>
              </w:rPr>
              <w:tab/>
            </w:r>
            <w:r>
              <w:rPr>
                <w:webHidden/>
              </w:rPr>
              <w:fldChar w:fldCharType="begin"/>
            </w:r>
            <w:r>
              <w:rPr>
                <w:webHidden/>
              </w:rPr>
              <w:instrText xml:space="preserve"> PAGEREF _Toc236677599 \h </w:instrText>
            </w:r>
            <w:r>
              <w:rPr>
                <w:webHidden/>
              </w:rPr>
            </w:r>
            <w:r>
              <w:rPr>
                <w:webHidden/>
              </w:rPr>
              <w:fldChar w:fldCharType="separate"/>
            </w:r>
            <w:r>
              <w:rPr>
                <w:webHidden/>
              </w:rPr>
              <w:t>12</w:t>
            </w:r>
            <w:r>
              <w:rPr>
                <w:webHidden/>
              </w:rPr>
              <w:fldChar w:fldCharType="end"/>
            </w:r>
          </w:hyperlink>
        </w:p>
        <w:p w14:paraId="0E610311" w14:textId="483A692E" w:rsidR="009D369F" w:rsidRDefault="009D369F">
          <w:pPr>
            <w:pStyle w:val="TOC3"/>
            <w:rPr>
              <w:rFonts w:asciiTheme="minorHAnsi" w:eastAsiaTheme="minorEastAsia" w:hAnsiTheme="minorHAnsi" w:cstheme="minorBidi"/>
              <w:sz w:val="24"/>
              <w:szCs w:val="24"/>
              <w:lang w:eastAsia="en-AU"/>
            </w:rPr>
          </w:pPr>
          <w:hyperlink w:anchor="_Toc236677600" w:history="1">
            <w:r w:rsidRPr="00AD04EF">
              <w:rPr>
                <w:rStyle w:val="Hyperlink"/>
              </w:rPr>
              <w:t>Average heatwave duration in days</w:t>
            </w:r>
            <w:r>
              <w:rPr>
                <w:webHidden/>
              </w:rPr>
              <w:tab/>
            </w:r>
            <w:r>
              <w:rPr>
                <w:webHidden/>
              </w:rPr>
              <w:fldChar w:fldCharType="begin"/>
            </w:r>
            <w:r>
              <w:rPr>
                <w:webHidden/>
              </w:rPr>
              <w:instrText xml:space="preserve"> PAGEREF _Toc236677600 \h </w:instrText>
            </w:r>
            <w:r>
              <w:rPr>
                <w:webHidden/>
              </w:rPr>
            </w:r>
            <w:r>
              <w:rPr>
                <w:webHidden/>
              </w:rPr>
              <w:fldChar w:fldCharType="separate"/>
            </w:r>
            <w:r>
              <w:rPr>
                <w:webHidden/>
              </w:rPr>
              <w:t>13</w:t>
            </w:r>
            <w:r>
              <w:rPr>
                <w:webHidden/>
              </w:rPr>
              <w:fldChar w:fldCharType="end"/>
            </w:r>
          </w:hyperlink>
        </w:p>
        <w:p w14:paraId="3ABF5707" w14:textId="0D33BAC4" w:rsidR="009D369F" w:rsidRDefault="009D369F">
          <w:pPr>
            <w:pStyle w:val="TOC3"/>
            <w:rPr>
              <w:rFonts w:asciiTheme="minorHAnsi" w:eastAsiaTheme="minorEastAsia" w:hAnsiTheme="minorHAnsi" w:cstheme="minorBidi"/>
              <w:sz w:val="24"/>
              <w:szCs w:val="24"/>
              <w:lang w:eastAsia="en-AU"/>
            </w:rPr>
          </w:pPr>
          <w:hyperlink w:anchor="_Toc236677601" w:history="1">
            <w:r w:rsidRPr="00AD04EF">
              <w:rPr>
                <w:rStyle w:val="Hyperlink"/>
              </w:rPr>
              <w:t>Number of heatwaves per year</w:t>
            </w:r>
            <w:r>
              <w:rPr>
                <w:webHidden/>
              </w:rPr>
              <w:tab/>
            </w:r>
            <w:r>
              <w:rPr>
                <w:webHidden/>
              </w:rPr>
              <w:fldChar w:fldCharType="begin"/>
            </w:r>
            <w:r>
              <w:rPr>
                <w:webHidden/>
              </w:rPr>
              <w:instrText xml:space="preserve"> PAGEREF _Toc236677601 \h </w:instrText>
            </w:r>
            <w:r>
              <w:rPr>
                <w:webHidden/>
              </w:rPr>
            </w:r>
            <w:r>
              <w:rPr>
                <w:webHidden/>
              </w:rPr>
              <w:fldChar w:fldCharType="separate"/>
            </w:r>
            <w:r>
              <w:rPr>
                <w:webHidden/>
              </w:rPr>
              <w:t>14</w:t>
            </w:r>
            <w:r>
              <w:rPr>
                <w:webHidden/>
              </w:rPr>
              <w:fldChar w:fldCharType="end"/>
            </w:r>
          </w:hyperlink>
        </w:p>
        <w:p w14:paraId="597A75B1" w14:textId="0E747D15" w:rsidR="009D369F" w:rsidRDefault="009D369F">
          <w:pPr>
            <w:pStyle w:val="TOC3"/>
            <w:rPr>
              <w:rFonts w:asciiTheme="minorHAnsi" w:eastAsiaTheme="minorEastAsia" w:hAnsiTheme="minorHAnsi" w:cstheme="minorBidi"/>
              <w:sz w:val="24"/>
              <w:szCs w:val="24"/>
              <w:lang w:eastAsia="en-AU"/>
            </w:rPr>
          </w:pPr>
          <w:hyperlink w:anchor="_Toc236677602" w:history="1">
            <w:r w:rsidRPr="00AD04EF">
              <w:rPr>
                <w:rStyle w:val="Hyperlink"/>
              </w:rPr>
              <w:t>Number of days per year &gt; 35°C</w:t>
            </w:r>
            <w:r>
              <w:rPr>
                <w:webHidden/>
              </w:rPr>
              <w:tab/>
            </w:r>
            <w:r>
              <w:rPr>
                <w:webHidden/>
              </w:rPr>
              <w:fldChar w:fldCharType="begin"/>
            </w:r>
            <w:r>
              <w:rPr>
                <w:webHidden/>
              </w:rPr>
              <w:instrText xml:space="preserve"> PAGEREF _Toc236677602 \h </w:instrText>
            </w:r>
            <w:r>
              <w:rPr>
                <w:webHidden/>
              </w:rPr>
            </w:r>
            <w:r>
              <w:rPr>
                <w:webHidden/>
              </w:rPr>
              <w:fldChar w:fldCharType="separate"/>
            </w:r>
            <w:r>
              <w:rPr>
                <w:webHidden/>
              </w:rPr>
              <w:t>14</w:t>
            </w:r>
            <w:r>
              <w:rPr>
                <w:webHidden/>
              </w:rPr>
              <w:fldChar w:fldCharType="end"/>
            </w:r>
          </w:hyperlink>
        </w:p>
        <w:p w14:paraId="4A01F273" w14:textId="6629BE97" w:rsidR="009D369F" w:rsidRDefault="009D369F">
          <w:pPr>
            <w:pStyle w:val="TOC3"/>
            <w:rPr>
              <w:rFonts w:asciiTheme="minorHAnsi" w:eastAsiaTheme="minorEastAsia" w:hAnsiTheme="minorHAnsi" w:cstheme="minorBidi"/>
              <w:sz w:val="24"/>
              <w:szCs w:val="24"/>
              <w:lang w:eastAsia="en-AU"/>
            </w:rPr>
          </w:pPr>
          <w:hyperlink w:anchor="_Toc236677603" w:history="1">
            <w:r w:rsidRPr="00AD04EF">
              <w:rPr>
                <w:rStyle w:val="Hyperlink"/>
              </w:rPr>
              <w:t>Number of days per year &gt; 40°C</w:t>
            </w:r>
            <w:r>
              <w:rPr>
                <w:webHidden/>
              </w:rPr>
              <w:tab/>
            </w:r>
            <w:r>
              <w:rPr>
                <w:webHidden/>
              </w:rPr>
              <w:fldChar w:fldCharType="begin"/>
            </w:r>
            <w:r>
              <w:rPr>
                <w:webHidden/>
              </w:rPr>
              <w:instrText xml:space="preserve"> PAGEREF _Toc236677603 \h </w:instrText>
            </w:r>
            <w:r>
              <w:rPr>
                <w:webHidden/>
              </w:rPr>
            </w:r>
            <w:r>
              <w:rPr>
                <w:webHidden/>
              </w:rPr>
              <w:fldChar w:fldCharType="separate"/>
            </w:r>
            <w:r>
              <w:rPr>
                <w:webHidden/>
              </w:rPr>
              <w:t>15</w:t>
            </w:r>
            <w:r>
              <w:rPr>
                <w:webHidden/>
              </w:rPr>
              <w:fldChar w:fldCharType="end"/>
            </w:r>
          </w:hyperlink>
        </w:p>
        <w:p w14:paraId="47BEF5E0" w14:textId="0A5A62FB"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604" w:history="1">
            <w:r w:rsidRPr="00AD04EF">
              <w:rPr>
                <w:rStyle w:val="Hyperlink"/>
                <w:noProof/>
              </w:rPr>
              <w:t>Data outputs</w:t>
            </w:r>
            <w:r>
              <w:rPr>
                <w:noProof/>
                <w:webHidden/>
              </w:rPr>
              <w:tab/>
            </w:r>
            <w:r>
              <w:rPr>
                <w:noProof/>
                <w:webHidden/>
              </w:rPr>
              <w:fldChar w:fldCharType="begin"/>
            </w:r>
            <w:r>
              <w:rPr>
                <w:noProof/>
                <w:webHidden/>
              </w:rPr>
              <w:instrText xml:space="preserve"> PAGEREF _Toc236677604 \h </w:instrText>
            </w:r>
            <w:r>
              <w:rPr>
                <w:noProof/>
                <w:webHidden/>
              </w:rPr>
            </w:r>
            <w:r>
              <w:rPr>
                <w:noProof/>
                <w:webHidden/>
              </w:rPr>
              <w:fldChar w:fldCharType="separate"/>
            </w:r>
            <w:r>
              <w:rPr>
                <w:noProof/>
                <w:webHidden/>
              </w:rPr>
              <w:t>15</w:t>
            </w:r>
            <w:r>
              <w:rPr>
                <w:noProof/>
                <w:webHidden/>
              </w:rPr>
              <w:fldChar w:fldCharType="end"/>
            </w:r>
          </w:hyperlink>
        </w:p>
        <w:p w14:paraId="03EB72E3" w14:textId="6BC99C25" w:rsidR="009D369F" w:rsidRDefault="009D369F">
          <w:pPr>
            <w:pStyle w:val="TOC1"/>
            <w:tabs>
              <w:tab w:val="right" w:leader="dot" w:pos="9913"/>
            </w:tabs>
            <w:rPr>
              <w:rFonts w:asciiTheme="minorHAnsi" w:eastAsiaTheme="minorEastAsia" w:hAnsiTheme="minorHAnsi" w:cstheme="minorBidi"/>
              <w:b w:val="0"/>
              <w:bCs w:val="0"/>
              <w:iCs w:val="0"/>
              <w:noProof/>
              <w:lang w:eastAsia="en-AU"/>
            </w:rPr>
          </w:pPr>
          <w:hyperlink w:anchor="_Toc236677605" w:history="1">
            <w:r w:rsidRPr="00AD04EF">
              <w:rPr>
                <w:rStyle w:val="Hyperlink"/>
                <w:noProof/>
              </w:rPr>
              <w:t>Fire hazard methods</w:t>
            </w:r>
            <w:r>
              <w:rPr>
                <w:noProof/>
                <w:webHidden/>
              </w:rPr>
              <w:tab/>
            </w:r>
            <w:r>
              <w:rPr>
                <w:noProof/>
                <w:webHidden/>
              </w:rPr>
              <w:fldChar w:fldCharType="begin"/>
            </w:r>
            <w:r>
              <w:rPr>
                <w:noProof/>
                <w:webHidden/>
              </w:rPr>
              <w:instrText xml:space="preserve"> PAGEREF _Toc236677605 \h </w:instrText>
            </w:r>
            <w:r>
              <w:rPr>
                <w:noProof/>
                <w:webHidden/>
              </w:rPr>
            </w:r>
            <w:r>
              <w:rPr>
                <w:noProof/>
                <w:webHidden/>
              </w:rPr>
              <w:fldChar w:fldCharType="separate"/>
            </w:r>
            <w:r>
              <w:rPr>
                <w:noProof/>
                <w:webHidden/>
              </w:rPr>
              <w:t>16</w:t>
            </w:r>
            <w:r>
              <w:rPr>
                <w:noProof/>
                <w:webHidden/>
              </w:rPr>
              <w:fldChar w:fldCharType="end"/>
            </w:r>
          </w:hyperlink>
        </w:p>
        <w:p w14:paraId="7AA32024" w14:textId="0C18C801"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606" w:history="1">
            <w:r w:rsidRPr="00AD04EF">
              <w:rPr>
                <w:rStyle w:val="Hyperlink"/>
                <w:noProof/>
              </w:rPr>
              <w:t>Data source</w:t>
            </w:r>
            <w:r>
              <w:rPr>
                <w:noProof/>
                <w:webHidden/>
              </w:rPr>
              <w:tab/>
            </w:r>
            <w:r>
              <w:rPr>
                <w:noProof/>
                <w:webHidden/>
              </w:rPr>
              <w:fldChar w:fldCharType="begin"/>
            </w:r>
            <w:r>
              <w:rPr>
                <w:noProof/>
                <w:webHidden/>
              </w:rPr>
              <w:instrText xml:space="preserve"> PAGEREF _Toc236677606 \h </w:instrText>
            </w:r>
            <w:r>
              <w:rPr>
                <w:noProof/>
                <w:webHidden/>
              </w:rPr>
            </w:r>
            <w:r>
              <w:rPr>
                <w:noProof/>
                <w:webHidden/>
              </w:rPr>
              <w:fldChar w:fldCharType="separate"/>
            </w:r>
            <w:r>
              <w:rPr>
                <w:noProof/>
                <w:webHidden/>
              </w:rPr>
              <w:t>16</w:t>
            </w:r>
            <w:r>
              <w:rPr>
                <w:noProof/>
                <w:webHidden/>
              </w:rPr>
              <w:fldChar w:fldCharType="end"/>
            </w:r>
          </w:hyperlink>
        </w:p>
        <w:p w14:paraId="5F14EF53" w14:textId="59EE897E"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607" w:history="1">
            <w:r w:rsidRPr="00AD04EF">
              <w:rPr>
                <w:rStyle w:val="Hyperlink"/>
                <w:noProof/>
              </w:rPr>
              <w:t>Analytical approach</w:t>
            </w:r>
            <w:r>
              <w:rPr>
                <w:noProof/>
                <w:webHidden/>
              </w:rPr>
              <w:tab/>
            </w:r>
            <w:r>
              <w:rPr>
                <w:noProof/>
                <w:webHidden/>
              </w:rPr>
              <w:fldChar w:fldCharType="begin"/>
            </w:r>
            <w:r>
              <w:rPr>
                <w:noProof/>
                <w:webHidden/>
              </w:rPr>
              <w:instrText xml:space="preserve"> PAGEREF _Toc236677607 \h </w:instrText>
            </w:r>
            <w:r>
              <w:rPr>
                <w:noProof/>
                <w:webHidden/>
              </w:rPr>
            </w:r>
            <w:r>
              <w:rPr>
                <w:noProof/>
                <w:webHidden/>
              </w:rPr>
              <w:fldChar w:fldCharType="separate"/>
            </w:r>
            <w:r>
              <w:rPr>
                <w:noProof/>
                <w:webHidden/>
              </w:rPr>
              <w:t>17</w:t>
            </w:r>
            <w:r>
              <w:rPr>
                <w:noProof/>
                <w:webHidden/>
              </w:rPr>
              <w:fldChar w:fldCharType="end"/>
            </w:r>
          </w:hyperlink>
        </w:p>
        <w:p w14:paraId="412E32DF" w14:textId="1B43288B"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608" w:history="1">
            <w:r w:rsidRPr="00AD04EF">
              <w:rPr>
                <w:rStyle w:val="Hyperlink"/>
                <w:noProof/>
              </w:rPr>
              <w:t>Data outputs</w:t>
            </w:r>
            <w:r>
              <w:rPr>
                <w:noProof/>
                <w:webHidden/>
              </w:rPr>
              <w:tab/>
            </w:r>
            <w:r>
              <w:rPr>
                <w:noProof/>
                <w:webHidden/>
              </w:rPr>
              <w:fldChar w:fldCharType="begin"/>
            </w:r>
            <w:r>
              <w:rPr>
                <w:noProof/>
                <w:webHidden/>
              </w:rPr>
              <w:instrText xml:space="preserve"> PAGEREF _Toc236677608 \h </w:instrText>
            </w:r>
            <w:r>
              <w:rPr>
                <w:noProof/>
                <w:webHidden/>
              </w:rPr>
            </w:r>
            <w:r>
              <w:rPr>
                <w:noProof/>
                <w:webHidden/>
              </w:rPr>
              <w:fldChar w:fldCharType="separate"/>
            </w:r>
            <w:r>
              <w:rPr>
                <w:noProof/>
                <w:webHidden/>
              </w:rPr>
              <w:t>17</w:t>
            </w:r>
            <w:r>
              <w:rPr>
                <w:noProof/>
                <w:webHidden/>
              </w:rPr>
              <w:fldChar w:fldCharType="end"/>
            </w:r>
          </w:hyperlink>
        </w:p>
        <w:p w14:paraId="2462682F" w14:textId="47E59003" w:rsidR="009D369F" w:rsidRDefault="009D369F">
          <w:pPr>
            <w:pStyle w:val="TOC1"/>
            <w:tabs>
              <w:tab w:val="right" w:leader="dot" w:pos="9913"/>
            </w:tabs>
            <w:rPr>
              <w:rFonts w:asciiTheme="minorHAnsi" w:eastAsiaTheme="minorEastAsia" w:hAnsiTheme="minorHAnsi" w:cstheme="minorBidi"/>
              <w:b w:val="0"/>
              <w:bCs w:val="0"/>
              <w:iCs w:val="0"/>
              <w:noProof/>
              <w:lang w:eastAsia="en-AU"/>
            </w:rPr>
          </w:pPr>
          <w:hyperlink w:anchor="_Toc236677609" w:history="1">
            <w:r w:rsidRPr="00AD04EF">
              <w:rPr>
                <w:rStyle w:val="Hyperlink"/>
                <w:noProof/>
              </w:rPr>
              <w:t>Drought hazard methods</w:t>
            </w:r>
            <w:r>
              <w:rPr>
                <w:noProof/>
                <w:webHidden/>
              </w:rPr>
              <w:tab/>
            </w:r>
            <w:r>
              <w:rPr>
                <w:noProof/>
                <w:webHidden/>
              </w:rPr>
              <w:fldChar w:fldCharType="begin"/>
            </w:r>
            <w:r>
              <w:rPr>
                <w:noProof/>
                <w:webHidden/>
              </w:rPr>
              <w:instrText xml:space="preserve"> PAGEREF _Toc236677609 \h </w:instrText>
            </w:r>
            <w:r>
              <w:rPr>
                <w:noProof/>
                <w:webHidden/>
              </w:rPr>
            </w:r>
            <w:r>
              <w:rPr>
                <w:noProof/>
                <w:webHidden/>
              </w:rPr>
              <w:fldChar w:fldCharType="separate"/>
            </w:r>
            <w:r>
              <w:rPr>
                <w:noProof/>
                <w:webHidden/>
              </w:rPr>
              <w:t>18</w:t>
            </w:r>
            <w:r>
              <w:rPr>
                <w:noProof/>
                <w:webHidden/>
              </w:rPr>
              <w:fldChar w:fldCharType="end"/>
            </w:r>
          </w:hyperlink>
        </w:p>
        <w:p w14:paraId="6E439E60" w14:textId="47C6DD87"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610" w:history="1">
            <w:r w:rsidRPr="00AD04EF">
              <w:rPr>
                <w:rStyle w:val="Hyperlink"/>
                <w:noProof/>
              </w:rPr>
              <w:t>Data source</w:t>
            </w:r>
            <w:r>
              <w:rPr>
                <w:noProof/>
                <w:webHidden/>
              </w:rPr>
              <w:tab/>
            </w:r>
            <w:r>
              <w:rPr>
                <w:noProof/>
                <w:webHidden/>
              </w:rPr>
              <w:fldChar w:fldCharType="begin"/>
            </w:r>
            <w:r>
              <w:rPr>
                <w:noProof/>
                <w:webHidden/>
              </w:rPr>
              <w:instrText xml:space="preserve"> PAGEREF _Toc236677610 \h </w:instrText>
            </w:r>
            <w:r>
              <w:rPr>
                <w:noProof/>
                <w:webHidden/>
              </w:rPr>
            </w:r>
            <w:r>
              <w:rPr>
                <w:noProof/>
                <w:webHidden/>
              </w:rPr>
              <w:fldChar w:fldCharType="separate"/>
            </w:r>
            <w:r>
              <w:rPr>
                <w:noProof/>
                <w:webHidden/>
              </w:rPr>
              <w:t>18</w:t>
            </w:r>
            <w:r>
              <w:rPr>
                <w:noProof/>
                <w:webHidden/>
              </w:rPr>
              <w:fldChar w:fldCharType="end"/>
            </w:r>
          </w:hyperlink>
        </w:p>
        <w:p w14:paraId="331FB7C5" w14:textId="6F7FECDF"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611" w:history="1">
            <w:r w:rsidRPr="00AD04EF">
              <w:rPr>
                <w:rStyle w:val="Hyperlink"/>
                <w:noProof/>
              </w:rPr>
              <w:t>Analytical approach</w:t>
            </w:r>
            <w:r>
              <w:rPr>
                <w:noProof/>
                <w:webHidden/>
              </w:rPr>
              <w:tab/>
            </w:r>
            <w:r>
              <w:rPr>
                <w:noProof/>
                <w:webHidden/>
              </w:rPr>
              <w:fldChar w:fldCharType="begin"/>
            </w:r>
            <w:r>
              <w:rPr>
                <w:noProof/>
                <w:webHidden/>
              </w:rPr>
              <w:instrText xml:space="preserve"> PAGEREF _Toc236677611 \h </w:instrText>
            </w:r>
            <w:r>
              <w:rPr>
                <w:noProof/>
                <w:webHidden/>
              </w:rPr>
            </w:r>
            <w:r>
              <w:rPr>
                <w:noProof/>
                <w:webHidden/>
              </w:rPr>
              <w:fldChar w:fldCharType="separate"/>
            </w:r>
            <w:r>
              <w:rPr>
                <w:noProof/>
                <w:webHidden/>
              </w:rPr>
              <w:t>18</w:t>
            </w:r>
            <w:r>
              <w:rPr>
                <w:noProof/>
                <w:webHidden/>
              </w:rPr>
              <w:fldChar w:fldCharType="end"/>
            </w:r>
          </w:hyperlink>
        </w:p>
        <w:p w14:paraId="62D9D3CF" w14:textId="701B73BE"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612" w:history="1">
            <w:r w:rsidRPr="00AD04EF">
              <w:rPr>
                <w:rStyle w:val="Hyperlink"/>
                <w:noProof/>
              </w:rPr>
              <w:t>Data outputs</w:t>
            </w:r>
            <w:r>
              <w:rPr>
                <w:noProof/>
                <w:webHidden/>
              </w:rPr>
              <w:tab/>
            </w:r>
            <w:r>
              <w:rPr>
                <w:noProof/>
                <w:webHidden/>
              </w:rPr>
              <w:fldChar w:fldCharType="begin"/>
            </w:r>
            <w:r>
              <w:rPr>
                <w:noProof/>
                <w:webHidden/>
              </w:rPr>
              <w:instrText xml:space="preserve"> PAGEREF _Toc236677612 \h </w:instrText>
            </w:r>
            <w:r>
              <w:rPr>
                <w:noProof/>
                <w:webHidden/>
              </w:rPr>
            </w:r>
            <w:r>
              <w:rPr>
                <w:noProof/>
                <w:webHidden/>
              </w:rPr>
              <w:fldChar w:fldCharType="separate"/>
            </w:r>
            <w:r>
              <w:rPr>
                <w:noProof/>
                <w:webHidden/>
              </w:rPr>
              <w:t>18</w:t>
            </w:r>
            <w:r>
              <w:rPr>
                <w:noProof/>
                <w:webHidden/>
              </w:rPr>
              <w:fldChar w:fldCharType="end"/>
            </w:r>
          </w:hyperlink>
        </w:p>
        <w:p w14:paraId="599FA4D5" w14:textId="33F04C84" w:rsidR="009D369F" w:rsidRDefault="009D369F">
          <w:pPr>
            <w:pStyle w:val="TOC1"/>
            <w:tabs>
              <w:tab w:val="right" w:leader="dot" w:pos="9913"/>
            </w:tabs>
            <w:rPr>
              <w:rFonts w:asciiTheme="minorHAnsi" w:eastAsiaTheme="minorEastAsia" w:hAnsiTheme="minorHAnsi" w:cstheme="minorBidi"/>
              <w:b w:val="0"/>
              <w:bCs w:val="0"/>
              <w:iCs w:val="0"/>
              <w:noProof/>
              <w:lang w:eastAsia="en-AU"/>
            </w:rPr>
          </w:pPr>
          <w:hyperlink w:anchor="_Toc236677613" w:history="1">
            <w:r w:rsidRPr="00AD04EF">
              <w:rPr>
                <w:rStyle w:val="Hyperlink"/>
                <w:noProof/>
              </w:rPr>
              <w:t>Storm hazard methods</w:t>
            </w:r>
            <w:r>
              <w:rPr>
                <w:noProof/>
                <w:webHidden/>
              </w:rPr>
              <w:tab/>
            </w:r>
            <w:r>
              <w:rPr>
                <w:noProof/>
                <w:webHidden/>
              </w:rPr>
              <w:fldChar w:fldCharType="begin"/>
            </w:r>
            <w:r>
              <w:rPr>
                <w:noProof/>
                <w:webHidden/>
              </w:rPr>
              <w:instrText xml:space="preserve"> PAGEREF _Toc236677613 \h </w:instrText>
            </w:r>
            <w:r>
              <w:rPr>
                <w:noProof/>
                <w:webHidden/>
              </w:rPr>
            </w:r>
            <w:r>
              <w:rPr>
                <w:noProof/>
                <w:webHidden/>
              </w:rPr>
              <w:fldChar w:fldCharType="separate"/>
            </w:r>
            <w:r>
              <w:rPr>
                <w:noProof/>
                <w:webHidden/>
              </w:rPr>
              <w:t>19</w:t>
            </w:r>
            <w:r>
              <w:rPr>
                <w:noProof/>
                <w:webHidden/>
              </w:rPr>
              <w:fldChar w:fldCharType="end"/>
            </w:r>
          </w:hyperlink>
        </w:p>
        <w:p w14:paraId="5C836A26" w14:textId="2FE49B3E"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614" w:history="1">
            <w:r w:rsidRPr="00AD04EF">
              <w:rPr>
                <w:rStyle w:val="Hyperlink"/>
                <w:noProof/>
              </w:rPr>
              <w:t>Data source</w:t>
            </w:r>
            <w:r>
              <w:rPr>
                <w:noProof/>
                <w:webHidden/>
              </w:rPr>
              <w:tab/>
            </w:r>
            <w:r>
              <w:rPr>
                <w:noProof/>
                <w:webHidden/>
              </w:rPr>
              <w:fldChar w:fldCharType="begin"/>
            </w:r>
            <w:r>
              <w:rPr>
                <w:noProof/>
                <w:webHidden/>
              </w:rPr>
              <w:instrText xml:space="preserve"> PAGEREF _Toc236677614 \h </w:instrText>
            </w:r>
            <w:r>
              <w:rPr>
                <w:noProof/>
                <w:webHidden/>
              </w:rPr>
            </w:r>
            <w:r>
              <w:rPr>
                <w:noProof/>
                <w:webHidden/>
              </w:rPr>
              <w:fldChar w:fldCharType="separate"/>
            </w:r>
            <w:r>
              <w:rPr>
                <w:noProof/>
                <w:webHidden/>
              </w:rPr>
              <w:t>19</w:t>
            </w:r>
            <w:r>
              <w:rPr>
                <w:noProof/>
                <w:webHidden/>
              </w:rPr>
              <w:fldChar w:fldCharType="end"/>
            </w:r>
          </w:hyperlink>
        </w:p>
        <w:p w14:paraId="388C2DCA" w14:textId="3D4B97EC"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615" w:history="1">
            <w:r w:rsidRPr="00AD04EF">
              <w:rPr>
                <w:rStyle w:val="Hyperlink"/>
                <w:noProof/>
              </w:rPr>
              <w:t>Analytical approach</w:t>
            </w:r>
            <w:r>
              <w:rPr>
                <w:noProof/>
                <w:webHidden/>
              </w:rPr>
              <w:tab/>
            </w:r>
            <w:r>
              <w:rPr>
                <w:noProof/>
                <w:webHidden/>
              </w:rPr>
              <w:fldChar w:fldCharType="begin"/>
            </w:r>
            <w:r>
              <w:rPr>
                <w:noProof/>
                <w:webHidden/>
              </w:rPr>
              <w:instrText xml:space="preserve"> PAGEREF _Toc236677615 \h </w:instrText>
            </w:r>
            <w:r>
              <w:rPr>
                <w:noProof/>
                <w:webHidden/>
              </w:rPr>
            </w:r>
            <w:r>
              <w:rPr>
                <w:noProof/>
                <w:webHidden/>
              </w:rPr>
              <w:fldChar w:fldCharType="separate"/>
            </w:r>
            <w:r>
              <w:rPr>
                <w:noProof/>
                <w:webHidden/>
              </w:rPr>
              <w:t>19</w:t>
            </w:r>
            <w:r>
              <w:rPr>
                <w:noProof/>
                <w:webHidden/>
              </w:rPr>
              <w:fldChar w:fldCharType="end"/>
            </w:r>
          </w:hyperlink>
        </w:p>
        <w:p w14:paraId="74C56D21" w14:textId="384709DF"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616" w:history="1">
            <w:r w:rsidRPr="00AD04EF">
              <w:rPr>
                <w:rStyle w:val="Hyperlink"/>
                <w:noProof/>
              </w:rPr>
              <w:t>Data outputs</w:t>
            </w:r>
            <w:r>
              <w:rPr>
                <w:noProof/>
                <w:webHidden/>
              </w:rPr>
              <w:tab/>
            </w:r>
            <w:r>
              <w:rPr>
                <w:noProof/>
                <w:webHidden/>
              </w:rPr>
              <w:fldChar w:fldCharType="begin"/>
            </w:r>
            <w:r>
              <w:rPr>
                <w:noProof/>
                <w:webHidden/>
              </w:rPr>
              <w:instrText xml:space="preserve"> PAGEREF _Toc236677616 \h </w:instrText>
            </w:r>
            <w:r>
              <w:rPr>
                <w:noProof/>
                <w:webHidden/>
              </w:rPr>
            </w:r>
            <w:r>
              <w:rPr>
                <w:noProof/>
                <w:webHidden/>
              </w:rPr>
              <w:fldChar w:fldCharType="separate"/>
            </w:r>
            <w:r>
              <w:rPr>
                <w:noProof/>
                <w:webHidden/>
              </w:rPr>
              <w:t>19</w:t>
            </w:r>
            <w:r>
              <w:rPr>
                <w:noProof/>
                <w:webHidden/>
              </w:rPr>
              <w:fldChar w:fldCharType="end"/>
            </w:r>
          </w:hyperlink>
        </w:p>
        <w:p w14:paraId="54F88785" w14:textId="32BB73A4" w:rsidR="009D369F" w:rsidRDefault="009D369F">
          <w:pPr>
            <w:pStyle w:val="TOC1"/>
            <w:tabs>
              <w:tab w:val="right" w:leader="dot" w:pos="9913"/>
            </w:tabs>
            <w:rPr>
              <w:rFonts w:asciiTheme="minorHAnsi" w:eastAsiaTheme="minorEastAsia" w:hAnsiTheme="minorHAnsi" w:cstheme="minorBidi"/>
              <w:b w:val="0"/>
              <w:bCs w:val="0"/>
              <w:iCs w:val="0"/>
              <w:noProof/>
              <w:lang w:eastAsia="en-AU"/>
            </w:rPr>
          </w:pPr>
          <w:hyperlink w:anchor="_Toc236677617" w:history="1">
            <w:r w:rsidRPr="00AD04EF">
              <w:rPr>
                <w:rStyle w:val="Hyperlink"/>
                <w:noProof/>
              </w:rPr>
              <w:t>Rainfall and flood hazard methods</w:t>
            </w:r>
            <w:r>
              <w:rPr>
                <w:noProof/>
                <w:webHidden/>
              </w:rPr>
              <w:tab/>
            </w:r>
            <w:r>
              <w:rPr>
                <w:noProof/>
                <w:webHidden/>
              </w:rPr>
              <w:fldChar w:fldCharType="begin"/>
            </w:r>
            <w:r>
              <w:rPr>
                <w:noProof/>
                <w:webHidden/>
              </w:rPr>
              <w:instrText xml:space="preserve"> PAGEREF _Toc236677617 \h </w:instrText>
            </w:r>
            <w:r>
              <w:rPr>
                <w:noProof/>
                <w:webHidden/>
              </w:rPr>
            </w:r>
            <w:r>
              <w:rPr>
                <w:noProof/>
                <w:webHidden/>
              </w:rPr>
              <w:fldChar w:fldCharType="separate"/>
            </w:r>
            <w:r>
              <w:rPr>
                <w:noProof/>
                <w:webHidden/>
              </w:rPr>
              <w:t>21</w:t>
            </w:r>
            <w:r>
              <w:rPr>
                <w:noProof/>
                <w:webHidden/>
              </w:rPr>
              <w:fldChar w:fldCharType="end"/>
            </w:r>
          </w:hyperlink>
        </w:p>
        <w:p w14:paraId="5D73CEF5" w14:textId="0CF4B32A"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618" w:history="1">
            <w:r w:rsidRPr="00AD04EF">
              <w:rPr>
                <w:rStyle w:val="Hyperlink"/>
                <w:noProof/>
              </w:rPr>
              <w:t>Data source</w:t>
            </w:r>
            <w:r>
              <w:rPr>
                <w:noProof/>
                <w:webHidden/>
              </w:rPr>
              <w:tab/>
            </w:r>
            <w:r>
              <w:rPr>
                <w:noProof/>
                <w:webHidden/>
              </w:rPr>
              <w:fldChar w:fldCharType="begin"/>
            </w:r>
            <w:r>
              <w:rPr>
                <w:noProof/>
                <w:webHidden/>
              </w:rPr>
              <w:instrText xml:space="preserve"> PAGEREF _Toc236677618 \h </w:instrText>
            </w:r>
            <w:r>
              <w:rPr>
                <w:noProof/>
                <w:webHidden/>
              </w:rPr>
            </w:r>
            <w:r>
              <w:rPr>
                <w:noProof/>
                <w:webHidden/>
              </w:rPr>
              <w:fldChar w:fldCharType="separate"/>
            </w:r>
            <w:r>
              <w:rPr>
                <w:noProof/>
                <w:webHidden/>
              </w:rPr>
              <w:t>21</w:t>
            </w:r>
            <w:r>
              <w:rPr>
                <w:noProof/>
                <w:webHidden/>
              </w:rPr>
              <w:fldChar w:fldCharType="end"/>
            </w:r>
          </w:hyperlink>
        </w:p>
        <w:p w14:paraId="3ED77E72" w14:textId="271E6B89"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619" w:history="1">
            <w:r w:rsidRPr="00AD04EF">
              <w:rPr>
                <w:rStyle w:val="Hyperlink"/>
                <w:noProof/>
              </w:rPr>
              <w:t>Analytical approach</w:t>
            </w:r>
            <w:r>
              <w:rPr>
                <w:noProof/>
                <w:webHidden/>
              </w:rPr>
              <w:tab/>
            </w:r>
            <w:r>
              <w:rPr>
                <w:noProof/>
                <w:webHidden/>
              </w:rPr>
              <w:fldChar w:fldCharType="begin"/>
            </w:r>
            <w:r>
              <w:rPr>
                <w:noProof/>
                <w:webHidden/>
              </w:rPr>
              <w:instrText xml:space="preserve"> PAGEREF _Toc236677619 \h </w:instrText>
            </w:r>
            <w:r>
              <w:rPr>
                <w:noProof/>
                <w:webHidden/>
              </w:rPr>
            </w:r>
            <w:r>
              <w:rPr>
                <w:noProof/>
                <w:webHidden/>
              </w:rPr>
              <w:fldChar w:fldCharType="separate"/>
            </w:r>
            <w:r>
              <w:rPr>
                <w:noProof/>
                <w:webHidden/>
              </w:rPr>
              <w:t>21</w:t>
            </w:r>
            <w:r>
              <w:rPr>
                <w:noProof/>
                <w:webHidden/>
              </w:rPr>
              <w:fldChar w:fldCharType="end"/>
            </w:r>
          </w:hyperlink>
        </w:p>
        <w:p w14:paraId="6C1AB567" w14:textId="68FC0FD4" w:rsidR="009D369F" w:rsidRDefault="009D369F">
          <w:pPr>
            <w:pStyle w:val="TOC3"/>
            <w:rPr>
              <w:rFonts w:asciiTheme="minorHAnsi" w:eastAsiaTheme="minorEastAsia" w:hAnsiTheme="minorHAnsi" w:cstheme="minorBidi"/>
              <w:sz w:val="24"/>
              <w:szCs w:val="24"/>
              <w:lang w:eastAsia="en-AU"/>
            </w:rPr>
          </w:pPr>
          <w:hyperlink w:anchor="_Toc236677620" w:history="1">
            <w:r w:rsidRPr="00AD04EF">
              <w:rPr>
                <w:rStyle w:val="Hyperlink"/>
              </w:rPr>
              <w:t>Rainfall indicators</w:t>
            </w:r>
            <w:r>
              <w:rPr>
                <w:webHidden/>
              </w:rPr>
              <w:tab/>
            </w:r>
            <w:r>
              <w:rPr>
                <w:webHidden/>
              </w:rPr>
              <w:fldChar w:fldCharType="begin"/>
            </w:r>
            <w:r>
              <w:rPr>
                <w:webHidden/>
              </w:rPr>
              <w:instrText xml:space="preserve"> PAGEREF _Toc236677620 \h </w:instrText>
            </w:r>
            <w:r>
              <w:rPr>
                <w:webHidden/>
              </w:rPr>
            </w:r>
            <w:r>
              <w:rPr>
                <w:webHidden/>
              </w:rPr>
              <w:fldChar w:fldCharType="separate"/>
            </w:r>
            <w:r>
              <w:rPr>
                <w:webHidden/>
              </w:rPr>
              <w:t>21</w:t>
            </w:r>
            <w:r>
              <w:rPr>
                <w:webHidden/>
              </w:rPr>
              <w:fldChar w:fldCharType="end"/>
            </w:r>
          </w:hyperlink>
        </w:p>
        <w:p w14:paraId="57AE1006" w14:textId="5294F06A" w:rsidR="009D369F" w:rsidRDefault="009D369F">
          <w:pPr>
            <w:pStyle w:val="TOC3"/>
            <w:rPr>
              <w:rFonts w:asciiTheme="minorHAnsi" w:eastAsiaTheme="minorEastAsia" w:hAnsiTheme="minorHAnsi" w:cstheme="minorBidi"/>
              <w:sz w:val="24"/>
              <w:szCs w:val="24"/>
              <w:lang w:eastAsia="en-AU"/>
            </w:rPr>
          </w:pPr>
          <w:hyperlink w:anchor="_Toc236677621" w:history="1">
            <w:r w:rsidRPr="00AD04EF">
              <w:rPr>
                <w:rStyle w:val="Hyperlink"/>
              </w:rPr>
              <w:t>Flood indicators</w:t>
            </w:r>
            <w:r>
              <w:rPr>
                <w:webHidden/>
              </w:rPr>
              <w:tab/>
            </w:r>
            <w:r>
              <w:rPr>
                <w:webHidden/>
              </w:rPr>
              <w:fldChar w:fldCharType="begin"/>
            </w:r>
            <w:r>
              <w:rPr>
                <w:webHidden/>
              </w:rPr>
              <w:instrText xml:space="preserve"> PAGEREF _Toc236677621 \h </w:instrText>
            </w:r>
            <w:r>
              <w:rPr>
                <w:webHidden/>
              </w:rPr>
            </w:r>
            <w:r>
              <w:rPr>
                <w:webHidden/>
              </w:rPr>
              <w:fldChar w:fldCharType="separate"/>
            </w:r>
            <w:r>
              <w:rPr>
                <w:webHidden/>
              </w:rPr>
              <w:t>21</w:t>
            </w:r>
            <w:r>
              <w:rPr>
                <w:webHidden/>
              </w:rPr>
              <w:fldChar w:fldCharType="end"/>
            </w:r>
          </w:hyperlink>
        </w:p>
        <w:p w14:paraId="4BA9ADB1" w14:textId="17CEBEC3"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622" w:history="1">
            <w:r w:rsidRPr="00AD04EF">
              <w:rPr>
                <w:rStyle w:val="Hyperlink"/>
                <w:noProof/>
              </w:rPr>
              <w:t>Data outputs</w:t>
            </w:r>
            <w:r>
              <w:rPr>
                <w:noProof/>
                <w:webHidden/>
              </w:rPr>
              <w:tab/>
            </w:r>
            <w:r>
              <w:rPr>
                <w:noProof/>
                <w:webHidden/>
              </w:rPr>
              <w:fldChar w:fldCharType="begin"/>
            </w:r>
            <w:r>
              <w:rPr>
                <w:noProof/>
                <w:webHidden/>
              </w:rPr>
              <w:instrText xml:space="preserve"> PAGEREF _Toc236677622 \h </w:instrText>
            </w:r>
            <w:r>
              <w:rPr>
                <w:noProof/>
                <w:webHidden/>
              </w:rPr>
            </w:r>
            <w:r>
              <w:rPr>
                <w:noProof/>
                <w:webHidden/>
              </w:rPr>
              <w:fldChar w:fldCharType="separate"/>
            </w:r>
            <w:r>
              <w:rPr>
                <w:noProof/>
                <w:webHidden/>
              </w:rPr>
              <w:t>24</w:t>
            </w:r>
            <w:r>
              <w:rPr>
                <w:noProof/>
                <w:webHidden/>
              </w:rPr>
              <w:fldChar w:fldCharType="end"/>
            </w:r>
          </w:hyperlink>
        </w:p>
        <w:p w14:paraId="47792E46" w14:textId="483F9BBC" w:rsidR="009D369F" w:rsidRDefault="009D369F">
          <w:pPr>
            <w:pStyle w:val="TOC1"/>
            <w:tabs>
              <w:tab w:val="right" w:leader="dot" w:pos="9913"/>
            </w:tabs>
            <w:rPr>
              <w:rFonts w:asciiTheme="minorHAnsi" w:eastAsiaTheme="minorEastAsia" w:hAnsiTheme="minorHAnsi" w:cstheme="minorBidi"/>
              <w:b w:val="0"/>
              <w:bCs w:val="0"/>
              <w:iCs w:val="0"/>
              <w:noProof/>
              <w:lang w:eastAsia="en-AU"/>
            </w:rPr>
          </w:pPr>
          <w:hyperlink w:anchor="_Toc236677623" w:history="1">
            <w:r w:rsidRPr="00AD04EF">
              <w:rPr>
                <w:rStyle w:val="Hyperlink"/>
                <w:noProof/>
              </w:rPr>
              <w:t>Coastal inundation hazard methods</w:t>
            </w:r>
            <w:r>
              <w:rPr>
                <w:noProof/>
                <w:webHidden/>
              </w:rPr>
              <w:tab/>
            </w:r>
            <w:r>
              <w:rPr>
                <w:noProof/>
                <w:webHidden/>
              </w:rPr>
              <w:fldChar w:fldCharType="begin"/>
            </w:r>
            <w:r>
              <w:rPr>
                <w:noProof/>
                <w:webHidden/>
              </w:rPr>
              <w:instrText xml:space="preserve"> PAGEREF _Toc236677623 \h </w:instrText>
            </w:r>
            <w:r>
              <w:rPr>
                <w:noProof/>
                <w:webHidden/>
              </w:rPr>
            </w:r>
            <w:r>
              <w:rPr>
                <w:noProof/>
                <w:webHidden/>
              </w:rPr>
              <w:fldChar w:fldCharType="separate"/>
            </w:r>
            <w:r>
              <w:rPr>
                <w:noProof/>
                <w:webHidden/>
              </w:rPr>
              <w:t>26</w:t>
            </w:r>
            <w:r>
              <w:rPr>
                <w:noProof/>
                <w:webHidden/>
              </w:rPr>
              <w:fldChar w:fldCharType="end"/>
            </w:r>
          </w:hyperlink>
        </w:p>
        <w:p w14:paraId="0EF11E81" w14:textId="655C6474"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624" w:history="1">
            <w:r w:rsidRPr="00AD04EF">
              <w:rPr>
                <w:rStyle w:val="Hyperlink"/>
                <w:noProof/>
              </w:rPr>
              <w:t>Data source</w:t>
            </w:r>
            <w:r>
              <w:rPr>
                <w:noProof/>
                <w:webHidden/>
              </w:rPr>
              <w:tab/>
            </w:r>
            <w:r>
              <w:rPr>
                <w:noProof/>
                <w:webHidden/>
              </w:rPr>
              <w:fldChar w:fldCharType="begin"/>
            </w:r>
            <w:r>
              <w:rPr>
                <w:noProof/>
                <w:webHidden/>
              </w:rPr>
              <w:instrText xml:space="preserve"> PAGEREF _Toc236677624 \h </w:instrText>
            </w:r>
            <w:r>
              <w:rPr>
                <w:noProof/>
                <w:webHidden/>
              </w:rPr>
            </w:r>
            <w:r>
              <w:rPr>
                <w:noProof/>
                <w:webHidden/>
              </w:rPr>
              <w:fldChar w:fldCharType="separate"/>
            </w:r>
            <w:r>
              <w:rPr>
                <w:noProof/>
                <w:webHidden/>
              </w:rPr>
              <w:t>26</w:t>
            </w:r>
            <w:r>
              <w:rPr>
                <w:noProof/>
                <w:webHidden/>
              </w:rPr>
              <w:fldChar w:fldCharType="end"/>
            </w:r>
          </w:hyperlink>
        </w:p>
        <w:p w14:paraId="532C03FE" w14:textId="5AB8918F"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625" w:history="1">
            <w:r w:rsidRPr="00AD04EF">
              <w:rPr>
                <w:rStyle w:val="Hyperlink"/>
                <w:noProof/>
              </w:rPr>
              <w:t>Analytical approach</w:t>
            </w:r>
            <w:r>
              <w:rPr>
                <w:noProof/>
                <w:webHidden/>
              </w:rPr>
              <w:tab/>
            </w:r>
            <w:r>
              <w:rPr>
                <w:noProof/>
                <w:webHidden/>
              </w:rPr>
              <w:fldChar w:fldCharType="begin"/>
            </w:r>
            <w:r>
              <w:rPr>
                <w:noProof/>
                <w:webHidden/>
              </w:rPr>
              <w:instrText xml:space="preserve"> PAGEREF _Toc236677625 \h </w:instrText>
            </w:r>
            <w:r>
              <w:rPr>
                <w:noProof/>
                <w:webHidden/>
              </w:rPr>
            </w:r>
            <w:r>
              <w:rPr>
                <w:noProof/>
                <w:webHidden/>
              </w:rPr>
              <w:fldChar w:fldCharType="separate"/>
            </w:r>
            <w:r>
              <w:rPr>
                <w:noProof/>
                <w:webHidden/>
              </w:rPr>
              <w:t>27</w:t>
            </w:r>
            <w:r>
              <w:rPr>
                <w:noProof/>
                <w:webHidden/>
              </w:rPr>
              <w:fldChar w:fldCharType="end"/>
            </w:r>
          </w:hyperlink>
        </w:p>
        <w:p w14:paraId="5AA20BE7" w14:textId="3CBA9D0D" w:rsidR="009D369F" w:rsidRDefault="009D369F">
          <w:pPr>
            <w:pStyle w:val="TOC2"/>
            <w:tabs>
              <w:tab w:val="right" w:leader="dot" w:pos="9913"/>
            </w:tabs>
            <w:rPr>
              <w:rFonts w:asciiTheme="minorHAnsi" w:eastAsiaTheme="minorEastAsia" w:hAnsiTheme="minorHAnsi" w:cstheme="minorBidi"/>
              <w:bCs w:val="0"/>
              <w:noProof/>
              <w:sz w:val="24"/>
              <w:szCs w:val="24"/>
              <w:lang w:eastAsia="en-AU"/>
            </w:rPr>
          </w:pPr>
          <w:hyperlink w:anchor="_Toc236677626" w:history="1">
            <w:r w:rsidRPr="00AD04EF">
              <w:rPr>
                <w:rStyle w:val="Hyperlink"/>
                <w:noProof/>
              </w:rPr>
              <w:t>Data output</w:t>
            </w:r>
            <w:r>
              <w:rPr>
                <w:noProof/>
                <w:webHidden/>
              </w:rPr>
              <w:tab/>
            </w:r>
            <w:r>
              <w:rPr>
                <w:noProof/>
                <w:webHidden/>
              </w:rPr>
              <w:fldChar w:fldCharType="begin"/>
            </w:r>
            <w:r>
              <w:rPr>
                <w:noProof/>
                <w:webHidden/>
              </w:rPr>
              <w:instrText xml:space="preserve"> PAGEREF _Toc236677626 \h </w:instrText>
            </w:r>
            <w:r>
              <w:rPr>
                <w:noProof/>
                <w:webHidden/>
              </w:rPr>
            </w:r>
            <w:r>
              <w:rPr>
                <w:noProof/>
                <w:webHidden/>
              </w:rPr>
              <w:fldChar w:fldCharType="separate"/>
            </w:r>
            <w:r>
              <w:rPr>
                <w:noProof/>
                <w:webHidden/>
              </w:rPr>
              <w:t>28</w:t>
            </w:r>
            <w:r>
              <w:rPr>
                <w:noProof/>
                <w:webHidden/>
              </w:rPr>
              <w:fldChar w:fldCharType="end"/>
            </w:r>
          </w:hyperlink>
        </w:p>
        <w:p w14:paraId="15AF7496" w14:textId="39A04254" w:rsidR="009D369F" w:rsidRDefault="009D369F">
          <w:pPr>
            <w:pStyle w:val="TOC1"/>
            <w:tabs>
              <w:tab w:val="right" w:leader="dot" w:pos="9913"/>
            </w:tabs>
            <w:rPr>
              <w:rFonts w:asciiTheme="minorHAnsi" w:eastAsiaTheme="minorEastAsia" w:hAnsiTheme="minorHAnsi" w:cstheme="minorBidi"/>
              <w:b w:val="0"/>
              <w:bCs w:val="0"/>
              <w:iCs w:val="0"/>
              <w:noProof/>
              <w:lang w:eastAsia="en-AU"/>
            </w:rPr>
          </w:pPr>
          <w:hyperlink w:anchor="_Toc236677627" w:history="1">
            <w:r w:rsidRPr="00AD04EF">
              <w:rPr>
                <w:rStyle w:val="Hyperlink"/>
                <w:noProof/>
              </w:rPr>
              <w:t>References</w:t>
            </w:r>
            <w:r>
              <w:rPr>
                <w:noProof/>
                <w:webHidden/>
              </w:rPr>
              <w:tab/>
            </w:r>
            <w:r>
              <w:rPr>
                <w:noProof/>
                <w:webHidden/>
              </w:rPr>
              <w:fldChar w:fldCharType="begin"/>
            </w:r>
            <w:r>
              <w:rPr>
                <w:noProof/>
                <w:webHidden/>
              </w:rPr>
              <w:instrText xml:space="preserve"> PAGEREF _Toc236677627 \h </w:instrText>
            </w:r>
            <w:r>
              <w:rPr>
                <w:noProof/>
                <w:webHidden/>
              </w:rPr>
            </w:r>
            <w:r>
              <w:rPr>
                <w:noProof/>
                <w:webHidden/>
              </w:rPr>
              <w:fldChar w:fldCharType="separate"/>
            </w:r>
            <w:r>
              <w:rPr>
                <w:noProof/>
                <w:webHidden/>
              </w:rPr>
              <w:t>29</w:t>
            </w:r>
            <w:r>
              <w:rPr>
                <w:noProof/>
                <w:webHidden/>
              </w:rPr>
              <w:fldChar w:fldCharType="end"/>
            </w:r>
          </w:hyperlink>
        </w:p>
        <w:p w14:paraId="58483692" w14:textId="071865E7" w:rsidR="00F276DA" w:rsidRPr="00691756" w:rsidRDefault="00F276DA">
          <w:pPr>
            <w:rPr>
              <w:rFonts w:cs="Segoe UI"/>
            </w:rPr>
          </w:pPr>
          <w:r w:rsidRPr="00691756">
            <w:rPr>
              <w:rFonts w:cs="Segoe UI"/>
              <w:b/>
              <w:bCs/>
              <w:lang w:val="en-GB"/>
            </w:rPr>
            <w:fldChar w:fldCharType="end"/>
          </w:r>
        </w:p>
      </w:sdtContent>
    </w:sdt>
    <w:p w14:paraId="0D2E238B" w14:textId="4A8CE729" w:rsidR="00F276DA" w:rsidRPr="00691756" w:rsidRDefault="00F276DA">
      <w:pPr>
        <w:spacing w:line="240" w:lineRule="auto"/>
        <w:rPr>
          <w:rFonts w:cs="Segoe UI"/>
        </w:rPr>
      </w:pPr>
      <w:r w:rsidRPr="00691756">
        <w:rPr>
          <w:rFonts w:cs="Segoe UI"/>
        </w:rPr>
        <w:br w:type="page"/>
      </w:r>
    </w:p>
    <w:p w14:paraId="6537FE74" w14:textId="4D97A091" w:rsidR="00C65AE0" w:rsidRPr="00550C0A" w:rsidRDefault="004D50FD" w:rsidP="00550C0A">
      <w:pPr>
        <w:pStyle w:val="Heading1"/>
      </w:pPr>
      <w:bookmarkStart w:id="3" w:name="_Toc235818824"/>
      <w:bookmarkStart w:id="4" w:name="_Toc236677584"/>
      <w:r w:rsidRPr="00550C0A">
        <w:lastRenderedPageBreak/>
        <w:t>Introduction</w:t>
      </w:r>
      <w:bookmarkEnd w:id="3"/>
      <w:bookmarkEnd w:id="4"/>
    </w:p>
    <w:p w14:paraId="1E4B1661" w14:textId="06838912" w:rsidR="00C65AE0" w:rsidRPr="00C65AE0" w:rsidRDefault="00C65AE0" w:rsidP="009867A9">
      <w:pPr>
        <w:pStyle w:val="Heading2"/>
      </w:pPr>
      <w:bookmarkStart w:id="5" w:name="_Toc221026331"/>
      <w:bookmarkStart w:id="6" w:name="_Toc235818825"/>
      <w:bookmarkStart w:id="7" w:name="_Toc236677585"/>
      <w:r w:rsidRPr="00C65AE0">
        <w:t xml:space="preserve">About this </w:t>
      </w:r>
      <w:r w:rsidR="00C82044">
        <w:t>Methodological</w:t>
      </w:r>
      <w:r w:rsidRPr="00C65AE0">
        <w:t xml:space="preserve"> </w:t>
      </w:r>
      <w:bookmarkEnd w:id="5"/>
      <w:r w:rsidR="00043B88">
        <w:t>R</w:t>
      </w:r>
      <w:r w:rsidRPr="00C65AE0">
        <w:t>eport</w:t>
      </w:r>
      <w:bookmarkEnd w:id="6"/>
      <w:bookmarkEnd w:id="7"/>
    </w:p>
    <w:p w14:paraId="2360768C" w14:textId="4C1D708B" w:rsidR="00C65AE0" w:rsidRPr="00DC2528" w:rsidRDefault="00C65AE0" w:rsidP="002219EF">
      <w:pPr>
        <w:pStyle w:val="BodyText"/>
      </w:pPr>
      <w:r w:rsidRPr="00DC2528">
        <w:t xml:space="preserve">This </w:t>
      </w:r>
      <w:r w:rsidR="00043B88">
        <w:rPr>
          <w:i/>
          <w:iCs/>
        </w:rPr>
        <w:t>M</w:t>
      </w:r>
      <w:r w:rsidR="00C82044">
        <w:rPr>
          <w:i/>
          <w:iCs/>
        </w:rPr>
        <w:t>ethodological</w:t>
      </w:r>
      <w:r w:rsidRPr="00DC2528">
        <w:rPr>
          <w:i/>
          <w:iCs/>
        </w:rPr>
        <w:t xml:space="preserve"> </w:t>
      </w:r>
      <w:r w:rsidR="00043B88">
        <w:rPr>
          <w:i/>
          <w:iCs/>
        </w:rPr>
        <w:t>R</w:t>
      </w:r>
      <w:r w:rsidRPr="00DC2528">
        <w:rPr>
          <w:i/>
          <w:iCs/>
        </w:rPr>
        <w:t>eport</w:t>
      </w:r>
      <w:r w:rsidRPr="00DC2528">
        <w:t xml:space="preserve"> accompanies the</w:t>
      </w:r>
      <w:r>
        <w:rPr>
          <w:i/>
        </w:rPr>
        <w:t xml:space="preserve"> </w:t>
      </w:r>
      <w:r w:rsidR="00C82044" w:rsidDel="00C44C85">
        <w:rPr>
          <w:i/>
          <w:iCs/>
        </w:rPr>
        <w:t>C</w:t>
      </w:r>
      <w:r w:rsidR="00C82044">
        <w:rPr>
          <w:i/>
          <w:iCs/>
        </w:rPr>
        <w:t xml:space="preserve">limate and Health Hazard </w:t>
      </w:r>
      <w:r w:rsidR="00C82044" w:rsidDel="008663C1">
        <w:rPr>
          <w:i/>
          <w:iCs/>
        </w:rPr>
        <w:t>D</w:t>
      </w:r>
      <w:r w:rsidR="00C82044">
        <w:rPr>
          <w:i/>
          <w:iCs/>
        </w:rPr>
        <w:t>ata</w:t>
      </w:r>
      <w:r w:rsidRPr="00DC2528">
        <w:t xml:space="preserve">, providing detailed descriptions of the concepts, datasets, and analytical methods used to assess climate-related hazards relevant to population health across Australia. The report serves as a technical companion to the main manual, offering transparency </w:t>
      </w:r>
      <w:r>
        <w:t>about</w:t>
      </w:r>
      <w:r w:rsidRPr="00DC2528">
        <w:t xml:space="preserve"> data sources, modelling techniques, and indicator development.</w:t>
      </w:r>
    </w:p>
    <w:p w14:paraId="02266154" w14:textId="15DA5E08" w:rsidR="00C65AE0" w:rsidRPr="00DC2528" w:rsidRDefault="00C65AE0" w:rsidP="002219EF">
      <w:pPr>
        <w:pStyle w:val="BodyText"/>
      </w:pPr>
      <w:r w:rsidRPr="00DC2528">
        <w:t xml:space="preserve">The report begins by outlining the historical baseline conditions and the climate scenarios applied to model future climate hazards. It then describes the climate models and time horizons adopted for the analysis, ensuring consistency across hazard assessments. Subsequent sections present the analytical frameworks, data sources, and outputs for each of the </w:t>
      </w:r>
      <w:r w:rsidR="005F0445">
        <w:t>6</w:t>
      </w:r>
      <w:r w:rsidR="005F0445" w:rsidRPr="00DC2528">
        <w:t xml:space="preserve"> </w:t>
      </w:r>
      <w:r w:rsidRPr="00DC2528">
        <w:t>key climate-related hazards examined: heat and humidity, fire, drought, rainfall and flood, storm and coastal inundation. Each section defines the indicators used, summarises the methods of calculation, and explains how results are aggregated and reported at the health district level.</w:t>
      </w:r>
    </w:p>
    <w:p w14:paraId="3C88603F" w14:textId="6E64E28B" w:rsidR="008E609C" w:rsidRDefault="00C65AE0" w:rsidP="009D369F">
      <w:pPr>
        <w:pStyle w:val="BodyText"/>
      </w:pPr>
      <w:r w:rsidRPr="00DC2528">
        <w:t xml:space="preserve">Finally, the </w:t>
      </w:r>
      <w:r w:rsidR="00C82044">
        <w:t>Methodological</w:t>
      </w:r>
      <w:r w:rsidRPr="00DC2528">
        <w:t xml:space="preserve"> Report provides references for the data products, modelling frameworks, and scientific literature underpinning the analysis. Together, these sections ensure that the </w:t>
      </w:r>
      <w:r w:rsidR="00C82044">
        <w:t>methodological</w:t>
      </w:r>
      <w:r w:rsidRPr="00DC2528">
        <w:t xml:space="preserve"> foundations of the </w:t>
      </w:r>
      <w:r w:rsidR="00C82044" w:rsidDel="009A61F4">
        <w:rPr>
          <w:i/>
          <w:iCs/>
        </w:rPr>
        <w:t>C</w:t>
      </w:r>
      <w:r w:rsidR="00C82044">
        <w:rPr>
          <w:i/>
          <w:iCs/>
        </w:rPr>
        <w:t xml:space="preserve">limate and Health Hazard </w:t>
      </w:r>
      <w:r w:rsidR="00C82044" w:rsidDel="00C44C85">
        <w:rPr>
          <w:i/>
          <w:iCs/>
        </w:rPr>
        <w:t>D</w:t>
      </w:r>
      <w:r w:rsidR="00C82044">
        <w:rPr>
          <w:i/>
          <w:iCs/>
        </w:rPr>
        <w:t>ata</w:t>
      </w:r>
      <w:r w:rsidR="00C82044" w:rsidRPr="00DC2528">
        <w:t xml:space="preserve"> </w:t>
      </w:r>
      <w:r w:rsidRPr="00DC2528">
        <w:t>are clearly documented, reproducible, and aligned with current climate science and health impact assessment practices.</w:t>
      </w:r>
      <w:r w:rsidR="008E609C">
        <w:br w:type="page"/>
      </w:r>
    </w:p>
    <w:p w14:paraId="377235C5" w14:textId="41AC4A15" w:rsidR="00DE1940" w:rsidRDefault="00DE1940" w:rsidP="00DE1940">
      <w:pPr>
        <w:pStyle w:val="Heading2"/>
        <w:rPr>
          <w:lang w:val="en-GB"/>
        </w:rPr>
      </w:pPr>
      <w:bookmarkStart w:id="8" w:name="_Toc235818826"/>
      <w:bookmarkStart w:id="9" w:name="_Toc236677586"/>
      <w:r>
        <w:rPr>
          <w:lang w:val="en-GB"/>
        </w:rPr>
        <w:lastRenderedPageBreak/>
        <w:t xml:space="preserve">Health </w:t>
      </w:r>
      <w:r w:rsidR="00196B0B">
        <w:rPr>
          <w:lang w:val="en-GB"/>
        </w:rPr>
        <w:t>d</w:t>
      </w:r>
      <w:r>
        <w:rPr>
          <w:lang w:val="en-GB"/>
        </w:rPr>
        <w:t xml:space="preserve">istrict </w:t>
      </w:r>
      <w:r w:rsidR="00196B0B">
        <w:rPr>
          <w:lang w:val="en-GB"/>
        </w:rPr>
        <w:t>m</w:t>
      </w:r>
      <w:r>
        <w:rPr>
          <w:lang w:val="en-GB"/>
        </w:rPr>
        <w:t>ethodology</w:t>
      </w:r>
      <w:bookmarkEnd w:id="8"/>
      <w:bookmarkEnd w:id="9"/>
    </w:p>
    <w:p w14:paraId="2875E6CF" w14:textId="23094F26" w:rsidR="00DE1940" w:rsidRDefault="00DE1940" w:rsidP="00DE1940">
      <w:pPr>
        <w:pStyle w:val="BodyText"/>
        <w:rPr>
          <w:lang w:val="en-GB"/>
        </w:rPr>
      </w:pPr>
      <w:r>
        <w:rPr>
          <w:lang w:val="en-GB"/>
        </w:rPr>
        <w:t xml:space="preserve">The </w:t>
      </w:r>
      <w:r>
        <w:rPr>
          <w:i/>
          <w:iCs/>
          <w:lang w:val="en-GB"/>
        </w:rPr>
        <w:t>Climate and Hazard Data</w:t>
      </w:r>
      <w:r>
        <w:rPr>
          <w:lang w:val="en-GB"/>
        </w:rPr>
        <w:t xml:space="preserve"> provides climate information for 53 health districts across Australia. </w:t>
      </w:r>
      <w:r w:rsidR="00E34159">
        <w:rPr>
          <w:lang w:val="en-GB"/>
        </w:rPr>
        <w:t xml:space="preserve">The </w:t>
      </w:r>
      <w:r w:rsidR="00756B40">
        <w:rPr>
          <w:lang w:val="en-GB"/>
        </w:rPr>
        <w:t>53</w:t>
      </w:r>
      <w:r w:rsidR="00E34159">
        <w:rPr>
          <w:lang w:val="en-GB"/>
        </w:rPr>
        <w:t xml:space="preserve"> health districts are </w:t>
      </w:r>
      <w:r w:rsidR="00D55DCF">
        <w:rPr>
          <w:lang w:val="en-GB"/>
        </w:rPr>
        <w:t>based on</w:t>
      </w:r>
      <w:r w:rsidR="00E34159">
        <w:rPr>
          <w:lang w:val="en-GB"/>
        </w:rPr>
        <w:t xml:space="preserve"> </w:t>
      </w:r>
      <w:hyperlink r:id="rId12" w:history="1">
        <w:r w:rsidR="00E34159" w:rsidRPr="00376729">
          <w:rPr>
            <w:rStyle w:val="Hyperlink"/>
            <w:lang w:val="en-GB"/>
          </w:rPr>
          <w:t>Local Hospital Networks</w:t>
        </w:r>
        <w:r w:rsidR="006C2950" w:rsidRPr="00376729">
          <w:rPr>
            <w:rStyle w:val="Hyperlink"/>
            <w:lang w:val="en-GB"/>
          </w:rPr>
          <w:t xml:space="preserve"> (LHN)</w:t>
        </w:r>
      </w:hyperlink>
      <w:r w:rsidR="00A85073">
        <w:rPr>
          <w:lang w:val="en-GB"/>
        </w:rPr>
        <w:t xml:space="preserve">, </w:t>
      </w:r>
      <w:r w:rsidR="00025024">
        <w:rPr>
          <w:lang w:val="en-GB"/>
        </w:rPr>
        <w:t xml:space="preserve">organisations </w:t>
      </w:r>
      <w:r w:rsidR="00823A6C">
        <w:rPr>
          <w:lang w:val="en-GB"/>
        </w:rPr>
        <w:t>that provide public hospital services</w:t>
      </w:r>
      <w:r w:rsidR="0042402A">
        <w:rPr>
          <w:lang w:val="en-GB"/>
        </w:rPr>
        <w:t xml:space="preserve"> in accordance with the National Health Reform Agreement</w:t>
      </w:r>
      <w:r w:rsidR="00FA6C2D">
        <w:rPr>
          <w:lang w:val="en-GB"/>
        </w:rPr>
        <w:t>.</w:t>
      </w:r>
      <w:r w:rsidR="00784933">
        <w:rPr>
          <w:lang w:val="en-GB"/>
        </w:rPr>
        <w:t xml:space="preserve"> </w:t>
      </w:r>
      <w:r w:rsidR="0068032F">
        <w:rPr>
          <w:lang w:val="en-GB"/>
        </w:rPr>
        <w:t xml:space="preserve">LHN </w:t>
      </w:r>
      <w:r w:rsidR="00475DE3">
        <w:rPr>
          <w:lang w:val="en-GB"/>
        </w:rPr>
        <w:t>is the</w:t>
      </w:r>
      <w:r w:rsidR="00D32E82">
        <w:rPr>
          <w:lang w:val="en-GB"/>
        </w:rPr>
        <w:t xml:space="preserve"> national</w:t>
      </w:r>
      <w:r w:rsidR="00475DE3">
        <w:rPr>
          <w:lang w:val="en-GB"/>
        </w:rPr>
        <w:t xml:space="preserve"> </w:t>
      </w:r>
      <w:r w:rsidR="00FA6C2D">
        <w:rPr>
          <w:lang w:val="en-GB"/>
        </w:rPr>
        <w:t xml:space="preserve">term </w:t>
      </w:r>
      <w:r w:rsidR="00D32E82">
        <w:rPr>
          <w:lang w:val="en-GB"/>
        </w:rPr>
        <w:t>for these networks</w:t>
      </w:r>
      <w:r w:rsidR="00475DE3">
        <w:rPr>
          <w:lang w:val="en-GB"/>
        </w:rPr>
        <w:t>, with some</w:t>
      </w:r>
      <w:r w:rsidR="004A31A4">
        <w:rPr>
          <w:lang w:val="en-GB"/>
        </w:rPr>
        <w:t xml:space="preserve"> </w:t>
      </w:r>
      <w:r w:rsidR="00FA6C2D">
        <w:rPr>
          <w:lang w:val="en-GB"/>
        </w:rPr>
        <w:t>s</w:t>
      </w:r>
      <w:r w:rsidR="004A31A4">
        <w:rPr>
          <w:lang w:val="en-GB"/>
        </w:rPr>
        <w:t xml:space="preserve">tates and </w:t>
      </w:r>
      <w:r w:rsidR="00FA6C2D">
        <w:rPr>
          <w:lang w:val="en-GB"/>
        </w:rPr>
        <w:t>t</w:t>
      </w:r>
      <w:r w:rsidR="004A31A4">
        <w:rPr>
          <w:lang w:val="en-GB"/>
        </w:rPr>
        <w:t xml:space="preserve">erritories using </w:t>
      </w:r>
      <w:r w:rsidR="00FA6C2D">
        <w:rPr>
          <w:lang w:val="en-GB"/>
        </w:rPr>
        <w:t>different terms</w:t>
      </w:r>
      <w:r w:rsidR="004A31A4">
        <w:rPr>
          <w:lang w:val="en-GB"/>
        </w:rPr>
        <w:t xml:space="preserve">. </w:t>
      </w:r>
      <w:r w:rsidR="00745E65">
        <w:rPr>
          <w:lang w:val="en-GB"/>
        </w:rPr>
        <w:t xml:space="preserve">Some of the 53 health districts are formed by merging </w:t>
      </w:r>
      <w:r w:rsidR="001024A0">
        <w:rPr>
          <w:lang w:val="en-GB"/>
        </w:rPr>
        <w:t>adjacent LHNs in urban areas with</w:t>
      </w:r>
      <w:r w:rsidR="00427FA8">
        <w:rPr>
          <w:lang w:val="en-GB"/>
        </w:rPr>
        <w:t xml:space="preserve"> similar climatic characteristics. </w:t>
      </w:r>
      <w:r w:rsidR="004D5BA7">
        <w:rPr>
          <w:lang w:val="en-GB"/>
        </w:rPr>
        <w:t>A breakdown of thi</w:t>
      </w:r>
      <w:r w:rsidR="000C69D6">
        <w:rPr>
          <w:lang w:val="en-GB"/>
        </w:rPr>
        <w:t>s methodology</w:t>
      </w:r>
      <w:r w:rsidR="004D5BA7">
        <w:rPr>
          <w:lang w:val="en-GB"/>
        </w:rPr>
        <w:t xml:space="preserve"> is provided below for each jurisdiction:</w:t>
      </w:r>
    </w:p>
    <w:p w14:paraId="4E2457FC" w14:textId="47BB240D" w:rsidR="00DE1940" w:rsidRPr="00D63B2E" w:rsidRDefault="00D63B2E" w:rsidP="00DE1940">
      <w:pPr>
        <w:pStyle w:val="BodyText"/>
        <w:rPr>
          <w:lang w:val="en-GB"/>
        </w:rPr>
      </w:pPr>
      <w:r w:rsidRPr="00A20DBB">
        <w:rPr>
          <w:b/>
          <w:lang w:val="en-GB"/>
        </w:rPr>
        <w:t xml:space="preserve">Australian </w:t>
      </w:r>
      <w:r w:rsidR="009B122B" w:rsidRPr="00A20DBB">
        <w:rPr>
          <w:b/>
          <w:lang w:val="en-GB"/>
        </w:rPr>
        <w:t>Capital</w:t>
      </w:r>
      <w:r w:rsidRPr="00A20DBB">
        <w:rPr>
          <w:b/>
          <w:lang w:val="en-GB"/>
        </w:rPr>
        <w:t xml:space="preserve"> Territory </w:t>
      </w:r>
      <w:r w:rsidR="009B122B" w:rsidRPr="00A20DBB">
        <w:rPr>
          <w:b/>
          <w:lang w:val="en-GB"/>
        </w:rPr>
        <w:t>(ACT</w:t>
      </w:r>
      <w:r w:rsidR="009B122B" w:rsidRPr="00A20DBB">
        <w:rPr>
          <w:b/>
          <w:bCs/>
          <w:lang w:val="en-GB"/>
        </w:rPr>
        <w:t>)</w:t>
      </w:r>
      <w:r w:rsidR="00A20DBB">
        <w:rPr>
          <w:b/>
          <w:lang w:val="en-GB"/>
        </w:rPr>
        <w:t xml:space="preserve"> </w:t>
      </w:r>
      <w:r w:rsidR="0040465C" w:rsidRPr="00BD0E2D">
        <w:rPr>
          <w:bCs/>
          <w:lang w:val="en-GB"/>
        </w:rPr>
        <w:t>has a single</w:t>
      </w:r>
      <w:r w:rsidR="0040465C">
        <w:rPr>
          <w:bCs/>
          <w:lang w:val="en-GB"/>
        </w:rPr>
        <w:t xml:space="preserve"> eponymous</w:t>
      </w:r>
      <w:r w:rsidR="0040465C" w:rsidRPr="00BD0E2D">
        <w:rPr>
          <w:bCs/>
          <w:lang w:val="en-GB"/>
        </w:rPr>
        <w:t xml:space="preserve"> LHN</w:t>
      </w:r>
      <w:r w:rsidR="00D1255B">
        <w:rPr>
          <w:bCs/>
          <w:lang w:val="en-GB"/>
        </w:rPr>
        <w:t xml:space="preserve"> and</w:t>
      </w:r>
      <w:r w:rsidR="0040465C">
        <w:rPr>
          <w:b/>
          <w:lang w:val="en-GB"/>
        </w:rPr>
        <w:t xml:space="preserve"> </w:t>
      </w:r>
      <w:r w:rsidR="0094153F">
        <w:rPr>
          <w:lang w:val="en-GB"/>
        </w:rPr>
        <w:t>is treated as a single health district.</w:t>
      </w:r>
    </w:p>
    <w:p w14:paraId="04A5C66C" w14:textId="7F79C396" w:rsidR="004410AB" w:rsidRDefault="00C72444" w:rsidP="00DE1940">
      <w:pPr>
        <w:pStyle w:val="BodyText"/>
        <w:rPr>
          <w:lang w:val="en-GB"/>
        </w:rPr>
      </w:pPr>
      <w:r w:rsidRPr="00A20DBB">
        <w:rPr>
          <w:b/>
          <w:lang w:val="en-GB"/>
        </w:rPr>
        <w:t>New South Wales (NSW</w:t>
      </w:r>
      <w:r w:rsidRPr="00A20DBB">
        <w:rPr>
          <w:b/>
          <w:bCs/>
          <w:lang w:val="en-GB"/>
        </w:rPr>
        <w:t>)</w:t>
      </w:r>
      <w:r>
        <w:rPr>
          <w:b/>
          <w:lang w:val="en-GB"/>
        </w:rPr>
        <w:t xml:space="preserve"> </w:t>
      </w:r>
      <w:r w:rsidR="00D0258C">
        <w:rPr>
          <w:lang w:val="en-GB"/>
        </w:rPr>
        <w:t xml:space="preserve">is divided into </w:t>
      </w:r>
      <w:r w:rsidR="00E24ABE">
        <w:rPr>
          <w:lang w:val="en-GB"/>
        </w:rPr>
        <w:t>15</w:t>
      </w:r>
      <w:r w:rsidR="00443050" w:rsidRPr="00443050">
        <w:rPr>
          <w:lang w:val="en-GB"/>
        </w:rPr>
        <w:t xml:space="preserve"> </w:t>
      </w:r>
      <w:r w:rsidR="00061947">
        <w:rPr>
          <w:lang w:val="en-GB"/>
        </w:rPr>
        <w:t>L</w:t>
      </w:r>
      <w:r w:rsidR="00443050" w:rsidRPr="00443050">
        <w:rPr>
          <w:lang w:val="en-GB"/>
        </w:rPr>
        <w:t xml:space="preserve">ocal </w:t>
      </w:r>
      <w:r w:rsidR="00061947">
        <w:rPr>
          <w:lang w:val="en-GB"/>
        </w:rPr>
        <w:t>H</w:t>
      </w:r>
      <w:r w:rsidR="00443050" w:rsidRPr="00443050">
        <w:rPr>
          <w:lang w:val="en-GB"/>
        </w:rPr>
        <w:t xml:space="preserve">ealth </w:t>
      </w:r>
      <w:r w:rsidR="00061947">
        <w:rPr>
          <w:lang w:val="en-GB"/>
        </w:rPr>
        <w:t>D</w:t>
      </w:r>
      <w:r w:rsidR="00443050" w:rsidRPr="00443050">
        <w:rPr>
          <w:lang w:val="en-GB"/>
        </w:rPr>
        <w:t>istricts</w:t>
      </w:r>
      <w:r w:rsidR="00490B44">
        <w:rPr>
          <w:lang w:val="en-GB"/>
        </w:rPr>
        <w:t xml:space="preserve"> (LHD</w:t>
      </w:r>
      <w:r w:rsidR="00061947">
        <w:rPr>
          <w:lang w:val="en-GB"/>
        </w:rPr>
        <w:t>s</w:t>
      </w:r>
      <w:r w:rsidR="00490B44">
        <w:rPr>
          <w:lang w:val="en-GB"/>
        </w:rPr>
        <w:t>)</w:t>
      </w:r>
      <w:r w:rsidR="002D6F02">
        <w:rPr>
          <w:lang w:val="en-GB"/>
        </w:rPr>
        <w:t>, 5 of which are in Sydney.</w:t>
      </w:r>
      <w:r w:rsidR="00443050" w:rsidRPr="00443050">
        <w:rPr>
          <w:lang w:val="en-GB"/>
        </w:rPr>
        <w:t xml:space="preserve"> </w:t>
      </w:r>
      <w:r w:rsidR="00DB5771">
        <w:rPr>
          <w:lang w:val="en-GB"/>
        </w:rPr>
        <w:t>We construct 12 NSW</w:t>
      </w:r>
      <w:r w:rsidR="002D1B2D">
        <w:rPr>
          <w:lang w:val="en-GB"/>
        </w:rPr>
        <w:t xml:space="preserve"> health districts</w:t>
      </w:r>
      <w:r w:rsidR="007C57D4">
        <w:rPr>
          <w:lang w:val="en-GB"/>
        </w:rPr>
        <w:t xml:space="preserve">, </w:t>
      </w:r>
      <w:r w:rsidR="002D1B2D">
        <w:rPr>
          <w:lang w:val="en-GB"/>
        </w:rPr>
        <w:t>correspond</w:t>
      </w:r>
      <w:r w:rsidR="007C57D4">
        <w:rPr>
          <w:lang w:val="en-GB"/>
        </w:rPr>
        <w:t>ing</w:t>
      </w:r>
      <w:r w:rsidR="002D1B2D">
        <w:rPr>
          <w:lang w:val="en-GB"/>
        </w:rPr>
        <w:t xml:space="preserve"> to </w:t>
      </w:r>
      <w:r w:rsidR="00DB5771">
        <w:rPr>
          <w:lang w:val="en-GB"/>
        </w:rPr>
        <w:t xml:space="preserve">the 15 </w:t>
      </w:r>
      <w:r w:rsidR="002D1B2D">
        <w:rPr>
          <w:lang w:val="en-GB"/>
        </w:rPr>
        <w:t>LHDs</w:t>
      </w:r>
      <w:r w:rsidR="007C57D4">
        <w:rPr>
          <w:lang w:val="en-GB"/>
        </w:rPr>
        <w:t xml:space="preserve"> </w:t>
      </w:r>
      <w:r w:rsidR="00F7072D">
        <w:rPr>
          <w:lang w:val="en-GB"/>
        </w:rPr>
        <w:t>except</w:t>
      </w:r>
      <w:r w:rsidR="00DB5771">
        <w:rPr>
          <w:lang w:val="en-GB"/>
        </w:rPr>
        <w:t xml:space="preserve"> that:</w:t>
      </w:r>
    </w:p>
    <w:p w14:paraId="1B53DB67" w14:textId="77777777" w:rsidR="00B87512" w:rsidRDefault="003D6E15" w:rsidP="004410AB">
      <w:pPr>
        <w:pStyle w:val="BulletUnindented"/>
        <w:rPr>
          <w:lang w:val="en-GB"/>
        </w:rPr>
      </w:pPr>
      <w:proofErr w:type="gramStart"/>
      <w:r>
        <w:rPr>
          <w:lang w:val="en-GB"/>
        </w:rPr>
        <w:t>South Eastern</w:t>
      </w:r>
      <w:proofErr w:type="gramEnd"/>
      <w:r>
        <w:rPr>
          <w:lang w:val="en-GB"/>
        </w:rPr>
        <w:t xml:space="preserve"> Sydney LHD, </w:t>
      </w:r>
      <w:r w:rsidR="00523951">
        <w:rPr>
          <w:lang w:val="en-GB"/>
        </w:rPr>
        <w:t>Sydney Local LHD</w:t>
      </w:r>
      <w:r w:rsidR="004613E8">
        <w:rPr>
          <w:lang w:val="en-GB"/>
        </w:rPr>
        <w:t xml:space="preserve"> and Northern Sydney LHD</w:t>
      </w:r>
      <w:r w:rsidR="002D1B2D">
        <w:rPr>
          <w:lang w:val="en-GB"/>
        </w:rPr>
        <w:t xml:space="preserve"> </w:t>
      </w:r>
      <w:r w:rsidR="007F40AB">
        <w:rPr>
          <w:lang w:val="en-GB"/>
        </w:rPr>
        <w:t xml:space="preserve">are merged into </w:t>
      </w:r>
      <w:r w:rsidR="00B87512">
        <w:rPr>
          <w:lang w:val="en-GB"/>
        </w:rPr>
        <w:t>a single ‘Eastern Sydney health district’.</w:t>
      </w:r>
    </w:p>
    <w:p w14:paraId="63502EA5" w14:textId="169C6AC0" w:rsidR="00DE1940" w:rsidRDefault="00BF4A06" w:rsidP="00BD0E2D">
      <w:pPr>
        <w:pStyle w:val="BulletUnindented"/>
        <w:rPr>
          <w:lang w:val="en-GB"/>
        </w:rPr>
      </w:pPr>
      <w:r>
        <w:rPr>
          <w:lang w:val="en-GB"/>
        </w:rPr>
        <w:t>Western Sydney LHD</w:t>
      </w:r>
      <w:r w:rsidR="00F2645B">
        <w:rPr>
          <w:lang w:val="en-GB"/>
        </w:rPr>
        <w:t xml:space="preserve"> and </w:t>
      </w:r>
      <w:proofErr w:type="gramStart"/>
      <w:r w:rsidR="00F2645B">
        <w:rPr>
          <w:lang w:val="en-GB"/>
        </w:rPr>
        <w:t>South Western</w:t>
      </w:r>
      <w:proofErr w:type="gramEnd"/>
      <w:r w:rsidR="00F2645B">
        <w:rPr>
          <w:lang w:val="en-GB"/>
        </w:rPr>
        <w:t xml:space="preserve"> Sydney LHD are</w:t>
      </w:r>
      <w:r w:rsidR="007F40AB">
        <w:rPr>
          <w:lang w:val="en-GB"/>
        </w:rPr>
        <w:t xml:space="preserve"> merged into </w:t>
      </w:r>
      <w:r w:rsidR="00F2645B">
        <w:rPr>
          <w:lang w:val="en-GB"/>
        </w:rPr>
        <w:t>a single ‘Western Sydney health district’</w:t>
      </w:r>
      <w:r w:rsidR="000C69D6">
        <w:rPr>
          <w:lang w:val="en-GB"/>
        </w:rPr>
        <w:t>.</w:t>
      </w:r>
    </w:p>
    <w:p w14:paraId="7F1D8AC8" w14:textId="4673FC24" w:rsidR="00EE5285" w:rsidRDefault="002B3B73" w:rsidP="00DE1940">
      <w:pPr>
        <w:pStyle w:val="BodyText"/>
        <w:rPr>
          <w:lang w:val="en-GB"/>
        </w:rPr>
      </w:pPr>
      <w:r>
        <w:rPr>
          <w:b/>
          <w:lang w:val="en-GB"/>
        </w:rPr>
        <w:t xml:space="preserve">Northern </w:t>
      </w:r>
      <w:r w:rsidR="0057016A">
        <w:rPr>
          <w:b/>
          <w:bCs/>
          <w:lang w:val="en-GB"/>
        </w:rPr>
        <w:t>Terri</w:t>
      </w:r>
      <w:r w:rsidR="000A2176">
        <w:rPr>
          <w:b/>
          <w:bCs/>
          <w:lang w:val="en-GB"/>
        </w:rPr>
        <w:t>tory (NT)</w:t>
      </w:r>
      <w:r>
        <w:rPr>
          <w:b/>
          <w:lang w:val="en-GB"/>
        </w:rPr>
        <w:t xml:space="preserve"> </w:t>
      </w:r>
      <w:r w:rsidR="0056153D" w:rsidRPr="00BD0E2D">
        <w:rPr>
          <w:bCs/>
          <w:lang w:val="en-GB"/>
        </w:rPr>
        <w:t xml:space="preserve">is </w:t>
      </w:r>
      <w:r w:rsidR="0029799C">
        <w:rPr>
          <w:bCs/>
          <w:lang w:val="en-GB"/>
        </w:rPr>
        <w:t xml:space="preserve">covered by </w:t>
      </w:r>
      <w:r w:rsidR="0056153D" w:rsidRPr="00BD0E2D">
        <w:rPr>
          <w:bCs/>
          <w:lang w:val="en-GB"/>
        </w:rPr>
        <w:t xml:space="preserve">a single LHN, </w:t>
      </w:r>
      <w:r w:rsidR="0091222C">
        <w:rPr>
          <w:lang w:val="en-GB"/>
        </w:rPr>
        <w:t xml:space="preserve">Northern Territory Regional </w:t>
      </w:r>
      <w:r w:rsidR="00AC7460">
        <w:rPr>
          <w:lang w:val="en-GB"/>
        </w:rPr>
        <w:t>Health Services</w:t>
      </w:r>
      <w:r w:rsidR="0056153D">
        <w:rPr>
          <w:lang w:val="en-GB"/>
        </w:rPr>
        <w:t xml:space="preserve">. </w:t>
      </w:r>
      <w:r w:rsidR="009A4037">
        <w:rPr>
          <w:bCs/>
          <w:lang w:val="en-GB"/>
        </w:rPr>
        <w:t>To provide more granular climate hazard data</w:t>
      </w:r>
      <w:r w:rsidR="00526C85">
        <w:rPr>
          <w:lang w:val="en-GB"/>
        </w:rPr>
        <w:t xml:space="preserve">, 5 </w:t>
      </w:r>
      <w:r w:rsidR="00967FEE">
        <w:rPr>
          <w:lang w:val="en-GB"/>
        </w:rPr>
        <w:t>health districts are con</w:t>
      </w:r>
      <w:r w:rsidR="00CD5142">
        <w:rPr>
          <w:lang w:val="en-GB"/>
        </w:rPr>
        <w:t xml:space="preserve">structed </w:t>
      </w:r>
      <w:r w:rsidR="000960E6">
        <w:rPr>
          <w:lang w:val="en-GB"/>
        </w:rPr>
        <w:t xml:space="preserve">using </w:t>
      </w:r>
      <w:r w:rsidR="001D620A">
        <w:rPr>
          <w:lang w:val="en-GB"/>
        </w:rPr>
        <w:t>NT Health’s</w:t>
      </w:r>
      <w:r w:rsidR="000960E6">
        <w:rPr>
          <w:lang w:val="en-GB"/>
        </w:rPr>
        <w:t xml:space="preserve"> 5 service delivery regions</w:t>
      </w:r>
      <w:r w:rsidR="00BB763F">
        <w:rPr>
          <w:lang w:val="en-GB"/>
        </w:rPr>
        <w:t>.</w:t>
      </w:r>
    </w:p>
    <w:p w14:paraId="447E0667" w14:textId="297C7F3A" w:rsidR="00EE5285" w:rsidRDefault="00490B44" w:rsidP="00DE1940">
      <w:pPr>
        <w:pStyle w:val="BodyText"/>
        <w:rPr>
          <w:lang w:val="en-GB"/>
        </w:rPr>
      </w:pPr>
      <w:r w:rsidRPr="000A2176">
        <w:rPr>
          <w:b/>
          <w:lang w:val="en-GB"/>
        </w:rPr>
        <w:t>Queensland</w:t>
      </w:r>
      <w:r w:rsidR="00C72444">
        <w:rPr>
          <w:b/>
          <w:lang w:val="en-GB"/>
        </w:rPr>
        <w:t xml:space="preserve"> </w:t>
      </w:r>
      <w:r w:rsidRPr="00490B44">
        <w:rPr>
          <w:lang w:val="en-GB"/>
        </w:rPr>
        <w:t xml:space="preserve">is divided into 16 Hospital and Health Services (HHSs), </w:t>
      </w:r>
      <w:r w:rsidR="002A424E">
        <w:rPr>
          <w:lang w:val="en-GB"/>
        </w:rPr>
        <w:t xml:space="preserve">15 of which are geographically defined and one of which is a </w:t>
      </w:r>
      <w:r w:rsidRPr="00490B44">
        <w:rPr>
          <w:lang w:val="en-GB"/>
        </w:rPr>
        <w:t xml:space="preserve">state-wide service for children. </w:t>
      </w:r>
      <w:r w:rsidR="00666F7A">
        <w:rPr>
          <w:lang w:val="en-GB"/>
        </w:rPr>
        <w:t xml:space="preserve">We </w:t>
      </w:r>
      <w:r w:rsidR="00DB5771">
        <w:rPr>
          <w:lang w:val="en-GB"/>
        </w:rPr>
        <w:t>construct</w:t>
      </w:r>
      <w:r w:rsidR="009A3EFF">
        <w:rPr>
          <w:lang w:val="en-GB"/>
        </w:rPr>
        <w:t xml:space="preserve"> 12 </w:t>
      </w:r>
      <w:r w:rsidR="00DB5771">
        <w:rPr>
          <w:lang w:val="en-GB"/>
        </w:rPr>
        <w:t xml:space="preserve">Queensland </w:t>
      </w:r>
      <w:r w:rsidR="00E41098">
        <w:rPr>
          <w:lang w:val="en-GB"/>
        </w:rPr>
        <w:t>health districts</w:t>
      </w:r>
      <w:r w:rsidR="00F7072D">
        <w:rPr>
          <w:lang w:val="en-GB"/>
        </w:rPr>
        <w:t xml:space="preserve">, </w:t>
      </w:r>
      <w:r w:rsidR="00E41098">
        <w:rPr>
          <w:lang w:val="en-GB"/>
        </w:rPr>
        <w:t>correspond</w:t>
      </w:r>
      <w:r w:rsidR="00F7072D">
        <w:rPr>
          <w:lang w:val="en-GB"/>
        </w:rPr>
        <w:t>ing</w:t>
      </w:r>
      <w:r w:rsidR="00E41098">
        <w:rPr>
          <w:lang w:val="en-GB"/>
        </w:rPr>
        <w:t xml:space="preserve"> to the geographically defined HH</w:t>
      </w:r>
      <w:r w:rsidR="005B5998">
        <w:rPr>
          <w:lang w:val="en-GB"/>
        </w:rPr>
        <w:t>S</w:t>
      </w:r>
      <w:r w:rsidR="00E41098">
        <w:rPr>
          <w:lang w:val="en-GB"/>
        </w:rPr>
        <w:t>s</w:t>
      </w:r>
      <w:r w:rsidR="00281235">
        <w:rPr>
          <w:lang w:val="en-GB"/>
        </w:rPr>
        <w:t xml:space="preserve"> except</w:t>
      </w:r>
      <w:r w:rsidR="00E41098">
        <w:rPr>
          <w:lang w:val="en-GB"/>
        </w:rPr>
        <w:t xml:space="preserve"> that the four </w:t>
      </w:r>
      <w:r w:rsidR="000C69D6">
        <w:rPr>
          <w:lang w:val="en-GB"/>
        </w:rPr>
        <w:t xml:space="preserve">south east Queensland </w:t>
      </w:r>
      <w:r>
        <w:rPr>
          <w:lang w:val="en-GB"/>
        </w:rPr>
        <w:t>HHS</w:t>
      </w:r>
      <w:r w:rsidR="00E41098">
        <w:rPr>
          <w:lang w:val="en-GB"/>
        </w:rPr>
        <w:t xml:space="preserve">s </w:t>
      </w:r>
      <w:r w:rsidR="005028DC">
        <w:rPr>
          <w:lang w:val="en-GB"/>
        </w:rPr>
        <w:t>(Gold Coast, Metro North, Metro South and Sunshine Coast</w:t>
      </w:r>
      <w:r w:rsidR="0061670B">
        <w:rPr>
          <w:lang w:val="en-GB"/>
        </w:rPr>
        <w:t xml:space="preserve">) </w:t>
      </w:r>
      <w:r w:rsidR="005B241E">
        <w:rPr>
          <w:lang w:val="en-GB"/>
        </w:rPr>
        <w:t>are</w:t>
      </w:r>
      <w:r w:rsidR="0061670B">
        <w:rPr>
          <w:lang w:val="en-GB"/>
        </w:rPr>
        <w:t xml:space="preserve"> combined into a single </w:t>
      </w:r>
      <w:proofErr w:type="gramStart"/>
      <w:r w:rsidR="00B76B3D">
        <w:rPr>
          <w:lang w:val="en-GB"/>
        </w:rPr>
        <w:t>South East</w:t>
      </w:r>
      <w:proofErr w:type="gramEnd"/>
      <w:r w:rsidR="00B76B3D">
        <w:rPr>
          <w:lang w:val="en-GB"/>
        </w:rPr>
        <w:t xml:space="preserve"> health district</w:t>
      </w:r>
      <w:r w:rsidR="009A3EFF">
        <w:rPr>
          <w:lang w:val="en-GB"/>
        </w:rPr>
        <w:t>.</w:t>
      </w:r>
    </w:p>
    <w:p w14:paraId="4789F0AA" w14:textId="084CEFF3" w:rsidR="00EE5285" w:rsidRDefault="00C72444" w:rsidP="00EE5285">
      <w:pPr>
        <w:pStyle w:val="BodyText"/>
        <w:rPr>
          <w:lang w:val="en-GB"/>
        </w:rPr>
      </w:pPr>
      <w:r w:rsidRPr="000A2176">
        <w:rPr>
          <w:b/>
          <w:lang w:val="en-GB"/>
        </w:rPr>
        <w:t>South Australia (SA)</w:t>
      </w:r>
      <w:r>
        <w:rPr>
          <w:b/>
          <w:lang w:val="en-GB"/>
        </w:rPr>
        <w:t xml:space="preserve"> </w:t>
      </w:r>
      <w:r w:rsidR="002B65DB">
        <w:rPr>
          <w:lang w:val="en-GB"/>
        </w:rPr>
        <w:t>is divided into</w:t>
      </w:r>
      <w:r w:rsidR="002B65DB" w:rsidRPr="00C72444">
        <w:rPr>
          <w:lang w:val="en-GB"/>
        </w:rPr>
        <w:t xml:space="preserve"> </w:t>
      </w:r>
      <w:r w:rsidRPr="00C72444">
        <w:rPr>
          <w:lang w:val="en-GB"/>
        </w:rPr>
        <w:t>10 L</w:t>
      </w:r>
      <w:r w:rsidR="005F6306">
        <w:rPr>
          <w:lang w:val="en-GB"/>
        </w:rPr>
        <w:t>ocal Health Network</w:t>
      </w:r>
      <w:r w:rsidRPr="00C72444">
        <w:rPr>
          <w:lang w:val="en-GB"/>
        </w:rPr>
        <w:t>s</w:t>
      </w:r>
      <w:r w:rsidR="00E950AF">
        <w:rPr>
          <w:lang w:val="en-GB"/>
        </w:rPr>
        <w:t xml:space="preserve">, </w:t>
      </w:r>
      <w:r w:rsidR="00B81E69">
        <w:rPr>
          <w:lang w:val="en-GB"/>
        </w:rPr>
        <w:t xml:space="preserve">9 of which are geographically defined and one of which is a state-wide service for </w:t>
      </w:r>
      <w:r w:rsidR="007C3EE1">
        <w:rPr>
          <w:lang w:val="en-GB"/>
        </w:rPr>
        <w:t>women and children</w:t>
      </w:r>
      <w:r w:rsidRPr="00C72444">
        <w:rPr>
          <w:lang w:val="en-GB"/>
        </w:rPr>
        <w:t xml:space="preserve">. </w:t>
      </w:r>
      <w:r w:rsidR="004D026B">
        <w:rPr>
          <w:lang w:val="en-GB"/>
        </w:rPr>
        <w:t>We construct 7 SA health districts, corresponding to the geographically defined Local Health Networks except that the three Adelaide Local Health Networks</w:t>
      </w:r>
      <w:r w:rsidR="008E609C">
        <w:rPr>
          <w:lang w:val="en-GB"/>
        </w:rPr>
        <w:t xml:space="preserve"> (Central Adelaide, Northern Adelaide and Southern Adelaide) </w:t>
      </w:r>
      <w:r w:rsidR="004D026B">
        <w:rPr>
          <w:lang w:val="en-GB"/>
        </w:rPr>
        <w:t>are combined into a single Adelaide health district.</w:t>
      </w:r>
    </w:p>
    <w:p w14:paraId="4196AAE1" w14:textId="717CA516" w:rsidR="004C45D7" w:rsidRDefault="00DD44DC" w:rsidP="00EE5285">
      <w:pPr>
        <w:pStyle w:val="BodyText"/>
      </w:pPr>
      <w:r w:rsidRPr="000A2176">
        <w:rPr>
          <w:b/>
          <w:lang w:val="en-GB"/>
        </w:rPr>
        <w:t xml:space="preserve">Tasmania </w:t>
      </w:r>
      <w:r w:rsidR="007D013B">
        <w:rPr>
          <w:bCs/>
          <w:lang w:val="en-GB"/>
        </w:rPr>
        <w:t>is</w:t>
      </w:r>
      <w:r w:rsidR="001C4B52">
        <w:rPr>
          <w:bCs/>
          <w:lang w:val="en-GB"/>
        </w:rPr>
        <w:t xml:space="preserve"> </w:t>
      </w:r>
      <w:r w:rsidR="0029799C">
        <w:rPr>
          <w:bCs/>
          <w:lang w:val="en-GB"/>
        </w:rPr>
        <w:t>covered by a single LHN,</w:t>
      </w:r>
      <w:r w:rsidR="00F871B6">
        <w:rPr>
          <w:bCs/>
          <w:lang w:val="en-GB"/>
        </w:rPr>
        <w:t xml:space="preserve"> the </w:t>
      </w:r>
      <w:r w:rsidR="00833768" w:rsidRPr="002E4C2C">
        <w:rPr>
          <w:bCs/>
          <w:lang w:val="en-GB"/>
        </w:rPr>
        <w:t>Tasmanian Health Service</w:t>
      </w:r>
      <w:r w:rsidR="00F95480" w:rsidRPr="00BD0E2D">
        <w:rPr>
          <w:bCs/>
          <w:lang w:val="en-GB"/>
        </w:rPr>
        <w:t xml:space="preserve">. </w:t>
      </w:r>
      <w:r w:rsidR="00727EE5">
        <w:rPr>
          <w:bCs/>
          <w:lang w:val="en-GB"/>
        </w:rPr>
        <w:t xml:space="preserve">To provide more granular climate hazard data, </w:t>
      </w:r>
      <w:r w:rsidR="001C4439">
        <w:rPr>
          <w:bCs/>
          <w:lang w:val="en-GB"/>
        </w:rPr>
        <w:t xml:space="preserve">3 </w:t>
      </w:r>
      <w:r w:rsidR="00727EE5">
        <w:rPr>
          <w:bCs/>
          <w:lang w:val="en-GB"/>
        </w:rPr>
        <w:t>health districts</w:t>
      </w:r>
      <w:r w:rsidR="00D63868">
        <w:rPr>
          <w:bCs/>
          <w:lang w:val="en-GB"/>
        </w:rPr>
        <w:t xml:space="preserve"> </w:t>
      </w:r>
      <w:r w:rsidR="00AB7402">
        <w:rPr>
          <w:bCs/>
          <w:lang w:val="en-GB"/>
        </w:rPr>
        <w:t>are constructed</w:t>
      </w:r>
      <w:r w:rsidR="00727EE5">
        <w:rPr>
          <w:bCs/>
          <w:lang w:val="en-GB"/>
        </w:rPr>
        <w:t xml:space="preserve"> using </w:t>
      </w:r>
      <w:r w:rsidR="00BF2060">
        <w:rPr>
          <w:bCs/>
          <w:lang w:val="en-GB"/>
        </w:rPr>
        <w:t xml:space="preserve">the </w:t>
      </w:r>
      <w:r w:rsidR="001C4439">
        <w:rPr>
          <w:bCs/>
          <w:lang w:val="en-GB"/>
        </w:rPr>
        <w:t>4</w:t>
      </w:r>
      <w:r w:rsidR="00BF2060">
        <w:rPr>
          <w:bCs/>
          <w:lang w:val="en-GB"/>
        </w:rPr>
        <w:t xml:space="preserve"> Tasmanian Statistical Divisions (SDs) used by</w:t>
      </w:r>
      <w:r w:rsidR="00727EE5">
        <w:rPr>
          <w:bCs/>
          <w:lang w:val="en-GB"/>
        </w:rPr>
        <w:t xml:space="preserve"> we split Tasmania into f</w:t>
      </w:r>
      <w:r w:rsidR="00E75597">
        <w:rPr>
          <w:bCs/>
          <w:lang w:val="en-GB"/>
        </w:rPr>
        <w:t>our</w:t>
      </w:r>
      <w:r w:rsidR="00727EE5">
        <w:rPr>
          <w:bCs/>
          <w:lang w:val="en-GB"/>
        </w:rPr>
        <w:t xml:space="preserve"> health districts using </w:t>
      </w:r>
      <w:r w:rsidR="00874187" w:rsidRPr="00874187">
        <w:t xml:space="preserve">the Australian Bureau of Statistics </w:t>
      </w:r>
      <w:r w:rsidR="00EC6666">
        <w:t xml:space="preserve">(these also correspond to the </w:t>
      </w:r>
      <w:r w:rsidR="001521E1">
        <w:t>3 regions used by Ambulance Tasmania</w:t>
      </w:r>
      <w:r w:rsidR="000B794B">
        <w:t>)</w:t>
      </w:r>
      <w:r w:rsidR="0014042B">
        <w:t>.</w:t>
      </w:r>
    </w:p>
    <w:p w14:paraId="678ABB9C" w14:textId="77777777" w:rsidR="004C45D7" w:rsidRPr="0014042B" w:rsidRDefault="004C45D7" w:rsidP="004C45D7">
      <w:pPr>
        <w:pStyle w:val="BulletUnindented"/>
        <w:rPr>
          <w:lang w:val="en-GB"/>
        </w:rPr>
      </w:pPr>
      <w:r>
        <w:t>The West &amp; North SD is the North-West heath district.</w:t>
      </w:r>
    </w:p>
    <w:p w14:paraId="575D6485" w14:textId="77777777" w:rsidR="004C45D7" w:rsidRPr="0014042B" w:rsidRDefault="004C45D7" w:rsidP="004C45D7">
      <w:pPr>
        <w:pStyle w:val="BulletUnindented"/>
        <w:rPr>
          <w:lang w:val="en-GB"/>
        </w:rPr>
      </w:pPr>
      <w:r>
        <w:lastRenderedPageBreak/>
        <w:t xml:space="preserve">The Launceston &amp; </w:t>
      </w:r>
      <w:proofErr w:type="gramStart"/>
      <w:r>
        <w:t>North East</w:t>
      </w:r>
      <w:proofErr w:type="gramEnd"/>
      <w:r>
        <w:t xml:space="preserve"> SD is the North-East health district.</w:t>
      </w:r>
    </w:p>
    <w:p w14:paraId="363B243E" w14:textId="28491280" w:rsidR="00EE5285" w:rsidRDefault="004C45D7" w:rsidP="0014042B">
      <w:pPr>
        <w:pStyle w:val="BulletUnindented"/>
        <w:rPr>
          <w:lang w:val="en-GB"/>
        </w:rPr>
      </w:pPr>
      <w:r>
        <w:t xml:space="preserve">The </w:t>
      </w:r>
      <w:proofErr w:type="gramStart"/>
      <w:r>
        <w:t>South East</w:t>
      </w:r>
      <w:proofErr w:type="gramEnd"/>
      <w:r>
        <w:t xml:space="preserve"> SD and Hobart SD are merged to form the </w:t>
      </w:r>
      <w:r w:rsidR="00DF24E5">
        <w:t>South health district</w:t>
      </w:r>
      <w:r w:rsidR="000E6EDF">
        <w:t>.</w:t>
      </w:r>
    </w:p>
    <w:p w14:paraId="161A5074" w14:textId="3A44523B" w:rsidR="00DE1940" w:rsidRDefault="00826D55" w:rsidP="00DE1940">
      <w:pPr>
        <w:pStyle w:val="BodyText"/>
      </w:pPr>
      <w:r w:rsidRPr="00E45A94">
        <w:rPr>
          <w:b/>
        </w:rPr>
        <w:t>Victoria</w:t>
      </w:r>
      <w:r w:rsidR="00E16CE6" w:rsidRPr="00E45A94">
        <w:rPr>
          <w:b/>
        </w:rPr>
        <w:t xml:space="preserve"> </w:t>
      </w:r>
      <w:r w:rsidR="00782730" w:rsidRPr="0014042B">
        <w:rPr>
          <w:bCs/>
        </w:rPr>
        <w:t>e</w:t>
      </w:r>
      <w:r w:rsidR="00106706" w:rsidRPr="0014042B">
        <w:rPr>
          <w:bCs/>
        </w:rPr>
        <w:t>stablished</w:t>
      </w:r>
      <w:r w:rsidR="001F3763">
        <w:t xml:space="preserve"> </w:t>
      </w:r>
      <w:r w:rsidR="00923272">
        <w:t xml:space="preserve">12 </w:t>
      </w:r>
      <w:hyperlink r:id="rId13" w:history="1">
        <w:r w:rsidR="00923272" w:rsidRPr="00F06457">
          <w:rPr>
            <w:rStyle w:val="Hyperlink"/>
          </w:rPr>
          <w:t>Local Health Service Networks</w:t>
        </w:r>
      </w:hyperlink>
      <w:r w:rsidR="00923272">
        <w:t xml:space="preserve"> (LHSNs)</w:t>
      </w:r>
      <w:r w:rsidR="00106706">
        <w:t xml:space="preserve"> </w:t>
      </w:r>
      <w:r w:rsidR="00F06457">
        <w:t>on</w:t>
      </w:r>
      <w:r w:rsidR="00106706">
        <w:t xml:space="preserve"> 1 July 2025</w:t>
      </w:r>
      <w:r w:rsidR="00F06457">
        <w:t xml:space="preserve">. </w:t>
      </w:r>
      <w:r w:rsidR="00C70B2A">
        <w:t xml:space="preserve">As preparation of the Climate and Health Hazard Data commenced before the LHSNs were established, </w:t>
      </w:r>
      <w:r w:rsidR="00D94F01">
        <w:t>a different approach to constructing health districts was adopted</w:t>
      </w:r>
      <w:r w:rsidR="002F4A01">
        <w:t xml:space="preserve">. 5 health districts correspond to the Victorian Department of Health’s </w:t>
      </w:r>
      <w:r w:rsidR="00C9745C">
        <w:t xml:space="preserve">former </w:t>
      </w:r>
      <w:r w:rsidR="002F4A01">
        <w:t>rural health regions (</w:t>
      </w:r>
      <w:r w:rsidR="0062784F" w:rsidRPr="0062784F">
        <w:t xml:space="preserve">Barwon </w:t>
      </w:r>
      <w:proofErr w:type="gramStart"/>
      <w:r w:rsidR="0062784F" w:rsidRPr="0062784F">
        <w:t>South Western</w:t>
      </w:r>
      <w:proofErr w:type="gramEnd"/>
      <w:r w:rsidR="0062784F" w:rsidRPr="0062784F">
        <w:t>, Gippsland, Grampians, Hume and Loddon Mallee</w:t>
      </w:r>
      <w:r w:rsidR="0062784F">
        <w:t>), while a sixth health district was</w:t>
      </w:r>
      <w:r w:rsidR="00C9745C">
        <w:t xml:space="preserve"> constructed by merging </w:t>
      </w:r>
      <w:r w:rsidR="00E60A74">
        <w:t>the Department’s former regions covering Melbourne (</w:t>
      </w:r>
      <w:r w:rsidR="00E60A74" w:rsidRPr="00E60A74">
        <w:t>Northern Metropolitan, Southern Metropolitan, Eastern Metropolitan and Western Metropolitan</w:t>
      </w:r>
      <w:r w:rsidR="00E60A74">
        <w:t>).</w:t>
      </w:r>
      <w:r w:rsidR="00836CE4">
        <w:t xml:space="preserve"> The</w:t>
      </w:r>
      <w:r w:rsidR="00AA5065">
        <w:t xml:space="preserve">se 6 health districts </w:t>
      </w:r>
      <w:r w:rsidR="00265FF4">
        <w:t>correspond to the LHSNs as follows:</w:t>
      </w:r>
    </w:p>
    <w:p w14:paraId="117E1419" w14:textId="77777777" w:rsidR="00C55DE4" w:rsidRPr="001D1315" w:rsidRDefault="00C55DE4" w:rsidP="00386D99">
      <w:pPr>
        <w:pStyle w:val="BulletUnindented"/>
        <w:rPr>
          <w:rFonts w:ascii="Aptos" w:hAnsi="Aptos"/>
        </w:rPr>
      </w:pPr>
      <w:r>
        <w:t>The Gippsland, Grampians, Hume and Loddon Mallee health districts broadly align with their respective LHSNs.</w:t>
      </w:r>
    </w:p>
    <w:p w14:paraId="2CD5B8D8" w14:textId="77777777" w:rsidR="00C55DE4" w:rsidRPr="001D1315" w:rsidRDefault="00C55DE4" w:rsidP="00386D99">
      <w:pPr>
        <w:pStyle w:val="BulletUnindented"/>
        <w:rPr>
          <w:rFonts w:ascii="Aptos" w:hAnsi="Aptos"/>
        </w:rPr>
      </w:pPr>
      <w:r>
        <w:t xml:space="preserve">Barwon South-West health district encompasses areas now principally covered by the Barwon and </w:t>
      </w:r>
      <w:proofErr w:type="gramStart"/>
      <w:r>
        <w:t>South West</w:t>
      </w:r>
      <w:proofErr w:type="gramEnd"/>
      <w:r>
        <w:t xml:space="preserve"> LHSNs.</w:t>
      </w:r>
    </w:p>
    <w:p w14:paraId="1E2109AE" w14:textId="77777777" w:rsidR="00C55DE4" w:rsidRPr="001D1315" w:rsidRDefault="00C55DE4" w:rsidP="00386D99">
      <w:pPr>
        <w:pStyle w:val="BulletUnindented"/>
        <w:rPr>
          <w:rFonts w:ascii="Aptos" w:hAnsi="Aptos"/>
        </w:rPr>
      </w:pPr>
      <w:r>
        <w:t>Melbourne health district combines the metropolitan Melbourne LHSNs.</w:t>
      </w:r>
    </w:p>
    <w:p w14:paraId="747D13D0" w14:textId="77777777" w:rsidR="00C55DE4" w:rsidRPr="001D1315" w:rsidRDefault="00C55DE4" w:rsidP="00386D99">
      <w:pPr>
        <w:pStyle w:val="BulletUnindented"/>
        <w:rPr>
          <w:rFonts w:ascii="Aptos" w:hAnsi="Aptos"/>
        </w:rPr>
      </w:pPr>
      <w:r>
        <w:t>Some LHSNs also cross the metropolitan-rural interface (North Metro and Mitchell LHSN, East Metro and Murrindindi LHSN).</w:t>
      </w:r>
    </w:p>
    <w:p w14:paraId="336FD330" w14:textId="26B721F8" w:rsidR="001D1315" w:rsidRPr="001D1315" w:rsidRDefault="001D1315" w:rsidP="001D1315">
      <w:r>
        <w:t>Future updates to the Climate and Health Hazard data will seek to align the health districts used for Victoria to current LHSN boundaries.</w:t>
      </w:r>
    </w:p>
    <w:p w14:paraId="320F216D" w14:textId="77777777" w:rsidR="00226C04" w:rsidRDefault="00E16CE6" w:rsidP="002219EF">
      <w:pPr>
        <w:pStyle w:val="BodyText"/>
        <w:rPr>
          <w:lang w:val="en-GB"/>
        </w:rPr>
      </w:pPr>
      <w:r w:rsidRPr="00E45A94">
        <w:rPr>
          <w:b/>
          <w:lang w:val="en-GB"/>
        </w:rPr>
        <w:t>Western Australia</w:t>
      </w:r>
      <w:r w:rsidR="00D863D5" w:rsidRPr="00E45A94">
        <w:rPr>
          <w:b/>
          <w:lang w:val="en-GB"/>
        </w:rPr>
        <w:t xml:space="preserve"> </w:t>
      </w:r>
      <w:r w:rsidR="00E45A94" w:rsidRPr="00E45A94">
        <w:rPr>
          <w:b/>
          <w:bCs/>
          <w:lang w:val="en-GB"/>
        </w:rPr>
        <w:t>(W</w:t>
      </w:r>
      <w:r w:rsidR="00F06457">
        <w:rPr>
          <w:b/>
          <w:bCs/>
          <w:lang w:val="en-GB"/>
        </w:rPr>
        <w:t>A</w:t>
      </w:r>
      <w:r w:rsidR="00E45A94" w:rsidRPr="00E45A94">
        <w:rPr>
          <w:b/>
          <w:bCs/>
          <w:lang w:val="en-GB"/>
        </w:rPr>
        <w:t>)</w:t>
      </w:r>
      <w:r w:rsidR="00E45A94">
        <w:rPr>
          <w:lang w:val="en-GB"/>
        </w:rPr>
        <w:t xml:space="preserve"> </w:t>
      </w:r>
      <w:r w:rsidR="00DE4EE0">
        <w:rPr>
          <w:lang w:val="en-GB"/>
        </w:rPr>
        <w:t xml:space="preserve">is divided into </w:t>
      </w:r>
      <w:r w:rsidR="000D0521">
        <w:rPr>
          <w:lang w:val="en-GB"/>
        </w:rPr>
        <w:t xml:space="preserve">6 </w:t>
      </w:r>
      <w:r w:rsidR="00A93510">
        <w:rPr>
          <w:lang w:val="en-GB"/>
        </w:rPr>
        <w:t>Health Services</w:t>
      </w:r>
      <w:r w:rsidR="00A76862">
        <w:rPr>
          <w:lang w:val="en-GB"/>
        </w:rPr>
        <w:t>, 4 of which are geographically defined</w:t>
      </w:r>
      <w:r w:rsidR="0011713A">
        <w:rPr>
          <w:lang w:val="en-GB"/>
        </w:rPr>
        <w:t xml:space="preserve"> </w:t>
      </w:r>
      <w:r w:rsidR="00791296">
        <w:rPr>
          <w:lang w:val="en-GB"/>
        </w:rPr>
        <w:t>–</w:t>
      </w:r>
      <w:r w:rsidR="0011713A">
        <w:rPr>
          <w:lang w:val="en-GB"/>
        </w:rPr>
        <w:t xml:space="preserve"> </w:t>
      </w:r>
      <w:r w:rsidR="00791296">
        <w:rPr>
          <w:lang w:val="en-GB"/>
        </w:rPr>
        <w:t xml:space="preserve">3 in Perth and </w:t>
      </w:r>
      <w:r w:rsidR="001D60E5">
        <w:rPr>
          <w:lang w:val="en-GB"/>
        </w:rPr>
        <w:t>the other</w:t>
      </w:r>
      <w:r w:rsidR="00791296">
        <w:rPr>
          <w:lang w:val="en-GB"/>
        </w:rPr>
        <w:t xml:space="preserve">, the WA </w:t>
      </w:r>
      <w:r w:rsidR="001D60E5">
        <w:rPr>
          <w:lang w:val="en-GB"/>
        </w:rPr>
        <w:t xml:space="preserve">Country Health Service, covering the rest of the state. We construct </w:t>
      </w:r>
      <w:r w:rsidR="00226C04">
        <w:rPr>
          <w:lang w:val="en-GB"/>
        </w:rPr>
        <w:t>8</w:t>
      </w:r>
      <w:r w:rsidR="001D60E5">
        <w:rPr>
          <w:lang w:val="en-GB"/>
        </w:rPr>
        <w:t xml:space="preserve"> health districts </w:t>
      </w:r>
      <w:r w:rsidR="00226C04">
        <w:rPr>
          <w:lang w:val="en-GB"/>
        </w:rPr>
        <w:t>as follows:</w:t>
      </w:r>
    </w:p>
    <w:p w14:paraId="25A9600D" w14:textId="5E09C10F" w:rsidR="00226C04" w:rsidRDefault="00226C04" w:rsidP="00226C04">
      <w:pPr>
        <w:pStyle w:val="BulletUnindented"/>
        <w:rPr>
          <w:lang w:val="en-GB"/>
        </w:rPr>
      </w:pPr>
      <w:r>
        <w:rPr>
          <w:lang w:val="en-GB"/>
        </w:rPr>
        <w:t>The 3</w:t>
      </w:r>
      <w:r w:rsidR="00C13D13">
        <w:rPr>
          <w:lang w:val="en-GB"/>
        </w:rPr>
        <w:t xml:space="preserve"> Perth Health Services (North Metropolitan Health Service, South Metropolitan Health Service, and East </w:t>
      </w:r>
      <w:r w:rsidR="00C25DC6">
        <w:rPr>
          <w:lang w:val="en-GB"/>
        </w:rPr>
        <w:t>Metropolitan</w:t>
      </w:r>
      <w:r w:rsidR="00C13D13">
        <w:rPr>
          <w:lang w:val="en-GB"/>
        </w:rPr>
        <w:t xml:space="preserve"> Health Service) </w:t>
      </w:r>
      <w:r>
        <w:rPr>
          <w:lang w:val="en-GB"/>
        </w:rPr>
        <w:t>to form Perth health district.</w:t>
      </w:r>
    </w:p>
    <w:p w14:paraId="7D9F5574" w14:textId="27A6993A" w:rsidR="00DE1940" w:rsidRPr="00196B0B" w:rsidRDefault="00226C04" w:rsidP="0014042B">
      <w:pPr>
        <w:pStyle w:val="BulletUnindented"/>
        <w:rPr>
          <w:lang w:val="en-GB"/>
        </w:rPr>
      </w:pPr>
      <w:r>
        <w:rPr>
          <w:lang w:val="en-GB"/>
        </w:rPr>
        <w:t xml:space="preserve">The WA Country Health Service </w:t>
      </w:r>
      <w:r w:rsidR="00756B81">
        <w:rPr>
          <w:lang w:val="en-GB"/>
        </w:rPr>
        <w:t xml:space="preserve">is divided into </w:t>
      </w:r>
      <w:r w:rsidR="00E71489">
        <w:rPr>
          <w:lang w:val="en-GB"/>
        </w:rPr>
        <w:t xml:space="preserve">7 regions: </w:t>
      </w:r>
      <w:r w:rsidR="00C5364F">
        <w:rPr>
          <w:lang w:val="en-GB"/>
        </w:rPr>
        <w:t xml:space="preserve">Goldfields, Great Southern, </w:t>
      </w:r>
      <w:r w:rsidR="00E12508">
        <w:rPr>
          <w:lang w:val="en-GB"/>
        </w:rPr>
        <w:t>Kimberl</w:t>
      </w:r>
      <w:r w:rsidR="00425000">
        <w:rPr>
          <w:lang w:val="en-GB"/>
        </w:rPr>
        <w:t>e</w:t>
      </w:r>
      <w:r w:rsidR="00E12508">
        <w:rPr>
          <w:lang w:val="en-GB"/>
        </w:rPr>
        <w:t xml:space="preserve">y, </w:t>
      </w:r>
      <w:proofErr w:type="spellStart"/>
      <w:r w:rsidR="00014709">
        <w:rPr>
          <w:lang w:val="en-GB"/>
        </w:rPr>
        <w:t>Mid West</w:t>
      </w:r>
      <w:proofErr w:type="spellEnd"/>
      <w:r w:rsidR="00014709">
        <w:rPr>
          <w:lang w:val="en-GB"/>
        </w:rPr>
        <w:t xml:space="preserve">, </w:t>
      </w:r>
      <w:r w:rsidR="003137D1">
        <w:rPr>
          <w:lang w:val="en-GB"/>
        </w:rPr>
        <w:t xml:space="preserve">Pilbara, </w:t>
      </w:r>
      <w:proofErr w:type="gramStart"/>
      <w:r w:rsidR="00627481">
        <w:rPr>
          <w:lang w:val="en-GB"/>
        </w:rPr>
        <w:t>South West</w:t>
      </w:r>
      <w:proofErr w:type="gramEnd"/>
      <w:r w:rsidR="00627481">
        <w:rPr>
          <w:lang w:val="en-GB"/>
        </w:rPr>
        <w:t xml:space="preserve"> and </w:t>
      </w:r>
      <w:r w:rsidR="00425000">
        <w:rPr>
          <w:lang w:val="en-GB"/>
        </w:rPr>
        <w:t>Wheatbelt.</w:t>
      </w:r>
    </w:p>
    <w:p w14:paraId="6635E164" w14:textId="77777777" w:rsidR="00424583" w:rsidRPr="003B2E4E" w:rsidRDefault="00424583" w:rsidP="00550C0A">
      <w:pPr>
        <w:pStyle w:val="Heading1"/>
      </w:pPr>
      <w:bookmarkStart w:id="10" w:name="_Toc221026332"/>
      <w:bookmarkStart w:id="11" w:name="_Toc235818827"/>
      <w:bookmarkStart w:id="12" w:name="_Toc236677587"/>
      <w:r>
        <w:lastRenderedPageBreak/>
        <w:t>Timelines and scenarios</w:t>
      </w:r>
      <w:bookmarkEnd w:id="10"/>
      <w:bookmarkEnd w:id="11"/>
      <w:bookmarkEnd w:id="12"/>
    </w:p>
    <w:p w14:paraId="3C14AF0B" w14:textId="77777777" w:rsidR="00424583" w:rsidRPr="00390607" w:rsidRDefault="00424583" w:rsidP="002C493E">
      <w:pPr>
        <w:pStyle w:val="Heading2"/>
      </w:pPr>
      <w:bookmarkStart w:id="13" w:name="_Toc221026333"/>
      <w:bookmarkStart w:id="14" w:name="_Toc235818828"/>
      <w:bookmarkStart w:id="15" w:name="_Toc236677588"/>
      <w:r>
        <w:t>Historical baseline</w:t>
      </w:r>
      <w:r w:rsidRPr="00390607">
        <w:t xml:space="preserve"> conditions</w:t>
      </w:r>
      <w:bookmarkEnd w:id="13"/>
      <w:bookmarkEnd w:id="14"/>
      <w:bookmarkEnd w:id="15"/>
    </w:p>
    <w:p w14:paraId="008BFA30" w14:textId="374E0227" w:rsidR="00424583" w:rsidRPr="00DC2528" w:rsidRDefault="00424583" w:rsidP="00424583">
      <w:pPr>
        <w:pStyle w:val="BodyText"/>
      </w:pPr>
      <w:r w:rsidRPr="00DC2528">
        <w:t>The historical baseline refers to observed data for the dates 1985</w:t>
      </w:r>
      <w:r w:rsidR="00454862">
        <w:t>–</w:t>
      </w:r>
      <w:r w:rsidRPr="00DC2528">
        <w:t>2014.</w:t>
      </w:r>
    </w:p>
    <w:p w14:paraId="1509B7F7" w14:textId="77777777" w:rsidR="00424583" w:rsidRPr="006C7C11" w:rsidRDefault="00424583" w:rsidP="002C493E">
      <w:pPr>
        <w:pStyle w:val="Heading2"/>
      </w:pPr>
      <w:bookmarkStart w:id="16" w:name="_Toc221026334"/>
      <w:bookmarkStart w:id="17" w:name="_Toc235818829"/>
      <w:bookmarkStart w:id="18" w:name="_Toc236677589"/>
      <w:r w:rsidRPr="006C7C11">
        <w:t>Climate scenarios</w:t>
      </w:r>
      <w:bookmarkEnd w:id="16"/>
      <w:bookmarkEnd w:id="17"/>
      <w:bookmarkEnd w:id="18"/>
    </w:p>
    <w:p w14:paraId="2D283BF0" w14:textId="77777777" w:rsidR="0076064B" w:rsidRDefault="00424583" w:rsidP="002219EF">
      <w:pPr>
        <w:pStyle w:val="BodyText"/>
      </w:pPr>
      <w:r w:rsidRPr="00DC2528">
        <w:t xml:space="preserve">A climate scenario is a plausible representation of future climate. A climate scenario considers a set of driving factors to estimate the expected impacts of climate change. Shared Socioeconomic Pathways (SSPs) are climate scenarios that represent plausible future levels of global warming. The SSPs consider various socioeconomic factors (such as population, economic growth, education, urbanisation and technology development) that could change over the next century and influence future greenhouse gas emissions. Scientists have developed SSP scenarios based on </w:t>
      </w:r>
      <w:r w:rsidR="005F0445">
        <w:t>5</w:t>
      </w:r>
      <w:r w:rsidR="005F0445" w:rsidRPr="00DC2528">
        <w:t xml:space="preserve"> </w:t>
      </w:r>
      <w:r w:rsidRPr="00DC2528">
        <w:t>narratives describing a range of potential future socioeconomic trends. The most recent iteration of SSPs also incorporate information from what were previously called Representative Concentration Pathways (RCPs) – SSP2-4.5 denotes what would previously have been called a scenario involving SSP2 and RCP4.5, the reasoning being that SSP2 describes socioeconomic conditions likely to give rise to RCP4.5.</w:t>
      </w:r>
    </w:p>
    <w:p w14:paraId="41083D28" w14:textId="7DC29703" w:rsidR="00424583" w:rsidRPr="00DC2528" w:rsidRDefault="00424583" w:rsidP="002219EF">
      <w:pPr>
        <w:pStyle w:val="BodyText"/>
      </w:pPr>
      <w:r w:rsidRPr="00DC2528">
        <w:t xml:space="preserve">The </w:t>
      </w:r>
      <w:r w:rsidR="00C82044" w:rsidDel="009A61F4">
        <w:rPr>
          <w:i/>
          <w:iCs/>
        </w:rPr>
        <w:t>C</w:t>
      </w:r>
      <w:r w:rsidR="00C82044">
        <w:rPr>
          <w:i/>
          <w:iCs/>
        </w:rPr>
        <w:t xml:space="preserve">limate and Health Hazard </w:t>
      </w:r>
      <w:r w:rsidR="00C82044" w:rsidDel="009A61F4">
        <w:rPr>
          <w:i/>
          <w:iCs/>
        </w:rPr>
        <w:t>D</w:t>
      </w:r>
      <w:r w:rsidR="00C82044">
        <w:rPr>
          <w:i/>
          <w:iCs/>
        </w:rPr>
        <w:t>ata</w:t>
      </w:r>
      <w:r w:rsidR="00C82044" w:rsidRPr="00DC2528">
        <w:t xml:space="preserve"> </w:t>
      </w:r>
      <w:proofErr w:type="gramStart"/>
      <w:r w:rsidRPr="00DC2528">
        <w:t>provides</w:t>
      </w:r>
      <w:proofErr w:type="gramEnd"/>
      <w:r w:rsidRPr="00DC2528">
        <w:t xml:space="preserve"> climate projections for </w:t>
      </w:r>
      <w:r w:rsidR="005F0445">
        <w:t>2</w:t>
      </w:r>
      <w:r w:rsidR="005F0445" w:rsidRPr="00DC2528">
        <w:t xml:space="preserve"> </w:t>
      </w:r>
      <w:r w:rsidRPr="00DC2528">
        <w:t>SSPs:</w:t>
      </w:r>
    </w:p>
    <w:p w14:paraId="741F0F1E" w14:textId="77777777" w:rsidR="00424583" w:rsidRPr="00DC2528" w:rsidRDefault="00424583" w:rsidP="00440278">
      <w:pPr>
        <w:pStyle w:val="BulletUnindented"/>
      </w:pPr>
      <w:r w:rsidRPr="00C90BC4">
        <w:rPr>
          <w:b/>
          <w:bCs/>
        </w:rPr>
        <w:t>SSP2-4.5</w:t>
      </w:r>
      <w:r w:rsidRPr="00DC2528">
        <w:t>: This scenario has emissions steady at roughly the same as current levels before starting to fall in the middle of the century and net zero is not reached by 2100, with temperatures rising by about 2.7°C by the end of the century. This is referred to as a ‘middle of the road scenario’, representing a moderate emissions reduction from 2040.</w:t>
      </w:r>
    </w:p>
    <w:p w14:paraId="528B1A56" w14:textId="4F037FBD" w:rsidR="00424583" w:rsidRPr="00DC2528" w:rsidRDefault="00424583" w:rsidP="00440278">
      <w:pPr>
        <w:pStyle w:val="BulletUnindented"/>
      </w:pPr>
      <w:r w:rsidRPr="00C90BC4">
        <w:rPr>
          <w:b/>
          <w:bCs/>
        </w:rPr>
        <w:t>SSP3-7.0</w:t>
      </w:r>
      <w:r w:rsidRPr="00DC2528">
        <w:t>: Under this scenario, both emissions and temperatures continue to rise, the latter by about 3.6°C by 2100. Based on more recent data and an improved understanding of how the main drivers of future emissions are likely to change over time, there is a common view among climate scientists that the SSP5-8.5 scenario is unlikely to be realised. Therefore, SSP3-7.0 is now considered the ‘reasonable worst-case scenario’ representing delayed and minimal emissions reduction.</w:t>
      </w:r>
    </w:p>
    <w:p w14:paraId="2C822E92" w14:textId="44563331" w:rsidR="00424583" w:rsidRPr="009D369F" w:rsidRDefault="00424583" w:rsidP="009D369F">
      <w:pPr>
        <w:pStyle w:val="BodyText"/>
        <w:rPr>
          <w:lang w:val="en-GB"/>
        </w:rPr>
      </w:pPr>
      <w:r w:rsidRPr="00DC2528">
        <w:t xml:space="preserve">Fire </w:t>
      </w:r>
      <w:r w:rsidRPr="000F567E">
        <w:t xml:space="preserve">Hazard projections are not available for SSP2-4.5, so SSP1-2.6 is used </w:t>
      </w:r>
      <w:r w:rsidRPr="00923EDE">
        <w:t>as the lower emission scenario for this hazard instead of SSP2-4.5</w:t>
      </w:r>
      <w:r w:rsidRPr="000F567E">
        <w:t xml:space="preserve">. Under </w:t>
      </w:r>
      <w:r w:rsidRPr="000F567E">
        <w:rPr>
          <w:lang w:val="en-GB"/>
        </w:rPr>
        <w:t xml:space="preserve">SSP1-2.6, global emissions are reduced but don’t reach net zero until after 2050 and warming stabilises at about 1.8°C by 2100. </w:t>
      </w:r>
      <w:r w:rsidRPr="00923EDE">
        <w:rPr>
          <w:lang w:val="en-GB"/>
        </w:rPr>
        <w:t xml:space="preserve">This </w:t>
      </w:r>
      <w:r w:rsidR="00C82044">
        <w:rPr>
          <w:lang w:val="en-GB"/>
        </w:rPr>
        <w:t>document</w:t>
      </w:r>
      <w:r w:rsidRPr="00923EDE">
        <w:rPr>
          <w:lang w:val="en-GB"/>
        </w:rPr>
        <w:t xml:space="preserve"> refers to SPP1-2.6 as the ‘sustainability’ scenario</w:t>
      </w:r>
      <w:r w:rsidRPr="000F567E">
        <w:rPr>
          <w:lang w:val="en-GB"/>
        </w:rPr>
        <w:t>.</w:t>
      </w:r>
      <w:r>
        <w:br w:type="page"/>
      </w:r>
    </w:p>
    <w:p w14:paraId="19415EF9" w14:textId="77777777" w:rsidR="00424583" w:rsidRPr="002B1930" w:rsidRDefault="00424583" w:rsidP="0076064B">
      <w:pPr>
        <w:pStyle w:val="Heading2"/>
      </w:pPr>
      <w:bookmarkStart w:id="19" w:name="_Toc221026335"/>
      <w:bookmarkStart w:id="20" w:name="_Toc235818830"/>
      <w:bookmarkStart w:id="21" w:name="_Toc236677590"/>
      <w:r w:rsidRPr="002B1930">
        <w:lastRenderedPageBreak/>
        <w:t>Climate models and time horizons</w:t>
      </w:r>
      <w:bookmarkEnd w:id="19"/>
      <w:bookmarkEnd w:id="20"/>
      <w:bookmarkEnd w:id="21"/>
    </w:p>
    <w:p w14:paraId="0022DD31" w14:textId="77777777" w:rsidR="0076064B" w:rsidRDefault="00424583" w:rsidP="000540AD">
      <w:pPr>
        <w:pStyle w:val="BodyText"/>
      </w:pPr>
      <w:r w:rsidRPr="00DC2528">
        <w:t xml:space="preserve">The impact of the SSPs on climate is assessed using Global Climate Models (GCMs). The </w:t>
      </w:r>
      <w:r w:rsidR="00C82044" w:rsidDel="009A61F4">
        <w:t>C</w:t>
      </w:r>
      <w:r w:rsidR="00C82044">
        <w:t xml:space="preserve">limate and Health Hazard </w:t>
      </w:r>
      <w:r w:rsidR="00C82044" w:rsidDel="009A61F4">
        <w:t>D</w:t>
      </w:r>
      <w:r w:rsidR="00C82044">
        <w:t xml:space="preserve">ata </w:t>
      </w:r>
      <w:proofErr w:type="gramStart"/>
      <w:r w:rsidRPr="00DC2528">
        <w:t>uses</w:t>
      </w:r>
      <w:proofErr w:type="gramEnd"/>
      <w:r w:rsidRPr="00DC2528">
        <w:t xml:space="preserve"> projected climate changes from </w:t>
      </w:r>
      <w:r w:rsidR="00E3597A">
        <w:t>9</w:t>
      </w:r>
      <w:r w:rsidR="00E3597A" w:rsidRPr="00DC2528">
        <w:t xml:space="preserve"> </w:t>
      </w:r>
      <w:r w:rsidRPr="00DC2528">
        <w:t>CMIP6 GCMs: (ACCESS-CM2, ACCESS-ESM1-5, CESM2, CMCC-ESM2, CNRM-ESM2-1, EC-Earth3, MPI-ESM1-2-HR, NorESM2-MM, UKESM1-0-LL).</w:t>
      </w:r>
    </w:p>
    <w:p w14:paraId="75D857AE" w14:textId="30DF433A" w:rsidR="00424583" w:rsidRPr="00DC2528" w:rsidRDefault="00424583" w:rsidP="000540AD">
      <w:pPr>
        <w:pStyle w:val="BodyText"/>
      </w:pPr>
      <w:r w:rsidRPr="00DC2528">
        <w:t xml:space="preserve">These </w:t>
      </w:r>
      <w:r w:rsidR="00E3597A">
        <w:t>9</w:t>
      </w:r>
      <w:r w:rsidR="00E3597A" w:rsidRPr="00DC2528">
        <w:t xml:space="preserve"> </w:t>
      </w:r>
      <w:r w:rsidRPr="00DC2528">
        <w:t xml:space="preserve">models are used to project hazards under different SSPs for </w:t>
      </w:r>
      <w:r w:rsidR="005F0445">
        <w:t>3</w:t>
      </w:r>
      <w:r w:rsidR="005F0445" w:rsidRPr="00DC2528">
        <w:t xml:space="preserve"> </w:t>
      </w:r>
      <w:r w:rsidRPr="00DC2528">
        <w:t>time horizons:</w:t>
      </w:r>
    </w:p>
    <w:p w14:paraId="07A8ABF2" w14:textId="47B2C342" w:rsidR="00424583" w:rsidRPr="00DC2528" w:rsidRDefault="00424583">
      <w:pPr>
        <w:pStyle w:val="BodyText"/>
        <w:numPr>
          <w:ilvl w:val="0"/>
          <w:numId w:val="11"/>
        </w:numPr>
      </w:pPr>
      <w:r w:rsidRPr="00C90BC4">
        <w:rPr>
          <w:b/>
          <w:bCs/>
        </w:rPr>
        <w:t>1985</w:t>
      </w:r>
      <w:r w:rsidR="00454862">
        <w:t>–</w:t>
      </w:r>
      <w:r w:rsidRPr="00C90BC4">
        <w:rPr>
          <w:b/>
          <w:bCs/>
        </w:rPr>
        <w:t>2014</w:t>
      </w:r>
      <w:r w:rsidRPr="00DC2528">
        <w:t xml:space="preserve"> (presented as the baseline)</w:t>
      </w:r>
    </w:p>
    <w:p w14:paraId="6CD90E98" w14:textId="2FF995B7" w:rsidR="00424583" w:rsidRPr="00DC2528" w:rsidRDefault="00424583">
      <w:pPr>
        <w:pStyle w:val="BodyText"/>
        <w:numPr>
          <w:ilvl w:val="0"/>
          <w:numId w:val="11"/>
        </w:numPr>
      </w:pPr>
      <w:r w:rsidRPr="00C90BC4">
        <w:rPr>
          <w:b/>
          <w:bCs/>
        </w:rPr>
        <w:t>2035</w:t>
      </w:r>
      <w:r w:rsidR="00454862">
        <w:t>–</w:t>
      </w:r>
      <w:r w:rsidRPr="00C90BC4">
        <w:rPr>
          <w:b/>
          <w:bCs/>
        </w:rPr>
        <w:t>2064</w:t>
      </w:r>
      <w:r w:rsidRPr="00DC2528">
        <w:t xml:space="preserve"> (presented as ‘2050’)</w:t>
      </w:r>
    </w:p>
    <w:p w14:paraId="6DCFF0E8" w14:textId="42A865EE" w:rsidR="00424583" w:rsidRPr="00DC2528" w:rsidRDefault="00424583">
      <w:pPr>
        <w:pStyle w:val="BodyText"/>
        <w:numPr>
          <w:ilvl w:val="0"/>
          <w:numId w:val="11"/>
        </w:numPr>
      </w:pPr>
      <w:r w:rsidRPr="00C90BC4">
        <w:rPr>
          <w:b/>
          <w:bCs/>
        </w:rPr>
        <w:t>2070</w:t>
      </w:r>
      <w:r w:rsidR="00454862">
        <w:t>–</w:t>
      </w:r>
      <w:r w:rsidRPr="00C90BC4">
        <w:rPr>
          <w:b/>
          <w:bCs/>
        </w:rPr>
        <w:t>2099</w:t>
      </w:r>
      <w:r w:rsidRPr="00DC2528">
        <w:t xml:space="preserve"> (presented as ‘2085’)</w:t>
      </w:r>
      <w:r w:rsidR="003701A5">
        <w:t>.</w:t>
      </w:r>
    </w:p>
    <w:p w14:paraId="5F4727E4" w14:textId="36F3CFBE" w:rsidR="00424583" w:rsidRPr="00DC2528" w:rsidRDefault="00424583" w:rsidP="000540AD">
      <w:pPr>
        <w:pStyle w:val="BodyText"/>
      </w:pPr>
      <w:r w:rsidRPr="00DC2528">
        <w:t>This assessment is done for each SSP and summarised in the below table.</w:t>
      </w:r>
    </w:p>
    <w:tbl>
      <w:tblPr>
        <w:tblStyle w:val="TableGrid"/>
        <w:tblW w:w="0" w:type="auto"/>
        <w:tblLook w:val="04A0" w:firstRow="1" w:lastRow="0" w:firstColumn="1" w:lastColumn="0" w:noHBand="0" w:noVBand="1"/>
      </w:tblPr>
      <w:tblGrid>
        <w:gridCol w:w="1249"/>
        <w:gridCol w:w="1663"/>
        <w:gridCol w:w="2644"/>
        <w:gridCol w:w="4367"/>
      </w:tblGrid>
      <w:tr w:rsidR="00424583" w:rsidRPr="003420FC" w14:paraId="545671B8" w14:textId="77777777" w:rsidTr="000540AD">
        <w:trPr>
          <w:cnfStyle w:val="100000000000" w:firstRow="1" w:lastRow="0" w:firstColumn="0" w:lastColumn="0" w:oddVBand="0" w:evenVBand="0" w:oddHBand="0" w:evenHBand="0" w:firstRowFirstColumn="0" w:firstRowLastColumn="0" w:lastRowFirstColumn="0" w:lastRowLastColumn="0"/>
          <w:trHeight w:hRule="exact" w:val="481"/>
        </w:trPr>
        <w:tc>
          <w:tcPr>
            <w:tcW w:w="0" w:type="auto"/>
          </w:tcPr>
          <w:p w14:paraId="47D25176" w14:textId="77777777" w:rsidR="00424583" w:rsidRPr="00C63DAA" w:rsidRDefault="00424583" w:rsidP="00265746">
            <w:pPr>
              <w:rPr>
                <w:b/>
                <w:bCs/>
                <w:sz w:val="24"/>
                <w:szCs w:val="24"/>
              </w:rPr>
            </w:pPr>
            <w:r w:rsidRPr="00C63DAA">
              <w:rPr>
                <w:b/>
                <w:bCs/>
                <w:sz w:val="24"/>
                <w:szCs w:val="24"/>
              </w:rPr>
              <w:t>Time horizon</w:t>
            </w:r>
          </w:p>
        </w:tc>
        <w:tc>
          <w:tcPr>
            <w:tcW w:w="0" w:type="auto"/>
          </w:tcPr>
          <w:p w14:paraId="6A8BEA77" w14:textId="77777777" w:rsidR="00424583" w:rsidRPr="00C63DAA" w:rsidRDefault="00424583" w:rsidP="00265746">
            <w:pPr>
              <w:rPr>
                <w:b/>
                <w:bCs/>
                <w:sz w:val="24"/>
                <w:szCs w:val="24"/>
              </w:rPr>
            </w:pPr>
            <w:r w:rsidRPr="00C63DAA">
              <w:rPr>
                <w:b/>
                <w:bCs/>
                <w:sz w:val="24"/>
                <w:szCs w:val="24"/>
              </w:rPr>
              <w:t>Years</w:t>
            </w:r>
          </w:p>
        </w:tc>
        <w:tc>
          <w:tcPr>
            <w:tcW w:w="0" w:type="auto"/>
          </w:tcPr>
          <w:p w14:paraId="14AEC5D4" w14:textId="77777777" w:rsidR="00424583" w:rsidRPr="00C63DAA" w:rsidRDefault="00424583" w:rsidP="00265746">
            <w:pPr>
              <w:rPr>
                <w:b/>
                <w:bCs/>
                <w:sz w:val="24"/>
                <w:szCs w:val="24"/>
              </w:rPr>
            </w:pPr>
            <w:r w:rsidRPr="00C63DAA">
              <w:rPr>
                <w:b/>
                <w:bCs/>
                <w:sz w:val="24"/>
                <w:szCs w:val="24"/>
              </w:rPr>
              <w:t>Description</w:t>
            </w:r>
          </w:p>
        </w:tc>
        <w:tc>
          <w:tcPr>
            <w:tcW w:w="0" w:type="auto"/>
          </w:tcPr>
          <w:p w14:paraId="0FE80D64" w14:textId="77777777" w:rsidR="00424583" w:rsidRPr="00C63DAA" w:rsidRDefault="00424583" w:rsidP="00265746">
            <w:pPr>
              <w:rPr>
                <w:b/>
                <w:bCs/>
                <w:sz w:val="24"/>
                <w:szCs w:val="24"/>
              </w:rPr>
            </w:pPr>
            <w:r w:rsidRPr="00C63DAA">
              <w:rPr>
                <w:b/>
                <w:bCs/>
                <w:sz w:val="24"/>
                <w:szCs w:val="24"/>
              </w:rPr>
              <w:t>Using this time horizon</w:t>
            </w:r>
          </w:p>
        </w:tc>
      </w:tr>
      <w:tr w:rsidR="00424583" w:rsidRPr="003420FC" w14:paraId="17DF5D96" w14:textId="77777777" w:rsidTr="000540AD">
        <w:trPr>
          <w:cnfStyle w:val="000000100000" w:firstRow="0" w:lastRow="0" w:firstColumn="0" w:lastColumn="0" w:oddVBand="0" w:evenVBand="0" w:oddHBand="1" w:evenHBand="0" w:firstRowFirstColumn="0" w:firstRowLastColumn="0" w:lastRowFirstColumn="0" w:lastRowLastColumn="0"/>
          <w:trHeight w:hRule="exact" w:val="1168"/>
        </w:trPr>
        <w:tc>
          <w:tcPr>
            <w:tcW w:w="0" w:type="auto"/>
            <w:vAlign w:val="top"/>
          </w:tcPr>
          <w:p w14:paraId="1355891F" w14:textId="77777777" w:rsidR="00424583" w:rsidRPr="00C63DAA" w:rsidRDefault="00424583" w:rsidP="00265746">
            <w:pPr>
              <w:rPr>
                <w:sz w:val="24"/>
                <w:szCs w:val="24"/>
              </w:rPr>
            </w:pPr>
            <w:r w:rsidRPr="00C63DAA">
              <w:rPr>
                <w:sz w:val="24"/>
                <w:szCs w:val="24"/>
              </w:rPr>
              <w:t>Baseline</w:t>
            </w:r>
          </w:p>
        </w:tc>
        <w:tc>
          <w:tcPr>
            <w:tcW w:w="0" w:type="auto"/>
            <w:vAlign w:val="top"/>
          </w:tcPr>
          <w:p w14:paraId="537A259B" w14:textId="0BE4A8AA" w:rsidR="00424583" w:rsidRPr="00C63DAA" w:rsidRDefault="00424583" w:rsidP="00265746">
            <w:pPr>
              <w:rPr>
                <w:sz w:val="24"/>
                <w:szCs w:val="24"/>
              </w:rPr>
            </w:pPr>
            <w:r w:rsidRPr="00C63DAA">
              <w:rPr>
                <w:sz w:val="24"/>
                <w:szCs w:val="24"/>
              </w:rPr>
              <w:t>Observed data from 1985</w:t>
            </w:r>
            <w:r w:rsidR="00454862">
              <w:t>–</w:t>
            </w:r>
            <w:r w:rsidRPr="00C63DAA">
              <w:rPr>
                <w:sz w:val="24"/>
                <w:szCs w:val="24"/>
              </w:rPr>
              <w:t>2014</w:t>
            </w:r>
          </w:p>
        </w:tc>
        <w:tc>
          <w:tcPr>
            <w:tcW w:w="0" w:type="auto"/>
            <w:vAlign w:val="top"/>
          </w:tcPr>
          <w:p w14:paraId="10017FC2" w14:textId="77777777" w:rsidR="00424583" w:rsidRPr="00C63DAA" w:rsidRDefault="00424583" w:rsidP="00265746">
            <w:pPr>
              <w:rPr>
                <w:sz w:val="24"/>
                <w:szCs w:val="24"/>
              </w:rPr>
            </w:pPr>
            <w:r w:rsidRPr="00C63DAA">
              <w:rPr>
                <w:sz w:val="24"/>
                <w:szCs w:val="24"/>
              </w:rPr>
              <w:t>This represents the historical baseline position for each hazard.</w:t>
            </w:r>
          </w:p>
        </w:tc>
        <w:tc>
          <w:tcPr>
            <w:tcW w:w="0" w:type="auto"/>
            <w:vAlign w:val="top"/>
          </w:tcPr>
          <w:p w14:paraId="248EDDCA" w14:textId="77777777" w:rsidR="00424583" w:rsidRPr="00C63DAA" w:rsidRDefault="00424583" w:rsidP="00265746">
            <w:pPr>
              <w:rPr>
                <w:sz w:val="24"/>
                <w:szCs w:val="24"/>
              </w:rPr>
            </w:pPr>
            <w:r w:rsidRPr="00C63DAA">
              <w:rPr>
                <w:sz w:val="24"/>
                <w:szCs w:val="24"/>
              </w:rPr>
              <w:t>Undertake a risk assessment to ensure these risks are understood and being managed now.</w:t>
            </w:r>
          </w:p>
        </w:tc>
      </w:tr>
      <w:tr w:rsidR="00424583" w:rsidRPr="003420FC" w14:paraId="1D049AF4" w14:textId="77777777" w:rsidTr="000540AD">
        <w:trPr>
          <w:trHeight w:hRule="exact" w:val="1168"/>
        </w:trPr>
        <w:tc>
          <w:tcPr>
            <w:tcW w:w="0" w:type="auto"/>
            <w:vAlign w:val="top"/>
          </w:tcPr>
          <w:p w14:paraId="6F15F6BE" w14:textId="77777777" w:rsidR="00424583" w:rsidRPr="00C63DAA" w:rsidRDefault="00424583" w:rsidP="00265746">
            <w:pPr>
              <w:rPr>
                <w:sz w:val="24"/>
                <w:szCs w:val="24"/>
              </w:rPr>
            </w:pPr>
            <w:r w:rsidRPr="00C63DAA">
              <w:rPr>
                <w:sz w:val="24"/>
                <w:szCs w:val="24"/>
              </w:rPr>
              <w:t>Mid-century (2050)</w:t>
            </w:r>
          </w:p>
        </w:tc>
        <w:tc>
          <w:tcPr>
            <w:tcW w:w="0" w:type="auto"/>
            <w:vAlign w:val="top"/>
          </w:tcPr>
          <w:p w14:paraId="38A7BA28" w14:textId="77777777" w:rsidR="00424583" w:rsidRPr="00C63DAA" w:rsidRDefault="00424583" w:rsidP="00265746">
            <w:pPr>
              <w:rPr>
                <w:sz w:val="24"/>
                <w:szCs w:val="24"/>
              </w:rPr>
            </w:pPr>
            <w:r w:rsidRPr="00C63DAA">
              <w:rPr>
                <w:sz w:val="24"/>
                <w:szCs w:val="24"/>
              </w:rPr>
              <w:t>2035–2064</w:t>
            </w:r>
          </w:p>
        </w:tc>
        <w:tc>
          <w:tcPr>
            <w:tcW w:w="0" w:type="auto"/>
            <w:vAlign w:val="top"/>
          </w:tcPr>
          <w:p w14:paraId="159D5000" w14:textId="77777777" w:rsidR="00424583" w:rsidRPr="00C63DAA" w:rsidRDefault="00424583" w:rsidP="00265746">
            <w:pPr>
              <w:rPr>
                <w:sz w:val="24"/>
                <w:szCs w:val="24"/>
              </w:rPr>
            </w:pPr>
            <w:r w:rsidRPr="00C63DAA">
              <w:rPr>
                <w:sz w:val="24"/>
                <w:szCs w:val="24"/>
              </w:rPr>
              <w:t>This represents the medium-term climate projections.</w:t>
            </w:r>
          </w:p>
        </w:tc>
        <w:tc>
          <w:tcPr>
            <w:tcW w:w="0" w:type="auto"/>
            <w:vAlign w:val="top"/>
          </w:tcPr>
          <w:p w14:paraId="4F12BDB5" w14:textId="77777777" w:rsidR="00424583" w:rsidRPr="00C63DAA" w:rsidRDefault="00424583" w:rsidP="00265746">
            <w:pPr>
              <w:rPr>
                <w:sz w:val="24"/>
                <w:szCs w:val="24"/>
              </w:rPr>
            </w:pPr>
            <w:r w:rsidRPr="00C63DAA">
              <w:rPr>
                <w:sz w:val="24"/>
                <w:szCs w:val="24"/>
              </w:rPr>
              <w:t>Identify and manage emergent risks to health systems and populations.</w:t>
            </w:r>
          </w:p>
        </w:tc>
      </w:tr>
      <w:tr w:rsidR="00424583" w:rsidRPr="003420FC" w14:paraId="649F7344" w14:textId="77777777" w:rsidTr="000540AD">
        <w:trPr>
          <w:cnfStyle w:val="000000100000" w:firstRow="0" w:lastRow="0" w:firstColumn="0" w:lastColumn="0" w:oddVBand="0" w:evenVBand="0" w:oddHBand="1" w:evenHBand="0" w:firstRowFirstColumn="0" w:firstRowLastColumn="0" w:lastRowFirstColumn="0" w:lastRowLastColumn="0"/>
          <w:trHeight w:hRule="exact" w:val="1765"/>
        </w:trPr>
        <w:tc>
          <w:tcPr>
            <w:tcW w:w="0" w:type="auto"/>
            <w:vAlign w:val="top"/>
          </w:tcPr>
          <w:p w14:paraId="54B94015" w14:textId="77777777" w:rsidR="00424583" w:rsidRPr="00C63DAA" w:rsidRDefault="00424583" w:rsidP="00265746">
            <w:pPr>
              <w:rPr>
                <w:sz w:val="24"/>
                <w:szCs w:val="24"/>
              </w:rPr>
            </w:pPr>
            <w:r w:rsidRPr="00C63DAA">
              <w:rPr>
                <w:sz w:val="24"/>
                <w:szCs w:val="24"/>
              </w:rPr>
              <w:t>Late century (2085)</w:t>
            </w:r>
          </w:p>
        </w:tc>
        <w:tc>
          <w:tcPr>
            <w:tcW w:w="0" w:type="auto"/>
            <w:vAlign w:val="top"/>
          </w:tcPr>
          <w:p w14:paraId="61DC3D5E" w14:textId="77777777" w:rsidR="00424583" w:rsidRPr="00C63DAA" w:rsidRDefault="00424583" w:rsidP="00265746">
            <w:pPr>
              <w:rPr>
                <w:sz w:val="24"/>
                <w:szCs w:val="24"/>
              </w:rPr>
            </w:pPr>
            <w:r w:rsidRPr="00C63DAA">
              <w:rPr>
                <w:sz w:val="24"/>
                <w:szCs w:val="24"/>
              </w:rPr>
              <w:t>2070–2099</w:t>
            </w:r>
          </w:p>
        </w:tc>
        <w:tc>
          <w:tcPr>
            <w:tcW w:w="0" w:type="auto"/>
            <w:vAlign w:val="top"/>
          </w:tcPr>
          <w:p w14:paraId="592B33E3" w14:textId="77777777" w:rsidR="00424583" w:rsidRPr="00C63DAA" w:rsidRDefault="00424583" w:rsidP="00265746">
            <w:pPr>
              <w:rPr>
                <w:sz w:val="24"/>
                <w:szCs w:val="24"/>
              </w:rPr>
            </w:pPr>
            <w:r w:rsidRPr="00C63DAA">
              <w:rPr>
                <w:sz w:val="24"/>
                <w:szCs w:val="24"/>
              </w:rPr>
              <w:t>This represents the long-term climate projections.</w:t>
            </w:r>
          </w:p>
        </w:tc>
        <w:tc>
          <w:tcPr>
            <w:tcW w:w="0" w:type="auto"/>
            <w:vAlign w:val="top"/>
          </w:tcPr>
          <w:p w14:paraId="69726527" w14:textId="77777777" w:rsidR="00424583" w:rsidRPr="00C63DAA" w:rsidRDefault="00424583" w:rsidP="00265746">
            <w:pPr>
              <w:rPr>
                <w:sz w:val="24"/>
                <w:szCs w:val="24"/>
              </w:rPr>
            </w:pPr>
            <w:r w:rsidRPr="00C63DAA">
              <w:rPr>
                <w:sz w:val="24"/>
                <w:szCs w:val="24"/>
              </w:rPr>
              <w:t>If planning infrastructure or policy with long-lasting consequences, then this time horizon should be used in risk assessments.</w:t>
            </w:r>
          </w:p>
        </w:tc>
      </w:tr>
    </w:tbl>
    <w:p w14:paraId="653F85B7" w14:textId="77777777" w:rsidR="00424583" w:rsidRPr="000540AD" w:rsidRDefault="00424583" w:rsidP="0076064B">
      <w:pPr>
        <w:pStyle w:val="Heading2"/>
      </w:pPr>
      <w:bookmarkStart w:id="22" w:name="_Toc212497319"/>
      <w:bookmarkStart w:id="23" w:name="_Toc221026336"/>
      <w:bookmarkStart w:id="24" w:name="_Toc235818831"/>
      <w:bookmarkStart w:id="25" w:name="_Toc236677591"/>
      <w:r w:rsidRPr="000540AD">
        <w:t xml:space="preserve">Comparing observed and future </w:t>
      </w:r>
      <w:bookmarkEnd w:id="22"/>
      <w:bookmarkEnd w:id="23"/>
      <w:r w:rsidRPr="000540AD">
        <w:t>scenarios</w:t>
      </w:r>
      <w:bookmarkEnd w:id="24"/>
      <w:bookmarkEnd w:id="25"/>
    </w:p>
    <w:p w14:paraId="16E08068" w14:textId="637F23AA" w:rsidR="00424583" w:rsidRPr="00DC2528" w:rsidRDefault="00424583" w:rsidP="000540AD">
      <w:pPr>
        <w:pStyle w:val="BodyText"/>
      </w:pPr>
      <w:r w:rsidRPr="00DC2528">
        <w:t>The reported baseline results are actual recorded values that reflect the weather conditions observed during the stated period. These historical conditions are then replicated within the GCM, acknowledging that modelled data can never perfectly match observed data. When comparing hazards between the baseline and future scenarios, both are based on modelled conditions. This ensures that any differences reflect the effects of climate change alone.</w:t>
      </w:r>
    </w:p>
    <w:p w14:paraId="605FC523" w14:textId="141E2936" w:rsidR="00CC33A2" w:rsidRDefault="00424583" w:rsidP="007D425C">
      <w:pPr>
        <w:pStyle w:val="BodyText"/>
      </w:pPr>
      <w:r w:rsidRPr="00DC2528">
        <w:t>If observed baseline data were used instead, it would be unclear whether changes arose from climate change or from differences between observed and modelled data. Using modelled data for both the baseline and future scenarios ensures consistency within the model, allowing changes to be reliably attributed to the influence of climate change.</w:t>
      </w:r>
    </w:p>
    <w:p w14:paraId="32F623A8" w14:textId="77777777" w:rsidR="00A937F7" w:rsidRDefault="00A937F7" w:rsidP="00550C0A">
      <w:pPr>
        <w:pStyle w:val="Heading1"/>
      </w:pPr>
      <w:bookmarkStart w:id="26" w:name="_Toc221026337"/>
      <w:bookmarkStart w:id="27" w:name="_Toc235818832"/>
      <w:bookmarkStart w:id="28" w:name="_Toc236677592"/>
      <w:r w:rsidRPr="002B1930">
        <w:lastRenderedPageBreak/>
        <w:t>Heat and humidity hazard</w:t>
      </w:r>
      <w:r>
        <w:t xml:space="preserve"> methods</w:t>
      </w:r>
      <w:bookmarkEnd w:id="26"/>
      <w:bookmarkEnd w:id="27"/>
      <w:bookmarkEnd w:id="28"/>
    </w:p>
    <w:p w14:paraId="27C2BB53" w14:textId="77777777" w:rsidR="00A937F7" w:rsidRDefault="00A937F7" w:rsidP="0076064B">
      <w:pPr>
        <w:pStyle w:val="Heading2"/>
      </w:pPr>
      <w:bookmarkStart w:id="29" w:name="_Toc221026338"/>
      <w:bookmarkStart w:id="30" w:name="_Toc235818833"/>
      <w:bookmarkStart w:id="31" w:name="_Toc236677593"/>
      <w:r>
        <w:t>Data source</w:t>
      </w:r>
      <w:bookmarkEnd w:id="29"/>
      <w:bookmarkEnd w:id="30"/>
      <w:bookmarkEnd w:id="31"/>
    </w:p>
    <w:p w14:paraId="74992A14" w14:textId="48C98A4C" w:rsidR="00A937F7" w:rsidRDefault="00A937F7" w:rsidP="00AB4794">
      <w:pPr>
        <w:pStyle w:val="BodyText"/>
      </w:pPr>
      <w:r w:rsidRPr="00DC2528">
        <w:t xml:space="preserve">The heat and humidity hazard uses daily projections of maximum and minimum near-surface temperature and mean relative humidity from application-ready climate projections based on observations, adjusted through a quantile-delta-change method to incorporate projected climate changes from CMIP6 GCMs (Irving </w:t>
      </w:r>
      <w:r w:rsidR="006D5DC6">
        <w:t>et al.</w:t>
      </w:r>
      <w:r w:rsidRPr="00DC2528">
        <w:t xml:space="preserve"> 2024). Results were calculated using the </w:t>
      </w:r>
      <w:r w:rsidR="005F0445">
        <w:t>8</w:t>
      </w:r>
      <w:r w:rsidR="005F0445" w:rsidRPr="00DC2528">
        <w:t xml:space="preserve"> </w:t>
      </w:r>
      <w:r w:rsidRPr="00DC2528">
        <w:t>GCMs with the necessary emissions scenarios and variables available: ACCESS-CM2, ACCESS-ESM1-5, CMCC-ESM2, CNRM-ESM2-1, EC-Earth3, MPI-ESM1-2-HR, NorESM2-MM, UKESM1-0-LL. The GCM CESM2 was not included as it did not contain the variables required for analysis of the heat and humidity indicators.</w:t>
      </w:r>
    </w:p>
    <w:p w14:paraId="32F033AF" w14:textId="77777777" w:rsidR="00A937F7" w:rsidRDefault="00A937F7" w:rsidP="000B447A">
      <w:pPr>
        <w:pStyle w:val="Heading2"/>
      </w:pPr>
      <w:bookmarkStart w:id="32" w:name="_Toc221026339"/>
      <w:bookmarkStart w:id="33" w:name="_Toc235818834"/>
      <w:bookmarkStart w:id="34" w:name="_Toc236677594"/>
      <w:r>
        <w:t>Analytical approach</w:t>
      </w:r>
      <w:bookmarkEnd w:id="32"/>
      <w:bookmarkEnd w:id="33"/>
      <w:bookmarkEnd w:id="34"/>
    </w:p>
    <w:p w14:paraId="2FE663D8" w14:textId="77777777" w:rsidR="0076064B" w:rsidRDefault="00A937F7" w:rsidP="00AB4794">
      <w:pPr>
        <w:pStyle w:val="BodyText"/>
      </w:pPr>
      <w:r w:rsidRPr="00B863C0">
        <w:t xml:space="preserve">Daily projections of maximum and minimum near-surface temperature and mean relative humidity are used to calculate </w:t>
      </w:r>
      <w:r w:rsidR="005F0445">
        <w:t>8</w:t>
      </w:r>
      <w:r w:rsidR="005F0445" w:rsidRPr="00B863C0">
        <w:t xml:space="preserve"> </w:t>
      </w:r>
      <w:r w:rsidRPr="00B863C0">
        <w:t>heat and humidity indicators.</w:t>
      </w:r>
    </w:p>
    <w:p w14:paraId="22BC5015" w14:textId="669CFEC3" w:rsidR="00A937F7" w:rsidRPr="00B863C0" w:rsidRDefault="00987866" w:rsidP="00AB4794">
      <w:pPr>
        <w:pStyle w:val="BulletUnindented"/>
      </w:pPr>
      <w:r>
        <w:t>a</w:t>
      </w:r>
      <w:r w:rsidR="00A937F7" w:rsidRPr="00B863C0">
        <w:t>verage temperature (°C)</w:t>
      </w:r>
    </w:p>
    <w:p w14:paraId="2D590787" w14:textId="45AA6282" w:rsidR="00A937F7" w:rsidRPr="00B863C0" w:rsidRDefault="00987866" w:rsidP="00AB4794">
      <w:pPr>
        <w:pStyle w:val="BulletUnindented"/>
      </w:pPr>
      <w:r>
        <w:t>m</w:t>
      </w:r>
      <w:r w:rsidR="00A937F7" w:rsidRPr="00B863C0">
        <w:t>aximum temperature on hot days (°C)</w:t>
      </w:r>
    </w:p>
    <w:p w14:paraId="4B828DF9" w14:textId="3491FCA1" w:rsidR="00A937F7" w:rsidRPr="00B863C0" w:rsidRDefault="00987866" w:rsidP="00AB4794">
      <w:pPr>
        <w:pStyle w:val="BulletUnindented"/>
      </w:pPr>
      <w:r>
        <w:t>m</w:t>
      </w:r>
      <w:r w:rsidR="00A937F7" w:rsidRPr="00B863C0">
        <w:t>inimum temperature on hot nights (°C)</w:t>
      </w:r>
    </w:p>
    <w:p w14:paraId="510FBB43" w14:textId="77777777" w:rsidR="0076064B" w:rsidRDefault="00987866" w:rsidP="00AB4794">
      <w:pPr>
        <w:pStyle w:val="BulletUnindented"/>
      </w:pPr>
      <w:r>
        <w:t>a</w:t>
      </w:r>
      <w:r w:rsidR="00A937F7" w:rsidRPr="00B863C0">
        <w:t>verage apparent temperature on hot days (°C)</w:t>
      </w:r>
    </w:p>
    <w:p w14:paraId="4F4F1373" w14:textId="7B218C49" w:rsidR="00A937F7" w:rsidRPr="00B863C0" w:rsidRDefault="00987866" w:rsidP="00AB4794">
      <w:pPr>
        <w:pStyle w:val="BulletUnindented"/>
      </w:pPr>
      <w:r>
        <w:t>a</w:t>
      </w:r>
      <w:r w:rsidR="00A937F7" w:rsidRPr="00B863C0">
        <w:t>verage heatwave duration in days</w:t>
      </w:r>
    </w:p>
    <w:p w14:paraId="27AA0A8E" w14:textId="7500985D" w:rsidR="00A937F7" w:rsidRPr="00B863C0" w:rsidRDefault="00987866" w:rsidP="00AB4794">
      <w:pPr>
        <w:pStyle w:val="BulletUnindented"/>
      </w:pPr>
      <w:r>
        <w:t>n</w:t>
      </w:r>
      <w:r w:rsidR="00CE7834">
        <w:t xml:space="preserve">umber of </w:t>
      </w:r>
      <w:r w:rsidR="00A937F7" w:rsidRPr="00B863C0">
        <w:t>heatwaves per year</w:t>
      </w:r>
    </w:p>
    <w:p w14:paraId="4163B304" w14:textId="25D20CF0" w:rsidR="00A937F7" w:rsidRPr="00B863C0" w:rsidRDefault="00987866" w:rsidP="00AB4794">
      <w:pPr>
        <w:pStyle w:val="BulletUnindented"/>
      </w:pPr>
      <w:r>
        <w:t>n</w:t>
      </w:r>
      <w:r w:rsidR="00CE7834">
        <w:t>umber of</w:t>
      </w:r>
      <w:r w:rsidR="00A937F7" w:rsidRPr="00B863C0">
        <w:t xml:space="preserve"> days per year &gt; 35°C</w:t>
      </w:r>
    </w:p>
    <w:p w14:paraId="3F3F7B1D" w14:textId="3F3F9524" w:rsidR="00A71787" w:rsidRPr="00B863C0" w:rsidRDefault="00CE7834" w:rsidP="0076064B">
      <w:pPr>
        <w:pStyle w:val="BulletUnindented"/>
      </w:pPr>
      <w:r>
        <w:t xml:space="preserve">number of </w:t>
      </w:r>
      <w:r w:rsidR="00A937F7" w:rsidRPr="00B863C0">
        <w:t>days per year &gt; 40°C</w:t>
      </w:r>
      <w:r w:rsidR="000D2DA6">
        <w:t>.</w:t>
      </w:r>
    </w:p>
    <w:p w14:paraId="6D86E066" w14:textId="77777777" w:rsidR="00A937F7" w:rsidRDefault="00A937F7" w:rsidP="000B447A">
      <w:pPr>
        <w:pStyle w:val="Heading3"/>
      </w:pPr>
      <w:bookmarkStart w:id="35" w:name="_Toc212497323"/>
      <w:bookmarkStart w:id="36" w:name="_Toc221026340"/>
      <w:bookmarkStart w:id="37" w:name="_Toc235818835"/>
      <w:bookmarkStart w:id="38" w:name="_Toc236677595"/>
      <w:r>
        <w:t>Population-weighted averaging</w:t>
      </w:r>
      <w:bookmarkEnd w:id="35"/>
      <w:bookmarkEnd w:id="36"/>
      <w:bookmarkEnd w:id="37"/>
      <w:bookmarkEnd w:id="38"/>
    </w:p>
    <w:p w14:paraId="28B2881D" w14:textId="76CB7254" w:rsidR="0076064B" w:rsidRDefault="00A937F7" w:rsidP="007D425C">
      <w:pPr>
        <w:pStyle w:val="BodyText"/>
      </w:pPr>
      <w:r w:rsidRPr="00B863C0">
        <w:t xml:space="preserve">As the CMIP6 daily time series projections (Irving </w:t>
      </w:r>
      <w:r w:rsidR="006D5DC6">
        <w:t>et al.</w:t>
      </w:r>
      <w:r w:rsidRPr="00B863C0">
        <w:t xml:space="preserve"> 2024) are provided as a gridded dataset with a regular spatial resolution of 11 kilometres across Australia, each data point corresponds to the centre of a grid cell that represents the average projected climate conditions for that area.</w:t>
      </w:r>
    </w:p>
    <w:p w14:paraId="04ECEE46" w14:textId="5B6765A0" w:rsidR="00991252" w:rsidRPr="00B863C0" w:rsidRDefault="00A937F7" w:rsidP="007D425C">
      <w:pPr>
        <w:pStyle w:val="BodyText"/>
      </w:pPr>
      <w:r w:rsidRPr="00B863C0">
        <w:t>To support health district-level analysis, it is necessary to aggregate the gridded data that spatially overlap with the district to produce a single value.</w:t>
      </w:r>
    </w:p>
    <w:p w14:paraId="1B2694E8" w14:textId="77777777" w:rsidR="0076064B" w:rsidRDefault="00A937F7" w:rsidP="007D425C">
      <w:pPr>
        <w:pStyle w:val="BodyText"/>
      </w:pPr>
      <w:r w:rsidRPr="00B863C0">
        <w:t xml:space="preserve">Conceptually, this means summarising multiple values, potentially with significant variation across the district into a representative value. By using a population-weighted average, the aggregation process ensures that climate conditions in more populous parts of a district have </w:t>
      </w:r>
      <w:r w:rsidRPr="00B863C0">
        <w:lastRenderedPageBreak/>
        <w:t>a proportionally greater influence on the final value yielding a result that better reflects the actual exposure of the population within that district.</w:t>
      </w:r>
    </w:p>
    <w:p w14:paraId="2480B5F5" w14:textId="666DC6C2" w:rsidR="00A937F7" w:rsidRPr="00B863C0" w:rsidRDefault="00A937F7" w:rsidP="007D425C">
      <w:pPr>
        <w:pStyle w:val="BodyText"/>
      </w:pPr>
      <w:r w:rsidRPr="00B863C0">
        <w:t xml:space="preserve">To achieve this, the Australian Bureau of Statistics (ABS) </w:t>
      </w:r>
      <w:hyperlink r:id="rId14" w:history="1">
        <w:r w:rsidRPr="000D7AD0">
          <w:rPr>
            <w:rStyle w:val="Hyperlink"/>
            <w:color w:val="083E9C" w:themeColor="accent1"/>
          </w:rPr>
          <w:t>Australian Population Grid 2024</w:t>
        </w:r>
      </w:hyperlink>
      <w:r w:rsidRPr="00B863C0">
        <w:t xml:space="preserve"> is resampled to match the 11-kilometre resolution of the CMIP6 climate grids. For example, if a health district contains 50 climate grid cells with projected 95</w:t>
      </w:r>
      <w:r w:rsidRPr="00B863C0">
        <w:rPr>
          <w:vertAlign w:val="superscript"/>
        </w:rPr>
        <w:t>th</w:t>
      </w:r>
      <w:r w:rsidRPr="00B863C0">
        <w:t xml:space="preserve"> percentile maximum temperatures ranging from 30°C to 38°C, the aggregation will give more weight to cells where more people live.</w:t>
      </w:r>
    </w:p>
    <w:p w14:paraId="78D13A63" w14:textId="77777777" w:rsidR="00A937F7" w:rsidRDefault="00A937F7" w:rsidP="000B447A">
      <w:pPr>
        <w:pStyle w:val="Heading3"/>
      </w:pPr>
      <w:bookmarkStart w:id="39" w:name="_Toc212497324"/>
      <w:bookmarkStart w:id="40" w:name="_Toc221026341"/>
      <w:bookmarkStart w:id="41" w:name="_Toc235818836"/>
      <w:bookmarkStart w:id="42" w:name="_Toc236677596"/>
      <w:r>
        <w:t xml:space="preserve">Average </w:t>
      </w:r>
      <w:r w:rsidRPr="002D531A">
        <w:t>temperature (°C)</w:t>
      </w:r>
      <w:bookmarkEnd w:id="39"/>
      <w:bookmarkEnd w:id="40"/>
      <w:bookmarkEnd w:id="41"/>
      <w:bookmarkEnd w:id="42"/>
    </w:p>
    <w:p w14:paraId="666F4DF2" w14:textId="77F49D70" w:rsidR="00E96FCA" w:rsidRDefault="00A937F7" w:rsidP="00AB4794">
      <w:pPr>
        <w:pStyle w:val="BodyText"/>
        <w:rPr>
          <w:rFonts w:eastAsiaTheme="minorEastAsia"/>
        </w:rPr>
      </w:pPr>
      <w:r w:rsidRPr="00B863C0">
        <w:t xml:space="preserve">The average temperature indicator is calculated as the mean of daily average temperatures for </w:t>
      </w:r>
      <w:r>
        <w:t xml:space="preserve">the </w:t>
      </w:r>
      <w:r w:rsidRPr="00B863C0">
        <w:t>entire time horizon, defined as the midpoint between daily maximum and minimum temperatures.</w:t>
      </w:r>
    </w:p>
    <w:p w14:paraId="736D7C29" w14:textId="75EDEFDB" w:rsidR="0076064B" w:rsidRDefault="00A937F7" w:rsidP="00AB4794">
      <w:pPr>
        <w:pStyle w:val="BodyText"/>
        <w:rPr>
          <w:rFonts w:eastAsiaTheme="minorEastAsia"/>
        </w:rPr>
      </w:pPr>
      <w:r w:rsidRPr="00B863C0">
        <w:rPr>
          <w:rFonts w:eastAsiaTheme="minorEastAsia"/>
        </w:rPr>
        <w:t xml:space="preserve">This was computed for each grid cell in the CSIRO CMIP6 11 km gridded dataset (Irving </w:t>
      </w:r>
      <w:r w:rsidR="006D5DC6">
        <w:rPr>
          <w:rFonts w:eastAsiaTheme="minorEastAsia"/>
        </w:rPr>
        <w:t>et al.</w:t>
      </w:r>
      <w:r w:rsidRPr="00B863C0">
        <w:rPr>
          <w:rFonts w:eastAsiaTheme="minorEastAsia"/>
        </w:rPr>
        <w:t xml:space="preserve"> 2024) using the </w:t>
      </w:r>
      <w:r w:rsidRPr="00B863C0">
        <w:rPr>
          <w:rFonts w:eastAsiaTheme="minorEastAsia"/>
          <w:i/>
          <w:iCs/>
        </w:rPr>
        <w:t xml:space="preserve">tasmax </w:t>
      </w:r>
      <w:r w:rsidRPr="00B863C0">
        <w:rPr>
          <w:rFonts w:eastAsiaTheme="minorEastAsia"/>
        </w:rPr>
        <w:t xml:space="preserve">(daily maximum temperature) and </w:t>
      </w:r>
      <w:r w:rsidRPr="00B863C0">
        <w:rPr>
          <w:rFonts w:eastAsiaTheme="minorEastAsia"/>
          <w:i/>
          <w:iCs/>
        </w:rPr>
        <w:t xml:space="preserve">tasmin </w:t>
      </w:r>
      <w:r w:rsidRPr="00B863C0">
        <w:rPr>
          <w:rFonts w:eastAsiaTheme="minorEastAsia"/>
        </w:rPr>
        <w:t>(daily minimum temperature) functions, separately for each GCM, emissions scenario and time horizon. The results were aggregated to health districts using population-weighted averaging.</w:t>
      </w:r>
    </w:p>
    <w:p w14:paraId="46F16539" w14:textId="07FF97C1" w:rsidR="00A937F7" w:rsidRDefault="00A937F7" w:rsidP="000B447A">
      <w:pPr>
        <w:pStyle w:val="Heading3"/>
      </w:pPr>
      <w:bookmarkStart w:id="43" w:name="_Toc212497325"/>
      <w:bookmarkStart w:id="44" w:name="_Toc221026342"/>
      <w:bookmarkStart w:id="45" w:name="_Toc235818837"/>
      <w:bookmarkStart w:id="46" w:name="_Toc236677597"/>
      <w:r w:rsidRPr="002D531A">
        <w:t>Maximum temperature on hot days (°C)</w:t>
      </w:r>
      <w:bookmarkEnd w:id="43"/>
      <w:bookmarkEnd w:id="44"/>
      <w:bookmarkEnd w:id="45"/>
      <w:bookmarkEnd w:id="46"/>
    </w:p>
    <w:p w14:paraId="570E3D91" w14:textId="6C1F0D4A" w:rsidR="00E96FCA" w:rsidRDefault="00A937F7" w:rsidP="00AB4794">
      <w:pPr>
        <w:pStyle w:val="BodyText"/>
      </w:pPr>
      <w:r w:rsidRPr="00B863C0">
        <w:t>This indicator represents the 95</w:t>
      </w:r>
      <w:r w:rsidRPr="00B863C0">
        <w:rPr>
          <w:vertAlign w:val="superscript"/>
        </w:rPr>
        <w:t>th</w:t>
      </w:r>
      <w:r w:rsidRPr="00B863C0">
        <w:t xml:space="preserve"> percentile of daily maximum temperatures. To calculate this value, all daily maximum temperatures (</w:t>
      </w:r>
      <w:r w:rsidRPr="00B863C0">
        <w:rPr>
          <w:i/>
          <w:iCs/>
        </w:rPr>
        <w:t>tasmax)</w:t>
      </w:r>
      <w:r w:rsidRPr="00B863C0">
        <w:t xml:space="preserve"> for each grid cell are ordered from lowest to highest. The 95th percentile temperature represents the value near the top of the ordered list of daily maximum temperatures — it is hotter than 95% of all other days within the selected </w:t>
      </w:r>
      <w:proofErr w:type="gramStart"/>
      <w:r w:rsidRPr="00B863C0">
        <w:t>time period</w:t>
      </w:r>
      <w:proofErr w:type="gramEnd"/>
      <w:r w:rsidRPr="00B863C0">
        <w:t>. This means only about 5% of days are hotter. It is not the single highest temperature (which could be an outlier or anomaly), but a more typical extreme that occurs often enough to be meaningful.</w:t>
      </w:r>
    </w:p>
    <w:p w14:paraId="6653DC75" w14:textId="6DE748DB" w:rsidR="00A937F7" w:rsidRPr="00B863C0" w:rsidRDefault="00A937F7" w:rsidP="00AB4794">
      <w:pPr>
        <w:pStyle w:val="BodyText"/>
      </w:pPr>
      <w:r w:rsidRPr="00B863C0">
        <w:t>This value is used as a threshold for identifying very hot days that can pose risks to human health and well-being. The 95th percentile maximum temperature value was calculated for each GCM, emissions scenario and time horizon and aggregated to health districts using population-weighted averaging.</w:t>
      </w:r>
    </w:p>
    <w:p w14:paraId="3A3D6D5D" w14:textId="77777777" w:rsidR="00A937F7" w:rsidRDefault="00A937F7" w:rsidP="000B447A">
      <w:pPr>
        <w:pStyle w:val="Heading3"/>
      </w:pPr>
      <w:bookmarkStart w:id="47" w:name="_Toc212497326"/>
      <w:bookmarkStart w:id="48" w:name="_Toc221026343"/>
      <w:bookmarkStart w:id="49" w:name="_Toc235818838"/>
      <w:bookmarkStart w:id="50" w:name="_Toc236677598"/>
      <w:r w:rsidRPr="002D531A">
        <w:t>M</w:t>
      </w:r>
      <w:r>
        <w:t>in</w:t>
      </w:r>
      <w:r w:rsidRPr="002D531A">
        <w:t xml:space="preserve">imum temperature on hot </w:t>
      </w:r>
      <w:r>
        <w:t>night</w:t>
      </w:r>
      <w:r w:rsidRPr="002D531A">
        <w:t>s (°C)</w:t>
      </w:r>
      <w:bookmarkEnd w:id="47"/>
      <w:bookmarkEnd w:id="48"/>
      <w:bookmarkEnd w:id="49"/>
      <w:bookmarkEnd w:id="50"/>
    </w:p>
    <w:p w14:paraId="545546B4" w14:textId="754A9254" w:rsidR="00A937F7" w:rsidRPr="00B863C0" w:rsidRDefault="00A937F7" w:rsidP="00AB4794">
      <w:pPr>
        <w:pStyle w:val="BodyText"/>
      </w:pPr>
      <w:r w:rsidRPr="00B863C0">
        <w:t xml:space="preserve">Daily minimum temperature is commonly used as a proxy for overnight temperature, as it typically occurs in the early morning hours and reflects the coolest point of the 24-hour cycle. Elevated minimum temperatures indicate poor overnight cooling, which can compound heat stress by limiting the body’s ability to recover from daytime heat, particularly during </w:t>
      </w:r>
      <w:r w:rsidRPr="00B863C0">
        <w:lastRenderedPageBreak/>
        <w:t>heatwave events.</w:t>
      </w:r>
      <w:r w:rsidR="00EA704F">
        <w:t xml:space="preserve"> </w:t>
      </w:r>
      <w:r w:rsidRPr="00B863C0">
        <w:t>This indicator represents the 95th percentile of daily minimum temperatures.</w:t>
      </w:r>
    </w:p>
    <w:p w14:paraId="28E0399E" w14:textId="77777777" w:rsidR="0076064B" w:rsidRDefault="00A937F7" w:rsidP="00144447">
      <w:pPr>
        <w:pStyle w:val="BodyText"/>
      </w:pPr>
      <w:r w:rsidRPr="00B863C0">
        <w:t>To calculate this value, all daily minimum temperatures (</w:t>
      </w:r>
      <w:r w:rsidRPr="00B863C0">
        <w:rPr>
          <w:i/>
          <w:iCs/>
        </w:rPr>
        <w:t xml:space="preserve">tasmin) </w:t>
      </w:r>
      <w:r w:rsidRPr="00B863C0">
        <w:t xml:space="preserve">for each grid cell are ordered from lowest to highest. The 95th percentile minimum temperature represents the value near </w:t>
      </w:r>
      <w:r w:rsidRPr="00144447">
        <w:t xml:space="preserve">the top of the ordered list of daily minimum temperatures — it is warmer than 95% of all other nights within the selected </w:t>
      </w:r>
      <w:proofErr w:type="gramStart"/>
      <w:r w:rsidRPr="00144447">
        <w:t>time period</w:t>
      </w:r>
      <w:proofErr w:type="gramEnd"/>
      <w:r w:rsidRPr="00144447">
        <w:t>. This means only about 5% of nights are warmer.</w:t>
      </w:r>
    </w:p>
    <w:p w14:paraId="7AEA0D38" w14:textId="02D10CAF" w:rsidR="00144447" w:rsidRDefault="00A937F7" w:rsidP="00144447">
      <w:pPr>
        <w:pStyle w:val="BodyText"/>
      </w:pPr>
      <w:r w:rsidRPr="00144447">
        <w:t>It is not the single warmest night (which could be an anomaly), but a more typical extreme that occurs often enough to be meaningful. This value serves as a threshold for identifying unusually warm nights that can affect comfort, sleep quality, and health.</w:t>
      </w:r>
    </w:p>
    <w:p w14:paraId="7AD64FBD" w14:textId="2A3CD5FD" w:rsidR="00A937F7" w:rsidRPr="00144447" w:rsidRDefault="00A937F7" w:rsidP="00144447">
      <w:pPr>
        <w:pStyle w:val="BodyText"/>
      </w:pPr>
      <w:r w:rsidRPr="00144447">
        <w:t>This 95th percentile minimum temperature value was calculated separately for each GCM, emissions scenario, and time horizon, and aggregated to health districts using population-weighted averaging.</w:t>
      </w:r>
    </w:p>
    <w:p w14:paraId="0ABDEECA" w14:textId="77777777" w:rsidR="00A937F7" w:rsidRDefault="00A937F7" w:rsidP="000B447A">
      <w:pPr>
        <w:pStyle w:val="Heading3"/>
      </w:pPr>
      <w:bookmarkStart w:id="51" w:name="_Toc212497327"/>
      <w:bookmarkStart w:id="52" w:name="_Toc221026344"/>
      <w:bookmarkStart w:id="53" w:name="_Toc235818839"/>
      <w:bookmarkStart w:id="54" w:name="_Toc236677599"/>
      <w:r w:rsidRPr="004D23A2">
        <w:t>Average apparent temperature on hot days (°C)</w:t>
      </w:r>
      <w:bookmarkEnd w:id="51"/>
      <w:bookmarkEnd w:id="52"/>
      <w:bookmarkEnd w:id="53"/>
      <w:bookmarkEnd w:id="54"/>
    </w:p>
    <w:p w14:paraId="337E68DE" w14:textId="77777777" w:rsidR="00A937F7" w:rsidRPr="00DC2528" w:rsidRDefault="00A937F7" w:rsidP="00AB4794">
      <w:pPr>
        <w:pStyle w:val="BodyText"/>
      </w:pPr>
      <w:r w:rsidRPr="00B863C0">
        <w:t>This indicator represents the average apparent temperature—accounting for the combined effects of air temperature and relative humidity—on days with a maximum temperature of 27°C or higher, averaged over the entire time horizon. It uses the United States National Oceanic and Atmospheric Administration (NOAA) Heat Index methodology. It is used a proxy for human-perceived heat-stress and is particularly important for northern Australia, especially during the wet season (typically November to April). When temperature and relative humidity are both high, even moderate increases in temperature can result in significantly higher apparent temperatures, intensifying heat stress and limiting the effects of evaporative cooling.</w:t>
      </w:r>
    </w:p>
    <w:p w14:paraId="1389C9F1" w14:textId="44B6A79F" w:rsidR="00A937F7" w:rsidRPr="00B863C0" w:rsidRDefault="00A937F7" w:rsidP="00AB4794">
      <w:pPr>
        <w:pStyle w:val="BodyText"/>
      </w:pPr>
      <w:r w:rsidRPr="00B863C0">
        <w:t>Daily maximum temperature (</w:t>
      </w:r>
      <w:r w:rsidRPr="00B863C0">
        <w:rPr>
          <w:i/>
          <w:iCs/>
        </w:rPr>
        <w:t xml:space="preserve">tasmax) </w:t>
      </w:r>
      <w:r w:rsidRPr="00B863C0">
        <w:t>is converted to Fahrenheit and the official NOAA multiple regression formula is applied (National Weather Service 2022), with daily maximum relative humidity (</w:t>
      </w:r>
      <w:r w:rsidRPr="00B863C0">
        <w:rPr>
          <w:i/>
          <w:iCs/>
        </w:rPr>
        <w:t>hursmax</w:t>
      </w:r>
      <w:r w:rsidRPr="00B863C0">
        <w:t>) as an additional input to derive Heat Index.</w:t>
      </w:r>
    </w:p>
    <w:p w14:paraId="2814EC5B" w14:textId="1528A556" w:rsidR="00A937F7" w:rsidRPr="00DC2528" w:rsidRDefault="00A937F7" w:rsidP="00AB4794">
      <w:pPr>
        <w:pStyle w:val="BodyText"/>
      </w:pPr>
      <w:r w:rsidRPr="00B863C0">
        <w:t>Additional adjustments are applied for low and high humidity extremes, per NOAA guidelines (National Weather Service 2022), before the results were converted back to Celsius and averaged across the time horizon.</w:t>
      </w:r>
    </w:p>
    <w:p w14:paraId="606406C9" w14:textId="77777777" w:rsidR="00A937F7" w:rsidRDefault="00A937F7" w:rsidP="00AB4794">
      <w:pPr>
        <w:pStyle w:val="BodyText"/>
      </w:pPr>
      <w:r w:rsidRPr="5E9BCC78">
        <w:t>Daily maximum temperature and daily maximum relative humidity do not necessarily occur simultaneously; as a result, this approach may overestimate apparent temperature relative to calculations based on coincident sub-daily observations. However, sub-daily humidity–temperature pairs are not consistently available across the historical and projected gridded datasets used, and the use of daily maxima represents a consistent and conservative approximation of potential peak heat stress conditions, particularly relevant for population-level risk assessment in humid climates.</w:t>
      </w:r>
    </w:p>
    <w:p w14:paraId="1B68B5EE" w14:textId="6642E3D1" w:rsidR="00271777" w:rsidRPr="00B863C0" w:rsidRDefault="00C348E3" w:rsidP="00AB4794">
      <w:pPr>
        <w:pStyle w:val="BodyText"/>
      </w:pPr>
      <w:r w:rsidRPr="00B863C0">
        <w:lastRenderedPageBreak/>
        <w:t>The calculation was performed at each grid cell and repeated for each GCM, emissions scenario, and time horizon and were aggregated to health districts using population-weighted averaging.</w:t>
      </w:r>
    </w:p>
    <w:tbl>
      <w:tblPr>
        <w:tblStyle w:val="TableGrid10"/>
        <w:tblW w:w="0" w:type="auto"/>
        <w:tblLook w:val="04A0" w:firstRow="1" w:lastRow="0" w:firstColumn="1" w:lastColumn="0" w:noHBand="0" w:noVBand="1"/>
      </w:tblPr>
      <w:tblGrid>
        <w:gridCol w:w="1114"/>
        <w:gridCol w:w="8809"/>
      </w:tblGrid>
      <w:tr w:rsidR="00A937F7" w:rsidRPr="00B863C0" w14:paraId="02B799F6" w14:textId="77777777" w:rsidTr="002E4604">
        <w:trPr>
          <w:cnfStyle w:val="100000000000" w:firstRow="1" w:lastRow="0" w:firstColumn="0" w:lastColumn="0" w:oddVBand="0" w:evenVBand="0" w:oddHBand="0" w:evenHBand="0" w:firstRowFirstColumn="0" w:firstRowLastColumn="0" w:lastRowFirstColumn="0" w:lastRowLastColumn="0"/>
          <w:trHeight w:hRule="exact" w:val="422"/>
        </w:trPr>
        <w:tc>
          <w:tcPr>
            <w:tcW w:w="0" w:type="auto"/>
            <w:vAlign w:val="top"/>
            <w:hideMark/>
          </w:tcPr>
          <w:p w14:paraId="4C9F1FAE" w14:textId="77777777" w:rsidR="00A937F7" w:rsidRPr="00B863C0" w:rsidRDefault="00A937F7" w:rsidP="00C348E3">
            <w:pPr>
              <w:spacing w:before="0" w:after="0"/>
              <w:rPr>
                <w:b/>
                <w:bCs/>
                <w:sz w:val="22"/>
                <w:szCs w:val="22"/>
              </w:rPr>
            </w:pPr>
            <w:r w:rsidRPr="00B863C0">
              <w:rPr>
                <w:b/>
                <w:bCs/>
                <w:sz w:val="22"/>
                <w:szCs w:val="22"/>
              </w:rPr>
              <w:t>Heat</w:t>
            </w:r>
            <w:r>
              <w:rPr>
                <w:b/>
                <w:bCs/>
                <w:sz w:val="22"/>
                <w:szCs w:val="22"/>
              </w:rPr>
              <w:t xml:space="preserve"> </w:t>
            </w:r>
            <w:r w:rsidRPr="00B863C0">
              <w:rPr>
                <w:b/>
                <w:bCs/>
                <w:sz w:val="22"/>
                <w:szCs w:val="22"/>
              </w:rPr>
              <w:t>index</w:t>
            </w:r>
          </w:p>
        </w:tc>
        <w:tc>
          <w:tcPr>
            <w:tcW w:w="0" w:type="auto"/>
            <w:vAlign w:val="top"/>
            <w:hideMark/>
          </w:tcPr>
          <w:p w14:paraId="0F8F2CD5" w14:textId="77777777" w:rsidR="00A937F7" w:rsidRPr="00B863C0" w:rsidRDefault="00A937F7" w:rsidP="00C348E3">
            <w:pPr>
              <w:spacing w:before="0" w:after="0"/>
              <w:rPr>
                <w:b/>
                <w:bCs/>
                <w:sz w:val="22"/>
                <w:szCs w:val="22"/>
              </w:rPr>
            </w:pPr>
            <w:r w:rsidRPr="00B863C0">
              <w:rPr>
                <w:b/>
                <w:bCs/>
                <w:sz w:val="22"/>
                <w:szCs w:val="22"/>
              </w:rPr>
              <w:t>Notes</w:t>
            </w:r>
          </w:p>
        </w:tc>
      </w:tr>
      <w:tr w:rsidR="00A937F7" w:rsidRPr="00B863C0" w14:paraId="13ABAE73" w14:textId="77777777" w:rsidTr="00C348E3">
        <w:trPr>
          <w:cnfStyle w:val="000000100000" w:firstRow="0" w:lastRow="0" w:firstColumn="0" w:lastColumn="0" w:oddVBand="0" w:evenVBand="0" w:oddHBand="1" w:evenHBand="0" w:firstRowFirstColumn="0" w:firstRowLastColumn="0" w:lastRowFirstColumn="0" w:lastRowLastColumn="0"/>
          <w:trHeight w:hRule="exact" w:val="826"/>
        </w:trPr>
        <w:tc>
          <w:tcPr>
            <w:tcW w:w="0" w:type="auto"/>
            <w:vAlign w:val="top"/>
            <w:hideMark/>
          </w:tcPr>
          <w:p w14:paraId="589A16C8" w14:textId="0C57D2C1" w:rsidR="00A937F7" w:rsidRPr="00B863C0" w:rsidRDefault="00A937F7" w:rsidP="00C348E3">
            <w:pPr>
              <w:spacing w:before="0" w:after="0"/>
              <w:rPr>
                <w:sz w:val="22"/>
                <w:szCs w:val="22"/>
              </w:rPr>
            </w:pPr>
            <w:r w:rsidRPr="00B863C0">
              <w:rPr>
                <w:sz w:val="22"/>
                <w:szCs w:val="22"/>
              </w:rPr>
              <w:t>27–32°C</w:t>
            </w:r>
          </w:p>
        </w:tc>
        <w:tc>
          <w:tcPr>
            <w:tcW w:w="0" w:type="auto"/>
            <w:vAlign w:val="top"/>
            <w:hideMark/>
          </w:tcPr>
          <w:p w14:paraId="2A68DB24" w14:textId="77777777" w:rsidR="00A937F7" w:rsidRPr="00B863C0" w:rsidRDefault="00A937F7" w:rsidP="00C348E3">
            <w:pPr>
              <w:spacing w:before="0" w:after="0"/>
              <w:rPr>
                <w:sz w:val="22"/>
                <w:szCs w:val="22"/>
              </w:rPr>
            </w:pPr>
            <w:r w:rsidRPr="00B863C0">
              <w:rPr>
                <w:sz w:val="22"/>
                <w:szCs w:val="22"/>
              </w:rPr>
              <w:t>Caution: fatigue is possible with prolonged exposure and activity. Continuing activity could result in heat cramps.</w:t>
            </w:r>
          </w:p>
        </w:tc>
      </w:tr>
      <w:tr w:rsidR="00A937F7" w:rsidRPr="00B863C0" w14:paraId="44E54407" w14:textId="77777777" w:rsidTr="00C348E3">
        <w:trPr>
          <w:trHeight w:hRule="exact" w:val="660"/>
        </w:trPr>
        <w:tc>
          <w:tcPr>
            <w:tcW w:w="0" w:type="auto"/>
            <w:vAlign w:val="top"/>
            <w:hideMark/>
          </w:tcPr>
          <w:p w14:paraId="3C50385C" w14:textId="273EC6C4" w:rsidR="00A937F7" w:rsidRPr="00B863C0" w:rsidRDefault="00A937F7" w:rsidP="00C348E3">
            <w:pPr>
              <w:spacing w:before="0" w:after="0"/>
              <w:rPr>
                <w:sz w:val="22"/>
                <w:szCs w:val="22"/>
              </w:rPr>
            </w:pPr>
            <w:r w:rsidRPr="00B863C0">
              <w:rPr>
                <w:sz w:val="22"/>
                <w:szCs w:val="22"/>
              </w:rPr>
              <w:t>33–41°C</w:t>
            </w:r>
          </w:p>
        </w:tc>
        <w:tc>
          <w:tcPr>
            <w:tcW w:w="0" w:type="auto"/>
            <w:vAlign w:val="top"/>
            <w:hideMark/>
          </w:tcPr>
          <w:p w14:paraId="6C8EFF4E" w14:textId="77777777" w:rsidR="00A937F7" w:rsidRPr="00B863C0" w:rsidRDefault="00A937F7" w:rsidP="00C348E3">
            <w:pPr>
              <w:spacing w:before="0" w:after="0"/>
              <w:rPr>
                <w:sz w:val="22"/>
                <w:szCs w:val="22"/>
              </w:rPr>
            </w:pPr>
            <w:r w:rsidRPr="00B863C0">
              <w:rPr>
                <w:sz w:val="22"/>
                <w:szCs w:val="22"/>
              </w:rPr>
              <w:t>Extreme caution: heat cramps and heat exhaustion are possible. Continuing activity could result in heat stroke.</w:t>
            </w:r>
          </w:p>
        </w:tc>
      </w:tr>
      <w:tr w:rsidR="00A937F7" w:rsidRPr="00B863C0" w14:paraId="7FF4D352" w14:textId="77777777" w:rsidTr="00C348E3">
        <w:trPr>
          <w:cnfStyle w:val="000000100000" w:firstRow="0" w:lastRow="0" w:firstColumn="0" w:lastColumn="0" w:oddVBand="0" w:evenVBand="0" w:oddHBand="1" w:evenHBand="0" w:firstRowFirstColumn="0" w:firstRowLastColumn="0" w:lastRowFirstColumn="0" w:lastRowLastColumn="0"/>
          <w:trHeight w:hRule="exact" w:val="812"/>
        </w:trPr>
        <w:tc>
          <w:tcPr>
            <w:tcW w:w="0" w:type="auto"/>
            <w:vAlign w:val="top"/>
            <w:hideMark/>
          </w:tcPr>
          <w:p w14:paraId="2A6FA194" w14:textId="0856470A" w:rsidR="00A937F7" w:rsidRPr="00B863C0" w:rsidRDefault="00A937F7" w:rsidP="00C348E3">
            <w:pPr>
              <w:spacing w:before="0" w:after="0"/>
              <w:rPr>
                <w:sz w:val="22"/>
                <w:szCs w:val="22"/>
              </w:rPr>
            </w:pPr>
            <w:r w:rsidRPr="00B863C0">
              <w:rPr>
                <w:sz w:val="22"/>
                <w:szCs w:val="22"/>
              </w:rPr>
              <w:t>42–54°C</w:t>
            </w:r>
          </w:p>
        </w:tc>
        <w:tc>
          <w:tcPr>
            <w:tcW w:w="0" w:type="auto"/>
            <w:vAlign w:val="top"/>
            <w:hideMark/>
          </w:tcPr>
          <w:p w14:paraId="179666DC" w14:textId="77777777" w:rsidR="00A937F7" w:rsidRPr="00B863C0" w:rsidRDefault="00A937F7" w:rsidP="00C348E3">
            <w:pPr>
              <w:spacing w:before="0" w:after="0"/>
              <w:rPr>
                <w:sz w:val="22"/>
                <w:szCs w:val="22"/>
              </w:rPr>
            </w:pPr>
            <w:r w:rsidRPr="00B863C0">
              <w:rPr>
                <w:sz w:val="22"/>
                <w:szCs w:val="22"/>
              </w:rPr>
              <w:t>Danger: heat cramps and heat exhaustion are likely; heat stroke is probable with continued activity.</w:t>
            </w:r>
          </w:p>
        </w:tc>
      </w:tr>
      <w:tr w:rsidR="00A937F7" w:rsidRPr="00B863C0" w14:paraId="1302F0D4" w14:textId="77777777" w:rsidTr="00F16A0B">
        <w:trPr>
          <w:trHeight w:hRule="exact" w:val="493"/>
        </w:trPr>
        <w:tc>
          <w:tcPr>
            <w:tcW w:w="0" w:type="auto"/>
            <w:vAlign w:val="top"/>
            <w:hideMark/>
          </w:tcPr>
          <w:p w14:paraId="6E5BE2FA" w14:textId="68CDAAD4" w:rsidR="00A937F7" w:rsidRPr="00B863C0" w:rsidRDefault="00A937F7" w:rsidP="00C348E3">
            <w:pPr>
              <w:spacing w:before="0" w:after="0"/>
              <w:rPr>
                <w:sz w:val="22"/>
                <w:szCs w:val="22"/>
              </w:rPr>
            </w:pPr>
            <w:r w:rsidRPr="00B863C0">
              <w:rPr>
                <w:sz w:val="22"/>
                <w:szCs w:val="22"/>
              </w:rPr>
              <w:t>over 5</w:t>
            </w:r>
            <w:r>
              <w:rPr>
                <w:sz w:val="22"/>
                <w:szCs w:val="22"/>
              </w:rPr>
              <w:t>4</w:t>
            </w:r>
            <w:r w:rsidRPr="00B863C0">
              <w:rPr>
                <w:sz w:val="22"/>
                <w:szCs w:val="22"/>
              </w:rPr>
              <w:t> C</w:t>
            </w:r>
          </w:p>
        </w:tc>
        <w:tc>
          <w:tcPr>
            <w:tcW w:w="0" w:type="auto"/>
            <w:vAlign w:val="top"/>
            <w:hideMark/>
          </w:tcPr>
          <w:p w14:paraId="561F8A21" w14:textId="77777777" w:rsidR="00A937F7" w:rsidRPr="00B863C0" w:rsidRDefault="00A937F7" w:rsidP="00C348E3">
            <w:pPr>
              <w:spacing w:before="0" w:after="0"/>
              <w:rPr>
                <w:sz w:val="22"/>
                <w:szCs w:val="22"/>
              </w:rPr>
            </w:pPr>
            <w:r w:rsidRPr="00B863C0">
              <w:rPr>
                <w:sz w:val="22"/>
                <w:szCs w:val="22"/>
              </w:rPr>
              <w:t>Extreme danger: heat stroke is imminent.</w:t>
            </w:r>
          </w:p>
        </w:tc>
      </w:tr>
    </w:tbl>
    <w:p w14:paraId="72DDAA83" w14:textId="369955E9" w:rsidR="00A937F7" w:rsidRDefault="00A937F7" w:rsidP="000B447A">
      <w:pPr>
        <w:pStyle w:val="Heading3"/>
      </w:pPr>
      <w:bookmarkStart w:id="55" w:name="_Toc212497328"/>
      <w:bookmarkStart w:id="56" w:name="_Toc221026345"/>
      <w:bookmarkStart w:id="57" w:name="_Toc235818840"/>
      <w:bookmarkStart w:id="58" w:name="_Toc236677600"/>
      <w:r>
        <w:t>Average heatwave duration in days</w:t>
      </w:r>
      <w:bookmarkEnd w:id="55"/>
      <w:bookmarkEnd w:id="56"/>
      <w:bookmarkEnd w:id="57"/>
      <w:bookmarkEnd w:id="58"/>
    </w:p>
    <w:p w14:paraId="4681AAE8" w14:textId="682B989C" w:rsidR="00271777" w:rsidRDefault="00A937F7" w:rsidP="00271777">
      <w:pPr>
        <w:pStyle w:val="BodyText"/>
      </w:pPr>
      <w:r w:rsidRPr="00B863C0">
        <w:t>The average heatwave duration in days indicator is calculated using the Excess Heat Factor (EHF) method developed by the Bureau of Meteorology (Nairn &amp; Fawcett 2015). This approach captures periods of heat that are both statistically significant relative to historical extremes and intense relative to recent conditions.</w:t>
      </w:r>
    </w:p>
    <w:p w14:paraId="78B208EC" w14:textId="28C41F4A" w:rsidR="00A937F7" w:rsidRPr="00DC2528" w:rsidRDefault="00A937F7" w:rsidP="00271777">
      <w:pPr>
        <w:pStyle w:val="BodyText"/>
      </w:pPr>
      <w:r w:rsidRPr="00B863C0">
        <w:t>To calculate EHF, daily mean temperature was first derived as the average of daily maximum (</w:t>
      </w:r>
      <w:r w:rsidRPr="00B863C0">
        <w:rPr>
          <w:i/>
          <w:iCs/>
        </w:rPr>
        <w:t>tasmax</w:t>
      </w:r>
      <w:r w:rsidRPr="00B863C0">
        <w:t>) and minimum (</w:t>
      </w:r>
      <w:r w:rsidRPr="00B863C0">
        <w:rPr>
          <w:i/>
          <w:iCs/>
        </w:rPr>
        <w:t>tasmin</w:t>
      </w:r>
      <w:r w:rsidRPr="00B863C0">
        <w:t xml:space="preserve">) temperatures. From this, a </w:t>
      </w:r>
      <w:r w:rsidR="005F0445">
        <w:t>3</w:t>
      </w:r>
      <w:r w:rsidRPr="00B863C0">
        <w:t xml:space="preserve">-day running average was compared against </w:t>
      </w:r>
      <w:r w:rsidR="005F0445">
        <w:t>2</w:t>
      </w:r>
      <w:r w:rsidR="005F0445" w:rsidRPr="00B863C0">
        <w:t xml:space="preserve"> </w:t>
      </w:r>
      <w:r w:rsidRPr="00B863C0">
        <w:t>benchmarks: a fixed, historical 95</w:t>
      </w:r>
      <w:r w:rsidRPr="00B863C0">
        <w:rPr>
          <w:vertAlign w:val="superscript"/>
        </w:rPr>
        <w:t>th</w:t>
      </w:r>
      <w:r w:rsidRPr="00B863C0">
        <w:t xml:space="preserve"> percentile value (representing historical long-term extremes), and a rolling 30-day average (representing recent conditions). These comparisons form the </w:t>
      </w:r>
      <w:r w:rsidR="005F0445">
        <w:t>2</w:t>
      </w:r>
      <w:r w:rsidR="005F0445" w:rsidRPr="00B863C0">
        <w:t xml:space="preserve"> </w:t>
      </w:r>
      <w:r w:rsidRPr="00B863C0">
        <w:t>components of EHF and are multiplied to produce the final EHF value.</w:t>
      </w:r>
    </w:p>
    <w:p w14:paraId="05F7DBBC" w14:textId="4417A1C4" w:rsidR="0076064B" w:rsidRDefault="00A937F7" w:rsidP="00271777">
      <w:pPr>
        <w:pStyle w:val="BodyText"/>
      </w:pPr>
      <w:r>
        <w:t>In the original station-based formulation of EHF, Nairn and Fawcett (2015) derive daily mean temperature by pairing a day’s maximum temperature with the following day’s minimum temperature to align with Australia’s 9am</w:t>
      </w:r>
      <w:r w:rsidR="00392514">
        <w:t>–</w:t>
      </w:r>
      <w:r>
        <w:t xml:space="preserve">9am observing-day convention and to emphasise overnight heat stress. Gridded climate datasets, however, may assign daily minimum and maximum temperatures to a given calendar date based on dataset-specific construction and observing conventions, such that these values can originate from different 24-hour periods </w:t>
      </w:r>
      <w:r w:rsidRPr="00DC2528">
        <w:t xml:space="preserve">(Irving </w:t>
      </w:r>
      <w:r w:rsidR="006D5DC6">
        <w:t>et al.</w:t>
      </w:r>
      <w:r w:rsidRPr="00DC2528">
        <w:t xml:space="preserve"> 2024).</w:t>
      </w:r>
      <w:r>
        <w:t xml:space="preserve"> Accordingly, for gridded GCM outputs used in this study, daily mean temperature was calculated using same-day </w:t>
      </w:r>
      <w:r>
        <w:rPr>
          <w:i/>
          <w:iCs/>
        </w:rPr>
        <w:t xml:space="preserve">tasmax </w:t>
      </w:r>
      <w:r>
        <w:t xml:space="preserve">and </w:t>
      </w:r>
      <w:r>
        <w:rPr>
          <w:i/>
          <w:iCs/>
        </w:rPr>
        <w:t>tasmin</w:t>
      </w:r>
      <w:r>
        <w:t xml:space="preserve"> to provide a consistent and transparent implementation of the EHF methodology suitable for large-area, multi-decadal analyses.</w:t>
      </w:r>
    </w:p>
    <w:p w14:paraId="6FA5F816" w14:textId="4D9D9714" w:rsidR="00A937F7" w:rsidRPr="00DC2528" w:rsidRDefault="00A937F7" w:rsidP="00271777">
      <w:pPr>
        <w:pStyle w:val="BodyText"/>
      </w:pPr>
      <w:r w:rsidRPr="00B863C0">
        <w:t xml:space="preserve">A heatwave day is defined as a day where the EHF value is positive (i.e. EHF &gt; 0). A heatwave event is defined as a sequence of </w:t>
      </w:r>
      <w:r w:rsidR="005F0445">
        <w:t>3</w:t>
      </w:r>
      <w:r w:rsidR="005F0445" w:rsidRPr="00B863C0">
        <w:t xml:space="preserve"> </w:t>
      </w:r>
      <w:r w:rsidRPr="00B863C0">
        <w:t xml:space="preserve">or more consecutive heatwave days, in line with the </w:t>
      </w:r>
      <w:r w:rsidRPr="00B863C0">
        <w:lastRenderedPageBreak/>
        <w:t>Bureau of Meteorology’s operational definition (Hudson &amp; Marshall 2016). Once these events were identified, their individual durations (i.e., number of consecutive heatwave days) were recorded for each year. The average heatwave duration was then calculated by taking the mean duration of all such events within each year.</w:t>
      </w:r>
      <w:r w:rsidR="00F46EAF">
        <w:t xml:space="preserve"> </w:t>
      </w:r>
      <w:r w:rsidRPr="00B863C0">
        <w:t>This process was repeated independently for each GCM, emissions scenario, and time horizon.</w:t>
      </w:r>
    </w:p>
    <w:p w14:paraId="586232AA" w14:textId="59A5A3C2" w:rsidR="0076064B" w:rsidRDefault="00A937F7" w:rsidP="00271777">
      <w:pPr>
        <w:pStyle w:val="BodyText"/>
      </w:pPr>
      <w:r w:rsidRPr="00B863C0">
        <w:t xml:space="preserve">While this method provides a consistent and physiologically relevant measure of heatwave exposure, it is important to note a key limitation related to the underlying climate data. The GCM-based projections used in this analysis are generated using a quantile–delta change (QDC) scaling approach, where future changes in climate variables are applied as adjustments to historical observed weather patterns (Irving </w:t>
      </w:r>
      <w:r w:rsidR="006D5DC6">
        <w:t>et al.</w:t>
      </w:r>
      <w:r w:rsidRPr="00B863C0">
        <w:t xml:space="preserve"> 2024). As a result, while projected future changes in temperature magnitude and variability are represented, future changes in the frequency, intensity, or behaviour of synoptic-scale drivers—such as blocking highs, monsoonal intrusions, or changes to large-scale circulation patterns—are not captured. The resulting heatwave indicators, including event frequency and duration, are therefore conditioned on historical weather sequences, which may underestimate or misrepresent changes in the processes that physically drive extreme heat events under future climate conditions.</w:t>
      </w:r>
    </w:p>
    <w:p w14:paraId="144B085E" w14:textId="72664496" w:rsidR="00A937F7" w:rsidRDefault="00A937F7" w:rsidP="000B447A">
      <w:pPr>
        <w:pStyle w:val="Heading3"/>
      </w:pPr>
      <w:bookmarkStart w:id="59" w:name="_Toc212497329"/>
      <w:bookmarkStart w:id="60" w:name="_Toc221026346"/>
      <w:bookmarkStart w:id="61" w:name="_Toc235818841"/>
      <w:bookmarkStart w:id="62" w:name="_Toc236677601"/>
      <w:r>
        <w:t>Number of heatwaves per year</w:t>
      </w:r>
      <w:bookmarkEnd w:id="59"/>
      <w:bookmarkEnd w:id="60"/>
      <w:bookmarkEnd w:id="61"/>
      <w:bookmarkEnd w:id="62"/>
    </w:p>
    <w:p w14:paraId="2AB35EBC" w14:textId="382CCD00" w:rsidR="00F46EAF" w:rsidRDefault="00A937F7" w:rsidP="00271777">
      <w:pPr>
        <w:pStyle w:val="BodyText"/>
      </w:pPr>
      <w:r w:rsidRPr="00B863C0">
        <w:t xml:space="preserve">The number of heatwaves per year indicator uses the same EHF-based detection method described above. A heatwave is defined as any period of </w:t>
      </w:r>
      <w:r w:rsidR="005F0445">
        <w:t>3</w:t>
      </w:r>
      <w:r w:rsidR="005F0445" w:rsidRPr="00B863C0">
        <w:t xml:space="preserve"> </w:t>
      </w:r>
      <w:r w:rsidRPr="00B863C0">
        <w:t>or more consecutive days with EHF &gt; 0, indicating that both the short-term temperature (</w:t>
      </w:r>
      <w:r w:rsidR="005F0445">
        <w:t>3</w:t>
      </w:r>
      <w:r w:rsidRPr="00B863C0">
        <w:t>-day mean) exceeds the long-term extreme threshold (historical 95th percentile), and is also higher than the recent 30-day average.</w:t>
      </w:r>
    </w:p>
    <w:p w14:paraId="3814497B" w14:textId="2B27A360" w:rsidR="00A937F7" w:rsidRPr="00B863C0" w:rsidRDefault="00A937F7" w:rsidP="00271777">
      <w:pPr>
        <w:pStyle w:val="BodyText"/>
      </w:pPr>
      <w:r w:rsidRPr="00B863C0">
        <w:t>The number of distinct heatwave events was counted annually for each grid cell. These counts were then spatially aggregated to health districts using population-weighted averaging. This process was repeated independently for each GCM, emissions scenario, and time horizon.</w:t>
      </w:r>
    </w:p>
    <w:p w14:paraId="7D53C79A" w14:textId="77777777" w:rsidR="00A937F7" w:rsidRDefault="00A937F7" w:rsidP="000B447A">
      <w:pPr>
        <w:pStyle w:val="Heading3"/>
      </w:pPr>
      <w:bookmarkStart w:id="63" w:name="_Toc212497330"/>
      <w:bookmarkStart w:id="64" w:name="_Toc221026347"/>
      <w:bookmarkStart w:id="65" w:name="_Toc235818842"/>
      <w:bookmarkStart w:id="66" w:name="_Toc236677602"/>
      <w:r>
        <w:t>Number of days per year &gt; 35</w:t>
      </w:r>
      <w:r w:rsidRPr="004D23A2">
        <w:t>°C</w:t>
      </w:r>
      <w:bookmarkEnd w:id="63"/>
      <w:bookmarkEnd w:id="64"/>
      <w:bookmarkEnd w:id="65"/>
      <w:bookmarkEnd w:id="66"/>
    </w:p>
    <w:p w14:paraId="453BE2F5" w14:textId="42883539" w:rsidR="00E96FCA" w:rsidRDefault="00A937F7" w:rsidP="00271777">
      <w:pPr>
        <w:pStyle w:val="BodyText"/>
      </w:pPr>
      <w:r w:rsidRPr="00B863C0">
        <w:t>The number of days per year &gt; 35°C indicator is calculated using daily maximum temperature (</w:t>
      </w:r>
      <w:r w:rsidRPr="00B863C0">
        <w:rPr>
          <w:i/>
          <w:iCs/>
        </w:rPr>
        <w:t>tasmax</w:t>
      </w:r>
      <w:r w:rsidRPr="00B863C0">
        <w:t xml:space="preserve">) from the CSIRO CMIP6 11 km gridded dataset (Irving </w:t>
      </w:r>
      <w:r w:rsidR="006D5DC6">
        <w:t>et al.</w:t>
      </w:r>
      <w:r w:rsidRPr="00B863C0">
        <w:t xml:space="preserve"> 2024). For each grid cell, the number of days each year where the daily maximum temperature exceeded 35.0°C was counted. This process was repeated for each GCM, emissions scenario and time horizon.</w:t>
      </w:r>
    </w:p>
    <w:p w14:paraId="089C2BCD" w14:textId="329AC973" w:rsidR="00A937F7" w:rsidRPr="00B863C0" w:rsidRDefault="00A937F7" w:rsidP="00271777">
      <w:pPr>
        <w:pStyle w:val="BodyText"/>
      </w:pPr>
      <w:r w:rsidRPr="00B863C0">
        <w:t>These counts were aggregated to health districts using population-weighted averaging.</w:t>
      </w:r>
    </w:p>
    <w:p w14:paraId="6A490F11" w14:textId="77777777" w:rsidR="00A937F7" w:rsidRDefault="00A937F7" w:rsidP="000B447A">
      <w:pPr>
        <w:pStyle w:val="Heading3"/>
      </w:pPr>
      <w:bookmarkStart w:id="67" w:name="_Toc212497331"/>
      <w:bookmarkStart w:id="68" w:name="_Toc221026348"/>
      <w:bookmarkStart w:id="69" w:name="_Toc235818843"/>
      <w:bookmarkStart w:id="70" w:name="_Toc236677603"/>
      <w:r>
        <w:lastRenderedPageBreak/>
        <w:t>Number of days per year &gt; 40</w:t>
      </w:r>
      <w:r w:rsidRPr="004D23A2">
        <w:t>°C</w:t>
      </w:r>
      <w:bookmarkEnd w:id="67"/>
      <w:bookmarkEnd w:id="68"/>
      <w:bookmarkEnd w:id="69"/>
      <w:bookmarkEnd w:id="70"/>
    </w:p>
    <w:p w14:paraId="0FD3F6D7" w14:textId="77777777" w:rsidR="00A937F7" w:rsidRPr="00B863C0" w:rsidRDefault="00A937F7" w:rsidP="00271777">
      <w:pPr>
        <w:pStyle w:val="BodyText"/>
      </w:pPr>
      <w:r w:rsidRPr="00B863C0">
        <w:t xml:space="preserve">The number of days per year &gt; 40°C indicator is calculated in the same way as the &gt; 35°C indicator but applies a higher threshold of 40.0°C. For each grid cell and year, the number of days where daily maximum temperature exceeded 40°C was counted, using </w:t>
      </w:r>
      <w:r w:rsidRPr="00B863C0">
        <w:rPr>
          <w:i/>
          <w:iCs/>
        </w:rPr>
        <w:t>tasmax</w:t>
      </w:r>
      <w:r w:rsidRPr="00B863C0">
        <w:t xml:space="preserve"> from the CSIRO CMIP6 dataset. These counts were calculated for each GCM, emissions scenario, and time horizon and were aggregated to health districts using population-weighted averaging.</w:t>
      </w:r>
    </w:p>
    <w:p w14:paraId="51B14CA7" w14:textId="77777777" w:rsidR="00A937F7" w:rsidRDefault="00A937F7" w:rsidP="0076064B">
      <w:pPr>
        <w:pStyle w:val="Heading2"/>
      </w:pPr>
      <w:bookmarkStart w:id="71" w:name="_Toc221026349"/>
      <w:bookmarkStart w:id="72" w:name="_Toc235818844"/>
      <w:bookmarkStart w:id="73" w:name="_Toc236677604"/>
      <w:r>
        <w:t>Data outputs</w:t>
      </w:r>
      <w:bookmarkEnd w:id="71"/>
      <w:bookmarkEnd w:id="72"/>
      <w:bookmarkEnd w:id="73"/>
    </w:p>
    <w:p w14:paraId="19D68580" w14:textId="7C6BE6A5" w:rsidR="00A937F7" w:rsidRPr="00B863C0" w:rsidRDefault="00A937F7" w:rsidP="00271777">
      <w:pPr>
        <w:pStyle w:val="BodyText"/>
      </w:pPr>
      <w:r w:rsidRPr="00B863C0">
        <w:t xml:space="preserve">The heat and humidity hazard uses climate projections from the CMIP6 Global Climate Models reported across </w:t>
      </w:r>
      <w:r w:rsidR="005F0445">
        <w:t>3</w:t>
      </w:r>
      <w:r w:rsidR="005F0445" w:rsidRPr="00B863C0">
        <w:t xml:space="preserve"> </w:t>
      </w:r>
      <w:r w:rsidRPr="00B863C0">
        <w:t>time horizons:</w:t>
      </w:r>
    </w:p>
    <w:p w14:paraId="55CC4961" w14:textId="35AA44ED" w:rsidR="00A937F7" w:rsidRPr="00B863C0" w:rsidRDefault="000D2DA6" w:rsidP="009330FB">
      <w:pPr>
        <w:pStyle w:val="BulletUnindented"/>
      </w:pPr>
      <w:r>
        <w:rPr>
          <w:b/>
          <w:bCs/>
        </w:rPr>
        <w:t>m</w:t>
      </w:r>
      <w:r w:rsidR="00A937F7" w:rsidRPr="00E9527B">
        <w:rPr>
          <w:b/>
          <w:bCs/>
        </w:rPr>
        <w:t>id-21</w:t>
      </w:r>
      <w:r w:rsidR="00A937F7" w:rsidRPr="00E9527B">
        <w:rPr>
          <w:b/>
          <w:bCs/>
          <w:vertAlign w:val="superscript"/>
        </w:rPr>
        <w:t>st</w:t>
      </w:r>
      <w:r w:rsidR="00A937F7" w:rsidRPr="00E9527B">
        <w:rPr>
          <w:b/>
          <w:bCs/>
        </w:rPr>
        <w:t xml:space="preserve"> century</w:t>
      </w:r>
      <w:r w:rsidR="00A937F7" w:rsidRPr="00B863C0">
        <w:t xml:space="preserve"> (represented by the 30-year window 2035</w:t>
      </w:r>
      <w:r w:rsidR="00392514">
        <w:t>–</w:t>
      </w:r>
      <w:r w:rsidR="00A937F7" w:rsidRPr="00B863C0">
        <w:t>2064)</w:t>
      </w:r>
    </w:p>
    <w:p w14:paraId="1927EBD4" w14:textId="29D65815" w:rsidR="00A937F7" w:rsidRPr="00B863C0" w:rsidRDefault="000D2DA6" w:rsidP="009330FB">
      <w:pPr>
        <w:pStyle w:val="BulletUnindented"/>
      </w:pPr>
      <w:r>
        <w:rPr>
          <w:b/>
          <w:bCs/>
        </w:rPr>
        <w:t>l</w:t>
      </w:r>
      <w:r w:rsidR="00A937F7" w:rsidRPr="00E9527B">
        <w:rPr>
          <w:b/>
          <w:bCs/>
        </w:rPr>
        <w:t>ate-21</w:t>
      </w:r>
      <w:r w:rsidR="00A937F7" w:rsidRPr="00E9527B">
        <w:rPr>
          <w:b/>
          <w:bCs/>
          <w:vertAlign w:val="superscript"/>
        </w:rPr>
        <w:t>st</w:t>
      </w:r>
      <w:r w:rsidR="00A937F7" w:rsidRPr="00E9527B">
        <w:rPr>
          <w:b/>
          <w:bCs/>
        </w:rPr>
        <w:t xml:space="preserve"> century</w:t>
      </w:r>
      <w:r w:rsidR="00A937F7" w:rsidRPr="00B863C0">
        <w:t xml:space="preserve"> (represented by the 30-year window 2070</w:t>
      </w:r>
      <w:r w:rsidR="00392514">
        <w:t>–</w:t>
      </w:r>
      <w:r w:rsidR="00A937F7" w:rsidRPr="00B863C0">
        <w:t>2099)</w:t>
      </w:r>
    </w:p>
    <w:p w14:paraId="212D371D" w14:textId="4836AAB7" w:rsidR="00A937F7" w:rsidRPr="00DC2528" w:rsidRDefault="000D2DA6" w:rsidP="009330FB">
      <w:pPr>
        <w:pStyle w:val="BulletUnindented"/>
      </w:pPr>
      <w:r>
        <w:rPr>
          <w:b/>
          <w:bCs/>
        </w:rPr>
        <w:t>h</w:t>
      </w:r>
      <w:r w:rsidR="00A937F7" w:rsidRPr="00E9527B">
        <w:rPr>
          <w:b/>
          <w:bCs/>
        </w:rPr>
        <w:t>istorical baseline</w:t>
      </w:r>
      <w:r w:rsidR="00A937F7" w:rsidRPr="00B863C0">
        <w:t xml:space="preserve"> data for 1985</w:t>
      </w:r>
      <w:r w:rsidR="00392514">
        <w:t>–</w:t>
      </w:r>
      <w:r w:rsidR="00A937F7" w:rsidRPr="00B863C0">
        <w:t>2014</w:t>
      </w:r>
      <w:r>
        <w:t>.</w:t>
      </w:r>
    </w:p>
    <w:p w14:paraId="319D4186" w14:textId="5B7C7D51" w:rsidR="004F3F68" w:rsidRDefault="00E3597A" w:rsidP="00271777">
      <w:pPr>
        <w:pStyle w:val="BodyText"/>
      </w:pPr>
      <w:r>
        <w:t>8</w:t>
      </w:r>
      <w:r w:rsidRPr="00B863C0">
        <w:t xml:space="preserve"> </w:t>
      </w:r>
      <w:r w:rsidR="00A937F7" w:rsidRPr="00B863C0">
        <w:t>CMIP6 models (ACCESS-CM2, ACCESS-ESM1-5, CMCC-ESM2, CNRM-ESM2-1, EC-Earth3, MPI-ESM1-2-HR, NorESM2-MM, UKESM1-0-LL) are used to calculate climate changes between a 1985</w:t>
      </w:r>
      <w:r w:rsidR="00392514">
        <w:t>–</w:t>
      </w:r>
      <w:r w:rsidR="00A937F7" w:rsidRPr="00B863C0">
        <w:t xml:space="preserve">2014 baseline period and the </w:t>
      </w:r>
      <w:r w:rsidR="005F0445">
        <w:t>2</w:t>
      </w:r>
      <w:r w:rsidR="005F0445" w:rsidRPr="00B863C0">
        <w:t xml:space="preserve"> </w:t>
      </w:r>
      <w:r w:rsidR="00A937F7" w:rsidRPr="00B863C0">
        <w:t xml:space="preserve">future projection periods for each SSP. The average of each indicator is reported along with the maximum and minimum values across climate models reported in </w:t>
      </w:r>
      <w:r w:rsidR="00A937F7" w:rsidRPr="009C1D31">
        <w:t>square brackets</w:t>
      </w:r>
      <w:r w:rsidR="00A937F7" w:rsidRPr="00B863C0">
        <w:t>.</w:t>
      </w:r>
      <w:bookmarkStart w:id="74" w:name="_Toc221026350"/>
    </w:p>
    <w:p w14:paraId="306ECF88" w14:textId="7E6EAD2F" w:rsidR="002E55A9" w:rsidRDefault="002E55A9" w:rsidP="00550C0A">
      <w:pPr>
        <w:pStyle w:val="Heading1"/>
      </w:pPr>
      <w:bookmarkStart w:id="75" w:name="_Toc235818845"/>
      <w:bookmarkStart w:id="76" w:name="_Toc236677605"/>
      <w:r>
        <w:lastRenderedPageBreak/>
        <w:t xml:space="preserve">Fire </w:t>
      </w:r>
      <w:r w:rsidR="000812DC">
        <w:t>h</w:t>
      </w:r>
      <w:r>
        <w:t>azard methods</w:t>
      </w:r>
      <w:bookmarkEnd w:id="74"/>
      <w:bookmarkEnd w:id="75"/>
      <w:bookmarkEnd w:id="76"/>
    </w:p>
    <w:p w14:paraId="261C681A" w14:textId="77777777" w:rsidR="002E55A9" w:rsidRDefault="002E55A9" w:rsidP="0076064B">
      <w:pPr>
        <w:pStyle w:val="Heading2"/>
      </w:pPr>
      <w:bookmarkStart w:id="77" w:name="_Toc221026351"/>
      <w:bookmarkStart w:id="78" w:name="_Toc235818846"/>
      <w:bookmarkStart w:id="79" w:name="_Toc236677606"/>
      <w:r>
        <w:t>Data source</w:t>
      </w:r>
      <w:bookmarkEnd w:id="77"/>
      <w:bookmarkEnd w:id="78"/>
      <w:bookmarkEnd w:id="79"/>
    </w:p>
    <w:p w14:paraId="68FEB44D" w14:textId="2DD60054" w:rsidR="002E55A9" w:rsidRPr="00B863C0" w:rsidRDefault="002E55A9" w:rsidP="002E55A9">
      <w:pPr>
        <w:pStyle w:val="BodyText"/>
      </w:pPr>
      <w:r w:rsidRPr="00B863C0">
        <w:t>The Fire Hazard uses the National Bushfire Intelligence Capability Stage 2 Fireline Intensity (FLI) data products based on CMIP6 data (Opie et al</w:t>
      </w:r>
      <w:r w:rsidR="00C64EA2">
        <w:t>.</w:t>
      </w:r>
      <w:r w:rsidRPr="00B863C0">
        <w:t xml:space="preserve"> 2023). FLI considers slope, vegetation and weather to produce a rate of heat output per unit length (kW/m) along a bushfire’s front. It is a measure of a fire's heat output and provides data-driven insights into bushfire hazard under baseline and future scenarios. The data have been generated by CSIRO to support national and state-level decision-making for bushfire management, relevant across a broad range of scales – from individual properties through to continental.</w:t>
      </w:r>
    </w:p>
    <w:p w14:paraId="0E57EA35" w14:textId="083C8686" w:rsidR="002E55A9" w:rsidRPr="00B863C0" w:rsidRDefault="002E55A9" w:rsidP="002E55A9">
      <w:pPr>
        <w:pStyle w:val="BodyText"/>
      </w:pPr>
      <w:r w:rsidRPr="00B863C0">
        <w:t>The inputs into the calculation of FLI are obtained from the following sources:</w:t>
      </w:r>
    </w:p>
    <w:p w14:paraId="304DE5A8" w14:textId="77777777" w:rsidR="0076064B" w:rsidRDefault="002E55A9" w:rsidP="002E55A9">
      <w:pPr>
        <w:pStyle w:val="BulletUnindented"/>
      </w:pPr>
      <w:r w:rsidRPr="001F6C56">
        <w:rPr>
          <w:b/>
          <w:bCs/>
        </w:rPr>
        <w:t xml:space="preserve">Vegetation </w:t>
      </w:r>
      <w:r w:rsidRPr="00B863C0">
        <w:t>classification is defined by the Australian Fire Danger Rating System (AFDRS) National Fuel Map and parameter table.</w:t>
      </w:r>
    </w:p>
    <w:p w14:paraId="27DA1CBA" w14:textId="42BF0F04" w:rsidR="0076064B" w:rsidRDefault="002E55A9" w:rsidP="002E55A9">
      <w:pPr>
        <w:pStyle w:val="BulletUnindented"/>
      </w:pPr>
      <w:r w:rsidRPr="001F6C56">
        <w:rPr>
          <w:b/>
          <w:bCs/>
        </w:rPr>
        <w:t xml:space="preserve">Weather </w:t>
      </w:r>
      <w:r w:rsidRPr="00B863C0">
        <w:t xml:space="preserve">is defined by both a historical weather reanalysis dataset BARRA-R2 (baseline scenario) drawing on hourly concurrent data and a climate biased future weather dataset (based on </w:t>
      </w:r>
      <w:r w:rsidR="005F0445">
        <w:t>6</w:t>
      </w:r>
      <w:r w:rsidR="005F0445" w:rsidRPr="00B863C0">
        <w:t xml:space="preserve"> </w:t>
      </w:r>
      <w:r w:rsidRPr="00B863C0">
        <w:t>Global Climate Models for SSP1</w:t>
      </w:r>
      <w:r>
        <w:t>-</w:t>
      </w:r>
      <w:r w:rsidRPr="00B863C0">
        <w:t>2</w:t>
      </w:r>
      <w:r>
        <w:t>.</w:t>
      </w:r>
      <w:r w:rsidRPr="00B863C0">
        <w:t>6 and SSP3</w:t>
      </w:r>
      <w:r>
        <w:t>-</w:t>
      </w:r>
      <w:r w:rsidRPr="00B863C0">
        <w:t>7</w:t>
      </w:r>
      <w:r>
        <w:t>.</w:t>
      </w:r>
      <w:r w:rsidRPr="00B863C0">
        <w:t>0 from CMIP6, projected scenarios).</w:t>
      </w:r>
    </w:p>
    <w:p w14:paraId="53F250F9" w14:textId="33777947" w:rsidR="0076064B" w:rsidRDefault="002E55A9" w:rsidP="002E55A9">
      <w:pPr>
        <w:pStyle w:val="BulletUnindented"/>
      </w:pPr>
      <w:r w:rsidRPr="001F6C56">
        <w:rPr>
          <w:b/>
          <w:bCs/>
        </w:rPr>
        <w:t>Terrain</w:t>
      </w:r>
      <w:r w:rsidRPr="00B863C0">
        <w:t xml:space="preserve"> is represented by Geoscience Australia’s Shuttle Radar Topographic Mission (SRTM) Smoothed Digital Elevation Model.</w:t>
      </w:r>
    </w:p>
    <w:p w14:paraId="6BC545E1" w14:textId="76F6F056" w:rsidR="002E55A9" w:rsidRPr="00B863C0" w:rsidRDefault="002E55A9" w:rsidP="002E55A9">
      <w:pPr>
        <w:pStyle w:val="BodyText"/>
      </w:pPr>
      <w:r w:rsidRPr="00B863C0">
        <w:rPr>
          <w:lang w:val="en-GB"/>
        </w:rPr>
        <w:t xml:space="preserve">These are ingested into </w:t>
      </w:r>
      <w:r w:rsidR="00E3597A">
        <w:rPr>
          <w:lang w:val="en-GB"/>
        </w:rPr>
        <w:t>8</w:t>
      </w:r>
      <w:r w:rsidR="00E3597A" w:rsidRPr="00B863C0">
        <w:rPr>
          <w:lang w:val="en-GB"/>
        </w:rPr>
        <w:t xml:space="preserve"> </w:t>
      </w:r>
      <w:r w:rsidRPr="00B863C0">
        <w:rPr>
          <w:lang w:val="en-GB"/>
        </w:rPr>
        <w:t>select fire behaviour models in alignment with the current Australian Fire Danger Rating System</w:t>
      </w:r>
      <w:r w:rsidRPr="00B863C0">
        <w:t xml:space="preserve"> and VESTA Mark 2. The data are generated as rasters (20m resolution), which show the Fireline Intensity for given fire weather return period intervals of 20, 50 and 100 years. The SSP1</w:t>
      </w:r>
      <w:r>
        <w:t>-</w:t>
      </w:r>
      <w:r w:rsidRPr="00B863C0">
        <w:t>2</w:t>
      </w:r>
      <w:r>
        <w:t>.</w:t>
      </w:r>
      <w:r w:rsidRPr="00B863C0">
        <w:t>6 represent a sustainability scenario, and SSP3</w:t>
      </w:r>
      <w:r>
        <w:t>-</w:t>
      </w:r>
      <w:r w:rsidRPr="00B863C0">
        <w:t>7</w:t>
      </w:r>
      <w:r>
        <w:t>.</w:t>
      </w:r>
      <w:r w:rsidRPr="00B863C0">
        <w:t>0 represents the reasonable worst</w:t>
      </w:r>
      <w:r w:rsidR="006D5DC6">
        <w:t>-</w:t>
      </w:r>
      <w:r w:rsidRPr="00B863C0">
        <w:t>case scenario.</w:t>
      </w:r>
    </w:p>
    <w:p w14:paraId="22031288" w14:textId="18DD7995" w:rsidR="002E55A9" w:rsidRDefault="002E55A9" w:rsidP="00440278">
      <w:r w:rsidRPr="00B863C0">
        <w:t>The FLI provides spatial information on the intensity with which a fire would burn in the event of a bushfire. It does not represent the likelihood or frequency of a fire occurring. This means that the future fire hazard assessment considers how climate change will impact the intensity at which future fires will burn. The future fire hazard assessments do not consider how climate change will affect the ignition frequency of future fires. This approach is consistent with the scientific understanding of fire hazard in that the impacts of climate change are largely about how a fire burns when there is fire in the landscape (rather than how frequently fire events occur).</w:t>
      </w:r>
      <w:r>
        <w:br w:type="page"/>
      </w:r>
    </w:p>
    <w:p w14:paraId="6AEAAD0B" w14:textId="77777777" w:rsidR="002E55A9" w:rsidRDefault="002E55A9" w:rsidP="00F16A0B">
      <w:pPr>
        <w:pStyle w:val="Heading2"/>
      </w:pPr>
      <w:bookmarkStart w:id="80" w:name="_Toc221026352"/>
      <w:bookmarkStart w:id="81" w:name="_Toc235818847"/>
      <w:bookmarkStart w:id="82" w:name="_Toc236677607"/>
      <w:r>
        <w:lastRenderedPageBreak/>
        <w:t>Analytical approach</w:t>
      </w:r>
      <w:bookmarkEnd w:id="80"/>
      <w:bookmarkEnd w:id="81"/>
      <w:bookmarkEnd w:id="82"/>
    </w:p>
    <w:p w14:paraId="5DF253BA" w14:textId="038DF9D6" w:rsidR="002E55A9" w:rsidRPr="002E55A9" w:rsidRDefault="002E55A9" w:rsidP="002E55A9">
      <w:pPr>
        <w:pStyle w:val="BodyText"/>
      </w:pPr>
      <w:r w:rsidRPr="00B863C0">
        <w:t xml:space="preserve">The analytical approach addresses the following question: 'In the event of a major bushfire, what is the likely impact of that fire in terms of likelihood of containment, danger to assets and smoke emissions’? Major bushfires are defined as those which occur at intervals of every 20 to 100 years. For fire with those return intervals, the area that is subject to different levels of fire hazard is calculated for each health district. Different levels of fire severity are defined based on published data on the likely consequences from fires burning at different FLI (Hollis </w:t>
      </w:r>
      <w:r w:rsidR="006D5DC6">
        <w:t>et al.</w:t>
      </w:r>
      <w:r w:rsidRPr="00B863C0">
        <w:t xml:space="preserve"> 2024).</w:t>
      </w:r>
    </w:p>
    <w:tbl>
      <w:tblPr>
        <w:tblStyle w:val="TableGrid"/>
        <w:tblW w:w="5000" w:type="pct"/>
        <w:tblLook w:val="04A0" w:firstRow="1" w:lastRow="0" w:firstColumn="1" w:lastColumn="0" w:noHBand="0" w:noVBand="1"/>
      </w:tblPr>
      <w:tblGrid>
        <w:gridCol w:w="1737"/>
        <w:gridCol w:w="1405"/>
        <w:gridCol w:w="6781"/>
      </w:tblGrid>
      <w:tr w:rsidR="002E55A9" w:rsidRPr="003E71F9" w14:paraId="4630E0E1" w14:textId="77777777" w:rsidTr="00FA0251">
        <w:trPr>
          <w:cnfStyle w:val="100000000000" w:firstRow="1" w:lastRow="0" w:firstColumn="0" w:lastColumn="0" w:oddVBand="0" w:evenVBand="0" w:oddHBand="0" w:evenHBand="0" w:firstRowFirstColumn="0" w:firstRowLastColumn="0" w:lastRowFirstColumn="0" w:lastRowLastColumn="0"/>
          <w:trHeight w:hRule="exact" w:val="491"/>
        </w:trPr>
        <w:tc>
          <w:tcPr>
            <w:tcW w:w="875" w:type="pct"/>
            <w:vAlign w:val="top"/>
          </w:tcPr>
          <w:p w14:paraId="3482FC35" w14:textId="77777777" w:rsidR="002E55A9" w:rsidRPr="00E9527B" w:rsidRDefault="002E55A9" w:rsidP="00265746">
            <w:pPr>
              <w:rPr>
                <w:b/>
                <w:bCs/>
                <w:sz w:val="22"/>
                <w:szCs w:val="22"/>
              </w:rPr>
            </w:pPr>
            <w:r w:rsidRPr="00E9527B">
              <w:rPr>
                <w:b/>
                <w:bCs/>
                <w:sz w:val="22"/>
                <w:szCs w:val="22"/>
              </w:rPr>
              <w:t>Category</w:t>
            </w:r>
          </w:p>
        </w:tc>
        <w:tc>
          <w:tcPr>
            <w:tcW w:w="708" w:type="pct"/>
            <w:vAlign w:val="top"/>
          </w:tcPr>
          <w:p w14:paraId="20125DD7" w14:textId="77777777" w:rsidR="002E55A9" w:rsidRPr="00E9527B" w:rsidRDefault="002E55A9" w:rsidP="00265746">
            <w:pPr>
              <w:rPr>
                <w:b/>
                <w:bCs/>
                <w:sz w:val="22"/>
                <w:szCs w:val="22"/>
              </w:rPr>
            </w:pPr>
            <w:r w:rsidRPr="00E9527B">
              <w:rPr>
                <w:b/>
                <w:bCs/>
                <w:sz w:val="22"/>
                <w:szCs w:val="22"/>
              </w:rPr>
              <w:t>FLI Range (kW/m)</w:t>
            </w:r>
          </w:p>
        </w:tc>
        <w:tc>
          <w:tcPr>
            <w:tcW w:w="3417" w:type="pct"/>
            <w:vAlign w:val="top"/>
          </w:tcPr>
          <w:p w14:paraId="7BA6B9BF" w14:textId="77777777" w:rsidR="002E55A9" w:rsidRPr="00E9527B" w:rsidRDefault="002E55A9" w:rsidP="00265746">
            <w:pPr>
              <w:rPr>
                <w:b/>
                <w:bCs/>
                <w:sz w:val="22"/>
                <w:szCs w:val="22"/>
              </w:rPr>
            </w:pPr>
            <w:r w:rsidRPr="00E9527B">
              <w:rPr>
                <w:b/>
                <w:bCs/>
                <w:sz w:val="22"/>
                <w:szCs w:val="22"/>
              </w:rPr>
              <w:t>Fire type</w:t>
            </w:r>
          </w:p>
        </w:tc>
      </w:tr>
      <w:tr w:rsidR="002E55A9" w:rsidRPr="003E71F9" w14:paraId="5C70E7B1" w14:textId="77777777" w:rsidTr="00FA0251">
        <w:trPr>
          <w:cnfStyle w:val="000000100000" w:firstRow="0" w:lastRow="0" w:firstColumn="0" w:lastColumn="0" w:oddVBand="0" w:evenVBand="0" w:oddHBand="1" w:evenHBand="0" w:firstRowFirstColumn="0" w:firstRowLastColumn="0" w:lastRowFirstColumn="0" w:lastRowLastColumn="0"/>
          <w:trHeight w:hRule="exact" w:val="491"/>
        </w:trPr>
        <w:tc>
          <w:tcPr>
            <w:tcW w:w="875" w:type="pct"/>
            <w:vAlign w:val="top"/>
          </w:tcPr>
          <w:p w14:paraId="5C2FE164" w14:textId="77777777" w:rsidR="002E55A9" w:rsidRPr="00B863C0" w:rsidRDefault="002E55A9" w:rsidP="00265746">
            <w:pPr>
              <w:rPr>
                <w:sz w:val="22"/>
                <w:szCs w:val="22"/>
              </w:rPr>
            </w:pPr>
            <w:r w:rsidRPr="00B863C0">
              <w:rPr>
                <w:sz w:val="22"/>
                <w:szCs w:val="22"/>
              </w:rPr>
              <w:t>Low hazard</w:t>
            </w:r>
          </w:p>
        </w:tc>
        <w:tc>
          <w:tcPr>
            <w:tcW w:w="708" w:type="pct"/>
            <w:vAlign w:val="top"/>
          </w:tcPr>
          <w:p w14:paraId="33E6A85F" w14:textId="554F7CB3" w:rsidR="002E55A9" w:rsidRPr="00B863C0" w:rsidRDefault="002E55A9" w:rsidP="00265746">
            <w:pPr>
              <w:rPr>
                <w:sz w:val="22"/>
                <w:szCs w:val="22"/>
              </w:rPr>
            </w:pPr>
            <w:r w:rsidRPr="00B863C0">
              <w:rPr>
                <w:sz w:val="22"/>
                <w:szCs w:val="22"/>
              </w:rPr>
              <w:t>0</w:t>
            </w:r>
            <w:r w:rsidR="00392514">
              <w:t>–</w:t>
            </w:r>
            <w:r w:rsidRPr="00B863C0">
              <w:rPr>
                <w:sz w:val="22"/>
                <w:szCs w:val="22"/>
              </w:rPr>
              <w:t>4</w:t>
            </w:r>
            <w:r w:rsidR="000961B8">
              <w:rPr>
                <w:sz w:val="22"/>
                <w:szCs w:val="22"/>
              </w:rPr>
              <w:t>,</w:t>
            </w:r>
            <w:r w:rsidRPr="00B863C0">
              <w:rPr>
                <w:sz w:val="22"/>
                <w:szCs w:val="22"/>
              </w:rPr>
              <w:t>000</w:t>
            </w:r>
          </w:p>
        </w:tc>
        <w:tc>
          <w:tcPr>
            <w:tcW w:w="3417" w:type="pct"/>
            <w:vAlign w:val="top"/>
          </w:tcPr>
          <w:p w14:paraId="32D625B2" w14:textId="77777777" w:rsidR="002E55A9" w:rsidRPr="00B863C0" w:rsidRDefault="002E55A9" w:rsidP="00265746">
            <w:pPr>
              <w:rPr>
                <w:sz w:val="22"/>
                <w:szCs w:val="22"/>
              </w:rPr>
            </w:pPr>
            <w:r w:rsidRPr="00B863C0">
              <w:rPr>
                <w:sz w:val="22"/>
                <w:szCs w:val="22"/>
              </w:rPr>
              <w:t>Fires can typically be managed but smoke hazard may persist</w:t>
            </w:r>
            <w:r>
              <w:rPr>
                <w:sz w:val="22"/>
                <w:szCs w:val="22"/>
              </w:rPr>
              <w:t>.</w:t>
            </w:r>
          </w:p>
        </w:tc>
      </w:tr>
      <w:tr w:rsidR="002E55A9" w:rsidRPr="003E71F9" w14:paraId="5E3782E5" w14:textId="77777777" w:rsidTr="00FA0251">
        <w:trPr>
          <w:trHeight w:hRule="exact" w:val="1193"/>
        </w:trPr>
        <w:tc>
          <w:tcPr>
            <w:tcW w:w="875" w:type="pct"/>
            <w:vAlign w:val="top"/>
          </w:tcPr>
          <w:p w14:paraId="72755CD2" w14:textId="77777777" w:rsidR="002E55A9" w:rsidRPr="00B863C0" w:rsidRDefault="002E55A9" w:rsidP="00265746">
            <w:pPr>
              <w:rPr>
                <w:sz w:val="22"/>
                <w:szCs w:val="22"/>
              </w:rPr>
            </w:pPr>
            <w:r w:rsidRPr="00B863C0">
              <w:rPr>
                <w:sz w:val="22"/>
                <w:szCs w:val="22"/>
              </w:rPr>
              <w:t>Moderate to high hazard</w:t>
            </w:r>
          </w:p>
        </w:tc>
        <w:tc>
          <w:tcPr>
            <w:tcW w:w="708" w:type="pct"/>
            <w:vAlign w:val="top"/>
          </w:tcPr>
          <w:p w14:paraId="1B76D73B" w14:textId="36D264D6" w:rsidR="002E55A9" w:rsidRPr="00B863C0" w:rsidRDefault="002E55A9" w:rsidP="00265746">
            <w:pPr>
              <w:rPr>
                <w:sz w:val="22"/>
                <w:szCs w:val="22"/>
              </w:rPr>
            </w:pPr>
            <w:r w:rsidRPr="00B863C0">
              <w:rPr>
                <w:sz w:val="22"/>
                <w:szCs w:val="22"/>
              </w:rPr>
              <w:t>4,000– 27,500</w:t>
            </w:r>
          </w:p>
        </w:tc>
        <w:tc>
          <w:tcPr>
            <w:tcW w:w="3417" w:type="pct"/>
            <w:vAlign w:val="top"/>
          </w:tcPr>
          <w:p w14:paraId="392BBE7D" w14:textId="77777777" w:rsidR="002E55A9" w:rsidRPr="00B863C0" w:rsidRDefault="002E55A9" w:rsidP="00265746">
            <w:pPr>
              <w:rPr>
                <w:sz w:val="22"/>
                <w:szCs w:val="22"/>
              </w:rPr>
            </w:pPr>
            <w:r w:rsidRPr="00B863C0">
              <w:rPr>
                <w:sz w:val="22"/>
                <w:szCs w:val="22"/>
              </w:rPr>
              <w:t>Suppression and containment difficult. Upper limit for ‘offensive’ fire management strategies. Community losses may be expected</w:t>
            </w:r>
            <w:r>
              <w:rPr>
                <w:sz w:val="22"/>
                <w:szCs w:val="22"/>
              </w:rPr>
              <w:t>.</w:t>
            </w:r>
          </w:p>
        </w:tc>
      </w:tr>
      <w:tr w:rsidR="002E55A9" w:rsidRPr="003E71F9" w14:paraId="08FF631A" w14:textId="77777777" w:rsidTr="00FA0251">
        <w:trPr>
          <w:cnfStyle w:val="000000100000" w:firstRow="0" w:lastRow="0" w:firstColumn="0" w:lastColumn="0" w:oddVBand="0" w:evenVBand="0" w:oddHBand="1" w:evenHBand="0" w:firstRowFirstColumn="0" w:firstRowLastColumn="0" w:lastRowFirstColumn="0" w:lastRowLastColumn="0"/>
          <w:trHeight w:hRule="exact" w:val="841"/>
        </w:trPr>
        <w:tc>
          <w:tcPr>
            <w:tcW w:w="875" w:type="pct"/>
            <w:vAlign w:val="top"/>
          </w:tcPr>
          <w:p w14:paraId="12A581F5" w14:textId="77777777" w:rsidR="002E55A9" w:rsidRPr="00B863C0" w:rsidRDefault="002E55A9" w:rsidP="00265746">
            <w:pPr>
              <w:rPr>
                <w:sz w:val="22"/>
                <w:szCs w:val="22"/>
              </w:rPr>
            </w:pPr>
            <w:r w:rsidRPr="00B863C0">
              <w:rPr>
                <w:sz w:val="22"/>
                <w:szCs w:val="22"/>
              </w:rPr>
              <w:t>Very high hazard</w:t>
            </w:r>
          </w:p>
        </w:tc>
        <w:tc>
          <w:tcPr>
            <w:tcW w:w="708" w:type="pct"/>
            <w:vAlign w:val="top"/>
          </w:tcPr>
          <w:p w14:paraId="727743A8" w14:textId="77777777" w:rsidR="002E55A9" w:rsidRPr="00B863C0" w:rsidRDefault="002E55A9" w:rsidP="00265746">
            <w:pPr>
              <w:rPr>
                <w:sz w:val="22"/>
                <w:szCs w:val="22"/>
              </w:rPr>
            </w:pPr>
            <w:r w:rsidRPr="00B863C0">
              <w:rPr>
                <w:sz w:val="22"/>
                <w:szCs w:val="22"/>
              </w:rPr>
              <w:t>≥ 27,500</w:t>
            </w:r>
          </w:p>
        </w:tc>
        <w:tc>
          <w:tcPr>
            <w:tcW w:w="3417" w:type="pct"/>
            <w:vAlign w:val="top"/>
          </w:tcPr>
          <w:p w14:paraId="646B71F3" w14:textId="77777777" w:rsidR="002E55A9" w:rsidRPr="00B863C0" w:rsidRDefault="002E55A9" w:rsidP="00265746">
            <w:pPr>
              <w:rPr>
                <w:sz w:val="22"/>
                <w:szCs w:val="22"/>
              </w:rPr>
            </w:pPr>
            <w:r w:rsidRPr="00B863C0">
              <w:rPr>
                <w:sz w:val="22"/>
                <w:szCs w:val="22"/>
              </w:rPr>
              <w:t>Increased likelihood of community loss and significant consequences</w:t>
            </w:r>
            <w:r>
              <w:rPr>
                <w:sz w:val="22"/>
                <w:szCs w:val="22"/>
              </w:rPr>
              <w:t>.</w:t>
            </w:r>
          </w:p>
        </w:tc>
      </w:tr>
    </w:tbl>
    <w:p w14:paraId="09037FC8" w14:textId="77777777" w:rsidR="0076064B" w:rsidRDefault="002E55A9" w:rsidP="002E55A9">
      <w:pPr>
        <w:pStyle w:val="BodyText"/>
      </w:pPr>
      <w:r w:rsidRPr="007A10B2">
        <w:t>For each health district, the percentage area subject to different hazards was estimated for all the climate models represented in the data. For reporting purposes, the mean of all models is calculated along with estimates of the minimum and maximum.</w:t>
      </w:r>
    </w:p>
    <w:p w14:paraId="55CE71D9" w14:textId="7DA04852" w:rsidR="002E55A9" w:rsidRDefault="002E55A9" w:rsidP="00F16A0B">
      <w:pPr>
        <w:pStyle w:val="Heading2"/>
      </w:pPr>
      <w:bookmarkStart w:id="83" w:name="_Toc221026353"/>
      <w:bookmarkStart w:id="84" w:name="_Toc235818848"/>
      <w:bookmarkStart w:id="85" w:name="_Toc236677608"/>
      <w:r>
        <w:t>Data outputs</w:t>
      </w:r>
      <w:bookmarkEnd w:id="83"/>
      <w:bookmarkEnd w:id="84"/>
      <w:bookmarkEnd w:id="85"/>
    </w:p>
    <w:p w14:paraId="6BF282BF" w14:textId="77777777" w:rsidR="002E55A9" w:rsidRPr="00E118F5" w:rsidRDefault="002E55A9" w:rsidP="002E55A9">
      <w:pPr>
        <w:pStyle w:val="BodyText"/>
      </w:pPr>
      <w:r w:rsidRPr="00E118F5">
        <w:t>Tables are provided for each health district showing the proportion (percentage) of each district that is expected to experience each hazard level under the 1-in-20- and 1-in-100- year events. Charts are also provided to help visualise the extents of the changes.</w:t>
      </w:r>
    </w:p>
    <w:p w14:paraId="1053858D" w14:textId="77777777" w:rsidR="00CC6D06" w:rsidRDefault="00CC6D06" w:rsidP="00550C0A">
      <w:pPr>
        <w:pStyle w:val="Heading1"/>
      </w:pPr>
      <w:bookmarkStart w:id="86" w:name="_Toc221026354"/>
      <w:bookmarkStart w:id="87" w:name="_Toc235818849"/>
      <w:bookmarkStart w:id="88" w:name="_Toc236677609"/>
      <w:r w:rsidRPr="002B1930">
        <w:lastRenderedPageBreak/>
        <w:t>Drought hazard</w:t>
      </w:r>
      <w:r>
        <w:t xml:space="preserve"> methods</w:t>
      </w:r>
      <w:bookmarkEnd w:id="86"/>
      <w:bookmarkEnd w:id="87"/>
      <w:bookmarkEnd w:id="88"/>
    </w:p>
    <w:p w14:paraId="6F373E33" w14:textId="77777777" w:rsidR="00CC6D06" w:rsidRDefault="00CC6D06" w:rsidP="00F16A0B">
      <w:pPr>
        <w:pStyle w:val="Heading2"/>
      </w:pPr>
      <w:bookmarkStart w:id="89" w:name="_Toc221026355"/>
      <w:bookmarkStart w:id="90" w:name="_Toc235818850"/>
      <w:bookmarkStart w:id="91" w:name="_Toc236677610"/>
      <w:r>
        <w:t>Data source</w:t>
      </w:r>
      <w:bookmarkEnd w:id="89"/>
      <w:bookmarkEnd w:id="90"/>
      <w:bookmarkEnd w:id="91"/>
    </w:p>
    <w:p w14:paraId="355A0B69" w14:textId="78B63CC3" w:rsidR="00CC6D06" w:rsidRPr="007A10B2" w:rsidRDefault="00CC6D06" w:rsidP="00CC6D06">
      <w:pPr>
        <w:pStyle w:val="BodyText"/>
      </w:pPr>
      <w:r w:rsidRPr="007A10B2">
        <w:t xml:space="preserve">The drought hazard uses daily projections of precipitation from application-ready climate projections based on observations, adjusted through a quantile-delta-change method to incorporate projected climate changes from CMIP6 Global Climate Models (Irving </w:t>
      </w:r>
      <w:r w:rsidR="006D5DC6">
        <w:t>et al.</w:t>
      </w:r>
      <w:r w:rsidRPr="007A10B2">
        <w:t xml:space="preserve"> 2024).</w:t>
      </w:r>
    </w:p>
    <w:p w14:paraId="5A748FBD" w14:textId="0246039F" w:rsidR="00CC6D06" w:rsidRDefault="00CC6D06" w:rsidP="00F16A0B">
      <w:pPr>
        <w:pStyle w:val="Heading2"/>
      </w:pPr>
      <w:bookmarkStart w:id="92" w:name="_Toc221026356"/>
      <w:bookmarkStart w:id="93" w:name="_Toc235818851"/>
      <w:bookmarkStart w:id="94" w:name="_Toc236677611"/>
      <w:r>
        <w:t xml:space="preserve">Analytical </w:t>
      </w:r>
      <w:r w:rsidR="000812DC">
        <w:t>a</w:t>
      </w:r>
      <w:r>
        <w:t>pproach</w:t>
      </w:r>
      <w:bookmarkEnd w:id="92"/>
      <w:bookmarkEnd w:id="93"/>
      <w:bookmarkEnd w:id="94"/>
    </w:p>
    <w:p w14:paraId="34A8AD2A" w14:textId="48000C8B" w:rsidR="0076064B" w:rsidRDefault="00CC6D06" w:rsidP="00CC6D06">
      <w:pPr>
        <w:pStyle w:val="BodyText"/>
      </w:pPr>
      <w:r w:rsidRPr="007A10B2">
        <w:t>Precipitation data is used to create one indicator for the drought hazard – ‘number of months per year in drought’. The drought indicator uses the Standardised Precipitation Index (SPI). SPI is a widely used index to characteri</w:t>
      </w:r>
      <w:r>
        <w:t>s</w:t>
      </w:r>
      <w:r w:rsidRPr="007A10B2">
        <w:t>e meteorological drought on a range of timescales. SPI quantifies observed precipitation as a standardi</w:t>
      </w:r>
      <w:r>
        <w:t>s</w:t>
      </w:r>
      <w:r w:rsidRPr="007A10B2">
        <w:t xml:space="preserve">ed departure from a selected probability distribution function that models the raw precipitation data. In other words, SPI estimates the deviation of precipitation from the long-term probability function at different time scales (e.g. 1, 3, 6, 9, or 12 months). The drought indicator uses the Standardised Precipitation Index with a rolling window of </w:t>
      </w:r>
      <w:r w:rsidR="00FF69F1">
        <w:t xml:space="preserve">12 </w:t>
      </w:r>
      <w:r w:rsidRPr="007A10B2">
        <w:t>months (SPI-12), a 12-month SPI compares the precipitation for 12 months against the same period in a long-term historical record and any deviation from the distribution towards negative values indicates a decline in rainfall and thus indicates drought (World Meteorological Organization, 2012). The SPI-12 can range from extremely wet (SPI ≥ 2) to extremely dry (SPI ≤ -2). This assessment considers moderate dry events (SPI ≤ -1), which are described at moderate droughts.</w:t>
      </w:r>
    </w:p>
    <w:p w14:paraId="5A1E9E63" w14:textId="5DC6F4C2" w:rsidR="00CC6D06" w:rsidRDefault="00CC6D06" w:rsidP="00F16A0B">
      <w:pPr>
        <w:pStyle w:val="Heading2"/>
      </w:pPr>
      <w:bookmarkStart w:id="95" w:name="_Toc221026357"/>
      <w:bookmarkStart w:id="96" w:name="_Toc235818852"/>
      <w:bookmarkStart w:id="97" w:name="_Toc236677612"/>
      <w:r>
        <w:t>Data outputs</w:t>
      </w:r>
      <w:bookmarkEnd w:id="95"/>
      <w:bookmarkEnd w:id="96"/>
      <w:bookmarkEnd w:id="97"/>
    </w:p>
    <w:p w14:paraId="63AF1654" w14:textId="2220A3B7" w:rsidR="00CC6D06" w:rsidRPr="007A10B2" w:rsidRDefault="00CC6D06" w:rsidP="00CC6D06">
      <w:pPr>
        <w:pStyle w:val="BodyText"/>
      </w:pPr>
      <w:r w:rsidRPr="007A10B2">
        <w:t xml:space="preserve">The drought hazard uses climate projections from the CMIP6 Global Climate Models reported across </w:t>
      </w:r>
      <w:r w:rsidR="005F0445">
        <w:t>3</w:t>
      </w:r>
      <w:r w:rsidR="005F0445" w:rsidRPr="007A10B2">
        <w:t xml:space="preserve"> </w:t>
      </w:r>
      <w:r w:rsidRPr="007A10B2">
        <w:t>time horizons:</w:t>
      </w:r>
    </w:p>
    <w:p w14:paraId="4EF8709A" w14:textId="31E94D40" w:rsidR="00CC6D06" w:rsidRPr="007A10B2" w:rsidRDefault="000F432A" w:rsidP="00F6129D">
      <w:pPr>
        <w:pStyle w:val="BulletUnindented"/>
      </w:pPr>
      <w:r>
        <w:rPr>
          <w:b/>
          <w:bCs/>
        </w:rPr>
        <w:t>m</w:t>
      </w:r>
      <w:r w:rsidR="00CC6D06" w:rsidRPr="00B55976">
        <w:rPr>
          <w:b/>
          <w:bCs/>
        </w:rPr>
        <w:t>id-21</w:t>
      </w:r>
      <w:r w:rsidR="00CC6D06" w:rsidRPr="00B55976">
        <w:rPr>
          <w:b/>
          <w:bCs/>
          <w:vertAlign w:val="superscript"/>
        </w:rPr>
        <w:t>st</w:t>
      </w:r>
      <w:r w:rsidR="00CC6D06" w:rsidRPr="00B55976">
        <w:rPr>
          <w:b/>
          <w:bCs/>
        </w:rPr>
        <w:t xml:space="preserve"> century</w:t>
      </w:r>
      <w:r w:rsidR="00CC6D06" w:rsidRPr="007A10B2">
        <w:t xml:space="preserve"> (represented by the 30-year window 2035</w:t>
      </w:r>
      <w:r w:rsidR="00392514">
        <w:t>–</w:t>
      </w:r>
      <w:r w:rsidR="00CC6D06" w:rsidRPr="007A10B2">
        <w:t>2064)</w:t>
      </w:r>
    </w:p>
    <w:p w14:paraId="2C04A6DA" w14:textId="543DB911" w:rsidR="00CC6D06" w:rsidRPr="007A10B2" w:rsidRDefault="000F432A" w:rsidP="00F6129D">
      <w:pPr>
        <w:pStyle w:val="BulletUnindented"/>
      </w:pPr>
      <w:r>
        <w:rPr>
          <w:b/>
          <w:bCs/>
        </w:rPr>
        <w:t>l</w:t>
      </w:r>
      <w:r w:rsidR="00CC6D06" w:rsidRPr="00B55976">
        <w:rPr>
          <w:b/>
          <w:bCs/>
        </w:rPr>
        <w:t>ate-21</w:t>
      </w:r>
      <w:r w:rsidR="00CC6D06" w:rsidRPr="00B55976">
        <w:rPr>
          <w:b/>
          <w:bCs/>
          <w:vertAlign w:val="superscript"/>
        </w:rPr>
        <w:t>st</w:t>
      </w:r>
      <w:r w:rsidR="00CC6D06" w:rsidRPr="00B55976">
        <w:rPr>
          <w:b/>
          <w:bCs/>
        </w:rPr>
        <w:t xml:space="preserve"> century</w:t>
      </w:r>
      <w:r w:rsidR="00CC6D06" w:rsidRPr="007A10B2">
        <w:t xml:space="preserve"> (represented by the 30-year window 2070</w:t>
      </w:r>
      <w:r w:rsidR="00114440">
        <w:t>–</w:t>
      </w:r>
      <w:r w:rsidR="00CC6D06" w:rsidRPr="007A10B2">
        <w:t>2099)</w:t>
      </w:r>
    </w:p>
    <w:p w14:paraId="4981CA0B" w14:textId="7E3D2B61" w:rsidR="00CC6D06" w:rsidRPr="007A10B2" w:rsidRDefault="000F432A" w:rsidP="00F6129D">
      <w:pPr>
        <w:pStyle w:val="BulletUnindented"/>
      </w:pPr>
      <w:r>
        <w:rPr>
          <w:b/>
          <w:bCs/>
        </w:rPr>
        <w:t>h</w:t>
      </w:r>
      <w:r w:rsidR="00CC6D06" w:rsidRPr="00B55976">
        <w:rPr>
          <w:b/>
          <w:bCs/>
        </w:rPr>
        <w:t>istorical baseline</w:t>
      </w:r>
      <w:r w:rsidR="00CC6D06" w:rsidRPr="007A10B2">
        <w:t xml:space="preserve"> data for 1985</w:t>
      </w:r>
      <w:r w:rsidR="00114440">
        <w:t>–</w:t>
      </w:r>
      <w:r w:rsidR="00CC6D06" w:rsidRPr="007A10B2">
        <w:t>2014</w:t>
      </w:r>
      <w:r>
        <w:t>.</w:t>
      </w:r>
    </w:p>
    <w:p w14:paraId="1330E177" w14:textId="0EF2B263" w:rsidR="00CC6D06" w:rsidRDefault="00E3597A" w:rsidP="00CC6D06">
      <w:pPr>
        <w:pStyle w:val="BodyText"/>
      </w:pPr>
      <w:r>
        <w:t>9</w:t>
      </w:r>
      <w:r w:rsidRPr="007A10B2">
        <w:t xml:space="preserve"> </w:t>
      </w:r>
      <w:r w:rsidR="00CC6D06" w:rsidRPr="007A10B2">
        <w:t>CMIP6 models (ACCESS-CM2, ACCESS-ESM1-5, CESM2, CMCC-ESM2, CNRM-ESM2-1, EC-Earth3, MPI-ESM1-2-HR, NorESM2-MM, UKESM1-0-LL) are used to calculate climate changes between a 1985</w:t>
      </w:r>
      <w:r w:rsidR="00114440">
        <w:t>–</w:t>
      </w:r>
      <w:r w:rsidR="00CC6D06" w:rsidRPr="007A10B2">
        <w:t xml:space="preserve">2014 baseline period and the </w:t>
      </w:r>
      <w:r w:rsidR="005F0445">
        <w:t>2</w:t>
      </w:r>
      <w:r w:rsidR="005F0445" w:rsidRPr="007A10B2">
        <w:t xml:space="preserve"> </w:t>
      </w:r>
      <w:r w:rsidR="00CC6D06" w:rsidRPr="007A10B2">
        <w:t xml:space="preserve">future projection periods for each SSP. The average of each indicator is reported along with the maximum and minimum values across climate models </w:t>
      </w:r>
      <w:r w:rsidR="00CC6D06" w:rsidRPr="009C1D31">
        <w:t>reported in square brackets</w:t>
      </w:r>
      <w:r w:rsidR="00CC6D06" w:rsidRPr="007A10B2">
        <w:t>.</w:t>
      </w:r>
    </w:p>
    <w:p w14:paraId="5546410F" w14:textId="77777777" w:rsidR="00CC6D06" w:rsidRDefault="00CC6D06" w:rsidP="00CC6D06">
      <w:r>
        <w:br w:type="page"/>
      </w:r>
    </w:p>
    <w:p w14:paraId="0B92C358" w14:textId="77777777" w:rsidR="00D9709B" w:rsidRDefault="00D9709B" w:rsidP="00D9709B">
      <w:pPr>
        <w:pStyle w:val="Heading1"/>
      </w:pPr>
      <w:bookmarkStart w:id="98" w:name="_Toc235818853"/>
      <w:bookmarkStart w:id="99" w:name="_Toc236677613"/>
      <w:bookmarkStart w:id="100" w:name="_Toc221026358"/>
      <w:r>
        <w:lastRenderedPageBreak/>
        <w:t>Storm hazard methods</w:t>
      </w:r>
      <w:bookmarkEnd w:id="98"/>
      <w:bookmarkEnd w:id="99"/>
    </w:p>
    <w:p w14:paraId="185CC456" w14:textId="77777777" w:rsidR="00D9709B" w:rsidRDefault="00D9709B" w:rsidP="00D9709B">
      <w:pPr>
        <w:pStyle w:val="Heading2"/>
      </w:pPr>
      <w:bookmarkStart w:id="101" w:name="_Toc235818854"/>
      <w:bookmarkStart w:id="102" w:name="_Toc236677614"/>
      <w:r>
        <w:t>Data source</w:t>
      </w:r>
      <w:bookmarkEnd w:id="101"/>
      <w:bookmarkEnd w:id="102"/>
    </w:p>
    <w:p w14:paraId="39E4E804" w14:textId="77777777" w:rsidR="00D9709B" w:rsidRPr="00364618" w:rsidRDefault="00D9709B" w:rsidP="00D9709B">
      <w:pPr>
        <w:pStyle w:val="BodyText"/>
      </w:pPr>
      <w:r w:rsidRPr="00364618">
        <w:t xml:space="preserve">The storm hazard uses daily projections of maximum surface wind speed from application-ready climate projections based on observations, adjusted through a quantile-delta-change method to incorporate projected climate changes from CMIP6 Global Climate Models (Irving </w:t>
      </w:r>
      <w:r>
        <w:t>et al.</w:t>
      </w:r>
      <w:r w:rsidRPr="00364618">
        <w:t xml:space="preserve"> 2024).</w:t>
      </w:r>
    </w:p>
    <w:p w14:paraId="1DA5B3F4" w14:textId="77777777" w:rsidR="00D9709B" w:rsidRDefault="00D9709B" w:rsidP="00D9709B">
      <w:pPr>
        <w:pStyle w:val="Heading2"/>
      </w:pPr>
      <w:bookmarkStart w:id="103" w:name="_Toc235818855"/>
      <w:bookmarkStart w:id="104" w:name="_Toc236677615"/>
      <w:r>
        <w:t>Analytical approach</w:t>
      </w:r>
      <w:bookmarkEnd w:id="103"/>
      <w:bookmarkEnd w:id="104"/>
    </w:p>
    <w:p w14:paraId="78F54A97" w14:textId="77777777" w:rsidR="00D9709B" w:rsidRPr="00364618" w:rsidRDefault="00D9709B" w:rsidP="00D9709B">
      <w:pPr>
        <w:pStyle w:val="BodyText"/>
      </w:pPr>
      <w:r w:rsidRPr="00364618">
        <w:t xml:space="preserve">Daily maximum surface wind speed is used to calculate the number of annual storms across </w:t>
      </w:r>
      <w:r>
        <w:t>4</w:t>
      </w:r>
      <w:r w:rsidRPr="00364618">
        <w:t xml:space="preserve"> storm intensity categories (low, medium, high and very high), producing </w:t>
      </w:r>
      <w:r>
        <w:t>4</w:t>
      </w:r>
      <w:r w:rsidRPr="00364618">
        <w:t xml:space="preserve"> storm hazard indicators:</w:t>
      </w:r>
    </w:p>
    <w:p w14:paraId="753B7079" w14:textId="77777777" w:rsidR="00D9709B" w:rsidRPr="00364618" w:rsidRDefault="00D9709B" w:rsidP="00D9709B">
      <w:pPr>
        <w:pStyle w:val="BulletUnindented"/>
      </w:pPr>
      <w:r>
        <w:t>n</w:t>
      </w:r>
      <w:r w:rsidRPr="000D618C">
        <w:t>umber of low-intensity storms</w:t>
      </w:r>
      <w:r w:rsidRPr="00364618">
        <w:t xml:space="preserve"> (40–62 km/hr) per year</w:t>
      </w:r>
    </w:p>
    <w:p w14:paraId="0456C846" w14:textId="77777777" w:rsidR="00D9709B" w:rsidRPr="00364618" w:rsidRDefault="00D9709B" w:rsidP="00D9709B">
      <w:pPr>
        <w:pStyle w:val="BulletUnindented"/>
      </w:pPr>
      <w:r>
        <w:t>n</w:t>
      </w:r>
      <w:r w:rsidRPr="000D618C">
        <w:t>umber of medium-intensity storms</w:t>
      </w:r>
      <w:r w:rsidRPr="00364618">
        <w:t xml:space="preserve"> (63</w:t>
      </w:r>
      <w:r>
        <w:t>–</w:t>
      </w:r>
      <w:r w:rsidRPr="00364618">
        <w:t>87 km/hr) per year</w:t>
      </w:r>
    </w:p>
    <w:p w14:paraId="104DD1B7" w14:textId="77777777" w:rsidR="00D9709B" w:rsidRPr="00364618" w:rsidRDefault="00D9709B" w:rsidP="00D9709B">
      <w:pPr>
        <w:pStyle w:val="BulletUnindented"/>
      </w:pPr>
      <w:r>
        <w:t>n</w:t>
      </w:r>
      <w:r w:rsidRPr="000D618C">
        <w:t>umber of high-intensity storms</w:t>
      </w:r>
      <w:r w:rsidRPr="00364618">
        <w:t xml:space="preserve"> (88</w:t>
      </w:r>
      <w:r>
        <w:t>–</w:t>
      </w:r>
      <w:r w:rsidRPr="00364618">
        <w:t>117 km/hr) per year</w:t>
      </w:r>
    </w:p>
    <w:p w14:paraId="14731A5F" w14:textId="77777777" w:rsidR="00D9709B" w:rsidRDefault="00D9709B" w:rsidP="00D9709B">
      <w:pPr>
        <w:pStyle w:val="BulletUnindented"/>
      </w:pPr>
      <w:r>
        <w:t>n</w:t>
      </w:r>
      <w:r w:rsidRPr="000D618C">
        <w:t>umber of very-high-intensity storms</w:t>
      </w:r>
      <w:r w:rsidRPr="00364618">
        <w:t xml:space="preserve"> (&gt; 117 km/hr) per year</w:t>
      </w:r>
      <w:r>
        <w:t>.</w:t>
      </w:r>
    </w:p>
    <w:p w14:paraId="1EC76D87" w14:textId="77777777" w:rsidR="00D9709B" w:rsidRDefault="00D9709B" w:rsidP="00D9709B">
      <w:pPr>
        <w:pStyle w:val="BodyText"/>
        <w:rPr>
          <w:lang w:val="en-GB"/>
        </w:rPr>
      </w:pPr>
      <w:r>
        <w:t>Storm intensity categories identified based on the weatherzone wind damage guide (</w:t>
      </w:r>
      <w:hyperlink r:id="rId15" w:history="1">
        <w:r w:rsidRPr="000D7AD0">
          <w:rPr>
            <w:rStyle w:val="Hyperlink"/>
            <w:i/>
            <w:iCs/>
            <w:color w:val="083E9C" w:themeColor="accent1"/>
          </w:rPr>
          <w:t>www.weatherzone.com.au</w:t>
        </w:r>
      </w:hyperlink>
      <w:r>
        <w:t>).</w:t>
      </w:r>
    </w:p>
    <w:p w14:paraId="63C1A4AA" w14:textId="77777777" w:rsidR="00D9709B" w:rsidRDefault="00D9709B" w:rsidP="00D9709B">
      <w:pPr>
        <w:pStyle w:val="Heading2"/>
      </w:pPr>
      <w:bookmarkStart w:id="105" w:name="_Toc235818856"/>
      <w:bookmarkStart w:id="106" w:name="_Toc236677616"/>
      <w:r>
        <w:t>Data outputs</w:t>
      </w:r>
      <w:bookmarkEnd w:id="105"/>
      <w:bookmarkEnd w:id="106"/>
    </w:p>
    <w:p w14:paraId="16D6F8AF" w14:textId="77777777" w:rsidR="00D9709B" w:rsidRDefault="00D9709B" w:rsidP="00D9709B">
      <w:pPr>
        <w:pStyle w:val="BodyText"/>
      </w:pPr>
      <w:r w:rsidRPr="00364618">
        <w:t>The storm hazard uses daily maximum surface wind speed data obtained from the Bureau of Meteorology's Atmospheric high-resolution Regional Reanalysis of Australia (BARRA) project to analyse storms hazards for the historical baseline period (1985</w:t>
      </w:r>
      <w:r>
        <w:t>–</w:t>
      </w:r>
      <w:r w:rsidRPr="00364618">
        <w:t>2014).</w:t>
      </w:r>
    </w:p>
    <w:p w14:paraId="500F0CC4" w14:textId="77777777" w:rsidR="00D9709B" w:rsidRPr="00364618" w:rsidRDefault="00D9709B" w:rsidP="00D9709B">
      <w:pPr>
        <w:pStyle w:val="BodyText"/>
      </w:pPr>
      <w:r w:rsidRPr="00364618">
        <w:t xml:space="preserve">In some locations where high-wind speed events are common (e.g. where tropical cyclones are experienced in northern Australia, where East Coast Lows are experienced in eastern Australia etc.) the BARRA data underestimates the maximum wind speeds on days when an extreme wind event is occurring. This issue was addressed by comparing BARRA data with actual observed maximum wind speeds at places and times when an extreme wind event was known to occur, calculating the typical error, and </w:t>
      </w:r>
      <w:r>
        <w:t>‘</w:t>
      </w:r>
      <w:r w:rsidRPr="00364618">
        <w:t>bias correcting</w:t>
      </w:r>
      <w:r>
        <w:t>’</w:t>
      </w:r>
      <w:r w:rsidRPr="00364618">
        <w:t xml:space="preserve"> the BARRA data accordingly so that the BARRA-based maximum wind speeds were more realistic and the frequency of high- and very-high-intensity storms was consistent with what is known to have occurred during the historical baseline period.</w:t>
      </w:r>
    </w:p>
    <w:p w14:paraId="6C69A812" w14:textId="77777777" w:rsidR="00D9709B" w:rsidRPr="00364618" w:rsidRDefault="00D9709B" w:rsidP="00D9709B">
      <w:pPr>
        <w:pStyle w:val="BodyText"/>
      </w:pPr>
      <w:r w:rsidRPr="00364618">
        <w:t xml:space="preserve">Climate projections from the CMIP6 Global Climate Models are then used to quantify the impacts of climate of climate change on storm hazards for </w:t>
      </w:r>
      <w:r>
        <w:t>2</w:t>
      </w:r>
      <w:r w:rsidRPr="00364618">
        <w:t xml:space="preserve"> future time horizons:</w:t>
      </w:r>
    </w:p>
    <w:p w14:paraId="2C61B7D2" w14:textId="77777777" w:rsidR="00D9709B" w:rsidRPr="00364618" w:rsidRDefault="00D9709B" w:rsidP="00D9709B">
      <w:pPr>
        <w:pStyle w:val="BulletUnindented"/>
      </w:pPr>
      <w:r>
        <w:rPr>
          <w:b/>
          <w:bCs/>
        </w:rPr>
        <w:lastRenderedPageBreak/>
        <w:t>m</w:t>
      </w:r>
      <w:r w:rsidRPr="000D618C">
        <w:rPr>
          <w:b/>
          <w:bCs/>
        </w:rPr>
        <w:t>id-21</w:t>
      </w:r>
      <w:r w:rsidRPr="000D618C">
        <w:rPr>
          <w:b/>
          <w:bCs/>
          <w:vertAlign w:val="superscript"/>
        </w:rPr>
        <w:t>st</w:t>
      </w:r>
      <w:r w:rsidRPr="000D618C">
        <w:rPr>
          <w:b/>
          <w:bCs/>
        </w:rPr>
        <w:t xml:space="preserve"> century</w:t>
      </w:r>
      <w:r w:rsidRPr="00364618">
        <w:t xml:space="preserve"> (represented by the 30-year window 2035</w:t>
      </w:r>
      <w:r>
        <w:t>–</w:t>
      </w:r>
      <w:r w:rsidRPr="00364618">
        <w:t>2064)</w:t>
      </w:r>
    </w:p>
    <w:p w14:paraId="3BD5C1BD" w14:textId="77777777" w:rsidR="00D9709B" w:rsidRPr="00364618" w:rsidRDefault="00D9709B" w:rsidP="00D9709B">
      <w:pPr>
        <w:pStyle w:val="BulletUnindented"/>
      </w:pPr>
      <w:r>
        <w:rPr>
          <w:b/>
          <w:bCs/>
        </w:rPr>
        <w:t>l</w:t>
      </w:r>
      <w:r w:rsidRPr="000D618C">
        <w:rPr>
          <w:b/>
          <w:bCs/>
        </w:rPr>
        <w:t>ate-21</w:t>
      </w:r>
      <w:r w:rsidRPr="000D618C">
        <w:rPr>
          <w:b/>
          <w:bCs/>
          <w:vertAlign w:val="superscript"/>
        </w:rPr>
        <w:t>st</w:t>
      </w:r>
      <w:r w:rsidRPr="000D618C">
        <w:rPr>
          <w:b/>
          <w:bCs/>
        </w:rPr>
        <w:t xml:space="preserve"> century</w:t>
      </w:r>
      <w:r w:rsidRPr="00364618">
        <w:t xml:space="preserve"> (represented by the 30-year window 2070</w:t>
      </w:r>
      <w:r>
        <w:t>–</w:t>
      </w:r>
      <w:r w:rsidRPr="00364618">
        <w:t>2099)</w:t>
      </w:r>
      <w:r>
        <w:t>.</w:t>
      </w:r>
    </w:p>
    <w:p w14:paraId="5FF41967" w14:textId="062FCFA9" w:rsidR="00D9709B" w:rsidRDefault="00D9709B" w:rsidP="00D9709B">
      <w:pPr>
        <w:pStyle w:val="BodyText"/>
      </w:pPr>
      <w:r>
        <w:t>9</w:t>
      </w:r>
      <w:r w:rsidRPr="00364618">
        <w:t xml:space="preserve"> CMIP6 models (ACCESS-CM2, ACCESS-ESM1-5, CESM2, CMCC-ESM2, CNRM-ESM2-1, EC-Earth3, MPI-ESM1-2-HR, NorESM2-MM, UKESM1-0-LL) are used to estimate the impacts of climate change for the </w:t>
      </w:r>
      <w:r>
        <w:t>2</w:t>
      </w:r>
      <w:r w:rsidRPr="00364618">
        <w:t xml:space="preserve"> future time horizons under </w:t>
      </w:r>
      <w:r>
        <w:t>2</w:t>
      </w:r>
      <w:r w:rsidRPr="00364618">
        <w:t xml:space="preserve"> SSPs (SSP2-4.5 and SSP3-7.0). The average, maximum and minimum across the </w:t>
      </w:r>
      <w:r>
        <w:t>9</w:t>
      </w:r>
      <w:r w:rsidRPr="00364618">
        <w:t xml:space="preserve"> CMIP6 models is reported for each of the </w:t>
      </w:r>
      <w:r>
        <w:t>4</w:t>
      </w:r>
      <w:r w:rsidRPr="00364618">
        <w:t xml:space="preserve"> storm hazard indicators.</w:t>
      </w:r>
      <w:r>
        <w:br w:type="page"/>
      </w:r>
    </w:p>
    <w:p w14:paraId="662858CB" w14:textId="33ECE197" w:rsidR="009F5C83" w:rsidRDefault="009F5C83" w:rsidP="00550C0A">
      <w:pPr>
        <w:pStyle w:val="Heading1"/>
      </w:pPr>
      <w:bookmarkStart w:id="107" w:name="_Toc235818857"/>
      <w:bookmarkStart w:id="108" w:name="_Toc236677617"/>
      <w:r w:rsidRPr="002B1930">
        <w:lastRenderedPageBreak/>
        <w:t xml:space="preserve">Rainfall </w:t>
      </w:r>
      <w:r w:rsidR="00602FBC">
        <w:t xml:space="preserve">and flood </w:t>
      </w:r>
      <w:r w:rsidRPr="002B1930">
        <w:t>hazard</w:t>
      </w:r>
      <w:r>
        <w:t xml:space="preserve"> methods</w:t>
      </w:r>
      <w:bookmarkEnd w:id="100"/>
      <w:bookmarkEnd w:id="107"/>
      <w:bookmarkEnd w:id="108"/>
    </w:p>
    <w:p w14:paraId="34E34574" w14:textId="77777777" w:rsidR="009F5C83" w:rsidRDefault="009F5C83" w:rsidP="00F16A0B">
      <w:pPr>
        <w:pStyle w:val="Heading2"/>
      </w:pPr>
      <w:bookmarkStart w:id="109" w:name="_Toc221026359"/>
      <w:bookmarkStart w:id="110" w:name="_Toc235818858"/>
      <w:bookmarkStart w:id="111" w:name="_Toc236677618"/>
      <w:r>
        <w:t>Data source</w:t>
      </w:r>
      <w:bookmarkEnd w:id="109"/>
      <w:bookmarkEnd w:id="110"/>
      <w:bookmarkEnd w:id="111"/>
    </w:p>
    <w:p w14:paraId="0DEC4797" w14:textId="0066937F" w:rsidR="009F5C83" w:rsidRDefault="009F5C83" w:rsidP="009F5C83">
      <w:pPr>
        <w:pStyle w:val="BodyText"/>
      </w:pPr>
      <w:r w:rsidRPr="007A10B2">
        <w:t xml:space="preserve">The rainfall hazard uses daily projections of precipitation from application-ready projections based on observations, adjusted through a quantile-delta-change method to incorporate projected climate changes from CMIP6 Global Climate Models (Irving </w:t>
      </w:r>
      <w:r w:rsidR="006D5DC6">
        <w:t>et al.</w:t>
      </w:r>
      <w:r w:rsidRPr="007A10B2">
        <w:t xml:space="preserve"> 2024).</w:t>
      </w:r>
    </w:p>
    <w:p w14:paraId="7259122A" w14:textId="35871F44" w:rsidR="00602FBC" w:rsidRPr="007A10B2" w:rsidRDefault="00602FBC" w:rsidP="009F5C83">
      <w:pPr>
        <w:pStyle w:val="BodyText"/>
      </w:pPr>
      <w:r w:rsidRPr="001A1D01">
        <w:t xml:space="preserve">The flood hazard uses climate change considerations from the draft update to the Climate Change Considerations chapter in ‘Australian Rainfall and Runoff: A Guide to Flood Estimation’ (Wasko </w:t>
      </w:r>
      <w:r>
        <w:t>et al.</w:t>
      </w:r>
      <w:r w:rsidRPr="001A1D01">
        <w:t xml:space="preserve"> 2024).</w:t>
      </w:r>
    </w:p>
    <w:p w14:paraId="3C83142B" w14:textId="7A3521B6" w:rsidR="009F5C83" w:rsidRDefault="009F5C83" w:rsidP="00F16A0B">
      <w:pPr>
        <w:pStyle w:val="Heading2"/>
      </w:pPr>
      <w:bookmarkStart w:id="112" w:name="_Toc221026360"/>
      <w:bookmarkStart w:id="113" w:name="_Toc235818859"/>
      <w:bookmarkStart w:id="114" w:name="_Toc236677619"/>
      <w:r>
        <w:t xml:space="preserve">Analytical </w:t>
      </w:r>
      <w:r w:rsidR="000812DC">
        <w:t>a</w:t>
      </w:r>
      <w:r>
        <w:t>pproach</w:t>
      </w:r>
      <w:bookmarkEnd w:id="112"/>
      <w:bookmarkEnd w:id="113"/>
      <w:bookmarkEnd w:id="114"/>
    </w:p>
    <w:p w14:paraId="1E944D0B" w14:textId="01CB0AE1" w:rsidR="00602FBC" w:rsidRDefault="00602FBC" w:rsidP="00440278">
      <w:pPr>
        <w:pStyle w:val="Heading3"/>
      </w:pPr>
      <w:bookmarkStart w:id="115" w:name="_Toc235818860"/>
      <w:bookmarkStart w:id="116" w:name="_Toc236677620"/>
      <w:r>
        <w:t>Rainfall indicators</w:t>
      </w:r>
      <w:bookmarkEnd w:id="115"/>
      <w:bookmarkEnd w:id="116"/>
    </w:p>
    <w:p w14:paraId="32869CE4" w14:textId="4FDAF921" w:rsidR="0076064B" w:rsidRDefault="009F5C83" w:rsidP="009F5C83">
      <w:pPr>
        <w:pStyle w:val="BodyText"/>
      </w:pPr>
      <w:r w:rsidRPr="007A10B2">
        <w:t xml:space="preserve">Precipitation data is used to create one rainfall hazard indicator </w:t>
      </w:r>
      <w:r w:rsidR="00140A0F">
        <w:t>–</w:t>
      </w:r>
      <w:r w:rsidRPr="007A10B2">
        <w:t xml:space="preserve"> ‘average number of extreme rainfall days per year’. Extreme rainfall is based on a precipitation value that exceeds the 95th percentile of precipitation for that health district. This 95th percentile is used to determine the frequency of days in a year of extreme rainfall where rainfall may exceed (future climate change scenario) or has exceeded (observed baseline data) this threshold</w:t>
      </w:r>
      <w:r>
        <w:t>.</w:t>
      </w:r>
    </w:p>
    <w:p w14:paraId="64B63745" w14:textId="77777777" w:rsidR="0076064B" w:rsidRDefault="009F5C83" w:rsidP="009F5C83">
      <w:pPr>
        <w:pStyle w:val="BodyText"/>
      </w:pPr>
      <w:r w:rsidRPr="007A10B2">
        <w:t>The average annual threshold was determined from the observed dataset, calculating the 95</w:t>
      </w:r>
      <w:r w:rsidRPr="007A10B2">
        <w:rPr>
          <w:vertAlign w:val="superscript"/>
        </w:rPr>
        <w:t>th</w:t>
      </w:r>
      <w:r w:rsidRPr="007A10B2">
        <w:t xml:space="preserve"> percentile per gridded cell within the observed precipitation data and averaging this value across the health district. Independent thresholds were calculated for each health district. The average number of extreme rainfall days per year is reported along with the maximum and minimum values across climate models </w:t>
      </w:r>
      <w:r w:rsidRPr="009C1D31">
        <w:t>reported in square brackets.</w:t>
      </w:r>
    </w:p>
    <w:p w14:paraId="0968CB2F" w14:textId="5A80A026" w:rsidR="00602FBC" w:rsidRDefault="00602FBC" w:rsidP="00602FBC">
      <w:pPr>
        <w:pStyle w:val="Heading3"/>
      </w:pPr>
      <w:bookmarkStart w:id="117" w:name="_Toc235818861"/>
      <w:bookmarkStart w:id="118" w:name="_Toc236677621"/>
      <w:r>
        <w:t>Flood indicators</w:t>
      </w:r>
      <w:bookmarkEnd w:id="117"/>
      <w:bookmarkEnd w:id="118"/>
    </w:p>
    <w:p w14:paraId="1B24CE3D" w14:textId="77777777" w:rsidR="00BC2102" w:rsidRDefault="00BC2102" w:rsidP="00BC2102">
      <w:pPr>
        <w:pStyle w:val="Heading4"/>
      </w:pPr>
      <w:r>
        <w:t>Key principles</w:t>
      </w:r>
    </w:p>
    <w:p w14:paraId="6E08BB6C" w14:textId="77777777" w:rsidR="00BC2102" w:rsidRDefault="00BC2102" w:rsidP="00BC2102">
      <w:pPr>
        <w:pStyle w:val="BodyText"/>
      </w:pPr>
      <w:r w:rsidRPr="00364618">
        <w:t xml:space="preserve">This assessment is only intended to provide </w:t>
      </w:r>
      <w:r w:rsidRPr="00364618">
        <w:rPr>
          <w:b/>
          <w:bCs/>
        </w:rPr>
        <w:t xml:space="preserve">an approximation of the change in frequency of flooding, suitable for </w:t>
      </w:r>
      <w:r w:rsidRPr="00364618">
        <w:t xml:space="preserve">a national assessment examining broad trends in flooding. The assessment </w:t>
      </w:r>
      <w:r w:rsidRPr="00364618">
        <w:rPr>
          <w:b/>
          <w:bCs/>
        </w:rPr>
        <w:t>does not consider specific flooding risks to individual waterways and locations</w:t>
      </w:r>
      <w:r w:rsidRPr="00364618">
        <w:t>. For more detailed information about flooding at a local scale, please refer to state or local government information for site specific flood modelling and flood mapping information.</w:t>
      </w:r>
    </w:p>
    <w:p w14:paraId="600B0017" w14:textId="77777777" w:rsidR="00BC2102" w:rsidRPr="00364618" w:rsidRDefault="00BC2102" w:rsidP="00BC2102">
      <w:pPr>
        <w:pStyle w:val="BodyText"/>
      </w:pPr>
      <w:r w:rsidRPr="00364618">
        <w:t>Future changes in flooding revolve around several factors:</w:t>
      </w:r>
    </w:p>
    <w:p w14:paraId="210F54E3" w14:textId="77777777" w:rsidR="00BC2102" w:rsidRPr="00364618" w:rsidRDefault="00BC2102" w:rsidP="00BC2102">
      <w:pPr>
        <w:pStyle w:val="BulletUnindented"/>
      </w:pPr>
      <w:r w:rsidRPr="00416072">
        <w:rPr>
          <w:b/>
          <w:bCs/>
        </w:rPr>
        <w:lastRenderedPageBreak/>
        <w:t>Future changes in</w:t>
      </w:r>
      <w:r w:rsidRPr="00364618">
        <w:t xml:space="preserve"> </w:t>
      </w:r>
      <w:r w:rsidRPr="00364618">
        <w:rPr>
          <w:b/>
          <w:bCs/>
        </w:rPr>
        <w:t>rainfall</w:t>
      </w:r>
      <w:r w:rsidRPr="00364618">
        <w:t xml:space="preserve"> (a warmer climate tends to be associated with more intense rainfall)</w:t>
      </w:r>
    </w:p>
    <w:p w14:paraId="64385CD5" w14:textId="77777777" w:rsidR="00BC2102" w:rsidRPr="00364618" w:rsidRDefault="00BC2102" w:rsidP="00BC2102">
      <w:pPr>
        <w:pStyle w:val="BulletUnindented"/>
      </w:pPr>
      <w:r w:rsidRPr="00416072">
        <w:rPr>
          <w:b/>
          <w:bCs/>
        </w:rPr>
        <w:t>Future changes</w:t>
      </w:r>
      <w:r w:rsidRPr="00364618">
        <w:t xml:space="preserve"> </w:t>
      </w:r>
      <w:r w:rsidRPr="00416072">
        <w:rPr>
          <w:b/>
          <w:bCs/>
        </w:rPr>
        <w:t>in</w:t>
      </w:r>
      <w:r w:rsidRPr="00364618">
        <w:t xml:space="preserve"> </w:t>
      </w:r>
      <w:r w:rsidRPr="00364618">
        <w:rPr>
          <w:b/>
          <w:bCs/>
        </w:rPr>
        <w:t>soil dryness</w:t>
      </w:r>
      <w:r w:rsidRPr="00364618">
        <w:t xml:space="preserve"> (a warmer climate will lead to drier soils which absorb more rainfall prior to a flood)</w:t>
      </w:r>
    </w:p>
    <w:p w14:paraId="614E4572" w14:textId="77777777" w:rsidR="00BC2102" w:rsidRPr="00364618" w:rsidRDefault="00BC2102" w:rsidP="00BC2102">
      <w:pPr>
        <w:pStyle w:val="BulletUnindented"/>
      </w:pPr>
      <w:r w:rsidRPr="00416072">
        <w:rPr>
          <w:b/>
          <w:bCs/>
        </w:rPr>
        <w:t>The</w:t>
      </w:r>
      <w:r w:rsidRPr="00364618">
        <w:t xml:space="preserve"> </w:t>
      </w:r>
      <w:r w:rsidRPr="00364618">
        <w:rPr>
          <w:b/>
          <w:bCs/>
        </w:rPr>
        <w:t>duration of a rainfall event</w:t>
      </w:r>
      <w:r w:rsidRPr="00364618">
        <w:t xml:space="preserve"> (short events tend to affect small catchments such as small creeks and local streets, while longer events tend to affect large river systems as well as local creeks and streets)</w:t>
      </w:r>
    </w:p>
    <w:p w14:paraId="12CB201A" w14:textId="77777777" w:rsidR="00BC2102" w:rsidRDefault="00BC2102" w:rsidP="00BC2102">
      <w:pPr>
        <w:pStyle w:val="BulletUnindented"/>
      </w:pPr>
      <w:r w:rsidRPr="00416072">
        <w:rPr>
          <w:b/>
          <w:bCs/>
        </w:rPr>
        <w:t>The</w:t>
      </w:r>
      <w:r w:rsidRPr="00364618">
        <w:t xml:space="preserve"> </w:t>
      </w:r>
      <w:r w:rsidRPr="00364618">
        <w:rPr>
          <w:b/>
          <w:bCs/>
        </w:rPr>
        <w:t>context of the flooding</w:t>
      </w:r>
      <w:r w:rsidRPr="00364618">
        <w:t xml:space="preserve"> (urban areas with high proportion of paved areas flood more often than rural catchments with grassland or forest)</w:t>
      </w:r>
      <w:r>
        <w:t>.</w:t>
      </w:r>
    </w:p>
    <w:p w14:paraId="159B3853" w14:textId="77777777" w:rsidR="00BC2102" w:rsidRDefault="00BC2102" w:rsidP="00BC2102">
      <w:pPr>
        <w:pStyle w:val="BodyText"/>
      </w:pPr>
      <w:r w:rsidRPr="00364618">
        <w:t xml:space="preserve">Climate change is likely to lead to higher rainfall intensity in most locations across Australia, but there is also expected to be drier soils across most areas, absorbing more of the rainfall. </w:t>
      </w:r>
      <w:r w:rsidRPr="00BF055F">
        <w:t xml:space="preserve">The balance between these </w:t>
      </w:r>
      <w:r>
        <w:t xml:space="preserve">2 </w:t>
      </w:r>
      <w:r w:rsidRPr="00BF055F">
        <w:t>factors will vary from region to region. Consequently, in some areas there may be more rainfall contributing to flooding, while in some areas there may be less.</w:t>
      </w:r>
    </w:p>
    <w:p w14:paraId="7ECC8870" w14:textId="77777777" w:rsidR="00BC2102" w:rsidRDefault="00BC2102" w:rsidP="00BC2102">
      <w:pPr>
        <w:pStyle w:val="BodyText"/>
      </w:pPr>
      <w:r w:rsidRPr="00BF055F">
        <w:t>The amount of rainfall absorbed by dry soil varies significantly between seasons and locations. After some rainfall has been absorbed, and the soil profile becomes saturated, any further rainfall contributes to flooding. This remainder is called the ‘rainfall excess’ or ‘flood runoff’.</w:t>
      </w:r>
    </w:p>
    <w:p w14:paraId="079B2B0D" w14:textId="77777777" w:rsidR="00BC2102" w:rsidRPr="00364618" w:rsidRDefault="00BC2102" w:rsidP="00BC2102">
      <w:pPr>
        <w:pStyle w:val="BodyText"/>
      </w:pPr>
      <w:r w:rsidRPr="00364618">
        <w:t>Whether flooding increases or decreases with climate change depends on the balance between the increase in rainfall and the dryness of the soil.</w:t>
      </w:r>
    </w:p>
    <w:p w14:paraId="66CF36A9" w14:textId="77777777" w:rsidR="00BC2102" w:rsidRPr="00364618" w:rsidRDefault="00BC2102" w:rsidP="00BC2102">
      <w:pPr>
        <w:pStyle w:val="BodyText"/>
      </w:pPr>
      <w:r w:rsidRPr="00364618">
        <w:t>In urban areas, the ground is mostly covered with asphalt, concrete, or roofing. This means that almost all rainfall is converted into runoff. Consequently, drier soils make little difference to future flooding in urban areas, and flooding will increase over time as rainfall intensities increase. In</w:t>
      </w:r>
      <w:r w:rsidRPr="00701267">
        <w:rPr>
          <w:sz w:val="22"/>
          <w:szCs w:val="22"/>
        </w:rPr>
        <w:t xml:space="preserve"> </w:t>
      </w:r>
      <w:r w:rsidRPr="00364618">
        <w:t>rural areas, drier soils in future will absorb more of the rain which may make a significant difference to flooding.</w:t>
      </w:r>
    </w:p>
    <w:p w14:paraId="3670E04A" w14:textId="77777777" w:rsidR="00BC2102" w:rsidRDefault="00BC2102" w:rsidP="00BC2102">
      <w:pPr>
        <w:pStyle w:val="Heading4"/>
      </w:pPr>
      <w:r>
        <w:t>Locations</w:t>
      </w:r>
    </w:p>
    <w:p w14:paraId="23594A21" w14:textId="77777777" w:rsidR="00BC2102" w:rsidRPr="00364618" w:rsidRDefault="00BC2102" w:rsidP="00BC2102">
      <w:pPr>
        <w:pStyle w:val="BodyText"/>
      </w:pPr>
      <w:r w:rsidRPr="00364618">
        <w:t>For most regions, the centroid of each health district was adopted to represent the district for the purposes of obtaining rainfall intensity and soil loss information. However, in some cases the centroid was inappropriate. For example, the centroid for the Barossa Hills Fleurieu district in South Australia lies in the St Vincent Gulf. Also, the centroid for the Hume district in Victoria lies in the alps. In cases such as these, the rainfall and rainfall loss information at the centroid was not considered representative of where people are living or where health services are available. For these districts, manual adjustment was undertaken and an alternative location was selected nearer to a major urban centre within the district.</w:t>
      </w:r>
    </w:p>
    <w:p w14:paraId="337DA643" w14:textId="77777777" w:rsidR="00BC2102" w:rsidRDefault="00BC2102" w:rsidP="00BC2102">
      <w:pPr>
        <w:pStyle w:val="Heading4"/>
      </w:pPr>
      <w:r>
        <w:lastRenderedPageBreak/>
        <w:t>Rainfall intensities and losses</w:t>
      </w:r>
    </w:p>
    <w:p w14:paraId="76601CBF" w14:textId="77777777" w:rsidR="00BC2102" w:rsidRPr="00364618" w:rsidRDefault="00BC2102" w:rsidP="00BC2102">
      <w:pPr>
        <w:pStyle w:val="BodyText"/>
      </w:pPr>
      <w:r w:rsidRPr="00364618">
        <w:t xml:space="preserve">Current rainfall intensity and rainfall losses information was extracted for each district. Rainfall intensity data at each location included all storm durations and frequencies. This data is provided as part of Australian Rainfall and Runoff (ARR) and is made available by the Bureau of Meteorology (www.bom.gov.au/water/designRainfalls/). This data was published in </w:t>
      </w:r>
      <w:proofErr w:type="gramStart"/>
      <w:r w:rsidRPr="00364618">
        <w:t>2016, and</w:t>
      </w:r>
      <w:proofErr w:type="gramEnd"/>
      <w:r w:rsidRPr="00364618">
        <w:t xml:space="preserve"> is considered representative of the period from 1961 to 1990.</w:t>
      </w:r>
    </w:p>
    <w:p w14:paraId="603BC55E" w14:textId="77777777" w:rsidR="00BC2102" w:rsidRPr="00364618" w:rsidRDefault="00BC2102" w:rsidP="00BC2102">
      <w:pPr>
        <w:pStyle w:val="BodyText"/>
      </w:pPr>
      <w:r w:rsidRPr="00364618">
        <w:t>Initial loss and continuing loss data was extracted directly from ARR (data.arr-software.org). Loss data was not available for some arid inland areas. In these cases, the initial loss and continuing loss were estimated to be 50mm and 4mm/h respectively.</w:t>
      </w:r>
    </w:p>
    <w:p w14:paraId="700F9C42" w14:textId="77777777" w:rsidR="00BC2102" w:rsidRDefault="00BC2102" w:rsidP="00BC2102">
      <w:pPr>
        <w:pStyle w:val="Heading4"/>
      </w:pPr>
      <w:r>
        <w:t>Climate change adjustments</w:t>
      </w:r>
    </w:p>
    <w:p w14:paraId="21EA8C82" w14:textId="77777777" w:rsidR="00BC2102" w:rsidRPr="00364618" w:rsidRDefault="00BC2102" w:rsidP="00BC2102">
      <w:pPr>
        <w:pStyle w:val="BodyText"/>
      </w:pPr>
      <w:r w:rsidRPr="00364618">
        <w:t xml:space="preserve">Methods to adjust rainfall intensity data and rainfall loss data (initial loss and continuing loss) were adopted from draft update to the Climate Change Considerations chapter in ‘Australian Rainfall and Runoff: A Guide to Flood Estimation’ (Wasko </w:t>
      </w:r>
      <w:r>
        <w:t>et al.</w:t>
      </w:r>
      <w:r w:rsidRPr="00364618">
        <w:t xml:space="preserve"> 2024). In short, a percentage change was applied to rainfall intensities and losses on a ‘per degree of temperature rise’ basis. The temperature increase for each location was available from ARR (data.arr-software.org) for 2050 and 2085, and for representative socioeconomic pathways SSP2-4.5 and SSP3-7.0. For rainfall, the percentage change varied for events of different duration, with a lower percentage change applied to long events (&gt;24 hours) and a higher percentage change applied to short events (&lt;1 hour).</w:t>
      </w:r>
    </w:p>
    <w:p w14:paraId="3E1D2CDF" w14:textId="77777777" w:rsidR="00BC2102" w:rsidRDefault="00BC2102" w:rsidP="00BC2102">
      <w:pPr>
        <w:pStyle w:val="Heading4"/>
      </w:pPr>
      <w:r>
        <w:t>Hydrograph calculation</w:t>
      </w:r>
    </w:p>
    <w:p w14:paraId="004F3218" w14:textId="77777777" w:rsidR="00BC2102" w:rsidRPr="00364618" w:rsidRDefault="00BC2102" w:rsidP="00BC2102">
      <w:pPr>
        <w:pStyle w:val="BodyText"/>
      </w:pPr>
      <w:r w:rsidRPr="00364618">
        <w:t>To calculate the volume of rainfall excess (‘flood runoff’) from a given rainfall event, a simple hydrograph calculation was undertaken. The rainfall event was split into 60 timesteps, and the</w:t>
      </w:r>
      <w:r>
        <w:rPr>
          <w:sz w:val="22"/>
          <w:szCs w:val="22"/>
        </w:rPr>
        <w:t xml:space="preserve"> </w:t>
      </w:r>
      <w:r w:rsidRPr="00364618">
        <w:t>rainfall for the entire event was evenly distributed across these timesteps. The initial loss and continuing loss were subtracted from the rainfall using standard methods from Australian Rainfall and Runoff Book 5 Chapter 3. Any remaining rainfall was counted as flood runoff.</w:t>
      </w:r>
    </w:p>
    <w:p w14:paraId="79417657" w14:textId="77777777" w:rsidR="00BC2102" w:rsidRDefault="00BC2102" w:rsidP="00BC2102">
      <w:pPr>
        <w:pStyle w:val="Heading4"/>
      </w:pPr>
      <w:r>
        <w:t>Changes in flood frequency</w:t>
      </w:r>
    </w:p>
    <w:p w14:paraId="5F65ED94" w14:textId="77777777" w:rsidR="00BC2102" w:rsidRPr="00364618" w:rsidRDefault="00BC2102" w:rsidP="00BC2102">
      <w:pPr>
        <w:pStyle w:val="BodyText"/>
      </w:pPr>
      <w:r w:rsidRPr="00364618">
        <w:t>Prior to any calculations, the rainfall and loss parameters were defined as follows:</w:t>
      </w:r>
    </w:p>
    <w:p w14:paraId="6458264C" w14:textId="77777777" w:rsidR="00BC2102" w:rsidRDefault="00BC2102" w:rsidP="00BC2102">
      <w:pPr>
        <w:pStyle w:val="BulletUnindented"/>
      </w:pPr>
      <w:r w:rsidRPr="008B4ADD">
        <w:rPr>
          <w:b/>
          <w:bCs/>
        </w:rPr>
        <w:t>For urban flooding</w:t>
      </w:r>
      <w:r w:rsidRPr="00364618">
        <w:t xml:space="preserve">, the </w:t>
      </w:r>
      <w:r>
        <w:t>one-</w:t>
      </w:r>
      <w:r w:rsidRPr="00364618">
        <w:t xml:space="preserve">hour event duration was chosen because shorter events between 30 minutes and </w:t>
      </w:r>
      <w:r>
        <w:t>4</w:t>
      </w:r>
      <w:r w:rsidRPr="00364618">
        <w:t xml:space="preserve"> hours are more likely to produce the most significant flooding in urban contexts.</w:t>
      </w:r>
    </w:p>
    <w:p w14:paraId="24C22227" w14:textId="77777777" w:rsidR="00BC2102" w:rsidRPr="00364618" w:rsidRDefault="00BC2102" w:rsidP="00BC2102">
      <w:pPr>
        <w:pStyle w:val="BulletUnindented"/>
      </w:pPr>
      <w:r w:rsidRPr="008B4ADD">
        <w:rPr>
          <w:b/>
          <w:bCs/>
        </w:rPr>
        <w:t>For rural flooding</w:t>
      </w:r>
      <w:r w:rsidRPr="00364618">
        <w:t>, the 24</w:t>
      </w:r>
      <w:r>
        <w:t>-</w:t>
      </w:r>
      <w:r w:rsidRPr="00364618">
        <w:t xml:space="preserve">hour event duration was chosen because longer events between 12 hours and </w:t>
      </w:r>
      <w:r>
        <w:t>7</w:t>
      </w:r>
      <w:r w:rsidRPr="00364618">
        <w:t xml:space="preserve"> days are more likely to produce the most significant flooding in rural contexts.</w:t>
      </w:r>
    </w:p>
    <w:p w14:paraId="46A50543" w14:textId="77777777" w:rsidR="00BC2102" w:rsidRPr="00364618" w:rsidRDefault="00BC2102" w:rsidP="00BC2102">
      <w:pPr>
        <w:pStyle w:val="BulletUnindented"/>
      </w:pPr>
      <w:r w:rsidRPr="008B4ADD">
        <w:rPr>
          <w:b/>
          <w:bCs/>
        </w:rPr>
        <w:lastRenderedPageBreak/>
        <w:t xml:space="preserve">Events which occur with a frequency </w:t>
      </w:r>
      <w:r w:rsidRPr="008B4ADD">
        <w:t xml:space="preserve">of once in </w:t>
      </w:r>
      <w:r>
        <w:t>one</w:t>
      </w:r>
      <w:r w:rsidRPr="008B4ADD">
        <w:t xml:space="preserve"> year, 10 years, and 100 years</w:t>
      </w:r>
      <w:r w:rsidRPr="00364618">
        <w:t xml:space="preserve"> were selected to examine events across a range of frequencies.</w:t>
      </w:r>
    </w:p>
    <w:p w14:paraId="43C7C60A" w14:textId="77777777" w:rsidR="00BC2102" w:rsidRDefault="00BC2102" w:rsidP="00BC2102">
      <w:pPr>
        <w:pStyle w:val="BulletUnindented"/>
      </w:pPr>
      <w:r w:rsidRPr="008B4ADD">
        <w:rPr>
          <w:b/>
          <w:bCs/>
        </w:rPr>
        <w:t>In total</w:t>
      </w:r>
      <w:r w:rsidRPr="00364618">
        <w:t xml:space="preserve">, this produced a set of </w:t>
      </w:r>
      <w:r>
        <w:t>6</w:t>
      </w:r>
      <w:r w:rsidRPr="00364618">
        <w:t xml:space="preserve"> modelled events (</w:t>
      </w:r>
      <w:r>
        <w:t>3</w:t>
      </w:r>
      <w:r w:rsidRPr="00364618">
        <w:t xml:space="preserve"> frequencies x </w:t>
      </w:r>
      <w:r>
        <w:t>2</w:t>
      </w:r>
      <w:r w:rsidRPr="00364618">
        <w:t xml:space="preserve"> durations).</w:t>
      </w:r>
    </w:p>
    <w:p w14:paraId="62053A48" w14:textId="77777777" w:rsidR="00BC2102" w:rsidRPr="00AA58A5" w:rsidRDefault="00BC2102" w:rsidP="00BC2102">
      <w:pPr>
        <w:pStyle w:val="BodyText"/>
      </w:pPr>
      <w:r w:rsidRPr="00AA58A5">
        <w:t xml:space="preserve">The following steps were undertaken for each health district and for each of the </w:t>
      </w:r>
      <w:r>
        <w:t>6</w:t>
      </w:r>
      <w:r w:rsidRPr="00AA58A5">
        <w:t xml:space="preserve"> modelled events:</w:t>
      </w:r>
    </w:p>
    <w:p w14:paraId="7D99D563" w14:textId="77777777" w:rsidR="00BC2102" w:rsidRPr="00364618" w:rsidRDefault="00BC2102" w:rsidP="00BC2102">
      <w:pPr>
        <w:pStyle w:val="BulletUnindented"/>
      </w:pPr>
      <w:r w:rsidRPr="00B91FAB">
        <w:rPr>
          <w:b/>
          <w:bCs/>
        </w:rPr>
        <w:t xml:space="preserve">The </w:t>
      </w:r>
      <w:r w:rsidRPr="00B91FAB">
        <w:rPr>
          <w:b/>
          <w:bCs/>
          <w:i/>
          <w:iCs/>
        </w:rPr>
        <w:t>current</w:t>
      </w:r>
      <w:r w:rsidRPr="00B91FAB">
        <w:rPr>
          <w:b/>
          <w:bCs/>
        </w:rPr>
        <w:t xml:space="preserve"> flood runoff</w:t>
      </w:r>
      <w:r w:rsidRPr="00364618">
        <w:t xml:space="preserve"> was calculated using </w:t>
      </w:r>
      <w:r w:rsidRPr="00364618">
        <w:rPr>
          <w:i/>
          <w:iCs/>
        </w:rPr>
        <w:t>current</w:t>
      </w:r>
      <w:r w:rsidRPr="00364618">
        <w:t xml:space="preserve"> rainfall and loss parameters, giving a current flood runoff hydrograph and total flood runoff volume for the entire event.</w:t>
      </w:r>
    </w:p>
    <w:p w14:paraId="119C3320" w14:textId="77777777" w:rsidR="00BC2102" w:rsidRPr="00364618" w:rsidRDefault="00BC2102" w:rsidP="00BC2102">
      <w:pPr>
        <w:pStyle w:val="BulletUnindented"/>
      </w:pPr>
      <w:r w:rsidRPr="00B91FAB">
        <w:rPr>
          <w:b/>
          <w:bCs/>
        </w:rPr>
        <w:t xml:space="preserve">The </w:t>
      </w:r>
      <w:r w:rsidRPr="00B91FAB">
        <w:rPr>
          <w:b/>
          <w:bCs/>
          <w:i/>
          <w:iCs/>
        </w:rPr>
        <w:t>future</w:t>
      </w:r>
      <w:r w:rsidRPr="00B91FAB">
        <w:rPr>
          <w:b/>
          <w:bCs/>
        </w:rPr>
        <w:t xml:space="preserve"> flood runoff</w:t>
      </w:r>
      <w:r w:rsidRPr="00364618">
        <w:t xml:space="preserve"> was calculated using </w:t>
      </w:r>
      <w:r w:rsidRPr="00364618">
        <w:rPr>
          <w:i/>
          <w:iCs/>
        </w:rPr>
        <w:t>climate adjusted</w:t>
      </w:r>
      <w:r w:rsidRPr="00364618">
        <w:t xml:space="preserve"> rainfall and losses for the same duration event (either </w:t>
      </w:r>
      <w:r>
        <w:t>one</w:t>
      </w:r>
      <w:r w:rsidRPr="00364618">
        <w:t xml:space="preserve"> hour or 24 hours) for all possible frequencies (from 12 times per year to once per 2000 years).</w:t>
      </w:r>
    </w:p>
    <w:p w14:paraId="1A3D1B64" w14:textId="6066173C" w:rsidR="00602FBC" w:rsidRPr="00602FBC" w:rsidRDefault="00BC2102" w:rsidP="00D9709B">
      <w:pPr>
        <w:pStyle w:val="BulletUnindented"/>
        <w:spacing w:after="240"/>
      </w:pPr>
      <w:r w:rsidRPr="00B91FAB">
        <w:rPr>
          <w:b/>
          <w:bCs/>
        </w:rPr>
        <w:t>The future flood runoff which provided the closest match</w:t>
      </w:r>
      <w:r w:rsidRPr="00364618">
        <w:t xml:space="preserve"> to the current flood runoff was identified. The frequency of this matching future event was adopted as the ‘future flood frequency’. For example, if the flood runoff produced from the current </w:t>
      </w:r>
      <w:r>
        <w:t>10-</w:t>
      </w:r>
      <w:r w:rsidRPr="00364618">
        <w:t xml:space="preserve">year event matched the flood runoff from the future </w:t>
      </w:r>
      <w:r>
        <w:t>5-</w:t>
      </w:r>
      <w:r w:rsidRPr="00364618">
        <w:t xml:space="preserve">year event, then the future flood frequency was considered to have changed from </w:t>
      </w:r>
      <w:r>
        <w:t>one</w:t>
      </w:r>
      <w:r w:rsidRPr="00364618">
        <w:t xml:space="preserve"> event every 10 years (current) to </w:t>
      </w:r>
      <w:r>
        <w:t>2</w:t>
      </w:r>
      <w:r w:rsidRPr="00364618">
        <w:t xml:space="preserve"> events every 10 years (future).</w:t>
      </w:r>
    </w:p>
    <w:p w14:paraId="58DB920C" w14:textId="34601299" w:rsidR="009F5C83" w:rsidRPr="009C1D31" w:rsidRDefault="009F5C83" w:rsidP="00F16A0B">
      <w:pPr>
        <w:pStyle w:val="Heading2"/>
      </w:pPr>
      <w:bookmarkStart w:id="119" w:name="_Toc221026361"/>
      <w:bookmarkStart w:id="120" w:name="_Toc235818862"/>
      <w:bookmarkStart w:id="121" w:name="_Toc236677622"/>
      <w:r w:rsidRPr="009C1D31">
        <w:t>Data outputs</w:t>
      </w:r>
      <w:bookmarkEnd w:id="119"/>
      <w:bookmarkEnd w:id="120"/>
      <w:bookmarkEnd w:id="121"/>
    </w:p>
    <w:p w14:paraId="7A7EBC1C" w14:textId="430DF749" w:rsidR="009F5C83" w:rsidRPr="009C1D31" w:rsidRDefault="009F5C83" w:rsidP="009F5C83">
      <w:pPr>
        <w:pStyle w:val="BodyText"/>
      </w:pPr>
      <w:r w:rsidRPr="009C1D31">
        <w:t xml:space="preserve">The rainfall hazard uses climate projections from the CMIP6 Global Climate Models reported across </w:t>
      </w:r>
      <w:r w:rsidR="005F0445">
        <w:t>3</w:t>
      </w:r>
      <w:r w:rsidR="005F0445" w:rsidRPr="009C1D31">
        <w:t xml:space="preserve"> </w:t>
      </w:r>
      <w:r w:rsidRPr="009C1D31">
        <w:t>time horizons:</w:t>
      </w:r>
    </w:p>
    <w:p w14:paraId="6B037D19" w14:textId="1B3D742A" w:rsidR="009F5C83" w:rsidRPr="009C1D31" w:rsidRDefault="000F432A" w:rsidP="009F5C83">
      <w:pPr>
        <w:pStyle w:val="BulletUnindented"/>
      </w:pPr>
      <w:r>
        <w:rPr>
          <w:b/>
          <w:bCs/>
        </w:rPr>
        <w:t>m</w:t>
      </w:r>
      <w:r w:rsidR="009F5C83" w:rsidRPr="009C1D31">
        <w:rPr>
          <w:b/>
          <w:bCs/>
        </w:rPr>
        <w:t>id-21</w:t>
      </w:r>
      <w:r w:rsidR="009F5C83" w:rsidRPr="009C1D31">
        <w:rPr>
          <w:b/>
          <w:bCs/>
          <w:vertAlign w:val="superscript"/>
        </w:rPr>
        <w:t>st</w:t>
      </w:r>
      <w:r w:rsidR="009F5C83" w:rsidRPr="009C1D31">
        <w:rPr>
          <w:b/>
          <w:bCs/>
        </w:rPr>
        <w:t xml:space="preserve"> century</w:t>
      </w:r>
      <w:r w:rsidR="009F5C83" w:rsidRPr="009C1D31">
        <w:t xml:space="preserve"> (represented by the 30-year window 2035</w:t>
      </w:r>
      <w:r w:rsidR="00114440">
        <w:t>–</w:t>
      </w:r>
      <w:r w:rsidR="009F5C83" w:rsidRPr="009C1D31">
        <w:t>2064)</w:t>
      </w:r>
    </w:p>
    <w:p w14:paraId="7FE31CE4" w14:textId="6C2B6813" w:rsidR="009F5C83" w:rsidRPr="009C1D31" w:rsidRDefault="000F432A" w:rsidP="009F5C83">
      <w:pPr>
        <w:pStyle w:val="BulletUnindented"/>
      </w:pPr>
      <w:r>
        <w:rPr>
          <w:b/>
          <w:bCs/>
        </w:rPr>
        <w:t>l</w:t>
      </w:r>
      <w:r w:rsidR="009F5C83" w:rsidRPr="009C1D31">
        <w:rPr>
          <w:b/>
          <w:bCs/>
        </w:rPr>
        <w:t>ate-21</w:t>
      </w:r>
      <w:r w:rsidR="009F5C83" w:rsidRPr="009C1D31">
        <w:rPr>
          <w:b/>
          <w:bCs/>
          <w:vertAlign w:val="superscript"/>
        </w:rPr>
        <w:t>st</w:t>
      </w:r>
      <w:r w:rsidR="009F5C83" w:rsidRPr="009C1D31">
        <w:rPr>
          <w:b/>
          <w:bCs/>
        </w:rPr>
        <w:t xml:space="preserve"> century</w:t>
      </w:r>
      <w:r w:rsidR="009F5C83" w:rsidRPr="009C1D31">
        <w:t xml:space="preserve"> (represented by the 30-year window 2070</w:t>
      </w:r>
      <w:r w:rsidR="00114440">
        <w:t>–</w:t>
      </w:r>
      <w:r w:rsidR="009F5C83" w:rsidRPr="009C1D31">
        <w:t>2099)</w:t>
      </w:r>
    </w:p>
    <w:p w14:paraId="46D85DEC" w14:textId="099FBF8A" w:rsidR="009F5C83" w:rsidRPr="009C1D31" w:rsidRDefault="000F432A" w:rsidP="009F5C83">
      <w:pPr>
        <w:pStyle w:val="BulletUnindented"/>
      </w:pPr>
      <w:r>
        <w:rPr>
          <w:b/>
          <w:bCs/>
        </w:rPr>
        <w:t>h</w:t>
      </w:r>
      <w:r w:rsidR="009F5C83" w:rsidRPr="009C1D31">
        <w:rPr>
          <w:b/>
          <w:bCs/>
        </w:rPr>
        <w:t>istorical baseline</w:t>
      </w:r>
      <w:r w:rsidR="009F5C83" w:rsidRPr="009C1D31">
        <w:t xml:space="preserve"> data for 1985-2014</w:t>
      </w:r>
      <w:r>
        <w:t>.</w:t>
      </w:r>
    </w:p>
    <w:p w14:paraId="759813C1" w14:textId="52838349" w:rsidR="009F5C83" w:rsidRDefault="00E3597A" w:rsidP="009F5C83">
      <w:pPr>
        <w:pStyle w:val="BodyText"/>
      </w:pPr>
      <w:r>
        <w:t>9</w:t>
      </w:r>
      <w:r w:rsidRPr="009C1D31">
        <w:t xml:space="preserve"> </w:t>
      </w:r>
      <w:r w:rsidR="009F5C83" w:rsidRPr="009C1D31">
        <w:t>CMIP6 models (ACCESS-CM2, ACCESS-ESM1-5, CESM2, CMCC-ESM2, CNRM-ESM2-1, EC-Earth3, MPI-ESM1-2-HR, NorESM2-MM, UKESM1-0-LL) are used to calculate climate changes between a 1985</w:t>
      </w:r>
      <w:r w:rsidR="00114440">
        <w:t>–</w:t>
      </w:r>
      <w:r w:rsidR="009F5C83" w:rsidRPr="009C1D31">
        <w:t xml:space="preserve">2014 baseline period and the </w:t>
      </w:r>
      <w:r w:rsidR="005F0445">
        <w:t>2</w:t>
      </w:r>
      <w:r w:rsidR="005F0445" w:rsidRPr="009C1D31">
        <w:t xml:space="preserve"> </w:t>
      </w:r>
      <w:r w:rsidR="009F5C83" w:rsidRPr="009C1D31">
        <w:t xml:space="preserve">future projection periods for each SSP. The average of each indicator is reported along with the maximum and minimum values across climate models reported in square </w:t>
      </w:r>
      <w:r w:rsidR="009F5C83" w:rsidRPr="007A10B2">
        <w:t xml:space="preserve">brackets. </w:t>
      </w:r>
      <w:r w:rsidR="009F5C83">
        <w:t>In cases where there is a large range between</w:t>
      </w:r>
      <w:r w:rsidR="009F5C83" w:rsidRPr="00BE02AC">
        <w:t xml:space="preserve"> </w:t>
      </w:r>
      <w:r w:rsidR="009F5C83" w:rsidRPr="009C1D31">
        <w:t>maximum and minimum values across climate models</w:t>
      </w:r>
      <w:r w:rsidR="009F5C83">
        <w:t>, users should use caution in interpreting these numbers, as this indicates that climate model projections diverge substantially, and the rainfall projections may not indicate a clear direction of how rainfall may change. This divergence represents higher uncertainty in the indicator and must be acknowledged in the users’ decision-making process.</w:t>
      </w:r>
    </w:p>
    <w:p w14:paraId="14975FF5" w14:textId="77777777" w:rsidR="00BC2102" w:rsidRPr="00364618" w:rsidRDefault="00BC2102" w:rsidP="00BC2102">
      <w:pPr>
        <w:pStyle w:val="BodyText"/>
      </w:pPr>
      <w:r w:rsidRPr="00364618">
        <w:t xml:space="preserve">The flood hazard uses climate projections from Australian Rainfall and Runoff reported across </w:t>
      </w:r>
      <w:r>
        <w:t>3</w:t>
      </w:r>
      <w:r w:rsidRPr="00364618">
        <w:t xml:space="preserve"> time horizons:</w:t>
      </w:r>
    </w:p>
    <w:p w14:paraId="0E48F3DA" w14:textId="77777777" w:rsidR="00BC2102" w:rsidRPr="00364618" w:rsidRDefault="00BC2102" w:rsidP="00BC2102">
      <w:pPr>
        <w:pStyle w:val="BulletUnindented"/>
      </w:pPr>
      <w:r>
        <w:rPr>
          <w:b/>
          <w:bCs/>
        </w:rPr>
        <w:lastRenderedPageBreak/>
        <w:t>m</w:t>
      </w:r>
      <w:r w:rsidRPr="00B91FAB">
        <w:rPr>
          <w:b/>
          <w:bCs/>
        </w:rPr>
        <w:t>id-21</w:t>
      </w:r>
      <w:r w:rsidRPr="00B91FAB">
        <w:rPr>
          <w:b/>
          <w:bCs/>
          <w:vertAlign w:val="superscript"/>
        </w:rPr>
        <w:t>st</w:t>
      </w:r>
      <w:r w:rsidRPr="00B91FAB">
        <w:rPr>
          <w:b/>
          <w:bCs/>
        </w:rPr>
        <w:t xml:space="preserve"> century</w:t>
      </w:r>
      <w:r w:rsidRPr="00364618">
        <w:t xml:space="preserve"> (represented by the 30-year window 2035</w:t>
      </w:r>
      <w:r>
        <w:t>–</w:t>
      </w:r>
      <w:r w:rsidRPr="00364618">
        <w:t>2064)</w:t>
      </w:r>
    </w:p>
    <w:p w14:paraId="1FBFAE5D" w14:textId="77777777" w:rsidR="00BC2102" w:rsidRPr="00364618" w:rsidRDefault="00BC2102" w:rsidP="00BC2102">
      <w:pPr>
        <w:pStyle w:val="BulletUnindented"/>
      </w:pPr>
      <w:r>
        <w:rPr>
          <w:b/>
          <w:bCs/>
        </w:rPr>
        <w:t>l</w:t>
      </w:r>
      <w:r w:rsidRPr="00B91FAB">
        <w:rPr>
          <w:b/>
          <w:bCs/>
        </w:rPr>
        <w:t>ate-21</w:t>
      </w:r>
      <w:r w:rsidRPr="00B91FAB">
        <w:rPr>
          <w:b/>
          <w:bCs/>
          <w:vertAlign w:val="superscript"/>
        </w:rPr>
        <w:t>st</w:t>
      </w:r>
      <w:r w:rsidRPr="00B91FAB">
        <w:rPr>
          <w:b/>
          <w:bCs/>
        </w:rPr>
        <w:t xml:space="preserve"> century</w:t>
      </w:r>
      <w:r w:rsidRPr="00364618">
        <w:t xml:space="preserve"> (represented by the 30-year window 2070</w:t>
      </w:r>
      <w:r>
        <w:t>–</w:t>
      </w:r>
      <w:r w:rsidRPr="00364618">
        <w:t>2099)</w:t>
      </w:r>
    </w:p>
    <w:p w14:paraId="1790FA28" w14:textId="77777777" w:rsidR="00BC2102" w:rsidRPr="00364618" w:rsidRDefault="00BC2102" w:rsidP="00BC2102">
      <w:pPr>
        <w:pStyle w:val="BulletUnindented"/>
      </w:pPr>
      <w:r>
        <w:rPr>
          <w:b/>
          <w:bCs/>
        </w:rPr>
        <w:t>h</w:t>
      </w:r>
      <w:r w:rsidRPr="00B91FAB">
        <w:rPr>
          <w:b/>
          <w:bCs/>
        </w:rPr>
        <w:t>istorical baseline</w:t>
      </w:r>
      <w:r w:rsidRPr="00364618">
        <w:t xml:space="preserve"> data for approximately 1961</w:t>
      </w:r>
      <w:r>
        <w:t>–</w:t>
      </w:r>
      <w:r w:rsidRPr="00364618">
        <w:t xml:space="preserve">1990 (Wasko </w:t>
      </w:r>
      <w:r>
        <w:t>et al.</w:t>
      </w:r>
      <w:r w:rsidRPr="00364618">
        <w:t xml:space="preserve"> 2024)</w:t>
      </w:r>
      <w:r>
        <w:t>.</w:t>
      </w:r>
    </w:p>
    <w:p w14:paraId="2FD9983D" w14:textId="77777777" w:rsidR="00BC2102" w:rsidRPr="00364618" w:rsidRDefault="00BC2102" w:rsidP="00BC2102">
      <w:pPr>
        <w:pStyle w:val="BodyText"/>
      </w:pPr>
      <w:r w:rsidRPr="00364618">
        <w:t>The climate projections from Australian Rainfall and Runoff do not use global climate models. Instead, they are based on extrapolations of observed rainfall changes from recent decades.</w:t>
      </w:r>
    </w:p>
    <w:p w14:paraId="49B22F7B" w14:textId="0A72BA0B" w:rsidR="00BC2102" w:rsidRPr="00364618" w:rsidRDefault="00BC2102" w:rsidP="00BC2102">
      <w:pPr>
        <w:pStyle w:val="BodyText"/>
      </w:pPr>
      <w:r w:rsidRPr="00364618">
        <w:t xml:space="preserve">The hazard metric is the ‘change in flood frequency’. This is reported for the </w:t>
      </w:r>
      <w:r>
        <w:t>2</w:t>
      </w:r>
      <w:r w:rsidRPr="00364618">
        <w:t xml:space="preserve"> future time horizons, and for the </w:t>
      </w:r>
      <w:r>
        <w:t>3</w:t>
      </w:r>
      <w:r w:rsidRPr="00364618">
        <w:t xml:space="preserve"> flood frequencies: the </w:t>
      </w:r>
      <w:r>
        <w:t>one</w:t>
      </w:r>
      <w:r w:rsidRPr="00364618">
        <w:t xml:space="preserve"> year, 10 year, and 100</w:t>
      </w:r>
      <w:r>
        <w:t>-</w:t>
      </w:r>
      <w:r w:rsidRPr="00364618">
        <w:t xml:space="preserve">year average recurrence interval rainfall events. In urban areas the </w:t>
      </w:r>
      <w:r>
        <w:t>one-</w:t>
      </w:r>
      <w:r w:rsidRPr="00364618">
        <w:t>hour rainfall event duration is used, while in rural areas the 24</w:t>
      </w:r>
      <w:r>
        <w:t>-</w:t>
      </w:r>
      <w:r w:rsidRPr="00364618">
        <w:t>hour event duration is used.</w:t>
      </w:r>
    </w:p>
    <w:p w14:paraId="453E3FC3" w14:textId="30CD07A4" w:rsidR="00BC2102" w:rsidRPr="007A10B2" w:rsidRDefault="00BC2102" w:rsidP="009F5C83">
      <w:pPr>
        <w:pStyle w:val="BodyText"/>
      </w:pPr>
      <w:r w:rsidRPr="00364618">
        <w:t>Data outputs from this assessment are only as individual estimates for each Health District. More detailed spatial information is not available from this analysis. For more detailed information about flooding at a local scale, please refer to state or local government information for site specific flood modelling and flood mapping information.</w:t>
      </w:r>
    </w:p>
    <w:p w14:paraId="60B9C6AD" w14:textId="77777777" w:rsidR="00D51334" w:rsidRDefault="00D51334" w:rsidP="00550C0A">
      <w:pPr>
        <w:pStyle w:val="Heading1"/>
      </w:pPr>
      <w:bookmarkStart w:id="122" w:name="_Toc221026376"/>
      <w:bookmarkStart w:id="123" w:name="_Toc235818863"/>
      <w:bookmarkStart w:id="124" w:name="_Toc236677623"/>
      <w:r>
        <w:lastRenderedPageBreak/>
        <w:t>Coastal inundation hazard methods</w:t>
      </w:r>
      <w:bookmarkEnd w:id="122"/>
      <w:bookmarkEnd w:id="123"/>
      <w:bookmarkEnd w:id="124"/>
    </w:p>
    <w:p w14:paraId="5207B549" w14:textId="77777777" w:rsidR="00D51334" w:rsidRDefault="00D51334" w:rsidP="00F16A0B">
      <w:pPr>
        <w:pStyle w:val="Heading2"/>
      </w:pPr>
      <w:bookmarkStart w:id="125" w:name="_Toc221026377"/>
      <w:bookmarkStart w:id="126" w:name="_Toc235818864"/>
      <w:bookmarkStart w:id="127" w:name="_Toc236677624"/>
      <w:r>
        <w:t>Data source</w:t>
      </w:r>
      <w:bookmarkEnd w:id="125"/>
      <w:bookmarkEnd w:id="126"/>
      <w:bookmarkEnd w:id="127"/>
    </w:p>
    <w:p w14:paraId="1FCAAA30" w14:textId="56A743D4" w:rsidR="00D51334" w:rsidRPr="00364618" w:rsidRDefault="00D51334" w:rsidP="00D51334">
      <w:pPr>
        <w:pStyle w:val="BodyText"/>
      </w:pPr>
      <w:r w:rsidRPr="00364618">
        <w:t>The coastal inundation hazard assessment adopted present day extreme sea level statistics derived from the University of Western Australia’s</w:t>
      </w:r>
      <w:r w:rsidR="0011597C">
        <w:t xml:space="preserve"> ’</w:t>
      </w:r>
      <w:r w:rsidRPr="00364618">
        <w:t>Extreme Sea Levels in Australia</w:t>
      </w:r>
      <w:r w:rsidR="0011597C">
        <w:t>’</w:t>
      </w:r>
      <w:r w:rsidRPr="00364618">
        <w:t xml:space="preserve"> model</w:t>
      </w:r>
      <w:r>
        <w:t xml:space="preserve"> (UWA 2018)</w:t>
      </w:r>
      <w:r w:rsidRPr="00364618">
        <w:t>. This high-resolution hydrodynamic model produced a 59 year hindcast (1958–2016) of sea levels around the Australian coastline, which accounted for the effects of astronomical tides, storm surges due to wind and pressure, and seasonal and inter-annual mean sea level variability. However, it is important to note that the model did not account for wave setup or wave runup, which may contribute additional water levels in exposed coastal areas.</w:t>
      </w:r>
    </w:p>
    <w:p w14:paraId="3CEFC4A9" w14:textId="11E158D9" w:rsidR="00D51334" w:rsidRPr="00364618" w:rsidRDefault="00D51334" w:rsidP="00D51334">
      <w:pPr>
        <w:pStyle w:val="BodyText"/>
      </w:pPr>
      <w:r w:rsidRPr="00364618">
        <w:t>Extreme value analysis was applied to the sea level hindcast to estimate the probability of extreme events based on historical data. The probabilities are presented in terms of Average Recurrence Intervals or return periods (e.g., 1-in-100</w:t>
      </w:r>
      <w:r w:rsidR="00C04C4F">
        <w:t>-</w:t>
      </w:r>
      <w:r w:rsidRPr="00364618">
        <w:t>year events) and are available at approximately 1km resolution along the Australian coastline.</w:t>
      </w:r>
    </w:p>
    <w:p w14:paraId="3A019332" w14:textId="7396D144" w:rsidR="00D51334" w:rsidRPr="00C136A3" w:rsidRDefault="00D51334" w:rsidP="00D51334">
      <w:pPr>
        <w:pStyle w:val="BodyText"/>
      </w:pPr>
      <w:r w:rsidRPr="00364618">
        <w:t>Sea level rise projections utilised data from the NASA Sea Level Projection Tool</w:t>
      </w:r>
      <w:r>
        <w:t xml:space="preserve"> (NASA 2021),</w:t>
      </w:r>
      <w:r w:rsidRPr="00364618">
        <w:t xml:space="preserve"> which provides access to sea level projection datasets from the Intergovernmental Panel on Climate Change (IPCC) </w:t>
      </w:r>
      <w:r w:rsidR="005F0445">
        <w:t>6</w:t>
      </w:r>
      <w:r w:rsidR="005F0445" w:rsidRPr="00F16A0B">
        <w:rPr>
          <w:vertAlign w:val="superscript"/>
        </w:rPr>
        <w:t>th</w:t>
      </w:r>
      <w:r w:rsidR="005F0445">
        <w:t xml:space="preserve"> </w:t>
      </w:r>
      <w:r w:rsidRPr="00364618">
        <w:t>Assessment Report (AR6). The 50</w:t>
      </w:r>
      <w:r w:rsidRPr="00364618">
        <w:rPr>
          <w:vertAlign w:val="superscript"/>
        </w:rPr>
        <w:t>th</w:t>
      </w:r>
      <w:r w:rsidRPr="00364618">
        <w:t xml:space="preserve"> percentile (median) projections were adopted under </w:t>
      </w:r>
      <w:r w:rsidR="005F0445">
        <w:t>2</w:t>
      </w:r>
      <w:r w:rsidR="005F0445" w:rsidRPr="00364618">
        <w:t xml:space="preserve"> </w:t>
      </w:r>
      <w:r w:rsidRPr="00364618">
        <w:t>Shared Socioeconomic Pathways: SSP2-4.5, representing a stabilising emissions scenario, and SSP3-7.0, reflecting a higher emissions projection. These scenarios provide a robust basis for evaluating future sea level rise under both moderate and high greenhouse gas concentration pathways.</w:t>
      </w:r>
    </w:p>
    <w:p w14:paraId="32AB6C7D" w14:textId="0C1F0B2D" w:rsidR="00E96FCA" w:rsidRDefault="00D51334" w:rsidP="00D51334">
      <w:pPr>
        <w:pStyle w:val="BodyText"/>
      </w:pPr>
      <w:r w:rsidRPr="00364618">
        <w:t xml:space="preserve">Ground elevation data was sourced from </w:t>
      </w:r>
      <w:r w:rsidR="005F0445">
        <w:t>2</w:t>
      </w:r>
      <w:r w:rsidR="005F0445" w:rsidRPr="00364618">
        <w:t xml:space="preserve"> </w:t>
      </w:r>
      <w:r w:rsidRPr="00364618">
        <w:t>primary datasets</w:t>
      </w:r>
      <w:r>
        <w:t xml:space="preserve"> (Geoscience Australia </w:t>
      </w:r>
      <w:r w:rsidR="00C04C4F">
        <w:t>2025</w:t>
      </w:r>
      <w:r>
        <w:t>),</w:t>
      </w:r>
      <w:r w:rsidRPr="00364618">
        <w:t xml:space="preserve"> depending on availability. Where available, 5m resolution Li</w:t>
      </w:r>
      <w:r w:rsidR="005807AC">
        <w:t xml:space="preserve">ght </w:t>
      </w:r>
      <w:r w:rsidR="00F16A0B">
        <w:t>Detection</w:t>
      </w:r>
      <w:r w:rsidR="005807AC">
        <w:t xml:space="preserve"> and </w:t>
      </w:r>
      <w:r w:rsidRPr="00364618">
        <w:t>R</w:t>
      </w:r>
      <w:r w:rsidR="00484C4C">
        <w:t>anging (LiDAR)</w:t>
      </w:r>
      <w:r w:rsidRPr="00364618">
        <w:t xml:space="preserve"> data from Geoscience Australia was used as the preferred dataset due to its high spatial resolution. In areas where LiDAR coverage was not available, elevation data was supplemented with the Shuttle Radar Topography Mission (SRTM) </w:t>
      </w:r>
      <w:r>
        <w:t>one</w:t>
      </w:r>
      <w:r w:rsidRPr="00364618">
        <w:t>-second (~30m) resolution dataset, a satellite-derived global digital elevation model. While SRTM provides broader coverage, its coarser resolution and reduced accuracy in urban areas are acknowledged limitations. Together, these datasets formed the ground elevation data for the coastal inundation hazard mapping.</w:t>
      </w:r>
    </w:p>
    <w:p w14:paraId="16349311" w14:textId="29B13B08" w:rsidR="0076064B" w:rsidRDefault="00D51334" w:rsidP="00D51334">
      <w:pPr>
        <w:pStyle w:val="BodyText"/>
      </w:pPr>
      <w:r w:rsidRPr="00364618">
        <w:t xml:space="preserve">It is important to note that the ground elevation data used in this assessment represents ground surface topography and is not reliable for accurately capturing the bathymetry of waterbodies or watercourses, such as rivers, creeks, or lakes. All waterbodies and </w:t>
      </w:r>
      <w:r w:rsidRPr="00364618">
        <w:lastRenderedPageBreak/>
        <w:t>watercourses are hydraulically connected to the surrounding landscape and susceptible to inundation during tidal or storm tide events.</w:t>
      </w:r>
    </w:p>
    <w:p w14:paraId="6598726A" w14:textId="5E76FF7F" w:rsidR="00D51334" w:rsidRDefault="00D51334" w:rsidP="00F16A0B">
      <w:pPr>
        <w:pStyle w:val="Heading2"/>
      </w:pPr>
      <w:bookmarkStart w:id="128" w:name="_Toc221026381"/>
      <w:bookmarkStart w:id="129" w:name="_Toc235818865"/>
      <w:bookmarkStart w:id="130" w:name="_Toc236677625"/>
      <w:r>
        <w:t>Analytical approach</w:t>
      </w:r>
      <w:bookmarkEnd w:id="128"/>
      <w:bookmarkEnd w:id="129"/>
      <w:bookmarkEnd w:id="130"/>
    </w:p>
    <w:p w14:paraId="246A3F13" w14:textId="0AD0F264" w:rsidR="00D51334" w:rsidRPr="00364618" w:rsidRDefault="00D51334" w:rsidP="00D51334">
      <w:pPr>
        <w:pStyle w:val="BodyText"/>
      </w:pPr>
      <w:r w:rsidRPr="00364618">
        <w:t xml:space="preserve">The coastal inundation hazard provides an indication of flooding in coastal areas that can be attributed to sea level rise and storm inundation. </w:t>
      </w:r>
      <w:r w:rsidR="005F0445">
        <w:t>3</w:t>
      </w:r>
      <w:r w:rsidR="005F0445" w:rsidRPr="00364618">
        <w:t xml:space="preserve"> </w:t>
      </w:r>
      <w:r w:rsidRPr="00364618">
        <w:t>indicators are reported as part of the coastal hazard:</w:t>
      </w:r>
    </w:p>
    <w:p w14:paraId="1B028B54" w14:textId="54727986" w:rsidR="00D51334" w:rsidRPr="00364618" w:rsidRDefault="008E63C8" w:rsidP="00D51334">
      <w:pPr>
        <w:pStyle w:val="BulletUnindented"/>
      </w:pPr>
      <w:r>
        <w:rPr>
          <w:b/>
          <w:bCs/>
        </w:rPr>
        <w:t>t</w:t>
      </w:r>
      <w:r w:rsidR="00D51334" w:rsidRPr="00D51334">
        <w:rPr>
          <w:b/>
          <w:bCs/>
        </w:rPr>
        <w:t>idal inundation</w:t>
      </w:r>
      <w:r w:rsidR="00D51334" w:rsidRPr="00364618">
        <w:t xml:space="preserve"> (ha inundated)</w:t>
      </w:r>
    </w:p>
    <w:p w14:paraId="4BA7DDAC" w14:textId="196C35A3" w:rsidR="00D51334" w:rsidRPr="00364618" w:rsidRDefault="008E63C8" w:rsidP="00D51334">
      <w:pPr>
        <w:pStyle w:val="BulletUnindented"/>
      </w:pPr>
      <w:r>
        <w:rPr>
          <w:b/>
          <w:bCs/>
        </w:rPr>
        <w:t>s</w:t>
      </w:r>
      <w:r w:rsidR="00D51334" w:rsidRPr="00D51334">
        <w:rPr>
          <w:b/>
          <w:bCs/>
        </w:rPr>
        <w:t>torm tide inundation</w:t>
      </w:r>
      <w:r w:rsidR="00D51334" w:rsidRPr="00364618">
        <w:t xml:space="preserve"> – ‘1-in-100 year’ storm tide event (ha inundated)</w:t>
      </w:r>
    </w:p>
    <w:p w14:paraId="01EFE641" w14:textId="523ED57B" w:rsidR="00D51334" w:rsidRDefault="008E63C8" w:rsidP="00D51334">
      <w:pPr>
        <w:pStyle w:val="BulletUnindented"/>
      </w:pPr>
      <w:r>
        <w:rPr>
          <w:b/>
          <w:bCs/>
        </w:rPr>
        <w:t>s</w:t>
      </w:r>
      <w:r w:rsidR="00D51334" w:rsidRPr="00D51334">
        <w:rPr>
          <w:b/>
          <w:bCs/>
        </w:rPr>
        <w:t>torm tide inundation</w:t>
      </w:r>
      <w:r w:rsidR="00D51334" w:rsidRPr="00364618">
        <w:t xml:space="preserve"> – ‘1-in-1000 year’ storm tide event (ha inundated)</w:t>
      </w:r>
      <w:r>
        <w:t>.</w:t>
      </w:r>
    </w:p>
    <w:p w14:paraId="6B610C20" w14:textId="623DA825" w:rsidR="00D51334" w:rsidRDefault="00D51334" w:rsidP="00D51334">
      <w:pPr>
        <w:pStyle w:val="BodyText"/>
      </w:pPr>
      <w:r w:rsidRPr="00364618">
        <w:t>To represent present day (baseline) coastal inundation conditions, tidal and storm tide inundation datasets were spatially interpolated across Australia using a Triangulated Irregular Network (TIN) surface. This method allowed for a continuous representation of water levels across the coastline, accounting for the spatial variability in extreme sea level statistics derived from the University of Western Australia's hindcast model.</w:t>
      </w:r>
    </w:p>
    <w:p w14:paraId="4D167E0A" w14:textId="77777777" w:rsidR="0076064B" w:rsidRDefault="00D51334" w:rsidP="00D51334">
      <w:pPr>
        <w:pStyle w:val="BodyText"/>
      </w:pPr>
      <w:r w:rsidRPr="00364618">
        <w:t>Sea level rise projections for future planning horizons (2050 and 2085) were also interpolated as separate TIN surfaces across the Australian coastline. Sea level rise projections for 2100 have been adopted for the 2085 planning horizon for coastal hazards. 2100</w:t>
      </w:r>
      <w:r>
        <w:t xml:space="preserve"> </w:t>
      </w:r>
      <w:r w:rsidRPr="00364618">
        <w:t>was chosen to represent the 2085 time horizon as it conservatively represents near the end of this period and many states’ planning regulations require consideration of sea level rise and storm tide to 2100. Consideration of 2100 will be most valuable for coastal health organisations, particular</w:t>
      </w:r>
      <w:r>
        <w:t>ly</w:t>
      </w:r>
      <w:r w:rsidRPr="00364618">
        <w:t xml:space="preserve"> when planning new health facilities. These projections were sourced from the IPCC AR6 dataset via the NASA Sea Level Projection Tool, based on the 50th percentile for SSP2-4.5 and SSP3-7.0 emissions scenarios.</w:t>
      </w:r>
    </w:p>
    <w:p w14:paraId="7A55E0FC" w14:textId="0B300AAE" w:rsidR="00D51334" w:rsidRPr="00364618" w:rsidRDefault="00D51334" w:rsidP="00D51334">
      <w:pPr>
        <w:pStyle w:val="BodyText"/>
      </w:pPr>
      <w:r w:rsidRPr="00364618">
        <w:t>To simulate future inundation extents, the sea level rise projection TINs were combined with the present day tidal and storm tide inundation TIN surfaces. This produced projected inundation surfaces for both 2050 and 2100, enabling spatial assessments of future hazard exposure under each emissions scenario. This approach assumes that the primary influence on future inundation is the increase in sea level, while other components (e.g. tides, storm surges) remain consistent with present day conditions.</w:t>
      </w:r>
    </w:p>
    <w:p w14:paraId="4BA50A7F" w14:textId="41AFB72F" w:rsidR="00D51334" w:rsidRPr="00364618" w:rsidRDefault="00D51334" w:rsidP="00D51334">
      <w:pPr>
        <w:pStyle w:val="BodyText"/>
      </w:pPr>
      <w:r w:rsidRPr="00364618">
        <w:t xml:space="preserve">An additional 0.1m has been included to account for 10% increase in storm intensity and frequency under the </w:t>
      </w:r>
      <w:r>
        <w:t>‘</w:t>
      </w:r>
      <w:r w:rsidRPr="00364618">
        <w:t>1-in-1000</w:t>
      </w:r>
      <w:r w:rsidR="00BB3213">
        <w:t>-</w:t>
      </w:r>
      <w:r w:rsidRPr="00364618">
        <w:t>year storm tide event</w:t>
      </w:r>
      <w:r>
        <w:t>’</w:t>
      </w:r>
      <w:r w:rsidRPr="00364618">
        <w:t>, which is considered as an extreme scenario. It is important to note that while increases in storm intensity/likelihood are likely to vary across regions, these increases to future inundation levels are generally minor compared to the influence of sea level rise.</w:t>
      </w:r>
    </w:p>
    <w:p w14:paraId="15909A28" w14:textId="360A6E8F" w:rsidR="00D51334" w:rsidRDefault="00D51334" w:rsidP="00D51334">
      <w:pPr>
        <w:pStyle w:val="BodyText"/>
        <w:rPr>
          <w:sz w:val="22"/>
          <w:szCs w:val="22"/>
        </w:rPr>
      </w:pPr>
      <w:r w:rsidRPr="00364618">
        <w:lastRenderedPageBreak/>
        <w:t>Following the generation of these inundation TIN surfaces, inundation extents were calculated in hectares for each planning horizon and scenario. This allowed for a quantitative comparison of</w:t>
      </w:r>
      <w:r w:rsidRPr="00672D57">
        <w:rPr>
          <w:sz w:val="22"/>
          <w:szCs w:val="22"/>
        </w:rPr>
        <w:t xml:space="preserve"> </w:t>
      </w:r>
      <w:r w:rsidRPr="00364618">
        <w:t>inundation exposure relative to the present-day baseline, providing insight into how coastal hazard extents may expand over time.</w:t>
      </w:r>
    </w:p>
    <w:p w14:paraId="6776B936" w14:textId="77777777" w:rsidR="00D51334" w:rsidRPr="005F365E" w:rsidRDefault="00D51334" w:rsidP="00F16A0B">
      <w:pPr>
        <w:pStyle w:val="Heading2"/>
      </w:pPr>
      <w:bookmarkStart w:id="131" w:name="_Toc221026382"/>
      <w:bookmarkStart w:id="132" w:name="_Toc235818866"/>
      <w:bookmarkStart w:id="133" w:name="_Toc236677626"/>
      <w:r>
        <w:t>Data output</w:t>
      </w:r>
      <w:bookmarkEnd w:id="131"/>
      <w:bookmarkEnd w:id="132"/>
      <w:bookmarkEnd w:id="133"/>
    </w:p>
    <w:p w14:paraId="1BF608E7" w14:textId="2C54411D" w:rsidR="0043333E" w:rsidRPr="0043333E" w:rsidRDefault="00D51334" w:rsidP="00440278">
      <w:pPr>
        <w:pStyle w:val="BodyText"/>
      </w:pPr>
      <w:r w:rsidRPr="00364618">
        <w:t>The coastal inundation hazard is only reported for coastal health districts. The projected inundation levels in ha inundated are reported as well as the change from baseline conditions (in brackets).</w:t>
      </w:r>
      <w:r w:rsidR="00646FB8">
        <w:br w:type="page"/>
      </w:r>
    </w:p>
    <w:p w14:paraId="59AA4BD3" w14:textId="5B91872D" w:rsidR="00E722BC" w:rsidRDefault="00B4601A" w:rsidP="00550C0A">
      <w:pPr>
        <w:pStyle w:val="Heading1"/>
      </w:pPr>
      <w:bookmarkStart w:id="134" w:name="_Toc235818867"/>
      <w:bookmarkStart w:id="135" w:name="_Toc236677627"/>
      <w:r>
        <w:lastRenderedPageBreak/>
        <w:t>References</w:t>
      </w:r>
      <w:bookmarkEnd w:id="134"/>
      <w:bookmarkEnd w:id="135"/>
    </w:p>
    <w:p w14:paraId="14F61C24" w14:textId="1B8F985E" w:rsidR="0076064B" w:rsidRDefault="007358B3" w:rsidP="007358B3">
      <w:pPr>
        <w:pStyle w:val="BodyText"/>
      </w:pPr>
      <w:r>
        <w:t>Geoscience Australia</w:t>
      </w:r>
      <w:r w:rsidR="00A25962">
        <w:t xml:space="preserve"> (2025).</w:t>
      </w:r>
      <w:r>
        <w:t xml:space="preserve"> </w:t>
      </w:r>
      <w:r w:rsidR="000912ED">
        <w:t>‘</w:t>
      </w:r>
      <w:hyperlink r:id="rId16" w:history="1">
        <w:r w:rsidRPr="002750C0">
          <w:rPr>
            <w:rStyle w:val="Hyperlink"/>
            <w:color w:val="083E9C" w:themeColor="accent1"/>
          </w:rPr>
          <w:t>Digital Elevation Data</w:t>
        </w:r>
      </w:hyperlink>
      <w:r w:rsidR="000912ED">
        <w:t>’</w:t>
      </w:r>
      <w:r>
        <w:t xml:space="preserve">, </w:t>
      </w:r>
      <w:r w:rsidR="00583502">
        <w:t>Geoscience Australia website</w:t>
      </w:r>
      <w:r>
        <w:t xml:space="preserve">, accessed </w:t>
      </w:r>
      <w:r w:rsidR="00720E7A">
        <w:t xml:space="preserve">29 June </w:t>
      </w:r>
      <w:r>
        <w:t>202</w:t>
      </w:r>
      <w:r w:rsidR="00720E7A">
        <w:t>6</w:t>
      </w:r>
      <w:r>
        <w:t>.</w:t>
      </w:r>
    </w:p>
    <w:p w14:paraId="132AFE0F" w14:textId="59C954D4" w:rsidR="007358B3" w:rsidRPr="002750C0" w:rsidRDefault="007358B3" w:rsidP="007358B3">
      <w:pPr>
        <w:pStyle w:val="BodyText"/>
        <w:rPr>
          <w:color w:val="083E9C" w:themeColor="accent1"/>
        </w:rPr>
      </w:pPr>
      <w:r w:rsidRPr="00364618">
        <w:t>Hollis</w:t>
      </w:r>
      <w:r w:rsidR="004356F6">
        <w:t xml:space="preserve"> JJ, </w:t>
      </w:r>
      <w:r w:rsidRPr="00364618">
        <w:t>Matthews</w:t>
      </w:r>
      <w:r w:rsidR="004356F6">
        <w:t xml:space="preserve"> S</w:t>
      </w:r>
      <w:r w:rsidRPr="00364618">
        <w:t>, Anderson</w:t>
      </w:r>
      <w:r w:rsidR="004356F6">
        <w:t xml:space="preserve"> WA</w:t>
      </w:r>
      <w:r w:rsidRPr="00364618">
        <w:t>, Cruz</w:t>
      </w:r>
      <w:r w:rsidR="004356F6">
        <w:t xml:space="preserve"> MG</w:t>
      </w:r>
      <w:r w:rsidRPr="00364618">
        <w:t>, Fox-Hughes</w:t>
      </w:r>
      <w:r w:rsidR="004356F6">
        <w:t xml:space="preserve"> P</w:t>
      </w:r>
      <w:r w:rsidRPr="00364618">
        <w:t xml:space="preserve">, </w:t>
      </w:r>
      <w:proofErr w:type="spellStart"/>
      <w:r w:rsidRPr="00364618">
        <w:t>Grootemaat</w:t>
      </w:r>
      <w:proofErr w:type="spellEnd"/>
      <w:r w:rsidR="004356F6">
        <w:t xml:space="preserve"> S</w:t>
      </w:r>
      <w:r w:rsidRPr="00364618">
        <w:t>, Kenny</w:t>
      </w:r>
      <w:r w:rsidR="004356F6">
        <w:t xml:space="preserve"> BJ</w:t>
      </w:r>
      <w:r w:rsidR="007F7172">
        <w:t xml:space="preserve"> and </w:t>
      </w:r>
      <w:r w:rsidRPr="00364618">
        <w:t>Sauvage</w:t>
      </w:r>
      <w:r w:rsidR="004356F6">
        <w:t xml:space="preserve"> S</w:t>
      </w:r>
      <w:r w:rsidRPr="00364618">
        <w:t xml:space="preserve"> </w:t>
      </w:r>
      <w:r>
        <w:t xml:space="preserve">(2024). </w:t>
      </w:r>
      <w:r w:rsidR="00200AE0">
        <w:t>‘</w:t>
      </w:r>
      <w:r w:rsidRPr="00364618">
        <w:t>A framework for defining fire danger to support fire management operations in Australia</w:t>
      </w:r>
      <w:r w:rsidR="00200AE0">
        <w:t>’.</w:t>
      </w:r>
      <w:r w:rsidR="00200AE0" w:rsidRPr="00364618">
        <w:t xml:space="preserve"> </w:t>
      </w:r>
      <w:r w:rsidRPr="00000AF1">
        <w:rPr>
          <w:i/>
          <w:iCs/>
        </w:rPr>
        <w:t>International Journal of Wildland Fire</w:t>
      </w:r>
      <w:r>
        <w:t>,</w:t>
      </w:r>
      <w:r w:rsidRPr="00364618">
        <w:t xml:space="preserve"> 33</w:t>
      </w:r>
      <w:r>
        <w:t>(</w:t>
      </w:r>
      <w:r w:rsidRPr="00364618">
        <w:t>3</w:t>
      </w:r>
      <w:r>
        <w:t xml:space="preserve">). </w:t>
      </w:r>
      <w:hyperlink r:id="rId17" w:history="1">
        <w:r w:rsidRPr="002750C0">
          <w:rPr>
            <w:rStyle w:val="Hyperlink"/>
            <w:color w:val="083E9C" w:themeColor="accent1"/>
          </w:rPr>
          <w:t>doi:10.1071/WF23141.</w:t>
        </w:r>
      </w:hyperlink>
    </w:p>
    <w:p w14:paraId="765870AB" w14:textId="0D7C3366" w:rsidR="007358B3" w:rsidRPr="00364618" w:rsidRDefault="007358B3" w:rsidP="007358B3">
      <w:pPr>
        <w:pStyle w:val="BodyText"/>
      </w:pPr>
      <w:r w:rsidRPr="00364618">
        <w:t>Hudson</w:t>
      </w:r>
      <w:r w:rsidR="007159AE">
        <w:t xml:space="preserve"> D</w:t>
      </w:r>
      <w:r w:rsidR="0066111A">
        <w:t xml:space="preserve"> </w:t>
      </w:r>
      <w:r w:rsidR="007159AE">
        <w:t>and</w:t>
      </w:r>
      <w:r w:rsidRPr="00364618">
        <w:t xml:space="preserve"> </w:t>
      </w:r>
      <w:r w:rsidR="0066111A">
        <w:t xml:space="preserve">AG </w:t>
      </w:r>
      <w:r w:rsidRPr="00364618">
        <w:t xml:space="preserve">Marshall (2016). </w:t>
      </w:r>
      <w:hyperlink r:id="rId18" w:history="1">
        <w:r w:rsidRPr="002750C0">
          <w:rPr>
            <w:rStyle w:val="Hyperlink"/>
            <w:i/>
            <w:iCs/>
            <w:color w:val="083E9C" w:themeColor="accent1"/>
          </w:rPr>
          <w:t>Extending the Bureau’s heatwave forecast to multi-week timescales</w:t>
        </w:r>
      </w:hyperlink>
      <w:r w:rsidR="00B0724D">
        <w:t>,</w:t>
      </w:r>
      <w:r w:rsidR="00851B58">
        <w:t xml:space="preserve"> </w:t>
      </w:r>
      <w:r w:rsidR="00044CEE">
        <w:t>Australian Bureau of Meteoro</w:t>
      </w:r>
      <w:r w:rsidR="00AB7B36">
        <w:t>logy</w:t>
      </w:r>
      <w:r w:rsidR="00906799">
        <w:t>, accessed 29 June 2026.</w:t>
      </w:r>
    </w:p>
    <w:p w14:paraId="78F8DDCB" w14:textId="6F799239" w:rsidR="007358B3" w:rsidRPr="00364618" w:rsidRDefault="007358B3" w:rsidP="007358B3">
      <w:pPr>
        <w:pStyle w:val="BodyText"/>
      </w:pPr>
      <w:r w:rsidRPr="00364618">
        <w:t>Irving</w:t>
      </w:r>
      <w:r w:rsidR="005F353F">
        <w:t xml:space="preserve"> </w:t>
      </w:r>
      <w:r w:rsidRPr="00364618">
        <w:t xml:space="preserve">D, Macadam I </w:t>
      </w:r>
      <w:r w:rsidR="005F353F">
        <w:t>and</w:t>
      </w:r>
      <w:r w:rsidRPr="00364618">
        <w:t xml:space="preserve"> King M (2024). </w:t>
      </w:r>
      <w:r w:rsidR="00893D17">
        <w:t>‘</w:t>
      </w:r>
      <w:r w:rsidRPr="00440278">
        <w:t>Application-ready quantile-delta-change (QDC) scaled CMIP6 climate projections for Australia (time slices, 11km grid)</w:t>
      </w:r>
      <w:r w:rsidRPr="00893D17">
        <w:t xml:space="preserve"> (v1)</w:t>
      </w:r>
      <w:r w:rsidR="00893D17" w:rsidRPr="00893D17">
        <w:t>’</w:t>
      </w:r>
      <w:r w:rsidRPr="00364618">
        <w:t xml:space="preserve">. CSIRO Data </w:t>
      </w:r>
      <w:r w:rsidR="005E3621">
        <w:t xml:space="preserve">Access </w:t>
      </w:r>
      <w:r w:rsidR="002E6C6E">
        <w:t>Portal</w:t>
      </w:r>
      <w:r w:rsidR="00F7314C">
        <w:t>,</w:t>
      </w:r>
      <w:r w:rsidRPr="00364618">
        <w:t xml:space="preserve"> </w:t>
      </w:r>
      <w:hyperlink r:id="rId19" w:tgtFrame="_new" w:history="1">
        <w:r w:rsidR="0047019E" w:rsidRPr="002750C0">
          <w:rPr>
            <w:rStyle w:val="Hyperlink"/>
            <w:color w:val="083E9C" w:themeColor="accent1"/>
          </w:rPr>
          <w:t>doi:10.25919/nc64-tx11</w:t>
        </w:r>
      </w:hyperlink>
      <w:r w:rsidR="00BB32BF" w:rsidRPr="002750C0">
        <w:rPr>
          <w:color w:val="083E9C" w:themeColor="accent1"/>
        </w:rPr>
        <w:t>.</w:t>
      </w:r>
    </w:p>
    <w:p w14:paraId="05B53C9C" w14:textId="2357B6FC" w:rsidR="007358B3" w:rsidRPr="00364618" w:rsidRDefault="007358B3" w:rsidP="007358B3">
      <w:pPr>
        <w:pStyle w:val="BodyText"/>
      </w:pPr>
      <w:r w:rsidRPr="00364618">
        <w:t xml:space="preserve">Nairn JR </w:t>
      </w:r>
      <w:r w:rsidR="00A96C2B">
        <w:t>and</w:t>
      </w:r>
      <w:r w:rsidRPr="00364618">
        <w:t xml:space="preserve"> Fawcett RJ (2014). </w:t>
      </w:r>
      <w:r w:rsidR="009767BF">
        <w:t>‘</w:t>
      </w:r>
      <w:r w:rsidRPr="00364618">
        <w:t>The Excess Heat Factor: A metric for heatwave intensity and its use in classifying heatwave severity</w:t>
      </w:r>
      <w:r w:rsidR="009767BF">
        <w:t>’</w:t>
      </w:r>
      <w:r w:rsidRPr="00364618">
        <w:t xml:space="preserve">. </w:t>
      </w:r>
      <w:r w:rsidRPr="00364618">
        <w:rPr>
          <w:i/>
          <w:iCs/>
        </w:rPr>
        <w:t>International Journal of Environmental Research and Public Health</w:t>
      </w:r>
      <w:r w:rsidRPr="00364618">
        <w:t>, 12(1)</w:t>
      </w:r>
      <w:r w:rsidR="00DF4949">
        <w:t>:</w:t>
      </w:r>
      <w:r w:rsidRPr="00364618">
        <w:t xml:space="preserve"> 227–253. </w:t>
      </w:r>
      <w:hyperlink r:id="rId20" w:history="1">
        <w:r w:rsidR="00DF4949" w:rsidRPr="002750C0">
          <w:rPr>
            <w:rStyle w:val="Hyperlink"/>
            <w:color w:val="083E9C" w:themeColor="accent1"/>
          </w:rPr>
          <w:t>doi.org/10.3390/ijerph120100227</w:t>
        </w:r>
      </w:hyperlink>
      <w:r w:rsidR="00DF4949">
        <w:t>.</w:t>
      </w:r>
    </w:p>
    <w:p w14:paraId="6158C579" w14:textId="0E619E3C" w:rsidR="007358B3" w:rsidRDefault="007358B3" w:rsidP="007358B3">
      <w:pPr>
        <w:pStyle w:val="BodyText"/>
      </w:pPr>
      <w:r>
        <w:t>NASA</w:t>
      </w:r>
      <w:r w:rsidR="009767BF">
        <w:t xml:space="preserve"> (2021)</w:t>
      </w:r>
      <w:r w:rsidR="00A25962">
        <w:t>.</w:t>
      </w:r>
      <w:r>
        <w:t xml:space="preserve"> </w:t>
      </w:r>
      <w:r w:rsidR="009767BF">
        <w:t>‘</w:t>
      </w:r>
      <w:hyperlink r:id="rId21" w:history="1">
        <w:r w:rsidRPr="002750C0">
          <w:rPr>
            <w:rStyle w:val="Hyperlink"/>
            <w:color w:val="083E9C" w:themeColor="accent1"/>
          </w:rPr>
          <w:t>Sea Level Projection Tool</w:t>
        </w:r>
      </w:hyperlink>
      <w:r w:rsidR="009767BF">
        <w:t>’</w:t>
      </w:r>
      <w:r>
        <w:t xml:space="preserve">, </w:t>
      </w:r>
      <w:r w:rsidR="00743886">
        <w:t>NASA website</w:t>
      </w:r>
      <w:r>
        <w:t>, accessed</w:t>
      </w:r>
      <w:r w:rsidR="00CC3BD2">
        <w:t xml:space="preserve"> 29 June</w:t>
      </w:r>
      <w:r>
        <w:t xml:space="preserve"> 202</w:t>
      </w:r>
      <w:r w:rsidR="00CC3BD2">
        <w:t>6</w:t>
      </w:r>
      <w:r>
        <w:t>.</w:t>
      </w:r>
    </w:p>
    <w:p w14:paraId="0233FB63" w14:textId="09CF4173" w:rsidR="007358B3" w:rsidRPr="00364618" w:rsidRDefault="007358B3" w:rsidP="007358B3">
      <w:pPr>
        <w:pStyle w:val="BodyText"/>
      </w:pPr>
      <w:r w:rsidRPr="00364618">
        <w:t xml:space="preserve">National Weather Service (2022). </w:t>
      </w:r>
      <w:r w:rsidR="00893D17">
        <w:t>‘</w:t>
      </w:r>
      <w:hyperlink r:id="rId22" w:history="1">
        <w:r w:rsidRPr="002750C0">
          <w:rPr>
            <w:rStyle w:val="Hyperlink"/>
            <w:color w:val="083E9C" w:themeColor="accent1"/>
          </w:rPr>
          <w:t>The Heat Index Equation</w:t>
        </w:r>
      </w:hyperlink>
      <w:r w:rsidR="00893D17" w:rsidRPr="00440278">
        <w:t>’</w:t>
      </w:r>
      <w:r w:rsidRPr="00364618">
        <w:t>. National Oceanic and Atmospheric Administration</w:t>
      </w:r>
      <w:r w:rsidR="00893D17">
        <w:t xml:space="preserve"> website</w:t>
      </w:r>
      <w:r w:rsidR="009E7CC1">
        <w:t>, accessed 29 June 2026</w:t>
      </w:r>
      <w:r w:rsidR="00893D17">
        <w:t xml:space="preserve">. </w:t>
      </w:r>
    </w:p>
    <w:p w14:paraId="36DF754F" w14:textId="1E28564C" w:rsidR="0076064B" w:rsidRDefault="007358B3" w:rsidP="007358B3">
      <w:pPr>
        <w:pStyle w:val="BodyText"/>
      </w:pPr>
      <w:r w:rsidRPr="00364618">
        <w:t>Opie K, Arena A, Leonard J, Shrestha</w:t>
      </w:r>
      <w:r w:rsidR="0053277E">
        <w:t xml:space="preserve"> </w:t>
      </w:r>
      <w:r w:rsidRPr="00364618">
        <w:t xml:space="preserve">D, Song Y, </w:t>
      </w:r>
      <w:proofErr w:type="spellStart"/>
      <w:r w:rsidRPr="00364618">
        <w:t>Swedosh</w:t>
      </w:r>
      <w:proofErr w:type="spellEnd"/>
      <w:r w:rsidRPr="00364618">
        <w:t xml:space="preserve"> W, Leighton B, Sarker C, Patel N</w:t>
      </w:r>
      <w:r w:rsidR="0053277E">
        <w:t xml:space="preserve"> and</w:t>
      </w:r>
      <w:r w:rsidRPr="00364618">
        <w:t xml:space="preserve"> Newnham G (2023)</w:t>
      </w:r>
      <w:r>
        <w:t>.</w:t>
      </w:r>
      <w:r w:rsidRPr="00364618">
        <w:t xml:space="preserve"> </w:t>
      </w:r>
      <w:r w:rsidR="0018639D" w:rsidRPr="00AE571E">
        <w:t>‘</w:t>
      </w:r>
      <w:r w:rsidRPr="002750C0">
        <w:t xml:space="preserve">Methodology for national bushfire hazard mapping </w:t>
      </w:r>
      <w:r w:rsidR="0018639D" w:rsidRPr="002750C0">
        <w:t>–</w:t>
      </w:r>
      <w:r w:rsidRPr="002750C0">
        <w:t xml:space="preserve"> National</w:t>
      </w:r>
      <w:r w:rsidR="0018639D" w:rsidRPr="002750C0">
        <w:t xml:space="preserve"> </w:t>
      </w:r>
      <w:r w:rsidRPr="002750C0">
        <w:t>Bushfire Intelligence Capability (NBIC) Stage 1</w:t>
      </w:r>
      <w:r w:rsidR="0018639D" w:rsidRPr="002750C0">
        <w:t>’</w:t>
      </w:r>
      <w:r w:rsidRPr="00364618">
        <w:t>. CSIRO</w:t>
      </w:r>
      <w:r w:rsidR="00AE571E">
        <w:t xml:space="preserve"> Research Publications </w:t>
      </w:r>
      <w:r w:rsidR="00082C32">
        <w:t>Repository</w:t>
      </w:r>
      <w:r w:rsidR="00D6501D">
        <w:t>,</w:t>
      </w:r>
      <w:r w:rsidRPr="00364618">
        <w:t xml:space="preserve"> </w:t>
      </w:r>
      <w:proofErr w:type="spellStart"/>
      <w:r w:rsidRPr="00364618">
        <w:t>csiro</w:t>
      </w:r>
      <w:proofErr w:type="spellEnd"/>
      <w:r w:rsidRPr="00364618">
        <w:t>: EP2023-2371</w:t>
      </w:r>
      <w:r w:rsidR="00893086">
        <w:t xml:space="preserve">, </w:t>
      </w:r>
      <w:hyperlink r:id="rId23" w:history="1">
        <w:r w:rsidR="00893086" w:rsidRPr="002750C0">
          <w:rPr>
            <w:rStyle w:val="Hyperlink"/>
            <w:color w:val="083E9C" w:themeColor="accent1"/>
          </w:rPr>
          <w:t>doi.org/10.25919/0h5f-2f14</w:t>
        </w:r>
      </w:hyperlink>
      <w:r w:rsidR="00893086">
        <w:t xml:space="preserve">. </w:t>
      </w:r>
    </w:p>
    <w:p w14:paraId="465F78FB" w14:textId="5698B2D7" w:rsidR="007358B3" w:rsidRDefault="004A4460" w:rsidP="007358B3">
      <w:pPr>
        <w:pStyle w:val="BodyText"/>
      </w:pPr>
      <w:r>
        <w:t>UWA [</w:t>
      </w:r>
      <w:r w:rsidR="007358B3">
        <w:t>The University of Western Australia</w:t>
      </w:r>
      <w:r>
        <w:t>]</w:t>
      </w:r>
      <w:r w:rsidR="005D4F01">
        <w:t xml:space="preserve"> (2018).</w:t>
      </w:r>
      <w:r w:rsidR="007358B3">
        <w:t xml:space="preserve"> </w:t>
      </w:r>
      <w:r w:rsidR="005D4F01">
        <w:t>‘</w:t>
      </w:r>
      <w:hyperlink r:id="rId24" w:history="1">
        <w:r w:rsidR="007358B3" w:rsidRPr="000D7AD0">
          <w:rPr>
            <w:rStyle w:val="Hyperlink"/>
            <w:color w:val="083E9C" w:themeColor="accent1"/>
          </w:rPr>
          <w:t>Extreme Sea Levels in Australia</w:t>
        </w:r>
      </w:hyperlink>
      <w:r w:rsidR="005D4F01">
        <w:t>’</w:t>
      </w:r>
      <w:r w:rsidR="007358B3">
        <w:t>, UWA</w:t>
      </w:r>
      <w:r w:rsidR="005D4F01">
        <w:t xml:space="preserve"> website</w:t>
      </w:r>
      <w:r w:rsidR="00507F8C">
        <w:t>,</w:t>
      </w:r>
      <w:r w:rsidR="007358B3">
        <w:t xml:space="preserve"> accessed </w:t>
      </w:r>
      <w:r w:rsidR="00D6501D">
        <w:t xml:space="preserve">29 June </w:t>
      </w:r>
      <w:r w:rsidR="007358B3">
        <w:t>202</w:t>
      </w:r>
      <w:r w:rsidR="00D6501D">
        <w:t>6</w:t>
      </w:r>
      <w:r w:rsidR="007358B3">
        <w:t>.</w:t>
      </w:r>
    </w:p>
    <w:p w14:paraId="0BF99917" w14:textId="6C296F92" w:rsidR="00D26248" w:rsidRDefault="007358B3" w:rsidP="007358B3">
      <w:pPr>
        <w:pStyle w:val="BodyText"/>
      </w:pPr>
      <w:r w:rsidRPr="00364618">
        <w:t xml:space="preserve">Wasko C, Westra S, Nathan R, Jakob D, Nielsen C, Evans J, Rodgers S, Ho M, </w:t>
      </w:r>
      <w:proofErr w:type="spellStart"/>
      <w:r w:rsidRPr="00364618">
        <w:t>Babister</w:t>
      </w:r>
      <w:proofErr w:type="spellEnd"/>
      <w:r w:rsidRPr="00364618">
        <w:t xml:space="preserve"> M, Dowdy A </w:t>
      </w:r>
      <w:r w:rsidR="00B16963">
        <w:t>and</w:t>
      </w:r>
      <w:r w:rsidRPr="00364618">
        <w:t xml:space="preserve"> Sharples W (2024).</w:t>
      </w:r>
      <w:r w:rsidR="00BC05D0">
        <w:t xml:space="preserve"> </w:t>
      </w:r>
      <w:r w:rsidR="006D49A8">
        <w:t>‘</w:t>
      </w:r>
      <w:r w:rsidR="00610292">
        <w:t xml:space="preserve">Book 1 Chapter 6: </w:t>
      </w:r>
      <w:hyperlink r:id="rId25" w:history="1">
        <w:r w:rsidR="006D49A8" w:rsidRPr="002750C0">
          <w:rPr>
            <w:rStyle w:val="Hyperlink"/>
            <w:color w:val="083E9C" w:themeColor="accent1"/>
          </w:rPr>
          <w:t>Climate Change Considerations</w:t>
        </w:r>
      </w:hyperlink>
      <w:r w:rsidR="006D49A8">
        <w:t>’</w:t>
      </w:r>
      <w:r w:rsidR="007A21F2">
        <w:t>,</w:t>
      </w:r>
      <w:r w:rsidR="006D49A8">
        <w:t xml:space="preserve"> </w:t>
      </w:r>
      <w:r w:rsidR="00610292" w:rsidRPr="00610292">
        <w:t xml:space="preserve">Ball J, </w:t>
      </w:r>
      <w:proofErr w:type="spellStart"/>
      <w:r w:rsidR="00610292" w:rsidRPr="00610292">
        <w:t>Babister</w:t>
      </w:r>
      <w:proofErr w:type="spellEnd"/>
      <w:r w:rsidR="00610292" w:rsidRPr="00610292">
        <w:t xml:space="preserve"> M, Nathan R, Weeks W, Weinmann E, Retallick M</w:t>
      </w:r>
      <w:r w:rsidR="00610292">
        <w:t xml:space="preserve"> and</w:t>
      </w:r>
      <w:r w:rsidR="00610292" w:rsidRPr="00610292">
        <w:t xml:space="preserve"> </w:t>
      </w:r>
      <w:proofErr w:type="spellStart"/>
      <w:r w:rsidR="00610292" w:rsidRPr="00610292">
        <w:t>Testoni</w:t>
      </w:r>
      <w:proofErr w:type="spellEnd"/>
      <w:r w:rsidR="00610292" w:rsidRPr="00610292">
        <w:t xml:space="preserve"> I (</w:t>
      </w:r>
      <w:r w:rsidR="00610292">
        <w:t>eds</w:t>
      </w:r>
      <w:r w:rsidR="00610292" w:rsidRPr="00610292">
        <w:t>)</w:t>
      </w:r>
      <w:r w:rsidR="00610292">
        <w:t>.</w:t>
      </w:r>
      <w:r w:rsidR="00610292" w:rsidRPr="00610292">
        <w:t xml:space="preserve"> </w:t>
      </w:r>
      <w:hyperlink r:id="rId26" w:history="1">
        <w:r w:rsidR="00610292" w:rsidRPr="002750C0">
          <w:rPr>
            <w:rStyle w:val="Hyperlink"/>
            <w:i/>
            <w:iCs/>
            <w:color w:val="083E9C" w:themeColor="accent1"/>
          </w:rPr>
          <w:t>Australian Rainfall and Runoff: A Guide to Flood Estimation</w:t>
        </w:r>
      </w:hyperlink>
      <w:r w:rsidR="00610292" w:rsidRPr="00610292">
        <w:t xml:space="preserve">, </w:t>
      </w:r>
      <w:r w:rsidR="00834505">
        <w:t>Geoscience Australia, accessed 29 June 2026</w:t>
      </w:r>
      <w:r w:rsidR="0057234C">
        <w:t>.</w:t>
      </w:r>
    </w:p>
    <w:p w14:paraId="0CAA1393" w14:textId="77777777" w:rsidR="00D26248" w:rsidRDefault="00D26248">
      <w:pPr>
        <w:spacing w:line="240" w:lineRule="auto"/>
      </w:pPr>
      <w:r>
        <w:br w:type="page"/>
      </w:r>
    </w:p>
    <w:p w14:paraId="7147D7A9" w14:textId="0A5CC261" w:rsidR="00D26248" w:rsidRDefault="00D26248">
      <w:pPr>
        <w:spacing w:line="240" w:lineRule="auto"/>
      </w:pPr>
      <w:r>
        <w:lastRenderedPageBreak/>
        <w:br w:type="page"/>
      </w:r>
    </w:p>
    <w:p w14:paraId="2399ADA6" w14:textId="2E9777FA" w:rsidR="00D26248" w:rsidRDefault="00D26248">
      <w:pPr>
        <w:spacing w:line="240" w:lineRule="auto"/>
      </w:pPr>
      <w:r>
        <w:lastRenderedPageBreak/>
        <w:br w:type="page"/>
      </w:r>
    </w:p>
    <w:p w14:paraId="03E28E83" w14:textId="77777777" w:rsidR="00A55627" w:rsidRPr="00A55627" w:rsidRDefault="00A55627" w:rsidP="007358B3">
      <w:pPr>
        <w:pStyle w:val="BodyText"/>
        <w:sectPr w:rsidR="00A55627" w:rsidRPr="00A55627" w:rsidSect="00842117">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0" w:h="16840"/>
          <w:pgMar w:top="1361" w:right="843" w:bottom="1474" w:left="1134" w:header="0" w:footer="364" w:gutter="0"/>
          <w:cols w:space="708"/>
          <w:titlePg/>
          <w:docGrid w:linePitch="360"/>
        </w:sectPr>
      </w:pPr>
    </w:p>
    <w:p w14:paraId="69111D13" w14:textId="4001A3DC" w:rsidR="00392A4D" w:rsidRPr="00BF1A21" w:rsidRDefault="009F6926" w:rsidP="007E72A6">
      <w:r>
        <w:rPr>
          <w:noProof/>
        </w:rPr>
        <w:lastRenderedPageBreak/>
        <w:drawing>
          <wp:anchor distT="0" distB="0" distL="114300" distR="114300" simplePos="0" relativeHeight="251658240" behindDoc="1" locked="0" layoutInCell="1" allowOverlap="1" wp14:anchorId="2E5DDEFB" wp14:editId="57807FB5">
            <wp:simplePos x="0" y="0"/>
            <wp:positionH relativeFrom="page">
              <wp:posOffset>-128270</wp:posOffset>
            </wp:positionH>
            <wp:positionV relativeFrom="page">
              <wp:posOffset>4445</wp:posOffset>
            </wp:positionV>
            <wp:extent cx="7684770" cy="10861675"/>
            <wp:effectExtent l="0" t="0" r="0" b="0"/>
            <wp:wrapNone/>
            <wp:docPr id="499333056" name="Picture 6" descr="Australian Centre for Disease Control end of report page. In bottle green col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333056" name="Picture 6" descr="Australian Centre for Disease Control end of report page. In bottle green colour.  "/>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684770" cy="10861675"/>
                    </a:xfrm>
                    <a:prstGeom prst="rect">
                      <a:avLst/>
                    </a:prstGeom>
                  </pic:spPr>
                </pic:pic>
              </a:graphicData>
            </a:graphic>
            <wp14:sizeRelH relativeFrom="page">
              <wp14:pctWidth>0</wp14:pctWidth>
            </wp14:sizeRelH>
            <wp14:sizeRelV relativeFrom="page">
              <wp14:pctHeight>0</wp14:pctHeight>
            </wp14:sizeRelV>
          </wp:anchor>
        </w:drawing>
      </w:r>
    </w:p>
    <w:sectPr w:rsidR="00392A4D" w:rsidRPr="00BF1A21" w:rsidSect="003C415F">
      <w:footerReference w:type="default" r:id="rId34"/>
      <w:pgSz w:w="11900" w:h="16840" w:code="9"/>
      <w:pgMar w:top="1276" w:right="934" w:bottom="1135" w:left="147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7BFAE" w14:textId="77777777" w:rsidR="00B00245" w:rsidRDefault="00B00245" w:rsidP="00BD640A">
      <w:pPr>
        <w:spacing w:line="240" w:lineRule="auto"/>
      </w:pPr>
      <w:r>
        <w:separator/>
      </w:r>
    </w:p>
  </w:endnote>
  <w:endnote w:type="continuationSeparator" w:id="0">
    <w:p w14:paraId="3A94DAA9" w14:textId="77777777" w:rsidR="00B00245" w:rsidRDefault="00B00245" w:rsidP="00BD64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BCE1D" w14:textId="77777777" w:rsidR="000D71BB" w:rsidRDefault="005F6735">
    <w:pPr>
      <w:pStyle w:val="Footer"/>
    </w:pPr>
    <w:r>
      <w:rPr>
        <w:noProof/>
      </w:rPr>
      <mc:AlternateContent>
        <mc:Choice Requires="wps">
          <w:drawing>
            <wp:anchor distT="0" distB="0" distL="0" distR="0" simplePos="0" relativeHeight="251658246" behindDoc="0" locked="0" layoutInCell="1" allowOverlap="1" wp14:anchorId="3E2AA04F" wp14:editId="3709534B">
              <wp:simplePos x="635" y="635"/>
              <wp:positionH relativeFrom="page">
                <wp:align>center</wp:align>
              </wp:positionH>
              <wp:positionV relativeFrom="page">
                <wp:align>bottom</wp:align>
              </wp:positionV>
              <wp:extent cx="622300" cy="480695"/>
              <wp:effectExtent l="0" t="0" r="6350" b="0"/>
              <wp:wrapNone/>
              <wp:docPr id="190511158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AFB8ED5" w14:textId="77777777" w:rsidR="005F6735" w:rsidRPr="005F6735" w:rsidRDefault="005F6735" w:rsidP="005F6735">
                          <w:pPr>
                            <w:rPr>
                              <w:rFonts w:ascii="Aptos" w:eastAsia="Aptos" w:hAnsi="Aptos" w:cs="Aptos"/>
                              <w:noProof/>
                              <w:color w:val="FF0000"/>
                            </w:rPr>
                          </w:pPr>
                          <w:r w:rsidRPr="005F6735">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2AA04F" id="_x0000_t202" coordsize="21600,21600" o:spt="202" path="m,l,21600r21600,l21600,xe">
              <v:stroke joinstyle="miter"/>
              <v:path gradientshapeok="t" o:connecttype="rect"/>
            </v:shapetype>
            <v:shape id="Text Box 6" o:spid="_x0000_s1027" type="#_x0000_t202" alt="OFFICIAL" style="position:absolute;margin-left:0;margin-top:0;width:49pt;height:37.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rXsf3gwCAAAcBAAA&#10;DgAAAAAAAAAAAAAAAAAuAgAAZHJzL2Uyb0RvYy54bWxQSwECLQAUAAYACAAAACEAHblB0doAAAAD&#10;AQAADwAAAAAAAAAAAAAAAABmBAAAZHJzL2Rvd25yZXYueG1sUEsFBgAAAAAEAAQA8wAAAG0FAAAA&#10;AA==&#10;" filled="f" stroked="f">
              <v:textbox style="mso-fit-shape-to-text:t" inset="0,0,0,15pt">
                <w:txbxContent>
                  <w:p w14:paraId="0AFB8ED5" w14:textId="77777777" w:rsidR="005F6735" w:rsidRPr="005F6735" w:rsidRDefault="005F6735" w:rsidP="005F6735">
                    <w:pPr>
                      <w:rPr>
                        <w:rFonts w:ascii="Aptos" w:eastAsia="Aptos" w:hAnsi="Aptos" w:cs="Aptos"/>
                        <w:noProof/>
                        <w:color w:val="FF0000"/>
                      </w:rPr>
                    </w:pPr>
                    <w:r w:rsidRPr="005F6735">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BD24" w14:textId="437D8BB2" w:rsidR="00121E5A" w:rsidRPr="00426D0A" w:rsidRDefault="00100A34" w:rsidP="00E70694">
    <w:pPr>
      <w:pStyle w:val="Footer"/>
      <w:tabs>
        <w:tab w:val="clear" w:pos="4513"/>
        <w:tab w:val="clear" w:pos="9026"/>
        <w:tab w:val="right" w:pos="13892"/>
      </w:tabs>
      <w:ind w:left="-284" w:right="-291"/>
    </w:pPr>
    <w:r>
      <w:rPr>
        <w:rFonts w:ascii="Segoe UI Semibold" w:hAnsi="Segoe UI Semibold" w:cs="Segoe UI Semibold"/>
        <w:noProof/>
        <w:color w:val="FFFFFF" w:themeColor="background1"/>
      </w:rPr>
      <w:drawing>
        <wp:anchor distT="0" distB="0" distL="114300" distR="114300" simplePos="0" relativeHeight="251658243" behindDoc="1" locked="0" layoutInCell="1" allowOverlap="1" wp14:anchorId="7D950DCF" wp14:editId="00CBA2D0">
          <wp:simplePos x="0" y="0"/>
          <wp:positionH relativeFrom="margin">
            <wp:align>center</wp:align>
          </wp:positionH>
          <wp:positionV relativeFrom="paragraph">
            <wp:posOffset>-170815</wp:posOffset>
          </wp:positionV>
          <wp:extent cx="7912100" cy="681355"/>
          <wp:effectExtent l="0" t="0" r="0" b="4445"/>
          <wp:wrapNone/>
          <wp:docPr id="1442865076" name="Picture 4" descr="Australian Centre for Disease Control footer. In green col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865076" name="Picture 4" descr="Australian Centre for Disease Control footer. In green colour. "/>
                  <pic:cNvPicPr/>
                </pic:nvPicPr>
                <pic:blipFill>
                  <a:blip r:embed="rId1">
                    <a:extLst>
                      <a:ext uri="{28A0092B-C50C-407E-A947-70E740481C1C}">
                        <a14:useLocalDpi xmlns:a14="http://schemas.microsoft.com/office/drawing/2010/main" val="0"/>
                      </a:ext>
                    </a:extLst>
                  </a:blip>
                  <a:stretch>
                    <a:fillRect/>
                  </a:stretch>
                </pic:blipFill>
                <pic:spPr>
                  <a:xfrm>
                    <a:off x="0" y="0"/>
                    <a:ext cx="7912100" cy="681355"/>
                  </a:xfrm>
                  <a:prstGeom prst="rect">
                    <a:avLst/>
                  </a:prstGeom>
                </pic:spPr>
              </pic:pic>
            </a:graphicData>
          </a:graphic>
          <wp14:sizeRelH relativeFrom="page">
            <wp14:pctWidth>0</wp14:pctWidth>
          </wp14:sizeRelH>
          <wp14:sizeRelV relativeFrom="page">
            <wp14:pctHeight>0</wp14:pctHeight>
          </wp14:sizeRelV>
        </wp:anchor>
      </w:drawing>
    </w:r>
    <w:r w:rsidR="00121E5A" w:rsidRPr="00426D0A">
      <w:rPr>
        <w:rFonts w:ascii="Segoe UI Semibold" w:hAnsi="Segoe UI Semibold" w:cs="Segoe UI Semibold"/>
      </w:rPr>
      <w:t>Australian Centre for Disease Control</w:t>
    </w:r>
    <w:r w:rsidR="00121E5A" w:rsidRPr="00426D0A">
      <w:tab/>
    </w:r>
    <w:r w:rsidRPr="00426D0A">
      <w:t xml:space="preserve">  </w:t>
    </w:r>
    <w:r w:rsidR="00121E5A" w:rsidRPr="00426D0A">
      <w:rPr>
        <w:rFonts w:ascii="Segoe UI Semibold" w:hAnsi="Segoe UI Semibold" w:cs="Segoe UI Semibold"/>
      </w:rPr>
      <w:fldChar w:fldCharType="begin"/>
    </w:r>
    <w:r w:rsidR="00121E5A" w:rsidRPr="00426D0A">
      <w:rPr>
        <w:rFonts w:ascii="Segoe UI Semibold" w:hAnsi="Segoe UI Semibold" w:cs="Segoe UI Semibold"/>
      </w:rPr>
      <w:instrText xml:space="preserve"> PAGE   \* MERGEFORMAT </w:instrText>
    </w:r>
    <w:r w:rsidR="00121E5A" w:rsidRPr="00426D0A">
      <w:rPr>
        <w:rFonts w:ascii="Segoe UI Semibold" w:hAnsi="Segoe UI Semibold" w:cs="Segoe UI Semibold"/>
      </w:rPr>
      <w:fldChar w:fldCharType="separate"/>
    </w:r>
    <w:r w:rsidR="00121E5A" w:rsidRPr="00426D0A">
      <w:rPr>
        <w:rFonts w:ascii="Segoe UI Semibold" w:hAnsi="Segoe UI Semibold" w:cs="Segoe UI Semibold"/>
        <w:noProof/>
      </w:rPr>
      <w:t>1</w:t>
    </w:r>
    <w:r w:rsidR="00121E5A" w:rsidRPr="00426D0A">
      <w:rPr>
        <w:rFonts w:ascii="Segoe UI Semibold" w:hAnsi="Segoe UI Semibold" w:cs="Segoe UI Semibold"/>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35975" w14:textId="3C06448C" w:rsidR="004B339D" w:rsidRPr="00556327" w:rsidRDefault="004B339D" w:rsidP="00121E5A">
    <w:pPr>
      <w:pStyle w:val="Footer"/>
      <w:tabs>
        <w:tab w:val="clear" w:pos="4513"/>
        <w:tab w:val="clear" w:pos="9026"/>
        <w:tab w:val="right" w:pos="13892"/>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44221" w14:textId="77777777" w:rsidR="00381AD9" w:rsidRPr="000D7AD0" w:rsidRDefault="005F6735" w:rsidP="00381AD9">
    <w:pPr>
      <w:pStyle w:val="Footer"/>
      <w:tabs>
        <w:tab w:val="clear" w:pos="4513"/>
        <w:tab w:val="clear" w:pos="9026"/>
        <w:tab w:val="right" w:pos="13892"/>
      </w:tabs>
      <w:ind w:left="-284" w:right="-291"/>
    </w:pPr>
    <w:r>
      <w:rPr>
        <w:rFonts w:ascii="Segoe UI Semibold" w:hAnsi="Segoe UI Semibold" w:cs="Segoe UI Semibold"/>
        <w:noProof/>
        <w:color w:val="FFFFFF" w:themeColor="background1"/>
      </w:rPr>
      <mc:AlternateContent>
        <mc:Choice Requires="wps">
          <w:drawing>
            <wp:anchor distT="0" distB="0" distL="0" distR="0" simplePos="0" relativeHeight="251658247" behindDoc="0" locked="0" layoutInCell="1" allowOverlap="1" wp14:anchorId="01A3FD0D" wp14:editId="13F6D0B2">
              <wp:simplePos x="635" y="635"/>
              <wp:positionH relativeFrom="page">
                <wp:align>center</wp:align>
              </wp:positionH>
              <wp:positionV relativeFrom="page">
                <wp:align>bottom</wp:align>
              </wp:positionV>
              <wp:extent cx="622300" cy="480695"/>
              <wp:effectExtent l="0" t="0" r="6350" b="0"/>
              <wp:wrapNone/>
              <wp:docPr id="1684373964"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B51237B" w14:textId="77777777" w:rsidR="005F6735" w:rsidRPr="005F6735" w:rsidRDefault="005F6735" w:rsidP="005F6735">
                          <w:pPr>
                            <w:rPr>
                              <w:rFonts w:ascii="Aptos" w:eastAsia="Aptos" w:hAnsi="Aptos" w:cs="Aptos"/>
                              <w:noProof/>
                              <w:color w:val="FF0000"/>
                            </w:rPr>
                          </w:pPr>
                          <w:r w:rsidRPr="005F6735">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A3FD0D" id="_x0000_t202" coordsize="21600,21600" o:spt="202" path="m,l,21600r21600,l21600,xe">
              <v:stroke joinstyle="miter"/>
              <v:path gradientshapeok="t" o:connecttype="rect"/>
            </v:shapetype>
            <v:shape id="Text Box 9" o:spid="_x0000_s1028" type="#_x0000_t202" alt="OFFICIAL" style="position:absolute;left:0;text-align:left;margin-left:0;margin-top:0;width:49pt;height:37.8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filled="f" stroked="f">
              <v:textbox style="mso-fit-shape-to-text:t" inset="0,0,0,15pt">
                <w:txbxContent>
                  <w:p w14:paraId="4B51237B" w14:textId="77777777" w:rsidR="005F6735" w:rsidRPr="005F6735" w:rsidRDefault="005F6735" w:rsidP="005F6735">
                    <w:pPr>
                      <w:rPr>
                        <w:rFonts w:ascii="Aptos" w:eastAsia="Aptos" w:hAnsi="Aptos" w:cs="Aptos"/>
                        <w:noProof/>
                        <w:color w:val="FF0000"/>
                      </w:rPr>
                    </w:pPr>
                    <w:r w:rsidRPr="005F6735">
                      <w:rPr>
                        <w:rFonts w:ascii="Aptos" w:eastAsia="Aptos" w:hAnsi="Aptos" w:cs="Aptos"/>
                        <w:noProof/>
                        <w:color w:val="FF0000"/>
                      </w:rPr>
                      <w:t>OFFICIAL</w:t>
                    </w:r>
                  </w:p>
                </w:txbxContent>
              </v:textbox>
              <w10:wrap anchorx="page" anchory="page"/>
            </v:shape>
          </w:pict>
        </mc:Fallback>
      </mc:AlternateContent>
    </w:r>
    <w:r w:rsidR="00381AD9">
      <w:rPr>
        <w:rFonts w:ascii="Segoe UI Semibold" w:hAnsi="Segoe UI Semibold" w:cs="Segoe UI Semibold"/>
        <w:noProof/>
        <w:color w:val="FFFFFF" w:themeColor="background1"/>
      </w:rPr>
      <w:drawing>
        <wp:anchor distT="0" distB="0" distL="114300" distR="114300" simplePos="0" relativeHeight="251658244" behindDoc="1" locked="0" layoutInCell="1" allowOverlap="1" wp14:anchorId="080954E2" wp14:editId="5418D9C0">
          <wp:simplePos x="0" y="0"/>
          <wp:positionH relativeFrom="margin">
            <wp:align>center</wp:align>
          </wp:positionH>
          <wp:positionV relativeFrom="paragraph">
            <wp:posOffset>-170815</wp:posOffset>
          </wp:positionV>
          <wp:extent cx="7912100" cy="681355"/>
          <wp:effectExtent l="0" t="0" r="0" b="4445"/>
          <wp:wrapNone/>
          <wp:docPr id="2087420629" name="Picture 4" descr="Australian Centre for Disease Control footer. In green col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420629" name="Picture 4" descr="Australian Centre for Disease Control footer. In green colour. "/>
                  <pic:cNvPicPr/>
                </pic:nvPicPr>
                <pic:blipFill>
                  <a:blip r:embed="rId1">
                    <a:extLst>
                      <a:ext uri="{28A0092B-C50C-407E-A947-70E740481C1C}">
                        <a14:useLocalDpi xmlns:a14="http://schemas.microsoft.com/office/drawing/2010/main" val="0"/>
                      </a:ext>
                    </a:extLst>
                  </a:blip>
                  <a:stretch>
                    <a:fillRect/>
                  </a:stretch>
                </pic:blipFill>
                <pic:spPr>
                  <a:xfrm>
                    <a:off x="0" y="0"/>
                    <a:ext cx="7912100" cy="681355"/>
                  </a:xfrm>
                  <a:prstGeom prst="rect">
                    <a:avLst/>
                  </a:prstGeom>
                </pic:spPr>
              </pic:pic>
            </a:graphicData>
          </a:graphic>
          <wp14:sizeRelH relativeFrom="page">
            <wp14:pctWidth>0</wp14:pctWidth>
          </wp14:sizeRelH>
          <wp14:sizeRelV relativeFrom="page">
            <wp14:pctHeight>0</wp14:pctHeight>
          </wp14:sizeRelV>
        </wp:anchor>
      </w:drawing>
    </w:r>
    <w:r w:rsidR="00381AD9" w:rsidRPr="000D7AD0">
      <w:rPr>
        <w:rFonts w:ascii="Segoe UI Semibold" w:hAnsi="Segoe UI Semibold" w:cs="Segoe UI Semibold"/>
      </w:rPr>
      <w:t>Australian Centre for Disease Control</w:t>
    </w:r>
    <w:r w:rsidR="00381AD9" w:rsidRPr="000D7AD0">
      <w:tab/>
      <w:t xml:space="preserve">  </w:t>
    </w:r>
    <w:r w:rsidR="00381AD9" w:rsidRPr="000D7AD0">
      <w:rPr>
        <w:rFonts w:ascii="Segoe UI Semibold" w:hAnsi="Segoe UI Semibold" w:cs="Segoe UI Semibold"/>
      </w:rPr>
      <w:fldChar w:fldCharType="begin"/>
    </w:r>
    <w:r w:rsidR="00381AD9" w:rsidRPr="000D7AD0">
      <w:rPr>
        <w:rFonts w:ascii="Segoe UI Semibold" w:hAnsi="Segoe UI Semibold" w:cs="Segoe UI Semibold"/>
      </w:rPr>
      <w:instrText xml:space="preserve"> PAGE   \* MERGEFORMAT </w:instrText>
    </w:r>
    <w:r w:rsidR="00381AD9" w:rsidRPr="000D7AD0">
      <w:rPr>
        <w:rFonts w:ascii="Segoe UI Semibold" w:hAnsi="Segoe UI Semibold" w:cs="Segoe UI Semibold"/>
      </w:rPr>
      <w:fldChar w:fldCharType="separate"/>
    </w:r>
    <w:r w:rsidR="00381AD9" w:rsidRPr="000D7AD0">
      <w:rPr>
        <w:rFonts w:ascii="Segoe UI Semibold" w:hAnsi="Segoe UI Semibold" w:cs="Segoe UI Semibold"/>
      </w:rPr>
      <w:t>9</w:t>
    </w:r>
    <w:r w:rsidR="00381AD9" w:rsidRPr="000D7AD0">
      <w:rPr>
        <w:rFonts w:ascii="Segoe UI Semibold" w:hAnsi="Segoe UI Semibold" w:cs="Segoe UI Semibold"/>
        <w:noProof/>
      </w:rPr>
      <w:fldChar w:fldCharType="end"/>
    </w:r>
  </w:p>
  <w:p w14:paraId="7219C719" w14:textId="77777777" w:rsidR="0086733D" w:rsidRPr="000D7AD0" w:rsidRDefault="0086733D" w:rsidP="00AA4BE1">
    <w:pPr>
      <w:pStyle w:val="Footer"/>
      <w:tabs>
        <w:tab w:val="clear" w:pos="4513"/>
        <w:tab w:val="clear" w:pos="9026"/>
        <w:tab w:val="left" w:pos="11010"/>
        <w:tab w:val="right" w:pos="13892"/>
      </w:tabs>
      <w:ind w:left="-1418" w:right="-90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17877" w14:textId="77777777" w:rsidR="00B00245" w:rsidRDefault="00B00245" w:rsidP="00BD640A">
      <w:pPr>
        <w:spacing w:line="240" w:lineRule="auto"/>
      </w:pPr>
      <w:r>
        <w:separator/>
      </w:r>
    </w:p>
  </w:footnote>
  <w:footnote w:type="continuationSeparator" w:id="0">
    <w:p w14:paraId="7A5497EE" w14:textId="77777777" w:rsidR="00B00245" w:rsidRDefault="00B00245" w:rsidP="00BD64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BFE2A" w14:textId="77777777" w:rsidR="000D71BB" w:rsidRDefault="005F6735">
    <w:pPr>
      <w:pStyle w:val="Header"/>
    </w:pPr>
    <w:r>
      <w:rPr>
        <w:noProof/>
      </w:rPr>
      <mc:AlternateContent>
        <mc:Choice Requires="wps">
          <w:drawing>
            <wp:anchor distT="0" distB="0" distL="0" distR="0" simplePos="0" relativeHeight="251658245" behindDoc="0" locked="0" layoutInCell="1" allowOverlap="1" wp14:anchorId="7F1CC0FA" wp14:editId="44A3D03F">
              <wp:simplePos x="635" y="635"/>
              <wp:positionH relativeFrom="page">
                <wp:align>center</wp:align>
              </wp:positionH>
              <wp:positionV relativeFrom="page">
                <wp:align>top</wp:align>
              </wp:positionV>
              <wp:extent cx="622300" cy="480695"/>
              <wp:effectExtent l="0" t="0" r="6350" b="14605"/>
              <wp:wrapNone/>
              <wp:docPr id="169361536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90BEC0E" w14:textId="77777777" w:rsidR="005F6735" w:rsidRPr="005F6735" w:rsidRDefault="005F6735" w:rsidP="005F6735">
                          <w:pPr>
                            <w:rPr>
                              <w:rFonts w:ascii="Aptos" w:eastAsia="Aptos" w:hAnsi="Aptos" w:cs="Aptos"/>
                              <w:noProof/>
                              <w:color w:val="FF0000"/>
                            </w:rPr>
                          </w:pPr>
                          <w:r w:rsidRPr="005F673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1CC0FA" id="_x0000_t202" coordsize="21600,21600" o:spt="202" path="m,l,21600r21600,l21600,xe">
              <v:stroke joinstyle="miter"/>
              <v:path gradientshapeok="t" o:connecttype="rect"/>
            </v:shapetype>
            <v:shape id="Text Box 2" o:spid="_x0000_s1026" type="#_x0000_t202" alt="OFFICIAL" style="position:absolute;margin-left:0;margin-top:0;width:49pt;height:37.8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690BEC0E" w14:textId="77777777" w:rsidR="005F6735" w:rsidRPr="005F6735" w:rsidRDefault="005F6735" w:rsidP="005F6735">
                    <w:pPr>
                      <w:rPr>
                        <w:rFonts w:ascii="Aptos" w:eastAsia="Aptos" w:hAnsi="Aptos" w:cs="Aptos"/>
                        <w:noProof/>
                        <w:color w:val="FF0000"/>
                      </w:rPr>
                    </w:pPr>
                    <w:r w:rsidRPr="005F6735">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7807" w14:textId="3D3F44A8" w:rsidR="0073193E" w:rsidRDefault="0073193E" w:rsidP="00E70694">
    <w:pPr>
      <w:pStyle w:val="Header"/>
      <w:tabs>
        <w:tab w:val="clear" w:pos="4513"/>
        <w:tab w:val="clear" w:pos="9026"/>
        <w:tab w:val="right" w:pos="13892"/>
      </w:tabs>
    </w:pPr>
    <w:r>
      <w:rPr>
        <w:rFonts w:ascii="Segoe UI Semibold" w:hAnsi="Segoe UI Semibold" w:cs="Segoe UI Semibold"/>
        <w:noProof/>
        <w:color w:val="FFFFFF" w:themeColor="background1"/>
      </w:rPr>
      <w:drawing>
        <wp:anchor distT="0" distB="0" distL="114300" distR="114300" simplePos="0" relativeHeight="251658242" behindDoc="1" locked="0" layoutInCell="1" allowOverlap="1" wp14:anchorId="7F903F6F" wp14:editId="26405A54">
          <wp:simplePos x="0" y="0"/>
          <wp:positionH relativeFrom="page">
            <wp:posOffset>278912</wp:posOffset>
          </wp:positionH>
          <wp:positionV relativeFrom="paragraph">
            <wp:posOffset>-2383986</wp:posOffset>
          </wp:positionV>
          <wp:extent cx="11990300" cy="611505"/>
          <wp:effectExtent l="0" t="0" r="0" b="0"/>
          <wp:wrapNone/>
          <wp:docPr id="631371525" name="Picture 2" descr="Australian Centre for Disease Control footer. In green col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371525" name="Picture 2" descr="Australian Centre for Disease Control footer. In green colour. "/>
                  <pic:cNvPicPr/>
                </pic:nvPicPr>
                <pic:blipFill>
                  <a:blip r:embed="rId1">
                    <a:extLst>
                      <a:ext uri="{28A0092B-C50C-407E-A947-70E740481C1C}">
                        <a14:useLocalDpi xmlns:a14="http://schemas.microsoft.com/office/drawing/2010/main" val="0"/>
                      </a:ext>
                    </a:extLst>
                  </a:blip>
                  <a:stretch>
                    <a:fillRect/>
                  </a:stretch>
                </pic:blipFill>
                <pic:spPr>
                  <a:xfrm>
                    <a:off x="0" y="0"/>
                    <a:ext cx="11990300" cy="61150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47262" w14:textId="2FD24359" w:rsidR="00EA5EEB" w:rsidRDefault="006B13B3" w:rsidP="006B13B3">
    <w:pPr>
      <w:pStyle w:val="Header"/>
      <w:ind w:left="-1418"/>
    </w:pPr>
    <w:r w:rsidRPr="006B13B3">
      <w:rPr>
        <w:rFonts w:ascii="Segoe UI Semibold" w:hAnsi="Segoe UI Semibold" w:cs="Segoe UI Semibold"/>
        <w:noProof/>
      </w:rPr>
      <w:drawing>
        <wp:anchor distT="0" distB="0" distL="114300" distR="114300" simplePos="0" relativeHeight="251658241" behindDoc="1" locked="0" layoutInCell="1" allowOverlap="1" wp14:anchorId="34CD2922" wp14:editId="3C81E9AC">
          <wp:simplePos x="0" y="0"/>
          <wp:positionH relativeFrom="column">
            <wp:posOffset>-900821</wp:posOffset>
          </wp:positionH>
          <wp:positionV relativeFrom="paragraph">
            <wp:posOffset>0</wp:posOffset>
          </wp:positionV>
          <wp:extent cx="8776897" cy="12221845"/>
          <wp:effectExtent l="0" t="0" r="5715" b="8255"/>
          <wp:wrapNone/>
          <wp:docPr id="1207990432" name="Picture 1" descr="Australian Centre for Disease Control cover page. In green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990432" name="Picture 1" descr="Australian Centre for Disease Control cover page. In green and white."/>
                  <pic:cNvPicPr/>
                </pic:nvPicPr>
                <pic:blipFill>
                  <a:blip r:embed="rId1">
                    <a:extLst>
                      <a:ext uri="{28A0092B-C50C-407E-A947-70E740481C1C}">
                        <a14:useLocalDpi xmlns:a14="http://schemas.microsoft.com/office/drawing/2010/main" val="0"/>
                      </a:ext>
                    </a:extLst>
                  </a:blip>
                  <a:stretch>
                    <a:fillRect/>
                  </a:stretch>
                </pic:blipFill>
                <pic:spPr>
                  <a:xfrm>
                    <a:off x="0" y="0"/>
                    <a:ext cx="8776897" cy="122218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5613"/>
    <w:multiLevelType w:val="hybridMultilevel"/>
    <w:tmpl w:val="D6924574"/>
    <w:lvl w:ilvl="0" w:tplc="CB9816FA">
      <w:start w:val="1"/>
      <w:numFmt w:val="bullet"/>
      <w:lvlText w:val=""/>
      <w:lvlJc w:val="left"/>
      <w:pPr>
        <w:ind w:left="1020" w:hanging="360"/>
      </w:pPr>
      <w:rPr>
        <w:rFonts w:ascii="Symbol" w:hAnsi="Symbol"/>
      </w:rPr>
    </w:lvl>
    <w:lvl w:ilvl="1" w:tplc="B448CA1A">
      <w:start w:val="1"/>
      <w:numFmt w:val="bullet"/>
      <w:lvlText w:val=""/>
      <w:lvlJc w:val="left"/>
      <w:pPr>
        <w:ind w:left="1020" w:hanging="360"/>
      </w:pPr>
      <w:rPr>
        <w:rFonts w:ascii="Symbol" w:hAnsi="Symbol"/>
      </w:rPr>
    </w:lvl>
    <w:lvl w:ilvl="2" w:tplc="D058802E">
      <w:start w:val="1"/>
      <w:numFmt w:val="bullet"/>
      <w:lvlText w:val=""/>
      <w:lvlJc w:val="left"/>
      <w:pPr>
        <w:ind w:left="1020" w:hanging="360"/>
      </w:pPr>
      <w:rPr>
        <w:rFonts w:ascii="Symbol" w:hAnsi="Symbol"/>
      </w:rPr>
    </w:lvl>
    <w:lvl w:ilvl="3" w:tplc="CD42EFBA">
      <w:start w:val="1"/>
      <w:numFmt w:val="bullet"/>
      <w:lvlText w:val=""/>
      <w:lvlJc w:val="left"/>
      <w:pPr>
        <w:ind w:left="1020" w:hanging="360"/>
      </w:pPr>
      <w:rPr>
        <w:rFonts w:ascii="Symbol" w:hAnsi="Symbol"/>
      </w:rPr>
    </w:lvl>
    <w:lvl w:ilvl="4" w:tplc="70FCD722">
      <w:start w:val="1"/>
      <w:numFmt w:val="bullet"/>
      <w:lvlText w:val=""/>
      <w:lvlJc w:val="left"/>
      <w:pPr>
        <w:ind w:left="1020" w:hanging="360"/>
      </w:pPr>
      <w:rPr>
        <w:rFonts w:ascii="Symbol" w:hAnsi="Symbol"/>
      </w:rPr>
    </w:lvl>
    <w:lvl w:ilvl="5" w:tplc="C37CF5FA">
      <w:start w:val="1"/>
      <w:numFmt w:val="bullet"/>
      <w:lvlText w:val=""/>
      <w:lvlJc w:val="left"/>
      <w:pPr>
        <w:ind w:left="1020" w:hanging="360"/>
      </w:pPr>
      <w:rPr>
        <w:rFonts w:ascii="Symbol" w:hAnsi="Symbol"/>
      </w:rPr>
    </w:lvl>
    <w:lvl w:ilvl="6" w:tplc="0C708582">
      <w:start w:val="1"/>
      <w:numFmt w:val="bullet"/>
      <w:lvlText w:val=""/>
      <w:lvlJc w:val="left"/>
      <w:pPr>
        <w:ind w:left="1020" w:hanging="360"/>
      </w:pPr>
      <w:rPr>
        <w:rFonts w:ascii="Symbol" w:hAnsi="Symbol"/>
      </w:rPr>
    </w:lvl>
    <w:lvl w:ilvl="7" w:tplc="5D5061B6">
      <w:start w:val="1"/>
      <w:numFmt w:val="bullet"/>
      <w:lvlText w:val=""/>
      <w:lvlJc w:val="left"/>
      <w:pPr>
        <w:ind w:left="1020" w:hanging="360"/>
      </w:pPr>
      <w:rPr>
        <w:rFonts w:ascii="Symbol" w:hAnsi="Symbol"/>
      </w:rPr>
    </w:lvl>
    <w:lvl w:ilvl="8" w:tplc="E07EEA58">
      <w:start w:val="1"/>
      <w:numFmt w:val="bullet"/>
      <w:lvlText w:val=""/>
      <w:lvlJc w:val="left"/>
      <w:pPr>
        <w:ind w:left="1020" w:hanging="360"/>
      </w:pPr>
      <w:rPr>
        <w:rFonts w:ascii="Symbol" w:hAnsi="Symbol"/>
      </w:rPr>
    </w:lvl>
  </w:abstractNum>
  <w:abstractNum w:abstractNumId="1" w15:restartNumberingAfterBreak="0">
    <w:nsid w:val="18A8184B"/>
    <w:multiLevelType w:val="multilevel"/>
    <w:tmpl w:val="ADE0FE30"/>
    <w:styleLink w:val="CurrentList1"/>
    <w:lvl w:ilvl="0">
      <w:start w:val="1"/>
      <w:numFmt w:val="decimal"/>
      <w:lvlText w:val="Number %1."/>
      <w:lvlJc w:val="left"/>
      <w:pPr>
        <w:tabs>
          <w:tab w:val="num" w:pos="1247"/>
        </w:tabs>
        <w:ind w:left="1247" w:hanging="124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4C2938"/>
    <w:multiLevelType w:val="hybridMultilevel"/>
    <w:tmpl w:val="F0F477E4"/>
    <w:lvl w:ilvl="0" w:tplc="E7ECDCD0">
      <w:start w:val="1"/>
      <w:numFmt w:val="decimal"/>
      <w:lvlText w:val="%1)"/>
      <w:lvlJc w:val="left"/>
      <w:pPr>
        <w:ind w:left="1020" w:hanging="360"/>
      </w:pPr>
    </w:lvl>
    <w:lvl w:ilvl="1" w:tplc="99CA4C24">
      <w:start w:val="1"/>
      <w:numFmt w:val="decimal"/>
      <w:lvlText w:val="%2)"/>
      <w:lvlJc w:val="left"/>
      <w:pPr>
        <w:ind w:left="1020" w:hanging="360"/>
      </w:pPr>
    </w:lvl>
    <w:lvl w:ilvl="2" w:tplc="9124B2B8">
      <w:start w:val="1"/>
      <w:numFmt w:val="decimal"/>
      <w:lvlText w:val="%3)"/>
      <w:lvlJc w:val="left"/>
      <w:pPr>
        <w:ind w:left="1020" w:hanging="360"/>
      </w:pPr>
    </w:lvl>
    <w:lvl w:ilvl="3" w:tplc="E6669C6A">
      <w:start w:val="1"/>
      <w:numFmt w:val="decimal"/>
      <w:lvlText w:val="%4)"/>
      <w:lvlJc w:val="left"/>
      <w:pPr>
        <w:ind w:left="1020" w:hanging="360"/>
      </w:pPr>
    </w:lvl>
    <w:lvl w:ilvl="4" w:tplc="382C47A4">
      <w:start w:val="1"/>
      <w:numFmt w:val="decimal"/>
      <w:lvlText w:val="%5)"/>
      <w:lvlJc w:val="left"/>
      <w:pPr>
        <w:ind w:left="1020" w:hanging="360"/>
      </w:pPr>
    </w:lvl>
    <w:lvl w:ilvl="5" w:tplc="B61246D6">
      <w:start w:val="1"/>
      <w:numFmt w:val="decimal"/>
      <w:lvlText w:val="%6)"/>
      <w:lvlJc w:val="left"/>
      <w:pPr>
        <w:ind w:left="1020" w:hanging="360"/>
      </w:pPr>
    </w:lvl>
    <w:lvl w:ilvl="6" w:tplc="DD5469B4">
      <w:start w:val="1"/>
      <w:numFmt w:val="decimal"/>
      <w:lvlText w:val="%7)"/>
      <w:lvlJc w:val="left"/>
      <w:pPr>
        <w:ind w:left="1020" w:hanging="360"/>
      </w:pPr>
    </w:lvl>
    <w:lvl w:ilvl="7" w:tplc="7DFCCF62">
      <w:start w:val="1"/>
      <w:numFmt w:val="decimal"/>
      <w:lvlText w:val="%8)"/>
      <w:lvlJc w:val="left"/>
      <w:pPr>
        <w:ind w:left="1020" w:hanging="360"/>
      </w:pPr>
    </w:lvl>
    <w:lvl w:ilvl="8" w:tplc="5E2E7C0A">
      <w:start w:val="1"/>
      <w:numFmt w:val="decimal"/>
      <w:lvlText w:val="%9)"/>
      <w:lvlJc w:val="left"/>
      <w:pPr>
        <w:ind w:left="1020" w:hanging="360"/>
      </w:pPr>
    </w:lvl>
  </w:abstractNum>
  <w:abstractNum w:abstractNumId="3" w15:restartNumberingAfterBreak="0">
    <w:nsid w:val="1E1E1B72"/>
    <w:multiLevelType w:val="hybridMultilevel"/>
    <w:tmpl w:val="4FCA55D2"/>
    <w:lvl w:ilvl="0" w:tplc="F3386636">
      <w:start w:val="1"/>
      <w:numFmt w:val="decimal"/>
      <w:lvlText w:val="%1."/>
      <w:lvlJc w:val="left"/>
      <w:pPr>
        <w:ind w:left="1020" w:hanging="360"/>
      </w:pPr>
    </w:lvl>
    <w:lvl w:ilvl="1" w:tplc="BA4EE570">
      <w:start w:val="1"/>
      <w:numFmt w:val="decimal"/>
      <w:lvlText w:val="%2."/>
      <w:lvlJc w:val="left"/>
      <w:pPr>
        <w:ind w:left="1020" w:hanging="360"/>
      </w:pPr>
    </w:lvl>
    <w:lvl w:ilvl="2" w:tplc="A594C80C">
      <w:start w:val="1"/>
      <w:numFmt w:val="decimal"/>
      <w:lvlText w:val="%3."/>
      <w:lvlJc w:val="left"/>
      <w:pPr>
        <w:ind w:left="1020" w:hanging="360"/>
      </w:pPr>
    </w:lvl>
    <w:lvl w:ilvl="3" w:tplc="F29E5E8A">
      <w:start w:val="1"/>
      <w:numFmt w:val="decimal"/>
      <w:lvlText w:val="%4."/>
      <w:lvlJc w:val="left"/>
      <w:pPr>
        <w:ind w:left="1020" w:hanging="360"/>
      </w:pPr>
    </w:lvl>
    <w:lvl w:ilvl="4" w:tplc="51C2FAB4">
      <w:start w:val="1"/>
      <w:numFmt w:val="decimal"/>
      <w:lvlText w:val="%5."/>
      <w:lvlJc w:val="left"/>
      <w:pPr>
        <w:ind w:left="1020" w:hanging="360"/>
      </w:pPr>
    </w:lvl>
    <w:lvl w:ilvl="5" w:tplc="53A0B9B2">
      <w:start w:val="1"/>
      <w:numFmt w:val="decimal"/>
      <w:lvlText w:val="%6."/>
      <w:lvlJc w:val="left"/>
      <w:pPr>
        <w:ind w:left="1020" w:hanging="360"/>
      </w:pPr>
    </w:lvl>
    <w:lvl w:ilvl="6" w:tplc="785E1D62">
      <w:start w:val="1"/>
      <w:numFmt w:val="decimal"/>
      <w:lvlText w:val="%7."/>
      <w:lvlJc w:val="left"/>
      <w:pPr>
        <w:ind w:left="1020" w:hanging="360"/>
      </w:pPr>
    </w:lvl>
    <w:lvl w:ilvl="7" w:tplc="A9CEF31A">
      <w:start w:val="1"/>
      <w:numFmt w:val="decimal"/>
      <w:lvlText w:val="%8."/>
      <w:lvlJc w:val="left"/>
      <w:pPr>
        <w:ind w:left="1020" w:hanging="360"/>
      </w:pPr>
    </w:lvl>
    <w:lvl w:ilvl="8" w:tplc="F10CEB32">
      <w:start w:val="1"/>
      <w:numFmt w:val="decimal"/>
      <w:lvlText w:val="%9."/>
      <w:lvlJc w:val="left"/>
      <w:pPr>
        <w:ind w:left="1020" w:hanging="360"/>
      </w:pPr>
    </w:lvl>
  </w:abstractNum>
  <w:abstractNum w:abstractNumId="4" w15:restartNumberingAfterBreak="0">
    <w:nsid w:val="1F87392D"/>
    <w:multiLevelType w:val="hybridMultilevel"/>
    <w:tmpl w:val="C5D0334A"/>
    <w:lvl w:ilvl="0" w:tplc="FEC45572">
      <w:start w:val="1"/>
      <w:numFmt w:val="lowerRoman"/>
      <w:pStyle w:val="RomanNumeralsList"/>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2422580D"/>
    <w:multiLevelType w:val="hybridMultilevel"/>
    <w:tmpl w:val="6E4848B4"/>
    <w:lvl w:ilvl="0" w:tplc="87C62482">
      <w:start w:val="1"/>
      <w:numFmt w:val="decimal"/>
      <w:lvlText w:val="%1)"/>
      <w:lvlJc w:val="left"/>
      <w:pPr>
        <w:ind w:left="1020" w:hanging="360"/>
      </w:pPr>
    </w:lvl>
    <w:lvl w:ilvl="1" w:tplc="E8E68704">
      <w:start w:val="1"/>
      <w:numFmt w:val="decimal"/>
      <w:lvlText w:val="%2)"/>
      <w:lvlJc w:val="left"/>
      <w:pPr>
        <w:ind w:left="1020" w:hanging="360"/>
      </w:pPr>
    </w:lvl>
    <w:lvl w:ilvl="2" w:tplc="44E68646">
      <w:start w:val="1"/>
      <w:numFmt w:val="decimal"/>
      <w:lvlText w:val="%3)"/>
      <w:lvlJc w:val="left"/>
      <w:pPr>
        <w:ind w:left="1020" w:hanging="360"/>
      </w:pPr>
    </w:lvl>
    <w:lvl w:ilvl="3" w:tplc="8B06C692">
      <w:start w:val="1"/>
      <w:numFmt w:val="decimal"/>
      <w:lvlText w:val="%4)"/>
      <w:lvlJc w:val="left"/>
      <w:pPr>
        <w:ind w:left="1020" w:hanging="360"/>
      </w:pPr>
    </w:lvl>
    <w:lvl w:ilvl="4" w:tplc="820477EA">
      <w:start w:val="1"/>
      <w:numFmt w:val="decimal"/>
      <w:lvlText w:val="%5)"/>
      <w:lvlJc w:val="left"/>
      <w:pPr>
        <w:ind w:left="1020" w:hanging="360"/>
      </w:pPr>
    </w:lvl>
    <w:lvl w:ilvl="5" w:tplc="E774D3A6">
      <w:start w:val="1"/>
      <w:numFmt w:val="decimal"/>
      <w:lvlText w:val="%6)"/>
      <w:lvlJc w:val="left"/>
      <w:pPr>
        <w:ind w:left="1020" w:hanging="360"/>
      </w:pPr>
    </w:lvl>
    <w:lvl w:ilvl="6" w:tplc="2C16CEF6">
      <w:start w:val="1"/>
      <w:numFmt w:val="decimal"/>
      <w:lvlText w:val="%7)"/>
      <w:lvlJc w:val="left"/>
      <w:pPr>
        <w:ind w:left="1020" w:hanging="360"/>
      </w:pPr>
    </w:lvl>
    <w:lvl w:ilvl="7" w:tplc="6598E190">
      <w:start w:val="1"/>
      <w:numFmt w:val="decimal"/>
      <w:lvlText w:val="%8)"/>
      <w:lvlJc w:val="left"/>
      <w:pPr>
        <w:ind w:left="1020" w:hanging="360"/>
      </w:pPr>
    </w:lvl>
    <w:lvl w:ilvl="8" w:tplc="01E4DEDE">
      <w:start w:val="1"/>
      <w:numFmt w:val="decimal"/>
      <w:lvlText w:val="%9)"/>
      <w:lvlJc w:val="left"/>
      <w:pPr>
        <w:ind w:left="1020" w:hanging="360"/>
      </w:pPr>
    </w:lvl>
  </w:abstractNum>
  <w:abstractNum w:abstractNumId="6" w15:restartNumberingAfterBreak="0">
    <w:nsid w:val="31BA751C"/>
    <w:multiLevelType w:val="hybridMultilevel"/>
    <w:tmpl w:val="26AA8D5E"/>
    <w:lvl w:ilvl="0" w:tplc="B124430A">
      <w:start w:val="1"/>
      <w:numFmt w:val="lowerLetter"/>
      <w:pStyle w:val="RomanLetterList"/>
      <w:lvlText w:val="%1."/>
      <w:lvlJc w:val="left"/>
      <w:pPr>
        <w:ind w:left="360" w:hanging="360"/>
      </w:pPr>
      <w:rPr>
        <w:rFonts w:hint="default"/>
      </w:rPr>
    </w:lvl>
    <w:lvl w:ilvl="1" w:tplc="0F7EAF06">
      <w:start w:val="1"/>
      <w:numFmt w:val="lowerRoman"/>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48468BD"/>
    <w:multiLevelType w:val="hybridMultilevel"/>
    <w:tmpl w:val="E3E087F0"/>
    <w:lvl w:ilvl="0" w:tplc="805CC900">
      <w:start w:val="1"/>
      <w:numFmt w:val="bullet"/>
      <w:lvlText w:val=""/>
      <w:lvlJc w:val="left"/>
      <w:pPr>
        <w:ind w:left="1020" w:hanging="360"/>
      </w:pPr>
      <w:rPr>
        <w:rFonts w:ascii="Symbol" w:hAnsi="Symbol"/>
      </w:rPr>
    </w:lvl>
    <w:lvl w:ilvl="1" w:tplc="B9EAE770">
      <w:start w:val="1"/>
      <w:numFmt w:val="bullet"/>
      <w:lvlText w:val=""/>
      <w:lvlJc w:val="left"/>
      <w:pPr>
        <w:ind w:left="1020" w:hanging="360"/>
      </w:pPr>
      <w:rPr>
        <w:rFonts w:ascii="Symbol" w:hAnsi="Symbol"/>
      </w:rPr>
    </w:lvl>
    <w:lvl w:ilvl="2" w:tplc="63F4E552">
      <w:start w:val="1"/>
      <w:numFmt w:val="bullet"/>
      <w:lvlText w:val=""/>
      <w:lvlJc w:val="left"/>
      <w:pPr>
        <w:ind w:left="1020" w:hanging="360"/>
      </w:pPr>
      <w:rPr>
        <w:rFonts w:ascii="Symbol" w:hAnsi="Symbol"/>
      </w:rPr>
    </w:lvl>
    <w:lvl w:ilvl="3" w:tplc="3D960436">
      <w:start w:val="1"/>
      <w:numFmt w:val="bullet"/>
      <w:lvlText w:val=""/>
      <w:lvlJc w:val="left"/>
      <w:pPr>
        <w:ind w:left="1020" w:hanging="360"/>
      </w:pPr>
      <w:rPr>
        <w:rFonts w:ascii="Symbol" w:hAnsi="Symbol"/>
      </w:rPr>
    </w:lvl>
    <w:lvl w:ilvl="4" w:tplc="0166F8FC">
      <w:start w:val="1"/>
      <w:numFmt w:val="bullet"/>
      <w:lvlText w:val=""/>
      <w:lvlJc w:val="left"/>
      <w:pPr>
        <w:ind w:left="1020" w:hanging="360"/>
      </w:pPr>
      <w:rPr>
        <w:rFonts w:ascii="Symbol" w:hAnsi="Symbol"/>
      </w:rPr>
    </w:lvl>
    <w:lvl w:ilvl="5" w:tplc="84D45D80">
      <w:start w:val="1"/>
      <w:numFmt w:val="bullet"/>
      <w:lvlText w:val=""/>
      <w:lvlJc w:val="left"/>
      <w:pPr>
        <w:ind w:left="1020" w:hanging="360"/>
      </w:pPr>
      <w:rPr>
        <w:rFonts w:ascii="Symbol" w:hAnsi="Symbol"/>
      </w:rPr>
    </w:lvl>
    <w:lvl w:ilvl="6" w:tplc="7EA05276">
      <w:start w:val="1"/>
      <w:numFmt w:val="bullet"/>
      <w:lvlText w:val=""/>
      <w:lvlJc w:val="left"/>
      <w:pPr>
        <w:ind w:left="1020" w:hanging="360"/>
      </w:pPr>
      <w:rPr>
        <w:rFonts w:ascii="Symbol" w:hAnsi="Symbol"/>
      </w:rPr>
    </w:lvl>
    <w:lvl w:ilvl="7" w:tplc="F15C1434">
      <w:start w:val="1"/>
      <w:numFmt w:val="bullet"/>
      <w:lvlText w:val=""/>
      <w:lvlJc w:val="left"/>
      <w:pPr>
        <w:ind w:left="1020" w:hanging="360"/>
      </w:pPr>
      <w:rPr>
        <w:rFonts w:ascii="Symbol" w:hAnsi="Symbol"/>
      </w:rPr>
    </w:lvl>
    <w:lvl w:ilvl="8" w:tplc="65C82D9C">
      <w:start w:val="1"/>
      <w:numFmt w:val="bullet"/>
      <w:lvlText w:val=""/>
      <w:lvlJc w:val="left"/>
      <w:pPr>
        <w:ind w:left="1020" w:hanging="360"/>
      </w:pPr>
      <w:rPr>
        <w:rFonts w:ascii="Symbol" w:hAnsi="Symbol"/>
      </w:rPr>
    </w:lvl>
  </w:abstractNum>
  <w:abstractNum w:abstractNumId="8" w15:restartNumberingAfterBreak="0">
    <w:nsid w:val="35BA5AA2"/>
    <w:multiLevelType w:val="hybridMultilevel"/>
    <w:tmpl w:val="F95CD518"/>
    <w:lvl w:ilvl="0" w:tplc="DB46C786">
      <w:start w:val="1"/>
      <w:numFmt w:val="bullet"/>
      <w:lvlText w:val=""/>
      <w:lvlJc w:val="left"/>
      <w:pPr>
        <w:ind w:left="357" w:hanging="35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AD83BAF"/>
    <w:multiLevelType w:val="hybridMultilevel"/>
    <w:tmpl w:val="9342DD40"/>
    <w:lvl w:ilvl="0" w:tplc="4DECC438">
      <w:start w:val="1"/>
      <w:numFmt w:val="decimal"/>
      <w:pStyle w:val="Figureheading"/>
      <w:lvlText w:val="Figure %1."/>
      <w:lvlJc w:val="left"/>
      <w:pPr>
        <w:tabs>
          <w:tab w:val="num" w:pos="1247"/>
        </w:tabs>
        <w:ind w:left="1247" w:hanging="124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B03EB5"/>
    <w:multiLevelType w:val="hybridMultilevel"/>
    <w:tmpl w:val="C3F2A288"/>
    <w:lvl w:ilvl="0" w:tplc="1CB23032">
      <w:start w:val="1"/>
      <w:numFmt w:val="bullet"/>
      <w:pStyle w:val="Copyrightbulletlist"/>
      <w:lvlText w:val=""/>
      <w:lvlJc w:val="left"/>
      <w:pPr>
        <w:ind w:left="-414" w:hanging="360"/>
      </w:pPr>
      <w:rPr>
        <w:rFonts w:ascii="Symbol" w:hAnsi="Symbol" w:hint="default"/>
      </w:rPr>
    </w:lvl>
    <w:lvl w:ilvl="1" w:tplc="0C090003" w:tentative="1">
      <w:start w:val="1"/>
      <w:numFmt w:val="bullet"/>
      <w:lvlText w:val="o"/>
      <w:lvlJc w:val="left"/>
      <w:pPr>
        <w:ind w:left="306" w:hanging="360"/>
      </w:pPr>
      <w:rPr>
        <w:rFonts w:ascii="Courier New" w:hAnsi="Courier New" w:cs="Courier New" w:hint="default"/>
      </w:rPr>
    </w:lvl>
    <w:lvl w:ilvl="2" w:tplc="0C090005" w:tentative="1">
      <w:start w:val="1"/>
      <w:numFmt w:val="bullet"/>
      <w:lvlText w:val=""/>
      <w:lvlJc w:val="left"/>
      <w:pPr>
        <w:ind w:left="1026" w:hanging="360"/>
      </w:pPr>
      <w:rPr>
        <w:rFonts w:ascii="Wingdings" w:hAnsi="Wingdings" w:hint="default"/>
      </w:rPr>
    </w:lvl>
    <w:lvl w:ilvl="3" w:tplc="0C090001" w:tentative="1">
      <w:start w:val="1"/>
      <w:numFmt w:val="bullet"/>
      <w:lvlText w:val=""/>
      <w:lvlJc w:val="left"/>
      <w:pPr>
        <w:ind w:left="1746" w:hanging="360"/>
      </w:pPr>
      <w:rPr>
        <w:rFonts w:ascii="Symbol" w:hAnsi="Symbol" w:hint="default"/>
      </w:rPr>
    </w:lvl>
    <w:lvl w:ilvl="4" w:tplc="0C090003" w:tentative="1">
      <w:start w:val="1"/>
      <w:numFmt w:val="bullet"/>
      <w:lvlText w:val="o"/>
      <w:lvlJc w:val="left"/>
      <w:pPr>
        <w:ind w:left="2466" w:hanging="360"/>
      </w:pPr>
      <w:rPr>
        <w:rFonts w:ascii="Courier New" w:hAnsi="Courier New" w:cs="Courier New" w:hint="default"/>
      </w:rPr>
    </w:lvl>
    <w:lvl w:ilvl="5" w:tplc="0C090005" w:tentative="1">
      <w:start w:val="1"/>
      <w:numFmt w:val="bullet"/>
      <w:lvlText w:val=""/>
      <w:lvlJc w:val="left"/>
      <w:pPr>
        <w:ind w:left="3186" w:hanging="360"/>
      </w:pPr>
      <w:rPr>
        <w:rFonts w:ascii="Wingdings" w:hAnsi="Wingdings" w:hint="default"/>
      </w:rPr>
    </w:lvl>
    <w:lvl w:ilvl="6" w:tplc="0C090001" w:tentative="1">
      <w:start w:val="1"/>
      <w:numFmt w:val="bullet"/>
      <w:lvlText w:val=""/>
      <w:lvlJc w:val="left"/>
      <w:pPr>
        <w:ind w:left="3906" w:hanging="360"/>
      </w:pPr>
      <w:rPr>
        <w:rFonts w:ascii="Symbol" w:hAnsi="Symbol" w:hint="default"/>
      </w:rPr>
    </w:lvl>
    <w:lvl w:ilvl="7" w:tplc="0C090003" w:tentative="1">
      <w:start w:val="1"/>
      <w:numFmt w:val="bullet"/>
      <w:lvlText w:val="o"/>
      <w:lvlJc w:val="left"/>
      <w:pPr>
        <w:ind w:left="4626" w:hanging="360"/>
      </w:pPr>
      <w:rPr>
        <w:rFonts w:ascii="Courier New" w:hAnsi="Courier New" w:cs="Courier New" w:hint="default"/>
      </w:rPr>
    </w:lvl>
    <w:lvl w:ilvl="8" w:tplc="0C090005" w:tentative="1">
      <w:start w:val="1"/>
      <w:numFmt w:val="bullet"/>
      <w:lvlText w:val=""/>
      <w:lvlJc w:val="left"/>
      <w:pPr>
        <w:ind w:left="5346" w:hanging="360"/>
      </w:pPr>
      <w:rPr>
        <w:rFonts w:ascii="Wingdings" w:hAnsi="Wingdings" w:hint="default"/>
      </w:rPr>
    </w:lvl>
  </w:abstractNum>
  <w:abstractNum w:abstractNumId="11" w15:restartNumberingAfterBreak="0">
    <w:nsid w:val="40AC3C0B"/>
    <w:multiLevelType w:val="hybridMultilevel"/>
    <w:tmpl w:val="83000874"/>
    <w:lvl w:ilvl="0" w:tplc="DC9873A8">
      <w:start w:val="1"/>
      <w:numFmt w:val="decimal"/>
      <w:pStyle w:val="ListParagraph"/>
      <w:lvlText w:val="%1."/>
      <w:lvlJc w:val="left"/>
      <w:pPr>
        <w:ind w:left="720" w:hanging="360"/>
      </w:pPr>
      <w:rPr>
        <w:rFonts w:ascii="Segoe UI" w:hAnsi="Segoe UI" w:hint="default"/>
        <w:sz w:val="24"/>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5C95755"/>
    <w:multiLevelType w:val="hybridMultilevel"/>
    <w:tmpl w:val="738AF930"/>
    <w:lvl w:ilvl="0" w:tplc="0E288CBE">
      <w:numFmt w:val="bullet"/>
      <w:pStyle w:val="BulletUnindented"/>
      <w:lvlText w:val=""/>
      <w:lvlJc w:val="left"/>
      <w:pPr>
        <w:ind w:left="360" w:hanging="360"/>
      </w:pPr>
      <w:rPr>
        <w:rFonts w:ascii="Symbol" w:eastAsiaTheme="minorHAnsi" w:hAnsi="Symbol" w:cs="Times New Roman" w:hint="default"/>
      </w:rPr>
    </w:lvl>
    <w:lvl w:ilvl="1" w:tplc="663A27BE">
      <w:start w:val="1"/>
      <w:numFmt w:val="bullet"/>
      <w:pStyle w:val="BulletIndent2"/>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7CF79C9"/>
    <w:multiLevelType w:val="hybridMultilevel"/>
    <w:tmpl w:val="C5224F9A"/>
    <w:lvl w:ilvl="0" w:tplc="4D24B2BC">
      <w:start w:val="1"/>
      <w:numFmt w:val="bullet"/>
      <w:lvlText w:val=""/>
      <w:lvlJc w:val="left"/>
      <w:pPr>
        <w:ind w:left="1020" w:hanging="360"/>
      </w:pPr>
      <w:rPr>
        <w:rFonts w:ascii="Symbol" w:hAnsi="Symbol"/>
      </w:rPr>
    </w:lvl>
    <w:lvl w:ilvl="1" w:tplc="512C70A2">
      <w:start w:val="1"/>
      <w:numFmt w:val="bullet"/>
      <w:lvlText w:val=""/>
      <w:lvlJc w:val="left"/>
      <w:pPr>
        <w:ind w:left="1020" w:hanging="360"/>
      </w:pPr>
      <w:rPr>
        <w:rFonts w:ascii="Symbol" w:hAnsi="Symbol"/>
      </w:rPr>
    </w:lvl>
    <w:lvl w:ilvl="2" w:tplc="8110EBE4">
      <w:start w:val="1"/>
      <w:numFmt w:val="bullet"/>
      <w:lvlText w:val=""/>
      <w:lvlJc w:val="left"/>
      <w:pPr>
        <w:ind w:left="1020" w:hanging="360"/>
      </w:pPr>
      <w:rPr>
        <w:rFonts w:ascii="Symbol" w:hAnsi="Symbol"/>
      </w:rPr>
    </w:lvl>
    <w:lvl w:ilvl="3" w:tplc="2668B38A">
      <w:start w:val="1"/>
      <w:numFmt w:val="bullet"/>
      <w:lvlText w:val=""/>
      <w:lvlJc w:val="left"/>
      <w:pPr>
        <w:ind w:left="1020" w:hanging="360"/>
      </w:pPr>
      <w:rPr>
        <w:rFonts w:ascii="Symbol" w:hAnsi="Symbol"/>
      </w:rPr>
    </w:lvl>
    <w:lvl w:ilvl="4" w:tplc="4D7AD618">
      <w:start w:val="1"/>
      <w:numFmt w:val="bullet"/>
      <w:lvlText w:val=""/>
      <w:lvlJc w:val="left"/>
      <w:pPr>
        <w:ind w:left="1020" w:hanging="360"/>
      </w:pPr>
      <w:rPr>
        <w:rFonts w:ascii="Symbol" w:hAnsi="Symbol"/>
      </w:rPr>
    </w:lvl>
    <w:lvl w:ilvl="5" w:tplc="108AF0B8">
      <w:start w:val="1"/>
      <w:numFmt w:val="bullet"/>
      <w:lvlText w:val=""/>
      <w:lvlJc w:val="left"/>
      <w:pPr>
        <w:ind w:left="1020" w:hanging="360"/>
      </w:pPr>
      <w:rPr>
        <w:rFonts w:ascii="Symbol" w:hAnsi="Symbol"/>
      </w:rPr>
    </w:lvl>
    <w:lvl w:ilvl="6" w:tplc="603684B8">
      <w:start w:val="1"/>
      <w:numFmt w:val="bullet"/>
      <w:lvlText w:val=""/>
      <w:lvlJc w:val="left"/>
      <w:pPr>
        <w:ind w:left="1020" w:hanging="360"/>
      </w:pPr>
      <w:rPr>
        <w:rFonts w:ascii="Symbol" w:hAnsi="Symbol"/>
      </w:rPr>
    </w:lvl>
    <w:lvl w:ilvl="7" w:tplc="E912D578">
      <w:start w:val="1"/>
      <w:numFmt w:val="bullet"/>
      <w:lvlText w:val=""/>
      <w:lvlJc w:val="left"/>
      <w:pPr>
        <w:ind w:left="1020" w:hanging="360"/>
      </w:pPr>
      <w:rPr>
        <w:rFonts w:ascii="Symbol" w:hAnsi="Symbol"/>
      </w:rPr>
    </w:lvl>
    <w:lvl w:ilvl="8" w:tplc="EEC8171C">
      <w:start w:val="1"/>
      <w:numFmt w:val="bullet"/>
      <w:lvlText w:val=""/>
      <w:lvlJc w:val="left"/>
      <w:pPr>
        <w:ind w:left="1020" w:hanging="360"/>
      </w:pPr>
      <w:rPr>
        <w:rFonts w:ascii="Symbol" w:hAnsi="Symbol"/>
      </w:rPr>
    </w:lvl>
  </w:abstractNum>
  <w:abstractNum w:abstractNumId="14" w15:restartNumberingAfterBreak="0">
    <w:nsid w:val="5D781683"/>
    <w:multiLevelType w:val="hybridMultilevel"/>
    <w:tmpl w:val="9AAA1A0C"/>
    <w:lvl w:ilvl="0" w:tplc="894A7646">
      <w:start w:val="1"/>
      <w:numFmt w:val="decimal"/>
      <w:lvlText w:val="%1)"/>
      <w:lvlJc w:val="left"/>
      <w:pPr>
        <w:ind w:left="1020" w:hanging="360"/>
      </w:pPr>
    </w:lvl>
    <w:lvl w:ilvl="1" w:tplc="D2FC9CE8">
      <w:start w:val="1"/>
      <w:numFmt w:val="decimal"/>
      <w:lvlText w:val="%2)"/>
      <w:lvlJc w:val="left"/>
      <w:pPr>
        <w:ind w:left="1020" w:hanging="360"/>
      </w:pPr>
    </w:lvl>
    <w:lvl w:ilvl="2" w:tplc="F07ED3D0">
      <w:start w:val="1"/>
      <w:numFmt w:val="decimal"/>
      <w:lvlText w:val="%3)"/>
      <w:lvlJc w:val="left"/>
      <w:pPr>
        <w:ind w:left="1020" w:hanging="360"/>
      </w:pPr>
    </w:lvl>
    <w:lvl w:ilvl="3" w:tplc="62ACCB2C">
      <w:start w:val="1"/>
      <w:numFmt w:val="decimal"/>
      <w:lvlText w:val="%4)"/>
      <w:lvlJc w:val="left"/>
      <w:pPr>
        <w:ind w:left="1020" w:hanging="360"/>
      </w:pPr>
    </w:lvl>
    <w:lvl w:ilvl="4" w:tplc="EC0ADF3A">
      <w:start w:val="1"/>
      <w:numFmt w:val="decimal"/>
      <w:lvlText w:val="%5)"/>
      <w:lvlJc w:val="left"/>
      <w:pPr>
        <w:ind w:left="1020" w:hanging="360"/>
      </w:pPr>
    </w:lvl>
    <w:lvl w:ilvl="5" w:tplc="42985168">
      <w:start w:val="1"/>
      <w:numFmt w:val="decimal"/>
      <w:lvlText w:val="%6)"/>
      <w:lvlJc w:val="left"/>
      <w:pPr>
        <w:ind w:left="1020" w:hanging="360"/>
      </w:pPr>
    </w:lvl>
    <w:lvl w:ilvl="6" w:tplc="9A6EEE32">
      <w:start w:val="1"/>
      <w:numFmt w:val="decimal"/>
      <w:lvlText w:val="%7)"/>
      <w:lvlJc w:val="left"/>
      <w:pPr>
        <w:ind w:left="1020" w:hanging="360"/>
      </w:pPr>
    </w:lvl>
    <w:lvl w:ilvl="7" w:tplc="B3C89978">
      <w:start w:val="1"/>
      <w:numFmt w:val="decimal"/>
      <w:lvlText w:val="%8)"/>
      <w:lvlJc w:val="left"/>
      <w:pPr>
        <w:ind w:left="1020" w:hanging="360"/>
      </w:pPr>
    </w:lvl>
    <w:lvl w:ilvl="8" w:tplc="022A8028">
      <w:start w:val="1"/>
      <w:numFmt w:val="decimal"/>
      <w:lvlText w:val="%9)"/>
      <w:lvlJc w:val="left"/>
      <w:pPr>
        <w:ind w:left="1020" w:hanging="360"/>
      </w:pPr>
    </w:lvl>
  </w:abstractNum>
  <w:abstractNum w:abstractNumId="15" w15:restartNumberingAfterBreak="0">
    <w:nsid w:val="5D820573"/>
    <w:multiLevelType w:val="hybridMultilevel"/>
    <w:tmpl w:val="3132B3A2"/>
    <w:lvl w:ilvl="0" w:tplc="C142832C">
      <w:start w:val="1"/>
      <w:numFmt w:val="decimal"/>
      <w:pStyle w:val="Tableheading"/>
      <w:lvlText w:val="Table %1."/>
      <w:lvlJc w:val="left"/>
      <w:pPr>
        <w:tabs>
          <w:tab w:val="num" w:pos="1247"/>
        </w:tabs>
        <w:ind w:left="1247" w:hanging="887"/>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5B3D30"/>
    <w:multiLevelType w:val="multilevel"/>
    <w:tmpl w:val="55E4A408"/>
    <w:styleLink w:val="CurrentLis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570517B"/>
    <w:multiLevelType w:val="hybridMultilevel"/>
    <w:tmpl w:val="28FC8ED4"/>
    <w:lvl w:ilvl="0" w:tplc="D8C46360">
      <w:start w:val="1"/>
      <w:numFmt w:val="bullet"/>
      <w:lvlText w:val=""/>
      <w:lvlJc w:val="left"/>
      <w:pPr>
        <w:ind w:left="720" w:hanging="360"/>
      </w:pPr>
      <w:rPr>
        <w:rFonts w:ascii="Symbol" w:hAnsi="Symbol"/>
      </w:rPr>
    </w:lvl>
    <w:lvl w:ilvl="1" w:tplc="BBFAE56C">
      <w:start w:val="1"/>
      <w:numFmt w:val="bullet"/>
      <w:lvlText w:val=""/>
      <w:lvlJc w:val="left"/>
      <w:pPr>
        <w:ind w:left="720" w:hanging="360"/>
      </w:pPr>
      <w:rPr>
        <w:rFonts w:ascii="Symbol" w:hAnsi="Symbol"/>
      </w:rPr>
    </w:lvl>
    <w:lvl w:ilvl="2" w:tplc="1534D938">
      <w:start w:val="1"/>
      <w:numFmt w:val="bullet"/>
      <w:lvlText w:val=""/>
      <w:lvlJc w:val="left"/>
      <w:pPr>
        <w:ind w:left="720" w:hanging="360"/>
      </w:pPr>
      <w:rPr>
        <w:rFonts w:ascii="Symbol" w:hAnsi="Symbol"/>
      </w:rPr>
    </w:lvl>
    <w:lvl w:ilvl="3" w:tplc="CA2EDD88">
      <w:start w:val="1"/>
      <w:numFmt w:val="bullet"/>
      <w:lvlText w:val=""/>
      <w:lvlJc w:val="left"/>
      <w:pPr>
        <w:ind w:left="720" w:hanging="360"/>
      </w:pPr>
      <w:rPr>
        <w:rFonts w:ascii="Symbol" w:hAnsi="Symbol"/>
      </w:rPr>
    </w:lvl>
    <w:lvl w:ilvl="4" w:tplc="3516E0DE">
      <w:start w:val="1"/>
      <w:numFmt w:val="bullet"/>
      <w:lvlText w:val=""/>
      <w:lvlJc w:val="left"/>
      <w:pPr>
        <w:ind w:left="720" w:hanging="360"/>
      </w:pPr>
      <w:rPr>
        <w:rFonts w:ascii="Symbol" w:hAnsi="Symbol"/>
      </w:rPr>
    </w:lvl>
    <w:lvl w:ilvl="5" w:tplc="497A1E90">
      <w:start w:val="1"/>
      <w:numFmt w:val="bullet"/>
      <w:lvlText w:val=""/>
      <w:lvlJc w:val="left"/>
      <w:pPr>
        <w:ind w:left="720" w:hanging="360"/>
      </w:pPr>
      <w:rPr>
        <w:rFonts w:ascii="Symbol" w:hAnsi="Symbol"/>
      </w:rPr>
    </w:lvl>
    <w:lvl w:ilvl="6" w:tplc="04847ABC">
      <w:start w:val="1"/>
      <w:numFmt w:val="bullet"/>
      <w:lvlText w:val=""/>
      <w:lvlJc w:val="left"/>
      <w:pPr>
        <w:ind w:left="720" w:hanging="360"/>
      </w:pPr>
      <w:rPr>
        <w:rFonts w:ascii="Symbol" w:hAnsi="Symbol"/>
      </w:rPr>
    </w:lvl>
    <w:lvl w:ilvl="7" w:tplc="10B075D6">
      <w:start w:val="1"/>
      <w:numFmt w:val="bullet"/>
      <w:lvlText w:val=""/>
      <w:lvlJc w:val="left"/>
      <w:pPr>
        <w:ind w:left="720" w:hanging="360"/>
      </w:pPr>
      <w:rPr>
        <w:rFonts w:ascii="Symbol" w:hAnsi="Symbol"/>
      </w:rPr>
    </w:lvl>
    <w:lvl w:ilvl="8" w:tplc="189A26F4">
      <w:start w:val="1"/>
      <w:numFmt w:val="bullet"/>
      <w:lvlText w:val=""/>
      <w:lvlJc w:val="left"/>
      <w:pPr>
        <w:ind w:left="720" w:hanging="360"/>
      </w:pPr>
      <w:rPr>
        <w:rFonts w:ascii="Symbol" w:hAnsi="Symbol"/>
      </w:rPr>
    </w:lvl>
  </w:abstractNum>
  <w:abstractNum w:abstractNumId="18" w15:restartNumberingAfterBreak="0">
    <w:nsid w:val="68014D6E"/>
    <w:multiLevelType w:val="hybridMultilevel"/>
    <w:tmpl w:val="50BCBE14"/>
    <w:lvl w:ilvl="0" w:tplc="AAF2B988">
      <w:start w:val="1"/>
      <w:numFmt w:val="decimal"/>
      <w:lvlText w:val="%1)"/>
      <w:lvlJc w:val="left"/>
      <w:pPr>
        <w:ind w:left="1020" w:hanging="360"/>
      </w:pPr>
    </w:lvl>
    <w:lvl w:ilvl="1" w:tplc="19289A04">
      <w:start w:val="1"/>
      <w:numFmt w:val="decimal"/>
      <w:lvlText w:val="%2)"/>
      <w:lvlJc w:val="left"/>
      <w:pPr>
        <w:ind w:left="1020" w:hanging="360"/>
      </w:pPr>
    </w:lvl>
    <w:lvl w:ilvl="2" w:tplc="F6721578">
      <w:start w:val="1"/>
      <w:numFmt w:val="decimal"/>
      <w:lvlText w:val="%3)"/>
      <w:lvlJc w:val="left"/>
      <w:pPr>
        <w:ind w:left="1020" w:hanging="360"/>
      </w:pPr>
    </w:lvl>
    <w:lvl w:ilvl="3" w:tplc="FE801034">
      <w:start w:val="1"/>
      <w:numFmt w:val="decimal"/>
      <w:lvlText w:val="%4)"/>
      <w:lvlJc w:val="left"/>
      <w:pPr>
        <w:ind w:left="1020" w:hanging="360"/>
      </w:pPr>
    </w:lvl>
    <w:lvl w:ilvl="4" w:tplc="04824C7C">
      <w:start w:val="1"/>
      <w:numFmt w:val="decimal"/>
      <w:lvlText w:val="%5)"/>
      <w:lvlJc w:val="left"/>
      <w:pPr>
        <w:ind w:left="1020" w:hanging="360"/>
      </w:pPr>
    </w:lvl>
    <w:lvl w:ilvl="5" w:tplc="B54E0A7C">
      <w:start w:val="1"/>
      <w:numFmt w:val="decimal"/>
      <w:lvlText w:val="%6)"/>
      <w:lvlJc w:val="left"/>
      <w:pPr>
        <w:ind w:left="1020" w:hanging="360"/>
      </w:pPr>
    </w:lvl>
    <w:lvl w:ilvl="6" w:tplc="AFB09812">
      <w:start w:val="1"/>
      <w:numFmt w:val="decimal"/>
      <w:lvlText w:val="%7)"/>
      <w:lvlJc w:val="left"/>
      <w:pPr>
        <w:ind w:left="1020" w:hanging="360"/>
      </w:pPr>
    </w:lvl>
    <w:lvl w:ilvl="7" w:tplc="689830A0">
      <w:start w:val="1"/>
      <w:numFmt w:val="decimal"/>
      <w:lvlText w:val="%8)"/>
      <w:lvlJc w:val="left"/>
      <w:pPr>
        <w:ind w:left="1020" w:hanging="360"/>
      </w:pPr>
    </w:lvl>
    <w:lvl w:ilvl="8" w:tplc="D2A20E8C">
      <w:start w:val="1"/>
      <w:numFmt w:val="decimal"/>
      <w:lvlText w:val="%9)"/>
      <w:lvlJc w:val="left"/>
      <w:pPr>
        <w:ind w:left="1020" w:hanging="360"/>
      </w:pPr>
    </w:lvl>
  </w:abstractNum>
  <w:abstractNum w:abstractNumId="19" w15:restartNumberingAfterBreak="0">
    <w:nsid w:val="6CF8287E"/>
    <w:multiLevelType w:val="hybridMultilevel"/>
    <w:tmpl w:val="19AE8E9A"/>
    <w:lvl w:ilvl="0" w:tplc="0D001382">
      <w:start w:val="1"/>
      <w:numFmt w:val="bullet"/>
      <w:pStyle w:val="Tablelist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821144484">
    <w:abstractNumId w:val="15"/>
  </w:num>
  <w:num w:numId="2" w16cid:durableId="1128666264">
    <w:abstractNumId w:val="9"/>
  </w:num>
  <w:num w:numId="3" w16cid:durableId="585654748">
    <w:abstractNumId w:val="1"/>
  </w:num>
  <w:num w:numId="4" w16cid:durableId="1672641317">
    <w:abstractNumId w:val="19"/>
  </w:num>
  <w:num w:numId="5" w16cid:durableId="197360763">
    <w:abstractNumId w:val="16"/>
  </w:num>
  <w:num w:numId="6" w16cid:durableId="991366926">
    <w:abstractNumId w:val="10"/>
  </w:num>
  <w:num w:numId="7" w16cid:durableId="959455771">
    <w:abstractNumId w:val="12"/>
  </w:num>
  <w:num w:numId="8" w16cid:durableId="1299342815">
    <w:abstractNumId w:val="6"/>
  </w:num>
  <w:num w:numId="9" w16cid:durableId="1992753956">
    <w:abstractNumId w:val="4"/>
    <w:lvlOverride w:ilvl="0">
      <w:startOverride w:val="1"/>
    </w:lvlOverride>
  </w:num>
  <w:num w:numId="10" w16cid:durableId="1167600657">
    <w:abstractNumId w:val="11"/>
  </w:num>
  <w:num w:numId="11" w16cid:durableId="893849730">
    <w:abstractNumId w:val="8"/>
  </w:num>
  <w:num w:numId="12" w16cid:durableId="1731685229">
    <w:abstractNumId w:val="0"/>
  </w:num>
  <w:num w:numId="13" w16cid:durableId="123620203">
    <w:abstractNumId w:val="13"/>
  </w:num>
  <w:num w:numId="14" w16cid:durableId="1792430665">
    <w:abstractNumId w:val="17"/>
  </w:num>
  <w:num w:numId="15" w16cid:durableId="416823716">
    <w:abstractNumId w:val="7"/>
  </w:num>
  <w:num w:numId="16" w16cid:durableId="978651147">
    <w:abstractNumId w:val="3"/>
  </w:num>
  <w:num w:numId="17" w16cid:durableId="2103330590">
    <w:abstractNumId w:val="14"/>
  </w:num>
  <w:num w:numId="18" w16cid:durableId="881944398">
    <w:abstractNumId w:val="5"/>
  </w:num>
  <w:num w:numId="19" w16cid:durableId="920598032">
    <w:abstractNumId w:val="18"/>
  </w:num>
  <w:num w:numId="20" w16cid:durableId="284774584">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FED"/>
    <w:rsid w:val="000016F9"/>
    <w:rsid w:val="000018D5"/>
    <w:rsid w:val="00002D49"/>
    <w:rsid w:val="0000446A"/>
    <w:rsid w:val="00006065"/>
    <w:rsid w:val="00007699"/>
    <w:rsid w:val="0001064A"/>
    <w:rsid w:val="000119B2"/>
    <w:rsid w:val="000131FA"/>
    <w:rsid w:val="00014709"/>
    <w:rsid w:val="00014BBB"/>
    <w:rsid w:val="00014DDC"/>
    <w:rsid w:val="00016C11"/>
    <w:rsid w:val="00021967"/>
    <w:rsid w:val="00024029"/>
    <w:rsid w:val="000246D0"/>
    <w:rsid w:val="00025024"/>
    <w:rsid w:val="00025F93"/>
    <w:rsid w:val="00030F18"/>
    <w:rsid w:val="000314FD"/>
    <w:rsid w:val="00034934"/>
    <w:rsid w:val="00040F5F"/>
    <w:rsid w:val="00043780"/>
    <w:rsid w:val="00043B88"/>
    <w:rsid w:val="00044CEE"/>
    <w:rsid w:val="00044E5E"/>
    <w:rsid w:val="00046CFC"/>
    <w:rsid w:val="0005294D"/>
    <w:rsid w:val="00052FAE"/>
    <w:rsid w:val="000540AD"/>
    <w:rsid w:val="000569FE"/>
    <w:rsid w:val="00061947"/>
    <w:rsid w:val="00062B62"/>
    <w:rsid w:val="000657B2"/>
    <w:rsid w:val="000665A8"/>
    <w:rsid w:val="0006705C"/>
    <w:rsid w:val="0007141B"/>
    <w:rsid w:val="00077635"/>
    <w:rsid w:val="000778A4"/>
    <w:rsid w:val="000812DC"/>
    <w:rsid w:val="00081E1F"/>
    <w:rsid w:val="00082C32"/>
    <w:rsid w:val="00085453"/>
    <w:rsid w:val="00085BC7"/>
    <w:rsid w:val="00090A90"/>
    <w:rsid w:val="000912ED"/>
    <w:rsid w:val="00093C33"/>
    <w:rsid w:val="0009577E"/>
    <w:rsid w:val="000960E6"/>
    <w:rsid w:val="000961B8"/>
    <w:rsid w:val="00096A95"/>
    <w:rsid w:val="000A0262"/>
    <w:rsid w:val="000A13AC"/>
    <w:rsid w:val="000A2176"/>
    <w:rsid w:val="000A4F3F"/>
    <w:rsid w:val="000B3023"/>
    <w:rsid w:val="000B3F35"/>
    <w:rsid w:val="000B4370"/>
    <w:rsid w:val="000B447A"/>
    <w:rsid w:val="000B5D73"/>
    <w:rsid w:val="000B794B"/>
    <w:rsid w:val="000C03A6"/>
    <w:rsid w:val="000C0EA5"/>
    <w:rsid w:val="000C1EE3"/>
    <w:rsid w:val="000C325C"/>
    <w:rsid w:val="000C36F5"/>
    <w:rsid w:val="000C69D6"/>
    <w:rsid w:val="000C76A0"/>
    <w:rsid w:val="000D0521"/>
    <w:rsid w:val="000D1A05"/>
    <w:rsid w:val="000D2571"/>
    <w:rsid w:val="000D2CBB"/>
    <w:rsid w:val="000D2DA6"/>
    <w:rsid w:val="000D67CC"/>
    <w:rsid w:val="000D71BB"/>
    <w:rsid w:val="000D78AF"/>
    <w:rsid w:val="000D7AD0"/>
    <w:rsid w:val="000E0058"/>
    <w:rsid w:val="000E016F"/>
    <w:rsid w:val="000E36A5"/>
    <w:rsid w:val="000E6EDF"/>
    <w:rsid w:val="000F432A"/>
    <w:rsid w:val="000F5F64"/>
    <w:rsid w:val="000F66DE"/>
    <w:rsid w:val="00100A34"/>
    <w:rsid w:val="001024A0"/>
    <w:rsid w:val="00103A4E"/>
    <w:rsid w:val="001048A0"/>
    <w:rsid w:val="00104C04"/>
    <w:rsid w:val="00106706"/>
    <w:rsid w:val="001072D8"/>
    <w:rsid w:val="00110EBE"/>
    <w:rsid w:val="001110CF"/>
    <w:rsid w:val="001130A7"/>
    <w:rsid w:val="001130E4"/>
    <w:rsid w:val="00114440"/>
    <w:rsid w:val="00114DE5"/>
    <w:rsid w:val="0011597C"/>
    <w:rsid w:val="0011713A"/>
    <w:rsid w:val="00120AB6"/>
    <w:rsid w:val="00121E5A"/>
    <w:rsid w:val="00124904"/>
    <w:rsid w:val="0012637D"/>
    <w:rsid w:val="00130D0A"/>
    <w:rsid w:val="00130E1F"/>
    <w:rsid w:val="001327E9"/>
    <w:rsid w:val="00133C8C"/>
    <w:rsid w:val="00137099"/>
    <w:rsid w:val="001376B2"/>
    <w:rsid w:val="0014042B"/>
    <w:rsid w:val="00140A0F"/>
    <w:rsid w:val="00142E2C"/>
    <w:rsid w:val="00144447"/>
    <w:rsid w:val="001521E1"/>
    <w:rsid w:val="001531BD"/>
    <w:rsid w:val="0015341A"/>
    <w:rsid w:val="0015554B"/>
    <w:rsid w:val="00155980"/>
    <w:rsid w:val="00162D1D"/>
    <w:rsid w:val="00164FCC"/>
    <w:rsid w:val="001663EB"/>
    <w:rsid w:val="00173412"/>
    <w:rsid w:val="00174F47"/>
    <w:rsid w:val="00182E87"/>
    <w:rsid w:val="00184190"/>
    <w:rsid w:val="00185007"/>
    <w:rsid w:val="0018639D"/>
    <w:rsid w:val="00186ADA"/>
    <w:rsid w:val="001872FB"/>
    <w:rsid w:val="00190497"/>
    <w:rsid w:val="001925F0"/>
    <w:rsid w:val="00193EDA"/>
    <w:rsid w:val="00195871"/>
    <w:rsid w:val="00196B0B"/>
    <w:rsid w:val="0019797F"/>
    <w:rsid w:val="001A2EA3"/>
    <w:rsid w:val="001A5E9F"/>
    <w:rsid w:val="001A619A"/>
    <w:rsid w:val="001B20D4"/>
    <w:rsid w:val="001B57EC"/>
    <w:rsid w:val="001B7B38"/>
    <w:rsid w:val="001B7F81"/>
    <w:rsid w:val="001C1F13"/>
    <w:rsid w:val="001C235A"/>
    <w:rsid w:val="001C25D4"/>
    <w:rsid w:val="001C3090"/>
    <w:rsid w:val="001C4439"/>
    <w:rsid w:val="001C4B52"/>
    <w:rsid w:val="001C7048"/>
    <w:rsid w:val="001C7A90"/>
    <w:rsid w:val="001D018A"/>
    <w:rsid w:val="001D1315"/>
    <w:rsid w:val="001D2244"/>
    <w:rsid w:val="001D2A46"/>
    <w:rsid w:val="001D2D50"/>
    <w:rsid w:val="001D60E5"/>
    <w:rsid w:val="001D620A"/>
    <w:rsid w:val="001D6FAC"/>
    <w:rsid w:val="001E0160"/>
    <w:rsid w:val="001E033C"/>
    <w:rsid w:val="001E5D2C"/>
    <w:rsid w:val="001E6E4A"/>
    <w:rsid w:val="001E7087"/>
    <w:rsid w:val="001F18AE"/>
    <w:rsid w:val="001F22B9"/>
    <w:rsid w:val="001F2AFE"/>
    <w:rsid w:val="001F3763"/>
    <w:rsid w:val="001F51B2"/>
    <w:rsid w:val="00200371"/>
    <w:rsid w:val="00200AE0"/>
    <w:rsid w:val="00203105"/>
    <w:rsid w:val="002033E3"/>
    <w:rsid w:val="00204605"/>
    <w:rsid w:val="00205267"/>
    <w:rsid w:val="00205DEC"/>
    <w:rsid w:val="002074FC"/>
    <w:rsid w:val="00212476"/>
    <w:rsid w:val="002130A9"/>
    <w:rsid w:val="00214913"/>
    <w:rsid w:val="00217E3B"/>
    <w:rsid w:val="002202FB"/>
    <w:rsid w:val="002219EF"/>
    <w:rsid w:val="00224E78"/>
    <w:rsid w:val="00226853"/>
    <w:rsid w:val="00226C04"/>
    <w:rsid w:val="00227C94"/>
    <w:rsid w:val="002300F5"/>
    <w:rsid w:val="00230736"/>
    <w:rsid w:val="0023217F"/>
    <w:rsid w:val="002361E6"/>
    <w:rsid w:val="00246F2B"/>
    <w:rsid w:val="00247A93"/>
    <w:rsid w:val="002500C6"/>
    <w:rsid w:val="00256F21"/>
    <w:rsid w:val="0026080E"/>
    <w:rsid w:val="0026081A"/>
    <w:rsid w:val="00260E7B"/>
    <w:rsid w:val="0026141B"/>
    <w:rsid w:val="00264C57"/>
    <w:rsid w:val="00265746"/>
    <w:rsid w:val="00265FF4"/>
    <w:rsid w:val="00271777"/>
    <w:rsid w:val="00271B0D"/>
    <w:rsid w:val="0027242E"/>
    <w:rsid w:val="002724D4"/>
    <w:rsid w:val="002737CE"/>
    <w:rsid w:val="002750C0"/>
    <w:rsid w:val="0027535D"/>
    <w:rsid w:val="0027547C"/>
    <w:rsid w:val="0027605F"/>
    <w:rsid w:val="0027676D"/>
    <w:rsid w:val="002771A1"/>
    <w:rsid w:val="00277478"/>
    <w:rsid w:val="00281235"/>
    <w:rsid w:val="00283921"/>
    <w:rsid w:val="00286196"/>
    <w:rsid w:val="00286727"/>
    <w:rsid w:val="00290CCF"/>
    <w:rsid w:val="0029310E"/>
    <w:rsid w:val="00294911"/>
    <w:rsid w:val="00294EB0"/>
    <w:rsid w:val="00296556"/>
    <w:rsid w:val="00296829"/>
    <w:rsid w:val="0029799C"/>
    <w:rsid w:val="002A20E4"/>
    <w:rsid w:val="002A424E"/>
    <w:rsid w:val="002A55AA"/>
    <w:rsid w:val="002A6847"/>
    <w:rsid w:val="002B121E"/>
    <w:rsid w:val="002B16A5"/>
    <w:rsid w:val="002B1CC8"/>
    <w:rsid w:val="002B347D"/>
    <w:rsid w:val="002B3B73"/>
    <w:rsid w:val="002B4324"/>
    <w:rsid w:val="002B463E"/>
    <w:rsid w:val="002B5531"/>
    <w:rsid w:val="002B65DB"/>
    <w:rsid w:val="002B6884"/>
    <w:rsid w:val="002B6E4F"/>
    <w:rsid w:val="002C15F5"/>
    <w:rsid w:val="002C2357"/>
    <w:rsid w:val="002C493E"/>
    <w:rsid w:val="002D1B2D"/>
    <w:rsid w:val="002D33A0"/>
    <w:rsid w:val="002D3FFC"/>
    <w:rsid w:val="002D5793"/>
    <w:rsid w:val="002D6F02"/>
    <w:rsid w:val="002E0E53"/>
    <w:rsid w:val="002E4604"/>
    <w:rsid w:val="002E4C2C"/>
    <w:rsid w:val="002E55A9"/>
    <w:rsid w:val="002E6C6E"/>
    <w:rsid w:val="002E782F"/>
    <w:rsid w:val="002F031B"/>
    <w:rsid w:val="002F392A"/>
    <w:rsid w:val="002F4A01"/>
    <w:rsid w:val="002F596F"/>
    <w:rsid w:val="002F6799"/>
    <w:rsid w:val="002F7027"/>
    <w:rsid w:val="00301176"/>
    <w:rsid w:val="003012E2"/>
    <w:rsid w:val="003023D9"/>
    <w:rsid w:val="00303206"/>
    <w:rsid w:val="00305737"/>
    <w:rsid w:val="00305A0E"/>
    <w:rsid w:val="00310312"/>
    <w:rsid w:val="003118EC"/>
    <w:rsid w:val="003137D1"/>
    <w:rsid w:val="003156B5"/>
    <w:rsid w:val="00317D53"/>
    <w:rsid w:val="003208A8"/>
    <w:rsid w:val="00324E42"/>
    <w:rsid w:val="00331A95"/>
    <w:rsid w:val="003335D8"/>
    <w:rsid w:val="0033629D"/>
    <w:rsid w:val="003374DF"/>
    <w:rsid w:val="00340FAC"/>
    <w:rsid w:val="00346AF3"/>
    <w:rsid w:val="00346C59"/>
    <w:rsid w:val="0035273A"/>
    <w:rsid w:val="00353248"/>
    <w:rsid w:val="0035371E"/>
    <w:rsid w:val="003552CA"/>
    <w:rsid w:val="00355F18"/>
    <w:rsid w:val="00366536"/>
    <w:rsid w:val="00366EAC"/>
    <w:rsid w:val="00367EFD"/>
    <w:rsid w:val="003701A5"/>
    <w:rsid w:val="0037157D"/>
    <w:rsid w:val="00373031"/>
    <w:rsid w:val="00373094"/>
    <w:rsid w:val="00376729"/>
    <w:rsid w:val="00377C65"/>
    <w:rsid w:val="00381AD9"/>
    <w:rsid w:val="00381D1B"/>
    <w:rsid w:val="00386873"/>
    <w:rsid w:val="00386D99"/>
    <w:rsid w:val="00387497"/>
    <w:rsid w:val="00391594"/>
    <w:rsid w:val="00391933"/>
    <w:rsid w:val="00392514"/>
    <w:rsid w:val="00392A4D"/>
    <w:rsid w:val="00392BED"/>
    <w:rsid w:val="003A0A6B"/>
    <w:rsid w:val="003A133E"/>
    <w:rsid w:val="003A1493"/>
    <w:rsid w:val="003A2E11"/>
    <w:rsid w:val="003A3193"/>
    <w:rsid w:val="003A4383"/>
    <w:rsid w:val="003A75E8"/>
    <w:rsid w:val="003B041F"/>
    <w:rsid w:val="003B3C57"/>
    <w:rsid w:val="003B5F49"/>
    <w:rsid w:val="003B5FD9"/>
    <w:rsid w:val="003C415F"/>
    <w:rsid w:val="003C658C"/>
    <w:rsid w:val="003C7D03"/>
    <w:rsid w:val="003D18B3"/>
    <w:rsid w:val="003D1CAD"/>
    <w:rsid w:val="003D46DC"/>
    <w:rsid w:val="003D6E15"/>
    <w:rsid w:val="003E0C99"/>
    <w:rsid w:val="003E178C"/>
    <w:rsid w:val="003E452B"/>
    <w:rsid w:val="003E49C9"/>
    <w:rsid w:val="003E587C"/>
    <w:rsid w:val="003E5C5B"/>
    <w:rsid w:val="003E6E9A"/>
    <w:rsid w:val="003F0E9F"/>
    <w:rsid w:val="003F28A0"/>
    <w:rsid w:val="003F5937"/>
    <w:rsid w:val="003F7BE7"/>
    <w:rsid w:val="0040465C"/>
    <w:rsid w:val="00410FEF"/>
    <w:rsid w:val="0041238D"/>
    <w:rsid w:val="00412FBC"/>
    <w:rsid w:val="00414105"/>
    <w:rsid w:val="00422F66"/>
    <w:rsid w:val="00423BDF"/>
    <w:rsid w:val="00423F95"/>
    <w:rsid w:val="0042402A"/>
    <w:rsid w:val="00424583"/>
    <w:rsid w:val="00424C5B"/>
    <w:rsid w:val="00425000"/>
    <w:rsid w:val="00426D0A"/>
    <w:rsid w:val="00427833"/>
    <w:rsid w:val="00427FA8"/>
    <w:rsid w:val="004306D0"/>
    <w:rsid w:val="0043118C"/>
    <w:rsid w:val="004315AA"/>
    <w:rsid w:val="00432BB5"/>
    <w:rsid w:val="0043333E"/>
    <w:rsid w:val="004356F6"/>
    <w:rsid w:val="0043631A"/>
    <w:rsid w:val="00436A88"/>
    <w:rsid w:val="0043702E"/>
    <w:rsid w:val="004372BE"/>
    <w:rsid w:val="00440278"/>
    <w:rsid w:val="004410AB"/>
    <w:rsid w:val="00442261"/>
    <w:rsid w:val="00443050"/>
    <w:rsid w:val="00443273"/>
    <w:rsid w:val="0044374B"/>
    <w:rsid w:val="00446D57"/>
    <w:rsid w:val="004509B7"/>
    <w:rsid w:val="00452E1B"/>
    <w:rsid w:val="00454862"/>
    <w:rsid w:val="00455FF5"/>
    <w:rsid w:val="004564C5"/>
    <w:rsid w:val="004613E8"/>
    <w:rsid w:val="004625F1"/>
    <w:rsid w:val="0046467D"/>
    <w:rsid w:val="004647B8"/>
    <w:rsid w:val="00464C3C"/>
    <w:rsid w:val="00466769"/>
    <w:rsid w:val="0047019E"/>
    <w:rsid w:val="00475DE3"/>
    <w:rsid w:val="0047616C"/>
    <w:rsid w:val="00484C4C"/>
    <w:rsid w:val="00487535"/>
    <w:rsid w:val="00490B44"/>
    <w:rsid w:val="00491510"/>
    <w:rsid w:val="00491D06"/>
    <w:rsid w:val="00495304"/>
    <w:rsid w:val="00496960"/>
    <w:rsid w:val="004972AD"/>
    <w:rsid w:val="004A15F6"/>
    <w:rsid w:val="004A1E3D"/>
    <w:rsid w:val="004A2263"/>
    <w:rsid w:val="004A31A4"/>
    <w:rsid w:val="004A3528"/>
    <w:rsid w:val="004A4460"/>
    <w:rsid w:val="004A73F2"/>
    <w:rsid w:val="004B1A23"/>
    <w:rsid w:val="004B30A7"/>
    <w:rsid w:val="004B339D"/>
    <w:rsid w:val="004C12BA"/>
    <w:rsid w:val="004C24E8"/>
    <w:rsid w:val="004C409E"/>
    <w:rsid w:val="004C4217"/>
    <w:rsid w:val="004C434C"/>
    <w:rsid w:val="004C45D7"/>
    <w:rsid w:val="004C528E"/>
    <w:rsid w:val="004D026B"/>
    <w:rsid w:val="004D33C0"/>
    <w:rsid w:val="004D50FD"/>
    <w:rsid w:val="004D5BA7"/>
    <w:rsid w:val="004D6FD4"/>
    <w:rsid w:val="004E14CD"/>
    <w:rsid w:val="004F3F68"/>
    <w:rsid w:val="004F49B4"/>
    <w:rsid w:val="005025B2"/>
    <w:rsid w:val="005028DC"/>
    <w:rsid w:val="005035B6"/>
    <w:rsid w:val="00504872"/>
    <w:rsid w:val="00506E71"/>
    <w:rsid w:val="00507F8C"/>
    <w:rsid w:val="00510364"/>
    <w:rsid w:val="00511D4E"/>
    <w:rsid w:val="00514419"/>
    <w:rsid w:val="00515851"/>
    <w:rsid w:val="00516336"/>
    <w:rsid w:val="00520A3D"/>
    <w:rsid w:val="00523951"/>
    <w:rsid w:val="00524104"/>
    <w:rsid w:val="0052453B"/>
    <w:rsid w:val="00525B5E"/>
    <w:rsid w:val="00526C85"/>
    <w:rsid w:val="00527D3B"/>
    <w:rsid w:val="0053058C"/>
    <w:rsid w:val="00530A91"/>
    <w:rsid w:val="0053277E"/>
    <w:rsid w:val="005330D9"/>
    <w:rsid w:val="005333F2"/>
    <w:rsid w:val="00533C5C"/>
    <w:rsid w:val="00533D9E"/>
    <w:rsid w:val="00534833"/>
    <w:rsid w:val="005352D8"/>
    <w:rsid w:val="005365B4"/>
    <w:rsid w:val="0053789E"/>
    <w:rsid w:val="0054002F"/>
    <w:rsid w:val="005425DB"/>
    <w:rsid w:val="0054330D"/>
    <w:rsid w:val="005473CA"/>
    <w:rsid w:val="00547D81"/>
    <w:rsid w:val="0055001C"/>
    <w:rsid w:val="00550C0A"/>
    <w:rsid w:val="00551B23"/>
    <w:rsid w:val="00551C9C"/>
    <w:rsid w:val="0055403A"/>
    <w:rsid w:val="005543AB"/>
    <w:rsid w:val="00556327"/>
    <w:rsid w:val="00556AC9"/>
    <w:rsid w:val="005573B0"/>
    <w:rsid w:val="0056153D"/>
    <w:rsid w:val="0056312E"/>
    <w:rsid w:val="00563634"/>
    <w:rsid w:val="00563F15"/>
    <w:rsid w:val="0057016A"/>
    <w:rsid w:val="0057064B"/>
    <w:rsid w:val="00571B1A"/>
    <w:rsid w:val="0057234C"/>
    <w:rsid w:val="00574394"/>
    <w:rsid w:val="00574A84"/>
    <w:rsid w:val="00574F2E"/>
    <w:rsid w:val="005765AD"/>
    <w:rsid w:val="005807AC"/>
    <w:rsid w:val="00580ABD"/>
    <w:rsid w:val="005815CF"/>
    <w:rsid w:val="00583502"/>
    <w:rsid w:val="00583901"/>
    <w:rsid w:val="00584A30"/>
    <w:rsid w:val="00585342"/>
    <w:rsid w:val="00586AA3"/>
    <w:rsid w:val="00587999"/>
    <w:rsid w:val="00590298"/>
    <w:rsid w:val="005926FA"/>
    <w:rsid w:val="00592F8F"/>
    <w:rsid w:val="005942C3"/>
    <w:rsid w:val="00595E02"/>
    <w:rsid w:val="00596012"/>
    <w:rsid w:val="00596AAB"/>
    <w:rsid w:val="005A69F6"/>
    <w:rsid w:val="005B241E"/>
    <w:rsid w:val="005B2476"/>
    <w:rsid w:val="005B5014"/>
    <w:rsid w:val="005B5998"/>
    <w:rsid w:val="005C274D"/>
    <w:rsid w:val="005C7418"/>
    <w:rsid w:val="005D435F"/>
    <w:rsid w:val="005D4673"/>
    <w:rsid w:val="005D4C5D"/>
    <w:rsid w:val="005D4F01"/>
    <w:rsid w:val="005D5893"/>
    <w:rsid w:val="005D68DC"/>
    <w:rsid w:val="005E2E36"/>
    <w:rsid w:val="005E3621"/>
    <w:rsid w:val="005E4D41"/>
    <w:rsid w:val="005E6A75"/>
    <w:rsid w:val="005F0445"/>
    <w:rsid w:val="005F353F"/>
    <w:rsid w:val="005F54DD"/>
    <w:rsid w:val="005F6306"/>
    <w:rsid w:val="005F64FC"/>
    <w:rsid w:val="005F6735"/>
    <w:rsid w:val="005F746E"/>
    <w:rsid w:val="005F7659"/>
    <w:rsid w:val="00600835"/>
    <w:rsid w:val="00601F22"/>
    <w:rsid w:val="00602FBC"/>
    <w:rsid w:val="00606D1B"/>
    <w:rsid w:val="00610292"/>
    <w:rsid w:val="00611999"/>
    <w:rsid w:val="006135A5"/>
    <w:rsid w:val="0061670B"/>
    <w:rsid w:val="00625B66"/>
    <w:rsid w:val="00626E25"/>
    <w:rsid w:val="00627481"/>
    <w:rsid w:val="0062784F"/>
    <w:rsid w:val="006302AA"/>
    <w:rsid w:val="00631357"/>
    <w:rsid w:val="006355DD"/>
    <w:rsid w:val="00637030"/>
    <w:rsid w:val="00640041"/>
    <w:rsid w:val="006400F5"/>
    <w:rsid w:val="00640BB7"/>
    <w:rsid w:val="00642B38"/>
    <w:rsid w:val="00643C58"/>
    <w:rsid w:val="00645A87"/>
    <w:rsid w:val="00645FEC"/>
    <w:rsid w:val="00646FB8"/>
    <w:rsid w:val="00652A61"/>
    <w:rsid w:val="0065335E"/>
    <w:rsid w:val="00653934"/>
    <w:rsid w:val="00653AB2"/>
    <w:rsid w:val="00653F68"/>
    <w:rsid w:val="00655426"/>
    <w:rsid w:val="00656463"/>
    <w:rsid w:val="00660E46"/>
    <w:rsid w:val="0066111A"/>
    <w:rsid w:val="0066275D"/>
    <w:rsid w:val="006631BE"/>
    <w:rsid w:val="006647F2"/>
    <w:rsid w:val="00665B8A"/>
    <w:rsid w:val="0066622B"/>
    <w:rsid w:val="00666C4F"/>
    <w:rsid w:val="00666F7A"/>
    <w:rsid w:val="0067063B"/>
    <w:rsid w:val="006738DC"/>
    <w:rsid w:val="00673E03"/>
    <w:rsid w:val="00674799"/>
    <w:rsid w:val="00675CA6"/>
    <w:rsid w:val="00676590"/>
    <w:rsid w:val="006774B1"/>
    <w:rsid w:val="0068032F"/>
    <w:rsid w:val="00682F7D"/>
    <w:rsid w:val="00685BA9"/>
    <w:rsid w:val="00690E73"/>
    <w:rsid w:val="00691756"/>
    <w:rsid w:val="006925B1"/>
    <w:rsid w:val="00693302"/>
    <w:rsid w:val="006A061A"/>
    <w:rsid w:val="006A521F"/>
    <w:rsid w:val="006A732B"/>
    <w:rsid w:val="006B13B3"/>
    <w:rsid w:val="006B142D"/>
    <w:rsid w:val="006B3C0C"/>
    <w:rsid w:val="006C03E3"/>
    <w:rsid w:val="006C242E"/>
    <w:rsid w:val="006C2950"/>
    <w:rsid w:val="006C72A9"/>
    <w:rsid w:val="006D3558"/>
    <w:rsid w:val="006D3A18"/>
    <w:rsid w:val="006D42EE"/>
    <w:rsid w:val="006D4550"/>
    <w:rsid w:val="006D49A8"/>
    <w:rsid w:val="006D5DC6"/>
    <w:rsid w:val="006D755F"/>
    <w:rsid w:val="006E106E"/>
    <w:rsid w:val="006E2343"/>
    <w:rsid w:val="006E2569"/>
    <w:rsid w:val="006E4633"/>
    <w:rsid w:val="006E4801"/>
    <w:rsid w:val="006E59C7"/>
    <w:rsid w:val="006F4B13"/>
    <w:rsid w:val="006F6A2E"/>
    <w:rsid w:val="006F73C0"/>
    <w:rsid w:val="00701A0C"/>
    <w:rsid w:val="00703AE4"/>
    <w:rsid w:val="0070459A"/>
    <w:rsid w:val="00705647"/>
    <w:rsid w:val="007062DF"/>
    <w:rsid w:val="0071379C"/>
    <w:rsid w:val="007142E9"/>
    <w:rsid w:val="007159AE"/>
    <w:rsid w:val="00720E7A"/>
    <w:rsid w:val="007278C9"/>
    <w:rsid w:val="00727EE5"/>
    <w:rsid w:val="0073193E"/>
    <w:rsid w:val="00731E88"/>
    <w:rsid w:val="007345AA"/>
    <w:rsid w:val="00734AB4"/>
    <w:rsid w:val="007358B3"/>
    <w:rsid w:val="00735BDE"/>
    <w:rsid w:val="00737B9C"/>
    <w:rsid w:val="007413D2"/>
    <w:rsid w:val="00742CA4"/>
    <w:rsid w:val="00743886"/>
    <w:rsid w:val="00743B7D"/>
    <w:rsid w:val="0074531E"/>
    <w:rsid w:val="00745E65"/>
    <w:rsid w:val="00746491"/>
    <w:rsid w:val="00747DDF"/>
    <w:rsid w:val="00750E32"/>
    <w:rsid w:val="0075129A"/>
    <w:rsid w:val="007521CF"/>
    <w:rsid w:val="00754243"/>
    <w:rsid w:val="00754990"/>
    <w:rsid w:val="00755A52"/>
    <w:rsid w:val="00756B40"/>
    <w:rsid w:val="00756B81"/>
    <w:rsid w:val="00757E2D"/>
    <w:rsid w:val="0076064B"/>
    <w:rsid w:val="0076106F"/>
    <w:rsid w:val="00761460"/>
    <w:rsid w:val="00761DF4"/>
    <w:rsid w:val="007621A1"/>
    <w:rsid w:val="00763B61"/>
    <w:rsid w:val="00764434"/>
    <w:rsid w:val="007648B4"/>
    <w:rsid w:val="0076608A"/>
    <w:rsid w:val="00767EC5"/>
    <w:rsid w:val="00772C44"/>
    <w:rsid w:val="00773626"/>
    <w:rsid w:val="007760C3"/>
    <w:rsid w:val="00776772"/>
    <w:rsid w:val="00782730"/>
    <w:rsid w:val="00784558"/>
    <w:rsid w:val="00784933"/>
    <w:rsid w:val="00791296"/>
    <w:rsid w:val="00792A88"/>
    <w:rsid w:val="00792D6B"/>
    <w:rsid w:val="0079364C"/>
    <w:rsid w:val="0079369A"/>
    <w:rsid w:val="00793C82"/>
    <w:rsid w:val="00793DC4"/>
    <w:rsid w:val="007944DA"/>
    <w:rsid w:val="00794839"/>
    <w:rsid w:val="007A03EE"/>
    <w:rsid w:val="007A11C6"/>
    <w:rsid w:val="007A21F2"/>
    <w:rsid w:val="007A4151"/>
    <w:rsid w:val="007A41E8"/>
    <w:rsid w:val="007A458A"/>
    <w:rsid w:val="007A60EF"/>
    <w:rsid w:val="007A66BB"/>
    <w:rsid w:val="007A6ED8"/>
    <w:rsid w:val="007B46B1"/>
    <w:rsid w:val="007B4C56"/>
    <w:rsid w:val="007B515D"/>
    <w:rsid w:val="007B5B2A"/>
    <w:rsid w:val="007B6485"/>
    <w:rsid w:val="007C3EE1"/>
    <w:rsid w:val="007C57D4"/>
    <w:rsid w:val="007C5CAE"/>
    <w:rsid w:val="007C6E2E"/>
    <w:rsid w:val="007D013B"/>
    <w:rsid w:val="007D017C"/>
    <w:rsid w:val="007D0181"/>
    <w:rsid w:val="007D1593"/>
    <w:rsid w:val="007D1ACE"/>
    <w:rsid w:val="007D425C"/>
    <w:rsid w:val="007D5EE4"/>
    <w:rsid w:val="007D7E25"/>
    <w:rsid w:val="007E03A6"/>
    <w:rsid w:val="007E05D0"/>
    <w:rsid w:val="007E595B"/>
    <w:rsid w:val="007E596F"/>
    <w:rsid w:val="007E72A6"/>
    <w:rsid w:val="007F0F05"/>
    <w:rsid w:val="007F1E57"/>
    <w:rsid w:val="007F30D4"/>
    <w:rsid w:val="007F32B6"/>
    <w:rsid w:val="007F38AE"/>
    <w:rsid w:val="007F40AB"/>
    <w:rsid w:val="007F4620"/>
    <w:rsid w:val="007F7172"/>
    <w:rsid w:val="007F766F"/>
    <w:rsid w:val="00801F12"/>
    <w:rsid w:val="00802BD6"/>
    <w:rsid w:val="0080549E"/>
    <w:rsid w:val="008059E8"/>
    <w:rsid w:val="00810C7A"/>
    <w:rsid w:val="00813F55"/>
    <w:rsid w:val="00822E16"/>
    <w:rsid w:val="00823A6C"/>
    <w:rsid w:val="008255E2"/>
    <w:rsid w:val="00825A7B"/>
    <w:rsid w:val="00826D55"/>
    <w:rsid w:val="00827708"/>
    <w:rsid w:val="00832A7B"/>
    <w:rsid w:val="00832D31"/>
    <w:rsid w:val="00833768"/>
    <w:rsid w:val="00834505"/>
    <w:rsid w:val="0083550A"/>
    <w:rsid w:val="00835FF6"/>
    <w:rsid w:val="00836CE4"/>
    <w:rsid w:val="0083769F"/>
    <w:rsid w:val="0084177E"/>
    <w:rsid w:val="00842117"/>
    <w:rsid w:val="0084565D"/>
    <w:rsid w:val="008467A1"/>
    <w:rsid w:val="008517DC"/>
    <w:rsid w:val="00851B58"/>
    <w:rsid w:val="008524B4"/>
    <w:rsid w:val="0085420E"/>
    <w:rsid w:val="0085426C"/>
    <w:rsid w:val="00857B1E"/>
    <w:rsid w:val="0086025B"/>
    <w:rsid w:val="00860A02"/>
    <w:rsid w:val="008663C1"/>
    <w:rsid w:val="0086733D"/>
    <w:rsid w:val="0086752B"/>
    <w:rsid w:val="0087046C"/>
    <w:rsid w:val="0087324F"/>
    <w:rsid w:val="00874187"/>
    <w:rsid w:val="008844BA"/>
    <w:rsid w:val="00887A0E"/>
    <w:rsid w:val="008903EB"/>
    <w:rsid w:val="0089137A"/>
    <w:rsid w:val="00892690"/>
    <w:rsid w:val="00892D2D"/>
    <w:rsid w:val="00893086"/>
    <w:rsid w:val="00893D17"/>
    <w:rsid w:val="00895B9D"/>
    <w:rsid w:val="008A1FF9"/>
    <w:rsid w:val="008A65FE"/>
    <w:rsid w:val="008B263D"/>
    <w:rsid w:val="008B37BA"/>
    <w:rsid w:val="008B4543"/>
    <w:rsid w:val="008B721B"/>
    <w:rsid w:val="008B7BBA"/>
    <w:rsid w:val="008C0D16"/>
    <w:rsid w:val="008C107B"/>
    <w:rsid w:val="008C1087"/>
    <w:rsid w:val="008C3AAE"/>
    <w:rsid w:val="008D1DC3"/>
    <w:rsid w:val="008D2E86"/>
    <w:rsid w:val="008D4968"/>
    <w:rsid w:val="008E12D3"/>
    <w:rsid w:val="008E2039"/>
    <w:rsid w:val="008E609C"/>
    <w:rsid w:val="008E63C8"/>
    <w:rsid w:val="008E761A"/>
    <w:rsid w:val="008F23D6"/>
    <w:rsid w:val="008F2F46"/>
    <w:rsid w:val="008F4CA0"/>
    <w:rsid w:val="009001E1"/>
    <w:rsid w:val="00902480"/>
    <w:rsid w:val="00902E7B"/>
    <w:rsid w:val="009043B2"/>
    <w:rsid w:val="0090469A"/>
    <w:rsid w:val="0090477D"/>
    <w:rsid w:val="00906799"/>
    <w:rsid w:val="0091222C"/>
    <w:rsid w:val="009123B7"/>
    <w:rsid w:val="0091405A"/>
    <w:rsid w:val="00916076"/>
    <w:rsid w:val="00921403"/>
    <w:rsid w:val="00923272"/>
    <w:rsid w:val="0092681B"/>
    <w:rsid w:val="009276BE"/>
    <w:rsid w:val="009330FB"/>
    <w:rsid w:val="00934DC5"/>
    <w:rsid w:val="00940442"/>
    <w:rsid w:val="009412DB"/>
    <w:rsid w:val="0094153F"/>
    <w:rsid w:val="00943E20"/>
    <w:rsid w:val="0094558B"/>
    <w:rsid w:val="00950DD5"/>
    <w:rsid w:val="00955A7E"/>
    <w:rsid w:val="00955CF6"/>
    <w:rsid w:val="009560C4"/>
    <w:rsid w:val="009604D0"/>
    <w:rsid w:val="009604ED"/>
    <w:rsid w:val="00960A2B"/>
    <w:rsid w:val="00964062"/>
    <w:rsid w:val="00966579"/>
    <w:rsid w:val="00966D9E"/>
    <w:rsid w:val="00967FEE"/>
    <w:rsid w:val="009752F5"/>
    <w:rsid w:val="009767BF"/>
    <w:rsid w:val="00976948"/>
    <w:rsid w:val="0098055F"/>
    <w:rsid w:val="00981EFC"/>
    <w:rsid w:val="00982353"/>
    <w:rsid w:val="0098332D"/>
    <w:rsid w:val="009853E2"/>
    <w:rsid w:val="00985A1B"/>
    <w:rsid w:val="009867A9"/>
    <w:rsid w:val="009868C3"/>
    <w:rsid w:val="00987866"/>
    <w:rsid w:val="009878AD"/>
    <w:rsid w:val="009902E9"/>
    <w:rsid w:val="00990B44"/>
    <w:rsid w:val="00991252"/>
    <w:rsid w:val="00991533"/>
    <w:rsid w:val="00993A03"/>
    <w:rsid w:val="009949AB"/>
    <w:rsid w:val="00996A70"/>
    <w:rsid w:val="0099730A"/>
    <w:rsid w:val="009A3EFF"/>
    <w:rsid w:val="009A4037"/>
    <w:rsid w:val="009A4A17"/>
    <w:rsid w:val="009A61F4"/>
    <w:rsid w:val="009A76B9"/>
    <w:rsid w:val="009B122B"/>
    <w:rsid w:val="009B1867"/>
    <w:rsid w:val="009B2924"/>
    <w:rsid w:val="009B40CF"/>
    <w:rsid w:val="009B7AE3"/>
    <w:rsid w:val="009C4F64"/>
    <w:rsid w:val="009C6E3B"/>
    <w:rsid w:val="009D2175"/>
    <w:rsid w:val="009D369F"/>
    <w:rsid w:val="009E2507"/>
    <w:rsid w:val="009E361C"/>
    <w:rsid w:val="009E4521"/>
    <w:rsid w:val="009E50C5"/>
    <w:rsid w:val="009E5195"/>
    <w:rsid w:val="009E6250"/>
    <w:rsid w:val="009E783F"/>
    <w:rsid w:val="009E7CC1"/>
    <w:rsid w:val="009F5946"/>
    <w:rsid w:val="009F5C83"/>
    <w:rsid w:val="009F6926"/>
    <w:rsid w:val="00A013B8"/>
    <w:rsid w:val="00A01A86"/>
    <w:rsid w:val="00A02E42"/>
    <w:rsid w:val="00A06582"/>
    <w:rsid w:val="00A07AFD"/>
    <w:rsid w:val="00A07E06"/>
    <w:rsid w:val="00A108C6"/>
    <w:rsid w:val="00A110F7"/>
    <w:rsid w:val="00A11F9B"/>
    <w:rsid w:val="00A12E1F"/>
    <w:rsid w:val="00A15B2C"/>
    <w:rsid w:val="00A16034"/>
    <w:rsid w:val="00A20DBB"/>
    <w:rsid w:val="00A22F69"/>
    <w:rsid w:val="00A24969"/>
    <w:rsid w:val="00A25036"/>
    <w:rsid w:val="00A25205"/>
    <w:rsid w:val="00A25962"/>
    <w:rsid w:val="00A2646B"/>
    <w:rsid w:val="00A3039C"/>
    <w:rsid w:val="00A305A2"/>
    <w:rsid w:val="00A30C32"/>
    <w:rsid w:val="00A31B02"/>
    <w:rsid w:val="00A32631"/>
    <w:rsid w:val="00A42AA7"/>
    <w:rsid w:val="00A42F91"/>
    <w:rsid w:val="00A45F58"/>
    <w:rsid w:val="00A472B8"/>
    <w:rsid w:val="00A50863"/>
    <w:rsid w:val="00A508F3"/>
    <w:rsid w:val="00A50A0A"/>
    <w:rsid w:val="00A51FB5"/>
    <w:rsid w:val="00A5322A"/>
    <w:rsid w:val="00A53541"/>
    <w:rsid w:val="00A55627"/>
    <w:rsid w:val="00A557C5"/>
    <w:rsid w:val="00A565DA"/>
    <w:rsid w:val="00A61AC2"/>
    <w:rsid w:val="00A6649A"/>
    <w:rsid w:val="00A67816"/>
    <w:rsid w:val="00A70BB7"/>
    <w:rsid w:val="00A71787"/>
    <w:rsid w:val="00A72920"/>
    <w:rsid w:val="00A744FC"/>
    <w:rsid w:val="00A76862"/>
    <w:rsid w:val="00A81A9E"/>
    <w:rsid w:val="00A837FA"/>
    <w:rsid w:val="00A83EB0"/>
    <w:rsid w:val="00A84D03"/>
    <w:rsid w:val="00A85073"/>
    <w:rsid w:val="00A932DA"/>
    <w:rsid w:val="00A93510"/>
    <w:rsid w:val="00A935A2"/>
    <w:rsid w:val="00A937F7"/>
    <w:rsid w:val="00A93B8D"/>
    <w:rsid w:val="00A93BCE"/>
    <w:rsid w:val="00A96C2B"/>
    <w:rsid w:val="00A96D55"/>
    <w:rsid w:val="00AA201B"/>
    <w:rsid w:val="00AA4BE1"/>
    <w:rsid w:val="00AA5065"/>
    <w:rsid w:val="00AA58A5"/>
    <w:rsid w:val="00AA5F55"/>
    <w:rsid w:val="00AB029E"/>
    <w:rsid w:val="00AB1146"/>
    <w:rsid w:val="00AB140B"/>
    <w:rsid w:val="00AB26E2"/>
    <w:rsid w:val="00AB4794"/>
    <w:rsid w:val="00AB7402"/>
    <w:rsid w:val="00AB7B36"/>
    <w:rsid w:val="00AC0002"/>
    <w:rsid w:val="00AC22E1"/>
    <w:rsid w:val="00AC2B64"/>
    <w:rsid w:val="00AC6388"/>
    <w:rsid w:val="00AC7460"/>
    <w:rsid w:val="00AD24D5"/>
    <w:rsid w:val="00AD5768"/>
    <w:rsid w:val="00AD5961"/>
    <w:rsid w:val="00AD7FD7"/>
    <w:rsid w:val="00AE0B52"/>
    <w:rsid w:val="00AE571E"/>
    <w:rsid w:val="00AE5EFB"/>
    <w:rsid w:val="00AE7909"/>
    <w:rsid w:val="00AF3014"/>
    <w:rsid w:val="00AF3B33"/>
    <w:rsid w:val="00AF6B01"/>
    <w:rsid w:val="00AF7976"/>
    <w:rsid w:val="00AF7DE3"/>
    <w:rsid w:val="00B00076"/>
    <w:rsid w:val="00B00245"/>
    <w:rsid w:val="00B01496"/>
    <w:rsid w:val="00B02CA3"/>
    <w:rsid w:val="00B05675"/>
    <w:rsid w:val="00B06DBB"/>
    <w:rsid w:val="00B0724D"/>
    <w:rsid w:val="00B078EE"/>
    <w:rsid w:val="00B07F16"/>
    <w:rsid w:val="00B140AD"/>
    <w:rsid w:val="00B142EE"/>
    <w:rsid w:val="00B163A7"/>
    <w:rsid w:val="00B16963"/>
    <w:rsid w:val="00B17CDB"/>
    <w:rsid w:val="00B20833"/>
    <w:rsid w:val="00B25636"/>
    <w:rsid w:val="00B30232"/>
    <w:rsid w:val="00B31737"/>
    <w:rsid w:val="00B34D8D"/>
    <w:rsid w:val="00B373EC"/>
    <w:rsid w:val="00B4009A"/>
    <w:rsid w:val="00B42DE5"/>
    <w:rsid w:val="00B44251"/>
    <w:rsid w:val="00B451EB"/>
    <w:rsid w:val="00B4601A"/>
    <w:rsid w:val="00B4718B"/>
    <w:rsid w:val="00B5115A"/>
    <w:rsid w:val="00B5251D"/>
    <w:rsid w:val="00B53BCF"/>
    <w:rsid w:val="00B54CCA"/>
    <w:rsid w:val="00B565C2"/>
    <w:rsid w:val="00B57D6B"/>
    <w:rsid w:val="00B62AF3"/>
    <w:rsid w:val="00B63816"/>
    <w:rsid w:val="00B65A77"/>
    <w:rsid w:val="00B663B5"/>
    <w:rsid w:val="00B670E1"/>
    <w:rsid w:val="00B73ACD"/>
    <w:rsid w:val="00B74B9A"/>
    <w:rsid w:val="00B769AE"/>
    <w:rsid w:val="00B76B3D"/>
    <w:rsid w:val="00B771AB"/>
    <w:rsid w:val="00B77915"/>
    <w:rsid w:val="00B81C1B"/>
    <w:rsid w:val="00B81E69"/>
    <w:rsid w:val="00B8370B"/>
    <w:rsid w:val="00B84C1F"/>
    <w:rsid w:val="00B85B09"/>
    <w:rsid w:val="00B8731C"/>
    <w:rsid w:val="00B87512"/>
    <w:rsid w:val="00B90D29"/>
    <w:rsid w:val="00B93248"/>
    <w:rsid w:val="00B94211"/>
    <w:rsid w:val="00B944DB"/>
    <w:rsid w:val="00B96351"/>
    <w:rsid w:val="00BA2832"/>
    <w:rsid w:val="00BA3A4F"/>
    <w:rsid w:val="00BA47E6"/>
    <w:rsid w:val="00BA5854"/>
    <w:rsid w:val="00BA6044"/>
    <w:rsid w:val="00BB034A"/>
    <w:rsid w:val="00BB3213"/>
    <w:rsid w:val="00BB32BF"/>
    <w:rsid w:val="00BB50E5"/>
    <w:rsid w:val="00BB5941"/>
    <w:rsid w:val="00BB7407"/>
    <w:rsid w:val="00BB763F"/>
    <w:rsid w:val="00BC05D0"/>
    <w:rsid w:val="00BC1067"/>
    <w:rsid w:val="00BC2102"/>
    <w:rsid w:val="00BC4387"/>
    <w:rsid w:val="00BC4EF1"/>
    <w:rsid w:val="00BC5B72"/>
    <w:rsid w:val="00BC7ACD"/>
    <w:rsid w:val="00BD0E1E"/>
    <w:rsid w:val="00BD0E2D"/>
    <w:rsid w:val="00BD640A"/>
    <w:rsid w:val="00BD734A"/>
    <w:rsid w:val="00BD7CFC"/>
    <w:rsid w:val="00BE15EA"/>
    <w:rsid w:val="00BE1A5A"/>
    <w:rsid w:val="00BE453D"/>
    <w:rsid w:val="00BE6E30"/>
    <w:rsid w:val="00BE7CFE"/>
    <w:rsid w:val="00BF055F"/>
    <w:rsid w:val="00BF05F1"/>
    <w:rsid w:val="00BF1A21"/>
    <w:rsid w:val="00BF2060"/>
    <w:rsid w:val="00BF4A06"/>
    <w:rsid w:val="00C01AD0"/>
    <w:rsid w:val="00C04C4F"/>
    <w:rsid w:val="00C13523"/>
    <w:rsid w:val="00C13D13"/>
    <w:rsid w:val="00C14BF9"/>
    <w:rsid w:val="00C14FDD"/>
    <w:rsid w:val="00C159CE"/>
    <w:rsid w:val="00C20869"/>
    <w:rsid w:val="00C20DB4"/>
    <w:rsid w:val="00C23B18"/>
    <w:rsid w:val="00C24A5A"/>
    <w:rsid w:val="00C24AE3"/>
    <w:rsid w:val="00C25DC6"/>
    <w:rsid w:val="00C264E8"/>
    <w:rsid w:val="00C278BA"/>
    <w:rsid w:val="00C30583"/>
    <w:rsid w:val="00C348E3"/>
    <w:rsid w:val="00C35B7C"/>
    <w:rsid w:val="00C40F55"/>
    <w:rsid w:val="00C42295"/>
    <w:rsid w:val="00C43676"/>
    <w:rsid w:val="00C44995"/>
    <w:rsid w:val="00C44C85"/>
    <w:rsid w:val="00C44DEA"/>
    <w:rsid w:val="00C47A55"/>
    <w:rsid w:val="00C51381"/>
    <w:rsid w:val="00C52403"/>
    <w:rsid w:val="00C5364F"/>
    <w:rsid w:val="00C55DE4"/>
    <w:rsid w:val="00C6013F"/>
    <w:rsid w:val="00C6291B"/>
    <w:rsid w:val="00C62EB2"/>
    <w:rsid w:val="00C64AC4"/>
    <w:rsid w:val="00C64EA2"/>
    <w:rsid w:val="00C65AE0"/>
    <w:rsid w:val="00C7092B"/>
    <w:rsid w:val="00C70B2A"/>
    <w:rsid w:val="00C71335"/>
    <w:rsid w:val="00C72444"/>
    <w:rsid w:val="00C72961"/>
    <w:rsid w:val="00C75FFB"/>
    <w:rsid w:val="00C779AB"/>
    <w:rsid w:val="00C80C83"/>
    <w:rsid w:val="00C812AE"/>
    <w:rsid w:val="00C82044"/>
    <w:rsid w:val="00C8539C"/>
    <w:rsid w:val="00C868CB"/>
    <w:rsid w:val="00C87C75"/>
    <w:rsid w:val="00C90885"/>
    <w:rsid w:val="00C9156F"/>
    <w:rsid w:val="00C92173"/>
    <w:rsid w:val="00C9745C"/>
    <w:rsid w:val="00CA0129"/>
    <w:rsid w:val="00CA0F3F"/>
    <w:rsid w:val="00CA11E3"/>
    <w:rsid w:val="00CA5961"/>
    <w:rsid w:val="00CA63FE"/>
    <w:rsid w:val="00CA6501"/>
    <w:rsid w:val="00CA7BEB"/>
    <w:rsid w:val="00CB2E2E"/>
    <w:rsid w:val="00CB4CE7"/>
    <w:rsid w:val="00CB65AC"/>
    <w:rsid w:val="00CC057E"/>
    <w:rsid w:val="00CC19FA"/>
    <w:rsid w:val="00CC33A2"/>
    <w:rsid w:val="00CC3BD2"/>
    <w:rsid w:val="00CC4076"/>
    <w:rsid w:val="00CC6D06"/>
    <w:rsid w:val="00CD09FE"/>
    <w:rsid w:val="00CD4DC0"/>
    <w:rsid w:val="00CD5142"/>
    <w:rsid w:val="00CD6534"/>
    <w:rsid w:val="00CD6673"/>
    <w:rsid w:val="00CD7FA6"/>
    <w:rsid w:val="00CE00C0"/>
    <w:rsid w:val="00CE0898"/>
    <w:rsid w:val="00CE1115"/>
    <w:rsid w:val="00CE446E"/>
    <w:rsid w:val="00CE7834"/>
    <w:rsid w:val="00CE7B00"/>
    <w:rsid w:val="00CF2A87"/>
    <w:rsid w:val="00CF2F95"/>
    <w:rsid w:val="00CF5986"/>
    <w:rsid w:val="00CF646B"/>
    <w:rsid w:val="00D0258C"/>
    <w:rsid w:val="00D03389"/>
    <w:rsid w:val="00D1102A"/>
    <w:rsid w:val="00D11351"/>
    <w:rsid w:val="00D11986"/>
    <w:rsid w:val="00D1255B"/>
    <w:rsid w:val="00D144C7"/>
    <w:rsid w:val="00D16B79"/>
    <w:rsid w:val="00D21512"/>
    <w:rsid w:val="00D22199"/>
    <w:rsid w:val="00D25360"/>
    <w:rsid w:val="00D25827"/>
    <w:rsid w:val="00D25E48"/>
    <w:rsid w:val="00D26248"/>
    <w:rsid w:val="00D26F5A"/>
    <w:rsid w:val="00D310FE"/>
    <w:rsid w:val="00D32E82"/>
    <w:rsid w:val="00D341C1"/>
    <w:rsid w:val="00D34839"/>
    <w:rsid w:val="00D360D6"/>
    <w:rsid w:val="00D410DC"/>
    <w:rsid w:val="00D42679"/>
    <w:rsid w:val="00D448D8"/>
    <w:rsid w:val="00D44D97"/>
    <w:rsid w:val="00D457A3"/>
    <w:rsid w:val="00D45F7E"/>
    <w:rsid w:val="00D46E72"/>
    <w:rsid w:val="00D5107C"/>
    <w:rsid w:val="00D51334"/>
    <w:rsid w:val="00D525B0"/>
    <w:rsid w:val="00D5291D"/>
    <w:rsid w:val="00D52DF0"/>
    <w:rsid w:val="00D5365E"/>
    <w:rsid w:val="00D54B48"/>
    <w:rsid w:val="00D55DCF"/>
    <w:rsid w:val="00D56F75"/>
    <w:rsid w:val="00D60CE3"/>
    <w:rsid w:val="00D62A4A"/>
    <w:rsid w:val="00D63868"/>
    <w:rsid w:val="00D63B2E"/>
    <w:rsid w:val="00D6501D"/>
    <w:rsid w:val="00D662C5"/>
    <w:rsid w:val="00D6765F"/>
    <w:rsid w:val="00D72A69"/>
    <w:rsid w:val="00D72DD7"/>
    <w:rsid w:val="00D757FC"/>
    <w:rsid w:val="00D766D9"/>
    <w:rsid w:val="00D77263"/>
    <w:rsid w:val="00D77405"/>
    <w:rsid w:val="00D845C6"/>
    <w:rsid w:val="00D84CEA"/>
    <w:rsid w:val="00D863D5"/>
    <w:rsid w:val="00D8668C"/>
    <w:rsid w:val="00D875B5"/>
    <w:rsid w:val="00D91A4E"/>
    <w:rsid w:val="00D9376B"/>
    <w:rsid w:val="00D94F01"/>
    <w:rsid w:val="00D9709B"/>
    <w:rsid w:val="00DA0994"/>
    <w:rsid w:val="00DA1F94"/>
    <w:rsid w:val="00DA40A1"/>
    <w:rsid w:val="00DA5A9B"/>
    <w:rsid w:val="00DA7B30"/>
    <w:rsid w:val="00DB006C"/>
    <w:rsid w:val="00DB2B8C"/>
    <w:rsid w:val="00DB4A34"/>
    <w:rsid w:val="00DB5771"/>
    <w:rsid w:val="00DB6D82"/>
    <w:rsid w:val="00DB739C"/>
    <w:rsid w:val="00DC23C5"/>
    <w:rsid w:val="00DC3C79"/>
    <w:rsid w:val="00DC4376"/>
    <w:rsid w:val="00DC60C0"/>
    <w:rsid w:val="00DC63DC"/>
    <w:rsid w:val="00DD2D44"/>
    <w:rsid w:val="00DD44DC"/>
    <w:rsid w:val="00DD7044"/>
    <w:rsid w:val="00DE1940"/>
    <w:rsid w:val="00DE4DAC"/>
    <w:rsid w:val="00DE4EE0"/>
    <w:rsid w:val="00DE562C"/>
    <w:rsid w:val="00DF24E5"/>
    <w:rsid w:val="00DF4949"/>
    <w:rsid w:val="00E00182"/>
    <w:rsid w:val="00E00ED7"/>
    <w:rsid w:val="00E0121D"/>
    <w:rsid w:val="00E0142D"/>
    <w:rsid w:val="00E021A7"/>
    <w:rsid w:val="00E0579C"/>
    <w:rsid w:val="00E05B79"/>
    <w:rsid w:val="00E11D3E"/>
    <w:rsid w:val="00E12508"/>
    <w:rsid w:val="00E16C37"/>
    <w:rsid w:val="00E16CE6"/>
    <w:rsid w:val="00E17BE2"/>
    <w:rsid w:val="00E17E89"/>
    <w:rsid w:val="00E20A3A"/>
    <w:rsid w:val="00E22437"/>
    <w:rsid w:val="00E2293F"/>
    <w:rsid w:val="00E24349"/>
    <w:rsid w:val="00E24715"/>
    <w:rsid w:val="00E24ABE"/>
    <w:rsid w:val="00E30950"/>
    <w:rsid w:val="00E319F2"/>
    <w:rsid w:val="00E33A6D"/>
    <w:rsid w:val="00E34159"/>
    <w:rsid w:val="00E35045"/>
    <w:rsid w:val="00E3593D"/>
    <w:rsid w:val="00E3597A"/>
    <w:rsid w:val="00E3603A"/>
    <w:rsid w:val="00E3783F"/>
    <w:rsid w:val="00E405FB"/>
    <w:rsid w:val="00E40A63"/>
    <w:rsid w:val="00E41098"/>
    <w:rsid w:val="00E41E2D"/>
    <w:rsid w:val="00E45A94"/>
    <w:rsid w:val="00E46AED"/>
    <w:rsid w:val="00E52F7E"/>
    <w:rsid w:val="00E5567F"/>
    <w:rsid w:val="00E57185"/>
    <w:rsid w:val="00E5761C"/>
    <w:rsid w:val="00E60A74"/>
    <w:rsid w:val="00E61E52"/>
    <w:rsid w:val="00E63180"/>
    <w:rsid w:val="00E6719E"/>
    <w:rsid w:val="00E70694"/>
    <w:rsid w:val="00E71489"/>
    <w:rsid w:val="00E722BC"/>
    <w:rsid w:val="00E73E44"/>
    <w:rsid w:val="00E74652"/>
    <w:rsid w:val="00E74EF4"/>
    <w:rsid w:val="00E75597"/>
    <w:rsid w:val="00E768D5"/>
    <w:rsid w:val="00E769B5"/>
    <w:rsid w:val="00E7777B"/>
    <w:rsid w:val="00E8277B"/>
    <w:rsid w:val="00E83C94"/>
    <w:rsid w:val="00E85A40"/>
    <w:rsid w:val="00E85DBA"/>
    <w:rsid w:val="00E904B0"/>
    <w:rsid w:val="00E944D9"/>
    <w:rsid w:val="00E950AF"/>
    <w:rsid w:val="00E96FCA"/>
    <w:rsid w:val="00E97D1E"/>
    <w:rsid w:val="00EA126F"/>
    <w:rsid w:val="00EA5EEB"/>
    <w:rsid w:val="00EA704F"/>
    <w:rsid w:val="00EB2229"/>
    <w:rsid w:val="00EB407E"/>
    <w:rsid w:val="00EB4A98"/>
    <w:rsid w:val="00EB5856"/>
    <w:rsid w:val="00EB6183"/>
    <w:rsid w:val="00EC1EF3"/>
    <w:rsid w:val="00EC6084"/>
    <w:rsid w:val="00EC6666"/>
    <w:rsid w:val="00EC783A"/>
    <w:rsid w:val="00EC7BEA"/>
    <w:rsid w:val="00ED3B06"/>
    <w:rsid w:val="00ED3FA5"/>
    <w:rsid w:val="00ED4DF8"/>
    <w:rsid w:val="00ED5326"/>
    <w:rsid w:val="00EE07EA"/>
    <w:rsid w:val="00EE1E6D"/>
    <w:rsid w:val="00EE2524"/>
    <w:rsid w:val="00EE3797"/>
    <w:rsid w:val="00EE5285"/>
    <w:rsid w:val="00EE5406"/>
    <w:rsid w:val="00EE5605"/>
    <w:rsid w:val="00EE7C54"/>
    <w:rsid w:val="00EF1861"/>
    <w:rsid w:val="00EF19FE"/>
    <w:rsid w:val="00EF2CBA"/>
    <w:rsid w:val="00EF361D"/>
    <w:rsid w:val="00EF5E8C"/>
    <w:rsid w:val="00EF6EE1"/>
    <w:rsid w:val="00EF720E"/>
    <w:rsid w:val="00F008B3"/>
    <w:rsid w:val="00F008B8"/>
    <w:rsid w:val="00F011FB"/>
    <w:rsid w:val="00F01CF5"/>
    <w:rsid w:val="00F020DD"/>
    <w:rsid w:val="00F06457"/>
    <w:rsid w:val="00F06FE0"/>
    <w:rsid w:val="00F0711D"/>
    <w:rsid w:val="00F076AC"/>
    <w:rsid w:val="00F10610"/>
    <w:rsid w:val="00F16A0B"/>
    <w:rsid w:val="00F17733"/>
    <w:rsid w:val="00F2086A"/>
    <w:rsid w:val="00F2645B"/>
    <w:rsid w:val="00F276DA"/>
    <w:rsid w:val="00F3026B"/>
    <w:rsid w:val="00F32BE8"/>
    <w:rsid w:val="00F32F32"/>
    <w:rsid w:val="00F341FB"/>
    <w:rsid w:val="00F35CC9"/>
    <w:rsid w:val="00F35E5B"/>
    <w:rsid w:val="00F40360"/>
    <w:rsid w:val="00F40769"/>
    <w:rsid w:val="00F41289"/>
    <w:rsid w:val="00F4303C"/>
    <w:rsid w:val="00F44943"/>
    <w:rsid w:val="00F46EAF"/>
    <w:rsid w:val="00F50C22"/>
    <w:rsid w:val="00F51C90"/>
    <w:rsid w:val="00F52206"/>
    <w:rsid w:val="00F537C7"/>
    <w:rsid w:val="00F55D4F"/>
    <w:rsid w:val="00F57698"/>
    <w:rsid w:val="00F6129D"/>
    <w:rsid w:val="00F61975"/>
    <w:rsid w:val="00F627CA"/>
    <w:rsid w:val="00F62847"/>
    <w:rsid w:val="00F639B7"/>
    <w:rsid w:val="00F66254"/>
    <w:rsid w:val="00F6675F"/>
    <w:rsid w:val="00F7045D"/>
    <w:rsid w:val="00F7072D"/>
    <w:rsid w:val="00F72AE2"/>
    <w:rsid w:val="00F73028"/>
    <w:rsid w:val="00F7314C"/>
    <w:rsid w:val="00F73708"/>
    <w:rsid w:val="00F843A2"/>
    <w:rsid w:val="00F85AB9"/>
    <w:rsid w:val="00F871B6"/>
    <w:rsid w:val="00F87465"/>
    <w:rsid w:val="00F95480"/>
    <w:rsid w:val="00F95714"/>
    <w:rsid w:val="00F95E73"/>
    <w:rsid w:val="00FA0251"/>
    <w:rsid w:val="00FA1ED6"/>
    <w:rsid w:val="00FA6C2D"/>
    <w:rsid w:val="00FA71E7"/>
    <w:rsid w:val="00FA789E"/>
    <w:rsid w:val="00FB0907"/>
    <w:rsid w:val="00FC066F"/>
    <w:rsid w:val="00FC193A"/>
    <w:rsid w:val="00FC2264"/>
    <w:rsid w:val="00FC24E7"/>
    <w:rsid w:val="00FC30C5"/>
    <w:rsid w:val="00FC3304"/>
    <w:rsid w:val="00FC4760"/>
    <w:rsid w:val="00FC62C5"/>
    <w:rsid w:val="00FD4975"/>
    <w:rsid w:val="00FD631B"/>
    <w:rsid w:val="00FE4FED"/>
    <w:rsid w:val="00FE698B"/>
    <w:rsid w:val="00FF668D"/>
    <w:rsid w:val="00FF69F1"/>
    <w:rsid w:val="00FF6B4E"/>
    <w:rsid w:val="00FF71FA"/>
    <w:rsid w:val="00FF7A27"/>
    <w:rsid w:val="00FF7E7B"/>
    <w:rsid w:val="28C33EB0"/>
    <w:rsid w:val="4DB40647"/>
    <w:rsid w:val="53200E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C121B"/>
  <w15:chartTrackingRefBased/>
  <w15:docId w15:val="{44AC4C17-F500-4713-8085-7774582B6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793"/>
    <w:pPr>
      <w:spacing w:line="276" w:lineRule="auto"/>
    </w:pPr>
    <w:rPr>
      <w:rFonts w:ascii="Segoe UI" w:hAnsi="Segoe UI"/>
    </w:rPr>
  </w:style>
  <w:style w:type="paragraph" w:styleId="Heading1">
    <w:name w:val="heading 1"/>
    <w:basedOn w:val="Normal"/>
    <w:next w:val="BodyText"/>
    <w:link w:val="Heading1Char"/>
    <w:autoRedefine/>
    <w:uiPriority w:val="9"/>
    <w:qFormat/>
    <w:rsid w:val="00550C0A"/>
    <w:pPr>
      <w:keepNext/>
      <w:keepLines/>
      <w:pageBreakBefore/>
      <w:pBdr>
        <w:bottom w:val="single" w:sz="12" w:space="10" w:color="00DCA1" w:themeColor="background2"/>
      </w:pBdr>
      <w:spacing w:before="240"/>
      <w:outlineLvl w:val="0"/>
    </w:pPr>
    <w:rPr>
      <w:rFonts w:ascii="Segoe UI Semibold" w:eastAsiaTheme="majorEastAsia" w:hAnsi="Segoe UI Semibold" w:cs="Arial"/>
      <w:color w:val="025F5D"/>
      <w:sz w:val="48"/>
      <w:szCs w:val="72"/>
    </w:rPr>
  </w:style>
  <w:style w:type="paragraph" w:styleId="Heading2">
    <w:name w:val="heading 2"/>
    <w:basedOn w:val="Normal"/>
    <w:next w:val="BodyText"/>
    <w:link w:val="Heading2Char"/>
    <w:uiPriority w:val="9"/>
    <w:unhideWhenUsed/>
    <w:qFormat/>
    <w:rsid w:val="0056312E"/>
    <w:pPr>
      <w:keepNext/>
      <w:keepLines/>
      <w:outlineLvl w:val="1"/>
    </w:pPr>
    <w:rPr>
      <w:rFonts w:eastAsiaTheme="majorEastAsia" w:cstheme="majorBidi"/>
      <w:b/>
      <w:color w:val="025F5D"/>
      <w:sz w:val="40"/>
      <w:szCs w:val="26"/>
    </w:rPr>
  </w:style>
  <w:style w:type="paragraph" w:styleId="Heading3">
    <w:name w:val="heading 3"/>
    <w:basedOn w:val="Normal"/>
    <w:next w:val="BodyText"/>
    <w:link w:val="Heading3Char"/>
    <w:uiPriority w:val="9"/>
    <w:unhideWhenUsed/>
    <w:qFormat/>
    <w:rsid w:val="0056312E"/>
    <w:pPr>
      <w:keepNext/>
      <w:keepLines/>
      <w:spacing w:before="240"/>
      <w:outlineLvl w:val="2"/>
    </w:pPr>
    <w:rPr>
      <w:rFonts w:eastAsiaTheme="majorEastAsia" w:cstheme="majorBidi"/>
      <w:color w:val="025F5D"/>
      <w:sz w:val="32"/>
    </w:rPr>
  </w:style>
  <w:style w:type="paragraph" w:styleId="Heading4">
    <w:name w:val="heading 4"/>
    <w:basedOn w:val="Normal"/>
    <w:next w:val="BodyText"/>
    <w:link w:val="Heading4Char"/>
    <w:uiPriority w:val="9"/>
    <w:unhideWhenUsed/>
    <w:qFormat/>
    <w:rsid w:val="0056312E"/>
    <w:pPr>
      <w:keepNext/>
      <w:keepLines/>
      <w:spacing w:before="40"/>
      <w:outlineLvl w:val="3"/>
    </w:pPr>
    <w:rPr>
      <w:rFonts w:eastAsiaTheme="majorEastAsia" w:cstheme="majorBidi"/>
      <w:iCs/>
      <w:color w:val="025F5D"/>
      <w:sz w:val="28"/>
    </w:rPr>
  </w:style>
  <w:style w:type="paragraph" w:styleId="Heading5">
    <w:name w:val="heading 5"/>
    <w:basedOn w:val="Normal"/>
    <w:next w:val="Normal"/>
    <w:link w:val="Heading5Char"/>
    <w:uiPriority w:val="9"/>
    <w:unhideWhenUsed/>
    <w:qFormat/>
    <w:rsid w:val="0056312E"/>
    <w:pPr>
      <w:keepNext/>
      <w:keepLines/>
      <w:spacing w:before="40"/>
      <w:outlineLvl w:val="4"/>
    </w:pPr>
    <w:rPr>
      <w:rFonts w:eastAsiaTheme="majorEastAsia" w:cstheme="majorBidi"/>
      <w:b/>
      <w:color w:val="025F5D"/>
    </w:rPr>
  </w:style>
  <w:style w:type="paragraph" w:styleId="Heading6">
    <w:name w:val="heading 6"/>
    <w:basedOn w:val="Normal"/>
    <w:next w:val="Normal"/>
    <w:link w:val="Heading6Char"/>
    <w:uiPriority w:val="9"/>
    <w:unhideWhenUsed/>
    <w:qFormat/>
    <w:rsid w:val="0056312E"/>
    <w:pPr>
      <w:keepNext/>
      <w:keepLines/>
      <w:spacing w:before="40"/>
      <w:outlineLvl w:val="5"/>
    </w:pPr>
    <w:rPr>
      <w:rFonts w:eastAsiaTheme="majorEastAsia" w:cstheme="majorBidi"/>
      <w:i/>
      <w:color w:val="025F5D"/>
    </w:rPr>
  </w:style>
  <w:style w:type="paragraph" w:styleId="Heading7">
    <w:name w:val="heading 7"/>
    <w:basedOn w:val="Normal"/>
    <w:next w:val="Normal"/>
    <w:link w:val="Heading7Char"/>
    <w:uiPriority w:val="9"/>
    <w:unhideWhenUsed/>
    <w:qFormat/>
    <w:rsid w:val="0056312E"/>
    <w:pPr>
      <w:keepNext/>
      <w:keepLines/>
      <w:spacing w:before="40"/>
      <w:outlineLvl w:val="6"/>
    </w:pPr>
    <w:rPr>
      <w:rFonts w:eastAsiaTheme="majorEastAsia" w:cstheme="majorBidi"/>
      <w:iCs/>
      <w:color w:val="025F5D"/>
    </w:rPr>
  </w:style>
  <w:style w:type="paragraph" w:styleId="Heading8">
    <w:name w:val="heading 8"/>
    <w:basedOn w:val="Normal"/>
    <w:next w:val="Normal"/>
    <w:link w:val="Heading8Char"/>
    <w:uiPriority w:val="9"/>
    <w:semiHidden/>
    <w:unhideWhenUsed/>
    <w:qFormat/>
    <w:rsid w:val="001E7087"/>
    <w:pPr>
      <w:keepNext/>
      <w:keepLines/>
      <w:spacing w:before="40"/>
      <w:outlineLvl w:val="7"/>
    </w:pPr>
    <w:rPr>
      <w:rFonts w:eastAsiaTheme="majorEastAsia" w:cstheme="majorBidi"/>
      <w:color w:val="000000" w:themeColor="text1"/>
      <w:szCs w:val="21"/>
    </w:rPr>
  </w:style>
  <w:style w:type="paragraph" w:styleId="Heading9">
    <w:name w:val="heading 9"/>
    <w:basedOn w:val="Normal"/>
    <w:next w:val="Normal"/>
    <w:link w:val="Heading9Char"/>
    <w:uiPriority w:val="9"/>
    <w:unhideWhenUsed/>
    <w:rsid w:val="001E708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C0A"/>
    <w:rPr>
      <w:rFonts w:ascii="Segoe UI Semibold" w:eastAsiaTheme="majorEastAsia" w:hAnsi="Segoe UI Semibold" w:cs="Arial"/>
      <w:color w:val="025F5D"/>
      <w:sz w:val="48"/>
      <w:szCs w:val="72"/>
    </w:rPr>
  </w:style>
  <w:style w:type="paragraph" w:styleId="NoSpacing">
    <w:name w:val="No Spacing"/>
    <w:uiPriority w:val="1"/>
    <w:qFormat/>
    <w:rsid w:val="001E7087"/>
    <w:rPr>
      <w:rFonts w:ascii="Arial" w:hAnsi="Arial"/>
    </w:rPr>
  </w:style>
  <w:style w:type="character" w:customStyle="1" w:styleId="Heading2Char">
    <w:name w:val="Heading 2 Char"/>
    <w:basedOn w:val="DefaultParagraphFont"/>
    <w:link w:val="Heading2"/>
    <w:uiPriority w:val="9"/>
    <w:rsid w:val="0056312E"/>
    <w:rPr>
      <w:rFonts w:ascii="Segoe UI" w:eastAsiaTheme="majorEastAsia" w:hAnsi="Segoe UI" w:cstheme="majorBidi"/>
      <w:b/>
      <w:color w:val="025F5D"/>
      <w:sz w:val="40"/>
      <w:szCs w:val="26"/>
    </w:rPr>
  </w:style>
  <w:style w:type="paragraph" w:styleId="Title">
    <w:name w:val="Title"/>
    <w:basedOn w:val="Normal"/>
    <w:next w:val="Normal"/>
    <w:link w:val="TitleChar"/>
    <w:uiPriority w:val="10"/>
    <w:qFormat/>
    <w:rsid w:val="007E72A6"/>
    <w:pPr>
      <w:spacing w:before="2000" w:line="240" w:lineRule="auto"/>
      <w:contextualSpacing/>
    </w:pPr>
    <w:rPr>
      <w:rFonts w:ascii="Segoe UI Semibold" w:eastAsiaTheme="majorEastAsia" w:hAnsi="Segoe UI Semibold" w:cstheme="majorBidi"/>
      <w:spacing w:val="-10"/>
      <w:kern w:val="28"/>
      <w:sz w:val="72"/>
      <w:szCs w:val="56"/>
    </w:rPr>
  </w:style>
  <w:style w:type="character" w:customStyle="1" w:styleId="TitleChar">
    <w:name w:val="Title Char"/>
    <w:basedOn w:val="DefaultParagraphFont"/>
    <w:link w:val="Title"/>
    <w:uiPriority w:val="10"/>
    <w:rsid w:val="007E72A6"/>
    <w:rPr>
      <w:rFonts w:ascii="Segoe UI Semibold" w:eastAsiaTheme="majorEastAsia" w:hAnsi="Segoe UI Semibold" w:cstheme="majorBidi"/>
      <w:spacing w:val="-10"/>
      <w:kern w:val="28"/>
      <w:sz w:val="72"/>
      <w:szCs w:val="56"/>
    </w:rPr>
  </w:style>
  <w:style w:type="paragraph" w:styleId="Subtitle">
    <w:name w:val="Subtitle"/>
    <w:basedOn w:val="Normal"/>
    <w:next w:val="Normal"/>
    <w:link w:val="SubtitleChar"/>
    <w:uiPriority w:val="11"/>
    <w:qFormat/>
    <w:rsid w:val="007E72A6"/>
    <w:pPr>
      <w:numPr>
        <w:ilvl w:val="1"/>
      </w:numPr>
      <w:spacing w:after="160"/>
    </w:pPr>
    <w:rPr>
      <w:rFonts w:eastAsiaTheme="minorEastAsia" w:cs="Times New Roman (Body CS)"/>
      <w:color w:val="025F5D"/>
      <w:sz w:val="28"/>
      <w:szCs w:val="22"/>
    </w:rPr>
  </w:style>
  <w:style w:type="character" w:customStyle="1" w:styleId="SubtitleChar">
    <w:name w:val="Subtitle Char"/>
    <w:basedOn w:val="DefaultParagraphFont"/>
    <w:link w:val="Subtitle"/>
    <w:uiPriority w:val="11"/>
    <w:rsid w:val="007E72A6"/>
    <w:rPr>
      <w:rFonts w:ascii="Segoe UI" w:eastAsiaTheme="minorEastAsia" w:hAnsi="Segoe UI" w:cs="Times New Roman (Body CS)"/>
      <w:color w:val="025F5D"/>
      <w:sz w:val="28"/>
      <w:szCs w:val="22"/>
    </w:rPr>
  </w:style>
  <w:style w:type="character" w:styleId="SubtleEmphasis">
    <w:name w:val="Subtle Emphasis"/>
    <w:basedOn w:val="DefaultParagraphFont"/>
    <w:uiPriority w:val="19"/>
    <w:qFormat/>
    <w:rsid w:val="001E7087"/>
    <w:rPr>
      <w:rFonts w:ascii="Arial" w:hAnsi="Arial"/>
      <w:i/>
      <w:iCs/>
      <w:color w:val="404040" w:themeColor="text1" w:themeTint="BF"/>
    </w:rPr>
  </w:style>
  <w:style w:type="paragraph" w:customStyle="1" w:styleId="BulletUnindented">
    <w:name w:val="Bullet Unindented"/>
    <w:basedOn w:val="ListParagraph"/>
    <w:qFormat/>
    <w:rsid w:val="003701A5"/>
    <w:pPr>
      <w:numPr>
        <w:numId w:val="7"/>
      </w:numPr>
      <w:ind w:left="357" w:hanging="357"/>
    </w:pPr>
  </w:style>
  <w:style w:type="character" w:styleId="IntenseEmphasis">
    <w:name w:val="Intense Emphasis"/>
    <w:basedOn w:val="DefaultParagraphFont"/>
    <w:uiPriority w:val="21"/>
    <w:rsid w:val="001E7087"/>
    <w:rPr>
      <w:rFonts w:ascii="Arial" w:hAnsi="Arial"/>
      <w:i/>
      <w:iCs/>
      <w:color w:val="033636" w:themeColor="text2"/>
    </w:rPr>
  </w:style>
  <w:style w:type="character" w:styleId="Strong">
    <w:name w:val="Strong"/>
    <w:basedOn w:val="DefaultParagraphFont"/>
    <w:uiPriority w:val="22"/>
    <w:qFormat/>
    <w:rsid w:val="001E7087"/>
    <w:rPr>
      <w:b/>
      <w:bCs/>
    </w:rPr>
  </w:style>
  <w:style w:type="paragraph" w:styleId="Quote">
    <w:name w:val="Quote"/>
    <w:basedOn w:val="Normal"/>
    <w:next w:val="Normal"/>
    <w:link w:val="QuoteChar"/>
    <w:uiPriority w:val="29"/>
    <w:qFormat/>
    <w:rsid w:val="001E7087"/>
    <w:pPr>
      <w:spacing w:before="200" w:after="160"/>
      <w:ind w:left="864" w:right="864"/>
      <w:jc w:val="center"/>
    </w:pPr>
    <w:rPr>
      <w:i/>
      <w:iCs/>
      <w:color w:val="033636" w:themeColor="text2"/>
    </w:rPr>
  </w:style>
  <w:style w:type="character" w:customStyle="1" w:styleId="QuoteChar">
    <w:name w:val="Quote Char"/>
    <w:basedOn w:val="DefaultParagraphFont"/>
    <w:link w:val="Quote"/>
    <w:uiPriority w:val="29"/>
    <w:rsid w:val="001E7087"/>
    <w:rPr>
      <w:rFonts w:ascii="Arial" w:hAnsi="Arial"/>
      <w:i/>
      <w:iCs/>
      <w:color w:val="033636" w:themeColor="text2"/>
    </w:rPr>
  </w:style>
  <w:style w:type="paragraph" w:styleId="IntenseQuote">
    <w:name w:val="Intense Quote"/>
    <w:basedOn w:val="Normal"/>
    <w:next w:val="Normal"/>
    <w:link w:val="IntenseQuoteChar"/>
    <w:uiPriority w:val="30"/>
    <w:qFormat/>
    <w:rsid w:val="001E7087"/>
    <w:pPr>
      <w:pBdr>
        <w:top w:val="single" w:sz="4" w:space="10" w:color="00DCA1" w:themeColor="background2"/>
        <w:bottom w:val="single" w:sz="4" w:space="10" w:color="00DCA1" w:themeColor="background2"/>
      </w:pBdr>
      <w:spacing w:before="360" w:after="360"/>
      <w:ind w:left="864" w:right="864"/>
      <w:jc w:val="center"/>
    </w:pPr>
    <w:rPr>
      <w:i/>
      <w:iCs/>
      <w:color w:val="033636" w:themeColor="text2"/>
    </w:rPr>
  </w:style>
  <w:style w:type="character" w:customStyle="1" w:styleId="IntenseQuoteChar">
    <w:name w:val="Intense Quote Char"/>
    <w:basedOn w:val="DefaultParagraphFont"/>
    <w:link w:val="IntenseQuote"/>
    <w:uiPriority w:val="30"/>
    <w:rsid w:val="001E7087"/>
    <w:rPr>
      <w:rFonts w:ascii="Arial" w:hAnsi="Arial"/>
      <w:i/>
      <w:iCs/>
      <w:color w:val="033636" w:themeColor="text2"/>
    </w:rPr>
  </w:style>
  <w:style w:type="character" w:customStyle="1" w:styleId="Heading3Char">
    <w:name w:val="Heading 3 Char"/>
    <w:basedOn w:val="DefaultParagraphFont"/>
    <w:link w:val="Heading3"/>
    <w:uiPriority w:val="9"/>
    <w:rsid w:val="0056312E"/>
    <w:rPr>
      <w:rFonts w:ascii="Segoe UI" w:eastAsiaTheme="majorEastAsia" w:hAnsi="Segoe UI" w:cstheme="majorBidi"/>
      <w:color w:val="025F5D"/>
      <w:sz w:val="32"/>
    </w:rPr>
  </w:style>
  <w:style w:type="character" w:customStyle="1" w:styleId="Heading4Char">
    <w:name w:val="Heading 4 Char"/>
    <w:basedOn w:val="DefaultParagraphFont"/>
    <w:link w:val="Heading4"/>
    <w:uiPriority w:val="9"/>
    <w:rsid w:val="0056312E"/>
    <w:rPr>
      <w:rFonts w:ascii="Segoe UI" w:eastAsiaTheme="majorEastAsia" w:hAnsi="Segoe UI" w:cstheme="majorBidi"/>
      <w:iCs/>
      <w:color w:val="025F5D"/>
      <w:sz w:val="28"/>
    </w:rPr>
  </w:style>
  <w:style w:type="character" w:customStyle="1" w:styleId="Heading5Char">
    <w:name w:val="Heading 5 Char"/>
    <w:basedOn w:val="DefaultParagraphFont"/>
    <w:link w:val="Heading5"/>
    <w:uiPriority w:val="9"/>
    <w:rsid w:val="0056312E"/>
    <w:rPr>
      <w:rFonts w:ascii="Segoe UI" w:eastAsiaTheme="majorEastAsia" w:hAnsi="Segoe UI" w:cstheme="majorBidi"/>
      <w:b/>
      <w:color w:val="025F5D"/>
    </w:rPr>
  </w:style>
  <w:style w:type="character" w:customStyle="1" w:styleId="Heading6Char">
    <w:name w:val="Heading 6 Char"/>
    <w:basedOn w:val="DefaultParagraphFont"/>
    <w:link w:val="Heading6"/>
    <w:uiPriority w:val="9"/>
    <w:rsid w:val="0056312E"/>
    <w:rPr>
      <w:rFonts w:ascii="Segoe UI" w:eastAsiaTheme="majorEastAsia" w:hAnsi="Segoe UI" w:cstheme="majorBidi"/>
      <w:i/>
      <w:color w:val="025F5D"/>
    </w:rPr>
  </w:style>
  <w:style w:type="character" w:customStyle="1" w:styleId="Heading7Char">
    <w:name w:val="Heading 7 Char"/>
    <w:basedOn w:val="DefaultParagraphFont"/>
    <w:link w:val="Heading7"/>
    <w:uiPriority w:val="9"/>
    <w:rsid w:val="0056312E"/>
    <w:rPr>
      <w:rFonts w:ascii="Segoe UI" w:eastAsiaTheme="majorEastAsia" w:hAnsi="Segoe UI" w:cstheme="majorBidi"/>
      <w:iCs/>
      <w:color w:val="025F5D"/>
    </w:rPr>
  </w:style>
  <w:style w:type="character" w:customStyle="1" w:styleId="Heading8Char">
    <w:name w:val="Heading 8 Char"/>
    <w:basedOn w:val="DefaultParagraphFont"/>
    <w:link w:val="Heading8"/>
    <w:uiPriority w:val="9"/>
    <w:semiHidden/>
    <w:rsid w:val="001E7087"/>
    <w:rPr>
      <w:rFonts w:ascii="Segoe UI" w:eastAsiaTheme="majorEastAsia" w:hAnsi="Segoe UI" w:cstheme="majorBidi"/>
      <w:color w:val="000000" w:themeColor="text1"/>
      <w:szCs w:val="21"/>
    </w:rPr>
  </w:style>
  <w:style w:type="character" w:customStyle="1" w:styleId="Heading9Char">
    <w:name w:val="Heading 9 Char"/>
    <w:basedOn w:val="DefaultParagraphFont"/>
    <w:link w:val="Heading9"/>
    <w:uiPriority w:val="9"/>
    <w:rsid w:val="001E7087"/>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BD640A"/>
    <w:pPr>
      <w:tabs>
        <w:tab w:val="center" w:pos="4513"/>
        <w:tab w:val="right" w:pos="9026"/>
      </w:tabs>
      <w:spacing w:line="240" w:lineRule="auto"/>
    </w:pPr>
  </w:style>
  <w:style w:type="character" w:customStyle="1" w:styleId="HeaderChar">
    <w:name w:val="Header Char"/>
    <w:basedOn w:val="DefaultParagraphFont"/>
    <w:link w:val="Header"/>
    <w:uiPriority w:val="99"/>
    <w:rsid w:val="00BD640A"/>
    <w:rPr>
      <w:rFonts w:ascii="Segoe UI" w:hAnsi="Segoe UI"/>
    </w:rPr>
  </w:style>
  <w:style w:type="paragraph" w:styleId="Footer">
    <w:name w:val="footer"/>
    <w:basedOn w:val="Normal"/>
    <w:link w:val="FooterChar"/>
    <w:uiPriority w:val="99"/>
    <w:unhideWhenUsed/>
    <w:qFormat/>
    <w:rsid w:val="00BD640A"/>
    <w:pPr>
      <w:tabs>
        <w:tab w:val="center" w:pos="4513"/>
        <w:tab w:val="right" w:pos="9026"/>
      </w:tabs>
      <w:spacing w:line="240" w:lineRule="auto"/>
    </w:pPr>
  </w:style>
  <w:style w:type="character" w:customStyle="1" w:styleId="FooterChar">
    <w:name w:val="Footer Char"/>
    <w:basedOn w:val="DefaultParagraphFont"/>
    <w:link w:val="Footer"/>
    <w:uiPriority w:val="99"/>
    <w:rsid w:val="00BD640A"/>
    <w:rPr>
      <w:rFonts w:ascii="Segoe UI" w:hAnsi="Segoe UI"/>
    </w:rPr>
  </w:style>
  <w:style w:type="paragraph" w:customStyle="1" w:styleId="Copyrightbulletlist">
    <w:name w:val="Copyright bullet list"/>
    <w:basedOn w:val="Normal"/>
    <w:qFormat/>
    <w:rsid w:val="00C64AC4"/>
    <w:pPr>
      <w:numPr>
        <w:numId w:val="6"/>
      </w:numPr>
      <w:ind w:left="357" w:hanging="357"/>
    </w:pPr>
    <w:rPr>
      <w:sz w:val="18"/>
    </w:rPr>
  </w:style>
  <w:style w:type="character" w:styleId="PageNumber">
    <w:name w:val="page number"/>
    <w:basedOn w:val="DefaultParagraphFont"/>
    <w:uiPriority w:val="99"/>
    <w:semiHidden/>
    <w:unhideWhenUsed/>
    <w:rsid w:val="00DD7044"/>
  </w:style>
  <w:style w:type="paragraph" w:styleId="BodyText">
    <w:name w:val="Body Text"/>
    <w:basedOn w:val="Normal"/>
    <w:link w:val="BodyTextChar"/>
    <w:uiPriority w:val="99"/>
    <w:unhideWhenUsed/>
    <w:qFormat/>
    <w:rsid w:val="002219EF"/>
    <w:pPr>
      <w:spacing w:before="120" w:after="120"/>
    </w:pPr>
  </w:style>
  <w:style w:type="character" w:styleId="Hyperlink">
    <w:name w:val="Hyperlink"/>
    <w:basedOn w:val="DefaultParagraphFont"/>
    <w:uiPriority w:val="99"/>
    <w:unhideWhenUsed/>
    <w:qFormat/>
    <w:rsid w:val="00955CF6"/>
    <w:rPr>
      <w:color w:val="0000EE"/>
      <w:u w:val="single"/>
    </w:rPr>
  </w:style>
  <w:style w:type="character" w:styleId="UnresolvedMention">
    <w:name w:val="Unresolved Mention"/>
    <w:basedOn w:val="DefaultParagraphFont"/>
    <w:uiPriority w:val="99"/>
    <w:semiHidden/>
    <w:unhideWhenUsed/>
    <w:rsid w:val="00C14BF9"/>
    <w:rPr>
      <w:color w:val="605E5C"/>
      <w:shd w:val="clear" w:color="auto" w:fill="E1DFDD"/>
    </w:rPr>
  </w:style>
  <w:style w:type="paragraph" w:customStyle="1" w:styleId="Copyrighttext">
    <w:name w:val="Copyright text"/>
    <w:qFormat/>
    <w:rsid w:val="00B63816"/>
    <w:pPr>
      <w:spacing w:before="120" w:after="120" w:line="276" w:lineRule="auto"/>
    </w:pPr>
    <w:rPr>
      <w:rFonts w:ascii="Segoe UI" w:eastAsia="Times New Roman" w:hAnsi="Segoe UI" w:cs="Arial"/>
      <w:color w:val="000000"/>
      <w:kern w:val="0"/>
      <w:sz w:val="18"/>
      <w:szCs w:val="18"/>
      <w:lang w:eastAsia="en-GB"/>
      <w14:ligatures w14:val="none"/>
    </w:rPr>
  </w:style>
  <w:style w:type="table" w:styleId="TableGrid">
    <w:name w:val="Table Grid"/>
    <w:aliases w:val="EP Table Grid,MOJ Table Grid,ICB Table,Smart Text Table,UB Table Grid,SW table design,JBA Bordered Table Style,Table No Border,DPS Table Grid"/>
    <w:basedOn w:val="TableNormal"/>
    <w:uiPriority w:val="39"/>
    <w:rsid w:val="00AD7FD7"/>
    <w:pPr>
      <w:spacing w:before="40" w:after="40"/>
    </w:pPr>
    <w:rPr>
      <w:rFonts w:eastAsia="Times New Roman" w:cs="Times New Roman"/>
      <w:kern w:val="0"/>
      <w:sz w:val="20"/>
      <w:szCs w:val="20"/>
      <w:lang w:eastAsia="en-AU"/>
      <w14:ligatures w14:val="none"/>
    </w:rPr>
    <w:tblPr>
      <w:tblStyleRowBandSize w:val="1"/>
      <w:tblBorders>
        <w:top w:val="single" w:sz="6" w:space="0" w:color="00DCA1" w:themeColor="background2"/>
        <w:bottom w:val="single" w:sz="6" w:space="0" w:color="00DCA1" w:themeColor="background2"/>
        <w:insideH w:val="single" w:sz="6" w:space="0" w:color="00DCA1" w:themeColor="background2"/>
      </w:tblBorders>
    </w:tblPr>
    <w:tcPr>
      <w:tcMar>
        <w:top w:w="57" w:type="dxa"/>
        <w:left w:w="57" w:type="dxa"/>
        <w:bottom w:w="57" w:type="dxa"/>
        <w:right w:w="57" w:type="dxa"/>
      </w:tcMar>
      <w:vAlign w:val="center"/>
    </w:tcPr>
    <w:tblStylePr w:type="firstRow">
      <w:tblPr/>
      <w:tcPr>
        <w:shd w:val="clear" w:color="auto" w:fill="00DCA1" w:themeFill="background2"/>
        <w:vAlign w:val="center"/>
      </w:tcPr>
    </w:tblStylePr>
    <w:tblStylePr w:type="lastRow">
      <w:rPr>
        <w:rFonts w:asciiTheme="minorHAnsi" w:hAnsiTheme="minorHAnsi"/>
        <w:b/>
        <w:sz w:val="20"/>
      </w:rPr>
    </w:tblStylePr>
    <w:tblStylePr w:type="band1Horz">
      <w:tblPr/>
      <w:tcPr>
        <w:tcBorders>
          <w:top w:val="single" w:sz="4" w:space="0" w:color="00DCA1" w:themeColor="background2"/>
          <w:left w:val="nil"/>
          <w:bottom w:val="single" w:sz="4" w:space="0" w:color="00DCA1" w:themeColor="background2"/>
          <w:right w:val="nil"/>
          <w:insideH w:val="nil"/>
          <w:insideV w:val="nil"/>
          <w:tl2br w:val="nil"/>
          <w:tr2bl w:val="nil"/>
        </w:tcBorders>
      </w:tcPr>
    </w:tblStylePr>
  </w:style>
  <w:style w:type="character" w:customStyle="1" w:styleId="StyleBold">
    <w:name w:val="Style Bold"/>
    <w:basedOn w:val="DefaultParagraphFont"/>
    <w:rsid w:val="00C6013F"/>
    <w:rPr>
      <w:rFonts w:ascii="Segoe UI Semibold" w:hAnsi="Segoe UI Semibold"/>
      <w:b/>
      <w:bCs/>
    </w:rPr>
  </w:style>
  <w:style w:type="paragraph" w:customStyle="1" w:styleId="Tableheading">
    <w:name w:val="Table heading"/>
    <w:basedOn w:val="Normal"/>
    <w:qFormat/>
    <w:rsid w:val="0056312E"/>
    <w:pPr>
      <w:numPr>
        <w:numId w:val="1"/>
      </w:numPr>
      <w:spacing w:before="240"/>
      <w:ind w:left="1134" w:hanging="1134"/>
    </w:pPr>
    <w:rPr>
      <w:b/>
      <w:bCs/>
      <w:color w:val="025F5D"/>
    </w:rPr>
  </w:style>
  <w:style w:type="paragraph" w:customStyle="1" w:styleId="Figureheading">
    <w:name w:val="Figure heading"/>
    <w:basedOn w:val="Normal"/>
    <w:qFormat/>
    <w:rsid w:val="0056312E"/>
    <w:pPr>
      <w:numPr>
        <w:numId w:val="2"/>
      </w:numPr>
      <w:spacing w:before="240"/>
    </w:pPr>
    <w:rPr>
      <w:b/>
      <w:noProof/>
      <w:color w:val="025F5D"/>
    </w:rPr>
  </w:style>
  <w:style w:type="numbering" w:customStyle="1" w:styleId="CurrentList1">
    <w:name w:val="Current List1"/>
    <w:uiPriority w:val="99"/>
    <w:rsid w:val="009752F5"/>
    <w:pPr>
      <w:numPr>
        <w:numId w:val="3"/>
      </w:numPr>
    </w:pPr>
  </w:style>
  <w:style w:type="paragraph" w:styleId="ListParagraph">
    <w:name w:val="List Paragraph"/>
    <w:basedOn w:val="Normal"/>
    <w:uiPriority w:val="34"/>
    <w:qFormat/>
    <w:rsid w:val="00606D1B"/>
    <w:pPr>
      <w:numPr>
        <w:numId w:val="10"/>
      </w:numPr>
      <w:ind w:left="357" w:hanging="357"/>
      <w:contextualSpacing/>
    </w:pPr>
  </w:style>
  <w:style w:type="paragraph" w:customStyle="1" w:styleId="BulletIndent1">
    <w:name w:val="Bullet Indent 1"/>
    <w:basedOn w:val="BulletUnindented"/>
    <w:qFormat/>
    <w:rsid w:val="00085BC7"/>
    <w:pPr>
      <w:ind w:left="714"/>
    </w:pPr>
  </w:style>
  <w:style w:type="paragraph" w:customStyle="1" w:styleId="BulletIndent2">
    <w:name w:val="Bullet Indent 2"/>
    <w:basedOn w:val="BulletIndent1"/>
    <w:qFormat/>
    <w:rsid w:val="00F41289"/>
    <w:pPr>
      <w:numPr>
        <w:ilvl w:val="1"/>
      </w:numPr>
    </w:pPr>
  </w:style>
  <w:style w:type="paragraph" w:customStyle="1" w:styleId="RomanLetterList">
    <w:name w:val="Roman Letter List"/>
    <w:basedOn w:val="ListParagraph"/>
    <w:qFormat/>
    <w:rsid w:val="0098332D"/>
    <w:pPr>
      <w:numPr>
        <w:numId w:val="8"/>
      </w:numPr>
      <w:spacing w:after="160" w:line="240" w:lineRule="auto"/>
    </w:pPr>
    <w:rPr>
      <w:szCs w:val="22"/>
    </w:rPr>
  </w:style>
  <w:style w:type="paragraph" w:customStyle="1" w:styleId="RomanNumeralsList">
    <w:name w:val="Roman Numerals List"/>
    <w:basedOn w:val="ListParagraph"/>
    <w:qFormat/>
    <w:rsid w:val="0098332D"/>
    <w:pPr>
      <w:numPr>
        <w:numId w:val="9"/>
      </w:numPr>
      <w:spacing w:after="160" w:line="240" w:lineRule="auto"/>
    </w:pPr>
    <w:rPr>
      <w:szCs w:val="22"/>
    </w:rPr>
  </w:style>
  <w:style w:type="character" w:customStyle="1" w:styleId="BodyTextChar">
    <w:name w:val="Body Text Char"/>
    <w:basedOn w:val="DefaultParagraphFont"/>
    <w:link w:val="BodyText"/>
    <w:uiPriority w:val="99"/>
    <w:rsid w:val="00CA6501"/>
    <w:rPr>
      <w:rFonts w:ascii="Segoe UI" w:hAnsi="Segoe UI"/>
    </w:rPr>
  </w:style>
  <w:style w:type="paragraph" w:styleId="FootnoteText">
    <w:name w:val="footnote text"/>
    <w:basedOn w:val="Normal"/>
    <w:link w:val="FootnoteTextChar"/>
    <w:uiPriority w:val="99"/>
    <w:semiHidden/>
    <w:unhideWhenUsed/>
    <w:rsid w:val="0066275D"/>
    <w:pPr>
      <w:spacing w:line="240" w:lineRule="auto"/>
    </w:pPr>
    <w:rPr>
      <w:sz w:val="20"/>
      <w:szCs w:val="20"/>
    </w:rPr>
  </w:style>
  <w:style w:type="character" w:customStyle="1" w:styleId="FootnoteTextChar">
    <w:name w:val="Footnote Text Char"/>
    <w:basedOn w:val="DefaultParagraphFont"/>
    <w:link w:val="FootnoteText"/>
    <w:uiPriority w:val="99"/>
    <w:semiHidden/>
    <w:rsid w:val="0066275D"/>
    <w:rPr>
      <w:rFonts w:ascii="Segoe UI" w:hAnsi="Segoe UI"/>
      <w:sz w:val="20"/>
      <w:szCs w:val="20"/>
    </w:rPr>
  </w:style>
  <w:style w:type="character" w:styleId="FootnoteReference">
    <w:name w:val="footnote reference"/>
    <w:basedOn w:val="DefaultParagraphFont"/>
    <w:uiPriority w:val="99"/>
    <w:semiHidden/>
    <w:unhideWhenUsed/>
    <w:rsid w:val="0066275D"/>
    <w:rPr>
      <w:vertAlign w:val="superscript"/>
    </w:rPr>
  </w:style>
  <w:style w:type="paragraph" w:styleId="CommentSubject">
    <w:name w:val="annotation subject"/>
    <w:basedOn w:val="CommentText"/>
    <w:next w:val="CommentText"/>
    <w:link w:val="CommentSubjectChar"/>
    <w:uiPriority w:val="99"/>
    <w:semiHidden/>
    <w:unhideWhenUsed/>
    <w:rsid w:val="008D4968"/>
    <w:pPr>
      <w:spacing w:after="0"/>
    </w:pPr>
    <w:rPr>
      <w:rFonts w:ascii="Segoe UI" w:hAnsi="Segoe U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8D4968"/>
    <w:rPr>
      <w:rFonts w:ascii="Segoe UI" w:hAnsi="Segoe UI" w:cs="Times New Roman"/>
      <w:b/>
      <w:bCs/>
      <w:kern w:val="0"/>
      <w:sz w:val="20"/>
      <w:szCs w:val="20"/>
      <w14:ligatures w14:val="none"/>
    </w:rPr>
  </w:style>
  <w:style w:type="paragraph" w:styleId="TOCHeading">
    <w:name w:val="TOC Heading"/>
    <w:basedOn w:val="Heading1"/>
    <w:next w:val="Normal"/>
    <w:uiPriority w:val="39"/>
    <w:unhideWhenUsed/>
    <w:qFormat/>
    <w:rsid w:val="00F40769"/>
    <w:pPr>
      <w:pBdr>
        <w:bottom w:val="single" w:sz="12" w:space="1" w:color="00DCA1" w:themeColor="background2"/>
      </w:pBdr>
      <w:spacing w:before="480"/>
      <w:outlineLvl w:val="9"/>
    </w:pPr>
    <w:rPr>
      <w:rFonts w:asciiTheme="majorHAnsi" w:hAnsiTheme="majorHAnsi" w:cstheme="majorBidi"/>
      <w:kern w:val="0"/>
      <w:szCs w:val="28"/>
      <w:lang w:val="en-US"/>
      <w14:ligatures w14:val="none"/>
    </w:rPr>
  </w:style>
  <w:style w:type="paragraph" w:styleId="TOC1">
    <w:name w:val="toc 1"/>
    <w:basedOn w:val="Normal"/>
    <w:next w:val="Normal"/>
    <w:autoRedefine/>
    <w:uiPriority w:val="39"/>
    <w:unhideWhenUsed/>
    <w:rsid w:val="00B63816"/>
    <w:rPr>
      <w:rFonts w:ascii="Segoe UI Semibold" w:hAnsi="Segoe UI Semibold" w:cstheme="minorHAnsi"/>
      <w:b/>
      <w:bCs/>
      <w:iCs/>
    </w:rPr>
  </w:style>
  <w:style w:type="paragraph" w:styleId="TOC2">
    <w:name w:val="toc 2"/>
    <w:basedOn w:val="Normal"/>
    <w:next w:val="Normal"/>
    <w:autoRedefine/>
    <w:uiPriority w:val="39"/>
    <w:unhideWhenUsed/>
    <w:rsid w:val="00B63816"/>
    <w:pPr>
      <w:ind w:left="240"/>
    </w:pPr>
    <w:rPr>
      <w:rFonts w:ascii="Segoe UI Semibold" w:hAnsi="Segoe UI Semibold" w:cstheme="minorHAnsi"/>
      <w:bCs/>
      <w:sz w:val="22"/>
      <w:szCs w:val="22"/>
    </w:rPr>
  </w:style>
  <w:style w:type="paragraph" w:styleId="TOC3">
    <w:name w:val="toc 3"/>
    <w:basedOn w:val="Normal"/>
    <w:next w:val="Normal"/>
    <w:autoRedefine/>
    <w:uiPriority w:val="39"/>
    <w:unhideWhenUsed/>
    <w:rsid w:val="00E3593D"/>
    <w:pPr>
      <w:tabs>
        <w:tab w:val="right" w:leader="dot" w:pos="9913"/>
      </w:tabs>
      <w:spacing w:line="240" w:lineRule="auto"/>
      <w:ind w:left="482"/>
    </w:pPr>
    <w:rPr>
      <w:rFonts w:cs="Segoe UI"/>
      <w:noProof/>
      <w:sz w:val="20"/>
      <w:szCs w:val="20"/>
    </w:rPr>
  </w:style>
  <w:style w:type="paragraph" w:styleId="TOC4">
    <w:name w:val="toc 4"/>
    <w:basedOn w:val="Normal"/>
    <w:next w:val="Normal"/>
    <w:autoRedefine/>
    <w:uiPriority w:val="39"/>
    <w:unhideWhenUsed/>
    <w:rsid w:val="00F40769"/>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F40769"/>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F40769"/>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F40769"/>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F40769"/>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F40769"/>
    <w:pPr>
      <w:ind w:left="1920"/>
    </w:pPr>
    <w:rPr>
      <w:rFonts w:asciiTheme="minorHAnsi" w:hAnsiTheme="minorHAnsi" w:cstheme="minorHAnsi"/>
      <w:sz w:val="20"/>
      <w:szCs w:val="20"/>
    </w:rPr>
  </w:style>
  <w:style w:type="paragraph" w:styleId="TableofFigures">
    <w:name w:val="table of figures"/>
    <w:basedOn w:val="Normal"/>
    <w:next w:val="Normal"/>
    <w:uiPriority w:val="99"/>
    <w:unhideWhenUsed/>
    <w:rsid w:val="00F40769"/>
  </w:style>
  <w:style w:type="paragraph" w:styleId="TOAHeading">
    <w:name w:val="toa heading"/>
    <w:basedOn w:val="Normal"/>
    <w:next w:val="Normal"/>
    <w:uiPriority w:val="99"/>
    <w:semiHidden/>
    <w:unhideWhenUsed/>
    <w:rsid w:val="00F40769"/>
    <w:rPr>
      <w:rFonts w:asciiTheme="majorHAnsi" w:eastAsiaTheme="majorEastAsia" w:hAnsiTheme="majorHAnsi" w:cstheme="majorBidi"/>
      <w:b/>
      <w:bCs/>
    </w:rPr>
  </w:style>
  <w:style w:type="paragraph" w:customStyle="1" w:styleId="Footerpagenumber">
    <w:name w:val="Footer_page number"/>
    <w:basedOn w:val="Footer"/>
    <w:qFormat/>
    <w:rsid w:val="004B339D"/>
    <w:pPr>
      <w:tabs>
        <w:tab w:val="clear" w:pos="4513"/>
        <w:tab w:val="clear" w:pos="9026"/>
        <w:tab w:val="right" w:pos="9498"/>
      </w:tabs>
    </w:pPr>
    <w:rPr>
      <w:color w:val="FFFFFF" w:themeColor="background1"/>
    </w:rPr>
  </w:style>
  <w:style w:type="paragraph" w:customStyle="1" w:styleId="CDCBullet">
    <w:name w:val="CDC_Bullet"/>
    <w:basedOn w:val="Normal"/>
    <w:rsid w:val="00AD7FD7"/>
    <w:pPr>
      <w:contextualSpacing/>
    </w:pPr>
    <w:rPr>
      <w:rFonts w:eastAsia="Times New Roman" w:cs="Times New Roman"/>
      <w:kern w:val="0"/>
      <w:sz w:val="20"/>
      <w:szCs w:val="20"/>
      <w:lang w:eastAsia="en-AU"/>
      <w14:ligatures w14:val="none"/>
    </w:rPr>
  </w:style>
  <w:style w:type="paragraph" w:customStyle="1" w:styleId="Tabletext-Indented">
    <w:name w:val="Table text-Indented"/>
    <w:basedOn w:val="Normal"/>
    <w:qFormat/>
    <w:rsid w:val="002E0E53"/>
    <w:pPr>
      <w:ind w:left="113"/>
    </w:pPr>
    <w:rPr>
      <w:rFonts w:eastAsia="Times New Roman" w:cs="Times New Roman"/>
      <w:kern w:val="0"/>
      <w:sz w:val="20"/>
      <w:szCs w:val="20"/>
      <w:lang w:eastAsia="en-AU"/>
      <w14:ligatures w14:val="none"/>
    </w:rPr>
  </w:style>
  <w:style w:type="paragraph" w:styleId="ListBullet2">
    <w:name w:val="List Bullet 2"/>
    <w:basedOn w:val="ListNumber2"/>
    <w:rsid w:val="001C3090"/>
    <w:pPr>
      <w:spacing w:before="60" w:after="60" w:line="240" w:lineRule="auto"/>
      <w:contextualSpacing w:val="0"/>
    </w:pPr>
    <w:rPr>
      <w:rFonts w:eastAsia="Times New Roman" w:cs="Times New Roman"/>
      <w:color w:val="000000" w:themeColor="text1"/>
      <w:kern w:val="0"/>
      <w:sz w:val="20"/>
      <w14:ligatures w14:val="none"/>
    </w:rPr>
  </w:style>
  <w:style w:type="paragraph" w:customStyle="1" w:styleId="Tabletextleft">
    <w:name w:val="Table text left"/>
    <w:autoRedefine/>
    <w:qFormat/>
    <w:locked/>
    <w:rsid w:val="009E4521"/>
    <w:pPr>
      <w:spacing w:before="60" w:after="60"/>
    </w:pPr>
    <w:rPr>
      <w:rFonts w:ascii="Segoe UI" w:eastAsia="Times New Roman" w:hAnsi="Segoe UI" w:cs="Segoe UI"/>
      <w:color w:val="000000" w:themeColor="text1"/>
      <w:kern w:val="0"/>
      <w:sz w:val="20"/>
      <w:szCs w:val="20"/>
      <w:lang w:eastAsia="en-AU"/>
      <w14:ligatures w14:val="none"/>
    </w:rPr>
  </w:style>
  <w:style w:type="paragraph" w:customStyle="1" w:styleId="Tablelistbullet">
    <w:name w:val="Table list bullet"/>
    <w:basedOn w:val="Tabletextleft"/>
    <w:qFormat/>
    <w:rsid w:val="001C3090"/>
    <w:pPr>
      <w:numPr>
        <w:numId w:val="4"/>
      </w:numPr>
      <w:ind w:left="438" w:hanging="425"/>
    </w:pPr>
  </w:style>
  <w:style w:type="table" w:customStyle="1" w:styleId="DepartmentofHealthtable">
    <w:name w:val="Department of Health table"/>
    <w:basedOn w:val="TableNormal"/>
    <w:uiPriority w:val="99"/>
    <w:rsid w:val="001C3090"/>
    <w:rPr>
      <w:rFonts w:eastAsia="Times New Roman" w:cs="Times New Roman"/>
      <w:color w:val="000000" w:themeColor="text1"/>
      <w:kern w:val="0"/>
      <w:sz w:val="20"/>
      <w:szCs w:val="20"/>
      <w:lang w:eastAsia="en-AU"/>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listbullet2">
    <w:name w:val="Table list bullet 2"/>
    <w:basedOn w:val="ListBullet2"/>
    <w:link w:val="Tablelistbullet2Char"/>
    <w:qFormat/>
    <w:rsid w:val="001C3090"/>
  </w:style>
  <w:style w:type="character" w:customStyle="1" w:styleId="Tablelistbullet2Char">
    <w:name w:val="Table list bullet 2 Char"/>
    <w:basedOn w:val="DefaultParagraphFont"/>
    <w:link w:val="Tablelistbullet2"/>
    <w:rsid w:val="001C3090"/>
    <w:rPr>
      <w:rFonts w:ascii="Arial" w:eastAsia="Times New Roman" w:hAnsi="Arial" w:cs="Times New Roman"/>
      <w:color w:val="000000" w:themeColor="text1"/>
      <w:kern w:val="0"/>
      <w:sz w:val="20"/>
      <w14:ligatures w14:val="none"/>
    </w:rPr>
  </w:style>
  <w:style w:type="paragraph" w:styleId="ListNumber2">
    <w:name w:val="List Number 2"/>
    <w:basedOn w:val="Normal"/>
    <w:uiPriority w:val="99"/>
    <w:semiHidden/>
    <w:unhideWhenUsed/>
    <w:rsid w:val="001C3090"/>
    <w:pPr>
      <w:ind w:left="644" w:hanging="360"/>
      <w:contextualSpacing/>
    </w:pPr>
  </w:style>
  <w:style w:type="numbering" w:customStyle="1" w:styleId="CurrentList2">
    <w:name w:val="Current List2"/>
    <w:uiPriority w:val="99"/>
    <w:rsid w:val="001C3090"/>
    <w:pPr>
      <w:numPr>
        <w:numId w:val="5"/>
      </w:numPr>
    </w:pPr>
  </w:style>
  <w:style w:type="paragraph" w:styleId="CommentText">
    <w:name w:val="annotation text"/>
    <w:basedOn w:val="Normal"/>
    <w:link w:val="CommentTextChar"/>
    <w:uiPriority w:val="99"/>
    <w:unhideWhenUsed/>
    <w:rsid w:val="001C3090"/>
    <w:pPr>
      <w:spacing w:after="160" w:line="240" w:lineRule="auto"/>
    </w:pPr>
    <w:rPr>
      <w:rFonts w:ascii="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qFormat/>
    <w:rsid w:val="001C3090"/>
    <w:rPr>
      <w:rFonts w:ascii="Times New Roman" w:hAnsi="Times New Roman" w:cs="Times New Roman"/>
      <w:kern w:val="0"/>
      <w:sz w:val="20"/>
      <w:szCs w:val="20"/>
      <w14:ligatures w14:val="none"/>
    </w:rPr>
  </w:style>
  <w:style w:type="character" w:styleId="CommentReference">
    <w:name w:val="annotation reference"/>
    <w:basedOn w:val="DefaultParagraphFont"/>
    <w:semiHidden/>
    <w:unhideWhenUsed/>
    <w:rsid w:val="001C3090"/>
    <w:rPr>
      <w:sz w:val="16"/>
      <w:szCs w:val="16"/>
    </w:rPr>
  </w:style>
  <w:style w:type="character" w:styleId="Mention">
    <w:name w:val="Mention"/>
    <w:basedOn w:val="DefaultParagraphFont"/>
    <w:uiPriority w:val="99"/>
    <w:unhideWhenUsed/>
    <w:rsid w:val="001C3090"/>
    <w:rPr>
      <w:color w:val="2B579A"/>
      <w:shd w:val="clear" w:color="auto" w:fill="E1DFDD"/>
    </w:rPr>
  </w:style>
  <w:style w:type="table" w:styleId="GridTable4-Accent1">
    <w:name w:val="Grid Table 4 Accent 1"/>
    <w:basedOn w:val="TableNormal"/>
    <w:uiPriority w:val="49"/>
    <w:rsid w:val="001C3090"/>
    <w:rPr>
      <w:rFonts w:eastAsia="Times New Roman" w:cs="Times New Roman"/>
      <w:kern w:val="0"/>
      <w:sz w:val="20"/>
      <w:szCs w:val="20"/>
      <w:lang w:eastAsia="en-AU"/>
      <w14:ligatures w14:val="none"/>
    </w:rPr>
    <w:tblPr>
      <w:tblStyleRowBandSize w:val="1"/>
      <w:tblStyleColBandSize w:val="1"/>
      <w:tblBorders>
        <w:top w:val="single" w:sz="4" w:space="0" w:color="397DF4" w:themeColor="accent1" w:themeTint="99"/>
        <w:left w:val="single" w:sz="4" w:space="0" w:color="397DF4" w:themeColor="accent1" w:themeTint="99"/>
        <w:bottom w:val="single" w:sz="4" w:space="0" w:color="397DF4" w:themeColor="accent1" w:themeTint="99"/>
        <w:right w:val="single" w:sz="4" w:space="0" w:color="397DF4" w:themeColor="accent1" w:themeTint="99"/>
        <w:insideH w:val="single" w:sz="4" w:space="0" w:color="397DF4" w:themeColor="accent1" w:themeTint="99"/>
        <w:insideV w:val="single" w:sz="4" w:space="0" w:color="397DF4" w:themeColor="accent1" w:themeTint="99"/>
      </w:tblBorders>
    </w:tblPr>
    <w:tblStylePr w:type="firstRow">
      <w:rPr>
        <w:b/>
        <w:bCs/>
        <w:color w:val="FFFFFF" w:themeColor="background1"/>
      </w:rPr>
      <w:tblPr/>
      <w:tcPr>
        <w:tcBorders>
          <w:top w:val="single" w:sz="4" w:space="0" w:color="083E9C" w:themeColor="accent1"/>
          <w:left w:val="single" w:sz="4" w:space="0" w:color="083E9C" w:themeColor="accent1"/>
          <w:bottom w:val="single" w:sz="4" w:space="0" w:color="083E9C" w:themeColor="accent1"/>
          <w:right w:val="single" w:sz="4" w:space="0" w:color="083E9C" w:themeColor="accent1"/>
          <w:insideH w:val="nil"/>
          <w:insideV w:val="nil"/>
        </w:tcBorders>
        <w:shd w:val="clear" w:color="auto" w:fill="083E9C" w:themeFill="accent1"/>
      </w:tcPr>
    </w:tblStylePr>
    <w:tblStylePr w:type="lastRow">
      <w:rPr>
        <w:b/>
        <w:bCs/>
      </w:rPr>
      <w:tblPr/>
      <w:tcPr>
        <w:tcBorders>
          <w:top w:val="double" w:sz="4" w:space="0" w:color="083E9C" w:themeColor="accent1"/>
        </w:tcBorders>
      </w:tcPr>
    </w:tblStylePr>
    <w:tblStylePr w:type="firstCol">
      <w:rPr>
        <w:b/>
        <w:bCs/>
      </w:rPr>
    </w:tblStylePr>
    <w:tblStylePr w:type="lastCol">
      <w:rPr>
        <w:b/>
        <w:bCs/>
      </w:rPr>
    </w:tblStylePr>
    <w:tblStylePr w:type="band1Vert">
      <w:tblPr/>
      <w:tcPr>
        <w:shd w:val="clear" w:color="auto" w:fill="BDD3FB" w:themeFill="accent1" w:themeFillTint="33"/>
      </w:tcPr>
    </w:tblStylePr>
    <w:tblStylePr w:type="band1Horz">
      <w:tblPr/>
      <w:tcPr>
        <w:shd w:val="clear" w:color="auto" w:fill="BDD3FB" w:themeFill="accent1" w:themeFillTint="33"/>
      </w:tcPr>
    </w:tblStylePr>
  </w:style>
  <w:style w:type="paragraph" w:customStyle="1" w:styleId="StyleHeading3BoxSinglesolidlineText21ptLinewidth">
    <w:name w:val="Style Heading 3 + Box: (Single solid line Text 2  1 pt Line width)"/>
    <w:basedOn w:val="Heading3"/>
    <w:rsid w:val="00506E71"/>
    <w:pPr>
      <w:pBdr>
        <w:top w:val="single" w:sz="8" w:space="1" w:color="033636" w:themeColor="text2"/>
        <w:left w:val="single" w:sz="8" w:space="4" w:color="033636" w:themeColor="text2"/>
        <w:bottom w:val="single" w:sz="8" w:space="1" w:color="033636" w:themeColor="text2"/>
        <w:right w:val="single" w:sz="8" w:space="4" w:color="033636" w:themeColor="text2"/>
      </w:pBdr>
    </w:pPr>
    <w:rPr>
      <w:rFonts w:eastAsia="Times New Roman" w:cs="Times New Roman"/>
      <w:szCs w:val="20"/>
    </w:rPr>
  </w:style>
  <w:style w:type="paragraph" w:customStyle="1" w:styleId="StyleListParagraph">
    <w:name w:val="Style List Paragraph"/>
    <w:basedOn w:val="Normal"/>
    <w:rsid w:val="00F35CC9"/>
    <w:pPr>
      <w:pBdr>
        <w:top w:val="single" w:sz="8" w:space="1" w:color="033636" w:themeColor="text2"/>
        <w:left w:val="single" w:sz="8" w:space="4" w:color="033636" w:themeColor="text2"/>
        <w:bottom w:val="single" w:sz="8" w:space="1" w:color="033636" w:themeColor="text2"/>
        <w:right w:val="single" w:sz="8" w:space="4" w:color="033636" w:themeColor="text2"/>
      </w:pBdr>
      <w:ind w:left="720"/>
      <w:contextualSpacing/>
    </w:pPr>
    <w:rPr>
      <w:rFonts w:eastAsia="Times New Roman" w:cs="Times New Roman"/>
      <w:szCs w:val="20"/>
    </w:rPr>
  </w:style>
  <w:style w:type="paragraph" w:customStyle="1" w:styleId="StyleListParagraphBulletpointBulletsCVtextDotptF5ListPa">
    <w:name w:val="Style List ParagraphBullet pointBulletsCV textDot ptF5 List Pa..."/>
    <w:basedOn w:val="Normal"/>
    <w:rsid w:val="00F35CC9"/>
    <w:pPr>
      <w:ind w:left="720"/>
      <w:contextualSpacing/>
    </w:pPr>
    <w:rPr>
      <w:color w:val="184174" w:themeColor="hyperlink"/>
      <w:u w:val="single"/>
    </w:rPr>
  </w:style>
  <w:style w:type="paragraph" w:styleId="Revision">
    <w:name w:val="Revision"/>
    <w:hidden/>
    <w:uiPriority w:val="99"/>
    <w:semiHidden/>
    <w:rsid w:val="00203105"/>
    <w:rPr>
      <w:rFonts w:ascii="Segoe UI" w:hAnsi="Segoe UI"/>
    </w:rPr>
  </w:style>
  <w:style w:type="paragraph" w:styleId="EndnoteText">
    <w:name w:val="endnote text"/>
    <w:basedOn w:val="Normal"/>
    <w:link w:val="EndnoteTextChar"/>
    <w:uiPriority w:val="99"/>
    <w:semiHidden/>
    <w:unhideWhenUsed/>
    <w:rsid w:val="0043333E"/>
    <w:pPr>
      <w:spacing w:line="240" w:lineRule="auto"/>
    </w:pPr>
    <w:rPr>
      <w:sz w:val="20"/>
      <w:szCs w:val="20"/>
    </w:rPr>
  </w:style>
  <w:style w:type="character" w:customStyle="1" w:styleId="EndnoteTextChar">
    <w:name w:val="Endnote Text Char"/>
    <w:basedOn w:val="DefaultParagraphFont"/>
    <w:link w:val="EndnoteText"/>
    <w:uiPriority w:val="99"/>
    <w:semiHidden/>
    <w:rsid w:val="0043333E"/>
    <w:rPr>
      <w:rFonts w:ascii="Segoe UI" w:hAnsi="Segoe UI"/>
      <w:sz w:val="20"/>
      <w:szCs w:val="20"/>
    </w:rPr>
  </w:style>
  <w:style w:type="character" w:styleId="EndnoteReference">
    <w:name w:val="endnote reference"/>
    <w:basedOn w:val="DefaultParagraphFont"/>
    <w:uiPriority w:val="99"/>
    <w:unhideWhenUsed/>
    <w:rsid w:val="0043333E"/>
    <w:rPr>
      <w:vertAlign w:val="superscript"/>
    </w:rPr>
  </w:style>
  <w:style w:type="paragraph" w:customStyle="1" w:styleId="Boxbullet">
    <w:name w:val="Box bullet"/>
    <w:basedOn w:val="Normal"/>
    <w:qFormat/>
    <w:rsid w:val="00412FBC"/>
    <w:pPr>
      <w:keepNext/>
      <w:keepLines/>
      <w:pBdr>
        <w:top w:val="single" w:sz="8" w:space="1" w:color="025F5D"/>
        <w:left w:val="single" w:sz="8" w:space="4" w:color="025F5D"/>
        <w:bottom w:val="single" w:sz="8" w:space="1" w:color="025F5D"/>
        <w:right w:val="single" w:sz="8" w:space="4" w:color="025F5D"/>
      </w:pBdr>
      <w:spacing w:before="240"/>
      <w:ind w:left="720" w:hanging="360"/>
      <w:outlineLvl w:val="2"/>
    </w:pPr>
    <w:rPr>
      <w:rFonts w:eastAsia="Times New Roman" w:cs="Times New Roman"/>
      <w:color w:val="025F5D"/>
      <w:szCs w:val="20"/>
    </w:rPr>
  </w:style>
  <w:style w:type="paragraph" w:styleId="Caption">
    <w:name w:val="caption"/>
    <w:aliases w:val="CDM B/Caption,Table Caption,TABLE,Char,Item,Figure,Caption table,Caption Char Char Char Char,Caption1 Char Char,Caption Char Char,Caption Char Char Char Char Char Char Char,Caption Char1,Caption Char Char Char Char1,Caption1 Char Char1,It"/>
    <w:basedOn w:val="Normal"/>
    <w:next w:val="Normal"/>
    <w:link w:val="CaptionChar"/>
    <w:unhideWhenUsed/>
    <w:qFormat/>
    <w:rsid w:val="00412FBC"/>
    <w:pPr>
      <w:spacing w:after="200" w:line="240" w:lineRule="auto"/>
    </w:pPr>
    <w:rPr>
      <w:rFonts w:asciiTheme="minorHAnsi" w:hAnsiTheme="minorHAnsi" w:cs="Times New Roman"/>
      <w:i/>
      <w:iCs/>
      <w:color w:val="033636" w:themeColor="text2"/>
      <w:kern w:val="0"/>
      <w:sz w:val="18"/>
      <w:szCs w:val="18"/>
      <w:lang w:val="en-GB"/>
      <w14:ligatures w14:val="none"/>
    </w:rPr>
  </w:style>
  <w:style w:type="table" w:styleId="PlainTable1">
    <w:name w:val="Plain Table 1"/>
    <w:basedOn w:val="TableNormal"/>
    <w:uiPriority w:val="41"/>
    <w:rsid w:val="00412FB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ulletNoIndent">
    <w:name w:val="Bullet No Indent"/>
    <w:basedOn w:val="BulletIndent2"/>
    <w:qFormat/>
    <w:rsid w:val="00424583"/>
    <w:pPr>
      <w:numPr>
        <w:ilvl w:val="0"/>
      </w:numPr>
    </w:pPr>
    <w:rPr>
      <w:rFonts w:ascii="Arial" w:hAnsi="Arial"/>
      <w:lang w:val="en-GB"/>
    </w:rPr>
  </w:style>
  <w:style w:type="character" w:customStyle="1" w:styleId="CaptionChar">
    <w:name w:val="Caption Char"/>
    <w:aliases w:val="CDM B/Caption Char,Table Caption Char,TABLE Char,Char Char,Item Char,Figure Char,Caption table Char,Caption Char Char Char Char Char,Caption1 Char Char Char,Caption Char Char Char,Caption Char Char Char Char Char Char Char Char,It Char"/>
    <w:basedOn w:val="DefaultParagraphFont"/>
    <w:link w:val="Caption"/>
    <w:rsid w:val="00424583"/>
    <w:rPr>
      <w:rFonts w:cs="Times New Roman"/>
      <w:i/>
      <w:iCs/>
      <w:color w:val="033636" w:themeColor="text2"/>
      <w:kern w:val="0"/>
      <w:sz w:val="18"/>
      <w:szCs w:val="18"/>
      <w:lang w:val="en-GB"/>
      <w14:ligatures w14:val="none"/>
    </w:rPr>
  </w:style>
  <w:style w:type="table" w:customStyle="1" w:styleId="TableGrid10">
    <w:name w:val="Table Grid10"/>
    <w:basedOn w:val="TableNormal"/>
    <w:next w:val="TableGrid"/>
    <w:uiPriority w:val="39"/>
    <w:rsid w:val="00A937F7"/>
    <w:pPr>
      <w:spacing w:before="40" w:after="40"/>
    </w:pPr>
    <w:rPr>
      <w:rFonts w:eastAsia="Times New Roman" w:cs="Times New Roman"/>
      <w:kern w:val="0"/>
      <w:sz w:val="20"/>
      <w:szCs w:val="20"/>
      <w:lang w:eastAsia="en-AU"/>
      <w14:ligatures w14:val="none"/>
    </w:rPr>
    <w:tblPr>
      <w:tblStyleRowBandSize w:val="1"/>
      <w:tblBorders>
        <w:top w:val="single" w:sz="6" w:space="0" w:color="00DCA1"/>
        <w:bottom w:val="single" w:sz="6" w:space="0" w:color="00DCA1"/>
        <w:insideH w:val="single" w:sz="6" w:space="0" w:color="00DCA1"/>
      </w:tblBorders>
    </w:tblPr>
    <w:tcPr>
      <w:tcMar>
        <w:top w:w="57" w:type="dxa"/>
        <w:left w:w="57" w:type="dxa"/>
        <w:bottom w:w="57" w:type="dxa"/>
        <w:right w:w="57" w:type="dxa"/>
      </w:tcMar>
      <w:vAlign w:val="center"/>
    </w:tcPr>
    <w:tblStylePr w:type="firstRow">
      <w:tblPr/>
      <w:tcPr>
        <w:shd w:val="clear" w:color="auto" w:fill="00DCA1"/>
        <w:vAlign w:val="center"/>
      </w:tcPr>
    </w:tblStylePr>
    <w:tblStylePr w:type="lastRow">
      <w:rPr>
        <w:rFonts w:ascii="Arial" w:hAnsi="Arial"/>
        <w:b/>
        <w:sz w:val="20"/>
      </w:rPr>
    </w:tblStylePr>
    <w:tblStylePr w:type="band1Horz">
      <w:tblPr/>
      <w:tcPr>
        <w:tcBorders>
          <w:top w:val="single" w:sz="4" w:space="0" w:color="00DCA1"/>
          <w:left w:val="nil"/>
          <w:bottom w:val="single" w:sz="4" w:space="0" w:color="00DCA1"/>
          <w:right w:val="nil"/>
          <w:insideH w:val="nil"/>
          <w:insideV w:val="nil"/>
          <w:tl2br w:val="nil"/>
          <w:tr2bl w:val="nil"/>
        </w:tcBorders>
      </w:tcPr>
    </w:tblStylePr>
  </w:style>
  <w:style w:type="character" w:styleId="FollowedHyperlink">
    <w:name w:val="FollowedHyperlink"/>
    <w:basedOn w:val="DefaultParagraphFont"/>
    <w:uiPriority w:val="99"/>
    <w:semiHidden/>
    <w:unhideWhenUsed/>
    <w:rsid w:val="00893D17"/>
    <w:rPr>
      <w:color w:val="6D6D7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373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alth.vic.gov.au/health-services-plan-reform/local-health-service-networks" TargetMode="External"/><Relationship Id="rId18" Type="http://schemas.openxmlformats.org/officeDocument/2006/relationships/hyperlink" Target="https://nla.gov.au/nla.obj-2786078542" TargetMode="External"/><Relationship Id="rId26" Type="http://schemas.openxmlformats.org/officeDocument/2006/relationships/hyperlink" Target="http://book.arr.org.au.s3-website-ap-southeast-2.amazonaws.com/" TargetMode="External"/><Relationship Id="rId3" Type="http://schemas.openxmlformats.org/officeDocument/2006/relationships/customXml" Target="../customXml/item3.xml"/><Relationship Id="rId21" Type="http://schemas.openxmlformats.org/officeDocument/2006/relationships/hyperlink" Target="https://sealevel.nasa.gov/ipcc-ar6-sea-level-projection-tool" TargetMode="External"/><Relationship Id="rId34"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https://www.aihw.gov.au/hospitals/my-local-area" TargetMode="External"/><Relationship Id="rId17" Type="http://schemas.openxmlformats.org/officeDocument/2006/relationships/hyperlink" Target="https://doi.org/10.1071/WF23141" TargetMode="External"/><Relationship Id="rId25" Type="http://schemas.openxmlformats.org/officeDocument/2006/relationships/hyperlink" Target="http://book.arr.org.au.s3-website-ap-southeast-2.amazonaws.com/" TargetMode="External"/><Relationship Id="rId33"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ga.gov.au/scientific-topics/national-location-information/digital-elevation-data" TargetMode="External"/><Relationship Id="rId20" Type="http://schemas.openxmlformats.org/officeDocument/2006/relationships/hyperlink" Target="https://doi.org/10.3390/ijerph120100227"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HSC.Unit@cdc.gov.au" TargetMode="External"/><Relationship Id="rId24" Type="http://schemas.openxmlformats.org/officeDocument/2006/relationships/hyperlink" Target="https://sealevelx.ems.uwa.edu.au/index.php"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weatherzone.com.au/news/wind-explained-what-are-gales-and-how-strong-are-strong-winds/1369695" TargetMode="External"/><Relationship Id="rId23" Type="http://schemas.openxmlformats.org/officeDocument/2006/relationships/hyperlink" Target="https://doi.org/10.25919/0h5f-2f14" TargetMode="External"/><Relationship Id="rId28" Type="http://schemas.openxmlformats.org/officeDocument/2006/relationships/header" Target="header2.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doi.org/10.25919/nc64-tx11"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igital.atlas.gov.au/maps/digitalatlas::abs-australian-population-grid-2024/about" TargetMode="External"/><Relationship Id="rId22" Type="http://schemas.openxmlformats.org/officeDocument/2006/relationships/hyperlink" Target="https://www.wpc.ncep.noaa.gov/html/heatindex_equation.shtml"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fontTable" Target="fontTable.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URRP\OneDrive%20-%20Department%20of%20Health\NHSCU%20-%20Documents\Files\Adaptation\03.%20Guidance\0.%20FINAL%20COMPLETE%20GUIDANCE%20PACK%20+%20COMMS\For%20Maddie%20Review%20-%20NEW%20TEMPLATE%20FOR%20GUIDANCE.dotx" TargetMode="External"/></Relationships>
</file>

<file path=word/theme/theme1.xml><?xml version="1.0" encoding="utf-8"?>
<a:theme xmlns:a="http://schemas.openxmlformats.org/drawingml/2006/main" name="CDC">
  <a:themeElements>
    <a:clrScheme name="CDC">
      <a:dk1>
        <a:srgbClr val="000000"/>
      </a:dk1>
      <a:lt1>
        <a:srgbClr val="FFFFFF"/>
      </a:lt1>
      <a:dk2>
        <a:srgbClr val="033636"/>
      </a:dk2>
      <a:lt2>
        <a:srgbClr val="00DCA1"/>
      </a:lt2>
      <a:accent1>
        <a:srgbClr val="083E9C"/>
      </a:accent1>
      <a:accent2>
        <a:srgbClr val="511D81"/>
      </a:accent2>
      <a:accent3>
        <a:srgbClr val="A10000"/>
      </a:accent3>
      <a:accent4>
        <a:srgbClr val="C55500"/>
      </a:accent4>
      <a:accent5>
        <a:srgbClr val="FF6E73"/>
      </a:accent5>
      <a:accent6>
        <a:srgbClr val="FFD030"/>
      </a:accent6>
      <a:hlink>
        <a:srgbClr val="184174"/>
      </a:hlink>
      <a:folHlink>
        <a:srgbClr val="6D6D7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bf78ea-4de6-4202-9ad2-7b55950f35bb">
      <Terms xmlns="http://schemas.microsoft.com/office/infopath/2007/PartnerControls"/>
    </lcf76f155ced4ddcb4097134ff3c332f>
    <TaxCatchAll xmlns="a478078e-e899-4d03-a5a3-682e45d765a0" xsi:nil="true"/>
    <Theme_x002f_Topic xmlns="66bf78ea-4de6-4202-9ad2-7b55950f35bb" xsi:nil="true"/>
    <SubmissionType xmlns="66bf78ea-4de6-4202-9ad2-7b55950f35b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7DF337C811391409B6C212B2F959029" ma:contentTypeVersion="17" ma:contentTypeDescription="Create a new document." ma:contentTypeScope="" ma:versionID="e914c582a89d0721f8ca3e1f8df3b566">
  <xsd:schema xmlns:xsd="http://www.w3.org/2001/XMLSchema" xmlns:xs="http://www.w3.org/2001/XMLSchema" xmlns:p="http://schemas.microsoft.com/office/2006/metadata/properties" xmlns:ns2="66bf78ea-4de6-4202-9ad2-7b55950f35bb" xmlns:ns3="a478078e-e899-4d03-a5a3-682e45d765a0" targetNamespace="http://schemas.microsoft.com/office/2006/metadata/properties" ma:root="true" ma:fieldsID="ebfb751c254d795993213c22d8f85ac9" ns2:_="" ns3:_="">
    <xsd:import namespace="66bf78ea-4de6-4202-9ad2-7b55950f35bb"/>
    <xsd:import namespace="a478078e-e899-4d03-a5a3-682e45d765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element ref="ns2:Theme_x002f_Topic" minOccurs="0"/>
                <xsd:element ref="ns2:Submission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f78ea-4de6-4202-9ad2-7b55950f3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heme_x002f_Topic" ma:index="23" nillable="true" ma:displayName="Theme/Topic" ma:format="Dropdown" ma:internalName="Theme_x002f_Topic">
      <xsd:complexType>
        <xsd:complexContent>
          <xsd:extension base="dms:MultiChoice">
            <xsd:sequence>
              <xsd:element name="Value" maxOccurs="unbounded" minOccurs="0" nillable="true">
                <xsd:simpleType>
                  <xsd:restriction base="dms:Choice">
                    <xsd:enumeration value="Procurement"/>
                    <xsd:enumeration value="DFAT"/>
                    <xsd:enumeration value="Program Management"/>
                  </xsd:restriction>
                </xsd:simpleType>
              </xsd:element>
            </xsd:sequence>
          </xsd:extension>
        </xsd:complexContent>
      </xsd:complexType>
    </xsd:element>
    <xsd:element name="SubmissionType" ma:index="24" nillable="true" ma:displayName="Submission Type" ma:format="Dropdown" ma:internalName="SubmissionType">
      <xsd:simpleType>
        <xsd:restriction base="dms:Choice">
          <xsd:enumeration value="Individual Citizen"/>
          <xsd:enumeration value="Organisation"/>
          <xsd:enumeration value="Individual Citizen (Respondent Confirmed))"/>
        </xsd:restriction>
      </xsd:simpleType>
    </xsd:element>
  </xsd:schema>
  <xsd:schema xmlns:xsd="http://www.w3.org/2001/XMLSchema" xmlns:xs="http://www.w3.org/2001/XMLSchema" xmlns:dms="http://schemas.microsoft.com/office/2006/documentManagement/types" xmlns:pc="http://schemas.microsoft.com/office/infopath/2007/PartnerControls" targetNamespace="a478078e-e899-4d03-a5a3-682e45d765a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35722de-be2b-4773-88a5-9d966349aba2}" ma:internalName="TaxCatchAll" ma:showField="CatchAllData" ma:web="a478078e-e899-4d03-a5a3-682e45d765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B53547-3E03-485B-BCFC-3198ADB82874}">
  <ds:schemaRefs>
    <ds:schemaRef ds:uri="http://schemas.microsoft.com/sharepoint/v3/contenttype/forms"/>
  </ds:schemaRefs>
</ds:datastoreItem>
</file>

<file path=customXml/itemProps2.xml><?xml version="1.0" encoding="utf-8"?>
<ds:datastoreItem xmlns:ds="http://schemas.openxmlformats.org/officeDocument/2006/customXml" ds:itemID="{567ABA88-CBE0-FC4A-8C00-4C64D752A964}">
  <ds:schemaRefs>
    <ds:schemaRef ds:uri="http://schemas.openxmlformats.org/officeDocument/2006/bibliography"/>
  </ds:schemaRefs>
</ds:datastoreItem>
</file>

<file path=customXml/itemProps3.xml><?xml version="1.0" encoding="utf-8"?>
<ds:datastoreItem xmlns:ds="http://schemas.openxmlformats.org/officeDocument/2006/customXml" ds:itemID="{292796B7-ADDE-43CA-971A-6ACB86ECC87D}">
  <ds:schemaRefs>
    <ds:schemaRef ds:uri="http://schemas.microsoft.com/office/2006/metadata/properties"/>
    <ds:schemaRef ds:uri="http://schemas.microsoft.com/office/infopath/2007/PartnerControls"/>
    <ds:schemaRef ds:uri="66bf78ea-4de6-4202-9ad2-7b55950f35bb"/>
    <ds:schemaRef ds:uri="a478078e-e899-4d03-a5a3-682e45d765a0"/>
  </ds:schemaRefs>
</ds:datastoreItem>
</file>

<file path=customXml/itemProps4.xml><?xml version="1.0" encoding="utf-8"?>
<ds:datastoreItem xmlns:ds="http://schemas.openxmlformats.org/officeDocument/2006/customXml" ds:itemID="{DB2FB73B-738F-45E9-96A7-9C6B412117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f78ea-4de6-4202-9ad2-7b55950f35bb"/>
    <ds:schemaRef ds:uri="a478078e-e899-4d03-a5a3-682e45d76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For Maddie Review - NEW TEMPLATE FOR GUIDANCE.dotx</Template>
  <TotalTime>1178</TotalTime>
  <Pages>32</Pages>
  <Words>8181</Words>
  <Characters>46924</Characters>
  <Application>Microsoft Office Word</Application>
  <DocSecurity>0</DocSecurity>
  <Lines>833</Lines>
  <Paragraphs>338</Paragraphs>
  <ScaleCrop>false</ScaleCrop>
  <HeadingPairs>
    <vt:vector size="2" baseType="variant">
      <vt:variant>
        <vt:lpstr>Title</vt:lpstr>
      </vt:variant>
      <vt:variant>
        <vt:i4>1</vt:i4>
      </vt:variant>
    </vt:vector>
  </HeadingPairs>
  <TitlesOfParts>
    <vt:vector size="1" baseType="lpstr">
      <vt:lpstr>Climate and health hazard data – Methodological report</vt:lpstr>
    </vt:vector>
  </TitlesOfParts>
  <Company/>
  <LinksUpToDate>false</LinksUpToDate>
  <CharactersWithSpaces>54810</CharactersWithSpaces>
  <SharedDoc>false</SharedDoc>
  <HLinks>
    <vt:vector size="408" baseType="variant">
      <vt:variant>
        <vt:i4>2490494</vt:i4>
      </vt:variant>
      <vt:variant>
        <vt:i4>309</vt:i4>
      </vt:variant>
      <vt:variant>
        <vt:i4>0</vt:i4>
      </vt:variant>
      <vt:variant>
        <vt:i4>5</vt:i4>
      </vt:variant>
      <vt:variant>
        <vt:lpwstr>http://book.arr.org.au.s3-website-ap-southeast-2.amazonaws.com/</vt:lpwstr>
      </vt:variant>
      <vt:variant>
        <vt:lpwstr/>
      </vt:variant>
      <vt:variant>
        <vt:i4>2490494</vt:i4>
      </vt:variant>
      <vt:variant>
        <vt:i4>306</vt:i4>
      </vt:variant>
      <vt:variant>
        <vt:i4>0</vt:i4>
      </vt:variant>
      <vt:variant>
        <vt:i4>5</vt:i4>
      </vt:variant>
      <vt:variant>
        <vt:lpwstr>http://book.arr.org.au.s3-website-ap-southeast-2.amazonaws.com/</vt:lpwstr>
      </vt:variant>
      <vt:variant>
        <vt:lpwstr/>
      </vt:variant>
      <vt:variant>
        <vt:i4>8126523</vt:i4>
      </vt:variant>
      <vt:variant>
        <vt:i4>303</vt:i4>
      </vt:variant>
      <vt:variant>
        <vt:i4>0</vt:i4>
      </vt:variant>
      <vt:variant>
        <vt:i4>5</vt:i4>
      </vt:variant>
      <vt:variant>
        <vt:lpwstr>https://sealevelx.ems.uwa.edu.au/index.php</vt:lpwstr>
      </vt:variant>
      <vt:variant>
        <vt:lpwstr/>
      </vt:variant>
      <vt:variant>
        <vt:i4>7667836</vt:i4>
      </vt:variant>
      <vt:variant>
        <vt:i4>300</vt:i4>
      </vt:variant>
      <vt:variant>
        <vt:i4>0</vt:i4>
      </vt:variant>
      <vt:variant>
        <vt:i4>5</vt:i4>
      </vt:variant>
      <vt:variant>
        <vt:lpwstr>https://doi.org/10.25919/0h5f-2f14</vt:lpwstr>
      </vt:variant>
      <vt:variant>
        <vt:lpwstr/>
      </vt:variant>
      <vt:variant>
        <vt:i4>2097169</vt:i4>
      </vt:variant>
      <vt:variant>
        <vt:i4>297</vt:i4>
      </vt:variant>
      <vt:variant>
        <vt:i4>0</vt:i4>
      </vt:variant>
      <vt:variant>
        <vt:i4>5</vt:i4>
      </vt:variant>
      <vt:variant>
        <vt:lpwstr>https://www.wpc.ncep.noaa.gov/html/heatindex_equation.shtml</vt:lpwstr>
      </vt:variant>
      <vt:variant>
        <vt:lpwstr/>
      </vt:variant>
      <vt:variant>
        <vt:i4>1966103</vt:i4>
      </vt:variant>
      <vt:variant>
        <vt:i4>294</vt:i4>
      </vt:variant>
      <vt:variant>
        <vt:i4>0</vt:i4>
      </vt:variant>
      <vt:variant>
        <vt:i4>5</vt:i4>
      </vt:variant>
      <vt:variant>
        <vt:lpwstr>https://sealevel.nasa.gov/ipcc-ar6-sea-level-projection-tool</vt:lpwstr>
      </vt:variant>
      <vt:variant>
        <vt:lpwstr/>
      </vt:variant>
      <vt:variant>
        <vt:i4>6881318</vt:i4>
      </vt:variant>
      <vt:variant>
        <vt:i4>291</vt:i4>
      </vt:variant>
      <vt:variant>
        <vt:i4>0</vt:i4>
      </vt:variant>
      <vt:variant>
        <vt:i4>5</vt:i4>
      </vt:variant>
      <vt:variant>
        <vt:lpwstr>https://doi.org/10.3390/ijerph120100227</vt:lpwstr>
      </vt:variant>
      <vt:variant>
        <vt:lpwstr/>
      </vt:variant>
      <vt:variant>
        <vt:i4>3342435</vt:i4>
      </vt:variant>
      <vt:variant>
        <vt:i4>288</vt:i4>
      </vt:variant>
      <vt:variant>
        <vt:i4>0</vt:i4>
      </vt:variant>
      <vt:variant>
        <vt:i4>5</vt:i4>
      </vt:variant>
      <vt:variant>
        <vt:lpwstr>https://doi.org/10.25919/nc64-tx11</vt:lpwstr>
      </vt:variant>
      <vt:variant>
        <vt:lpwstr/>
      </vt:variant>
      <vt:variant>
        <vt:i4>5963806</vt:i4>
      </vt:variant>
      <vt:variant>
        <vt:i4>285</vt:i4>
      </vt:variant>
      <vt:variant>
        <vt:i4>0</vt:i4>
      </vt:variant>
      <vt:variant>
        <vt:i4>5</vt:i4>
      </vt:variant>
      <vt:variant>
        <vt:lpwstr>https://nla.gov.au/nla.obj-2786078542</vt:lpwstr>
      </vt:variant>
      <vt:variant>
        <vt:lpwstr/>
      </vt:variant>
      <vt:variant>
        <vt:i4>7667759</vt:i4>
      </vt:variant>
      <vt:variant>
        <vt:i4>282</vt:i4>
      </vt:variant>
      <vt:variant>
        <vt:i4>0</vt:i4>
      </vt:variant>
      <vt:variant>
        <vt:i4>5</vt:i4>
      </vt:variant>
      <vt:variant>
        <vt:lpwstr>https://doi.org/10.1071/WF23141</vt:lpwstr>
      </vt:variant>
      <vt:variant>
        <vt:lpwstr/>
      </vt:variant>
      <vt:variant>
        <vt:i4>4325463</vt:i4>
      </vt:variant>
      <vt:variant>
        <vt:i4>279</vt:i4>
      </vt:variant>
      <vt:variant>
        <vt:i4>0</vt:i4>
      </vt:variant>
      <vt:variant>
        <vt:i4>5</vt:i4>
      </vt:variant>
      <vt:variant>
        <vt:lpwstr>https://www.ga.gov.au/scientific-topics/national-location-information/digital-elevation-data</vt:lpwstr>
      </vt:variant>
      <vt:variant>
        <vt:lpwstr/>
      </vt:variant>
      <vt:variant>
        <vt:i4>1048657</vt:i4>
      </vt:variant>
      <vt:variant>
        <vt:i4>276</vt:i4>
      </vt:variant>
      <vt:variant>
        <vt:i4>0</vt:i4>
      </vt:variant>
      <vt:variant>
        <vt:i4>5</vt:i4>
      </vt:variant>
      <vt:variant>
        <vt:lpwstr>https://www.weatherzone.com.au/news/wind-explained-what-are-gales-and-how-strong-are-strong-winds/1369695</vt:lpwstr>
      </vt:variant>
      <vt:variant>
        <vt:lpwstr/>
      </vt:variant>
      <vt:variant>
        <vt:i4>1704027</vt:i4>
      </vt:variant>
      <vt:variant>
        <vt:i4>273</vt:i4>
      </vt:variant>
      <vt:variant>
        <vt:i4>0</vt:i4>
      </vt:variant>
      <vt:variant>
        <vt:i4>5</vt:i4>
      </vt:variant>
      <vt:variant>
        <vt:lpwstr>https://digital.atlas.gov.au/maps/digitalatlas::abs-australian-population-grid-2024/about</vt:lpwstr>
      </vt:variant>
      <vt:variant>
        <vt:lpwstr/>
      </vt:variant>
      <vt:variant>
        <vt:i4>1179702</vt:i4>
      </vt:variant>
      <vt:variant>
        <vt:i4>266</vt:i4>
      </vt:variant>
      <vt:variant>
        <vt:i4>0</vt:i4>
      </vt:variant>
      <vt:variant>
        <vt:i4>5</vt:i4>
      </vt:variant>
      <vt:variant>
        <vt:lpwstr/>
      </vt:variant>
      <vt:variant>
        <vt:lpwstr>_Toc235775649</vt:lpwstr>
      </vt:variant>
      <vt:variant>
        <vt:i4>1179702</vt:i4>
      </vt:variant>
      <vt:variant>
        <vt:i4>260</vt:i4>
      </vt:variant>
      <vt:variant>
        <vt:i4>0</vt:i4>
      </vt:variant>
      <vt:variant>
        <vt:i4>5</vt:i4>
      </vt:variant>
      <vt:variant>
        <vt:lpwstr/>
      </vt:variant>
      <vt:variant>
        <vt:lpwstr>_Toc235775648</vt:lpwstr>
      </vt:variant>
      <vt:variant>
        <vt:i4>1179702</vt:i4>
      </vt:variant>
      <vt:variant>
        <vt:i4>254</vt:i4>
      </vt:variant>
      <vt:variant>
        <vt:i4>0</vt:i4>
      </vt:variant>
      <vt:variant>
        <vt:i4>5</vt:i4>
      </vt:variant>
      <vt:variant>
        <vt:lpwstr/>
      </vt:variant>
      <vt:variant>
        <vt:lpwstr>_Toc235775647</vt:lpwstr>
      </vt:variant>
      <vt:variant>
        <vt:i4>1179702</vt:i4>
      </vt:variant>
      <vt:variant>
        <vt:i4>248</vt:i4>
      </vt:variant>
      <vt:variant>
        <vt:i4>0</vt:i4>
      </vt:variant>
      <vt:variant>
        <vt:i4>5</vt:i4>
      </vt:variant>
      <vt:variant>
        <vt:lpwstr/>
      </vt:variant>
      <vt:variant>
        <vt:lpwstr>_Toc235775646</vt:lpwstr>
      </vt:variant>
      <vt:variant>
        <vt:i4>1179702</vt:i4>
      </vt:variant>
      <vt:variant>
        <vt:i4>242</vt:i4>
      </vt:variant>
      <vt:variant>
        <vt:i4>0</vt:i4>
      </vt:variant>
      <vt:variant>
        <vt:i4>5</vt:i4>
      </vt:variant>
      <vt:variant>
        <vt:lpwstr/>
      </vt:variant>
      <vt:variant>
        <vt:lpwstr>_Toc235775645</vt:lpwstr>
      </vt:variant>
      <vt:variant>
        <vt:i4>1179702</vt:i4>
      </vt:variant>
      <vt:variant>
        <vt:i4>236</vt:i4>
      </vt:variant>
      <vt:variant>
        <vt:i4>0</vt:i4>
      </vt:variant>
      <vt:variant>
        <vt:i4>5</vt:i4>
      </vt:variant>
      <vt:variant>
        <vt:lpwstr/>
      </vt:variant>
      <vt:variant>
        <vt:lpwstr>_Toc235775644</vt:lpwstr>
      </vt:variant>
      <vt:variant>
        <vt:i4>1179702</vt:i4>
      </vt:variant>
      <vt:variant>
        <vt:i4>230</vt:i4>
      </vt:variant>
      <vt:variant>
        <vt:i4>0</vt:i4>
      </vt:variant>
      <vt:variant>
        <vt:i4>5</vt:i4>
      </vt:variant>
      <vt:variant>
        <vt:lpwstr/>
      </vt:variant>
      <vt:variant>
        <vt:lpwstr>_Toc235775643</vt:lpwstr>
      </vt:variant>
      <vt:variant>
        <vt:i4>1179702</vt:i4>
      </vt:variant>
      <vt:variant>
        <vt:i4>224</vt:i4>
      </vt:variant>
      <vt:variant>
        <vt:i4>0</vt:i4>
      </vt:variant>
      <vt:variant>
        <vt:i4>5</vt:i4>
      </vt:variant>
      <vt:variant>
        <vt:lpwstr/>
      </vt:variant>
      <vt:variant>
        <vt:lpwstr>_Toc235775642</vt:lpwstr>
      </vt:variant>
      <vt:variant>
        <vt:i4>1179702</vt:i4>
      </vt:variant>
      <vt:variant>
        <vt:i4>218</vt:i4>
      </vt:variant>
      <vt:variant>
        <vt:i4>0</vt:i4>
      </vt:variant>
      <vt:variant>
        <vt:i4>5</vt:i4>
      </vt:variant>
      <vt:variant>
        <vt:lpwstr/>
      </vt:variant>
      <vt:variant>
        <vt:lpwstr>_Toc235775641</vt:lpwstr>
      </vt:variant>
      <vt:variant>
        <vt:i4>1179702</vt:i4>
      </vt:variant>
      <vt:variant>
        <vt:i4>212</vt:i4>
      </vt:variant>
      <vt:variant>
        <vt:i4>0</vt:i4>
      </vt:variant>
      <vt:variant>
        <vt:i4>5</vt:i4>
      </vt:variant>
      <vt:variant>
        <vt:lpwstr/>
      </vt:variant>
      <vt:variant>
        <vt:lpwstr>_Toc235775640</vt:lpwstr>
      </vt:variant>
      <vt:variant>
        <vt:i4>1376310</vt:i4>
      </vt:variant>
      <vt:variant>
        <vt:i4>206</vt:i4>
      </vt:variant>
      <vt:variant>
        <vt:i4>0</vt:i4>
      </vt:variant>
      <vt:variant>
        <vt:i4>5</vt:i4>
      </vt:variant>
      <vt:variant>
        <vt:lpwstr/>
      </vt:variant>
      <vt:variant>
        <vt:lpwstr>_Toc235775639</vt:lpwstr>
      </vt:variant>
      <vt:variant>
        <vt:i4>1376310</vt:i4>
      </vt:variant>
      <vt:variant>
        <vt:i4>200</vt:i4>
      </vt:variant>
      <vt:variant>
        <vt:i4>0</vt:i4>
      </vt:variant>
      <vt:variant>
        <vt:i4>5</vt:i4>
      </vt:variant>
      <vt:variant>
        <vt:lpwstr/>
      </vt:variant>
      <vt:variant>
        <vt:lpwstr>_Toc235775638</vt:lpwstr>
      </vt:variant>
      <vt:variant>
        <vt:i4>1376310</vt:i4>
      </vt:variant>
      <vt:variant>
        <vt:i4>194</vt:i4>
      </vt:variant>
      <vt:variant>
        <vt:i4>0</vt:i4>
      </vt:variant>
      <vt:variant>
        <vt:i4>5</vt:i4>
      </vt:variant>
      <vt:variant>
        <vt:lpwstr/>
      </vt:variant>
      <vt:variant>
        <vt:lpwstr>_Toc235775637</vt:lpwstr>
      </vt:variant>
      <vt:variant>
        <vt:i4>1376310</vt:i4>
      </vt:variant>
      <vt:variant>
        <vt:i4>188</vt:i4>
      </vt:variant>
      <vt:variant>
        <vt:i4>0</vt:i4>
      </vt:variant>
      <vt:variant>
        <vt:i4>5</vt:i4>
      </vt:variant>
      <vt:variant>
        <vt:lpwstr/>
      </vt:variant>
      <vt:variant>
        <vt:lpwstr>_Toc235775636</vt:lpwstr>
      </vt:variant>
      <vt:variant>
        <vt:i4>1376310</vt:i4>
      </vt:variant>
      <vt:variant>
        <vt:i4>182</vt:i4>
      </vt:variant>
      <vt:variant>
        <vt:i4>0</vt:i4>
      </vt:variant>
      <vt:variant>
        <vt:i4>5</vt:i4>
      </vt:variant>
      <vt:variant>
        <vt:lpwstr/>
      </vt:variant>
      <vt:variant>
        <vt:lpwstr>_Toc235775635</vt:lpwstr>
      </vt:variant>
      <vt:variant>
        <vt:i4>1376310</vt:i4>
      </vt:variant>
      <vt:variant>
        <vt:i4>176</vt:i4>
      </vt:variant>
      <vt:variant>
        <vt:i4>0</vt:i4>
      </vt:variant>
      <vt:variant>
        <vt:i4>5</vt:i4>
      </vt:variant>
      <vt:variant>
        <vt:lpwstr/>
      </vt:variant>
      <vt:variant>
        <vt:lpwstr>_Toc235775634</vt:lpwstr>
      </vt:variant>
      <vt:variant>
        <vt:i4>1376310</vt:i4>
      </vt:variant>
      <vt:variant>
        <vt:i4>170</vt:i4>
      </vt:variant>
      <vt:variant>
        <vt:i4>0</vt:i4>
      </vt:variant>
      <vt:variant>
        <vt:i4>5</vt:i4>
      </vt:variant>
      <vt:variant>
        <vt:lpwstr/>
      </vt:variant>
      <vt:variant>
        <vt:lpwstr>_Toc235775633</vt:lpwstr>
      </vt:variant>
      <vt:variant>
        <vt:i4>1376310</vt:i4>
      </vt:variant>
      <vt:variant>
        <vt:i4>164</vt:i4>
      </vt:variant>
      <vt:variant>
        <vt:i4>0</vt:i4>
      </vt:variant>
      <vt:variant>
        <vt:i4>5</vt:i4>
      </vt:variant>
      <vt:variant>
        <vt:lpwstr/>
      </vt:variant>
      <vt:variant>
        <vt:lpwstr>_Toc235775632</vt:lpwstr>
      </vt:variant>
      <vt:variant>
        <vt:i4>1376310</vt:i4>
      </vt:variant>
      <vt:variant>
        <vt:i4>158</vt:i4>
      </vt:variant>
      <vt:variant>
        <vt:i4>0</vt:i4>
      </vt:variant>
      <vt:variant>
        <vt:i4>5</vt:i4>
      </vt:variant>
      <vt:variant>
        <vt:lpwstr/>
      </vt:variant>
      <vt:variant>
        <vt:lpwstr>_Toc235775631</vt:lpwstr>
      </vt:variant>
      <vt:variant>
        <vt:i4>1376310</vt:i4>
      </vt:variant>
      <vt:variant>
        <vt:i4>152</vt:i4>
      </vt:variant>
      <vt:variant>
        <vt:i4>0</vt:i4>
      </vt:variant>
      <vt:variant>
        <vt:i4>5</vt:i4>
      </vt:variant>
      <vt:variant>
        <vt:lpwstr/>
      </vt:variant>
      <vt:variant>
        <vt:lpwstr>_Toc235775630</vt:lpwstr>
      </vt:variant>
      <vt:variant>
        <vt:i4>1310774</vt:i4>
      </vt:variant>
      <vt:variant>
        <vt:i4>146</vt:i4>
      </vt:variant>
      <vt:variant>
        <vt:i4>0</vt:i4>
      </vt:variant>
      <vt:variant>
        <vt:i4>5</vt:i4>
      </vt:variant>
      <vt:variant>
        <vt:lpwstr/>
      </vt:variant>
      <vt:variant>
        <vt:lpwstr>_Toc235775629</vt:lpwstr>
      </vt:variant>
      <vt:variant>
        <vt:i4>1310774</vt:i4>
      </vt:variant>
      <vt:variant>
        <vt:i4>140</vt:i4>
      </vt:variant>
      <vt:variant>
        <vt:i4>0</vt:i4>
      </vt:variant>
      <vt:variant>
        <vt:i4>5</vt:i4>
      </vt:variant>
      <vt:variant>
        <vt:lpwstr/>
      </vt:variant>
      <vt:variant>
        <vt:lpwstr>_Toc235775628</vt:lpwstr>
      </vt:variant>
      <vt:variant>
        <vt:i4>1310774</vt:i4>
      </vt:variant>
      <vt:variant>
        <vt:i4>134</vt:i4>
      </vt:variant>
      <vt:variant>
        <vt:i4>0</vt:i4>
      </vt:variant>
      <vt:variant>
        <vt:i4>5</vt:i4>
      </vt:variant>
      <vt:variant>
        <vt:lpwstr/>
      </vt:variant>
      <vt:variant>
        <vt:lpwstr>_Toc235775627</vt:lpwstr>
      </vt:variant>
      <vt:variant>
        <vt:i4>1310774</vt:i4>
      </vt:variant>
      <vt:variant>
        <vt:i4>128</vt:i4>
      </vt:variant>
      <vt:variant>
        <vt:i4>0</vt:i4>
      </vt:variant>
      <vt:variant>
        <vt:i4>5</vt:i4>
      </vt:variant>
      <vt:variant>
        <vt:lpwstr/>
      </vt:variant>
      <vt:variant>
        <vt:lpwstr>_Toc235775626</vt:lpwstr>
      </vt:variant>
      <vt:variant>
        <vt:i4>1310774</vt:i4>
      </vt:variant>
      <vt:variant>
        <vt:i4>122</vt:i4>
      </vt:variant>
      <vt:variant>
        <vt:i4>0</vt:i4>
      </vt:variant>
      <vt:variant>
        <vt:i4>5</vt:i4>
      </vt:variant>
      <vt:variant>
        <vt:lpwstr/>
      </vt:variant>
      <vt:variant>
        <vt:lpwstr>_Toc235775625</vt:lpwstr>
      </vt:variant>
      <vt:variant>
        <vt:i4>1310774</vt:i4>
      </vt:variant>
      <vt:variant>
        <vt:i4>116</vt:i4>
      </vt:variant>
      <vt:variant>
        <vt:i4>0</vt:i4>
      </vt:variant>
      <vt:variant>
        <vt:i4>5</vt:i4>
      </vt:variant>
      <vt:variant>
        <vt:lpwstr/>
      </vt:variant>
      <vt:variant>
        <vt:lpwstr>_Toc235775624</vt:lpwstr>
      </vt:variant>
      <vt:variant>
        <vt:i4>1310774</vt:i4>
      </vt:variant>
      <vt:variant>
        <vt:i4>110</vt:i4>
      </vt:variant>
      <vt:variant>
        <vt:i4>0</vt:i4>
      </vt:variant>
      <vt:variant>
        <vt:i4>5</vt:i4>
      </vt:variant>
      <vt:variant>
        <vt:lpwstr/>
      </vt:variant>
      <vt:variant>
        <vt:lpwstr>_Toc235775623</vt:lpwstr>
      </vt:variant>
      <vt:variant>
        <vt:i4>1310774</vt:i4>
      </vt:variant>
      <vt:variant>
        <vt:i4>104</vt:i4>
      </vt:variant>
      <vt:variant>
        <vt:i4>0</vt:i4>
      </vt:variant>
      <vt:variant>
        <vt:i4>5</vt:i4>
      </vt:variant>
      <vt:variant>
        <vt:lpwstr/>
      </vt:variant>
      <vt:variant>
        <vt:lpwstr>_Toc235775622</vt:lpwstr>
      </vt:variant>
      <vt:variant>
        <vt:i4>1310774</vt:i4>
      </vt:variant>
      <vt:variant>
        <vt:i4>98</vt:i4>
      </vt:variant>
      <vt:variant>
        <vt:i4>0</vt:i4>
      </vt:variant>
      <vt:variant>
        <vt:i4>5</vt:i4>
      </vt:variant>
      <vt:variant>
        <vt:lpwstr/>
      </vt:variant>
      <vt:variant>
        <vt:lpwstr>_Toc235775621</vt:lpwstr>
      </vt:variant>
      <vt:variant>
        <vt:i4>1310774</vt:i4>
      </vt:variant>
      <vt:variant>
        <vt:i4>92</vt:i4>
      </vt:variant>
      <vt:variant>
        <vt:i4>0</vt:i4>
      </vt:variant>
      <vt:variant>
        <vt:i4>5</vt:i4>
      </vt:variant>
      <vt:variant>
        <vt:lpwstr/>
      </vt:variant>
      <vt:variant>
        <vt:lpwstr>_Toc235775620</vt:lpwstr>
      </vt:variant>
      <vt:variant>
        <vt:i4>1507382</vt:i4>
      </vt:variant>
      <vt:variant>
        <vt:i4>86</vt:i4>
      </vt:variant>
      <vt:variant>
        <vt:i4>0</vt:i4>
      </vt:variant>
      <vt:variant>
        <vt:i4>5</vt:i4>
      </vt:variant>
      <vt:variant>
        <vt:lpwstr/>
      </vt:variant>
      <vt:variant>
        <vt:lpwstr>_Toc235775619</vt:lpwstr>
      </vt:variant>
      <vt:variant>
        <vt:i4>1507382</vt:i4>
      </vt:variant>
      <vt:variant>
        <vt:i4>80</vt:i4>
      </vt:variant>
      <vt:variant>
        <vt:i4>0</vt:i4>
      </vt:variant>
      <vt:variant>
        <vt:i4>5</vt:i4>
      </vt:variant>
      <vt:variant>
        <vt:lpwstr/>
      </vt:variant>
      <vt:variant>
        <vt:lpwstr>_Toc235775618</vt:lpwstr>
      </vt:variant>
      <vt:variant>
        <vt:i4>1507382</vt:i4>
      </vt:variant>
      <vt:variant>
        <vt:i4>74</vt:i4>
      </vt:variant>
      <vt:variant>
        <vt:i4>0</vt:i4>
      </vt:variant>
      <vt:variant>
        <vt:i4>5</vt:i4>
      </vt:variant>
      <vt:variant>
        <vt:lpwstr/>
      </vt:variant>
      <vt:variant>
        <vt:lpwstr>_Toc235775617</vt:lpwstr>
      </vt:variant>
      <vt:variant>
        <vt:i4>1507382</vt:i4>
      </vt:variant>
      <vt:variant>
        <vt:i4>68</vt:i4>
      </vt:variant>
      <vt:variant>
        <vt:i4>0</vt:i4>
      </vt:variant>
      <vt:variant>
        <vt:i4>5</vt:i4>
      </vt:variant>
      <vt:variant>
        <vt:lpwstr/>
      </vt:variant>
      <vt:variant>
        <vt:lpwstr>_Toc235775616</vt:lpwstr>
      </vt:variant>
      <vt:variant>
        <vt:i4>1507382</vt:i4>
      </vt:variant>
      <vt:variant>
        <vt:i4>62</vt:i4>
      </vt:variant>
      <vt:variant>
        <vt:i4>0</vt:i4>
      </vt:variant>
      <vt:variant>
        <vt:i4>5</vt:i4>
      </vt:variant>
      <vt:variant>
        <vt:lpwstr/>
      </vt:variant>
      <vt:variant>
        <vt:lpwstr>_Toc235775615</vt:lpwstr>
      </vt:variant>
      <vt:variant>
        <vt:i4>1507382</vt:i4>
      </vt:variant>
      <vt:variant>
        <vt:i4>56</vt:i4>
      </vt:variant>
      <vt:variant>
        <vt:i4>0</vt:i4>
      </vt:variant>
      <vt:variant>
        <vt:i4>5</vt:i4>
      </vt:variant>
      <vt:variant>
        <vt:lpwstr/>
      </vt:variant>
      <vt:variant>
        <vt:lpwstr>_Toc235775614</vt:lpwstr>
      </vt:variant>
      <vt:variant>
        <vt:i4>1507382</vt:i4>
      </vt:variant>
      <vt:variant>
        <vt:i4>50</vt:i4>
      </vt:variant>
      <vt:variant>
        <vt:i4>0</vt:i4>
      </vt:variant>
      <vt:variant>
        <vt:i4>5</vt:i4>
      </vt:variant>
      <vt:variant>
        <vt:lpwstr/>
      </vt:variant>
      <vt:variant>
        <vt:lpwstr>_Toc235775613</vt:lpwstr>
      </vt:variant>
      <vt:variant>
        <vt:i4>1507382</vt:i4>
      </vt:variant>
      <vt:variant>
        <vt:i4>44</vt:i4>
      </vt:variant>
      <vt:variant>
        <vt:i4>0</vt:i4>
      </vt:variant>
      <vt:variant>
        <vt:i4>5</vt:i4>
      </vt:variant>
      <vt:variant>
        <vt:lpwstr/>
      </vt:variant>
      <vt:variant>
        <vt:lpwstr>_Toc235775612</vt:lpwstr>
      </vt:variant>
      <vt:variant>
        <vt:i4>1507382</vt:i4>
      </vt:variant>
      <vt:variant>
        <vt:i4>38</vt:i4>
      </vt:variant>
      <vt:variant>
        <vt:i4>0</vt:i4>
      </vt:variant>
      <vt:variant>
        <vt:i4>5</vt:i4>
      </vt:variant>
      <vt:variant>
        <vt:lpwstr/>
      </vt:variant>
      <vt:variant>
        <vt:lpwstr>_Toc235775611</vt:lpwstr>
      </vt:variant>
      <vt:variant>
        <vt:i4>1507382</vt:i4>
      </vt:variant>
      <vt:variant>
        <vt:i4>32</vt:i4>
      </vt:variant>
      <vt:variant>
        <vt:i4>0</vt:i4>
      </vt:variant>
      <vt:variant>
        <vt:i4>5</vt:i4>
      </vt:variant>
      <vt:variant>
        <vt:lpwstr/>
      </vt:variant>
      <vt:variant>
        <vt:lpwstr>_Toc235775610</vt:lpwstr>
      </vt:variant>
      <vt:variant>
        <vt:i4>1441846</vt:i4>
      </vt:variant>
      <vt:variant>
        <vt:i4>26</vt:i4>
      </vt:variant>
      <vt:variant>
        <vt:i4>0</vt:i4>
      </vt:variant>
      <vt:variant>
        <vt:i4>5</vt:i4>
      </vt:variant>
      <vt:variant>
        <vt:lpwstr/>
      </vt:variant>
      <vt:variant>
        <vt:lpwstr>_Toc235775609</vt:lpwstr>
      </vt:variant>
      <vt:variant>
        <vt:i4>1441846</vt:i4>
      </vt:variant>
      <vt:variant>
        <vt:i4>20</vt:i4>
      </vt:variant>
      <vt:variant>
        <vt:i4>0</vt:i4>
      </vt:variant>
      <vt:variant>
        <vt:i4>5</vt:i4>
      </vt:variant>
      <vt:variant>
        <vt:lpwstr/>
      </vt:variant>
      <vt:variant>
        <vt:lpwstr>_Toc235775608</vt:lpwstr>
      </vt:variant>
      <vt:variant>
        <vt:i4>1441846</vt:i4>
      </vt:variant>
      <vt:variant>
        <vt:i4>14</vt:i4>
      </vt:variant>
      <vt:variant>
        <vt:i4>0</vt:i4>
      </vt:variant>
      <vt:variant>
        <vt:i4>5</vt:i4>
      </vt:variant>
      <vt:variant>
        <vt:lpwstr/>
      </vt:variant>
      <vt:variant>
        <vt:lpwstr>_Toc235775607</vt:lpwstr>
      </vt:variant>
      <vt:variant>
        <vt:i4>1441846</vt:i4>
      </vt:variant>
      <vt:variant>
        <vt:i4>8</vt:i4>
      </vt:variant>
      <vt:variant>
        <vt:i4>0</vt:i4>
      </vt:variant>
      <vt:variant>
        <vt:i4>5</vt:i4>
      </vt:variant>
      <vt:variant>
        <vt:lpwstr/>
      </vt:variant>
      <vt:variant>
        <vt:lpwstr>_Toc235775606</vt:lpwstr>
      </vt:variant>
      <vt:variant>
        <vt:i4>3866646</vt:i4>
      </vt:variant>
      <vt:variant>
        <vt:i4>3</vt:i4>
      </vt:variant>
      <vt:variant>
        <vt:i4>0</vt:i4>
      </vt:variant>
      <vt:variant>
        <vt:i4>5</vt:i4>
      </vt:variant>
      <vt:variant>
        <vt:lpwstr>mailto:NHSC.Unit@cdc.gov.au</vt:lpwstr>
      </vt:variant>
      <vt:variant>
        <vt:lpwstr/>
      </vt:variant>
      <vt:variant>
        <vt:i4>6160419</vt:i4>
      </vt:variant>
      <vt:variant>
        <vt:i4>0</vt:i4>
      </vt:variant>
      <vt:variant>
        <vt:i4>0</vt:i4>
      </vt:variant>
      <vt:variant>
        <vt:i4>5</vt:i4>
      </vt:variant>
      <vt:variant>
        <vt:lpwstr>mailto:CDCComms@cdc.gov.au</vt:lpwstr>
      </vt:variant>
      <vt:variant>
        <vt:lpwstr/>
      </vt:variant>
      <vt:variant>
        <vt:i4>2359407</vt:i4>
      </vt:variant>
      <vt:variant>
        <vt:i4>24</vt:i4>
      </vt:variant>
      <vt:variant>
        <vt:i4>0</vt:i4>
      </vt:variant>
      <vt:variant>
        <vt:i4>5</vt:i4>
      </vt:variant>
      <vt:variant>
        <vt:lpwstr>https://www.researchgate.net/figure/Map-of-Tasmania-showing-ABS-Statistical-Areas-colour-coded-used-for-sample_fig1_269634777</vt:lpwstr>
      </vt:variant>
      <vt:variant>
        <vt:lpwstr/>
      </vt:variant>
      <vt:variant>
        <vt:i4>4128883</vt:i4>
      </vt:variant>
      <vt:variant>
        <vt:i4>21</vt:i4>
      </vt:variant>
      <vt:variant>
        <vt:i4>0</vt:i4>
      </vt:variant>
      <vt:variant>
        <vt:i4>5</vt:i4>
      </vt:variant>
      <vt:variant>
        <vt:lpwstr>https://www.aihw.gov.au/hospitals/my-local-area-lhn/lhn604</vt:lpwstr>
      </vt:variant>
      <vt:variant>
        <vt:lpwstr/>
      </vt:variant>
      <vt:variant>
        <vt:i4>3670118</vt:i4>
      </vt:variant>
      <vt:variant>
        <vt:i4>18</vt:i4>
      </vt:variant>
      <vt:variant>
        <vt:i4>0</vt:i4>
      </vt:variant>
      <vt:variant>
        <vt:i4>5</vt:i4>
      </vt:variant>
      <vt:variant>
        <vt:lpwstr>https://www.health.vic.gov.au/health-services-plan-reform/local-health-service-networks</vt:lpwstr>
      </vt:variant>
      <vt:variant>
        <vt:lpwstr/>
      </vt:variant>
      <vt:variant>
        <vt:i4>4128883</vt:i4>
      </vt:variant>
      <vt:variant>
        <vt:i4>15</vt:i4>
      </vt:variant>
      <vt:variant>
        <vt:i4>0</vt:i4>
      </vt:variant>
      <vt:variant>
        <vt:i4>5</vt:i4>
      </vt:variant>
      <vt:variant>
        <vt:lpwstr>https://www.aihw.gov.au/hospitals/my-local-area-lhn/lhn604</vt:lpwstr>
      </vt:variant>
      <vt:variant>
        <vt:lpwstr/>
      </vt:variant>
      <vt:variant>
        <vt:i4>3735667</vt:i4>
      </vt:variant>
      <vt:variant>
        <vt:i4>12</vt:i4>
      </vt:variant>
      <vt:variant>
        <vt:i4>0</vt:i4>
      </vt:variant>
      <vt:variant>
        <vt:i4>5</vt:i4>
      </vt:variant>
      <vt:variant>
        <vt:lpwstr>https://www.aihw.gov.au/hospitals/my-local-area-lhn/lhn703</vt:lpwstr>
      </vt:variant>
      <vt:variant>
        <vt:lpwstr/>
      </vt:variant>
      <vt:variant>
        <vt:i4>7077987</vt:i4>
      </vt:variant>
      <vt:variant>
        <vt:i4>9</vt:i4>
      </vt:variant>
      <vt:variant>
        <vt:i4>0</vt:i4>
      </vt:variant>
      <vt:variant>
        <vt:i4>5</vt:i4>
      </vt:variant>
      <vt:variant>
        <vt:lpwstr>https://health.nt.gov.au/governance-strategies-committees/about</vt:lpwstr>
      </vt:variant>
      <vt:variant>
        <vt:lpwstr/>
      </vt:variant>
      <vt:variant>
        <vt:i4>1572908</vt:i4>
      </vt:variant>
      <vt:variant>
        <vt:i4>6</vt:i4>
      </vt:variant>
      <vt:variant>
        <vt:i4>0</vt:i4>
      </vt:variant>
      <vt:variant>
        <vt:i4>5</vt:i4>
      </vt:variant>
      <vt:variant>
        <vt:lpwstr>mailto:Sophia.GIDIS@cdc.gov.au</vt:lpwstr>
      </vt:variant>
      <vt:variant>
        <vt:lpwstr/>
      </vt:variant>
      <vt:variant>
        <vt:i4>1966155</vt:i4>
      </vt:variant>
      <vt:variant>
        <vt:i4>3</vt:i4>
      </vt:variant>
      <vt:variant>
        <vt:i4>0</vt:i4>
      </vt:variant>
      <vt:variant>
        <vt:i4>5</vt:i4>
      </vt:variant>
      <vt:variant>
        <vt:lpwstr>https://www.publichospitalfunding.gov.au/local-hospital-networks</vt:lpwstr>
      </vt:variant>
      <vt:variant>
        <vt:lpwstr/>
      </vt:variant>
      <vt:variant>
        <vt:i4>1572908</vt:i4>
      </vt:variant>
      <vt:variant>
        <vt:i4>0</vt:i4>
      </vt:variant>
      <vt:variant>
        <vt:i4>0</vt:i4>
      </vt:variant>
      <vt:variant>
        <vt:i4>5</vt:i4>
      </vt:variant>
      <vt:variant>
        <vt:lpwstr>mailto:Sophia.GIDIS@cdc.gov.au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Climate and health hazard data – Methodological report</dc:title>
  <dc:subject>Environmental health</dc:subject>
  <dc:creator>Australian Centre for Disease Control</dc:creator>
  <cp:keywords/>
  <dc:description/>
  <cp:lastModifiedBy>MCCAY, Meryl</cp:lastModifiedBy>
  <cp:revision>680</cp:revision>
  <dcterms:created xsi:type="dcterms:W3CDTF">2026-04-30T13:47:00Z</dcterms:created>
  <dcterms:modified xsi:type="dcterms:W3CDTF">2026-08-07T07:39:00Z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41e6b154,64f28504,74fbe715,16c3ae81</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29a2859d,718db224,5ddd0ba9,5ef9aa43,646581cc</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2026-04-14T05:12:17Z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9dc9cf46-0427-408a-ada2-ceb12cc3dd8a</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