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E13E" w14:textId="35047375" w:rsidR="00D20739" w:rsidRPr="0030191C" w:rsidRDefault="00A92DBB" w:rsidP="00D20739">
      <w:pPr>
        <w:jc w:val="center"/>
        <w:rPr>
          <w:rFonts w:cstheme="minorHAnsi"/>
          <w:b/>
          <w:noProof/>
          <w:sz w:val="36"/>
          <w:szCs w:val="36"/>
        </w:rPr>
      </w:pPr>
      <w:r>
        <w:rPr>
          <w:rFonts w:cstheme="minorHAnsi"/>
          <w:b/>
          <w:noProof/>
          <w:sz w:val="36"/>
          <w:szCs w:val="36"/>
        </w:rPr>
        <w:drawing>
          <wp:anchor distT="0" distB="0" distL="114300" distR="114300" simplePos="0" relativeHeight="251658240" behindDoc="1" locked="0" layoutInCell="1" allowOverlap="1" wp14:anchorId="0A71BEB7" wp14:editId="61606775">
            <wp:simplePos x="0" y="0"/>
            <wp:positionH relativeFrom="column">
              <wp:posOffset>-109855</wp:posOffset>
            </wp:positionH>
            <wp:positionV relativeFrom="paragraph">
              <wp:posOffset>-400390</wp:posOffset>
            </wp:positionV>
            <wp:extent cx="844136" cy="1080000"/>
            <wp:effectExtent l="0" t="0" r="0" b="6350"/>
            <wp:wrapNone/>
            <wp:docPr id="1169710328" name="Picture 2"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0328" name="Picture 2" descr="CDN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136"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4E0">
        <w:rPr>
          <w:rFonts w:cstheme="minorHAnsi"/>
          <w:b/>
          <w:noProof/>
          <w:sz w:val="36"/>
          <w:szCs w:val="36"/>
        </w:rPr>
        <w:t>National Tuberculosis Advisory Committee</w:t>
      </w:r>
    </w:p>
    <w:p w14:paraId="41DBF093" w14:textId="66D67213" w:rsidR="00D20739" w:rsidRDefault="00D20739" w:rsidP="006E3496">
      <w:pPr>
        <w:spacing w:after="240"/>
        <w:jc w:val="center"/>
        <w:rPr>
          <w:rFonts w:cstheme="minorHAnsi"/>
          <w:b/>
          <w:noProof/>
          <w:sz w:val="36"/>
          <w:szCs w:val="36"/>
        </w:rPr>
      </w:pPr>
      <w:r>
        <w:rPr>
          <w:rFonts w:cstheme="minorHAnsi"/>
          <w:b/>
          <w:noProof/>
          <w:sz w:val="36"/>
          <w:szCs w:val="36"/>
        </w:rPr>
        <w:t>CHARTER</w:t>
      </w:r>
    </w:p>
    <w:tbl>
      <w:tblPr>
        <w:tblStyle w:val="TableGrid"/>
        <w:tblW w:w="10915" w:type="dxa"/>
        <w:jc w:val="center"/>
        <w:tblCellMar>
          <w:right w:w="113" w:type="dxa"/>
        </w:tblCellMar>
        <w:tblLook w:val="04A0" w:firstRow="1" w:lastRow="0" w:firstColumn="1" w:lastColumn="0" w:noHBand="0" w:noVBand="1"/>
      </w:tblPr>
      <w:tblGrid>
        <w:gridCol w:w="2263"/>
        <w:gridCol w:w="8652"/>
      </w:tblGrid>
      <w:tr w:rsidR="00D20739" w:rsidRPr="00816076" w14:paraId="7D40B75B" w14:textId="77777777" w:rsidTr="02B044B2">
        <w:trPr>
          <w:jc w:val="center"/>
        </w:trPr>
        <w:tc>
          <w:tcPr>
            <w:tcW w:w="2263" w:type="dxa"/>
            <w:tcBorders>
              <w:bottom w:val="single" w:sz="4" w:space="0" w:color="FFFFFF" w:themeColor="background1"/>
            </w:tcBorders>
            <w:shd w:val="clear" w:color="auto" w:fill="31849B"/>
          </w:tcPr>
          <w:p w14:paraId="2DA9045B" w14:textId="0CFDC0A2" w:rsidR="00D20739" w:rsidRPr="00816076" w:rsidRDefault="00D20739" w:rsidP="00A86D71">
            <w:pPr>
              <w:jc w:val="left"/>
              <w:rPr>
                <w:rFonts w:cs="Calibri"/>
                <w:b/>
                <w:bCs/>
                <w:color w:val="FFFFFF" w:themeColor="background1"/>
                <w:sz w:val="22"/>
              </w:rPr>
            </w:pPr>
            <w:r w:rsidRPr="00816076">
              <w:rPr>
                <w:rFonts w:cs="Calibri"/>
                <w:b/>
                <w:bCs/>
                <w:color w:val="FFFFFF" w:themeColor="background1"/>
                <w:sz w:val="22"/>
              </w:rPr>
              <w:t>Purpose</w:t>
            </w:r>
          </w:p>
        </w:tc>
        <w:tc>
          <w:tcPr>
            <w:tcW w:w="8652" w:type="dxa"/>
          </w:tcPr>
          <w:p w14:paraId="233F5CE2" w14:textId="45CE9BDF" w:rsidR="002F0DFA" w:rsidRPr="00816076" w:rsidRDefault="002F0DFA" w:rsidP="00C27C71">
            <w:pPr>
              <w:jc w:val="left"/>
              <w:rPr>
                <w:rFonts w:cs="Calibri"/>
                <w:sz w:val="22"/>
              </w:rPr>
            </w:pPr>
            <w:r w:rsidRPr="00816076">
              <w:rPr>
                <w:rFonts w:cs="Calibri"/>
                <w:sz w:val="22"/>
              </w:rPr>
              <w:t xml:space="preserve">The </w:t>
            </w:r>
            <w:r w:rsidR="00893D91" w:rsidRPr="00816076">
              <w:rPr>
                <w:rFonts w:cs="Calibri"/>
                <w:sz w:val="22"/>
              </w:rPr>
              <w:t>National Tuberculosis Advisory Committee (NTAC</w:t>
            </w:r>
            <w:r w:rsidR="003E6E6D" w:rsidRPr="00816076">
              <w:rPr>
                <w:rFonts w:cs="Calibri"/>
                <w:sz w:val="22"/>
              </w:rPr>
              <w:t>)</w:t>
            </w:r>
            <w:r w:rsidRPr="00816076">
              <w:rPr>
                <w:rFonts w:cs="Calibri"/>
                <w:sz w:val="22"/>
              </w:rPr>
              <w:t xml:space="preserve"> is a subcommittee of the Communicable Diseases Network Australia (CDNA). Its role is to provide expert advice to CDNA on the surveillance, prevention, and control of </w:t>
            </w:r>
            <w:r w:rsidR="00893D91" w:rsidRPr="00816076">
              <w:rPr>
                <w:rFonts w:cs="Calibri"/>
                <w:sz w:val="22"/>
              </w:rPr>
              <w:t xml:space="preserve">tuberculosis (TB) </w:t>
            </w:r>
            <w:r w:rsidRPr="00816076">
              <w:rPr>
                <w:rFonts w:cs="Calibri"/>
                <w:sz w:val="22"/>
              </w:rPr>
              <w:t>in Australia.</w:t>
            </w:r>
          </w:p>
          <w:p w14:paraId="50DB18C7" w14:textId="29BB0C32" w:rsidR="002F0DFA" w:rsidRPr="00816076" w:rsidRDefault="00893D91" w:rsidP="00893D91">
            <w:pPr>
              <w:contextualSpacing/>
              <w:jc w:val="left"/>
              <w:rPr>
                <w:rFonts w:cs="Calibri"/>
                <w:sz w:val="22"/>
              </w:rPr>
            </w:pPr>
            <w:r w:rsidRPr="00816076">
              <w:rPr>
                <w:rFonts w:cs="Calibri"/>
                <w:sz w:val="22"/>
              </w:rPr>
              <w:t xml:space="preserve">NTAC’s </w:t>
            </w:r>
            <w:r w:rsidR="002F0DFA" w:rsidRPr="00816076">
              <w:rPr>
                <w:rFonts w:cs="Calibri"/>
                <w:sz w:val="22"/>
              </w:rPr>
              <w:t>objectives are to:</w:t>
            </w:r>
          </w:p>
          <w:p w14:paraId="0052597F" w14:textId="209F98BF" w:rsidR="002F0DFA" w:rsidRPr="00816076" w:rsidRDefault="0001309C" w:rsidP="00893D91">
            <w:pPr>
              <w:numPr>
                <w:ilvl w:val="0"/>
                <w:numId w:val="1"/>
              </w:numPr>
              <w:tabs>
                <w:tab w:val="clear" w:pos="360"/>
                <w:tab w:val="num" w:pos="720"/>
              </w:tabs>
              <w:spacing w:after="0"/>
              <w:contextualSpacing/>
              <w:jc w:val="left"/>
              <w:rPr>
                <w:rFonts w:cs="Calibri"/>
                <w:sz w:val="22"/>
              </w:rPr>
            </w:pPr>
            <w:r>
              <w:rPr>
                <w:rFonts w:cs="Calibri"/>
                <w:sz w:val="22"/>
              </w:rPr>
              <w:t>D</w:t>
            </w:r>
            <w:r w:rsidR="002F0DFA" w:rsidRPr="00816076">
              <w:rPr>
                <w:rFonts w:cs="Calibri"/>
                <w:sz w:val="22"/>
              </w:rPr>
              <w:t>efine and support the development and maintenance of high-quality surveillance to monitor transmission trends and epidemiological indicators.</w:t>
            </w:r>
          </w:p>
          <w:p w14:paraId="72401063" w14:textId="7E43AB26" w:rsidR="002F0DFA" w:rsidRPr="00816076" w:rsidRDefault="0001309C" w:rsidP="00C6597B">
            <w:pPr>
              <w:numPr>
                <w:ilvl w:val="0"/>
                <w:numId w:val="1"/>
              </w:numPr>
              <w:tabs>
                <w:tab w:val="clear" w:pos="360"/>
                <w:tab w:val="num" w:pos="720"/>
              </w:tabs>
              <w:spacing w:before="120" w:after="0"/>
              <w:ind w:left="357" w:hanging="357"/>
              <w:contextualSpacing/>
              <w:jc w:val="left"/>
              <w:rPr>
                <w:rFonts w:cs="Calibri"/>
                <w:sz w:val="22"/>
              </w:rPr>
            </w:pPr>
            <w:r>
              <w:rPr>
                <w:rFonts w:cs="Calibri"/>
                <w:sz w:val="22"/>
              </w:rPr>
              <w:t>C</w:t>
            </w:r>
            <w:r w:rsidR="002F0DFA" w:rsidRPr="00816076">
              <w:rPr>
                <w:rFonts w:cs="Calibri"/>
                <w:sz w:val="22"/>
              </w:rPr>
              <w:t>ontribute to strategic advice and planning, with consideration given to priority populations, prevention strategies, effectiveness of treatments and future risks.</w:t>
            </w:r>
          </w:p>
          <w:p w14:paraId="01B551F0" w14:textId="64988BFD" w:rsidR="002F0DFA" w:rsidRPr="00816076" w:rsidRDefault="0001309C" w:rsidP="00C27C71">
            <w:pPr>
              <w:numPr>
                <w:ilvl w:val="0"/>
                <w:numId w:val="1"/>
              </w:numPr>
              <w:tabs>
                <w:tab w:val="clear" w:pos="360"/>
                <w:tab w:val="num" w:pos="720"/>
              </w:tabs>
              <w:ind w:left="357" w:hanging="357"/>
              <w:jc w:val="left"/>
              <w:rPr>
                <w:rFonts w:cs="Calibri"/>
                <w:sz w:val="22"/>
              </w:rPr>
            </w:pPr>
            <w:r>
              <w:rPr>
                <w:rFonts w:cs="Calibri"/>
                <w:sz w:val="22"/>
              </w:rPr>
              <w:t>S</w:t>
            </w:r>
            <w:r w:rsidR="002F0DFA" w:rsidRPr="00816076">
              <w:rPr>
                <w:rFonts w:cs="Calibri"/>
                <w:sz w:val="22"/>
              </w:rPr>
              <w:t xml:space="preserve">upport the implementation of coordinated national approaches to </w:t>
            </w:r>
            <w:r w:rsidR="00DD5F56">
              <w:rPr>
                <w:rFonts w:cs="Calibri"/>
                <w:sz w:val="22"/>
              </w:rPr>
              <w:t>TB</w:t>
            </w:r>
            <w:r w:rsidR="002F0DFA" w:rsidRPr="00816076">
              <w:rPr>
                <w:rFonts w:cs="Calibri"/>
                <w:sz w:val="22"/>
              </w:rPr>
              <w:t xml:space="preserve"> management.</w:t>
            </w:r>
          </w:p>
          <w:p w14:paraId="4818DF70" w14:textId="56D51FC8" w:rsidR="002869AC" w:rsidRPr="00816076" w:rsidRDefault="005107F4" w:rsidP="003C2392">
            <w:pPr>
              <w:jc w:val="left"/>
              <w:rPr>
                <w:rFonts w:cs="Calibri"/>
                <w:sz w:val="22"/>
              </w:rPr>
            </w:pPr>
            <w:r>
              <w:rPr>
                <w:rFonts w:cs="Calibri"/>
                <w:sz w:val="22"/>
              </w:rPr>
              <w:t>During</w:t>
            </w:r>
            <w:r w:rsidR="00371AB1">
              <w:rPr>
                <w:rFonts w:cs="Calibri"/>
                <w:sz w:val="22"/>
              </w:rPr>
              <w:t xml:space="preserve"> a </w:t>
            </w:r>
            <w:r w:rsidR="002A166E">
              <w:rPr>
                <w:rFonts w:cs="Calibri"/>
                <w:sz w:val="22"/>
              </w:rPr>
              <w:t xml:space="preserve">TB </w:t>
            </w:r>
            <w:r w:rsidR="00371AB1">
              <w:rPr>
                <w:rFonts w:cs="Calibri"/>
                <w:sz w:val="22"/>
              </w:rPr>
              <w:t>outbreak in Australia, NTAC will be consulted</w:t>
            </w:r>
            <w:r w:rsidR="00B5173E">
              <w:rPr>
                <w:rFonts w:cs="Calibri"/>
                <w:sz w:val="22"/>
              </w:rPr>
              <w:t xml:space="preserve"> by CDNA</w:t>
            </w:r>
            <w:r w:rsidR="00371AB1">
              <w:rPr>
                <w:rFonts w:cs="Calibri"/>
                <w:sz w:val="22"/>
              </w:rPr>
              <w:t xml:space="preserve"> </w:t>
            </w:r>
            <w:r>
              <w:rPr>
                <w:rFonts w:cs="Calibri"/>
                <w:sz w:val="22"/>
              </w:rPr>
              <w:t>to</w:t>
            </w:r>
            <w:r w:rsidR="00371AB1">
              <w:rPr>
                <w:rFonts w:cs="Calibri"/>
                <w:sz w:val="22"/>
              </w:rPr>
              <w:t xml:space="preserve"> develop appropriate advice on outbreak control strategies.</w:t>
            </w:r>
          </w:p>
        </w:tc>
      </w:tr>
      <w:tr w:rsidR="00D20739" w:rsidRPr="00816076" w14:paraId="1CF97F7F" w14:textId="77777777" w:rsidTr="02B044B2">
        <w:trPr>
          <w:jc w:val="center"/>
        </w:trPr>
        <w:tc>
          <w:tcPr>
            <w:tcW w:w="2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31849B"/>
          </w:tcPr>
          <w:p w14:paraId="36C71EF0" w14:textId="2007086F" w:rsidR="00D20739" w:rsidRPr="00816076" w:rsidRDefault="00D20739" w:rsidP="00A86D71">
            <w:pPr>
              <w:jc w:val="left"/>
              <w:rPr>
                <w:rFonts w:cs="Calibri"/>
                <w:b/>
                <w:bCs/>
                <w:color w:val="FFFFFF" w:themeColor="background1"/>
                <w:sz w:val="22"/>
              </w:rPr>
            </w:pPr>
            <w:r w:rsidRPr="00816076">
              <w:rPr>
                <w:rFonts w:cs="Calibri"/>
                <w:b/>
                <w:bCs/>
                <w:color w:val="FFFFFF" w:themeColor="background1"/>
                <w:sz w:val="22"/>
              </w:rPr>
              <w:t>Chair</w:t>
            </w:r>
          </w:p>
        </w:tc>
        <w:tc>
          <w:tcPr>
            <w:tcW w:w="8652" w:type="dxa"/>
            <w:tcBorders>
              <w:left w:val="single" w:sz="4" w:space="0" w:color="auto"/>
            </w:tcBorders>
          </w:tcPr>
          <w:p w14:paraId="07239D0D" w14:textId="56029413" w:rsidR="00E91418" w:rsidRPr="00816076" w:rsidRDefault="00DD5F56" w:rsidP="00C27C71">
            <w:pPr>
              <w:jc w:val="left"/>
              <w:rPr>
                <w:rFonts w:cs="Calibri"/>
                <w:sz w:val="22"/>
              </w:rPr>
            </w:pPr>
            <w:r>
              <w:rPr>
                <w:rFonts w:cs="Calibri"/>
                <w:sz w:val="22"/>
              </w:rPr>
              <w:t xml:space="preserve">NTAC has an appointed Chair and Deputy Chair. </w:t>
            </w:r>
            <w:r w:rsidR="00E91418" w:rsidRPr="00816076">
              <w:rPr>
                <w:rFonts w:cs="Calibri"/>
                <w:sz w:val="22"/>
              </w:rPr>
              <w:t>The Chair of NTAC should, where possible, be nominated from amongst the NTAC</w:t>
            </w:r>
            <w:r w:rsidR="00F0743E" w:rsidRPr="00816076">
              <w:rPr>
                <w:rFonts w:cs="Calibri"/>
                <w:sz w:val="22"/>
              </w:rPr>
              <w:t xml:space="preserve">’s </w:t>
            </w:r>
            <w:r w:rsidR="00E91418" w:rsidRPr="00816076">
              <w:rPr>
                <w:rFonts w:cs="Calibri"/>
                <w:sz w:val="22"/>
              </w:rPr>
              <w:t xml:space="preserve">jurisdictional representatives. </w:t>
            </w:r>
            <w:r w:rsidR="00F0743E" w:rsidRPr="00816076">
              <w:rPr>
                <w:rFonts w:cs="Calibri"/>
                <w:sz w:val="22"/>
              </w:rPr>
              <w:t>A jurisdiction is defined as the ACT, TAS, NT, NSW, QLD, WA, SA, VIC and the Commonwealth.</w:t>
            </w:r>
          </w:p>
          <w:p w14:paraId="0FFAA0DA" w14:textId="5E51F3EA" w:rsidR="00CD242B" w:rsidRPr="00816076" w:rsidRDefault="00E91418" w:rsidP="003C2392">
            <w:pPr>
              <w:jc w:val="left"/>
              <w:rPr>
                <w:rFonts w:cs="Calibri"/>
                <w:sz w:val="22"/>
              </w:rPr>
            </w:pPr>
            <w:r w:rsidRPr="00816076">
              <w:rPr>
                <w:rFonts w:cs="Calibri"/>
                <w:sz w:val="22"/>
              </w:rPr>
              <w:t>The appointment of Chairs and Deputy Chairs is subject to CDNA endorsement and is for a two-year period. To assist in succession planning, where possible the Deputy Chair will follow as Chair in two-year cycles.</w:t>
            </w:r>
          </w:p>
        </w:tc>
      </w:tr>
      <w:tr w:rsidR="00E91418" w:rsidRPr="00816076" w14:paraId="6E0E8730" w14:textId="77777777" w:rsidTr="02B044B2">
        <w:trPr>
          <w:jc w:val="center"/>
        </w:trPr>
        <w:tc>
          <w:tcPr>
            <w:tcW w:w="2263" w:type="dxa"/>
            <w:tcBorders>
              <w:top w:val="single" w:sz="4" w:space="0" w:color="FFFFFF" w:themeColor="background1"/>
              <w:bottom w:val="single" w:sz="4" w:space="0" w:color="FFFFFF" w:themeColor="background1"/>
            </w:tcBorders>
            <w:shd w:val="clear" w:color="auto" w:fill="31849B"/>
          </w:tcPr>
          <w:p w14:paraId="2A9CFCBC" w14:textId="3438E59F" w:rsidR="00E91418" w:rsidRPr="00816076" w:rsidRDefault="00E91418" w:rsidP="00E91418">
            <w:pPr>
              <w:jc w:val="left"/>
              <w:rPr>
                <w:rFonts w:cs="Calibri"/>
                <w:b/>
                <w:bCs/>
                <w:color w:val="FFFFFF" w:themeColor="background1"/>
                <w:sz w:val="22"/>
              </w:rPr>
            </w:pPr>
            <w:r w:rsidRPr="00816076">
              <w:rPr>
                <w:rFonts w:cs="Calibri"/>
                <w:b/>
                <w:bCs/>
                <w:color w:val="FFFFFF" w:themeColor="background1"/>
                <w:sz w:val="22"/>
              </w:rPr>
              <w:t>Membership</w:t>
            </w:r>
          </w:p>
        </w:tc>
        <w:tc>
          <w:tcPr>
            <w:tcW w:w="8652" w:type="dxa"/>
          </w:tcPr>
          <w:p w14:paraId="4CD747DE" w14:textId="68182EED" w:rsidR="00E91418" w:rsidRPr="00816076" w:rsidRDefault="00E91418" w:rsidP="00C27C71">
            <w:pPr>
              <w:tabs>
                <w:tab w:val="left" w:pos="720"/>
              </w:tabs>
              <w:spacing w:after="60"/>
              <w:jc w:val="left"/>
              <w:rPr>
                <w:rFonts w:cs="Calibri"/>
                <w:sz w:val="22"/>
              </w:rPr>
            </w:pPr>
            <w:r w:rsidRPr="00816076">
              <w:rPr>
                <w:rFonts w:cs="Calibri"/>
                <w:sz w:val="22"/>
              </w:rPr>
              <w:t xml:space="preserve">The NTAC </w:t>
            </w:r>
            <w:r w:rsidR="003E6E6D" w:rsidRPr="00816076">
              <w:rPr>
                <w:rFonts w:cs="Calibri"/>
                <w:sz w:val="22"/>
              </w:rPr>
              <w:t xml:space="preserve">membership </w:t>
            </w:r>
            <w:r w:rsidRPr="00816076">
              <w:rPr>
                <w:rFonts w:cs="Calibri"/>
                <w:sz w:val="22"/>
              </w:rPr>
              <w:t>is comprised of representatives from the following departments and organisations:</w:t>
            </w:r>
          </w:p>
          <w:p w14:paraId="6D3B8195" w14:textId="43E40AA6" w:rsidR="004462EA" w:rsidRPr="00C6597B" w:rsidRDefault="004462EA" w:rsidP="004462EA">
            <w:pPr>
              <w:pStyle w:val="ListParagraph"/>
              <w:numPr>
                <w:ilvl w:val="0"/>
                <w:numId w:val="15"/>
              </w:numPr>
              <w:tabs>
                <w:tab w:val="left" w:pos="720"/>
              </w:tabs>
              <w:spacing w:after="0"/>
              <w:jc w:val="left"/>
              <w:rPr>
                <w:rFonts w:cs="Calibri"/>
                <w:sz w:val="22"/>
              </w:rPr>
            </w:pPr>
            <w:r w:rsidRPr="00C6597B">
              <w:rPr>
                <w:rFonts w:cs="Calibri"/>
                <w:sz w:val="22"/>
              </w:rPr>
              <w:t xml:space="preserve">Representatives from each state and territory </w:t>
            </w:r>
            <w:r w:rsidR="005107F4" w:rsidRPr="00C6597B">
              <w:rPr>
                <w:rFonts w:cs="Calibri"/>
                <w:sz w:val="22"/>
              </w:rPr>
              <w:t>(</w:t>
            </w:r>
            <w:r w:rsidRPr="00C6597B">
              <w:rPr>
                <w:rFonts w:cs="Calibri"/>
                <w:sz w:val="22"/>
              </w:rPr>
              <w:t>jurisdiction</w:t>
            </w:r>
            <w:r w:rsidR="005107F4" w:rsidRPr="00C6597B">
              <w:rPr>
                <w:rFonts w:cs="Calibri"/>
                <w:sz w:val="22"/>
              </w:rPr>
              <w:t>)</w:t>
            </w:r>
            <w:r w:rsidRPr="00C6597B">
              <w:rPr>
                <w:rFonts w:cs="Calibri"/>
                <w:sz w:val="22"/>
              </w:rPr>
              <w:t xml:space="preserve"> </w:t>
            </w:r>
          </w:p>
          <w:p w14:paraId="5CE28DA0" w14:textId="77777777" w:rsidR="004462EA" w:rsidRPr="00C6597B" w:rsidRDefault="004462EA" w:rsidP="004462EA">
            <w:pPr>
              <w:pStyle w:val="ListParagraph"/>
              <w:numPr>
                <w:ilvl w:val="0"/>
                <w:numId w:val="15"/>
              </w:numPr>
              <w:tabs>
                <w:tab w:val="left" w:pos="720"/>
              </w:tabs>
              <w:spacing w:after="0"/>
              <w:jc w:val="left"/>
              <w:rPr>
                <w:rFonts w:cs="Calibri"/>
                <w:sz w:val="22"/>
              </w:rPr>
            </w:pPr>
            <w:r w:rsidRPr="00C6597B">
              <w:rPr>
                <w:rFonts w:cs="Calibri"/>
                <w:sz w:val="22"/>
              </w:rPr>
              <w:t xml:space="preserve">Public Health Laboratory Network </w:t>
            </w:r>
          </w:p>
          <w:p w14:paraId="7A60247D" w14:textId="77777777" w:rsidR="004462EA" w:rsidRPr="00C6597B" w:rsidRDefault="004462EA" w:rsidP="004462EA">
            <w:pPr>
              <w:pStyle w:val="ListParagraph"/>
              <w:numPr>
                <w:ilvl w:val="0"/>
                <w:numId w:val="15"/>
              </w:numPr>
              <w:tabs>
                <w:tab w:val="left" w:pos="720"/>
              </w:tabs>
              <w:spacing w:after="0"/>
              <w:jc w:val="left"/>
              <w:rPr>
                <w:rFonts w:cs="Calibri"/>
                <w:sz w:val="22"/>
              </w:rPr>
            </w:pPr>
            <w:r w:rsidRPr="00C6597B">
              <w:rPr>
                <w:rFonts w:cs="Calibri"/>
                <w:sz w:val="22"/>
              </w:rPr>
              <w:t>National Aboriginal and Torres Strait Islander Health Protection sub-committee</w:t>
            </w:r>
          </w:p>
          <w:p w14:paraId="5564C8CB" w14:textId="77777777" w:rsidR="004462EA" w:rsidRPr="00C6597B" w:rsidRDefault="004462EA" w:rsidP="004462EA">
            <w:pPr>
              <w:pStyle w:val="ListParagraph"/>
              <w:numPr>
                <w:ilvl w:val="0"/>
                <w:numId w:val="15"/>
              </w:numPr>
              <w:tabs>
                <w:tab w:val="left" w:pos="720"/>
              </w:tabs>
              <w:spacing w:after="0"/>
              <w:jc w:val="left"/>
              <w:rPr>
                <w:rFonts w:cs="Calibri"/>
                <w:sz w:val="22"/>
              </w:rPr>
            </w:pPr>
            <w:r w:rsidRPr="00C6597B">
              <w:rPr>
                <w:rFonts w:cs="Calibri"/>
                <w:sz w:val="22"/>
              </w:rPr>
              <w:t xml:space="preserve">Regional Engagement Specialist </w:t>
            </w:r>
          </w:p>
          <w:p w14:paraId="1677F77A" w14:textId="77777777" w:rsidR="004462EA" w:rsidRPr="00C6597B" w:rsidRDefault="004462EA" w:rsidP="004462EA">
            <w:pPr>
              <w:pStyle w:val="ListParagraph"/>
              <w:numPr>
                <w:ilvl w:val="0"/>
                <w:numId w:val="15"/>
              </w:numPr>
              <w:tabs>
                <w:tab w:val="left" w:pos="720"/>
              </w:tabs>
              <w:spacing w:after="0"/>
              <w:jc w:val="left"/>
              <w:rPr>
                <w:rFonts w:cs="Calibri"/>
                <w:sz w:val="22"/>
              </w:rPr>
            </w:pPr>
            <w:r w:rsidRPr="00C6597B">
              <w:rPr>
                <w:rFonts w:cs="Calibri"/>
                <w:sz w:val="22"/>
              </w:rPr>
              <w:t>Paediatric Specialist</w:t>
            </w:r>
          </w:p>
          <w:p w14:paraId="135DD419" w14:textId="3353B79A" w:rsidR="004462EA" w:rsidRPr="00C6597B" w:rsidRDefault="0001309C" w:rsidP="004462EA">
            <w:pPr>
              <w:pStyle w:val="ListParagraph"/>
              <w:numPr>
                <w:ilvl w:val="1"/>
                <w:numId w:val="15"/>
              </w:numPr>
              <w:tabs>
                <w:tab w:val="left" w:pos="720"/>
              </w:tabs>
              <w:spacing w:after="0"/>
              <w:jc w:val="left"/>
              <w:rPr>
                <w:rFonts w:cs="Calibri"/>
                <w:sz w:val="22"/>
              </w:rPr>
            </w:pPr>
            <w:r>
              <w:rPr>
                <w:rFonts w:cs="Calibri"/>
                <w:sz w:val="22"/>
              </w:rPr>
              <w:t>N</w:t>
            </w:r>
            <w:r w:rsidR="004462EA" w:rsidRPr="00C6597B">
              <w:rPr>
                <w:rFonts w:cs="Calibri"/>
                <w:sz w:val="22"/>
              </w:rPr>
              <w:t xml:space="preserve">ominees for this position are to be made by the Royal Australasian College of Physicians (Paediatrics) for a three-year term </w:t>
            </w:r>
          </w:p>
          <w:p w14:paraId="79ECFDDD" w14:textId="7D0168A5" w:rsidR="00E91418" w:rsidRPr="00C6597B" w:rsidRDefault="00E91418" w:rsidP="00E91418">
            <w:pPr>
              <w:pStyle w:val="ListParagraph"/>
              <w:numPr>
                <w:ilvl w:val="0"/>
                <w:numId w:val="15"/>
              </w:numPr>
              <w:tabs>
                <w:tab w:val="left" w:pos="720"/>
              </w:tabs>
              <w:spacing w:after="0"/>
              <w:jc w:val="left"/>
              <w:rPr>
                <w:rFonts w:cs="Calibri"/>
                <w:sz w:val="22"/>
              </w:rPr>
            </w:pPr>
            <w:r w:rsidRPr="00C6597B">
              <w:rPr>
                <w:rFonts w:cs="Calibri"/>
                <w:sz w:val="22"/>
              </w:rPr>
              <w:t>Australian Government Department of Health</w:t>
            </w:r>
            <w:r w:rsidR="00E42A3B" w:rsidRPr="00C6597B">
              <w:rPr>
                <w:rFonts w:cs="Calibri"/>
                <w:sz w:val="22"/>
              </w:rPr>
              <w:t>, Disability and Ageing</w:t>
            </w:r>
          </w:p>
          <w:p w14:paraId="13D40EE9" w14:textId="77777777" w:rsidR="00E91418" w:rsidRPr="00C6597B" w:rsidRDefault="00E91418" w:rsidP="00E91418">
            <w:pPr>
              <w:pStyle w:val="ListParagraph"/>
              <w:numPr>
                <w:ilvl w:val="0"/>
                <w:numId w:val="15"/>
              </w:numPr>
              <w:tabs>
                <w:tab w:val="left" w:pos="720"/>
              </w:tabs>
              <w:spacing w:after="0"/>
              <w:jc w:val="left"/>
              <w:rPr>
                <w:rFonts w:cs="Calibri"/>
                <w:sz w:val="22"/>
              </w:rPr>
            </w:pPr>
            <w:r w:rsidRPr="00C6597B">
              <w:rPr>
                <w:rFonts w:cs="Calibri"/>
                <w:sz w:val="22"/>
              </w:rPr>
              <w:t xml:space="preserve">Australian Government Department of Home Affairs </w:t>
            </w:r>
          </w:p>
          <w:p w14:paraId="494CAB6E" w14:textId="77777777" w:rsidR="00E91418" w:rsidRPr="00816076" w:rsidRDefault="00E91418" w:rsidP="00E91418">
            <w:pPr>
              <w:pStyle w:val="ListParagraph"/>
              <w:numPr>
                <w:ilvl w:val="0"/>
                <w:numId w:val="15"/>
              </w:numPr>
              <w:tabs>
                <w:tab w:val="left" w:pos="720"/>
              </w:tabs>
              <w:spacing w:after="0"/>
              <w:jc w:val="left"/>
              <w:rPr>
                <w:rFonts w:cs="Calibri"/>
                <w:sz w:val="22"/>
              </w:rPr>
            </w:pPr>
            <w:r w:rsidRPr="02B044B2">
              <w:rPr>
                <w:rFonts w:cs="Calibri"/>
                <w:sz w:val="22"/>
              </w:rPr>
              <w:t xml:space="preserve">Australian Government Department of Foreign Affairs and Trade </w:t>
            </w:r>
          </w:p>
          <w:p w14:paraId="6842E466" w14:textId="52E060F0" w:rsidR="02B044B2" w:rsidRDefault="02B044B2" w:rsidP="02B044B2">
            <w:pPr>
              <w:jc w:val="left"/>
              <w:rPr>
                <w:rFonts w:cs="Calibri"/>
                <w:sz w:val="22"/>
              </w:rPr>
            </w:pPr>
          </w:p>
          <w:p w14:paraId="7A8AA9AF" w14:textId="77777777" w:rsidR="00DD5F56" w:rsidRPr="00C6597B" w:rsidRDefault="00DD5F56" w:rsidP="00C6597B">
            <w:pPr>
              <w:jc w:val="left"/>
              <w:rPr>
                <w:rFonts w:cs="Calibri"/>
                <w:sz w:val="22"/>
              </w:rPr>
            </w:pPr>
            <w:r w:rsidRPr="00C6597B">
              <w:rPr>
                <w:rFonts w:cs="Calibri"/>
                <w:sz w:val="22"/>
              </w:rPr>
              <w:t xml:space="preserve">All members are expected to: </w:t>
            </w:r>
          </w:p>
          <w:p w14:paraId="349C9D6E" w14:textId="658A5166" w:rsidR="00DD5F56" w:rsidRPr="00C6597B" w:rsidRDefault="00DD5F56" w:rsidP="00C6597B">
            <w:pPr>
              <w:pStyle w:val="ListParagraph"/>
              <w:numPr>
                <w:ilvl w:val="0"/>
                <w:numId w:val="15"/>
              </w:numPr>
              <w:tabs>
                <w:tab w:val="left" w:pos="720"/>
              </w:tabs>
              <w:spacing w:after="0"/>
              <w:jc w:val="left"/>
              <w:rPr>
                <w:rFonts w:cs="Calibri"/>
                <w:sz w:val="22"/>
              </w:rPr>
            </w:pPr>
            <w:r w:rsidRPr="00C6597B">
              <w:rPr>
                <w:rFonts w:cs="Calibri"/>
                <w:sz w:val="22"/>
              </w:rPr>
              <w:t>Use respectful and inclusive language to ensure a welcome and supportive environment in all facets of NTAC business.</w:t>
            </w:r>
          </w:p>
          <w:p w14:paraId="77504C5D" w14:textId="16F9A42B" w:rsidR="00DD5F56" w:rsidRPr="00C6597B" w:rsidRDefault="00DD5F56" w:rsidP="00C6597B">
            <w:pPr>
              <w:pStyle w:val="ListParagraph"/>
              <w:numPr>
                <w:ilvl w:val="0"/>
                <w:numId w:val="15"/>
              </w:numPr>
              <w:tabs>
                <w:tab w:val="left" w:pos="720"/>
              </w:tabs>
              <w:spacing w:after="0"/>
              <w:jc w:val="left"/>
              <w:rPr>
                <w:rFonts w:cs="Calibri"/>
                <w:sz w:val="22"/>
              </w:rPr>
            </w:pPr>
            <w:r w:rsidRPr="00C6597B">
              <w:rPr>
                <w:rFonts w:cs="Calibri"/>
                <w:sz w:val="22"/>
              </w:rPr>
              <w:t xml:space="preserve">Raise issues pertaining to </w:t>
            </w:r>
            <w:r>
              <w:rPr>
                <w:rFonts w:cs="Calibri"/>
                <w:sz w:val="22"/>
              </w:rPr>
              <w:t>TB</w:t>
            </w:r>
            <w:r w:rsidRPr="00C6597B">
              <w:rPr>
                <w:rFonts w:cs="Calibri"/>
                <w:sz w:val="22"/>
              </w:rPr>
              <w:t xml:space="preserve"> that require NTAC’s guidance on risk, mitigation or other matters warranting national action. </w:t>
            </w:r>
          </w:p>
          <w:p w14:paraId="5E8E8FF5" w14:textId="512A8D01" w:rsidR="00DD5F56" w:rsidRPr="00C6597B" w:rsidRDefault="00DD5F56" w:rsidP="00C6597B">
            <w:pPr>
              <w:pStyle w:val="ListParagraph"/>
              <w:numPr>
                <w:ilvl w:val="0"/>
                <w:numId w:val="15"/>
              </w:numPr>
              <w:tabs>
                <w:tab w:val="left" w:pos="720"/>
              </w:tabs>
              <w:spacing w:after="0"/>
              <w:jc w:val="left"/>
              <w:rPr>
                <w:rFonts w:cs="Calibri"/>
                <w:sz w:val="22"/>
              </w:rPr>
            </w:pPr>
            <w:r w:rsidRPr="00C6597B">
              <w:rPr>
                <w:rFonts w:cs="Calibri"/>
                <w:sz w:val="22"/>
              </w:rPr>
              <w:t xml:space="preserve">Provide and seek advice from relevant experts on TB, as required by the Australian Government and state/territory governments. </w:t>
            </w:r>
          </w:p>
          <w:p w14:paraId="1E3593BB" w14:textId="2F2870CC" w:rsidR="00DD5F56" w:rsidRPr="00C6597B" w:rsidRDefault="00DD5F56" w:rsidP="00C6597B">
            <w:pPr>
              <w:pStyle w:val="ListParagraph"/>
              <w:numPr>
                <w:ilvl w:val="0"/>
                <w:numId w:val="15"/>
              </w:numPr>
              <w:tabs>
                <w:tab w:val="left" w:pos="720"/>
              </w:tabs>
              <w:ind w:left="714" w:hanging="357"/>
              <w:jc w:val="left"/>
              <w:rPr>
                <w:rFonts w:cs="Calibri"/>
                <w:sz w:val="22"/>
              </w:rPr>
            </w:pPr>
            <w:r w:rsidRPr="00C6597B">
              <w:rPr>
                <w:rFonts w:cs="Calibri"/>
                <w:sz w:val="22"/>
              </w:rPr>
              <w:t>Contribute to NTAC work plans, reporting requirements and working groups, as agreed by N</w:t>
            </w:r>
            <w:r>
              <w:rPr>
                <w:rFonts w:cs="Calibri"/>
                <w:sz w:val="22"/>
              </w:rPr>
              <w:t>T</w:t>
            </w:r>
            <w:r w:rsidRPr="00C6597B">
              <w:rPr>
                <w:rFonts w:cs="Calibri"/>
                <w:sz w:val="22"/>
              </w:rPr>
              <w:t xml:space="preserve">AC and CDNA. </w:t>
            </w:r>
          </w:p>
          <w:p w14:paraId="1023D1DA" w14:textId="50436FCC" w:rsidR="007B3DB0" w:rsidRDefault="00E91418" w:rsidP="02B044B2">
            <w:pPr>
              <w:spacing w:before="120"/>
              <w:jc w:val="left"/>
              <w:rPr>
                <w:rFonts w:cs="Calibri"/>
                <w:sz w:val="22"/>
              </w:rPr>
            </w:pPr>
            <w:r w:rsidRPr="02B044B2">
              <w:rPr>
                <w:rFonts w:cs="Calibri"/>
                <w:sz w:val="22"/>
              </w:rPr>
              <w:t>Newly appointed NTAC members to existing positions on the committee do not need to be endorsed by the CDNA. The CDNA is to be provided with an update of any membership changes in writing</w:t>
            </w:r>
            <w:r w:rsidR="774065C7" w:rsidRPr="02B044B2">
              <w:rPr>
                <w:rFonts w:cs="Calibri"/>
                <w:sz w:val="22"/>
              </w:rPr>
              <w:t xml:space="preserve"> for noting</w:t>
            </w:r>
            <w:r w:rsidRPr="02B044B2">
              <w:rPr>
                <w:rFonts w:cs="Calibri"/>
                <w:sz w:val="22"/>
              </w:rPr>
              <w:t xml:space="preserve">. </w:t>
            </w:r>
          </w:p>
          <w:p w14:paraId="58A0740A" w14:textId="5FECAE14" w:rsidR="00C41FD4" w:rsidRPr="00816076" w:rsidRDefault="00E91418" w:rsidP="00A670D3">
            <w:pPr>
              <w:jc w:val="left"/>
              <w:rPr>
                <w:rFonts w:cs="Calibri"/>
                <w:sz w:val="22"/>
              </w:rPr>
            </w:pPr>
            <w:r w:rsidRPr="00816076">
              <w:rPr>
                <w:rFonts w:cs="Calibri"/>
                <w:sz w:val="22"/>
              </w:rPr>
              <w:lastRenderedPageBreak/>
              <w:t xml:space="preserve">A proposal to expand the NTAC membership to include a new agency, organisation or expert will require approval from the CDNA. </w:t>
            </w:r>
          </w:p>
          <w:p w14:paraId="63988AB7" w14:textId="0FDC7140" w:rsidR="00CD242B" w:rsidRPr="00816076" w:rsidRDefault="00E91418" w:rsidP="003C2392">
            <w:pPr>
              <w:jc w:val="left"/>
              <w:rPr>
                <w:rFonts w:cs="Calibri"/>
                <w:sz w:val="22"/>
              </w:rPr>
            </w:pPr>
            <w:r w:rsidRPr="00816076">
              <w:rPr>
                <w:rFonts w:cs="Calibri"/>
                <w:sz w:val="22"/>
              </w:rPr>
              <w:t>All members must disclose any conflict of interest, actual or potential, relating to their membership of the subcommittee, immediately upon that conflict arising. Members are responsible for providing up to date contact details to the Secretariat.</w:t>
            </w:r>
          </w:p>
        </w:tc>
      </w:tr>
      <w:tr w:rsidR="00E91418" w:rsidRPr="00816076" w14:paraId="0F8D1FD9" w14:textId="77777777" w:rsidTr="02B044B2">
        <w:trPr>
          <w:jc w:val="center"/>
        </w:trPr>
        <w:tc>
          <w:tcPr>
            <w:tcW w:w="2263" w:type="dxa"/>
            <w:tcBorders>
              <w:top w:val="single" w:sz="4" w:space="0" w:color="FFFFFF" w:themeColor="background1"/>
              <w:bottom w:val="single" w:sz="4" w:space="0" w:color="FFFFFF" w:themeColor="background1"/>
            </w:tcBorders>
            <w:shd w:val="clear" w:color="auto" w:fill="31849B"/>
          </w:tcPr>
          <w:p w14:paraId="383F082F" w14:textId="186C53C3" w:rsidR="00E91418" w:rsidRPr="00816076" w:rsidRDefault="00E91418" w:rsidP="00E91418">
            <w:pPr>
              <w:jc w:val="left"/>
              <w:rPr>
                <w:rFonts w:cs="Calibri"/>
                <w:b/>
                <w:bCs/>
                <w:color w:val="FFFFFF" w:themeColor="background1"/>
                <w:sz w:val="22"/>
              </w:rPr>
            </w:pPr>
            <w:r w:rsidRPr="00816076">
              <w:rPr>
                <w:rFonts w:cs="Calibri"/>
                <w:b/>
                <w:bCs/>
                <w:color w:val="FFFFFF" w:themeColor="background1"/>
                <w:sz w:val="22"/>
              </w:rPr>
              <w:lastRenderedPageBreak/>
              <w:t>Structure</w:t>
            </w:r>
          </w:p>
        </w:tc>
        <w:tc>
          <w:tcPr>
            <w:tcW w:w="8652" w:type="dxa"/>
          </w:tcPr>
          <w:p w14:paraId="65AF448D" w14:textId="1BFD3249" w:rsidR="006F778F" w:rsidRDefault="00D90AEE" w:rsidP="00A670D3">
            <w:pPr>
              <w:jc w:val="left"/>
              <w:rPr>
                <w:rFonts w:cs="Calibri"/>
                <w:sz w:val="22"/>
              </w:rPr>
            </w:pPr>
            <w:r w:rsidRPr="00816076">
              <w:rPr>
                <w:rFonts w:cs="Calibri"/>
                <w:sz w:val="22"/>
              </w:rPr>
              <w:t xml:space="preserve">The Health Chief Executives Forum (HCEF) is the advisory and support body to the Health Ministers' Meeting Forum. </w:t>
            </w:r>
          </w:p>
          <w:p w14:paraId="458ABD63" w14:textId="77777777" w:rsidR="007B3DB0" w:rsidRDefault="00D90AEE" w:rsidP="00A670D3">
            <w:pPr>
              <w:jc w:val="left"/>
              <w:rPr>
                <w:rFonts w:cs="Calibri"/>
                <w:sz w:val="22"/>
              </w:rPr>
            </w:pPr>
            <w:r w:rsidRPr="00816076">
              <w:rPr>
                <w:rFonts w:cs="Calibri"/>
                <w:sz w:val="22"/>
              </w:rPr>
              <w:t xml:space="preserve">The Australia Health Protection Committee (AHPC) is a subcommittee of </w:t>
            </w:r>
            <w:r w:rsidR="002D5D26" w:rsidRPr="00816076">
              <w:rPr>
                <w:rFonts w:cs="Calibri"/>
                <w:sz w:val="22"/>
              </w:rPr>
              <w:t>HCEF and</w:t>
            </w:r>
            <w:r w:rsidRPr="00816076">
              <w:rPr>
                <w:rFonts w:cs="Calibri"/>
                <w:sz w:val="22"/>
              </w:rPr>
              <w:t xml:space="preserve"> supports HCEF to deliver national leadership advice on health protection. AHPC aims to reduce emerging health threats posed by infectious diseases, environmental issues, and both natural and human-made disasters in Australia. </w:t>
            </w:r>
          </w:p>
          <w:p w14:paraId="70F5E8C8" w14:textId="5DAA2376" w:rsidR="003A4064" w:rsidRPr="00816076" w:rsidRDefault="00D90AEE" w:rsidP="00A670D3">
            <w:pPr>
              <w:jc w:val="left"/>
              <w:rPr>
                <w:rFonts w:cs="Calibri"/>
                <w:sz w:val="22"/>
              </w:rPr>
            </w:pPr>
            <w:r w:rsidRPr="00816076">
              <w:rPr>
                <w:rFonts w:cs="Calibri"/>
                <w:sz w:val="22"/>
              </w:rPr>
              <w:t xml:space="preserve">The </w:t>
            </w:r>
            <w:bookmarkStart w:id="0" w:name="_Hlk207094426"/>
            <w:r w:rsidRPr="00816076">
              <w:rPr>
                <w:rFonts w:cs="Calibri"/>
                <w:sz w:val="22"/>
              </w:rPr>
              <w:t>CDNA is a subcommittee of the AHPC</w:t>
            </w:r>
            <w:r w:rsidR="005107F4">
              <w:rPr>
                <w:rFonts w:cs="Calibri"/>
                <w:sz w:val="22"/>
              </w:rPr>
              <w:t>,</w:t>
            </w:r>
            <w:r w:rsidR="001D7950" w:rsidRPr="00816076">
              <w:rPr>
                <w:rFonts w:cs="Calibri"/>
                <w:sz w:val="22"/>
              </w:rPr>
              <w:t xml:space="preserve"> and its role is to provide leadership on the national coordination of communicable disease surveillance, prevention and control, and provides advice on public health actions to minimise the impact of communicable diseases. </w:t>
            </w:r>
            <w:bookmarkEnd w:id="0"/>
          </w:p>
          <w:p w14:paraId="6529CC3D" w14:textId="7D611A84" w:rsidR="00A31D23" w:rsidRPr="00816076" w:rsidRDefault="003A4064" w:rsidP="00A31D23">
            <w:pPr>
              <w:jc w:val="left"/>
              <w:rPr>
                <w:rFonts w:cs="Calibri"/>
                <w:sz w:val="22"/>
              </w:rPr>
            </w:pPr>
            <w:r w:rsidRPr="00816076">
              <w:rPr>
                <w:rFonts w:cs="Calibri"/>
                <w:sz w:val="22"/>
              </w:rPr>
              <w:t>The NTAC</w:t>
            </w:r>
            <w:r w:rsidR="007B3DB0">
              <w:rPr>
                <w:rFonts w:cs="Calibri"/>
                <w:sz w:val="22"/>
              </w:rPr>
              <w:t xml:space="preserve"> was</w:t>
            </w:r>
            <w:r w:rsidRPr="00816076">
              <w:rPr>
                <w:rFonts w:cs="Calibri"/>
                <w:sz w:val="22"/>
              </w:rPr>
              <w:t xml:space="preserve"> established as a subcommittee of the CDNA</w:t>
            </w:r>
            <w:r w:rsidR="0039517F" w:rsidRPr="00816076">
              <w:rPr>
                <w:rFonts w:cs="Calibri"/>
                <w:sz w:val="22"/>
              </w:rPr>
              <w:t xml:space="preserve">, </w:t>
            </w:r>
            <w:r w:rsidRPr="00816076">
              <w:rPr>
                <w:rFonts w:cs="Calibri"/>
                <w:sz w:val="22"/>
              </w:rPr>
              <w:t>to minimise the national burden and human impact of</w:t>
            </w:r>
            <w:r w:rsidR="003E6E6D" w:rsidRPr="00816076">
              <w:rPr>
                <w:rFonts w:cs="Calibri"/>
                <w:sz w:val="22"/>
              </w:rPr>
              <w:t xml:space="preserve"> TB</w:t>
            </w:r>
            <w:r w:rsidR="0039517F" w:rsidRPr="00816076">
              <w:rPr>
                <w:rFonts w:cs="Calibri"/>
                <w:sz w:val="22"/>
              </w:rPr>
              <w:t xml:space="preserve"> in Australia</w:t>
            </w:r>
            <w:r w:rsidR="003E6E6D" w:rsidRPr="00816076">
              <w:rPr>
                <w:rFonts w:cs="Calibri"/>
                <w:sz w:val="22"/>
              </w:rPr>
              <w:t xml:space="preserve">. </w:t>
            </w:r>
            <w:r w:rsidRPr="00816076">
              <w:rPr>
                <w:rFonts w:cs="Calibri"/>
                <w:sz w:val="22"/>
              </w:rPr>
              <w:t xml:space="preserve">The activities of the NTAC assist in maintaining a high level of knowledge and expertise in Australia regarding </w:t>
            </w:r>
            <w:r w:rsidR="003E6E6D" w:rsidRPr="00816076">
              <w:rPr>
                <w:rFonts w:cs="Calibri"/>
                <w:sz w:val="22"/>
              </w:rPr>
              <w:t xml:space="preserve">TB </w:t>
            </w:r>
            <w:r w:rsidRPr="00816076">
              <w:rPr>
                <w:rFonts w:cs="Calibri"/>
                <w:sz w:val="22"/>
              </w:rPr>
              <w:t xml:space="preserve">and ensure continued vigilance and action. The NTAC also provides opportunities for information sharing of </w:t>
            </w:r>
            <w:r w:rsidR="007B3DB0">
              <w:rPr>
                <w:rFonts w:cs="Calibri"/>
                <w:sz w:val="22"/>
              </w:rPr>
              <w:t>TB</w:t>
            </w:r>
            <w:r w:rsidRPr="00816076">
              <w:rPr>
                <w:rFonts w:cs="Calibri"/>
                <w:sz w:val="22"/>
              </w:rPr>
              <w:t xml:space="preserve"> related activities occurring at the jurisdictional level, including enhanced national surveillance of epidemiological control indices for </w:t>
            </w:r>
            <w:r w:rsidR="00193253">
              <w:rPr>
                <w:rFonts w:cs="Calibri"/>
                <w:sz w:val="22"/>
              </w:rPr>
              <w:t>TB</w:t>
            </w:r>
            <w:r w:rsidRPr="00816076">
              <w:rPr>
                <w:rFonts w:cs="Calibri"/>
                <w:sz w:val="22"/>
              </w:rPr>
              <w:t xml:space="preserve"> including (but not limited to) disease incidence, drug resistance and treatment outcomes.</w:t>
            </w:r>
          </w:p>
        </w:tc>
      </w:tr>
      <w:tr w:rsidR="00E91418" w:rsidRPr="00816076" w14:paraId="6062287B" w14:textId="77777777" w:rsidTr="02B044B2">
        <w:trPr>
          <w:jc w:val="center"/>
        </w:trPr>
        <w:tc>
          <w:tcPr>
            <w:tcW w:w="2263" w:type="dxa"/>
            <w:tcBorders>
              <w:top w:val="single" w:sz="4" w:space="0" w:color="FFFFFF" w:themeColor="background1"/>
              <w:bottom w:val="single" w:sz="4" w:space="0" w:color="FFFFFF" w:themeColor="background1"/>
            </w:tcBorders>
            <w:shd w:val="clear" w:color="auto" w:fill="31849B"/>
          </w:tcPr>
          <w:p w14:paraId="3E652E2E" w14:textId="77777777" w:rsidR="00E91418" w:rsidRPr="00816076" w:rsidRDefault="00E91418" w:rsidP="00E91418">
            <w:pPr>
              <w:jc w:val="left"/>
              <w:rPr>
                <w:rFonts w:cs="Calibri"/>
                <w:b/>
                <w:bCs/>
                <w:color w:val="FFFFFF" w:themeColor="background1"/>
                <w:sz w:val="22"/>
              </w:rPr>
            </w:pPr>
            <w:r w:rsidRPr="00816076">
              <w:rPr>
                <w:rFonts w:cs="Calibri"/>
                <w:b/>
                <w:bCs/>
                <w:color w:val="FFFFFF" w:themeColor="background1"/>
                <w:sz w:val="22"/>
              </w:rPr>
              <w:t>Attendance</w:t>
            </w:r>
          </w:p>
        </w:tc>
        <w:tc>
          <w:tcPr>
            <w:tcW w:w="8652" w:type="dxa"/>
          </w:tcPr>
          <w:p w14:paraId="5438BA05" w14:textId="76F4B1AE" w:rsidR="00F05052" w:rsidRPr="00816076" w:rsidRDefault="00F05052" w:rsidP="00A670D3">
            <w:pPr>
              <w:jc w:val="left"/>
              <w:rPr>
                <w:rFonts w:cs="Calibri"/>
                <w:sz w:val="22"/>
              </w:rPr>
            </w:pPr>
            <w:bookmarkStart w:id="1" w:name="_Hlk204607656"/>
            <w:r w:rsidRPr="00816076">
              <w:rPr>
                <w:rFonts w:cs="Calibri"/>
                <w:sz w:val="22"/>
              </w:rPr>
              <w:t xml:space="preserve">The NTAC will hold at least one face to face meeting each year. Generally, these meetings will convene for two days and usually be held in Canberra. The NTAC will also hold at least two teleconferences each year, with additional meetings scheduled as needed. </w:t>
            </w:r>
          </w:p>
          <w:p w14:paraId="605DCBDE" w14:textId="1B8BB26A" w:rsidR="00E42A3B" w:rsidRPr="00816076" w:rsidRDefault="005107F4" w:rsidP="00E42A3B">
            <w:pPr>
              <w:jc w:val="left"/>
              <w:rPr>
                <w:rFonts w:cs="Calibri"/>
                <w:sz w:val="22"/>
              </w:rPr>
            </w:pPr>
            <w:r w:rsidRPr="00C6597B">
              <w:rPr>
                <w:rFonts w:cs="Calibri"/>
                <w:sz w:val="22"/>
              </w:rPr>
              <w:t xml:space="preserve">A proposed meeting schedule will be prepared by the Secretariat, endorsed annually, and provided to CDNA. </w:t>
            </w:r>
            <w:r w:rsidR="00E42A3B" w:rsidRPr="00816076">
              <w:rPr>
                <w:rFonts w:cs="Calibri"/>
                <w:sz w:val="22"/>
              </w:rPr>
              <w:t>All members are expected to be present at each NTAC meeting.</w:t>
            </w:r>
            <w:r w:rsidR="007B3DB0" w:rsidRPr="00816076">
              <w:rPr>
                <w:rFonts w:cs="Calibri"/>
                <w:sz w:val="22"/>
              </w:rPr>
              <w:t xml:space="preserve"> </w:t>
            </w:r>
            <w:r w:rsidR="00E42A3B" w:rsidRPr="00816076">
              <w:rPr>
                <w:rFonts w:cs="Calibri"/>
                <w:sz w:val="22"/>
              </w:rPr>
              <w:t xml:space="preserve">All members, </w:t>
            </w:r>
            <w:r w:rsidR="00F0743E" w:rsidRPr="00816076">
              <w:rPr>
                <w:rFonts w:cs="Calibri"/>
                <w:sz w:val="22"/>
              </w:rPr>
              <w:t>except for</w:t>
            </w:r>
            <w:r w:rsidR="00E42A3B" w:rsidRPr="00816076">
              <w:rPr>
                <w:rFonts w:cs="Calibri"/>
                <w:sz w:val="22"/>
              </w:rPr>
              <w:t xml:space="preserve"> invited experts</w:t>
            </w:r>
            <w:r w:rsidR="00F0743E" w:rsidRPr="00816076">
              <w:rPr>
                <w:rFonts w:cs="Calibri"/>
                <w:sz w:val="22"/>
              </w:rPr>
              <w:t>,</w:t>
            </w:r>
            <w:r w:rsidR="00E42A3B" w:rsidRPr="00816076">
              <w:rPr>
                <w:rFonts w:cs="Calibri"/>
                <w:sz w:val="22"/>
              </w:rPr>
              <w:t xml:space="preserve"> are eligible to have a proxy attend meetings on their behalf. </w:t>
            </w:r>
            <w:r w:rsidR="007B3DB0">
              <w:rPr>
                <w:rFonts w:cs="Calibri"/>
                <w:sz w:val="22"/>
              </w:rPr>
              <w:t>If members are not able to attend, t</w:t>
            </w:r>
            <w:r w:rsidR="00E42A3B" w:rsidRPr="00816076">
              <w:rPr>
                <w:rFonts w:cs="Calibri"/>
                <w:sz w:val="22"/>
              </w:rPr>
              <w:t xml:space="preserve">he member is responsible for nominating a suitable proxy and advising the NTAC Secretariat. </w:t>
            </w:r>
            <w:bookmarkEnd w:id="1"/>
          </w:p>
          <w:p w14:paraId="63F0B4BA" w14:textId="77777777" w:rsidR="007B3DB0" w:rsidRPr="00816076" w:rsidRDefault="007B3DB0" w:rsidP="007B3DB0">
            <w:pPr>
              <w:jc w:val="left"/>
              <w:rPr>
                <w:rFonts w:cs="Calibri"/>
                <w:sz w:val="22"/>
              </w:rPr>
            </w:pPr>
            <w:r w:rsidRPr="00816076">
              <w:rPr>
                <w:rFonts w:cs="Calibri"/>
                <w:sz w:val="22"/>
              </w:rPr>
              <w:t xml:space="preserve">The Chair’s agreement should be sought before proxies, observers or guests attend meetings. Guests invited to attend meetings will be asked to leave once their agenda item has concluded and will not participate in committee business. </w:t>
            </w:r>
          </w:p>
          <w:p w14:paraId="4AA96A5C" w14:textId="2EF8CA00" w:rsidR="00CD242B" w:rsidRPr="00816076" w:rsidRDefault="00E42A3B" w:rsidP="003C2392">
            <w:pPr>
              <w:jc w:val="left"/>
              <w:rPr>
                <w:rFonts w:cs="Calibri"/>
                <w:sz w:val="22"/>
              </w:rPr>
            </w:pPr>
            <w:r w:rsidRPr="00816076">
              <w:rPr>
                <w:rFonts w:cs="Calibri"/>
                <w:sz w:val="22"/>
              </w:rPr>
              <w:t>The Secretariat support for NTAC is provided by the Australian Government Department of Health, Disability and Ageing.</w:t>
            </w:r>
          </w:p>
        </w:tc>
      </w:tr>
      <w:tr w:rsidR="00E42A3B" w:rsidRPr="00816076" w14:paraId="4D3EC6A1" w14:textId="77777777" w:rsidTr="02B044B2">
        <w:trPr>
          <w:jc w:val="center"/>
        </w:trPr>
        <w:tc>
          <w:tcPr>
            <w:tcW w:w="2263" w:type="dxa"/>
            <w:tcBorders>
              <w:top w:val="single" w:sz="4" w:space="0" w:color="FFFFFF" w:themeColor="background1"/>
              <w:bottom w:val="single" w:sz="4" w:space="0" w:color="FFFFFF" w:themeColor="background1"/>
            </w:tcBorders>
            <w:shd w:val="clear" w:color="auto" w:fill="31849B"/>
          </w:tcPr>
          <w:p w14:paraId="30B7E774" w14:textId="77777777" w:rsidR="00E42A3B" w:rsidRPr="00816076" w:rsidRDefault="00E42A3B" w:rsidP="00E42A3B">
            <w:pPr>
              <w:jc w:val="left"/>
              <w:rPr>
                <w:rFonts w:cs="Calibri"/>
                <w:b/>
                <w:bCs/>
                <w:color w:val="FFFFFF" w:themeColor="background1"/>
                <w:sz w:val="22"/>
              </w:rPr>
            </w:pPr>
            <w:r w:rsidRPr="00816076">
              <w:rPr>
                <w:rFonts w:cs="Calibri"/>
                <w:b/>
                <w:bCs/>
                <w:color w:val="FFFFFF" w:themeColor="background1"/>
                <w:sz w:val="22"/>
              </w:rPr>
              <w:t>Governance</w:t>
            </w:r>
          </w:p>
        </w:tc>
        <w:tc>
          <w:tcPr>
            <w:tcW w:w="8652" w:type="dxa"/>
          </w:tcPr>
          <w:p w14:paraId="519BE890" w14:textId="3884033B" w:rsidR="00A31D23" w:rsidRPr="00C6597B" w:rsidRDefault="00A31D23" w:rsidP="02B044B2">
            <w:pPr>
              <w:spacing w:after="60"/>
              <w:jc w:val="left"/>
              <w:rPr>
                <w:rFonts w:cs="Calibri"/>
                <w:sz w:val="22"/>
                <w:u w:val="single"/>
              </w:rPr>
            </w:pPr>
            <w:r w:rsidRPr="02B044B2">
              <w:rPr>
                <w:rFonts w:cs="Calibri"/>
                <w:sz w:val="22"/>
                <w:u w:val="single"/>
              </w:rPr>
              <w:t>Work</w:t>
            </w:r>
            <w:r w:rsidR="6316AC73" w:rsidRPr="02B044B2">
              <w:rPr>
                <w:rFonts w:cs="Calibri"/>
                <w:sz w:val="22"/>
                <w:u w:val="single"/>
              </w:rPr>
              <w:t xml:space="preserve"> </w:t>
            </w:r>
            <w:r w:rsidRPr="02B044B2">
              <w:rPr>
                <w:rFonts w:cs="Calibri"/>
                <w:sz w:val="22"/>
                <w:u w:val="single"/>
              </w:rPr>
              <w:t>plan</w:t>
            </w:r>
          </w:p>
          <w:p w14:paraId="7EC5716E" w14:textId="2C5EE373" w:rsidR="00F05052" w:rsidRPr="00816076" w:rsidRDefault="00F05052" w:rsidP="02B044B2">
            <w:pPr>
              <w:jc w:val="left"/>
              <w:rPr>
                <w:rFonts w:cs="Calibri"/>
                <w:sz w:val="22"/>
              </w:rPr>
            </w:pPr>
            <w:r w:rsidRPr="02B044B2">
              <w:rPr>
                <w:rFonts w:cs="Calibri"/>
                <w:sz w:val="22"/>
              </w:rPr>
              <w:t xml:space="preserve">NTAC will provide CDNA with an annual one-year work plan for oversight of NTAC’s key activities and priorities. </w:t>
            </w:r>
            <w:r w:rsidR="0039517F" w:rsidRPr="02B044B2">
              <w:rPr>
                <w:rFonts w:cs="Calibri"/>
                <w:sz w:val="22"/>
              </w:rPr>
              <w:t xml:space="preserve">The </w:t>
            </w:r>
            <w:r w:rsidRPr="02B044B2">
              <w:rPr>
                <w:rFonts w:cs="Calibri"/>
                <w:sz w:val="22"/>
              </w:rPr>
              <w:t>NTAC may develop an ongoing Work Plan to outline a broader range of activities and priorities that support the work of the committee. All activities and priorities, both business as usual and time-limited, will be included in this broader Work Plan for oversight of the breadth of N</w:t>
            </w:r>
            <w:r w:rsidR="00904730" w:rsidRPr="02B044B2">
              <w:rPr>
                <w:rFonts w:cs="Calibri"/>
                <w:sz w:val="22"/>
              </w:rPr>
              <w:t>TAC</w:t>
            </w:r>
            <w:r w:rsidRPr="02B044B2">
              <w:rPr>
                <w:rFonts w:cs="Calibri"/>
                <w:sz w:val="22"/>
              </w:rPr>
              <w:t>’s activities.</w:t>
            </w:r>
          </w:p>
          <w:p w14:paraId="6E53A8F3" w14:textId="77777777" w:rsidR="00A31D23" w:rsidRPr="00C6597B" w:rsidRDefault="00A31D23" w:rsidP="00C6597B">
            <w:pPr>
              <w:spacing w:after="60"/>
              <w:jc w:val="left"/>
              <w:rPr>
                <w:rFonts w:cs="Calibri"/>
                <w:sz w:val="22"/>
                <w:u w:val="single"/>
              </w:rPr>
            </w:pPr>
            <w:r w:rsidRPr="00C6597B">
              <w:rPr>
                <w:rFonts w:cs="Calibri"/>
                <w:sz w:val="22"/>
                <w:u w:val="single"/>
              </w:rPr>
              <w:t>Agenda</w:t>
            </w:r>
          </w:p>
          <w:p w14:paraId="1E0E1485" w14:textId="326BD83F" w:rsidR="00F05052" w:rsidRPr="00816076" w:rsidRDefault="00F05052" w:rsidP="00A670D3">
            <w:pPr>
              <w:pStyle w:val="Default"/>
              <w:spacing w:after="120"/>
              <w:rPr>
                <w:rFonts w:cs="Calibri"/>
                <w:color w:val="auto"/>
                <w:sz w:val="22"/>
                <w:szCs w:val="22"/>
              </w:rPr>
            </w:pPr>
            <w:r w:rsidRPr="00816076">
              <w:rPr>
                <w:rFonts w:cs="Calibri"/>
                <w:color w:val="auto"/>
                <w:sz w:val="22"/>
                <w:szCs w:val="22"/>
              </w:rPr>
              <w:t xml:space="preserve">The Chair is responsible for guiding the agenda. Nomination of agenda items is open to all members. Agenda items will focus on the purpose and objectives of NTAC, agreed key priorities, tasking from CDNA, and emerging national issues. Other matters will be prioritised and managed by NTAC as determined by the Chair in consultation with members. </w:t>
            </w:r>
          </w:p>
          <w:p w14:paraId="1A370EC8" w14:textId="74742548" w:rsidR="00CD242B" w:rsidRPr="00816076" w:rsidRDefault="00F05052" w:rsidP="003C2392">
            <w:pPr>
              <w:pStyle w:val="Default"/>
              <w:spacing w:after="120"/>
              <w:rPr>
                <w:rFonts w:cs="Calibri"/>
                <w:color w:val="auto"/>
                <w:sz w:val="22"/>
                <w:szCs w:val="22"/>
              </w:rPr>
            </w:pPr>
            <w:r w:rsidRPr="00816076">
              <w:rPr>
                <w:rFonts w:cs="Calibri"/>
                <w:color w:val="auto"/>
                <w:sz w:val="22"/>
                <w:szCs w:val="22"/>
              </w:rPr>
              <w:lastRenderedPageBreak/>
              <w:t xml:space="preserve">Matters may be progressed either in formal meeting sessions or out of session, as determined by the Chair in consultation with the NTAC Secretariat and members. Time-limited Working Groups to progress the work of NTAC can be established as needed. Any agenda items requiring a decision will be supported by a paper, supporting documentation or presentation unless there are exceptional circumstances. </w:t>
            </w:r>
            <w:r w:rsidR="00E42A3B" w:rsidRPr="00816076">
              <w:rPr>
                <w:rFonts w:cs="Calibri"/>
                <w:color w:val="auto"/>
                <w:sz w:val="22"/>
                <w:szCs w:val="22"/>
              </w:rPr>
              <w:t xml:space="preserve"> </w:t>
            </w:r>
          </w:p>
        </w:tc>
      </w:tr>
      <w:tr w:rsidR="00E42A3B" w:rsidRPr="00816076" w14:paraId="3FFA6281" w14:textId="77777777" w:rsidTr="02B044B2">
        <w:trPr>
          <w:jc w:val="center"/>
        </w:trPr>
        <w:tc>
          <w:tcPr>
            <w:tcW w:w="2263" w:type="dxa"/>
            <w:tcBorders>
              <w:top w:val="single" w:sz="4" w:space="0" w:color="FFFFFF" w:themeColor="background1"/>
              <w:bottom w:val="single" w:sz="4" w:space="0" w:color="FFFFFF" w:themeColor="background1"/>
            </w:tcBorders>
            <w:shd w:val="clear" w:color="auto" w:fill="31849B"/>
          </w:tcPr>
          <w:p w14:paraId="7C56DC43" w14:textId="77777777" w:rsidR="00E42A3B" w:rsidRPr="00816076" w:rsidRDefault="00E42A3B" w:rsidP="00E42A3B">
            <w:pPr>
              <w:jc w:val="left"/>
              <w:rPr>
                <w:rFonts w:cs="Calibri"/>
                <w:b/>
                <w:bCs/>
                <w:color w:val="FFFFFF" w:themeColor="background1"/>
                <w:sz w:val="22"/>
              </w:rPr>
            </w:pPr>
            <w:r w:rsidRPr="00816076">
              <w:rPr>
                <w:rFonts w:cs="Calibri"/>
                <w:b/>
                <w:bCs/>
                <w:color w:val="FFFFFF" w:themeColor="background1"/>
                <w:sz w:val="22"/>
              </w:rPr>
              <w:lastRenderedPageBreak/>
              <w:t>Principles for advice and decision making</w:t>
            </w:r>
          </w:p>
        </w:tc>
        <w:tc>
          <w:tcPr>
            <w:tcW w:w="8652" w:type="dxa"/>
          </w:tcPr>
          <w:p w14:paraId="6CBCB5B5" w14:textId="7972D278" w:rsidR="00A31D23" w:rsidRPr="00816076" w:rsidRDefault="00A31D23" w:rsidP="00A31D23">
            <w:pPr>
              <w:pStyle w:val="Default"/>
              <w:spacing w:after="120"/>
              <w:rPr>
                <w:rFonts w:cs="Calibri"/>
                <w:sz w:val="22"/>
                <w:szCs w:val="22"/>
              </w:rPr>
            </w:pPr>
            <w:r w:rsidRPr="00816076">
              <w:rPr>
                <w:rFonts w:cs="Calibri"/>
                <w:sz w:val="22"/>
                <w:szCs w:val="22"/>
              </w:rPr>
              <w:t xml:space="preserve">No business can be conducted at meetings without a quorum. Consistent with the CDNA Charter, NTAC will not normally be considered to have a quorum if more than two jurisdictions (including the Commonwealth) are not represented by either a member or their proxy. </w:t>
            </w:r>
          </w:p>
          <w:p w14:paraId="5BB8B4D7" w14:textId="77777777" w:rsidR="00F05052" w:rsidRPr="00816076" w:rsidRDefault="00F05052" w:rsidP="00A670D3">
            <w:pPr>
              <w:autoSpaceDE w:val="0"/>
              <w:autoSpaceDN w:val="0"/>
              <w:adjustRightInd w:val="0"/>
              <w:spacing w:after="60"/>
              <w:jc w:val="left"/>
              <w:rPr>
                <w:rFonts w:eastAsia="Calibri" w:cs="Calibri"/>
                <w:color w:val="000000"/>
                <w:sz w:val="22"/>
              </w:rPr>
            </w:pPr>
            <w:r w:rsidRPr="00816076">
              <w:rPr>
                <w:rFonts w:eastAsia="Calibri" w:cs="Calibri"/>
                <w:color w:val="000000"/>
                <w:sz w:val="22"/>
              </w:rPr>
              <w:t xml:space="preserve">Decisions and advice should be: </w:t>
            </w:r>
          </w:p>
          <w:p w14:paraId="2D8F764D" w14:textId="77777777" w:rsidR="00956705" w:rsidRPr="00413638" w:rsidRDefault="00D60752" w:rsidP="00413638">
            <w:pPr>
              <w:pStyle w:val="ListParagraph"/>
              <w:numPr>
                <w:ilvl w:val="0"/>
                <w:numId w:val="16"/>
              </w:numPr>
              <w:spacing w:after="5" w:line="249" w:lineRule="auto"/>
              <w:ind w:right="622"/>
              <w:jc w:val="left"/>
              <w:rPr>
                <w:rFonts w:cs="Calibri"/>
                <w:sz w:val="22"/>
              </w:rPr>
            </w:pPr>
            <w:r w:rsidRPr="00413638">
              <w:rPr>
                <w:rFonts w:cs="Calibri"/>
                <w:sz w:val="22"/>
              </w:rPr>
              <w:t>E</w:t>
            </w:r>
            <w:r w:rsidR="00F05052" w:rsidRPr="00413638">
              <w:rPr>
                <w:rFonts w:cs="Calibri"/>
                <w:sz w:val="22"/>
              </w:rPr>
              <w:t>vidence and principles-based</w:t>
            </w:r>
            <w:r w:rsidR="00956705" w:rsidRPr="00413638">
              <w:rPr>
                <w:rFonts w:cs="Calibri"/>
                <w:sz w:val="22"/>
              </w:rPr>
              <w:t xml:space="preserve">, </w:t>
            </w:r>
          </w:p>
          <w:p w14:paraId="54F37129" w14:textId="77777777" w:rsidR="00956705" w:rsidRPr="00413638" w:rsidRDefault="00956705" w:rsidP="00413638">
            <w:pPr>
              <w:pStyle w:val="ListParagraph"/>
              <w:numPr>
                <w:ilvl w:val="0"/>
                <w:numId w:val="16"/>
              </w:numPr>
              <w:spacing w:after="5" w:line="249" w:lineRule="auto"/>
              <w:ind w:right="622"/>
              <w:jc w:val="left"/>
              <w:rPr>
                <w:rFonts w:cs="Calibri"/>
                <w:sz w:val="22"/>
              </w:rPr>
            </w:pPr>
            <w:r w:rsidRPr="00413638">
              <w:rPr>
                <w:rFonts w:cs="Calibri"/>
                <w:sz w:val="22"/>
              </w:rPr>
              <w:t>A</w:t>
            </w:r>
            <w:r w:rsidR="00F05052" w:rsidRPr="00413638">
              <w:rPr>
                <w:rFonts w:cs="Calibri"/>
                <w:sz w:val="22"/>
              </w:rPr>
              <w:t xml:space="preserve">llow individual jurisdictions to determine the best way to achieve any agreed aims, and </w:t>
            </w:r>
            <w:bookmarkStart w:id="2" w:name="_Hlk210218184"/>
          </w:p>
          <w:p w14:paraId="59CB81E4" w14:textId="40250409" w:rsidR="00F05052" w:rsidRPr="00413638" w:rsidRDefault="00E63552" w:rsidP="00413638">
            <w:pPr>
              <w:pStyle w:val="ListParagraph"/>
              <w:numPr>
                <w:ilvl w:val="0"/>
                <w:numId w:val="16"/>
              </w:numPr>
              <w:spacing w:after="5" w:line="249" w:lineRule="auto"/>
              <w:ind w:right="622"/>
              <w:jc w:val="left"/>
              <w:rPr>
                <w:rFonts w:cs="Calibri"/>
                <w:sz w:val="22"/>
              </w:rPr>
            </w:pPr>
            <w:r w:rsidRPr="00413638">
              <w:rPr>
                <w:rFonts w:cs="Calibri"/>
                <w:sz w:val="22"/>
              </w:rPr>
              <w:t>C</w:t>
            </w:r>
            <w:r w:rsidR="00F05052" w:rsidRPr="00413638">
              <w:rPr>
                <w:rFonts w:cs="Calibri"/>
                <w:sz w:val="22"/>
              </w:rPr>
              <w:t>onsensus based</w:t>
            </w:r>
            <w:r w:rsidR="00BC60B4" w:rsidRPr="00413638">
              <w:rPr>
                <w:rFonts w:cs="Calibri"/>
                <w:sz w:val="22"/>
              </w:rPr>
              <w:t xml:space="preserve">. </w:t>
            </w:r>
          </w:p>
          <w:bookmarkEnd w:id="2"/>
          <w:p w14:paraId="7872B9C4" w14:textId="77777777" w:rsidR="00F05052" w:rsidRPr="00816076" w:rsidRDefault="00F05052" w:rsidP="00A670D3">
            <w:pPr>
              <w:pStyle w:val="Default"/>
              <w:spacing w:after="120"/>
              <w:rPr>
                <w:rFonts w:cs="Calibri"/>
                <w:sz w:val="22"/>
                <w:szCs w:val="22"/>
              </w:rPr>
            </w:pPr>
            <w:r w:rsidRPr="00816076">
              <w:rPr>
                <w:rFonts w:cs="Calibri"/>
                <w:sz w:val="22"/>
                <w:szCs w:val="22"/>
              </w:rPr>
              <w:t xml:space="preserve">Where consensus or resolution cannot be reached on an agenda item in the established timeframe, consideration should be given to progressing an item through alternative means such as majority vote, out of session review, dedicated jurisdictional discussion, Chair decision, or escalation to CDNA for consideration. Decisions agreed by the majority should not commit non-agreeing jurisdictions to a specific course of action without acknowledgement.  </w:t>
            </w:r>
          </w:p>
          <w:p w14:paraId="2EA9943D" w14:textId="2E34B59D" w:rsidR="00CD242B" w:rsidRDefault="00F05052" w:rsidP="003C2392">
            <w:pPr>
              <w:pStyle w:val="Default"/>
              <w:spacing w:after="120"/>
              <w:rPr>
                <w:rFonts w:cs="Calibri"/>
                <w:sz w:val="22"/>
                <w:szCs w:val="22"/>
              </w:rPr>
            </w:pPr>
            <w:r w:rsidRPr="00816076">
              <w:rPr>
                <w:rFonts w:cs="Calibri"/>
                <w:sz w:val="22"/>
                <w:szCs w:val="22"/>
              </w:rPr>
              <w:t xml:space="preserve">Where a vote is required, only jurisdictional </w:t>
            </w:r>
            <w:r w:rsidR="00C673BF">
              <w:rPr>
                <w:rFonts w:cs="Calibri"/>
                <w:sz w:val="22"/>
                <w:szCs w:val="22"/>
              </w:rPr>
              <w:t>representative</w:t>
            </w:r>
            <w:r w:rsidRPr="00816076">
              <w:rPr>
                <w:rFonts w:cs="Calibri"/>
                <w:sz w:val="22"/>
                <w:szCs w:val="22"/>
              </w:rPr>
              <w:t xml:space="preserve">s are entitled to vote and should consider the advice provided by non-voting members in </w:t>
            </w:r>
            <w:r w:rsidRPr="00816076">
              <w:rPr>
                <w:rFonts w:cs="Calibri"/>
                <w:color w:val="auto"/>
                <w:sz w:val="22"/>
                <w:szCs w:val="22"/>
              </w:rPr>
              <w:t>the</w:t>
            </w:r>
            <w:r w:rsidRPr="00816076">
              <w:rPr>
                <w:rFonts w:cs="Calibri"/>
                <w:sz w:val="22"/>
                <w:szCs w:val="22"/>
              </w:rPr>
              <w:t xml:space="preserve"> decision-making process.</w:t>
            </w:r>
            <w:r w:rsidR="00A31D23">
              <w:rPr>
                <w:rFonts w:cs="Calibri"/>
                <w:sz w:val="22"/>
                <w:szCs w:val="22"/>
              </w:rPr>
              <w:t xml:space="preserve"> </w:t>
            </w:r>
            <w:r w:rsidR="00A31D23" w:rsidRPr="00C6597B">
              <w:rPr>
                <w:sz w:val="22"/>
                <w:szCs w:val="22"/>
              </w:rPr>
              <w:t xml:space="preserve">If consensus cannot be reached on an item in a timely manner, the Chair will refer the matter to CDNA for consideration.  </w:t>
            </w:r>
          </w:p>
          <w:p w14:paraId="537A96C3" w14:textId="77777777" w:rsidR="00A31D23" w:rsidRPr="00816076" w:rsidRDefault="00A31D23" w:rsidP="00A31D23">
            <w:pPr>
              <w:pStyle w:val="Default"/>
              <w:spacing w:after="120"/>
              <w:rPr>
                <w:rFonts w:cs="Calibri"/>
                <w:sz w:val="22"/>
                <w:szCs w:val="22"/>
              </w:rPr>
            </w:pPr>
            <w:r w:rsidRPr="00816076">
              <w:rPr>
                <w:rFonts w:cs="Calibri"/>
                <w:sz w:val="22"/>
                <w:szCs w:val="22"/>
              </w:rPr>
              <w:t xml:space="preserve">NTAC advice will not be considered as national policy until endorsed by CDNA and/or AHPC, as appropriate. </w:t>
            </w:r>
          </w:p>
          <w:p w14:paraId="2B4CE503" w14:textId="14277691" w:rsidR="00A31D23" w:rsidRPr="00816076" w:rsidRDefault="00A31D23" w:rsidP="00A31D23">
            <w:pPr>
              <w:pStyle w:val="Default"/>
              <w:spacing w:after="120"/>
              <w:rPr>
                <w:rFonts w:cs="Calibri"/>
                <w:sz w:val="22"/>
                <w:szCs w:val="22"/>
              </w:rPr>
            </w:pPr>
            <w:r w:rsidRPr="00816076">
              <w:rPr>
                <w:rFonts w:cs="Calibri"/>
                <w:color w:val="auto"/>
                <w:sz w:val="22"/>
                <w:szCs w:val="22"/>
              </w:rPr>
              <w:t xml:space="preserve">Provision of advice to the Department Home Affairs and other agencies and organisations must be made through the appropriate reporting channels, i.e. through CDNA to AHPC (where </w:t>
            </w:r>
            <w:r>
              <w:rPr>
                <w:rFonts w:cs="Calibri"/>
                <w:color w:val="auto"/>
                <w:sz w:val="22"/>
                <w:szCs w:val="22"/>
              </w:rPr>
              <w:t>applicable</w:t>
            </w:r>
            <w:r w:rsidRPr="00816076">
              <w:rPr>
                <w:rFonts w:cs="Calibri"/>
                <w:color w:val="auto"/>
                <w:sz w:val="22"/>
                <w:szCs w:val="22"/>
              </w:rPr>
              <w:t>).</w:t>
            </w:r>
          </w:p>
        </w:tc>
      </w:tr>
      <w:tr w:rsidR="00E42A3B" w:rsidRPr="00816076" w14:paraId="0482F70A" w14:textId="77777777" w:rsidTr="02B044B2">
        <w:trPr>
          <w:jc w:val="center"/>
        </w:trPr>
        <w:tc>
          <w:tcPr>
            <w:tcW w:w="2263" w:type="dxa"/>
            <w:tcBorders>
              <w:top w:val="single" w:sz="4" w:space="0" w:color="FFFFFF" w:themeColor="background1"/>
              <w:bottom w:val="single" w:sz="4" w:space="0" w:color="FFFFFF" w:themeColor="background1"/>
            </w:tcBorders>
            <w:shd w:val="clear" w:color="auto" w:fill="31849B"/>
          </w:tcPr>
          <w:p w14:paraId="03A1D478" w14:textId="77777777" w:rsidR="00E42A3B" w:rsidRPr="00816076" w:rsidRDefault="00E42A3B" w:rsidP="00E42A3B">
            <w:pPr>
              <w:jc w:val="left"/>
              <w:rPr>
                <w:rFonts w:cs="Calibri"/>
                <w:b/>
                <w:bCs/>
                <w:color w:val="FFFFFF" w:themeColor="background1"/>
                <w:sz w:val="22"/>
              </w:rPr>
            </w:pPr>
            <w:r w:rsidRPr="00816076">
              <w:rPr>
                <w:sz w:val="22"/>
              </w:rPr>
              <w:br w:type="page"/>
            </w:r>
            <w:r w:rsidRPr="00816076">
              <w:rPr>
                <w:rFonts w:cs="Calibri"/>
                <w:b/>
                <w:bCs/>
                <w:color w:val="FFFFFF" w:themeColor="background1"/>
                <w:sz w:val="22"/>
              </w:rPr>
              <w:t>Scope of responsibility</w:t>
            </w:r>
          </w:p>
        </w:tc>
        <w:tc>
          <w:tcPr>
            <w:tcW w:w="8652" w:type="dxa"/>
          </w:tcPr>
          <w:p w14:paraId="02A0CA0E" w14:textId="033476CD" w:rsidR="009504E0" w:rsidRPr="00816076" w:rsidRDefault="009504E0" w:rsidP="00A670D3">
            <w:pPr>
              <w:spacing w:after="60"/>
              <w:ind w:right="624"/>
              <w:rPr>
                <w:rFonts w:cs="Calibri"/>
                <w:sz w:val="22"/>
              </w:rPr>
            </w:pPr>
            <w:r w:rsidRPr="00816076">
              <w:rPr>
                <w:rFonts w:cs="Calibri"/>
                <w:sz w:val="22"/>
              </w:rPr>
              <w:t>The NTAC has an ongoing role to:</w:t>
            </w:r>
          </w:p>
          <w:p w14:paraId="6D742A23" w14:textId="63093989" w:rsidR="009504E0" w:rsidRPr="00816076" w:rsidRDefault="009504E0" w:rsidP="009504E0">
            <w:pPr>
              <w:pStyle w:val="ListParagraph"/>
              <w:numPr>
                <w:ilvl w:val="0"/>
                <w:numId w:val="16"/>
              </w:numPr>
              <w:spacing w:after="5" w:line="249" w:lineRule="auto"/>
              <w:ind w:right="622"/>
              <w:jc w:val="left"/>
              <w:rPr>
                <w:rFonts w:cs="Calibri"/>
                <w:sz w:val="22"/>
              </w:rPr>
            </w:pPr>
            <w:r w:rsidRPr="00816076">
              <w:rPr>
                <w:rFonts w:cs="Calibri"/>
                <w:sz w:val="22"/>
              </w:rPr>
              <w:t xml:space="preserve">Consolidate </w:t>
            </w:r>
            <w:r w:rsidR="00193253">
              <w:rPr>
                <w:rFonts w:cs="Calibri"/>
                <w:sz w:val="22"/>
              </w:rPr>
              <w:t>TB</w:t>
            </w:r>
            <w:r w:rsidRPr="00816076">
              <w:rPr>
                <w:rFonts w:cs="Calibri"/>
                <w:sz w:val="22"/>
              </w:rPr>
              <w:t xml:space="preserve"> related activities including:</w:t>
            </w:r>
          </w:p>
          <w:p w14:paraId="1C81839F" w14:textId="77777777" w:rsidR="009504E0" w:rsidRPr="00816076" w:rsidRDefault="009504E0" w:rsidP="009504E0">
            <w:pPr>
              <w:pStyle w:val="ListParagraph"/>
              <w:numPr>
                <w:ilvl w:val="1"/>
                <w:numId w:val="16"/>
              </w:numPr>
              <w:spacing w:after="5" w:line="249" w:lineRule="auto"/>
              <w:ind w:right="622"/>
              <w:jc w:val="left"/>
              <w:rPr>
                <w:rFonts w:cs="Calibri"/>
                <w:sz w:val="22"/>
              </w:rPr>
            </w:pPr>
            <w:r w:rsidRPr="00816076">
              <w:rPr>
                <w:rFonts w:cs="Calibri"/>
                <w:sz w:val="22"/>
              </w:rPr>
              <w:t>Enhanced national surveillance of epidemiological control indexes</w:t>
            </w:r>
          </w:p>
          <w:p w14:paraId="2FA31B64" w14:textId="77777777" w:rsidR="009504E0" w:rsidRPr="00816076" w:rsidRDefault="009504E0" w:rsidP="009504E0">
            <w:pPr>
              <w:pStyle w:val="ListParagraph"/>
              <w:numPr>
                <w:ilvl w:val="1"/>
                <w:numId w:val="16"/>
              </w:numPr>
              <w:spacing w:after="5" w:line="249" w:lineRule="auto"/>
              <w:ind w:right="622"/>
              <w:jc w:val="left"/>
              <w:rPr>
                <w:rFonts w:cs="Calibri"/>
                <w:sz w:val="22"/>
              </w:rPr>
            </w:pPr>
            <w:r w:rsidRPr="00816076">
              <w:rPr>
                <w:rFonts w:cs="Calibri"/>
                <w:sz w:val="22"/>
              </w:rPr>
              <w:t xml:space="preserve">Drug resistance and treatment outcomes </w:t>
            </w:r>
          </w:p>
          <w:p w14:paraId="6780B12D" w14:textId="5F6A82C4" w:rsidR="009504E0" w:rsidRPr="00816076" w:rsidRDefault="009504E0" w:rsidP="009504E0">
            <w:pPr>
              <w:pStyle w:val="ListParagraph"/>
              <w:numPr>
                <w:ilvl w:val="0"/>
                <w:numId w:val="16"/>
              </w:numPr>
              <w:spacing w:after="5" w:line="249" w:lineRule="auto"/>
              <w:ind w:right="622"/>
              <w:jc w:val="left"/>
              <w:rPr>
                <w:rFonts w:cs="Calibri"/>
                <w:sz w:val="22"/>
              </w:rPr>
            </w:pPr>
            <w:r w:rsidRPr="00816076">
              <w:rPr>
                <w:rFonts w:cs="Calibri"/>
                <w:sz w:val="22"/>
              </w:rPr>
              <w:t xml:space="preserve">Provide strategic, expert advice to the CDNA on a coordinated national and international approach to </w:t>
            </w:r>
            <w:r w:rsidR="00193253">
              <w:rPr>
                <w:rFonts w:cs="Calibri"/>
                <w:sz w:val="22"/>
              </w:rPr>
              <w:t>TB</w:t>
            </w:r>
            <w:r w:rsidRPr="00816076">
              <w:rPr>
                <w:rFonts w:cs="Calibri"/>
                <w:sz w:val="22"/>
              </w:rPr>
              <w:t xml:space="preserve"> control. </w:t>
            </w:r>
          </w:p>
          <w:p w14:paraId="1BDA3228" w14:textId="1A3A3206" w:rsidR="00CD242B" w:rsidRDefault="009504E0" w:rsidP="00C6597B">
            <w:pPr>
              <w:pStyle w:val="ListParagraph"/>
              <w:numPr>
                <w:ilvl w:val="0"/>
                <w:numId w:val="16"/>
              </w:numPr>
              <w:spacing w:after="0" w:line="250" w:lineRule="auto"/>
              <w:ind w:left="714" w:right="624" w:hanging="357"/>
              <w:contextualSpacing w:val="0"/>
              <w:jc w:val="left"/>
              <w:rPr>
                <w:rFonts w:cs="Calibri"/>
                <w:sz w:val="22"/>
              </w:rPr>
            </w:pPr>
            <w:r w:rsidRPr="00816076">
              <w:rPr>
                <w:rFonts w:cs="Calibri"/>
                <w:sz w:val="22"/>
              </w:rPr>
              <w:t>Develop and review nationally agreed strategic and implementation plans for the control of</w:t>
            </w:r>
            <w:r w:rsidR="00193253">
              <w:rPr>
                <w:rFonts w:cs="Calibri"/>
                <w:sz w:val="22"/>
              </w:rPr>
              <w:t xml:space="preserve"> TB</w:t>
            </w:r>
            <w:r w:rsidRPr="00816076">
              <w:rPr>
                <w:rFonts w:cs="Calibri"/>
                <w:sz w:val="22"/>
              </w:rPr>
              <w:t xml:space="preserve"> in Australia.</w:t>
            </w:r>
          </w:p>
          <w:p w14:paraId="7260BEC1" w14:textId="40C79A1D" w:rsidR="00371AB1" w:rsidRPr="00816076" w:rsidRDefault="00371AB1" w:rsidP="003C2392">
            <w:pPr>
              <w:pStyle w:val="ListParagraph"/>
              <w:numPr>
                <w:ilvl w:val="0"/>
                <w:numId w:val="16"/>
              </w:numPr>
              <w:spacing w:line="250" w:lineRule="auto"/>
              <w:ind w:left="714" w:right="624" w:hanging="357"/>
              <w:contextualSpacing w:val="0"/>
              <w:jc w:val="left"/>
              <w:rPr>
                <w:rFonts w:cs="Calibri"/>
                <w:sz w:val="22"/>
              </w:rPr>
            </w:pPr>
            <w:r>
              <w:rPr>
                <w:rFonts w:cs="Calibri"/>
                <w:sz w:val="22"/>
              </w:rPr>
              <w:t>Align strategic direction to be broadly consistent with the World Health Organization’s strategies to reduce the global burden of TB and as agreed by Australia at the World Health Assembly</w:t>
            </w:r>
            <w:r w:rsidR="00136ADD">
              <w:rPr>
                <w:rFonts w:cs="Calibri"/>
                <w:sz w:val="22"/>
              </w:rPr>
              <w:t>.</w:t>
            </w:r>
          </w:p>
        </w:tc>
      </w:tr>
      <w:tr w:rsidR="00E42A3B" w:rsidRPr="00816076" w14:paraId="4C7B51B3" w14:textId="77777777" w:rsidTr="02B044B2">
        <w:trPr>
          <w:jc w:val="center"/>
        </w:trPr>
        <w:tc>
          <w:tcPr>
            <w:tcW w:w="2263" w:type="dxa"/>
            <w:tcBorders>
              <w:top w:val="single" w:sz="4" w:space="0" w:color="FFFFFF" w:themeColor="background1"/>
              <w:bottom w:val="single" w:sz="4" w:space="0" w:color="FFFFFF" w:themeColor="background1"/>
            </w:tcBorders>
            <w:shd w:val="clear" w:color="auto" w:fill="31849B"/>
          </w:tcPr>
          <w:p w14:paraId="31885A7B" w14:textId="77777777" w:rsidR="00E42A3B" w:rsidRPr="00816076" w:rsidRDefault="00E42A3B" w:rsidP="00E42A3B">
            <w:pPr>
              <w:jc w:val="left"/>
              <w:rPr>
                <w:rFonts w:cs="Calibri"/>
                <w:b/>
                <w:bCs/>
                <w:color w:val="FFFFFF" w:themeColor="background1"/>
                <w:sz w:val="22"/>
              </w:rPr>
            </w:pPr>
            <w:r w:rsidRPr="00816076">
              <w:rPr>
                <w:rFonts w:cs="Calibri"/>
                <w:b/>
                <w:bCs/>
                <w:color w:val="FFFFFF" w:themeColor="background1"/>
                <w:sz w:val="22"/>
              </w:rPr>
              <w:t>Review</w:t>
            </w:r>
          </w:p>
        </w:tc>
        <w:tc>
          <w:tcPr>
            <w:tcW w:w="8652" w:type="dxa"/>
          </w:tcPr>
          <w:p w14:paraId="5703EBD6" w14:textId="09683411" w:rsidR="00CD242B" w:rsidRPr="00816076" w:rsidRDefault="009504E0" w:rsidP="003C2392">
            <w:pPr>
              <w:spacing w:line="250" w:lineRule="auto"/>
              <w:ind w:right="624"/>
              <w:jc w:val="left"/>
              <w:rPr>
                <w:rFonts w:cs="Calibri"/>
                <w:sz w:val="22"/>
              </w:rPr>
            </w:pPr>
            <w:r w:rsidRPr="00816076">
              <w:rPr>
                <w:rFonts w:cs="Calibri"/>
                <w:sz w:val="22"/>
              </w:rPr>
              <w:t>This Charter will remain in force until otherwise agreed by NTAC. Regular review of this Charter should occur to ensure accuracy and relevance.</w:t>
            </w:r>
          </w:p>
        </w:tc>
      </w:tr>
      <w:tr w:rsidR="00E42A3B" w:rsidRPr="00816076" w14:paraId="54FADBC6" w14:textId="77777777" w:rsidTr="02B044B2">
        <w:trPr>
          <w:jc w:val="center"/>
        </w:trPr>
        <w:tc>
          <w:tcPr>
            <w:tcW w:w="2263" w:type="dxa"/>
            <w:tcBorders>
              <w:top w:val="single" w:sz="4" w:space="0" w:color="FFFFFF" w:themeColor="background1"/>
              <w:bottom w:val="single" w:sz="4" w:space="0" w:color="FFFFFF" w:themeColor="background1"/>
            </w:tcBorders>
            <w:shd w:val="clear" w:color="auto" w:fill="31849B"/>
          </w:tcPr>
          <w:p w14:paraId="31FA1B84" w14:textId="77777777" w:rsidR="00E42A3B" w:rsidRPr="00816076" w:rsidRDefault="00E42A3B" w:rsidP="00E42A3B">
            <w:pPr>
              <w:jc w:val="left"/>
              <w:rPr>
                <w:rFonts w:cs="Calibri"/>
                <w:b/>
                <w:bCs/>
                <w:color w:val="FFFFFF" w:themeColor="background1"/>
                <w:sz w:val="22"/>
              </w:rPr>
            </w:pPr>
            <w:r w:rsidRPr="00816076">
              <w:rPr>
                <w:rFonts w:cs="Calibri"/>
                <w:b/>
                <w:bCs/>
                <w:color w:val="FFFFFF" w:themeColor="background1"/>
                <w:sz w:val="22"/>
              </w:rPr>
              <w:t>Record keeping and communications</w:t>
            </w:r>
          </w:p>
        </w:tc>
        <w:tc>
          <w:tcPr>
            <w:tcW w:w="8652" w:type="dxa"/>
          </w:tcPr>
          <w:p w14:paraId="77099210" w14:textId="77777777" w:rsidR="009504E0" w:rsidRPr="00816076" w:rsidRDefault="009504E0" w:rsidP="02B044B2">
            <w:pPr>
              <w:jc w:val="left"/>
              <w:rPr>
                <w:rFonts w:cs="Calibri"/>
                <w:sz w:val="22"/>
              </w:rPr>
            </w:pPr>
            <w:r w:rsidRPr="02B044B2">
              <w:rPr>
                <w:rFonts w:cs="Calibri"/>
                <w:sz w:val="22"/>
              </w:rPr>
              <w:t>Outcomes, including decisions, and actions arising from the meeting, will be documented in the meeting minutes by NTAC Secretariat. Minutes will be circulated out of session for endorsement and stored on the NTAC SharePoint site for member access. Endorsed minutes will be stored as per official records management for the Department of Health, Disability and Ageing.</w:t>
            </w:r>
          </w:p>
          <w:p w14:paraId="47C5B40F" w14:textId="38B4C69D" w:rsidR="0BFDB9AA" w:rsidRDefault="0BFDB9AA" w:rsidP="02B044B2">
            <w:pPr>
              <w:jc w:val="left"/>
              <w:rPr>
                <w:rFonts w:cs="Calibri"/>
                <w:sz w:val="22"/>
              </w:rPr>
            </w:pPr>
            <w:r w:rsidRPr="02B044B2">
              <w:rPr>
                <w:rFonts w:cs="Calibri"/>
                <w:sz w:val="22"/>
              </w:rPr>
              <w:t xml:space="preserve">The NTAC Secretariat will provide a brief summary of monthly meetings to CDNA.  </w:t>
            </w:r>
          </w:p>
          <w:p w14:paraId="62FE6879" w14:textId="147127CF" w:rsidR="00CD242B" w:rsidRPr="00816076" w:rsidRDefault="009504E0" w:rsidP="009B5C90">
            <w:pPr>
              <w:jc w:val="left"/>
              <w:rPr>
                <w:rFonts w:cs="Calibri"/>
                <w:sz w:val="22"/>
              </w:rPr>
            </w:pPr>
            <w:r w:rsidRPr="00816076">
              <w:rPr>
                <w:rFonts w:cs="Calibri"/>
                <w:sz w:val="22"/>
              </w:rPr>
              <w:lastRenderedPageBreak/>
              <w:t>There will be no public release of information in the name of NTAC in any way without the prior approval or agreement of NTAC members and the Chair, along with the CDNA and, if applicable, the AHPC. NTAC will adhere to Australian Government, AHPC and CDNA policies relating to the release of information.</w:t>
            </w:r>
          </w:p>
        </w:tc>
      </w:tr>
      <w:tr w:rsidR="00E42A3B" w:rsidRPr="00816076" w14:paraId="7892AF77" w14:textId="77777777" w:rsidTr="02B044B2">
        <w:trPr>
          <w:jc w:val="center"/>
        </w:trPr>
        <w:tc>
          <w:tcPr>
            <w:tcW w:w="2263" w:type="dxa"/>
            <w:tcBorders>
              <w:top w:val="single" w:sz="4" w:space="0" w:color="FFFFFF" w:themeColor="background1"/>
            </w:tcBorders>
            <w:shd w:val="clear" w:color="auto" w:fill="31849B"/>
          </w:tcPr>
          <w:p w14:paraId="36CE1166" w14:textId="77777777" w:rsidR="00E42A3B" w:rsidRPr="00816076" w:rsidRDefault="00E42A3B" w:rsidP="00E42A3B">
            <w:pPr>
              <w:jc w:val="left"/>
              <w:rPr>
                <w:rFonts w:cs="Calibri"/>
                <w:b/>
                <w:bCs/>
                <w:color w:val="FFFFFF" w:themeColor="background1"/>
                <w:sz w:val="22"/>
              </w:rPr>
            </w:pPr>
            <w:r w:rsidRPr="00816076">
              <w:rPr>
                <w:rFonts w:cs="Calibri"/>
                <w:b/>
                <w:bCs/>
                <w:color w:val="FFFFFF" w:themeColor="background1"/>
                <w:sz w:val="22"/>
              </w:rPr>
              <w:lastRenderedPageBreak/>
              <w:t>Supporting documents</w:t>
            </w:r>
          </w:p>
        </w:tc>
        <w:tc>
          <w:tcPr>
            <w:tcW w:w="8652" w:type="dxa"/>
          </w:tcPr>
          <w:p w14:paraId="1095FC8B" w14:textId="77777777" w:rsidR="009504E0" w:rsidRPr="00816076" w:rsidRDefault="009504E0" w:rsidP="00666CC1">
            <w:pPr>
              <w:spacing w:after="0" w:line="259" w:lineRule="auto"/>
              <w:rPr>
                <w:rFonts w:cs="Calibri"/>
                <w:sz w:val="22"/>
              </w:rPr>
            </w:pPr>
            <w:hyperlink r:id="rId12" w:anchor="members" w:history="1">
              <w:r w:rsidRPr="00816076">
                <w:rPr>
                  <w:rStyle w:val="Hyperlink"/>
                  <w:rFonts w:cs="Calibri"/>
                  <w:sz w:val="22"/>
                </w:rPr>
                <w:t>NTAC Membership List</w:t>
              </w:r>
            </w:hyperlink>
          </w:p>
          <w:p w14:paraId="1A7E410F" w14:textId="09B1C6D0" w:rsidR="00CD242B" w:rsidRPr="00816076" w:rsidRDefault="009504E0" w:rsidP="00C27C71">
            <w:pPr>
              <w:rPr>
                <w:rFonts w:cs="Calibri"/>
                <w:sz w:val="22"/>
              </w:rPr>
            </w:pPr>
            <w:hyperlink r:id="rId13" w:history="1">
              <w:r w:rsidRPr="00816076">
                <w:rPr>
                  <w:rStyle w:val="Hyperlink"/>
                  <w:rFonts w:cs="Calibri"/>
                  <w:sz w:val="22"/>
                </w:rPr>
                <w:t>Guidance for Intergovernmental meetings</w:t>
              </w:r>
            </w:hyperlink>
          </w:p>
        </w:tc>
      </w:tr>
    </w:tbl>
    <w:p w14:paraId="11C8AB01" w14:textId="431F4D2C" w:rsidR="00D20739" w:rsidRPr="00816076" w:rsidRDefault="00D20739" w:rsidP="00D20739">
      <w:pPr>
        <w:spacing w:after="0"/>
        <w:ind w:left="-567"/>
        <w:rPr>
          <w:rFonts w:cs="Calibri"/>
          <w:i/>
          <w:iCs/>
          <w:sz w:val="22"/>
        </w:rPr>
      </w:pPr>
      <w:r w:rsidRPr="00816076">
        <w:rPr>
          <w:rFonts w:cs="Calibri"/>
          <w:i/>
          <w:iCs/>
          <w:sz w:val="22"/>
        </w:rPr>
        <w:t xml:space="preserve">Document version: </w:t>
      </w:r>
      <w:r w:rsidRPr="00816076">
        <w:rPr>
          <w:rFonts w:cs="Calibri"/>
          <w:i/>
          <w:iCs/>
          <w:sz w:val="22"/>
        </w:rPr>
        <w:tab/>
      </w:r>
      <w:r w:rsidR="0087435E" w:rsidRPr="00816076">
        <w:rPr>
          <w:rFonts w:cs="Calibri"/>
          <w:i/>
          <w:iCs/>
          <w:sz w:val="22"/>
        </w:rPr>
        <w:t>v1</w:t>
      </w:r>
    </w:p>
    <w:p w14:paraId="5A54F877" w14:textId="7CF3BA3C" w:rsidR="00D20739" w:rsidRPr="00D6016C" w:rsidRDefault="00893D91" w:rsidP="00D20739">
      <w:pPr>
        <w:spacing w:after="0"/>
        <w:ind w:left="-567"/>
        <w:rPr>
          <w:rFonts w:cs="Calibri"/>
          <w:i/>
          <w:iCs/>
          <w:sz w:val="22"/>
        </w:rPr>
      </w:pPr>
      <w:r w:rsidRPr="00816076">
        <w:rPr>
          <w:rFonts w:cs="Calibri"/>
          <w:i/>
          <w:iCs/>
          <w:sz w:val="22"/>
        </w:rPr>
        <w:t>NTAC</w:t>
      </w:r>
      <w:r w:rsidR="00D20739" w:rsidRPr="00816076">
        <w:rPr>
          <w:rFonts w:cs="Calibri"/>
          <w:i/>
          <w:iCs/>
          <w:sz w:val="22"/>
        </w:rPr>
        <w:t xml:space="preserve"> endorsed: </w:t>
      </w:r>
      <w:r w:rsidRPr="00816076">
        <w:rPr>
          <w:rFonts w:cs="Calibri"/>
          <w:i/>
          <w:iCs/>
          <w:sz w:val="22"/>
        </w:rPr>
        <w:tab/>
      </w:r>
      <w:r w:rsidR="00B71277">
        <w:rPr>
          <w:rFonts w:cs="Calibri"/>
          <w:i/>
          <w:iCs/>
          <w:sz w:val="22"/>
        </w:rPr>
        <w:t>2</w:t>
      </w:r>
      <w:r w:rsidR="00EE319A">
        <w:rPr>
          <w:rFonts w:cs="Calibri"/>
          <w:i/>
          <w:iCs/>
          <w:sz w:val="22"/>
        </w:rPr>
        <w:t>9</w:t>
      </w:r>
      <w:r w:rsidR="00B71277">
        <w:rPr>
          <w:rFonts w:cs="Calibri"/>
          <w:i/>
          <w:iCs/>
          <w:sz w:val="22"/>
        </w:rPr>
        <w:t xml:space="preserve"> September </w:t>
      </w:r>
      <w:r w:rsidR="006D2834" w:rsidRPr="00D6016C">
        <w:rPr>
          <w:rFonts w:cs="Calibri"/>
          <w:i/>
          <w:iCs/>
          <w:sz w:val="22"/>
        </w:rPr>
        <w:t xml:space="preserve"> </w:t>
      </w:r>
      <w:r w:rsidRPr="00D6016C">
        <w:rPr>
          <w:rFonts w:cs="Calibri"/>
          <w:i/>
          <w:iCs/>
          <w:sz w:val="22"/>
        </w:rPr>
        <w:t xml:space="preserve"> 2025</w:t>
      </w:r>
    </w:p>
    <w:p w14:paraId="709DDE17" w14:textId="4F48856C" w:rsidR="00D20739" w:rsidRPr="00816076" w:rsidRDefault="001A00B1" w:rsidP="00487EB8">
      <w:pPr>
        <w:spacing w:after="0"/>
        <w:ind w:left="-567"/>
        <w:rPr>
          <w:rFonts w:cs="Calibri"/>
          <w:i/>
          <w:iCs/>
          <w:sz w:val="22"/>
        </w:rPr>
      </w:pPr>
      <w:r w:rsidRPr="00D6016C">
        <w:rPr>
          <w:rFonts w:cs="Calibri"/>
          <w:i/>
          <w:iCs/>
          <w:sz w:val="22"/>
        </w:rPr>
        <w:t>CDNA</w:t>
      </w:r>
      <w:r w:rsidR="00D20739" w:rsidRPr="00D6016C">
        <w:rPr>
          <w:rFonts w:cs="Calibri"/>
          <w:i/>
          <w:iCs/>
          <w:sz w:val="22"/>
        </w:rPr>
        <w:t xml:space="preserve"> endorsed:</w:t>
      </w:r>
      <w:r w:rsidR="00893D91" w:rsidRPr="00D6016C">
        <w:rPr>
          <w:rFonts w:cs="Calibri"/>
          <w:i/>
          <w:iCs/>
          <w:sz w:val="22"/>
        </w:rPr>
        <w:tab/>
      </w:r>
      <w:r w:rsidR="00C9121A">
        <w:rPr>
          <w:rFonts w:cs="Calibri"/>
          <w:i/>
          <w:iCs/>
          <w:sz w:val="22"/>
        </w:rPr>
        <w:t>21 October</w:t>
      </w:r>
      <w:r w:rsidR="00893D91" w:rsidRPr="00D6016C">
        <w:rPr>
          <w:rFonts w:cs="Calibri"/>
          <w:i/>
          <w:iCs/>
          <w:sz w:val="22"/>
        </w:rPr>
        <w:t xml:space="preserve"> 2025</w:t>
      </w:r>
    </w:p>
    <w:sectPr w:rsidR="00D20739" w:rsidRPr="00816076" w:rsidSect="00A743D8">
      <w:headerReference w:type="even" r:id="rId14"/>
      <w:headerReference w:type="default" r:id="rId15"/>
      <w:footerReference w:type="even" r:id="rId16"/>
      <w:footerReference w:type="default" r:id="rId17"/>
      <w:headerReference w:type="first" r:id="rId18"/>
      <w:footerReference w:type="first" r:id="rId19"/>
      <w:pgSz w:w="11906" w:h="16838"/>
      <w:pgMar w:top="1134"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B167" w14:textId="77777777" w:rsidR="00D76C06" w:rsidRDefault="00D76C06" w:rsidP="00212238">
      <w:pPr>
        <w:spacing w:after="0"/>
      </w:pPr>
      <w:r>
        <w:separator/>
      </w:r>
    </w:p>
  </w:endnote>
  <w:endnote w:type="continuationSeparator" w:id="0">
    <w:p w14:paraId="1D046990" w14:textId="77777777" w:rsidR="00D76C06" w:rsidRDefault="00D76C06" w:rsidP="002122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5077" w14:textId="202313BE" w:rsidR="00756067" w:rsidRDefault="00756067">
    <w:pPr>
      <w:pStyle w:val="Footer"/>
    </w:pPr>
    <w:r>
      <w:rPr>
        <w:noProof/>
        <w14:ligatures w14:val="standardContextual"/>
      </w:rPr>
      <mc:AlternateContent>
        <mc:Choice Requires="wps">
          <w:drawing>
            <wp:anchor distT="0" distB="0" distL="0" distR="0" simplePos="0" relativeHeight="251662336" behindDoc="0" locked="0" layoutInCell="1" allowOverlap="1" wp14:anchorId="7CB92C26" wp14:editId="3F691328">
              <wp:simplePos x="635" y="635"/>
              <wp:positionH relativeFrom="page">
                <wp:align>center</wp:align>
              </wp:positionH>
              <wp:positionV relativeFrom="page">
                <wp:align>bottom</wp:align>
              </wp:positionV>
              <wp:extent cx="551815" cy="376555"/>
              <wp:effectExtent l="0" t="0" r="635" b="0"/>
              <wp:wrapNone/>
              <wp:docPr id="6776870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9C8FAF" w14:textId="0D40EC7E" w:rsidR="00756067" w:rsidRPr="00756067" w:rsidRDefault="00756067" w:rsidP="00756067">
                          <w:pPr>
                            <w:spacing w:after="0"/>
                            <w:rPr>
                              <w:rFonts w:ascii="Calibri" w:eastAsia="Calibri" w:hAnsi="Calibri" w:cs="Calibri"/>
                              <w:noProof/>
                              <w:color w:val="FF0000"/>
                              <w:szCs w:val="24"/>
                            </w:rPr>
                          </w:pPr>
                          <w:r w:rsidRPr="0075606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578D6D7">
            <v:shapetype id="_x0000_t202" coordsize="21600,21600" o:spt="202" path="m,l,21600r21600,l21600,xe" w14:anchorId="7CB92C26">
              <v:stroke joinstyle="miter"/>
              <v:path gradientshapeok="t" o:connecttype="rect"/>
            </v:shapetype>
            <v:shape id="Text Box 5"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v:textbox style="mso-fit-shape-to-text:t" inset="0,0,0,15pt">
                <w:txbxContent>
                  <w:p w:rsidRPr="00756067" w:rsidR="00756067" w:rsidP="00756067" w:rsidRDefault="00756067" w14:paraId="75F360E3" w14:textId="0D40EC7E">
                    <w:pPr>
                      <w:spacing w:after="0"/>
                      <w:rPr>
                        <w:rFonts w:ascii="Calibri" w:hAnsi="Calibri" w:eastAsia="Calibri" w:cs="Calibri"/>
                        <w:noProof/>
                        <w:color w:val="FF0000"/>
                        <w:szCs w:val="24"/>
                      </w:rPr>
                    </w:pPr>
                    <w:r w:rsidRPr="00756067">
                      <w:rPr>
                        <w:rFonts w:ascii="Calibri" w:hAnsi="Calibri" w:eastAsia="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85AD" w14:textId="44A4A70A" w:rsidR="00756067" w:rsidRDefault="00756067">
    <w:pPr>
      <w:pStyle w:val="Footer"/>
    </w:pPr>
    <w:r>
      <w:rPr>
        <w:noProof/>
        <w14:ligatures w14:val="standardContextual"/>
      </w:rPr>
      <mc:AlternateContent>
        <mc:Choice Requires="wps">
          <w:drawing>
            <wp:anchor distT="0" distB="0" distL="0" distR="0" simplePos="0" relativeHeight="251663360" behindDoc="0" locked="0" layoutInCell="1" allowOverlap="1" wp14:anchorId="7BA909F0" wp14:editId="4D9DF670">
              <wp:simplePos x="682283" y="10058400"/>
              <wp:positionH relativeFrom="page">
                <wp:align>center</wp:align>
              </wp:positionH>
              <wp:positionV relativeFrom="page">
                <wp:align>bottom</wp:align>
              </wp:positionV>
              <wp:extent cx="551815" cy="376555"/>
              <wp:effectExtent l="0" t="0" r="635" b="0"/>
              <wp:wrapNone/>
              <wp:docPr id="15935553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7998A4" w14:textId="0BE17850" w:rsidR="00756067" w:rsidRPr="00756067" w:rsidRDefault="00756067" w:rsidP="00756067">
                          <w:pPr>
                            <w:spacing w:after="0"/>
                            <w:rPr>
                              <w:rFonts w:ascii="Calibri" w:eastAsia="Calibri" w:hAnsi="Calibri" w:cs="Calibri"/>
                              <w:noProof/>
                              <w:color w:val="FF0000"/>
                              <w:szCs w:val="24"/>
                            </w:rPr>
                          </w:pPr>
                          <w:r w:rsidRPr="0075606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68DFBFC">
            <v:shapetype id="_x0000_t202" coordsize="21600,21600" o:spt="202" path="m,l,21600r21600,l21600,xe" w14:anchorId="7BA909F0">
              <v:stroke joinstyle="miter"/>
              <v:path gradientshapeok="t" o:connecttype="rect"/>
            </v:shapetype>
            <v:shape id="Text Box 6"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v:textbox style="mso-fit-shape-to-text:t" inset="0,0,0,15pt">
                <w:txbxContent>
                  <w:p w:rsidRPr="00756067" w:rsidR="00756067" w:rsidP="00756067" w:rsidRDefault="00756067" w14:paraId="09E77742" w14:textId="0BE17850">
                    <w:pPr>
                      <w:spacing w:after="0"/>
                      <w:rPr>
                        <w:rFonts w:ascii="Calibri" w:hAnsi="Calibri" w:eastAsia="Calibri" w:cs="Calibri"/>
                        <w:noProof/>
                        <w:color w:val="FF0000"/>
                        <w:szCs w:val="24"/>
                      </w:rPr>
                    </w:pPr>
                    <w:r w:rsidRPr="00756067">
                      <w:rPr>
                        <w:rFonts w:ascii="Calibri" w:hAnsi="Calibri" w:eastAsia="Calibri" w:cs="Calibri"/>
                        <w:noProof/>
                        <w:color w:val="FF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66E1" w14:textId="261494E3" w:rsidR="00756067" w:rsidRDefault="00756067">
    <w:pPr>
      <w:pStyle w:val="Footer"/>
    </w:pPr>
    <w:r>
      <w:rPr>
        <w:noProof/>
        <w14:ligatures w14:val="standardContextual"/>
      </w:rPr>
      <mc:AlternateContent>
        <mc:Choice Requires="wps">
          <w:drawing>
            <wp:anchor distT="0" distB="0" distL="0" distR="0" simplePos="0" relativeHeight="251661312" behindDoc="0" locked="0" layoutInCell="1" allowOverlap="1" wp14:anchorId="7EA09D0E" wp14:editId="79F0FD0F">
              <wp:simplePos x="635" y="635"/>
              <wp:positionH relativeFrom="page">
                <wp:align>center</wp:align>
              </wp:positionH>
              <wp:positionV relativeFrom="page">
                <wp:align>bottom</wp:align>
              </wp:positionV>
              <wp:extent cx="551815" cy="376555"/>
              <wp:effectExtent l="0" t="0" r="635" b="0"/>
              <wp:wrapNone/>
              <wp:docPr id="16823098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896901" w14:textId="138E2E6C" w:rsidR="00756067" w:rsidRPr="00756067" w:rsidRDefault="00756067" w:rsidP="00756067">
                          <w:pPr>
                            <w:spacing w:after="0"/>
                            <w:rPr>
                              <w:rFonts w:ascii="Calibri" w:eastAsia="Calibri" w:hAnsi="Calibri" w:cs="Calibri"/>
                              <w:noProof/>
                              <w:color w:val="FF0000"/>
                              <w:szCs w:val="24"/>
                            </w:rPr>
                          </w:pPr>
                          <w:r w:rsidRPr="0075606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0A54D06">
            <v:shapetype id="_x0000_t202" coordsize="21600,21600" o:spt="202" path="m,l,21600r21600,l21600,xe" w14:anchorId="7EA09D0E">
              <v:stroke joinstyle="miter"/>
              <v:path gradientshapeok="t" o:connecttype="rect"/>
            </v:shapetype>
            <v:shape id="Text Box 4"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v:textbox style="mso-fit-shape-to-text:t" inset="0,0,0,15pt">
                <w:txbxContent>
                  <w:p w:rsidRPr="00756067" w:rsidR="00756067" w:rsidP="00756067" w:rsidRDefault="00756067" w14:paraId="171AAEBA" w14:textId="138E2E6C">
                    <w:pPr>
                      <w:spacing w:after="0"/>
                      <w:rPr>
                        <w:rFonts w:ascii="Calibri" w:hAnsi="Calibri" w:eastAsia="Calibri" w:cs="Calibri"/>
                        <w:noProof/>
                        <w:color w:val="FF0000"/>
                        <w:szCs w:val="24"/>
                      </w:rPr>
                    </w:pPr>
                    <w:r w:rsidRPr="00756067">
                      <w:rPr>
                        <w:rFonts w:ascii="Calibri" w:hAnsi="Calibri" w:eastAsia="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8E43" w14:textId="77777777" w:rsidR="00D76C06" w:rsidRDefault="00D76C06" w:rsidP="00212238">
      <w:pPr>
        <w:spacing w:after="0"/>
      </w:pPr>
      <w:r>
        <w:separator/>
      </w:r>
    </w:p>
  </w:footnote>
  <w:footnote w:type="continuationSeparator" w:id="0">
    <w:p w14:paraId="6844786B" w14:textId="77777777" w:rsidR="00D76C06" w:rsidRDefault="00D76C06" w:rsidP="002122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9A81" w14:textId="41A527F0" w:rsidR="00756067" w:rsidRDefault="00756067">
    <w:pPr>
      <w:pStyle w:val="Header"/>
    </w:pPr>
    <w:r>
      <w:rPr>
        <w:noProof/>
        <w14:ligatures w14:val="standardContextual"/>
      </w:rPr>
      <mc:AlternateContent>
        <mc:Choice Requires="wps">
          <w:drawing>
            <wp:anchor distT="0" distB="0" distL="0" distR="0" simplePos="0" relativeHeight="251659264" behindDoc="0" locked="0" layoutInCell="1" allowOverlap="1" wp14:anchorId="77FA01CB" wp14:editId="5A867A49">
              <wp:simplePos x="635" y="635"/>
              <wp:positionH relativeFrom="page">
                <wp:align>center</wp:align>
              </wp:positionH>
              <wp:positionV relativeFrom="page">
                <wp:align>top</wp:align>
              </wp:positionV>
              <wp:extent cx="551815" cy="376555"/>
              <wp:effectExtent l="0" t="0" r="635" b="4445"/>
              <wp:wrapNone/>
              <wp:docPr id="20070135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09F39" w14:textId="40D912DE" w:rsidR="00756067" w:rsidRPr="00756067" w:rsidRDefault="00756067" w:rsidP="00756067">
                          <w:pPr>
                            <w:spacing w:after="0"/>
                            <w:rPr>
                              <w:rFonts w:ascii="Calibri" w:eastAsia="Calibri" w:hAnsi="Calibri" w:cs="Calibri"/>
                              <w:noProof/>
                              <w:color w:val="FF0000"/>
                              <w:szCs w:val="24"/>
                            </w:rPr>
                          </w:pPr>
                          <w:r w:rsidRPr="0075606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56E7F29">
            <v:shapetype id="_x0000_t202" coordsize="21600,21600" o:spt="202" path="m,l,21600r21600,l21600,xe" w14:anchorId="77FA01CB">
              <v:stroke joinstyle="miter"/>
              <v:path gradientshapeok="t" o:connecttype="rect"/>
            </v:shapetype>
            <v:shape id="Text Box 2"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textbox style="mso-fit-shape-to-text:t" inset="0,15pt,0,0">
                <w:txbxContent>
                  <w:p w:rsidRPr="00756067" w:rsidR="00756067" w:rsidP="00756067" w:rsidRDefault="00756067" w14:paraId="2CCFEE10" w14:textId="40D912DE">
                    <w:pPr>
                      <w:spacing w:after="0"/>
                      <w:rPr>
                        <w:rFonts w:ascii="Calibri" w:hAnsi="Calibri" w:eastAsia="Calibri" w:cs="Calibri"/>
                        <w:noProof/>
                        <w:color w:val="FF0000"/>
                        <w:szCs w:val="24"/>
                      </w:rPr>
                    </w:pPr>
                    <w:r w:rsidRPr="00756067">
                      <w:rPr>
                        <w:rFonts w:ascii="Calibri" w:hAnsi="Calibri" w:eastAsia="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F1D8" w14:textId="5F7F0345" w:rsidR="00756067" w:rsidRDefault="00756067">
    <w:pPr>
      <w:pStyle w:val="Header"/>
    </w:pPr>
    <w:r>
      <w:rPr>
        <w:noProof/>
        <w14:ligatures w14:val="standardContextual"/>
      </w:rPr>
      <mc:AlternateContent>
        <mc:Choice Requires="wps">
          <w:drawing>
            <wp:anchor distT="0" distB="0" distL="0" distR="0" simplePos="0" relativeHeight="251660288" behindDoc="0" locked="0" layoutInCell="1" allowOverlap="1" wp14:anchorId="26AD50E6" wp14:editId="04C96C43">
              <wp:simplePos x="682283" y="450166"/>
              <wp:positionH relativeFrom="page">
                <wp:align>center</wp:align>
              </wp:positionH>
              <wp:positionV relativeFrom="page">
                <wp:align>top</wp:align>
              </wp:positionV>
              <wp:extent cx="551815" cy="376555"/>
              <wp:effectExtent l="0" t="0" r="635" b="4445"/>
              <wp:wrapNone/>
              <wp:docPr id="1882070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BA7B77" w14:textId="381F4F63" w:rsidR="00756067" w:rsidRPr="00756067" w:rsidRDefault="00756067" w:rsidP="00756067">
                          <w:pPr>
                            <w:spacing w:after="0"/>
                            <w:rPr>
                              <w:rFonts w:ascii="Calibri" w:eastAsia="Calibri" w:hAnsi="Calibri" w:cs="Calibri"/>
                              <w:noProof/>
                              <w:color w:val="FF0000"/>
                              <w:szCs w:val="24"/>
                            </w:rPr>
                          </w:pPr>
                          <w:r w:rsidRPr="0075606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97F4BAF">
            <v:shapetype id="_x0000_t202" coordsize="21600,21600" o:spt="202" path="m,l,21600r21600,l21600,xe" w14:anchorId="26AD50E6">
              <v:stroke joinstyle="miter"/>
              <v:path gradientshapeok="t" o:connecttype="rect"/>
            </v:shapetype>
            <v:shape id="Text Box 3"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v:textbox style="mso-fit-shape-to-text:t" inset="0,15pt,0,0">
                <w:txbxContent>
                  <w:p w:rsidRPr="00756067" w:rsidR="00756067" w:rsidP="00756067" w:rsidRDefault="00756067" w14:paraId="17D1F485" w14:textId="381F4F63">
                    <w:pPr>
                      <w:spacing w:after="0"/>
                      <w:rPr>
                        <w:rFonts w:ascii="Calibri" w:hAnsi="Calibri" w:eastAsia="Calibri" w:cs="Calibri"/>
                        <w:noProof/>
                        <w:color w:val="FF0000"/>
                        <w:szCs w:val="24"/>
                      </w:rPr>
                    </w:pPr>
                    <w:r w:rsidRPr="00756067">
                      <w:rPr>
                        <w:rFonts w:ascii="Calibri" w:hAnsi="Calibri" w:eastAsia="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44BF" w14:textId="43497A9B" w:rsidR="00756067" w:rsidRDefault="00756067">
    <w:pPr>
      <w:pStyle w:val="Header"/>
    </w:pPr>
    <w:r>
      <w:rPr>
        <w:noProof/>
        <w14:ligatures w14:val="standardContextual"/>
      </w:rPr>
      <mc:AlternateContent>
        <mc:Choice Requires="wps">
          <w:drawing>
            <wp:anchor distT="0" distB="0" distL="0" distR="0" simplePos="0" relativeHeight="251658240" behindDoc="0" locked="0" layoutInCell="1" allowOverlap="1" wp14:anchorId="74F16266" wp14:editId="6B3A4CC7">
              <wp:simplePos x="635" y="635"/>
              <wp:positionH relativeFrom="page">
                <wp:align>center</wp:align>
              </wp:positionH>
              <wp:positionV relativeFrom="page">
                <wp:align>top</wp:align>
              </wp:positionV>
              <wp:extent cx="551815" cy="376555"/>
              <wp:effectExtent l="0" t="0" r="635" b="4445"/>
              <wp:wrapNone/>
              <wp:docPr id="3363822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1C4048" w14:textId="55DACD24" w:rsidR="00756067" w:rsidRPr="00756067" w:rsidRDefault="00756067" w:rsidP="00756067">
                          <w:pPr>
                            <w:spacing w:after="0"/>
                            <w:rPr>
                              <w:rFonts w:ascii="Calibri" w:eastAsia="Calibri" w:hAnsi="Calibri" w:cs="Calibri"/>
                              <w:noProof/>
                              <w:color w:val="FF0000"/>
                              <w:szCs w:val="24"/>
                            </w:rPr>
                          </w:pPr>
                          <w:r w:rsidRPr="0075606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742BFC8">
            <v:shapetype id="_x0000_t202" coordsize="21600,21600" o:spt="202" path="m,l,21600r21600,l21600,xe" w14:anchorId="74F16266">
              <v:stroke joinstyle="miter"/>
              <v:path gradientshapeok="t" o:connecttype="rect"/>
            </v:shapetype>
            <v:shape id="Text Box 1"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v:textbox style="mso-fit-shape-to-text:t" inset="0,15pt,0,0">
                <w:txbxContent>
                  <w:p w:rsidRPr="00756067" w:rsidR="00756067" w:rsidP="00756067" w:rsidRDefault="00756067" w14:paraId="08CE8BEA" w14:textId="55DACD24">
                    <w:pPr>
                      <w:spacing w:after="0"/>
                      <w:rPr>
                        <w:rFonts w:ascii="Calibri" w:hAnsi="Calibri" w:eastAsia="Calibri" w:cs="Calibri"/>
                        <w:noProof/>
                        <w:color w:val="FF0000"/>
                        <w:szCs w:val="24"/>
                      </w:rPr>
                    </w:pPr>
                    <w:r w:rsidRPr="00756067">
                      <w:rPr>
                        <w:rFonts w:ascii="Calibri" w:hAnsi="Calibri" w:eastAsia="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E09"/>
    <w:multiLevelType w:val="hybridMultilevel"/>
    <w:tmpl w:val="4A38A188"/>
    <w:lvl w:ilvl="0" w:tplc="0C090001">
      <w:start w:val="1"/>
      <w:numFmt w:val="bullet"/>
      <w:lvlText w:val=""/>
      <w:lvlJc w:val="left"/>
      <w:pPr>
        <w:ind w:left="1080" w:hanging="360"/>
      </w:pPr>
      <w:rPr>
        <w:rFonts w:ascii="Symbol" w:hAnsi="Symbol" w:hint="default"/>
        <w:color w:val="2222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351BED"/>
    <w:multiLevelType w:val="multilevel"/>
    <w:tmpl w:val="12DAAE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EA445C"/>
    <w:multiLevelType w:val="hybridMultilevel"/>
    <w:tmpl w:val="66321B1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D0A4843"/>
    <w:multiLevelType w:val="hybridMultilevel"/>
    <w:tmpl w:val="F1749D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65693E"/>
    <w:multiLevelType w:val="hybridMultilevel"/>
    <w:tmpl w:val="88603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D25C98"/>
    <w:multiLevelType w:val="hybridMultilevel"/>
    <w:tmpl w:val="E7AC6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F061C2"/>
    <w:multiLevelType w:val="hybridMultilevel"/>
    <w:tmpl w:val="55D66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304F78"/>
    <w:multiLevelType w:val="hybridMultilevel"/>
    <w:tmpl w:val="01F0B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C01087"/>
    <w:multiLevelType w:val="hybridMultilevel"/>
    <w:tmpl w:val="63785B2E"/>
    <w:lvl w:ilvl="0" w:tplc="47108B8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5805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25629BF"/>
    <w:multiLevelType w:val="hybridMultilevel"/>
    <w:tmpl w:val="8B000C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DDE7BD0"/>
    <w:multiLevelType w:val="hybridMultilevel"/>
    <w:tmpl w:val="64B83C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22D1E95"/>
    <w:multiLevelType w:val="hybridMultilevel"/>
    <w:tmpl w:val="F0BA9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457D2C"/>
    <w:multiLevelType w:val="hybridMultilevel"/>
    <w:tmpl w:val="A8206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94128"/>
    <w:multiLevelType w:val="multilevel"/>
    <w:tmpl w:val="C5B0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045BCE"/>
    <w:multiLevelType w:val="hybridMultilevel"/>
    <w:tmpl w:val="5AD2B9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AB39D8"/>
    <w:multiLevelType w:val="hybridMultilevel"/>
    <w:tmpl w:val="99CED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603608">
    <w:abstractNumId w:val="1"/>
  </w:num>
  <w:num w:numId="2" w16cid:durableId="1545294271">
    <w:abstractNumId w:val="4"/>
  </w:num>
  <w:num w:numId="3" w16cid:durableId="170684499">
    <w:abstractNumId w:val="5"/>
  </w:num>
  <w:num w:numId="4" w16cid:durableId="1307859922">
    <w:abstractNumId w:val="6"/>
  </w:num>
  <w:num w:numId="5" w16cid:durableId="248851006">
    <w:abstractNumId w:val="10"/>
  </w:num>
  <w:num w:numId="6" w16cid:durableId="783623179">
    <w:abstractNumId w:val="16"/>
  </w:num>
  <w:num w:numId="7" w16cid:durableId="1065449808">
    <w:abstractNumId w:val="11"/>
  </w:num>
  <w:num w:numId="8" w16cid:durableId="44334341">
    <w:abstractNumId w:val="15"/>
  </w:num>
  <w:num w:numId="9" w16cid:durableId="1046219974">
    <w:abstractNumId w:val="2"/>
  </w:num>
  <w:num w:numId="10" w16cid:durableId="2128742965">
    <w:abstractNumId w:val="14"/>
  </w:num>
  <w:num w:numId="11" w16cid:durableId="1184517822">
    <w:abstractNumId w:val="8"/>
  </w:num>
  <w:num w:numId="12" w16cid:durableId="668483561">
    <w:abstractNumId w:val="3"/>
  </w:num>
  <w:num w:numId="13" w16cid:durableId="505363565">
    <w:abstractNumId w:val="13"/>
  </w:num>
  <w:num w:numId="14" w16cid:durableId="1569338468">
    <w:abstractNumId w:val="9"/>
  </w:num>
  <w:num w:numId="15" w16cid:durableId="215120758">
    <w:abstractNumId w:val="7"/>
  </w:num>
  <w:num w:numId="16" w16cid:durableId="508522388">
    <w:abstractNumId w:val="12"/>
  </w:num>
  <w:num w:numId="17" w16cid:durableId="200516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39"/>
    <w:rsid w:val="000020F4"/>
    <w:rsid w:val="00004B5F"/>
    <w:rsid w:val="0001104A"/>
    <w:rsid w:val="00012BF9"/>
    <w:rsid w:val="0001309C"/>
    <w:rsid w:val="00015B6F"/>
    <w:rsid w:val="00020ADB"/>
    <w:rsid w:val="00022426"/>
    <w:rsid w:val="00025426"/>
    <w:rsid w:val="0002693F"/>
    <w:rsid w:val="00031798"/>
    <w:rsid w:val="0003705B"/>
    <w:rsid w:val="00050C70"/>
    <w:rsid w:val="000522CE"/>
    <w:rsid w:val="00055F4D"/>
    <w:rsid w:val="0006435C"/>
    <w:rsid w:val="000668F7"/>
    <w:rsid w:val="00073747"/>
    <w:rsid w:val="000873CF"/>
    <w:rsid w:val="00090316"/>
    <w:rsid w:val="00091C16"/>
    <w:rsid w:val="00092D64"/>
    <w:rsid w:val="000A45C7"/>
    <w:rsid w:val="000A477D"/>
    <w:rsid w:val="000B1B1A"/>
    <w:rsid w:val="000B7D79"/>
    <w:rsid w:val="000D19A6"/>
    <w:rsid w:val="000D2355"/>
    <w:rsid w:val="000D303D"/>
    <w:rsid w:val="000D6EBA"/>
    <w:rsid w:val="00101877"/>
    <w:rsid w:val="001018C6"/>
    <w:rsid w:val="00101DA6"/>
    <w:rsid w:val="00106437"/>
    <w:rsid w:val="00110F3C"/>
    <w:rsid w:val="00111813"/>
    <w:rsid w:val="00113738"/>
    <w:rsid w:val="00117EE9"/>
    <w:rsid w:val="00122E0F"/>
    <w:rsid w:val="00123DCA"/>
    <w:rsid w:val="00124EEA"/>
    <w:rsid w:val="00136ADD"/>
    <w:rsid w:val="001520AB"/>
    <w:rsid w:val="00152FF0"/>
    <w:rsid w:val="00153489"/>
    <w:rsid w:val="00157D87"/>
    <w:rsid w:val="00167665"/>
    <w:rsid w:val="00193253"/>
    <w:rsid w:val="00193E19"/>
    <w:rsid w:val="001A00B1"/>
    <w:rsid w:val="001A09C5"/>
    <w:rsid w:val="001A440B"/>
    <w:rsid w:val="001B5544"/>
    <w:rsid w:val="001C07DE"/>
    <w:rsid w:val="001D34E3"/>
    <w:rsid w:val="001D7950"/>
    <w:rsid w:val="001E5398"/>
    <w:rsid w:val="001E7BF0"/>
    <w:rsid w:val="001F36F8"/>
    <w:rsid w:val="001F3D37"/>
    <w:rsid w:val="001F795E"/>
    <w:rsid w:val="00200135"/>
    <w:rsid w:val="00204AEE"/>
    <w:rsid w:val="002054DD"/>
    <w:rsid w:val="00212238"/>
    <w:rsid w:val="00213D72"/>
    <w:rsid w:val="00234F98"/>
    <w:rsid w:val="00247F9E"/>
    <w:rsid w:val="00251351"/>
    <w:rsid w:val="00257486"/>
    <w:rsid w:val="00263531"/>
    <w:rsid w:val="00263FCF"/>
    <w:rsid w:val="002652CF"/>
    <w:rsid w:val="00265D60"/>
    <w:rsid w:val="00273471"/>
    <w:rsid w:val="00276BB8"/>
    <w:rsid w:val="00280050"/>
    <w:rsid w:val="00285B9C"/>
    <w:rsid w:val="002869AC"/>
    <w:rsid w:val="002928E3"/>
    <w:rsid w:val="0029290C"/>
    <w:rsid w:val="00293CA1"/>
    <w:rsid w:val="002A166E"/>
    <w:rsid w:val="002B79F0"/>
    <w:rsid w:val="002C19A5"/>
    <w:rsid w:val="002D5D26"/>
    <w:rsid w:val="002D6E40"/>
    <w:rsid w:val="002E6052"/>
    <w:rsid w:val="002F0DFA"/>
    <w:rsid w:val="002F145D"/>
    <w:rsid w:val="002F1C1A"/>
    <w:rsid w:val="003077F2"/>
    <w:rsid w:val="00322797"/>
    <w:rsid w:val="00324649"/>
    <w:rsid w:val="00332C39"/>
    <w:rsid w:val="003337C0"/>
    <w:rsid w:val="003452BF"/>
    <w:rsid w:val="00351063"/>
    <w:rsid w:val="00363281"/>
    <w:rsid w:val="00364E54"/>
    <w:rsid w:val="00371AB1"/>
    <w:rsid w:val="0039217B"/>
    <w:rsid w:val="0039517F"/>
    <w:rsid w:val="00395F5C"/>
    <w:rsid w:val="003A4064"/>
    <w:rsid w:val="003A504B"/>
    <w:rsid w:val="003A7ED2"/>
    <w:rsid w:val="003B2A09"/>
    <w:rsid w:val="003C2392"/>
    <w:rsid w:val="003C5037"/>
    <w:rsid w:val="003D42E8"/>
    <w:rsid w:val="003E6E6D"/>
    <w:rsid w:val="004110C0"/>
    <w:rsid w:val="00413010"/>
    <w:rsid w:val="00413638"/>
    <w:rsid w:val="004170C3"/>
    <w:rsid w:val="0042302D"/>
    <w:rsid w:val="00437C19"/>
    <w:rsid w:val="00442C4F"/>
    <w:rsid w:val="00443C27"/>
    <w:rsid w:val="004462EA"/>
    <w:rsid w:val="0046635A"/>
    <w:rsid w:val="00471BB5"/>
    <w:rsid w:val="004812D7"/>
    <w:rsid w:val="00487EB8"/>
    <w:rsid w:val="004B16C2"/>
    <w:rsid w:val="004C6129"/>
    <w:rsid w:val="004D2437"/>
    <w:rsid w:val="004D5445"/>
    <w:rsid w:val="004E4027"/>
    <w:rsid w:val="005107F4"/>
    <w:rsid w:val="005120F6"/>
    <w:rsid w:val="00513584"/>
    <w:rsid w:val="0051421D"/>
    <w:rsid w:val="00521C2A"/>
    <w:rsid w:val="00522D02"/>
    <w:rsid w:val="0054459B"/>
    <w:rsid w:val="0055108C"/>
    <w:rsid w:val="00555C4C"/>
    <w:rsid w:val="00561C4F"/>
    <w:rsid w:val="0056206F"/>
    <w:rsid w:val="00564A66"/>
    <w:rsid w:val="0056524E"/>
    <w:rsid w:val="005679C7"/>
    <w:rsid w:val="00567ABF"/>
    <w:rsid w:val="005870C5"/>
    <w:rsid w:val="0059131A"/>
    <w:rsid w:val="005A1C9F"/>
    <w:rsid w:val="005A7465"/>
    <w:rsid w:val="005A750F"/>
    <w:rsid w:val="005B2BD5"/>
    <w:rsid w:val="005B650B"/>
    <w:rsid w:val="005B7113"/>
    <w:rsid w:val="005C742A"/>
    <w:rsid w:val="005D17F0"/>
    <w:rsid w:val="005D5B54"/>
    <w:rsid w:val="005F21D2"/>
    <w:rsid w:val="005F5190"/>
    <w:rsid w:val="006222A1"/>
    <w:rsid w:val="00624C69"/>
    <w:rsid w:val="006308A3"/>
    <w:rsid w:val="00634F44"/>
    <w:rsid w:val="00646726"/>
    <w:rsid w:val="006508CF"/>
    <w:rsid w:val="00666CC1"/>
    <w:rsid w:val="006670A5"/>
    <w:rsid w:val="00667BCD"/>
    <w:rsid w:val="00670AE8"/>
    <w:rsid w:val="00671165"/>
    <w:rsid w:val="00676BEB"/>
    <w:rsid w:val="00682780"/>
    <w:rsid w:val="006A791D"/>
    <w:rsid w:val="006C4697"/>
    <w:rsid w:val="006C6BCC"/>
    <w:rsid w:val="006D2834"/>
    <w:rsid w:val="006E2363"/>
    <w:rsid w:val="006E3496"/>
    <w:rsid w:val="006F3797"/>
    <w:rsid w:val="006F778F"/>
    <w:rsid w:val="0070319C"/>
    <w:rsid w:val="00703E14"/>
    <w:rsid w:val="007126EC"/>
    <w:rsid w:val="007204B4"/>
    <w:rsid w:val="00722A1E"/>
    <w:rsid w:val="007233DD"/>
    <w:rsid w:val="00736682"/>
    <w:rsid w:val="00737A67"/>
    <w:rsid w:val="00756067"/>
    <w:rsid w:val="007675ED"/>
    <w:rsid w:val="00781699"/>
    <w:rsid w:val="0078288E"/>
    <w:rsid w:val="00784DBF"/>
    <w:rsid w:val="00790850"/>
    <w:rsid w:val="0079238B"/>
    <w:rsid w:val="00792722"/>
    <w:rsid w:val="00794D73"/>
    <w:rsid w:val="0079608D"/>
    <w:rsid w:val="007A339E"/>
    <w:rsid w:val="007B3DB0"/>
    <w:rsid w:val="007C2E68"/>
    <w:rsid w:val="007D3021"/>
    <w:rsid w:val="007D3A37"/>
    <w:rsid w:val="007E0C3A"/>
    <w:rsid w:val="007E4871"/>
    <w:rsid w:val="007E776B"/>
    <w:rsid w:val="007F42F2"/>
    <w:rsid w:val="007F7813"/>
    <w:rsid w:val="0080564A"/>
    <w:rsid w:val="00811D4D"/>
    <w:rsid w:val="00816076"/>
    <w:rsid w:val="008319CE"/>
    <w:rsid w:val="008342AD"/>
    <w:rsid w:val="00836A82"/>
    <w:rsid w:val="008476F4"/>
    <w:rsid w:val="00850723"/>
    <w:rsid w:val="008574BD"/>
    <w:rsid w:val="008643AF"/>
    <w:rsid w:val="00865170"/>
    <w:rsid w:val="0087435E"/>
    <w:rsid w:val="008808B2"/>
    <w:rsid w:val="0088219E"/>
    <w:rsid w:val="00884A59"/>
    <w:rsid w:val="0089073F"/>
    <w:rsid w:val="00893D91"/>
    <w:rsid w:val="00896209"/>
    <w:rsid w:val="00896D36"/>
    <w:rsid w:val="008A3216"/>
    <w:rsid w:val="008B1A29"/>
    <w:rsid w:val="008B6E67"/>
    <w:rsid w:val="008C78C1"/>
    <w:rsid w:val="008D2A64"/>
    <w:rsid w:val="008D7614"/>
    <w:rsid w:val="008D7679"/>
    <w:rsid w:val="008E2FC5"/>
    <w:rsid w:val="008E66BC"/>
    <w:rsid w:val="008F6234"/>
    <w:rsid w:val="008F64B2"/>
    <w:rsid w:val="008F72F5"/>
    <w:rsid w:val="008F77C8"/>
    <w:rsid w:val="0090452E"/>
    <w:rsid w:val="00904730"/>
    <w:rsid w:val="00913615"/>
    <w:rsid w:val="009273FF"/>
    <w:rsid w:val="0093422A"/>
    <w:rsid w:val="00941B57"/>
    <w:rsid w:val="00941CEE"/>
    <w:rsid w:val="0094355C"/>
    <w:rsid w:val="009504E0"/>
    <w:rsid w:val="009513E9"/>
    <w:rsid w:val="00953042"/>
    <w:rsid w:val="009551BE"/>
    <w:rsid w:val="00956705"/>
    <w:rsid w:val="00965587"/>
    <w:rsid w:val="009666D9"/>
    <w:rsid w:val="0097596F"/>
    <w:rsid w:val="00984389"/>
    <w:rsid w:val="00992260"/>
    <w:rsid w:val="00996C77"/>
    <w:rsid w:val="009A2465"/>
    <w:rsid w:val="009A53A7"/>
    <w:rsid w:val="009A5AEC"/>
    <w:rsid w:val="009B5C90"/>
    <w:rsid w:val="009C6EB1"/>
    <w:rsid w:val="009D4C7F"/>
    <w:rsid w:val="009D54FC"/>
    <w:rsid w:val="009E022C"/>
    <w:rsid w:val="009E39A5"/>
    <w:rsid w:val="009E7C04"/>
    <w:rsid w:val="009F048E"/>
    <w:rsid w:val="009F523D"/>
    <w:rsid w:val="009F6AFC"/>
    <w:rsid w:val="009F7935"/>
    <w:rsid w:val="009F7D0E"/>
    <w:rsid w:val="00A06889"/>
    <w:rsid w:val="00A10D02"/>
    <w:rsid w:val="00A20C8A"/>
    <w:rsid w:val="00A2570E"/>
    <w:rsid w:val="00A25E2A"/>
    <w:rsid w:val="00A31D23"/>
    <w:rsid w:val="00A50052"/>
    <w:rsid w:val="00A51EE0"/>
    <w:rsid w:val="00A5430F"/>
    <w:rsid w:val="00A624ED"/>
    <w:rsid w:val="00A64BF9"/>
    <w:rsid w:val="00A65F10"/>
    <w:rsid w:val="00A66E59"/>
    <w:rsid w:val="00A670D3"/>
    <w:rsid w:val="00A679C2"/>
    <w:rsid w:val="00A743D8"/>
    <w:rsid w:val="00A7572B"/>
    <w:rsid w:val="00A76D1F"/>
    <w:rsid w:val="00A86D71"/>
    <w:rsid w:val="00A923D0"/>
    <w:rsid w:val="00A92DBB"/>
    <w:rsid w:val="00A97072"/>
    <w:rsid w:val="00A9717A"/>
    <w:rsid w:val="00AA06F1"/>
    <w:rsid w:val="00AB3C6E"/>
    <w:rsid w:val="00AC1CFB"/>
    <w:rsid w:val="00AC366D"/>
    <w:rsid w:val="00AC6F03"/>
    <w:rsid w:val="00AD45EF"/>
    <w:rsid w:val="00AE3A59"/>
    <w:rsid w:val="00AE50AF"/>
    <w:rsid w:val="00AF179F"/>
    <w:rsid w:val="00B06C13"/>
    <w:rsid w:val="00B109E5"/>
    <w:rsid w:val="00B11A65"/>
    <w:rsid w:val="00B23406"/>
    <w:rsid w:val="00B24A0A"/>
    <w:rsid w:val="00B265C0"/>
    <w:rsid w:val="00B41592"/>
    <w:rsid w:val="00B50FF6"/>
    <w:rsid w:val="00B5173E"/>
    <w:rsid w:val="00B520B4"/>
    <w:rsid w:val="00B53C2D"/>
    <w:rsid w:val="00B63D68"/>
    <w:rsid w:val="00B71277"/>
    <w:rsid w:val="00B838C3"/>
    <w:rsid w:val="00B86B89"/>
    <w:rsid w:val="00B96936"/>
    <w:rsid w:val="00BA5DB2"/>
    <w:rsid w:val="00BC30BD"/>
    <w:rsid w:val="00BC60B4"/>
    <w:rsid w:val="00BD2F87"/>
    <w:rsid w:val="00BD338A"/>
    <w:rsid w:val="00BD7E85"/>
    <w:rsid w:val="00BE09A6"/>
    <w:rsid w:val="00C03C07"/>
    <w:rsid w:val="00C10892"/>
    <w:rsid w:val="00C11C80"/>
    <w:rsid w:val="00C13E07"/>
    <w:rsid w:val="00C21D28"/>
    <w:rsid w:val="00C26E57"/>
    <w:rsid w:val="00C27C71"/>
    <w:rsid w:val="00C3651C"/>
    <w:rsid w:val="00C41FD4"/>
    <w:rsid w:val="00C45EE2"/>
    <w:rsid w:val="00C536CB"/>
    <w:rsid w:val="00C544A0"/>
    <w:rsid w:val="00C62D3E"/>
    <w:rsid w:val="00C6597B"/>
    <w:rsid w:val="00C673BF"/>
    <w:rsid w:val="00C703A5"/>
    <w:rsid w:val="00C71340"/>
    <w:rsid w:val="00C731B5"/>
    <w:rsid w:val="00C7624C"/>
    <w:rsid w:val="00C77502"/>
    <w:rsid w:val="00C846EF"/>
    <w:rsid w:val="00C8607A"/>
    <w:rsid w:val="00C87005"/>
    <w:rsid w:val="00C9121A"/>
    <w:rsid w:val="00CA3F9D"/>
    <w:rsid w:val="00CB2A07"/>
    <w:rsid w:val="00CC2795"/>
    <w:rsid w:val="00CC5670"/>
    <w:rsid w:val="00CD242B"/>
    <w:rsid w:val="00CF2596"/>
    <w:rsid w:val="00CF3BFD"/>
    <w:rsid w:val="00CF5C94"/>
    <w:rsid w:val="00D04B8F"/>
    <w:rsid w:val="00D20739"/>
    <w:rsid w:val="00D23842"/>
    <w:rsid w:val="00D23BF6"/>
    <w:rsid w:val="00D265BE"/>
    <w:rsid w:val="00D31D22"/>
    <w:rsid w:val="00D42B62"/>
    <w:rsid w:val="00D4385B"/>
    <w:rsid w:val="00D44999"/>
    <w:rsid w:val="00D508AC"/>
    <w:rsid w:val="00D56F2D"/>
    <w:rsid w:val="00D6016C"/>
    <w:rsid w:val="00D60752"/>
    <w:rsid w:val="00D76C06"/>
    <w:rsid w:val="00D809E6"/>
    <w:rsid w:val="00D83A28"/>
    <w:rsid w:val="00D90AEE"/>
    <w:rsid w:val="00D93B31"/>
    <w:rsid w:val="00D96D14"/>
    <w:rsid w:val="00DA3C78"/>
    <w:rsid w:val="00DA79EA"/>
    <w:rsid w:val="00DB31B9"/>
    <w:rsid w:val="00DC7D48"/>
    <w:rsid w:val="00DD5359"/>
    <w:rsid w:val="00DD5F56"/>
    <w:rsid w:val="00DE174B"/>
    <w:rsid w:val="00DE41C8"/>
    <w:rsid w:val="00E11E9D"/>
    <w:rsid w:val="00E155A1"/>
    <w:rsid w:val="00E2597D"/>
    <w:rsid w:val="00E27142"/>
    <w:rsid w:val="00E2714E"/>
    <w:rsid w:val="00E325B1"/>
    <w:rsid w:val="00E34857"/>
    <w:rsid w:val="00E42A3B"/>
    <w:rsid w:val="00E436C0"/>
    <w:rsid w:val="00E44780"/>
    <w:rsid w:val="00E62B96"/>
    <w:rsid w:val="00E63552"/>
    <w:rsid w:val="00E710FF"/>
    <w:rsid w:val="00E71CFF"/>
    <w:rsid w:val="00E77305"/>
    <w:rsid w:val="00E8331E"/>
    <w:rsid w:val="00E834D1"/>
    <w:rsid w:val="00E91418"/>
    <w:rsid w:val="00E92337"/>
    <w:rsid w:val="00E94F9C"/>
    <w:rsid w:val="00E956E4"/>
    <w:rsid w:val="00EA12FB"/>
    <w:rsid w:val="00EA3D2B"/>
    <w:rsid w:val="00EA5DAA"/>
    <w:rsid w:val="00EB52E0"/>
    <w:rsid w:val="00EC1CD1"/>
    <w:rsid w:val="00EC6570"/>
    <w:rsid w:val="00ED1523"/>
    <w:rsid w:val="00ED6BC9"/>
    <w:rsid w:val="00EE1740"/>
    <w:rsid w:val="00EE319A"/>
    <w:rsid w:val="00EF0FBE"/>
    <w:rsid w:val="00F05052"/>
    <w:rsid w:val="00F0743E"/>
    <w:rsid w:val="00F14C1A"/>
    <w:rsid w:val="00F14D6C"/>
    <w:rsid w:val="00F1661E"/>
    <w:rsid w:val="00F238CC"/>
    <w:rsid w:val="00F2461E"/>
    <w:rsid w:val="00F30C5F"/>
    <w:rsid w:val="00F36A3B"/>
    <w:rsid w:val="00F42676"/>
    <w:rsid w:val="00F44527"/>
    <w:rsid w:val="00F63591"/>
    <w:rsid w:val="00F67A18"/>
    <w:rsid w:val="00F71FE5"/>
    <w:rsid w:val="00F71FF2"/>
    <w:rsid w:val="00F73C43"/>
    <w:rsid w:val="00F80817"/>
    <w:rsid w:val="00F94368"/>
    <w:rsid w:val="00F97E5B"/>
    <w:rsid w:val="00FB26C0"/>
    <w:rsid w:val="00FD6391"/>
    <w:rsid w:val="00FD7CBC"/>
    <w:rsid w:val="00FE0D9B"/>
    <w:rsid w:val="00FE5ECD"/>
    <w:rsid w:val="010EE4AC"/>
    <w:rsid w:val="02B044B2"/>
    <w:rsid w:val="05436F50"/>
    <w:rsid w:val="07137655"/>
    <w:rsid w:val="073D7E05"/>
    <w:rsid w:val="08C007F5"/>
    <w:rsid w:val="09F0239B"/>
    <w:rsid w:val="0BFDB9AA"/>
    <w:rsid w:val="0CE50F50"/>
    <w:rsid w:val="115A151A"/>
    <w:rsid w:val="127B0110"/>
    <w:rsid w:val="15D90197"/>
    <w:rsid w:val="18D65538"/>
    <w:rsid w:val="1D52EA60"/>
    <w:rsid w:val="1E7FD621"/>
    <w:rsid w:val="1F2DC2F8"/>
    <w:rsid w:val="1F39E182"/>
    <w:rsid w:val="28602259"/>
    <w:rsid w:val="2A361F48"/>
    <w:rsid w:val="2BD090B9"/>
    <w:rsid w:val="2C347003"/>
    <w:rsid w:val="2D67CC7B"/>
    <w:rsid w:val="2E67E5CA"/>
    <w:rsid w:val="344A05EE"/>
    <w:rsid w:val="3541639C"/>
    <w:rsid w:val="363A7239"/>
    <w:rsid w:val="3A768942"/>
    <w:rsid w:val="3C74027D"/>
    <w:rsid w:val="3DE4E61F"/>
    <w:rsid w:val="42ED75F5"/>
    <w:rsid w:val="436D7084"/>
    <w:rsid w:val="446BE22C"/>
    <w:rsid w:val="470EDF85"/>
    <w:rsid w:val="4FA39467"/>
    <w:rsid w:val="53DDA860"/>
    <w:rsid w:val="583AEDE1"/>
    <w:rsid w:val="58F8E5A9"/>
    <w:rsid w:val="5B297B30"/>
    <w:rsid w:val="5B7A1614"/>
    <w:rsid w:val="5F678FE1"/>
    <w:rsid w:val="60A3E005"/>
    <w:rsid w:val="6316AC73"/>
    <w:rsid w:val="65C5E630"/>
    <w:rsid w:val="67068DB2"/>
    <w:rsid w:val="6A40845A"/>
    <w:rsid w:val="6ABE2ACB"/>
    <w:rsid w:val="6C74873B"/>
    <w:rsid w:val="73F7F4AF"/>
    <w:rsid w:val="774065C7"/>
    <w:rsid w:val="7B945067"/>
    <w:rsid w:val="7E144A0E"/>
    <w:rsid w:val="7E694DCF"/>
    <w:rsid w:val="7ECF3D6C"/>
    <w:rsid w:val="7F6B5E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11F6"/>
  <w15:chartTrackingRefBased/>
  <w15:docId w15:val="{BC96E2FC-5567-4D33-9AD5-931F4A4F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39"/>
    <w:pPr>
      <w:spacing w:after="120"/>
      <w:jc w:val="both"/>
    </w:pPr>
    <w:rPr>
      <w:rFonts w:asciiTheme="minorHAnsi" w:hAnsiTheme="minorHAnsi" w:cs="Arial"/>
      <w:kern w:val="0"/>
      <w:sz w:val="24"/>
      <w14:ligatures w14:val="none"/>
    </w:rPr>
  </w:style>
  <w:style w:type="paragraph" w:styleId="Heading1">
    <w:name w:val="heading 1"/>
    <w:basedOn w:val="Normal"/>
    <w:next w:val="Normal"/>
    <w:link w:val="Heading1Char"/>
    <w:qFormat/>
    <w:rsid w:val="00D207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D207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D2073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D2073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nhideWhenUsed/>
    <w:qFormat/>
    <w:rsid w:val="00D2073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D207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D207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D207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D207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73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D207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073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073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2073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207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07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07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07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07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7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7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07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0739"/>
    <w:rPr>
      <w:i/>
      <w:iCs/>
      <w:color w:val="404040" w:themeColor="text1" w:themeTint="BF"/>
    </w:rPr>
  </w:style>
  <w:style w:type="paragraph" w:styleId="ListParagraph">
    <w:name w:val="List Paragraph"/>
    <w:basedOn w:val="Normal"/>
    <w:uiPriority w:val="34"/>
    <w:qFormat/>
    <w:rsid w:val="00D20739"/>
    <w:pPr>
      <w:ind w:left="720"/>
      <w:contextualSpacing/>
    </w:pPr>
  </w:style>
  <w:style w:type="character" w:styleId="IntenseEmphasis">
    <w:name w:val="Intense Emphasis"/>
    <w:basedOn w:val="DefaultParagraphFont"/>
    <w:uiPriority w:val="21"/>
    <w:qFormat/>
    <w:rsid w:val="00D20739"/>
    <w:rPr>
      <w:i/>
      <w:iCs/>
      <w:color w:val="2E74B5" w:themeColor="accent1" w:themeShade="BF"/>
    </w:rPr>
  </w:style>
  <w:style w:type="paragraph" w:styleId="IntenseQuote">
    <w:name w:val="Intense Quote"/>
    <w:basedOn w:val="Normal"/>
    <w:next w:val="Normal"/>
    <w:link w:val="IntenseQuoteChar"/>
    <w:uiPriority w:val="30"/>
    <w:qFormat/>
    <w:rsid w:val="00D207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0739"/>
    <w:rPr>
      <w:i/>
      <w:iCs/>
      <w:color w:val="2E74B5" w:themeColor="accent1" w:themeShade="BF"/>
    </w:rPr>
  </w:style>
  <w:style w:type="character" w:styleId="IntenseReference">
    <w:name w:val="Intense Reference"/>
    <w:basedOn w:val="DefaultParagraphFont"/>
    <w:uiPriority w:val="32"/>
    <w:qFormat/>
    <w:rsid w:val="00D20739"/>
    <w:rPr>
      <w:b/>
      <w:bCs/>
      <w:smallCaps/>
      <w:color w:val="2E74B5" w:themeColor="accent1" w:themeShade="BF"/>
      <w:spacing w:val="5"/>
    </w:rPr>
  </w:style>
  <w:style w:type="table" w:styleId="TableGrid">
    <w:name w:val="Table Grid"/>
    <w:basedOn w:val="TableNormal"/>
    <w:uiPriority w:val="39"/>
    <w:rsid w:val="00D20739"/>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0739"/>
    <w:pPr>
      <w:spacing w:before="100" w:beforeAutospacing="1" w:after="100" w:afterAutospacing="1"/>
      <w:jc w:val="left"/>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E834D1"/>
    <w:rPr>
      <w:color w:val="0563C1" w:themeColor="hyperlink"/>
      <w:u w:val="single"/>
    </w:rPr>
  </w:style>
  <w:style w:type="character" w:styleId="UnresolvedMention">
    <w:name w:val="Unresolved Mention"/>
    <w:basedOn w:val="DefaultParagraphFont"/>
    <w:uiPriority w:val="99"/>
    <w:semiHidden/>
    <w:unhideWhenUsed/>
    <w:rsid w:val="00E834D1"/>
    <w:rPr>
      <w:color w:val="605E5C"/>
      <w:shd w:val="clear" w:color="auto" w:fill="E1DFDD"/>
    </w:rPr>
  </w:style>
  <w:style w:type="paragraph" w:customStyle="1" w:styleId="Default">
    <w:name w:val="Default"/>
    <w:rsid w:val="005B2BD5"/>
    <w:pPr>
      <w:autoSpaceDE w:val="0"/>
      <w:autoSpaceDN w:val="0"/>
      <w:adjustRightInd w:val="0"/>
    </w:pPr>
    <w:rPr>
      <w:color w:val="000000"/>
      <w:kern w:val="0"/>
      <w:sz w:val="24"/>
      <w:szCs w:val="24"/>
    </w:rPr>
  </w:style>
  <w:style w:type="paragraph" w:styleId="NormalWeb">
    <w:name w:val="Normal (Web)"/>
    <w:basedOn w:val="Normal"/>
    <w:uiPriority w:val="99"/>
    <w:semiHidden/>
    <w:unhideWhenUsed/>
    <w:rsid w:val="00E27142"/>
    <w:rPr>
      <w:rFonts w:ascii="Times New Roman" w:hAnsi="Times New Roman" w:cs="Times New Roman"/>
      <w:szCs w:val="24"/>
    </w:rPr>
  </w:style>
  <w:style w:type="character" w:styleId="CommentReference">
    <w:name w:val="annotation reference"/>
    <w:basedOn w:val="DefaultParagraphFont"/>
    <w:uiPriority w:val="99"/>
    <w:semiHidden/>
    <w:unhideWhenUsed/>
    <w:rsid w:val="00AB3C6E"/>
    <w:rPr>
      <w:sz w:val="16"/>
      <w:szCs w:val="16"/>
    </w:rPr>
  </w:style>
  <w:style w:type="paragraph" w:styleId="CommentText">
    <w:name w:val="annotation text"/>
    <w:basedOn w:val="Normal"/>
    <w:link w:val="CommentTextChar"/>
    <w:uiPriority w:val="99"/>
    <w:unhideWhenUsed/>
    <w:rsid w:val="00AB3C6E"/>
    <w:rPr>
      <w:sz w:val="20"/>
      <w:szCs w:val="20"/>
    </w:rPr>
  </w:style>
  <w:style w:type="character" w:customStyle="1" w:styleId="CommentTextChar">
    <w:name w:val="Comment Text Char"/>
    <w:basedOn w:val="DefaultParagraphFont"/>
    <w:link w:val="CommentText"/>
    <w:uiPriority w:val="99"/>
    <w:rsid w:val="00AB3C6E"/>
    <w:rPr>
      <w:rFonts w:asciiTheme="minorHAnsi" w:hAnsiTheme="minorHAns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3C6E"/>
    <w:rPr>
      <w:b/>
      <w:bCs/>
    </w:rPr>
  </w:style>
  <w:style w:type="character" w:customStyle="1" w:styleId="CommentSubjectChar">
    <w:name w:val="Comment Subject Char"/>
    <w:basedOn w:val="CommentTextChar"/>
    <w:link w:val="CommentSubject"/>
    <w:uiPriority w:val="99"/>
    <w:semiHidden/>
    <w:rsid w:val="00AB3C6E"/>
    <w:rPr>
      <w:rFonts w:asciiTheme="minorHAnsi" w:hAnsiTheme="minorHAnsi" w:cs="Arial"/>
      <w:b/>
      <w:bCs/>
      <w:kern w:val="0"/>
      <w:sz w:val="20"/>
      <w:szCs w:val="20"/>
      <w14:ligatures w14:val="none"/>
    </w:rPr>
  </w:style>
  <w:style w:type="paragraph" w:styleId="Revision">
    <w:name w:val="Revision"/>
    <w:hidden/>
    <w:uiPriority w:val="99"/>
    <w:semiHidden/>
    <w:rsid w:val="007F42F2"/>
    <w:rPr>
      <w:rFonts w:asciiTheme="minorHAnsi" w:hAnsiTheme="minorHAnsi" w:cs="Arial"/>
      <w:kern w:val="0"/>
      <w:sz w:val="24"/>
      <w14:ligatures w14:val="none"/>
    </w:rPr>
  </w:style>
  <w:style w:type="paragraph" w:styleId="Header">
    <w:name w:val="header"/>
    <w:basedOn w:val="Normal"/>
    <w:link w:val="HeaderChar"/>
    <w:uiPriority w:val="99"/>
    <w:unhideWhenUsed/>
    <w:rsid w:val="00212238"/>
    <w:pPr>
      <w:tabs>
        <w:tab w:val="center" w:pos="4513"/>
        <w:tab w:val="right" w:pos="9026"/>
      </w:tabs>
      <w:spacing w:after="0"/>
    </w:pPr>
  </w:style>
  <w:style w:type="character" w:customStyle="1" w:styleId="HeaderChar">
    <w:name w:val="Header Char"/>
    <w:basedOn w:val="DefaultParagraphFont"/>
    <w:link w:val="Header"/>
    <w:uiPriority w:val="99"/>
    <w:rsid w:val="00212238"/>
    <w:rPr>
      <w:rFonts w:asciiTheme="minorHAnsi" w:hAnsiTheme="minorHAnsi" w:cs="Arial"/>
      <w:kern w:val="0"/>
      <w:sz w:val="24"/>
      <w14:ligatures w14:val="none"/>
    </w:rPr>
  </w:style>
  <w:style w:type="paragraph" w:styleId="Footer">
    <w:name w:val="footer"/>
    <w:basedOn w:val="Normal"/>
    <w:link w:val="FooterChar"/>
    <w:uiPriority w:val="99"/>
    <w:unhideWhenUsed/>
    <w:rsid w:val="00212238"/>
    <w:pPr>
      <w:tabs>
        <w:tab w:val="center" w:pos="4513"/>
        <w:tab w:val="right" w:pos="9026"/>
      </w:tabs>
      <w:spacing w:after="0"/>
    </w:pPr>
  </w:style>
  <w:style w:type="character" w:customStyle="1" w:styleId="FooterChar">
    <w:name w:val="Footer Char"/>
    <w:basedOn w:val="DefaultParagraphFont"/>
    <w:link w:val="Footer"/>
    <w:uiPriority w:val="99"/>
    <w:rsid w:val="00212238"/>
    <w:rPr>
      <w:rFonts w:asciiTheme="minorHAnsi" w:hAnsiTheme="minorHAnsi" w:cs="Arial"/>
      <w:kern w:val="0"/>
      <w:sz w:val="24"/>
      <w14:ligatures w14:val="none"/>
    </w:rPr>
  </w:style>
  <w:style w:type="character" w:styleId="FollowedHyperlink">
    <w:name w:val="FollowedHyperlink"/>
    <w:basedOn w:val="DefaultParagraphFont"/>
    <w:uiPriority w:val="99"/>
    <w:semiHidden/>
    <w:unhideWhenUsed/>
    <w:rsid w:val="00371A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481">
      <w:bodyDiv w:val="1"/>
      <w:marLeft w:val="0"/>
      <w:marRight w:val="0"/>
      <w:marTop w:val="0"/>
      <w:marBottom w:val="0"/>
      <w:divBdr>
        <w:top w:val="none" w:sz="0" w:space="0" w:color="auto"/>
        <w:left w:val="none" w:sz="0" w:space="0" w:color="auto"/>
        <w:bottom w:val="none" w:sz="0" w:space="0" w:color="auto"/>
        <w:right w:val="none" w:sz="0" w:space="0" w:color="auto"/>
      </w:divBdr>
    </w:div>
    <w:div w:id="99835109">
      <w:bodyDiv w:val="1"/>
      <w:marLeft w:val="0"/>
      <w:marRight w:val="0"/>
      <w:marTop w:val="0"/>
      <w:marBottom w:val="0"/>
      <w:divBdr>
        <w:top w:val="none" w:sz="0" w:space="0" w:color="auto"/>
        <w:left w:val="none" w:sz="0" w:space="0" w:color="auto"/>
        <w:bottom w:val="none" w:sz="0" w:space="0" w:color="auto"/>
        <w:right w:val="none" w:sz="0" w:space="0" w:color="auto"/>
      </w:divBdr>
    </w:div>
    <w:div w:id="99877320">
      <w:bodyDiv w:val="1"/>
      <w:marLeft w:val="0"/>
      <w:marRight w:val="0"/>
      <w:marTop w:val="0"/>
      <w:marBottom w:val="0"/>
      <w:divBdr>
        <w:top w:val="none" w:sz="0" w:space="0" w:color="auto"/>
        <w:left w:val="none" w:sz="0" w:space="0" w:color="auto"/>
        <w:bottom w:val="none" w:sz="0" w:space="0" w:color="auto"/>
        <w:right w:val="none" w:sz="0" w:space="0" w:color="auto"/>
      </w:divBdr>
    </w:div>
    <w:div w:id="442699600">
      <w:bodyDiv w:val="1"/>
      <w:marLeft w:val="0"/>
      <w:marRight w:val="0"/>
      <w:marTop w:val="0"/>
      <w:marBottom w:val="0"/>
      <w:divBdr>
        <w:top w:val="none" w:sz="0" w:space="0" w:color="auto"/>
        <w:left w:val="none" w:sz="0" w:space="0" w:color="auto"/>
        <w:bottom w:val="none" w:sz="0" w:space="0" w:color="auto"/>
        <w:right w:val="none" w:sz="0" w:space="0" w:color="auto"/>
      </w:divBdr>
    </w:div>
    <w:div w:id="474444659">
      <w:bodyDiv w:val="1"/>
      <w:marLeft w:val="0"/>
      <w:marRight w:val="0"/>
      <w:marTop w:val="0"/>
      <w:marBottom w:val="0"/>
      <w:divBdr>
        <w:top w:val="none" w:sz="0" w:space="0" w:color="auto"/>
        <w:left w:val="none" w:sz="0" w:space="0" w:color="auto"/>
        <w:bottom w:val="none" w:sz="0" w:space="0" w:color="auto"/>
        <w:right w:val="none" w:sz="0" w:space="0" w:color="auto"/>
      </w:divBdr>
    </w:div>
    <w:div w:id="693775928">
      <w:bodyDiv w:val="1"/>
      <w:marLeft w:val="0"/>
      <w:marRight w:val="0"/>
      <w:marTop w:val="0"/>
      <w:marBottom w:val="0"/>
      <w:divBdr>
        <w:top w:val="none" w:sz="0" w:space="0" w:color="auto"/>
        <w:left w:val="none" w:sz="0" w:space="0" w:color="auto"/>
        <w:bottom w:val="none" w:sz="0" w:space="0" w:color="auto"/>
        <w:right w:val="none" w:sz="0" w:space="0" w:color="auto"/>
      </w:divBdr>
    </w:div>
    <w:div w:id="831608587">
      <w:bodyDiv w:val="1"/>
      <w:marLeft w:val="0"/>
      <w:marRight w:val="0"/>
      <w:marTop w:val="0"/>
      <w:marBottom w:val="0"/>
      <w:divBdr>
        <w:top w:val="none" w:sz="0" w:space="0" w:color="auto"/>
        <w:left w:val="none" w:sz="0" w:space="0" w:color="auto"/>
        <w:bottom w:val="none" w:sz="0" w:space="0" w:color="auto"/>
        <w:right w:val="none" w:sz="0" w:space="0" w:color="auto"/>
      </w:divBdr>
    </w:div>
    <w:div w:id="990911382">
      <w:bodyDiv w:val="1"/>
      <w:marLeft w:val="0"/>
      <w:marRight w:val="0"/>
      <w:marTop w:val="0"/>
      <w:marBottom w:val="0"/>
      <w:divBdr>
        <w:top w:val="none" w:sz="0" w:space="0" w:color="auto"/>
        <w:left w:val="none" w:sz="0" w:space="0" w:color="auto"/>
        <w:bottom w:val="none" w:sz="0" w:space="0" w:color="auto"/>
        <w:right w:val="none" w:sz="0" w:space="0" w:color="auto"/>
      </w:divBdr>
    </w:div>
    <w:div w:id="1255287483">
      <w:bodyDiv w:val="1"/>
      <w:marLeft w:val="0"/>
      <w:marRight w:val="0"/>
      <w:marTop w:val="0"/>
      <w:marBottom w:val="0"/>
      <w:divBdr>
        <w:top w:val="none" w:sz="0" w:space="0" w:color="auto"/>
        <w:left w:val="none" w:sz="0" w:space="0" w:color="auto"/>
        <w:bottom w:val="none" w:sz="0" w:space="0" w:color="auto"/>
        <w:right w:val="none" w:sz="0" w:space="0" w:color="auto"/>
      </w:divBdr>
    </w:div>
    <w:div w:id="1306858399">
      <w:bodyDiv w:val="1"/>
      <w:marLeft w:val="0"/>
      <w:marRight w:val="0"/>
      <w:marTop w:val="0"/>
      <w:marBottom w:val="0"/>
      <w:divBdr>
        <w:top w:val="none" w:sz="0" w:space="0" w:color="auto"/>
        <w:left w:val="none" w:sz="0" w:space="0" w:color="auto"/>
        <w:bottom w:val="none" w:sz="0" w:space="0" w:color="auto"/>
        <w:right w:val="none" w:sz="0" w:space="0" w:color="auto"/>
      </w:divBdr>
    </w:div>
    <w:div w:id="1485665203">
      <w:bodyDiv w:val="1"/>
      <w:marLeft w:val="0"/>
      <w:marRight w:val="0"/>
      <w:marTop w:val="0"/>
      <w:marBottom w:val="0"/>
      <w:divBdr>
        <w:top w:val="none" w:sz="0" w:space="0" w:color="auto"/>
        <w:left w:val="none" w:sz="0" w:space="0" w:color="auto"/>
        <w:bottom w:val="none" w:sz="0" w:space="0" w:color="auto"/>
        <w:right w:val="none" w:sz="0" w:space="0" w:color="auto"/>
      </w:divBdr>
    </w:div>
    <w:div w:id="1537624228">
      <w:bodyDiv w:val="1"/>
      <w:marLeft w:val="0"/>
      <w:marRight w:val="0"/>
      <w:marTop w:val="0"/>
      <w:marBottom w:val="0"/>
      <w:divBdr>
        <w:top w:val="none" w:sz="0" w:space="0" w:color="auto"/>
        <w:left w:val="none" w:sz="0" w:space="0" w:color="auto"/>
        <w:bottom w:val="none" w:sz="0" w:space="0" w:color="auto"/>
        <w:right w:val="none" w:sz="0" w:space="0" w:color="auto"/>
      </w:divBdr>
      <w:divsChild>
        <w:div w:id="432358654">
          <w:marLeft w:val="0"/>
          <w:marRight w:val="0"/>
          <w:marTop w:val="0"/>
          <w:marBottom w:val="0"/>
          <w:divBdr>
            <w:top w:val="none" w:sz="0" w:space="0" w:color="auto"/>
            <w:left w:val="none" w:sz="0" w:space="0" w:color="auto"/>
            <w:bottom w:val="none" w:sz="0" w:space="0" w:color="auto"/>
            <w:right w:val="none" w:sz="0" w:space="0" w:color="auto"/>
          </w:divBdr>
        </w:div>
        <w:div w:id="1445419687">
          <w:marLeft w:val="0"/>
          <w:marRight w:val="0"/>
          <w:marTop w:val="0"/>
          <w:marBottom w:val="0"/>
          <w:divBdr>
            <w:top w:val="none" w:sz="0" w:space="0" w:color="auto"/>
            <w:left w:val="none" w:sz="0" w:space="0" w:color="auto"/>
            <w:bottom w:val="none" w:sz="0" w:space="0" w:color="auto"/>
            <w:right w:val="none" w:sz="0" w:space="0" w:color="auto"/>
          </w:divBdr>
        </w:div>
        <w:div w:id="1504971258">
          <w:marLeft w:val="0"/>
          <w:marRight w:val="0"/>
          <w:marTop w:val="0"/>
          <w:marBottom w:val="0"/>
          <w:divBdr>
            <w:top w:val="none" w:sz="0" w:space="0" w:color="auto"/>
            <w:left w:val="none" w:sz="0" w:space="0" w:color="auto"/>
            <w:bottom w:val="none" w:sz="0" w:space="0" w:color="auto"/>
            <w:right w:val="none" w:sz="0" w:space="0" w:color="auto"/>
          </w:divBdr>
        </w:div>
      </w:divsChild>
    </w:div>
    <w:div w:id="1541043017">
      <w:bodyDiv w:val="1"/>
      <w:marLeft w:val="0"/>
      <w:marRight w:val="0"/>
      <w:marTop w:val="0"/>
      <w:marBottom w:val="0"/>
      <w:divBdr>
        <w:top w:val="none" w:sz="0" w:space="0" w:color="auto"/>
        <w:left w:val="none" w:sz="0" w:space="0" w:color="auto"/>
        <w:bottom w:val="none" w:sz="0" w:space="0" w:color="auto"/>
        <w:right w:val="none" w:sz="0" w:space="0" w:color="auto"/>
      </w:divBdr>
    </w:div>
    <w:div w:id="1545947700">
      <w:bodyDiv w:val="1"/>
      <w:marLeft w:val="0"/>
      <w:marRight w:val="0"/>
      <w:marTop w:val="0"/>
      <w:marBottom w:val="0"/>
      <w:divBdr>
        <w:top w:val="none" w:sz="0" w:space="0" w:color="auto"/>
        <w:left w:val="none" w:sz="0" w:space="0" w:color="auto"/>
        <w:bottom w:val="none" w:sz="0" w:space="0" w:color="auto"/>
        <w:right w:val="none" w:sz="0" w:space="0" w:color="auto"/>
      </w:divBdr>
    </w:div>
    <w:div w:id="1711611178">
      <w:bodyDiv w:val="1"/>
      <w:marLeft w:val="0"/>
      <w:marRight w:val="0"/>
      <w:marTop w:val="0"/>
      <w:marBottom w:val="0"/>
      <w:divBdr>
        <w:top w:val="none" w:sz="0" w:space="0" w:color="auto"/>
        <w:left w:val="none" w:sz="0" w:space="0" w:color="auto"/>
        <w:bottom w:val="none" w:sz="0" w:space="0" w:color="auto"/>
        <w:right w:val="none" w:sz="0" w:space="0" w:color="auto"/>
      </w:divBdr>
      <w:divsChild>
        <w:div w:id="1497301999">
          <w:marLeft w:val="0"/>
          <w:marRight w:val="0"/>
          <w:marTop w:val="0"/>
          <w:marBottom w:val="0"/>
          <w:divBdr>
            <w:top w:val="none" w:sz="0" w:space="0" w:color="auto"/>
            <w:left w:val="none" w:sz="0" w:space="0" w:color="auto"/>
            <w:bottom w:val="none" w:sz="0" w:space="0" w:color="auto"/>
            <w:right w:val="none" w:sz="0" w:space="0" w:color="auto"/>
          </w:divBdr>
        </w:div>
        <w:div w:id="1749225579">
          <w:marLeft w:val="0"/>
          <w:marRight w:val="0"/>
          <w:marTop w:val="0"/>
          <w:marBottom w:val="0"/>
          <w:divBdr>
            <w:top w:val="none" w:sz="0" w:space="0" w:color="auto"/>
            <w:left w:val="none" w:sz="0" w:space="0" w:color="auto"/>
            <w:bottom w:val="none" w:sz="0" w:space="0" w:color="auto"/>
            <w:right w:val="none" w:sz="0" w:space="0" w:color="auto"/>
          </w:divBdr>
        </w:div>
        <w:div w:id="1927033432">
          <w:marLeft w:val="0"/>
          <w:marRight w:val="0"/>
          <w:marTop w:val="0"/>
          <w:marBottom w:val="0"/>
          <w:divBdr>
            <w:top w:val="none" w:sz="0" w:space="0" w:color="auto"/>
            <w:left w:val="none" w:sz="0" w:space="0" w:color="auto"/>
            <w:bottom w:val="none" w:sz="0" w:space="0" w:color="auto"/>
            <w:right w:val="none" w:sz="0" w:space="0" w:color="auto"/>
          </w:divBdr>
        </w:div>
      </w:divsChild>
    </w:div>
    <w:div w:id="1873378973">
      <w:bodyDiv w:val="1"/>
      <w:marLeft w:val="0"/>
      <w:marRight w:val="0"/>
      <w:marTop w:val="0"/>
      <w:marBottom w:val="0"/>
      <w:divBdr>
        <w:top w:val="none" w:sz="0" w:space="0" w:color="auto"/>
        <w:left w:val="none" w:sz="0" w:space="0" w:color="auto"/>
        <w:bottom w:val="none" w:sz="0" w:space="0" w:color="auto"/>
        <w:right w:val="none" w:sz="0" w:space="0" w:color="auto"/>
      </w:divBdr>
    </w:div>
    <w:div w:id="1909147132">
      <w:bodyDiv w:val="1"/>
      <w:marLeft w:val="0"/>
      <w:marRight w:val="0"/>
      <w:marTop w:val="0"/>
      <w:marBottom w:val="0"/>
      <w:divBdr>
        <w:top w:val="none" w:sz="0" w:space="0" w:color="auto"/>
        <w:left w:val="none" w:sz="0" w:space="0" w:color="auto"/>
        <w:bottom w:val="none" w:sz="0" w:space="0" w:color="auto"/>
        <w:right w:val="none" w:sz="0" w:space="0" w:color="auto"/>
      </w:divBdr>
      <w:divsChild>
        <w:div w:id="131950682">
          <w:marLeft w:val="0"/>
          <w:marRight w:val="0"/>
          <w:marTop w:val="0"/>
          <w:marBottom w:val="0"/>
          <w:divBdr>
            <w:top w:val="none" w:sz="0" w:space="0" w:color="auto"/>
            <w:left w:val="none" w:sz="0" w:space="0" w:color="auto"/>
            <w:bottom w:val="none" w:sz="0" w:space="0" w:color="auto"/>
            <w:right w:val="none" w:sz="0" w:space="0" w:color="auto"/>
          </w:divBdr>
        </w:div>
        <w:div w:id="606930397">
          <w:marLeft w:val="0"/>
          <w:marRight w:val="0"/>
          <w:marTop w:val="0"/>
          <w:marBottom w:val="0"/>
          <w:divBdr>
            <w:top w:val="none" w:sz="0" w:space="0" w:color="auto"/>
            <w:left w:val="none" w:sz="0" w:space="0" w:color="auto"/>
            <w:bottom w:val="none" w:sz="0" w:space="0" w:color="auto"/>
            <w:right w:val="none" w:sz="0" w:space="0" w:color="auto"/>
          </w:divBdr>
        </w:div>
        <w:div w:id="1765151129">
          <w:marLeft w:val="0"/>
          <w:marRight w:val="0"/>
          <w:marTop w:val="0"/>
          <w:marBottom w:val="0"/>
          <w:divBdr>
            <w:top w:val="none" w:sz="0" w:space="0" w:color="auto"/>
            <w:left w:val="none" w:sz="0" w:space="0" w:color="auto"/>
            <w:bottom w:val="none" w:sz="0" w:space="0" w:color="auto"/>
            <w:right w:val="none" w:sz="0" w:space="0" w:color="auto"/>
          </w:divBdr>
        </w:div>
      </w:divsChild>
    </w:div>
    <w:div w:id="2028675258">
      <w:bodyDiv w:val="1"/>
      <w:marLeft w:val="0"/>
      <w:marRight w:val="0"/>
      <w:marTop w:val="0"/>
      <w:marBottom w:val="0"/>
      <w:divBdr>
        <w:top w:val="none" w:sz="0" w:space="0" w:color="auto"/>
        <w:left w:val="none" w:sz="0" w:space="0" w:color="auto"/>
        <w:bottom w:val="none" w:sz="0" w:space="0" w:color="auto"/>
        <w:right w:val="none" w:sz="0" w:space="0" w:color="auto"/>
      </w:divBdr>
      <w:divsChild>
        <w:div w:id="1654488112">
          <w:marLeft w:val="0"/>
          <w:marRight w:val="0"/>
          <w:marTop w:val="0"/>
          <w:marBottom w:val="0"/>
          <w:divBdr>
            <w:top w:val="none" w:sz="0" w:space="0" w:color="auto"/>
            <w:left w:val="none" w:sz="0" w:space="0" w:color="auto"/>
            <w:bottom w:val="none" w:sz="0" w:space="0" w:color="auto"/>
            <w:right w:val="none" w:sz="0" w:space="0" w:color="auto"/>
          </w:divBdr>
        </w:div>
        <w:div w:id="1698845164">
          <w:marLeft w:val="0"/>
          <w:marRight w:val="0"/>
          <w:marTop w:val="0"/>
          <w:marBottom w:val="0"/>
          <w:divBdr>
            <w:top w:val="none" w:sz="0" w:space="0" w:color="auto"/>
            <w:left w:val="none" w:sz="0" w:space="0" w:color="auto"/>
            <w:bottom w:val="none" w:sz="0" w:space="0" w:color="auto"/>
            <w:right w:val="none" w:sz="0" w:space="0" w:color="auto"/>
          </w:divBdr>
        </w:div>
        <w:div w:id="2053578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ederation.gov.au/sites/default/files/2023-09/guidance-intergovernmental-meeting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committees-and-groups/national-tuberculosis-advisory-committ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B69BB7E9CF544B27BFBBD55EE43AF" ma:contentTypeVersion="8" ma:contentTypeDescription="Create a new document." ma:contentTypeScope="" ma:versionID="e59f00d68c8aa1a6560737ecdb963563">
  <xsd:schema xmlns:xsd="http://www.w3.org/2001/XMLSchema" xmlns:xs="http://www.w3.org/2001/XMLSchema" xmlns:p="http://schemas.microsoft.com/office/2006/metadata/properties" xmlns:ns2="b240c28d-4ed4-457f-8235-fdae5d0c8929" targetNamespace="http://schemas.microsoft.com/office/2006/metadata/properties" ma:root="true" ma:fieldsID="efff031278509d87e673b0ab64288ffe" ns2:_="">
    <xsd:import namespace="b240c28d-4ed4-457f-8235-fdae5d0c8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c28d-4ed4-457f-8235-fdae5d0c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76D86-24EA-4F2F-9FAD-7EFEDBB86C58}">
  <ds:schemaRefs>
    <ds:schemaRef ds:uri="http://schemas.microsoft.com/sharepoint/v3/contenttype/forms"/>
  </ds:schemaRefs>
</ds:datastoreItem>
</file>

<file path=customXml/itemProps2.xml><?xml version="1.0" encoding="utf-8"?>
<ds:datastoreItem xmlns:ds="http://schemas.openxmlformats.org/officeDocument/2006/customXml" ds:itemID="{01BCC30D-4FB3-4896-9356-5CF24194F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c28d-4ed4-457f-8235-fdae5d0c8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88F12-72EF-4833-838A-272C272134E3}">
  <ds:schemaRefs>
    <ds:schemaRef ds:uri="http://schemas.openxmlformats.org/officeDocument/2006/bibliography"/>
  </ds:schemaRefs>
</ds:datastoreItem>
</file>

<file path=customXml/itemProps4.xml><?xml version="1.0" encoding="utf-8"?>
<ds:datastoreItem xmlns:ds="http://schemas.openxmlformats.org/officeDocument/2006/customXml" ds:itemID="{2CBA5A45-62D8-4272-84A1-7C018F5322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1510</Words>
  <Characters>8521</Characters>
  <Application>Microsoft Office Word</Application>
  <DocSecurity>0</DocSecurity>
  <Lines>170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Tuberculosis Advisory Committee charter</dc:title>
  <dc:subject>Communicable diseases</dc:subject>
  <dc:creator>Australian Centre for Disease Control</dc:creator>
  <cp:keywords/>
  <dcterms:created xsi:type="dcterms:W3CDTF">2026-07-01T06:45:00Z</dcterms:created>
  <dcterms:modified xsi:type="dcterms:W3CDTF">2026-07-01T06:45:00Z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0x010100BF8B69BB7E9CF544B27BFBBD55EE43AF</vt:lpwstr>
  </property>
  <property fmtid="{D5CDD505-2E9C-101B-9397-08002B2CF9AE}" pid="3" name="ClassificationContentMarkingHeaderShapeIds">
    <vt:lpwstr>140cc905,77a0987c,b37cff7</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644602bd,2864af1d,5efbb99e</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2025-08-25T03:53:14Z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6fc7d589-8ee1-4a7f-8c51-0c30b76d53a5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